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56" w:beforeLines="50" w:line="560" w:lineRule="exact"/>
        <w:jc w:val="center"/>
        <w:rPr>
          <w:rFonts w:ascii="隶书" w:hAnsi="华文中宋" w:eastAsia="隶书"/>
          <w:sz w:val="84"/>
          <w:szCs w:val="84"/>
        </w:rPr>
      </w:pPr>
    </w:p>
    <w:p>
      <w:pPr>
        <w:pStyle w:val="11"/>
        <w:spacing w:before="156" w:beforeLines="50" w:line="560" w:lineRule="exact"/>
        <w:jc w:val="center"/>
        <w:rPr>
          <w:rFonts w:ascii="隶书" w:hAnsi="华文中宋" w:eastAsia="隶书"/>
          <w:sz w:val="84"/>
          <w:szCs w:val="84"/>
        </w:rPr>
      </w:pPr>
    </w:p>
    <w:p>
      <w:pPr>
        <w:pStyle w:val="11"/>
        <w:spacing w:before="156" w:beforeLines="50" w:line="560" w:lineRule="exact"/>
        <w:jc w:val="center"/>
        <w:rPr>
          <w:rFonts w:ascii="隶书" w:hAnsi="华文中宋" w:eastAsia="隶书"/>
          <w:sz w:val="84"/>
          <w:szCs w:val="84"/>
        </w:rPr>
      </w:pPr>
    </w:p>
    <w:p>
      <w:pPr>
        <w:pStyle w:val="11"/>
        <w:spacing w:before="156" w:beforeLines="50" w:line="560" w:lineRule="exact"/>
        <w:jc w:val="center"/>
        <w:rPr>
          <w:rFonts w:ascii="隶书" w:hAnsi="华文中宋" w:eastAsia="隶书"/>
          <w:sz w:val="84"/>
          <w:szCs w:val="84"/>
        </w:rPr>
      </w:pPr>
    </w:p>
    <w:p>
      <w:pPr>
        <w:pStyle w:val="11"/>
        <w:spacing w:before="156" w:beforeLines="50" w:line="560" w:lineRule="exact"/>
        <w:jc w:val="center"/>
        <w:rPr>
          <w:rFonts w:ascii="隶书" w:hAnsi="华文中宋" w:eastAsia="隶书"/>
          <w:sz w:val="84"/>
          <w:szCs w:val="84"/>
        </w:rPr>
      </w:pPr>
    </w:p>
    <w:p>
      <w:pPr>
        <w:pStyle w:val="11"/>
        <w:spacing w:before="312" w:beforeLines="100" w:line="560" w:lineRule="exact"/>
        <w:jc w:val="center"/>
        <w:rPr>
          <w:rFonts w:ascii="华文中宋" w:hAnsi="华文中宋" w:eastAsia="华文中宋" w:cs="华文中宋"/>
          <w:bCs/>
          <w:sz w:val="84"/>
          <w:szCs w:val="84"/>
        </w:rPr>
      </w:pPr>
      <w:r>
        <w:rPr>
          <w:rFonts w:hint="eastAsia" w:ascii="华文中宋" w:hAnsi="华文中宋" w:eastAsia="华文中宋" w:cs="华文中宋"/>
          <w:sz w:val="84"/>
          <w:szCs w:val="84"/>
        </w:rPr>
        <w:t>政府采购</w:t>
      </w:r>
    </w:p>
    <w:p>
      <w:pPr>
        <w:pStyle w:val="11"/>
        <w:adjustRightInd w:val="0"/>
        <w:snapToGrid w:val="0"/>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pPr>
        <w:pStyle w:val="11"/>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pPr>
        <w:pStyle w:val="11"/>
        <w:adjustRightInd w:val="0"/>
        <w:snapToGrid w:val="0"/>
        <w:spacing w:before="312" w:beforeLines="100" w:line="560" w:lineRule="exact"/>
        <w:ind w:left="2563" w:leftChars="554" w:right="-4901" w:rightChars="-2334" w:hanging="1400" w:hangingChars="700"/>
        <w:rPr>
          <w:rFonts w:ascii="Tahoma" w:hAnsi="Tahoma" w:cs="Tahoma"/>
          <w:sz w:val="20"/>
          <w:szCs w:val="20"/>
        </w:rPr>
      </w:pPr>
    </w:p>
    <w:p>
      <w:pPr>
        <w:pStyle w:val="11"/>
        <w:adjustRightInd w:val="0"/>
        <w:snapToGrid w:val="0"/>
        <w:spacing w:before="312" w:beforeLines="100" w:line="560" w:lineRule="exact"/>
        <w:ind w:left="2563" w:leftChars="554" w:right="-4901" w:rightChars="-2334" w:hanging="1400" w:hangingChars="700"/>
        <w:rPr>
          <w:rFonts w:ascii="Tahoma" w:hAnsi="Tahoma" w:cs="Tahoma"/>
          <w:sz w:val="20"/>
          <w:szCs w:val="20"/>
        </w:rPr>
      </w:pPr>
    </w:p>
    <w:p>
      <w:pPr>
        <w:adjustRightInd w:val="0"/>
        <w:snapToGrid w:val="0"/>
        <w:spacing w:before="156" w:beforeLines="50" w:line="560" w:lineRule="exact"/>
        <w:ind w:left="2878" w:leftChars="304" w:hanging="2240" w:hangingChars="700"/>
        <w:rPr>
          <w:rFonts w:hint="eastAsia" w:ascii="华文中宋" w:hAnsi="华文中宋" w:eastAsia="华文中宋" w:cs="华文中宋"/>
          <w:bCs/>
          <w:sz w:val="32"/>
          <w:szCs w:val="32"/>
          <w:lang w:eastAsia="zh-CN"/>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Cs/>
          <w:sz w:val="32"/>
          <w:szCs w:val="32"/>
          <w:lang w:eastAsia="zh-CN"/>
        </w:rPr>
        <w:t>关于对2023年聘请第三方开展财政业务的政府采购报告</w:t>
      </w:r>
    </w:p>
    <w:p>
      <w:pPr>
        <w:autoSpaceDE w:val="0"/>
        <w:autoSpaceDN w:val="0"/>
        <w:adjustRightInd w:val="0"/>
        <w:spacing w:before="156" w:beforeLines="50" w:line="560" w:lineRule="exact"/>
        <w:ind w:firstLine="640" w:firstLineChars="200"/>
        <w:jc w:val="left"/>
        <w:rPr>
          <w:rFonts w:ascii="华文中宋" w:hAnsi="华文中宋" w:eastAsia="华文中宋" w:cs="华文中宋"/>
          <w:bCs/>
          <w:sz w:val="32"/>
          <w:szCs w:val="32"/>
        </w:rPr>
      </w:pPr>
      <w:r>
        <w:rPr>
          <w:rFonts w:hint="eastAsia" w:ascii="华文中宋" w:hAnsi="华文中宋" w:eastAsia="华文中宋" w:cs="华文中宋"/>
          <w:bCs/>
          <w:sz w:val="32"/>
          <w:szCs w:val="32"/>
        </w:rPr>
        <w:t>政府采购编号：</w:t>
      </w:r>
      <w:r>
        <w:rPr>
          <w:rFonts w:hint="eastAsia" w:ascii="华文中宋" w:hAnsi="华文中宋" w:eastAsia="华文中宋" w:cs="华文中宋"/>
          <w:bCs/>
          <w:sz w:val="32"/>
          <w:szCs w:val="32"/>
          <w:lang w:val="zh-CN"/>
        </w:rPr>
        <w:t>青海凌星竞谈（服务)2023-056</w:t>
      </w:r>
    </w:p>
    <w:p>
      <w:pPr>
        <w:adjustRightInd w:val="0"/>
        <w:snapToGrid w:val="0"/>
        <w:spacing w:before="156" w:beforeLines="50" w:line="560" w:lineRule="exact"/>
        <w:ind w:firstLine="640" w:firstLineChars="200"/>
        <w:rPr>
          <w:rFonts w:ascii="华文中宋" w:hAnsi="华文中宋" w:eastAsia="华文中宋" w:cs="华文中宋"/>
          <w:bCs/>
          <w:sz w:val="32"/>
          <w:szCs w:val="32"/>
          <w:u w:val="single"/>
        </w:rPr>
      </w:pPr>
      <w:r>
        <w:rPr>
          <w:rFonts w:hint="eastAsia" w:ascii="华文中宋" w:hAnsi="华文中宋" w:eastAsia="华文中宋" w:cs="华文中宋"/>
          <w:bCs/>
          <w:sz w:val="32"/>
          <w:szCs w:val="32"/>
        </w:rPr>
        <w:t>采   购   人：玉树市财政局</w:t>
      </w:r>
    </w:p>
    <w:p>
      <w:pPr>
        <w:adjustRightInd w:val="0"/>
        <w:snapToGrid w:val="0"/>
        <w:spacing w:before="156" w:beforeLines="50" w:line="560" w:lineRule="exact"/>
        <w:ind w:firstLine="640" w:firstLineChars="200"/>
        <w:rPr>
          <w:rFonts w:ascii="华文中宋" w:hAnsi="华文中宋" w:eastAsia="华文中宋" w:cs="华文中宋"/>
          <w:bCs/>
          <w:sz w:val="32"/>
          <w:szCs w:val="32"/>
        </w:rPr>
      </w:pPr>
      <w:r>
        <w:rPr>
          <w:rFonts w:hint="eastAsia" w:ascii="华文中宋" w:hAnsi="华文中宋" w:eastAsia="华文中宋" w:cs="华文中宋"/>
          <w:bCs/>
          <w:sz w:val="32"/>
          <w:szCs w:val="32"/>
        </w:rPr>
        <w:t>采购代理机构：青海凌星项目管理有限公司</w:t>
      </w:r>
    </w:p>
    <w:p>
      <w:pPr>
        <w:autoSpaceDE w:val="0"/>
        <w:autoSpaceDN w:val="0"/>
        <w:adjustRightInd w:val="0"/>
        <w:spacing w:before="156" w:beforeLines="50" w:line="560" w:lineRule="exact"/>
        <w:jc w:val="left"/>
        <w:rPr>
          <w:rFonts w:ascii="宋体" w:hAnsi="宋体" w:cs="宋体"/>
          <w:color w:val="000000"/>
          <w:kern w:val="0"/>
          <w:sz w:val="30"/>
          <w:szCs w:val="30"/>
          <w:lang w:val="zh-CN"/>
        </w:rPr>
      </w:pPr>
    </w:p>
    <w:p>
      <w:pPr>
        <w:rPr>
          <w:lang w:val="zh-CN"/>
        </w:rPr>
      </w:pPr>
    </w:p>
    <w:p>
      <w:pPr>
        <w:rPr>
          <w:lang w:val="zh-CN"/>
        </w:rPr>
      </w:pPr>
    </w:p>
    <w:p>
      <w:pPr>
        <w:autoSpaceDE w:val="0"/>
        <w:autoSpaceDN w:val="0"/>
        <w:adjustRightInd w:val="0"/>
        <w:spacing w:before="156" w:beforeLines="50" w:line="560" w:lineRule="exact"/>
        <w:jc w:val="left"/>
        <w:rPr>
          <w:rFonts w:ascii="宋体" w:hAnsi="宋体" w:cs="宋体"/>
          <w:color w:val="000000"/>
          <w:kern w:val="0"/>
          <w:sz w:val="30"/>
          <w:szCs w:val="30"/>
          <w:lang w:val="zh-CN"/>
        </w:rPr>
      </w:pPr>
    </w:p>
    <w:p>
      <w:pPr>
        <w:spacing w:line="200" w:lineRule="atLeast"/>
        <w:jc w:val="center"/>
        <w:rPr>
          <w:rFonts w:ascii="仿宋" w:hAnsi="仿宋" w:eastAsia="仿宋" w:cs="仿宋"/>
          <w:sz w:val="44"/>
          <w:szCs w:val="44"/>
        </w:rPr>
      </w:pPr>
      <w:r>
        <w:rPr>
          <w:rFonts w:hint="eastAsia" w:ascii="仿宋" w:hAnsi="仿宋" w:eastAsia="仿宋" w:cs="仿宋"/>
          <w:sz w:val="44"/>
          <w:szCs w:val="44"/>
        </w:rPr>
        <w:t>目  录</w:t>
      </w:r>
    </w:p>
    <w:p>
      <w:pPr>
        <w:pStyle w:val="15"/>
        <w:tabs>
          <w:tab w:val="right" w:leader="dot" w:pos="9736"/>
        </w:tabs>
        <w:rPr>
          <w:rFonts w:asciiTheme="minorHAnsi" w:hAnsiTheme="minorHAnsi" w:eastAsiaTheme="minorEastAsia" w:cstheme="minorBidi"/>
          <w:szCs w:val="2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fldChar w:fldCharType="begin"/>
      </w:r>
      <w:r>
        <w:instrText xml:space="preserve"> HYPERLINK \l "_Toc112245811" </w:instrText>
      </w:r>
      <w:r>
        <w:fldChar w:fldCharType="separate"/>
      </w:r>
      <w:r>
        <w:rPr>
          <w:rStyle w:val="33"/>
          <w:rFonts w:hint="eastAsia" w:ascii="华文中宋" w:hAnsi="华文中宋" w:eastAsia="华文中宋" w:cs="华文中宋"/>
        </w:rPr>
        <w:t>第一部分 谈判邀请</w:t>
      </w:r>
      <w:r>
        <w:tab/>
      </w:r>
      <w:r>
        <w:rPr>
          <w:rFonts w:hint="eastAsia"/>
          <w:lang w:val="en-US" w:eastAsia="zh-CN"/>
        </w:rPr>
        <w:t>4</w:t>
      </w:r>
      <w:r>
        <w:fldChar w:fldCharType="end"/>
      </w:r>
    </w:p>
    <w:p>
      <w:pPr>
        <w:pStyle w:val="15"/>
        <w:tabs>
          <w:tab w:val="right" w:leader="dot" w:pos="9736"/>
        </w:tabs>
        <w:rPr>
          <w:rFonts w:asciiTheme="minorHAnsi" w:hAnsiTheme="minorHAnsi" w:eastAsiaTheme="minorEastAsia" w:cstheme="minorBidi"/>
          <w:szCs w:val="22"/>
        </w:rPr>
      </w:pPr>
      <w:r>
        <w:fldChar w:fldCharType="begin"/>
      </w:r>
      <w:r>
        <w:instrText xml:space="preserve"> HYPERLINK \l "_Toc112245813" </w:instrText>
      </w:r>
      <w:r>
        <w:fldChar w:fldCharType="separate"/>
      </w:r>
      <w:r>
        <w:rPr>
          <w:rStyle w:val="33"/>
          <w:rFonts w:hint="eastAsia" w:ascii="华文中宋" w:hAnsi="华文中宋" w:eastAsia="华文中宋" w:cs="华文中宋"/>
        </w:rPr>
        <w:t>第二部分</w:t>
      </w:r>
      <w:r>
        <w:rPr>
          <w:rStyle w:val="33"/>
          <w:rFonts w:ascii="华文中宋" w:hAnsi="华文中宋" w:eastAsia="华文中宋" w:cs="华文中宋"/>
        </w:rPr>
        <w:t xml:space="preserve">  </w:t>
      </w:r>
      <w:r>
        <w:rPr>
          <w:rStyle w:val="33"/>
          <w:rFonts w:hint="eastAsia" w:ascii="华文中宋" w:hAnsi="华文中宋" w:eastAsia="华文中宋" w:cs="华文中宋"/>
        </w:rPr>
        <w:t>谈判须知</w:t>
      </w:r>
      <w:r>
        <w:tab/>
      </w:r>
      <w:r>
        <w:fldChar w:fldCharType="begin"/>
      </w:r>
      <w:r>
        <w:instrText xml:space="preserve"> PAGEREF _Toc112245813 \h </w:instrText>
      </w:r>
      <w:r>
        <w:fldChar w:fldCharType="separate"/>
      </w:r>
      <w:r>
        <w:t>9</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"_Toc112245814" </w:instrText>
      </w:r>
      <w:r>
        <w:fldChar w:fldCharType="separate"/>
      </w:r>
      <w:r>
        <w:rPr>
          <w:rStyle w:val="33"/>
          <w:rFonts w:hint="eastAsia" w:ascii="黑体" w:hAnsi="黑体" w:eastAsia="黑体" w:cs="黑体"/>
        </w:rPr>
        <w:t>一、说明</w:t>
      </w:r>
      <w:r>
        <w:tab/>
      </w:r>
      <w:r>
        <w:fldChar w:fldCharType="begin"/>
      </w:r>
      <w:r>
        <w:instrText xml:space="preserve"> PAGEREF _Toc112245814 \h </w:instrText>
      </w:r>
      <w:r>
        <w:fldChar w:fldCharType="separate"/>
      </w:r>
      <w:r>
        <w:t>9</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"_Toc112245815" </w:instrText>
      </w:r>
      <w:r>
        <w:fldChar w:fldCharType="separate"/>
      </w:r>
      <w:r>
        <w:rPr>
          <w:rStyle w:val="33"/>
          <w:rFonts w:ascii="楷体_GB2312" w:hAnsi="楷体_GB2312" w:eastAsia="楷体_GB2312" w:cs="楷体_GB2312"/>
        </w:rPr>
        <w:t>1.</w:t>
      </w:r>
      <w:r>
        <w:rPr>
          <w:rStyle w:val="33"/>
          <w:rFonts w:hint="eastAsia" w:ascii="楷体_GB2312" w:hAnsi="楷体_GB2312" w:eastAsia="楷体_GB2312" w:cs="楷体_GB2312"/>
        </w:rPr>
        <w:t>适用范围</w:t>
      </w:r>
      <w:r>
        <w:tab/>
      </w:r>
      <w:r>
        <w:fldChar w:fldCharType="begin"/>
      </w:r>
      <w:r>
        <w:instrText xml:space="preserve"> PAGEREF _Toc112245815 \h </w:instrText>
      </w:r>
      <w:r>
        <w:fldChar w:fldCharType="separate"/>
      </w:r>
      <w:r>
        <w:t>9</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"_Toc112245816" </w:instrText>
      </w:r>
      <w:r>
        <w:fldChar w:fldCharType="separate"/>
      </w:r>
      <w:r>
        <w:rPr>
          <w:rStyle w:val="33"/>
          <w:rFonts w:ascii="楷体_GB2312" w:hAnsi="楷体_GB2312" w:eastAsia="楷体_GB2312" w:cs="楷体_GB2312"/>
        </w:rPr>
        <w:t>2.</w:t>
      </w:r>
      <w:r>
        <w:rPr>
          <w:rStyle w:val="33"/>
          <w:rFonts w:hint="eastAsia" w:ascii="楷体_GB2312" w:hAnsi="楷体_GB2312" w:eastAsia="楷体_GB2312" w:cs="楷体_GB2312"/>
        </w:rPr>
        <w:t>采购人及代理机构</w:t>
      </w:r>
      <w:r>
        <w:tab/>
      </w:r>
      <w:r>
        <w:fldChar w:fldCharType="begin"/>
      </w:r>
      <w:r>
        <w:instrText xml:space="preserve"> PAGEREF _Toc112245816 \h </w:instrText>
      </w:r>
      <w:r>
        <w:fldChar w:fldCharType="separate"/>
      </w:r>
      <w:r>
        <w:t>9</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"_Toc112245817" </w:instrText>
      </w:r>
      <w:r>
        <w:fldChar w:fldCharType="separate"/>
      </w:r>
      <w:r>
        <w:rPr>
          <w:rStyle w:val="33"/>
          <w:rFonts w:ascii="楷体_GB2312" w:hAnsi="楷体_GB2312" w:eastAsia="楷体_GB2312" w:cs="楷体_GB2312"/>
        </w:rPr>
        <w:t>3.</w:t>
      </w:r>
      <w:r>
        <w:rPr>
          <w:rStyle w:val="33"/>
          <w:rFonts w:hint="eastAsia" w:ascii="楷体_GB2312" w:hAnsi="楷体_GB2312" w:eastAsia="楷体_GB2312" w:cs="楷体_GB2312"/>
        </w:rPr>
        <w:t>供应商的资格要求</w:t>
      </w:r>
      <w:r>
        <w:tab/>
      </w:r>
      <w:r>
        <w:fldChar w:fldCharType="begin"/>
      </w:r>
      <w:r>
        <w:instrText xml:space="preserve"> PAGEREF _Toc112245817 \h </w:instrText>
      </w:r>
      <w:r>
        <w:fldChar w:fldCharType="separate"/>
      </w:r>
      <w:r>
        <w:t>9</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"_Toc112245818" </w:instrText>
      </w:r>
      <w:r>
        <w:fldChar w:fldCharType="separate"/>
      </w:r>
      <w:r>
        <w:rPr>
          <w:rStyle w:val="33"/>
          <w:rFonts w:ascii="楷体_GB2312" w:hAnsi="楷体_GB2312" w:eastAsia="楷体_GB2312" w:cs="楷体_GB2312"/>
        </w:rPr>
        <w:t>4.</w:t>
      </w:r>
      <w:r>
        <w:rPr>
          <w:rStyle w:val="33"/>
          <w:rFonts w:hint="eastAsia" w:ascii="楷体_GB2312" w:hAnsi="楷体_GB2312" w:eastAsia="楷体_GB2312" w:cs="楷体_GB2312"/>
        </w:rPr>
        <w:t>谈判费用</w:t>
      </w:r>
      <w:r>
        <w:tab/>
      </w:r>
      <w:r>
        <w:fldChar w:fldCharType="begin"/>
      </w:r>
      <w:r>
        <w:instrText xml:space="preserve"> PAGEREF _Toc112245818 \h </w:instrText>
      </w:r>
      <w:r>
        <w:fldChar w:fldCharType="separate"/>
      </w:r>
      <w:r>
        <w:t>10</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"_Toc112245819" </w:instrText>
      </w:r>
      <w:r>
        <w:fldChar w:fldCharType="separate"/>
      </w:r>
      <w:r>
        <w:rPr>
          <w:rStyle w:val="33"/>
          <w:rFonts w:hint="eastAsia" w:ascii="黑体" w:hAnsi="黑体" w:eastAsia="黑体" w:cs="黑体"/>
        </w:rPr>
        <w:t>二、谈判文件</w:t>
      </w:r>
      <w:r>
        <w:tab/>
      </w:r>
      <w:r>
        <w:fldChar w:fldCharType="begin"/>
      </w:r>
      <w:r>
        <w:instrText xml:space="preserve"> PAGEREF _Toc112245819 \h </w:instrText>
      </w:r>
      <w:r>
        <w:fldChar w:fldCharType="separate"/>
      </w:r>
      <w:r>
        <w:t>10</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"_Toc112245820" </w:instrText>
      </w:r>
      <w:r>
        <w:fldChar w:fldCharType="separate"/>
      </w:r>
      <w:r>
        <w:rPr>
          <w:rStyle w:val="33"/>
          <w:rFonts w:ascii="楷体_GB2312" w:hAnsi="楷体_GB2312" w:eastAsia="楷体_GB2312" w:cs="楷体_GB2312"/>
        </w:rPr>
        <w:t>5.</w:t>
      </w:r>
      <w:r>
        <w:rPr>
          <w:rStyle w:val="33"/>
          <w:rFonts w:hint="eastAsia" w:ascii="楷体_GB2312" w:hAnsi="楷体_GB2312" w:eastAsia="楷体_GB2312" w:cs="楷体_GB2312"/>
        </w:rPr>
        <w:t>谈判文件的组成</w:t>
      </w:r>
      <w:r>
        <w:tab/>
      </w:r>
      <w:r>
        <w:fldChar w:fldCharType="begin"/>
      </w:r>
      <w:r>
        <w:instrText xml:space="preserve"> PAGEREF _Toc112245820 \h </w:instrText>
      </w:r>
      <w:r>
        <w:fldChar w:fldCharType="separate"/>
      </w:r>
      <w:r>
        <w:t>10</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"_Toc112245821" </w:instrText>
      </w:r>
      <w:r>
        <w:fldChar w:fldCharType="separate"/>
      </w:r>
      <w:r>
        <w:rPr>
          <w:rStyle w:val="33"/>
          <w:rFonts w:ascii="楷体_GB2312" w:hAnsi="楷体_GB2312" w:eastAsia="楷体_GB2312" w:cs="楷体_GB2312"/>
        </w:rPr>
        <w:t>6.</w:t>
      </w:r>
      <w:r>
        <w:rPr>
          <w:rStyle w:val="33"/>
          <w:rFonts w:hint="eastAsia" w:ascii="楷体_GB2312" w:hAnsi="楷体_GB2312" w:eastAsia="楷体_GB2312" w:cs="楷体_GB2312"/>
        </w:rPr>
        <w:t>谈判文件的澄清</w:t>
      </w:r>
      <w:r>
        <w:rPr>
          <w:rStyle w:val="33"/>
          <w:rFonts w:hint="eastAsia" w:ascii="楷体_GB2312" w:hAnsi="楷体_GB2312" w:eastAsia="楷体_GB2312" w:cs="楷体_GB2312"/>
          <w:lang w:val="zh-CN"/>
        </w:rPr>
        <w:t>或者</w:t>
      </w:r>
      <w:r>
        <w:rPr>
          <w:rStyle w:val="33"/>
          <w:rFonts w:hint="eastAsia" w:ascii="楷体_GB2312" w:hAnsi="楷体_GB2312" w:eastAsia="楷体_GB2312" w:cs="楷体_GB2312"/>
        </w:rPr>
        <w:t>修改</w:t>
      </w:r>
      <w:r>
        <w:tab/>
      </w:r>
      <w:r>
        <w:fldChar w:fldCharType="begin"/>
      </w:r>
      <w:r>
        <w:instrText xml:space="preserve"> PAGEREF _Toc112245821 \h </w:instrText>
      </w:r>
      <w:r>
        <w:fldChar w:fldCharType="separate"/>
      </w:r>
      <w:r>
        <w:t>10</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"_Toc112245822" </w:instrText>
      </w:r>
      <w:r>
        <w:fldChar w:fldCharType="separate"/>
      </w:r>
      <w:r>
        <w:rPr>
          <w:rStyle w:val="33"/>
          <w:rFonts w:ascii="楷体_GB2312" w:hAnsi="楷体_GB2312" w:eastAsia="楷体_GB2312" w:cs="楷体_GB2312"/>
        </w:rPr>
        <w:t>7.</w:t>
      </w:r>
      <w:r>
        <w:rPr>
          <w:rStyle w:val="33"/>
          <w:rFonts w:hint="eastAsia" w:ascii="楷体_GB2312" w:hAnsi="楷体_GB2312" w:eastAsia="楷体_GB2312" w:cs="楷体_GB2312"/>
        </w:rPr>
        <w:t>谈判文件的询问或质疑</w:t>
      </w:r>
      <w:r>
        <w:tab/>
      </w:r>
      <w:r>
        <w:fldChar w:fldCharType="begin"/>
      </w:r>
      <w:r>
        <w:instrText xml:space="preserve"> PAGEREF _Toc112245822 \h </w:instrText>
      </w:r>
      <w:r>
        <w:fldChar w:fldCharType="separate"/>
      </w:r>
      <w:r>
        <w:t>11</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"_Toc112245823" </w:instrText>
      </w:r>
      <w:r>
        <w:fldChar w:fldCharType="separate"/>
      </w:r>
      <w:r>
        <w:rPr>
          <w:rStyle w:val="33"/>
          <w:rFonts w:hint="eastAsia" w:ascii="黑体" w:hAnsi="黑体" w:eastAsia="黑体" w:cs="黑体"/>
        </w:rPr>
        <w:t>三、响应文件</w:t>
      </w:r>
      <w:r>
        <w:tab/>
      </w:r>
      <w:r>
        <w:fldChar w:fldCharType="begin"/>
      </w:r>
      <w:r>
        <w:instrText xml:space="preserve"> PAGEREF _Toc112245823 \h </w:instrText>
      </w:r>
      <w:r>
        <w:fldChar w:fldCharType="separate"/>
      </w:r>
      <w:r>
        <w:t>11</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"_Toc112245824" </w:instrText>
      </w:r>
      <w:r>
        <w:fldChar w:fldCharType="separate"/>
      </w:r>
      <w:r>
        <w:rPr>
          <w:rStyle w:val="33"/>
          <w:rFonts w:ascii="楷体_GB2312" w:hAnsi="楷体_GB2312" w:eastAsia="楷体_GB2312" w:cs="楷体_GB2312"/>
        </w:rPr>
        <w:t>8.</w:t>
      </w:r>
      <w:r>
        <w:rPr>
          <w:rStyle w:val="33"/>
          <w:rFonts w:hint="eastAsia" w:ascii="楷体_GB2312" w:hAnsi="楷体_GB2312" w:eastAsia="楷体_GB2312" w:cs="楷体_GB2312"/>
        </w:rPr>
        <w:t>一般要求</w:t>
      </w:r>
      <w:r>
        <w:tab/>
      </w:r>
      <w:r>
        <w:fldChar w:fldCharType="begin"/>
      </w:r>
      <w:r>
        <w:instrText xml:space="preserve"> PAGEREF _Toc112245824 \h </w:instrText>
      </w:r>
      <w:r>
        <w:fldChar w:fldCharType="separate"/>
      </w:r>
      <w:r>
        <w:t>11</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"_Toc112245825" </w:instrText>
      </w:r>
      <w:r>
        <w:fldChar w:fldCharType="separate"/>
      </w:r>
      <w:r>
        <w:rPr>
          <w:rStyle w:val="33"/>
          <w:rFonts w:ascii="楷体_GB2312" w:hAnsi="楷体_GB2312" w:eastAsia="楷体_GB2312" w:cs="楷体_GB2312"/>
        </w:rPr>
        <w:t>9.</w:t>
      </w:r>
      <w:r>
        <w:rPr>
          <w:rStyle w:val="33"/>
          <w:rFonts w:hint="eastAsia" w:ascii="楷体_GB2312" w:hAnsi="楷体_GB2312" w:eastAsia="楷体_GB2312" w:cs="楷体_GB2312"/>
        </w:rPr>
        <w:t>报价要求</w:t>
      </w:r>
      <w:r>
        <w:tab/>
      </w:r>
      <w:r>
        <w:fldChar w:fldCharType="begin"/>
      </w:r>
      <w:r>
        <w:instrText xml:space="preserve"> PAGEREF _Toc112245825 \h </w:instrText>
      </w:r>
      <w:r>
        <w:fldChar w:fldCharType="separate"/>
      </w:r>
      <w:r>
        <w:t>12</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"_Toc112245826" </w:instrText>
      </w:r>
      <w:r>
        <w:fldChar w:fldCharType="separate"/>
      </w:r>
      <w:r>
        <w:rPr>
          <w:rStyle w:val="33"/>
          <w:rFonts w:ascii="楷体_GB2312" w:hAnsi="楷体_GB2312" w:eastAsia="楷体_GB2312" w:cs="楷体_GB2312"/>
        </w:rPr>
        <w:t>10.</w:t>
      </w:r>
      <w:r>
        <w:rPr>
          <w:rStyle w:val="33"/>
          <w:rFonts w:hint="eastAsia" w:ascii="楷体_GB2312" w:hAnsi="楷体_GB2312" w:eastAsia="楷体_GB2312" w:cs="楷体_GB2312"/>
        </w:rPr>
        <w:t>保证金</w:t>
      </w:r>
      <w:r>
        <w:tab/>
      </w:r>
      <w:r>
        <w:fldChar w:fldCharType="begin"/>
      </w:r>
      <w:r>
        <w:instrText xml:space="preserve"> PAGEREF _Toc112245826 \h </w:instrText>
      </w:r>
      <w:r>
        <w:fldChar w:fldCharType="separate"/>
      </w:r>
      <w:r>
        <w:t>12</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"_Toc112245827" </w:instrText>
      </w:r>
      <w:r>
        <w:fldChar w:fldCharType="separate"/>
      </w:r>
      <w:r>
        <w:rPr>
          <w:rStyle w:val="33"/>
          <w:rFonts w:ascii="楷体_GB2312" w:hAnsi="楷体_GB2312" w:eastAsia="楷体_GB2312" w:cs="楷体_GB2312"/>
        </w:rPr>
        <w:t>11.</w:t>
      </w:r>
      <w:r>
        <w:rPr>
          <w:rStyle w:val="33"/>
          <w:rFonts w:hint="eastAsia" w:ascii="楷体_GB2312" w:hAnsi="楷体_GB2312" w:eastAsia="楷体_GB2312" w:cs="楷体_GB2312"/>
        </w:rPr>
        <w:t>响应文件的组成</w:t>
      </w:r>
      <w:r>
        <w:tab/>
      </w:r>
      <w:r>
        <w:fldChar w:fldCharType="begin"/>
      </w:r>
      <w:r>
        <w:instrText xml:space="preserve"> PAGEREF _Toc112245827 \h </w:instrText>
      </w:r>
      <w:r>
        <w:fldChar w:fldCharType="separate"/>
      </w:r>
      <w:r>
        <w:t>13</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"_Toc112245828" </w:instrText>
      </w:r>
      <w:r>
        <w:fldChar w:fldCharType="separate"/>
      </w:r>
      <w:r>
        <w:rPr>
          <w:rStyle w:val="33"/>
          <w:rFonts w:ascii="楷体_GB2312" w:hAnsi="楷体_GB2312" w:eastAsia="楷体_GB2312" w:cs="楷体_GB2312"/>
        </w:rPr>
        <w:t>12.</w:t>
      </w:r>
      <w:r>
        <w:rPr>
          <w:rStyle w:val="33"/>
          <w:rFonts w:hint="eastAsia" w:ascii="楷体_GB2312" w:hAnsi="楷体_GB2312" w:eastAsia="楷体_GB2312" w:cs="楷体_GB2312"/>
        </w:rPr>
        <w:t>响应文件有效期</w:t>
      </w:r>
      <w:r>
        <w:tab/>
      </w:r>
      <w:r>
        <w:fldChar w:fldCharType="begin"/>
      </w:r>
      <w:r>
        <w:instrText xml:space="preserve"> PAGEREF _Toc112245828 \h </w:instrText>
      </w:r>
      <w:r>
        <w:fldChar w:fldCharType="separate"/>
      </w:r>
      <w:r>
        <w:t>15</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"_Toc112245829" </w:instrText>
      </w:r>
      <w:r>
        <w:fldChar w:fldCharType="separate"/>
      </w:r>
      <w:r>
        <w:rPr>
          <w:rStyle w:val="33"/>
          <w:rFonts w:ascii="楷体_GB2312" w:hAnsi="楷体_GB2312" w:eastAsia="楷体_GB2312" w:cs="楷体_GB2312"/>
        </w:rPr>
        <w:t>13.</w:t>
      </w:r>
      <w:r>
        <w:rPr>
          <w:rStyle w:val="33"/>
          <w:rFonts w:hint="eastAsia" w:ascii="楷体_GB2312" w:hAnsi="楷体_GB2312" w:eastAsia="楷体_GB2312" w:cs="楷体_GB2312"/>
        </w:rPr>
        <w:t>响应文件的签署及规定</w:t>
      </w:r>
      <w:r>
        <w:tab/>
      </w:r>
      <w:r>
        <w:fldChar w:fldCharType="begin"/>
      </w:r>
      <w:r>
        <w:instrText xml:space="preserve"> PAGEREF _Toc112245829 \h </w:instrText>
      </w:r>
      <w:r>
        <w:fldChar w:fldCharType="separate"/>
      </w:r>
      <w:r>
        <w:t>15</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"_Toc112245830" </w:instrText>
      </w:r>
      <w:r>
        <w:fldChar w:fldCharType="separate"/>
      </w:r>
      <w:r>
        <w:rPr>
          <w:rStyle w:val="33"/>
          <w:rFonts w:hint="eastAsia" w:ascii="黑体" w:hAnsi="黑体" w:eastAsia="黑体" w:cs="黑体"/>
        </w:rPr>
        <w:t>四、响应文件的递交</w:t>
      </w:r>
      <w:r>
        <w:tab/>
      </w:r>
      <w:r>
        <w:fldChar w:fldCharType="begin"/>
      </w:r>
      <w:r>
        <w:instrText xml:space="preserve"> PAGEREF _Toc112245830 \h </w:instrText>
      </w:r>
      <w:r>
        <w:fldChar w:fldCharType="separate"/>
      </w:r>
      <w:r>
        <w:t>16</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"_Toc112245831" </w:instrText>
      </w:r>
      <w:r>
        <w:fldChar w:fldCharType="separate"/>
      </w:r>
      <w:r>
        <w:rPr>
          <w:rStyle w:val="33"/>
          <w:rFonts w:ascii="楷体_GB2312" w:hAnsi="楷体_GB2312" w:eastAsia="楷体_GB2312" w:cs="楷体_GB2312"/>
        </w:rPr>
        <w:t>14.</w:t>
      </w:r>
      <w:r>
        <w:rPr>
          <w:rStyle w:val="33"/>
          <w:rFonts w:hint="eastAsia" w:ascii="楷体_GB2312" w:hAnsi="楷体_GB2312" w:eastAsia="楷体_GB2312" w:cs="楷体_GB2312"/>
        </w:rPr>
        <w:t>响应文件的密封和标记</w:t>
      </w:r>
      <w:r>
        <w:tab/>
      </w:r>
      <w:r>
        <w:fldChar w:fldCharType="begin"/>
      </w:r>
      <w:r>
        <w:instrText xml:space="preserve"> PAGEREF _Toc112245831 \h </w:instrText>
      </w:r>
      <w:r>
        <w:fldChar w:fldCharType="separate"/>
      </w:r>
      <w:r>
        <w:t>16</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"_Toc112245832" </w:instrText>
      </w:r>
      <w:r>
        <w:fldChar w:fldCharType="separate"/>
      </w:r>
      <w:r>
        <w:rPr>
          <w:rStyle w:val="33"/>
          <w:rFonts w:ascii="楷体_GB2312" w:hAnsi="楷体_GB2312" w:eastAsia="楷体_GB2312" w:cs="楷体_GB2312"/>
        </w:rPr>
        <w:t>15.</w:t>
      </w:r>
      <w:r>
        <w:rPr>
          <w:rStyle w:val="33"/>
          <w:rFonts w:hint="eastAsia" w:ascii="楷体_GB2312" w:hAnsi="楷体_GB2312" w:eastAsia="楷体_GB2312" w:cs="楷体_GB2312"/>
        </w:rPr>
        <w:t>响应文件的递交与接收</w:t>
      </w:r>
      <w:r>
        <w:tab/>
      </w:r>
      <w:r>
        <w:fldChar w:fldCharType="begin"/>
      </w:r>
      <w:r>
        <w:instrText xml:space="preserve"> PAGEREF _Toc112245832 \h </w:instrText>
      </w:r>
      <w:r>
        <w:fldChar w:fldCharType="separate"/>
      </w:r>
      <w:r>
        <w:t>16</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"_Toc112245833" </w:instrText>
      </w:r>
      <w:r>
        <w:fldChar w:fldCharType="separate"/>
      </w:r>
      <w:r>
        <w:rPr>
          <w:rStyle w:val="33"/>
          <w:rFonts w:ascii="楷体_GB2312" w:hAnsi="楷体_GB2312" w:eastAsia="楷体_GB2312" w:cs="楷体_GB2312"/>
        </w:rPr>
        <w:t>16.</w:t>
      </w:r>
      <w:r>
        <w:rPr>
          <w:rStyle w:val="33"/>
          <w:rFonts w:hint="eastAsia" w:ascii="楷体_GB2312" w:hAnsi="楷体_GB2312" w:eastAsia="楷体_GB2312" w:cs="楷体_GB2312"/>
        </w:rPr>
        <w:t>响应文件的</w:t>
      </w:r>
      <w:r>
        <w:rPr>
          <w:rStyle w:val="33"/>
          <w:rFonts w:hint="eastAsia" w:ascii="楷体_GB2312" w:hAnsi="楷体_GB2312" w:eastAsia="楷体_GB2312" w:cs="楷体_GB2312"/>
          <w:lang w:val="zh-CN"/>
        </w:rPr>
        <w:t>补充、修改或者撤回</w:t>
      </w:r>
      <w:r>
        <w:tab/>
      </w:r>
      <w:r>
        <w:fldChar w:fldCharType="begin"/>
      </w:r>
      <w:r>
        <w:instrText xml:space="preserve"> PAGEREF _Toc112245833 \h </w:instrText>
      </w:r>
      <w:r>
        <w:fldChar w:fldCharType="separate"/>
      </w:r>
      <w:r>
        <w:t>16</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"_Toc112245834" </w:instrText>
      </w:r>
      <w:r>
        <w:fldChar w:fldCharType="separate"/>
      </w:r>
      <w:r>
        <w:rPr>
          <w:rStyle w:val="33"/>
          <w:rFonts w:hint="eastAsia" w:ascii="黑体" w:hAnsi="黑体" w:eastAsia="黑体" w:cs="黑体"/>
        </w:rPr>
        <w:t>五、响应文件的评审与谈判</w:t>
      </w:r>
      <w:r>
        <w:tab/>
      </w:r>
      <w:r>
        <w:fldChar w:fldCharType="begin"/>
      </w:r>
      <w:r>
        <w:instrText xml:space="preserve"> PAGEREF _Toc112245834 \h </w:instrText>
      </w:r>
      <w:r>
        <w:fldChar w:fldCharType="separate"/>
      </w:r>
      <w:r>
        <w:t>17</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"_Toc112245835" </w:instrText>
      </w:r>
      <w:r>
        <w:fldChar w:fldCharType="separate"/>
      </w:r>
      <w:r>
        <w:rPr>
          <w:rStyle w:val="33"/>
          <w:rFonts w:ascii="楷体_GB2312" w:hAnsi="楷体_GB2312" w:eastAsia="楷体_GB2312" w:cs="楷体_GB2312"/>
        </w:rPr>
        <w:t>17.</w:t>
      </w:r>
      <w:r>
        <w:rPr>
          <w:rStyle w:val="33"/>
          <w:rFonts w:hint="eastAsia" w:ascii="楷体_GB2312" w:hAnsi="楷体_GB2312" w:eastAsia="楷体_GB2312" w:cs="楷体_GB2312"/>
        </w:rPr>
        <w:t>谈判小组</w:t>
      </w:r>
      <w:r>
        <w:tab/>
      </w:r>
      <w:r>
        <w:fldChar w:fldCharType="begin"/>
      </w:r>
      <w:r>
        <w:instrText xml:space="preserve"> PAGEREF _Toc112245835 \h </w:instrText>
      </w:r>
      <w:r>
        <w:fldChar w:fldCharType="separate"/>
      </w:r>
      <w:r>
        <w:t>17</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"_Toc112245836" </w:instrText>
      </w:r>
      <w:r>
        <w:fldChar w:fldCharType="separate"/>
      </w:r>
      <w:r>
        <w:rPr>
          <w:rStyle w:val="33"/>
          <w:rFonts w:ascii="楷体_GB2312" w:hAnsi="楷体_GB2312" w:eastAsia="楷体_GB2312" w:cs="楷体_GB2312"/>
        </w:rPr>
        <w:t>18.</w:t>
      </w:r>
      <w:r>
        <w:rPr>
          <w:rStyle w:val="33"/>
          <w:rFonts w:hint="eastAsia" w:ascii="楷体_GB2312" w:hAnsi="楷体_GB2312" w:eastAsia="楷体_GB2312" w:cs="楷体_GB2312"/>
        </w:rPr>
        <w:t>响应文件审查</w:t>
      </w:r>
      <w:r>
        <w:tab/>
      </w:r>
      <w:r>
        <w:fldChar w:fldCharType="begin"/>
      </w:r>
      <w:r>
        <w:instrText xml:space="preserve"> PAGEREF _Toc112245836 \h </w:instrText>
      </w:r>
      <w:r>
        <w:fldChar w:fldCharType="separate"/>
      </w:r>
      <w:r>
        <w:t>18</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"_Toc112245837" </w:instrText>
      </w:r>
      <w:r>
        <w:fldChar w:fldCharType="separate"/>
      </w:r>
      <w:r>
        <w:rPr>
          <w:rStyle w:val="33"/>
          <w:rFonts w:ascii="楷体_GB2312" w:hAnsi="楷体_GB2312" w:eastAsia="楷体_GB2312" w:cs="楷体_GB2312"/>
        </w:rPr>
        <w:t>19.</w:t>
      </w:r>
      <w:r>
        <w:rPr>
          <w:rStyle w:val="33"/>
          <w:rFonts w:hint="eastAsia" w:ascii="楷体_GB2312" w:hAnsi="楷体_GB2312" w:eastAsia="楷体_GB2312" w:cs="楷体_GB2312"/>
        </w:rPr>
        <w:t>谈判程序</w:t>
      </w:r>
      <w:r>
        <w:tab/>
      </w:r>
      <w:r>
        <w:fldChar w:fldCharType="begin"/>
      </w:r>
      <w:r>
        <w:instrText xml:space="preserve"> PAGEREF _Toc112245837 \h </w:instrText>
      </w:r>
      <w:r>
        <w:fldChar w:fldCharType="separate"/>
      </w:r>
      <w:r>
        <w:t>19</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"_Toc112245838" </w:instrText>
      </w:r>
      <w:r>
        <w:fldChar w:fldCharType="separate"/>
      </w:r>
      <w:r>
        <w:rPr>
          <w:rStyle w:val="33"/>
          <w:rFonts w:ascii="楷体_GB2312" w:hAnsi="楷体_GB2312" w:eastAsia="楷体_GB2312" w:cs="楷体_GB2312"/>
        </w:rPr>
        <w:t>20.</w:t>
      </w:r>
      <w:r>
        <w:rPr>
          <w:rStyle w:val="33"/>
          <w:rFonts w:hint="eastAsia" w:ascii="楷体_GB2312" w:hAnsi="楷体_GB2312" w:eastAsia="楷体_GB2312" w:cs="楷体_GB2312"/>
        </w:rPr>
        <w:t>澄清</w:t>
      </w:r>
      <w:r>
        <w:tab/>
      </w:r>
      <w:r>
        <w:fldChar w:fldCharType="begin"/>
      </w:r>
      <w:r>
        <w:instrText xml:space="preserve"> PAGEREF _Toc112245838 \h </w:instrText>
      </w:r>
      <w:r>
        <w:fldChar w:fldCharType="separate"/>
      </w:r>
      <w:r>
        <w:t>20</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"_Toc112245839" </w:instrText>
      </w:r>
      <w:r>
        <w:fldChar w:fldCharType="separate"/>
      </w:r>
      <w:r>
        <w:rPr>
          <w:rStyle w:val="33"/>
          <w:rFonts w:ascii="楷体_GB2312" w:hAnsi="楷体_GB2312" w:eastAsia="楷体_GB2312" w:cs="楷体_GB2312"/>
        </w:rPr>
        <w:t>21.</w:t>
      </w:r>
      <w:r>
        <w:rPr>
          <w:rStyle w:val="33"/>
          <w:rFonts w:hint="eastAsia" w:ascii="楷体_GB2312" w:hAnsi="楷体_GB2312" w:eastAsia="楷体_GB2312" w:cs="楷体_GB2312"/>
        </w:rPr>
        <w:t>退出谈判</w:t>
      </w:r>
      <w:r>
        <w:tab/>
      </w:r>
      <w:r>
        <w:fldChar w:fldCharType="begin"/>
      </w:r>
      <w:r>
        <w:instrText xml:space="preserve"> PAGEREF _Toc112245839 \h </w:instrText>
      </w:r>
      <w:r>
        <w:fldChar w:fldCharType="separate"/>
      </w:r>
      <w:r>
        <w:t>20</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"_Toc112245840" </w:instrText>
      </w:r>
      <w:r>
        <w:fldChar w:fldCharType="separate"/>
      </w:r>
      <w:r>
        <w:rPr>
          <w:rStyle w:val="33"/>
          <w:rFonts w:ascii="楷体_GB2312" w:hAnsi="楷体_GB2312" w:eastAsia="楷体_GB2312" w:cs="楷体_GB2312"/>
        </w:rPr>
        <w:t>22.</w:t>
      </w:r>
      <w:r>
        <w:rPr>
          <w:rStyle w:val="33"/>
          <w:rFonts w:hint="eastAsia" w:ascii="楷体_GB2312" w:hAnsi="楷体_GB2312" w:eastAsia="楷体_GB2312" w:cs="楷体_GB2312"/>
        </w:rPr>
        <w:t>最后报价</w:t>
      </w:r>
      <w:r>
        <w:tab/>
      </w:r>
      <w:r>
        <w:fldChar w:fldCharType="begin"/>
      </w:r>
      <w:r>
        <w:instrText xml:space="preserve"> PAGEREF _Toc112245840 \h </w:instrText>
      </w:r>
      <w:r>
        <w:fldChar w:fldCharType="separate"/>
      </w:r>
      <w:r>
        <w:t>20</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"_Toc112245841" </w:instrText>
      </w:r>
      <w:r>
        <w:fldChar w:fldCharType="separate"/>
      </w:r>
      <w:r>
        <w:rPr>
          <w:rStyle w:val="33"/>
          <w:rFonts w:ascii="楷体_GB2312" w:hAnsi="楷体_GB2312" w:eastAsia="楷体_GB2312" w:cs="楷体_GB2312"/>
        </w:rPr>
        <w:t>23.</w:t>
      </w:r>
      <w:r>
        <w:rPr>
          <w:rStyle w:val="33"/>
          <w:rFonts w:hint="eastAsia" w:ascii="楷体_GB2312" w:hAnsi="楷体_GB2312" w:eastAsia="楷体_GB2312" w:cs="楷体_GB2312"/>
        </w:rPr>
        <w:t>确定成交供应商</w:t>
      </w:r>
      <w:r>
        <w:tab/>
      </w:r>
      <w:r>
        <w:fldChar w:fldCharType="begin"/>
      </w:r>
      <w:r>
        <w:instrText xml:space="preserve"> PAGEREF _Toc112245841 \h </w:instrText>
      </w:r>
      <w:r>
        <w:fldChar w:fldCharType="separate"/>
      </w:r>
      <w:r>
        <w:t>21</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"_Toc112245842" </w:instrText>
      </w:r>
      <w:r>
        <w:fldChar w:fldCharType="separate"/>
      </w:r>
      <w:r>
        <w:rPr>
          <w:rStyle w:val="33"/>
          <w:rFonts w:ascii="楷体_GB2312" w:hAnsi="楷体_GB2312" w:eastAsia="楷体_GB2312" w:cs="楷体_GB2312"/>
        </w:rPr>
        <w:t>24.</w:t>
      </w:r>
      <w:r>
        <w:rPr>
          <w:rStyle w:val="33"/>
          <w:rFonts w:hint="eastAsia" w:ascii="楷体_GB2312" w:hAnsi="楷体_GB2312" w:eastAsia="楷体_GB2312" w:cs="楷体_GB2312"/>
        </w:rPr>
        <w:t>重新评审</w:t>
      </w:r>
      <w:r>
        <w:tab/>
      </w:r>
      <w:r>
        <w:fldChar w:fldCharType="begin"/>
      </w:r>
      <w:r>
        <w:instrText xml:space="preserve"> PAGEREF _Toc112245842 \h </w:instrText>
      </w:r>
      <w:r>
        <w:fldChar w:fldCharType="separate"/>
      </w:r>
      <w:r>
        <w:t>22</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"_Toc112245843" </w:instrText>
      </w:r>
      <w:r>
        <w:fldChar w:fldCharType="separate"/>
      </w:r>
      <w:r>
        <w:rPr>
          <w:rStyle w:val="33"/>
          <w:rFonts w:ascii="楷体_GB2312" w:hAnsi="楷体_GB2312" w:eastAsia="楷体_GB2312" w:cs="楷体_GB2312"/>
        </w:rPr>
        <w:t>25.</w:t>
      </w:r>
      <w:r>
        <w:rPr>
          <w:rStyle w:val="33"/>
          <w:rFonts w:hint="eastAsia" w:ascii="楷体_GB2312" w:hAnsi="楷体_GB2312" w:eastAsia="楷体_GB2312" w:cs="楷体_GB2312"/>
        </w:rPr>
        <w:t>谈判终止</w:t>
      </w:r>
      <w:r>
        <w:tab/>
      </w:r>
      <w:r>
        <w:fldChar w:fldCharType="begin"/>
      </w:r>
      <w:r>
        <w:instrText xml:space="preserve"> PAGEREF _Toc112245843 \h </w:instrText>
      </w:r>
      <w:r>
        <w:fldChar w:fldCharType="separate"/>
      </w:r>
      <w:r>
        <w:t>22</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"_Toc112245844" </w:instrText>
      </w:r>
      <w:r>
        <w:fldChar w:fldCharType="separate"/>
      </w:r>
      <w:r>
        <w:rPr>
          <w:rStyle w:val="33"/>
          <w:rFonts w:ascii="楷体_GB2312" w:hAnsi="楷体_GB2312" w:eastAsia="楷体_GB2312" w:cs="楷体_GB2312"/>
        </w:rPr>
        <w:t>26.</w:t>
      </w:r>
      <w:r>
        <w:rPr>
          <w:rStyle w:val="33"/>
          <w:rFonts w:hint="eastAsia" w:ascii="楷体_GB2312" w:hAnsi="楷体_GB2312" w:eastAsia="楷体_GB2312" w:cs="楷体_GB2312"/>
        </w:rPr>
        <w:t>串通情形认定及处理</w:t>
      </w:r>
      <w:r>
        <w:tab/>
      </w:r>
      <w:r>
        <w:fldChar w:fldCharType="begin"/>
      </w:r>
      <w:r>
        <w:instrText xml:space="preserve"> PAGEREF _Toc112245844 \h </w:instrText>
      </w:r>
      <w:r>
        <w:fldChar w:fldCharType="separate"/>
      </w:r>
      <w:r>
        <w:t>22</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"_Toc112245845" </w:instrText>
      </w:r>
      <w:r>
        <w:fldChar w:fldCharType="separate"/>
      </w:r>
      <w:r>
        <w:rPr>
          <w:rStyle w:val="33"/>
          <w:rFonts w:ascii="楷体_GB2312" w:hAnsi="楷体_GB2312" w:eastAsia="楷体_GB2312" w:cs="楷体_GB2312"/>
        </w:rPr>
        <w:t>27.</w:t>
      </w:r>
      <w:r>
        <w:rPr>
          <w:rStyle w:val="33"/>
          <w:rFonts w:hint="eastAsia" w:ascii="楷体_GB2312" w:hAnsi="楷体_GB2312" w:eastAsia="楷体_GB2312" w:cs="楷体_GB2312"/>
        </w:rPr>
        <w:t>成交信息的公布与通知</w:t>
      </w:r>
      <w:r>
        <w:tab/>
      </w:r>
      <w:r>
        <w:fldChar w:fldCharType="begin"/>
      </w:r>
      <w:r>
        <w:instrText xml:space="preserve"> PAGEREF _Toc112245845 \h </w:instrText>
      </w:r>
      <w:r>
        <w:fldChar w:fldCharType="separate"/>
      </w:r>
      <w:r>
        <w:t>24</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"_Toc112245846" </w:instrText>
      </w:r>
      <w:r>
        <w:fldChar w:fldCharType="separate"/>
      </w:r>
      <w:r>
        <w:rPr>
          <w:rStyle w:val="33"/>
          <w:rFonts w:ascii="楷体_GB2312" w:hAnsi="楷体_GB2312" w:eastAsia="楷体_GB2312" w:cs="楷体_GB2312"/>
        </w:rPr>
        <w:t>28.</w:t>
      </w:r>
      <w:r>
        <w:rPr>
          <w:rStyle w:val="33"/>
          <w:rFonts w:hint="eastAsia" w:ascii="楷体_GB2312" w:hAnsi="楷体_GB2312" w:eastAsia="楷体_GB2312" w:cs="楷体_GB2312"/>
        </w:rPr>
        <w:t>授予合同</w:t>
      </w:r>
      <w:r>
        <w:tab/>
      </w:r>
      <w:r>
        <w:fldChar w:fldCharType="begin"/>
      </w:r>
      <w:r>
        <w:instrText xml:space="preserve"> PAGEREF _Toc112245846 \h </w:instrText>
      </w:r>
      <w:r>
        <w:fldChar w:fldCharType="separate"/>
      </w:r>
      <w:r>
        <w:t>24</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"_Toc112245847" </w:instrText>
      </w:r>
      <w:r>
        <w:fldChar w:fldCharType="separate"/>
      </w:r>
      <w:r>
        <w:rPr>
          <w:rStyle w:val="33"/>
          <w:rFonts w:ascii="楷体_GB2312" w:hAnsi="楷体_GB2312" w:eastAsia="楷体_GB2312" w:cs="楷体_GB2312"/>
        </w:rPr>
        <w:t>29.</w:t>
      </w:r>
      <w:r>
        <w:rPr>
          <w:rStyle w:val="33"/>
          <w:rFonts w:hint="eastAsia" w:ascii="楷体_GB2312" w:hAnsi="楷体_GB2312" w:eastAsia="楷体_GB2312" w:cs="楷体_GB2312"/>
        </w:rPr>
        <w:t>履约验收</w:t>
      </w:r>
      <w:r>
        <w:tab/>
      </w:r>
      <w:r>
        <w:fldChar w:fldCharType="begin"/>
      </w:r>
      <w:r>
        <w:instrText xml:space="preserve"> PAGEREF _Toc112245847 \h </w:instrText>
      </w:r>
      <w:r>
        <w:fldChar w:fldCharType="separate"/>
      </w:r>
      <w:r>
        <w:t>25</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"_Toc112245848" </w:instrText>
      </w:r>
      <w:r>
        <w:fldChar w:fldCharType="separate"/>
      </w:r>
      <w:r>
        <w:rPr>
          <w:rStyle w:val="33"/>
          <w:rFonts w:hint="eastAsia" w:ascii="黑体" w:hAnsi="黑体" w:eastAsia="黑体" w:cs="黑体"/>
        </w:rPr>
        <w:t>七、询问与质疑</w:t>
      </w:r>
      <w:r>
        <w:tab/>
      </w:r>
      <w:r>
        <w:fldChar w:fldCharType="begin"/>
      </w:r>
      <w:r>
        <w:instrText xml:space="preserve"> PAGEREF _Toc112245848 \h </w:instrText>
      </w:r>
      <w:r>
        <w:fldChar w:fldCharType="separate"/>
      </w:r>
      <w:r>
        <w:t>25</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"_Toc112245849" </w:instrText>
      </w:r>
      <w:r>
        <w:fldChar w:fldCharType="separate"/>
      </w:r>
      <w:r>
        <w:rPr>
          <w:rStyle w:val="33"/>
          <w:rFonts w:ascii="楷体_GB2312" w:hAnsi="楷体_GB2312" w:eastAsia="楷体_GB2312" w:cs="楷体_GB2312"/>
        </w:rPr>
        <w:t>30.</w:t>
      </w:r>
      <w:r>
        <w:rPr>
          <w:rStyle w:val="33"/>
          <w:rFonts w:hint="eastAsia" w:ascii="楷体_GB2312" w:hAnsi="楷体_GB2312" w:eastAsia="楷体_GB2312" w:cs="楷体_GB2312"/>
        </w:rPr>
        <w:t>对采购过程、结果的询问及质疑</w:t>
      </w:r>
      <w:r>
        <w:tab/>
      </w:r>
      <w:r>
        <w:fldChar w:fldCharType="begin"/>
      </w:r>
      <w:r>
        <w:instrText xml:space="preserve"> PAGEREF _Toc112245849 \h </w:instrText>
      </w:r>
      <w:r>
        <w:fldChar w:fldCharType="separate"/>
      </w:r>
      <w:r>
        <w:t>25</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"_Toc112245850" </w:instrText>
      </w:r>
      <w:r>
        <w:fldChar w:fldCharType="separate"/>
      </w:r>
      <w:r>
        <w:rPr>
          <w:rStyle w:val="33"/>
          <w:rFonts w:hint="eastAsia" w:ascii="黑体" w:hAnsi="黑体" w:eastAsia="黑体" w:cs="黑体"/>
        </w:rPr>
        <w:t>八、政府采购政策</w:t>
      </w:r>
      <w:r>
        <w:tab/>
      </w:r>
      <w:r>
        <w:fldChar w:fldCharType="begin"/>
      </w:r>
      <w:r>
        <w:instrText xml:space="preserve"> PAGEREF _Toc112245850 \h </w:instrText>
      </w:r>
      <w:r>
        <w:fldChar w:fldCharType="separate"/>
      </w:r>
      <w:r>
        <w:t>26</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"_Toc112245851" </w:instrText>
      </w:r>
      <w:r>
        <w:fldChar w:fldCharType="separate"/>
      </w:r>
      <w:r>
        <w:rPr>
          <w:rStyle w:val="33"/>
          <w:rFonts w:ascii="楷体_GB2312" w:hAnsi="楷体_GB2312" w:eastAsia="楷体_GB2312" w:cs="楷体_GB2312"/>
        </w:rPr>
        <w:t>31.</w:t>
      </w:r>
      <w:r>
        <w:rPr>
          <w:rStyle w:val="33"/>
          <w:rFonts w:hint="eastAsia" w:ascii="楷体_GB2312" w:hAnsi="楷体_GB2312" w:eastAsia="楷体_GB2312" w:cs="楷体_GB2312"/>
        </w:rPr>
        <w:t>政府采购政策</w:t>
      </w:r>
      <w:r>
        <w:tab/>
      </w:r>
      <w:r>
        <w:fldChar w:fldCharType="begin"/>
      </w:r>
      <w:r>
        <w:instrText xml:space="preserve"> PAGEREF _Toc112245851 \h </w:instrText>
      </w:r>
      <w:r>
        <w:fldChar w:fldCharType="separate"/>
      </w:r>
      <w:r>
        <w:t>26</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"_Toc112245852" </w:instrText>
      </w:r>
      <w:r>
        <w:fldChar w:fldCharType="separate"/>
      </w:r>
      <w:r>
        <w:rPr>
          <w:rStyle w:val="33"/>
          <w:rFonts w:hint="eastAsia" w:ascii="黑体" w:hAnsi="黑体" w:eastAsia="黑体" w:cs="黑体"/>
        </w:rPr>
        <w:t>九、其他规定</w:t>
      </w:r>
      <w:r>
        <w:tab/>
      </w:r>
      <w:r>
        <w:fldChar w:fldCharType="begin"/>
      </w:r>
      <w:r>
        <w:instrText xml:space="preserve"> PAGEREF _Toc112245852 \h </w:instrText>
      </w:r>
      <w:r>
        <w:fldChar w:fldCharType="separate"/>
      </w:r>
      <w:r>
        <w:t>27</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"_Toc112245853" </w:instrText>
      </w:r>
      <w:r>
        <w:fldChar w:fldCharType="separate"/>
      </w:r>
      <w:r>
        <w:rPr>
          <w:rStyle w:val="33"/>
          <w:rFonts w:ascii="楷体_GB2312" w:hAnsi="楷体_GB2312" w:eastAsia="楷体_GB2312" w:cs="楷体_GB2312"/>
        </w:rPr>
        <w:t>32.</w:t>
      </w:r>
      <w:r>
        <w:rPr>
          <w:rStyle w:val="33"/>
          <w:rFonts w:hint="eastAsia" w:ascii="楷体_GB2312" w:hAnsi="楷体_GB2312" w:eastAsia="楷体_GB2312" w:cs="楷体_GB2312"/>
        </w:rPr>
        <w:t>代理服务费</w:t>
      </w:r>
      <w:r>
        <w:tab/>
      </w:r>
      <w:r>
        <w:fldChar w:fldCharType="begin"/>
      </w:r>
      <w:r>
        <w:instrText xml:space="preserve"> PAGEREF _Toc112245853 \h </w:instrText>
      </w:r>
      <w:r>
        <w:fldChar w:fldCharType="separate"/>
      </w:r>
      <w:r>
        <w:t>27</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"_Toc112245854" </w:instrText>
      </w:r>
      <w:r>
        <w:fldChar w:fldCharType="separate"/>
      </w:r>
      <w:r>
        <w:rPr>
          <w:rStyle w:val="33"/>
          <w:rFonts w:ascii="楷体_GB2312" w:hAnsi="楷体_GB2312" w:eastAsia="楷体_GB2312" w:cs="楷体_GB2312"/>
        </w:rPr>
        <w:t>33.</w:t>
      </w:r>
      <w:r>
        <w:rPr>
          <w:rStyle w:val="33"/>
          <w:rFonts w:hint="eastAsia" w:ascii="楷体_GB2312" w:hAnsi="楷体_GB2312" w:eastAsia="楷体_GB2312" w:cs="楷体_GB2312"/>
        </w:rPr>
        <w:t>其他规定</w:t>
      </w:r>
      <w:r>
        <w:tab/>
      </w:r>
      <w:r>
        <w:fldChar w:fldCharType="begin"/>
      </w:r>
      <w:r>
        <w:instrText xml:space="preserve"> PAGEREF _Toc112245854 \h </w:instrText>
      </w:r>
      <w:r>
        <w:fldChar w:fldCharType="separate"/>
      </w:r>
      <w:r>
        <w:t>27</w:t>
      </w:r>
      <w:r>
        <w:fldChar w:fldCharType="end"/>
      </w:r>
      <w:r>
        <w:fldChar w:fldCharType="end"/>
      </w:r>
    </w:p>
    <w:p>
      <w:pPr>
        <w:pStyle w:val="15"/>
        <w:tabs>
          <w:tab w:val="right" w:leader="dot" w:pos="9736"/>
        </w:tabs>
        <w:rPr>
          <w:rFonts w:asciiTheme="minorHAnsi" w:hAnsiTheme="minorHAnsi" w:eastAsiaTheme="minorEastAsia" w:cstheme="minorBidi"/>
          <w:szCs w:val="22"/>
        </w:rPr>
      </w:pPr>
      <w:r>
        <w:fldChar w:fldCharType="begin"/>
      </w:r>
      <w:r>
        <w:instrText xml:space="preserve"> HYPERLINK \l "_Toc112245855" </w:instrText>
      </w:r>
      <w:r>
        <w:fldChar w:fldCharType="separate"/>
      </w:r>
      <w:r>
        <w:rPr>
          <w:rStyle w:val="33"/>
          <w:rFonts w:hint="eastAsia" w:ascii="华文中宋" w:hAnsi="华文中宋" w:eastAsia="华文中宋" w:cs="华文中宋"/>
        </w:rPr>
        <w:t>第三部分</w:t>
      </w:r>
      <w:r>
        <w:rPr>
          <w:rStyle w:val="33"/>
          <w:rFonts w:ascii="华文中宋" w:hAnsi="华文中宋" w:eastAsia="华文中宋" w:cs="华文中宋"/>
        </w:rPr>
        <w:t xml:space="preserve"> </w:t>
      </w:r>
      <w:r>
        <w:rPr>
          <w:rStyle w:val="33"/>
          <w:rFonts w:hint="eastAsia" w:ascii="华文中宋" w:hAnsi="华文中宋" w:eastAsia="华文中宋" w:cs="华文中宋"/>
        </w:rPr>
        <w:t>采购需求</w:t>
      </w:r>
      <w:r>
        <w:tab/>
      </w:r>
      <w:r>
        <w:fldChar w:fldCharType="begin"/>
      </w:r>
      <w:r>
        <w:instrText xml:space="preserve"> PAGEREF _Toc112245855 \h </w:instrText>
      </w:r>
      <w:r>
        <w:fldChar w:fldCharType="separate"/>
      </w:r>
      <w:r>
        <w:t>28</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"_Toc112245856" </w:instrText>
      </w:r>
      <w:r>
        <w:fldChar w:fldCharType="separate"/>
      </w:r>
      <w:r>
        <w:rPr>
          <w:rStyle w:val="33"/>
          <w:rFonts w:hint="eastAsia" w:ascii="黑体" w:hAnsi="黑体" w:eastAsia="黑体" w:cs="黑体"/>
          <w:lang w:val="zh-CN"/>
        </w:rPr>
        <w:t>十、响应说明</w:t>
      </w:r>
      <w:r>
        <w:tab/>
      </w:r>
      <w:r>
        <w:fldChar w:fldCharType="begin"/>
      </w:r>
      <w:r>
        <w:instrText xml:space="preserve"> PAGEREF _Toc112245856 \h </w:instrText>
      </w:r>
      <w:r>
        <w:fldChar w:fldCharType="separate"/>
      </w:r>
      <w:r>
        <w:t>28</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"_Toc112245857" </w:instrText>
      </w:r>
      <w:r>
        <w:fldChar w:fldCharType="separate"/>
      </w:r>
      <w:r>
        <w:rPr>
          <w:rStyle w:val="33"/>
          <w:rFonts w:hint="eastAsia" w:ascii="黑体" w:hAnsi="黑体" w:eastAsia="黑体" w:cs="黑体"/>
          <w:lang w:val="zh-CN"/>
        </w:rPr>
        <w:t>十一、重要指标</w:t>
      </w:r>
      <w:r>
        <w:tab/>
      </w:r>
      <w:r>
        <w:fldChar w:fldCharType="begin"/>
      </w:r>
      <w:r>
        <w:instrText xml:space="preserve"> PAGEREF _Toc112245857 \h </w:instrText>
      </w:r>
      <w:r>
        <w:fldChar w:fldCharType="separate"/>
      </w:r>
      <w:r>
        <w:t>28</w:t>
      </w:r>
      <w:r>
        <w:fldChar w:fldCharType="end"/>
      </w:r>
      <w:r>
        <w:fldChar w:fldCharType="end"/>
      </w:r>
    </w:p>
    <w:p>
      <w:pPr>
        <w:pStyle w:val="15"/>
        <w:tabs>
          <w:tab w:val="right" w:leader="dot" w:pos="9736"/>
        </w:tabs>
        <w:rPr>
          <w:rFonts w:asciiTheme="minorHAnsi" w:hAnsiTheme="minorHAnsi" w:eastAsiaTheme="minorEastAsia" w:cstheme="minorBidi"/>
          <w:szCs w:val="22"/>
        </w:rPr>
      </w:pPr>
      <w:r>
        <w:fldChar w:fldCharType="begin"/>
      </w:r>
      <w:r>
        <w:instrText xml:space="preserve"> HYPERLINK \l "_Toc112245858" </w:instrText>
      </w:r>
      <w:r>
        <w:fldChar w:fldCharType="separate"/>
      </w:r>
      <w:r>
        <w:rPr>
          <w:rStyle w:val="33"/>
          <w:rFonts w:hint="eastAsia" w:ascii="华文中宋" w:hAnsi="华文中宋" w:eastAsia="华文中宋" w:cs="华文中宋"/>
        </w:rPr>
        <w:t>第四部分</w:t>
      </w:r>
      <w:r>
        <w:rPr>
          <w:rStyle w:val="33"/>
          <w:rFonts w:ascii="华文中宋" w:hAnsi="华文中宋" w:eastAsia="华文中宋" w:cs="华文中宋"/>
        </w:rPr>
        <w:t xml:space="preserve"> </w:t>
      </w:r>
      <w:r>
        <w:rPr>
          <w:rStyle w:val="33"/>
          <w:rFonts w:hint="eastAsia" w:ascii="华文中宋" w:hAnsi="华文中宋" w:eastAsia="华文中宋" w:cs="华文中宋"/>
        </w:rPr>
        <w:t>谈判响应文件格式</w:t>
      </w:r>
      <w:r>
        <w:tab/>
      </w:r>
      <w:r>
        <w:fldChar w:fldCharType="begin"/>
      </w:r>
      <w:r>
        <w:instrText xml:space="preserve"> PAGEREF _Toc112245858 \h </w:instrText>
      </w:r>
      <w:r>
        <w:fldChar w:fldCharType="separate"/>
      </w:r>
      <w:r>
        <w:t>34</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"_Toc112245859" </w:instrText>
      </w:r>
      <w:r>
        <w:fldChar w:fldCharType="separate"/>
      </w:r>
      <w:r>
        <w:rPr>
          <w:rStyle w:val="33"/>
          <w:rFonts w:hint="eastAsia" w:ascii="黑体" w:hAnsi="黑体" w:eastAsia="黑体" w:cs="黑体"/>
        </w:rPr>
        <w:t>十二、谈判响应文件的组成</w:t>
      </w:r>
      <w:r>
        <w:tab/>
      </w:r>
      <w:r>
        <w:fldChar w:fldCharType="begin"/>
      </w:r>
      <w:r>
        <w:instrText xml:space="preserve"> PAGEREF _Toc112245859 \h </w:instrText>
      </w:r>
      <w:r>
        <w:fldChar w:fldCharType="separate"/>
      </w:r>
      <w:r>
        <w:t>34</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"_Toc112245860" </w:instrText>
      </w:r>
      <w:r>
        <w:fldChar w:fldCharType="separate"/>
      </w:r>
      <w:r>
        <w:rPr>
          <w:rStyle w:val="33"/>
          <w:rFonts w:hint="eastAsia" w:ascii="楷体_GB2312" w:hAnsi="楷体_GB2312" w:eastAsia="楷体_GB2312" w:cs="楷体_GB2312"/>
          <w:b/>
          <w:bCs/>
          <w:lang w:val="zh-CN"/>
        </w:rPr>
        <w:t>（一）资格审查部分</w:t>
      </w:r>
      <w:r>
        <w:tab/>
      </w:r>
      <w:r>
        <w:fldChar w:fldCharType="begin"/>
      </w:r>
      <w:r>
        <w:instrText xml:space="preserve"> PAGEREF _Toc112245860 \h </w:instrText>
      </w:r>
      <w:r>
        <w:fldChar w:fldCharType="separate"/>
      </w:r>
      <w:r>
        <w:t>34</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"_Toc112245861" </w:instrText>
      </w:r>
      <w:r>
        <w:fldChar w:fldCharType="separate"/>
      </w:r>
      <w:r>
        <w:rPr>
          <w:rStyle w:val="33"/>
          <w:rFonts w:hint="eastAsia" w:ascii="楷体_GB2312" w:hAnsi="楷体_GB2312" w:eastAsia="楷体_GB2312" w:cs="楷体_GB2312"/>
          <w:b/>
          <w:bCs/>
          <w:lang w:val="zh-CN"/>
        </w:rPr>
        <w:t>（二）有效性、完整性、响应程度审查部分</w:t>
      </w:r>
      <w:r>
        <w:tab/>
      </w:r>
      <w:r>
        <w:fldChar w:fldCharType="begin"/>
      </w:r>
      <w:r>
        <w:instrText xml:space="preserve"> PAGEREF _Toc112245861 \h </w:instrText>
      </w:r>
      <w:r>
        <w:fldChar w:fldCharType="separate"/>
      </w:r>
      <w:r>
        <w:t>34</w:t>
      </w:r>
      <w:r>
        <w:fldChar w:fldCharType="end"/>
      </w:r>
      <w:r>
        <w:fldChar w:fldCharType="end"/>
      </w:r>
    </w:p>
    <w:p>
      <w:pPr>
        <w:pStyle w:val="16"/>
        <w:tabs>
          <w:tab w:val="right" w:leader="dot" w:pos="9736"/>
        </w:tabs>
        <w:rPr>
          <w:rFonts w:asciiTheme="minorHAnsi" w:hAnsiTheme="minorHAnsi" w:eastAsiaTheme="minorEastAsia" w:cstheme="minorBidi"/>
          <w:szCs w:val="22"/>
        </w:rPr>
      </w:pPr>
      <w:r>
        <w:fldChar w:fldCharType="begin"/>
      </w:r>
      <w:r>
        <w:instrText xml:space="preserve"> HYPERLINK \l "_Toc112245862" </w:instrText>
      </w:r>
      <w:r>
        <w:fldChar w:fldCharType="separate"/>
      </w:r>
      <w:r>
        <w:rPr>
          <w:rStyle w:val="33"/>
          <w:rFonts w:hint="eastAsia" w:ascii="黑体" w:hAnsi="黑体" w:eastAsia="黑体" w:cs="黑体"/>
        </w:rPr>
        <w:t>十三、谈判响应文件</w:t>
      </w:r>
      <w:r>
        <w:tab/>
      </w:r>
      <w:r>
        <w:fldChar w:fldCharType="begin"/>
      </w:r>
      <w:r>
        <w:instrText xml:space="preserve"> PAGEREF _Toc112245862 \h </w:instrText>
      </w:r>
      <w:r>
        <w:fldChar w:fldCharType="separate"/>
      </w:r>
      <w:r>
        <w:t>35</w:t>
      </w:r>
      <w:r>
        <w:fldChar w:fldCharType="end"/>
      </w:r>
      <w:r>
        <w:fldChar w:fldCharType="end"/>
      </w:r>
    </w:p>
    <w:p>
      <w:pPr>
        <w:pStyle w:val="10"/>
        <w:tabs>
          <w:tab w:val="right" w:leader="dot" w:pos="9736"/>
        </w:tabs>
      </w:pPr>
      <w:r>
        <w:fldChar w:fldCharType="begin"/>
      </w:r>
      <w:r>
        <w:instrText xml:space="preserve"> HYPERLINK \l "_Toc112245863" </w:instrText>
      </w:r>
      <w:r>
        <w:fldChar w:fldCharType="separate"/>
      </w:r>
      <w:r>
        <w:rPr>
          <w:rFonts w:hint="eastAsia"/>
        </w:rPr>
        <w:t>附件</w:t>
      </w:r>
      <w:r>
        <w:t>1</w:t>
      </w:r>
      <w:r>
        <w:rPr>
          <w:rFonts w:hint="eastAsia"/>
        </w:rPr>
        <w:t>：响应函</w:t>
      </w:r>
      <w:r>
        <w:tab/>
      </w:r>
      <w:r>
        <w:fldChar w:fldCharType="begin"/>
      </w:r>
      <w:r>
        <w:instrText xml:space="preserve"> PAGEREF _Toc112245863 \h </w:instrText>
      </w:r>
      <w:r>
        <w:fldChar w:fldCharType="separate"/>
      </w:r>
      <w:r>
        <w:t>36</w:t>
      </w:r>
      <w:r>
        <w:fldChar w:fldCharType="end"/>
      </w:r>
      <w:r>
        <w:fldChar w:fldCharType="end"/>
      </w:r>
    </w:p>
    <w:p>
      <w:pPr>
        <w:pStyle w:val="10"/>
        <w:tabs>
          <w:tab w:val="right" w:leader="dot" w:pos="9736"/>
        </w:tabs>
      </w:pPr>
      <w:r>
        <w:fldChar w:fldCharType="begin"/>
      </w:r>
      <w:r>
        <w:instrText xml:space="preserve"> HYPERLINK \l "_Toc112245864" </w:instrText>
      </w:r>
      <w:r>
        <w:fldChar w:fldCharType="separate"/>
      </w:r>
      <w:r>
        <w:rPr>
          <w:rFonts w:hint="eastAsia"/>
        </w:rPr>
        <w:t>附件</w:t>
      </w:r>
      <w:r>
        <w:t>2</w:t>
      </w:r>
      <w:r>
        <w:rPr>
          <w:rFonts w:hint="eastAsia"/>
        </w:rPr>
        <w:t>：法定代表人证明书</w:t>
      </w:r>
      <w:r>
        <w:tab/>
      </w:r>
      <w:r>
        <w:fldChar w:fldCharType="begin"/>
      </w:r>
      <w:r>
        <w:instrText xml:space="preserve"> PAGEREF _Toc112245864 \h </w:instrText>
      </w:r>
      <w:r>
        <w:fldChar w:fldCharType="separate"/>
      </w:r>
      <w:r>
        <w:t>37</w:t>
      </w:r>
      <w:r>
        <w:fldChar w:fldCharType="end"/>
      </w:r>
      <w:r>
        <w:fldChar w:fldCharType="end"/>
      </w:r>
    </w:p>
    <w:p>
      <w:pPr>
        <w:pStyle w:val="10"/>
        <w:tabs>
          <w:tab w:val="right" w:leader="dot" w:pos="9736"/>
        </w:tabs>
      </w:pPr>
      <w:r>
        <w:fldChar w:fldCharType="begin"/>
      </w:r>
      <w:r>
        <w:instrText xml:space="preserve"> HYPERLINK \l "_Toc112245865" </w:instrText>
      </w:r>
      <w:r>
        <w:fldChar w:fldCharType="separate"/>
      </w:r>
      <w:r>
        <w:rPr>
          <w:rFonts w:hint="eastAsia"/>
        </w:rPr>
        <w:t>附件</w:t>
      </w:r>
      <w:r>
        <w:t>3</w:t>
      </w:r>
      <w:r>
        <w:rPr>
          <w:rFonts w:hint="eastAsia"/>
        </w:rPr>
        <w:t>：法定代表人授权书</w:t>
      </w:r>
      <w:r>
        <w:tab/>
      </w:r>
      <w:r>
        <w:fldChar w:fldCharType="begin"/>
      </w:r>
      <w:r>
        <w:instrText xml:space="preserve"> PAGEREF _Toc112245865 \h </w:instrText>
      </w:r>
      <w:r>
        <w:fldChar w:fldCharType="separate"/>
      </w:r>
      <w:r>
        <w:t>38</w:t>
      </w:r>
      <w:r>
        <w:fldChar w:fldCharType="end"/>
      </w:r>
      <w:r>
        <w:fldChar w:fldCharType="end"/>
      </w:r>
    </w:p>
    <w:p>
      <w:pPr>
        <w:pStyle w:val="10"/>
        <w:tabs>
          <w:tab w:val="right" w:leader="dot" w:pos="9736"/>
        </w:tabs>
      </w:pPr>
      <w:r>
        <w:fldChar w:fldCharType="begin"/>
      </w:r>
      <w:r>
        <w:instrText xml:space="preserve"> HYPERLINK \l "_Toc112245866" </w:instrText>
      </w:r>
      <w:r>
        <w:fldChar w:fldCharType="separate"/>
      </w:r>
      <w:r>
        <w:rPr>
          <w:rFonts w:hint="eastAsia"/>
        </w:rPr>
        <w:t>附件</w:t>
      </w:r>
      <w:r>
        <w:t>4</w:t>
      </w:r>
      <w:r>
        <w:rPr>
          <w:rFonts w:hint="eastAsia"/>
        </w:rPr>
        <w:t>：供应商承诺函</w:t>
      </w:r>
      <w:r>
        <w:tab/>
      </w:r>
      <w:r>
        <w:fldChar w:fldCharType="begin"/>
      </w:r>
      <w:r>
        <w:instrText xml:space="preserve"> PAGEREF _Toc112245866 \h </w:instrText>
      </w:r>
      <w:r>
        <w:fldChar w:fldCharType="separate"/>
      </w:r>
      <w:r>
        <w:t>39</w:t>
      </w:r>
      <w:r>
        <w:fldChar w:fldCharType="end"/>
      </w:r>
      <w:r>
        <w:fldChar w:fldCharType="end"/>
      </w:r>
    </w:p>
    <w:p>
      <w:pPr>
        <w:pStyle w:val="10"/>
        <w:tabs>
          <w:tab w:val="right" w:leader="dot" w:pos="9736"/>
        </w:tabs>
      </w:pPr>
      <w:r>
        <w:fldChar w:fldCharType="begin"/>
      </w:r>
      <w:r>
        <w:instrText xml:space="preserve"> HYPERLINK \l "_Toc112245867" </w:instrText>
      </w:r>
      <w:r>
        <w:fldChar w:fldCharType="separate"/>
      </w:r>
      <w:r>
        <w:rPr>
          <w:rFonts w:hint="eastAsia"/>
        </w:rPr>
        <w:t>附件</w:t>
      </w:r>
      <w:r>
        <w:t>5</w:t>
      </w:r>
      <w:r>
        <w:rPr>
          <w:rFonts w:hint="eastAsia"/>
        </w:rPr>
        <w:t>：供应商诚信承诺书</w:t>
      </w:r>
      <w:r>
        <w:tab/>
      </w:r>
      <w:r>
        <w:fldChar w:fldCharType="begin"/>
      </w:r>
      <w:r>
        <w:instrText xml:space="preserve"> PAGEREF _Toc112245867 \h </w:instrText>
      </w:r>
      <w:r>
        <w:fldChar w:fldCharType="separate"/>
      </w:r>
      <w:r>
        <w:t>40</w:t>
      </w:r>
      <w:r>
        <w:fldChar w:fldCharType="end"/>
      </w:r>
      <w:r>
        <w:fldChar w:fldCharType="end"/>
      </w:r>
    </w:p>
    <w:p>
      <w:pPr>
        <w:pStyle w:val="10"/>
        <w:tabs>
          <w:tab w:val="right" w:leader="dot" w:pos="9736"/>
        </w:tabs>
      </w:pPr>
      <w:r>
        <w:fldChar w:fldCharType="begin"/>
      </w:r>
      <w:r>
        <w:instrText xml:space="preserve"> HYPERLINK \l "_Toc112245868" </w:instrText>
      </w:r>
      <w:r>
        <w:fldChar w:fldCharType="separate"/>
      </w:r>
      <w:r>
        <w:rPr>
          <w:rFonts w:hint="eastAsia"/>
        </w:rPr>
        <w:t>附件</w:t>
      </w:r>
      <w:r>
        <w:t>6</w:t>
      </w:r>
      <w:r>
        <w:rPr>
          <w:rFonts w:hint="eastAsia"/>
        </w:rPr>
        <w:t>：供应商资格证明文件</w:t>
      </w:r>
      <w:r>
        <w:tab/>
      </w:r>
      <w:r>
        <w:fldChar w:fldCharType="begin"/>
      </w:r>
      <w:r>
        <w:instrText xml:space="preserve"> PAGEREF _Toc112245868 \h </w:instrText>
      </w:r>
      <w:r>
        <w:fldChar w:fldCharType="separate"/>
      </w:r>
      <w:r>
        <w:t>41</w:t>
      </w:r>
      <w:r>
        <w:fldChar w:fldCharType="end"/>
      </w:r>
      <w:r>
        <w:fldChar w:fldCharType="end"/>
      </w:r>
    </w:p>
    <w:p>
      <w:pPr>
        <w:pStyle w:val="10"/>
        <w:tabs>
          <w:tab w:val="right" w:leader="dot" w:pos="9736"/>
        </w:tabs>
      </w:pPr>
      <w:r>
        <w:fldChar w:fldCharType="begin"/>
      </w:r>
      <w:r>
        <w:instrText xml:space="preserve"> HYPERLINK \l "_Toc112245869" </w:instrText>
      </w:r>
      <w:r>
        <w:fldChar w:fldCharType="separate"/>
      </w:r>
      <w:r>
        <w:rPr>
          <w:rFonts w:hint="eastAsia"/>
        </w:rPr>
        <w:t>附件</w:t>
      </w:r>
      <w:r>
        <w:t>7</w:t>
      </w:r>
      <w:r>
        <w:rPr>
          <w:rFonts w:hint="eastAsia"/>
        </w:rPr>
        <w:t>：财务状况、缴纳税收和社会保障资金证明</w:t>
      </w:r>
      <w:r>
        <w:tab/>
      </w:r>
      <w:r>
        <w:fldChar w:fldCharType="begin"/>
      </w:r>
      <w:r>
        <w:instrText xml:space="preserve"> PAGEREF _Toc112245869 \h </w:instrText>
      </w:r>
      <w:r>
        <w:fldChar w:fldCharType="separate"/>
      </w:r>
      <w:r>
        <w:t>42</w:t>
      </w:r>
      <w:r>
        <w:fldChar w:fldCharType="end"/>
      </w:r>
      <w:r>
        <w:fldChar w:fldCharType="end"/>
      </w:r>
    </w:p>
    <w:p>
      <w:pPr>
        <w:pStyle w:val="10"/>
        <w:tabs>
          <w:tab w:val="right" w:leader="dot" w:pos="9736"/>
        </w:tabs>
      </w:pPr>
      <w:r>
        <w:fldChar w:fldCharType="begin"/>
      </w:r>
      <w:r>
        <w:instrText xml:space="preserve"> HYPERLINK \l "_Toc112245870" </w:instrText>
      </w:r>
      <w:r>
        <w:fldChar w:fldCharType="separate"/>
      </w:r>
      <w:r>
        <w:rPr>
          <w:rFonts w:hint="eastAsia"/>
        </w:rPr>
        <w:t>附件</w:t>
      </w:r>
      <w:r>
        <w:t>8</w:t>
      </w:r>
      <w:r>
        <w:rPr>
          <w:rFonts w:hint="eastAsia"/>
        </w:rPr>
        <w:t>：无重大违法记录声明</w:t>
      </w:r>
      <w:r>
        <w:tab/>
      </w:r>
      <w:r>
        <w:fldChar w:fldCharType="begin"/>
      </w:r>
      <w:r>
        <w:instrText xml:space="preserve"> PAGEREF _Toc112245870 \h </w:instrText>
      </w:r>
      <w:r>
        <w:fldChar w:fldCharType="separate"/>
      </w:r>
      <w:r>
        <w:t>43</w:t>
      </w:r>
      <w:r>
        <w:fldChar w:fldCharType="end"/>
      </w:r>
      <w:r>
        <w:fldChar w:fldCharType="end"/>
      </w:r>
    </w:p>
    <w:p>
      <w:pPr>
        <w:pStyle w:val="10"/>
        <w:tabs>
          <w:tab w:val="right" w:leader="dot" w:pos="9736"/>
        </w:tabs>
      </w:pPr>
      <w:r>
        <w:fldChar w:fldCharType="begin"/>
      </w:r>
      <w:r>
        <w:instrText xml:space="preserve"> HYPERLINK \l "_Toc112245871" </w:instrText>
      </w:r>
      <w:r>
        <w:fldChar w:fldCharType="separate"/>
      </w:r>
      <w:r>
        <w:rPr>
          <w:rFonts w:hint="eastAsia"/>
        </w:rPr>
        <w:t>附件</w:t>
      </w:r>
      <w:r>
        <w:t>10</w:t>
      </w:r>
      <w:r>
        <w:rPr>
          <w:rFonts w:hint="eastAsia"/>
        </w:rPr>
        <w:t>：谈判首次报价表</w:t>
      </w:r>
      <w:r>
        <w:tab/>
      </w:r>
      <w:r>
        <w:fldChar w:fldCharType="begin"/>
      </w:r>
      <w:r>
        <w:instrText xml:space="preserve"> PAGEREF _Toc112245871 \h </w:instrText>
      </w:r>
      <w:r>
        <w:fldChar w:fldCharType="separate"/>
      </w:r>
      <w:r>
        <w:t>46</w:t>
      </w:r>
      <w:r>
        <w:fldChar w:fldCharType="end"/>
      </w:r>
      <w:r>
        <w:fldChar w:fldCharType="end"/>
      </w:r>
    </w:p>
    <w:p>
      <w:pPr>
        <w:pStyle w:val="10"/>
        <w:tabs>
          <w:tab w:val="right" w:leader="dot" w:pos="9736"/>
        </w:tabs>
      </w:pPr>
      <w:r>
        <w:fldChar w:fldCharType="begin"/>
      </w:r>
      <w:r>
        <w:instrText xml:space="preserve"> HYPERLINK \l "_Toc112245872" </w:instrText>
      </w:r>
      <w:r>
        <w:fldChar w:fldCharType="separate"/>
      </w:r>
      <w:r>
        <w:rPr>
          <w:rFonts w:hint="eastAsia"/>
        </w:rPr>
        <w:t>附件</w:t>
      </w:r>
      <w:r>
        <w:t>11</w:t>
      </w:r>
      <w:r>
        <w:rPr>
          <w:rFonts w:hint="eastAsia"/>
        </w:rPr>
        <w:t>：实施方案及服务保障</w:t>
      </w:r>
      <w:r>
        <w:tab/>
      </w:r>
      <w:r>
        <w:fldChar w:fldCharType="begin"/>
      </w:r>
      <w:r>
        <w:instrText xml:space="preserve"> PAGEREF _Toc112245872 \h </w:instrText>
      </w:r>
      <w:r>
        <w:fldChar w:fldCharType="separate"/>
      </w:r>
      <w:r>
        <w:t>47</w:t>
      </w:r>
      <w:r>
        <w:fldChar w:fldCharType="end"/>
      </w:r>
      <w:r>
        <w:fldChar w:fldCharType="end"/>
      </w:r>
    </w:p>
    <w:p>
      <w:pPr>
        <w:pStyle w:val="10"/>
        <w:tabs>
          <w:tab w:val="right" w:leader="dot" w:pos="9736"/>
        </w:tabs>
      </w:pPr>
      <w:r>
        <w:fldChar w:fldCharType="begin"/>
      </w:r>
      <w:r>
        <w:instrText xml:space="preserve"> HYPERLINK \l "_Toc112245873" </w:instrText>
      </w:r>
      <w:r>
        <w:fldChar w:fldCharType="separate"/>
      </w:r>
      <w:r>
        <w:rPr>
          <w:rFonts w:hint="eastAsia"/>
        </w:rPr>
        <w:t>附件</w:t>
      </w:r>
      <w:r>
        <w:t>12</w:t>
      </w:r>
      <w:r>
        <w:rPr>
          <w:rFonts w:hint="eastAsia"/>
        </w:rPr>
        <w:t>：</w:t>
      </w:r>
      <w:r>
        <w:rPr>
          <w:rFonts w:hint="eastAsia"/>
          <w:lang w:val="zh-CN"/>
        </w:rPr>
        <w:t>人员配备表</w:t>
      </w:r>
      <w:r>
        <w:tab/>
      </w:r>
      <w:r>
        <w:fldChar w:fldCharType="begin"/>
      </w:r>
      <w:r>
        <w:instrText xml:space="preserve"> PAGEREF _Toc112245873 \h </w:instrText>
      </w:r>
      <w:r>
        <w:fldChar w:fldCharType="separate"/>
      </w:r>
      <w:r>
        <w:t>48</w:t>
      </w:r>
      <w:r>
        <w:fldChar w:fldCharType="end"/>
      </w:r>
      <w:r>
        <w:fldChar w:fldCharType="end"/>
      </w:r>
    </w:p>
    <w:p>
      <w:pPr>
        <w:pStyle w:val="10"/>
        <w:tabs>
          <w:tab w:val="right" w:leader="dot" w:pos="9736"/>
        </w:tabs>
      </w:pPr>
      <w:r>
        <w:fldChar w:fldCharType="begin"/>
      </w:r>
      <w:r>
        <w:instrText xml:space="preserve"> HYPERLINK \l "_Toc112245874" </w:instrText>
      </w:r>
      <w:r>
        <w:fldChar w:fldCharType="separate"/>
      </w:r>
      <w:r>
        <w:rPr>
          <w:rFonts w:hint="eastAsia"/>
        </w:rPr>
        <w:t>附件</w:t>
      </w:r>
      <w:r>
        <w:t>13</w:t>
      </w:r>
      <w:r>
        <w:rPr>
          <w:rFonts w:hint="eastAsia"/>
        </w:rPr>
        <w:t>：声明函</w:t>
      </w:r>
      <w:r>
        <w:tab/>
      </w:r>
      <w:r>
        <w:fldChar w:fldCharType="begin"/>
      </w:r>
      <w:r>
        <w:instrText xml:space="preserve"> PAGEREF _Toc112245874 \h </w:instrText>
      </w:r>
      <w:r>
        <w:fldChar w:fldCharType="separate"/>
      </w:r>
      <w:r>
        <w:t>50</w:t>
      </w:r>
      <w:r>
        <w:fldChar w:fldCharType="end"/>
      </w:r>
      <w:r>
        <w:fldChar w:fldCharType="end"/>
      </w:r>
    </w:p>
    <w:p>
      <w:pPr>
        <w:pStyle w:val="10"/>
        <w:tabs>
          <w:tab w:val="right" w:leader="dot" w:pos="9736"/>
        </w:tabs>
      </w:pPr>
      <w:r>
        <w:fldChar w:fldCharType="begin"/>
      </w:r>
      <w:r>
        <w:instrText xml:space="preserve"> HYPERLINK \l "_Toc112245875" </w:instrText>
      </w:r>
      <w:r>
        <w:fldChar w:fldCharType="separate"/>
      </w:r>
      <w:r>
        <w:rPr>
          <w:rFonts w:hint="eastAsia"/>
        </w:rPr>
        <w:t>附件</w:t>
      </w:r>
      <w:r>
        <w:t>14</w:t>
      </w:r>
      <w:r>
        <w:rPr>
          <w:rFonts w:hint="eastAsia"/>
        </w:rPr>
        <w:t>：供应商认为在其他方面有必要说明的事项</w:t>
      </w:r>
      <w:r>
        <w:tab/>
      </w:r>
      <w:r>
        <w:fldChar w:fldCharType="begin"/>
      </w:r>
      <w:r>
        <w:instrText xml:space="preserve"> PAGEREF _Toc112245875 \h </w:instrText>
      </w:r>
      <w:r>
        <w:fldChar w:fldCharType="separate"/>
      </w:r>
      <w:r>
        <w:t>52</w:t>
      </w:r>
      <w:r>
        <w:fldChar w:fldCharType="end"/>
      </w:r>
      <w:r>
        <w:fldChar w:fldCharType="end"/>
      </w:r>
    </w:p>
    <w:p>
      <w:pPr>
        <w:pStyle w:val="10"/>
        <w:tabs>
          <w:tab w:val="right" w:leader="dot" w:pos="9736"/>
        </w:tabs>
        <w:rPr>
          <w:rFonts w:asciiTheme="minorHAnsi" w:hAnsiTheme="minorHAnsi" w:eastAsiaTheme="minorEastAsia" w:cstheme="minorBidi"/>
          <w:szCs w:val="22"/>
        </w:rPr>
      </w:pPr>
      <w:r>
        <w:fldChar w:fldCharType="begin"/>
      </w:r>
      <w:r>
        <w:instrText xml:space="preserve"> HYPERLINK \l "_Toc112245876" </w:instrText>
      </w:r>
      <w:r>
        <w:fldChar w:fldCharType="separate"/>
      </w:r>
      <w:r>
        <w:rPr>
          <w:rFonts w:hint="eastAsia"/>
        </w:rPr>
        <w:t>附件</w:t>
      </w:r>
      <w:r>
        <w:t>15</w:t>
      </w:r>
      <w:r>
        <w:rPr>
          <w:rFonts w:hint="eastAsia"/>
        </w:rPr>
        <w:t>：最后报价表</w:t>
      </w:r>
      <w:r>
        <w:tab/>
      </w:r>
      <w:r>
        <w:fldChar w:fldCharType="begin"/>
      </w:r>
      <w:r>
        <w:instrText xml:space="preserve"> PAGEREF _Toc112245876 \h </w:instrText>
      </w:r>
      <w:r>
        <w:fldChar w:fldCharType="separate"/>
      </w:r>
      <w:r>
        <w:t>53</w:t>
      </w:r>
      <w:r>
        <w:fldChar w:fldCharType="end"/>
      </w:r>
      <w:r>
        <w:fldChar w:fldCharType="end"/>
      </w:r>
    </w:p>
    <w:p>
      <w:pPr>
        <w:pStyle w:val="15"/>
        <w:tabs>
          <w:tab w:val="right" w:leader="dot" w:pos="9736"/>
        </w:tabs>
        <w:rPr>
          <w:rFonts w:asciiTheme="minorHAnsi" w:hAnsiTheme="minorHAnsi" w:eastAsiaTheme="minorEastAsia" w:cstheme="minorBidi"/>
          <w:szCs w:val="22"/>
        </w:rPr>
      </w:pPr>
      <w:r>
        <w:fldChar w:fldCharType="begin"/>
      </w:r>
      <w:r>
        <w:instrText xml:space="preserve"> HYPERLINK \l "_Toc112245877" </w:instrText>
      </w:r>
      <w:r>
        <w:fldChar w:fldCharType="separate"/>
      </w:r>
      <w:r>
        <w:rPr>
          <w:rStyle w:val="33"/>
          <w:rFonts w:hint="eastAsia" w:ascii="华文中宋" w:hAnsi="华文中宋" w:eastAsia="华文中宋" w:cs="华文中宋"/>
        </w:rPr>
        <w:t>第五部分</w:t>
      </w:r>
      <w:r>
        <w:rPr>
          <w:rStyle w:val="33"/>
          <w:rFonts w:ascii="华文中宋" w:hAnsi="华文中宋" w:eastAsia="华文中宋" w:cs="华文中宋"/>
        </w:rPr>
        <w:t xml:space="preserve"> </w:t>
      </w:r>
      <w:r>
        <w:rPr>
          <w:rStyle w:val="33"/>
          <w:rFonts w:hint="eastAsia" w:ascii="华文中宋" w:hAnsi="华文中宋" w:eastAsia="华文中宋" w:cs="华文中宋"/>
        </w:rPr>
        <w:t>青海省政府采购项目合同书范本</w:t>
      </w:r>
      <w:r>
        <w:tab/>
      </w:r>
      <w:r>
        <w:fldChar w:fldCharType="begin"/>
      </w:r>
      <w:r>
        <w:instrText xml:space="preserve"> PAGEREF _Toc112245877 \h </w:instrText>
      </w:r>
      <w:r>
        <w:fldChar w:fldCharType="separate"/>
      </w:r>
      <w:r>
        <w:t>54</w:t>
      </w:r>
      <w:r>
        <w:fldChar w:fldCharType="end"/>
      </w:r>
      <w:r>
        <w:fldChar w:fldCharType="end"/>
      </w:r>
    </w:p>
    <w:p>
      <w:pPr>
        <w:pStyle w:val="15"/>
        <w:tabs>
          <w:tab w:val="right" w:leader="dot" w:pos="9736"/>
        </w:tabs>
        <w:rPr>
          <w:rStyle w:val="33"/>
        </w:rPr>
      </w:pPr>
      <w:r>
        <w:fldChar w:fldCharType="begin"/>
      </w:r>
      <w:r>
        <w:instrText xml:space="preserve"> HYPERLINK \l "_Toc112245878" </w:instrText>
      </w:r>
      <w:r>
        <w:fldChar w:fldCharType="separate"/>
      </w:r>
      <w:r>
        <w:rPr>
          <w:rStyle w:val="33"/>
          <w:rFonts w:hint="eastAsia" w:ascii="华文中宋" w:hAnsi="华文中宋" w:eastAsia="华文中宋" w:cs="华文中宋"/>
        </w:rPr>
        <w:t>（</w:t>
      </w:r>
      <w:r>
        <w:rPr>
          <w:rStyle w:val="33"/>
          <w:rFonts w:hint="eastAsia" w:ascii="华文中宋" w:hAnsi="华文中宋" w:eastAsia="华文中宋" w:cs="华文中宋"/>
          <w:lang w:eastAsia="zh-CN"/>
        </w:rPr>
        <w:t>服务</w:t>
      </w:r>
      <w:r>
        <w:rPr>
          <w:rStyle w:val="33"/>
          <w:rFonts w:hint="eastAsia" w:ascii="华文中宋" w:hAnsi="华文中宋" w:eastAsia="华文中宋" w:cs="华文中宋"/>
        </w:rPr>
        <w:t>类）</w:t>
      </w:r>
      <w:r>
        <w:tab/>
      </w:r>
      <w:r>
        <w:fldChar w:fldCharType="begin"/>
      </w:r>
      <w:r>
        <w:instrText xml:space="preserve"> PAGEREF _Toc112245878 \h </w:instrText>
      </w:r>
      <w:r>
        <w:fldChar w:fldCharType="separate"/>
      </w:r>
      <w:r>
        <w:t>54</w:t>
      </w:r>
      <w:r>
        <w:fldChar w:fldCharType="end"/>
      </w:r>
      <w:r>
        <w:fldChar w:fldCharType="end"/>
      </w:r>
    </w:p>
    <w:p/>
    <w:p/>
    <w:p/>
    <w:p/>
    <w:p/>
    <w:p/>
    <w:p/>
    <w:p/>
    <w:p/>
    <w:p/>
    <w:p/>
    <w:p/>
    <w:p>
      <w:pPr>
        <w:pStyle w:val="6"/>
      </w:pPr>
    </w:p>
    <w:p/>
    <w:p/>
    <w:p>
      <w:pPr>
        <w:rPr>
          <w:rFonts w:hint="eastAsia"/>
        </w:rPr>
      </w:pPr>
    </w:p>
    <w:p>
      <w:pPr>
        <w:pStyle w:val="6"/>
        <w:numPr>
          <w:ilvl w:val="0"/>
          <w:numId w:val="1"/>
        </w:numPr>
        <w:rPr>
          <w:rFonts w:ascii="华文中宋" w:hAnsi="华文中宋" w:eastAsia="华文中宋" w:cs="华文中宋"/>
          <w:b w:val="0"/>
          <w:bCs w:val="0"/>
          <w:sz w:val="44"/>
          <w:szCs w:val="44"/>
        </w:rPr>
      </w:pPr>
      <w:r>
        <w:rPr>
          <w:rFonts w:hint="eastAsia" w:ascii="仿宋" w:hAnsi="仿宋" w:eastAsia="仿宋" w:cs="仿宋"/>
          <w:szCs w:val="28"/>
        </w:rPr>
        <w:fldChar w:fldCharType="end"/>
      </w:r>
      <w:bookmarkStart w:id="0" w:name="_Toc20903"/>
      <w:bookmarkStart w:id="1" w:name="_Toc112245811"/>
      <w:bookmarkStart w:id="2" w:name="_Toc7063_WPSOffice_Level1"/>
      <w:bookmarkStart w:id="3" w:name="_Toc29348_WPSOffice_Level1"/>
      <w:bookmarkStart w:id="4" w:name="_Toc68"/>
      <w:bookmarkStart w:id="5" w:name="_Toc25918_WPSOffice_Level1"/>
      <w:bookmarkStart w:id="6" w:name="_Toc26774_WPSOffice_Level1"/>
      <w:bookmarkStart w:id="7" w:name="_Toc19849"/>
      <w:bookmarkStart w:id="8" w:name="_Toc29806_WPSOffice_Level1"/>
      <w:bookmarkStart w:id="9" w:name="_Toc13430_WPSOffice_Level1"/>
      <w:bookmarkStart w:id="10" w:name="_Toc17554"/>
      <w:r>
        <w:rPr>
          <w:rFonts w:hint="eastAsia" w:ascii="华文中宋" w:hAnsi="华文中宋" w:eastAsia="华文中宋" w:cs="华文中宋"/>
          <w:b w:val="0"/>
          <w:bCs w:val="0"/>
          <w:sz w:val="44"/>
          <w:szCs w:val="44"/>
        </w:rPr>
        <w:t>谈判</w:t>
      </w:r>
      <w:bookmarkEnd w:id="0"/>
      <w:r>
        <w:rPr>
          <w:rFonts w:hint="eastAsia" w:ascii="华文中宋" w:hAnsi="华文中宋" w:eastAsia="华文中宋" w:cs="华文中宋"/>
          <w:b w:val="0"/>
          <w:bCs w:val="0"/>
          <w:sz w:val="44"/>
          <w:szCs w:val="44"/>
        </w:rPr>
        <w:t>邀请</w:t>
      </w:r>
      <w:bookmarkEnd w:id="1"/>
    </w:p>
    <w:p>
      <w:pPr>
        <w:rPr>
          <w:rFonts w:ascii="仿宋" w:hAnsi="仿宋" w:eastAsia="仿宋" w:cs="仿宋"/>
          <w:sz w:val="32"/>
          <w:szCs w:val="32"/>
        </w:rPr>
      </w:pPr>
    </w:p>
    <w:tbl>
      <w:tblPr>
        <w:tblStyle w:val="23"/>
        <w:tblW w:w="975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80"/>
        <w:gridCol w:w="75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采购项目名称</w:t>
            </w:r>
          </w:p>
        </w:tc>
        <w:tc>
          <w:tcPr>
            <w:tcW w:w="7579" w:type="dxa"/>
            <w:tcBorders>
              <w:tl2br w:val="nil"/>
              <w:tr2bl w:val="nil"/>
            </w:tcBorders>
          </w:tcPr>
          <w:p>
            <w:pPr>
              <w:adjustRightInd w:val="0"/>
              <w:snapToGrid w:val="0"/>
              <w:spacing w:before="156" w:beforeLines="50" w:line="560" w:lineRule="exact"/>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关于对2023年聘请第三方开展财政业务的政府采购报告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采购项目编号</w:t>
            </w:r>
          </w:p>
        </w:tc>
        <w:tc>
          <w:tcPr>
            <w:tcW w:w="7579" w:type="dxa"/>
            <w:tcBorders>
              <w:tl2br w:val="nil"/>
              <w:tr2bl w:val="nil"/>
            </w:tcBorders>
          </w:tcPr>
          <w:p>
            <w:pPr>
              <w:adjustRightInd w:val="0"/>
              <w:snapToGrid w:val="0"/>
              <w:spacing w:before="156" w:beforeLines="50" w:line="560" w:lineRule="exact"/>
              <w:jc w:val="left"/>
              <w:rPr>
                <w:rFonts w:ascii="仿宋" w:hAnsi="仿宋" w:eastAsia="仿宋" w:cs="仿宋"/>
                <w:sz w:val="32"/>
                <w:szCs w:val="32"/>
                <w:u w:val="single"/>
                <w:lang w:val="zh-CN"/>
              </w:rPr>
            </w:pPr>
            <w:r>
              <w:rPr>
                <w:rFonts w:hint="eastAsia" w:ascii="仿宋" w:hAnsi="仿宋" w:eastAsia="仿宋" w:cs="仿宋"/>
                <w:sz w:val="32"/>
                <w:szCs w:val="32"/>
                <w:lang w:val="zh-CN"/>
              </w:rPr>
              <w:t>青海凌星竞谈（服务)2023-056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采购方式</w:t>
            </w:r>
          </w:p>
        </w:tc>
        <w:tc>
          <w:tcPr>
            <w:tcW w:w="7579" w:type="dxa"/>
            <w:tcBorders>
              <w:tl2br w:val="nil"/>
              <w:tr2bl w:val="nil"/>
            </w:tcBorders>
          </w:tcPr>
          <w:p>
            <w:pPr>
              <w:adjustRightInd w:val="0"/>
              <w:snapToGrid w:val="0"/>
              <w:spacing w:before="156" w:beforeLines="50" w:line="560" w:lineRule="exact"/>
              <w:jc w:val="left"/>
              <w:rPr>
                <w:rFonts w:ascii="仿宋" w:hAnsi="仿宋" w:eastAsia="仿宋" w:cs="仿宋"/>
                <w:sz w:val="32"/>
                <w:szCs w:val="32"/>
              </w:rPr>
            </w:pPr>
            <w:r>
              <w:rPr>
                <w:rFonts w:hint="eastAsia" w:ascii="仿宋" w:hAnsi="仿宋" w:eastAsia="仿宋" w:cs="仿宋"/>
                <w:sz w:val="32"/>
                <w:szCs w:val="32"/>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采购预算额度</w:t>
            </w:r>
          </w:p>
        </w:tc>
        <w:tc>
          <w:tcPr>
            <w:tcW w:w="7579" w:type="dxa"/>
            <w:tcBorders>
              <w:tl2br w:val="nil"/>
              <w:tr2bl w:val="nil"/>
            </w:tcBorders>
          </w:tcPr>
          <w:p>
            <w:pPr>
              <w:adjustRightInd w:val="0"/>
              <w:snapToGrid w:val="0"/>
              <w:spacing w:before="156" w:beforeLines="50" w:line="560" w:lineRule="exact"/>
              <w:jc w:val="left"/>
              <w:rPr>
                <w:rFonts w:ascii="仿宋" w:hAnsi="仿宋" w:eastAsia="仿宋" w:cs="仿宋"/>
                <w:sz w:val="32"/>
                <w:szCs w:val="32"/>
              </w:rPr>
            </w:pPr>
            <w:r>
              <w:rPr>
                <w:rFonts w:hint="eastAsia" w:ascii="仿宋" w:hAnsi="仿宋" w:eastAsia="仿宋" w:cs="仿宋"/>
                <w:sz w:val="32"/>
                <w:szCs w:val="32"/>
                <w:lang w:val="en-US" w:eastAsia="zh-CN"/>
              </w:rPr>
              <w:t>103</w:t>
            </w:r>
            <w:r>
              <w:rPr>
                <w:rFonts w:hint="eastAsia" w:ascii="仿宋" w:hAnsi="仿宋" w:eastAsia="仿宋" w:cs="仿宋"/>
                <w:sz w:val="32"/>
                <w:szCs w:val="32"/>
              </w:rPr>
              <w:t>万元（包一：</w:t>
            </w:r>
            <w:r>
              <w:rPr>
                <w:rFonts w:hint="eastAsia" w:ascii="仿宋" w:hAnsi="仿宋" w:eastAsia="仿宋" w:cs="仿宋"/>
                <w:sz w:val="32"/>
                <w:szCs w:val="32"/>
                <w:lang w:val="en-US" w:eastAsia="zh-CN"/>
              </w:rPr>
              <w:t>48</w:t>
            </w:r>
            <w:r>
              <w:rPr>
                <w:rFonts w:hint="eastAsia" w:ascii="仿宋" w:hAnsi="仿宋" w:eastAsia="仿宋" w:cs="仿宋"/>
                <w:sz w:val="32"/>
                <w:szCs w:val="32"/>
              </w:rPr>
              <w:t xml:space="preserve">万元，包二： </w:t>
            </w:r>
            <w:r>
              <w:rPr>
                <w:rFonts w:hint="eastAsia" w:ascii="仿宋" w:hAnsi="仿宋" w:eastAsia="仿宋" w:cs="仿宋"/>
                <w:sz w:val="32"/>
                <w:szCs w:val="32"/>
                <w:lang w:val="en-US" w:eastAsia="zh-CN"/>
              </w:rPr>
              <w:t>55</w:t>
            </w:r>
            <w:r>
              <w:rPr>
                <w:rFonts w:hint="eastAsia" w:ascii="仿宋" w:hAnsi="仿宋" w:eastAsia="仿宋" w:cs="仿宋"/>
                <w:sz w:val="32"/>
                <w:szCs w:val="32"/>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项目分包个数</w:t>
            </w:r>
          </w:p>
        </w:tc>
        <w:tc>
          <w:tcPr>
            <w:tcW w:w="7579" w:type="dxa"/>
            <w:tcBorders>
              <w:tl2br w:val="nil"/>
              <w:tr2bl w:val="nil"/>
            </w:tcBorders>
          </w:tcPr>
          <w:p>
            <w:pPr>
              <w:tabs>
                <w:tab w:val="left" w:pos="5359"/>
              </w:tabs>
              <w:adjustRightInd w:val="0"/>
              <w:snapToGrid w:val="0"/>
              <w:spacing w:before="156" w:beforeLines="50" w:line="560" w:lineRule="exact"/>
              <w:jc w:val="left"/>
              <w:rPr>
                <w:rFonts w:ascii="仿宋" w:hAnsi="仿宋" w:eastAsia="仿宋" w:cs="仿宋"/>
                <w:sz w:val="32"/>
                <w:szCs w:val="32"/>
              </w:rPr>
            </w:pPr>
            <w:r>
              <w:rPr>
                <w:rFonts w:hint="eastAsia" w:ascii="仿宋" w:hAnsi="仿宋" w:eastAsia="仿宋" w:cs="仿宋"/>
                <w:sz w:val="32"/>
                <w:szCs w:val="32"/>
                <w:u w:val="single"/>
              </w:rPr>
              <w:t>2个</w:t>
            </w:r>
            <w:r>
              <w:rPr>
                <w:rFonts w:hint="eastAsia" w:ascii="仿宋" w:hAnsi="仿宋" w:eastAsia="仿宋" w:cs="仿宋"/>
                <w:sz w:val="32"/>
                <w:szCs w:val="32"/>
                <w:u w:val="single"/>
                <w:lang w:val="zh-CN"/>
              </w:rPr>
              <w:t>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rPr>
                <w:rFonts w:ascii="仿宋" w:hAnsi="仿宋" w:eastAsia="仿宋" w:cs="仿宋"/>
                <w:sz w:val="32"/>
                <w:szCs w:val="32"/>
              </w:rPr>
            </w:pPr>
            <w:r>
              <w:rPr>
                <w:rFonts w:hint="eastAsia" w:ascii="仿宋" w:hAnsi="仿宋" w:eastAsia="仿宋" w:cs="仿宋"/>
                <w:bCs/>
                <w:sz w:val="32"/>
                <w:szCs w:val="32"/>
              </w:rPr>
              <w:t>供应商</w:t>
            </w:r>
            <w:r>
              <w:rPr>
                <w:rFonts w:hint="eastAsia" w:ascii="仿宋" w:hAnsi="仿宋" w:eastAsia="仿宋" w:cs="仿宋"/>
                <w:sz w:val="32"/>
                <w:szCs w:val="32"/>
              </w:rPr>
              <w:t>资格条件</w:t>
            </w:r>
          </w:p>
        </w:tc>
        <w:tc>
          <w:tcPr>
            <w:tcW w:w="7579" w:type="dxa"/>
            <w:tcBorders>
              <w:tl2br w:val="nil"/>
              <w:tr2bl w:val="nil"/>
            </w:tcBorders>
          </w:tcPr>
          <w:p>
            <w:pPr>
              <w:autoSpaceDE w:val="0"/>
              <w:autoSpaceDN w:val="0"/>
              <w:spacing w:line="560" w:lineRule="exact"/>
              <w:rPr>
                <w:rFonts w:ascii="仿宋" w:hAnsi="仿宋" w:eastAsia="仿宋" w:cs="仿宋"/>
                <w:sz w:val="32"/>
                <w:szCs w:val="32"/>
              </w:rPr>
            </w:pPr>
            <w:r>
              <w:rPr>
                <w:rFonts w:hint="eastAsia" w:ascii="仿宋" w:hAnsi="仿宋" w:eastAsia="仿宋" w:cs="仿宋"/>
                <w:sz w:val="32"/>
                <w:szCs w:val="32"/>
              </w:rPr>
              <w:t>符合《中华人民共和国政府采购法》第22条规定：</w:t>
            </w:r>
          </w:p>
          <w:p>
            <w:pPr>
              <w:autoSpaceDE w:val="0"/>
              <w:autoSpaceDN w:val="0"/>
              <w:spacing w:line="560" w:lineRule="exact"/>
              <w:rPr>
                <w:rFonts w:ascii="仿宋" w:hAnsi="仿宋" w:eastAsia="仿宋" w:cs="仿宋"/>
                <w:sz w:val="32"/>
                <w:szCs w:val="32"/>
              </w:rPr>
            </w:pPr>
            <w:r>
              <w:rPr>
                <w:rFonts w:hint="eastAsia" w:ascii="仿宋" w:hAnsi="仿宋" w:eastAsia="仿宋" w:cs="仿宋"/>
                <w:sz w:val="32"/>
                <w:szCs w:val="32"/>
              </w:rPr>
              <w:t>1.（1）供应商的营业执照等证明文件，自然人的身份证明； （2）财务状况报告和依法缴纳税收和社会保障资金的相关材料； （3）具备履行合同所必须的设备和专业技术能力的证明材料； （4）参加政府采购活动前3年内在经营活动中没有重大违法记录的书面声明； （5）具备法律、行政法规规定的其他条件的证明材料。</w:t>
            </w:r>
          </w:p>
          <w:p>
            <w:pPr>
              <w:autoSpaceDE w:val="0"/>
              <w:autoSpaceDN w:val="0"/>
              <w:spacing w:line="560" w:lineRule="exact"/>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经信用中国</w:t>
            </w:r>
            <w:r>
              <w:rPr>
                <w:rFonts w:hint="eastAsia" w:ascii="仿宋" w:hAnsi="仿宋" w:eastAsia="仿宋" w:cs="仿宋"/>
                <w:sz w:val="32"/>
                <w:szCs w:val="32"/>
              </w:rPr>
              <w:t>（www.creditchina.gov.cn）</w:t>
            </w:r>
            <w:r>
              <w:rPr>
                <w:rFonts w:hint="eastAsia" w:ascii="仿宋" w:hAnsi="仿宋" w:eastAsia="仿宋" w:cs="仿宋"/>
                <w:sz w:val="32"/>
                <w:szCs w:val="32"/>
                <w:lang w:val="zh-CN"/>
              </w:rPr>
              <w:t>、</w:t>
            </w:r>
            <w:r>
              <w:rPr>
                <w:rFonts w:hint="eastAsia" w:ascii="仿宋" w:hAnsi="仿宋" w:eastAsia="仿宋" w:cs="仿宋"/>
                <w:sz w:val="32"/>
                <w:szCs w:val="32"/>
              </w:rPr>
              <w:t>中国政府采购网（www.ccgp.gov.cn）等渠道查询后，列入失信被执行人、重大税收违法案件当事人名单、政府采购严重违法失信行为记录名单的，取消谈判资格。（附“信用中国”网站“下载信用信息报告”栏中的法人和其他组织信用信息，时间为谈判文件响应截止时间前5天内）；</w:t>
            </w:r>
          </w:p>
          <w:p>
            <w:pPr>
              <w:autoSpaceDE w:val="0"/>
              <w:autoSpaceDN w:val="0"/>
              <w:spacing w:line="560" w:lineRule="exact"/>
              <w:rPr>
                <w:rFonts w:ascii="仿宋" w:hAnsi="仿宋" w:eastAsia="仿宋" w:cs="仿宋"/>
                <w:sz w:val="32"/>
                <w:szCs w:val="32"/>
                <w:lang w:val="zh-CN"/>
              </w:rPr>
            </w:pPr>
            <w:r>
              <w:rPr>
                <w:rFonts w:hint="eastAsia" w:ascii="仿宋" w:hAnsi="仿宋" w:eastAsia="仿宋" w:cs="仿宋"/>
                <w:sz w:val="32"/>
                <w:szCs w:val="32"/>
              </w:rPr>
              <w:t>3.</w:t>
            </w:r>
            <w:r>
              <w:rPr>
                <w:rFonts w:hint="eastAsia" w:ascii="仿宋" w:hAnsi="仿宋" w:eastAsia="仿宋" w:cs="仿宋"/>
                <w:sz w:val="32"/>
                <w:szCs w:val="32"/>
                <w:lang w:val="zh-CN"/>
              </w:rPr>
              <w:t>单位负责人为同一人或者存在直接控股、管理关系的不同供应商，不得参加同一合同项下的政府采购活动。否则，取消谈判资格；</w:t>
            </w:r>
          </w:p>
          <w:p>
            <w:pPr>
              <w:autoSpaceDE w:val="0"/>
              <w:autoSpaceDN w:val="0"/>
              <w:spacing w:line="560" w:lineRule="exac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zh-CN"/>
              </w:rPr>
              <w:t>为本采购项目提供整体设计、规范编制或者项目管理、监理、检测等服务的供应商，不得再参加该采购项目的其他采购活动；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bCs/>
                <w:sz w:val="32"/>
                <w:szCs w:val="32"/>
              </w:rPr>
            </w:pPr>
            <w:r>
              <w:rPr>
                <w:rFonts w:hint="eastAsia" w:ascii="仿宋" w:hAnsi="仿宋" w:eastAsia="仿宋" w:cs="仿宋"/>
                <w:sz w:val="32"/>
                <w:szCs w:val="32"/>
              </w:rPr>
              <w:t>是否接收联合体形式</w:t>
            </w:r>
          </w:p>
        </w:tc>
        <w:tc>
          <w:tcPr>
            <w:tcW w:w="7579" w:type="dxa"/>
            <w:tcBorders>
              <w:tl2br w:val="nil"/>
              <w:tr2bl w:val="nil"/>
            </w:tcBorders>
            <w:vAlign w:val="center"/>
          </w:tcPr>
          <w:p>
            <w:pPr>
              <w:adjustRightInd w:val="0"/>
              <w:snapToGrid w:val="0"/>
              <w:spacing w:line="560" w:lineRule="exact"/>
              <w:rPr>
                <w:rFonts w:ascii="仿宋" w:hAnsi="仿宋" w:eastAsia="仿宋" w:cs="仿宋"/>
                <w:sz w:val="32"/>
                <w:szCs w:val="32"/>
              </w:rPr>
            </w:pPr>
            <w:r>
              <w:rPr>
                <w:rFonts w:hint="eastAsia" w:ascii="仿宋" w:hAnsi="仿宋" w:eastAsia="仿宋" w:cs="仿宋"/>
                <w:color w:val="000000"/>
                <w:kern w:val="0"/>
                <w:sz w:val="32"/>
                <w:szCs w:val="32"/>
                <w:lang w:val="zh-CN"/>
              </w:rPr>
              <w:t>本项目</w:t>
            </w:r>
            <w:r>
              <w:rPr>
                <w:rFonts w:hint="eastAsia" w:ascii="仿宋" w:hAnsi="仿宋" w:eastAsia="仿宋" w:cs="仿宋"/>
                <w:color w:val="000000"/>
                <w:kern w:val="0"/>
                <w:sz w:val="32"/>
                <w:szCs w:val="32"/>
                <w:u w:val="single"/>
              </w:rPr>
              <w:t>不接受</w:t>
            </w:r>
            <w:r>
              <w:rPr>
                <w:rFonts w:hint="eastAsia" w:ascii="仿宋" w:hAnsi="仿宋" w:eastAsia="仿宋" w:cs="仿宋"/>
                <w:color w:val="000000"/>
                <w:kern w:val="0"/>
                <w:sz w:val="32"/>
                <w:szCs w:val="32"/>
                <w:lang w:val="zh-CN"/>
              </w:rPr>
              <w:t>供应商以联合体方式进行谈判；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2180" w:type="dxa"/>
            <w:tcBorders>
              <w:tl2br w:val="nil"/>
              <w:tr2bl w:val="nil"/>
            </w:tcBorders>
            <w:vAlign w:val="center"/>
          </w:tcPr>
          <w:p>
            <w:pPr>
              <w:adjustRightInd w:val="0"/>
              <w:snapToGrid w:val="0"/>
              <w:spacing w:line="560" w:lineRule="exact"/>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进口产品</w:t>
            </w:r>
          </w:p>
        </w:tc>
        <w:tc>
          <w:tcPr>
            <w:tcW w:w="7579" w:type="dxa"/>
            <w:tcBorders>
              <w:tl2br w:val="nil"/>
              <w:tr2bl w:val="nil"/>
            </w:tcBorders>
            <w:vAlign w:val="center"/>
          </w:tcPr>
          <w:p>
            <w:pPr>
              <w:adjustRightInd w:val="0"/>
              <w:snapToGrid w:val="0"/>
              <w:spacing w:line="560" w:lineRule="exact"/>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本项目拒绝进口产品参加谈判采购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rPr>
                <w:rFonts w:ascii="仿宋" w:hAnsi="仿宋" w:eastAsia="仿宋" w:cs="仿宋"/>
                <w:bCs/>
                <w:sz w:val="32"/>
                <w:szCs w:val="32"/>
              </w:rPr>
            </w:pPr>
            <w:r>
              <w:rPr>
                <w:rFonts w:hint="eastAsia" w:ascii="仿宋" w:hAnsi="仿宋" w:eastAsia="仿宋" w:cs="仿宋"/>
                <w:bCs/>
                <w:sz w:val="32"/>
                <w:szCs w:val="32"/>
              </w:rPr>
              <w:t>公告发布时间</w:t>
            </w:r>
          </w:p>
        </w:tc>
        <w:tc>
          <w:tcPr>
            <w:tcW w:w="7579" w:type="dxa"/>
            <w:tcBorders>
              <w:tl2br w:val="nil"/>
              <w:tr2bl w:val="nil"/>
            </w:tcBorders>
          </w:tcPr>
          <w:p>
            <w:pPr>
              <w:adjustRightInd w:val="0"/>
              <w:snapToGrid w:val="0"/>
              <w:spacing w:line="560" w:lineRule="exact"/>
              <w:rPr>
                <w:rFonts w:ascii="仿宋" w:hAnsi="仿宋" w:eastAsia="仿宋" w:cs="仿宋"/>
                <w:sz w:val="32"/>
                <w:szCs w:val="32"/>
              </w:rPr>
            </w:pPr>
            <w:r>
              <w:rPr>
                <w:rFonts w:hint="eastAsia" w:ascii="仿宋" w:hAnsi="仿宋" w:eastAsia="仿宋" w:cs="仿宋"/>
                <w:color w:val="000000"/>
                <w:kern w:val="0"/>
                <w:sz w:val="32"/>
                <w:szCs w:val="32"/>
                <w:u w:val="single"/>
              </w:rPr>
              <w:t>202</w:t>
            </w:r>
            <w:r>
              <w:rPr>
                <w:rFonts w:hint="eastAsia" w:ascii="仿宋" w:hAnsi="仿宋" w:eastAsia="仿宋" w:cs="仿宋"/>
                <w:color w:val="000000"/>
                <w:kern w:val="0"/>
                <w:sz w:val="32"/>
                <w:szCs w:val="32"/>
                <w:u w:val="single"/>
                <w:lang w:val="en-US" w:eastAsia="zh-CN"/>
              </w:rPr>
              <w:t>3</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 xml:space="preserve"> 0</w:t>
            </w:r>
            <w:r>
              <w:rPr>
                <w:rFonts w:hint="eastAsia" w:ascii="仿宋" w:hAnsi="仿宋" w:eastAsia="仿宋" w:cs="仿宋"/>
                <w:color w:val="000000"/>
                <w:kern w:val="0"/>
                <w:sz w:val="32"/>
                <w:szCs w:val="32"/>
                <w:u w:val="single"/>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u w:val="single"/>
                <w:lang w:val="en-US" w:eastAsia="zh-CN"/>
              </w:rPr>
              <w:t>29</w:t>
            </w:r>
            <w:r>
              <w:rPr>
                <w:rFonts w:hint="eastAsia" w:ascii="仿宋" w:hAnsi="仿宋" w:eastAsia="仿宋" w:cs="仿宋"/>
                <w:color w:val="000000"/>
                <w:kern w:val="0"/>
                <w:sz w:val="32"/>
                <w:szCs w:val="32"/>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spacing w:before="156" w:beforeLines="50" w:line="560" w:lineRule="exact"/>
              <w:jc w:val="center"/>
              <w:rPr>
                <w:rFonts w:ascii="仿宋" w:hAnsi="仿宋" w:eastAsia="仿宋" w:cs="仿宋"/>
                <w:bCs/>
                <w:sz w:val="32"/>
                <w:szCs w:val="32"/>
              </w:rPr>
            </w:pPr>
            <w:r>
              <w:rPr>
                <w:rFonts w:hint="eastAsia" w:ascii="仿宋" w:hAnsi="仿宋" w:eastAsia="仿宋" w:cs="仿宋"/>
                <w:sz w:val="32"/>
                <w:szCs w:val="32"/>
              </w:rPr>
              <w:t>文件发售起止时间</w:t>
            </w:r>
          </w:p>
        </w:tc>
        <w:tc>
          <w:tcPr>
            <w:tcW w:w="7579" w:type="dxa"/>
            <w:tcBorders>
              <w:tl2br w:val="nil"/>
              <w:tr2bl w:val="nil"/>
            </w:tcBorders>
          </w:tcPr>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u w:val="single"/>
              </w:rPr>
              <w:t>202</w:t>
            </w:r>
            <w:r>
              <w:rPr>
                <w:rFonts w:hint="eastAsia" w:ascii="仿宋" w:hAnsi="仿宋" w:eastAsia="仿宋" w:cs="仿宋"/>
                <w:color w:val="000000"/>
                <w:kern w:val="0"/>
                <w:sz w:val="32"/>
                <w:szCs w:val="32"/>
                <w:u w:val="single"/>
                <w:lang w:val="en-US" w:eastAsia="zh-CN"/>
              </w:rPr>
              <w:t>3</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0</w:t>
            </w:r>
            <w:r>
              <w:rPr>
                <w:rFonts w:hint="eastAsia" w:ascii="仿宋" w:hAnsi="仿宋" w:eastAsia="仿宋" w:cs="仿宋"/>
                <w:color w:val="000000"/>
                <w:kern w:val="0"/>
                <w:sz w:val="32"/>
                <w:szCs w:val="32"/>
                <w:u w:val="single"/>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u w:val="single"/>
                <w:lang w:val="en-US" w:eastAsia="zh-CN"/>
              </w:rPr>
              <w:t>30</w:t>
            </w:r>
            <w:r>
              <w:rPr>
                <w:rFonts w:hint="eastAsia" w:ascii="仿宋" w:hAnsi="仿宋" w:eastAsia="仿宋" w:cs="仿宋"/>
                <w:color w:val="000000"/>
                <w:kern w:val="0"/>
                <w:sz w:val="32"/>
                <w:szCs w:val="32"/>
              </w:rPr>
              <w:t>日至</w:t>
            </w:r>
            <w:r>
              <w:rPr>
                <w:rFonts w:hint="eastAsia" w:ascii="仿宋" w:hAnsi="仿宋" w:eastAsia="仿宋" w:cs="仿宋"/>
                <w:color w:val="000000"/>
                <w:kern w:val="0"/>
                <w:sz w:val="32"/>
                <w:szCs w:val="32"/>
                <w:u w:val="single"/>
              </w:rPr>
              <w:t>202</w:t>
            </w:r>
            <w:r>
              <w:rPr>
                <w:rFonts w:hint="eastAsia" w:ascii="仿宋" w:hAnsi="仿宋" w:eastAsia="仿宋" w:cs="仿宋"/>
                <w:color w:val="000000"/>
                <w:kern w:val="0"/>
                <w:sz w:val="32"/>
                <w:szCs w:val="32"/>
                <w:u w:val="single"/>
                <w:lang w:val="en-US" w:eastAsia="zh-CN"/>
              </w:rPr>
              <w:t>3</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0</w:t>
            </w:r>
            <w:r>
              <w:rPr>
                <w:rFonts w:hint="eastAsia" w:ascii="仿宋" w:hAnsi="仿宋" w:eastAsia="仿宋" w:cs="仿宋"/>
                <w:color w:val="000000"/>
                <w:kern w:val="0"/>
                <w:sz w:val="32"/>
                <w:szCs w:val="32"/>
                <w:u w:val="single"/>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u w:val="single"/>
                <w:lang w:val="en-US" w:eastAsia="zh-CN"/>
              </w:rPr>
              <w:t>1</w:t>
            </w:r>
            <w:r>
              <w:rPr>
                <w:rFonts w:hint="eastAsia" w:ascii="仿宋" w:hAnsi="仿宋" w:eastAsia="仿宋" w:cs="仿宋"/>
                <w:color w:val="000000"/>
                <w:kern w:val="0"/>
                <w:sz w:val="32"/>
                <w:szCs w:val="32"/>
              </w:rPr>
              <w:t xml:space="preserve">日（北京时间）公休、节假日除外。          </w:t>
            </w:r>
          </w:p>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上午：</w:t>
            </w:r>
            <w:r>
              <w:rPr>
                <w:rFonts w:hint="eastAsia" w:ascii="仿宋" w:hAnsi="仿宋" w:eastAsia="仿宋" w:cs="仿宋"/>
                <w:color w:val="000000"/>
                <w:kern w:val="0"/>
                <w:sz w:val="32"/>
                <w:szCs w:val="32"/>
                <w:u w:val="single"/>
              </w:rPr>
              <w:t>09</w:t>
            </w:r>
            <w:r>
              <w:rPr>
                <w:rFonts w:hint="eastAsia" w:ascii="仿宋" w:hAnsi="仿宋" w:eastAsia="仿宋" w:cs="仿宋"/>
                <w:color w:val="000000"/>
                <w:kern w:val="0"/>
                <w:sz w:val="32"/>
                <w:szCs w:val="32"/>
              </w:rPr>
              <w:t>时</w:t>
            </w:r>
            <w:r>
              <w:rPr>
                <w:rFonts w:hint="eastAsia" w:ascii="仿宋" w:hAnsi="仿宋" w:eastAsia="仿宋" w:cs="仿宋"/>
                <w:color w:val="000000"/>
                <w:kern w:val="0"/>
                <w:sz w:val="32"/>
                <w:szCs w:val="32"/>
                <w:u w:val="single"/>
              </w:rPr>
              <w:t>00</w:t>
            </w:r>
            <w:r>
              <w:rPr>
                <w:rFonts w:hint="eastAsia" w:ascii="仿宋" w:hAnsi="仿宋" w:eastAsia="仿宋" w:cs="仿宋"/>
                <w:color w:val="000000"/>
                <w:kern w:val="0"/>
                <w:sz w:val="32"/>
                <w:szCs w:val="32"/>
              </w:rPr>
              <w:t>分至</w:t>
            </w:r>
            <w:r>
              <w:rPr>
                <w:rFonts w:hint="eastAsia" w:ascii="仿宋" w:hAnsi="仿宋" w:eastAsia="仿宋" w:cs="仿宋"/>
                <w:color w:val="000000"/>
                <w:kern w:val="0"/>
                <w:sz w:val="32"/>
                <w:szCs w:val="32"/>
                <w:u w:val="single"/>
              </w:rPr>
              <w:t>12</w:t>
            </w:r>
            <w:r>
              <w:rPr>
                <w:rFonts w:hint="eastAsia" w:ascii="仿宋" w:hAnsi="仿宋" w:eastAsia="仿宋" w:cs="仿宋"/>
                <w:color w:val="000000"/>
                <w:kern w:val="0"/>
                <w:sz w:val="32"/>
                <w:szCs w:val="32"/>
              </w:rPr>
              <w:t>时</w:t>
            </w:r>
            <w:r>
              <w:rPr>
                <w:rFonts w:hint="eastAsia" w:ascii="仿宋" w:hAnsi="仿宋" w:eastAsia="仿宋" w:cs="仿宋"/>
                <w:color w:val="000000"/>
                <w:kern w:val="0"/>
                <w:sz w:val="32"/>
                <w:szCs w:val="32"/>
                <w:u w:val="single"/>
              </w:rPr>
              <w:t>00</w:t>
            </w:r>
            <w:r>
              <w:rPr>
                <w:rFonts w:hint="eastAsia" w:ascii="仿宋" w:hAnsi="仿宋" w:eastAsia="仿宋" w:cs="仿宋"/>
                <w:color w:val="000000"/>
                <w:kern w:val="0"/>
                <w:sz w:val="32"/>
                <w:szCs w:val="32"/>
              </w:rPr>
              <w:t>分 （北京时间）</w:t>
            </w:r>
          </w:p>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下午：</w:t>
            </w:r>
            <w:r>
              <w:rPr>
                <w:rFonts w:hint="eastAsia" w:ascii="仿宋" w:hAnsi="仿宋" w:eastAsia="仿宋" w:cs="仿宋"/>
                <w:color w:val="000000"/>
                <w:kern w:val="0"/>
                <w:sz w:val="32"/>
                <w:szCs w:val="32"/>
                <w:u w:val="single"/>
              </w:rPr>
              <w:t>14</w:t>
            </w:r>
            <w:r>
              <w:rPr>
                <w:rFonts w:hint="eastAsia" w:ascii="仿宋" w:hAnsi="仿宋" w:eastAsia="仿宋" w:cs="仿宋"/>
                <w:color w:val="000000"/>
                <w:kern w:val="0"/>
                <w:sz w:val="32"/>
                <w:szCs w:val="32"/>
              </w:rPr>
              <w:t>时</w:t>
            </w:r>
            <w:r>
              <w:rPr>
                <w:rFonts w:hint="eastAsia" w:ascii="仿宋" w:hAnsi="仿宋" w:eastAsia="仿宋" w:cs="仿宋"/>
                <w:color w:val="000000"/>
                <w:kern w:val="0"/>
                <w:sz w:val="32"/>
                <w:szCs w:val="32"/>
                <w:u w:val="single"/>
              </w:rPr>
              <w:t>00</w:t>
            </w:r>
            <w:r>
              <w:rPr>
                <w:rFonts w:hint="eastAsia" w:ascii="仿宋" w:hAnsi="仿宋" w:eastAsia="仿宋" w:cs="仿宋"/>
                <w:color w:val="000000"/>
                <w:kern w:val="0"/>
                <w:sz w:val="32"/>
                <w:szCs w:val="32"/>
              </w:rPr>
              <w:t>分至</w:t>
            </w:r>
            <w:r>
              <w:rPr>
                <w:rFonts w:hint="eastAsia" w:ascii="仿宋" w:hAnsi="仿宋" w:eastAsia="仿宋" w:cs="仿宋"/>
                <w:color w:val="000000"/>
                <w:kern w:val="0"/>
                <w:sz w:val="32"/>
                <w:szCs w:val="32"/>
                <w:u w:val="single"/>
              </w:rPr>
              <w:t>17</w:t>
            </w:r>
            <w:r>
              <w:rPr>
                <w:rFonts w:hint="eastAsia" w:ascii="仿宋" w:hAnsi="仿宋" w:eastAsia="仿宋" w:cs="仿宋"/>
                <w:color w:val="000000"/>
                <w:kern w:val="0"/>
                <w:sz w:val="32"/>
                <w:szCs w:val="32"/>
              </w:rPr>
              <w:t>时</w:t>
            </w:r>
            <w:r>
              <w:rPr>
                <w:rFonts w:hint="eastAsia" w:ascii="仿宋" w:hAnsi="仿宋" w:eastAsia="仿宋" w:cs="仿宋"/>
                <w:color w:val="000000"/>
                <w:kern w:val="0"/>
                <w:sz w:val="32"/>
                <w:szCs w:val="32"/>
                <w:u w:val="single"/>
              </w:rPr>
              <w:t>30</w:t>
            </w:r>
            <w:r>
              <w:rPr>
                <w:rFonts w:hint="eastAsia" w:ascii="仿宋" w:hAnsi="仿宋" w:eastAsia="仿宋" w:cs="仿宋"/>
                <w:color w:val="000000"/>
                <w:kern w:val="0"/>
                <w:sz w:val="32"/>
                <w:szCs w:val="32"/>
              </w:rPr>
              <w:t>分 （北京时间）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bCs/>
                <w:sz w:val="32"/>
                <w:szCs w:val="32"/>
              </w:rPr>
            </w:pPr>
            <w:r>
              <w:rPr>
                <w:rFonts w:hint="eastAsia" w:ascii="仿宋" w:hAnsi="仿宋" w:eastAsia="仿宋" w:cs="仿宋"/>
                <w:bCs/>
                <w:sz w:val="32"/>
                <w:szCs w:val="32"/>
              </w:rPr>
              <w:t>获取方式</w:t>
            </w:r>
          </w:p>
        </w:tc>
        <w:tc>
          <w:tcPr>
            <w:tcW w:w="7579" w:type="dxa"/>
            <w:tcBorders>
              <w:tl2br w:val="nil"/>
              <w:tr2bl w:val="nil"/>
            </w:tcBorders>
            <w:vAlign w:val="center"/>
          </w:tcPr>
          <w:p>
            <w:pPr>
              <w:tabs>
                <w:tab w:val="left" w:pos="320"/>
              </w:tabs>
              <w:adjustRightInd w:val="0"/>
              <w:snapToGrid w:val="0"/>
              <w:spacing w:line="560" w:lineRule="exact"/>
              <w:rPr>
                <w:rFonts w:ascii="仿宋" w:hAnsi="仿宋" w:eastAsia="仿宋" w:cs="仿宋"/>
                <w:color w:val="000000"/>
                <w:kern w:val="0"/>
                <w:sz w:val="32"/>
                <w:szCs w:val="32"/>
              </w:rPr>
            </w:pPr>
            <w:r>
              <w:rPr>
                <w:rFonts w:hint="eastAsia" w:ascii="仿宋" w:hAnsi="仿宋" w:eastAsia="仿宋" w:cs="仿宋"/>
                <w:sz w:val="32"/>
                <w:szCs w:val="32"/>
              </w:rPr>
              <w:t>现场购买或网上购买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spacing w:before="156" w:beforeLines="50" w:line="560" w:lineRule="exact"/>
              <w:jc w:val="center"/>
              <w:rPr>
                <w:rFonts w:ascii="仿宋" w:hAnsi="仿宋" w:eastAsia="仿宋" w:cs="仿宋"/>
                <w:bCs/>
                <w:sz w:val="32"/>
                <w:szCs w:val="32"/>
              </w:rPr>
            </w:pPr>
            <w:r>
              <w:rPr>
                <w:rFonts w:hint="eastAsia" w:ascii="仿宋" w:hAnsi="仿宋" w:eastAsia="仿宋" w:cs="仿宋"/>
                <w:sz w:val="32"/>
                <w:szCs w:val="32"/>
              </w:rPr>
              <w:t>文件售价</w:t>
            </w:r>
          </w:p>
        </w:tc>
        <w:tc>
          <w:tcPr>
            <w:tcW w:w="7579" w:type="dxa"/>
            <w:tcBorders>
              <w:tl2br w:val="nil"/>
              <w:tr2bl w:val="nil"/>
            </w:tcBorders>
            <w:vAlign w:val="center"/>
          </w:tcPr>
          <w:p>
            <w:pPr>
              <w:spacing w:line="560" w:lineRule="exact"/>
              <w:rPr>
                <w:rFonts w:ascii="仿宋" w:hAnsi="仿宋" w:eastAsia="仿宋" w:cs="仿宋"/>
                <w:sz w:val="32"/>
                <w:szCs w:val="32"/>
              </w:rPr>
            </w:pPr>
            <w:r>
              <w:rPr>
                <w:rFonts w:hint="eastAsia" w:ascii="仿宋" w:hAnsi="仿宋" w:eastAsia="仿宋" w:cs="仿宋"/>
                <w:sz w:val="32"/>
                <w:szCs w:val="32"/>
                <w:u w:val="single"/>
              </w:rPr>
              <w:t>500</w:t>
            </w:r>
            <w:r>
              <w:rPr>
                <w:rFonts w:hint="eastAsia" w:ascii="仿宋" w:hAnsi="仿宋" w:eastAsia="仿宋" w:cs="仿宋"/>
                <w:sz w:val="32"/>
                <w:szCs w:val="32"/>
              </w:rPr>
              <w:t>元/份（谈判文件售后不退, 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文件发售地点</w:t>
            </w:r>
          </w:p>
        </w:tc>
        <w:tc>
          <w:tcPr>
            <w:tcW w:w="7579" w:type="dxa"/>
            <w:tcBorders>
              <w:tl2br w:val="nil"/>
              <w:tr2bl w:val="nil"/>
            </w:tcBorders>
            <w:vAlign w:val="center"/>
          </w:tcPr>
          <w:p>
            <w:pPr>
              <w:spacing w:line="560" w:lineRule="exact"/>
              <w:rPr>
                <w:rFonts w:ascii="仿宋" w:hAnsi="仿宋" w:eastAsia="仿宋" w:cs="仿宋"/>
                <w:sz w:val="32"/>
                <w:szCs w:val="32"/>
              </w:rPr>
            </w:pPr>
            <w:r>
              <w:rPr>
                <w:rFonts w:hint="eastAsia" w:ascii="仿宋" w:hAnsi="仿宋" w:eastAsia="仿宋" w:cs="仿宋"/>
                <w:sz w:val="32"/>
                <w:szCs w:val="32"/>
              </w:rPr>
              <w:t>西宁市城中区南山路15号（城馨天悦3号楼2楼）</w:t>
            </w:r>
          </w:p>
          <w:p>
            <w:pPr>
              <w:spacing w:line="560" w:lineRule="exact"/>
              <w:rPr>
                <w:rFonts w:ascii="仿宋" w:hAnsi="仿宋" w:eastAsia="仿宋" w:cs="仿宋"/>
                <w:sz w:val="32"/>
                <w:szCs w:val="32"/>
              </w:rPr>
            </w:pPr>
            <w:r>
              <w:rPr>
                <w:rFonts w:hint="eastAsia" w:ascii="仿宋" w:hAnsi="仿宋" w:eastAsia="仿宋" w:cs="仿宋"/>
                <w:sz w:val="32"/>
                <w:szCs w:val="32"/>
              </w:rPr>
              <w:t>文件购买联系人：麻女士</w:t>
            </w:r>
          </w:p>
          <w:p>
            <w:pPr>
              <w:spacing w:line="560" w:lineRule="exact"/>
              <w:rPr>
                <w:rFonts w:ascii="仿宋" w:hAnsi="仿宋" w:eastAsia="仿宋" w:cs="仿宋"/>
                <w:sz w:val="32"/>
                <w:szCs w:val="32"/>
              </w:rPr>
            </w:pPr>
            <w:r>
              <w:rPr>
                <w:rFonts w:hint="eastAsia" w:ascii="仿宋" w:hAnsi="仿宋" w:eastAsia="仿宋" w:cs="仿宋"/>
                <w:sz w:val="32"/>
                <w:szCs w:val="32"/>
              </w:rPr>
              <w:t>联系电话：0971-8211766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购买谈判文件时应提供的材料</w:t>
            </w:r>
          </w:p>
        </w:tc>
        <w:tc>
          <w:tcPr>
            <w:tcW w:w="7579" w:type="dxa"/>
            <w:tcBorders>
              <w:tl2br w:val="nil"/>
              <w:tr2bl w:val="nil"/>
            </w:tcBorders>
            <w:vAlign w:val="center"/>
          </w:tcPr>
          <w:p>
            <w:pPr>
              <w:numPr>
                <w:ilvl w:val="0"/>
                <w:numId w:val="2"/>
              </w:num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购买竞争性谈判文件时需要提交相关文件资料：</w:t>
            </w:r>
            <w:r>
              <w:rPr>
                <w:rFonts w:hint="eastAsia" w:ascii="仿宋" w:hAnsi="仿宋" w:eastAsia="仿宋" w:cs="仿宋"/>
                <w:sz w:val="32"/>
                <w:szCs w:val="32"/>
                <w:lang w:val="zh-CN"/>
              </w:rPr>
              <w:t>法定代表人授权委托书（参考</w:t>
            </w:r>
            <w:r>
              <w:rPr>
                <w:rFonts w:hint="eastAsia" w:ascii="仿宋" w:hAnsi="仿宋" w:eastAsia="仿宋" w:cs="仿宋"/>
                <w:sz w:val="32"/>
                <w:szCs w:val="32"/>
              </w:rPr>
              <w:t>采购文件</w:t>
            </w:r>
            <w:r>
              <w:rPr>
                <w:rFonts w:hint="eastAsia" w:ascii="仿宋" w:hAnsi="仿宋" w:eastAsia="仿宋" w:cs="仿宋"/>
                <w:sz w:val="32"/>
                <w:szCs w:val="32"/>
                <w:lang w:val="zh-CN"/>
              </w:rPr>
              <w:t>格式）法人身份证复印件、委托代理人身份证复印件、供应商的营业执照复印件及开户许可证复印件及相关资质资料，以上资料均均需加盖公章。</w:t>
            </w:r>
          </w:p>
          <w:p>
            <w:pPr>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注：需网上购买谈判文件的供应商应将以上材料扫描后发送至</w:t>
            </w:r>
            <w:r>
              <w:rPr>
                <w:rFonts w:hint="eastAsia" w:ascii="仿宋" w:hAnsi="仿宋" w:eastAsia="仿宋" w:cs="仿宋"/>
                <w:sz w:val="32"/>
                <w:szCs w:val="32"/>
                <w:u w:val="single"/>
              </w:rPr>
              <w:t>qhlxglgs@163.com（</w:t>
            </w:r>
            <w:r>
              <w:rPr>
                <w:rFonts w:hint="eastAsia" w:ascii="仿宋" w:hAnsi="仿宋" w:eastAsia="仿宋" w:cs="仿宋"/>
                <w:sz w:val="32"/>
                <w:szCs w:val="32"/>
              </w:rPr>
              <w:t>代理机构）联系邮箱，在邮件中标明谈判项目名称、项目编号、联系人及联系方式，并与代理机构工作人员进行联系确认。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tcPr>
          <w:p>
            <w:pPr>
              <w:adjustRightInd w:val="0"/>
              <w:snapToGrid w:val="0"/>
              <w:spacing w:before="156" w:beforeLines="50" w:line="560" w:lineRule="exact"/>
              <w:rPr>
                <w:rFonts w:ascii="仿宋" w:hAnsi="仿宋" w:eastAsia="仿宋" w:cs="仿宋"/>
                <w:bCs/>
                <w:sz w:val="32"/>
                <w:szCs w:val="32"/>
              </w:rPr>
            </w:pPr>
            <w:r>
              <w:rPr>
                <w:rFonts w:hint="eastAsia" w:ascii="仿宋" w:hAnsi="仿宋" w:eastAsia="仿宋" w:cs="仿宋"/>
                <w:sz w:val="32"/>
                <w:szCs w:val="32"/>
              </w:rPr>
              <w:t>采购人名称、地址、电话、联系人</w:t>
            </w:r>
          </w:p>
        </w:tc>
        <w:tc>
          <w:tcPr>
            <w:tcW w:w="7579" w:type="dxa"/>
            <w:tcBorders>
              <w:tl2br w:val="nil"/>
              <w:tr2bl w:val="nil"/>
            </w:tcBorders>
          </w:tcPr>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名称：玉树市财政局</w:t>
            </w:r>
          </w:p>
          <w:p>
            <w:pPr>
              <w:adjustRightInd w:val="0"/>
              <w:snapToGrid w:val="0"/>
              <w:spacing w:line="560" w:lineRule="exact"/>
              <w:rPr>
                <w:rFonts w:ascii="仿宋" w:hAnsi="仿宋" w:eastAsia="仿宋" w:cs="仿宋"/>
                <w:kern w:val="0"/>
                <w:sz w:val="32"/>
                <w:szCs w:val="32"/>
              </w:rPr>
            </w:pPr>
            <w:r>
              <w:rPr>
                <w:rFonts w:hint="eastAsia" w:ascii="仿宋" w:hAnsi="仿宋" w:eastAsia="仿宋" w:cs="仿宋"/>
                <w:sz w:val="32"/>
                <w:szCs w:val="32"/>
              </w:rPr>
              <w:t>地址：玉树市</w:t>
            </w:r>
          </w:p>
          <w:p>
            <w:pPr>
              <w:adjustRightInd w:val="0"/>
              <w:snapToGrid w:val="0"/>
              <w:spacing w:line="560" w:lineRule="exact"/>
              <w:rPr>
                <w:rFonts w:hint="eastAsia" w:ascii="仿宋" w:hAnsi="仿宋" w:eastAsia="仿宋" w:cs="仿宋"/>
                <w:kern w:val="0"/>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嘎嘎</w:t>
            </w:r>
          </w:p>
          <w:p>
            <w:pPr>
              <w:adjustRightInd w:val="0"/>
              <w:snapToGrid w:val="0"/>
              <w:spacing w:line="560" w:lineRule="exact"/>
              <w:rPr>
                <w:rFonts w:ascii="仿宋" w:hAnsi="仿宋" w:eastAsia="仿宋" w:cs="仿宋"/>
                <w:sz w:val="32"/>
                <w:szCs w:val="32"/>
                <w:u w:val="single"/>
              </w:rPr>
            </w:pPr>
            <w:r>
              <w:rPr>
                <w:rFonts w:hint="eastAsia" w:ascii="仿宋" w:hAnsi="仿宋" w:eastAsia="仿宋" w:cs="仿宋"/>
                <w:sz w:val="32"/>
                <w:szCs w:val="32"/>
              </w:rPr>
              <w:t>联系电话：0976-8824177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采购代理机构及联系人电话</w:t>
            </w:r>
          </w:p>
        </w:tc>
        <w:tc>
          <w:tcPr>
            <w:tcW w:w="7579" w:type="dxa"/>
            <w:tcBorders>
              <w:tl2br w:val="nil"/>
              <w:tr2bl w:val="nil"/>
            </w:tcBorders>
          </w:tcPr>
          <w:p>
            <w:pPr>
              <w:tabs>
                <w:tab w:val="left" w:pos="5119"/>
              </w:tabs>
              <w:autoSpaceDE w:val="0"/>
              <w:autoSpaceDN w:val="0"/>
              <w:adjustRightInd w:val="0"/>
              <w:spacing w:line="560" w:lineRule="exact"/>
              <w:rPr>
                <w:rFonts w:ascii="仿宋" w:hAnsi="仿宋" w:eastAsia="仿宋" w:cs="仿宋"/>
                <w:kern w:val="0"/>
                <w:sz w:val="32"/>
                <w:szCs w:val="32"/>
              </w:rPr>
            </w:pPr>
            <w:r>
              <w:rPr>
                <w:rFonts w:hint="eastAsia" w:ascii="仿宋" w:hAnsi="仿宋" w:eastAsia="仿宋" w:cs="仿宋"/>
                <w:kern w:val="0"/>
                <w:sz w:val="32"/>
                <w:szCs w:val="32"/>
              </w:rPr>
              <w:t>采购代理机构：青海凌星项目管理有限公司</w:t>
            </w:r>
          </w:p>
          <w:p>
            <w:pPr>
              <w:tabs>
                <w:tab w:val="left" w:pos="5119"/>
              </w:tabs>
              <w:autoSpaceDE w:val="0"/>
              <w:autoSpaceDN w:val="0"/>
              <w:adjustRightInd w:val="0"/>
              <w:spacing w:line="560" w:lineRule="exact"/>
              <w:rPr>
                <w:rFonts w:ascii="仿宋" w:hAnsi="仿宋" w:eastAsia="仿宋" w:cs="仿宋"/>
                <w:kern w:val="0"/>
                <w:sz w:val="32"/>
                <w:szCs w:val="32"/>
              </w:rPr>
            </w:pPr>
            <w:r>
              <w:rPr>
                <w:rFonts w:hint="eastAsia" w:ascii="仿宋" w:hAnsi="仿宋" w:eastAsia="仿宋" w:cs="仿宋"/>
                <w:kern w:val="0"/>
                <w:sz w:val="32"/>
                <w:szCs w:val="32"/>
              </w:rPr>
              <w:t>联系人：麻女士</w:t>
            </w:r>
          </w:p>
          <w:p>
            <w:pPr>
              <w:tabs>
                <w:tab w:val="left" w:pos="5119"/>
              </w:tabs>
              <w:autoSpaceDE w:val="0"/>
              <w:autoSpaceDN w:val="0"/>
              <w:adjustRightInd w:val="0"/>
              <w:spacing w:line="560" w:lineRule="exact"/>
              <w:rPr>
                <w:rFonts w:ascii="仿宋" w:hAnsi="仿宋" w:eastAsia="仿宋" w:cs="仿宋"/>
                <w:kern w:val="0"/>
                <w:sz w:val="32"/>
                <w:szCs w:val="32"/>
              </w:rPr>
            </w:pPr>
            <w:r>
              <w:rPr>
                <w:rFonts w:hint="eastAsia" w:ascii="仿宋" w:hAnsi="仿宋" w:eastAsia="仿宋" w:cs="仿宋"/>
                <w:kern w:val="0"/>
                <w:sz w:val="32"/>
                <w:szCs w:val="32"/>
              </w:rPr>
              <w:t>联系电话：0971-8211766</w:t>
            </w:r>
          </w:p>
          <w:p>
            <w:pPr>
              <w:tabs>
                <w:tab w:val="left" w:pos="5119"/>
              </w:tabs>
              <w:autoSpaceDE w:val="0"/>
              <w:autoSpaceDN w:val="0"/>
              <w:adjustRightInd w:val="0"/>
              <w:spacing w:line="560" w:lineRule="exact"/>
              <w:rPr>
                <w:rFonts w:ascii="仿宋" w:hAnsi="仿宋" w:eastAsia="仿宋" w:cs="仿宋"/>
                <w:kern w:val="0"/>
                <w:sz w:val="32"/>
                <w:szCs w:val="32"/>
              </w:rPr>
            </w:pPr>
            <w:r>
              <w:rPr>
                <w:rFonts w:hint="eastAsia" w:ascii="仿宋" w:hAnsi="仿宋" w:eastAsia="仿宋" w:cs="仿宋"/>
                <w:kern w:val="0"/>
                <w:sz w:val="32"/>
                <w:szCs w:val="32"/>
              </w:rPr>
              <w:t>邮箱地址：qhlxglgs@163.com</w:t>
            </w:r>
          </w:p>
          <w:p>
            <w:pPr>
              <w:tabs>
                <w:tab w:val="left" w:pos="5119"/>
              </w:tabs>
              <w:autoSpaceDE w:val="0"/>
              <w:autoSpaceDN w:val="0"/>
              <w:adjustRightInd w:val="0"/>
              <w:spacing w:line="560" w:lineRule="exact"/>
              <w:rPr>
                <w:rFonts w:ascii="仿宋" w:hAnsi="仿宋" w:eastAsia="仿宋" w:cs="仿宋"/>
                <w:sz w:val="32"/>
                <w:szCs w:val="32"/>
              </w:rPr>
            </w:pPr>
            <w:r>
              <w:rPr>
                <w:rFonts w:hint="eastAsia" w:ascii="仿宋" w:hAnsi="仿宋" w:eastAsia="仿宋" w:cs="仿宋"/>
                <w:kern w:val="0"/>
                <w:sz w:val="32"/>
                <w:szCs w:val="32"/>
              </w:rPr>
              <w:t>联系地址：西宁市城中区南山路15号（城馨天悦3号楼2楼）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rPr>
                <w:rFonts w:ascii="仿宋" w:hAnsi="仿宋" w:eastAsia="仿宋" w:cs="仿宋"/>
                <w:sz w:val="32"/>
                <w:szCs w:val="32"/>
              </w:rPr>
            </w:pPr>
            <w:r>
              <w:rPr>
                <w:rFonts w:hint="eastAsia" w:ascii="仿宋" w:hAnsi="仿宋" w:eastAsia="仿宋" w:cs="仿宋"/>
                <w:sz w:val="32"/>
                <w:szCs w:val="32"/>
              </w:rPr>
              <w:t>保证金</w:t>
            </w:r>
          </w:p>
        </w:tc>
        <w:tc>
          <w:tcPr>
            <w:tcW w:w="7579" w:type="dxa"/>
            <w:tcBorders>
              <w:tl2br w:val="nil"/>
              <w:tr2bl w:val="nil"/>
            </w:tcBorders>
            <w:vAlign w:val="center"/>
          </w:tcPr>
          <w:p>
            <w:pPr>
              <w:numPr>
                <w:ilvl w:val="0"/>
                <w:numId w:val="3"/>
              </w:numPr>
              <w:adjustRightInd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包一：</w:t>
            </w:r>
            <w:r>
              <w:rPr>
                <w:rFonts w:hint="eastAsia" w:ascii="仿宋_GB2312" w:hAnsi="仿宋_GB2312" w:eastAsia="仿宋_GB2312" w:cs="仿宋_GB2312"/>
                <w:color w:val="000000" w:themeColor="text1"/>
                <w:sz w:val="32"/>
                <w:szCs w:val="32"/>
                <w:lang w:eastAsia="zh-CN"/>
                <w14:textFill>
                  <w14:solidFill>
                    <w14:schemeClr w14:val="tx1"/>
                  </w14:solidFill>
                </w14:textFill>
              </w:rPr>
              <w:t>玖仟元整</w:t>
            </w:r>
            <w:r>
              <w:rPr>
                <w:rFonts w:hint="eastAsia" w:ascii="仿宋_GB2312" w:hAnsi="仿宋_GB2312" w:eastAsia="仿宋_GB2312" w:cs="仿宋_GB2312"/>
                <w:color w:val="000000" w:themeColor="text1"/>
                <w:sz w:val="32"/>
                <w:szCs w:val="32"/>
                <w14:textFill>
                  <w14:solidFill>
                    <w14:schemeClr w14:val="tx1"/>
                  </w14:solidFill>
                </w14:textFill>
              </w:rPr>
              <w:t>（小写：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9000.00</w:t>
            </w:r>
            <w:r>
              <w:rPr>
                <w:rFonts w:hint="eastAsia" w:ascii="仿宋_GB2312" w:hAnsi="仿宋_GB2312" w:eastAsia="仿宋_GB2312" w:cs="仿宋_GB2312"/>
                <w:color w:val="000000" w:themeColor="text1"/>
                <w:sz w:val="32"/>
                <w:szCs w:val="32"/>
                <w14:textFill>
                  <w14:solidFill>
                    <w14:schemeClr w14:val="tx1"/>
                  </w14:solidFill>
                </w14:textFill>
              </w:rPr>
              <w:t>元）</w:t>
            </w:r>
          </w:p>
          <w:p>
            <w:pPr>
              <w:pStyle w:val="6"/>
              <w:ind w:firstLine="640" w:firstLineChars="200"/>
              <w:jc w:val="both"/>
              <w:outlineLvl w:val="0"/>
              <w:rPr>
                <w:rFonts w:ascii="仿宋" w:hAnsi="仿宋" w:eastAsia="仿宋" w:cs="仿宋"/>
                <w:b w:val="0"/>
                <w:bCs w:val="0"/>
                <w:kern w:val="0"/>
                <w:sz w:val="32"/>
                <w:szCs w:val="32"/>
              </w:rPr>
            </w:pPr>
            <w:bookmarkStart w:id="11" w:name="_Toc112245812"/>
            <w:r>
              <w:rPr>
                <w:rFonts w:hint="eastAsia" w:ascii="仿宋" w:hAnsi="仿宋" w:eastAsia="仿宋" w:cs="仿宋"/>
                <w:b w:val="0"/>
                <w:bCs w:val="0"/>
                <w:kern w:val="0"/>
                <w:sz w:val="32"/>
                <w:szCs w:val="32"/>
              </w:rPr>
              <w:t>包二：</w:t>
            </w:r>
            <w:r>
              <w:rPr>
                <w:rFonts w:hint="eastAsia" w:ascii="仿宋" w:hAnsi="仿宋" w:eastAsia="仿宋" w:cs="仿宋"/>
                <w:b w:val="0"/>
                <w:bCs w:val="0"/>
                <w:kern w:val="0"/>
                <w:sz w:val="32"/>
                <w:szCs w:val="32"/>
                <w:lang w:eastAsia="zh-CN"/>
              </w:rPr>
              <w:t>壹万元整</w:t>
            </w:r>
            <w:r>
              <w:rPr>
                <w:rFonts w:hint="eastAsia" w:ascii="仿宋" w:hAnsi="仿宋" w:eastAsia="仿宋" w:cs="仿宋"/>
                <w:b w:val="0"/>
                <w:bCs w:val="0"/>
                <w:kern w:val="0"/>
                <w:sz w:val="32"/>
                <w:szCs w:val="32"/>
              </w:rPr>
              <w:t>（小写：1</w:t>
            </w:r>
            <w:r>
              <w:rPr>
                <w:rFonts w:hint="eastAsia" w:ascii="仿宋" w:hAnsi="仿宋" w:eastAsia="仿宋" w:cs="仿宋"/>
                <w:b w:val="0"/>
                <w:bCs w:val="0"/>
                <w:kern w:val="0"/>
                <w:sz w:val="32"/>
                <w:szCs w:val="32"/>
                <w:lang w:val="en-US" w:eastAsia="zh-CN"/>
              </w:rPr>
              <w:t>0</w:t>
            </w:r>
            <w:r>
              <w:rPr>
                <w:rFonts w:hint="eastAsia" w:ascii="仿宋" w:hAnsi="仿宋" w:eastAsia="仿宋" w:cs="仿宋"/>
                <w:b w:val="0"/>
                <w:bCs w:val="0"/>
                <w:kern w:val="0"/>
                <w:sz w:val="32"/>
                <w:szCs w:val="32"/>
              </w:rPr>
              <w:t>000.00元）</w:t>
            </w:r>
            <w:bookmarkEnd w:id="11"/>
          </w:p>
          <w:p>
            <w:pPr>
              <w:numPr>
                <w:ilvl w:val="0"/>
                <w:numId w:val="3"/>
              </w:numPr>
              <w:adjustRightInd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户 名：青海凌星项目管理有限公司</w:t>
            </w:r>
          </w:p>
          <w:p>
            <w:pPr>
              <w:numPr>
                <w:ilvl w:val="0"/>
                <w:numId w:val="3"/>
              </w:numPr>
              <w:adjustRightInd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开户银行：青海银行股份有限公司南山路支行</w:t>
            </w:r>
          </w:p>
          <w:p>
            <w:pPr>
              <w:numPr>
                <w:ilvl w:val="0"/>
                <w:numId w:val="3"/>
              </w:numPr>
              <w:adjustRightInd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收款账号：1016201000209333</w:t>
            </w:r>
          </w:p>
          <w:p>
            <w:pPr>
              <w:numPr>
                <w:ilvl w:val="0"/>
                <w:numId w:val="3"/>
              </w:numPr>
              <w:adjustRightInd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行号：</w:t>
            </w:r>
            <w:r>
              <w:rPr>
                <w:rFonts w:hint="eastAsia" w:ascii="仿宋_GB2312" w:hAnsi="仿宋_GB2312" w:eastAsia="仿宋_GB2312" w:cs="仿宋_GB2312"/>
                <w:color w:val="000000" w:themeColor="text1"/>
                <w:sz w:val="32"/>
                <w:szCs w:val="32"/>
                <w14:textFill>
                  <w14:solidFill>
                    <w14:schemeClr w14:val="tx1"/>
                  </w14:solidFill>
                </w14:textFill>
              </w:rPr>
              <w:t>/</w:t>
            </w:r>
          </w:p>
          <w:p>
            <w:pPr>
              <w:autoSpaceDE w:val="0"/>
              <w:autoSpaceDN w:val="0"/>
              <w:spacing w:line="360" w:lineRule="auto"/>
              <w:jc w:val="left"/>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交付方式：</w:t>
            </w:r>
            <w:r>
              <w:rPr>
                <w:rFonts w:hint="eastAsia" w:ascii="仿宋_GB2312" w:hAnsi="仿宋_GB2312" w:eastAsia="仿宋_GB2312" w:cs="仿宋_GB2312"/>
                <w:color w:val="000000" w:themeColor="text1"/>
                <w:sz w:val="32"/>
                <w:szCs w:val="32"/>
                <w:lang w:val="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谈判保证金应当以转账、支票、本票或者金融机构、担保机构出具的保函等非现金形式提交。</w:t>
            </w:r>
            <w:r>
              <w:rPr>
                <w:rFonts w:hint="eastAsia" w:ascii="仿宋_GB2312" w:hAnsi="仿宋_GB2312" w:eastAsia="仿宋_GB2312" w:cs="仿宋_GB2312"/>
                <w:color w:val="000000" w:themeColor="text1"/>
                <w:sz w:val="32"/>
                <w:szCs w:val="32"/>
                <w:lang w:val="zh-CN"/>
                <w14:textFill>
                  <w14:solidFill>
                    <w14:schemeClr w14:val="tx1"/>
                  </w14:solidFill>
                </w14:textFill>
              </w:rPr>
              <w:t>通过银行转账的，必须由供应商从其企业账户汇（转）入上述规定的账户。</w:t>
            </w:r>
            <w:r>
              <w:rPr>
                <w:rFonts w:hint="eastAsia" w:ascii="仿宋_GB2312" w:hAnsi="仿宋_GB2312" w:eastAsia="仿宋_GB2312" w:cs="仿宋_GB2312"/>
                <w:color w:val="000000" w:themeColor="text1"/>
                <w:sz w:val="32"/>
                <w:szCs w:val="32"/>
                <w14:textFill>
                  <w14:solidFill>
                    <w14:schemeClr w14:val="tx1"/>
                  </w14:solidFill>
                </w14:textFill>
              </w:rPr>
              <w:t>供应商未按照谈判文件要求提交谈判保证金的，谈判无效。</w:t>
            </w:r>
          </w:p>
          <w:p>
            <w:pPr>
              <w:pStyle w:val="11"/>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color w:val="000000" w:themeColor="text1"/>
                <w:sz w:val="32"/>
                <w:szCs w:val="32"/>
                <w:lang w:val="zh-CN"/>
                <w14:textFill>
                  <w14:solidFill>
                    <w14:schemeClr w14:val="tx1"/>
                  </w14:solidFill>
                </w14:textFill>
              </w:rPr>
              <w:t>保证金保函：供应商在响应文件中须附银行保函复印件或扫描件。</w:t>
            </w:r>
          </w:p>
          <w:p>
            <w:pPr>
              <w:numPr>
                <w:ilvl w:val="0"/>
                <w:numId w:val="3"/>
              </w:numPr>
              <w:adjustRightInd w:val="0"/>
              <w:snapToGrid w:val="0"/>
              <w:spacing w:line="560" w:lineRule="exact"/>
              <w:rPr>
                <w:rFonts w:ascii="仿宋" w:hAnsi="仿宋" w:eastAsia="仿宋" w:cs="仿宋"/>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其他注意事项（详见谈判文件）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bCs/>
                <w:sz w:val="32"/>
                <w:szCs w:val="32"/>
              </w:rPr>
              <w:t>响应文件有效期</w:t>
            </w:r>
          </w:p>
        </w:tc>
        <w:tc>
          <w:tcPr>
            <w:tcW w:w="7579" w:type="dxa"/>
            <w:tcBorders>
              <w:tl2br w:val="nil"/>
              <w:tr2bl w:val="nil"/>
            </w:tcBorders>
            <w:vAlign w:val="center"/>
          </w:tcPr>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自谈判提交响应文件截止之日起不少于</w:t>
            </w:r>
            <w:r>
              <w:rPr>
                <w:rFonts w:hint="eastAsia" w:ascii="仿宋" w:hAnsi="仿宋" w:eastAsia="仿宋" w:cs="仿宋"/>
                <w:sz w:val="32"/>
                <w:szCs w:val="32"/>
                <w:u w:val="single"/>
              </w:rPr>
              <w:t>60</w:t>
            </w:r>
            <w:r>
              <w:rPr>
                <w:rFonts w:hint="eastAsia" w:ascii="仿宋" w:hAnsi="仿宋" w:eastAsia="仿宋" w:cs="仿宋"/>
                <w:sz w:val="32"/>
                <w:szCs w:val="32"/>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bCs/>
                <w:sz w:val="32"/>
                <w:szCs w:val="32"/>
              </w:rPr>
              <w:t>响应</w:t>
            </w:r>
            <w:r>
              <w:rPr>
                <w:rFonts w:hint="eastAsia" w:ascii="仿宋" w:hAnsi="仿宋" w:eastAsia="仿宋" w:cs="仿宋"/>
                <w:sz w:val="32"/>
                <w:szCs w:val="32"/>
              </w:rPr>
              <w:t>文件份数</w:t>
            </w:r>
          </w:p>
        </w:tc>
        <w:tc>
          <w:tcPr>
            <w:tcW w:w="7579" w:type="dxa"/>
            <w:tcBorders>
              <w:tl2br w:val="nil"/>
              <w:tr2bl w:val="nil"/>
            </w:tcBorders>
            <w:vAlign w:val="center"/>
          </w:tcPr>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u w:val="single"/>
              </w:rPr>
              <w:t>一</w:t>
            </w:r>
            <w:r>
              <w:rPr>
                <w:rFonts w:hint="eastAsia" w:ascii="仿宋" w:hAnsi="仿宋" w:eastAsia="仿宋" w:cs="仿宋"/>
                <w:sz w:val="32"/>
                <w:szCs w:val="32"/>
              </w:rPr>
              <w:t>份正本、</w:t>
            </w:r>
            <w:r>
              <w:rPr>
                <w:rFonts w:hint="eastAsia" w:ascii="仿宋" w:hAnsi="仿宋" w:eastAsia="仿宋" w:cs="仿宋"/>
                <w:sz w:val="32"/>
                <w:szCs w:val="32"/>
                <w:u w:val="single"/>
              </w:rPr>
              <w:t>两</w:t>
            </w:r>
            <w:r>
              <w:rPr>
                <w:rFonts w:hint="eastAsia" w:ascii="仿宋" w:hAnsi="仿宋" w:eastAsia="仿宋" w:cs="仿宋"/>
                <w:sz w:val="32"/>
                <w:szCs w:val="32"/>
              </w:rPr>
              <w:t>份副本、</w:t>
            </w:r>
            <w:r>
              <w:rPr>
                <w:rFonts w:hint="eastAsia" w:ascii="仿宋" w:hAnsi="仿宋" w:eastAsia="仿宋" w:cs="仿宋"/>
                <w:sz w:val="32"/>
                <w:szCs w:val="32"/>
                <w:u w:val="single"/>
              </w:rPr>
              <w:t>一</w:t>
            </w:r>
            <w:r>
              <w:rPr>
                <w:rFonts w:hint="eastAsia" w:ascii="仿宋" w:hAnsi="仿宋" w:eastAsia="仿宋" w:cs="仿宋"/>
                <w:sz w:val="32"/>
                <w:szCs w:val="32"/>
              </w:rPr>
              <w:t>份电子文档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bCs/>
                <w:sz w:val="32"/>
                <w:szCs w:val="32"/>
              </w:rPr>
            </w:pPr>
            <w:r>
              <w:rPr>
                <w:rFonts w:hint="eastAsia" w:ascii="仿宋" w:hAnsi="仿宋" w:eastAsia="仿宋" w:cs="仿宋"/>
                <w:sz w:val="32"/>
                <w:szCs w:val="32"/>
              </w:rPr>
              <w:t>封套上应载明的信息</w:t>
            </w:r>
          </w:p>
        </w:tc>
        <w:tc>
          <w:tcPr>
            <w:tcW w:w="7579" w:type="dxa"/>
            <w:tcBorders>
              <w:tl2br w:val="nil"/>
              <w:tr2bl w:val="nil"/>
            </w:tcBorders>
            <w:vAlign w:val="center"/>
          </w:tcPr>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1.项目名称、采购项目编号；</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2.供应商名称；</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3.响应文件送达时间、地址；</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4.响应文件密封情况；</w:t>
            </w:r>
          </w:p>
          <w:p>
            <w:pPr>
              <w:adjustRightInd w:val="0"/>
              <w:snapToGrid w:val="0"/>
              <w:spacing w:line="560" w:lineRule="exact"/>
              <w:rPr>
                <w:rFonts w:ascii="仿宋" w:hAnsi="仿宋" w:eastAsia="仿宋" w:cs="仿宋"/>
                <w:sz w:val="32"/>
                <w:szCs w:val="32"/>
                <w:u w:val="single"/>
              </w:rPr>
            </w:pPr>
            <w:r>
              <w:rPr>
                <w:rFonts w:hint="eastAsia" w:ascii="仿宋" w:hAnsi="仿宋" w:eastAsia="仿宋" w:cs="仿宋"/>
                <w:sz w:val="32"/>
                <w:szCs w:val="32"/>
              </w:rPr>
              <w:t>5.采购人、采购代理机构名称；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bCs/>
                <w:sz w:val="32"/>
                <w:szCs w:val="32"/>
              </w:rPr>
            </w:pPr>
            <w:r>
              <w:rPr>
                <w:rFonts w:hint="eastAsia" w:ascii="仿宋" w:hAnsi="仿宋" w:eastAsia="仿宋" w:cs="仿宋"/>
                <w:sz w:val="32"/>
                <w:szCs w:val="32"/>
              </w:rPr>
              <w:t>响应文件的递交截止时间</w:t>
            </w:r>
          </w:p>
        </w:tc>
        <w:tc>
          <w:tcPr>
            <w:tcW w:w="7579" w:type="dxa"/>
            <w:tcBorders>
              <w:tl2br w:val="nil"/>
              <w:tr2bl w:val="nil"/>
            </w:tcBorders>
            <w:vAlign w:val="center"/>
          </w:tcPr>
          <w:p>
            <w:pPr>
              <w:adjustRightInd w:val="0"/>
              <w:snapToGrid w:val="0"/>
              <w:spacing w:line="560" w:lineRule="exact"/>
              <w:rPr>
                <w:rFonts w:ascii="仿宋" w:hAnsi="仿宋" w:eastAsia="仿宋" w:cs="仿宋"/>
                <w:sz w:val="32"/>
                <w:szCs w:val="32"/>
                <w:u w:val="single"/>
              </w:rPr>
            </w:pP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年0</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7</w:t>
            </w:r>
            <w:r>
              <w:rPr>
                <w:rFonts w:hint="eastAsia" w:ascii="仿宋" w:hAnsi="仿宋" w:eastAsia="仿宋" w:cs="仿宋"/>
                <w:sz w:val="32"/>
                <w:szCs w:val="32"/>
                <w:u w:val="single"/>
              </w:rPr>
              <w:t>日</w:t>
            </w:r>
            <w:r>
              <w:rPr>
                <w:rFonts w:hint="eastAsia" w:ascii="仿宋" w:hAnsi="仿宋" w:eastAsia="仿宋" w:cs="仿宋"/>
                <w:sz w:val="32"/>
                <w:szCs w:val="32"/>
                <w:u w:val="single"/>
                <w:lang w:val="en-US" w:eastAsia="zh-CN"/>
              </w:rPr>
              <w:t>9</w:t>
            </w:r>
            <w:r>
              <w:rPr>
                <w:rFonts w:hint="eastAsia" w:ascii="仿宋" w:hAnsi="仿宋" w:eastAsia="仿宋" w:cs="仿宋"/>
                <w:sz w:val="32"/>
                <w:szCs w:val="32"/>
                <w:u w:val="single"/>
              </w:rPr>
              <w:t>时30分</w:t>
            </w:r>
            <w:r>
              <w:rPr>
                <w:rFonts w:hint="eastAsia" w:ascii="仿宋" w:hAnsi="仿宋" w:eastAsia="仿宋" w:cs="仿宋"/>
                <w:kern w:val="0"/>
                <w:sz w:val="32"/>
                <w:szCs w:val="32"/>
                <w:lang w:val="zh-CN"/>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开启时间及</w:t>
            </w:r>
          </w:p>
          <w:p>
            <w:pPr>
              <w:adjustRightInd w:val="0"/>
              <w:snapToGrid w:val="0"/>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谈判地点</w:t>
            </w:r>
          </w:p>
        </w:tc>
        <w:tc>
          <w:tcPr>
            <w:tcW w:w="7579" w:type="dxa"/>
            <w:tcBorders>
              <w:tl2br w:val="nil"/>
              <w:tr2bl w:val="nil"/>
            </w:tcBorders>
            <w:vAlign w:val="center"/>
          </w:tcPr>
          <w:p>
            <w:pPr>
              <w:numPr>
                <w:ilvl w:val="0"/>
                <w:numId w:val="4"/>
              </w:num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响应文件开启时间：</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年0</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7</w:t>
            </w:r>
            <w:r>
              <w:rPr>
                <w:rFonts w:hint="eastAsia" w:ascii="仿宋" w:hAnsi="仿宋" w:eastAsia="仿宋" w:cs="仿宋"/>
                <w:sz w:val="32"/>
                <w:szCs w:val="32"/>
                <w:u w:val="single"/>
              </w:rPr>
              <w:t>日</w:t>
            </w:r>
            <w:r>
              <w:rPr>
                <w:rFonts w:hint="eastAsia" w:ascii="仿宋" w:hAnsi="仿宋" w:eastAsia="仿宋" w:cs="仿宋"/>
                <w:sz w:val="32"/>
                <w:szCs w:val="32"/>
                <w:u w:val="single"/>
                <w:lang w:val="en-US" w:eastAsia="zh-CN"/>
              </w:rPr>
              <w:t>9</w:t>
            </w:r>
            <w:r>
              <w:rPr>
                <w:rFonts w:hint="eastAsia" w:ascii="仿宋" w:hAnsi="仿宋" w:eastAsia="仿宋" w:cs="仿宋"/>
                <w:sz w:val="32"/>
                <w:szCs w:val="32"/>
                <w:u w:val="single"/>
              </w:rPr>
              <w:t>时30分分</w:t>
            </w:r>
            <w:r>
              <w:rPr>
                <w:rFonts w:hint="eastAsia" w:ascii="仿宋" w:hAnsi="仿宋" w:eastAsia="仿宋" w:cs="仿宋"/>
                <w:sz w:val="32"/>
                <w:szCs w:val="32"/>
              </w:rPr>
              <w:t>（北京时间）</w:t>
            </w:r>
          </w:p>
          <w:p>
            <w:pPr>
              <w:numPr>
                <w:ilvl w:val="0"/>
                <w:numId w:val="4"/>
              </w:numPr>
              <w:adjustRightInd w:val="0"/>
              <w:snapToGrid w:val="0"/>
              <w:spacing w:line="560" w:lineRule="exact"/>
              <w:rPr>
                <w:rFonts w:ascii="仿宋" w:hAnsi="仿宋" w:eastAsia="仿宋" w:cs="仿宋"/>
                <w:sz w:val="32"/>
                <w:szCs w:val="32"/>
                <w:u w:val="single"/>
              </w:rPr>
            </w:pPr>
            <w:r>
              <w:rPr>
                <w:rFonts w:hint="eastAsia" w:ascii="仿宋" w:hAnsi="仿宋" w:eastAsia="仿宋" w:cs="仿宋"/>
                <w:sz w:val="32"/>
                <w:szCs w:val="32"/>
              </w:rPr>
              <w:t>谈判地点：西宁市城中区南山路15号（城馨天悦3号楼2楼）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jc w:val="center"/>
              <w:rPr>
                <w:rFonts w:ascii="仿宋" w:hAnsi="仿宋" w:eastAsia="仿宋" w:cs="仿宋"/>
                <w:bCs/>
                <w:sz w:val="32"/>
                <w:szCs w:val="32"/>
              </w:rPr>
            </w:pPr>
            <w:r>
              <w:rPr>
                <w:rFonts w:hint="eastAsia" w:ascii="仿宋" w:hAnsi="仿宋" w:eastAsia="仿宋" w:cs="仿宋"/>
                <w:sz w:val="32"/>
                <w:szCs w:val="32"/>
              </w:rPr>
              <w:t>财政部门指定的媒体</w:t>
            </w:r>
          </w:p>
        </w:tc>
        <w:tc>
          <w:tcPr>
            <w:tcW w:w="7579" w:type="dxa"/>
            <w:tcBorders>
              <w:tl2br w:val="nil"/>
              <w:tr2bl w:val="nil"/>
            </w:tcBorders>
            <w:vAlign w:val="center"/>
          </w:tcPr>
          <w:p>
            <w:pPr>
              <w:adjustRightInd w:val="0"/>
              <w:snapToGrid w:val="0"/>
              <w:spacing w:line="560" w:lineRule="exact"/>
              <w:rPr>
                <w:rFonts w:ascii="仿宋" w:hAnsi="仿宋" w:eastAsia="仿宋" w:cs="仿宋"/>
                <w:sz w:val="32"/>
                <w:szCs w:val="32"/>
                <w:u w:val="single"/>
              </w:rPr>
            </w:pPr>
            <w:r>
              <w:rPr>
                <w:rFonts w:hint="eastAsia" w:ascii="仿宋" w:hAnsi="仿宋" w:eastAsia="仿宋" w:cs="仿宋"/>
                <w:sz w:val="32"/>
                <w:szCs w:val="32"/>
              </w:rPr>
              <w:t>青海政府采购网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180" w:type="dxa"/>
            <w:tcBorders>
              <w:tl2br w:val="nil"/>
              <w:tr2bl w:val="nil"/>
            </w:tcBorders>
          </w:tcPr>
          <w:p>
            <w:pPr>
              <w:spacing w:before="156" w:beforeLines="50" w:line="560" w:lineRule="exact"/>
              <w:jc w:val="center"/>
              <w:rPr>
                <w:rFonts w:ascii="仿宋" w:hAnsi="仿宋" w:eastAsia="仿宋" w:cs="仿宋"/>
                <w:sz w:val="32"/>
                <w:szCs w:val="32"/>
              </w:rPr>
            </w:pPr>
          </w:p>
          <w:p>
            <w:pPr>
              <w:spacing w:before="156" w:beforeLines="50" w:line="560" w:lineRule="exact"/>
              <w:ind w:firstLine="320" w:firstLineChars="100"/>
              <w:rPr>
                <w:rFonts w:ascii="仿宋" w:hAnsi="仿宋" w:eastAsia="仿宋" w:cs="仿宋"/>
                <w:sz w:val="32"/>
                <w:szCs w:val="32"/>
              </w:rPr>
            </w:pPr>
          </w:p>
          <w:p>
            <w:pPr>
              <w:spacing w:before="156" w:beforeLines="50" w:line="560" w:lineRule="exact"/>
              <w:jc w:val="center"/>
              <w:rPr>
                <w:rFonts w:ascii="仿宋" w:hAnsi="仿宋" w:eastAsia="仿宋" w:cs="仿宋"/>
                <w:sz w:val="32"/>
                <w:szCs w:val="32"/>
              </w:rPr>
            </w:pPr>
          </w:p>
          <w:p>
            <w:pPr>
              <w:spacing w:before="156" w:beforeLines="50" w:line="560" w:lineRule="exact"/>
              <w:jc w:val="center"/>
              <w:rPr>
                <w:rFonts w:ascii="仿宋" w:hAnsi="仿宋" w:eastAsia="仿宋" w:cs="仿宋"/>
                <w:sz w:val="32"/>
                <w:szCs w:val="32"/>
              </w:rPr>
            </w:pPr>
            <w:r>
              <w:rPr>
                <w:rFonts w:hint="eastAsia" w:ascii="仿宋" w:hAnsi="仿宋" w:eastAsia="仿宋" w:cs="仿宋"/>
                <w:sz w:val="32"/>
                <w:szCs w:val="32"/>
              </w:rPr>
              <w:t>政策功能</w:t>
            </w:r>
          </w:p>
        </w:tc>
        <w:tc>
          <w:tcPr>
            <w:tcW w:w="7579" w:type="dxa"/>
            <w:tcBorders>
              <w:tl2br w:val="nil"/>
              <w:tr2bl w:val="nil"/>
            </w:tcBorders>
            <w:vAlign w:val="center"/>
          </w:tcPr>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仿宋" w:hAnsi="仿宋" w:eastAsia="仿宋" w:cs="仿宋"/>
                <w:sz w:val="32"/>
                <w:szCs w:val="32"/>
                <w:u w:val="single"/>
              </w:rPr>
              <w:t>10</w:t>
            </w:r>
            <w:r>
              <w:rPr>
                <w:rFonts w:hint="eastAsia" w:ascii="仿宋" w:hAnsi="仿宋" w:eastAsia="仿宋" w:cs="仿宋"/>
                <w:sz w:val="32"/>
                <w:szCs w:val="32"/>
              </w:rPr>
              <w:t>%的价格扣除。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rPr>
                <w:rFonts w:ascii="仿宋" w:hAnsi="仿宋" w:eastAsia="仿宋" w:cs="仿宋"/>
                <w:sz w:val="32"/>
                <w:szCs w:val="32"/>
              </w:rPr>
            </w:pPr>
            <w:r>
              <w:rPr>
                <w:rFonts w:hint="eastAsia" w:ascii="仿宋" w:hAnsi="仿宋" w:eastAsia="仿宋" w:cs="仿宋"/>
                <w:sz w:val="32"/>
                <w:szCs w:val="32"/>
              </w:rPr>
              <w:t>代理服务费</w:t>
            </w:r>
          </w:p>
        </w:tc>
        <w:tc>
          <w:tcPr>
            <w:tcW w:w="7579" w:type="dxa"/>
            <w:tcBorders>
              <w:tl2br w:val="nil"/>
              <w:tr2bl w:val="nil"/>
            </w:tcBorders>
            <w:vAlign w:val="center"/>
          </w:tcPr>
          <w:p>
            <w:pPr>
              <w:adjustRightInd w:val="0"/>
              <w:snapToGrid w:val="0"/>
              <w:spacing w:line="560" w:lineRule="exact"/>
              <w:rPr>
                <w:rFonts w:ascii="仿宋" w:hAnsi="仿宋" w:eastAsia="仿宋" w:cs="仿宋"/>
                <w:kern w:val="0"/>
                <w:sz w:val="32"/>
                <w:szCs w:val="32"/>
              </w:rPr>
            </w:pPr>
            <w:r>
              <w:rPr>
                <w:rFonts w:hint="eastAsia" w:ascii="仿宋" w:hAnsi="仿宋" w:eastAsia="仿宋" w:cs="仿宋"/>
                <w:kern w:val="0"/>
                <w:sz w:val="32"/>
                <w:szCs w:val="32"/>
              </w:rPr>
              <w:t>收费标</w:t>
            </w:r>
            <w:r>
              <w:rPr>
                <w:rFonts w:hint="eastAsia" w:ascii="仿宋" w:hAnsi="仿宋" w:eastAsia="仿宋" w:cs="仿宋"/>
                <w:color w:val="000000" w:themeColor="text1"/>
                <w:kern w:val="0"/>
                <w:sz w:val="32"/>
                <w:szCs w:val="32"/>
                <w14:textFill>
                  <w14:solidFill>
                    <w14:schemeClr w14:val="tx1"/>
                  </w14:solidFill>
                </w14:textFill>
              </w:rPr>
              <w:t>准:（根据</w:t>
            </w:r>
            <w:r>
              <w:rPr>
                <w:rFonts w:hint="eastAsia" w:ascii="仿宋" w:hAnsi="仿宋" w:eastAsia="仿宋" w:cs="仿宋"/>
                <w:kern w:val="0"/>
                <w:sz w:val="32"/>
                <w:szCs w:val="32"/>
              </w:rPr>
              <w:t>《关于进一步放开建设项目专项业务服务价格的通知》（发改价格[2015]299号）规定，实行市场调节价，应严格遵守《价格法》、《关于商品和服务实行明码标价的规定》等法律法规的规定。）</w:t>
            </w:r>
          </w:p>
          <w:p>
            <w:pPr>
              <w:adjustRightInd w:val="0"/>
              <w:snapToGrid w:val="0"/>
              <w:spacing w:line="560" w:lineRule="exact"/>
              <w:rPr>
                <w:rFonts w:ascii="仿宋" w:hAnsi="仿宋" w:eastAsia="仿宋" w:cs="仿宋"/>
                <w:sz w:val="32"/>
                <w:szCs w:val="32"/>
                <w:u w:val="single"/>
              </w:rPr>
            </w:pPr>
            <w:r>
              <w:rPr>
                <w:rFonts w:hint="eastAsia" w:ascii="仿宋" w:hAnsi="仿宋" w:eastAsia="仿宋" w:cs="仿宋"/>
                <w:kern w:val="0"/>
                <w:sz w:val="32"/>
                <w:szCs w:val="32"/>
                <w:lang w:val="zh-CN"/>
              </w:rPr>
              <w:t>收取对象：</w:t>
            </w:r>
            <w:r>
              <w:rPr>
                <w:rFonts w:hint="eastAsia" w:ascii="仿宋" w:hAnsi="仿宋" w:eastAsia="仿宋" w:cs="仿宋"/>
                <w:kern w:val="0"/>
                <w:sz w:val="32"/>
                <w:szCs w:val="32"/>
                <w:u w:val="single"/>
                <w:lang w:val="zh-CN"/>
              </w:rPr>
              <w:t>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180" w:type="dxa"/>
            <w:tcBorders>
              <w:tl2br w:val="nil"/>
              <w:tr2bl w:val="nil"/>
            </w:tcBorders>
            <w:vAlign w:val="center"/>
          </w:tcPr>
          <w:p>
            <w:pPr>
              <w:adjustRightInd w:val="0"/>
              <w:snapToGrid w:val="0"/>
              <w:spacing w:before="156" w:beforeLines="50" w:line="560" w:lineRule="exact"/>
              <w:rPr>
                <w:rFonts w:ascii="仿宋" w:hAnsi="仿宋" w:eastAsia="仿宋" w:cs="仿宋"/>
                <w:sz w:val="32"/>
                <w:szCs w:val="32"/>
              </w:rPr>
            </w:pPr>
            <w:r>
              <w:rPr>
                <w:rFonts w:hint="eastAsia" w:ascii="仿宋" w:hAnsi="仿宋" w:eastAsia="仿宋" w:cs="仿宋"/>
                <w:sz w:val="32"/>
                <w:szCs w:val="32"/>
              </w:rPr>
              <w:t>其他规定</w:t>
            </w:r>
          </w:p>
        </w:tc>
        <w:tc>
          <w:tcPr>
            <w:tcW w:w="7579" w:type="dxa"/>
            <w:tcBorders>
              <w:tl2br w:val="nil"/>
              <w:tr2bl w:val="nil"/>
            </w:tcBorders>
            <w:vAlign w:val="center"/>
          </w:tcPr>
          <w:p>
            <w:pPr>
              <w:adjustRightInd w:val="0"/>
              <w:snapToGrid w:val="0"/>
              <w:spacing w:line="560" w:lineRule="exact"/>
              <w:rPr>
                <w:rFonts w:ascii="仿宋" w:hAnsi="仿宋" w:eastAsia="仿宋" w:cs="仿宋"/>
                <w:sz w:val="32"/>
                <w:szCs w:val="32"/>
                <w:u w:val="single"/>
              </w:rPr>
            </w:pPr>
            <w:r>
              <w:rPr>
                <w:rFonts w:hint="eastAsia" w:ascii="仿宋" w:hAnsi="仿宋" w:eastAsia="仿宋" w:cs="仿宋"/>
                <w:sz w:val="32"/>
                <w:szCs w:val="32"/>
              </w:rPr>
              <w:t>本公告同时在《青海政府采购网》、《青海省电子招标投标公共服务平台》、《中国采购与招标网》上发布。公告内容以青海政府采购网发布的为准。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80" w:type="dxa"/>
            <w:tcBorders>
              <w:tl2br w:val="nil"/>
              <w:tr2bl w:val="nil"/>
            </w:tcBorders>
            <w:vAlign w:val="center"/>
          </w:tcPr>
          <w:p>
            <w:pPr>
              <w:adjustRightInd w:val="0"/>
              <w:snapToGrid w:val="0"/>
              <w:spacing w:before="156" w:beforeLines="50" w:line="560" w:lineRule="exact"/>
              <w:rPr>
                <w:rFonts w:ascii="仿宋" w:hAnsi="仿宋" w:eastAsia="仿宋" w:cs="仿宋"/>
                <w:sz w:val="32"/>
                <w:szCs w:val="32"/>
              </w:rPr>
            </w:pPr>
            <w:r>
              <w:rPr>
                <w:rFonts w:hint="eastAsia" w:ascii="仿宋" w:hAnsi="仿宋" w:eastAsia="仿宋" w:cs="仿宋"/>
                <w:sz w:val="32"/>
                <w:szCs w:val="32"/>
              </w:rPr>
              <w:t>财政监管部门及电话</w:t>
            </w:r>
          </w:p>
        </w:tc>
        <w:tc>
          <w:tcPr>
            <w:tcW w:w="7579" w:type="dxa"/>
            <w:tcBorders>
              <w:tl2br w:val="nil"/>
              <w:tr2bl w:val="nil"/>
            </w:tcBorders>
            <w:vAlign w:val="center"/>
          </w:tcPr>
          <w:p>
            <w:pPr>
              <w:adjustRightInd w:val="0"/>
              <w:snapToGrid w:val="0"/>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lang w:val="zh-CN"/>
              </w:rPr>
              <w:t>监督单位：玉树市财政局</w:t>
            </w:r>
            <w:r>
              <w:rPr>
                <w:rFonts w:hint="eastAsia" w:ascii="仿宋" w:hAnsi="仿宋" w:eastAsia="仿宋" w:cs="仿宋"/>
                <w:color w:val="000000"/>
                <w:kern w:val="0"/>
                <w:sz w:val="32"/>
                <w:szCs w:val="32"/>
              </w:rPr>
              <w:t xml:space="preserve"> </w:t>
            </w:r>
          </w:p>
          <w:p>
            <w:pPr>
              <w:adjustRightInd w:val="0"/>
              <w:snapToGrid w:val="0"/>
              <w:spacing w:line="560" w:lineRule="exact"/>
              <w:rPr>
                <w:rFonts w:ascii="仿宋" w:hAnsi="仿宋" w:eastAsia="仿宋" w:cs="仿宋"/>
                <w:sz w:val="32"/>
                <w:szCs w:val="32"/>
                <w:u w:val="single"/>
              </w:rPr>
            </w:pPr>
            <w:r>
              <w:rPr>
                <w:rFonts w:hint="eastAsia" w:ascii="仿宋" w:hAnsi="仿宋" w:eastAsia="仿宋" w:cs="仿宋"/>
                <w:color w:val="000000"/>
                <w:kern w:val="0"/>
                <w:sz w:val="32"/>
                <w:szCs w:val="32"/>
                <w:lang w:val="zh-CN"/>
              </w:rPr>
              <w:t>联系电话：</w:t>
            </w:r>
            <w:r>
              <w:rPr>
                <w:rFonts w:hint="eastAsia" w:ascii="仿宋" w:hAnsi="仿宋" w:eastAsia="仿宋" w:cs="仿宋"/>
                <w:sz w:val="32"/>
                <w:szCs w:val="32"/>
              </w:rPr>
              <w:t>0976-8824177</w:t>
            </w:r>
          </w:p>
        </w:tc>
      </w:tr>
    </w:tbl>
    <w:p>
      <w:pPr>
        <w:rPr>
          <w:rFonts w:ascii="华文中宋" w:hAnsi="华文中宋" w:eastAsia="华文中宋" w:cs="华文中宋"/>
          <w:sz w:val="44"/>
          <w:szCs w:val="44"/>
        </w:rPr>
      </w:pPr>
      <w:r>
        <w:rPr>
          <w:rFonts w:hint="eastAsia" w:ascii="华文中宋" w:hAnsi="华文中宋" w:eastAsia="华文中宋" w:cs="华文中宋"/>
          <w:sz w:val="44"/>
          <w:szCs w:val="44"/>
        </w:rPr>
        <w:br w:type="page"/>
      </w:r>
    </w:p>
    <w:p>
      <w:pPr>
        <w:pStyle w:val="6"/>
        <w:adjustRightInd w:val="0"/>
        <w:snapToGrid w:val="0"/>
        <w:spacing w:before="156" w:beforeLines="50" w:line="560" w:lineRule="exact"/>
        <w:rPr>
          <w:rFonts w:ascii="华文中宋" w:hAnsi="华文中宋" w:eastAsia="华文中宋" w:cs="华文中宋"/>
          <w:b w:val="0"/>
          <w:bCs w:val="0"/>
          <w:sz w:val="32"/>
          <w:szCs w:val="32"/>
        </w:rPr>
      </w:pPr>
      <w:bookmarkStart w:id="12" w:name="_Toc112245813"/>
      <w:r>
        <w:rPr>
          <w:rFonts w:hint="eastAsia" w:ascii="华文中宋" w:hAnsi="华文中宋" w:eastAsia="华文中宋" w:cs="华文中宋"/>
          <w:b w:val="0"/>
          <w:bCs w:val="0"/>
          <w:sz w:val="44"/>
          <w:szCs w:val="44"/>
        </w:rPr>
        <w:t>第二部分  谈判须知</w:t>
      </w:r>
      <w:bookmarkEnd w:id="2"/>
      <w:bookmarkEnd w:id="3"/>
      <w:bookmarkEnd w:id="4"/>
      <w:bookmarkEnd w:id="5"/>
      <w:bookmarkEnd w:id="6"/>
      <w:bookmarkEnd w:id="7"/>
      <w:bookmarkEnd w:id="8"/>
      <w:bookmarkEnd w:id="9"/>
      <w:bookmarkEnd w:id="10"/>
      <w:bookmarkEnd w:id="12"/>
    </w:p>
    <w:p>
      <w:pPr>
        <w:adjustRightInd w:val="0"/>
        <w:snapToGrid w:val="0"/>
        <w:spacing w:before="156" w:beforeLines="50" w:line="560" w:lineRule="exact"/>
        <w:jc w:val="center"/>
        <w:outlineLvl w:val="1"/>
        <w:rPr>
          <w:rFonts w:ascii="黑体" w:hAnsi="黑体" w:eastAsia="黑体" w:cs="黑体"/>
          <w:sz w:val="32"/>
          <w:szCs w:val="32"/>
        </w:rPr>
      </w:pPr>
      <w:bookmarkStart w:id="13" w:name="_Toc17019_WPSOffice_Level2"/>
      <w:bookmarkStart w:id="14" w:name="_Toc7063_WPSOffice_Level2"/>
      <w:bookmarkStart w:id="15" w:name="_Toc112245814"/>
      <w:bookmarkStart w:id="16" w:name="_Toc29348_WPSOffice_Level2"/>
      <w:bookmarkStart w:id="17" w:name="_Toc27795"/>
      <w:bookmarkStart w:id="18" w:name="_Toc9336"/>
      <w:bookmarkStart w:id="19" w:name="_Toc34637765"/>
      <w:bookmarkStart w:id="20" w:name="_Toc16562"/>
      <w:r>
        <w:rPr>
          <w:rFonts w:hint="eastAsia" w:ascii="黑体" w:hAnsi="黑体" w:eastAsia="黑体" w:cs="黑体"/>
          <w:sz w:val="32"/>
          <w:szCs w:val="32"/>
        </w:rPr>
        <w:t>一、说明</w:t>
      </w:r>
      <w:bookmarkEnd w:id="13"/>
      <w:bookmarkEnd w:id="14"/>
      <w:bookmarkEnd w:id="15"/>
      <w:bookmarkEnd w:id="16"/>
      <w:bookmarkEnd w:id="17"/>
      <w:bookmarkEnd w:id="18"/>
      <w:bookmarkEnd w:id="19"/>
      <w:bookmarkEnd w:id="20"/>
    </w:p>
    <w:p>
      <w:pPr>
        <w:pStyle w:val="8"/>
        <w:adjustRightInd w:val="0"/>
        <w:snapToGrid w:val="0"/>
        <w:spacing w:before="156" w:beforeLines="50" w:after="0" w:line="560" w:lineRule="exact"/>
        <w:rPr>
          <w:rFonts w:ascii="楷体_GB2312" w:hAnsi="楷体_GB2312" w:eastAsia="楷体_GB2312" w:cs="楷体_GB2312"/>
        </w:rPr>
      </w:pPr>
      <w:bookmarkStart w:id="21" w:name="_Toc29026"/>
      <w:bookmarkStart w:id="22" w:name="_Toc112245815"/>
      <w:bookmarkStart w:id="23" w:name="_Toc13645"/>
      <w:bookmarkStart w:id="24" w:name="_Toc7063_WPSOffice_Level3"/>
      <w:bookmarkStart w:id="25" w:name="_Toc11775_WPSOffice_Level3"/>
      <w:r>
        <w:rPr>
          <w:rFonts w:hint="eastAsia" w:ascii="楷体_GB2312" w:hAnsi="楷体_GB2312" w:eastAsia="楷体_GB2312" w:cs="楷体_GB2312"/>
        </w:rPr>
        <w:t>1.适用范围</w:t>
      </w:r>
      <w:bookmarkEnd w:id="21"/>
      <w:bookmarkEnd w:id="22"/>
      <w:bookmarkEnd w:id="23"/>
      <w:bookmarkEnd w:id="24"/>
      <w:bookmarkEnd w:id="25"/>
    </w:p>
    <w:p>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1.1本竞争性谈判文件仅适用于前述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中所叙述的采购项目。</w:t>
      </w:r>
    </w:p>
    <w:p>
      <w:pPr>
        <w:pStyle w:val="8"/>
        <w:adjustRightInd w:val="0"/>
        <w:snapToGrid w:val="0"/>
        <w:spacing w:before="156" w:beforeLines="50" w:after="0" w:line="560" w:lineRule="exact"/>
        <w:rPr>
          <w:rFonts w:ascii="楷体_GB2312" w:hAnsi="楷体_GB2312" w:eastAsia="楷体_GB2312" w:cs="楷体_GB2312"/>
        </w:rPr>
      </w:pPr>
      <w:bookmarkStart w:id="26" w:name="_Toc12080"/>
      <w:bookmarkStart w:id="27" w:name="_Toc15754_WPSOffice_Level3"/>
      <w:bookmarkStart w:id="28" w:name="_Toc1646"/>
      <w:bookmarkStart w:id="29" w:name="_Toc112245816"/>
      <w:bookmarkStart w:id="30" w:name="_Toc2404_WPSOffice_Level3"/>
      <w:r>
        <w:rPr>
          <w:rFonts w:hint="eastAsia" w:ascii="楷体_GB2312" w:hAnsi="楷体_GB2312" w:eastAsia="楷体_GB2312" w:cs="楷体_GB2312"/>
        </w:rPr>
        <w:t>2.采购人及代理机构</w:t>
      </w:r>
      <w:bookmarkEnd w:id="26"/>
      <w:bookmarkEnd w:id="27"/>
      <w:bookmarkEnd w:id="28"/>
      <w:bookmarkEnd w:id="29"/>
      <w:bookmarkEnd w:id="30"/>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2.2采购人名称、地址、电话、联系人见【谈判须知前附表】。</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2.3采购代理机构名称、地址、电话、联系人、邮箱见【谈判须知前附表】。</w:t>
      </w:r>
    </w:p>
    <w:p>
      <w:pPr>
        <w:pStyle w:val="8"/>
        <w:adjustRightInd w:val="0"/>
        <w:snapToGrid w:val="0"/>
        <w:spacing w:before="156" w:beforeLines="50" w:after="0" w:line="560" w:lineRule="exact"/>
        <w:rPr>
          <w:rFonts w:ascii="楷体_GB2312" w:hAnsi="楷体_GB2312" w:eastAsia="楷体_GB2312" w:cs="楷体_GB2312"/>
        </w:rPr>
      </w:pPr>
      <w:bookmarkStart w:id="31" w:name="_Toc955_WPSOffice_Level3"/>
      <w:bookmarkStart w:id="32" w:name="_Toc31395"/>
      <w:bookmarkStart w:id="33" w:name="_Toc8089_WPSOffice_Level3"/>
      <w:bookmarkStart w:id="34" w:name="_Toc21695"/>
      <w:bookmarkStart w:id="35" w:name="_Toc112245817"/>
      <w:r>
        <w:rPr>
          <w:rFonts w:hint="eastAsia" w:ascii="楷体_GB2312" w:hAnsi="楷体_GB2312" w:eastAsia="楷体_GB2312" w:cs="楷体_GB2312"/>
        </w:rPr>
        <w:t>3.供应商的资格要求</w:t>
      </w:r>
      <w:bookmarkEnd w:id="31"/>
      <w:bookmarkEnd w:id="32"/>
      <w:bookmarkEnd w:id="33"/>
      <w:bookmarkEnd w:id="34"/>
      <w:bookmarkEnd w:id="35"/>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3.1供应商是指响应谈判文件要求、参加竞争性谈判采购的法人、其他组织或者自然人。</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3.2供应商应当符合【谈判须知前附表】规定的供应商资格条件。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3.3【谈判须知前附表】规定接受联合体形式的，供应商除应符合上述资格条件的规定外，还应遵守以下规定：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（l）联合体中有同类资质的供应商按照联合体分工承担相同工作的，应当按照资质等级较低的供应商确定资质等级。</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不得再单独参加或者与其他供应商组成新的联合体参加同一合同项下的采购活动。</w:t>
      </w:r>
    </w:p>
    <w:p>
      <w:pPr>
        <w:pStyle w:val="8"/>
        <w:adjustRightInd w:val="0"/>
        <w:snapToGrid w:val="0"/>
        <w:spacing w:before="156" w:beforeLines="50" w:after="0" w:line="560" w:lineRule="exact"/>
        <w:rPr>
          <w:rFonts w:ascii="楷体_GB2312" w:hAnsi="楷体_GB2312" w:eastAsia="楷体_GB2312" w:cs="楷体_GB2312"/>
        </w:rPr>
      </w:pPr>
      <w:bookmarkStart w:id="36" w:name="_Toc112245818"/>
      <w:bookmarkStart w:id="37" w:name="_Toc18921"/>
      <w:bookmarkStart w:id="38" w:name="_Toc15386"/>
      <w:bookmarkStart w:id="39" w:name="_Toc24112_WPSOffice_Level3"/>
      <w:bookmarkStart w:id="40" w:name="_Toc29322_WPSOffice_Level3"/>
      <w:r>
        <w:rPr>
          <w:rFonts w:hint="eastAsia" w:ascii="楷体_GB2312" w:hAnsi="楷体_GB2312" w:eastAsia="楷体_GB2312" w:cs="楷体_GB2312"/>
        </w:rPr>
        <w:t>4.谈判费用</w:t>
      </w:r>
      <w:bookmarkEnd w:id="36"/>
      <w:bookmarkEnd w:id="37"/>
      <w:bookmarkEnd w:id="38"/>
      <w:bookmarkEnd w:id="39"/>
      <w:bookmarkEnd w:id="40"/>
      <w:r>
        <w:rPr>
          <w:rFonts w:hint="eastAsia" w:ascii="楷体_GB2312" w:hAnsi="楷体_GB2312" w:eastAsia="楷体_GB2312" w:cs="楷体_GB2312"/>
        </w:rPr>
        <w:t xml:space="preserve"> </w:t>
      </w:r>
    </w:p>
    <w:p>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无论谈判的结果如何，供应商应自行承担所有与竞争性谈判采购活动有关的全部费用。</w:t>
      </w:r>
    </w:p>
    <w:p>
      <w:pPr>
        <w:adjustRightInd w:val="0"/>
        <w:snapToGrid w:val="0"/>
        <w:spacing w:before="156" w:beforeLines="50" w:line="560" w:lineRule="exact"/>
        <w:jc w:val="center"/>
        <w:outlineLvl w:val="1"/>
        <w:rPr>
          <w:rFonts w:ascii="黑体" w:hAnsi="黑体" w:eastAsia="黑体" w:cs="黑体"/>
          <w:sz w:val="32"/>
          <w:szCs w:val="32"/>
        </w:rPr>
      </w:pPr>
      <w:bookmarkStart w:id="41" w:name="_Toc34637766"/>
      <w:bookmarkStart w:id="42" w:name="_Toc2404_WPSOffice_Level2"/>
      <w:bookmarkStart w:id="43" w:name="_Toc28758"/>
      <w:bookmarkStart w:id="44" w:name="_Toc4912_WPSOffice_Level2"/>
      <w:bookmarkStart w:id="45" w:name="_Toc24182"/>
      <w:bookmarkStart w:id="46" w:name="_Toc112245819"/>
      <w:bookmarkStart w:id="47" w:name="_Toc19663_WPSOffice_Level2"/>
      <w:bookmarkStart w:id="48" w:name="_Toc24356"/>
      <w:r>
        <w:rPr>
          <w:rFonts w:hint="eastAsia" w:ascii="黑体" w:hAnsi="黑体" w:eastAsia="黑体" w:cs="黑体"/>
          <w:sz w:val="32"/>
          <w:szCs w:val="32"/>
        </w:rPr>
        <w:t>二、谈判文件</w:t>
      </w:r>
      <w:bookmarkEnd w:id="41"/>
      <w:bookmarkEnd w:id="42"/>
      <w:bookmarkEnd w:id="43"/>
      <w:bookmarkEnd w:id="44"/>
      <w:bookmarkEnd w:id="45"/>
      <w:bookmarkEnd w:id="46"/>
      <w:bookmarkEnd w:id="47"/>
      <w:bookmarkEnd w:id="48"/>
    </w:p>
    <w:p>
      <w:pPr>
        <w:pStyle w:val="8"/>
        <w:adjustRightInd w:val="0"/>
        <w:snapToGrid w:val="0"/>
        <w:spacing w:before="156" w:beforeLines="50" w:after="0" w:line="560" w:lineRule="exact"/>
        <w:rPr>
          <w:rFonts w:ascii="楷体_GB2312" w:hAnsi="楷体_GB2312" w:eastAsia="楷体_GB2312" w:cs="楷体_GB2312"/>
        </w:rPr>
      </w:pPr>
      <w:bookmarkStart w:id="49" w:name="_Toc112245820"/>
      <w:bookmarkStart w:id="50" w:name="_Toc14464"/>
      <w:bookmarkStart w:id="51" w:name="_Toc29785_WPSOffice_Level3"/>
      <w:bookmarkStart w:id="52" w:name="_Toc18786_WPSOffice_Level3"/>
      <w:bookmarkStart w:id="53" w:name="_Toc1826"/>
      <w:r>
        <w:rPr>
          <w:rFonts w:hint="eastAsia" w:ascii="楷体_GB2312" w:hAnsi="楷体_GB2312" w:eastAsia="楷体_GB2312" w:cs="楷体_GB2312"/>
        </w:rPr>
        <w:t>5.谈判文件的组成</w:t>
      </w:r>
      <w:bookmarkEnd w:id="49"/>
      <w:bookmarkEnd w:id="50"/>
      <w:bookmarkEnd w:id="51"/>
      <w:bookmarkEnd w:id="52"/>
      <w:bookmarkEnd w:id="53"/>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5.1谈判文件由下列文件组成：</w:t>
      </w:r>
    </w:p>
    <w:p>
      <w:pPr>
        <w:pStyle w:val="11"/>
        <w:numPr>
          <w:ilvl w:val="0"/>
          <w:numId w:val="5"/>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谈判邀请</w:t>
      </w:r>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（2）谈判须知</w:t>
      </w:r>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（3）采购需求</w:t>
      </w:r>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（4）谈判响应文件格式</w:t>
      </w:r>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（5）政府采购项目合同书范本</w:t>
      </w:r>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5.2采购人、采购代理机构或者谈判小组在提交首次响应文件截止之日前对已发出的谈判文件进行的澄清或者修改，构成谈判文件的组成部分。</w:t>
      </w:r>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5.3谈判文件中，谈判小组根据与供应商谈判情况可能实质性变动的内容见【谈判须知前附表】。对谈判文件作出的实质性变动是谈判文件的有效组成部分。</w:t>
      </w:r>
    </w:p>
    <w:p>
      <w:pPr>
        <w:pStyle w:val="8"/>
        <w:adjustRightInd w:val="0"/>
        <w:snapToGrid w:val="0"/>
        <w:spacing w:before="156" w:beforeLines="50" w:after="0" w:line="560" w:lineRule="exact"/>
        <w:rPr>
          <w:rFonts w:ascii="楷体_GB2312" w:hAnsi="楷体_GB2312" w:eastAsia="楷体_GB2312" w:cs="楷体_GB2312"/>
        </w:rPr>
      </w:pPr>
      <w:bookmarkStart w:id="54" w:name="_Toc112245821"/>
      <w:bookmarkStart w:id="55" w:name="_Toc1317"/>
      <w:bookmarkStart w:id="56" w:name="_Toc31604_WPSOffice_Level3"/>
      <w:bookmarkStart w:id="57" w:name="_Toc25455_WPSOffice_Level3"/>
      <w:bookmarkStart w:id="58" w:name="_Toc18056"/>
      <w:r>
        <w:rPr>
          <w:rFonts w:hint="eastAsia" w:ascii="楷体_GB2312" w:hAnsi="楷体_GB2312" w:eastAsia="楷体_GB2312" w:cs="楷体_GB2312"/>
        </w:rPr>
        <w:t>6.谈判文件的澄清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bookmarkEnd w:id="54"/>
      <w:bookmarkEnd w:id="55"/>
      <w:bookmarkEnd w:id="56"/>
      <w:bookmarkEnd w:id="57"/>
      <w:bookmarkEnd w:id="58"/>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6.1在提交首次响应文件截止之日前，采购人、采购代理机构或者谈判小组可以对已发出的谈判文件进行必要的澄清或者修改。</w:t>
      </w:r>
    </w:p>
    <w:p>
      <w:pPr>
        <w:pStyle w:val="11"/>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8"/>
        <w:adjustRightInd w:val="0"/>
        <w:snapToGrid w:val="0"/>
        <w:spacing w:before="156" w:beforeLines="50" w:after="0" w:line="560" w:lineRule="exact"/>
        <w:rPr>
          <w:rFonts w:ascii="楷体_GB2312" w:hAnsi="楷体_GB2312" w:eastAsia="楷体_GB2312" w:cs="楷体_GB2312"/>
        </w:rPr>
      </w:pPr>
      <w:bookmarkStart w:id="59" w:name="_Toc4138_WPSOffice_Level3"/>
      <w:bookmarkStart w:id="60" w:name="_Toc6866_WPSOffice_Level3"/>
      <w:bookmarkStart w:id="61" w:name="_Toc112245822"/>
      <w:bookmarkStart w:id="62" w:name="_Toc27004"/>
      <w:bookmarkStart w:id="63" w:name="_Toc25126"/>
      <w:bookmarkStart w:id="64" w:name="_Toc30"/>
      <w:bookmarkStart w:id="65" w:name="_Toc34637767"/>
      <w:r>
        <w:rPr>
          <w:rFonts w:hint="eastAsia" w:ascii="楷体_GB2312" w:hAnsi="楷体_GB2312" w:eastAsia="楷体_GB2312" w:cs="楷体_GB2312"/>
        </w:rPr>
        <w:t>7.谈判文件的询问或质疑</w:t>
      </w:r>
      <w:bookmarkEnd w:id="59"/>
      <w:bookmarkEnd w:id="60"/>
      <w:bookmarkEnd w:id="61"/>
      <w:bookmarkEnd w:id="62"/>
      <w:bookmarkEnd w:id="63"/>
      <w:bookmarkEnd w:id="64"/>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7.1供应商对谈判文件有疑问的，可以向采购人、采购代理机构提出询问。</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7.3供应商认为谈判文件使自己的权益受到损害的，应以书面形式提出质疑（不接受匿名质疑），供应商须在法定质疑期内一次性提出针对同一采购程序环节的质疑。</w:t>
      </w:r>
    </w:p>
    <w:p>
      <w:pPr>
        <w:adjustRightInd w:val="0"/>
        <w:snapToGrid w:val="0"/>
        <w:spacing w:before="156" w:beforeLines="50" w:line="560" w:lineRule="exact"/>
        <w:ind w:firstLine="640" w:firstLineChars="200"/>
        <w:jc w:val="center"/>
        <w:outlineLvl w:val="1"/>
        <w:rPr>
          <w:rFonts w:ascii="黑体" w:hAnsi="黑体" w:eastAsia="黑体" w:cs="黑体"/>
          <w:sz w:val="32"/>
          <w:szCs w:val="32"/>
        </w:rPr>
      </w:pPr>
      <w:bookmarkStart w:id="66" w:name="_Toc28815"/>
      <w:bookmarkStart w:id="67" w:name="_Toc112245823"/>
      <w:bookmarkStart w:id="68" w:name="_Toc955_WPSOffice_Level2"/>
      <w:bookmarkStart w:id="69" w:name="_Toc16902"/>
      <w:bookmarkStart w:id="70" w:name="_Toc5732_WPSOffice_Level2"/>
      <w:bookmarkStart w:id="71" w:name="_Toc23235_WPSOffice_Level2"/>
      <w:r>
        <w:rPr>
          <w:rFonts w:hint="eastAsia" w:ascii="黑体" w:hAnsi="黑体" w:eastAsia="黑体" w:cs="黑体"/>
          <w:sz w:val="32"/>
          <w:szCs w:val="32"/>
        </w:rPr>
        <w:t>三、响应文件</w:t>
      </w:r>
      <w:bookmarkEnd w:id="65"/>
      <w:bookmarkEnd w:id="66"/>
      <w:bookmarkEnd w:id="67"/>
      <w:bookmarkEnd w:id="68"/>
      <w:bookmarkEnd w:id="69"/>
      <w:bookmarkEnd w:id="70"/>
      <w:bookmarkEnd w:id="71"/>
    </w:p>
    <w:p>
      <w:pPr>
        <w:pStyle w:val="8"/>
        <w:adjustRightInd w:val="0"/>
        <w:snapToGrid w:val="0"/>
        <w:spacing w:before="156" w:beforeLines="50" w:after="0" w:line="560" w:lineRule="exact"/>
        <w:rPr>
          <w:rFonts w:ascii="楷体_GB2312" w:hAnsi="楷体_GB2312" w:eastAsia="楷体_GB2312" w:cs="楷体_GB2312"/>
        </w:rPr>
      </w:pPr>
      <w:bookmarkStart w:id="72" w:name="_Toc17983"/>
      <w:bookmarkStart w:id="73" w:name="_Toc112245824"/>
      <w:bookmarkStart w:id="74" w:name="_Toc1096_WPSOffice_Level3"/>
      <w:bookmarkStart w:id="75" w:name="_Toc2475"/>
      <w:bookmarkStart w:id="76" w:name="_Toc22063"/>
      <w:bookmarkStart w:id="77" w:name="_Toc10843_WPSOffice_Level3"/>
      <w:r>
        <w:rPr>
          <w:rFonts w:hint="eastAsia" w:ascii="楷体_GB2312" w:hAnsi="楷体_GB2312" w:eastAsia="楷体_GB2312" w:cs="楷体_GB2312"/>
        </w:rPr>
        <w:t>8.一般要求</w:t>
      </w:r>
      <w:bookmarkEnd w:id="72"/>
      <w:bookmarkEnd w:id="73"/>
      <w:bookmarkEnd w:id="74"/>
      <w:bookmarkEnd w:id="75"/>
      <w:bookmarkEnd w:id="76"/>
      <w:bookmarkEnd w:id="77"/>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8.3除谈判文件中另有规定外，谈判响应文件所使用的度量衡单位，均须采用国家法定计量单位。未列明时应默认为我国法定计量单位。</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8.4响应文件应采用书面形式，电报、传真、电子邮件形式的响应文件概不接受。</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8.5供应商应按谈判文件中提供的响应文件格式进行填写。</w:t>
      </w:r>
    </w:p>
    <w:p>
      <w:pPr>
        <w:pStyle w:val="8"/>
        <w:adjustRightInd w:val="0"/>
        <w:snapToGrid w:val="0"/>
        <w:spacing w:before="156" w:beforeLines="50" w:after="0" w:line="560" w:lineRule="exact"/>
        <w:rPr>
          <w:rFonts w:ascii="楷体_GB2312" w:hAnsi="楷体_GB2312" w:eastAsia="楷体_GB2312" w:cs="楷体_GB2312"/>
        </w:rPr>
      </w:pPr>
      <w:bookmarkStart w:id="78" w:name="_Toc112245825"/>
      <w:bookmarkStart w:id="79" w:name="_Toc12007"/>
      <w:bookmarkStart w:id="80" w:name="_Toc20423_WPSOffice_Level3"/>
      <w:bookmarkStart w:id="81" w:name="_Toc14527_WPSOffice_Level3"/>
      <w:bookmarkStart w:id="82" w:name="_Toc16030"/>
      <w:r>
        <w:rPr>
          <w:rFonts w:hint="eastAsia" w:ascii="楷体_GB2312" w:hAnsi="楷体_GB2312" w:eastAsia="楷体_GB2312" w:cs="楷体_GB2312"/>
        </w:rPr>
        <w:t>9.报价要求</w:t>
      </w:r>
      <w:bookmarkEnd w:id="78"/>
      <w:bookmarkEnd w:id="79"/>
      <w:bookmarkEnd w:id="80"/>
      <w:bookmarkEnd w:id="81"/>
      <w:bookmarkEnd w:id="82"/>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9.1供应商应当根据谈判文件“分项报价表”逐一报价；</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9.2在首次报价表、分项报价表、最后报价表填写报价时应注意下列要求：</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（1）采购需求要求的安装、调试、培训、售后服务及其它附加服务的费用。</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（2）所有根据合同或其它原因应由供应商交纳和支付的税款和费用。</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（3）供应商报价应为完成本竞争性谈判文件中所要求的货物/服务/工程所应包括内容的所有价格。</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hint="eastAsia" w:ascii="仿宋_GB2312" w:hAnsi="仿宋_GB2312" w:eastAsia="仿宋_GB2312" w:cs="仿宋_GB2312"/>
          <w:sz w:val="32"/>
          <w:szCs w:val="32"/>
          <w:lang w:val="zh-CN"/>
        </w:rPr>
        <w:t>供应商</w:t>
      </w:r>
      <w:r>
        <w:rPr>
          <w:rFonts w:hint="eastAsia" w:ascii="仿宋_GB2312" w:hAnsi="仿宋_GB2312" w:eastAsia="仿宋_GB2312" w:cs="仿宋_GB2312"/>
          <w:sz w:val="32"/>
          <w:szCs w:val="32"/>
        </w:rPr>
        <w:t>的每次报价均不得超过采购项目预算，否则视为无效响应。采购项目预算见【谈判须知前附表】。</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9.4供应商提交的最后报价在合同执行过程中是固定不变的，不得以任何理由予以变更。以可变动价格提交的报价将被认为是非实质响应而被拒绝。</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9.5谈判报价为总价。供应商须按要求填写谈判总报价，最后报价不得出现两个或两个以上的报价方案。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9.6报价币种为人民币。</w:t>
      </w:r>
    </w:p>
    <w:p>
      <w:pPr>
        <w:pStyle w:val="8"/>
        <w:adjustRightInd w:val="0"/>
        <w:snapToGrid w:val="0"/>
        <w:spacing w:before="156" w:beforeLines="50" w:after="0" w:line="560" w:lineRule="exact"/>
        <w:rPr>
          <w:rFonts w:ascii="楷体_GB2312" w:hAnsi="楷体_GB2312" w:eastAsia="楷体_GB2312" w:cs="楷体_GB2312"/>
        </w:rPr>
      </w:pPr>
      <w:bookmarkStart w:id="83" w:name="_Toc24956_WPSOffice_Level3"/>
      <w:bookmarkStart w:id="84" w:name="_Toc112245826"/>
      <w:bookmarkStart w:id="85" w:name="_Toc19609_WPSOffice_Level3"/>
      <w:bookmarkStart w:id="86" w:name="_Toc30481"/>
      <w:bookmarkStart w:id="87" w:name="_Toc30839"/>
      <w:r>
        <w:rPr>
          <w:rFonts w:hint="eastAsia" w:ascii="楷体_GB2312" w:hAnsi="楷体_GB2312" w:eastAsia="楷体_GB2312" w:cs="楷体_GB2312"/>
        </w:rPr>
        <w:t>10.保证金</w:t>
      </w:r>
      <w:bookmarkEnd w:id="83"/>
      <w:bookmarkEnd w:id="84"/>
      <w:bookmarkEnd w:id="85"/>
      <w:bookmarkEnd w:id="86"/>
      <w:bookmarkEnd w:id="87"/>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hint="eastAsia" w:ascii="仿宋_GB2312" w:hAnsi="仿宋_GB2312" w:eastAsia="仿宋_GB2312" w:cs="仿宋_GB2312"/>
          <w:sz w:val="32"/>
          <w:szCs w:val="32"/>
          <w:lang w:val="zh-CN"/>
        </w:rPr>
        <w:t>供应商为联合体的，可以由联合体中的一方或者共同交纳保证金，其交纳的保证金，对联合体各方均具有约束力。</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10.3保证金的退还按以下规定办理：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（1）成交供应商的保证金，在政府采购合同签订后5个工作日内退还，但因供应商自身原因导致无法退还的除外。</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（2）未成交供应商的保证金，在成交通知书发出后5个工作日内退还。</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（3）终止竞争性谈判采购活动的，在发布项目终止公告后5个工作日内退还。</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10.4有下列情形之一的，保证金不予退还，并上缴同级财政国库：</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（1）供应商在提交响应文件截止时间后撤回响应文件的；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（2）供应商在响应文件中提供虚假材料的；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（3）除因不可抗力或谈判文件认可的情形以外，成交供应商不与采购人签订合同的；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（4）供应商与采购人、其他供应商或者采购代理机构恶意串通的；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（5）谈判文件规定的其他情形。</w:t>
      </w:r>
    </w:p>
    <w:p>
      <w:pPr>
        <w:pStyle w:val="8"/>
        <w:adjustRightInd w:val="0"/>
        <w:snapToGrid w:val="0"/>
        <w:spacing w:before="156" w:beforeLines="50" w:after="0" w:line="560" w:lineRule="exact"/>
        <w:rPr>
          <w:rFonts w:ascii="楷体_GB2312" w:hAnsi="楷体_GB2312" w:eastAsia="楷体_GB2312" w:cs="楷体_GB2312"/>
        </w:rPr>
      </w:pPr>
      <w:bookmarkStart w:id="88" w:name="_Toc5897"/>
      <w:bookmarkStart w:id="89" w:name="_Toc14144"/>
      <w:bookmarkStart w:id="90" w:name="_Toc18765_WPSOffice_Level3"/>
      <w:bookmarkStart w:id="91" w:name="_Toc112245827"/>
      <w:bookmarkStart w:id="92" w:name="_Toc4945_WPSOffice_Level3"/>
      <w:r>
        <w:rPr>
          <w:rFonts w:hint="eastAsia" w:ascii="楷体_GB2312" w:hAnsi="楷体_GB2312" w:eastAsia="楷体_GB2312" w:cs="楷体_GB2312"/>
        </w:rPr>
        <w:t>11.响应文件的组成</w:t>
      </w:r>
      <w:bookmarkEnd w:id="88"/>
      <w:bookmarkEnd w:id="89"/>
      <w:bookmarkEnd w:id="90"/>
      <w:bookmarkEnd w:id="91"/>
      <w:bookmarkEnd w:id="92"/>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11.1响应文件包括下列内容：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供应商应提交相关证明材料，作为其参加谈判和成交后有能力履行合同的证明。编写的谈判响应文件须包括以下内容（格式详见谈判文件第四部分内容）：</w:t>
      </w:r>
    </w:p>
    <w:p>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11.1.1</w:t>
      </w:r>
      <w:r>
        <w:rPr>
          <w:rFonts w:hint="eastAsia" w:ascii="仿宋_GB2312" w:hAnsi="仿宋_GB2312" w:eastAsia="仿宋_GB2312" w:cs="仿宋_GB2312"/>
          <w:sz w:val="32"/>
          <w:szCs w:val="32"/>
          <w:lang w:val="zh-CN"/>
        </w:rPr>
        <w:t>资格审查部分</w:t>
      </w:r>
    </w:p>
    <w:p>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（一）资格审查部分</w:t>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"_Toc24350" </w:instrText>
      </w:r>
      <w:r>
        <w:fldChar w:fldCharType="separate"/>
      </w:r>
      <w:r>
        <w:rPr>
          <w:rFonts w:hint="eastAsia" w:ascii="仿宋_GB2312" w:hAnsi="仿宋_GB2312" w:eastAsia="仿宋_GB2312" w:cs="仿宋_GB2312"/>
          <w:sz w:val="32"/>
          <w:szCs w:val="32"/>
          <w:lang w:val="zh-CN"/>
        </w:rPr>
        <w:t>附件1：响应函</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"_Toc9026" </w:instrText>
      </w:r>
      <w:r>
        <w:fldChar w:fldCharType="separate"/>
      </w:r>
      <w:r>
        <w:rPr>
          <w:rFonts w:hint="eastAsia" w:ascii="仿宋_GB2312" w:hAnsi="仿宋_GB2312" w:eastAsia="仿宋_GB2312" w:cs="仿宋_GB2312"/>
          <w:sz w:val="32"/>
          <w:szCs w:val="32"/>
          <w:lang w:val="zh-CN"/>
        </w:rPr>
        <w:t>附件2：法定代表人证明书</w:t>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"_Toc9993" </w:instrText>
      </w:r>
      <w:r>
        <w:fldChar w:fldCharType="separate"/>
      </w:r>
      <w:r>
        <w:rPr>
          <w:rFonts w:hint="eastAsia" w:ascii="仿宋_GB2312" w:hAnsi="仿宋_GB2312" w:eastAsia="仿宋_GB2312" w:cs="仿宋_GB2312"/>
          <w:sz w:val="32"/>
          <w:szCs w:val="32"/>
          <w:lang w:val="zh-CN"/>
        </w:rPr>
        <w:t>附件3：法定代表人授权书</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"_Toc18124" </w:instrText>
      </w:r>
      <w:r>
        <w:fldChar w:fldCharType="separate"/>
      </w:r>
      <w:r>
        <w:rPr>
          <w:rFonts w:hint="eastAsia" w:ascii="仿宋_GB2312" w:hAnsi="仿宋_GB2312" w:eastAsia="仿宋_GB2312" w:cs="仿宋_GB2312"/>
          <w:sz w:val="32"/>
          <w:szCs w:val="32"/>
          <w:lang w:val="zh-CN"/>
        </w:rPr>
        <w:t>附件4：供应商承诺函</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"_Toc21295" </w:instrText>
      </w:r>
      <w:r>
        <w:fldChar w:fldCharType="separate"/>
      </w:r>
      <w:r>
        <w:rPr>
          <w:rFonts w:hint="eastAsia" w:ascii="仿宋_GB2312" w:hAnsi="仿宋_GB2312" w:eastAsia="仿宋_GB2312" w:cs="仿宋_GB2312"/>
          <w:sz w:val="32"/>
          <w:szCs w:val="32"/>
          <w:lang w:val="zh-CN"/>
        </w:rPr>
        <w:t>附件5：供应商诚信承诺书</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"_Toc25647" </w:instrText>
      </w:r>
      <w:r>
        <w:fldChar w:fldCharType="separate"/>
      </w:r>
      <w:r>
        <w:rPr>
          <w:rFonts w:hint="eastAsia" w:ascii="仿宋_GB2312" w:hAnsi="仿宋_GB2312" w:eastAsia="仿宋_GB2312" w:cs="仿宋_GB2312"/>
          <w:sz w:val="32"/>
          <w:szCs w:val="32"/>
          <w:lang w:val="zh-CN"/>
        </w:rPr>
        <w:t>附件6：供应商资格证明文件</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"_Toc25376" </w:instrText>
      </w:r>
      <w:r>
        <w:fldChar w:fldCharType="separate"/>
      </w:r>
      <w:r>
        <w:rPr>
          <w:rFonts w:hint="eastAsia" w:ascii="仿宋_GB2312" w:hAnsi="仿宋_GB2312" w:eastAsia="仿宋_GB2312" w:cs="仿宋_GB2312"/>
          <w:sz w:val="32"/>
          <w:szCs w:val="32"/>
          <w:lang w:val="zh-CN"/>
        </w:rPr>
        <w:t>附件7：财务状况、缴纳税收和社会保障资金证明</w:t>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"_Toc4907" </w:instrText>
      </w:r>
      <w:r>
        <w:fldChar w:fldCharType="separate"/>
      </w:r>
      <w:r>
        <w:rPr>
          <w:rFonts w:hint="eastAsia" w:ascii="仿宋_GB2312" w:hAnsi="仿宋_GB2312" w:eastAsia="仿宋_GB2312" w:cs="仿宋_GB2312"/>
          <w:sz w:val="32"/>
          <w:szCs w:val="32"/>
          <w:lang w:val="zh-CN"/>
        </w:rPr>
        <w:t>附件8：无重大违法记录声明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"_Toc29794" </w:instrText>
      </w:r>
      <w:r>
        <w:fldChar w:fldCharType="separate"/>
      </w:r>
      <w:r>
        <w:rPr>
          <w:rFonts w:hint="eastAsia" w:ascii="仿宋_GB2312" w:hAnsi="仿宋_GB2312" w:eastAsia="仿宋_GB2312" w:cs="仿宋_GB2312"/>
          <w:sz w:val="32"/>
          <w:szCs w:val="32"/>
          <w:lang w:val="zh-CN"/>
        </w:rPr>
        <w:t>附件9：谈判保证金证明</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（二）有效性、完整性、响应程度审查部分</w:t>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"_Toc24155" </w:instrText>
      </w:r>
      <w:r>
        <w:fldChar w:fldCharType="separate"/>
      </w:r>
      <w:r>
        <w:rPr>
          <w:rFonts w:hint="eastAsia" w:ascii="仿宋_GB2312" w:hAnsi="仿宋_GB2312" w:eastAsia="仿宋_GB2312" w:cs="仿宋_GB2312"/>
          <w:sz w:val="32"/>
          <w:szCs w:val="32"/>
          <w:lang w:val="zh-CN"/>
        </w:rPr>
        <w:t>附件10：谈判首次报价表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"_Toc24731" </w:instrText>
      </w:r>
      <w:r>
        <w:fldChar w:fldCharType="separate"/>
      </w:r>
      <w:r>
        <w:rPr>
          <w:rFonts w:hint="eastAsia" w:ascii="仿宋_GB2312" w:hAnsi="仿宋_GB2312" w:eastAsia="仿宋_GB2312" w:cs="仿宋_GB2312"/>
          <w:sz w:val="32"/>
          <w:szCs w:val="32"/>
          <w:lang w:val="zh-CN"/>
        </w:rPr>
        <w:t>附件1</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：实施方案及服务保障</w:t>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"_Toc11479" </w:instrText>
      </w:r>
      <w:r>
        <w:fldChar w:fldCharType="separate"/>
      </w:r>
      <w:r>
        <w:rPr>
          <w:rFonts w:hint="eastAsia" w:ascii="仿宋_GB2312" w:hAnsi="仿宋_GB2312" w:eastAsia="仿宋_GB2312" w:cs="仿宋_GB2312"/>
          <w:sz w:val="32"/>
          <w:szCs w:val="32"/>
          <w:lang w:val="zh-CN"/>
        </w:rPr>
        <w:t>附件1</w:t>
      </w: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：人员配备表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"_Toc8097" </w:instrText>
      </w:r>
      <w:r>
        <w:fldChar w:fldCharType="separate"/>
      </w:r>
      <w:r>
        <w:rPr>
          <w:rFonts w:hint="eastAsia" w:ascii="仿宋_GB2312" w:hAnsi="仿宋_GB2312" w:eastAsia="仿宋_GB2312" w:cs="仿宋_GB2312"/>
          <w:sz w:val="32"/>
          <w:szCs w:val="32"/>
          <w:lang w:val="zh-CN"/>
        </w:rPr>
        <w:t>附件1</w:t>
      </w: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：声明函</w:t>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"_Toc7861" </w:instrText>
      </w:r>
      <w:r>
        <w:fldChar w:fldCharType="separate"/>
      </w:r>
      <w:r>
        <w:rPr>
          <w:rFonts w:hint="eastAsia" w:ascii="仿宋_GB2312" w:hAnsi="仿宋_GB2312" w:eastAsia="仿宋_GB2312" w:cs="仿宋_GB2312"/>
          <w:sz w:val="32"/>
          <w:szCs w:val="32"/>
          <w:lang w:val="zh-CN"/>
        </w:rPr>
        <w:t>附件1</w:t>
      </w:r>
      <w:r>
        <w:rPr>
          <w:rFonts w:ascii="仿宋_GB2312" w:hAnsi="仿宋_GB2312" w:eastAsia="仿宋_GB2312" w:cs="仿宋_GB2312"/>
          <w:sz w:val="32"/>
          <w:szCs w:val="32"/>
          <w:lang w:val="zh-CN"/>
        </w:rPr>
        <w:t>4</w:t>
      </w:r>
      <w:r>
        <w:rPr>
          <w:rFonts w:hint="eastAsia" w:ascii="仿宋_GB2312" w:hAnsi="仿宋_GB2312" w:eastAsia="仿宋_GB2312" w:cs="仿宋_GB2312"/>
          <w:sz w:val="32"/>
          <w:szCs w:val="32"/>
          <w:lang w:val="zh-CN"/>
        </w:rPr>
        <w:t>：供应商认为在其他方面有必要说明的事项</w:t>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420" w:firstLineChars="200"/>
        <w:jc w:val="left"/>
        <w:rPr>
          <w:rFonts w:ascii="仿宋_GB2312" w:hAnsi="仿宋_GB2312" w:eastAsia="仿宋_GB2312" w:cs="仿宋_GB2312"/>
          <w:sz w:val="32"/>
          <w:szCs w:val="32"/>
          <w:lang w:val="zh-CN"/>
        </w:rPr>
      </w:pPr>
      <w:r>
        <w:fldChar w:fldCharType="begin"/>
      </w:r>
      <w:r>
        <w:instrText xml:space="preserve"> HYPERLINK \l "_Toc16719" </w:instrText>
      </w:r>
      <w:r>
        <w:fldChar w:fldCharType="separate"/>
      </w:r>
      <w:r>
        <w:rPr>
          <w:rFonts w:hint="eastAsia" w:ascii="仿宋_GB2312" w:hAnsi="仿宋_GB2312" w:eastAsia="仿宋_GB2312" w:cs="仿宋_GB2312"/>
          <w:sz w:val="32"/>
          <w:szCs w:val="32"/>
          <w:lang w:val="zh-CN"/>
        </w:rPr>
        <w:t>附件1</w:t>
      </w:r>
      <w:r>
        <w:rPr>
          <w:rFonts w:ascii="仿宋_GB2312" w:hAnsi="仿宋_GB2312" w:eastAsia="仿宋_GB2312" w:cs="仿宋_GB2312"/>
          <w:sz w:val="32"/>
          <w:szCs w:val="32"/>
          <w:lang w:val="zh-CN"/>
        </w:rPr>
        <w:t>5</w:t>
      </w:r>
      <w:r>
        <w:rPr>
          <w:rFonts w:hint="eastAsia" w:ascii="仿宋_GB2312" w:hAnsi="仿宋_GB2312" w:eastAsia="仿宋_GB2312" w:cs="仿宋_GB2312"/>
          <w:sz w:val="32"/>
          <w:szCs w:val="32"/>
          <w:lang w:val="zh-CN"/>
        </w:rPr>
        <w:t>：最后报价表</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fldChar w:fldCharType="end"/>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供应商须按上述内容、顺序和格式编制响应文件，并按要求编制目录、页码，并保证所提供的全部资料真实可信，自愿承担相应责任。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11.2在谈判过程中，供应商根据谈判小组书面形式要求提交的最后报价是响应文件的有效组成部分。</w:t>
      </w:r>
    </w:p>
    <w:p>
      <w:pPr>
        <w:pStyle w:val="8"/>
        <w:adjustRightInd w:val="0"/>
        <w:snapToGrid w:val="0"/>
        <w:spacing w:before="156" w:beforeLines="50" w:after="0" w:line="560" w:lineRule="exact"/>
        <w:rPr>
          <w:rFonts w:ascii="楷体_GB2312" w:hAnsi="楷体_GB2312" w:eastAsia="楷体_GB2312" w:cs="楷体_GB2312"/>
        </w:rPr>
      </w:pPr>
      <w:bookmarkStart w:id="93" w:name="_Toc14930_WPSOffice_Level3"/>
      <w:bookmarkStart w:id="94" w:name="_Toc3694_WPSOffice_Level3"/>
      <w:bookmarkStart w:id="95" w:name="_Toc112245828"/>
      <w:bookmarkStart w:id="96" w:name="_Toc26621"/>
      <w:bookmarkStart w:id="97" w:name="_Toc11674"/>
      <w:r>
        <w:rPr>
          <w:rFonts w:hint="eastAsia" w:ascii="楷体_GB2312" w:hAnsi="楷体_GB2312" w:eastAsia="楷体_GB2312" w:cs="楷体_GB2312"/>
        </w:rPr>
        <w:t>12.响应文件有效期</w:t>
      </w:r>
      <w:bookmarkEnd w:id="93"/>
      <w:bookmarkEnd w:id="94"/>
      <w:bookmarkEnd w:id="95"/>
      <w:bookmarkEnd w:id="96"/>
      <w:bookmarkEnd w:id="97"/>
    </w:p>
    <w:p>
      <w:pPr>
        <w:adjustRightInd w:val="0"/>
        <w:snapToGrid w:val="0"/>
        <w:spacing w:before="156" w:beforeLines="50"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响应文件有效期见【谈判须知前附表】，在此期间响应文件对供应商具有法律约束力，从提交首次响应文件截止时间之日起计算。响应文件有效期不足的将被视为无效响应。</w:t>
      </w:r>
    </w:p>
    <w:p>
      <w:pPr>
        <w:pStyle w:val="8"/>
        <w:adjustRightInd w:val="0"/>
        <w:snapToGrid w:val="0"/>
        <w:spacing w:before="156" w:beforeLines="50" w:after="0" w:line="560" w:lineRule="exact"/>
        <w:rPr>
          <w:rFonts w:ascii="楷体_GB2312" w:hAnsi="楷体_GB2312" w:eastAsia="楷体_GB2312" w:cs="楷体_GB2312"/>
        </w:rPr>
      </w:pPr>
      <w:bookmarkStart w:id="98" w:name="_Toc31682_WPSOffice_Level3"/>
      <w:bookmarkStart w:id="99" w:name="_Toc21033"/>
      <w:bookmarkStart w:id="100" w:name="_Toc8507_WPSOffice_Level3"/>
      <w:bookmarkStart w:id="101" w:name="_Toc20265"/>
      <w:bookmarkStart w:id="102" w:name="_Toc112245829"/>
      <w:r>
        <w:rPr>
          <w:rFonts w:hint="eastAsia" w:ascii="楷体_GB2312" w:hAnsi="楷体_GB2312" w:eastAsia="楷体_GB2312" w:cs="楷体_GB2312"/>
        </w:rPr>
        <w:t>13.响应文件的签署及规定</w:t>
      </w:r>
      <w:bookmarkEnd w:id="98"/>
      <w:bookmarkEnd w:id="99"/>
      <w:bookmarkEnd w:id="100"/>
      <w:bookmarkEnd w:id="101"/>
      <w:bookmarkEnd w:id="102"/>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13.2 </w:t>
      </w:r>
      <w:r>
        <w:rPr>
          <w:rFonts w:hint="eastAsia" w:ascii="仿宋_GB2312" w:hAnsi="仿宋_GB2312" w:eastAsia="仿宋_GB2312" w:cs="仿宋_GB2312"/>
          <w:sz w:val="32"/>
          <w:szCs w:val="32"/>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13.3响应文件正本一份，副本贰份，见【谈判须知前附表】；响应文件电子文档（U盘形式）：一份。纸质响应文件须清楚地注明“正本”或“副本”的字样。</w:t>
      </w:r>
      <w:r>
        <w:rPr>
          <w:rFonts w:hint="eastAsia" w:ascii="仿宋_GB2312" w:hAnsi="仿宋_GB2312" w:eastAsia="仿宋_GB2312" w:cs="仿宋_GB2312"/>
          <w:sz w:val="32"/>
          <w:szCs w:val="32"/>
          <w:lang w:val="zh-CN"/>
        </w:rPr>
        <w:t>电子文档用U盘制作，采用不可修改文档格式（如PDF格式），内容必须和纸质响应文件正本完全一致，包括封面、页码、签字、盖章等，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p>
    <w:p>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13.4 响应</w:t>
      </w:r>
      <w:r>
        <w:rPr>
          <w:rFonts w:hint="eastAsia" w:ascii="仿宋_GB2312" w:hAnsi="仿宋_GB2312" w:eastAsia="仿宋_GB2312" w:cs="仿宋_GB2312"/>
          <w:sz w:val="32"/>
          <w:szCs w:val="32"/>
          <w:lang w:val="zh-CN"/>
        </w:rPr>
        <w:t>文件统一使用A4幅面的纸张印制，必须胶装成册并编制目录，其他方式装订的响应文件一概不予接受。响应文件的正本需打印或用不褪色、不变质的墨水书写，副本可采用正本的复印件。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13.5 响应文件不得行间插字，若有修改错漏处，应由供应商法定代表人或者其委托代理人签字、加盖公章。否则，将导致响应文件无效。</w:t>
      </w:r>
      <w:r>
        <w:rPr>
          <w:rFonts w:hint="eastAsia" w:ascii="仿宋_GB2312" w:hAnsi="仿宋_GB2312" w:eastAsia="仿宋_GB2312" w:cs="仿宋_GB2312"/>
          <w:sz w:val="32"/>
          <w:szCs w:val="32"/>
          <w:lang w:val="zh-CN"/>
        </w:rPr>
        <w:t xml:space="preserve">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13.7供应商无论成交与否，其响应文件不予退还。</w:t>
      </w:r>
    </w:p>
    <w:p>
      <w:pPr>
        <w:adjustRightInd w:val="0"/>
        <w:snapToGrid w:val="0"/>
        <w:spacing w:before="156" w:beforeLines="50" w:line="560" w:lineRule="exact"/>
        <w:jc w:val="center"/>
        <w:outlineLvl w:val="1"/>
        <w:rPr>
          <w:rFonts w:ascii="黑体" w:hAnsi="黑体" w:eastAsia="黑体" w:cs="黑体"/>
          <w:sz w:val="32"/>
          <w:szCs w:val="32"/>
        </w:rPr>
      </w:pPr>
      <w:bookmarkStart w:id="103" w:name="_Toc25869"/>
      <w:bookmarkStart w:id="104" w:name="_Toc30575"/>
      <w:bookmarkStart w:id="105" w:name="_Toc112245830"/>
      <w:bookmarkStart w:id="106" w:name="_Toc24112_WPSOffice_Level2"/>
      <w:bookmarkStart w:id="107" w:name="_Toc34637768"/>
      <w:bookmarkStart w:id="108" w:name="_Toc31349_WPSOffice_Level2"/>
      <w:bookmarkStart w:id="109" w:name="_Toc32627_WPSOffice_Level2"/>
      <w:bookmarkStart w:id="110" w:name="_Toc8361"/>
      <w:r>
        <w:rPr>
          <w:rFonts w:hint="eastAsia" w:ascii="黑体" w:hAnsi="黑体" w:eastAsia="黑体" w:cs="黑体"/>
          <w:sz w:val="32"/>
          <w:szCs w:val="32"/>
        </w:rPr>
        <w:t>四、响应文件的递交</w:t>
      </w:r>
      <w:bookmarkEnd w:id="103"/>
      <w:bookmarkEnd w:id="104"/>
      <w:bookmarkEnd w:id="105"/>
      <w:bookmarkEnd w:id="106"/>
      <w:bookmarkEnd w:id="107"/>
      <w:bookmarkEnd w:id="108"/>
      <w:bookmarkEnd w:id="109"/>
      <w:bookmarkEnd w:id="110"/>
    </w:p>
    <w:p>
      <w:pPr>
        <w:pStyle w:val="8"/>
        <w:adjustRightInd w:val="0"/>
        <w:snapToGrid w:val="0"/>
        <w:spacing w:before="156" w:beforeLines="50" w:after="0" w:line="560" w:lineRule="exact"/>
        <w:rPr>
          <w:rFonts w:ascii="楷体_GB2312" w:hAnsi="楷体_GB2312" w:eastAsia="楷体_GB2312" w:cs="楷体_GB2312"/>
        </w:rPr>
      </w:pPr>
      <w:bookmarkStart w:id="111" w:name="_Toc4459"/>
      <w:bookmarkStart w:id="112" w:name="_Toc23622_WPSOffice_Level3"/>
      <w:bookmarkStart w:id="113" w:name="_Toc20825_WPSOffice_Level3"/>
      <w:bookmarkStart w:id="114" w:name="_Toc6095"/>
      <w:bookmarkStart w:id="115" w:name="_Toc112245831"/>
      <w:r>
        <w:rPr>
          <w:rFonts w:hint="eastAsia" w:ascii="楷体_GB2312" w:hAnsi="楷体_GB2312" w:eastAsia="楷体_GB2312" w:cs="楷体_GB2312"/>
        </w:rPr>
        <w:t>14.响应文件的密封和标记</w:t>
      </w:r>
      <w:bookmarkEnd w:id="111"/>
      <w:bookmarkEnd w:id="112"/>
      <w:bookmarkEnd w:id="113"/>
      <w:bookmarkEnd w:id="114"/>
      <w:bookmarkEnd w:id="115"/>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14.1响应文件应密封包装，以保证其响应文件信息在提交首次响应文件截止时间前不被透露。</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sz w:val="32"/>
          <w:szCs w:val="32"/>
        </w:rPr>
        <w:t>，密封袋上应写明的内容见【谈判须知前附表】</w:t>
      </w:r>
    </w:p>
    <w:p>
      <w:pPr>
        <w:pStyle w:val="8"/>
        <w:adjustRightInd w:val="0"/>
        <w:snapToGrid w:val="0"/>
        <w:spacing w:before="156" w:beforeLines="50" w:after="0" w:line="560" w:lineRule="exact"/>
        <w:rPr>
          <w:rFonts w:ascii="楷体_GB2312" w:hAnsi="楷体_GB2312" w:eastAsia="楷体_GB2312" w:cs="楷体_GB2312"/>
        </w:rPr>
      </w:pPr>
      <w:bookmarkStart w:id="116" w:name="_Toc7845_WPSOffice_Level3"/>
      <w:bookmarkStart w:id="117" w:name="_Toc1241"/>
      <w:bookmarkStart w:id="118" w:name="_Toc112245832"/>
      <w:bookmarkStart w:id="119" w:name="_Toc13231_WPSOffice_Level3"/>
      <w:bookmarkStart w:id="120" w:name="_Toc18048"/>
      <w:r>
        <w:rPr>
          <w:rFonts w:hint="eastAsia" w:ascii="楷体_GB2312" w:hAnsi="楷体_GB2312" w:eastAsia="楷体_GB2312" w:cs="楷体_GB2312"/>
        </w:rPr>
        <w:t>15.响应文件的递交与接收</w:t>
      </w:r>
      <w:bookmarkEnd w:id="116"/>
      <w:bookmarkEnd w:id="117"/>
      <w:bookmarkEnd w:id="118"/>
      <w:bookmarkEnd w:id="119"/>
      <w:bookmarkEnd w:id="120"/>
    </w:p>
    <w:p>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供应商应在【谈判须知前附表】规定的时间和地点提交响应文件。在截止时间后送达的响应文件为无效文件，采购人、采购代理机构或者谈判小组拒收逾期送达的响应文件。</w:t>
      </w:r>
    </w:p>
    <w:p>
      <w:pPr>
        <w:pStyle w:val="8"/>
        <w:adjustRightInd w:val="0"/>
        <w:snapToGrid w:val="0"/>
        <w:spacing w:before="156" w:beforeLines="50" w:after="0" w:line="560" w:lineRule="exact"/>
        <w:rPr>
          <w:rFonts w:ascii="楷体_GB2312" w:hAnsi="楷体_GB2312" w:eastAsia="楷体_GB2312" w:cs="楷体_GB2312"/>
        </w:rPr>
      </w:pPr>
      <w:bookmarkStart w:id="121" w:name="_Toc112245833"/>
      <w:bookmarkStart w:id="122" w:name="_Toc5063_WPSOffice_Level3"/>
      <w:bookmarkStart w:id="123" w:name="_Toc17912"/>
      <w:bookmarkStart w:id="124" w:name="_Toc19521_WPSOffice_Level3"/>
      <w:bookmarkStart w:id="125" w:name="_Toc31959"/>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bookmarkEnd w:id="121"/>
      <w:bookmarkEnd w:id="122"/>
      <w:bookmarkEnd w:id="123"/>
      <w:bookmarkEnd w:id="124"/>
      <w:bookmarkEnd w:id="125"/>
    </w:p>
    <w:p>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bookmarkStart w:id="126" w:name="_Toc32435"/>
      <w:bookmarkStart w:id="127" w:name="_Toc34637769"/>
      <w:r>
        <w:rPr>
          <w:rFonts w:hint="eastAsia" w:ascii="仿宋_GB2312" w:hAnsi="仿宋_GB2312" w:eastAsia="仿宋_GB2312" w:cs="仿宋_GB2312"/>
          <w:sz w:val="32"/>
          <w:szCs w:val="32"/>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6"/>
    </w:p>
    <w:p>
      <w:pPr>
        <w:adjustRightInd w:val="0"/>
        <w:snapToGrid w:val="0"/>
        <w:spacing w:before="156" w:beforeLines="50" w:line="560" w:lineRule="exact"/>
        <w:jc w:val="center"/>
        <w:outlineLvl w:val="1"/>
        <w:rPr>
          <w:rFonts w:ascii="黑体" w:hAnsi="黑体" w:eastAsia="黑体" w:cs="黑体"/>
          <w:sz w:val="32"/>
          <w:szCs w:val="32"/>
        </w:rPr>
      </w:pPr>
      <w:bookmarkStart w:id="128" w:name="_Toc112245834"/>
      <w:bookmarkStart w:id="129" w:name="_Toc25721_WPSOffice_Level2"/>
      <w:bookmarkStart w:id="130" w:name="_Toc31993"/>
      <w:bookmarkStart w:id="131" w:name="_Toc29785_WPSOffice_Level2"/>
      <w:bookmarkStart w:id="132" w:name="_Toc10968"/>
      <w:bookmarkStart w:id="133" w:name="_Toc12974"/>
      <w:bookmarkStart w:id="134" w:name="_Toc18610_WPSOffice_Level2"/>
      <w:r>
        <w:rPr>
          <w:rFonts w:hint="eastAsia" w:ascii="黑体" w:hAnsi="黑体" w:eastAsia="黑体" w:cs="黑体"/>
          <w:sz w:val="32"/>
          <w:szCs w:val="32"/>
        </w:rPr>
        <w:t>五、响应文件的评审与谈判</w:t>
      </w:r>
      <w:bookmarkEnd w:id="127"/>
      <w:bookmarkEnd w:id="128"/>
      <w:bookmarkEnd w:id="129"/>
      <w:bookmarkEnd w:id="130"/>
      <w:bookmarkEnd w:id="131"/>
      <w:bookmarkEnd w:id="132"/>
      <w:bookmarkEnd w:id="133"/>
      <w:bookmarkEnd w:id="134"/>
    </w:p>
    <w:p>
      <w:pPr>
        <w:pStyle w:val="8"/>
        <w:adjustRightInd w:val="0"/>
        <w:snapToGrid w:val="0"/>
        <w:spacing w:before="156" w:beforeLines="50" w:after="0" w:line="560" w:lineRule="exact"/>
        <w:rPr>
          <w:rFonts w:ascii="楷体_GB2312" w:hAnsi="楷体_GB2312" w:eastAsia="楷体_GB2312" w:cs="楷体_GB2312"/>
        </w:rPr>
      </w:pPr>
      <w:bookmarkStart w:id="135" w:name="_Toc18713_WPSOffice_Level3"/>
      <w:bookmarkStart w:id="136" w:name="_Toc26446"/>
      <w:bookmarkStart w:id="137" w:name="_Toc112245835"/>
      <w:bookmarkStart w:id="138" w:name="_Toc174"/>
      <w:bookmarkStart w:id="139" w:name="_Toc19596_WPSOffice_Level3"/>
      <w:r>
        <w:rPr>
          <w:rFonts w:hint="eastAsia" w:ascii="楷体_GB2312" w:hAnsi="楷体_GB2312" w:eastAsia="楷体_GB2312" w:cs="楷体_GB2312"/>
        </w:rPr>
        <w:t>17.谈判小组</w:t>
      </w:r>
      <w:bookmarkEnd w:id="135"/>
      <w:bookmarkEnd w:id="136"/>
      <w:bookmarkEnd w:id="137"/>
      <w:bookmarkEnd w:id="138"/>
      <w:bookmarkEnd w:id="139"/>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17.1竞争性谈判小组由评审专家共</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人组成（3人以上单数组成），其中评审专家</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名或评审专家</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rPr>
        <w:t>名（评审专家人数不得少于竞争性谈判小组成员总数的2/3）。采购人不得以评审专家身份参加本采购项目的评审。谈判小组评审专家从政府采购评审专家库内相关专业的专家名单中随机抽取。</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17.2谈判由采购代理机构负责组织，具体谈判事务由依法组建的谈判小组负责，并独立履行下列职责：</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（1）确认谈判文件；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（2）审查供应商的响应文件并作出评价；</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（3）要求供应商对谈判文件有关事项作出澄清或者说明；</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（4）编写评审报告；</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（5）确定成交候选人名单，以及根据采购人委托直接确定成交供应商；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（6）告知采购人、采购代理机构在评审过程中发现的供应商的违法违规行为。</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17.3谈判小组应遵守并履行下列义务：</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（1）遵纪守法，客观、公正、廉洁地履行职责；</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（2）按照谈判文件规定的成交方法评审，对评审意见承担谈判小组成员责任；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（3）对谈判响应文件、谈判情况和谈判中获悉的国家秘密、商业秘密保密；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（4）参与评审报告的起草；</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（5）配合采购人、采购代理机构答复供应商提出的质疑；</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（6）配合财政部门的投诉处理和监督检查工作。</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17.4谈判小组成员有下列情形之一的，应当回避：</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（1）参加采购活动前 3 年内与供应商存在劳动关系；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（2）参加采购活动前 3 年内担任供应商的董事、监事；</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（3）参加采购活动前 3 年内是供应商的控股股东或者实际控制人；</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（4）与供应商的法定代表人或者负责人有夫妻、直系血亲、三代以内旁系血亲或者近姻亲关系；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（5）与供应商有其他可能影响政府采购活动公平、公正进行的关系。</w:t>
      </w:r>
      <w:bookmarkStart w:id="140" w:name="_Toc16350_WPSOffice_Level3"/>
      <w:bookmarkStart w:id="141" w:name="_Toc19122"/>
    </w:p>
    <w:p>
      <w:pPr>
        <w:pStyle w:val="8"/>
        <w:adjustRightInd w:val="0"/>
        <w:snapToGrid w:val="0"/>
        <w:spacing w:before="156" w:beforeLines="50" w:after="0" w:line="560" w:lineRule="exact"/>
        <w:rPr>
          <w:rFonts w:ascii="楷体_GB2312" w:hAnsi="楷体_GB2312" w:eastAsia="楷体_GB2312" w:cs="楷体_GB2312"/>
        </w:rPr>
      </w:pPr>
      <w:bookmarkStart w:id="142" w:name="_Toc22044_WPSOffice_Level3"/>
      <w:bookmarkStart w:id="143" w:name="_Toc112245836"/>
      <w:r>
        <w:rPr>
          <w:rFonts w:hint="eastAsia" w:ascii="楷体_GB2312" w:hAnsi="楷体_GB2312" w:eastAsia="楷体_GB2312" w:cs="楷体_GB2312"/>
        </w:rPr>
        <w:t>18.响应文件审查</w:t>
      </w:r>
      <w:bookmarkEnd w:id="140"/>
      <w:bookmarkEnd w:id="141"/>
      <w:bookmarkEnd w:id="142"/>
      <w:bookmarkEnd w:id="143"/>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18.1谈判小组应当对响应文件进行评审，并根据谈判文件规定的程序、评定成交的标准等事项与实质性响应谈判文件要求的供应商进行谈判。</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18.2在对供应商进行审查时，存在下列情况之一的，按无效处理：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（1）不符合谈判文件第一部分谈判须知前附表“供应商资格条件”的；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（2）未按第11.1.1款“</w:t>
      </w:r>
      <w:r>
        <w:rPr>
          <w:rFonts w:hint="eastAsia" w:ascii="仿宋_GB2312" w:hAnsi="仿宋_GB2312" w:eastAsia="仿宋_GB2312" w:cs="仿宋_GB2312"/>
          <w:sz w:val="32"/>
          <w:szCs w:val="32"/>
          <w:lang w:val="zh-CN"/>
        </w:rPr>
        <w:t>资格审查部分</w:t>
      </w:r>
      <w:r>
        <w:rPr>
          <w:rFonts w:hint="eastAsia" w:ascii="仿宋_GB2312" w:hAnsi="仿宋_GB2312" w:eastAsia="仿宋_GB2312" w:cs="仿宋_GB2312"/>
          <w:sz w:val="32"/>
          <w:szCs w:val="32"/>
        </w:rPr>
        <w:t>”要求提供相关资料的；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（3）响应文件没有按谈判文件规定和要求签字、盖章的；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（4）谈判有效期不能满足谈判文件要求的；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（5）谈判报价超过谈判文件规定的采购预算额度的；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（6）所提供产品的技术规格、技术标准不符合采购项目要求的；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（7）谈判响应文件含有采购人不能接受的附加条件的；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（8）响应文件不满足谈判文件实质性要求和条件的；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（9）谈判小组认为应按无效谈判处理的其他情况；</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（10）法律、法规规定的其他情形。</w:t>
      </w:r>
    </w:p>
    <w:p>
      <w:pPr>
        <w:pStyle w:val="8"/>
        <w:adjustRightInd w:val="0"/>
        <w:snapToGrid w:val="0"/>
        <w:spacing w:before="156" w:beforeLines="50" w:after="0" w:line="560" w:lineRule="exact"/>
        <w:rPr>
          <w:rFonts w:ascii="楷体_GB2312" w:hAnsi="楷体_GB2312" w:eastAsia="楷体_GB2312" w:cs="楷体_GB2312"/>
        </w:rPr>
      </w:pPr>
      <w:bookmarkStart w:id="144" w:name="_Toc1673_WPSOffice_Level3"/>
      <w:bookmarkStart w:id="145" w:name="_Toc11154"/>
      <w:bookmarkStart w:id="146" w:name="_Toc112245837"/>
      <w:bookmarkStart w:id="147" w:name="_Toc17887_WPSOffice_Level3"/>
      <w:bookmarkStart w:id="148" w:name="_Toc17197"/>
      <w:r>
        <w:rPr>
          <w:rFonts w:hint="eastAsia" w:ascii="楷体_GB2312" w:hAnsi="楷体_GB2312" w:eastAsia="楷体_GB2312" w:cs="楷体_GB2312"/>
        </w:rPr>
        <w:t>19.谈判程序</w:t>
      </w:r>
      <w:bookmarkEnd w:id="144"/>
      <w:bookmarkEnd w:id="145"/>
      <w:bookmarkEnd w:id="146"/>
      <w:bookmarkEnd w:id="147"/>
      <w:bookmarkEnd w:id="148"/>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19.2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w:t>
      </w:r>
      <w:r>
        <w:rPr>
          <w:rFonts w:hint="eastAsia" w:ascii="仿宋_GB2312" w:hAnsi="仿宋_GB2312" w:eastAsia="仿宋_GB2312" w:cs="仿宋_GB2312"/>
          <w:color w:val="000000" w:themeColor="text1"/>
          <w:sz w:val="32"/>
          <w:szCs w:val="32"/>
          <w14:textFill>
            <w14:solidFill>
              <w14:schemeClr w14:val="tx1"/>
            </w14:solidFill>
          </w14:textFill>
        </w:rPr>
        <w:t>应商。</w:t>
      </w:r>
    </w:p>
    <w:p>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19.4响应文件中首次报价表内的报价为首次报价，根据技术、服务等满足谈判文件要求的情况，供应商可</w:t>
      </w:r>
      <w:r>
        <w:rPr>
          <w:rFonts w:hint="eastAsia" w:ascii="仿宋_GB2312" w:hAnsi="仿宋_GB2312" w:eastAsia="仿宋_GB2312" w:cs="仿宋_GB2312"/>
          <w:sz w:val="32"/>
          <w:szCs w:val="32"/>
        </w:rPr>
        <w:t>进行二次报价。</w:t>
      </w:r>
    </w:p>
    <w:p>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19.5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19.6谈判工作在有关部门的监督下依法开展，任何单位和个人不得非法干预、影响谈判工作和谈判结果。</w:t>
      </w:r>
    </w:p>
    <w:p>
      <w:pPr>
        <w:pStyle w:val="8"/>
        <w:adjustRightInd w:val="0"/>
        <w:snapToGrid w:val="0"/>
        <w:spacing w:before="156" w:beforeLines="50" w:after="0" w:line="560" w:lineRule="exact"/>
        <w:rPr>
          <w:rFonts w:ascii="楷体_GB2312" w:hAnsi="楷体_GB2312" w:eastAsia="楷体_GB2312" w:cs="楷体_GB2312"/>
        </w:rPr>
      </w:pPr>
      <w:bookmarkStart w:id="149" w:name="_Toc112245838"/>
      <w:bookmarkStart w:id="150" w:name="_Toc25644_WPSOffice_Level3"/>
      <w:bookmarkStart w:id="151" w:name="_Toc24288_WPSOffice_Level3"/>
      <w:bookmarkStart w:id="152" w:name="_Toc14903"/>
      <w:bookmarkStart w:id="153" w:name="_Toc2176"/>
      <w:r>
        <w:rPr>
          <w:rFonts w:hint="eastAsia" w:ascii="楷体_GB2312" w:hAnsi="楷体_GB2312" w:eastAsia="楷体_GB2312" w:cs="楷体_GB2312"/>
        </w:rPr>
        <w:t>20.澄清</w:t>
      </w:r>
      <w:bookmarkEnd w:id="149"/>
      <w:bookmarkEnd w:id="150"/>
      <w:bookmarkEnd w:id="151"/>
      <w:bookmarkEnd w:id="152"/>
      <w:bookmarkEnd w:id="153"/>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8"/>
        <w:adjustRightInd w:val="0"/>
        <w:snapToGrid w:val="0"/>
        <w:spacing w:before="156" w:beforeLines="50" w:after="0" w:line="560" w:lineRule="exact"/>
        <w:rPr>
          <w:rFonts w:ascii="楷体_GB2312" w:hAnsi="楷体_GB2312" w:eastAsia="楷体_GB2312" w:cs="楷体_GB2312"/>
        </w:rPr>
      </w:pPr>
      <w:bookmarkStart w:id="154" w:name="_Toc13262_WPSOffice_Level3"/>
      <w:bookmarkStart w:id="155" w:name="_Toc8374"/>
      <w:bookmarkStart w:id="156" w:name="_Toc112245839"/>
      <w:bookmarkStart w:id="157" w:name="_Toc4997"/>
      <w:bookmarkStart w:id="158" w:name="_Toc6898_WPSOffice_Level3"/>
      <w:r>
        <w:rPr>
          <w:rFonts w:hint="eastAsia" w:ascii="楷体_GB2312" w:hAnsi="楷体_GB2312" w:eastAsia="楷体_GB2312" w:cs="楷体_GB2312"/>
        </w:rPr>
        <w:t>21.退出谈判</w:t>
      </w:r>
      <w:bookmarkEnd w:id="154"/>
      <w:bookmarkEnd w:id="155"/>
      <w:bookmarkEnd w:id="156"/>
      <w:bookmarkEnd w:id="157"/>
      <w:bookmarkEnd w:id="158"/>
    </w:p>
    <w:p>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8"/>
        <w:adjustRightInd w:val="0"/>
        <w:snapToGrid w:val="0"/>
        <w:spacing w:before="156" w:beforeLines="50" w:after="0" w:line="560" w:lineRule="exact"/>
        <w:rPr>
          <w:rFonts w:ascii="楷体_GB2312" w:hAnsi="楷体_GB2312" w:eastAsia="楷体_GB2312" w:cs="楷体_GB2312"/>
        </w:rPr>
      </w:pPr>
      <w:bookmarkStart w:id="159" w:name="_Toc32003"/>
      <w:bookmarkStart w:id="160" w:name="_Toc5048_WPSOffice_Level3"/>
      <w:bookmarkStart w:id="161" w:name="_Toc112245840"/>
      <w:bookmarkStart w:id="162" w:name="_Toc14748"/>
      <w:bookmarkStart w:id="163" w:name="_Toc18169_WPSOffice_Level3"/>
      <w:r>
        <w:rPr>
          <w:rFonts w:hint="eastAsia" w:ascii="楷体_GB2312" w:hAnsi="楷体_GB2312" w:eastAsia="楷体_GB2312" w:cs="楷体_GB2312"/>
        </w:rPr>
        <w:t>22.最后报价</w:t>
      </w:r>
      <w:bookmarkEnd w:id="159"/>
      <w:bookmarkEnd w:id="160"/>
      <w:bookmarkEnd w:id="161"/>
      <w:bookmarkEnd w:id="162"/>
      <w:bookmarkEnd w:id="163"/>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22.2最后报价的评审</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（1）最后报价出现大写金额和小写金额不一致的，以大写金额为准。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（2）需落实政府采购政策的，按相关规定进行价格扣除。</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22.3最后报价如果高于其响应文件中的首次报价的，以最低报价为准。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22.4采购人、采购代理机构在按规定公布供应商的最后报价前，不得公开供应商的技术资料、价格和其他信息。</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22.5若最后报价时出现最低价相同的情形，谈判小组应召集报价相同的供应商直接提出成交候选人（由采购人自主选择）。</w:t>
      </w:r>
    </w:p>
    <w:p>
      <w:pPr>
        <w:pStyle w:val="8"/>
        <w:adjustRightInd w:val="0"/>
        <w:snapToGrid w:val="0"/>
        <w:spacing w:before="156" w:beforeLines="50" w:after="0" w:line="560" w:lineRule="exact"/>
        <w:rPr>
          <w:rFonts w:ascii="楷体_GB2312" w:hAnsi="楷体_GB2312" w:eastAsia="楷体_GB2312" w:cs="楷体_GB2312"/>
        </w:rPr>
      </w:pPr>
      <w:bookmarkStart w:id="164" w:name="_Toc1797"/>
      <w:bookmarkStart w:id="165" w:name="_Toc8242_WPSOffice_Level3"/>
      <w:bookmarkStart w:id="166" w:name="_Toc16084_WPSOffice_Level3"/>
      <w:bookmarkStart w:id="167" w:name="_Toc7275"/>
      <w:bookmarkStart w:id="168" w:name="_Toc112245841"/>
      <w:r>
        <w:rPr>
          <w:rFonts w:hint="eastAsia" w:ascii="楷体_GB2312" w:hAnsi="楷体_GB2312" w:eastAsia="楷体_GB2312" w:cs="楷体_GB2312"/>
        </w:rPr>
        <w:t>23.确定成交供应商</w:t>
      </w:r>
      <w:bookmarkEnd w:id="164"/>
      <w:bookmarkEnd w:id="165"/>
      <w:bookmarkEnd w:id="166"/>
      <w:bookmarkEnd w:id="167"/>
      <w:bookmarkEnd w:id="168"/>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23.3采购代理机构应当在评审结束后2个工作日内将评审报告送采购人确认。</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23.5采购人逾期未确定成交供应商且不提出异议的，视为确定评审报告提出的最后报价最低的供应商为成交供应商。</w:t>
      </w:r>
    </w:p>
    <w:p>
      <w:pPr>
        <w:pStyle w:val="8"/>
        <w:adjustRightInd w:val="0"/>
        <w:snapToGrid w:val="0"/>
        <w:spacing w:before="156" w:beforeLines="50" w:after="0" w:line="560" w:lineRule="exact"/>
        <w:rPr>
          <w:rFonts w:ascii="楷体_GB2312" w:hAnsi="楷体_GB2312" w:eastAsia="楷体_GB2312" w:cs="楷体_GB2312"/>
        </w:rPr>
      </w:pPr>
      <w:bookmarkStart w:id="169" w:name="_Toc17639_WPSOffice_Level3"/>
      <w:bookmarkStart w:id="170" w:name="_Toc112245842"/>
      <w:bookmarkStart w:id="171" w:name="_Toc10295"/>
      <w:bookmarkStart w:id="172" w:name="_Toc24684"/>
      <w:bookmarkStart w:id="173" w:name="_Toc20869_WPSOffice_Level3"/>
      <w:r>
        <w:rPr>
          <w:rFonts w:hint="eastAsia" w:ascii="楷体_GB2312" w:hAnsi="楷体_GB2312" w:eastAsia="楷体_GB2312" w:cs="楷体_GB2312"/>
        </w:rPr>
        <w:t>24.重新评审</w:t>
      </w:r>
      <w:bookmarkEnd w:id="169"/>
      <w:bookmarkEnd w:id="170"/>
      <w:bookmarkEnd w:id="171"/>
      <w:bookmarkEnd w:id="172"/>
      <w:bookmarkEnd w:id="173"/>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24.1除资格审查认定错误和价格计算错误外，采购人、采购代理机构不以任何理由组织重新评审。</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24.2采购人、采购代理机构发现谈判小组未按照谈判文件规定的评定成交标准进行评审的，应当重新开展采购活动，并同时书面报告同级财政部门。</w:t>
      </w:r>
    </w:p>
    <w:p>
      <w:pPr>
        <w:pStyle w:val="8"/>
        <w:adjustRightInd w:val="0"/>
        <w:snapToGrid w:val="0"/>
        <w:spacing w:before="156" w:beforeLines="50" w:after="0" w:line="560" w:lineRule="exact"/>
        <w:rPr>
          <w:rFonts w:ascii="楷体_GB2312" w:hAnsi="楷体_GB2312" w:eastAsia="楷体_GB2312" w:cs="楷体_GB2312"/>
        </w:rPr>
      </w:pPr>
      <w:bookmarkStart w:id="174" w:name="_Toc112245843"/>
      <w:bookmarkStart w:id="175" w:name="_Toc26374_WPSOffice_Level3"/>
      <w:bookmarkStart w:id="176" w:name="_Toc12673"/>
      <w:bookmarkStart w:id="177" w:name="_Toc3509"/>
      <w:bookmarkStart w:id="178" w:name="_Toc1388_WPSOffice_Level3"/>
      <w:r>
        <w:rPr>
          <w:rFonts w:hint="eastAsia" w:ascii="楷体_GB2312" w:hAnsi="楷体_GB2312" w:eastAsia="楷体_GB2312" w:cs="楷体_GB2312"/>
        </w:rPr>
        <w:t>25.谈判终止</w:t>
      </w:r>
      <w:bookmarkEnd w:id="174"/>
      <w:bookmarkEnd w:id="175"/>
      <w:bookmarkEnd w:id="176"/>
      <w:bookmarkEnd w:id="177"/>
      <w:bookmarkEnd w:id="178"/>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25.1出现下列情形之一的，采购人、采购代理机构应当终止竞争性谈判采购活动，在指定的媒体上发布项目终止公告并说明原因，重新开展采购活动：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（1）因情况变化，不再符合规定的竞争性谈判采购方式适用情形的；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（2）出现影响采购公正的违法、违规行为的；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（3）在采购过程中符合谈判要求的供应商或者报价未超过采购预算的供应商不足3家的，或者提交最后报价的供应商少于3家的；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（4）因重大变故，采购任务取消的。</w:t>
      </w:r>
    </w:p>
    <w:p>
      <w:pPr>
        <w:pStyle w:val="8"/>
        <w:adjustRightInd w:val="0"/>
        <w:snapToGrid w:val="0"/>
        <w:spacing w:before="156" w:beforeLines="50" w:after="0" w:line="560" w:lineRule="exact"/>
        <w:rPr>
          <w:rFonts w:ascii="楷体_GB2312" w:hAnsi="楷体_GB2312" w:eastAsia="楷体_GB2312" w:cs="楷体_GB2312"/>
        </w:rPr>
      </w:pPr>
      <w:bookmarkStart w:id="179" w:name="_Toc32730"/>
      <w:bookmarkStart w:id="180" w:name="_Toc20688_WPSOffice_Level3"/>
      <w:bookmarkStart w:id="181" w:name="_Toc11721"/>
      <w:bookmarkStart w:id="182" w:name="_Toc112245844"/>
      <w:bookmarkStart w:id="183" w:name="_Toc18635_WPSOffice_Level3"/>
      <w:r>
        <w:rPr>
          <w:rFonts w:hint="eastAsia" w:ascii="楷体_GB2312" w:hAnsi="楷体_GB2312" w:eastAsia="楷体_GB2312" w:cs="楷体_GB2312"/>
        </w:rPr>
        <w:t>26.串通情形认定及处理</w:t>
      </w:r>
      <w:bookmarkEnd w:id="179"/>
      <w:bookmarkEnd w:id="180"/>
      <w:bookmarkEnd w:id="181"/>
      <w:bookmarkEnd w:id="182"/>
      <w:bookmarkEnd w:id="183"/>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32"/>
          <w:szCs w:val="32"/>
        </w:rPr>
        <w:t>采购工作。</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26.2有下列情形之一的，成交无效，对供应商</w:t>
      </w:r>
      <w:r>
        <w:rPr>
          <w:rFonts w:hint="eastAsia" w:ascii="仿宋" w:hAnsi="仿宋" w:eastAsia="仿宋" w:cs="仿宋"/>
          <w:sz w:val="32"/>
          <w:szCs w:val="32"/>
          <w:lang w:val="zh-CN"/>
        </w:rPr>
        <w:t>依照《政府采购法》第七十七条的规定追究法律责任：</w:t>
      </w:r>
    </w:p>
    <w:p>
      <w:pPr>
        <w:spacing w:line="560" w:lineRule="exact"/>
        <w:rPr>
          <w:rFonts w:hint="eastAsia" w:ascii="仿宋" w:hAnsi="仿宋" w:eastAsia="仿宋" w:cs="仿宋"/>
          <w:sz w:val="32"/>
          <w:szCs w:val="32"/>
          <w:lang w:eastAsia="zh-CN"/>
        </w:rPr>
      </w:pPr>
      <w:bookmarkStart w:id="184" w:name="_Toc34637770"/>
      <w:bookmarkStart w:id="185" w:name="_Toc22761"/>
      <w:r>
        <w:rPr>
          <w:rFonts w:hint="eastAsia" w:ascii="仿宋" w:hAnsi="仿宋" w:eastAsia="仿宋" w:cs="仿宋"/>
          <w:sz w:val="32"/>
          <w:szCs w:val="32"/>
        </w:rPr>
        <w:t xml:space="preserve">   （1）供应商直接或者间接从采购人或者采购代理机构处获得其他供应商的相关情况并修改其响应文件；</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 xml:space="preserve">   （2）供应商按照采购人或者采购代理机构的授意撤换、修改响应文件；</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 xml:space="preserve">   （3）供应商之间协商报价、技术方案等响应文件的实质性内容；</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 xml:space="preserve">   （4）属于同一集团、协会、商会等组织成员的供应商按照该组织要求协同参加政府采购活动；</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 xml:space="preserve">   （5）供应商之间事先约定由某一特定供应商成交；</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 xml:space="preserve">   （6）供应商之间商定部分供应商放弃参加政府采购活动或者放弃成交；</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（7）供应商与采购人或者采购代理机构之间、供应商相互之间，为谋求特定供应商成交或者排斥其他供应商的其他串通行为。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26.3 有下列情形之一的，视为供应商串通，其响应无效：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（1）不同供应商的响应文件由同一单位或者个人编制；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（2）不同供应商委托同一单位或者个人办理谈判事宜；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（3）不同供应商的响应文件载明的项目管理成员或者联系人员为同一人；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（5）不同供应商的响应文件相互混装；</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（6）不同供应商的保证金从同一单位或者个人的账户转出。</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               六、成交结果信息公布与授予合同</w:t>
      </w:r>
      <w:bookmarkEnd w:id="184"/>
      <w:bookmarkEnd w:id="185"/>
    </w:p>
    <w:p>
      <w:pPr>
        <w:pStyle w:val="8"/>
        <w:adjustRightInd w:val="0"/>
        <w:snapToGrid w:val="0"/>
        <w:spacing w:before="156" w:beforeLines="50" w:after="0" w:line="560" w:lineRule="exact"/>
        <w:rPr>
          <w:rFonts w:ascii="仿宋_GB2312" w:hAnsi="仿宋_GB2312" w:eastAsia="仿宋_GB2312" w:cs="仿宋_GB2312"/>
          <w:sz w:val="30"/>
          <w:szCs w:val="30"/>
        </w:rPr>
      </w:pPr>
      <w:bookmarkStart w:id="186" w:name="_Toc947"/>
      <w:bookmarkStart w:id="187" w:name="_Toc23126"/>
      <w:bookmarkStart w:id="188" w:name="_Toc8339_WPSOffice_Level3"/>
      <w:bookmarkStart w:id="189" w:name="_Toc30784_WPSOffice_Level3"/>
      <w:bookmarkStart w:id="190" w:name="_Toc112245845"/>
      <w:r>
        <w:rPr>
          <w:rFonts w:hint="eastAsia" w:ascii="楷体_GB2312" w:hAnsi="楷体_GB2312" w:eastAsia="楷体_GB2312" w:cs="楷体_GB2312"/>
        </w:rPr>
        <w:t>27.成交信息的公布与通知</w:t>
      </w:r>
      <w:bookmarkEnd w:id="186"/>
      <w:bookmarkEnd w:id="187"/>
      <w:bookmarkEnd w:id="188"/>
      <w:bookmarkEnd w:id="189"/>
      <w:bookmarkEnd w:id="190"/>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27.1代理机构应自确定成交供应商之日起2个工作日内在青海政府采购信息网上公告成交结果，同时向成交供应商发出《成交通知书》。成交通知书对采购人和成交供应商具有同等法律效力。</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27.2成交结果公告应当包括以下内容：</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（1）采购人和采购代理机构的名称、地址和联系方式；</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（2）项目名称和项目编号；</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（3）成交供应商名称、地址和成交金额；</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（4）主要成交标的的名称、规格型号、数量、单价、服务要求；</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（5）谈判小组成员名单。</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27.3《成交通知书》发出后，采购人不得违法改变采购结果，成交供应商无正当理由不得放弃。</w:t>
      </w:r>
    </w:p>
    <w:p>
      <w:pPr>
        <w:pStyle w:val="8"/>
        <w:adjustRightInd w:val="0"/>
        <w:snapToGrid w:val="0"/>
        <w:spacing w:before="156" w:beforeLines="50" w:after="0" w:line="560" w:lineRule="exact"/>
        <w:rPr>
          <w:rFonts w:ascii="楷体_GB2312" w:hAnsi="楷体_GB2312" w:eastAsia="楷体_GB2312" w:cs="楷体_GB2312"/>
        </w:rPr>
      </w:pPr>
      <w:bookmarkStart w:id="191" w:name="_Toc13860_WPSOffice_Level3"/>
      <w:bookmarkStart w:id="192" w:name="_Toc20586"/>
      <w:bookmarkStart w:id="193" w:name="_Toc29441"/>
      <w:bookmarkStart w:id="194" w:name="_Toc5068_WPSOffice_Level3"/>
      <w:bookmarkStart w:id="195" w:name="_Toc112245846"/>
      <w:r>
        <w:rPr>
          <w:rFonts w:hint="eastAsia" w:ascii="楷体_GB2312" w:hAnsi="楷体_GB2312" w:eastAsia="楷体_GB2312" w:cs="楷体_GB2312"/>
        </w:rPr>
        <w:t>28.授予合同</w:t>
      </w:r>
      <w:bookmarkEnd w:id="191"/>
      <w:bookmarkEnd w:id="192"/>
      <w:bookmarkEnd w:id="193"/>
      <w:bookmarkEnd w:id="194"/>
      <w:bookmarkEnd w:id="195"/>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28.1谈判文件、成交供应商的响应文件及其补充的响应文件、成交通知书等均为签订政府采购合同的依据。</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28.2采购人与成交供应商双方应当自《成交通知书》发出之日起30日内，按照谈判文件确定的合同文本以及采购标的、规格型号、采购金额、采购数量、技术和服务要求等事项签订政府采购合同。</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adjustRightInd w:val="0"/>
        <w:snapToGrid w:val="0"/>
        <w:spacing w:line="560" w:lineRule="exact"/>
        <w:ind w:firstLine="640" w:firstLineChars="200"/>
        <w:jc w:val="left"/>
        <w:rPr>
          <w:rFonts w:ascii="仿宋_GB2312" w:hAnsi="仿宋_GB2312" w:eastAsia="仿宋_GB2312" w:cs="仿宋_GB2312"/>
          <w:sz w:val="32"/>
          <w:szCs w:val="32"/>
        </w:rPr>
      </w:pPr>
      <w:bookmarkStart w:id="196" w:name="_Toc325726030"/>
      <w:bookmarkStart w:id="197" w:name="_Toc376936761"/>
      <w:r>
        <w:rPr>
          <w:rFonts w:hint="eastAsia" w:ascii="仿宋_GB2312" w:hAnsi="仿宋_GB2312" w:eastAsia="仿宋_GB2312" w:cs="仿宋_GB2312"/>
          <w:sz w:val="32"/>
          <w:szCs w:val="32"/>
        </w:rPr>
        <w:t>28.4采购人或采购代理机构应当自采购合同签订之日起2个工作日内，将采购合同在青海政府采购信息网上公告，但政府采购合同中涉及国家秘密、商业秘密的内容除外。</w:t>
      </w:r>
    </w:p>
    <w:p>
      <w:pPr>
        <w:pStyle w:val="8"/>
        <w:adjustRightInd w:val="0"/>
        <w:snapToGrid w:val="0"/>
        <w:spacing w:before="156" w:beforeLines="50" w:after="0" w:line="560" w:lineRule="exact"/>
        <w:rPr>
          <w:rFonts w:ascii="楷体_GB2312" w:hAnsi="楷体_GB2312" w:eastAsia="楷体_GB2312" w:cs="楷体_GB2312"/>
        </w:rPr>
      </w:pPr>
      <w:bookmarkStart w:id="198" w:name="_Toc16258_WPSOffice_Level3"/>
      <w:bookmarkStart w:id="199" w:name="_Toc32538"/>
      <w:bookmarkStart w:id="200" w:name="_Toc112245847"/>
      <w:bookmarkStart w:id="201" w:name="_Toc16374"/>
      <w:bookmarkStart w:id="202" w:name="_Toc8740_WPSOffice_Level3"/>
      <w:r>
        <w:rPr>
          <w:rFonts w:hint="eastAsia" w:ascii="楷体_GB2312" w:hAnsi="楷体_GB2312" w:eastAsia="楷体_GB2312" w:cs="楷体_GB2312"/>
        </w:rPr>
        <w:t>29.履约验收</w:t>
      </w:r>
      <w:bookmarkEnd w:id="198"/>
      <w:bookmarkEnd w:id="199"/>
      <w:bookmarkEnd w:id="200"/>
      <w:bookmarkEnd w:id="201"/>
      <w:bookmarkEnd w:id="202"/>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29.1履约保证金：根据《政府采购实施条例》第四十八条明确约定保证金缴纳数额及方式.</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29.2采购人或者采购代理机构应当按照政府采购合同规定的技术、服务、安全标准组织对供应商履约情况进行验收，并出具验收书。验收书应当包括每一项技术、服务、安全标准的履约情况。</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29.3采购人可以邀请参加本项目的其他供应商或者第三方机构参与验收。参与验收的供应商或者第三方机构的意见作为验收书的参考资料一并存档。</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29.4采购人应当加强履约管理，并按照采购合同约定，及时向成交供应商支付采购资金。对于成交供应商违反采购合同约定的行为，采购人应当及时处理，依法追究其违约责任。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29.5采购人、采购代理机构应当建立真实完整的谈判档案，妥善保存谈判的相关资料。</w:t>
      </w:r>
    </w:p>
    <w:p>
      <w:pPr>
        <w:adjustRightInd w:val="0"/>
        <w:snapToGrid w:val="0"/>
        <w:spacing w:before="156" w:beforeLines="50" w:line="560" w:lineRule="exact"/>
        <w:jc w:val="center"/>
        <w:outlineLvl w:val="1"/>
        <w:rPr>
          <w:rFonts w:ascii="黑体" w:hAnsi="黑体" w:eastAsia="黑体" w:cs="黑体"/>
          <w:sz w:val="32"/>
          <w:szCs w:val="32"/>
        </w:rPr>
      </w:pPr>
      <w:bookmarkStart w:id="203" w:name="_Toc112245848"/>
      <w:bookmarkStart w:id="204" w:name="_Toc6881"/>
      <w:bookmarkStart w:id="205" w:name="_Toc32362"/>
      <w:bookmarkStart w:id="206" w:name="_Toc4328"/>
      <w:bookmarkStart w:id="207" w:name="_Toc3517_WPSOffice_Level2"/>
      <w:bookmarkStart w:id="208" w:name="_Toc31604_WPSOffice_Level2"/>
      <w:bookmarkStart w:id="209" w:name="_Toc2658_WPSOffice_Level2"/>
      <w:r>
        <w:rPr>
          <w:rFonts w:hint="eastAsia" w:ascii="黑体" w:hAnsi="黑体" w:eastAsia="黑体" w:cs="黑体"/>
          <w:sz w:val="32"/>
          <w:szCs w:val="32"/>
        </w:rPr>
        <w:t>七、询问与质疑</w:t>
      </w:r>
      <w:bookmarkEnd w:id="196"/>
      <w:bookmarkEnd w:id="197"/>
      <w:bookmarkEnd w:id="203"/>
      <w:bookmarkEnd w:id="204"/>
      <w:bookmarkEnd w:id="205"/>
      <w:bookmarkEnd w:id="206"/>
      <w:bookmarkEnd w:id="207"/>
      <w:bookmarkEnd w:id="208"/>
      <w:bookmarkEnd w:id="209"/>
    </w:p>
    <w:p>
      <w:pPr>
        <w:pStyle w:val="8"/>
        <w:adjustRightInd w:val="0"/>
        <w:snapToGrid w:val="0"/>
        <w:spacing w:before="156" w:beforeLines="50" w:after="0" w:line="560" w:lineRule="exact"/>
        <w:rPr>
          <w:rFonts w:ascii="楷体_GB2312" w:hAnsi="楷体_GB2312" w:eastAsia="楷体_GB2312" w:cs="楷体_GB2312"/>
        </w:rPr>
      </w:pPr>
      <w:bookmarkStart w:id="210" w:name="_Toc112245849"/>
      <w:bookmarkStart w:id="211" w:name="_Toc21641"/>
      <w:bookmarkStart w:id="212" w:name="_Toc25982_WPSOffice_Level3"/>
      <w:bookmarkStart w:id="213" w:name="_Toc23314_WPSOffice_Level3"/>
      <w:bookmarkStart w:id="214" w:name="_Toc29785"/>
      <w:r>
        <w:rPr>
          <w:rFonts w:hint="eastAsia" w:ascii="楷体_GB2312" w:hAnsi="楷体_GB2312" w:eastAsia="楷体_GB2312" w:cs="楷体_GB2312"/>
        </w:rPr>
        <w:t>30.对采购过程、结果的询问及质疑</w:t>
      </w:r>
      <w:bookmarkEnd w:id="210"/>
      <w:bookmarkEnd w:id="211"/>
      <w:bookmarkEnd w:id="212"/>
      <w:bookmarkEnd w:id="213"/>
      <w:bookmarkEnd w:id="214"/>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30.1供应商对政府采购过程、结果有疑问的，可以向采购人、采购代理机构提出询问。</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30.2参与所质疑项目的供应商认为采购过程、成交结果使自己的权益受到损害的，可以在知道或者应知其权益受到损害之日起7个工作日内，以书面形式向采购人、采购代理机构提出质疑。</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30.3供应商应在法定质疑期内一次性提出针对同一采购程序环节的质疑。</w:t>
      </w:r>
    </w:p>
    <w:p>
      <w:pPr>
        <w:adjustRightInd w:val="0"/>
        <w:snapToGrid w:val="0"/>
        <w:spacing w:before="156" w:beforeLines="50" w:line="560" w:lineRule="exact"/>
        <w:jc w:val="center"/>
        <w:outlineLvl w:val="1"/>
        <w:rPr>
          <w:rFonts w:ascii="黑体" w:hAnsi="黑体" w:eastAsia="黑体" w:cs="黑体"/>
          <w:sz w:val="32"/>
          <w:szCs w:val="32"/>
        </w:rPr>
      </w:pPr>
      <w:bookmarkStart w:id="215" w:name="_Toc21832"/>
      <w:bookmarkStart w:id="216" w:name="_Toc112245850"/>
      <w:bookmarkStart w:id="217" w:name="_Toc6866_WPSOffice_Level2"/>
      <w:bookmarkStart w:id="218" w:name="_Toc11509_WPSOffice_Level2"/>
      <w:bookmarkStart w:id="219" w:name="_Toc22201076"/>
      <w:bookmarkStart w:id="220" w:name="_Toc34637771"/>
      <w:bookmarkStart w:id="221" w:name="_Toc22889"/>
      <w:bookmarkStart w:id="222" w:name="_Toc9701_WPSOffice_Level2"/>
      <w:bookmarkStart w:id="223" w:name="_Toc4534"/>
      <w:r>
        <w:rPr>
          <w:rFonts w:hint="eastAsia" w:ascii="黑体" w:hAnsi="黑体" w:eastAsia="黑体" w:cs="黑体"/>
          <w:sz w:val="32"/>
          <w:szCs w:val="32"/>
        </w:rPr>
        <w:t>八、政府采购政策</w:t>
      </w:r>
      <w:bookmarkEnd w:id="215"/>
      <w:bookmarkEnd w:id="216"/>
      <w:bookmarkEnd w:id="217"/>
      <w:bookmarkEnd w:id="218"/>
      <w:bookmarkEnd w:id="219"/>
      <w:bookmarkEnd w:id="220"/>
      <w:bookmarkEnd w:id="221"/>
      <w:bookmarkEnd w:id="222"/>
      <w:bookmarkEnd w:id="223"/>
    </w:p>
    <w:p>
      <w:pPr>
        <w:pStyle w:val="8"/>
        <w:adjustRightInd w:val="0"/>
        <w:snapToGrid w:val="0"/>
        <w:spacing w:before="156" w:beforeLines="50" w:after="0" w:line="560" w:lineRule="exact"/>
        <w:rPr>
          <w:rFonts w:ascii="楷体_GB2312" w:hAnsi="楷体_GB2312" w:eastAsia="楷体_GB2312" w:cs="楷体_GB2312"/>
        </w:rPr>
      </w:pPr>
      <w:bookmarkStart w:id="224" w:name="_Toc112245851"/>
      <w:bookmarkStart w:id="225" w:name="_Toc27584"/>
      <w:bookmarkStart w:id="226" w:name="_Toc16893"/>
      <w:bookmarkStart w:id="227" w:name="_Toc17253_WPSOffice_Level3"/>
      <w:bookmarkStart w:id="228" w:name="_Toc19360_WPSOffice_Level3"/>
      <w:r>
        <w:rPr>
          <w:rFonts w:hint="eastAsia" w:ascii="楷体_GB2312" w:hAnsi="楷体_GB2312" w:eastAsia="楷体_GB2312" w:cs="楷体_GB2312"/>
        </w:rPr>
        <w:t>31.政府采购政策</w:t>
      </w:r>
      <w:bookmarkEnd w:id="224"/>
      <w:bookmarkEnd w:id="225"/>
      <w:bookmarkEnd w:id="226"/>
      <w:bookmarkEnd w:id="227"/>
      <w:bookmarkEnd w:id="228"/>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31.1节能产品、环境标志产品的采购：</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31.2价格评审优惠：</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供应商为小型、微型企业，且提供本企业生产的货物或者提供其他小型、微型企业生产的货物，价格按相关规定给予10%的价格折扣，用扣除后的价格参与评审。本项所称货物不包括使用大型企业注册商标的货物；</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（3）监狱企业、残疾人福利性单位视同小型、微型企业，享受评审中价格扣除等促进中小企业发展的政府采购政策。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31.3供应商同时符合小型、微型企业及监狱企业、残疾人福利性单位要求的，评审时只有一种类型享受价格评审优惠政策；</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31.4响应文件符合本章前款规定的，供应商应提供相关证明资料，且所提供资料必须真实可信。如有虚假，将依法承担相应责任。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adjustRightInd w:val="0"/>
        <w:snapToGrid w:val="0"/>
        <w:spacing w:before="156" w:beforeLines="50" w:line="560" w:lineRule="exact"/>
        <w:jc w:val="center"/>
        <w:outlineLvl w:val="1"/>
        <w:rPr>
          <w:rFonts w:ascii="黑体" w:hAnsi="黑体" w:eastAsia="黑体" w:cs="黑体"/>
          <w:sz w:val="32"/>
          <w:szCs w:val="32"/>
        </w:rPr>
      </w:pPr>
      <w:bookmarkStart w:id="229" w:name="_Toc28078_WPSOffice_Level2"/>
      <w:bookmarkStart w:id="230" w:name="_Toc34637772"/>
      <w:bookmarkStart w:id="231" w:name="_Toc112245852"/>
      <w:bookmarkStart w:id="232" w:name="_Toc10843_WPSOffice_Level2"/>
      <w:bookmarkStart w:id="233" w:name="_Toc30960"/>
      <w:bookmarkStart w:id="234" w:name="_Toc15316"/>
      <w:bookmarkStart w:id="235" w:name="_Toc3719_WPSOffice_Level2"/>
      <w:bookmarkStart w:id="236" w:name="_Toc15805"/>
      <w:r>
        <w:rPr>
          <w:rFonts w:hint="eastAsia" w:ascii="黑体" w:hAnsi="黑体" w:eastAsia="黑体" w:cs="黑体"/>
          <w:sz w:val="32"/>
          <w:szCs w:val="32"/>
        </w:rPr>
        <w:t>九、其他规定</w:t>
      </w:r>
      <w:bookmarkEnd w:id="229"/>
      <w:bookmarkEnd w:id="230"/>
      <w:bookmarkEnd w:id="231"/>
      <w:bookmarkEnd w:id="232"/>
      <w:bookmarkEnd w:id="233"/>
      <w:bookmarkEnd w:id="234"/>
      <w:bookmarkEnd w:id="235"/>
      <w:bookmarkEnd w:id="236"/>
    </w:p>
    <w:p>
      <w:pPr>
        <w:pStyle w:val="8"/>
        <w:adjustRightInd w:val="0"/>
        <w:snapToGrid w:val="0"/>
        <w:spacing w:before="156" w:beforeLines="50" w:after="0" w:line="560" w:lineRule="exact"/>
        <w:rPr>
          <w:rFonts w:ascii="楷体_GB2312" w:hAnsi="楷体_GB2312" w:eastAsia="楷体_GB2312" w:cs="楷体_GB2312"/>
        </w:rPr>
      </w:pPr>
      <w:bookmarkStart w:id="237" w:name="_Toc22185_WPSOffice_Level3"/>
      <w:bookmarkStart w:id="238" w:name="_Toc112245853"/>
      <w:bookmarkStart w:id="239" w:name="_Toc10247"/>
      <w:bookmarkStart w:id="240" w:name="_Toc12390_WPSOffice_Level3"/>
      <w:bookmarkStart w:id="241" w:name="_Toc10855"/>
      <w:r>
        <w:rPr>
          <w:rFonts w:hint="eastAsia" w:ascii="楷体_GB2312" w:hAnsi="楷体_GB2312" w:eastAsia="楷体_GB2312" w:cs="楷体_GB2312"/>
        </w:rPr>
        <w:t>32.代理服务费</w:t>
      </w:r>
      <w:bookmarkEnd w:id="237"/>
      <w:bookmarkEnd w:id="238"/>
      <w:bookmarkEnd w:id="239"/>
      <w:bookmarkEnd w:id="240"/>
      <w:bookmarkEnd w:id="241"/>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采购代理服务费由成交供应商支付的，供应商应按【谈判须知前附表】规定向采购代理机构交纳代理服务费。</w:t>
      </w:r>
    </w:p>
    <w:p>
      <w:pPr>
        <w:pStyle w:val="8"/>
        <w:adjustRightInd w:val="0"/>
        <w:snapToGrid w:val="0"/>
        <w:spacing w:before="156" w:beforeLines="50" w:after="0" w:line="560" w:lineRule="exact"/>
        <w:rPr>
          <w:rFonts w:ascii="楷体_GB2312" w:hAnsi="楷体_GB2312" w:eastAsia="楷体_GB2312" w:cs="楷体_GB2312"/>
        </w:rPr>
      </w:pPr>
      <w:bookmarkStart w:id="242" w:name="_Toc112245854"/>
      <w:bookmarkStart w:id="243" w:name="_Toc18975"/>
      <w:bookmarkStart w:id="244" w:name="_Toc27699_WPSOffice_Level3"/>
      <w:bookmarkStart w:id="245" w:name="_Toc14580"/>
      <w:bookmarkStart w:id="246" w:name="_Toc1461_WPSOffice_Level3"/>
      <w:r>
        <w:rPr>
          <w:rFonts w:hint="eastAsia" w:ascii="楷体_GB2312" w:hAnsi="楷体_GB2312" w:eastAsia="楷体_GB2312" w:cs="楷体_GB2312"/>
        </w:rPr>
        <w:t>33.其他规定</w:t>
      </w:r>
      <w:bookmarkEnd w:id="242"/>
      <w:bookmarkEnd w:id="243"/>
      <w:bookmarkEnd w:id="244"/>
      <w:bookmarkEnd w:id="245"/>
      <w:bookmarkEnd w:id="246"/>
    </w:p>
    <w:p>
      <w:pPr>
        <w:adjustRightInd w:val="0"/>
        <w:snapToGrid w:val="0"/>
        <w:spacing w:line="560" w:lineRule="exact"/>
        <w:ind w:firstLine="640" w:firstLineChars="200"/>
        <w:jc w:val="left"/>
        <w:rPr>
          <w:rFonts w:ascii="宋体" w:hAnsi="宋体"/>
          <w:szCs w:val="21"/>
        </w:rPr>
      </w:pPr>
      <w:r>
        <w:rPr>
          <w:rFonts w:hint="eastAsia" w:ascii="仿宋_GB2312" w:hAnsi="仿宋_GB2312" w:eastAsia="仿宋_GB2312" w:cs="仿宋_GB2312"/>
          <w:sz w:val="32"/>
          <w:szCs w:val="32"/>
        </w:rPr>
        <w:t>谈判文件的其他规定见【谈判须知前附表】</w:t>
      </w:r>
      <w:r>
        <w:rPr>
          <w:rFonts w:hint="eastAsia" w:ascii="仿宋_GB2312" w:hAnsi="仿宋_GB2312" w:eastAsia="仿宋_GB2312" w:cs="仿宋_GB2312"/>
          <w:sz w:val="30"/>
          <w:szCs w:val="30"/>
        </w:rPr>
        <w:t>。</w:t>
      </w:r>
    </w:p>
    <w:p>
      <w:pPr>
        <w:pStyle w:val="6"/>
        <w:adjustRightInd w:val="0"/>
        <w:snapToGrid w:val="0"/>
        <w:spacing w:before="156" w:beforeLines="50" w:line="560" w:lineRule="exact"/>
        <w:rPr>
          <w:rFonts w:ascii="华文中宋" w:hAnsi="华文中宋" w:eastAsia="华文中宋" w:cs="华文中宋"/>
          <w:b w:val="0"/>
          <w:bCs w:val="0"/>
          <w:sz w:val="44"/>
          <w:szCs w:val="44"/>
        </w:rPr>
      </w:pPr>
      <w:bookmarkStart w:id="247" w:name="_Toc7780_WPSOffice_Level1"/>
      <w:bookmarkStart w:id="248" w:name="_Toc2404_WPSOffice_Level1"/>
      <w:bookmarkStart w:id="249" w:name="_Toc18130_WPSOffice_Level1"/>
      <w:bookmarkStart w:id="250" w:name="_Toc4912_WPSOffice_Level1"/>
      <w:bookmarkStart w:id="251" w:name="_Toc31765_WPSOffice_Level1"/>
      <w:bookmarkStart w:id="252" w:name="_Toc13204"/>
      <w:bookmarkStart w:id="253" w:name="_Toc29561_WPSOffice_Level1"/>
      <w:bookmarkStart w:id="254" w:name="_Toc7566"/>
      <w:bookmarkStart w:id="255" w:name="_Toc34637773"/>
      <w:bookmarkStart w:id="256" w:name="_Toc20750"/>
      <w:r>
        <w:rPr>
          <w:rFonts w:hint="eastAsia" w:ascii="华文中宋" w:hAnsi="华文中宋" w:eastAsia="华文中宋" w:cs="华文中宋"/>
          <w:b w:val="0"/>
          <w:bCs w:val="0"/>
          <w:sz w:val="44"/>
          <w:szCs w:val="44"/>
        </w:rPr>
        <w:br w:type="page"/>
      </w:r>
      <w:bookmarkStart w:id="257" w:name="_Toc112245855"/>
      <w:r>
        <w:rPr>
          <w:rFonts w:hint="eastAsia" w:ascii="华文中宋" w:hAnsi="华文中宋" w:eastAsia="华文中宋" w:cs="华文中宋"/>
          <w:b w:val="0"/>
          <w:bCs w:val="0"/>
          <w:sz w:val="44"/>
          <w:szCs w:val="44"/>
        </w:rPr>
        <w:t>第三部分 采购需求</w:t>
      </w:r>
      <w:bookmarkEnd w:id="247"/>
      <w:bookmarkEnd w:id="248"/>
      <w:bookmarkEnd w:id="249"/>
      <w:bookmarkEnd w:id="250"/>
      <w:bookmarkEnd w:id="251"/>
      <w:bookmarkEnd w:id="252"/>
      <w:bookmarkEnd w:id="253"/>
      <w:bookmarkEnd w:id="254"/>
      <w:bookmarkEnd w:id="255"/>
      <w:bookmarkEnd w:id="256"/>
      <w:bookmarkEnd w:id="257"/>
    </w:p>
    <w:p>
      <w:pPr>
        <w:adjustRightInd w:val="0"/>
        <w:snapToGrid w:val="0"/>
        <w:spacing w:before="156" w:beforeLines="50" w:line="560" w:lineRule="exact"/>
        <w:jc w:val="center"/>
        <w:outlineLvl w:val="1"/>
        <w:rPr>
          <w:rFonts w:ascii="黑体" w:hAnsi="黑体" w:eastAsia="黑体" w:cs="黑体"/>
          <w:sz w:val="32"/>
          <w:szCs w:val="32"/>
          <w:lang w:val="zh-CN"/>
        </w:rPr>
      </w:pPr>
      <w:bookmarkStart w:id="258" w:name="_Toc20423_WPSOffice_Level2"/>
      <w:bookmarkStart w:id="259" w:name="_Toc112245856"/>
      <w:bookmarkStart w:id="260" w:name="_Toc8656"/>
      <w:bookmarkStart w:id="261" w:name="_Toc17070"/>
      <w:bookmarkStart w:id="262" w:name="_Toc4601"/>
      <w:bookmarkStart w:id="263" w:name="_Toc515908232"/>
      <w:bookmarkStart w:id="264" w:name="_Toc19812_WPSOffice_Level2"/>
      <w:bookmarkStart w:id="265" w:name="_Toc13326_WPSOffice_Level2"/>
      <w:r>
        <w:rPr>
          <w:rFonts w:hint="eastAsia" w:ascii="黑体" w:hAnsi="黑体" w:eastAsia="黑体" w:cs="黑体"/>
          <w:sz w:val="32"/>
          <w:szCs w:val="32"/>
          <w:lang w:val="zh-CN"/>
        </w:rPr>
        <w:t>十、响应说明</w:t>
      </w:r>
      <w:bookmarkEnd w:id="258"/>
      <w:bookmarkEnd w:id="259"/>
      <w:bookmarkEnd w:id="260"/>
      <w:bookmarkEnd w:id="261"/>
      <w:bookmarkEnd w:id="262"/>
      <w:bookmarkEnd w:id="263"/>
      <w:bookmarkEnd w:id="264"/>
      <w:bookmarkEnd w:id="265"/>
    </w:p>
    <w:p>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供应商可以按照谈判文件规定的包号选择响应，但必须对所响应包号中的所有内容作为一个整体进行响应，不能拆分或少报，</w:t>
      </w:r>
      <w:r>
        <w:rPr>
          <w:rFonts w:hint="eastAsia" w:ascii="仿宋_GB2312" w:hAnsi="仿宋_GB2312" w:eastAsia="仿宋_GB2312" w:cs="仿宋_GB2312"/>
          <w:sz w:val="32"/>
          <w:szCs w:val="32"/>
        </w:rPr>
        <w:t>如有缺项、漏项，其响应无效。</w:t>
      </w:r>
    </w:p>
    <w:p>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2.所提供服务或其任何一部分不得侵犯专利权、著作权、商标权和工业设计权等知识产权。</w:t>
      </w:r>
    </w:p>
    <w:p>
      <w:pPr>
        <w:adjustRightInd w:val="0"/>
        <w:snapToGrid w:val="0"/>
        <w:spacing w:before="156" w:beforeLines="50" w:line="560" w:lineRule="exact"/>
        <w:ind w:firstLine="640" w:firstLineChars="200"/>
        <w:jc w:val="center"/>
        <w:outlineLvl w:val="1"/>
        <w:rPr>
          <w:rFonts w:ascii="黑体" w:hAnsi="黑体" w:eastAsia="黑体" w:cs="黑体"/>
          <w:sz w:val="32"/>
          <w:szCs w:val="32"/>
          <w:lang w:val="zh-CN"/>
        </w:rPr>
      </w:pPr>
      <w:bookmarkStart w:id="266" w:name="_Toc112245857"/>
      <w:bookmarkStart w:id="267" w:name="_Toc1475"/>
      <w:bookmarkStart w:id="268" w:name="_Toc28791"/>
      <w:bookmarkStart w:id="269" w:name="_Toc19609_WPSOffice_Level2"/>
      <w:bookmarkStart w:id="270" w:name="_Toc22092"/>
      <w:bookmarkStart w:id="271" w:name="_Toc26560_WPSOffice_Level2"/>
      <w:bookmarkStart w:id="272" w:name="_Toc16271_WPSOffice_Level2"/>
      <w:bookmarkStart w:id="273" w:name="_Toc515908233"/>
      <w:r>
        <w:rPr>
          <w:rFonts w:hint="eastAsia" w:ascii="黑体" w:hAnsi="黑体" w:eastAsia="黑体" w:cs="黑体"/>
          <w:sz w:val="32"/>
          <w:szCs w:val="32"/>
          <w:lang w:val="zh-CN"/>
        </w:rPr>
        <w:t>十一、重要指标</w:t>
      </w:r>
      <w:bookmarkEnd w:id="266"/>
      <w:bookmarkEnd w:id="267"/>
      <w:bookmarkEnd w:id="268"/>
      <w:bookmarkEnd w:id="269"/>
      <w:bookmarkEnd w:id="270"/>
      <w:bookmarkEnd w:id="271"/>
      <w:bookmarkEnd w:id="272"/>
      <w:bookmarkEnd w:id="273"/>
    </w:p>
    <w:p>
      <w:pPr>
        <w:ind w:firstLine="643" w:firstLineChars="200"/>
        <w:rPr>
          <w:rFonts w:ascii="仿宋_GB2312" w:hAnsi="仿宋_GB2312" w:eastAsia="仿宋_GB2312" w:cs="仿宋_GB2312"/>
          <w:b/>
          <w:bCs/>
          <w:sz w:val="32"/>
          <w:szCs w:val="32"/>
        </w:rPr>
      </w:pPr>
      <w:bookmarkStart w:id="274" w:name="_Toc18880"/>
      <w:r>
        <w:rPr>
          <w:rFonts w:hint="eastAsia" w:ascii="仿宋_GB2312" w:hAnsi="仿宋_GB2312" w:eastAsia="仿宋_GB2312" w:cs="仿宋_GB2312"/>
          <w:b/>
          <w:bCs/>
          <w:sz w:val="32"/>
          <w:szCs w:val="32"/>
        </w:rPr>
        <w:t>1.投标说明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1.12.1采购文件在服务要求中列出了采购人可以接受的最低服务指标，投标人必须对服务要求中各项服务和指标进行实质性响应，所提供的每一项服务不能低于所列的各项指标。否则，视为无效投标。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1.2本次采购服务必须符合国家的强制性标准。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1.3服务时间、地点：按采购人指定的时间、地点提供相关服务。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2.重要指标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2.1招标文件中凡需与原有相关工作匹配等要求的，请主动和招标人联系，取得原有相关资料。若有招标文件未提及或变更内容的，请及时与招标代理机构联系。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3.服务要求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3.1.服务期：</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3.2.服务地点：采购人指定地点。</w:t>
      </w:r>
    </w:p>
    <w:bookmarkEnd w:id="274"/>
    <w:p>
      <w:pPr>
        <w:jc w:val="both"/>
        <w:rPr>
          <w:rFonts w:hint="eastAsia" w:ascii="仿宋_GB2312" w:hAnsi="仿宋_GB2312" w:eastAsia="仿宋_GB2312" w:cs="仿宋_GB2312"/>
          <w:sz w:val="30"/>
          <w:szCs w:val="30"/>
        </w:rPr>
      </w:pPr>
      <w:bookmarkStart w:id="275" w:name="_Toc955_WPSOffice_Level1"/>
      <w:bookmarkStart w:id="276" w:name="_Toc31138"/>
      <w:bookmarkStart w:id="277" w:name="_Toc18643_WPSOffice_Level1"/>
      <w:bookmarkStart w:id="278" w:name="_Toc22544"/>
      <w:bookmarkStart w:id="279" w:name="_Toc18208_WPSOffice_Level1"/>
      <w:bookmarkStart w:id="280" w:name="_Toc6923_WPSOffice_Level1"/>
      <w:bookmarkStart w:id="281" w:name="_Toc15487_WPSOffice_Level1"/>
      <w:bookmarkStart w:id="282" w:name="_Toc5732_WPSOffice_Level1"/>
    </w:p>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包一                            </w:t>
      </w:r>
    </w:p>
    <w:p>
      <w:pPr>
        <w:jc w:val="center"/>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rPr>
        <w:t xml:space="preserve"> 2023年财政监督检查汇总计划表</w:t>
      </w:r>
    </w:p>
    <w:tbl>
      <w:tblPr>
        <w:tblStyle w:val="23"/>
        <w:tblW w:w="1017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58"/>
        <w:gridCol w:w="2531"/>
        <w:gridCol w:w="1450"/>
        <w:gridCol w:w="193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b/>
                <w:bCs/>
                <w:i w:val="0"/>
                <w:iCs w:val="0"/>
                <w:color w:val="000000"/>
                <w:kern w:val="0"/>
                <w:sz w:val="24"/>
                <w:szCs w:val="24"/>
                <w:u w:val="none"/>
                <w:lang w:val="en-US" w:eastAsia="zh-CN" w:bidi="ar"/>
              </w:rPr>
              <w:t>序号</w:t>
            </w:r>
          </w:p>
        </w:tc>
        <w:tc>
          <w:tcPr>
            <w:tcW w:w="1258"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检查项目</w:t>
            </w:r>
          </w:p>
        </w:tc>
        <w:tc>
          <w:tcPr>
            <w:tcW w:w="2531"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被检查单位</w:t>
            </w:r>
          </w:p>
        </w:tc>
        <w:tc>
          <w:tcPr>
            <w:tcW w:w="145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检查时间</w:t>
            </w:r>
          </w:p>
        </w:tc>
        <w:tc>
          <w:tcPr>
            <w:tcW w:w="1937"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检查范围</w:t>
            </w:r>
          </w:p>
        </w:tc>
        <w:tc>
          <w:tcPr>
            <w:tcW w:w="222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检查目标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b/>
                <w:bCs/>
                <w:i w:val="0"/>
                <w:iCs w:val="0"/>
                <w:color w:val="000000"/>
                <w:kern w:val="0"/>
                <w:sz w:val="24"/>
                <w:szCs w:val="24"/>
                <w:u w:val="none"/>
                <w:lang w:val="en-US" w:eastAsia="zh-CN" w:bidi="ar"/>
              </w:rPr>
              <w:t>1</w:t>
            </w:r>
          </w:p>
        </w:tc>
        <w:tc>
          <w:tcPr>
            <w:tcW w:w="125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重大财政政策及财政资金监督</w:t>
            </w:r>
          </w:p>
        </w:tc>
        <w:tc>
          <w:tcPr>
            <w:tcW w:w="2531"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2022年省、州重大财政政策及财政专项资金检查涉及项目 28 个、单位16家，资金量达1.81 亿元。</w:t>
            </w:r>
          </w:p>
        </w:tc>
        <w:tc>
          <w:tcPr>
            <w:tcW w:w="145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5月至9月底</w:t>
            </w:r>
          </w:p>
        </w:tc>
        <w:tc>
          <w:tcPr>
            <w:tcW w:w="1937"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重点领域、重大民生、重大政策、对相关部门的预算执行情况及政府采购行为同步开展监督</w:t>
            </w:r>
          </w:p>
        </w:tc>
        <w:tc>
          <w:tcPr>
            <w:tcW w:w="22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提高政府采购质量、提升财政资金使用效益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b/>
                <w:bCs/>
                <w:i w:val="0"/>
                <w:iCs w:val="0"/>
                <w:color w:val="000000"/>
                <w:kern w:val="0"/>
                <w:sz w:val="24"/>
                <w:szCs w:val="24"/>
                <w:u w:val="none"/>
                <w:lang w:val="en-US" w:eastAsia="zh-CN" w:bidi="ar"/>
              </w:rPr>
              <w:t>2</w:t>
            </w:r>
          </w:p>
        </w:tc>
        <w:tc>
          <w:tcPr>
            <w:tcW w:w="125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专项检查</w:t>
            </w:r>
          </w:p>
        </w:tc>
        <w:tc>
          <w:tcPr>
            <w:tcW w:w="2531"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2022年市级专项项目资金检查涉及项目23个、16家单位，单位资金量0.99亿</w:t>
            </w:r>
          </w:p>
        </w:tc>
        <w:tc>
          <w:tcPr>
            <w:tcW w:w="145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5月至9月底</w:t>
            </w:r>
          </w:p>
        </w:tc>
        <w:tc>
          <w:tcPr>
            <w:tcW w:w="1937"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会计核算是否真实合法；是否存在违规使用财政资金的情况、经费使用情况、专项资金使用情况</w:t>
            </w:r>
          </w:p>
        </w:tc>
        <w:tc>
          <w:tcPr>
            <w:tcW w:w="22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专项资金是否存在违规使用财</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b/>
                <w:bCs/>
                <w:i w:val="0"/>
                <w:iCs w:val="0"/>
                <w:color w:val="000000"/>
                <w:kern w:val="0"/>
                <w:sz w:val="24"/>
                <w:szCs w:val="24"/>
                <w:u w:val="none"/>
                <w:lang w:val="en-US" w:eastAsia="zh-CN" w:bidi="ar"/>
              </w:rPr>
              <w:t>3</w:t>
            </w:r>
          </w:p>
        </w:tc>
        <w:tc>
          <w:tcPr>
            <w:tcW w:w="125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333333"/>
                <w:kern w:val="0"/>
                <w:sz w:val="24"/>
                <w:szCs w:val="24"/>
                <w:u w:val="none"/>
                <w:lang w:val="en-US" w:eastAsia="zh-CN" w:bidi="ar"/>
              </w:rPr>
              <w:t>地方政府债务监督检查</w:t>
            </w:r>
          </w:p>
        </w:tc>
        <w:tc>
          <w:tcPr>
            <w:tcW w:w="253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地方政府债务监督检查涉及项目23个</w:t>
            </w:r>
          </w:p>
        </w:tc>
        <w:tc>
          <w:tcPr>
            <w:tcW w:w="145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5月至9月底</w:t>
            </w:r>
          </w:p>
        </w:tc>
        <w:tc>
          <w:tcPr>
            <w:tcW w:w="1937"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是否专项债券资金闲置浪费；是否专项债券违规用于经常性支出；是否专项债券违规用于偿还债务；是否地方政府专项债券违规用于楼堂馆所；形象工程和政绩工程等中央明令禁止的项目支出；是否地方政府专项债券用于房地产项目；租赁房屋以外的土地储备项目；是否用于回购收购已竣工或拖欠工程款的项目；是否用于其他不符合地方政府专项债券资金用途的支出 。</w:t>
            </w:r>
          </w:p>
        </w:tc>
        <w:tc>
          <w:tcPr>
            <w:tcW w:w="222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确保各预算单位规范使用债务资金，不存在违法违纪行为；</w:t>
            </w:r>
          </w:p>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default" w:ascii="仿宋_GB2312" w:hAnsi="宋体" w:eastAsia="仿宋_GB2312" w:cs="仿宋_GB2312"/>
                <w:i w:val="0"/>
                <w:iCs w:val="0"/>
                <w:color w:val="000000"/>
                <w:kern w:val="0"/>
                <w:sz w:val="24"/>
                <w:szCs w:val="24"/>
                <w:u w:val="none"/>
                <w:lang w:val="en-US" w:eastAsia="zh-CN" w:bidi="ar"/>
              </w:rPr>
              <w:t>2、确保财政债务资金，全部用于项目建设，不存在挤占挪用贪污行为。</w:t>
            </w:r>
          </w:p>
        </w:tc>
      </w:tr>
    </w:tbl>
    <w:p>
      <w:pPr>
        <w:jc w:val="center"/>
        <w:rPr>
          <w:rFonts w:hint="eastAsia" w:ascii="仿宋" w:hAnsi="仿宋" w:eastAsia="仿宋" w:cs="仿宋"/>
          <w:sz w:val="24"/>
          <w:szCs w:val="24"/>
          <w:vertAlign w:val="baseline"/>
          <w:lang w:val="en-US" w:eastAsia="zh-CN"/>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ind w:firstLine="480" w:firstLineChars="200"/>
        <w:rPr>
          <w:rFonts w:ascii="仿宋_GB2312" w:hAnsi="仿宋_GB2312" w:eastAsia="仿宋_GB2312" w:cs="仿宋_GB2312"/>
          <w:sz w:val="24"/>
        </w:rPr>
      </w:pPr>
    </w:p>
    <w:p>
      <w:pPr>
        <w:pStyle w:val="2"/>
        <w:ind w:left="0" w:leftChars="0" w:firstLine="0" w:firstLineChars="0"/>
        <w:jc w:val="both"/>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包二</w:t>
      </w:r>
      <w:bookmarkStart w:id="283" w:name="_Toc112245858"/>
    </w:p>
    <w:p>
      <w:pPr>
        <w:jc w:val="center"/>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2023年计划开展重大项目财政绩效情况表（省、州级）</w:t>
      </w:r>
    </w:p>
    <w:tbl>
      <w:tblPr>
        <w:tblStyle w:val="23"/>
        <w:tblW w:w="10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82"/>
        <w:gridCol w:w="1336"/>
        <w:gridCol w:w="1635"/>
        <w:gridCol w:w="1500"/>
        <w:gridCol w:w="177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序号</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项目名称</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州级文号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市级文号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项目主管部门</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实施项目内容</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资金管理科室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关于提前下达2022年省级财政农业相关转移支付资金预算的通知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玉财农字〔2021〕2238号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玉市财农字〔2022〕41号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玉树市农牧和科技局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玉树市2022年化肥农药减量增效行动项目</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2</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关于下达2022年第二批农业相关转移支付资金预算的通知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玉财农字（2022）0321号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玉市财农字[2022]130号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玉树市农牧和科技局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2022年耕地地力保护补帖项目</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3</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关于提前下达2022年第一批水利发展资金的通知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玉财农字〔2021〕2025号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玉市财农字〔2022〕951号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玉树市水利局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水利工程运行与维护</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4</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关于提前下达2022年财政衔接推进乡村振兴补助资金通知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玉财农字〔2021〕1817号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玉市财农字〔2021〕859号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玉树市林业和草原局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欠发达国有林场巩固项目提升资金</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5</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关于提前下达2022年财政衔接推进乡村振兴补助资金通知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玉财农字〔2021〕1817号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玉市财农字〔2021〕859号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玉树市农牧和科技局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玉树市巴塘乡相古村智能温室改建项目</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关于提前下达2022年财政衔接推进乡村振兴补助资金通知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玉财农字〔2021〕1817号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玉市财农字〔2021〕859号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玉树市水利局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相古村乡村振兴供水工程建设项目616.4万元</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7</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关于提前下达2022年财政衔接推进乡村振兴补助资金通知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玉财农字〔2021〕1817号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玉市财农字〔2021〕859号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玉树市巴塘乡人民政府</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巴塘乡新型农牧民职业创业就业能力提升72.6万元</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8</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关于提前下达2022年财政衔接推进乡村振兴补助资金通知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玉财农字〔2021〕1817号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玉市财农字〔2021〕859号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玉树市下拉秀乡人民政府</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乡村人居环境整治项目资金78.64万元</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9</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关于提前下达2022年财政衔接推进乡村振兴补助资金通知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玉财农字〔2021〕1817号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玉市财农字〔2021〕859号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玉树市乡村振兴局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玉树市城乡融合综合创业物流园项目732.2万元</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10</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关于下达2021年第三批东西部协作资金的通知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玉财农字〔2021〕2195号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玉市财农字〔2021〕1010号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玉树市教育局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上拉秀乡中心寄宿制小学建设项目</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11</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关于下达2021年第三批东西部协作资金的通知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玉财农字〔2021〕2195号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玉市财农字〔2021〕1010号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玉树市交通局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安冲乡布让村公路项目</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12</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关于下达2022年对口支援玉树项目资金的通知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玉财建字[2022]213号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玉市财建字[2022]206号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玉树市工业商务信息局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玉树市与密云区结对巩固拓展脱贫攻坚成果有效衔接乡村振兴项目</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经建科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13</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关于下达2022年排水设施建设中央基建投资预算资金的通知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玉财建字[2022]629号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玉财建字[2022]194号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玉树市政府设施运行服务中心</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玉树市（供）排水厂、格下滨水区域排水设施提升改造项目</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经建科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14</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关于下达2022年清洁取暖省级奖补</w:t>
            </w:r>
            <w:r>
              <w:rPr>
                <w:rFonts w:hint="eastAsia" w:ascii="仿宋_GB2312" w:hAnsi="宋体" w:eastAsia="仿宋_GB2312" w:cs="仿宋_GB2312"/>
                <w:i w:val="0"/>
                <w:iCs w:val="0"/>
                <w:color w:val="333333"/>
                <w:kern w:val="0"/>
                <w:sz w:val="24"/>
                <w:szCs w:val="24"/>
                <w:u w:val="none"/>
                <w:lang w:val="en-US" w:eastAsia="zh-CN" w:bidi="ar"/>
              </w:rPr>
              <w:br w:type="textWrapping"/>
            </w:r>
            <w:r>
              <w:rPr>
                <w:rFonts w:hint="eastAsia" w:ascii="仿宋_GB2312" w:hAnsi="宋体" w:eastAsia="仿宋_GB2312" w:cs="仿宋_GB2312"/>
                <w:i w:val="0"/>
                <w:iCs w:val="0"/>
                <w:color w:val="333333"/>
                <w:kern w:val="0"/>
                <w:sz w:val="24"/>
                <w:szCs w:val="24"/>
                <w:u w:val="none"/>
                <w:lang w:val="en-US" w:eastAsia="zh-CN" w:bidi="ar"/>
              </w:rPr>
              <w:t>资金（第一批）的通知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玉财建字〔2022〕1178号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玉市财建字〔2022〕572号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玉树市政府设施运行服务中心</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2022年清洁取暖省级奖补资金</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经建科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15</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关于下达2022年对口支援玉树项目资金（第3批）的通知</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玉财建字[2022]849号</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玉市财建字[2022]260号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玉树市巴塘乡人民政府</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玉树市巴塘乡相古村农村幸福提升及康养中心建设项目</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经建科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16</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027001-玉树市住房和城乡建设局（本级）</w:t>
            </w:r>
          </w:p>
        </w:tc>
        <w:tc>
          <w:tcPr>
            <w:tcW w:w="133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63270122T000001666146-中央财政城镇保障性安居工程补助资金</w:t>
            </w: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玉市财综字【2022】37号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青财综字[2021]2037号</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63270122T000001666146-中央财政城镇保障性安居工程补助资金</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047001-玉树市结古街道办事处（本级）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052001-玉树市下拉秀镇人民政府（本级）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053001-玉树市上拉秀乡人民政府（本级）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048001-玉树市新寨街道办事处（本级）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058001-玉树市小苏莽乡人民政府（本级）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054001-玉树市仲达乡人民政府（本级）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057001-玉树市巴塘乡人民政府（本级）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055001-玉树市哈秀乡人民政府（本级）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049001-玉树市扎西科街道办事处（本级）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050001-玉树市西杭街道办事处（本级）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031001-玉树市民政局（本级）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困难群众救助补助资金</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056001-玉树市安冲乡人民政府（本级）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051001-玉树市隆宝镇人民政府（本级）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058001-玉树市小苏莽乡人民政府（本级）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困难群众救助资金（临时救助）</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Borders/>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1582"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玉市财行字【2022】4号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031001-玉树市民政局（本级）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关于提前下达社会福利项目（政府购买养老服务）的通知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玉市财行字［2020］929号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036002-玉树市幼儿园</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关于下达2020年第二批支持学前教育发展资金（政府购买服务）补助资金的通知玉财行字［2020］735号</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玉市财行字【2022】378号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036012-玉树市下拉秀镇中心寄宿制学校</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关于下达2022年州级政府购买学前教育保教岗位配套资金的通知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玉市财行字【2022】378号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036011-玉树市隆宝镇中心寄宿制学校</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关于下达2022年州级政府购买学前教育保教岗位配套资金的通知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玉市财行字【2022】378号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036018-玉树市小苏莽乡中心寄宿制学校</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关于下达2022年州级政府购买学前教育保教岗位配套资金的通知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玉市财行字【2022】378号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036017-玉树市巴塘乡中心寄宿制学校</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关于下达2022年州级政府购买学前教育保教岗位配套资金的通知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玉市财行字【2022】378号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036015-玉树市哈秀乡中心寄宿制学校</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关于下达2022年州级政府购买学前教育保教岗位配套资金的通知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玉市财行字【2022】378号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036002-玉树市幼儿园</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关于下达2022年州级政府购买学前教育保教岗位配套资金的通知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20</w:t>
            </w: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玉市财行字【2022】55号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玉树市公安局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关于提前下达2022年度中央政法纪检监察转移支付资金的通知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玉市财行字【2022】55号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玉树市林业环保局（森林公安）</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关于提前下达2022年度中央政法纪检监察转移支付资金的通知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玉市财行字【2022】55号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玉树市司法局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关于提前下达2022年度中央政法纪检监察转移支付资金的通知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21</w:t>
            </w: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玉市财行字〔2022〕294号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玉树市公安局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关于下达2022年度中央政法转移支付资金的通知（玉财行字〔2022〕790号）</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玉市财行字〔2022〕294号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玉树市司法局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关于下达2022年度中央政法转移支付资金的通知（玉财行字〔2022〕790号）</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Borders/>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玉市财行字〔2022〕311号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019001-玉树市人力资源和社会保障局（本级）</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关于下达2022年高校毕业生“三支一扶”计划省级补助资金（第二批）的通知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Borders/>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玉树市教育局</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玉树市第一完全小学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玉树市第二完全小学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玉树市第三完全小学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玉树市第四完全小学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玉树市第五完全小学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玉树市新寨中心寄宿制学校</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玉树市隆宝镇寄宿小学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玉树市下拉秀寄宿小学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玉树市巴塘寄宿小学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玉树市小苏莽寄宿小学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玉树市仲达寄宿小学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玉树市哈秀乡寄宿小学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玉树市上拉秀寄宿小学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玉树市安冲乡寄宿小学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玉树市第一民族中学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玉树市第二民族中学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vAlign w:val="center"/>
          </w:tcPr>
          <w:p>
            <w:pPr>
              <w:jc w:val="center"/>
              <w:rPr>
                <w:rFonts w:hint="eastAsia" w:ascii="仿宋" w:hAnsi="仿宋" w:eastAsia="仿宋" w:cs="仿宋"/>
                <w:sz w:val="24"/>
                <w:szCs w:val="24"/>
                <w:vertAlign w:val="baseline"/>
                <w:lang w:val="en-US" w:eastAsia="zh-CN"/>
              </w:rPr>
            </w:pPr>
          </w:p>
        </w:tc>
        <w:tc>
          <w:tcPr>
            <w:tcW w:w="1582" w:type="dxa"/>
            <w:vAlign w:val="center"/>
          </w:tcPr>
          <w:p>
            <w:pPr>
              <w:jc w:val="center"/>
              <w:rPr>
                <w:rFonts w:hint="eastAsia" w:ascii="仿宋" w:hAnsi="仿宋" w:eastAsia="仿宋" w:cs="仿宋"/>
                <w:sz w:val="24"/>
                <w:szCs w:val="24"/>
                <w:vertAlign w:val="baseline"/>
                <w:lang w:val="en-US" w:eastAsia="zh-CN"/>
              </w:rPr>
            </w:pPr>
          </w:p>
        </w:tc>
        <w:tc>
          <w:tcPr>
            <w:tcW w:w="1336" w:type="dxa"/>
            <w:vAlign w:val="center"/>
          </w:tcPr>
          <w:p>
            <w:pPr>
              <w:jc w:val="center"/>
              <w:rPr>
                <w:rFonts w:hint="eastAsia" w:ascii="仿宋" w:hAnsi="仿宋" w:eastAsia="仿宋" w:cs="仿宋"/>
                <w:sz w:val="24"/>
                <w:szCs w:val="24"/>
                <w:vertAlign w:val="baseline"/>
                <w:lang w:val="en-US" w:eastAsia="zh-CN"/>
              </w:rPr>
            </w:pPr>
          </w:p>
        </w:tc>
        <w:tc>
          <w:tcPr>
            <w:tcW w:w="163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玉市财行字【2022】59号</w:t>
            </w:r>
          </w:p>
        </w:tc>
        <w:tc>
          <w:tcPr>
            <w:tcW w:w="150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玉树市第三民族中学</w:t>
            </w:r>
          </w:p>
        </w:tc>
        <w:tc>
          <w:tcPr>
            <w:tcW w:w="177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关于提前下达2022年城乡义务教育补助经费的通知</w:t>
            </w:r>
          </w:p>
        </w:tc>
        <w:tc>
          <w:tcPr>
            <w:tcW w:w="151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行财科</w:t>
            </w:r>
          </w:p>
        </w:tc>
      </w:tr>
    </w:tbl>
    <w:p>
      <w:pPr>
        <w:jc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2023年计划开展玉树市本级财政预算支出绩效评价情况表（市级）</w:t>
      </w:r>
    </w:p>
    <w:tbl>
      <w:tblPr>
        <w:tblStyle w:val="23"/>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82"/>
        <w:gridCol w:w="2048"/>
        <w:gridCol w:w="1662"/>
        <w:gridCol w:w="2181"/>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序号</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单位信息</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预算项目</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文号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指标说明</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资金归口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009001-中共玉树市委宣传部（本级）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63270122T000000084885-巩固文明及卫生城市经费</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部门预算[2022]0001号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关于预拨垫付工程款的通知</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2</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012001-玉树市公安局（本级）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63270123T000001860299-"1829"演练工作经费</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玉市财预字〔2022〕381号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关于预拨垫付工程款的通知</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3</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023001-玉树市发展和改革局（本级）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63270123T000001852611-玉树市生活垃圾焚烧发电项目</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玉市财预字【2022】355号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关于预付垫付工程款的通知</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4</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024001-玉树市工业商务和信息化局（本级）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63270122T000000081936-招商引资企业扶持资金</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玉市财预字【2022】75号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玉树市流浪动物求助中心运行保障经费</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5</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027002-玉树市市政设施运行服务中心</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63270122T000001781939-玉树市污水处理厂二期扩建及污水管网配套工程</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玉市财预字【2022】203号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高原美丽城镇示范省智慧城市试点总体规划二期项目</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027002-玉树市市政设施运行服务中心</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63270122T000001781960-玉树市11处锅炉房煤改电（气）清洁能源改造项目</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玉市财预字【2022】203号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玉树市2022年欢度新春佳节及藏历水虎年文体活动</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7</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027002-玉树市市政设施运行服务中心</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63270122T000001785248-玉树市西杭、粮油、金融片区等五处锅炉房煤改电（气）清洁能源改造项目</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玉市财预字【2022】203号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农用物资补贴</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13-农财科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8</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028001-玉树市城市管理综合行政执法局（本级）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63270122T000001693347-玉树市流浪动物求助中心运行保障经费</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部门预算[2022]0001号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经济科目调整</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13-农财科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9</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028002-玉树市智慧城市管理服务中心</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63270122T000001596654-高原美丽城镇示范省智慧城市试点总体规划二期项目</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部门预算[2022]0001号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饲草料购置费</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13-农财科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10</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035001-玉树市文体旅游和广播电视局（本级）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63270122T000001658214-玉树市2022年欢度新春佳节及藏历水虎年文体活动</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玉市财预字【2022】75号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玉树市2021年黄土不露天项目（街道绿化）资金</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05-预算科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11</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042001-玉树市农牧和科技局（本级）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63270122T000000064405-农用物资补贴</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玉市财预字【2022】75号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关于预拨垫付工程款的通知</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12</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042001-玉树市农牧和科技局（本级）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63270122T000000084235-牲畜保险（牛羊）补贴</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玉市财预字【2022】75号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关于预拨垫付工程款的通知</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13</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042001-玉树市农牧和科技局（本级）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63270122T000001679779-饲草料购置费</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玉市财预字【2022】75号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关于预付垫付工程款的通知</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14</w:t>
            </w:r>
          </w:p>
        </w:tc>
        <w:tc>
          <w:tcPr>
            <w:tcW w:w="158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044001-玉树市林业和草原局（本级）</w:t>
            </w:r>
          </w:p>
        </w:tc>
        <w:tc>
          <w:tcPr>
            <w:tcW w:w="204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63270122T000001531838-玉树市街道景观提升经费</w:t>
            </w:r>
          </w:p>
        </w:tc>
        <w:tc>
          <w:tcPr>
            <w:tcW w:w="166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玉市财预字【2022】139号</w:t>
            </w:r>
          </w:p>
        </w:tc>
        <w:tc>
          <w:tcPr>
            <w:tcW w:w="21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玉树市流浪动物求助中心运行保障经费</w:t>
            </w:r>
          </w:p>
        </w:tc>
        <w:tc>
          <w:tcPr>
            <w:tcW w:w="186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08-行政事业科</w:t>
            </w:r>
          </w:p>
        </w:tc>
      </w:tr>
    </w:tbl>
    <w:p>
      <w:pPr>
        <w:widowControl/>
        <w:spacing w:before="156" w:beforeLines="50" w:line="560" w:lineRule="exact"/>
        <w:jc w:val="center"/>
        <w:outlineLvl w:val="0"/>
        <w:rPr>
          <w:rFonts w:ascii="宋体"/>
          <w:b/>
          <w:color w:val="000000"/>
          <w:sz w:val="44"/>
          <w:szCs w:val="44"/>
        </w:rPr>
      </w:pPr>
      <w:r>
        <w:rPr>
          <w:rFonts w:hint="eastAsia" w:ascii="华文中宋" w:hAnsi="华文中宋" w:eastAsia="华文中宋" w:cs="华文中宋"/>
          <w:sz w:val="44"/>
          <w:szCs w:val="44"/>
        </w:rPr>
        <w:t>第四部分 谈判响应文件格式</w:t>
      </w:r>
      <w:bookmarkEnd w:id="275"/>
      <w:bookmarkEnd w:id="276"/>
      <w:bookmarkEnd w:id="277"/>
      <w:bookmarkEnd w:id="278"/>
      <w:bookmarkEnd w:id="279"/>
      <w:bookmarkEnd w:id="280"/>
      <w:bookmarkEnd w:id="281"/>
      <w:bookmarkEnd w:id="282"/>
      <w:bookmarkEnd w:id="283"/>
    </w:p>
    <w:p>
      <w:pPr>
        <w:adjustRightInd w:val="0"/>
        <w:snapToGrid w:val="0"/>
        <w:spacing w:line="560" w:lineRule="exact"/>
        <w:jc w:val="center"/>
        <w:outlineLvl w:val="1"/>
        <w:rPr>
          <w:rFonts w:ascii="黑体" w:hAnsi="黑体" w:eastAsia="黑体" w:cs="黑体"/>
          <w:sz w:val="32"/>
          <w:szCs w:val="32"/>
        </w:rPr>
      </w:pPr>
      <w:bookmarkStart w:id="284" w:name="_Toc12691_WPSOffice_Level2"/>
      <w:bookmarkStart w:id="285" w:name="_Toc20166_WPSOffice_Level2"/>
      <w:bookmarkStart w:id="286" w:name="_Toc112245859"/>
      <w:bookmarkStart w:id="287" w:name="_Toc11968"/>
      <w:bookmarkStart w:id="288" w:name="_Toc4945_WPSOffice_Level2"/>
      <w:r>
        <w:rPr>
          <w:rFonts w:hint="eastAsia" w:ascii="黑体" w:hAnsi="黑体" w:eastAsia="黑体" w:cs="黑体"/>
          <w:sz w:val="32"/>
          <w:szCs w:val="32"/>
        </w:rPr>
        <w:t>十二、谈判响应文件的组成</w:t>
      </w:r>
      <w:bookmarkEnd w:id="284"/>
      <w:bookmarkEnd w:id="285"/>
      <w:bookmarkEnd w:id="286"/>
      <w:bookmarkEnd w:id="287"/>
      <w:bookmarkEnd w:id="288"/>
    </w:p>
    <w:p>
      <w:pPr>
        <w:adjustRightInd w:val="0"/>
        <w:snapToGrid w:val="0"/>
        <w:spacing w:line="560" w:lineRule="exact"/>
        <w:jc w:val="left"/>
        <w:outlineLvl w:val="2"/>
        <w:rPr>
          <w:rFonts w:ascii="楷体_GB2312" w:hAnsi="楷体_GB2312" w:eastAsia="楷体_GB2312" w:cs="楷体_GB2312"/>
          <w:b/>
          <w:bCs/>
          <w:sz w:val="32"/>
          <w:szCs w:val="32"/>
          <w:lang w:val="zh-CN"/>
        </w:rPr>
      </w:pPr>
      <w:bookmarkStart w:id="289" w:name="_Toc31451_WPSOffice_Level3"/>
      <w:bookmarkStart w:id="290" w:name="_Toc112245860"/>
      <w:bookmarkStart w:id="291" w:name="_Toc22172"/>
      <w:bookmarkStart w:id="292" w:name="_Toc185_WPSOffice_Level2"/>
      <w:r>
        <w:rPr>
          <w:rFonts w:hint="eastAsia" w:ascii="楷体_GB2312" w:hAnsi="楷体_GB2312" w:eastAsia="楷体_GB2312" w:cs="楷体_GB2312"/>
          <w:b/>
          <w:bCs/>
          <w:sz w:val="32"/>
          <w:szCs w:val="32"/>
          <w:lang w:val="zh-CN"/>
        </w:rPr>
        <w:t>（一）资格审查部分</w:t>
      </w:r>
      <w:bookmarkEnd w:id="289"/>
      <w:bookmarkEnd w:id="290"/>
      <w:bookmarkEnd w:id="291"/>
      <w:bookmarkEnd w:id="292"/>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"_Toc24350" </w:instrText>
      </w:r>
      <w:r>
        <w:fldChar w:fldCharType="separate"/>
      </w:r>
      <w:r>
        <w:rPr>
          <w:rFonts w:hint="eastAsia" w:ascii="仿宋_GB2312" w:hAnsi="仿宋_GB2312" w:eastAsia="仿宋_GB2312" w:cs="仿宋_GB2312"/>
          <w:sz w:val="32"/>
          <w:szCs w:val="32"/>
        </w:rPr>
        <w:t>附件1：响应函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"_Toc9026" </w:instrText>
      </w:r>
      <w:r>
        <w:fldChar w:fldCharType="separate"/>
      </w:r>
      <w:r>
        <w:rPr>
          <w:rFonts w:hint="eastAsia" w:ascii="仿宋_GB2312" w:hAnsi="仿宋_GB2312" w:eastAsia="仿宋_GB2312" w:cs="仿宋_GB2312"/>
          <w:sz w:val="32"/>
          <w:szCs w:val="32"/>
        </w:rPr>
        <w:t>附件2：法定代表人证明书</w:t>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"_Toc9993" </w:instrText>
      </w:r>
      <w:r>
        <w:fldChar w:fldCharType="separate"/>
      </w:r>
      <w:r>
        <w:rPr>
          <w:rFonts w:hint="eastAsia" w:ascii="仿宋_GB2312" w:hAnsi="仿宋_GB2312" w:eastAsia="仿宋_GB2312" w:cs="仿宋_GB2312"/>
          <w:sz w:val="32"/>
          <w:szCs w:val="32"/>
        </w:rPr>
        <w:t>附件3：法定代表人授权书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"_Toc18124" </w:instrText>
      </w:r>
      <w:r>
        <w:fldChar w:fldCharType="separate"/>
      </w:r>
      <w:r>
        <w:rPr>
          <w:rFonts w:hint="eastAsia" w:ascii="仿宋_GB2312" w:hAnsi="仿宋_GB2312" w:eastAsia="仿宋_GB2312" w:cs="仿宋_GB2312"/>
          <w:sz w:val="32"/>
          <w:szCs w:val="32"/>
        </w:rPr>
        <w:t>附件4：供应商承诺函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"_Toc21295" </w:instrText>
      </w:r>
      <w:r>
        <w:fldChar w:fldCharType="separate"/>
      </w:r>
      <w:r>
        <w:rPr>
          <w:rFonts w:hint="eastAsia" w:ascii="仿宋_GB2312" w:hAnsi="仿宋_GB2312" w:eastAsia="仿宋_GB2312" w:cs="仿宋_GB2312"/>
          <w:sz w:val="32"/>
          <w:szCs w:val="32"/>
        </w:rPr>
        <w:t>附件5：供应商诚信承诺书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"_Toc25647" </w:instrText>
      </w:r>
      <w:r>
        <w:fldChar w:fldCharType="separate"/>
      </w:r>
      <w:r>
        <w:rPr>
          <w:rFonts w:hint="eastAsia" w:ascii="仿宋_GB2312" w:hAnsi="仿宋_GB2312" w:eastAsia="仿宋_GB2312" w:cs="仿宋_GB2312"/>
          <w:sz w:val="32"/>
          <w:szCs w:val="32"/>
        </w:rPr>
        <w:t>附件6：供应商资格证明文件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"_Toc25376" </w:instrText>
      </w:r>
      <w:r>
        <w:fldChar w:fldCharType="separate"/>
      </w:r>
      <w:r>
        <w:rPr>
          <w:rFonts w:hint="eastAsia" w:ascii="仿宋_GB2312" w:hAnsi="仿宋_GB2312" w:eastAsia="仿宋_GB2312" w:cs="仿宋_GB2312"/>
          <w:sz w:val="32"/>
          <w:szCs w:val="32"/>
        </w:rPr>
        <w:t>附件7：财务状况、缴纳税收和社会保障资金证明</w:t>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"_Toc4907" </w:instrText>
      </w:r>
      <w:r>
        <w:fldChar w:fldCharType="separate"/>
      </w:r>
      <w:r>
        <w:rPr>
          <w:rFonts w:hint="eastAsia" w:ascii="仿宋_GB2312" w:hAnsi="仿宋_GB2312" w:eastAsia="仿宋_GB2312" w:cs="仿宋_GB2312"/>
          <w:sz w:val="32"/>
          <w:szCs w:val="32"/>
        </w:rPr>
        <w:t>附件8：无重大违法记录声明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"_Toc29794" </w:instrText>
      </w:r>
      <w:r>
        <w:fldChar w:fldCharType="separate"/>
      </w:r>
      <w:r>
        <w:rPr>
          <w:rFonts w:hint="eastAsia" w:ascii="仿宋_GB2312" w:hAnsi="仿宋_GB2312" w:eastAsia="仿宋_GB2312" w:cs="仿宋_GB2312"/>
          <w:sz w:val="32"/>
          <w:szCs w:val="32"/>
        </w:rPr>
        <w:t>附件9：谈判</w:t>
      </w:r>
      <w:r>
        <w:rPr>
          <w:rFonts w:hint="eastAsia" w:ascii="仿宋_GB2312" w:hAnsi="仿宋_GB2312" w:eastAsia="仿宋_GB2312" w:cs="仿宋_GB2312"/>
          <w:sz w:val="32"/>
          <w:szCs w:val="32"/>
          <w:lang w:val="zh-CN"/>
        </w:rPr>
        <w:t>保证金证明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outlineLvl w:val="2"/>
        <w:rPr>
          <w:rFonts w:ascii="楷体_GB2312" w:hAnsi="楷体_GB2312" w:eastAsia="楷体_GB2312" w:cs="楷体_GB2312"/>
          <w:b/>
          <w:bCs/>
          <w:sz w:val="32"/>
          <w:szCs w:val="32"/>
          <w:lang w:val="zh-CN"/>
        </w:rPr>
      </w:pPr>
      <w:bookmarkStart w:id="293" w:name="_Toc18301_WPSOffice_Level3"/>
      <w:bookmarkStart w:id="294" w:name="_Toc112245861"/>
      <w:bookmarkStart w:id="295" w:name="_Toc3154_WPSOffice_Level2"/>
      <w:bookmarkStart w:id="296" w:name="_Toc21135"/>
      <w:r>
        <w:rPr>
          <w:rFonts w:hint="eastAsia" w:ascii="楷体_GB2312" w:hAnsi="楷体_GB2312" w:eastAsia="楷体_GB2312" w:cs="楷体_GB2312"/>
          <w:b/>
          <w:bCs/>
          <w:sz w:val="32"/>
          <w:szCs w:val="32"/>
          <w:lang w:val="zh-CN"/>
        </w:rPr>
        <w:t>（二）有效性、完整性、响应程度审查部分</w:t>
      </w:r>
      <w:bookmarkEnd w:id="293"/>
      <w:bookmarkEnd w:id="294"/>
      <w:bookmarkEnd w:id="295"/>
      <w:bookmarkEnd w:id="296"/>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"_Toc24155" </w:instrText>
      </w:r>
      <w:r>
        <w:fldChar w:fldCharType="separate"/>
      </w:r>
      <w:r>
        <w:rPr>
          <w:rFonts w:hint="eastAsia" w:ascii="仿宋_GB2312" w:hAnsi="仿宋_GB2312" w:eastAsia="仿宋_GB2312" w:cs="仿宋_GB2312"/>
          <w:sz w:val="32"/>
          <w:szCs w:val="32"/>
        </w:rPr>
        <w:t>附件10：谈判首次报价表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"_Toc24731" </w:instrText>
      </w:r>
      <w:r>
        <w:fldChar w:fldCharType="separate"/>
      </w: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：实施方案及服务保障</w:t>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"_Toc11479" </w:instrText>
      </w:r>
      <w:r>
        <w:fldChar w:fldCharType="separate"/>
      </w: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人员配备表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"_Toc8097" </w:instrText>
      </w:r>
      <w:r>
        <w:fldChar w:fldCharType="separate"/>
      </w: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：声明函</w:t>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"_Toc7861" </w:instrText>
      </w:r>
      <w:r>
        <w:fldChar w:fldCharType="separate"/>
      </w: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：供应商认为在其他方面有必要说明的事项</w:t>
      </w:r>
      <w:r>
        <w:rPr>
          <w:rFonts w:hint="eastAsia" w:ascii="仿宋_GB2312" w:hAnsi="仿宋_GB2312" w:eastAsia="仿宋_GB2312" w:cs="仿宋_GB2312"/>
          <w:sz w:val="32"/>
          <w:szCs w:val="32"/>
        </w:rPr>
        <w:fldChar w:fldCharType="end"/>
      </w:r>
    </w:p>
    <w:p>
      <w:pPr>
        <w:adjustRightInd w:val="0"/>
        <w:snapToGrid w:val="0"/>
        <w:spacing w:line="560" w:lineRule="exact"/>
        <w:jc w:val="left"/>
        <w:rPr>
          <w:rFonts w:ascii="仿宋_GB2312" w:hAnsi="仿宋_GB2312" w:eastAsia="仿宋_GB2312" w:cs="仿宋_GB2312"/>
          <w:sz w:val="32"/>
          <w:szCs w:val="32"/>
        </w:rPr>
      </w:pPr>
      <w:r>
        <w:fldChar w:fldCharType="begin"/>
      </w:r>
      <w:r>
        <w:instrText xml:space="preserve"> HYPERLINK \l "_Toc16719" </w:instrText>
      </w:r>
      <w:r>
        <w:fldChar w:fldCharType="separate"/>
      </w: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：最后报价表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
      <w:pPr>
        <w:adjustRightInd w:val="0"/>
        <w:snapToGrid w:val="0"/>
        <w:spacing w:line="560" w:lineRule="exact"/>
        <w:jc w:val="left"/>
        <w:rPr>
          <w:rFonts w:ascii="仿宋_GB2312" w:hAnsi="仿宋_GB2312" w:eastAsia="仿宋_GB2312" w:cs="仿宋_GB2312"/>
          <w:sz w:val="32"/>
          <w:szCs w:val="32"/>
        </w:rPr>
      </w:pPr>
    </w:p>
    <w:p>
      <w:pPr>
        <w:pStyle w:val="11"/>
        <w:rPr>
          <w:rFonts w:ascii="仿宋_GB2312" w:hAnsi="仿宋_GB2312" w:eastAsia="仿宋_GB2312" w:cs="仿宋_GB2312"/>
          <w:sz w:val="32"/>
          <w:szCs w:val="32"/>
        </w:rPr>
      </w:pPr>
    </w:p>
    <w:p>
      <w:pPr>
        <w:pStyle w:val="11"/>
        <w:rPr>
          <w:rFonts w:ascii="仿宋_GB2312" w:hAnsi="仿宋_GB2312" w:eastAsia="仿宋_GB2312" w:cs="仿宋_GB2312"/>
          <w:sz w:val="32"/>
          <w:szCs w:val="32"/>
        </w:rPr>
      </w:pPr>
    </w:p>
    <w:p>
      <w:pPr>
        <w:pStyle w:val="21"/>
        <w:ind w:left="0" w:leftChars="0" w:firstLine="0"/>
        <w:rPr>
          <w:rFonts w:ascii="仿宋_GB2312" w:hAnsi="仿宋_GB2312" w:eastAsia="仿宋_GB2312" w:cs="仿宋_GB2312"/>
          <w:szCs w:val="32"/>
        </w:rPr>
      </w:pPr>
    </w:p>
    <w:p>
      <w:pPr>
        <w:adjustRightInd w:val="0"/>
        <w:snapToGrid w:val="0"/>
        <w:spacing w:line="560" w:lineRule="exact"/>
        <w:jc w:val="center"/>
        <w:outlineLvl w:val="1"/>
        <w:rPr>
          <w:rFonts w:hint="eastAsia" w:ascii="仿宋" w:hAnsi="仿宋" w:eastAsia="仿宋" w:cs="仿宋"/>
          <w:sz w:val="32"/>
          <w:szCs w:val="32"/>
        </w:rPr>
      </w:pPr>
      <w:bookmarkStart w:id="297" w:name="_Toc112245862"/>
      <w:bookmarkStart w:id="298" w:name="_Toc1684_WPSOffice_Level2"/>
      <w:bookmarkStart w:id="299" w:name="_Toc5252_WPSOffice_Level2"/>
      <w:bookmarkStart w:id="300" w:name="_Toc11918"/>
      <w:bookmarkStart w:id="301" w:name="_Toc14930_WPSOffice_Level2"/>
      <w:r>
        <w:rPr>
          <w:rFonts w:hint="eastAsia" w:ascii="仿宋" w:hAnsi="仿宋" w:eastAsia="仿宋" w:cs="仿宋"/>
          <w:sz w:val="32"/>
          <w:szCs w:val="32"/>
        </w:rPr>
        <w:t>十三、谈判响应文件</w:t>
      </w:r>
      <w:bookmarkEnd w:id="297"/>
      <w:bookmarkEnd w:id="298"/>
      <w:bookmarkEnd w:id="299"/>
      <w:bookmarkEnd w:id="300"/>
      <w:bookmarkEnd w:id="301"/>
    </w:p>
    <w:p>
      <w:pPr>
        <w:spacing w:before="156" w:beforeLines="50" w:line="560" w:lineRule="exact"/>
        <w:ind w:firstLine="1285" w:firstLineChars="400"/>
        <w:rPr>
          <w:rFonts w:ascii="仿宋_GB2312" w:hAnsi="仿宋_GB2312" w:eastAsia="仿宋_GB2312" w:cs="仿宋_GB2312"/>
          <w:b/>
          <w:color w:val="000000"/>
          <w:sz w:val="32"/>
          <w:szCs w:val="32"/>
        </w:rPr>
      </w:pPr>
      <w:bookmarkStart w:id="302" w:name="_Toc28269_WPSOffice_Level3"/>
    </w:p>
    <w:p>
      <w:pPr>
        <w:spacing w:before="156" w:beforeLines="50" w:line="560" w:lineRule="exact"/>
        <w:ind w:firstLine="2610" w:firstLineChars="500"/>
        <w:jc w:val="left"/>
        <w:rPr>
          <w:rFonts w:hint="eastAsia" w:ascii="仿宋" w:hAnsi="仿宋" w:eastAsia="仿宋" w:cs="仿宋"/>
          <w:b/>
          <w:color w:val="000000"/>
          <w:sz w:val="52"/>
          <w:szCs w:val="52"/>
        </w:rPr>
      </w:pPr>
      <w:bookmarkStart w:id="303" w:name="_Toc31682_WPSOffice_Level2"/>
      <w:bookmarkStart w:id="304" w:name="_Toc10997_WPSOffice_Level2"/>
      <w:r>
        <w:rPr>
          <w:rFonts w:hint="eastAsia" w:ascii="仿宋" w:hAnsi="仿宋" w:eastAsia="仿宋" w:cs="仿宋"/>
          <w:b/>
          <w:color w:val="000000"/>
          <w:sz w:val="52"/>
          <w:szCs w:val="52"/>
        </w:rPr>
        <w:t>青海省政府采购项目</w:t>
      </w:r>
      <w:bookmarkEnd w:id="302"/>
      <w:bookmarkEnd w:id="303"/>
      <w:bookmarkEnd w:id="304"/>
    </w:p>
    <w:p>
      <w:pPr>
        <w:spacing w:before="156" w:beforeLines="50" w:line="560" w:lineRule="exact"/>
        <w:ind w:firstLine="3654" w:firstLineChars="700"/>
        <w:jc w:val="left"/>
        <w:rPr>
          <w:rFonts w:hint="eastAsia" w:ascii="仿宋" w:hAnsi="仿宋" w:eastAsia="仿宋" w:cs="仿宋"/>
          <w:b/>
          <w:color w:val="000000"/>
          <w:sz w:val="52"/>
          <w:szCs w:val="52"/>
        </w:rPr>
      </w:pPr>
      <w:bookmarkStart w:id="305" w:name="_Toc25378_WPSOffice_Level2"/>
      <w:bookmarkStart w:id="306" w:name="_Toc23622_WPSOffice_Level2"/>
      <w:r>
        <w:rPr>
          <w:rFonts w:hint="eastAsia" w:ascii="仿宋" w:hAnsi="仿宋" w:eastAsia="仿宋" w:cs="仿宋"/>
          <w:b/>
          <w:color w:val="000000"/>
          <w:sz w:val="52"/>
          <w:szCs w:val="52"/>
        </w:rPr>
        <w:t>谈判响应文件</w:t>
      </w:r>
      <w:bookmarkEnd w:id="305"/>
      <w:bookmarkEnd w:id="306"/>
    </w:p>
    <w:p>
      <w:pPr>
        <w:adjustRightInd w:val="0"/>
        <w:spacing w:before="156" w:beforeLines="50" w:line="560" w:lineRule="exact"/>
        <w:ind w:firstLine="3052" w:firstLineChars="950"/>
        <w:textAlignment w:val="baseline"/>
        <w:rPr>
          <w:rFonts w:hint="eastAsia" w:ascii="仿宋" w:hAnsi="仿宋" w:eastAsia="仿宋" w:cs="仿宋"/>
          <w:b/>
          <w:bCs/>
          <w:color w:val="000000"/>
          <w:sz w:val="32"/>
          <w:szCs w:val="32"/>
        </w:rPr>
      </w:pPr>
      <w:bookmarkStart w:id="307" w:name="_Toc13231_WPSOffice_Level2"/>
      <w:bookmarkStart w:id="308" w:name="_Toc28825_WPSOffice_Level2"/>
    </w:p>
    <w:p>
      <w:pPr>
        <w:adjustRightInd w:val="0"/>
        <w:spacing w:before="156" w:beforeLines="50" w:line="560" w:lineRule="exact"/>
        <w:ind w:firstLine="3052" w:firstLineChars="950"/>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sz w:val="32"/>
          <w:szCs w:val="32"/>
        </w:rPr>
        <w:t>资格审查部分</w:t>
      </w:r>
      <w:r>
        <w:rPr>
          <w:rFonts w:hint="eastAsia" w:ascii="仿宋" w:hAnsi="仿宋" w:eastAsia="仿宋" w:cs="仿宋"/>
          <w:b/>
          <w:bCs/>
          <w:color w:val="000000"/>
          <w:sz w:val="32"/>
          <w:szCs w:val="32"/>
        </w:rPr>
        <w:t>）</w:t>
      </w:r>
      <w:bookmarkEnd w:id="307"/>
      <w:bookmarkEnd w:id="308"/>
    </w:p>
    <w:p>
      <w:pPr>
        <w:adjustRightInd w:val="0"/>
        <w:spacing w:before="156" w:beforeLines="50" w:line="560" w:lineRule="exact"/>
        <w:textAlignment w:val="baseline"/>
        <w:rPr>
          <w:rFonts w:hint="eastAsia" w:ascii="仿宋" w:hAnsi="仿宋" w:eastAsia="仿宋" w:cs="仿宋"/>
          <w:b/>
          <w:bCs/>
          <w:color w:val="000000"/>
          <w:sz w:val="32"/>
          <w:szCs w:val="32"/>
        </w:rPr>
      </w:pPr>
    </w:p>
    <w:p>
      <w:pPr>
        <w:adjustRightInd w:val="0"/>
        <w:spacing w:before="156" w:beforeLines="50" w:line="560" w:lineRule="exact"/>
        <w:textAlignment w:val="baseline"/>
        <w:rPr>
          <w:rFonts w:hint="eastAsia" w:ascii="仿宋" w:hAnsi="仿宋" w:eastAsia="仿宋" w:cs="仿宋"/>
          <w:b/>
          <w:bCs/>
          <w:color w:val="000000"/>
          <w:sz w:val="32"/>
          <w:szCs w:val="32"/>
        </w:rPr>
      </w:pPr>
    </w:p>
    <w:p>
      <w:pPr>
        <w:adjustRightInd w:val="0"/>
        <w:spacing w:before="156" w:beforeLines="50" w:line="560" w:lineRule="exact"/>
        <w:textAlignment w:val="baseline"/>
        <w:rPr>
          <w:rFonts w:hint="eastAsia" w:ascii="仿宋" w:hAnsi="仿宋" w:eastAsia="仿宋" w:cs="仿宋"/>
          <w:b/>
          <w:bCs/>
          <w:color w:val="000000"/>
          <w:sz w:val="32"/>
          <w:szCs w:val="32"/>
        </w:rPr>
      </w:pPr>
    </w:p>
    <w:p>
      <w:pPr>
        <w:adjustRightInd w:val="0"/>
        <w:spacing w:before="156" w:beforeLines="50" w:line="560" w:lineRule="exact"/>
        <w:textAlignment w:val="baseline"/>
        <w:rPr>
          <w:rFonts w:hint="eastAsia" w:ascii="仿宋" w:hAnsi="仿宋" w:eastAsia="仿宋" w:cs="仿宋"/>
          <w:b/>
          <w:bCs/>
          <w:color w:val="000000"/>
          <w:sz w:val="32"/>
          <w:szCs w:val="32"/>
        </w:rPr>
      </w:pPr>
      <w:bookmarkStart w:id="309" w:name="_Toc29803_WPSOffice_Level2"/>
      <w:bookmarkStart w:id="310" w:name="_Toc19521_WPSOffice_Level2"/>
      <w:r>
        <w:rPr>
          <w:rFonts w:hint="eastAsia" w:ascii="仿宋" w:hAnsi="仿宋" w:eastAsia="仿宋" w:cs="仿宋"/>
          <w:b/>
          <w:bCs/>
          <w:color w:val="000000"/>
          <w:sz w:val="32"/>
          <w:szCs w:val="32"/>
        </w:rPr>
        <w:t>采购项目编号:</w:t>
      </w:r>
      <w:bookmarkEnd w:id="309"/>
      <w:bookmarkEnd w:id="310"/>
    </w:p>
    <w:p>
      <w:pPr>
        <w:spacing w:before="156" w:beforeLines="50" w:line="560" w:lineRule="exact"/>
        <w:ind w:left="2249" w:hanging="2249" w:hangingChars="700"/>
        <w:jc w:val="left"/>
        <w:rPr>
          <w:rFonts w:hint="eastAsia" w:ascii="仿宋" w:hAnsi="仿宋" w:eastAsia="仿宋" w:cs="仿宋"/>
          <w:b/>
          <w:bCs/>
          <w:color w:val="000000"/>
          <w:sz w:val="32"/>
          <w:szCs w:val="32"/>
        </w:rPr>
      </w:pPr>
      <w:bookmarkStart w:id="311" w:name="_Toc18713_WPSOffice_Level2"/>
      <w:bookmarkStart w:id="312" w:name="_Toc14786_WPSOffice_Level2"/>
      <w:r>
        <w:rPr>
          <w:rFonts w:hint="eastAsia" w:ascii="仿宋" w:hAnsi="仿宋" w:eastAsia="仿宋" w:cs="仿宋"/>
          <w:b/>
          <w:bCs/>
          <w:color w:val="000000"/>
          <w:sz w:val="32"/>
          <w:szCs w:val="32"/>
        </w:rPr>
        <w:t>采购项目名称:</w:t>
      </w:r>
      <w:bookmarkEnd w:id="311"/>
      <w:bookmarkEnd w:id="312"/>
      <w:r>
        <w:rPr>
          <w:rFonts w:hint="eastAsia" w:ascii="仿宋" w:hAnsi="仿宋" w:eastAsia="仿宋" w:cs="仿宋"/>
          <w:b/>
          <w:bCs/>
          <w:color w:val="000000"/>
          <w:sz w:val="32"/>
          <w:szCs w:val="32"/>
        </w:rPr>
        <w:t xml:space="preserve"> </w:t>
      </w:r>
    </w:p>
    <w:p>
      <w:pPr>
        <w:spacing w:before="156" w:beforeLines="50" w:line="560" w:lineRule="exact"/>
        <w:ind w:left="2249" w:hanging="2249" w:hangingChars="700"/>
        <w:jc w:val="left"/>
        <w:rPr>
          <w:rFonts w:hint="eastAsia" w:ascii="仿宋" w:hAnsi="仿宋" w:eastAsia="仿宋" w:cs="仿宋"/>
          <w:b/>
          <w:bCs/>
          <w:color w:val="000000"/>
          <w:sz w:val="32"/>
          <w:szCs w:val="32"/>
        </w:rPr>
      </w:pPr>
      <w:bookmarkStart w:id="313" w:name="_Toc14087_WPSOffice_Level2"/>
      <w:bookmarkStart w:id="314" w:name="_Toc22044_WPSOffice_Level2"/>
      <w:r>
        <w:rPr>
          <w:rFonts w:hint="eastAsia" w:ascii="仿宋" w:hAnsi="仿宋" w:eastAsia="仿宋" w:cs="仿宋"/>
          <w:b/>
          <w:bCs/>
          <w:color w:val="000000"/>
          <w:sz w:val="32"/>
          <w:szCs w:val="32"/>
        </w:rPr>
        <w:t>供应商名称：</w:t>
      </w:r>
      <w:bookmarkEnd w:id="313"/>
      <w:bookmarkEnd w:id="314"/>
    </w:p>
    <w:p>
      <w:pPr>
        <w:spacing w:before="156" w:beforeLines="50" w:line="560" w:lineRule="exact"/>
        <w:jc w:val="center"/>
        <w:rPr>
          <w:rFonts w:hint="eastAsia" w:ascii="仿宋" w:hAnsi="仿宋" w:eastAsia="仿宋" w:cs="仿宋"/>
          <w:b/>
          <w:bCs/>
          <w:color w:val="000000"/>
          <w:sz w:val="32"/>
          <w:szCs w:val="32"/>
        </w:rPr>
      </w:pPr>
    </w:p>
    <w:p>
      <w:pPr>
        <w:spacing w:before="156" w:beforeLines="50" w:line="560" w:lineRule="exact"/>
        <w:jc w:val="center"/>
        <w:rPr>
          <w:rFonts w:hint="eastAsia" w:ascii="仿宋" w:hAnsi="仿宋" w:eastAsia="仿宋" w:cs="仿宋"/>
          <w:b/>
          <w:color w:val="000000"/>
          <w:sz w:val="32"/>
          <w:szCs w:val="32"/>
        </w:rPr>
      </w:pPr>
      <w:bookmarkStart w:id="315" w:name="_Toc1142_WPSOffice_Level3"/>
      <w:r>
        <w:rPr>
          <w:rFonts w:hint="eastAsia" w:ascii="仿宋" w:hAnsi="仿宋" w:eastAsia="仿宋" w:cs="仿宋"/>
          <w:b/>
          <w:color w:val="000000"/>
          <w:sz w:val="32"/>
          <w:szCs w:val="32"/>
        </w:rPr>
        <w:t>年  月  日</w:t>
      </w:r>
      <w:bookmarkEnd w:id="315"/>
    </w:p>
    <w:p>
      <w:pPr>
        <w:widowControl/>
        <w:snapToGrid w:val="0"/>
        <w:spacing w:before="156" w:beforeLines="50" w:line="560" w:lineRule="exact"/>
        <w:jc w:val="left"/>
        <w:rPr>
          <w:rFonts w:ascii="宋体"/>
          <w:b/>
          <w:color w:val="000000"/>
          <w:sz w:val="28"/>
          <w:szCs w:val="28"/>
        </w:rPr>
      </w:pPr>
    </w:p>
    <w:p>
      <w:pPr>
        <w:widowControl/>
        <w:snapToGrid w:val="0"/>
        <w:spacing w:before="156" w:beforeLines="50" w:line="560" w:lineRule="exact"/>
        <w:jc w:val="left"/>
        <w:outlineLvl w:val="2"/>
        <w:rPr>
          <w:rFonts w:ascii="宋体"/>
          <w:b/>
          <w:color w:val="000000"/>
          <w:sz w:val="28"/>
          <w:szCs w:val="28"/>
        </w:rPr>
      </w:pPr>
      <w:r>
        <w:rPr>
          <w:rFonts w:ascii="宋体"/>
          <w:b/>
          <w:color w:val="000000"/>
          <w:sz w:val="28"/>
          <w:szCs w:val="28"/>
        </w:rPr>
        <w:br w:type="page"/>
      </w:r>
      <w:bookmarkStart w:id="316" w:name="_Toc27597"/>
      <w:bookmarkStart w:id="317" w:name="_Toc112245863"/>
      <w:bookmarkStart w:id="318" w:name="_Toc19203"/>
      <w:bookmarkStart w:id="319" w:name="_Toc27578"/>
      <w:bookmarkStart w:id="320" w:name="_Toc32479_WPSOffice_Level3"/>
      <w:r>
        <w:rPr>
          <w:rFonts w:hint="eastAsia" w:ascii="仿宋" w:hAnsi="仿宋" w:eastAsia="仿宋" w:cs="仿宋"/>
          <w:b/>
          <w:color w:val="000000"/>
          <w:sz w:val="32"/>
          <w:szCs w:val="32"/>
        </w:rPr>
        <w:t>附件1：响应函</w:t>
      </w:r>
      <w:bookmarkEnd w:id="316"/>
      <w:bookmarkEnd w:id="317"/>
      <w:bookmarkEnd w:id="318"/>
      <w:bookmarkEnd w:id="319"/>
      <w:bookmarkEnd w:id="320"/>
    </w:p>
    <w:p>
      <w:pPr>
        <w:spacing w:before="156" w:beforeLines="50" w:line="560" w:lineRule="exact"/>
        <w:ind w:firstLine="3710" w:firstLineChars="1155"/>
        <w:rPr>
          <w:rFonts w:ascii="仿宋_GB2312" w:hAnsi="仿宋_GB2312" w:eastAsia="仿宋_GB2312" w:cs="仿宋_GB2312"/>
          <w:b/>
          <w:color w:val="000000"/>
          <w:sz w:val="32"/>
          <w:szCs w:val="32"/>
        </w:rPr>
      </w:pPr>
      <w:bookmarkStart w:id="321" w:name="_Toc24288_WPSOffice_Level2"/>
      <w:bookmarkStart w:id="322" w:name="_Toc22598_WPSOffice_Level2"/>
      <w:r>
        <w:rPr>
          <w:rFonts w:hint="eastAsia" w:ascii="仿宋_GB2312" w:hAnsi="仿宋_GB2312" w:eastAsia="仿宋_GB2312" w:cs="仿宋_GB2312"/>
          <w:b/>
          <w:color w:val="000000"/>
          <w:sz w:val="32"/>
          <w:szCs w:val="32"/>
        </w:rPr>
        <w:t>响 应 函</w:t>
      </w:r>
      <w:bookmarkEnd w:id="321"/>
      <w:bookmarkEnd w:id="322"/>
    </w:p>
    <w:p>
      <w:pPr>
        <w:adjustRightInd w:val="0"/>
        <w:snapToGrid w:val="0"/>
        <w:spacing w:line="560" w:lineRule="exact"/>
        <w:ind w:firstLine="640" w:firstLineChars="200"/>
        <w:rPr>
          <w:rFonts w:ascii="仿宋_GB2312" w:hAnsi="仿宋_GB2312" w:eastAsia="仿宋_GB2312" w:cs="仿宋_GB2312"/>
          <w:color w:val="000000"/>
          <w:sz w:val="32"/>
          <w:szCs w:val="32"/>
        </w:rPr>
      </w:pPr>
      <w:bookmarkStart w:id="323" w:name="_Toc16867_WPSOffice_Level2"/>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（代理机构名称）</w:t>
      </w:r>
      <w:bookmarkEnd w:id="32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（项目名称及编号）谈判文件，经研究，法定代表人（姓名、职务）正式授权（委托代理人姓名、职务）代表供应商（供应商名称、地址）提交谈判响应文件。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2、若在响应文件发出后，我方在响应文件有效期内撤回或成交后不签约的，谈判保证金将被贵方没收。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3、我方同意按照贵方要求提供与谈判有关的一切数据或资料，理解并接受贵方制定的评标办法。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4、与本次竞争性谈判有关的一切正式往来通讯请寄：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pPr>
        <w:adjustRightInd w:val="0"/>
        <w:snapToGrid w:val="0"/>
        <w:spacing w:line="560" w:lineRule="exact"/>
        <w:ind w:firstLine="640" w:firstLineChars="200"/>
        <w:rPr>
          <w:rFonts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pPr>
        <w:spacing w:before="156" w:beforeLines="50" w:line="560" w:lineRule="exact"/>
        <w:ind w:firstLine="560" w:firstLineChars="200"/>
        <w:jc w:val="center"/>
        <w:rPr>
          <w:rFonts w:ascii="仿宋_GB2312" w:hAnsi="仿宋_GB2312" w:eastAsia="仿宋_GB2312" w:cs="仿宋_GB2312"/>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 xml:space="preserve">  </w:t>
      </w:r>
      <w:bookmarkStart w:id="324" w:name="_Toc1506_WPSOffice_Level3"/>
      <w:r>
        <w:rPr>
          <w:rFonts w:hint="eastAsia" w:ascii="仿宋_GB2312" w:hAnsi="仿宋_GB2312" w:eastAsia="仿宋_GB2312" w:cs="仿宋_GB2312"/>
          <w:bCs/>
          <w:color w:val="000000"/>
          <w:sz w:val="32"/>
          <w:szCs w:val="32"/>
        </w:rPr>
        <w:t xml:space="preserve">               </w:t>
      </w:r>
      <w:bookmarkStart w:id="325" w:name="_Toc28112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24"/>
      <w:bookmarkEnd w:id="325"/>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26" w:name="_Toc6385_WPSOffice_Level3"/>
      <w:bookmarkStart w:id="327" w:name="_Toc28651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26"/>
      <w:bookmarkEnd w:id="327"/>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28" w:name="_Toc13325_WPSOffice_Level3"/>
      <w:bookmarkStart w:id="329" w:name="_Toc130_WPSOffice_Level3"/>
      <w:r>
        <w:rPr>
          <w:rFonts w:hint="eastAsia" w:ascii="仿宋_GB2312" w:hAnsi="仿宋_GB2312" w:eastAsia="仿宋_GB2312" w:cs="仿宋_GB2312"/>
          <w:bCs/>
          <w:color w:val="000000"/>
          <w:sz w:val="32"/>
          <w:szCs w:val="32"/>
        </w:rPr>
        <w:t>年   月  日</w:t>
      </w:r>
      <w:bookmarkEnd w:id="328"/>
      <w:bookmarkEnd w:id="329"/>
    </w:p>
    <w:p>
      <w:pPr>
        <w:widowControl/>
        <w:snapToGrid w:val="0"/>
        <w:spacing w:before="156" w:beforeLines="50" w:line="560" w:lineRule="exact"/>
        <w:rPr>
          <w:rFonts w:ascii="宋体"/>
          <w:b/>
          <w:color w:val="000000"/>
          <w:sz w:val="28"/>
          <w:szCs w:val="28"/>
        </w:rPr>
      </w:pPr>
    </w:p>
    <w:p>
      <w:pPr>
        <w:pStyle w:val="21"/>
      </w:pPr>
    </w:p>
    <w:p>
      <w:pPr>
        <w:widowControl/>
        <w:snapToGrid w:val="0"/>
        <w:spacing w:before="156" w:beforeLines="50" w:line="560" w:lineRule="exact"/>
        <w:jc w:val="left"/>
        <w:outlineLvl w:val="2"/>
        <w:rPr>
          <w:rFonts w:hint="eastAsia" w:ascii="仿宋" w:hAnsi="仿宋" w:eastAsia="仿宋" w:cs="仿宋"/>
          <w:b/>
          <w:bCs/>
          <w:color w:val="000000"/>
          <w:sz w:val="36"/>
          <w:szCs w:val="36"/>
        </w:rPr>
      </w:pPr>
      <w:bookmarkStart w:id="330" w:name="_Toc3082"/>
      <w:bookmarkStart w:id="331" w:name="_Toc12487"/>
      <w:bookmarkStart w:id="332" w:name="_Toc16050"/>
      <w:bookmarkStart w:id="333" w:name="_Toc20882_WPSOffice_Level3"/>
      <w:bookmarkStart w:id="334" w:name="_Toc112245864"/>
      <w:bookmarkStart w:id="335" w:name="_Toc17887_WPSOffice_Level2"/>
      <w:bookmarkStart w:id="336" w:name="_Toc26257_WPSOffice_Level2"/>
      <w:r>
        <w:rPr>
          <w:rFonts w:hint="eastAsia" w:ascii="仿宋" w:hAnsi="仿宋" w:eastAsia="仿宋" w:cs="仿宋"/>
          <w:b/>
          <w:color w:val="000000"/>
          <w:sz w:val="32"/>
          <w:szCs w:val="32"/>
        </w:rPr>
        <w:t>附件2：法定代表人证明书</w:t>
      </w:r>
      <w:bookmarkEnd w:id="330"/>
      <w:bookmarkEnd w:id="331"/>
      <w:bookmarkEnd w:id="332"/>
      <w:bookmarkEnd w:id="333"/>
      <w:bookmarkEnd w:id="334"/>
      <w:bookmarkEnd w:id="335"/>
      <w:bookmarkEnd w:id="336"/>
    </w:p>
    <w:p>
      <w:pPr>
        <w:spacing w:before="156" w:beforeLines="50" w:line="560" w:lineRule="exact"/>
        <w:ind w:firstLine="2891" w:firstLineChars="900"/>
        <w:rPr>
          <w:rFonts w:ascii="仿宋_GB2312" w:hAnsi="仿宋_GB2312" w:eastAsia="仿宋_GB2312" w:cs="仿宋_GB2312"/>
          <w:b/>
          <w:color w:val="000000"/>
          <w:sz w:val="32"/>
          <w:szCs w:val="32"/>
        </w:rPr>
      </w:pPr>
      <w:bookmarkStart w:id="337" w:name="_Toc32036_WPSOffice_Level1"/>
      <w:bookmarkStart w:id="338" w:name="_Toc28170_WPSOffice_Level2"/>
      <w:bookmarkStart w:id="339" w:name="_Toc14917_WPSOffice_Level1"/>
      <w:bookmarkStart w:id="340" w:name="_Toc6898_WPSOffice_Level2"/>
      <w:r>
        <w:rPr>
          <w:rFonts w:hint="eastAsia" w:ascii="仿宋_GB2312" w:hAnsi="仿宋_GB2312" w:eastAsia="仿宋_GB2312" w:cs="仿宋_GB2312"/>
          <w:b/>
          <w:color w:val="000000"/>
          <w:sz w:val="32"/>
          <w:szCs w:val="32"/>
        </w:rPr>
        <w:t>法定代表人证明书</w:t>
      </w:r>
      <w:bookmarkEnd w:id="337"/>
      <w:bookmarkEnd w:id="338"/>
      <w:bookmarkEnd w:id="339"/>
      <w:bookmarkEnd w:id="340"/>
    </w:p>
    <w:p>
      <w:pPr>
        <w:spacing w:before="156" w:beforeLines="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（法定代表人姓名）  </w:t>
      </w:r>
      <w:r>
        <w:rPr>
          <w:rFonts w:hint="eastAsia" w:ascii="仿宋_GB2312" w:hAnsi="仿宋_GB2312" w:eastAsia="仿宋_GB2312" w:cs="仿宋_GB2312"/>
          <w:color w:val="000000"/>
          <w:sz w:val="32"/>
          <w:szCs w:val="32"/>
        </w:rPr>
        <w:t>现任我单位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职务，为法定代表人，特此证明。</w:t>
      </w:r>
    </w:p>
    <w:p>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法定代表人基本情况：</w:t>
      </w:r>
    </w:p>
    <w:p>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性别：</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年龄：</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民族：</w:t>
      </w:r>
      <w:r>
        <w:rPr>
          <w:rFonts w:hint="eastAsia" w:ascii="仿宋_GB2312" w:hAnsi="仿宋_GB2312" w:eastAsia="仿宋_GB2312" w:cs="仿宋_GB2312"/>
          <w:color w:val="000000"/>
          <w:sz w:val="32"/>
          <w:szCs w:val="32"/>
          <w:u w:val="single"/>
        </w:rPr>
        <w:t xml:space="preserve">     </w:t>
      </w:r>
    </w:p>
    <w:p>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u w:val="single"/>
        </w:rPr>
        <w:t xml:space="preserve">                             </w:t>
      </w:r>
    </w:p>
    <w:p>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附法定代表人第二代身份证双面扫描或其他身份证明材料（复印件</w:t>
      </w:r>
      <w:r>
        <w:rPr>
          <w:rFonts w:hint="eastAsia" w:ascii="仿宋_GB2312" w:hAnsi="仿宋_GB2312" w:eastAsia="仿宋_GB2312" w:cs="仿宋_GB2312"/>
          <w:sz w:val="32"/>
          <w:szCs w:val="32"/>
        </w:rPr>
        <w:t>）</w:t>
      </w:r>
    </w:p>
    <w:p>
      <w:pPr>
        <w:autoSpaceDE w:val="0"/>
        <w:autoSpaceDN w:val="0"/>
        <w:adjustRightInd w:val="0"/>
        <w:spacing w:before="156" w:beforeLines="50" w:line="560" w:lineRule="exact"/>
        <w:ind w:firstLine="480" w:firstLineChars="200"/>
        <w:jc w:val="left"/>
        <w:rPr>
          <w:rFonts w:ascii="宋体" w:hAnsi="宋体" w:cs="宋体"/>
          <w:color w:val="000000"/>
          <w:kern w:val="0"/>
          <w:sz w:val="24"/>
        </w:rPr>
      </w:pPr>
    </w:p>
    <w:p>
      <w:pPr>
        <w:autoSpaceDE w:val="0"/>
        <w:autoSpaceDN w:val="0"/>
        <w:adjustRightInd w:val="0"/>
        <w:spacing w:before="156" w:beforeLines="50" w:line="5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（公章）</w:t>
      </w:r>
    </w:p>
    <w:p>
      <w:pPr>
        <w:spacing w:before="156" w:beforeLines="50" w:line="560" w:lineRule="exact"/>
        <w:ind w:firstLine="480" w:firstLineChars="200"/>
        <w:jc w:val="center"/>
        <w:rPr>
          <w:rFonts w:ascii="仿宋_GB2312" w:hAnsi="仿宋_GB2312" w:eastAsia="仿宋_GB2312" w:cs="仿宋_GB2312"/>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pPr>
        <w:autoSpaceDE w:val="0"/>
        <w:autoSpaceDN w:val="0"/>
        <w:adjustRightInd w:val="0"/>
        <w:spacing w:before="156" w:beforeLines="50" w:line="560" w:lineRule="exact"/>
        <w:jc w:val="center"/>
        <w:rPr>
          <w:rFonts w:ascii="仿宋_GB2312" w:hAnsi="仿宋_GB2312" w:eastAsia="仿宋_GB2312" w:cs="仿宋_GB2312"/>
          <w:color w:val="000000"/>
          <w:sz w:val="32"/>
          <w:szCs w:val="32"/>
        </w:rPr>
      </w:pPr>
      <w:bookmarkStart w:id="341" w:name="_Toc10597_WPSOffice_Level3"/>
      <w:r>
        <w:rPr>
          <w:rFonts w:hint="eastAsia" w:ascii="仿宋_GB2312" w:hAnsi="仿宋_GB2312" w:eastAsia="仿宋_GB2312" w:cs="仿宋_GB2312"/>
          <w:color w:val="000000"/>
          <w:sz w:val="32"/>
          <w:szCs w:val="32"/>
        </w:rPr>
        <w:t xml:space="preserve">                                       </w:t>
      </w:r>
      <w:bookmarkStart w:id="342" w:name="_Toc16117_WPSOffice_Level3"/>
      <w:r>
        <w:rPr>
          <w:rFonts w:hint="eastAsia" w:ascii="仿宋_GB2312" w:hAnsi="仿宋_GB2312" w:eastAsia="仿宋_GB2312" w:cs="仿宋_GB2312"/>
          <w:color w:val="000000"/>
          <w:sz w:val="32"/>
          <w:szCs w:val="32"/>
        </w:rPr>
        <w:t>年   月   日</w:t>
      </w:r>
      <w:bookmarkEnd w:id="341"/>
      <w:bookmarkEnd w:id="342"/>
    </w:p>
    <w:p>
      <w:pPr>
        <w:spacing w:before="156" w:beforeLines="50" w:line="560" w:lineRule="exact"/>
        <w:ind w:right="480"/>
        <w:jc w:val="right"/>
        <w:rPr>
          <w:rFonts w:ascii="宋体"/>
          <w:b/>
          <w:color w:val="000000"/>
          <w:sz w:val="36"/>
          <w:szCs w:val="36"/>
        </w:rPr>
      </w:pPr>
    </w:p>
    <w:p>
      <w:pPr>
        <w:spacing w:before="156" w:beforeLines="50" w:line="560" w:lineRule="exact"/>
        <w:jc w:val="right"/>
        <w:rPr>
          <w:rFonts w:ascii="宋体"/>
          <w:b/>
          <w:color w:val="000000"/>
          <w:sz w:val="36"/>
          <w:szCs w:val="36"/>
        </w:rPr>
      </w:pPr>
    </w:p>
    <w:p>
      <w:pPr>
        <w:spacing w:before="156" w:beforeLines="50" w:line="560" w:lineRule="exact"/>
        <w:rPr>
          <w:rFonts w:ascii="宋体"/>
          <w:b/>
          <w:color w:val="000000"/>
          <w:sz w:val="36"/>
          <w:szCs w:val="36"/>
        </w:rPr>
      </w:pPr>
    </w:p>
    <w:p>
      <w:pPr>
        <w:pStyle w:val="21"/>
        <w:rPr>
          <w:rFonts w:ascii="宋体"/>
          <w:b/>
          <w:color w:val="000000"/>
          <w:sz w:val="36"/>
          <w:szCs w:val="36"/>
        </w:rPr>
      </w:pPr>
    </w:p>
    <w:p>
      <w:pPr>
        <w:pStyle w:val="21"/>
        <w:rPr>
          <w:rFonts w:ascii="宋体"/>
          <w:b/>
          <w:color w:val="000000"/>
          <w:sz w:val="36"/>
          <w:szCs w:val="36"/>
        </w:rPr>
      </w:pPr>
    </w:p>
    <w:p>
      <w:pPr>
        <w:widowControl/>
        <w:snapToGrid w:val="0"/>
        <w:spacing w:before="156" w:beforeLines="50" w:line="560" w:lineRule="exact"/>
        <w:jc w:val="left"/>
        <w:outlineLvl w:val="2"/>
        <w:rPr>
          <w:rFonts w:hint="eastAsia" w:ascii="仿宋" w:hAnsi="仿宋" w:eastAsia="仿宋" w:cs="仿宋"/>
          <w:b/>
          <w:color w:val="000000"/>
          <w:sz w:val="36"/>
          <w:szCs w:val="36"/>
        </w:rPr>
      </w:pPr>
      <w:bookmarkStart w:id="343" w:name="_Toc18183"/>
      <w:bookmarkStart w:id="344" w:name="_Toc31901"/>
      <w:bookmarkStart w:id="345" w:name="_Toc27782"/>
      <w:bookmarkStart w:id="346" w:name="_Toc23035_WPSOffice_Level2"/>
      <w:bookmarkStart w:id="347" w:name="_Toc112245865"/>
      <w:bookmarkStart w:id="348" w:name="_Toc21545_WPSOffice_Level3"/>
      <w:r>
        <w:rPr>
          <w:rFonts w:hint="eastAsia" w:ascii="仿宋" w:hAnsi="仿宋" w:eastAsia="仿宋" w:cs="仿宋"/>
          <w:b/>
          <w:color w:val="000000"/>
          <w:sz w:val="32"/>
          <w:szCs w:val="32"/>
        </w:rPr>
        <w:t>附件3：法定代表人授权书</w:t>
      </w:r>
      <w:bookmarkEnd w:id="343"/>
      <w:bookmarkEnd w:id="344"/>
      <w:bookmarkEnd w:id="345"/>
      <w:bookmarkEnd w:id="346"/>
      <w:bookmarkEnd w:id="347"/>
      <w:bookmarkEnd w:id="348"/>
    </w:p>
    <w:p>
      <w:pPr>
        <w:spacing w:before="156" w:beforeLines="50" w:line="560" w:lineRule="exact"/>
        <w:ind w:firstLine="2891" w:firstLineChars="900"/>
        <w:rPr>
          <w:rFonts w:ascii="仿宋_GB2312" w:hAnsi="仿宋_GB2312" w:eastAsia="仿宋_GB2312" w:cs="仿宋_GB2312"/>
          <w:b/>
          <w:color w:val="000000"/>
          <w:sz w:val="32"/>
          <w:szCs w:val="32"/>
        </w:rPr>
      </w:pPr>
      <w:bookmarkStart w:id="349" w:name="_Toc1148_WPSOffice_Level3"/>
      <w:bookmarkStart w:id="350" w:name="_Toc26434_WPSOffice_Level2"/>
      <w:bookmarkStart w:id="351" w:name="_Toc5048_WPSOffice_Level2"/>
      <w:r>
        <w:rPr>
          <w:rFonts w:hint="eastAsia" w:ascii="仿宋_GB2312" w:hAnsi="仿宋_GB2312" w:eastAsia="仿宋_GB2312" w:cs="仿宋_GB2312"/>
          <w:b/>
          <w:color w:val="000000"/>
          <w:sz w:val="32"/>
          <w:szCs w:val="32"/>
        </w:rPr>
        <w:t>法定代表人授权书</w:t>
      </w:r>
      <w:bookmarkEnd w:id="349"/>
      <w:bookmarkEnd w:id="350"/>
      <w:bookmarkEnd w:id="351"/>
    </w:p>
    <w:p>
      <w:pPr>
        <w:spacing w:line="560" w:lineRule="exact"/>
        <w:ind w:firstLine="263" w:firstLineChars="82"/>
        <w:rPr>
          <w:rFonts w:ascii="仿宋_GB2312" w:hAnsi="仿宋_GB2312" w:eastAsia="仿宋_GB2312" w:cs="仿宋_GB2312"/>
          <w:color w:val="000000"/>
          <w:sz w:val="32"/>
          <w:szCs w:val="32"/>
          <w:u w:val="single"/>
        </w:rPr>
      </w:pPr>
      <w:bookmarkStart w:id="352" w:name="_Toc16084_WPSOffice_Level2"/>
      <w:bookmarkStart w:id="353" w:name="_Toc25306_WPSOffice_Level2"/>
      <w:bookmarkStart w:id="354" w:name="_Toc6307_WPSOffice_Level2"/>
      <w:r>
        <w:rPr>
          <w:rFonts w:hint="eastAsia" w:ascii="仿宋_GB2312" w:hAnsi="仿宋_GB2312" w:eastAsia="仿宋_GB2312" w:cs="仿宋_GB2312"/>
          <w:b/>
          <w:bCs/>
          <w:color w:val="000000"/>
          <w:sz w:val="32"/>
          <w:szCs w:val="32"/>
        </w:rPr>
        <w:t>致：</w:t>
      </w:r>
      <w:r>
        <w:rPr>
          <w:rFonts w:hint="eastAsia" w:ascii="仿宋_GB2312" w:hAnsi="仿宋_GB2312" w:eastAsia="仿宋_GB2312" w:cs="仿宋_GB2312"/>
          <w:b/>
          <w:bCs/>
          <w:color w:val="000000"/>
          <w:sz w:val="32"/>
          <w:szCs w:val="32"/>
          <w:u w:val="single"/>
        </w:rPr>
        <w:t>（代理机构名称）</w:t>
      </w:r>
      <w:bookmarkEnd w:id="352"/>
      <w:bookmarkEnd w:id="353"/>
      <w:bookmarkEnd w:id="354"/>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（供应商名称）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项目的谈判、答疑等具体工作，并签署全部有关的文件、资料。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pPr>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w:t>
      </w:r>
      <w:r>
        <w:rPr>
          <w:rFonts w:hint="eastAsia" w:ascii="仿宋_GB2312" w:hAnsi="仿宋_GB2312" w:eastAsia="仿宋_GB2312" w:cs="仿宋_GB2312"/>
          <w:color w:val="000000"/>
          <w:sz w:val="32"/>
          <w:szCs w:val="32"/>
          <w:u w:val="single"/>
        </w:rPr>
        <w:t xml:space="preserve">      </w:t>
      </w:r>
    </w:p>
    <w:p>
      <w:pPr>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w:t>
      </w:r>
      <w:r>
        <w:rPr>
          <w:rFonts w:hint="eastAsia" w:ascii="仿宋_GB2312" w:hAnsi="仿宋_GB2312" w:eastAsia="仿宋_GB2312" w:cs="仿宋_GB2312"/>
          <w:color w:val="000000"/>
          <w:sz w:val="32"/>
          <w:szCs w:val="32"/>
          <w:u w:val="single"/>
        </w:rPr>
        <w:t xml:space="preserve">      </w:t>
      </w:r>
    </w:p>
    <w:p>
      <w:pPr>
        <w:spacing w:line="560" w:lineRule="exact"/>
        <w:ind w:firstLine="640" w:firstLineChars="200"/>
        <w:rPr>
          <w:rFonts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pPr>
        <w:spacing w:before="156" w:beforeLines="50" w:line="560" w:lineRule="exact"/>
        <w:ind w:firstLine="4800" w:firstLineChars="1500"/>
        <w:jc w:val="right"/>
        <w:rPr>
          <w:rFonts w:ascii="仿宋_GB2312" w:hAnsi="仿宋_GB2312" w:eastAsia="仿宋_GB2312" w:cs="仿宋_GB2312"/>
          <w:bCs/>
          <w:color w:val="000000"/>
          <w:sz w:val="32"/>
          <w:szCs w:val="32"/>
        </w:rPr>
      </w:pPr>
      <w:bookmarkStart w:id="355" w:name="_Toc13837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sz w:val="32"/>
          <w:szCs w:val="32"/>
        </w:rPr>
        <w:t>（公章）</w:t>
      </w:r>
      <w:bookmarkEnd w:id="355"/>
    </w:p>
    <w:p>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Start w:id="356" w:name="_Toc6591_WPSOffice_Level3"/>
      <w:bookmarkStart w:id="357" w:name="_Toc32599_WPSOffice_Level3"/>
    </w:p>
    <w:p>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年   月   日</w:t>
      </w:r>
      <w:bookmarkEnd w:id="356"/>
      <w:bookmarkEnd w:id="357"/>
    </w:p>
    <w:p>
      <w:pPr>
        <w:spacing w:before="156" w:beforeLines="50" w:line="560" w:lineRule="exact"/>
        <w:rPr>
          <w:rFonts w:ascii="宋体" w:hAnsi="宋体"/>
          <w:b/>
          <w:bCs/>
          <w:color w:val="000000"/>
          <w:sz w:val="24"/>
        </w:rPr>
      </w:pPr>
    </w:p>
    <w:p>
      <w:pPr>
        <w:pStyle w:val="21"/>
        <w:rPr>
          <w:rFonts w:ascii="宋体"/>
          <w:b/>
          <w:bCs/>
          <w:color w:val="000000"/>
          <w:sz w:val="24"/>
        </w:rPr>
      </w:pPr>
    </w:p>
    <w:p>
      <w:pPr>
        <w:pStyle w:val="21"/>
        <w:rPr>
          <w:rFonts w:ascii="宋体"/>
          <w:b/>
          <w:bCs/>
          <w:color w:val="000000"/>
          <w:sz w:val="24"/>
        </w:rPr>
      </w:pPr>
    </w:p>
    <w:p>
      <w:pPr>
        <w:pStyle w:val="21"/>
        <w:rPr>
          <w:rFonts w:ascii="宋体"/>
          <w:b/>
          <w:bCs/>
          <w:color w:val="000000"/>
          <w:sz w:val="24"/>
        </w:rPr>
      </w:pPr>
    </w:p>
    <w:p>
      <w:pPr>
        <w:pStyle w:val="21"/>
        <w:rPr>
          <w:rFonts w:ascii="宋体"/>
          <w:b/>
          <w:bCs/>
          <w:color w:val="000000"/>
          <w:sz w:val="24"/>
        </w:rPr>
      </w:pPr>
    </w:p>
    <w:p>
      <w:pPr>
        <w:widowControl/>
        <w:snapToGrid w:val="0"/>
        <w:spacing w:before="156" w:beforeLines="50" w:line="560" w:lineRule="exact"/>
        <w:jc w:val="left"/>
        <w:outlineLvl w:val="2"/>
        <w:rPr>
          <w:rFonts w:hint="eastAsia" w:ascii="仿宋" w:hAnsi="仿宋" w:eastAsia="仿宋" w:cs="仿宋"/>
          <w:b/>
          <w:color w:val="000000"/>
          <w:sz w:val="32"/>
          <w:szCs w:val="32"/>
        </w:rPr>
      </w:pPr>
      <w:bookmarkStart w:id="358" w:name="_Toc23618"/>
      <w:bookmarkStart w:id="359" w:name="_Toc26653_WPSOffice_Level3"/>
      <w:bookmarkStart w:id="360" w:name="_Toc112245866"/>
      <w:bookmarkStart w:id="361" w:name="_Toc30919"/>
      <w:bookmarkStart w:id="362" w:name="_Toc7737_WPSOffice_Level3"/>
      <w:bookmarkStart w:id="363" w:name="_Toc16704"/>
      <w:r>
        <w:rPr>
          <w:rFonts w:hint="eastAsia" w:ascii="仿宋" w:hAnsi="仿宋" w:eastAsia="仿宋" w:cs="仿宋"/>
          <w:b/>
          <w:color w:val="000000"/>
          <w:sz w:val="32"/>
          <w:szCs w:val="32"/>
        </w:rPr>
        <w:t>附件4：供应商承诺函</w:t>
      </w:r>
      <w:bookmarkEnd w:id="358"/>
      <w:bookmarkEnd w:id="359"/>
      <w:bookmarkEnd w:id="360"/>
      <w:bookmarkEnd w:id="361"/>
      <w:bookmarkEnd w:id="362"/>
      <w:bookmarkEnd w:id="363"/>
    </w:p>
    <w:p>
      <w:pPr>
        <w:spacing w:before="156" w:beforeLines="50" w:line="560" w:lineRule="exact"/>
        <w:ind w:firstLine="2891" w:firstLineChars="900"/>
        <w:rPr>
          <w:rFonts w:ascii="仿宋_GB2312" w:hAnsi="仿宋_GB2312" w:eastAsia="仿宋_GB2312" w:cs="仿宋_GB2312"/>
          <w:b/>
          <w:color w:val="000000"/>
          <w:sz w:val="32"/>
          <w:szCs w:val="32"/>
        </w:rPr>
      </w:pPr>
      <w:bookmarkStart w:id="364" w:name="_Toc27597_WPSOffice_Level3"/>
      <w:bookmarkStart w:id="365" w:name="_Toc2453_WPSOffice_Level2"/>
      <w:bookmarkStart w:id="366" w:name="_Toc17639_WPSOffice_Level2"/>
      <w:r>
        <w:rPr>
          <w:rFonts w:hint="eastAsia" w:ascii="仿宋_GB2312" w:hAnsi="仿宋_GB2312" w:eastAsia="仿宋_GB2312" w:cs="仿宋_GB2312"/>
          <w:b/>
          <w:color w:val="000000"/>
          <w:sz w:val="32"/>
          <w:szCs w:val="32"/>
        </w:rPr>
        <w:t>供应商承诺函</w:t>
      </w:r>
      <w:bookmarkEnd w:id="364"/>
      <w:bookmarkEnd w:id="365"/>
      <w:bookmarkEnd w:id="366"/>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关于贵方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（项目名称及编号）采购项目，本签字人愿意参加谈判，提供采购一览表中要求的所有产品，并证实提交的所有资料是准确的和真实的。同时，我代表    </w:t>
      </w:r>
      <w:r>
        <w:rPr>
          <w:rFonts w:hint="eastAsia" w:ascii="仿宋_GB2312" w:hAnsi="仿宋_GB2312" w:eastAsia="仿宋_GB2312" w:cs="仿宋_GB2312"/>
          <w:color w:val="000000"/>
          <w:sz w:val="32"/>
          <w:szCs w:val="32"/>
          <w:u w:val="single"/>
        </w:rPr>
        <w:t>（供应商名称）</w:t>
      </w:r>
      <w:r>
        <w:rPr>
          <w:rFonts w:hint="eastAsia" w:ascii="仿宋_GB2312" w:hAnsi="仿宋_GB2312" w:eastAsia="仿宋_GB2312" w:cs="仿宋_GB2312"/>
          <w:color w:val="000000"/>
          <w:sz w:val="32"/>
          <w:szCs w:val="32"/>
        </w:rPr>
        <w:t>，在此作如下承诺：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1、完全理解和接受谈判文件的一切规定和要求；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3、我方保证甲方在使用该产品或其任何一部分时，不受第三方提出的侵犯专利权、著作权、商标权和工业设计权等知识产权的起诉，若有违反，愿承担相应的一切责任。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4、我方承诺，除谈判文件中规定的优质产品外，所投的产品均为国产产品，且均符合国家强制性标准。若有不实，愿承担相应的责任。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5、在整个谈判过程中我方若有违规行为，贵方可按谈判文件之规定给予处罚，我方完全接受。</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6、若成交，本承诺将成为合同不可分割的一部分，与合同具有同等的法律效力。</w:t>
      </w:r>
    </w:p>
    <w:p>
      <w:pPr>
        <w:spacing w:line="560" w:lineRule="exact"/>
        <w:ind w:firstLine="643"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 xml:space="preserve"> </w:t>
      </w:r>
      <w:bookmarkStart w:id="367" w:name="_Toc29941_WPSOffice_Level3"/>
      <w:r>
        <w:rPr>
          <w:rFonts w:hint="eastAsia" w:ascii="仿宋_GB2312" w:hAnsi="仿宋_GB2312" w:eastAsia="仿宋_GB2312" w:cs="仿宋_GB2312"/>
          <w:bCs/>
          <w:color w:val="000000"/>
          <w:sz w:val="32"/>
          <w:szCs w:val="32"/>
        </w:rPr>
        <w:t xml:space="preserve">  </w:t>
      </w:r>
      <w:bookmarkStart w:id="368" w:name="_Toc11979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67"/>
      <w:bookmarkEnd w:id="368"/>
    </w:p>
    <w:p>
      <w:pPr>
        <w:spacing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69" w:name="_Toc15106_WPSOffice_Level3"/>
      <w:bookmarkStart w:id="370" w:name="_Toc22507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69"/>
      <w:bookmarkEnd w:id="370"/>
    </w:p>
    <w:p>
      <w:pPr>
        <w:spacing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71" w:name="_Toc24254_WPSOffice_Level3"/>
      <w:r>
        <w:rPr>
          <w:rFonts w:hint="eastAsia" w:ascii="仿宋_GB2312" w:hAnsi="仿宋_GB2312" w:eastAsia="仿宋_GB2312" w:cs="仿宋_GB2312"/>
          <w:bCs/>
          <w:color w:val="000000"/>
          <w:sz w:val="32"/>
          <w:szCs w:val="32"/>
        </w:rPr>
        <w:t xml:space="preserve">                      </w:t>
      </w:r>
      <w:bookmarkStart w:id="372" w:name="_Toc9343_WPSOffice_Level3"/>
      <w:r>
        <w:rPr>
          <w:rFonts w:hint="eastAsia" w:ascii="仿宋_GB2312" w:hAnsi="仿宋_GB2312" w:eastAsia="仿宋_GB2312" w:cs="仿宋_GB2312"/>
          <w:bCs/>
          <w:color w:val="000000"/>
          <w:sz w:val="32"/>
          <w:szCs w:val="32"/>
        </w:rPr>
        <w:t>年   月  日</w:t>
      </w:r>
      <w:bookmarkEnd w:id="371"/>
      <w:bookmarkEnd w:id="372"/>
    </w:p>
    <w:p>
      <w:pPr>
        <w:widowControl/>
        <w:snapToGrid w:val="0"/>
        <w:spacing w:before="156" w:beforeLines="50" w:line="560" w:lineRule="exact"/>
        <w:outlineLvl w:val="1"/>
        <w:rPr>
          <w:rFonts w:ascii="宋体" w:hAnsi="宋体"/>
          <w:b/>
          <w:color w:val="000000"/>
          <w:sz w:val="36"/>
          <w:szCs w:val="36"/>
        </w:rPr>
      </w:pPr>
      <w:r>
        <w:rPr>
          <w:rFonts w:ascii="宋体"/>
          <w:b/>
          <w:color w:val="000000"/>
          <w:sz w:val="28"/>
          <w:szCs w:val="28"/>
        </w:rPr>
        <w:br w:type="page"/>
      </w:r>
      <w:bookmarkStart w:id="373" w:name="_Toc26773_WPSOffice_Level3"/>
      <w:bookmarkStart w:id="374" w:name="_Toc6416"/>
      <w:bookmarkStart w:id="375" w:name="_Toc653_WPSOffice_Level3"/>
      <w:bookmarkStart w:id="376" w:name="_Toc20884"/>
      <w:bookmarkStart w:id="377" w:name="_Toc25740"/>
      <w:bookmarkStart w:id="378" w:name="_Toc112245867"/>
      <w:r>
        <w:rPr>
          <w:rFonts w:hint="eastAsia" w:ascii="仿宋" w:hAnsi="仿宋" w:eastAsia="仿宋" w:cs="仿宋"/>
          <w:b/>
          <w:color w:val="000000"/>
          <w:sz w:val="32"/>
          <w:szCs w:val="32"/>
        </w:rPr>
        <w:t>附件5：供应商诚信承诺书</w:t>
      </w:r>
      <w:bookmarkEnd w:id="373"/>
      <w:bookmarkEnd w:id="374"/>
      <w:bookmarkEnd w:id="375"/>
      <w:bookmarkEnd w:id="376"/>
      <w:bookmarkEnd w:id="377"/>
      <w:bookmarkEnd w:id="378"/>
    </w:p>
    <w:p>
      <w:pPr>
        <w:spacing w:before="156" w:beforeLines="50" w:line="560" w:lineRule="exact"/>
        <w:jc w:val="center"/>
        <w:rPr>
          <w:rFonts w:ascii="宋体" w:hAnsi="宋体"/>
          <w:b/>
          <w:color w:val="000000"/>
          <w:sz w:val="32"/>
          <w:szCs w:val="32"/>
        </w:rPr>
      </w:pPr>
      <w:bookmarkStart w:id="379" w:name="_Toc22537_WPSOffice_Level3"/>
      <w:bookmarkStart w:id="380" w:name="_Toc22989_WPSOffice_Level3"/>
      <w:r>
        <w:rPr>
          <w:rFonts w:hint="eastAsia" w:ascii="仿宋_GB2312" w:hAnsi="仿宋_GB2312" w:eastAsia="仿宋_GB2312" w:cs="仿宋_GB2312"/>
          <w:b/>
          <w:color w:val="000000"/>
          <w:sz w:val="32"/>
          <w:szCs w:val="32"/>
        </w:rPr>
        <w:t>供应商诚信承诺书</w:t>
      </w:r>
      <w:bookmarkEnd w:id="379"/>
      <w:bookmarkEnd w:id="380"/>
    </w:p>
    <w:p>
      <w:pPr>
        <w:spacing w:line="4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为了诚实、客观、有序地参与青海省政府采购活动，愿就以下内容作出承诺：</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1、自觉遵守各项法律、法规、规章、制度以及社会公德，维护廉洁环境，与同场竞争的供应商平等参加政府采购活动。</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2、参加青海省政府采购中心组织的政府采购活动时，严格按照谈判文件的规定和要求提供所需的相关材料，并对所提供的各类资料的真实性负责，不虚假响应，不虚列业绩。</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3、尊重参与政府采购活动各相关方的合法行为，接受政府采购活动依法形成的意见、结果。</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4、依法参加政府采购活动，不围标、串标，维护市场秩序，不提供“三无”产品、以次充好。</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5、积极推动政府采购活动健康开展，对采购活动有疑问、异议时，按法律规定的程序实名（加盖单位公章和法定代表人签名）反映情况，不恶意中伤、无事生非，以和谐、平等的心态参加政府采购活动。</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6、认真履行成交供应商应承担的责任和义务，全面执行采购合同规定的各项内容，保质保量地按时提供采购物品。</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若本企业（单位）发生有悖于上述承诺的行为，愿意接受《中华人民共和国政府采购法》和《政府采购法实施条例》中对供应商的相关处理。</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本承诺是采购项目谈判响应文件的组成部分。</w:t>
      </w:r>
    </w:p>
    <w:p>
      <w:pPr>
        <w:spacing w:before="156" w:beforeLines="50" w:line="480" w:lineRule="exact"/>
        <w:ind w:firstLine="643"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 xml:space="preserve"> </w:t>
      </w:r>
      <w:bookmarkStart w:id="381" w:name="_Toc23784_WPSOffice_Level3"/>
      <w:bookmarkStart w:id="382" w:name="_Toc2830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81"/>
      <w:bookmarkEnd w:id="382"/>
    </w:p>
    <w:p>
      <w:pPr>
        <w:spacing w:before="156" w:beforeLines="50" w:line="48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83" w:name="_Toc25026_WPSOffice_Level3"/>
      <w:bookmarkStart w:id="384" w:name="_Toc13573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83"/>
      <w:bookmarkEnd w:id="384"/>
    </w:p>
    <w:p>
      <w:pPr>
        <w:spacing w:before="156" w:beforeLines="50" w:line="48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85" w:name="_Toc5564_WPSOffice_Level3"/>
      <w:r>
        <w:rPr>
          <w:rFonts w:hint="eastAsia" w:ascii="仿宋_GB2312" w:hAnsi="仿宋_GB2312" w:eastAsia="仿宋_GB2312" w:cs="仿宋_GB2312"/>
          <w:bCs/>
          <w:color w:val="000000"/>
          <w:sz w:val="32"/>
          <w:szCs w:val="32"/>
        </w:rPr>
        <w:t xml:space="preserve">                      </w:t>
      </w:r>
      <w:bookmarkStart w:id="386" w:name="_Toc12645_WPSOffice_Level3"/>
      <w:r>
        <w:rPr>
          <w:rFonts w:hint="eastAsia" w:ascii="仿宋_GB2312" w:hAnsi="仿宋_GB2312" w:eastAsia="仿宋_GB2312" w:cs="仿宋_GB2312"/>
          <w:bCs/>
          <w:color w:val="000000"/>
          <w:sz w:val="32"/>
          <w:szCs w:val="32"/>
        </w:rPr>
        <w:t>年   月  日</w:t>
      </w:r>
      <w:bookmarkEnd w:id="385"/>
      <w:bookmarkEnd w:id="386"/>
    </w:p>
    <w:p/>
    <w:p>
      <w:pPr>
        <w:widowControl/>
        <w:snapToGrid w:val="0"/>
        <w:spacing w:before="156" w:beforeLines="50" w:line="560" w:lineRule="exact"/>
        <w:outlineLvl w:val="1"/>
        <w:rPr>
          <w:rFonts w:hint="eastAsia" w:ascii="仿宋" w:hAnsi="仿宋" w:eastAsia="仿宋" w:cs="仿宋"/>
          <w:b/>
          <w:color w:val="000000"/>
          <w:sz w:val="36"/>
          <w:szCs w:val="36"/>
        </w:rPr>
      </w:pPr>
      <w:bookmarkStart w:id="387" w:name="_Toc6033"/>
      <w:bookmarkStart w:id="388" w:name="_Toc25242"/>
      <w:bookmarkStart w:id="389" w:name="_Toc112245868"/>
      <w:bookmarkStart w:id="390" w:name="_Toc8368_WPSOffice_Level3"/>
      <w:bookmarkStart w:id="391" w:name="_Toc16847"/>
      <w:bookmarkStart w:id="392" w:name="_Toc19930_WPSOffice_Level3"/>
      <w:r>
        <w:rPr>
          <w:rFonts w:hint="eastAsia" w:ascii="仿宋" w:hAnsi="仿宋" w:eastAsia="仿宋" w:cs="仿宋"/>
          <w:b/>
          <w:color w:val="000000"/>
          <w:sz w:val="32"/>
          <w:szCs w:val="32"/>
        </w:rPr>
        <w:t>附件6：供应商资格证明文件</w:t>
      </w:r>
      <w:bookmarkEnd w:id="387"/>
      <w:bookmarkEnd w:id="388"/>
      <w:bookmarkEnd w:id="389"/>
      <w:bookmarkEnd w:id="390"/>
      <w:bookmarkEnd w:id="391"/>
      <w:bookmarkEnd w:id="392"/>
    </w:p>
    <w:p>
      <w:pPr>
        <w:spacing w:before="156" w:beforeLines="50" w:line="560" w:lineRule="exact"/>
        <w:jc w:val="center"/>
        <w:rPr>
          <w:rFonts w:ascii="宋体" w:hAnsi="宋体"/>
          <w:color w:val="000000"/>
          <w:sz w:val="32"/>
          <w:szCs w:val="32"/>
        </w:rPr>
      </w:pPr>
      <w:bookmarkStart w:id="393" w:name="_Toc9360_WPSOffice_Level3"/>
      <w:bookmarkStart w:id="394" w:name="_Toc23997_WPSOffice_Level3"/>
      <w:r>
        <w:rPr>
          <w:rFonts w:hint="eastAsia" w:ascii="仿宋_GB2312" w:hAnsi="仿宋_GB2312" w:eastAsia="仿宋_GB2312" w:cs="仿宋_GB2312"/>
          <w:b/>
          <w:color w:val="000000"/>
          <w:sz w:val="32"/>
          <w:szCs w:val="32"/>
        </w:rPr>
        <w:t>供应商资格证明文件</w:t>
      </w:r>
      <w:bookmarkEnd w:id="393"/>
      <w:bookmarkEnd w:id="394"/>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2、根据采购项目内容，提供供应商的相关资质证书、许可证等。</w:t>
      </w:r>
    </w:p>
    <w:p>
      <w:pPr>
        <w:spacing w:line="560" w:lineRule="exact"/>
        <w:ind w:firstLine="640" w:firstLineChars="200"/>
        <w:rPr>
          <w:rFonts w:ascii="仿宋_GB2312" w:hAnsi="仿宋_GB2312" w:eastAsia="仿宋_GB2312" w:cs="仿宋_GB2312"/>
          <w:color w:val="000000"/>
          <w:sz w:val="32"/>
          <w:szCs w:val="32"/>
        </w:rPr>
      </w:pPr>
    </w:p>
    <w:p>
      <w:pPr>
        <w:widowControl/>
        <w:snapToGrid w:val="0"/>
        <w:spacing w:before="156" w:beforeLines="50" w:line="560" w:lineRule="exact"/>
        <w:rPr>
          <w:rFonts w:ascii="宋体"/>
          <w:b/>
          <w:color w:val="000000"/>
          <w:sz w:val="28"/>
          <w:szCs w:val="28"/>
        </w:rPr>
      </w:pPr>
    </w:p>
    <w:p>
      <w:pPr>
        <w:pStyle w:val="21"/>
      </w:pPr>
    </w:p>
    <w:p>
      <w:pPr>
        <w:pStyle w:val="21"/>
        <w:rPr>
          <w:rFonts w:ascii="宋体"/>
          <w:b/>
          <w:color w:val="000000"/>
          <w:sz w:val="28"/>
          <w:szCs w:val="28"/>
        </w:rPr>
      </w:pPr>
    </w:p>
    <w:p>
      <w:pPr>
        <w:pStyle w:val="21"/>
        <w:rPr>
          <w:rFonts w:ascii="宋体"/>
          <w:b/>
          <w:color w:val="000000"/>
          <w:sz w:val="28"/>
          <w:szCs w:val="28"/>
        </w:rPr>
      </w:pPr>
    </w:p>
    <w:p>
      <w:pPr>
        <w:widowControl/>
        <w:snapToGrid w:val="0"/>
        <w:spacing w:before="156" w:beforeLines="50" w:line="560" w:lineRule="exact"/>
        <w:rPr>
          <w:rFonts w:ascii="宋体"/>
          <w:b/>
          <w:color w:val="000000"/>
          <w:sz w:val="28"/>
          <w:szCs w:val="28"/>
        </w:rPr>
      </w:pPr>
    </w:p>
    <w:p>
      <w:pPr>
        <w:widowControl/>
        <w:snapToGrid w:val="0"/>
        <w:spacing w:before="156" w:beforeLines="50" w:line="560" w:lineRule="exact"/>
        <w:rPr>
          <w:rFonts w:ascii="宋体"/>
          <w:b/>
          <w:color w:val="000000"/>
          <w:sz w:val="28"/>
          <w:szCs w:val="28"/>
        </w:rPr>
      </w:pPr>
    </w:p>
    <w:p>
      <w:pPr>
        <w:widowControl/>
        <w:snapToGrid w:val="0"/>
        <w:spacing w:before="156" w:beforeLines="50" w:line="560" w:lineRule="exact"/>
        <w:outlineLvl w:val="1"/>
        <w:rPr>
          <w:rFonts w:hint="eastAsia" w:ascii="仿宋" w:hAnsi="仿宋" w:eastAsia="仿宋" w:cs="仿宋"/>
          <w:b/>
          <w:color w:val="000000"/>
          <w:sz w:val="36"/>
          <w:szCs w:val="36"/>
        </w:rPr>
      </w:pPr>
      <w:bookmarkStart w:id="395" w:name="_Toc5898"/>
      <w:bookmarkStart w:id="396" w:name="_Toc12925"/>
      <w:bookmarkStart w:id="397" w:name="_Toc6573"/>
      <w:bookmarkStart w:id="398" w:name="_Toc29082_WPSOffice_Level3"/>
      <w:bookmarkStart w:id="399" w:name="_Toc112245869"/>
      <w:bookmarkStart w:id="400" w:name="_Toc7499_WPSOffice_Level3"/>
      <w:r>
        <w:rPr>
          <w:rFonts w:hint="eastAsia" w:ascii="仿宋" w:hAnsi="仿宋" w:eastAsia="仿宋" w:cs="仿宋"/>
          <w:b/>
          <w:color w:val="000000"/>
          <w:sz w:val="32"/>
          <w:szCs w:val="32"/>
        </w:rPr>
        <w:t>附件7：财务状况、缴纳税收和社会保障资金证明</w:t>
      </w:r>
      <w:bookmarkEnd w:id="395"/>
      <w:bookmarkEnd w:id="396"/>
      <w:bookmarkEnd w:id="397"/>
      <w:bookmarkEnd w:id="398"/>
      <w:bookmarkEnd w:id="399"/>
      <w:bookmarkEnd w:id="400"/>
    </w:p>
    <w:p>
      <w:pPr>
        <w:spacing w:before="156" w:beforeLines="50" w:line="560" w:lineRule="exact"/>
        <w:jc w:val="center"/>
        <w:rPr>
          <w:rFonts w:ascii="宋体" w:hAnsi="宋体"/>
          <w:b/>
          <w:color w:val="000000"/>
          <w:sz w:val="36"/>
          <w:szCs w:val="36"/>
        </w:rPr>
      </w:pPr>
      <w:bookmarkStart w:id="401" w:name="_Toc2355_WPSOffice_Level3"/>
      <w:bookmarkStart w:id="402" w:name="_Toc22184_WPSOffice_Level3"/>
      <w:r>
        <w:rPr>
          <w:rFonts w:hint="eastAsia" w:ascii="仿宋_GB2312" w:hAnsi="仿宋_GB2312" w:eastAsia="仿宋_GB2312" w:cs="仿宋_GB2312"/>
          <w:b/>
          <w:color w:val="000000"/>
          <w:sz w:val="32"/>
          <w:szCs w:val="32"/>
        </w:rPr>
        <w:t>财务状况、缴纳税收和社会保障资金证</w:t>
      </w:r>
      <w:r>
        <w:rPr>
          <w:rFonts w:hint="eastAsia" w:ascii="仿宋_GB2312" w:hAnsi="仿宋_GB2312" w:eastAsia="仿宋_GB2312" w:cs="仿宋_GB2312"/>
          <w:b/>
          <w:color w:val="000000"/>
          <w:sz w:val="32"/>
          <w:szCs w:val="32"/>
        </w:rPr>
        <w:t>明</w:t>
      </w:r>
      <w:bookmarkEnd w:id="401"/>
      <w:bookmarkEnd w:id="402"/>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按照《政府采购法》第22条规定提供以下相关材料：</w:t>
      </w:r>
    </w:p>
    <w:p>
      <w:pPr>
        <w:autoSpaceDE w:val="0"/>
        <w:autoSpaceDN w:val="0"/>
        <w:spacing w:line="560" w:lineRule="exact"/>
        <w:ind w:firstLine="48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1、供应商是法人的，提供202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或202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经审计的财务状况报告，包括资产负债表、利润表、现金流量表及其附注，或其基本开户银行近三个月内出具的资信证明；供应商是其他组织和自然人，没有经审计的财务报告，可以提供基本开户银行出具的资信证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供近半年内任意三个月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pPr>
        <w:widowControl/>
        <w:snapToGrid w:val="0"/>
        <w:spacing w:line="560" w:lineRule="exact"/>
        <w:rPr>
          <w:rFonts w:ascii="仿宋_GB2312" w:hAnsi="仿宋_GB2312" w:eastAsia="仿宋_GB2312" w:cs="仿宋_GB2312"/>
          <w:color w:val="000000"/>
          <w:sz w:val="32"/>
          <w:szCs w:val="32"/>
        </w:rPr>
      </w:pPr>
    </w:p>
    <w:p>
      <w:pPr>
        <w:widowControl/>
        <w:snapToGrid w:val="0"/>
        <w:spacing w:before="156" w:beforeLines="50" w:line="560" w:lineRule="exact"/>
        <w:rPr>
          <w:rFonts w:ascii="宋体" w:hAnsi="宋体"/>
          <w:color w:val="000000"/>
          <w:szCs w:val="21"/>
        </w:rPr>
      </w:pPr>
    </w:p>
    <w:p>
      <w:pPr>
        <w:tabs>
          <w:tab w:val="left" w:pos="168"/>
        </w:tabs>
        <w:adjustRightInd w:val="0"/>
        <w:spacing w:before="156" w:beforeLines="50" w:line="560" w:lineRule="exact"/>
        <w:ind w:firstLine="480" w:firstLineChars="200"/>
        <w:textAlignment w:val="baseline"/>
        <w:rPr>
          <w:rFonts w:ascii="宋体" w:hAnsi="宋体"/>
          <w:color w:val="000000"/>
          <w:sz w:val="24"/>
        </w:rPr>
      </w:pPr>
    </w:p>
    <w:p/>
    <w:p>
      <w:pPr>
        <w:spacing w:before="156" w:beforeLines="50" w:line="560" w:lineRule="exact"/>
        <w:rPr>
          <w:rFonts w:ascii="宋体" w:hAnsi="宋体"/>
          <w:b/>
          <w:bCs/>
          <w:color w:val="000000"/>
          <w:sz w:val="28"/>
          <w:szCs w:val="28"/>
        </w:rPr>
      </w:pPr>
    </w:p>
    <w:p>
      <w:pPr>
        <w:spacing w:before="156" w:beforeLines="50" w:line="560" w:lineRule="exact"/>
        <w:rPr>
          <w:rFonts w:ascii="宋体" w:hAnsi="宋体"/>
          <w:b/>
          <w:bCs/>
          <w:color w:val="000000"/>
          <w:sz w:val="28"/>
          <w:szCs w:val="28"/>
        </w:rPr>
      </w:pPr>
    </w:p>
    <w:p>
      <w:pPr>
        <w:spacing w:before="156" w:beforeLines="50" w:line="560" w:lineRule="exact"/>
        <w:rPr>
          <w:rFonts w:ascii="宋体" w:hAnsi="宋体"/>
          <w:b/>
          <w:bCs/>
          <w:color w:val="000000"/>
          <w:sz w:val="28"/>
          <w:szCs w:val="28"/>
        </w:rPr>
      </w:pPr>
    </w:p>
    <w:p>
      <w:pPr>
        <w:pStyle w:val="21"/>
        <w:rPr>
          <w:rFonts w:ascii="宋体"/>
          <w:b/>
          <w:bCs/>
          <w:color w:val="000000"/>
          <w:sz w:val="28"/>
          <w:szCs w:val="28"/>
        </w:rPr>
      </w:pPr>
    </w:p>
    <w:p>
      <w:pPr>
        <w:pStyle w:val="21"/>
        <w:rPr>
          <w:rFonts w:ascii="宋体"/>
          <w:b/>
          <w:bCs/>
          <w:color w:val="000000"/>
          <w:sz w:val="28"/>
          <w:szCs w:val="28"/>
        </w:rPr>
      </w:pPr>
    </w:p>
    <w:p>
      <w:pPr>
        <w:spacing w:before="156" w:beforeLines="50" w:line="560" w:lineRule="exact"/>
        <w:rPr>
          <w:rFonts w:ascii="宋体" w:hAnsi="宋体"/>
          <w:b/>
          <w:bCs/>
          <w:color w:val="000000"/>
          <w:sz w:val="28"/>
          <w:szCs w:val="28"/>
        </w:rPr>
      </w:pPr>
    </w:p>
    <w:p>
      <w:pPr>
        <w:spacing w:before="156" w:beforeLines="50" w:line="560" w:lineRule="exact"/>
        <w:rPr>
          <w:rFonts w:ascii="宋体" w:hAnsi="宋体"/>
          <w:b/>
          <w:bCs/>
          <w:color w:val="000000"/>
          <w:sz w:val="28"/>
          <w:szCs w:val="28"/>
        </w:rPr>
      </w:pPr>
    </w:p>
    <w:p>
      <w:pPr>
        <w:widowControl/>
        <w:snapToGrid w:val="0"/>
        <w:spacing w:before="156" w:beforeLines="50" w:line="560" w:lineRule="exact"/>
        <w:outlineLvl w:val="1"/>
        <w:rPr>
          <w:rFonts w:hint="eastAsia" w:ascii="仿宋" w:hAnsi="仿宋" w:eastAsia="仿宋" w:cs="仿宋"/>
          <w:b/>
          <w:color w:val="000000"/>
          <w:sz w:val="32"/>
          <w:szCs w:val="32"/>
        </w:rPr>
      </w:pPr>
      <w:bookmarkStart w:id="403" w:name="_Toc21984"/>
      <w:bookmarkStart w:id="404" w:name="_Toc112245870"/>
      <w:bookmarkStart w:id="405" w:name="_Toc16098"/>
      <w:bookmarkStart w:id="406" w:name="_Toc17387_WPSOffice_Level3"/>
      <w:bookmarkStart w:id="407" w:name="_Toc22959_WPSOffice_Level3"/>
      <w:bookmarkStart w:id="408" w:name="_Toc13266"/>
      <w:r>
        <w:rPr>
          <w:rFonts w:hint="eastAsia" w:ascii="仿宋" w:hAnsi="仿宋" w:eastAsia="仿宋" w:cs="仿宋"/>
          <w:b/>
          <w:color w:val="000000"/>
          <w:sz w:val="32"/>
          <w:szCs w:val="32"/>
        </w:rPr>
        <w:t>附件8：</w:t>
      </w:r>
      <w:bookmarkEnd w:id="403"/>
      <w:r>
        <w:rPr>
          <w:rFonts w:hint="eastAsia" w:ascii="仿宋" w:hAnsi="仿宋" w:eastAsia="仿宋" w:cs="仿宋"/>
          <w:b/>
          <w:color w:val="000000"/>
          <w:sz w:val="32"/>
          <w:szCs w:val="32"/>
        </w:rPr>
        <w:t>无重大违法记录声明</w:t>
      </w:r>
      <w:bookmarkEnd w:id="404"/>
      <w:bookmarkEnd w:id="405"/>
      <w:bookmarkEnd w:id="406"/>
    </w:p>
    <w:p>
      <w:pPr>
        <w:spacing w:before="156" w:beforeLines="50" w:line="560" w:lineRule="exact"/>
        <w:jc w:val="center"/>
        <w:rPr>
          <w:rFonts w:ascii="宋体" w:hAnsi="宋体" w:cs="宋体"/>
          <w:b/>
          <w:bCs/>
          <w:color w:val="000000"/>
          <w:sz w:val="32"/>
          <w:szCs w:val="32"/>
        </w:rPr>
      </w:pPr>
      <w:bookmarkStart w:id="409" w:name="_Toc25610_WPSOffice_Level3"/>
      <w:r>
        <w:rPr>
          <w:rFonts w:hint="eastAsia" w:ascii="仿宋_GB2312" w:hAnsi="仿宋_GB2312" w:eastAsia="仿宋_GB2312" w:cs="仿宋_GB2312"/>
          <w:b/>
          <w:color w:val="000000"/>
          <w:sz w:val="32"/>
          <w:szCs w:val="32"/>
          <w:lang w:val="zh-CN"/>
        </w:rPr>
        <w:t>无重大违法记录声明</w:t>
      </w:r>
      <w:bookmarkEnd w:id="409"/>
    </w:p>
    <w:p>
      <w:pPr>
        <w:spacing w:line="560" w:lineRule="exact"/>
        <w:rPr>
          <w:rFonts w:ascii="仿宋_GB2312" w:hAnsi="仿宋_GB2312" w:eastAsia="仿宋_GB2312" w:cs="仿宋_GB2312"/>
          <w:b/>
          <w:bCs/>
          <w:color w:val="000000"/>
          <w:sz w:val="32"/>
          <w:szCs w:val="32"/>
        </w:rPr>
      </w:pPr>
      <w:r>
        <w:rPr>
          <w:rFonts w:hint="eastAsia" w:ascii="宋体" w:hAnsi="宋体" w:cs="宋体"/>
          <w:b/>
          <w:bCs/>
          <w:color w:val="000000"/>
          <w:kern w:val="0"/>
        </w:rPr>
        <w:t xml:space="preserve">  </w:t>
      </w: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32"/>
          <w:szCs w:val="32"/>
          <w:shd w:val="clear" w:color="auto" w:fill="FFFFFF"/>
        </w:rPr>
        <w:t>件。我方对此声明负全部法律责任。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pPr>
        <w:autoSpaceDE w:val="0"/>
        <w:autoSpaceDN w:val="0"/>
        <w:spacing w:line="560" w:lineRule="exact"/>
        <w:jc w:val="left"/>
        <w:rPr>
          <w:rFonts w:ascii="仿宋_GB2312" w:hAnsi="仿宋_GB2312" w:eastAsia="仿宋_GB2312" w:cs="仿宋_GB2312"/>
          <w:color w:val="000000"/>
          <w:kern w:val="0"/>
          <w:sz w:val="32"/>
          <w:szCs w:val="32"/>
          <w:lang w:val="zh-CN"/>
        </w:rPr>
      </w:pPr>
    </w:p>
    <w:p>
      <w:pPr>
        <w:autoSpaceDE w:val="0"/>
        <w:autoSpaceDN w:val="0"/>
        <w:spacing w:line="560" w:lineRule="exact"/>
        <w:ind w:firstLine="640" w:firstLineChars="200"/>
        <w:jc w:val="left"/>
        <w:rPr>
          <w:rFonts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附“信用中国”网站“下载信用信息”栏中的信用信息，时间为谈判文件响应截止时间前5天内</w:t>
      </w:r>
      <w:r>
        <w:rPr>
          <w:rFonts w:hint="eastAsia" w:ascii="仿宋_GB2312" w:hAnsi="仿宋_GB2312" w:eastAsia="仿宋_GB2312" w:cs="仿宋_GB2312"/>
          <w:color w:val="000000"/>
          <w:sz w:val="32"/>
          <w:szCs w:val="32"/>
        </w:rPr>
        <w:t>。</w:t>
      </w:r>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pPr>
        <w:spacing w:before="156" w:beforeLines="50" w:line="560" w:lineRule="exact"/>
        <w:ind w:firstLine="640" w:firstLineChars="200"/>
        <w:jc w:val="center"/>
        <w:rPr>
          <w:rFonts w:ascii="仿宋_GB2312" w:hAnsi="仿宋_GB2312" w:eastAsia="仿宋_GB2312" w:cs="仿宋_GB2312"/>
          <w:bCs/>
          <w:color w:val="000000"/>
          <w:sz w:val="32"/>
          <w:szCs w:val="32"/>
        </w:rPr>
      </w:pPr>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10" w:name="_Toc21607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410"/>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11" w:name="_Toc14292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11"/>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12" w:name="_Toc15350_WPSOffice_Level3"/>
      <w:r>
        <w:rPr>
          <w:rFonts w:hint="eastAsia" w:ascii="仿宋_GB2312" w:hAnsi="仿宋_GB2312" w:eastAsia="仿宋_GB2312" w:cs="仿宋_GB2312"/>
          <w:bCs/>
          <w:color w:val="000000"/>
          <w:sz w:val="32"/>
          <w:szCs w:val="32"/>
        </w:rPr>
        <w:t>年   月  日</w:t>
      </w:r>
      <w:bookmarkEnd w:id="412"/>
    </w:p>
    <w:p>
      <w:pPr>
        <w:pStyle w:val="20"/>
        <w:spacing w:before="156" w:beforeLines="50" w:after="0" w:line="560" w:lineRule="exact"/>
        <w:jc w:val="left"/>
        <w:outlineLvl w:val="9"/>
        <w:rPr>
          <w:rFonts w:ascii="宋体" w:hAnsi="宋体" w:cs="宋体"/>
          <w:color w:val="000000"/>
          <w:sz w:val="28"/>
          <w:szCs w:val="28"/>
          <w:lang w:val="zh-CN"/>
        </w:rPr>
      </w:pPr>
      <w:r>
        <w:rPr>
          <w:rFonts w:hint="eastAsia" w:ascii="仿宋_GB2312" w:hAnsi="仿宋_GB2312" w:eastAsia="仿宋_GB2312" w:cs="仿宋_GB2312"/>
          <w:color w:val="000000"/>
          <w:sz w:val="30"/>
          <w:szCs w:val="30"/>
        </w:rPr>
        <w:br w:type="page"/>
      </w:r>
      <w:bookmarkStart w:id="413" w:name="_Toc132_WPSOffice_Level3"/>
      <w:bookmarkStart w:id="414" w:name="_Toc24810"/>
      <w:r>
        <w:rPr>
          <w:rFonts w:hint="eastAsia" w:ascii="仿宋" w:hAnsi="仿宋" w:eastAsia="仿宋" w:cs="仿宋"/>
          <w:bCs w:val="0"/>
          <w:color w:val="000000"/>
          <w:sz w:val="32"/>
        </w:rPr>
        <w:t>附件9：谈判</w:t>
      </w:r>
      <w:r>
        <w:rPr>
          <w:rFonts w:hint="eastAsia" w:ascii="仿宋" w:hAnsi="仿宋" w:eastAsia="仿宋" w:cs="仿宋"/>
          <w:bCs w:val="0"/>
          <w:color w:val="000000"/>
          <w:sz w:val="32"/>
          <w:lang w:val="zh-CN"/>
        </w:rPr>
        <w:t>保证金证明</w:t>
      </w:r>
      <w:bookmarkEnd w:id="407"/>
      <w:bookmarkEnd w:id="408"/>
      <w:bookmarkEnd w:id="413"/>
      <w:bookmarkEnd w:id="414"/>
    </w:p>
    <w:p>
      <w:pPr>
        <w:spacing w:before="156" w:beforeLines="50" w:line="560" w:lineRule="exact"/>
        <w:jc w:val="center"/>
        <w:rPr>
          <w:rFonts w:ascii="宋体" w:hAnsi="宋体" w:cs="宋体"/>
          <w:b/>
          <w:bCs/>
          <w:color w:val="000000"/>
          <w:kern w:val="0"/>
          <w:sz w:val="32"/>
          <w:szCs w:val="32"/>
          <w:lang w:val="zh-CN"/>
        </w:rPr>
      </w:pPr>
      <w:bookmarkStart w:id="415" w:name="_Toc27502_WPSOffice_Level3"/>
      <w:r>
        <w:rPr>
          <w:rFonts w:hint="eastAsia" w:ascii="仿宋_GB2312" w:hAnsi="仿宋_GB2312" w:eastAsia="仿宋_GB2312" w:cs="仿宋_GB2312"/>
          <w:b/>
          <w:color w:val="000000"/>
          <w:sz w:val="32"/>
          <w:szCs w:val="32"/>
          <w:lang w:val="zh-CN"/>
        </w:rPr>
        <w:t>谈判保证金证明</w:t>
      </w:r>
      <w:bookmarkEnd w:id="415"/>
    </w:p>
    <w:p>
      <w:pPr>
        <w:autoSpaceDE w:val="0"/>
        <w:autoSpaceDN w:val="0"/>
        <w:spacing w:line="560" w:lineRule="exact"/>
        <w:rPr>
          <w:rFonts w:ascii="仿宋_GB2312" w:hAnsi="仿宋_GB2312" w:eastAsia="仿宋_GB2312" w:cs="仿宋_GB2312"/>
          <w:b/>
          <w:bCs/>
          <w:color w:val="000000"/>
          <w:kern w:val="0"/>
          <w:sz w:val="32"/>
          <w:szCs w:val="32"/>
          <w:lang w:val="zh-CN"/>
        </w:rPr>
      </w:pPr>
      <w:bookmarkStart w:id="416" w:name="_Toc12243_WPSOffice_Level2"/>
      <w:bookmarkStart w:id="417" w:name="_Toc21234_WPSOffice_Level2"/>
      <w:bookmarkStart w:id="418" w:name="_Toc1388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采购代理机构</w:t>
      </w:r>
      <w:bookmarkEnd w:id="416"/>
      <w:bookmarkEnd w:id="417"/>
      <w:bookmarkEnd w:id="418"/>
    </w:p>
    <w:p>
      <w:pPr>
        <w:autoSpaceDE w:val="0"/>
        <w:autoSpaceDN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我方为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val="zh-CN"/>
        </w:rPr>
        <w:t>（采购项目名称）项目（采购项目编号为：</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 xml:space="preserve">）递交保证金人民币 </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（大写：人民币</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元）已于</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月</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日以转账方式汇入你方账户。</w:t>
      </w:r>
    </w:p>
    <w:p>
      <w:pPr>
        <w:autoSpaceDE w:val="0"/>
        <w:autoSpaceDN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附</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保证金交款证明复印件（加盖公章）</w:t>
      </w:r>
    </w:p>
    <w:p>
      <w:pPr>
        <w:autoSpaceDE w:val="0"/>
        <w:autoSpaceDN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560" w:lineRule="exact"/>
        <w:ind w:firstLine="36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户    名：</w:t>
      </w:r>
    </w:p>
    <w:p>
      <w:pPr>
        <w:autoSpaceDE w:val="0"/>
        <w:autoSpaceDN w:val="0"/>
        <w:spacing w:line="560" w:lineRule="exact"/>
        <w:ind w:firstLine="36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开户银行：</w:t>
      </w:r>
    </w:p>
    <w:p>
      <w:pPr>
        <w:autoSpaceDE w:val="0"/>
        <w:autoSpaceDN w:val="0"/>
        <w:spacing w:line="560" w:lineRule="exact"/>
        <w:ind w:firstLine="36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开户帐号：</w:t>
      </w:r>
    </w:p>
    <w:p>
      <w:pPr>
        <w:pStyle w:val="6"/>
        <w:jc w:val="both"/>
        <w:rPr>
          <w:lang w:val="zh-CN"/>
        </w:rPr>
      </w:pPr>
      <w:r>
        <w:rPr>
          <w:rFonts w:hint="eastAsia" w:ascii="仿宋_GB2312" w:hAnsi="仿宋_GB2312" w:eastAsia="仿宋_GB2312" w:cs="仿宋_GB2312"/>
          <w:color w:val="000000"/>
          <w:kern w:val="0"/>
          <w:sz w:val="32"/>
          <w:szCs w:val="32"/>
          <w:lang w:val="zh-CN"/>
        </w:rPr>
        <w:t>注：若采用保函，格式自拟</w:t>
      </w:r>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19" w:name="_Toc16036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419"/>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20" w:name="_Toc4114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20"/>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21" w:name="_Toc26055_WPSOffice_Level3"/>
      <w:r>
        <w:rPr>
          <w:rFonts w:hint="eastAsia" w:ascii="仿宋_GB2312" w:hAnsi="仿宋_GB2312" w:eastAsia="仿宋_GB2312" w:cs="仿宋_GB2312"/>
          <w:bCs/>
          <w:color w:val="000000"/>
          <w:sz w:val="32"/>
          <w:szCs w:val="32"/>
        </w:rPr>
        <w:t>年   月  日</w:t>
      </w:r>
      <w:bookmarkEnd w:id="421"/>
    </w:p>
    <w:p>
      <w:pPr>
        <w:autoSpaceDE w:val="0"/>
        <w:autoSpaceDN w:val="0"/>
        <w:spacing w:before="156" w:beforeLines="50" w:line="560" w:lineRule="exact"/>
        <w:rPr>
          <w:rFonts w:ascii="宋体" w:hAnsi="宋体" w:cs="宋体"/>
          <w:b/>
          <w:bCs/>
          <w:color w:val="000000"/>
          <w:kern w:val="0"/>
          <w:lang w:val="zh-CN"/>
        </w:rPr>
      </w:pPr>
    </w:p>
    <w:p>
      <w:pPr>
        <w:spacing w:before="156" w:beforeLines="50" w:line="560" w:lineRule="exact"/>
        <w:rPr>
          <w:rFonts w:ascii="仿宋_GB2312" w:hAnsi="宋体" w:eastAsia="仿宋_GB2312"/>
          <w:b/>
          <w:color w:val="000000"/>
          <w:sz w:val="52"/>
          <w:szCs w:val="52"/>
        </w:rPr>
      </w:pPr>
      <w:r>
        <w:rPr>
          <w:rFonts w:hint="eastAsia"/>
          <w:kern w:val="0"/>
          <w:lang w:val="zh-CN"/>
        </w:rPr>
        <w:br w:type="page"/>
      </w:r>
    </w:p>
    <w:p>
      <w:pPr>
        <w:spacing w:before="156" w:beforeLines="50" w:line="560" w:lineRule="exact"/>
        <w:jc w:val="center"/>
        <w:rPr>
          <w:rFonts w:hint="eastAsia" w:ascii="仿宋" w:hAnsi="仿宋" w:eastAsia="仿宋" w:cs="仿宋"/>
          <w:b/>
          <w:color w:val="000000"/>
          <w:sz w:val="48"/>
          <w:szCs w:val="48"/>
        </w:rPr>
      </w:pPr>
      <w:bookmarkStart w:id="422" w:name="_Toc24560_WPSOffice_Level2"/>
      <w:bookmarkStart w:id="423" w:name="_Toc20688_WPSOffice_Level2"/>
      <w:r>
        <w:rPr>
          <w:rFonts w:hint="eastAsia" w:ascii="仿宋" w:hAnsi="仿宋" w:eastAsia="仿宋" w:cs="仿宋"/>
          <w:b/>
          <w:color w:val="000000"/>
          <w:sz w:val="48"/>
          <w:szCs w:val="48"/>
        </w:rPr>
        <w:t>青海省政府采购项目</w:t>
      </w:r>
      <w:bookmarkEnd w:id="422"/>
      <w:bookmarkEnd w:id="423"/>
    </w:p>
    <w:p>
      <w:pPr>
        <w:spacing w:before="156" w:beforeLines="50" w:line="560" w:lineRule="exact"/>
        <w:jc w:val="center"/>
        <w:rPr>
          <w:rFonts w:hint="eastAsia" w:ascii="仿宋" w:hAnsi="仿宋" w:eastAsia="仿宋" w:cs="仿宋"/>
          <w:b/>
          <w:color w:val="000000"/>
          <w:sz w:val="48"/>
          <w:szCs w:val="48"/>
        </w:rPr>
      </w:pPr>
      <w:bookmarkStart w:id="424" w:name="_Toc30784_WPSOffice_Level2"/>
      <w:bookmarkStart w:id="425" w:name="_Toc1190_WPSOffice_Level2"/>
      <w:r>
        <w:rPr>
          <w:rFonts w:hint="eastAsia" w:ascii="仿宋" w:hAnsi="仿宋" w:eastAsia="仿宋" w:cs="仿宋"/>
          <w:b/>
          <w:color w:val="000000"/>
          <w:sz w:val="48"/>
          <w:szCs w:val="48"/>
        </w:rPr>
        <w:t>谈判响应文件</w:t>
      </w:r>
      <w:bookmarkEnd w:id="424"/>
      <w:bookmarkEnd w:id="425"/>
    </w:p>
    <w:p>
      <w:pPr>
        <w:adjustRightInd w:val="0"/>
        <w:spacing w:before="156" w:beforeLines="50" w:line="560" w:lineRule="exact"/>
        <w:jc w:val="center"/>
        <w:textAlignment w:val="baseline"/>
        <w:rPr>
          <w:rFonts w:hint="eastAsia" w:ascii="仿宋" w:hAnsi="仿宋" w:eastAsia="仿宋" w:cs="仿宋"/>
          <w:b/>
          <w:bCs/>
          <w:color w:val="000000"/>
          <w:sz w:val="32"/>
          <w:szCs w:val="32"/>
        </w:rPr>
      </w:pPr>
      <w:bookmarkStart w:id="426" w:name="_Toc24224_WPSOffice_Level2"/>
      <w:bookmarkStart w:id="427" w:name="_Toc5068_WPSOffice_Level2"/>
      <w:r>
        <w:rPr>
          <w:rFonts w:hint="eastAsia" w:ascii="仿宋" w:hAnsi="仿宋" w:eastAsia="仿宋" w:cs="仿宋"/>
          <w:b/>
          <w:bCs/>
          <w:color w:val="000000"/>
          <w:sz w:val="32"/>
          <w:szCs w:val="32"/>
        </w:rPr>
        <w:t>（</w:t>
      </w:r>
      <w:r>
        <w:rPr>
          <w:rFonts w:hint="eastAsia" w:ascii="仿宋" w:hAnsi="仿宋" w:eastAsia="仿宋" w:cs="仿宋"/>
          <w:sz w:val="32"/>
          <w:szCs w:val="32"/>
        </w:rPr>
        <w:t>有效性、完整性、响应程度审查部分</w:t>
      </w:r>
      <w:r>
        <w:rPr>
          <w:rFonts w:hint="eastAsia" w:ascii="仿宋" w:hAnsi="仿宋" w:eastAsia="仿宋" w:cs="仿宋"/>
          <w:b/>
          <w:bCs/>
          <w:color w:val="000000"/>
          <w:sz w:val="32"/>
          <w:szCs w:val="32"/>
        </w:rPr>
        <w:t>）</w:t>
      </w:r>
      <w:bookmarkEnd w:id="426"/>
      <w:bookmarkEnd w:id="427"/>
    </w:p>
    <w:p>
      <w:pPr>
        <w:adjustRightInd w:val="0"/>
        <w:spacing w:before="156" w:beforeLines="50" w:line="560" w:lineRule="exact"/>
        <w:textAlignment w:val="baseline"/>
        <w:rPr>
          <w:rFonts w:hint="eastAsia" w:ascii="仿宋" w:hAnsi="仿宋" w:eastAsia="仿宋" w:cs="仿宋"/>
          <w:b/>
          <w:bCs/>
          <w:color w:val="000000"/>
          <w:sz w:val="32"/>
          <w:szCs w:val="32"/>
        </w:rPr>
      </w:pPr>
    </w:p>
    <w:p>
      <w:pPr>
        <w:adjustRightInd w:val="0"/>
        <w:spacing w:before="156" w:beforeLines="50" w:line="560" w:lineRule="exact"/>
        <w:textAlignment w:val="baseline"/>
        <w:rPr>
          <w:rFonts w:hint="eastAsia" w:ascii="仿宋" w:hAnsi="仿宋" w:eastAsia="仿宋" w:cs="仿宋"/>
          <w:b/>
          <w:bCs/>
          <w:color w:val="000000"/>
          <w:sz w:val="32"/>
          <w:szCs w:val="32"/>
        </w:rPr>
      </w:pPr>
    </w:p>
    <w:p>
      <w:pPr>
        <w:adjustRightInd w:val="0"/>
        <w:spacing w:before="156" w:beforeLines="50" w:line="560" w:lineRule="exact"/>
        <w:textAlignment w:val="baseline"/>
        <w:rPr>
          <w:rFonts w:hint="eastAsia" w:ascii="仿宋" w:hAnsi="仿宋" w:eastAsia="仿宋" w:cs="仿宋"/>
          <w:b/>
          <w:bCs/>
          <w:color w:val="000000"/>
          <w:sz w:val="32"/>
          <w:szCs w:val="32"/>
        </w:rPr>
      </w:pPr>
    </w:p>
    <w:p>
      <w:pPr>
        <w:adjustRightInd w:val="0"/>
        <w:spacing w:before="156" w:beforeLines="50" w:line="560" w:lineRule="exact"/>
        <w:textAlignment w:val="baseline"/>
        <w:rPr>
          <w:rFonts w:hint="eastAsia" w:ascii="仿宋" w:hAnsi="仿宋" w:eastAsia="仿宋" w:cs="仿宋"/>
          <w:b/>
          <w:bCs/>
          <w:color w:val="000000"/>
          <w:sz w:val="32"/>
          <w:szCs w:val="32"/>
        </w:rPr>
      </w:pPr>
      <w:bookmarkStart w:id="428" w:name="_Toc14028_WPSOffice_Level2"/>
      <w:bookmarkStart w:id="429" w:name="_Toc16258_WPSOffice_Level2"/>
      <w:r>
        <w:rPr>
          <w:rFonts w:hint="eastAsia" w:ascii="仿宋" w:hAnsi="仿宋" w:eastAsia="仿宋" w:cs="仿宋"/>
          <w:b/>
          <w:bCs/>
          <w:color w:val="000000"/>
          <w:sz w:val="32"/>
          <w:szCs w:val="32"/>
        </w:rPr>
        <w:t>采购项目编号:</w:t>
      </w:r>
      <w:bookmarkEnd w:id="428"/>
      <w:bookmarkEnd w:id="429"/>
    </w:p>
    <w:p>
      <w:pPr>
        <w:spacing w:before="156" w:beforeLines="50" w:line="560" w:lineRule="exact"/>
        <w:ind w:left="2249" w:hanging="2249" w:hangingChars="700"/>
        <w:jc w:val="left"/>
        <w:rPr>
          <w:rFonts w:hint="eastAsia" w:ascii="仿宋" w:hAnsi="仿宋" w:eastAsia="仿宋" w:cs="仿宋"/>
          <w:b/>
          <w:bCs/>
          <w:color w:val="000000"/>
          <w:sz w:val="32"/>
          <w:szCs w:val="32"/>
        </w:rPr>
      </w:pPr>
      <w:bookmarkStart w:id="430" w:name="_Toc25982_WPSOffice_Level2"/>
      <w:bookmarkStart w:id="431" w:name="_Toc173_WPSOffice_Level2"/>
      <w:r>
        <w:rPr>
          <w:rFonts w:hint="eastAsia" w:ascii="仿宋" w:hAnsi="仿宋" w:eastAsia="仿宋" w:cs="仿宋"/>
          <w:b/>
          <w:bCs/>
          <w:color w:val="000000"/>
          <w:sz w:val="32"/>
          <w:szCs w:val="32"/>
        </w:rPr>
        <w:t>采购项目名称:</w:t>
      </w:r>
      <w:bookmarkEnd w:id="430"/>
      <w:bookmarkEnd w:id="431"/>
      <w:r>
        <w:rPr>
          <w:rFonts w:hint="eastAsia" w:ascii="仿宋" w:hAnsi="仿宋" w:eastAsia="仿宋" w:cs="仿宋"/>
          <w:b/>
          <w:bCs/>
          <w:color w:val="000000"/>
          <w:sz w:val="32"/>
          <w:szCs w:val="32"/>
        </w:rPr>
        <w:t xml:space="preserve"> </w:t>
      </w:r>
    </w:p>
    <w:p>
      <w:pPr>
        <w:spacing w:before="156" w:beforeLines="50" w:line="560" w:lineRule="exact"/>
        <w:ind w:left="2249" w:hanging="2249" w:hangingChars="700"/>
        <w:jc w:val="left"/>
        <w:rPr>
          <w:rFonts w:hint="eastAsia" w:ascii="仿宋" w:hAnsi="仿宋" w:eastAsia="仿宋" w:cs="仿宋"/>
          <w:b/>
          <w:bCs/>
          <w:color w:val="000000"/>
          <w:sz w:val="32"/>
          <w:szCs w:val="32"/>
        </w:rPr>
      </w:pPr>
      <w:bookmarkStart w:id="432" w:name="_Toc24014_WPSOffice_Level2"/>
      <w:bookmarkStart w:id="433" w:name="_Toc19360_WPSOffice_Level2"/>
      <w:r>
        <w:rPr>
          <w:rFonts w:hint="eastAsia" w:ascii="仿宋" w:hAnsi="仿宋" w:eastAsia="仿宋" w:cs="仿宋"/>
          <w:b/>
          <w:bCs/>
          <w:color w:val="000000"/>
          <w:sz w:val="32"/>
          <w:szCs w:val="32"/>
        </w:rPr>
        <w:t>供应商名称：</w:t>
      </w:r>
      <w:bookmarkEnd w:id="432"/>
      <w:bookmarkEnd w:id="433"/>
    </w:p>
    <w:p>
      <w:pPr>
        <w:spacing w:before="156" w:beforeLines="50" w:line="560" w:lineRule="exact"/>
        <w:jc w:val="center"/>
        <w:rPr>
          <w:rFonts w:hint="eastAsia" w:ascii="仿宋" w:hAnsi="仿宋" w:eastAsia="仿宋" w:cs="仿宋"/>
          <w:b/>
          <w:bCs/>
          <w:color w:val="000000"/>
          <w:sz w:val="32"/>
          <w:szCs w:val="32"/>
        </w:rPr>
      </w:pPr>
    </w:p>
    <w:p>
      <w:pPr>
        <w:spacing w:before="156" w:beforeLines="50" w:line="560" w:lineRule="exact"/>
        <w:jc w:val="center"/>
        <w:rPr>
          <w:rFonts w:hint="eastAsia" w:ascii="仿宋" w:hAnsi="仿宋" w:eastAsia="仿宋" w:cs="仿宋"/>
          <w:b/>
          <w:color w:val="000000"/>
          <w:sz w:val="32"/>
          <w:szCs w:val="32"/>
        </w:rPr>
      </w:pPr>
      <w:bookmarkStart w:id="434" w:name="_Toc17697_WPSOffice_Level3"/>
      <w:r>
        <w:rPr>
          <w:rFonts w:hint="eastAsia" w:ascii="仿宋" w:hAnsi="仿宋" w:eastAsia="仿宋" w:cs="仿宋"/>
          <w:b/>
          <w:color w:val="000000"/>
          <w:sz w:val="32"/>
          <w:szCs w:val="32"/>
        </w:rPr>
        <w:t>年  月  日</w:t>
      </w:r>
      <w:bookmarkEnd w:id="434"/>
    </w:p>
    <w:p>
      <w:pPr>
        <w:widowControl/>
        <w:snapToGrid w:val="0"/>
        <w:spacing w:before="156" w:beforeLines="50" w:line="560" w:lineRule="exact"/>
        <w:rPr>
          <w:rFonts w:hint="eastAsia" w:ascii="仿宋" w:hAnsi="仿宋" w:eastAsia="仿宋" w:cs="仿宋"/>
          <w:b/>
          <w:color w:val="000000"/>
          <w:sz w:val="28"/>
          <w:szCs w:val="28"/>
        </w:rPr>
      </w:pPr>
    </w:p>
    <w:p>
      <w:pPr>
        <w:widowControl/>
        <w:snapToGrid w:val="0"/>
        <w:spacing w:before="156" w:beforeLines="50" w:line="560" w:lineRule="exact"/>
        <w:outlineLvl w:val="1"/>
        <w:rPr>
          <w:rFonts w:ascii="宋体"/>
          <w:b/>
          <w:color w:val="000000"/>
          <w:sz w:val="36"/>
          <w:szCs w:val="36"/>
        </w:rPr>
      </w:pPr>
      <w:r>
        <w:rPr>
          <w:rFonts w:hint="eastAsia" w:ascii="仿宋" w:hAnsi="仿宋" w:eastAsia="仿宋" w:cs="仿宋"/>
          <w:b/>
          <w:color w:val="000000"/>
          <w:sz w:val="28"/>
          <w:szCs w:val="28"/>
        </w:rPr>
        <w:br w:type="page"/>
      </w:r>
      <w:bookmarkStart w:id="435" w:name="_Toc2646_WPSOffice_Level3"/>
      <w:bookmarkStart w:id="436" w:name="_Toc13416_WPSOffice_Level3"/>
      <w:bookmarkStart w:id="437" w:name="_Toc18715"/>
      <w:bookmarkStart w:id="438" w:name="_Toc28116"/>
      <w:bookmarkStart w:id="439" w:name="_Toc3360"/>
      <w:bookmarkStart w:id="440" w:name="_Toc112245871"/>
      <w:r>
        <w:rPr>
          <w:rFonts w:hint="eastAsia" w:ascii="仿宋" w:hAnsi="仿宋" w:eastAsia="仿宋" w:cs="仿宋"/>
          <w:b/>
          <w:color w:val="000000"/>
          <w:sz w:val="32"/>
          <w:szCs w:val="32"/>
        </w:rPr>
        <w:t>附件10：谈判首次报价表</w:t>
      </w:r>
      <w:bookmarkEnd w:id="435"/>
      <w:bookmarkEnd w:id="436"/>
      <w:bookmarkEnd w:id="437"/>
      <w:bookmarkEnd w:id="438"/>
      <w:bookmarkEnd w:id="439"/>
      <w:bookmarkEnd w:id="440"/>
    </w:p>
    <w:p>
      <w:pPr>
        <w:spacing w:before="156" w:beforeLines="50" w:line="560" w:lineRule="exact"/>
        <w:jc w:val="center"/>
        <w:rPr>
          <w:rFonts w:ascii="宋体" w:hAnsi="宋体"/>
          <w:b/>
          <w:color w:val="000000"/>
          <w:sz w:val="32"/>
          <w:szCs w:val="32"/>
        </w:rPr>
      </w:pPr>
      <w:bookmarkStart w:id="441" w:name="_Toc17115_WPSOffice_Level3"/>
      <w:bookmarkStart w:id="442" w:name="_Toc17322_WPSOffice_Level1"/>
      <w:bookmarkStart w:id="443" w:name="_Toc8724_WPSOffice_Level1"/>
      <w:r>
        <w:rPr>
          <w:rFonts w:hint="eastAsia" w:ascii="仿宋_GB2312" w:hAnsi="仿宋_GB2312" w:eastAsia="仿宋_GB2312" w:cs="仿宋_GB2312"/>
          <w:b/>
          <w:color w:val="000000"/>
          <w:sz w:val="32"/>
          <w:szCs w:val="32"/>
          <w:lang w:val="zh-CN"/>
        </w:rPr>
        <w:t>谈判首次报价表</w:t>
      </w:r>
      <w:bookmarkEnd w:id="441"/>
      <w:bookmarkEnd w:id="442"/>
      <w:bookmarkEnd w:id="443"/>
    </w:p>
    <w:p>
      <w:pPr>
        <w:spacing w:line="560" w:lineRule="exact"/>
        <w:rPr>
          <w:rFonts w:ascii="仿宋_GB2312" w:hAnsi="仿宋_GB2312" w:eastAsia="仿宋_GB2312" w:cs="仿宋_GB2312"/>
          <w:bCs/>
          <w:color w:val="000000"/>
          <w:sz w:val="32"/>
          <w:szCs w:val="32"/>
        </w:rPr>
      </w:pPr>
      <w:bookmarkStart w:id="444" w:name="_Toc14507_WPSOffice_Level2"/>
      <w:r>
        <w:rPr>
          <w:rFonts w:hint="eastAsia" w:ascii="仿宋_GB2312" w:hAnsi="仿宋_GB2312" w:eastAsia="仿宋_GB2312" w:cs="仿宋_GB2312"/>
          <w:bCs/>
          <w:color w:val="000000"/>
          <w:sz w:val="32"/>
          <w:szCs w:val="32"/>
        </w:rPr>
        <w:t>供应商名称：</w:t>
      </w:r>
      <w:bookmarkEnd w:id="444"/>
      <w:r>
        <w:rPr>
          <w:rFonts w:hint="eastAsia" w:ascii="仿宋_GB2312" w:hAnsi="仿宋_GB2312" w:eastAsia="仿宋_GB2312" w:cs="仿宋_GB2312"/>
          <w:bCs/>
          <w:color w:val="000000"/>
          <w:sz w:val="32"/>
          <w:szCs w:val="32"/>
        </w:rPr>
        <w:t xml:space="preserve">                             单位：人民币(元)</w:t>
      </w:r>
    </w:p>
    <w:tbl>
      <w:tblPr>
        <w:tblStyle w:val="22"/>
        <w:tblpPr w:leftFromText="180" w:rightFromText="180" w:vertAnchor="text" w:horzAnchor="margin" w:tblpY="147"/>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tc>
        <w:tc>
          <w:tcPr>
            <w:tcW w:w="2717" w:type="dxa"/>
            <w:vAlign w:val="center"/>
          </w:tcPr>
          <w:p>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首次报价</w:t>
            </w:r>
          </w:p>
        </w:tc>
        <w:tc>
          <w:tcPr>
            <w:tcW w:w="2670" w:type="dxa"/>
            <w:vAlign w:val="center"/>
          </w:tcPr>
          <w:p>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服务期</w:t>
            </w:r>
          </w:p>
        </w:tc>
        <w:tc>
          <w:tcPr>
            <w:tcW w:w="2025" w:type="dxa"/>
            <w:vAlign w:val="center"/>
          </w:tcPr>
          <w:p>
            <w:pPr>
              <w:adjustRightInd w:val="0"/>
              <w:spacing w:line="560" w:lineRule="exact"/>
              <w:ind w:left="354" w:leftChars="16" w:hanging="320" w:hangingChars="100"/>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717" w:type="dxa"/>
          </w:tcPr>
          <w:p>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大写：</w:t>
            </w:r>
          </w:p>
        </w:tc>
        <w:tc>
          <w:tcPr>
            <w:tcW w:w="2670" w:type="dxa"/>
            <w:vMerge w:val="restart"/>
          </w:tcPr>
          <w:p>
            <w:pPr>
              <w:adjustRightInd w:val="0"/>
              <w:spacing w:line="560" w:lineRule="exact"/>
              <w:ind w:firstLine="262" w:firstLineChars="82"/>
              <w:textAlignment w:val="baseline"/>
              <w:rPr>
                <w:rFonts w:ascii="仿宋_GB2312" w:hAnsi="仿宋_GB2312" w:eastAsia="仿宋_GB2312" w:cs="仿宋_GB2312"/>
                <w:bCs/>
                <w:color w:val="000000"/>
                <w:sz w:val="32"/>
                <w:szCs w:val="32"/>
              </w:rPr>
            </w:pPr>
          </w:p>
        </w:tc>
        <w:tc>
          <w:tcPr>
            <w:tcW w:w="2025" w:type="dxa"/>
            <w:vMerge w:val="restart"/>
          </w:tcPr>
          <w:p>
            <w:pPr>
              <w:adjustRightInd w:val="0"/>
              <w:spacing w:line="560" w:lineRule="exact"/>
              <w:textAlignment w:val="baseline"/>
              <w:rPr>
                <w:rFonts w:ascii="仿宋_GB2312" w:hAnsi="仿宋_GB2312" w:eastAsia="仿宋_GB2312" w:cs="仿宋_GB2312"/>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717" w:type="dxa"/>
          </w:tcPr>
          <w:p>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小写：</w:t>
            </w:r>
          </w:p>
        </w:tc>
        <w:tc>
          <w:tcPr>
            <w:tcW w:w="2670" w:type="dxa"/>
            <w:vMerge w:val="continue"/>
          </w:tcPr>
          <w:p>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025" w:type="dxa"/>
            <w:vMerge w:val="continue"/>
          </w:tcPr>
          <w:p>
            <w:pPr>
              <w:adjustRightInd w:val="0"/>
              <w:spacing w:line="560" w:lineRule="exact"/>
              <w:textAlignment w:val="baseline"/>
              <w:rPr>
                <w:rFonts w:ascii="仿宋_GB2312" w:hAnsi="仿宋_GB2312" w:eastAsia="仿宋_GB2312" w:cs="仿宋_GB2312"/>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504" w:type="dxa"/>
            <w:gridSpan w:val="4"/>
            <w:vAlign w:val="center"/>
          </w:tcPr>
          <w:p>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其他承诺及需要说明的事项：</w:t>
            </w:r>
          </w:p>
        </w:tc>
      </w:tr>
    </w:tbl>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2、响应文件报价为总价。包括产品费、检验费、手续费、</w:t>
      </w:r>
      <w:r>
        <w:rPr>
          <w:rFonts w:hint="eastAsia" w:ascii="仿宋_GB2312" w:hAnsi="仿宋_GB2312" w:eastAsia="仿宋_GB2312" w:cs="仿宋_GB2312"/>
          <w:color w:val="000000"/>
          <w:sz w:val="32"/>
          <w:szCs w:val="32"/>
          <w:lang w:val="zh-CN"/>
        </w:rPr>
        <w:t>运输费、保险费、售前、售中、售后服务费、招标代理费、税金及不可预见费等全部费用。</w:t>
      </w:r>
    </w:p>
    <w:p>
      <w:pPr>
        <w:spacing w:line="560" w:lineRule="exact"/>
        <w:ind w:firstLine="640" w:firstLineChars="200"/>
        <w:rPr>
          <w:rFonts w:ascii="宋体" w:hAnsi="宋体"/>
          <w:color w:val="000000"/>
          <w:sz w:val="24"/>
        </w:rPr>
      </w:pPr>
      <w:r>
        <w:rPr>
          <w:rFonts w:hint="eastAsia" w:ascii="仿宋_GB2312" w:hAnsi="仿宋_GB2312" w:eastAsia="仿宋_GB2312" w:cs="仿宋_GB2312"/>
          <w:color w:val="000000"/>
          <w:sz w:val="32"/>
          <w:szCs w:val="32"/>
        </w:rPr>
        <w:t>3、“服务期”是指产品能够交付使用的具体时间。</w:t>
      </w:r>
    </w:p>
    <w:p>
      <w:pPr>
        <w:spacing w:before="156" w:beforeLines="50" w:line="560" w:lineRule="exact"/>
        <w:ind w:firstLine="482" w:firstLineChars="200"/>
        <w:jc w:val="center"/>
        <w:rPr>
          <w:rFonts w:ascii="仿宋_GB2312" w:hAnsi="仿宋_GB2312" w:eastAsia="仿宋_GB2312" w:cs="仿宋_GB2312"/>
          <w:bCs/>
          <w:color w:val="000000"/>
          <w:sz w:val="32"/>
          <w:szCs w:val="32"/>
        </w:rPr>
      </w:pPr>
      <w:r>
        <w:rPr>
          <w:rFonts w:hint="eastAsia" w:ascii="宋体" w:hAnsi="宋体"/>
          <w:b/>
          <w:color w:val="000000"/>
          <w:sz w:val="24"/>
        </w:rPr>
        <w:t xml:space="preserve">                      </w:t>
      </w:r>
      <w:bookmarkStart w:id="445" w:name="_Toc27526_WPSOffice_Level3"/>
      <w:r>
        <w:rPr>
          <w:rFonts w:hint="eastAsia" w:ascii="宋体" w:hAnsi="宋体"/>
          <w:b/>
          <w:color w:val="000000"/>
          <w:sz w:val="24"/>
        </w:rPr>
        <w:t xml:space="preserve"> </w:t>
      </w:r>
      <w:bookmarkStart w:id="446" w:name="_Toc11022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445"/>
      <w:bookmarkEnd w:id="446"/>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47" w:name="_Toc23931_WPSOffice_Level3"/>
      <w:bookmarkStart w:id="448" w:name="_Toc32417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47"/>
      <w:bookmarkEnd w:id="448"/>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49" w:name="_Toc23319_WPSOffice_Level3"/>
      <w:bookmarkStart w:id="450" w:name="_Toc19388_WPSOffice_Level3"/>
      <w:r>
        <w:rPr>
          <w:rFonts w:hint="eastAsia" w:ascii="仿宋_GB2312" w:hAnsi="仿宋_GB2312" w:eastAsia="仿宋_GB2312" w:cs="仿宋_GB2312"/>
          <w:bCs/>
          <w:color w:val="000000"/>
          <w:sz w:val="32"/>
          <w:szCs w:val="32"/>
        </w:rPr>
        <w:t>年   月  日</w:t>
      </w:r>
      <w:bookmarkEnd w:id="449"/>
      <w:bookmarkEnd w:id="450"/>
    </w:p>
    <w:p/>
    <w:p/>
    <w:p/>
    <w:p/>
    <w:p/>
    <w:p/>
    <w:p/>
    <w:p/>
    <w:p/>
    <w:p/>
    <w:p>
      <w:pPr>
        <w:rPr>
          <w:rFonts w:hint="eastAsia"/>
        </w:rPr>
      </w:pPr>
    </w:p>
    <w:p>
      <w:pPr>
        <w:widowControl/>
        <w:snapToGrid w:val="0"/>
        <w:spacing w:before="156" w:beforeLines="50" w:line="560" w:lineRule="exact"/>
        <w:outlineLvl w:val="1"/>
        <w:rPr>
          <w:rFonts w:hint="eastAsia" w:ascii="仿宋" w:hAnsi="仿宋" w:eastAsia="仿宋" w:cs="仿宋"/>
          <w:b/>
          <w:color w:val="000000"/>
          <w:sz w:val="36"/>
          <w:szCs w:val="36"/>
        </w:rPr>
      </w:pPr>
      <w:bookmarkStart w:id="451" w:name="_Toc7597"/>
      <w:bookmarkStart w:id="452" w:name="_Toc6913_WPSOffice_Level3"/>
      <w:bookmarkStart w:id="453" w:name="_Toc14547"/>
      <w:bookmarkStart w:id="454" w:name="_Toc112245872"/>
      <w:bookmarkStart w:id="455" w:name="_Toc18025_WPSOffice_Level3"/>
      <w:bookmarkStart w:id="456" w:name="_Toc28501"/>
      <w:r>
        <w:rPr>
          <w:rFonts w:hint="eastAsia" w:ascii="仿宋" w:hAnsi="仿宋" w:eastAsia="仿宋" w:cs="仿宋"/>
          <w:b/>
          <w:color w:val="000000"/>
          <w:sz w:val="32"/>
          <w:szCs w:val="32"/>
        </w:rPr>
        <w:t>附件11：</w:t>
      </w:r>
      <w:bookmarkEnd w:id="451"/>
      <w:bookmarkEnd w:id="452"/>
      <w:bookmarkEnd w:id="453"/>
      <w:r>
        <w:rPr>
          <w:rFonts w:hint="eastAsia" w:ascii="仿宋" w:hAnsi="仿宋" w:eastAsia="仿宋" w:cs="仿宋"/>
          <w:b/>
          <w:color w:val="000000"/>
          <w:sz w:val="32"/>
          <w:szCs w:val="32"/>
        </w:rPr>
        <w:t>实施方案及服务保障</w:t>
      </w:r>
      <w:bookmarkEnd w:id="454"/>
      <w:bookmarkEnd w:id="455"/>
      <w:bookmarkEnd w:id="456"/>
    </w:p>
    <w:p>
      <w:pPr>
        <w:jc w:val="center"/>
        <w:rPr>
          <w:b/>
          <w:bCs/>
          <w:sz w:val="32"/>
          <w:szCs w:val="32"/>
        </w:rPr>
      </w:pPr>
      <w:bookmarkStart w:id="457" w:name="_Toc2954_WPSOffice_Level1"/>
      <w:bookmarkStart w:id="458" w:name="_Toc19683_WPSOffice_Level1"/>
      <w:bookmarkStart w:id="459" w:name="_Toc21309_WPSOffice_Level3"/>
      <w:r>
        <w:rPr>
          <w:rFonts w:hint="eastAsia"/>
          <w:b/>
          <w:bCs/>
          <w:sz w:val="32"/>
          <w:szCs w:val="32"/>
          <w:lang w:val="zh-CN"/>
        </w:rPr>
        <w:t>实施方案及服务保障</w:t>
      </w:r>
    </w:p>
    <w:p>
      <w:pPr>
        <w:spacing w:line="560" w:lineRule="exact"/>
        <w:ind w:firstLine="640" w:firstLineChars="20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1、针对采购项目特点和采购人执行要求的工作程序制定具体的管理和实施方案。</w:t>
      </w:r>
    </w:p>
    <w:p>
      <w:pPr>
        <w:spacing w:line="560" w:lineRule="exact"/>
        <w:ind w:firstLine="640" w:firstLineChars="20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2、针对本项目有具体的措施及相关承诺。</w:t>
      </w:r>
    </w:p>
    <w:p>
      <w:pPr>
        <w:spacing w:line="560" w:lineRule="exact"/>
        <w:ind w:firstLine="640" w:firstLineChars="20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3、根据采购内容提供本项目组织的分工安排、详细的人员组成情况，培训方案等。</w:t>
      </w:r>
    </w:p>
    <w:p>
      <w:pPr>
        <w:spacing w:line="560" w:lineRule="exact"/>
        <w:ind w:firstLine="640" w:firstLineChars="20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4、提供详细的审计资料整理方案包括归档、排序、装订、移交等内容。</w:t>
      </w:r>
    </w:p>
    <w:bookmarkEnd w:id="457"/>
    <w:bookmarkEnd w:id="458"/>
    <w:bookmarkEnd w:id="459"/>
    <w:p>
      <w:pPr>
        <w:spacing w:line="560" w:lineRule="exact"/>
        <w:rPr>
          <w:rFonts w:ascii="仿宋_GB2312" w:hAnsi="仿宋_GB2312" w:eastAsia="仿宋_GB2312" w:cs="仿宋_GB2312"/>
          <w:color w:val="000000"/>
          <w:sz w:val="32"/>
          <w:szCs w:val="32"/>
        </w:rPr>
      </w:pPr>
    </w:p>
    <w:p>
      <w:pPr>
        <w:widowControl/>
        <w:adjustRightInd w:val="0"/>
        <w:snapToGrid w:val="0"/>
        <w:spacing w:before="156" w:beforeLines="50" w:line="560" w:lineRule="exact"/>
        <w:jc w:val="left"/>
        <w:rPr>
          <w:rFonts w:ascii="宋体" w:hAnsi="宋体" w:cs="宋体"/>
          <w:spacing w:val="6"/>
          <w:kern w:val="0"/>
          <w:szCs w:val="21"/>
        </w:rPr>
      </w:pPr>
    </w:p>
    <w:p>
      <w:pPr>
        <w:widowControl/>
        <w:adjustRightInd w:val="0"/>
        <w:snapToGrid w:val="0"/>
        <w:spacing w:before="156" w:beforeLines="50" w:line="560" w:lineRule="exact"/>
        <w:jc w:val="left"/>
        <w:rPr>
          <w:rFonts w:ascii="宋体" w:hAnsi="宋体" w:cs="宋体"/>
          <w:spacing w:val="6"/>
          <w:kern w:val="0"/>
          <w:szCs w:val="21"/>
        </w:rPr>
      </w:pPr>
    </w:p>
    <w:p>
      <w:pPr>
        <w:widowControl/>
        <w:adjustRightInd w:val="0"/>
        <w:snapToGrid w:val="0"/>
        <w:spacing w:before="156" w:beforeLines="50" w:line="560" w:lineRule="exact"/>
        <w:jc w:val="left"/>
        <w:rPr>
          <w:rFonts w:ascii="宋体" w:hAnsi="宋体" w:cs="宋体"/>
          <w:spacing w:val="6"/>
          <w:kern w:val="0"/>
          <w:szCs w:val="21"/>
        </w:rPr>
      </w:pPr>
    </w:p>
    <w:p>
      <w:pPr>
        <w:widowControl/>
        <w:adjustRightInd w:val="0"/>
        <w:snapToGrid w:val="0"/>
        <w:spacing w:before="156" w:beforeLines="50" w:line="560" w:lineRule="exact"/>
        <w:jc w:val="left"/>
        <w:rPr>
          <w:rFonts w:ascii="宋体" w:hAnsi="宋体" w:cs="宋体"/>
          <w:spacing w:val="6"/>
          <w:kern w:val="0"/>
          <w:szCs w:val="21"/>
        </w:rPr>
      </w:pPr>
    </w:p>
    <w:p>
      <w:pPr>
        <w:widowControl/>
        <w:adjustRightInd w:val="0"/>
        <w:snapToGrid w:val="0"/>
        <w:spacing w:before="156" w:beforeLines="50" w:line="560" w:lineRule="exact"/>
        <w:jc w:val="left"/>
        <w:rPr>
          <w:rFonts w:ascii="宋体" w:hAnsi="宋体" w:cs="宋体"/>
          <w:spacing w:val="6"/>
          <w:kern w:val="0"/>
          <w:szCs w:val="21"/>
        </w:rPr>
      </w:pPr>
    </w:p>
    <w:p>
      <w:pPr>
        <w:widowControl/>
        <w:adjustRightInd w:val="0"/>
        <w:snapToGrid w:val="0"/>
        <w:spacing w:before="156" w:beforeLines="50" w:line="560" w:lineRule="exact"/>
        <w:jc w:val="left"/>
        <w:rPr>
          <w:rFonts w:ascii="宋体" w:hAnsi="宋体" w:cs="宋体"/>
          <w:spacing w:val="6"/>
          <w:kern w:val="0"/>
          <w:szCs w:val="21"/>
        </w:rPr>
      </w:pPr>
    </w:p>
    <w:p>
      <w:pPr>
        <w:widowControl/>
        <w:adjustRightInd w:val="0"/>
        <w:snapToGrid w:val="0"/>
        <w:spacing w:before="156" w:beforeLines="50" w:line="560" w:lineRule="exact"/>
        <w:jc w:val="left"/>
        <w:rPr>
          <w:rFonts w:ascii="宋体" w:hAnsi="宋体" w:cs="宋体"/>
          <w:spacing w:val="6"/>
          <w:kern w:val="0"/>
          <w:szCs w:val="21"/>
        </w:rPr>
      </w:pPr>
    </w:p>
    <w:p>
      <w:pPr>
        <w:widowControl/>
        <w:adjustRightInd w:val="0"/>
        <w:snapToGrid w:val="0"/>
        <w:spacing w:before="156" w:beforeLines="50" w:line="560" w:lineRule="exact"/>
        <w:jc w:val="left"/>
        <w:rPr>
          <w:rFonts w:ascii="宋体" w:hAnsi="宋体" w:cs="宋体"/>
          <w:spacing w:val="6"/>
          <w:kern w:val="0"/>
          <w:szCs w:val="21"/>
        </w:rPr>
      </w:pPr>
    </w:p>
    <w:p>
      <w:pPr>
        <w:widowControl/>
        <w:adjustRightInd w:val="0"/>
        <w:snapToGrid w:val="0"/>
        <w:spacing w:before="156" w:beforeLines="50" w:line="560" w:lineRule="exact"/>
        <w:jc w:val="left"/>
        <w:rPr>
          <w:rFonts w:ascii="宋体" w:hAnsi="宋体" w:cs="宋体"/>
          <w:spacing w:val="6"/>
          <w:kern w:val="0"/>
          <w:szCs w:val="21"/>
        </w:rPr>
      </w:pPr>
    </w:p>
    <w:p>
      <w:pPr>
        <w:pStyle w:val="21"/>
      </w:pPr>
    </w:p>
    <w:p>
      <w:pPr>
        <w:widowControl/>
        <w:adjustRightInd w:val="0"/>
        <w:snapToGrid w:val="0"/>
        <w:spacing w:before="156" w:beforeLines="50" w:line="560" w:lineRule="exact"/>
        <w:jc w:val="left"/>
        <w:rPr>
          <w:rFonts w:ascii="宋体" w:hAnsi="宋体" w:cs="宋体"/>
          <w:spacing w:val="6"/>
          <w:kern w:val="0"/>
          <w:szCs w:val="21"/>
        </w:rPr>
      </w:pPr>
    </w:p>
    <w:p>
      <w:pPr>
        <w:pStyle w:val="20"/>
        <w:spacing w:before="0" w:after="0" w:line="360" w:lineRule="auto"/>
        <w:jc w:val="left"/>
        <w:rPr>
          <w:rFonts w:hint="eastAsia" w:ascii="仿宋" w:hAnsi="仿宋" w:eastAsia="仿宋" w:cs="仿宋"/>
          <w:color w:val="000000"/>
          <w:kern w:val="0"/>
          <w:sz w:val="32"/>
          <w:szCs w:val="32"/>
          <w:lang w:val="zh-CN"/>
        </w:rPr>
      </w:pPr>
      <w:bookmarkStart w:id="460" w:name="_Toc112245873"/>
      <w:bookmarkStart w:id="461" w:name="_Toc10368"/>
      <w:bookmarkStart w:id="462" w:name="_Toc31301_WPSOffice_Level3"/>
      <w:bookmarkStart w:id="463" w:name="_Toc11887"/>
      <w:bookmarkStart w:id="464" w:name="_Toc3146_WPSOffice_Level3"/>
      <w:bookmarkStart w:id="465" w:name="_Toc4925"/>
      <w:r>
        <w:rPr>
          <w:rFonts w:hint="eastAsia" w:ascii="仿宋" w:hAnsi="仿宋" w:eastAsia="仿宋" w:cs="仿宋"/>
          <w:bCs w:val="0"/>
          <w:color w:val="000000"/>
          <w:sz w:val="32"/>
          <w:szCs w:val="32"/>
        </w:rPr>
        <w:t>附件12：</w:t>
      </w:r>
      <w:r>
        <w:rPr>
          <w:rFonts w:hint="eastAsia" w:ascii="仿宋" w:hAnsi="仿宋" w:eastAsia="仿宋" w:cs="仿宋"/>
          <w:bCs w:val="0"/>
          <w:color w:val="000000"/>
          <w:sz w:val="32"/>
          <w:szCs w:val="32"/>
          <w:lang w:val="zh-CN"/>
        </w:rPr>
        <w:t>人员配备表</w:t>
      </w:r>
      <w:bookmarkEnd w:id="460"/>
    </w:p>
    <w:p>
      <w:pPr>
        <w:jc w:val="center"/>
        <w:rPr>
          <w:rFonts w:hint="eastAsia" w:ascii="仿宋" w:hAnsi="仿宋" w:eastAsia="仿宋" w:cs="仿宋"/>
          <w:b/>
          <w:sz w:val="32"/>
          <w:szCs w:val="32"/>
        </w:rPr>
      </w:pPr>
      <w:r>
        <w:rPr>
          <w:rFonts w:hint="eastAsia" w:ascii="仿宋" w:hAnsi="仿宋" w:eastAsia="仿宋" w:cs="仿宋"/>
          <w:b/>
          <w:sz w:val="32"/>
          <w:szCs w:val="32"/>
        </w:rPr>
        <w:t>项目负责人基本情况表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639"/>
        <w:gridCol w:w="495"/>
        <w:gridCol w:w="1137"/>
        <w:gridCol w:w="498"/>
        <w:gridCol w:w="636"/>
        <w:gridCol w:w="987"/>
        <w:gridCol w:w="572"/>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6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姓名</w:t>
            </w:r>
          </w:p>
        </w:tc>
        <w:tc>
          <w:tcPr>
            <w:tcW w:w="1134"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13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性别</w:t>
            </w:r>
          </w:p>
        </w:tc>
        <w:tc>
          <w:tcPr>
            <w:tcW w:w="1134"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559" w:type="dxa"/>
            <w:gridSpan w:val="2"/>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出生日期</w:t>
            </w:r>
          </w:p>
        </w:tc>
        <w:tc>
          <w:tcPr>
            <w:tcW w:w="2440" w:type="dxa"/>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6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毕业院校及专业</w:t>
            </w:r>
          </w:p>
        </w:tc>
        <w:tc>
          <w:tcPr>
            <w:tcW w:w="3405" w:type="dxa"/>
            <w:gridSpan w:val="5"/>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559" w:type="dxa"/>
            <w:gridSpan w:val="2"/>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毕业时间</w:t>
            </w:r>
          </w:p>
        </w:tc>
        <w:tc>
          <w:tcPr>
            <w:tcW w:w="2440" w:type="dxa"/>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从事本专业时间</w:t>
            </w:r>
          </w:p>
        </w:tc>
        <w:tc>
          <w:tcPr>
            <w:tcW w:w="3405" w:type="dxa"/>
            <w:gridSpan w:val="5"/>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559" w:type="dxa"/>
            <w:gridSpan w:val="2"/>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为投标人工作时间</w:t>
            </w:r>
          </w:p>
        </w:tc>
        <w:tc>
          <w:tcPr>
            <w:tcW w:w="2440" w:type="dxa"/>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执业注册</w:t>
            </w:r>
          </w:p>
        </w:tc>
        <w:tc>
          <w:tcPr>
            <w:tcW w:w="3405" w:type="dxa"/>
            <w:gridSpan w:val="5"/>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559"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职称</w:t>
            </w:r>
          </w:p>
        </w:tc>
        <w:tc>
          <w:tcPr>
            <w:tcW w:w="2440" w:type="dxa"/>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在本项目中主要负责内容</w:t>
            </w:r>
          </w:p>
        </w:tc>
        <w:tc>
          <w:tcPr>
            <w:tcW w:w="7404" w:type="dxa"/>
            <w:gridSpan w:val="8"/>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7" w:type="dxa"/>
            <w:vMerge w:val="restart"/>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主要成果</w:t>
            </w:r>
          </w:p>
        </w:tc>
        <w:tc>
          <w:tcPr>
            <w:tcW w:w="2769" w:type="dxa"/>
            <w:gridSpan w:val="4"/>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项目名称及规模</w:t>
            </w:r>
          </w:p>
        </w:tc>
        <w:tc>
          <w:tcPr>
            <w:tcW w:w="1623" w:type="dxa"/>
            <w:gridSpan w:val="2"/>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完成年月</w:t>
            </w:r>
          </w:p>
        </w:tc>
        <w:tc>
          <w:tcPr>
            <w:tcW w:w="3012" w:type="dxa"/>
            <w:gridSpan w:val="2"/>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7" w:type="dxa"/>
            <w:vMerge w:val="continue"/>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639" w:type="dxa"/>
            <w:vAlign w:val="center"/>
          </w:tcPr>
          <w:p>
            <w:pPr>
              <w:spacing w:line="56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130" w:type="dxa"/>
            <w:gridSpan w:val="3"/>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623"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3012"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67" w:type="dxa"/>
            <w:vMerge w:val="continue"/>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639" w:type="dxa"/>
            <w:vAlign w:val="center"/>
          </w:tcPr>
          <w:p>
            <w:pPr>
              <w:spacing w:line="56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2130" w:type="dxa"/>
            <w:gridSpan w:val="3"/>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623"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3012"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7" w:type="dxa"/>
            <w:vMerge w:val="continue"/>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639" w:type="dxa"/>
            <w:vAlign w:val="center"/>
          </w:tcPr>
          <w:p>
            <w:pPr>
              <w:spacing w:line="56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2130" w:type="dxa"/>
            <w:gridSpan w:val="3"/>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623"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3012"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vMerge w:val="continue"/>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639" w:type="dxa"/>
            <w:vAlign w:val="center"/>
          </w:tcPr>
          <w:p>
            <w:pPr>
              <w:spacing w:line="56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2130" w:type="dxa"/>
            <w:gridSpan w:val="3"/>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1623"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c>
          <w:tcPr>
            <w:tcW w:w="3012" w:type="dxa"/>
            <w:gridSpan w:val="2"/>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66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获奖情况</w:t>
            </w:r>
          </w:p>
        </w:tc>
        <w:tc>
          <w:tcPr>
            <w:tcW w:w="7404" w:type="dxa"/>
            <w:gridSpan w:val="8"/>
            <w:vAlign w:val="center"/>
          </w:tcPr>
          <w:p>
            <w:pPr>
              <w:spacing w:line="560" w:lineRule="exact"/>
              <w:ind w:firstLine="480" w:firstLineChars="200"/>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6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备注</w:t>
            </w:r>
          </w:p>
        </w:tc>
        <w:tc>
          <w:tcPr>
            <w:tcW w:w="7404" w:type="dxa"/>
            <w:gridSpan w:val="8"/>
            <w:vAlign w:val="center"/>
          </w:tcPr>
          <w:p>
            <w:pPr>
              <w:spacing w:line="560" w:lineRule="exact"/>
              <w:ind w:firstLine="480" w:firstLineChars="200"/>
              <w:rPr>
                <w:rFonts w:hint="eastAsia" w:ascii="仿宋" w:hAnsi="仿宋" w:eastAsia="仿宋" w:cs="仿宋"/>
                <w:bCs/>
                <w:color w:val="000000"/>
                <w:sz w:val="24"/>
                <w:szCs w:val="24"/>
                <w:lang w:val="zh-CN"/>
              </w:rPr>
            </w:pPr>
          </w:p>
        </w:tc>
      </w:tr>
    </w:tbl>
    <w:p>
      <w:pPr>
        <w:spacing w:line="560" w:lineRule="exact"/>
        <w:ind w:firstLine="600" w:firstLineChars="200"/>
        <w:rPr>
          <w:bCs/>
          <w:sz w:val="30"/>
          <w:szCs w:val="30"/>
        </w:rPr>
      </w:pPr>
      <w:r>
        <w:rPr>
          <w:rFonts w:hint="eastAsia" w:ascii="仿宋_GB2312" w:hAnsi="仿宋_GB2312" w:eastAsia="仿宋_GB2312" w:cs="仿宋_GB2312"/>
          <w:bCs/>
          <w:color w:val="000000"/>
          <w:sz w:val="30"/>
          <w:szCs w:val="30"/>
          <w:lang w:val="zh-CN"/>
        </w:rPr>
        <w:t>注：随本表提供相关资格证书、及相关证明材料。未提供证明材料、相关人员专业与本项目无关或职业人员资格证上的工作单位非投标单位（工作单位变动，资格证正在变更中的，需提供相关管理部门出具的变更证明材料）的不计入有效范围。</w:t>
      </w:r>
    </w:p>
    <w:p>
      <w:pPr>
        <w:jc w:val="center"/>
        <w:rPr>
          <w:bCs/>
        </w:rPr>
      </w:pPr>
    </w:p>
    <w:p>
      <w:pPr>
        <w:jc w:val="center"/>
        <w:rPr>
          <w:rFonts w:hint="eastAsia" w:ascii="仿宋" w:hAnsi="仿宋" w:eastAsia="仿宋" w:cs="仿宋"/>
          <w:b/>
          <w:sz w:val="32"/>
          <w:szCs w:val="32"/>
        </w:rPr>
      </w:pPr>
      <w:r>
        <w:rPr>
          <w:rFonts w:hint="eastAsia" w:ascii="仿宋" w:hAnsi="仿宋" w:eastAsia="仿宋" w:cs="仿宋"/>
          <w:b/>
          <w:sz w:val="32"/>
          <w:szCs w:val="32"/>
        </w:rPr>
        <w:t>工作人员汇总表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工作人员总数</w:t>
            </w:r>
          </w:p>
        </w:tc>
        <w:tc>
          <w:tcPr>
            <w:tcW w:w="6931" w:type="dxa"/>
            <w:gridSpan w:val="5"/>
            <w:vAlign w:val="center"/>
          </w:tcPr>
          <w:p>
            <w:pPr>
              <w:spacing w:line="560" w:lineRule="exact"/>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序号</w:t>
            </w:r>
          </w:p>
        </w:tc>
        <w:tc>
          <w:tcPr>
            <w:tcW w:w="840"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姓名</w:t>
            </w:r>
          </w:p>
        </w:tc>
        <w:tc>
          <w:tcPr>
            <w:tcW w:w="992"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性别</w:t>
            </w:r>
          </w:p>
        </w:tc>
        <w:tc>
          <w:tcPr>
            <w:tcW w:w="1276"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出生日期</w:t>
            </w:r>
          </w:p>
        </w:tc>
        <w:tc>
          <w:tcPr>
            <w:tcW w:w="930"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学历</w:t>
            </w:r>
          </w:p>
        </w:tc>
        <w:tc>
          <w:tcPr>
            <w:tcW w:w="912"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专业</w:t>
            </w:r>
          </w:p>
        </w:tc>
        <w:tc>
          <w:tcPr>
            <w:tcW w:w="1276"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技术职称</w:t>
            </w:r>
          </w:p>
        </w:tc>
        <w:tc>
          <w:tcPr>
            <w:tcW w:w="2537"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1</w:t>
            </w:r>
          </w:p>
        </w:tc>
        <w:tc>
          <w:tcPr>
            <w:tcW w:w="840" w:type="dxa"/>
            <w:vAlign w:val="center"/>
          </w:tcPr>
          <w:p>
            <w:pPr>
              <w:spacing w:line="560" w:lineRule="exact"/>
              <w:rPr>
                <w:rFonts w:hint="eastAsia" w:ascii="仿宋" w:hAnsi="仿宋" w:eastAsia="仿宋" w:cs="仿宋"/>
                <w:bCs/>
                <w:color w:val="000000"/>
                <w:sz w:val="24"/>
                <w:szCs w:val="24"/>
                <w:lang w:val="zh-CN"/>
              </w:rPr>
            </w:pPr>
          </w:p>
        </w:tc>
        <w:tc>
          <w:tcPr>
            <w:tcW w:w="99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930" w:type="dxa"/>
            <w:vAlign w:val="center"/>
          </w:tcPr>
          <w:p>
            <w:pPr>
              <w:spacing w:line="560" w:lineRule="exact"/>
              <w:rPr>
                <w:rFonts w:hint="eastAsia" w:ascii="仿宋" w:hAnsi="仿宋" w:eastAsia="仿宋" w:cs="仿宋"/>
                <w:bCs/>
                <w:color w:val="000000"/>
                <w:sz w:val="24"/>
                <w:szCs w:val="24"/>
                <w:lang w:val="zh-CN"/>
              </w:rPr>
            </w:pPr>
          </w:p>
        </w:tc>
        <w:tc>
          <w:tcPr>
            <w:tcW w:w="91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2537" w:type="dxa"/>
            <w:vAlign w:val="center"/>
          </w:tcPr>
          <w:p>
            <w:pPr>
              <w:spacing w:line="560" w:lineRule="exact"/>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2</w:t>
            </w:r>
          </w:p>
        </w:tc>
        <w:tc>
          <w:tcPr>
            <w:tcW w:w="840" w:type="dxa"/>
            <w:vAlign w:val="center"/>
          </w:tcPr>
          <w:p>
            <w:pPr>
              <w:spacing w:line="560" w:lineRule="exact"/>
              <w:rPr>
                <w:rFonts w:hint="eastAsia" w:ascii="仿宋" w:hAnsi="仿宋" w:eastAsia="仿宋" w:cs="仿宋"/>
                <w:bCs/>
                <w:color w:val="000000"/>
                <w:sz w:val="24"/>
                <w:szCs w:val="24"/>
                <w:lang w:val="zh-CN"/>
              </w:rPr>
            </w:pPr>
          </w:p>
        </w:tc>
        <w:tc>
          <w:tcPr>
            <w:tcW w:w="99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930" w:type="dxa"/>
            <w:vAlign w:val="center"/>
          </w:tcPr>
          <w:p>
            <w:pPr>
              <w:spacing w:line="560" w:lineRule="exact"/>
              <w:rPr>
                <w:rFonts w:hint="eastAsia" w:ascii="仿宋" w:hAnsi="仿宋" w:eastAsia="仿宋" w:cs="仿宋"/>
                <w:bCs/>
                <w:color w:val="000000"/>
                <w:sz w:val="24"/>
                <w:szCs w:val="24"/>
                <w:lang w:val="zh-CN"/>
              </w:rPr>
            </w:pPr>
          </w:p>
        </w:tc>
        <w:tc>
          <w:tcPr>
            <w:tcW w:w="91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2537" w:type="dxa"/>
            <w:vAlign w:val="center"/>
          </w:tcPr>
          <w:p>
            <w:pPr>
              <w:spacing w:line="560" w:lineRule="exact"/>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3</w:t>
            </w:r>
          </w:p>
        </w:tc>
        <w:tc>
          <w:tcPr>
            <w:tcW w:w="840" w:type="dxa"/>
            <w:vAlign w:val="center"/>
          </w:tcPr>
          <w:p>
            <w:pPr>
              <w:spacing w:line="560" w:lineRule="exact"/>
              <w:rPr>
                <w:rFonts w:hint="eastAsia" w:ascii="仿宋" w:hAnsi="仿宋" w:eastAsia="仿宋" w:cs="仿宋"/>
                <w:bCs/>
                <w:color w:val="000000"/>
                <w:sz w:val="24"/>
                <w:szCs w:val="24"/>
                <w:lang w:val="zh-CN"/>
              </w:rPr>
            </w:pPr>
          </w:p>
        </w:tc>
        <w:tc>
          <w:tcPr>
            <w:tcW w:w="99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930" w:type="dxa"/>
            <w:vAlign w:val="center"/>
          </w:tcPr>
          <w:p>
            <w:pPr>
              <w:spacing w:line="560" w:lineRule="exact"/>
              <w:rPr>
                <w:rFonts w:hint="eastAsia" w:ascii="仿宋" w:hAnsi="仿宋" w:eastAsia="仿宋" w:cs="仿宋"/>
                <w:bCs/>
                <w:color w:val="000000"/>
                <w:sz w:val="24"/>
                <w:szCs w:val="24"/>
                <w:lang w:val="zh-CN"/>
              </w:rPr>
            </w:pPr>
          </w:p>
        </w:tc>
        <w:tc>
          <w:tcPr>
            <w:tcW w:w="91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2537" w:type="dxa"/>
            <w:vAlign w:val="center"/>
          </w:tcPr>
          <w:p>
            <w:pPr>
              <w:spacing w:line="560" w:lineRule="exact"/>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4</w:t>
            </w:r>
          </w:p>
        </w:tc>
        <w:tc>
          <w:tcPr>
            <w:tcW w:w="840" w:type="dxa"/>
            <w:vAlign w:val="center"/>
          </w:tcPr>
          <w:p>
            <w:pPr>
              <w:spacing w:line="560" w:lineRule="exact"/>
              <w:rPr>
                <w:rFonts w:hint="eastAsia" w:ascii="仿宋" w:hAnsi="仿宋" w:eastAsia="仿宋" w:cs="仿宋"/>
                <w:bCs/>
                <w:color w:val="000000"/>
                <w:sz w:val="24"/>
                <w:szCs w:val="24"/>
                <w:lang w:val="zh-CN"/>
              </w:rPr>
            </w:pPr>
          </w:p>
        </w:tc>
        <w:tc>
          <w:tcPr>
            <w:tcW w:w="99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930" w:type="dxa"/>
            <w:vAlign w:val="center"/>
          </w:tcPr>
          <w:p>
            <w:pPr>
              <w:spacing w:line="560" w:lineRule="exact"/>
              <w:rPr>
                <w:rFonts w:hint="eastAsia" w:ascii="仿宋" w:hAnsi="仿宋" w:eastAsia="仿宋" w:cs="仿宋"/>
                <w:bCs/>
                <w:color w:val="000000"/>
                <w:sz w:val="24"/>
                <w:szCs w:val="24"/>
                <w:lang w:val="zh-CN"/>
              </w:rPr>
            </w:pPr>
          </w:p>
        </w:tc>
        <w:tc>
          <w:tcPr>
            <w:tcW w:w="91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2537" w:type="dxa"/>
            <w:vAlign w:val="center"/>
          </w:tcPr>
          <w:p>
            <w:pPr>
              <w:spacing w:line="560" w:lineRule="exact"/>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5</w:t>
            </w:r>
          </w:p>
        </w:tc>
        <w:tc>
          <w:tcPr>
            <w:tcW w:w="840" w:type="dxa"/>
            <w:vAlign w:val="center"/>
          </w:tcPr>
          <w:p>
            <w:pPr>
              <w:spacing w:line="560" w:lineRule="exact"/>
              <w:rPr>
                <w:rFonts w:hint="eastAsia" w:ascii="仿宋" w:hAnsi="仿宋" w:eastAsia="仿宋" w:cs="仿宋"/>
                <w:bCs/>
                <w:color w:val="000000"/>
                <w:sz w:val="24"/>
                <w:szCs w:val="24"/>
                <w:lang w:val="zh-CN"/>
              </w:rPr>
            </w:pPr>
          </w:p>
        </w:tc>
        <w:tc>
          <w:tcPr>
            <w:tcW w:w="99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930" w:type="dxa"/>
            <w:vAlign w:val="center"/>
          </w:tcPr>
          <w:p>
            <w:pPr>
              <w:spacing w:line="560" w:lineRule="exact"/>
              <w:rPr>
                <w:rFonts w:hint="eastAsia" w:ascii="仿宋" w:hAnsi="仿宋" w:eastAsia="仿宋" w:cs="仿宋"/>
                <w:bCs/>
                <w:color w:val="000000"/>
                <w:sz w:val="24"/>
                <w:szCs w:val="24"/>
                <w:lang w:val="zh-CN"/>
              </w:rPr>
            </w:pPr>
          </w:p>
        </w:tc>
        <w:tc>
          <w:tcPr>
            <w:tcW w:w="91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2537" w:type="dxa"/>
            <w:vAlign w:val="center"/>
          </w:tcPr>
          <w:p>
            <w:pPr>
              <w:spacing w:line="560" w:lineRule="exact"/>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6</w:t>
            </w:r>
          </w:p>
        </w:tc>
        <w:tc>
          <w:tcPr>
            <w:tcW w:w="840" w:type="dxa"/>
            <w:vAlign w:val="center"/>
          </w:tcPr>
          <w:p>
            <w:pPr>
              <w:spacing w:line="560" w:lineRule="exact"/>
              <w:rPr>
                <w:rFonts w:hint="eastAsia" w:ascii="仿宋" w:hAnsi="仿宋" w:eastAsia="仿宋" w:cs="仿宋"/>
                <w:bCs/>
                <w:color w:val="000000"/>
                <w:sz w:val="24"/>
                <w:szCs w:val="24"/>
                <w:lang w:val="zh-CN"/>
              </w:rPr>
            </w:pPr>
          </w:p>
        </w:tc>
        <w:tc>
          <w:tcPr>
            <w:tcW w:w="99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930" w:type="dxa"/>
            <w:vAlign w:val="center"/>
          </w:tcPr>
          <w:p>
            <w:pPr>
              <w:spacing w:line="560" w:lineRule="exact"/>
              <w:rPr>
                <w:rFonts w:hint="eastAsia" w:ascii="仿宋" w:hAnsi="仿宋" w:eastAsia="仿宋" w:cs="仿宋"/>
                <w:bCs/>
                <w:color w:val="000000"/>
                <w:sz w:val="24"/>
                <w:szCs w:val="24"/>
                <w:lang w:val="zh-CN"/>
              </w:rPr>
            </w:pPr>
          </w:p>
        </w:tc>
        <w:tc>
          <w:tcPr>
            <w:tcW w:w="91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2537" w:type="dxa"/>
            <w:vAlign w:val="center"/>
          </w:tcPr>
          <w:p>
            <w:pPr>
              <w:spacing w:line="560" w:lineRule="exact"/>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7</w:t>
            </w:r>
          </w:p>
        </w:tc>
        <w:tc>
          <w:tcPr>
            <w:tcW w:w="840" w:type="dxa"/>
            <w:vAlign w:val="center"/>
          </w:tcPr>
          <w:p>
            <w:pPr>
              <w:spacing w:line="560" w:lineRule="exact"/>
              <w:rPr>
                <w:rFonts w:hint="eastAsia" w:ascii="仿宋" w:hAnsi="仿宋" w:eastAsia="仿宋" w:cs="仿宋"/>
                <w:bCs/>
                <w:color w:val="000000"/>
                <w:sz w:val="24"/>
                <w:szCs w:val="24"/>
                <w:lang w:val="zh-CN"/>
              </w:rPr>
            </w:pPr>
          </w:p>
        </w:tc>
        <w:tc>
          <w:tcPr>
            <w:tcW w:w="99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930" w:type="dxa"/>
            <w:vAlign w:val="center"/>
          </w:tcPr>
          <w:p>
            <w:pPr>
              <w:spacing w:line="560" w:lineRule="exact"/>
              <w:rPr>
                <w:rFonts w:hint="eastAsia" w:ascii="仿宋" w:hAnsi="仿宋" w:eastAsia="仿宋" w:cs="仿宋"/>
                <w:bCs/>
                <w:color w:val="000000"/>
                <w:sz w:val="24"/>
                <w:szCs w:val="24"/>
                <w:lang w:val="zh-CN"/>
              </w:rPr>
            </w:pPr>
          </w:p>
        </w:tc>
        <w:tc>
          <w:tcPr>
            <w:tcW w:w="91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2537" w:type="dxa"/>
            <w:vAlign w:val="center"/>
          </w:tcPr>
          <w:p>
            <w:pPr>
              <w:spacing w:line="560" w:lineRule="exact"/>
              <w:rPr>
                <w:rFonts w:hint="eastAsia" w:ascii="仿宋" w:hAnsi="仿宋" w:eastAsia="仿宋" w:cs="仿宋"/>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pPr>
              <w:spacing w:line="560" w:lineRule="exact"/>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8</w:t>
            </w:r>
          </w:p>
        </w:tc>
        <w:tc>
          <w:tcPr>
            <w:tcW w:w="840" w:type="dxa"/>
            <w:vAlign w:val="center"/>
          </w:tcPr>
          <w:p>
            <w:pPr>
              <w:spacing w:line="560" w:lineRule="exact"/>
              <w:rPr>
                <w:rFonts w:hint="eastAsia" w:ascii="仿宋" w:hAnsi="仿宋" w:eastAsia="仿宋" w:cs="仿宋"/>
                <w:bCs/>
                <w:color w:val="000000"/>
                <w:sz w:val="24"/>
                <w:szCs w:val="24"/>
                <w:lang w:val="zh-CN"/>
              </w:rPr>
            </w:pPr>
          </w:p>
        </w:tc>
        <w:tc>
          <w:tcPr>
            <w:tcW w:w="99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930" w:type="dxa"/>
            <w:vAlign w:val="center"/>
          </w:tcPr>
          <w:p>
            <w:pPr>
              <w:spacing w:line="560" w:lineRule="exact"/>
              <w:rPr>
                <w:rFonts w:hint="eastAsia" w:ascii="仿宋" w:hAnsi="仿宋" w:eastAsia="仿宋" w:cs="仿宋"/>
                <w:bCs/>
                <w:color w:val="000000"/>
                <w:sz w:val="24"/>
                <w:szCs w:val="24"/>
                <w:lang w:val="zh-CN"/>
              </w:rPr>
            </w:pPr>
          </w:p>
        </w:tc>
        <w:tc>
          <w:tcPr>
            <w:tcW w:w="912" w:type="dxa"/>
            <w:vAlign w:val="center"/>
          </w:tcPr>
          <w:p>
            <w:pPr>
              <w:spacing w:line="560" w:lineRule="exact"/>
              <w:rPr>
                <w:rFonts w:hint="eastAsia" w:ascii="仿宋" w:hAnsi="仿宋" w:eastAsia="仿宋" w:cs="仿宋"/>
                <w:bCs/>
                <w:color w:val="000000"/>
                <w:sz w:val="24"/>
                <w:szCs w:val="24"/>
                <w:lang w:val="zh-CN"/>
              </w:rPr>
            </w:pPr>
          </w:p>
        </w:tc>
        <w:tc>
          <w:tcPr>
            <w:tcW w:w="1276" w:type="dxa"/>
            <w:vAlign w:val="center"/>
          </w:tcPr>
          <w:p>
            <w:pPr>
              <w:spacing w:line="560" w:lineRule="exact"/>
              <w:rPr>
                <w:rFonts w:hint="eastAsia" w:ascii="仿宋" w:hAnsi="仿宋" w:eastAsia="仿宋" w:cs="仿宋"/>
                <w:bCs/>
                <w:color w:val="000000"/>
                <w:sz w:val="24"/>
                <w:szCs w:val="24"/>
                <w:lang w:val="zh-CN"/>
              </w:rPr>
            </w:pPr>
          </w:p>
        </w:tc>
        <w:tc>
          <w:tcPr>
            <w:tcW w:w="2537" w:type="dxa"/>
            <w:vAlign w:val="center"/>
          </w:tcPr>
          <w:p>
            <w:pPr>
              <w:spacing w:line="560" w:lineRule="exact"/>
              <w:rPr>
                <w:rFonts w:hint="eastAsia" w:ascii="仿宋" w:hAnsi="仿宋" w:eastAsia="仿宋" w:cs="仿宋"/>
                <w:bCs/>
                <w:color w:val="000000"/>
                <w:sz w:val="24"/>
                <w:szCs w:val="24"/>
                <w:lang w:val="zh-CN"/>
              </w:rPr>
            </w:pPr>
          </w:p>
        </w:tc>
      </w:tr>
    </w:tbl>
    <w:p>
      <w:pPr>
        <w:spacing w:line="560" w:lineRule="exact"/>
        <w:ind w:firstLine="600" w:firstLineChars="200"/>
        <w:rPr>
          <w:rFonts w:hint="eastAsia" w:ascii="仿宋_GB2312" w:hAnsi="仿宋_GB2312" w:eastAsia="仿宋_GB2312" w:cs="仿宋_GB2312"/>
          <w:bCs/>
          <w:color w:val="000000"/>
          <w:sz w:val="30"/>
          <w:szCs w:val="30"/>
          <w:lang w:val="zh-CN"/>
        </w:rPr>
      </w:pPr>
      <w:bookmarkStart w:id="466" w:name="_Toc485048466"/>
      <w:bookmarkStart w:id="467" w:name="_Toc467502454"/>
      <w:bookmarkStart w:id="468" w:name="_Toc457229309"/>
      <w:bookmarkStart w:id="469" w:name="_Toc21732"/>
      <w:r>
        <w:rPr>
          <w:rFonts w:hint="eastAsia" w:ascii="仿宋_GB2312" w:hAnsi="仿宋_GB2312" w:eastAsia="仿宋_GB2312" w:cs="仿宋_GB2312"/>
          <w:bCs/>
          <w:color w:val="000000"/>
          <w:sz w:val="30"/>
          <w:szCs w:val="30"/>
          <w:lang w:val="zh-CN"/>
        </w:rPr>
        <w:t>注：要求在表格后附相关专业职称证书证明材料。未提供证明材料、或工作人员专业与本项目无关的不计入有效范围。</w:t>
      </w:r>
      <w:bookmarkEnd w:id="466"/>
      <w:bookmarkEnd w:id="467"/>
      <w:bookmarkEnd w:id="468"/>
      <w:bookmarkEnd w:id="469"/>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11"/>
        <w:rPr>
          <w:rFonts w:hAnsi="宋体"/>
        </w:rPr>
      </w:pPr>
    </w:p>
    <w:p>
      <w:pPr>
        <w:pStyle w:val="20"/>
        <w:spacing w:before="0" w:after="0" w:line="360" w:lineRule="auto"/>
        <w:jc w:val="left"/>
        <w:rPr>
          <w:rFonts w:hint="eastAsia" w:ascii="仿宋" w:hAnsi="仿宋" w:eastAsia="仿宋" w:cs="仿宋"/>
          <w:sz w:val="32"/>
          <w:szCs w:val="32"/>
        </w:rPr>
      </w:pPr>
      <w:bookmarkStart w:id="470" w:name="_Toc112245874"/>
      <w:r>
        <w:rPr>
          <w:rFonts w:hint="eastAsia" w:ascii="仿宋" w:hAnsi="仿宋" w:eastAsia="仿宋" w:cs="仿宋"/>
          <w:bCs w:val="0"/>
          <w:color w:val="000000"/>
          <w:sz w:val="32"/>
          <w:szCs w:val="32"/>
        </w:rPr>
        <w:t>附件13：声明函</w:t>
      </w:r>
      <w:bookmarkEnd w:id="470"/>
    </w:p>
    <w:bookmarkEnd w:id="461"/>
    <w:bookmarkEnd w:id="462"/>
    <w:bookmarkEnd w:id="463"/>
    <w:bookmarkEnd w:id="464"/>
    <w:bookmarkEnd w:id="465"/>
    <w:p>
      <w:pPr>
        <w:adjustRightInd w:val="0"/>
        <w:snapToGrid w:val="0"/>
        <w:spacing w:before="156" w:beforeLines="50" w:line="560" w:lineRule="exact"/>
        <w:jc w:val="center"/>
        <w:rPr>
          <w:rFonts w:hint="eastAsia" w:ascii="仿宋" w:hAnsi="仿宋" w:eastAsia="仿宋" w:cs="仿宋"/>
          <w:sz w:val="32"/>
          <w:szCs w:val="32"/>
        </w:rPr>
      </w:pPr>
      <w:bookmarkStart w:id="471" w:name="_Toc22784_WPSOffice_Level3"/>
      <w:bookmarkStart w:id="472" w:name="_Toc6454"/>
      <w:bookmarkStart w:id="473" w:name="_Toc31539"/>
      <w:r>
        <w:rPr>
          <w:rFonts w:hint="eastAsia" w:ascii="仿宋" w:hAnsi="仿宋" w:eastAsia="仿宋" w:cs="仿宋"/>
          <w:sz w:val="32"/>
          <w:szCs w:val="32"/>
        </w:rPr>
        <w:t>1.中小企业声明函</w:t>
      </w:r>
      <w:bookmarkEnd w:id="471"/>
      <w:bookmarkEnd w:id="472"/>
      <w:bookmarkEnd w:id="473"/>
    </w:p>
    <w:p>
      <w:pPr>
        <w:widowControl/>
        <w:adjustRightInd w:val="0"/>
        <w:snapToGrid w:val="0"/>
        <w:spacing w:line="560" w:lineRule="exact"/>
        <w:jc w:val="center"/>
        <w:rPr>
          <w:rFonts w:hint="eastAsia" w:ascii="仿宋" w:hAnsi="仿宋" w:eastAsia="仿宋" w:cs="仿宋"/>
          <w:b/>
          <w:spacing w:val="6"/>
          <w:kern w:val="0"/>
          <w:sz w:val="32"/>
          <w:szCs w:val="32"/>
        </w:rPr>
      </w:pPr>
      <w:bookmarkStart w:id="474" w:name="_Toc1901_WPSOffice_Level3"/>
      <w:bookmarkStart w:id="475" w:name="_Toc3019_WPSOffice_Level3"/>
      <w:r>
        <w:rPr>
          <w:rFonts w:hint="eastAsia" w:ascii="仿宋" w:hAnsi="仿宋" w:eastAsia="仿宋" w:cs="仿宋"/>
          <w:b/>
          <w:spacing w:val="6"/>
          <w:kern w:val="0"/>
          <w:sz w:val="32"/>
          <w:szCs w:val="32"/>
        </w:rPr>
        <w:t>(不满足以下条件的无需填写)</w:t>
      </w:r>
      <w:bookmarkEnd w:id="474"/>
      <w:bookmarkEnd w:id="475"/>
    </w:p>
    <w:p>
      <w:pPr>
        <w:autoSpaceDE w:val="0"/>
        <w:autoSpaceDN w:val="0"/>
        <w:spacing w:line="560" w:lineRule="exact"/>
        <w:rPr>
          <w:rFonts w:ascii="仿宋_GB2312" w:hAnsi="仿宋_GB2312" w:eastAsia="仿宋_GB2312" w:cs="仿宋_GB2312"/>
          <w:spacing w:val="6"/>
          <w:kern w:val="0"/>
          <w:sz w:val="32"/>
          <w:szCs w:val="32"/>
        </w:rPr>
      </w:pPr>
      <w:bookmarkStart w:id="476" w:name="_Toc17607_WPSOffice_Level2"/>
      <w:bookmarkStart w:id="477" w:name="_Toc16462_WPSOffice_Level2"/>
      <w:bookmarkStart w:id="478" w:name="_Toc22185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采购人或者采购代理机构）</w:t>
      </w:r>
      <w:bookmarkEnd w:id="476"/>
      <w:bookmarkEnd w:id="477"/>
      <w:bookmarkEnd w:id="478"/>
    </w:p>
    <w:p>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本公司（联合体）郑重声明，根据《政府采购促进中小企业发展暂行办法》的规定，本公司（联合体）参加</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rPr>
        <w:t>单位的</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rPr>
        <w:t xml:space="preserve"> 项目采购活动，提供的货物均由符合政策要求的中小企业制造，相关企业（含联合体中的中小企业、签订分包意向协议的中小企业）具体情况如下：</w:t>
      </w:r>
    </w:p>
    <w:p>
      <w:pPr>
        <w:widowControl/>
        <w:numPr>
          <w:ilvl w:val="0"/>
          <w:numId w:val="6"/>
        </w:numPr>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u w:val="single"/>
        </w:rPr>
        <w:t>（标的名称）</w:t>
      </w:r>
      <w:r>
        <w:rPr>
          <w:rFonts w:hint="eastAsia" w:ascii="仿宋_GB2312" w:hAnsi="仿宋_GB2312" w:eastAsia="仿宋_GB2312" w:cs="仿宋_GB2312"/>
          <w:spacing w:val="6"/>
          <w:kern w:val="0"/>
          <w:sz w:val="32"/>
          <w:szCs w:val="32"/>
        </w:rPr>
        <w:t>，属于</w:t>
      </w:r>
      <w:r>
        <w:rPr>
          <w:rFonts w:hint="eastAsia" w:ascii="仿宋_GB2312" w:hAnsi="仿宋_GB2312" w:eastAsia="仿宋_GB2312" w:cs="仿宋_GB2312"/>
          <w:spacing w:val="6"/>
          <w:kern w:val="0"/>
          <w:sz w:val="32"/>
          <w:szCs w:val="32"/>
          <w:u w:val="single"/>
        </w:rPr>
        <w:t xml:space="preserve"> （采购文件中明确的所属行业）</w:t>
      </w:r>
      <w:r>
        <w:rPr>
          <w:rFonts w:hint="eastAsia" w:ascii="仿宋_GB2312" w:hAnsi="仿宋_GB2312" w:eastAsia="仿宋_GB2312" w:cs="仿宋_GB2312"/>
          <w:spacing w:val="6"/>
          <w:kern w:val="0"/>
          <w:sz w:val="32"/>
          <w:szCs w:val="32"/>
        </w:rPr>
        <w:t>，制造商为</w:t>
      </w:r>
      <w:r>
        <w:rPr>
          <w:rFonts w:hint="eastAsia" w:ascii="仿宋_GB2312" w:hAnsi="仿宋_GB2312" w:eastAsia="仿宋_GB2312" w:cs="仿宋_GB2312"/>
          <w:spacing w:val="6"/>
          <w:kern w:val="0"/>
          <w:sz w:val="32"/>
          <w:szCs w:val="32"/>
          <w:u w:val="single"/>
        </w:rPr>
        <w:t xml:space="preserve"> （企业名称）</w:t>
      </w:r>
      <w:r>
        <w:rPr>
          <w:rFonts w:hint="eastAsia" w:ascii="仿宋_GB2312" w:hAnsi="仿宋_GB2312" w:eastAsia="仿宋_GB2312" w:cs="仿宋_GB2312"/>
          <w:spacing w:val="6"/>
          <w:kern w:val="0"/>
          <w:sz w:val="32"/>
          <w:szCs w:val="32"/>
        </w:rPr>
        <w:t>，属于</w:t>
      </w:r>
      <w:r>
        <w:rPr>
          <w:rFonts w:hint="eastAsia" w:ascii="仿宋_GB2312" w:hAnsi="仿宋_GB2312" w:eastAsia="仿宋_GB2312" w:cs="仿宋_GB2312"/>
          <w:spacing w:val="6"/>
          <w:kern w:val="0"/>
          <w:sz w:val="32"/>
          <w:szCs w:val="32"/>
          <w:u w:val="single"/>
        </w:rPr>
        <w:t xml:space="preserve"> （社会组织、中型企业、小型企业、微型企业、监狱企业或残疾人福利性单位）</w:t>
      </w:r>
      <w:r>
        <w:rPr>
          <w:rFonts w:hint="eastAsia" w:ascii="仿宋_GB2312" w:hAnsi="仿宋_GB2312" w:eastAsia="仿宋_GB2312" w:cs="仿宋_GB2312"/>
          <w:spacing w:val="6"/>
          <w:kern w:val="0"/>
          <w:sz w:val="32"/>
          <w:szCs w:val="32"/>
        </w:rPr>
        <w:t>。</w:t>
      </w:r>
    </w:p>
    <w:p>
      <w:pPr>
        <w:widowControl/>
        <w:adjustRightInd w:val="0"/>
        <w:snapToGrid w:val="0"/>
        <w:spacing w:line="560" w:lineRule="exact"/>
        <w:ind w:firstLine="664"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rPr>
        <w:t>2.</w:t>
      </w:r>
      <w:r>
        <w:rPr>
          <w:rFonts w:hint="eastAsia" w:ascii="仿宋_GB2312" w:hAnsi="仿宋_GB2312" w:eastAsia="仿宋_GB2312" w:cs="仿宋_GB2312"/>
          <w:spacing w:val="6"/>
          <w:kern w:val="0"/>
          <w:sz w:val="32"/>
          <w:szCs w:val="32"/>
          <w:u w:val="single"/>
        </w:rPr>
        <w:t xml:space="preserve"> （标的名称）</w:t>
      </w:r>
      <w:r>
        <w:rPr>
          <w:rFonts w:hint="eastAsia" w:ascii="仿宋_GB2312" w:hAnsi="仿宋_GB2312" w:eastAsia="仿宋_GB2312" w:cs="仿宋_GB2312"/>
          <w:spacing w:val="6"/>
          <w:kern w:val="0"/>
          <w:sz w:val="32"/>
          <w:szCs w:val="32"/>
        </w:rPr>
        <w:t>，属于</w:t>
      </w:r>
      <w:r>
        <w:rPr>
          <w:rFonts w:hint="eastAsia" w:ascii="仿宋_GB2312" w:hAnsi="仿宋_GB2312" w:eastAsia="仿宋_GB2312" w:cs="仿宋_GB2312"/>
          <w:spacing w:val="6"/>
          <w:kern w:val="0"/>
          <w:sz w:val="32"/>
          <w:szCs w:val="32"/>
          <w:u w:val="single"/>
        </w:rPr>
        <w:t xml:space="preserve"> （采购文件中明确的所属行业）</w:t>
      </w:r>
      <w:r>
        <w:rPr>
          <w:rFonts w:hint="eastAsia" w:ascii="仿宋_GB2312" w:hAnsi="仿宋_GB2312" w:eastAsia="仿宋_GB2312" w:cs="仿宋_GB2312"/>
          <w:spacing w:val="6"/>
          <w:kern w:val="0"/>
          <w:sz w:val="32"/>
          <w:szCs w:val="32"/>
        </w:rPr>
        <w:t>，制造商为</w:t>
      </w:r>
      <w:r>
        <w:rPr>
          <w:rFonts w:hint="eastAsia" w:ascii="仿宋_GB2312" w:hAnsi="仿宋_GB2312" w:eastAsia="仿宋_GB2312" w:cs="仿宋_GB2312"/>
          <w:spacing w:val="6"/>
          <w:kern w:val="0"/>
          <w:sz w:val="32"/>
          <w:szCs w:val="32"/>
          <w:u w:val="single"/>
        </w:rPr>
        <w:t xml:space="preserve"> （企业名称）</w:t>
      </w:r>
      <w:r>
        <w:rPr>
          <w:rFonts w:hint="eastAsia" w:ascii="仿宋_GB2312" w:hAnsi="仿宋_GB2312" w:eastAsia="仿宋_GB2312" w:cs="仿宋_GB2312"/>
          <w:spacing w:val="6"/>
          <w:kern w:val="0"/>
          <w:sz w:val="32"/>
          <w:szCs w:val="32"/>
        </w:rPr>
        <w:t>，属于</w:t>
      </w:r>
      <w:r>
        <w:rPr>
          <w:rFonts w:hint="eastAsia" w:ascii="仿宋_GB2312" w:hAnsi="仿宋_GB2312" w:eastAsia="仿宋_GB2312" w:cs="仿宋_GB2312"/>
          <w:spacing w:val="6"/>
          <w:kern w:val="0"/>
          <w:sz w:val="32"/>
          <w:szCs w:val="32"/>
          <w:u w:val="single"/>
        </w:rPr>
        <w:t xml:space="preserve"> （社会组织、中型企业、小型企业、微型企业、监狱企业或残疾人福利性单位）</w:t>
      </w:r>
      <w:r>
        <w:rPr>
          <w:rFonts w:hint="eastAsia" w:ascii="仿宋_GB2312" w:hAnsi="仿宋_GB2312" w:eastAsia="仿宋_GB2312" w:cs="仿宋_GB2312"/>
          <w:spacing w:val="6"/>
          <w:kern w:val="0"/>
          <w:sz w:val="32"/>
          <w:szCs w:val="32"/>
        </w:rPr>
        <w:t>。</w:t>
      </w:r>
    </w:p>
    <w:p>
      <w:pPr>
        <w:widowControl/>
        <w:adjustRightInd w:val="0"/>
        <w:snapToGrid w:val="0"/>
        <w:spacing w:line="560" w:lineRule="exact"/>
        <w:jc w:val="left"/>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 xml:space="preserve">    ……</w:t>
      </w:r>
    </w:p>
    <w:p>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本公司对上述声明的真实性负责。如有虚假，将依法承担相应责任。</w:t>
      </w:r>
    </w:p>
    <w:p>
      <w:pPr>
        <w:spacing w:before="156" w:beforeLines="50" w:line="560" w:lineRule="exact"/>
        <w:ind w:firstLine="482" w:firstLineChars="200"/>
        <w:jc w:val="center"/>
        <w:rPr>
          <w:rFonts w:ascii="仿宋_GB2312" w:hAnsi="仿宋_GB2312" w:eastAsia="仿宋_GB2312" w:cs="仿宋_GB2312"/>
          <w:bCs/>
          <w:color w:val="000000"/>
          <w:sz w:val="32"/>
          <w:szCs w:val="32"/>
        </w:rPr>
      </w:pPr>
      <w:r>
        <w:rPr>
          <w:rFonts w:hint="eastAsia" w:ascii="宋体" w:hAnsi="宋体"/>
          <w:b/>
          <w:color w:val="000000"/>
          <w:sz w:val="24"/>
        </w:rPr>
        <w:t xml:space="preserve">                       </w:t>
      </w:r>
      <w:bookmarkStart w:id="479" w:name="_Toc21636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479"/>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80" w:name="_Toc19511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80"/>
    </w:p>
    <w:p>
      <w:pPr>
        <w:spacing w:before="156" w:beforeLines="50" w:line="560" w:lineRule="exact"/>
        <w:ind w:firstLine="640" w:firstLineChars="200"/>
        <w:jc w:val="center"/>
        <w:rPr>
          <w:rFonts w:ascii="宋体"/>
          <w:b/>
          <w:color w:val="000000"/>
          <w:sz w:val="28"/>
          <w:szCs w:val="28"/>
        </w:rPr>
      </w:pPr>
      <w:r>
        <w:rPr>
          <w:rFonts w:hint="eastAsia" w:ascii="仿宋_GB2312" w:hAnsi="仿宋_GB2312" w:eastAsia="仿宋_GB2312" w:cs="仿宋_GB2312"/>
          <w:bCs/>
          <w:color w:val="000000"/>
          <w:sz w:val="32"/>
          <w:szCs w:val="32"/>
        </w:rPr>
        <w:t xml:space="preserve">                                    </w:t>
      </w:r>
      <w:bookmarkStart w:id="481" w:name="_Toc20470_WPSOffice_Level3"/>
      <w:r>
        <w:rPr>
          <w:rFonts w:hint="eastAsia" w:ascii="仿宋_GB2312" w:hAnsi="仿宋_GB2312" w:eastAsia="仿宋_GB2312" w:cs="仿宋_GB2312"/>
          <w:bCs/>
          <w:color w:val="000000"/>
          <w:sz w:val="32"/>
          <w:szCs w:val="32"/>
        </w:rPr>
        <w:t>年   月  日</w:t>
      </w:r>
      <w:bookmarkEnd w:id="481"/>
    </w:p>
    <w:p>
      <w:pPr>
        <w:widowControl/>
        <w:adjustRightInd w:val="0"/>
        <w:snapToGrid w:val="0"/>
        <w:spacing w:line="560" w:lineRule="exact"/>
        <w:ind w:firstLine="664" w:firstLineChars="200"/>
        <w:jc w:val="left"/>
        <w:rPr>
          <w:rFonts w:hint="eastAsia" w:ascii="仿宋_GB2312" w:hAnsi="仿宋_GB2312" w:eastAsia="仿宋_GB2312" w:cs="仿宋_GB2312"/>
          <w:spacing w:val="6"/>
          <w:kern w:val="0"/>
          <w:sz w:val="32"/>
          <w:szCs w:val="32"/>
        </w:rPr>
      </w:pPr>
    </w:p>
    <w:p>
      <w:pPr>
        <w:widowControl/>
        <w:adjustRightInd w:val="0"/>
        <w:snapToGrid w:val="0"/>
        <w:spacing w:line="560" w:lineRule="exact"/>
        <w:ind w:firstLine="664" w:firstLineChars="200"/>
        <w:jc w:val="lef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注：如无此页，可不提供此函。</w:t>
      </w:r>
    </w:p>
    <w:p>
      <w:pPr>
        <w:adjustRightInd w:val="0"/>
        <w:snapToGrid w:val="0"/>
        <w:spacing w:before="156" w:beforeLines="50" w:line="560" w:lineRule="exact"/>
        <w:jc w:val="center"/>
        <w:rPr>
          <w:rFonts w:hint="eastAsia" w:ascii="仿宋" w:hAnsi="仿宋" w:eastAsia="仿宋" w:cs="仿宋"/>
          <w:sz w:val="32"/>
          <w:szCs w:val="32"/>
        </w:rPr>
      </w:pPr>
      <w:bookmarkStart w:id="482" w:name="_Toc11740"/>
      <w:bookmarkStart w:id="483" w:name="_Toc14211_WPSOffice_Level3"/>
      <w:bookmarkStart w:id="484" w:name="_Toc12160"/>
      <w:r>
        <w:rPr>
          <w:rFonts w:hint="eastAsia" w:ascii="仿宋" w:hAnsi="仿宋" w:eastAsia="仿宋" w:cs="仿宋"/>
          <w:sz w:val="32"/>
          <w:szCs w:val="32"/>
        </w:rPr>
        <w:t>2.残疾人福利性单位声明函</w:t>
      </w:r>
      <w:bookmarkEnd w:id="482"/>
      <w:bookmarkEnd w:id="483"/>
      <w:bookmarkEnd w:id="484"/>
    </w:p>
    <w:p>
      <w:pPr>
        <w:adjustRightInd w:val="0"/>
        <w:snapToGrid w:val="0"/>
        <w:spacing w:line="560" w:lineRule="exact"/>
        <w:jc w:val="center"/>
        <w:rPr>
          <w:rFonts w:hint="eastAsia" w:ascii="仿宋" w:hAnsi="仿宋" w:eastAsia="仿宋" w:cs="仿宋"/>
          <w:spacing w:val="6"/>
          <w:sz w:val="32"/>
          <w:szCs w:val="32"/>
        </w:rPr>
      </w:pPr>
      <w:bookmarkStart w:id="485" w:name="_Toc12079_WPSOffice_Level3"/>
      <w:bookmarkStart w:id="486" w:name="_Toc17469_WPSOffice_Level3"/>
      <w:r>
        <w:rPr>
          <w:rFonts w:hint="eastAsia" w:ascii="仿宋" w:hAnsi="仿宋" w:eastAsia="仿宋" w:cs="仿宋"/>
          <w:b/>
          <w:spacing w:val="6"/>
          <w:sz w:val="32"/>
          <w:szCs w:val="32"/>
        </w:rPr>
        <w:t>(不属于残疾人福利性单位的无需填写)</w:t>
      </w:r>
      <w:bookmarkEnd w:id="485"/>
      <w:bookmarkEnd w:id="486"/>
    </w:p>
    <w:p>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本单位郑重声明，根据《财政部、民政部、中国残疾人联合会关于促进残疾人就业政府采购政策的通知》（财库〔2017〕141号）的规定，本单位为符合条件的残疾人福利性单位，本单位在职职工人数为   人，安置的残疾人人数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人。且本单位参加</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单位的</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项目采购活动提供本单位制造的货物（由本单位承担工程/提供服务），或者提供其他残疾人福利性单位制造的货物（不包括使用非残疾人福</w:t>
      </w:r>
    </w:p>
    <w:p>
      <w:pPr>
        <w:spacing w:before="156" w:beforeLines="50" w:line="560" w:lineRule="exact"/>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利性单位注册商标的货物）。</w:t>
      </w:r>
    </w:p>
    <w:p>
      <w:pPr>
        <w:spacing w:before="156" w:beforeLines="50" w:line="560" w:lineRule="exact"/>
        <w:ind w:firstLine="320" w:firstLineChars="1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本单位对上述声明的真实性负责。如有虚假，将依法承担相应责任。</w:t>
      </w:r>
    </w:p>
    <w:p>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p>
    <w:p>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87" w:name="_Toc17628_WPSOffice_Level3"/>
    </w:p>
    <w:p>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p>
    <w:p>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p>
    <w:p>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487"/>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88" w:name="_Toc32124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88"/>
    </w:p>
    <w:p>
      <w:pPr>
        <w:spacing w:before="156" w:beforeLines="50" w:line="560" w:lineRule="exact"/>
        <w:ind w:firstLine="640" w:firstLineChars="200"/>
        <w:jc w:val="center"/>
        <w:rPr>
          <w:rFonts w:ascii="宋体" w:hAnsi="宋体"/>
          <w:spacing w:val="6"/>
        </w:rPr>
      </w:pPr>
      <w:r>
        <w:rPr>
          <w:rFonts w:hint="eastAsia" w:ascii="仿宋_GB2312" w:hAnsi="仿宋_GB2312" w:eastAsia="仿宋_GB2312" w:cs="仿宋_GB2312"/>
          <w:bCs/>
          <w:color w:val="000000"/>
          <w:sz w:val="32"/>
          <w:szCs w:val="32"/>
        </w:rPr>
        <w:t xml:space="preserve">                                    </w:t>
      </w:r>
      <w:bookmarkStart w:id="489" w:name="_Toc1871_WPSOffice_Level3"/>
      <w:r>
        <w:rPr>
          <w:rFonts w:hint="eastAsia" w:ascii="仿宋_GB2312" w:hAnsi="仿宋_GB2312" w:eastAsia="仿宋_GB2312" w:cs="仿宋_GB2312"/>
          <w:bCs/>
          <w:color w:val="000000"/>
          <w:sz w:val="32"/>
          <w:szCs w:val="32"/>
        </w:rPr>
        <w:t>年   月  日</w:t>
      </w:r>
      <w:bookmarkEnd w:id="489"/>
    </w:p>
    <w:p>
      <w:pPr>
        <w:adjustRightInd w:val="0"/>
        <w:snapToGrid w:val="0"/>
        <w:spacing w:line="560" w:lineRule="exact"/>
        <w:ind w:firstLine="664" w:firstLineChars="200"/>
        <w:rPr>
          <w:rFonts w:ascii="仿宋_GB2312" w:hAnsi="仿宋_GB2312" w:eastAsia="仿宋_GB2312" w:cs="仿宋_GB2312"/>
          <w:spacing w:val="6"/>
          <w:sz w:val="32"/>
          <w:szCs w:val="32"/>
        </w:rPr>
      </w:pPr>
    </w:p>
    <w:p>
      <w:pPr>
        <w:adjustRightInd w:val="0"/>
        <w:snapToGrid w:val="0"/>
        <w:spacing w:line="560" w:lineRule="exact"/>
        <w:ind w:firstLine="664" w:firstLineChars="200"/>
        <w:rPr>
          <w:rFonts w:ascii="仿宋_GB2312" w:hAnsi="仿宋_GB2312" w:eastAsia="仿宋_GB2312" w:cs="仿宋_GB2312"/>
          <w:spacing w:val="6"/>
          <w:sz w:val="32"/>
          <w:szCs w:val="32"/>
        </w:rPr>
      </w:pPr>
    </w:p>
    <w:p>
      <w:pPr>
        <w:widowControl/>
        <w:adjustRightInd w:val="0"/>
        <w:snapToGrid w:val="0"/>
        <w:spacing w:line="560" w:lineRule="exact"/>
        <w:jc w:val="lef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注：如无此页，可不提供此函。</w:t>
      </w:r>
    </w:p>
    <w:p>
      <w:pPr>
        <w:pStyle w:val="20"/>
        <w:spacing w:before="0" w:after="0" w:line="360" w:lineRule="auto"/>
        <w:jc w:val="left"/>
        <w:rPr>
          <w:rFonts w:hint="eastAsia" w:ascii="仿宋" w:hAnsi="仿宋" w:eastAsia="仿宋" w:cs="仿宋"/>
          <w:bCs w:val="0"/>
          <w:color w:val="000000"/>
          <w:sz w:val="32"/>
          <w:szCs w:val="32"/>
          <w:lang w:val="en-US" w:eastAsia="zh-CN"/>
        </w:rPr>
      </w:pPr>
      <w:bookmarkStart w:id="490" w:name="_Toc112245875"/>
      <w:bookmarkStart w:id="491" w:name="_Toc3236"/>
      <w:bookmarkStart w:id="492" w:name="_Toc29787"/>
      <w:bookmarkStart w:id="493" w:name="_Toc496004047"/>
      <w:bookmarkStart w:id="494" w:name="_Toc27546"/>
      <w:bookmarkStart w:id="495" w:name="_Toc496626253"/>
      <w:bookmarkStart w:id="496" w:name="_Toc416363470"/>
      <w:bookmarkStart w:id="497" w:name="_Toc21346"/>
      <w:bookmarkStart w:id="498" w:name="_Toc12068_WPSOffice_Level3"/>
      <w:bookmarkStart w:id="499" w:name="_Toc23033_WPSOffice_Level3"/>
      <w:r>
        <w:rPr>
          <w:rFonts w:hint="eastAsia" w:ascii="仿宋" w:hAnsi="仿宋" w:eastAsia="仿宋" w:cs="仿宋"/>
          <w:bCs w:val="0"/>
          <w:color w:val="000000"/>
          <w:sz w:val="32"/>
          <w:szCs w:val="32"/>
          <w:lang w:val="en-US" w:eastAsia="zh-CN"/>
        </w:rPr>
        <w:t>附件14：供应商认为在其他方面有必要说明的事项</w:t>
      </w:r>
      <w:bookmarkEnd w:id="490"/>
      <w:bookmarkEnd w:id="491"/>
      <w:bookmarkEnd w:id="492"/>
      <w:bookmarkEnd w:id="493"/>
      <w:bookmarkEnd w:id="494"/>
      <w:bookmarkEnd w:id="495"/>
    </w:p>
    <w:p>
      <w:pPr>
        <w:ind w:firstLine="723"/>
        <w:jc w:val="center"/>
        <w:rPr>
          <w:rFonts w:ascii="仿宋" w:hAnsi="仿宋" w:eastAsia="仿宋" w:cs="仿宋"/>
          <w:b/>
          <w:sz w:val="36"/>
          <w:szCs w:val="36"/>
        </w:rPr>
      </w:pPr>
    </w:p>
    <w:p>
      <w:pPr>
        <w:adjustRightInd w:val="0"/>
        <w:snapToGrid w:val="0"/>
        <w:spacing w:line="560" w:lineRule="exact"/>
        <w:jc w:val="center"/>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供应商认为在其他方面有必要说明的事项</w:t>
      </w:r>
    </w:p>
    <w:p>
      <w:pPr>
        <w:adjustRightInd w:val="0"/>
        <w:snapToGrid w:val="0"/>
        <w:spacing w:line="560" w:lineRule="exact"/>
        <w:jc w:val="center"/>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（格式自定）</w:t>
      </w:r>
    </w:p>
    <w:p/>
    <w:p/>
    <w:p/>
    <w:p/>
    <w:p/>
    <w:p/>
    <w:p/>
    <w:p/>
    <w:p/>
    <w:p/>
    <w:p/>
    <w:p/>
    <w:p/>
    <w:p/>
    <w:p/>
    <w:p/>
    <w:p/>
    <w:p/>
    <w:p/>
    <w:p/>
    <w:p/>
    <w:p/>
    <w:p/>
    <w:p/>
    <w:p/>
    <w:p/>
    <w:p/>
    <w:p/>
    <w:p/>
    <w:p/>
    <w:p/>
    <w:p/>
    <w:p/>
    <w:p/>
    <w:p/>
    <w:p/>
    <w:bookmarkEnd w:id="496"/>
    <w:p>
      <w:pPr>
        <w:widowControl/>
        <w:snapToGrid w:val="0"/>
        <w:spacing w:before="156" w:beforeLines="50" w:line="560" w:lineRule="exact"/>
        <w:outlineLvl w:val="1"/>
        <w:rPr>
          <w:rFonts w:hint="eastAsia" w:ascii="仿宋" w:hAnsi="仿宋" w:eastAsia="仿宋" w:cs="仿宋"/>
          <w:b/>
          <w:color w:val="000000"/>
          <w:sz w:val="32"/>
          <w:szCs w:val="32"/>
        </w:rPr>
      </w:pPr>
      <w:bookmarkStart w:id="500" w:name="_Toc112245876"/>
      <w:r>
        <w:rPr>
          <w:rFonts w:hint="eastAsia" w:ascii="仿宋" w:hAnsi="仿宋" w:eastAsia="仿宋" w:cs="仿宋"/>
          <w:b/>
          <w:color w:val="000000"/>
          <w:sz w:val="32"/>
          <w:szCs w:val="32"/>
        </w:rPr>
        <w:t>附件15：最后报价表</w:t>
      </w:r>
      <w:bookmarkEnd w:id="497"/>
      <w:bookmarkEnd w:id="498"/>
      <w:bookmarkEnd w:id="499"/>
      <w:bookmarkEnd w:id="500"/>
    </w:p>
    <w:p>
      <w:pPr>
        <w:autoSpaceDE w:val="0"/>
        <w:autoSpaceDN w:val="0"/>
        <w:adjustRightInd w:val="0"/>
        <w:spacing w:line="560" w:lineRule="exact"/>
        <w:ind w:left="283" w:leftChars="135"/>
        <w:jc w:val="center"/>
        <w:rPr>
          <w:rFonts w:hint="eastAsia" w:ascii="仿宋" w:hAnsi="仿宋" w:eastAsia="仿宋" w:cs="仿宋"/>
          <w:b/>
          <w:sz w:val="32"/>
          <w:szCs w:val="32"/>
          <w:lang w:val="zh-CN"/>
        </w:rPr>
      </w:pPr>
      <w:bookmarkStart w:id="501" w:name="_Toc27800_WPSOffice_Level2"/>
      <w:bookmarkStart w:id="502" w:name="_Toc27699_WPSOffice_Level2"/>
      <w:r>
        <w:rPr>
          <w:rFonts w:hint="eastAsia" w:ascii="仿宋" w:hAnsi="仿宋" w:eastAsia="仿宋" w:cs="仿宋"/>
          <w:b/>
          <w:sz w:val="32"/>
          <w:szCs w:val="32"/>
        </w:rPr>
        <w:t>1.</w:t>
      </w:r>
      <w:bookmarkEnd w:id="501"/>
      <w:bookmarkEnd w:id="502"/>
      <w:r>
        <w:rPr>
          <w:rFonts w:hint="eastAsia" w:ascii="仿宋" w:hAnsi="仿宋" w:eastAsia="仿宋" w:cs="仿宋"/>
          <w:b/>
          <w:color w:val="000000"/>
          <w:sz w:val="32"/>
          <w:szCs w:val="32"/>
        </w:rPr>
        <w:t>最后报价表</w:t>
      </w:r>
    </w:p>
    <w:p>
      <w:pPr>
        <w:spacing w:line="560" w:lineRule="exact"/>
        <w:ind w:left="283" w:leftChars="135"/>
        <w:rPr>
          <w:rFonts w:hint="eastAsia" w:ascii="仿宋" w:hAnsi="仿宋" w:eastAsia="仿宋" w:cs="仿宋"/>
          <w:b/>
          <w:sz w:val="32"/>
          <w:szCs w:val="32"/>
        </w:rPr>
      </w:pPr>
      <w:bookmarkStart w:id="503" w:name="_Toc31451_WPSOffice_Level2"/>
      <w:bookmarkStart w:id="504" w:name="_Toc26632_WPSOffice_Level2"/>
      <w:r>
        <w:rPr>
          <w:rFonts w:hint="eastAsia" w:ascii="仿宋" w:hAnsi="仿宋" w:eastAsia="仿宋" w:cs="仿宋"/>
          <w:b/>
          <w:sz w:val="32"/>
          <w:szCs w:val="32"/>
        </w:rPr>
        <w:t>项目名称：</w:t>
      </w:r>
      <w:bookmarkEnd w:id="503"/>
      <w:bookmarkEnd w:id="504"/>
      <w:r>
        <w:rPr>
          <w:rFonts w:hint="eastAsia" w:ascii="仿宋" w:hAnsi="仿宋" w:eastAsia="仿宋" w:cs="仿宋"/>
          <w:b/>
          <w:sz w:val="32"/>
          <w:szCs w:val="32"/>
        </w:rPr>
        <w:t xml:space="preserve">                                           </w:t>
      </w:r>
    </w:p>
    <w:p>
      <w:pPr>
        <w:spacing w:before="156" w:beforeLines="50" w:line="560" w:lineRule="exact"/>
        <w:ind w:firstLine="321" w:firstLineChars="100"/>
        <w:rPr>
          <w:rFonts w:ascii="仿宋_GB2312" w:hAnsi="仿宋_GB2312" w:eastAsia="仿宋_GB2312" w:cs="仿宋_GB2312"/>
          <w:bCs/>
          <w:color w:val="000000"/>
          <w:sz w:val="32"/>
          <w:szCs w:val="32"/>
        </w:rPr>
      </w:pPr>
      <w:bookmarkStart w:id="505" w:name="_Toc16830_WPSOffice_Level2"/>
      <w:bookmarkStart w:id="506" w:name="_Toc18301_WPSOffice_Level2"/>
      <w:r>
        <w:rPr>
          <w:rFonts w:hint="eastAsia" w:ascii="仿宋" w:hAnsi="仿宋" w:eastAsia="仿宋" w:cs="仿宋"/>
          <w:b/>
          <w:sz w:val="32"/>
          <w:szCs w:val="32"/>
        </w:rPr>
        <w:t>项目编号：</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505"/>
      <w:bookmarkEnd w:id="506"/>
    </w:p>
    <w:p/>
    <w:tbl>
      <w:tblPr>
        <w:tblStyle w:val="22"/>
        <w:tblpPr w:leftFromText="180" w:rightFromText="180" w:vertAnchor="text" w:horzAnchor="page" w:tblpX="1585" w:tblpY="1319"/>
        <w:tblOverlap w:val="never"/>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2"/>
        <w:gridCol w:w="2113"/>
        <w:gridCol w:w="156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20" w:type="dxa"/>
            <w:vAlign w:val="center"/>
          </w:tcPr>
          <w:p>
            <w:p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tc>
        <w:tc>
          <w:tcPr>
            <w:tcW w:w="2342" w:type="dxa"/>
            <w:vAlign w:val="center"/>
          </w:tcPr>
          <w:p>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最初报价</w:t>
            </w:r>
          </w:p>
        </w:tc>
        <w:tc>
          <w:tcPr>
            <w:tcW w:w="2113" w:type="dxa"/>
            <w:vAlign w:val="center"/>
          </w:tcPr>
          <w:p>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最后报价</w:t>
            </w:r>
          </w:p>
        </w:tc>
        <w:tc>
          <w:tcPr>
            <w:tcW w:w="1561" w:type="dxa"/>
            <w:vAlign w:val="center"/>
          </w:tcPr>
          <w:p>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服务期</w:t>
            </w:r>
          </w:p>
        </w:tc>
        <w:tc>
          <w:tcPr>
            <w:tcW w:w="1561" w:type="dxa"/>
            <w:vAlign w:val="center"/>
          </w:tcPr>
          <w:p>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20" w:type="dxa"/>
            <w:vMerge w:val="restart"/>
            <w:tcBorders>
              <w:left w:val="single" w:color="auto" w:sz="4" w:space="0"/>
            </w:tcBorders>
            <w:vAlign w:val="center"/>
          </w:tcPr>
          <w:p>
            <w:pPr>
              <w:spacing w:line="560" w:lineRule="exact"/>
              <w:ind w:left="283" w:leftChars="135"/>
              <w:jc w:val="center"/>
              <w:rPr>
                <w:rFonts w:ascii="仿宋_GB2312" w:hAnsi="仿宋_GB2312" w:eastAsia="仿宋_GB2312" w:cs="仿宋_GB2312"/>
                <w:b/>
                <w:sz w:val="32"/>
                <w:szCs w:val="32"/>
              </w:rPr>
            </w:pPr>
          </w:p>
        </w:tc>
        <w:tc>
          <w:tcPr>
            <w:tcW w:w="2342" w:type="dxa"/>
          </w:tcPr>
          <w:p>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大写：</w:t>
            </w:r>
          </w:p>
        </w:tc>
        <w:tc>
          <w:tcPr>
            <w:tcW w:w="2113" w:type="dxa"/>
          </w:tcPr>
          <w:p>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大写：</w:t>
            </w:r>
          </w:p>
        </w:tc>
        <w:tc>
          <w:tcPr>
            <w:tcW w:w="1561" w:type="dxa"/>
            <w:vMerge w:val="restart"/>
            <w:vAlign w:val="center"/>
          </w:tcPr>
          <w:p>
            <w:pPr>
              <w:spacing w:line="560" w:lineRule="exact"/>
              <w:ind w:left="283" w:leftChars="135"/>
              <w:jc w:val="center"/>
              <w:rPr>
                <w:rFonts w:ascii="仿宋_GB2312" w:hAnsi="仿宋_GB2312" w:eastAsia="仿宋_GB2312" w:cs="仿宋_GB2312"/>
                <w:b/>
                <w:sz w:val="32"/>
                <w:szCs w:val="32"/>
              </w:rPr>
            </w:pPr>
          </w:p>
        </w:tc>
        <w:tc>
          <w:tcPr>
            <w:tcW w:w="1561" w:type="dxa"/>
            <w:vMerge w:val="restart"/>
            <w:vAlign w:val="center"/>
          </w:tcPr>
          <w:p>
            <w:pPr>
              <w:spacing w:line="560" w:lineRule="exact"/>
              <w:ind w:left="283" w:leftChars="135"/>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20" w:type="dxa"/>
            <w:vMerge w:val="continue"/>
            <w:tcBorders>
              <w:left w:val="single" w:color="auto" w:sz="4" w:space="0"/>
              <w:right w:val="nil"/>
            </w:tcBorders>
            <w:vAlign w:val="center"/>
          </w:tcPr>
          <w:p>
            <w:pPr>
              <w:spacing w:line="560" w:lineRule="exact"/>
              <w:ind w:left="283" w:leftChars="135"/>
              <w:jc w:val="center"/>
              <w:rPr>
                <w:rFonts w:ascii="仿宋_GB2312" w:hAnsi="仿宋_GB2312" w:eastAsia="仿宋_GB2312" w:cs="仿宋_GB2312"/>
                <w:b/>
                <w:sz w:val="32"/>
                <w:szCs w:val="32"/>
              </w:rPr>
            </w:pPr>
          </w:p>
        </w:tc>
        <w:tc>
          <w:tcPr>
            <w:tcW w:w="2342" w:type="dxa"/>
          </w:tcPr>
          <w:p>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小写：</w:t>
            </w:r>
          </w:p>
        </w:tc>
        <w:tc>
          <w:tcPr>
            <w:tcW w:w="2113" w:type="dxa"/>
          </w:tcPr>
          <w:p>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小写：</w:t>
            </w:r>
          </w:p>
        </w:tc>
        <w:tc>
          <w:tcPr>
            <w:tcW w:w="1561" w:type="dxa"/>
            <w:vMerge w:val="continue"/>
            <w:vAlign w:val="center"/>
          </w:tcPr>
          <w:p>
            <w:pPr>
              <w:spacing w:line="560" w:lineRule="exact"/>
              <w:ind w:left="283" w:leftChars="135"/>
              <w:jc w:val="center"/>
              <w:rPr>
                <w:rFonts w:ascii="仿宋_GB2312" w:hAnsi="仿宋_GB2312" w:eastAsia="仿宋_GB2312" w:cs="仿宋_GB2312"/>
                <w:b/>
                <w:sz w:val="32"/>
                <w:szCs w:val="32"/>
              </w:rPr>
            </w:pPr>
          </w:p>
        </w:tc>
        <w:tc>
          <w:tcPr>
            <w:tcW w:w="1561" w:type="dxa"/>
            <w:vMerge w:val="continue"/>
            <w:vAlign w:val="center"/>
          </w:tcPr>
          <w:p>
            <w:pPr>
              <w:spacing w:line="560" w:lineRule="exact"/>
              <w:ind w:left="283" w:leftChars="135"/>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trPr>
        <w:tc>
          <w:tcPr>
            <w:tcW w:w="7636" w:type="dxa"/>
            <w:gridSpan w:val="4"/>
            <w:tcBorders>
              <w:bottom w:val="single" w:color="auto" w:sz="4" w:space="0"/>
            </w:tcBorders>
            <w:vAlign w:val="center"/>
          </w:tcPr>
          <w:p>
            <w:pPr>
              <w:spacing w:line="560" w:lineRule="exact"/>
              <w:ind w:left="283" w:leftChars="135"/>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其他承诺及需要说明的事项：</w:t>
            </w:r>
          </w:p>
        </w:tc>
        <w:tc>
          <w:tcPr>
            <w:tcW w:w="1561" w:type="dxa"/>
            <w:tcBorders>
              <w:bottom w:val="single" w:color="auto" w:sz="4" w:space="0"/>
            </w:tcBorders>
            <w:vAlign w:val="center"/>
          </w:tcPr>
          <w:p>
            <w:pPr>
              <w:spacing w:line="560" w:lineRule="exact"/>
              <w:ind w:left="283" w:leftChars="135"/>
              <w:jc w:val="left"/>
              <w:rPr>
                <w:rFonts w:ascii="仿宋_GB2312" w:hAnsi="仿宋_GB2312" w:eastAsia="仿宋_GB2312" w:cs="仿宋_GB2312"/>
                <w:b/>
                <w:sz w:val="32"/>
                <w:szCs w:val="32"/>
              </w:rPr>
            </w:pPr>
          </w:p>
        </w:tc>
      </w:tr>
    </w:tbl>
    <w:p/>
    <w:p/>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pPr>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2、响应文件报价为总价。包括：</w:t>
      </w:r>
      <w:r>
        <w:rPr>
          <w:rFonts w:hint="eastAsia" w:ascii="仿宋_GB2312" w:hAnsi="仿宋_GB2312" w:eastAsia="仿宋_GB2312" w:cs="仿宋_GB2312"/>
          <w:color w:val="000000"/>
          <w:sz w:val="32"/>
          <w:szCs w:val="32"/>
          <w:lang w:val="zh-CN"/>
        </w:rPr>
        <w:t>服务管理费</w:t>
      </w:r>
      <w:r>
        <w:rPr>
          <w:rFonts w:hint="eastAsia" w:ascii="仿宋_GB2312" w:hAnsi="仿宋_GB2312" w:eastAsia="仿宋_GB2312" w:cs="仿宋_GB2312"/>
          <w:color w:val="000000"/>
          <w:sz w:val="32"/>
          <w:szCs w:val="32"/>
        </w:rPr>
        <w:t>、运营人员及管理人员的薪金、人员的安全运行、</w:t>
      </w:r>
      <w:r>
        <w:rPr>
          <w:rFonts w:hint="eastAsia" w:ascii="仿宋_GB2312" w:hAnsi="仿宋_GB2312" w:eastAsia="仿宋_GB2312" w:cs="仿宋_GB2312"/>
          <w:color w:val="000000"/>
          <w:sz w:val="32"/>
          <w:szCs w:val="32"/>
          <w:lang w:val="zh-CN"/>
        </w:rPr>
        <w:t>招标代理费、税金及不可预见费等全部费用。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3、“服务期”是指</w:t>
      </w:r>
      <w:r>
        <w:rPr>
          <w:rFonts w:hint="eastAsia" w:ascii="仿宋_GB2312" w:hAnsi="仿宋_GB2312" w:eastAsia="仿宋_GB2312" w:cs="仿宋_GB2312"/>
          <w:color w:val="000000"/>
          <w:sz w:val="32"/>
          <w:szCs w:val="32"/>
          <w:lang w:val="zh-CN"/>
        </w:rPr>
        <w:t>能够整体服务的具体时间</w:t>
      </w:r>
      <w:r>
        <w:rPr>
          <w:rFonts w:hint="eastAsia" w:ascii="仿宋_GB2312" w:hAnsi="仿宋_GB2312" w:eastAsia="仿宋_GB2312" w:cs="仿宋_GB2312"/>
          <w:color w:val="000000"/>
          <w:sz w:val="32"/>
          <w:szCs w:val="32"/>
        </w:rPr>
        <w:t>。</w:t>
      </w:r>
    </w:p>
    <w:p>
      <w:pPr>
        <w:spacing w:before="156" w:beforeLines="50" w:line="560" w:lineRule="exact"/>
        <w:ind w:firstLine="320" w:firstLineChars="100"/>
      </w:pPr>
      <w:r>
        <w:rPr>
          <w:rFonts w:hint="eastAsia" w:ascii="仿宋_GB2312" w:hAnsi="仿宋_GB2312" w:eastAsia="仿宋_GB2312" w:cs="仿宋_GB2312"/>
          <w:bCs/>
          <w:color w:val="000000"/>
          <w:sz w:val="32"/>
          <w:szCs w:val="32"/>
        </w:rPr>
        <w:t>（本表在谈判结束后单独填写并提交）</w:t>
      </w:r>
    </w:p>
    <w:p>
      <w:pPr>
        <w:spacing w:before="156" w:beforeLines="50" w:line="560" w:lineRule="exact"/>
        <w:ind w:firstLine="482" w:firstLineChars="200"/>
        <w:jc w:val="center"/>
        <w:rPr>
          <w:rFonts w:ascii="仿宋_GB2312" w:hAnsi="仿宋_GB2312" w:eastAsia="仿宋_GB2312" w:cs="仿宋_GB2312"/>
          <w:bCs/>
          <w:color w:val="000000"/>
          <w:sz w:val="32"/>
          <w:szCs w:val="32"/>
        </w:rPr>
      </w:pPr>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pPr>
        <w:spacing w:before="156" w:beforeLines="50" w:line="560" w:lineRule="exact"/>
        <w:jc w:val="center"/>
        <w:rPr>
          <w:rFonts w:hint="eastAsia" w:ascii="宋体" w:hAnsi="宋体"/>
          <w:color w:val="000000"/>
        </w:rPr>
      </w:pPr>
      <w:r>
        <w:rPr>
          <w:rFonts w:hint="eastAsia" w:ascii="仿宋_GB2312" w:hAnsi="仿宋_GB2312" w:eastAsia="仿宋_GB2312" w:cs="仿宋_GB2312"/>
          <w:bCs/>
          <w:color w:val="000000"/>
          <w:sz w:val="32"/>
          <w:szCs w:val="32"/>
        </w:rPr>
        <w:t xml:space="preserve">                                 年   月  日</w:t>
      </w:r>
    </w:p>
    <w:p>
      <w:pPr>
        <w:pStyle w:val="6"/>
        <w:adjustRightInd w:val="0"/>
        <w:snapToGrid w:val="0"/>
        <w:spacing w:before="156" w:beforeLines="50" w:line="560" w:lineRule="exact"/>
        <w:rPr>
          <w:rFonts w:hint="eastAsia" w:ascii="仿宋" w:hAnsi="仿宋" w:eastAsia="仿宋" w:cs="仿宋"/>
          <w:b w:val="0"/>
          <w:bCs w:val="0"/>
          <w:color w:val="000000" w:themeColor="text1"/>
          <w:sz w:val="44"/>
          <w:szCs w:val="44"/>
          <w14:textFill>
            <w14:solidFill>
              <w14:schemeClr w14:val="tx1"/>
            </w14:solidFill>
          </w14:textFill>
        </w:rPr>
      </w:pPr>
      <w:bookmarkStart w:id="507" w:name="_Toc376936766"/>
      <w:bookmarkStart w:id="508" w:name="_Toc4685"/>
      <w:bookmarkStart w:id="509" w:name="_Toc24112_WPSOffice_Level1"/>
      <w:bookmarkStart w:id="510" w:name="_Toc5169"/>
      <w:bookmarkStart w:id="511" w:name="_Toc7329_WPSOffice_Level1"/>
      <w:bookmarkStart w:id="512" w:name="_Toc112245877"/>
      <w:bookmarkStart w:id="513" w:name="_Toc5233"/>
      <w:bookmarkStart w:id="514" w:name="_Toc23740"/>
      <w:bookmarkStart w:id="515" w:name="_Toc16082_WPSOffice_Level1"/>
      <w:bookmarkStart w:id="516" w:name="_Toc23722_WPSOffice_Level1"/>
      <w:bookmarkStart w:id="517" w:name="_Toc27557_WPSOffice_Level1"/>
      <w:bookmarkStart w:id="518" w:name="_Toc12949996"/>
      <w:bookmarkStart w:id="519" w:name="_Toc416183225"/>
      <w:bookmarkStart w:id="520" w:name="_Toc16779_WPSOffice_Level1"/>
      <w:r>
        <w:rPr>
          <w:rFonts w:hint="eastAsia" w:ascii="仿宋" w:hAnsi="仿宋" w:eastAsia="仿宋" w:cs="仿宋"/>
          <w:b w:val="0"/>
          <w:bCs w:val="0"/>
          <w:color w:val="000000" w:themeColor="text1"/>
          <w:sz w:val="44"/>
          <w:szCs w:val="44"/>
          <w14:textFill>
            <w14:solidFill>
              <w14:schemeClr w14:val="tx1"/>
            </w14:solidFill>
          </w14:textFill>
        </w:rPr>
        <w:t xml:space="preserve">第五部分 </w:t>
      </w:r>
      <w:bookmarkEnd w:id="507"/>
      <w:r>
        <w:rPr>
          <w:rFonts w:hint="eastAsia" w:ascii="仿宋" w:hAnsi="仿宋" w:eastAsia="仿宋" w:cs="仿宋"/>
          <w:b w:val="0"/>
          <w:bCs w:val="0"/>
          <w:color w:val="000000" w:themeColor="text1"/>
          <w:sz w:val="44"/>
          <w:szCs w:val="44"/>
          <w14:textFill>
            <w14:solidFill>
              <w14:schemeClr w14:val="tx1"/>
            </w14:solidFill>
          </w14:textFill>
        </w:rPr>
        <w:t>青海省政府采购项目合同书范本</w:t>
      </w:r>
      <w:bookmarkEnd w:id="508"/>
      <w:bookmarkEnd w:id="509"/>
      <w:bookmarkEnd w:id="510"/>
      <w:bookmarkEnd w:id="511"/>
      <w:bookmarkEnd w:id="512"/>
    </w:p>
    <w:p>
      <w:pPr>
        <w:pStyle w:val="6"/>
        <w:adjustRightInd w:val="0"/>
        <w:snapToGrid w:val="0"/>
        <w:spacing w:before="156" w:beforeLines="50" w:line="560" w:lineRule="exact"/>
        <w:rPr>
          <w:rFonts w:hint="eastAsia" w:ascii="仿宋" w:hAnsi="仿宋" w:eastAsia="仿宋" w:cs="仿宋"/>
          <w:b w:val="0"/>
          <w:bCs w:val="0"/>
          <w:color w:val="000000" w:themeColor="text1"/>
          <w:sz w:val="44"/>
          <w:szCs w:val="44"/>
          <w14:textFill>
            <w14:solidFill>
              <w14:schemeClr w14:val="tx1"/>
            </w14:solidFill>
          </w14:textFill>
        </w:rPr>
      </w:pPr>
      <w:bookmarkStart w:id="521" w:name="_Toc29785_WPSOffice_Level1"/>
      <w:bookmarkStart w:id="522" w:name="_Toc32639"/>
      <w:bookmarkStart w:id="523" w:name="_Toc112245878"/>
      <w:bookmarkStart w:id="524" w:name="_Toc13776"/>
      <w:bookmarkStart w:id="525" w:name="_Toc22776_WPSOffice_Level1"/>
      <w:r>
        <w:rPr>
          <w:rFonts w:hint="eastAsia" w:ascii="仿宋" w:hAnsi="仿宋" w:eastAsia="仿宋" w:cs="仿宋"/>
          <w:b w:val="0"/>
          <w:bCs w:val="0"/>
          <w:color w:val="000000" w:themeColor="text1"/>
          <w:sz w:val="44"/>
          <w:szCs w:val="44"/>
          <w14:textFill>
            <w14:solidFill>
              <w14:schemeClr w14:val="tx1"/>
            </w14:solidFill>
          </w14:textFill>
        </w:rPr>
        <w:t>（</w:t>
      </w:r>
      <w:r>
        <w:rPr>
          <w:rFonts w:hint="eastAsia" w:ascii="仿宋" w:hAnsi="仿宋" w:eastAsia="仿宋" w:cs="仿宋"/>
          <w:b w:val="0"/>
          <w:bCs w:val="0"/>
          <w:color w:val="000000" w:themeColor="text1"/>
          <w:sz w:val="44"/>
          <w:szCs w:val="44"/>
          <w:lang w:eastAsia="zh-CN"/>
          <w14:textFill>
            <w14:solidFill>
              <w14:schemeClr w14:val="tx1"/>
            </w14:solidFill>
          </w14:textFill>
        </w:rPr>
        <w:t>服务</w:t>
      </w:r>
      <w:r>
        <w:rPr>
          <w:rFonts w:hint="eastAsia" w:ascii="仿宋" w:hAnsi="仿宋" w:eastAsia="仿宋" w:cs="仿宋"/>
          <w:b w:val="0"/>
          <w:bCs w:val="0"/>
          <w:color w:val="000000" w:themeColor="text1"/>
          <w:sz w:val="44"/>
          <w:szCs w:val="44"/>
          <w14:textFill>
            <w14:solidFill>
              <w14:schemeClr w14:val="tx1"/>
            </w14:solidFill>
          </w14:textFill>
        </w:rPr>
        <w:t>类）</w:t>
      </w:r>
      <w:bookmarkEnd w:id="513"/>
      <w:bookmarkEnd w:id="514"/>
      <w:bookmarkEnd w:id="515"/>
      <w:bookmarkEnd w:id="516"/>
      <w:bookmarkEnd w:id="517"/>
      <w:bookmarkEnd w:id="518"/>
      <w:bookmarkEnd w:id="519"/>
      <w:bookmarkEnd w:id="520"/>
      <w:bookmarkEnd w:id="521"/>
      <w:bookmarkEnd w:id="522"/>
      <w:bookmarkEnd w:id="523"/>
      <w:bookmarkEnd w:id="524"/>
      <w:bookmarkEnd w:id="525"/>
    </w:p>
    <w:p>
      <w:pPr>
        <w:adjustRightInd w:val="0"/>
        <w:snapToGrid w:val="0"/>
        <w:spacing w:before="156" w:beforeLines="50" w:line="560" w:lineRule="exact"/>
        <w:outlineLvl w:val="0"/>
        <w:rPr>
          <w:rFonts w:hint="eastAsia" w:ascii="仿宋" w:hAnsi="仿宋" w:eastAsia="仿宋" w:cs="仿宋"/>
          <w:bCs/>
          <w:color w:val="000000" w:themeColor="text1"/>
          <w:szCs w:val="21"/>
          <w14:textFill>
            <w14:solidFill>
              <w14:schemeClr w14:val="tx1"/>
            </w14:solidFill>
          </w14:textFill>
        </w:rPr>
      </w:pPr>
      <w:bookmarkStart w:id="526" w:name="_Toc373936315"/>
      <w:bookmarkStart w:id="527" w:name="_Toc375576842"/>
      <w:bookmarkStart w:id="528" w:name="_Toc373954603"/>
    </w:p>
    <w:bookmarkEnd w:id="526"/>
    <w:bookmarkEnd w:id="527"/>
    <w:bookmarkEnd w:id="528"/>
    <w:p>
      <w:pPr>
        <w:keepNext/>
        <w:keepLines/>
        <w:widowControl/>
        <w:snapToGrid w:val="0"/>
        <w:spacing w:before="156" w:beforeLines="50" w:line="560" w:lineRule="exact"/>
        <w:jc w:val="center"/>
        <w:rPr>
          <w:rFonts w:hint="eastAsia" w:ascii="仿宋" w:hAnsi="仿宋" w:eastAsia="仿宋" w:cs="仿宋"/>
          <w:bCs/>
          <w:color w:val="000000" w:themeColor="text1"/>
          <w:kern w:val="28"/>
          <w:sz w:val="32"/>
          <w:szCs w:val="32"/>
          <w14:textFill>
            <w14:solidFill>
              <w14:schemeClr w14:val="tx1"/>
            </w14:solidFill>
          </w14:textFill>
        </w:rPr>
      </w:pPr>
      <w:bookmarkStart w:id="529" w:name="_Toc416183226"/>
      <w:bookmarkStart w:id="530" w:name="_Toc8067_WPSOffice_Level1"/>
      <w:bookmarkStart w:id="531" w:name="_Toc31604_WPSOffice_Level1"/>
      <w:bookmarkStart w:id="532" w:name="_Toc12949997"/>
      <w:bookmarkStart w:id="533" w:name="_Toc3676_WPSOffice_Level1"/>
      <w:bookmarkStart w:id="534" w:name="_Toc9152_WPSOffice_Level1"/>
      <w:bookmarkStart w:id="535" w:name="_Toc4308"/>
      <w:bookmarkStart w:id="536" w:name="_Toc10999_WPSOffice_Level1"/>
      <w:bookmarkStart w:id="537" w:name="_Toc9715"/>
      <w:r>
        <w:rPr>
          <w:rFonts w:hint="eastAsia" w:ascii="仿宋" w:hAnsi="仿宋" w:eastAsia="仿宋" w:cs="仿宋"/>
          <w:bCs/>
          <w:color w:val="000000" w:themeColor="text1"/>
          <w:kern w:val="28"/>
          <w:sz w:val="32"/>
          <w:szCs w:val="32"/>
          <w14:textFill>
            <w14:solidFill>
              <w14:schemeClr w14:val="tx1"/>
            </w14:solidFill>
          </w14:textFill>
        </w:rPr>
        <w:t>青海省政府采购项目合同书</w:t>
      </w:r>
      <w:bookmarkEnd w:id="529"/>
      <w:bookmarkEnd w:id="530"/>
      <w:bookmarkEnd w:id="531"/>
      <w:bookmarkEnd w:id="532"/>
      <w:bookmarkEnd w:id="533"/>
      <w:bookmarkEnd w:id="534"/>
      <w:bookmarkEnd w:id="535"/>
      <w:bookmarkEnd w:id="536"/>
      <w:bookmarkEnd w:id="537"/>
    </w:p>
    <w:p>
      <w:pPr>
        <w:spacing w:before="156" w:beforeLines="50" w:line="560" w:lineRule="exact"/>
        <w:jc w:val="center"/>
        <w:rPr>
          <w:rFonts w:hint="eastAsia" w:ascii="仿宋" w:hAnsi="仿宋" w:eastAsia="仿宋" w:cs="仿宋"/>
          <w:bCs/>
          <w:color w:val="000000" w:themeColor="text1"/>
          <w:sz w:val="32"/>
          <w:szCs w:val="32"/>
          <w14:textFill>
            <w14:solidFill>
              <w14:schemeClr w14:val="tx1"/>
            </w14:solidFill>
          </w14:textFill>
        </w:rPr>
      </w:pPr>
    </w:p>
    <w:p>
      <w:pPr>
        <w:spacing w:before="156" w:beforeLines="50" w:line="56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pPr>
        <w:spacing w:before="156" w:beforeLines="50" w:line="560" w:lineRule="exact"/>
        <w:ind w:left="2979" w:leftChars="352" w:hanging="2240" w:hangingChars="700"/>
        <w:rPr>
          <w:rFonts w:hint="eastAsia" w:ascii="仿宋" w:hAnsi="仿宋" w:eastAsia="仿宋" w:cs="仿宋"/>
          <w:bCs/>
          <w:color w:val="000000" w:themeColor="text1"/>
          <w:sz w:val="32"/>
          <w:szCs w:val="32"/>
          <w:u w:val="single"/>
          <w:lang w:eastAsia="zh-CN"/>
          <w14:textFill>
            <w14:solidFill>
              <w14:schemeClr w14:val="tx1"/>
            </w14:solidFill>
          </w14:textFill>
        </w:rPr>
      </w:pPr>
      <w:bookmarkStart w:id="538" w:name="_Toc19373_WPSOffice_Level1"/>
      <w:bookmarkStart w:id="539" w:name="_Toc23338_WPSOffice_Level1"/>
      <w:bookmarkStart w:id="540" w:name="_Toc23548_WPSOffice_Level1"/>
      <w:bookmarkStart w:id="541" w:name="_Toc18140_WPSOffice_Level1"/>
      <w:r>
        <w:rPr>
          <w:rFonts w:hint="eastAsia" w:ascii="仿宋" w:hAnsi="仿宋" w:eastAsia="仿宋" w:cs="仿宋"/>
          <w:bCs/>
          <w:color w:val="000000" w:themeColor="text1"/>
          <w:sz w:val="32"/>
          <w:szCs w:val="32"/>
          <w14:textFill>
            <w14:solidFill>
              <w14:schemeClr w14:val="tx1"/>
            </w14:solidFill>
          </w14:textFill>
        </w:rPr>
        <w:t>采购项目名称：</w:t>
      </w:r>
      <w:bookmarkEnd w:id="538"/>
      <w:bookmarkEnd w:id="539"/>
      <w:bookmarkEnd w:id="540"/>
      <w:bookmarkEnd w:id="541"/>
      <w:r>
        <w:rPr>
          <w:rFonts w:hint="eastAsia" w:ascii="仿宋" w:hAnsi="仿宋" w:eastAsia="仿宋" w:cs="仿宋"/>
          <w:bCs/>
          <w:color w:val="000000" w:themeColor="text1"/>
          <w:sz w:val="32"/>
          <w:szCs w:val="32"/>
          <w:u w:val="single"/>
          <w:lang w:eastAsia="zh-CN"/>
          <w14:textFill>
            <w14:solidFill>
              <w14:schemeClr w14:val="tx1"/>
            </w14:solidFill>
          </w14:textFill>
        </w:rPr>
        <w:t>关于对2023年聘请第三方开展财政业务的政府采购报告</w:t>
      </w:r>
    </w:p>
    <w:p>
      <w:pPr>
        <w:spacing w:before="156" w:beforeLines="50" w:line="560" w:lineRule="exact"/>
        <w:ind w:firstLine="640" w:firstLineChars="200"/>
        <w:rPr>
          <w:rFonts w:hint="eastAsia" w:ascii="仿宋" w:hAnsi="仿宋" w:eastAsia="仿宋" w:cs="仿宋"/>
          <w:bCs/>
          <w:color w:val="000000" w:themeColor="text1"/>
          <w:sz w:val="32"/>
          <w:szCs w:val="32"/>
          <w:u w:val="single"/>
          <w14:textFill>
            <w14:solidFill>
              <w14:schemeClr w14:val="tx1"/>
            </w14:solidFill>
          </w14:textFill>
        </w:rPr>
      </w:pPr>
      <w:bookmarkStart w:id="542" w:name="_Toc2770_WPSOffice_Level1"/>
      <w:bookmarkStart w:id="543" w:name="_Toc19950_WPSOffice_Level1"/>
      <w:bookmarkStart w:id="544" w:name="_Toc20437_WPSOffice_Level1"/>
      <w:bookmarkStart w:id="545" w:name="_Toc2957_WPSOffice_Level1"/>
      <w:r>
        <w:rPr>
          <w:rFonts w:hint="eastAsia" w:ascii="仿宋" w:hAnsi="仿宋" w:eastAsia="仿宋" w:cs="仿宋"/>
          <w:bCs/>
          <w:color w:val="000000" w:themeColor="text1"/>
          <w:sz w:val="32"/>
          <w:szCs w:val="32"/>
          <w14:textFill>
            <w14:solidFill>
              <w14:schemeClr w14:val="tx1"/>
            </w14:solidFill>
          </w14:textFill>
        </w:rPr>
        <w:t>采购项目编号/包号：</w:t>
      </w:r>
      <w:bookmarkEnd w:id="542"/>
      <w:bookmarkEnd w:id="543"/>
      <w:bookmarkEnd w:id="544"/>
      <w:bookmarkEnd w:id="545"/>
      <w:r>
        <w:rPr>
          <w:rFonts w:hint="eastAsia" w:ascii="仿宋" w:hAnsi="仿宋" w:eastAsia="仿宋" w:cs="仿宋"/>
          <w:bCs/>
          <w:color w:val="000000" w:themeColor="text1"/>
          <w:sz w:val="32"/>
          <w:szCs w:val="32"/>
          <w:u w:val="single"/>
          <w14:textFill>
            <w14:solidFill>
              <w14:schemeClr w14:val="tx1"/>
            </w14:solidFill>
          </w14:textFill>
        </w:rPr>
        <w:t>青海凌星竞谈（货物）202</w:t>
      </w:r>
      <w:r>
        <w:rPr>
          <w:rFonts w:hint="eastAsia" w:ascii="仿宋" w:hAnsi="仿宋" w:eastAsia="仿宋" w:cs="仿宋"/>
          <w:bCs/>
          <w:color w:val="000000" w:themeColor="text1"/>
          <w:sz w:val="32"/>
          <w:szCs w:val="32"/>
          <w:u w:val="single"/>
          <w:lang w:val="en-US" w:eastAsia="zh-CN"/>
          <w14:textFill>
            <w14:solidFill>
              <w14:schemeClr w14:val="tx1"/>
            </w14:solidFill>
          </w14:textFill>
        </w:rPr>
        <w:t>3</w:t>
      </w:r>
      <w:r>
        <w:rPr>
          <w:rFonts w:hint="eastAsia" w:ascii="仿宋" w:hAnsi="仿宋" w:eastAsia="仿宋" w:cs="仿宋"/>
          <w:bCs/>
          <w:color w:val="000000" w:themeColor="text1"/>
          <w:sz w:val="32"/>
          <w:szCs w:val="32"/>
          <w:u w:val="single"/>
          <w14:textFill>
            <w14:solidFill>
              <w14:schemeClr w14:val="tx1"/>
            </w14:solidFill>
          </w14:textFill>
        </w:rPr>
        <w:t>-0</w:t>
      </w:r>
      <w:r>
        <w:rPr>
          <w:rFonts w:hint="eastAsia" w:ascii="仿宋" w:hAnsi="仿宋" w:eastAsia="仿宋" w:cs="仿宋"/>
          <w:bCs/>
          <w:color w:val="000000" w:themeColor="text1"/>
          <w:sz w:val="32"/>
          <w:szCs w:val="32"/>
          <w:u w:val="single"/>
          <w:lang w:val="en-US" w:eastAsia="zh-CN"/>
          <w14:textFill>
            <w14:solidFill>
              <w14:schemeClr w14:val="tx1"/>
            </w14:solidFill>
          </w14:textFill>
        </w:rPr>
        <w:t>56</w:t>
      </w:r>
      <w:r>
        <w:rPr>
          <w:rFonts w:hint="eastAsia" w:ascii="仿宋" w:hAnsi="仿宋" w:eastAsia="仿宋" w:cs="仿宋"/>
          <w:bCs/>
          <w:color w:val="000000" w:themeColor="text1"/>
          <w:sz w:val="32"/>
          <w:szCs w:val="32"/>
          <w14:textFill>
            <w14:solidFill>
              <w14:schemeClr w14:val="tx1"/>
            </w14:solidFill>
          </w14:textFill>
        </w:rPr>
        <w:t xml:space="preserve">                                        </w:t>
      </w:r>
    </w:p>
    <w:p>
      <w:pPr>
        <w:spacing w:before="156" w:beforeLines="50" w:line="56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bookmarkStart w:id="546" w:name="_Toc3022_WPSOffice_Level1"/>
      <w:bookmarkStart w:id="547" w:name="_Toc31508_WPSOffice_Level1"/>
      <w:bookmarkStart w:id="548" w:name="_Toc1998_WPSOffice_Level1"/>
      <w:bookmarkStart w:id="549" w:name="_Toc19490_WPSOffice_Level1"/>
      <w:r>
        <w:rPr>
          <w:rFonts w:hint="eastAsia" w:ascii="仿宋" w:hAnsi="仿宋" w:eastAsia="仿宋" w:cs="仿宋"/>
          <w:bCs/>
          <w:color w:val="000000" w:themeColor="text1"/>
          <w:sz w:val="32"/>
          <w:szCs w:val="32"/>
          <w14:textFill>
            <w14:solidFill>
              <w14:schemeClr w14:val="tx1"/>
            </w14:solidFill>
          </w14:textFill>
        </w:rPr>
        <w:t>采购合同编号/包号：</w:t>
      </w:r>
      <w:bookmarkEnd w:id="546"/>
      <w:bookmarkEnd w:id="547"/>
      <w:bookmarkEnd w:id="548"/>
      <w:bookmarkEnd w:id="549"/>
      <w:r>
        <w:rPr>
          <w:rFonts w:hint="eastAsia" w:ascii="仿宋" w:hAnsi="仿宋" w:eastAsia="仿宋" w:cs="仿宋"/>
          <w:bCs/>
          <w:color w:val="000000" w:themeColor="text1"/>
          <w:sz w:val="32"/>
          <w:szCs w:val="32"/>
          <w:u w:val="single"/>
          <w14:textFill>
            <w14:solidFill>
              <w14:schemeClr w14:val="tx1"/>
            </w14:solidFill>
          </w14:textFill>
        </w:rPr>
        <w:t>QHLX-202</w:t>
      </w:r>
      <w:r>
        <w:rPr>
          <w:rFonts w:hint="eastAsia" w:ascii="仿宋" w:hAnsi="仿宋" w:eastAsia="仿宋" w:cs="仿宋"/>
          <w:bCs/>
          <w:color w:val="000000" w:themeColor="text1"/>
          <w:sz w:val="32"/>
          <w:szCs w:val="32"/>
          <w:u w:val="single"/>
          <w:lang w:val="en-US" w:eastAsia="zh-CN"/>
          <w14:textFill>
            <w14:solidFill>
              <w14:schemeClr w14:val="tx1"/>
            </w14:solidFill>
          </w14:textFill>
        </w:rPr>
        <w:t>3</w:t>
      </w:r>
      <w:r>
        <w:rPr>
          <w:rFonts w:hint="eastAsia" w:ascii="仿宋" w:hAnsi="仿宋" w:eastAsia="仿宋" w:cs="仿宋"/>
          <w:bCs/>
          <w:color w:val="000000" w:themeColor="text1"/>
          <w:sz w:val="32"/>
          <w:szCs w:val="32"/>
          <w:u w:val="single"/>
          <w14:textFill>
            <w14:solidFill>
              <w14:schemeClr w14:val="tx1"/>
            </w14:solidFill>
          </w14:textFill>
        </w:rPr>
        <w:t>-0</w:t>
      </w:r>
      <w:r>
        <w:rPr>
          <w:rFonts w:hint="eastAsia" w:ascii="仿宋" w:hAnsi="仿宋" w:eastAsia="仿宋" w:cs="仿宋"/>
          <w:bCs/>
          <w:color w:val="000000" w:themeColor="text1"/>
          <w:sz w:val="32"/>
          <w:szCs w:val="32"/>
          <w:u w:val="single"/>
          <w:lang w:val="en-US" w:eastAsia="zh-CN"/>
          <w14:textFill>
            <w14:solidFill>
              <w14:schemeClr w14:val="tx1"/>
            </w14:solidFill>
          </w14:textFill>
        </w:rPr>
        <w:t>56</w:t>
      </w:r>
      <w:r>
        <w:rPr>
          <w:rFonts w:hint="eastAsia" w:ascii="仿宋" w:hAnsi="仿宋" w:eastAsia="仿宋" w:cs="仿宋"/>
          <w:bCs/>
          <w:color w:val="000000" w:themeColor="text1"/>
          <w:sz w:val="32"/>
          <w:szCs w:val="32"/>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 xml:space="preserve">                                                 </w:t>
      </w:r>
    </w:p>
    <w:p>
      <w:pPr>
        <w:spacing w:before="156" w:beforeLines="50" w:line="56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bookmarkStart w:id="550" w:name="_Toc8063_WPSOffice_Level1"/>
      <w:bookmarkStart w:id="551" w:name="_Toc2711_WPSOffice_Level1"/>
      <w:bookmarkStart w:id="552" w:name="_Toc24942_WPSOffice_Level1"/>
      <w:bookmarkStart w:id="553" w:name="_Toc5994_WPSOffice_Level1"/>
      <w:r>
        <w:rPr>
          <w:rFonts w:hint="eastAsia" w:ascii="仿宋" w:hAnsi="仿宋" w:eastAsia="仿宋" w:cs="仿宋"/>
          <w:bCs/>
          <w:color w:val="000000" w:themeColor="text1"/>
          <w:sz w:val="32"/>
          <w:szCs w:val="32"/>
          <w14:textFill>
            <w14:solidFill>
              <w14:schemeClr w14:val="tx1"/>
            </w14:solidFill>
          </w14:textFill>
        </w:rPr>
        <w:t>合同金额（人民币）：</w:t>
      </w:r>
      <w:bookmarkEnd w:id="550"/>
      <w:bookmarkEnd w:id="551"/>
      <w:bookmarkEnd w:id="552"/>
      <w:bookmarkEnd w:id="553"/>
      <w:r>
        <w:rPr>
          <w:rFonts w:hint="eastAsia" w:ascii="仿宋" w:hAnsi="仿宋" w:eastAsia="仿宋" w:cs="仿宋"/>
          <w:bCs/>
          <w:color w:val="000000" w:themeColor="text1"/>
          <w:sz w:val="32"/>
          <w:szCs w:val="32"/>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 xml:space="preserve">                                   </w:t>
      </w:r>
    </w:p>
    <w:p>
      <w:pPr>
        <w:spacing w:before="156" w:beforeLines="50"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bookmarkStart w:id="554" w:name="_Toc31793_WPSOffice_Level1"/>
      <w:bookmarkStart w:id="555" w:name="_Toc6126_WPSOffice_Level1"/>
      <w:bookmarkStart w:id="556" w:name="_Toc10610_WPSOffice_Level1"/>
      <w:bookmarkStart w:id="557" w:name="_Toc3522_WPSOffice_Level1"/>
      <w:r>
        <w:rPr>
          <w:rFonts w:hint="eastAsia" w:ascii="仿宋" w:hAnsi="仿宋" w:eastAsia="仿宋" w:cs="仿宋"/>
          <w:bCs/>
          <w:color w:val="000000" w:themeColor="text1"/>
          <w:sz w:val="32"/>
          <w:szCs w:val="32"/>
          <w14:textFill>
            <w14:solidFill>
              <w14:schemeClr w14:val="tx1"/>
            </w14:solidFill>
          </w14:textFill>
        </w:rPr>
        <w:t>采购单位（甲方）：</w:t>
      </w:r>
      <w:r>
        <w:rPr>
          <w:rFonts w:hint="eastAsia" w:ascii="仿宋" w:hAnsi="仿宋" w:eastAsia="仿宋" w:cs="仿宋"/>
          <w:bCs/>
          <w:color w:val="000000" w:themeColor="text1"/>
          <w:sz w:val="32"/>
          <w:szCs w:val="32"/>
          <w:u w:val="single"/>
          <w14:textFill>
            <w14:solidFill>
              <w14:schemeClr w14:val="tx1"/>
            </w14:solidFill>
          </w14:textFill>
        </w:rPr>
        <w:t>玉树市财政局</w:t>
      </w:r>
      <w:r>
        <w:rPr>
          <w:rFonts w:hint="eastAsia" w:ascii="仿宋" w:hAnsi="仿宋" w:eastAsia="仿宋" w:cs="仿宋"/>
          <w:bCs/>
          <w:color w:val="000000" w:themeColor="text1"/>
          <w:sz w:val="32"/>
          <w:szCs w:val="32"/>
          <w14:textFill>
            <w14:solidFill>
              <w14:schemeClr w14:val="tx1"/>
            </w14:solidFill>
          </w14:textFill>
        </w:rPr>
        <w:t>（盖章）</w:t>
      </w:r>
      <w:bookmarkEnd w:id="554"/>
      <w:bookmarkEnd w:id="555"/>
      <w:bookmarkEnd w:id="556"/>
      <w:bookmarkEnd w:id="557"/>
    </w:p>
    <w:p>
      <w:pPr>
        <w:spacing w:before="156" w:beforeLines="50" w:line="560" w:lineRule="exact"/>
        <w:ind w:firstLine="640" w:firstLineChars="200"/>
        <w:jc w:val="left"/>
        <w:rPr>
          <w:rFonts w:hint="eastAsia" w:ascii="仿宋" w:hAnsi="仿宋" w:eastAsia="仿宋" w:cs="仿宋"/>
          <w:bCs/>
          <w:color w:val="000000" w:themeColor="text1"/>
          <w:sz w:val="32"/>
          <w:szCs w:val="32"/>
          <w:u w:val="single"/>
          <w14:textFill>
            <w14:solidFill>
              <w14:schemeClr w14:val="tx1"/>
            </w14:solidFill>
          </w14:textFill>
        </w:rPr>
      </w:pPr>
      <w:bookmarkStart w:id="558" w:name="_Toc7246_WPSOffice_Level1"/>
      <w:bookmarkStart w:id="559" w:name="_Toc22516_WPSOffice_Level1"/>
      <w:bookmarkStart w:id="560" w:name="_Toc14960_WPSOffice_Level1"/>
      <w:bookmarkStart w:id="561" w:name="_Toc382_WPSOffice_Level1"/>
      <w:r>
        <w:rPr>
          <w:rFonts w:hint="eastAsia" w:ascii="仿宋" w:hAnsi="仿宋" w:eastAsia="仿宋" w:cs="仿宋"/>
          <w:bCs/>
          <w:color w:val="000000" w:themeColor="text1"/>
          <w:sz w:val="32"/>
          <w:szCs w:val="32"/>
          <w14:textFill>
            <w14:solidFill>
              <w14:schemeClr w14:val="tx1"/>
            </w14:solidFill>
          </w14:textFill>
        </w:rPr>
        <w:t>成交供应商（乙方）：</w:t>
      </w:r>
      <w:r>
        <w:rPr>
          <w:rFonts w:hint="eastAsia" w:ascii="仿宋" w:hAnsi="仿宋" w:eastAsia="仿宋" w:cs="仿宋"/>
          <w:bCs/>
          <w:color w:val="000000" w:themeColor="text1"/>
          <w:sz w:val="32"/>
          <w:szCs w:val="32"/>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（盖章）</w:t>
      </w:r>
      <w:bookmarkEnd w:id="558"/>
      <w:bookmarkEnd w:id="559"/>
      <w:bookmarkEnd w:id="560"/>
      <w:bookmarkEnd w:id="561"/>
    </w:p>
    <w:p>
      <w:pPr>
        <w:autoSpaceDE w:val="0"/>
        <w:autoSpaceDN w:val="0"/>
        <w:adjustRightInd w:val="0"/>
        <w:spacing w:line="360" w:lineRule="auto"/>
        <w:jc w:val="left"/>
        <w:rPr>
          <w:rFonts w:hint="eastAsia" w:ascii="仿宋" w:hAnsi="仿宋" w:eastAsia="仿宋" w:cs="仿宋"/>
          <w:b/>
          <w:bCs/>
          <w:kern w:val="0"/>
          <w:sz w:val="28"/>
          <w:szCs w:val="28"/>
        </w:rPr>
      </w:pPr>
      <w:r>
        <w:rPr>
          <w:rFonts w:hint="eastAsia" w:ascii="仿宋" w:hAnsi="仿宋" w:eastAsia="仿宋" w:cs="仿宋"/>
          <w:bCs/>
          <w:color w:val="000000" w:themeColor="text1"/>
          <w:szCs w:val="21"/>
          <w14:textFill>
            <w14:solidFill>
              <w14:schemeClr w14:val="tx1"/>
            </w14:solidFill>
          </w14:textFill>
        </w:rPr>
        <w:br w:type="page"/>
      </w:r>
      <w:r>
        <w:rPr>
          <w:rFonts w:hint="eastAsia" w:ascii="仿宋" w:hAnsi="仿宋" w:eastAsia="仿宋" w:cs="仿宋"/>
          <w:b/>
          <w:bCs/>
          <w:kern w:val="0"/>
          <w:sz w:val="28"/>
          <w:szCs w:val="28"/>
          <w:lang w:val="zh-CN"/>
        </w:rPr>
        <w:t>采</w:t>
      </w: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val="zh-CN"/>
        </w:rPr>
        <w:t>购</w:t>
      </w: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val="zh-CN"/>
        </w:rPr>
        <w:t>人（以下简称甲方）：</w:t>
      </w:r>
    </w:p>
    <w:p>
      <w:pPr>
        <w:autoSpaceDE w:val="0"/>
        <w:autoSpaceDN w:val="0"/>
        <w:adjustRightInd w:val="0"/>
        <w:spacing w:line="360" w:lineRule="auto"/>
        <w:rPr>
          <w:rFonts w:hint="eastAsia" w:ascii="仿宋" w:hAnsi="仿宋" w:eastAsia="仿宋" w:cs="仿宋"/>
          <w:kern w:val="0"/>
          <w:sz w:val="28"/>
          <w:szCs w:val="28"/>
        </w:rPr>
      </w:pPr>
      <w:r>
        <w:rPr>
          <w:rFonts w:hint="eastAsia" w:ascii="仿宋" w:hAnsi="仿宋" w:eastAsia="仿宋" w:cs="仿宋"/>
          <w:b/>
          <w:bCs/>
          <w:kern w:val="0"/>
          <w:sz w:val="28"/>
          <w:szCs w:val="28"/>
        </w:rPr>
        <w:t>供 应 商</w:t>
      </w:r>
      <w:r>
        <w:rPr>
          <w:rFonts w:hint="eastAsia" w:ascii="仿宋" w:hAnsi="仿宋" w:eastAsia="仿宋" w:cs="仿宋"/>
          <w:b/>
          <w:bCs/>
          <w:kern w:val="0"/>
          <w:sz w:val="28"/>
          <w:szCs w:val="28"/>
          <w:lang w:val="zh-CN"/>
        </w:rPr>
        <w:t>（以下简称乙方）：</w:t>
      </w:r>
    </w:p>
    <w:p>
      <w:pPr>
        <w:pStyle w:val="4"/>
        <w:spacing w:after="0" w:line="360" w:lineRule="auto"/>
        <w:ind w:left="0" w:leftChars="0" w:firstLine="48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甲、乙双方根据XXXX年XX月XX日（采购项目名称）采购项目（采购项目编号）的磋商文件要求和(采购代理机构)出具的《成交通知书》，并经双方协商一致，签订本合同协议书。</w:t>
      </w:r>
    </w:p>
    <w:p>
      <w:pPr>
        <w:autoSpaceDE w:val="0"/>
        <w:autoSpaceDN w:val="0"/>
        <w:spacing w:line="360" w:lineRule="auto"/>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一、签订本政府采购合同的依据</w:t>
      </w:r>
    </w:p>
    <w:p>
      <w:pPr>
        <w:autoSpaceDE w:val="0"/>
        <w:autoSpaceDN w:val="0"/>
        <w:spacing w:line="360" w:lineRule="auto"/>
        <w:ind w:firstLine="48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本政府采购合同所附下列文件是构成本政府采购合同不可分割的部分：</w:t>
      </w:r>
    </w:p>
    <w:p>
      <w:pPr>
        <w:autoSpaceDE w:val="0"/>
        <w:autoSpaceDN w:val="0"/>
        <w:spacing w:line="360" w:lineRule="auto"/>
        <w:ind w:firstLine="48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1.磋商文件；</w:t>
      </w:r>
    </w:p>
    <w:p>
      <w:pPr>
        <w:autoSpaceDE w:val="0"/>
        <w:autoSpaceDN w:val="0"/>
        <w:spacing w:line="360" w:lineRule="auto"/>
        <w:ind w:firstLine="48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2.磋商文件的澄清、变更公告；</w:t>
      </w:r>
    </w:p>
    <w:p>
      <w:pPr>
        <w:autoSpaceDE w:val="0"/>
        <w:autoSpaceDN w:val="0"/>
        <w:spacing w:line="360" w:lineRule="auto"/>
        <w:ind w:firstLine="48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3.成交人提交的磋商响应文件；</w:t>
      </w:r>
    </w:p>
    <w:p>
      <w:pPr>
        <w:autoSpaceDE w:val="0"/>
        <w:autoSpaceDN w:val="0"/>
        <w:spacing w:line="360" w:lineRule="auto"/>
        <w:ind w:firstLine="48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4.磋商文件中规定的政府采购合同通用条款；</w:t>
      </w:r>
    </w:p>
    <w:p>
      <w:pPr>
        <w:autoSpaceDE w:val="0"/>
        <w:autoSpaceDN w:val="0"/>
        <w:spacing w:line="360" w:lineRule="auto"/>
        <w:ind w:firstLine="48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5.成交通知书；</w:t>
      </w:r>
    </w:p>
    <w:p>
      <w:pPr>
        <w:autoSpaceDE w:val="0"/>
        <w:autoSpaceDN w:val="0"/>
        <w:adjustRightInd w:val="0"/>
        <w:snapToGrid w:val="0"/>
        <w:spacing w:line="276" w:lineRule="auto"/>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 xml:space="preserve">二、合同标的及金额                                       </w:t>
      </w:r>
    </w:p>
    <w:p>
      <w:pPr>
        <w:autoSpaceDE w:val="0"/>
        <w:autoSpaceDN w:val="0"/>
        <w:adjustRightInd w:val="0"/>
        <w:snapToGrid w:val="0"/>
        <w:spacing w:line="276" w:lineRule="auto"/>
        <w:ind w:firstLine="48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根据上述政府采购合同文件要求，本政府采购合同的总金额为人民币</w:t>
      </w:r>
      <w:r>
        <w:rPr>
          <w:rFonts w:hint="eastAsia" w:ascii="仿宋_GB2312" w:hAnsi="仿宋_GB2312" w:eastAsia="仿宋_GB2312" w:cs="仿宋_GB2312"/>
          <w:color w:val="000000"/>
          <w:kern w:val="2"/>
          <w:sz w:val="32"/>
          <w:szCs w:val="32"/>
          <w:u w:val="single"/>
          <w:lang w:val="zh-CN" w:eastAsia="zh-CN" w:bidi="ar-SA"/>
        </w:rPr>
        <w:t xml:space="preserve">      </w:t>
      </w:r>
      <w:r>
        <w:rPr>
          <w:rFonts w:hint="eastAsia" w:ascii="仿宋_GB2312" w:hAnsi="仿宋_GB2312" w:eastAsia="仿宋_GB2312" w:cs="仿宋_GB2312"/>
          <w:color w:val="000000"/>
          <w:kern w:val="2"/>
          <w:sz w:val="32"/>
          <w:szCs w:val="32"/>
          <w:lang w:val="zh-CN" w:eastAsia="zh-CN" w:bidi="ar-SA"/>
        </w:rPr>
        <w:t>（大写）</w:t>
      </w:r>
      <w:r>
        <w:rPr>
          <w:rFonts w:hint="eastAsia" w:ascii="仿宋_GB2312" w:hAnsi="仿宋_GB2312" w:eastAsia="仿宋_GB2312" w:cs="仿宋_GB2312"/>
          <w:color w:val="000000"/>
          <w:kern w:val="2"/>
          <w:sz w:val="32"/>
          <w:szCs w:val="32"/>
          <w:u w:val="single"/>
          <w:lang w:val="zh-CN" w:eastAsia="zh-CN" w:bidi="ar-SA"/>
        </w:rPr>
        <w:t xml:space="preserve">                 </w:t>
      </w:r>
      <w:r>
        <w:rPr>
          <w:rFonts w:hint="eastAsia" w:ascii="仿宋_GB2312" w:hAnsi="仿宋_GB2312" w:eastAsia="仿宋_GB2312" w:cs="仿宋_GB2312"/>
          <w:color w:val="000000"/>
          <w:kern w:val="2"/>
          <w:sz w:val="32"/>
          <w:szCs w:val="32"/>
          <w:lang w:val="zh-CN" w:eastAsia="zh-CN" w:bidi="ar-SA"/>
        </w:rPr>
        <w:t>元。</w:t>
      </w:r>
    </w:p>
    <w:p>
      <w:pPr>
        <w:snapToGrid w:val="0"/>
        <w:spacing w:line="276" w:lineRule="auto"/>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服务范围：</w:t>
      </w:r>
    </w:p>
    <w:p>
      <w:pPr>
        <w:snapToGrid w:val="0"/>
        <w:spacing w:line="276" w:lineRule="auto"/>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服务期限：</w:t>
      </w:r>
    </w:p>
    <w:p>
      <w:pPr>
        <w:snapToGrid w:val="0"/>
        <w:spacing w:line="276" w:lineRule="auto"/>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服务地点：</w:t>
      </w:r>
    </w:p>
    <w:p>
      <w:pPr>
        <w:snapToGrid w:val="0"/>
        <w:spacing w:line="276"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三、服务内容与质量标准</w:t>
      </w:r>
    </w:p>
    <w:p>
      <w:pPr>
        <w:snapToGrid w:val="0"/>
        <w:spacing w:line="276" w:lineRule="auto"/>
        <w:ind w:left="56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p>
      <w:pPr>
        <w:snapToGrid w:val="0"/>
        <w:spacing w:line="276" w:lineRule="auto"/>
        <w:ind w:left="56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p>
    <w:p>
      <w:pPr>
        <w:snapToGrid w:val="0"/>
        <w:spacing w:line="276" w:lineRule="auto"/>
        <w:ind w:left="56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w:t>
      </w:r>
    </w:p>
    <w:p>
      <w:pPr>
        <w:tabs>
          <w:tab w:val="left" w:pos="1440"/>
        </w:tabs>
        <w:snapToGrid w:val="0"/>
        <w:spacing w:line="276" w:lineRule="auto"/>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四、付款方式：乙方所交付的产品由甲方验收，验收合格后按合同金额向乙方支付合同总价款的</w:t>
      </w:r>
      <w:r>
        <w:rPr>
          <w:rFonts w:hint="eastAsia" w:ascii="仿宋_GB2312" w:hAnsi="仿宋_GB2312" w:eastAsia="仿宋_GB2312" w:cs="仿宋_GB2312"/>
          <w:color w:val="000000"/>
          <w:kern w:val="2"/>
          <w:sz w:val="32"/>
          <w:szCs w:val="32"/>
          <w:lang w:val="en-US" w:eastAsia="zh-CN" w:bidi="ar-SA"/>
        </w:rPr>
        <w:t>95%</w:t>
      </w:r>
      <w:r>
        <w:rPr>
          <w:rFonts w:hint="eastAsia" w:ascii="仿宋_GB2312" w:hAnsi="仿宋_GB2312" w:eastAsia="仿宋_GB2312" w:cs="仿宋_GB2312"/>
          <w:color w:val="000000"/>
          <w:kern w:val="2"/>
          <w:sz w:val="32"/>
          <w:szCs w:val="32"/>
          <w:lang w:val="zh-CN" w:eastAsia="zh-CN" w:bidi="ar-SA"/>
        </w:rPr>
        <w:t>，即人民币（大写）：</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元</w:t>
      </w:r>
      <w:r>
        <w:rPr>
          <w:rFonts w:hint="eastAsia" w:ascii="仿宋_GB2312" w:hAnsi="仿宋_GB2312" w:eastAsia="仿宋_GB2312" w:cs="仿宋_GB2312"/>
          <w:color w:val="000000"/>
          <w:kern w:val="2"/>
          <w:sz w:val="32"/>
          <w:szCs w:val="32"/>
          <w:lang w:val="zh-CN" w:eastAsia="zh-CN" w:bidi="ar-SA"/>
        </w:rPr>
        <w:t>￥：（小写）</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元。留合同总价款的</w:t>
      </w:r>
      <w:r>
        <w:rPr>
          <w:rFonts w:hint="eastAsia" w:ascii="仿宋_GB2312" w:hAnsi="仿宋_GB2312" w:eastAsia="仿宋_GB2312" w:cs="仿宋_GB2312"/>
          <w:color w:val="000000"/>
          <w:kern w:val="2"/>
          <w:sz w:val="32"/>
          <w:szCs w:val="32"/>
          <w:lang w:val="en-US" w:eastAsia="zh-CN" w:bidi="ar-SA"/>
        </w:rPr>
        <w:t>5%（</w:t>
      </w:r>
      <w:r>
        <w:rPr>
          <w:rFonts w:hint="eastAsia" w:ascii="仿宋_GB2312" w:hAnsi="仿宋_GB2312" w:eastAsia="仿宋_GB2312" w:cs="仿宋_GB2312"/>
          <w:color w:val="000000"/>
          <w:kern w:val="2"/>
          <w:sz w:val="32"/>
          <w:szCs w:val="32"/>
          <w:lang w:val="zh-CN" w:eastAsia="zh-CN" w:bidi="ar-SA"/>
        </w:rPr>
        <w:t>人民币（大写）：</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元￥：（小写）</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元）作为质量保证金。质量保证金待质量保修期满且产品无质量问题后，由甲方以转账方式予以拨付乙方，不计</w:t>
      </w:r>
      <w:bookmarkStart w:id="666" w:name="_GoBack"/>
      <w:bookmarkEnd w:id="666"/>
      <w:r>
        <w:rPr>
          <w:rFonts w:hint="eastAsia" w:ascii="仿宋_GB2312" w:hAnsi="仿宋_GB2312" w:eastAsia="仿宋_GB2312" w:cs="仿宋_GB2312"/>
          <w:color w:val="000000"/>
          <w:kern w:val="2"/>
          <w:sz w:val="32"/>
          <w:szCs w:val="32"/>
          <w:lang w:val="zh-CN" w:eastAsia="zh-CN" w:bidi="ar-SA"/>
        </w:rPr>
        <w:t>利息。</w:t>
      </w:r>
    </w:p>
    <w:p>
      <w:pPr>
        <w:snapToGrid w:val="0"/>
        <w:spacing w:line="276"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五、知识产权</w:t>
      </w:r>
    </w:p>
    <w:p>
      <w:pPr>
        <w:tabs>
          <w:tab w:val="left" w:pos="1440"/>
        </w:tabs>
        <w:snapToGrid w:val="0"/>
        <w:spacing w:line="276"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乙方应保证所提供的服务或其任何一部分均不会侵犯任何第三方的专利权、商标权或著作权。</w:t>
      </w:r>
    </w:p>
    <w:p>
      <w:pPr>
        <w:snapToGrid w:val="0"/>
        <w:spacing w:line="276"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六、无产权瑕疵条款</w:t>
      </w:r>
    </w:p>
    <w:p>
      <w:pPr>
        <w:tabs>
          <w:tab w:val="left" w:pos="1440"/>
        </w:tabs>
        <w:snapToGrid w:val="0"/>
        <w:spacing w:line="276"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乙方保证所提供的服务的所有权完全属于乙方且无任何抵押、查封等产权瑕疵。如有产权瑕疵的，视为乙方违约。乙方应负担由此而产生的一切损失。</w:t>
      </w:r>
    </w:p>
    <w:p>
      <w:pPr>
        <w:snapToGrid w:val="0"/>
        <w:spacing w:line="276"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七、履约保证金</w:t>
      </w:r>
    </w:p>
    <w:p>
      <w:pPr>
        <w:pStyle w:val="11"/>
        <w:snapToGrid w:val="0"/>
        <w:spacing w:line="276"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（1）乙方交纳人民币</w:t>
      </w:r>
      <w:r>
        <w:rPr>
          <w:rFonts w:hint="eastAsia" w:ascii="仿宋_GB2312" w:hAnsi="仿宋_GB2312" w:eastAsia="仿宋_GB2312" w:cs="仿宋_GB2312"/>
          <w:color w:val="000000"/>
          <w:kern w:val="2"/>
          <w:sz w:val="32"/>
          <w:szCs w:val="32"/>
          <w:u w:val="single"/>
          <w:lang w:val="en-US" w:eastAsia="zh-CN" w:bidi="ar-SA"/>
        </w:rPr>
        <w:t>　　　　　　</w:t>
      </w:r>
      <w:r>
        <w:rPr>
          <w:rFonts w:hint="eastAsia" w:ascii="仿宋_GB2312" w:hAnsi="仿宋_GB2312" w:eastAsia="仿宋_GB2312" w:cs="仿宋_GB2312"/>
          <w:color w:val="000000"/>
          <w:kern w:val="2"/>
          <w:sz w:val="32"/>
          <w:szCs w:val="32"/>
          <w:lang w:val="en-US" w:eastAsia="zh-CN" w:bidi="ar-SA"/>
        </w:rPr>
        <w:t>元作为本合同的履约保证金。</w:t>
      </w:r>
    </w:p>
    <w:p>
      <w:pPr>
        <w:pStyle w:val="11"/>
        <w:snapToGrid w:val="0"/>
        <w:spacing w:line="276"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（2）履约保证金作为违约金的一部分及用于补偿甲方因乙方不能履行合同义务而蒙受的损失。</w:t>
      </w:r>
    </w:p>
    <w:p>
      <w:pPr>
        <w:snapToGrid w:val="0"/>
        <w:spacing w:line="276"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八、甲方的权利和义务</w:t>
      </w:r>
    </w:p>
    <w:p>
      <w:pPr>
        <w:tabs>
          <w:tab w:val="left" w:pos="1440"/>
        </w:tabs>
        <w:adjustRightInd w:val="0"/>
        <w:snapToGrid w:val="0"/>
        <w:spacing w:line="276" w:lineRule="auto"/>
        <w:ind w:left="42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（1）甲方有权对合同规定范围内乙方的服务行为进行监督和检查，拥有监管权。有权定期核对乙方提供服务所配备的人员数量。对甲方认为不合理的部分有权下达整改通知书，并要求乙方限期整改。</w:t>
      </w:r>
    </w:p>
    <w:p>
      <w:pPr>
        <w:tabs>
          <w:tab w:val="left" w:pos="1440"/>
        </w:tabs>
        <w:adjustRightInd w:val="0"/>
        <w:snapToGrid w:val="0"/>
        <w:spacing w:line="276" w:lineRule="auto"/>
        <w:ind w:left="42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（2）甲方有权依据双方签订的考评办法对乙方提供的服务进行定期考评。当考评结果未达到标准时，有权依据考评办法约定的数额扣除履约保证金。</w:t>
      </w:r>
    </w:p>
    <w:p>
      <w:pPr>
        <w:tabs>
          <w:tab w:val="left" w:pos="1440"/>
        </w:tabs>
        <w:adjustRightInd w:val="0"/>
        <w:snapToGrid w:val="0"/>
        <w:spacing w:line="276" w:lineRule="auto"/>
        <w:ind w:left="42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（3）负责检查监督乙方管理工作的实施及制度的执行情况。</w:t>
      </w:r>
    </w:p>
    <w:p>
      <w:pPr>
        <w:tabs>
          <w:tab w:val="left" w:pos="1440"/>
        </w:tabs>
        <w:adjustRightInd w:val="0"/>
        <w:snapToGrid w:val="0"/>
        <w:spacing w:line="276" w:lineRule="auto"/>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（4）根据本合同规定，按时向乙方支付应付服务费用。</w:t>
      </w:r>
    </w:p>
    <w:p>
      <w:pPr>
        <w:tabs>
          <w:tab w:val="left" w:pos="1440"/>
        </w:tabs>
        <w:adjustRightInd w:val="0"/>
        <w:snapToGrid w:val="0"/>
        <w:spacing w:line="276" w:lineRule="auto"/>
        <w:ind w:left="42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（5）国家法律、法规所规定由甲方承担的其它责任。</w:t>
      </w:r>
    </w:p>
    <w:p>
      <w:pPr>
        <w:snapToGrid w:val="0"/>
        <w:spacing w:line="276"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九、乙方的权利和义务</w:t>
      </w:r>
    </w:p>
    <w:p>
      <w:pPr>
        <w:adjustRightInd w:val="0"/>
        <w:snapToGrid w:val="0"/>
        <w:spacing w:line="276" w:lineRule="auto"/>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（1）对本合同规定的委托服务范围内的项目享有管理权及服务义务。</w:t>
      </w:r>
    </w:p>
    <w:p>
      <w:pPr>
        <w:adjustRightInd w:val="0"/>
        <w:snapToGrid w:val="0"/>
        <w:spacing w:line="276" w:lineRule="auto"/>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（2）根据本合同的规定向甲方收取相关服务费用，并有权在本项目管理范围内管理及合理使用。</w:t>
      </w:r>
    </w:p>
    <w:p>
      <w:pPr>
        <w:adjustRightInd w:val="0"/>
        <w:snapToGrid w:val="0"/>
        <w:spacing w:line="276" w:lineRule="auto"/>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（3）及时向甲方通告本项目服务范围内有关服务的重大事项，及时配合处理投诉。</w:t>
      </w:r>
    </w:p>
    <w:p>
      <w:pPr>
        <w:adjustRightInd w:val="0"/>
        <w:snapToGrid w:val="0"/>
        <w:spacing w:line="276" w:lineRule="auto"/>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（4）接受项目行业管理部门及政府有关部门的指导，接受甲方的监督。</w:t>
      </w:r>
    </w:p>
    <w:p>
      <w:pPr>
        <w:adjustRightInd w:val="0"/>
        <w:snapToGrid w:val="0"/>
        <w:spacing w:line="276" w:lineRule="auto"/>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（5）国家法律、法规所规定由乙方承担的其它责任。</w:t>
      </w:r>
    </w:p>
    <w:p>
      <w:pPr>
        <w:snapToGrid w:val="0"/>
        <w:spacing w:line="276"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十、违约责任</w:t>
      </w:r>
    </w:p>
    <w:p>
      <w:pPr>
        <w:adjustRightInd w:val="0"/>
        <w:snapToGrid w:val="0"/>
        <w:spacing w:line="276" w:lineRule="auto"/>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（1）甲乙双方必须遵守本合同并执行合同中的各项规定，保证本合同的正常履行。</w:t>
      </w:r>
    </w:p>
    <w:p>
      <w:pPr>
        <w:adjustRightInd w:val="0"/>
        <w:snapToGrid w:val="0"/>
        <w:spacing w:line="276" w:lineRule="auto"/>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napToGrid w:val="0"/>
        <w:spacing w:line="276"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十一、不可抗力事件处理</w:t>
      </w:r>
    </w:p>
    <w:p>
      <w:pPr>
        <w:tabs>
          <w:tab w:val="left" w:pos="0"/>
        </w:tabs>
        <w:snapToGrid w:val="0"/>
        <w:spacing w:line="276"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（1）在合同有效期内，任何一方因不可抗力事件导致不能履行合同，则合同履行期可延长，其延长期与不可抗力影响期相同。</w:t>
      </w:r>
    </w:p>
    <w:p>
      <w:pPr>
        <w:tabs>
          <w:tab w:val="left" w:pos="0"/>
        </w:tabs>
        <w:snapToGrid w:val="0"/>
        <w:spacing w:line="276"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（2）不可抗力事件发生后，应立即通知对方，并寄送有关权威机构出具的证明。</w:t>
      </w:r>
    </w:p>
    <w:p>
      <w:pPr>
        <w:tabs>
          <w:tab w:val="left" w:pos="0"/>
        </w:tabs>
        <w:snapToGrid w:val="0"/>
        <w:spacing w:line="276" w:lineRule="auto"/>
        <w:ind w:right="-143" w:rightChars="-68"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（3）不可抗力事件延续120天以上，双方应通过友好协商，确定是否继续履行合同。</w:t>
      </w:r>
    </w:p>
    <w:p>
      <w:pPr>
        <w:snapToGrid w:val="0"/>
        <w:spacing w:line="276" w:lineRule="auto"/>
        <w:rPr>
          <w:rFonts w:hint="eastAsia" w:ascii="仿宋_GB2312" w:hAnsi="仿宋_GB2312" w:eastAsia="仿宋_GB2312" w:cs="仿宋_GB2312"/>
          <w:color w:val="000000"/>
          <w:kern w:val="2"/>
          <w:sz w:val="32"/>
          <w:szCs w:val="32"/>
          <w:lang w:val="en-US" w:eastAsia="zh-CN" w:bidi="ar-SA"/>
        </w:rPr>
      </w:pPr>
      <w:bookmarkStart w:id="562" w:name="_Toc241833908"/>
      <w:bookmarkStart w:id="563" w:name="_Toc225654649"/>
      <w:bookmarkStart w:id="564" w:name="_Toc237145411"/>
      <w:bookmarkStart w:id="565" w:name="_Toc211911353"/>
      <w:bookmarkStart w:id="566" w:name="_Toc238984980"/>
      <w:bookmarkStart w:id="567" w:name="_Toc211854454"/>
      <w:bookmarkStart w:id="568" w:name="_Toc225670756"/>
      <w:bookmarkStart w:id="569" w:name="_Toc239568423"/>
      <w:bookmarkStart w:id="570" w:name="_Toc225244857"/>
      <w:bookmarkStart w:id="571" w:name="_Toc239233919"/>
      <w:bookmarkStart w:id="572" w:name="_Toc286993792"/>
      <w:bookmarkStart w:id="573" w:name="_Toc251768867"/>
      <w:bookmarkStart w:id="574" w:name="_Toc247334846"/>
      <w:bookmarkStart w:id="575" w:name="_Toc185395254"/>
      <w:bookmarkStart w:id="576" w:name="_Toc232492933"/>
      <w:bookmarkStart w:id="577" w:name="_Toc212019599"/>
      <w:r>
        <w:rPr>
          <w:rFonts w:hint="eastAsia" w:ascii="仿宋_GB2312" w:hAnsi="仿宋_GB2312" w:eastAsia="仿宋_GB2312" w:cs="仿宋_GB2312"/>
          <w:color w:val="000000"/>
          <w:kern w:val="2"/>
          <w:sz w:val="32"/>
          <w:szCs w:val="32"/>
          <w:lang w:val="en-US" w:eastAsia="zh-CN" w:bidi="ar-SA"/>
        </w:rPr>
        <w:t>十二、解决合同纠纷的方式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tabs>
          <w:tab w:val="left" w:pos="0"/>
        </w:tabs>
        <w:snapToGrid w:val="0"/>
        <w:spacing w:line="276" w:lineRule="auto"/>
        <w:ind w:left="426"/>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（1）在执行本合同中发生的或与本合同有关的争端，双方应通过友好协商解决，经协商在60天内不能达成协议时，应提交仲裁委员会仲裁。</w:t>
      </w:r>
    </w:p>
    <w:p>
      <w:pPr>
        <w:tabs>
          <w:tab w:val="left" w:pos="0"/>
        </w:tabs>
        <w:snapToGrid w:val="0"/>
        <w:spacing w:line="276"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（2）仲裁裁决应为最终决定，并对双方具有约束力。</w:t>
      </w:r>
    </w:p>
    <w:p>
      <w:pPr>
        <w:tabs>
          <w:tab w:val="left" w:pos="0"/>
        </w:tabs>
        <w:snapToGrid w:val="0"/>
        <w:spacing w:line="276"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（3）除另有裁决外，仲裁费应由败诉方负担。 </w:t>
      </w:r>
    </w:p>
    <w:p>
      <w:pPr>
        <w:autoSpaceDE w:val="0"/>
        <w:autoSpaceDN w:val="0"/>
        <w:spacing w:line="360" w:lineRule="auto"/>
        <w:ind w:firstLine="36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在仲裁期间，除正在进行仲裁部分外，合同其他部分继续执行。</w:t>
      </w:r>
      <w:r>
        <w:rPr>
          <w:rFonts w:hint="eastAsia" w:ascii="仿宋_GB2312" w:hAnsi="仿宋_GB2312" w:eastAsia="仿宋_GB2312" w:cs="仿宋_GB2312"/>
          <w:color w:val="000000"/>
          <w:kern w:val="2"/>
          <w:sz w:val="32"/>
          <w:szCs w:val="32"/>
          <w:lang w:val="zh-CN" w:eastAsia="zh-CN" w:bidi="ar-SA"/>
        </w:rPr>
        <w:t>。</w:t>
      </w: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十三、合同生效及其它</w:t>
      </w:r>
      <w:r>
        <w:rPr>
          <w:rFonts w:hint="eastAsia" w:ascii="仿宋_GB2312" w:hAnsi="仿宋_GB2312" w:eastAsia="仿宋_GB2312" w:cs="仿宋_GB2312"/>
          <w:color w:val="000000"/>
          <w:kern w:val="2"/>
          <w:sz w:val="32"/>
          <w:szCs w:val="32"/>
          <w:lang w:val="en-US" w:eastAsia="zh-CN" w:bidi="ar-SA"/>
        </w:rPr>
        <w:t>：</w:t>
      </w:r>
    </w:p>
    <w:p>
      <w:pPr>
        <w:autoSpaceDE w:val="0"/>
        <w:autoSpaceDN w:val="0"/>
        <w:adjustRightInd w:val="0"/>
        <w:snapToGrid w:val="0"/>
        <w:spacing w:line="360" w:lineRule="auto"/>
        <w:ind w:firstLine="48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zh-CN" w:eastAsia="zh-CN" w:bidi="ar-SA"/>
        </w:rPr>
        <w:t>本合同一式</w:t>
      </w:r>
      <w:r>
        <w:rPr>
          <w:rFonts w:hint="eastAsia" w:ascii="仿宋_GB2312" w:hAnsi="仿宋_GB2312" w:eastAsia="仿宋_GB2312" w:cs="仿宋_GB2312"/>
          <w:color w:val="000000"/>
          <w:kern w:val="2"/>
          <w:sz w:val="32"/>
          <w:szCs w:val="32"/>
          <w:u w:val="single"/>
          <w:lang w:val="zh-CN" w:eastAsia="zh-CN" w:bidi="ar-SA"/>
        </w:rPr>
        <w:t xml:space="preserve">    </w:t>
      </w:r>
      <w:r>
        <w:rPr>
          <w:rFonts w:hint="eastAsia" w:ascii="仿宋_GB2312" w:hAnsi="仿宋_GB2312" w:eastAsia="仿宋_GB2312" w:cs="仿宋_GB2312"/>
          <w:color w:val="000000"/>
          <w:kern w:val="2"/>
          <w:sz w:val="32"/>
          <w:szCs w:val="32"/>
          <w:lang w:val="zh-CN" w:eastAsia="zh-CN" w:bidi="ar-SA"/>
        </w:rPr>
        <w:t>份，甲方</w:t>
      </w:r>
      <w:r>
        <w:rPr>
          <w:rFonts w:hint="eastAsia" w:ascii="仿宋_GB2312" w:hAnsi="仿宋_GB2312" w:eastAsia="仿宋_GB2312" w:cs="仿宋_GB2312"/>
          <w:color w:val="000000"/>
          <w:kern w:val="2"/>
          <w:sz w:val="32"/>
          <w:szCs w:val="32"/>
          <w:u w:val="single"/>
          <w:lang w:val="zh-CN" w:eastAsia="zh-CN" w:bidi="ar-SA"/>
        </w:rPr>
        <w:t xml:space="preserve">  </w:t>
      </w:r>
      <w:r>
        <w:rPr>
          <w:rFonts w:hint="eastAsia" w:ascii="仿宋_GB2312" w:hAnsi="仿宋_GB2312" w:eastAsia="仿宋_GB2312" w:cs="仿宋_GB2312"/>
          <w:color w:val="000000"/>
          <w:kern w:val="2"/>
          <w:sz w:val="32"/>
          <w:szCs w:val="32"/>
          <w:lang w:val="en-US" w:eastAsia="zh-CN" w:bidi="ar-SA"/>
        </w:rPr>
        <w:t>份，乙方</w:t>
      </w:r>
      <w:r>
        <w:rPr>
          <w:rFonts w:hint="eastAsia" w:ascii="仿宋_GB2312" w:hAnsi="仿宋_GB2312" w:eastAsia="仿宋_GB2312" w:cs="仿宋_GB2312"/>
          <w:color w:val="000000"/>
          <w:kern w:val="2"/>
          <w:sz w:val="32"/>
          <w:szCs w:val="32"/>
          <w:u w:val="single"/>
          <w:lang w:val="zh-CN" w:eastAsia="zh-CN" w:bidi="ar-SA"/>
        </w:rPr>
        <w:t xml:space="preserve">  </w:t>
      </w:r>
      <w:r>
        <w:rPr>
          <w:rFonts w:hint="eastAsia" w:ascii="仿宋_GB2312" w:hAnsi="仿宋_GB2312" w:eastAsia="仿宋_GB2312" w:cs="仿宋_GB2312"/>
          <w:color w:val="000000"/>
          <w:kern w:val="2"/>
          <w:sz w:val="32"/>
          <w:szCs w:val="32"/>
          <w:lang w:val="en-US" w:eastAsia="zh-CN" w:bidi="ar-SA"/>
        </w:rPr>
        <w:t>份 ，采购代理机构</w:t>
      </w:r>
      <w:r>
        <w:rPr>
          <w:rFonts w:hint="eastAsia" w:ascii="仿宋_GB2312" w:hAnsi="仿宋_GB2312" w:eastAsia="仿宋_GB2312" w:cs="仿宋_GB2312"/>
          <w:color w:val="000000"/>
          <w:kern w:val="2"/>
          <w:sz w:val="32"/>
          <w:szCs w:val="32"/>
          <w:lang w:val="zh-CN" w:eastAsia="zh-CN" w:bidi="ar-SA"/>
        </w:rPr>
        <w:t xml:space="preserve"> </w:t>
      </w:r>
      <w:r>
        <w:rPr>
          <w:rFonts w:hint="eastAsia" w:ascii="仿宋_GB2312" w:hAnsi="仿宋_GB2312" w:eastAsia="仿宋_GB2312" w:cs="仿宋_GB2312"/>
          <w:color w:val="000000"/>
          <w:kern w:val="2"/>
          <w:sz w:val="32"/>
          <w:szCs w:val="32"/>
          <w:u w:val="single"/>
          <w:lang w:val="en-US" w:eastAsia="zh-CN" w:bidi="ar-SA"/>
        </w:rPr>
        <w:t>3</w:t>
      </w:r>
      <w:r>
        <w:rPr>
          <w:rFonts w:hint="eastAsia" w:ascii="仿宋_GB2312" w:hAnsi="仿宋_GB2312" w:eastAsia="仿宋_GB2312" w:cs="仿宋_GB2312"/>
          <w:color w:val="000000"/>
          <w:kern w:val="2"/>
          <w:sz w:val="32"/>
          <w:szCs w:val="32"/>
          <w:u w:val="single"/>
          <w:lang w:val="zh-CN" w:eastAsia="zh-CN" w:bidi="ar-SA"/>
        </w:rPr>
        <w:t xml:space="preserve"> </w:t>
      </w:r>
      <w:r>
        <w:rPr>
          <w:rFonts w:hint="eastAsia" w:ascii="仿宋_GB2312" w:hAnsi="仿宋_GB2312" w:eastAsia="仿宋_GB2312" w:cs="仿宋_GB2312"/>
          <w:color w:val="000000"/>
          <w:kern w:val="2"/>
          <w:sz w:val="32"/>
          <w:szCs w:val="32"/>
          <w:lang w:val="en-US" w:eastAsia="zh-CN" w:bidi="ar-SA"/>
        </w:rPr>
        <w:t>份。</w:t>
      </w:r>
      <w:r>
        <w:rPr>
          <w:rFonts w:hint="eastAsia" w:ascii="仿宋_GB2312" w:hAnsi="仿宋_GB2312" w:eastAsia="仿宋_GB2312" w:cs="仿宋_GB2312"/>
          <w:color w:val="000000"/>
          <w:kern w:val="2"/>
          <w:sz w:val="32"/>
          <w:szCs w:val="32"/>
          <w:lang w:val="zh-CN" w:eastAsia="zh-CN" w:bidi="ar-SA"/>
        </w:rPr>
        <w:t>经双方签字，并加盖公章即为生效。</w:t>
      </w:r>
    </w:p>
    <w:p>
      <w:pPr>
        <w:autoSpaceDE w:val="0"/>
        <w:autoSpaceDN w:val="0"/>
        <w:spacing w:line="360" w:lineRule="auto"/>
        <w:ind w:firstLine="36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zh-CN" w:eastAsia="zh-CN" w:bidi="ar-SA"/>
        </w:rPr>
        <w:t>本合同未尽事宜，按经济合同法有关规定处理。</w:t>
      </w:r>
    </w:p>
    <w:p>
      <w:pPr>
        <w:autoSpaceDE w:val="0"/>
        <w:autoSpaceDN w:val="0"/>
        <w:spacing w:line="360" w:lineRule="auto"/>
        <w:ind w:firstLine="36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zh-CN" w:eastAsia="zh-CN" w:bidi="ar-SA"/>
        </w:rPr>
        <w:t>本合同的组成包含《合同通用条款》。</w:t>
      </w: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甲方（盖章）：</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乙方（盖章）：</w:t>
      </w: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法定代表人或委托代理人</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法定代表人或委托代理人</w:t>
      </w:r>
      <w:r>
        <w:rPr>
          <w:rFonts w:hint="eastAsia" w:ascii="仿宋_GB2312" w:hAnsi="仿宋_GB2312" w:eastAsia="仿宋_GB2312" w:cs="仿宋_GB2312"/>
          <w:color w:val="000000"/>
          <w:kern w:val="2"/>
          <w:sz w:val="32"/>
          <w:szCs w:val="32"/>
          <w:lang w:val="en-US" w:eastAsia="zh-CN" w:bidi="ar-SA"/>
        </w:rPr>
        <w:t>：</w:t>
      </w: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开户银行：</w:t>
      </w: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联系电话：</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账号：</w:t>
      </w: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联系电话：</w:t>
      </w:r>
    </w:p>
    <w:p>
      <w:pPr>
        <w:autoSpaceDE w:val="0"/>
        <w:autoSpaceDN w:val="0"/>
        <w:spacing w:line="360" w:lineRule="auto"/>
        <w:ind w:firstLine="1760" w:firstLineChars="55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签约时间：</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年</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月</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日</w:t>
      </w:r>
    </w:p>
    <w:p>
      <w:pPr>
        <w:autoSpaceDE w:val="0"/>
        <w:autoSpaceDN w:val="0"/>
        <w:spacing w:line="360" w:lineRule="auto"/>
        <w:rPr>
          <w:rFonts w:hint="eastAsia" w:ascii="仿宋_GB2312" w:hAnsi="仿宋_GB2312" w:eastAsia="仿宋_GB2312" w:cs="仿宋_GB2312"/>
          <w:color w:val="000000"/>
          <w:kern w:val="2"/>
          <w:sz w:val="32"/>
          <w:szCs w:val="32"/>
          <w:lang w:val="zh-CN" w:eastAsia="zh-CN" w:bidi="ar-SA"/>
        </w:rPr>
      </w:pP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采购代理机构：</w:t>
      </w:r>
      <w:r>
        <w:rPr>
          <w:rFonts w:hint="eastAsia" w:ascii="仿宋_GB2312" w:hAnsi="仿宋_GB2312" w:eastAsia="仿宋_GB2312" w:cs="仿宋_GB2312"/>
          <w:color w:val="000000"/>
          <w:kern w:val="2"/>
          <w:sz w:val="32"/>
          <w:szCs w:val="32"/>
          <w:lang w:val="en-US" w:eastAsia="zh-CN" w:bidi="ar-SA"/>
        </w:rPr>
        <w:t>青海凌星项目管理有限公司</w:t>
      </w: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负责人或经办人：</w:t>
      </w:r>
    </w:p>
    <w:p>
      <w:pPr>
        <w:autoSpaceDE w:val="0"/>
        <w:autoSpaceDN w:val="0"/>
        <w:spacing w:line="360" w:lineRule="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时间：</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年</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月</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日</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pPr>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br w:type="page"/>
      </w:r>
    </w:p>
    <w:p>
      <w:pPr>
        <w:adjustRightInd w:val="0"/>
        <w:snapToGrid w:val="0"/>
        <w:spacing w:line="560" w:lineRule="exact"/>
        <w:ind w:firstLine="640" w:firstLineChars="200"/>
        <w:jc w:val="center"/>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合同通用条款</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根据《</w:t>
      </w:r>
      <w:r>
        <w:rPr>
          <w:rFonts w:hint="eastAsia" w:ascii="仿宋_GB2312" w:hAnsi="仿宋_GB2312" w:eastAsia="仿宋_GB2312" w:cs="仿宋_GB2312"/>
          <w:bCs/>
          <w:color w:val="000000" w:themeColor="text1"/>
          <w:sz w:val="32"/>
          <w:szCs w:val="32"/>
          <w:lang w:val="zh-CN"/>
          <w14:textFill>
            <w14:solidFill>
              <w14:schemeClr w14:val="tx1"/>
            </w14:solidFill>
          </w14:textFill>
        </w:rPr>
        <w:t>中华人民共和国民法典</w:t>
      </w:r>
      <w:r>
        <w:rPr>
          <w:rFonts w:hint="eastAsia" w:ascii="仿宋_GB2312" w:hAnsi="仿宋_GB2312" w:eastAsia="仿宋_GB2312" w:cs="仿宋_GB2312"/>
          <w:bCs/>
          <w:color w:val="000000" w:themeColor="text1"/>
          <w:sz w:val="32"/>
          <w:szCs w:val="32"/>
          <w14:textFill>
            <w14:solidFill>
              <w14:schemeClr w14:val="tx1"/>
            </w14:solidFill>
          </w14:textFill>
        </w:rPr>
        <w:t>》、《中华人民共和国政府采购法》的规定，合同双方经协商达成一致，自愿订立本合同，遵循公平原则明确双方的权利、义务，确保双方诚实守信地履行合同。</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578" w:name="_Toc20198_WPSOffice_Level2"/>
      <w:bookmarkStart w:id="579" w:name="_Toc22507_WPSOffice_Level2"/>
      <w:bookmarkStart w:id="580" w:name="_Toc26412_WPSOffice_Level2"/>
      <w:r>
        <w:rPr>
          <w:rFonts w:hint="eastAsia" w:ascii="仿宋_GB2312" w:hAnsi="仿宋_GB2312" w:eastAsia="仿宋_GB2312" w:cs="仿宋_GB2312"/>
          <w:bCs/>
          <w:color w:val="000000" w:themeColor="text1"/>
          <w:sz w:val="32"/>
          <w:szCs w:val="32"/>
          <w14:textFill>
            <w14:solidFill>
              <w14:schemeClr w14:val="tx1"/>
            </w14:solidFill>
          </w14:textFill>
        </w:rPr>
        <w:t>1.定义</w:t>
      </w:r>
      <w:bookmarkEnd w:id="578"/>
      <w:bookmarkEnd w:id="579"/>
      <w:bookmarkEnd w:id="580"/>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本合同中的下列术语应解释为：</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 “合同”指甲乙双方签署的、载明的甲乙双方权利义务的协议，包括所有的附件、附录和上述文件所提到的构成合同的所有文件。</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1.2 “合同金额”指根据合同规定，乙方在正确地完全履行合同义务后甲方应付给乙方的价款。</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1.3 “合同条款”指本合同条款。</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1.4 “货物”指乙方根据合同约定须向甲方提供的一切产品、设备、机械、仪表、备件等，包括辅助工具、使用手册等相关资料。</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1.5 “服务”指根据本合同规定乙方承担与供货有关的辅助服务，如运输、保险及安装、调试、提供技术援助、培训和合同中规定乙方应承担的其它义务。</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1.6 “甲方”指购买货物和服务的单位。</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1.7 “乙方”指提供本合同条款下货物和服务的公司或其他实体。</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1.8 “现场”指合同规定货物将要运至和安装的地点。</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1.9 “验收”指合同双方依据强制性的国家技术质量规范和合同约定，确认合同条款下的货物符合合同规定的活动。</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1.10原厂商：产品制造商或其在中国境内设立的办事或技术服务机构。除另有说明外，本合同文件所述的制造商、产品制造商、制造厂家、产品制造厂家均为原厂商。</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1.11 原产地：指产品的生产地，或提供服务的来源地。</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1.12 “工作日”指国家法定工作日，“天”指日历天数。</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581" w:name="_Toc9343_WPSOffice_Level2"/>
      <w:bookmarkStart w:id="582" w:name="_Toc21237_WPSOffice_Level2"/>
      <w:bookmarkStart w:id="583" w:name="_Toc20210_WPSOffice_Level2"/>
      <w:r>
        <w:rPr>
          <w:rFonts w:hint="eastAsia" w:ascii="仿宋_GB2312" w:hAnsi="仿宋_GB2312" w:eastAsia="仿宋_GB2312" w:cs="仿宋_GB2312"/>
          <w:bCs/>
          <w:color w:val="000000" w:themeColor="text1"/>
          <w:sz w:val="32"/>
          <w:szCs w:val="32"/>
          <w14:textFill>
            <w14:solidFill>
              <w14:schemeClr w14:val="tx1"/>
            </w14:solidFill>
          </w14:textFill>
        </w:rPr>
        <w:t>2.技术规格要求</w:t>
      </w:r>
      <w:bookmarkEnd w:id="581"/>
      <w:bookmarkEnd w:id="582"/>
      <w:bookmarkEnd w:id="583"/>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 本合同条款下提交货物的技术规格要求应等于或优于谈判文件、谈判响应文件技术规格要求。若技术规格要求中无相应规定，则应符合相应的国家有关部门最新颁布的相应正式标准。</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2.2 乙方应向甲方提供货物及服务有关的标准的中文文本。</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2.3 除非技术规范中另有规定，计量单位均采用中华人民共和国法定计量单位。</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584" w:name="_Toc23823_WPSOffice_Level2"/>
      <w:bookmarkStart w:id="585" w:name="_Toc26773_WPSOffice_Level2"/>
      <w:bookmarkStart w:id="586" w:name="_Toc415_WPSOffice_Level2"/>
      <w:r>
        <w:rPr>
          <w:rFonts w:hint="eastAsia" w:ascii="仿宋_GB2312" w:hAnsi="仿宋_GB2312" w:eastAsia="仿宋_GB2312" w:cs="仿宋_GB2312"/>
          <w:bCs/>
          <w:color w:val="000000" w:themeColor="text1"/>
          <w:sz w:val="32"/>
          <w:szCs w:val="32"/>
          <w14:textFill>
            <w14:solidFill>
              <w14:schemeClr w14:val="tx1"/>
            </w14:solidFill>
          </w14:textFill>
        </w:rPr>
        <w:t>3.合同范围</w:t>
      </w:r>
      <w:bookmarkEnd w:id="584"/>
      <w:bookmarkEnd w:id="585"/>
      <w:bookmarkEnd w:id="586"/>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3.2 乙方应负责培训甲方的技术人员。</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587" w:name="_Toc22989_WPSOffice_Level2"/>
      <w:bookmarkStart w:id="588" w:name="_Toc1426_WPSOffice_Level2"/>
      <w:bookmarkStart w:id="589" w:name="_Toc27544_WPSOffice_Level2"/>
      <w:r>
        <w:rPr>
          <w:rFonts w:hint="eastAsia" w:ascii="仿宋_GB2312" w:hAnsi="仿宋_GB2312" w:eastAsia="仿宋_GB2312" w:cs="仿宋_GB2312"/>
          <w:bCs/>
          <w:color w:val="000000" w:themeColor="text1"/>
          <w:sz w:val="32"/>
          <w:szCs w:val="32"/>
          <w14:textFill>
            <w14:solidFill>
              <w14:schemeClr w14:val="tx1"/>
            </w14:solidFill>
          </w14:textFill>
        </w:rPr>
        <w:t>4.合同文件和资料</w:t>
      </w:r>
      <w:bookmarkEnd w:id="587"/>
      <w:bookmarkEnd w:id="588"/>
      <w:bookmarkEnd w:id="589"/>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4.1乙方在提供仪器设备时应同时提供中文版相关的技术资料，如目录索引、图纸、操作手册、使用指南、维修指南、服务手册等。</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590" w:name="_Toc18584_WPSOffice_Level2"/>
      <w:bookmarkStart w:id="591" w:name="_Toc14802_WPSOffice_Level2"/>
      <w:bookmarkStart w:id="592" w:name="_Toc23784_WPSOffice_Level2"/>
      <w:r>
        <w:rPr>
          <w:rFonts w:hint="eastAsia" w:ascii="仿宋_GB2312" w:hAnsi="仿宋_GB2312" w:eastAsia="仿宋_GB2312" w:cs="仿宋_GB2312"/>
          <w:bCs/>
          <w:color w:val="000000" w:themeColor="text1"/>
          <w:sz w:val="32"/>
          <w:szCs w:val="32"/>
          <w14:textFill>
            <w14:solidFill>
              <w14:schemeClr w14:val="tx1"/>
            </w14:solidFill>
          </w14:textFill>
        </w:rPr>
        <w:t>5.知识产权</w:t>
      </w:r>
      <w:bookmarkEnd w:id="590"/>
      <w:bookmarkEnd w:id="591"/>
      <w:bookmarkEnd w:id="592"/>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5.1乙方应保证甲方在使用该货物或其任何一部分时不受第三方提出的侵犯专利权、 著作权、商标权和工业设计权等的起诉。</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5.2任何第三方提出侵权指控，乙方须与第三方交涉并承担由此产生的一切责任、费用和经济赔偿。</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5.3双方应共同遵守国家有关版权、专利、商标等知识产权方面的法律规定，相互尊重对方的知识产权，对本合同内容、对方的技术秘密和商业秘密负有保密责任。如有违反，违约方负相关法律责任。</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5.4在本合同生效时已经存在并为各方合法拥有或使用的所有技术、资料和信息的知识产权，仍应属于其各自的原权利人所有或享有，另有约定的除外。</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593" w:name="_Toc25026_WPSOffice_Level2"/>
      <w:bookmarkStart w:id="594" w:name="_Toc22229_WPSOffice_Level2"/>
      <w:bookmarkStart w:id="595" w:name="_Toc13395_WPSOffice_Level2"/>
      <w:r>
        <w:rPr>
          <w:rFonts w:hint="eastAsia" w:ascii="仿宋_GB2312" w:hAnsi="仿宋_GB2312" w:eastAsia="仿宋_GB2312" w:cs="仿宋_GB2312"/>
          <w:bCs/>
          <w:color w:val="000000" w:themeColor="text1"/>
          <w:sz w:val="32"/>
          <w:szCs w:val="32"/>
          <w14:textFill>
            <w14:solidFill>
              <w14:schemeClr w14:val="tx1"/>
            </w14:solidFill>
          </w14:textFill>
        </w:rPr>
        <w:t>6.保密</w:t>
      </w:r>
      <w:bookmarkEnd w:id="593"/>
      <w:bookmarkEnd w:id="594"/>
      <w:bookmarkEnd w:id="595"/>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6.2保密信息指任何一方因履行本合同所知悉的任何以口头、书面、图表或电子形式存在的对方信息，具体包括：</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6.2.1任何涉及对方过去、现在或将来的商业计划、规章制度、操作规程、处理手段、财务信息；</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6.2.2任何对方的技术措施、技术方案、软件应用及开发，硬件设备的品种、质量、数量、品牌等；</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6.2.3任何对方的技术秘密或专有知识、文件 、报告、数据、客户软件、流程图、数据库、发明、知识、贸易秘密。</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6.3乙方应根据甲方的要求签署相应的保密协议，保密协议与本条款存在不一致的，以保密协议为准。</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596" w:name="_Toc23853_WPSOffice_Level2"/>
      <w:bookmarkStart w:id="597" w:name="_Toc12645_WPSOffice_Level2"/>
      <w:bookmarkStart w:id="598" w:name="_Toc6752_WPSOffice_Level2"/>
      <w:r>
        <w:rPr>
          <w:rFonts w:hint="eastAsia" w:ascii="仿宋_GB2312" w:hAnsi="仿宋_GB2312" w:eastAsia="仿宋_GB2312" w:cs="仿宋_GB2312"/>
          <w:bCs/>
          <w:color w:val="000000" w:themeColor="text1"/>
          <w:sz w:val="32"/>
          <w:szCs w:val="32"/>
          <w14:textFill>
            <w14:solidFill>
              <w14:schemeClr w14:val="tx1"/>
            </w14:solidFill>
          </w14:textFill>
        </w:rPr>
        <w:t>7. 质量保证</w:t>
      </w:r>
      <w:bookmarkEnd w:id="596"/>
      <w:bookmarkEnd w:id="597"/>
      <w:bookmarkEnd w:id="598"/>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599" w:name="_Toc26729_WPSOffice_Level3"/>
      <w:bookmarkStart w:id="600" w:name="_Toc8450_WPSOffice_Level3"/>
      <w:r>
        <w:rPr>
          <w:rFonts w:hint="eastAsia" w:ascii="仿宋_GB2312" w:hAnsi="仿宋_GB2312" w:eastAsia="仿宋_GB2312" w:cs="仿宋_GB2312"/>
          <w:bCs/>
          <w:color w:val="000000" w:themeColor="text1"/>
          <w:sz w:val="32"/>
          <w:szCs w:val="32"/>
          <w14:textFill>
            <w14:solidFill>
              <w14:schemeClr w14:val="tx1"/>
            </w14:solidFill>
          </w14:textFill>
        </w:rPr>
        <w:t>7.1货物质量保证</w:t>
      </w:r>
      <w:bookmarkEnd w:id="599"/>
      <w:bookmarkEnd w:id="600"/>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7.1.1乙方必须保证货物是全新、未使用过的，并完全符合强制性的国家技术质量规范和合同规定的质量、规格、性能和技术规范等的要求。</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7.1.5 合同条款下货物的质量保证期自货物通过最终验收起算，合同另行规定除外。</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01" w:name="_Toc18945_WPSOffice_Level3"/>
      <w:bookmarkStart w:id="602" w:name="_Toc9593_WPSOffice_Level3"/>
      <w:r>
        <w:rPr>
          <w:rFonts w:hint="eastAsia" w:ascii="仿宋_GB2312" w:hAnsi="仿宋_GB2312" w:eastAsia="仿宋_GB2312" w:cs="仿宋_GB2312"/>
          <w:bCs/>
          <w:color w:val="000000" w:themeColor="text1"/>
          <w:sz w:val="32"/>
          <w:szCs w:val="32"/>
          <w14:textFill>
            <w14:solidFill>
              <w14:schemeClr w14:val="tx1"/>
            </w14:solidFill>
          </w14:textFill>
        </w:rPr>
        <w:t>7.2辅助服务质量保证</w:t>
      </w:r>
      <w:bookmarkEnd w:id="601"/>
      <w:bookmarkEnd w:id="602"/>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7.2.2乙方应保证合同条款下所提供的服务包括培训、安装指导、单机调试、系统联调和试验等，按合同规定方式进行，并保证不存在因乙方工作人员的过失、错误或疏忽而产生的缺陷。</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03" w:name="_Toc19930_WPSOffice_Level2"/>
      <w:bookmarkStart w:id="604" w:name="_Toc444_WPSOffice_Level2"/>
      <w:bookmarkStart w:id="605" w:name="_Toc16656_WPSOffice_Level2"/>
      <w:r>
        <w:rPr>
          <w:rFonts w:hint="eastAsia" w:ascii="仿宋_GB2312" w:hAnsi="仿宋_GB2312" w:eastAsia="仿宋_GB2312" w:cs="仿宋_GB2312"/>
          <w:bCs/>
          <w:color w:val="000000" w:themeColor="text1"/>
          <w:sz w:val="32"/>
          <w:szCs w:val="32"/>
          <w14:textFill>
            <w14:solidFill>
              <w14:schemeClr w14:val="tx1"/>
            </w14:solidFill>
          </w14:textFill>
        </w:rPr>
        <w:t>8.包装要求</w:t>
      </w:r>
      <w:bookmarkEnd w:id="603"/>
      <w:bookmarkEnd w:id="604"/>
      <w:bookmarkEnd w:id="605"/>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8.1 除合同另有约定外，乙方提供的全部货物，均应采用本行业通用的方式进行包装，且该包装应符合国家有关包装的法律、法规的规定。</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8.2 包装应适应于远距离运输，并有良好的防潮、防震、防锈和防粗暴装卸等保护措施，以确保货物安全运抵现场。由于包装不善所引起的货物锈蚀、损坏和损失均由乙方承担。</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乙方应提供货物运至合同规定的最终目的地所需要的包装，以防止货物在转运中损坏或变质。</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8.3 乙方所提供的货物包装均为出厂时原包装。</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8.4 乙方所提供货物必须附有质量合格证，装箱清单，主机、附件、各种零部件和消耗品，有清楚的与装箱单相对应的名称和编号。</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8.5 货物运输中的运输费用和保险费用均由乙方承担。运输过程中的一切损失、损坏均由乙方负责。</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06" w:name="_Toc15918_WPSOffice_Level2"/>
      <w:bookmarkStart w:id="607" w:name="_Toc9360_WPSOffice_Level2"/>
      <w:bookmarkStart w:id="608" w:name="_Toc19342_WPSOffice_Level2"/>
      <w:r>
        <w:rPr>
          <w:rFonts w:hint="eastAsia" w:ascii="仿宋_GB2312" w:hAnsi="仿宋_GB2312" w:eastAsia="仿宋_GB2312" w:cs="仿宋_GB2312"/>
          <w:bCs/>
          <w:color w:val="000000" w:themeColor="text1"/>
          <w:sz w:val="32"/>
          <w:szCs w:val="32"/>
          <w14:textFill>
            <w14:solidFill>
              <w14:schemeClr w14:val="tx1"/>
            </w14:solidFill>
          </w14:textFill>
        </w:rPr>
        <w:t>9. 价格</w:t>
      </w:r>
      <w:bookmarkEnd w:id="606"/>
      <w:bookmarkEnd w:id="607"/>
      <w:bookmarkEnd w:id="608"/>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9.2 本合同价格为固定价格，包括了乙方履行合同全过程产生的所有成本和费用以及乙方应承担的一切税费。</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9.3检验费用 </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9.3.1 乙方必须负担本条款下属于乙方负责的检验、测试、调试、试运行和验收的所有费用，并负责乙方派往买方组织的检验、测试和验收人员的所有费用。</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9.3.2 甲方按合同计划参加在乙方工厂所在地检验、测试和验收的费用全部由乙方负责并已包含在合同总价中。</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9.3.3甲方检验人员已到卖方所在地，测试无法依照合同进行， 而引起甲方人员延长逗留时间，所有由此产生的包括甲方人员在内的直接费用及成本由乙方承担。 </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09" w:name="_Toc13355_WPSOffice_Level2"/>
      <w:bookmarkStart w:id="610" w:name="_Toc21379_WPSOffice_Level2"/>
      <w:bookmarkStart w:id="611" w:name="_Toc29082_WPSOffice_Level2"/>
      <w:r>
        <w:rPr>
          <w:rFonts w:hint="eastAsia" w:ascii="仿宋_GB2312" w:hAnsi="仿宋_GB2312" w:eastAsia="仿宋_GB2312" w:cs="仿宋_GB2312"/>
          <w:bCs/>
          <w:color w:val="000000" w:themeColor="text1"/>
          <w:sz w:val="32"/>
          <w:szCs w:val="32"/>
          <w14:textFill>
            <w14:solidFill>
              <w14:schemeClr w14:val="tx1"/>
            </w14:solidFill>
          </w14:textFill>
        </w:rPr>
        <w:t>10.交货方式及交货日期</w:t>
      </w:r>
      <w:bookmarkEnd w:id="609"/>
      <w:bookmarkEnd w:id="610"/>
      <w:bookmarkEnd w:id="611"/>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交货方式：现场交货，乙方负责办理运输和保险，将货物运抵现场。</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交货日期：所有货物运抵现场并经双方开箱验收合格之日。</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12" w:name="_Toc8711_WPSOffice_Level2"/>
      <w:bookmarkStart w:id="613" w:name="_Toc22184_WPSOffice_Level2"/>
      <w:bookmarkStart w:id="614" w:name="_Toc4905_WPSOffice_Level2"/>
      <w:r>
        <w:rPr>
          <w:rFonts w:hint="eastAsia" w:ascii="仿宋_GB2312" w:hAnsi="仿宋_GB2312" w:eastAsia="仿宋_GB2312" w:cs="仿宋_GB2312"/>
          <w:bCs/>
          <w:color w:val="000000" w:themeColor="text1"/>
          <w:sz w:val="32"/>
          <w:szCs w:val="32"/>
          <w14:textFill>
            <w14:solidFill>
              <w14:schemeClr w14:val="tx1"/>
            </w14:solidFill>
          </w14:textFill>
        </w:rPr>
        <w:t>11.检验和验收</w:t>
      </w:r>
      <w:bookmarkEnd w:id="612"/>
      <w:bookmarkEnd w:id="613"/>
      <w:bookmarkEnd w:id="614"/>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15" w:name="_Toc7309_WPSOffice_Level3"/>
      <w:bookmarkStart w:id="616" w:name="_Toc11588_WPSOffice_Level3"/>
      <w:r>
        <w:rPr>
          <w:rFonts w:hint="eastAsia" w:ascii="仿宋_GB2312" w:hAnsi="仿宋_GB2312" w:eastAsia="仿宋_GB2312" w:cs="仿宋_GB2312"/>
          <w:bCs/>
          <w:color w:val="000000" w:themeColor="text1"/>
          <w:sz w:val="32"/>
          <w:szCs w:val="32"/>
          <w14:textFill>
            <w14:solidFill>
              <w14:schemeClr w14:val="tx1"/>
            </w14:solidFill>
          </w14:textFill>
        </w:rPr>
        <w:t>11.1开箱验收</w:t>
      </w:r>
      <w:bookmarkEnd w:id="615"/>
      <w:bookmarkEnd w:id="616"/>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11.1.1货物运抵现场后，双方应及时开箱验收，并制作验收记录，以确认与本合同约定的数量、型号等是否一致。</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11.1.2 乙方应在交货前对货物的质量、规格、数量等进行详细而全面的检验，并出具证明货物符合合同规定的文件。该文件将作为申请付款单据的一部分，但有关质量、规格、数量的检验不应视为最终检验。</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11.1.3 开箱验收中如发现货物的数量、规格与合同约定不符，甲方有权拒收货物，乙方应及时按甲方要求免费对拒收货物采取更换或其他必要的补救措施，直至开箱验收合格，方视为乙方完成交货。</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17" w:name="_Toc26974_WPSOffice_Level3"/>
      <w:bookmarkStart w:id="618" w:name="_Toc13911_WPSOffice_Level3"/>
      <w:r>
        <w:rPr>
          <w:rFonts w:hint="eastAsia" w:ascii="仿宋_GB2312" w:hAnsi="仿宋_GB2312" w:eastAsia="仿宋_GB2312" w:cs="仿宋_GB2312"/>
          <w:bCs/>
          <w:color w:val="000000" w:themeColor="text1"/>
          <w:sz w:val="32"/>
          <w:szCs w:val="32"/>
          <w14:textFill>
            <w14:solidFill>
              <w14:schemeClr w14:val="tx1"/>
            </w14:solidFill>
          </w14:textFill>
        </w:rPr>
        <w:t>11.2  检验验收</w:t>
      </w:r>
      <w:bookmarkEnd w:id="617"/>
      <w:bookmarkEnd w:id="618"/>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11.2.1 交货完成后，乙方应及时组装、调试、试运行，按照合同专用条款规定的试运行完成后，双方及时组织对货物检验验收。合同双方均须派人参加合同要求双方参加的试验、检验。</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11.2.2 在具体实施合同规定的检验验收之前，乙方需提前提交相应的测试计划（包括测试程序、测试内容和检验标准、试验时间安排等）供甲方确认。</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11.2.3  除需甲方确认的试验验收外，乙方还应对所有检验验收测试的结果、步骤、原始数据等作妥善记录。如甲方要求，乙方应提供这些记录给买方。</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11.2.4  检验测试出现全部或部分未达到本合同所约定的技术指标，甲方有权选择下列任一处理方式：</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a.重新测试直至合格为止；</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b.要求乙方对货物进行免费更换，然后重新测试直至合格为止；</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无论选择何种方式，甲方因此而发生的因卖方原因引起的所有费用均由乙方负担。</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19" w:name="_Toc1685_WPSOffice_Level3"/>
      <w:bookmarkStart w:id="620" w:name="_Toc5393_WPSOffice_Level3"/>
      <w:r>
        <w:rPr>
          <w:rFonts w:hint="eastAsia" w:ascii="仿宋_GB2312" w:hAnsi="仿宋_GB2312" w:eastAsia="仿宋_GB2312" w:cs="仿宋_GB2312"/>
          <w:bCs/>
          <w:color w:val="000000" w:themeColor="text1"/>
          <w:sz w:val="32"/>
          <w:szCs w:val="32"/>
          <w14:textFill>
            <w14:solidFill>
              <w14:schemeClr w14:val="tx1"/>
            </w14:solidFill>
          </w14:textFill>
        </w:rPr>
        <w:t>11.3  使用过程检验</w:t>
      </w:r>
      <w:bookmarkEnd w:id="619"/>
      <w:bookmarkEnd w:id="620"/>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11.3.2如果合同双方对乙方提供的上述试验结果报告的解释有分歧，双方须于出现分歧后10天内给对方声明，以陈述己方的观点。声明须附有关证据。分歧应通过协商解决。</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21" w:name="_Toc10883_WPSOffice_Level2"/>
      <w:bookmarkStart w:id="622" w:name="_Toc17387_WPSOffice_Level2"/>
      <w:bookmarkStart w:id="623" w:name="_Toc17827_WPSOffice_Level2"/>
      <w:r>
        <w:rPr>
          <w:rFonts w:hint="eastAsia" w:ascii="仿宋_GB2312" w:hAnsi="仿宋_GB2312" w:eastAsia="仿宋_GB2312" w:cs="仿宋_GB2312"/>
          <w:bCs/>
          <w:color w:val="000000" w:themeColor="text1"/>
          <w:sz w:val="32"/>
          <w:szCs w:val="32"/>
          <w14:textFill>
            <w14:solidFill>
              <w14:schemeClr w14:val="tx1"/>
            </w14:solidFill>
          </w14:textFill>
        </w:rPr>
        <w:t>12.付款条件</w:t>
      </w:r>
      <w:bookmarkEnd w:id="621"/>
      <w:bookmarkEnd w:id="622"/>
      <w:bookmarkEnd w:id="623"/>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本合同条款下的付款方法和条件在“合同专用条款”中具体规定。</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24" w:name="_Toc25610_WPSOffice_Level2"/>
      <w:bookmarkStart w:id="625" w:name="_Toc8681_WPSOffice_Level2"/>
      <w:bookmarkStart w:id="626" w:name="_Toc24025_WPSOffice_Level2"/>
      <w:r>
        <w:rPr>
          <w:rFonts w:hint="eastAsia" w:ascii="仿宋_GB2312" w:hAnsi="仿宋_GB2312" w:eastAsia="仿宋_GB2312" w:cs="仿宋_GB2312"/>
          <w:bCs/>
          <w:color w:val="000000" w:themeColor="text1"/>
          <w:sz w:val="32"/>
          <w:szCs w:val="32"/>
          <w14:textFill>
            <w14:solidFill>
              <w14:schemeClr w14:val="tx1"/>
            </w14:solidFill>
          </w14:textFill>
        </w:rPr>
        <w:t>13.履约保证金</w:t>
      </w:r>
      <w:bookmarkEnd w:id="624"/>
      <w:bookmarkEnd w:id="625"/>
      <w:bookmarkEnd w:id="626"/>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13.1乙方应在合同签订后，按合同专用条款的约定提交履约保证金。</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13.2履约保证金用于补偿甲方因卖方不能履行其合同义务而蒙受的损失。</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13.3履约保证金应使用本合同货币，按下述方式之一提交（谈判文件中另有约定的除外）：</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13.3.1甲方可接受的在中华人民共和国注册和营业的银行出具的履约保函； </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13.3.2 应当以支票、汇票、本票或者金融机构、担保机构出具的保函等非现金形式提交。</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13.4乙方未能按合同规定履行其义务，甲方有权从履约保证金中取得补偿。货物验收合格后，甲方将履约保证金退还乙方或转为质量保证金。</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27" w:name="_Toc2215_WPSOffice_Level2"/>
      <w:bookmarkStart w:id="628" w:name="_Toc13321_WPSOffice_Level2"/>
      <w:bookmarkStart w:id="629" w:name="_Toc21607_WPSOffice_Level2"/>
      <w:r>
        <w:rPr>
          <w:rFonts w:hint="eastAsia" w:ascii="仿宋_GB2312" w:hAnsi="仿宋_GB2312" w:eastAsia="仿宋_GB2312" w:cs="仿宋_GB2312"/>
          <w:bCs/>
          <w:color w:val="000000" w:themeColor="text1"/>
          <w:sz w:val="32"/>
          <w:szCs w:val="32"/>
          <w14:textFill>
            <w14:solidFill>
              <w14:schemeClr w14:val="tx1"/>
            </w14:solidFill>
          </w14:textFill>
        </w:rPr>
        <w:t>14.索赔</w:t>
      </w:r>
      <w:bookmarkEnd w:id="627"/>
      <w:bookmarkEnd w:id="628"/>
      <w:bookmarkEnd w:id="629"/>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14.2在履约保证期和检验期内，乙方对甲方提出的索赔负有责任，乙方应按照甲方同意的下列一种或多种方式解决索赔事宜：</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adjustRightInd w:val="0"/>
        <w:snapToGrid w:val="0"/>
        <w:spacing w:line="560" w:lineRule="exact"/>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14.2.2根据货物低劣程度、损坏程度以及甲方所遭受损失的数额，经甲乙双方商定降低货物的价格，或由有资质的中介机构评估，以降低后的价格或评估价格为准。</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14.3乙方收到甲方发出的索赔通知之日起5个工作日内未作答复的，甲方可从合同款或履约保证金中扣回索赔金额，如金额不足以补偿索赔金额，乙方应补足差额部分。</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30" w:name="_Toc17056_WPSOffice_Level2"/>
      <w:bookmarkStart w:id="631" w:name="_Toc6747_WPSOffice_Level2"/>
      <w:bookmarkStart w:id="632" w:name="_Toc14292_WPSOffice_Level2"/>
      <w:r>
        <w:rPr>
          <w:rFonts w:hint="eastAsia" w:ascii="仿宋_GB2312" w:hAnsi="仿宋_GB2312" w:eastAsia="仿宋_GB2312" w:cs="仿宋_GB2312"/>
          <w:bCs/>
          <w:color w:val="000000" w:themeColor="text1"/>
          <w:sz w:val="32"/>
          <w:szCs w:val="32"/>
          <w14:textFill>
            <w14:solidFill>
              <w14:schemeClr w14:val="tx1"/>
            </w14:solidFill>
          </w14:textFill>
        </w:rPr>
        <w:t>15.迟延交货</w:t>
      </w:r>
      <w:bookmarkEnd w:id="630"/>
      <w:bookmarkEnd w:id="631"/>
      <w:bookmarkEnd w:id="632"/>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15.1 乙方应按照合同约定的时间交货和提供服务。</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15.2 除不可抗力因素外，乙方迟延交货，甲方有权提出违约损失赔偿或解除合同。</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15.3在履行合同过程中，乙方遇到不能按时交货和提供服务的情况，应及时以书面形式将不能按时交货的理由、预期延误时间通知甲方。甲方收到乙方通知后，认为其理由正当的，可酌情延长交货时间。</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33" w:name="_Toc15350_WPSOffice_Level2"/>
      <w:bookmarkStart w:id="634" w:name="_Toc10642_WPSOffice_Level2"/>
      <w:bookmarkStart w:id="635" w:name="_Toc32293_WPSOffice_Level2"/>
      <w:r>
        <w:rPr>
          <w:rFonts w:hint="eastAsia" w:ascii="仿宋_GB2312" w:hAnsi="仿宋_GB2312" w:eastAsia="仿宋_GB2312" w:cs="仿宋_GB2312"/>
          <w:bCs/>
          <w:color w:val="000000" w:themeColor="text1"/>
          <w:sz w:val="32"/>
          <w:szCs w:val="32"/>
          <w14:textFill>
            <w14:solidFill>
              <w14:schemeClr w14:val="tx1"/>
            </w14:solidFill>
          </w14:textFill>
        </w:rPr>
        <w:t>16.违约赔偿</w:t>
      </w:r>
      <w:bookmarkEnd w:id="633"/>
      <w:bookmarkEnd w:id="634"/>
      <w:bookmarkEnd w:id="635"/>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除不可抗力因素外，乙方没有按照合同规定的时间交货和提供服务，甲方可要求乙方支付违约金。违约金每日按合同总价款的千分之五计收。</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36" w:name="_Toc32484_WPSOffice_Level2"/>
      <w:bookmarkStart w:id="637" w:name="_Toc13101_WPSOffice_Level2"/>
      <w:bookmarkStart w:id="638" w:name="_Toc132_WPSOffice_Level2"/>
      <w:r>
        <w:rPr>
          <w:rFonts w:hint="eastAsia" w:ascii="仿宋_GB2312" w:hAnsi="仿宋_GB2312" w:eastAsia="仿宋_GB2312" w:cs="仿宋_GB2312"/>
          <w:bCs/>
          <w:color w:val="000000" w:themeColor="text1"/>
          <w:sz w:val="32"/>
          <w:szCs w:val="32"/>
          <w14:textFill>
            <w14:solidFill>
              <w14:schemeClr w14:val="tx1"/>
            </w14:solidFill>
          </w14:textFill>
        </w:rPr>
        <w:t>17.不可抗力</w:t>
      </w:r>
      <w:bookmarkEnd w:id="636"/>
      <w:bookmarkEnd w:id="637"/>
      <w:bookmarkEnd w:id="638"/>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17.1.双方中任何一方遭遇法律规定的不可抗力，致使合同履行受阻时，履行合同的期限应予延长，延长的期限应相当于不可抗力所影响的时间。</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17.2受事故影响的一方应在不可抗力的事故发生后以书面形式通知另一方。</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17.3不可抗力使合同的某些内容有变更必要的， 双方应通过协商达成进一步履行合同的协议，因不可抗力致使合同不能履行的，合同终止。</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39" w:name="_Toc27502_WPSOffice_Level2"/>
      <w:bookmarkStart w:id="640" w:name="_Toc17980_WPSOffice_Level2"/>
      <w:bookmarkStart w:id="641" w:name="_Toc17666_WPSOffice_Level2"/>
      <w:r>
        <w:rPr>
          <w:rFonts w:hint="eastAsia" w:ascii="仿宋_GB2312" w:hAnsi="仿宋_GB2312" w:eastAsia="仿宋_GB2312" w:cs="仿宋_GB2312"/>
          <w:bCs/>
          <w:color w:val="000000" w:themeColor="text1"/>
          <w:sz w:val="32"/>
          <w:szCs w:val="32"/>
          <w14:textFill>
            <w14:solidFill>
              <w14:schemeClr w14:val="tx1"/>
            </w14:solidFill>
          </w14:textFill>
        </w:rPr>
        <w:t>18.税费</w:t>
      </w:r>
      <w:bookmarkEnd w:id="639"/>
      <w:bookmarkEnd w:id="640"/>
      <w:bookmarkEnd w:id="641"/>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与本合同有关的一切税费均由乙方承担。</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42" w:name="_Toc1449_WPSOffice_Level2"/>
      <w:bookmarkStart w:id="643" w:name="_Toc27070_WPSOffice_Level2"/>
      <w:bookmarkStart w:id="644" w:name="_Toc16036_WPSOffice_Level2"/>
      <w:r>
        <w:rPr>
          <w:rFonts w:hint="eastAsia" w:ascii="仿宋_GB2312" w:hAnsi="仿宋_GB2312" w:eastAsia="仿宋_GB2312" w:cs="仿宋_GB2312"/>
          <w:bCs/>
          <w:color w:val="000000" w:themeColor="text1"/>
          <w:sz w:val="32"/>
          <w:szCs w:val="32"/>
          <w14:textFill>
            <w14:solidFill>
              <w14:schemeClr w14:val="tx1"/>
            </w14:solidFill>
          </w14:textFill>
        </w:rPr>
        <w:t>19.合同争议的解决</w:t>
      </w:r>
      <w:bookmarkEnd w:id="642"/>
      <w:bookmarkEnd w:id="643"/>
      <w:bookmarkEnd w:id="644"/>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19.1甲方和乙方由于本合同的履行而发生任何争议时，双方可先通过协商解决。</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19.2任何一方不愿通过协商或通过协商仍不能解决争议，则双方中任何一方均应向甲方所在地人民法院起诉。</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45" w:name="_Toc25678_WPSOffice_Level2"/>
      <w:bookmarkStart w:id="646" w:name="_Toc1645_WPSOffice_Level2"/>
      <w:bookmarkStart w:id="647" w:name="_Toc4114_WPSOffice_Level2"/>
      <w:r>
        <w:rPr>
          <w:rFonts w:hint="eastAsia" w:ascii="仿宋_GB2312" w:hAnsi="仿宋_GB2312" w:eastAsia="仿宋_GB2312" w:cs="仿宋_GB2312"/>
          <w:bCs/>
          <w:color w:val="000000" w:themeColor="text1"/>
          <w:sz w:val="32"/>
          <w:szCs w:val="32"/>
          <w14:textFill>
            <w14:solidFill>
              <w14:schemeClr w14:val="tx1"/>
            </w14:solidFill>
          </w14:textFill>
        </w:rPr>
        <w:t>20.违约解除合同</w:t>
      </w:r>
      <w:bookmarkEnd w:id="645"/>
      <w:bookmarkEnd w:id="646"/>
      <w:bookmarkEnd w:id="647"/>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20.1出现下列情形之一的，视为乙方违约。甲方可向乙方发出书面通知，部分或全部终止合同，同时保留向乙方索赔的权利。</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20.1.1乙方未能在合同规定的限期或甲方同意延长的限期内，提供全部或部分货物的； </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20.1.2乙方未能履行合同规定的其它主要义务的；</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20.1.3乙方在本合同履行过程中有欺诈行为的。</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48" w:name="_Toc26055_WPSOffice_Level2"/>
      <w:bookmarkStart w:id="649" w:name="_Toc3174_WPSOffice_Level2"/>
      <w:bookmarkStart w:id="650" w:name="_Toc4171_WPSOffice_Level2"/>
      <w:r>
        <w:rPr>
          <w:rFonts w:hint="eastAsia" w:ascii="仿宋_GB2312" w:hAnsi="仿宋_GB2312" w:eastAsia="仿宋_GB2312" w:cs="仿宋_GB2312"/>
          <w:bCs/>
          <w:color w:val="000000" w:themeColor="text1"/>
          <w:sz w:val="32"/>
          <w:szCs w:val="32"/>
          <w14:textFill>
            <w14:solidFill>
              <w14:schemeClr w14:val="tx1"/>
            </w14:solidFill>
          </w14:textFill>
        </w:rPr>
        <w:t>21.破产终止合同</w:t>
      </w:r>
      <w:bookmarkEnd w:id="648"/>
      <w:bookmarkEnd w:id="649"/>
      <w:bookmarkEnd w:id="650"/>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51" w:name="_Toc17697_WPSOffice_Level2"/>
      <w:bookmarkStart w:id="652" w:name="_Toc12382_WPSOffice_Level2"/>
      <w:bookmarkStart w:id="653" w:name="_Toc6264_WPSOffice_Level2"/>
      <w:r>
        <w:rPr>
          <w:rFonts w:hint="eastAsia" w:ascii="仿宋_GB2312" w:hAnsi="仿宋_GB2312" w:eastAsia="仿宋_GB2312" w:cs="仿宋_GB2312"/>
          <w:bCs/>
          <w:color w:val="000000" w:themeColor="text1"/>
          <w:sz w:val="32"/>
          <w:szCs w:val="32"/>
          <w14:textFill>
            <w14:solidFill>
              <w14:schemeClr w14:val="tx1"/>
            </w14:solidFill>
          </w14:textFill>
        </w:rPr>
        <w:t>22.转让和分包</w:t>
      </w:r>
      <w:bookmarkEnd w:id="651"/>
      <w:bookmarkEnd w:id="652"/>
      <w:bookmarkEnd w:id="653"/>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22.1政府采购合同不能转让。</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54" w:name="_Toc2646_WPSOffice_Level2"/>
      <w:bookmarkStart w:id="655" w:name="_Toc32240_WPSOffice_Level2"/>
      <w:bookmarkStart w:id="656" w:name="_Toc30393_WPSOffice_Level2"/>
      <w:r>
        <w:rPr>
          <w:rFonts w:hint="eastAsia" w:ascii="仿宋_GB2312" w:hAnsi="仿宋_GB2312" w:eastAsia="仿宋_GB2312" w:cs="仿宋_GB2312"/>
          <w:bCs/>
          <w:color w:val="000000" w:themeColor="text1"/>
          <w:sz w:val="32"/>
          <w:szCs w:val="32"/>
          <w14:textFill>
            <w14:solidFill>
              <w14:schemeClr w14:val="tx1"/>
            </w14:solidFill>
          </w14:textFill>
        </w:rPr>
        <w:t>23.合同修改</w:t>
      </w:r>
      <w:bookmarkEnd w:id="654"/>
      <w:bookmarkEnd w:id="655"/>
      <w:bookmarkEnd w:id="656"/>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57" w:name="_Toc17115_WPSOffice_Level2"/>
      <w:bookmarkStart w:id="658" w:name="_Toc11324_WPSOffice_Level2"/>
      <w:bookmarkStart w:id="659" w:name="_Toc20751_WPSOffice_Level2"/>
      <w:r>
        <w:rPr>
          <w:rFonts w:hint="eastAsia" w:ascii="仿宋_GB2312" w:hAnsi="仿宋_GB2312" w:eastAsia="仿宋_GB2312" w:cs="仿宋_GB2312"/>
          <w:bCs/>
          <w:color w:val="000000" w:themeColor="text1"/>
          <w:sz w:val="32"/>
          <w:szCs w:val="32"/>
          <w14:textFill>
            <w14:solidFill>
              <w14:schemeClr w14:val="tx1"/>
            </w14:solidFill>
          </w14:textFill>
        </w:rPr>
        <w:t>24.通知</w:t>
      </w:r>
      <w:bookmarkEnd w:id="657"/>
      <w:bookmarkEnd w:id="658"/>
      <w:bookmarkEnd w:id="659"/>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本合同任何一方给另一方的通知，都应以书面形式发送，而另一方也应以书面形式确认并发送到对方明确的地址。</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60" w:name="_Toc11594_WPSOffice_Level2"/>
      <w:bookmarkStart w:id="661" w:name="_Toc15147_WPSOffice_Level2"/>
      <w:bookmarkStart w:id="662" w:name="_Toc11022_WPSOffice_Level2"/>
      <w:r>
        <w:rPr>
          <w:rFonts w:hint="eastAsia" w:ascii="仿宋_GB2312" w:hAnsi="仿宋_GB2312" w:eastAsia="仿宋_GB2312" w:cs="仿宋_GB2312"/>
          <w:bCs/>
          <w:color w:val="000000" w:themeColor="text1"/>
          <w:sz w:val="32"/>
          <w:szCs w:val="32"/>
          <w14:textFill>
            <w14:solidFill>
              <w14:schemeClr w14:val="tx1"/>
            </w14:solidFill>
          </w14:textFill>
        </w:rPr>
        <w:t>25.计量单位</w:t>
      </w:r>
      <w:bookmarkEnd w:id="660"/>
      <w:bookmarkEnd w:id="661"/>
      <w:bookmarkEnd w:id="662"/>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除技术规范中另有规定外，计量单位均使用国家法定计量单位。</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63" w:name="_Toc15506_WPSOffice_Level2"/>
      <w:bookmarkStart w:id="664" w:name="_Toc24346_WPSOffice_Level2"/>
      <w:bookmarkStart w:id="665" w:name="_Toc32417_WPSOffice_Level2"/>
      <w:r>
        <w:rPr>
          <w:rFonts w:hint="eastAsia" w:ascii="仿宋_GB2312" w:hAnsi="仿宋_GB2312" w:eastAsia="仿宋_GB2312" w:cs="仿宋_GB2312"/>
          <w:bCs/>
          <w:color w:val="000000" w:themeColor="text1"/>
          <w:sz w:val="32"/>
          <w:szCs w:val="32"/>
          <w14:textFill>
            <w14:solidFill>
              <w14:schemeClr w14:val="tx1"/>
            </w14:solidFill>
          </w14:textFill>
        </w:rPr>
        <w:t>26.适用法律</w:t>
      </w:r>
      <w:bookmarkEnd w:id="663"/>
      <w:bookmarkEnd w:id="664"/>
      <w:bookmarkEnd w:id="665"/>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本合同按照中华人民共和国的相关法律进行解释。</w:t>
      </w:r>
    </w:p>
    <w:p>
      <w:pPr>
        <w:widowControl/>
        <w:jc w:val="left"/>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ind w:firstLine="562" w:firstLineChars="200"/>
        <w:rPr>
          <w:rFonts w:ascii="仿宋_GB2312" w:hAnsi="仿宋_GB2312" w:eastAsia="仿宋_GB2312" w:cs="仿宋_GB2312"/>
          <w:b/>
          <w:color w:val="000000"/>
          <w:sz w:val="28"/>
          <w:szCs w:val="28"/>
        </w:rPr>
      </w:pPr>
    </w:p>
    <w:sectPr>
      <w:footerReference r:id="rId3"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jVlWrgBAACSAwAADgAAAAAAAAABACAAAAAeAQAAZHJzL2Uyb0RvYy54bWxQSwUGAAAAAAYABgBZ&#10;AQAASA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83FD"/>
    <w:multiLevelType w:val="singleLevel"/>
    <w:tmpl w:val="992C83FD"/>
    <w:lvl w:ilvl="0" w:tentative="0">
      <w:start w:val="1"/>
      <w:numFmt w:val="decimal"/>
      <w:suff w:val="space"/>
      <w:lvlText w:val="%1."/>
      <w:lvlJc w:val="left"/>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abstractNum w:abstractNumId="4">
    <w:nsid w:val="6A7196BF"/>
    <w:multiLevelType w:val="singleLevel"/>
    <w:tmpl w:val="6A7196BF"/>
    <w:lvl w:ilvl="0" w:tentative="0">
      <w:start w:val="1"/>
      <w:numFmt w:val="decimal"/>
      <w:suff w:val="space"/>
      <w:lvlText w:val="%1."/>
      <w:lvlJc w:val="left"/>
    </w:lvl>
  </w:abstractNum>
  <w:abstractNum w:abstractNumId="5">
    <w:nsid w:val="7499AA4E"/>
    <w:multiLevelType w:val="singleLevel"/>
    <w:tmpl w:val="7499AA4E"/>
    <w:lvl w:ilvl="0" w:tentative="0">
      <w:start w:val="1"/>
      <w:numFmt w:val="decimal"/>
      <w:lvlText w:val="%1."/>
      <w:lvlJc w:val="left"/>
      <w:pPr>
        <w:tabs>
          <w:tab w:val="left" w:pos="312"/>
        </w:tabs>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zlhZmQ1YTAzMmIzN2RmZjNiMGMwOWNkMGU3M2YifQ=="/>
  </w:docVars>
  <w:rsids>
    <w:rsidRoot w:val="7D9B5E16"/>
    <w:rsid w:val="00424AC3"/>
    <w:rsid w:val="004917EF"/>
    <w:rsid w:val="00974414"/>
    <w:rsid w:val="009C06FE"/>
    <w:rsid w:val="00F43C67"/>
    <w:rsid w:val="014608B1"/>
    <w:rsid w:val="02195B10"/>
    <w:rsid w:val="02537EF2"/>
    <w:rsid w:val="02637B1D"/>
    <w:rsid w:val="02664A99"/>
    <w:rsid w:val="02A9297E"/>
    <w:rsid w:val="030425D0"/>
    <w:rsid w:val="03442F30"/>
    <w:rsid w:val="03A34D06"/>
    <w:rsid w:val="04474517"/>
    <w:rsid w:val="04DE17B1"/>
    <w:rsid w:val="04E43544"/>
    <w:rsid w:val="05210BC9"/>
    <w:rsid w:val="055D0822"/>
    <w:rsid w:val="056913B5"/>
    <w:rsid w:val="058E5841"/>
    <w:rsid w:val="05E12013"/>
    <w:rsid w:val="05FD3580"/>
    <w:rsid w:val="0624278B"/>
    <w:rsid w:val="06A82105"/>
    <w:rsid w:val="06CA2630"/>
    <w:rsid w:val="06F2641E"/>
    <w:rsid w:val="07867AF5"/>
    <w:rsid w:val="0891104C"/>
    <w:rsid w:val="09E5018E"/>
    <w:rsid w:val="0A536242"/>
    <w:rsid w:val="0A801DDE"/>
    <w:rsid w:val="0AED28F4"/>
    <w:rsid w:val="0B2B4C7E"/>
    <w:rsid w:val="0BB54002"/>
    <w:rsid w:val="0C661388"/>
    <w:rsid w:val="0CA87A52"/>
    <w:rsid w:val="0D256ADD"/>
    <w:rsid w:val="0D616E1A"/>
    <w:rsid w:val="0D711167"/>
    <w:rsid w:val="0DC739FA"/>
    <w:rsid w:val="0E783BEB"/>
    <w:rsid w:val="0E874D29"/>
    <w:rsid w:val="0E930373"/>
    <w:rsid w:val="0FD12E01"/>
    <w:rsid w:val="109055EB"/>
    <w:rsid w:val="10AB52CB"/>
    <w:rsid w:val="10D3617A"/>
    <w:rsid w:val="10DE48CA"/>
    <w:rsid w:val="11FB2BE7"/>
    <w:rsid w:val="12394ECF"/>
    <w:rsid w:val="12400F8A"/>
    <w:rsid w:val="1289645E"/>
    <w:rsid w:val="12D74D21"/>
    <w:rsid w:val="13A62B8B"/>
    <w:rsid w:val="13D2255B"/>
    <w:rsid w:val="14526E5B"/>
    <w:rsid w:val="149C383C"/>
    <w:rsid w:val="1532490E"/>
    <w:rsid w:val="15E94352"/>
    <w:rsid w:val="160A7634"/>
    <w:rsid w:val="16932406"/>
    <w:rsid w:val="1751142E"/>
    <w:rsid w:val="17B514B3"/>
    <w:rsid w:val="1800023D"/>
    <w:rsid w:val="1802614F"/>
    <w:rsid w:val="181531AE"/>
    <w:rsid w:val="185A675A"/>
    <w:rsid w:val="18C211CC"/>
    <w:rsid w:val="18EF453A"/>
    <w:rsid w:val="19227628"/>
    <w:rsid w:val="19E10B40"/>
    <w:rsid w:val="1A165098"/>
    <w:rsid w:val="1A977682"/>
    <w:rsid w:val="1ACC3E1B"/>
    <w:rsid w:val="1AD11780"/>
    <w:rsid w:val="1B662DBF"/>
    <w:rsid w:val="1C2F5B31"/>
    <w:rsid w:val="1C443F9D"/>
    <w:rsid w:val="1D7542D0"/>
    <w:rsid w:val="1D9A4A78"/>
    <w:rsid w:val="1DB46D23"/>
    <w:rsid w:val="1E2F4669"/>
    <w:rsid w:val="1E662D79"/>
    <w:rsid w:val="1ECC0F99"/>
    <w:rsid w:val="1EED3CFC"/>
    <w:rsid w:val="1EF65831"/>
    <w:rsid w:val="1F1D4355"/>
    <w:rsid w:val="1F992EA4"/>
    <w:rsid w:val="1FC87AC5"/>
    <w:rsid w:val="201F3600"/>
    <w:rsid w:val="20525060"/>
    <w:rsid w:val="207F0C88"/>
    <w:rsid w:val="21C422F5"/>
    <w:rsid w:val="2272669E"/>
    <w:rsid w:val="227F4D71"/>
    <w:rsid w:val="2280389A"/>
    <w:rsid w:val="23CA3DF2"/>
    <w:rsid w:val="23F272AE"/>
    <w:rsid w:val="24376272"/>
    <w:rsid w:val="247C2A7C"/>
    <w:rsid w:val="24DE5AC2"/>
    <w:rsid w:val="24FD12FA"/>
    <w:rsid w:val="24FD76C4"/>
    <w:rsid w:val="25A60401"/>
    <w:rsid w:val="26806F3F"/>
    <w:rsid w:val="26B0198D"/>
    <w:rsid w:val="278F5CF9"/>
    <w:rsid w:val="27A110F5"/>
    <w:rsid w:val="27DE0C74"/>
    <w:rsid w:val="27F82CAC"/>
    <w:rsid w:val="280A6A15"/>
    <w:rsid w:val="28773DCD"/>
    <w:rsid w:val="28C17575"/>
    <w:rsid w:val="28ED597C"/>
    <w:rsid w:val="29907531"/>
    <w:rsid w:val="2A6719D3"/>
    <w:rsid w:val="2ADE5E46"/>
    <w:rsid w:val="2AF754D0"/>
    <w:rsid w:val="2B154E34"/>
    <w:rsid w:val="2B78699C"/>
    <w:rsid w:val="2C2E5CBB"/>
    <w:rsid w:val="2CC30608"/>
    <w:rsid w:val="2F173B14"/>
    <w:rsid w:val="2F1B0AD8"/>
    <w:rsid w:val="2F7A1819"/>
    <w:rsid w:val="2F7B1CC0"/>
    <w:rsid w:val="2FD74D0A"/>
    <w:rsid w:val="30B46ED7"/>
    <w:rsid w:val="30D84A6D"/>
    <w:rsid w:val="30EB5573"/>
    <w:rsid w:val="31CD6FAF"/>
    <w:rsid w:val="34184F37"/>
    <w:rsid w:val="342873FA"/>
    <w:rsid w:val="347F27BE"/>
    <w:rsid w:val="348875DC"/>
    <w:rsid w:val="35061DD1"/>
    <w:rsid w:val="356B65D3"/>
    <w:rsid w:val="36B81FB7"/>
    <w:rsid w:val="38037C4C"/>
    <w:rsid w:val="381009F4"/>
    <w:rsid w:val="38177AC2"/>
    <w:rsid w:val="38194CD8"/>
    <w:rsid w:val="38330237"/>
    <w:rsid w:val="39E61C93"/>
    <w:rsid w:val="3A3C59CF"/>
    <w:rsid w:val="3A751903"/>
    <w:rsid w:val="3AD61226"/>
    <w:rsid w:val="3AF96301"/>
    <w:rsid w:val="3C0E6A8C"/>
    <w:rsid w:val="3CDA061D"/>
    <w:rsid w:val="3D4C7081"/>
    <w:rsid w:val="3D9F3525"/>
    <w:rsid w:val="3DCC1178"/>
    <w:rsid w:val="3DD9236C"/>
    <w:rsid w:val="3E004C98"/>
    <w:rsid w:val="3E2F3CFA"/>
    <w:rsid w:val="3E3B0987"/>
    <w:rsid w:val="3E6F1C2A"/>
    <w:rsid w:val="3EE94E3A"/>
    <w:rsid w:val="3F000963"/>
    <w:rsid w:val="3FCC1BB2"/>
    <w:rsid w:val="3FFA1B0C"/>
    <w:rsid w:val="40420BC2"/>
    <w:rsid w:val="40B97554"/>
    <w:rsid w:val="427B4D01"/>
    <w:rsid w:val="43803F8D"/>
    <w:rsid w:val="43963680"/>
    <w:rsid w:val="44107D9B"/>
    <w:rsid w:val="45EE208A"/>
    <w:rsid w:val="460515BC"/>
    <w:rsid w:val="468E5BE1"/>
    <w:rsid w:val="47176167"/>
    <w:rsid w:val="476A6EA7"/>
    <w:rsid w:val="477A25CC"/>
    <w:rsid w:val="47C462E6"/>
    <w:rsid w:val="47CF0B1D"/>
    <w:rsid w:val="47E23378"/>
    <w:rsid w:val="4888311C"/>
    <w:rsid w:val="4AD87F7A"/>
    <w:rsid w:val="4B0E61F2"/>
    <w:rsid w:val="4B5300A9"/>
    <w:rsid w:val="4B9F2679"/>
    <w:rsid w:val="4C4A01C2"/>
    <w:rsid w:val="4C8D39F2"/>
    <w:rsid w:val="4CB10ACF"/>
    <w:rsid w:val="4CC01E86"/>
    <w:rsid w:val="4D2B7562"/>
    <w:rsid w:val="4DDB03B5"/>
    <w:rsid w:val="4DED4A76"/>
    <w:rsid w:val="4ED72EBD"/>
    <w:rsid w:val="4EDE2425"/>
    <w:rsid w:val="4EE202E0"/>
    <w:rsid w:val="4F5C1D7A"/>
    <w:rsid w:val="51271052"/>
    <w:rsid w:val="5176769E"/>
    <w:rsid w:val="519017FF"/>
    <w:rsid w:val="51B22AB2"/>
    <w:rsid w:val="51FE73D1"/>
    <w:rsid w:val="533B63A3"/>
    <w:rsid w:val="53534733"/>
    <w:rsid w:val="535B4140"/>
    <w:rsid w:val="53723CD6"/>
    <w:rsid w:val="53B41740"/>
    <w:rsid w:val="53E9079A"/>
    <w:rsid w:val="54AB36A4"/>
    <w:rsid w:val="5571016F"/>
    <w:rsid w:val="557F61CB"/>
    <w:rsid w:val="55B04C26"/>
    <w:rsid w:val="55F51E57"/>
    <w:rsid w:val="56A41AB4"/>
    <w:rsid w:val="56AC0C02"/>
    <w:rsid w:val="57832E74"/>
    <w:rsid w:val="57AD0AF9"/>
    <w:rsid w:val="57F27B11"/>
    <w:rsid w:val="587D00AE"/>
    <w:rsid w:val="59361F1D"/>
    <w:rsid w:val="5AA26202"/>
    <w:rsid w:val="5AEF00AC"/>
    <w:rsid w:val="5BDF7EA0"/>
    <w:rsid w:val="5BEE440C"/>
    <w:rsid w:val="5BFA2163"/>
    <w:rsid w:val="5CC84CFD"/>
    <w:rsid w:val="5D4A3A21"/>
    <w:rsid w:val="5D6408DE"/>
    <w:rsid w:val="5E814705"/>
    <w:rsid w:val="5EBF4BBB"/>
    <w:rsid w:val="5F8038FF"/>
    <w:rsid w:val="5F931F3A"/>
    <w:rsid w:val="60AE2DC5"/>
    <w:rsid w:val="60F25329"/>
    <w:rsid w:val="610C02D2"/>
    <w:rsid w:val="610D6E85"/>
    <w:rsid w:val="61994610"/>
    <w:rsid w:val="61C530B5"/>
    <w:rsid w:val="62B14980"/>
    <w:rsid w:val="63EB4ECB"/>
    <w:rsid w:val="64CC2C94"/>
    <w:rsid w:val="661E127D"/>
    <w:rsid w:val="6628294C"/>
    <w:rsid w:val="6658601C"/>
    <w:rsid w:val="666E2E5E"/>
    <w:rsid w:val="666E6D57"/>
    <w:rsid w:val="668C6B1C"/>
    <w:rsid w:val="66B31621"/>
    <w:rsid w:val="67466E44"/>
    <w:rsid w:val="6811054C"/>
    <w:rsid w:val="6A756449"/>
    <w:rsid w:val="6AC11213"/>
    <w:rsid w:val="6BB6488D"/>
    <w:rsid w:val="6BBB1626"/>
    <w:rsid w:val="6BC0391C"/>
    <w:rsid w:val="6CB51DAA"/>
    <w:rsid w:val="6D484EC2"/>
    <w:rsid w:val="6E672B2B"/>
    <w:rsid w:val="6F443BEB"/>
    <w:rsid w:val="6F7922B4"/>
    <w:rsid w:val="6FB824BF"/>
    <w:rsid w:val="71E2790D"/>
    <w:rsid w:val="71E64DF1"/>
    <w:rsid w:val="7202096F"/>
    <w:rsid w:val="72F0558E"/>
    <w:rsid w:val="72F7382D"/>
    <w:rsid w:val="731E7629"/>
    <w:rsid w:val="73972F2B"/>
    <w:rsid w:val="74445316"/>
    <w:rsid w:val="75053FA4"/>
    <w:rsid w:val="757F7E3A"/>
    <w:rsid w:val="75876039"/>
    <w:rsid w:val="75BE3D92"/>
    <w:rsid w:val="76275612"/>
    <w:rsid w:val="76473B85"/>
    <w:rsid w:val="76FE6E62"/>
    <w:rsid w:val="77864563"/>
    <w:rsid w:val="77C43888"/>
    <w:rsid w:val="78351B83"/>
    <w:rsid w:val="785724B6"/>
    <w:rsid w:val="789F6743"/>
    <w:rsid w:val="79465555"/>
    <w:rsid w:val="7A6E02BB"/>
    <w:rsid w:val="7B1C3BCF"/>
    <w:rsid w:val="7C2E4EEF"/>
    <w:rsid w:val="7C355CCF"/>
    <w:rsid w:val="7CE5560B"/>
    <w:rsid w:val="7CEE39CB"/>
    <w:rsid w:val="7D792726"/>
    <w:rsid w:val="7D9B5E16"/>
    <w:rsid w:val="7E143686"/>
    <w:rsid w:val="7E5A55AC"/>
    <w:rsid w:val="7E7F7D0E"/>
    <w:rsid w:val="7E9E03DF"/>
    <w:rsid w:val="7EE73E3D"/>
    <w:rsid w:val="7F495175"/>
    <w:rsid w:val="7FBC7F56"/>
    <w:rsid w:val="7FC0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2"/>
    <w:qFormat/>
    <w:uiPriority w:val="0"/>
    <w:pPr>
      <w:keepNext/>
      <w:jc w:val="center"/>
      <w:outlineLvl w:val="0"/>
    </w:pPr>
    <w:rPr>
      <w:b/>
      <w:bCs/>
      <w:sz w:val="24"/>
      <w:szCs w:val="20"/>
    </w:rPr>
  </w:style>
  <w:style w:type="paragraph" w:styleId="7">
    <w:name w:val="heading 2"/>
    <w:basedOn w:val="1"/>
    <w:next w:val="1"/>
    <w:qFormat/>
    <w:uiPriority w:val="0"/>
    <w:pPr>
      <w:keepNext/>
      <w:keepLines/>
      <w:spacing w:line="360" w:lineRule="auto"/>
      <w:outlineLvl w:val="1"/>
    </w:pPr>
    <w:rPr>
      <w:rFonts w:ascii="Arial" w:hAnsi="Arial"/>
      <w:b/>
      <w:bCs/>
      <w:sz w:val="24"/>
      <w:szCs w:val="32"/>
    </w:rPr>
  </w:style>
  <w:style w:type="paragraph" w:styleId="8">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0"/>
    <w:pPr>
      <w:spacing w:line="360" w:lineRule="auto"/>
      <w:ind w:firstLine="400" w:firstLineChars="200"/>
    </w:pPr>
  </w:style>
  <w:style w:type="paragraph" w:styleId="3">
    <w:name w:val="Body Text"/>
    <w:basedOn w:val="1"/>
    <w:next w:val="4"/>
    <w:unhideWhenUsed/>
    <w:qFormat/>
    <w:uiPriority w:val="0"/>
    <w:pPr>
      <w:jc w:val="center"/>
    </w:pPr>
    <w:rPr>
      <w:rFonts w:hint="eastAsia" w:ascii="宋体"/>
    </w:rPr>
  </w:style>
  <w:style w:type="paragraph" w:styleId="4">
    <w:name w:val="Body Text Indent"/>
    <w:basedOn w:val="1"/>
    <w:next w:val="5"/>
    <w:qFormat/>
    <w:uiPriority w:val="0"/>
    <w:pPr>
      <w:tabs>
        <w:tab w:val="left" w:pos="2160"/>
      </w:tabs>
      <w:ind w:left="2159" w:leftChars="1028" w:firstLine="1"/>
    </w:pPr>
    <w:rPr>
      <w:rFonts w:ascii="宋体" w:hAnsi="宋体"/>
      <w:szCs w:val="21"/>
    </w:rPr>
  </w:style>
  <w:style w:type="paragraph" w:styleId="9">
    <w:name w:val="annotation text"/>
    <w:basedOn w:val="1"/>
    <w:qFormat/>
    <w:uiPriority w:val="0"/>
    <w:pPr>
      <w:jc w:val="left"/>
    </w:pPr>
  </w:style>
  <w:style w:type="paragraph" w:styleId="10">
    <w:name w:val="toc 3"/>
    <w:basedOn w:val="1"/>
    <w:next w:val="1"/>
    <w:qFormat/>
    <w:uiPriority w:val="39"/>
    <w:pPr>
      <w:ind w:left="840" w:leftChars="400"/>
    </w:pPr>
  </w:style>
  <w:style w:type="paragraph" w:styleId="11">
    <w:name w:val="Plain Text"/>
    <w:basedOn w:val="1"/>
    <w:next w:val="12"/>
    <w:qFormat/>
    <w:uiPriority w:val="0"/>
    <w:rPr>
      <w:rFonts w:ascii="宋体" w:hAnsi="Courier New" w:cs="Courier New"/>
      <w:szCs w:val="21"/>
    </w:rPr>
  </w:style>
  <w:style w:type="paragraph" w:styleId="12">
    <w:name w:val="Body Text Indent 3"/>
    <w:basedOn w:val="1"/>
    <w:qFormat/>
    <w:uiPriority w:val="0"/>
    <w:pPr>
      <w:spacing w:after="120"/>
      <w:ind w:left="420" w:leftChars="200"/>
    </w:pPr>
    <w:rPr>
      <w:sz w:val="16"/>
      <w:szCs w:val="16"/>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Body Text First Indent 2"/>
    <w:basedOn w:val="4"/>
    <w:qFormat/>
    <w:uiPriority w:val="0"/>
    <w:pPr>
      <w:spacing w:after="120"/>
      <w:ind w:left="420" w:leftChars="200" w:firstLine="420"/>
    </w:pPr>
    <w:rPr>
      <w:rFonts w:ascii="Times New Roman"/>
      <w:sz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0"/>
    <w:rPr>
      <w:rFonts w:hint="eastAsia" w:ascii="微软雅黑" w:hAnsi="微软雅黑" w:eastAsia="微软雅黑" w:cs="微软雅黑"/>
      <w:color w:val="02396F"/>
      <w:u w:val="singl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rFonts w:ascii="微软雅黑" w:hAnsi="微软雅黑" w:eastAsia="微软雅黑" w:cs="微软雅黑"/>
      <w:color w:val="02396F"/>
      <w:u w:val="singl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9">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2">
    <w:name w:val="p0"/>
    <w:basedOn w:val="1"/>
    <w:qFormat/>
    <w:uiPriority w:val="0"/>
    <w:pPr>
      <w:widowControl/>
    </w:pPr>
    <w:rPr>
      <w:kern w:val="0"/>
      <w:szCs w:val="21"/>
    </w:rPr>
  </w:style>
  <w:style w:type="paragraph" w:customStyle="1" w:styleId="43">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6">
    <w:name w:val="gjfg"/>
    <w:basedOn w:val="24"/>
    <w:qFormat/>
    <w:uiPriority w:val="0"/>
  </w:style>
  <w:style w:type="character" w:customStyle="1" w:styleId="47">
    <w:name w:val="displayarti"/>
    <w:basedOn w:val="24"/>
    <w:qFormat/>
    <w:uiPriority w:val="0"/>
    <w:rPr>
      <w:color w:val="FFFFFF"/>
      <w:shd w:val="clear" w:color="010000" w:fill="A00000"/>
    </w:rPr>
  </w:style>
  <w:style w:type="character" w:customStyle="1" w:styleId="48">
    <w:name w:val="redfilefwwh"/>
    <w:basedOn w:val="24"/>
    <w:qFormat/>
    <w:uiPriority w:val="0"/>
    <w:rPr>
      <w:color w:val="BA2636"/>
      <w:sz w:val="14"/>
      <w:szCs w:val="14"/>
    </w:rPr>
  </w:style>
  <w:style w:type="character" w:customStyle="1" w:styleId="49">
    <w:name w:val="redfilenumber"/>
    <w:basedOn w:val="24"/>
    <w:qFormat/>
    <w:uiPriority w:val="0"/>
    <w:rPr>
      <w:color w:val="BA2636"/>
      <w:sz w:val="14"/>
      <w:szCs w:val="14"/>
    </w:rPr>
  </w:style>
  <w:style w:type="character" w:customStyle="1" w:styleId="50">
    <w:name w:val="qxdate"/>
    <w:basedOn w:val="24"/>
    <w:qFormat/>
    <w:uiPriority w:val="0"/>
    <w:rPr>
      <w:color w:val="333333"/>
      <w:sz w:val="14"/>
      <w:szCs w:val="14"/>
    </w:rPr>
  </w:style>
  <w:style w:type="character" w:customStyle="1" w:styleId="51">
    <w:name w:val="cfdate"/>
    <w:basedOn w:val="24"/>
    <w:qFormat/>
    <w:uiPriority w:val="0"/>
    <w:rPr>
      <w:color w:val="333333"/>
      <w:sz w:val="14"/>
      <w:szCs w:val="14"/>
    </w:rPr>
  </w:style>
  <w:style w:type="character" w:customStyle="1" w:styleId="52">
    <w:name w:val="标题 1 Char"/>
    <w:link w:val="6"/>
    <w:qFormat/>
    <w:uiPriority w:val="0"/>
    <w:rPr>
      <w:b/>
      <w:bCs/>
      <w:sz w:val="24"/>
      <w:szCs w:val="20"/>
    </w:rPr>
  </w:style>
  <w:style w:type="character" w:customStyle="1" w:styleId="53">
    <w:name w:val="标题 3 Char"/>
    <w:link w:val="8"/>
    <w:qFormat/>
    <w:uiPriority w:val="0"/>
    <w:rPr>
      <w:b/>
      <w:bCs/>
      <w:sz w:val="32"/>
      <w:szCs w:val="32"/>
    </w:rPr>
  </w:style>
  <w:style w:type="paragraph" w:styleId="54">
    <w:name w:val="List Paragraph"/>
    <w:basedOn w:val="1"/>
    <w:qFormat/>
    <w:uiPriority w:val="34"/>
    <w:pPr>
      <w:ind w:left="720"/>
      <w:contextualSpacing/>
    </w:pPr>
  </w:style>
  <w:style w:type="paragraph" w:customStyle="1" w:styleId="55">
    <w:name w:val="样式 标题 3 + 首行缩进:  2 字符"/>
    <w:basedOn w:val="8"/>
    <w:qFormat/>
    <w:uiPriority w:val="0"/>
    <w:pPr>
      <w:tabs>
        <w:tab w:val="left" w:pos="5269"/>
      </w:tabs>
      <w:spacing w:before="0" w:after="0" w:line="480" w:lineRule="exact"/>
    </w:pPr>
    <w:rPr>
      <w:sz w:val="28"/>
      <w:szCs w:val="28"/>
      <w:lang w:bidi="ar-DZ"/>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28972</Words>
  <Characters>31336</Characters>
  <Lines>274</Lines>
  <Paragraphs>77</Paragraphs>
  <TotalTime>1</TotalTime>
  <ScaleCrop>false</ScaleCrop>
  <LinksUpToDate>false</LinksUpToDate>
  <CharactersWithSpaces>37238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2021-09-22T07:10:00Z</cp:lastPrinted>
  <dcterms:modified xsi:type="dcterms:W3CDTF">2023-05-29T06:07:23Z</dcterms:modified>
  <dc:title>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79663A6B593645FB94BC2787C21263A6</vt:lpwstr>
  </property>
</Properties>
</file>