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b/>
          <w:bCs/>
          <w:kern w:val="0"/>
          <w:sz w:val="84"/>
          <w:szCs w:val="84"/>
        </w:rPr>
      </w:pPr>
    </w:p>
    <w:p>
      <w:pPr>
        <w:autoSpaceDE w:val="0"/>
        <w:autoSpaceDN w:val="0"/>
        <w:adjustRightInd w:val="0"/>
        <w:spacing w:line="360" w:lineRule="auto"/>
        <w:jc w:val="center"/>
        <w:rPr>
          <w:rFonts w:ascii="宋体" w:hAnsi="宋体" w:cs="宋体"/>
          <w:b/>
          <w:bCs/>
          <w:kern w:val="0"/>
          <w:sz w:val="84"/>
          <w:szCs w:val="84"/>
        </w:rPr>
      </w:pPr>
    </w:p>
    <w:p>
      <w:pPr>
        <w:autoSpaceDE w:val="0"/>
        <w:autoSpaceDN w:val="0"/>
        <w:adjustRightInd w:val="0"/>
        <w:spacing w:line="360" w:lineRule="auto"/>
        <w:jc w:val="center"/>
        <w:rPr>
          <w:rFonts w:hint="eastAsia" w:ascii="宋体" w:hAnsi="宋体" w:cs="宋体"/>
          <w:b/>
          <w:bCs/>
          <w:kern w:val="0"/>
          <w:sz w:val="84"/>
          <w:szCs w:val="84"/>
          <w:lang w:val="zh-CN"/>
        </w:rPr>
      </w:pPr>
      <w:r>
        <w:rPr>
          <w:rFonts w:hint="eastAsia" w:ascii="宋体" w:hAnsi="宋体" w:cs="宋体"/>
          <w:b/>
          <w:bCs/>
          <w:kern w:val="0"/>
          <w:sz w:val="84"/>
          <w:szCs w:val="84"/>
          <w:lang w:val="zh-CN"/>
        </w:rPr>
        <w:t>公开招标文件</w:t>
      </w:r>
    </w:p>
    <w:p>
      <w:pPr>
        <w:autoSpaceDE w:val="0"/>
        <w:autoSpaceDN w:val="0"/>
        <w:adjustRightInd w:val="0"/>
        <w:spacing w:line="360" w:lineRule="auto"/>
        <w:jc w:val="both"/>
        <w:rPr>
          <w:rFonts w:hint="eastAsia" w:ascii="宋体" w:hAnsi="宋体" w:cs="宋体"/>
          <w:b/>
          <w:bCs/>
          <w:kern w:val="0"/>
          <w:sz w:val="84"/>
          <w:szCs w:val="84"/>
          <w:lang w:val="zh-CN"/>
        </w:rPr>
      </w:pPr>
    </w:p>
    <w:p>
      <w:pPr>
        <w:autoSpaceDE w:val="0"/>
        <w:autoSpaceDN w:val="0"/>
        <w:adjustRightInd w:val="0"/>
        <w:spacing w:line="360" w:lineRule="auto"/>
        <w:rPr>
          <w:rFonts w:ascii="宋体" w:hAnsi="宋体" w:cs="宋体"/>
          <w:kern w:val="0"/>
          <w:sz w:val="36"/>
          <w:szCs w:val="36"/>
          <w:u w:val="dotDash"/>
        </w:rPr>
      </w:pPr>
    </w:p>
    <w:p>
      <w:pPr>
        <w:autoSpaceDE w:val="0"/>
        <w:autoSpaceDN w:val="0"/>
        <w:adjustRightInd w:val="0"/>
        <w:spacing w:line="360" w:lineRule="auto"/>
        <w:jc w:val="left"/>
        <w:rPr>
          <w:rFonts w:hint="eastAsia" w:ascii="宋体" w:hAnsi="宋体" w:cs="宋体"/>
          <w:b/>
          <w:bCs/>
          <w:kern w:val="0"/>
          <w:sz w:val="36"/>
          <w:szCs w:val="36"/>
          <w:lang w:val="en-US" w:eastAsia="zh-CN"/>
        </w:rPr>
      </w:pPr>
      <w:r>
        <w:rPr>
          <w:rFonts w:hint="eastAsia" w:ascii="宋体" w:hAnsi="宋体" w:cs="宋体"/>
          <w:b/>
          <w:bCs/>
          <w:kern w:val="0"/>
          <w:sz w:val="36"/>
          <w:szCs w:val="36"/>
          <w:lang w:val="zh-CN"/>
        </w:rPr>
        <w:t>采购项目编号：创德公招（服务）2019-</w:t>
      </w:r>
      <w:r>
        <w:rPr>
          <w:rFonts w:hint="eastAsia" w:ascii="宋体" w:hAnsi="宋体" w:cs="宋体"/>
          <w:b/>
          <w:bCs/>
          <w:kern w:val="0"/>
          <w:sz w:val="36"/>
          <w:szCs w:val="36"/>
          <w:lang w:val="en-US" w:eastAsia="zh-CN"/>
        </w:rPr>
        <w:t>-</w:t>
      </w:r>
      <w:r>
        <w:rPr>
          <w:rFonts w:hint="eastAsia" w:ascii="宋体" w:hAnsi="宋体" w:cs="宋体"/>
          <w:b/>
          <w:bCs/>
          <w:kern w:val="0"/>
          <w:sz w:val="36"/>
          <w:szCs w:val="36"/>
          <w:lang w:val="zh-CN"/>
        </w:rPr>
        <w:t>019</w:t>
      </w:r>
      <w:r>
        <w:rPr>
          <w:rFonts w:hint="eastAsia" w:ascii="宋体" w:hAnsi="宋体" w:cs="宋体"/>
          <w:b/>
          <w:bCs/>
          <w:kern w:val="0"/>
          <w:sz w:val="36"/>
          <w:szCs w:val="36"/>
          <w:lang w:val="en-US" w:eastAsia="zh-CN"/>
        </w:rPr>
        <w:t>S</w:t>
      </w:r>
      <w:bookmarkStart w:id="127" w:name="_GoBack"/>
      <w:bookmarkEnd w:id="127"/>
    </w:p>
    <w:p>
      <w:pPr>
        <w:autoSpaceDE w:val="0"/>
        <w:autoSpaceDN w:val="0"/>
        <w:adjustRightInd w:val="0"/>
        <w:spacing w:line="360" w:lineRule="auto"/>
        <w:jc w:val="left"/>
        <w:rPr>
          <w:rFonts w:hint="eastAsia" w:ascii="宋体" w:hAnsi="宋体" w:eastAsia="宋体" w:cs="宋体"/>
          <w:b/>
          <w:bCs/>
          <w:kern w:val="0"/>
          <w:sz w:val="36"/>
          <w:szCs w:val="36"/>
          <w:lang w:val="en-US" w:eastAsia="zh-CN"/>
        </w:rPr>
      </w:pPr>
      <w:r>
        <w:rPr>
          <w:rFonts w:hint="eastAsia" w:ascii="宋体" w:hAnsi="宋体" w:cs="宋体"/>
          <w:b/>
          <w:bCs/>
          <w:kern w:val="0"/>
          <w:sz w:val="36"/>
          <w:szCs w:val="36"/>
          <w:lang w:val="zh-CN"/>
        </w:rPr>
        <w:t>采购项目名称：环青海湖南岸环卫设施建设运营PPP项目</w:t>
      </w:r>
      <w:r>
        <w:rPr>
          <w:rFonts w:hint="eastAsia" w:ascii="宋体" w:hAnsi="宋体" w:cs="宋体"/>
          <w:b/>
          <w:bCs/>
          <w:kern w:val="0"/>
          <w:sz w:val="36"/>
          <w:szCs w:val="36"/>
          <w:lang w:val="zh-CN" w:eastAsia="zh-CN"/>
        </w:rPr>
        <w:t>（第二次）</w:t>
      </w:r>
    </w:p>
    <w:p>
      <w:pPr>
        <w:autoSpaceDE w:val="0"/>
        <w:autoSpaceDN w:val="0"/>
        <w:adjustRightInd w:val="0"/>
        <w:spacing w:line="360" w:lineRule="auto"/>
        <w:jc w:val="left"/>
        <w:rPr>
          <w:rFonts w:hint="eastAsia" w:ascii="宋体" w:hAnsi="宋体" w:cs="宋体"/>
          <w:b/>
          <w:bCs/>
          <w:kern w:val="0"/>
          <w:sz w:val="36"/>
          <w:szCs w:val="36"/>
          <w:lang w:val="zh-CN"/>
        </w:rPr>
      </w:pPr>
      <w:r>
        <w:rPr>
          <w:rFonts w:hint="eastAsia" w:ascii="宋体" w:hAnsi="宋体" w:cs="宋体"/>
          <w:b/>
          <w:bCs/>
          <w:kern w:val="0"/>
          <w:sz w:val="36"/>
          <w:szCs w:val="36"/>
          <w:lang w:val="zh-CN"/>
        </w:rPr>
        <w:t>采 购 人：共和县生态环境局</w:t>
      </w:r>
    </w:p>
    <w:p>
      <w:pPr>
        <w:autoSpaceDE w:val="0"/>
        <w:autoSpaceDN w:val="0"/>
        <w:adjustRightInd w:val="0"/>
        <w:spacing w:line="360" w:lineRule="auto"/>
        <w:jc w:val="left"/>
        <w:rPr>
          <w:rFonts w:hint="eastAsia" w:ascii="宋体" w:hAnsi="宋体" w:cs="宋体"/>
          <w:b/>
          <w:bCs/>
          <w:kern w:val="0"/>
          <w:sz w:val="36"/>
          <w:szCs w:val="36"/>
          <w:lang w:val="zh-CN"/>
        </w:rPr>
      </w:pPr>
    </w:p>
    <w:p>
      <w:pPr>
        <w:autoSpaceDE w:val="0"/>
        <w:autoSpaceDN w:val="0"/>
        <w:adjustRightInd w:val="0"/>
        <w:spacing w:line="360" w:lineRule="auto"/>
        <w:jc w:val="left"/>
        <w:rPr>
          <w:rFonts w:ascii="宋体" w:hAnsi="宋体" w:cs="宋体"/>
          <w:b/>
          <w:bCs/>
          <w:kern w:val="0"/>
          <w:sz w:val="36"/>
          <w:szCs w:val="36"/>
        </w:rPr>
      </w:pPr>
    </w:p>
    <w:p>
      <w:pPr>
        <w:autoSpaceDE w:val="0"/>
        <w:autoSpaceDN w:val="0"/>
        <w:adjustRightInd w:val="0"/>
        <w:spacing w:line="360" w:lineRule="auto"/>
        <w:jc w:val="left"/>
        <w:rPr>
          <w:rFonts w:ascii="宋体" w:hAnsi="宋体" w:cs="宋体"/>
          <w:b/>
          <w:bCs/>
          <w:kern w:val="0"/>
          <w:sz w:val="36"/>
          <w:szCs w:val="36"/>
        </w:rPr>
      </w:pPr>
    </w:p>
    <w:p>
      <w:pPr>
        <w:autoSpaceDE w:val="0"/>
        <w:autoSpaceDN w:val="0"/>
        <w:adjustRightInd w:val="0"/>
        <w:spacing w:line="360" w:lineRule="auto"/>
        <w:jc w:val="left"/>
        <w:rPr>
          <w:rFonts w:ascii="宋体" w:hAnsi="宋体" w:cs="宋体"/>
          <w:b/>
          <w:bCs/>
          <w:kern w:val="0"/>
          <w:sz w:val="36"/>
          <w:szCs w:val="36"/>
        </w:rPr>
      </w:pPr>
    </w:p>
    <w:p>
      <w:pPr>
        <w:autoSpaceDE w:val="0"/>
        <w:autoSpaceDN w:val="0"/>
        <w:adjustRightInd w:val="0"/>
        <w:spacing w:line="360" w:lineRule="auto"/>
        <w:ind w:left="-46" w:leftChars="-177" w:hanging="379" w:hangingChars="118"/>
        <w:jc w:val="center"/>
        <w:rPr>
          <w:rFonts w:ascii="宋体" w:hAnsi="宋体" w:cs="宋体"/>
          <w:b/>
          <w:bCs/>
          <w:kern w:val="0"/>
          <w:sz w:val="28"/>
          <w:szCs w:val="28"/>
          <w:u w:val="single"/>
          <w:lang w:val="zh-CN"/>
        </w:rPr>
      </w:pPr>
      <w:r>
        <w:rPr>
          <w:rFonts w:hint="eastAsia" w:ascii="宋体" w:hAnsi="宋体" w:cs="宋体"/>
          <w:b/>
          <w:bCs/>
          <w:kern w:val="0"/>
          <w:sz w:val="32"/>
          <w:szCs w:val="36"/>
          <w:lang w:val="zh-CN"/>
        </w:rPr>
        <w:t>采购代理机构：</w:t>
      </w:r>
      <w:r>
        <w:rPr>
          <w:rFonts w:hint="eastAsia" w:ascii="宋体" w:hAnsi="宋体" w:cs="宋体"/>
          <w:b/>
          <w:bCs/>
          <w:kern w:val="0"/>
          <w:sz w:val="36"/>
          <w:szCs w:val="36"/>
          <w:lang w:val="en-US"/>
        </w:rPr>
        <w:t>青海创德项目管理有限公司</w:t>
      </w:r>
    </w:p>
    <w:p>
      <w:pPr>
        <w:autoSpaceDE w:val="0"/>
        <w:autoSpaceDN w:val="0"/>
        <w:adjustRightInd w:val="0"/>
        <w:spacing w:line="360" w:lineRule="auto"/>
        <w:jc w:val="center"/>
        <w:rPr>
          <w:rFonts w:ascii="宋体" w:hAnsi="Calibri" w:cs="宋体"/>
          <w:b/>
          <w:bCs/>
          <w:kern w:val="0"/>
          <w:sz w:val="32"/>
          <w:szCs w:val="36"/>
          <w:lang w:val="zh-CN"/>
        </w:rPr>
      </w:pPr>
      <w:r>
        <w:rPr>
          <w:rFonts w:hint="eastAsia" w:ascii="宋体" w:hAnsi="Calibri" w:cs="宋体"/>
          <w:b/>
          <w:bCs/>
          <w:kern w:val="0"/>
          <w:sz w:val="32"/>
          <w:szCs w:val="36"/>
          <w:lang w:val="zh-CN"/>
        </w:rPr>
        <w:t>2019年</w:t>
      </w:r>
      <w:r>
        <w:rPr>
          <w:rFonts w:ascii="宋体" w:hAnsi="Calibri" w:cs="宋体"/>
          <w:b/>
          <w:bCs/>
          <w:kern w:val="0"/>
          <w:sz w:val="32"/>
          <w:szCs w:val="36"/>
        </w:rPr>
        <w:t>9</w:t>
      </w:r>
      <w:r>
        <w:rPr>
          <w:rFonts w:hint="eastAsia" w:ascii="宋体" w:hAnsi="Calibri" w:cs="宋体"/>
          <w:b/>
          <w:bCs/>
          <w:kern w:val="0"/>
          <w:sz w:val="32"/>
          <w:szCs w:val="36"/>
          <w:lang w:val="zh-CN"/>
        </w:rPr>
        <w:t>月</w:t>
      </w:r>
    </w:p>
    <w:p>
      <w:pPr>
        <w:autoSpaceDE w:val="0"/>
        <w:autoSpaceDN w:val="0"/>
        <w:adjustRightInd w:val="0"/>
        <w:spacing w:line="360" w:lineRule="auto"/>
        <w:rPr>
          <w:rFonts w:ascii="宋体" w:hAnsi="宋体" w:cs="宋体"/>
          <w:kern w:val="0"/>
          <w:sz w:val="36"/>
          <w:szCs w:val="36"/>
        </w:rPr>
      </w:pPr>
    </w:p>
    <w:p>
      <w:pPr>
        <w:autoSpaceDE w:val="0"/>
        <w:autoSpaceDN w:val="0"/>
        <w:adjustRightInd w:val="0"/>
        <w:spacing w:line="360" w:lineRule="auto"/>
        <w:rPr>
          <w:rFonts w:ascii="宋体" w:hAnsi="宋体" w:cs="宋体"/>
          <w:kern w:val="0"/>
          <w:sz w:val="36"/>
          <w:szCs w:val="36"/>
        </w:rPr>
        <w:sectPr>
          <w:pgSz w:w="11910" w:h="16840"/>
          <w:pgMar w:top="1480" w:right="880" w:bottom="1180" w:left="840" w:header="0" w:footer="915" w:gutter="0"/>
          <w:pgNumType w:fmt="decimal"/>
          <w:cols w:space="720" w:num="1"/>
        </w:sectPr>
      </w:pPr>
    </w:p>
    <w:p>
      <w:pPr>
        <w:autoSpaceDE w:val="0"/>
        <w:autoSpaceDN w:val="0"/>
        <w:adjustRightInd w:val="0"/>
        <w:spacing w:line="360" w:lineRule="auto"/>
        <w:rPr>
          <w:rFonts w:ascii="宋体" w:hAnsi="宋体" w:cs="宋体"/>
          <w:kern w:val="0"/>
          <w:sz w:val="36"/>
          <w:szCs w:val="36"/>
        </w:rPr>
      </w:pPr>
    </w:p>
    <w:p>
      <w:pPr>
        <w:tabs>
          <w:tab w:val="left" w:pos="5149"/>
        </w:tabs>
        <w:adjustRightInd w:val="0"/>
        <w:spacing w:line="360" w:lineRule="auto"/>
        <w:jc w:val="center"/>
        <w:textAlignment w:val="baseline"/>
        <w:rPr>
          <w:rFonts w:ascii="宋体" w:hAnsi="宋体" w:cs="宋体"/>
          <w:b/>
          <w:sz w:val="40"/>
          <w:szCs w:val="30"/>
        </w:rPr>
      </w:pPr>
      <w:r>
        <w:rPr>
          <w:rFonts w:hint="eastAsia" w:ascii="宋体" w:hAnsi="宋体" w:cs="宋体"/>
          <w:b/>
          <w:sz w:val="40"/>
          <w:szCs w:val="30"/>
        </w:rPr>
        <w:t>目  录</w:t>
      </w:r>
    </w:p>
    <w:p>
      <w:pPr>
        <w:pStyle w:val="12"/>
        <w:tabs>
          <w:tab w:val="right" w:leader="dot" w:pos="10190"/>
        </w:tabs>
      </w:pPr>
      <w:r>
        <w:rPr>
          <w:rFonts w:hint="eastAsia" w:ascii="宋体" w:hAnsi="宋体" w:cs="宋体"/>
          <w:b w:val="0"/>
          <w:bCs w:val="0"/>
          <w:kern w:val="0"/>
          <w:sz w:val="21"/>
          <w:szCs w:val="21"/>
        </w:rPr>
        <w:fldChar w:fldCharType="begin"/>
      </w:r>
      <w:r>
        <w:rPr>
          <w:rStyle w:val="19"/>
          <w:rFonts w:hint="eastAsia" w:ascii="宋体" w:hAnsi="宋体" w:cs="宋体"/>
          <w:b w:val="0"/>
          <w:bCs w:val="0"/>
          <w:color w:val="auto"/>
          <w:kern w:val="0"/>
          <w:sz w:val="21"/>
          <w:szCs w:val="21"/>
        </w:rPr>
        <w:instrText xml:space="preserve"> TOC \o "3-3" \h \z \t "标题 1,2,标题 2,3,标题,1" </w:instrText>
      </w:r>
      <w:r>
        <w:rPr>
          <w:rFonts w:hint="eastAsia" w:ascii="宋体" w:hAnsi="宋体" w:cs="宋体"/>
          <w:b w:val="0"/>
          <w:bCs w:val="0"/>
          <w:kern w:val="0"/>
          <w:sz w:val="21"/>
          <w:szCs w:val="21"/>
        </w:rPr>
        <w:fldChar w:fldCharType="separate"/>
      </w:r>
      <w:r>
        <w:rPr>
          <w:rFonts w:hint="eastAsia" w:ascii="宋体" w:hAnsi="宋体" w:cs="宋体"/>
          <w:bCs w:val="0"/>
          <w:kern w:val="0"/>
          <w:szCs w:val="21"/>
        </w:rPr>
        <w:fldChar w:fldCharType="begin"/>
      </w:r>
      <w:r>
        <w:rPr>
          <w:rFonts w:hint="eastAsia" w:ascii="宋体" w:hAnsi="宋体" w:cs="宋体"/>
          <w:bCs w:val="0"/>
          <w:kern w:val="0"/>
          <w:szCs w:val="21"/>
        </w:rPr>
        <w:instrText xml:space="preserve"> HYPERLINK \l _Toc16248 </w:instrText>
      </w:r>
      <w:r>
        <w:rPr>
          <w:rFonts w:hint="eastAsia" w:ascii="宋体" w:hAnsi="宋体" w:cs="宋体"/>
          <w:bCs w:val="0"/>
          <w:kern w:val="0"/>
          <w:szCs w:val="21"/>
        </w:rPr>
        <w:fldChar w:fldCharType="separate"/>
      </w:r>
      <w:r>
        <w:rPr>
          <w:rFonts w:hint="eastAsia" w:ascii="宋体" w:hAnsi="宋体" w:cs="宋体"/>
          <w:szCs w:val="36"/>
          <w:lang w:val="zh-CN"/>
        </w:rPr>
        <w:t>第一部分  投标邀请</w:t>
      </w:r>
      <w:r>
        <w:tab/>
      </w:r>
      <w:r>
        <w:fldChar w:fldCharType="begin"/>
      </w:r>
      <w:r>
        <w:instrText xml:space="preserve"> PAGEREF _Toc16248 </w:instrText>
      </w:r>
      <w:r>
        <w:fldChar w:fldCharType="separate"/>
      </w:r>
      <w:r>
        <w:t>5</w:t>
      </w:r>
      <w:r>
        <w:fldChar w:fldCharType="end"/>
      </w:r>
      <w:r>
        <w:rPr>
          <w:rFonts w:hint="eastAsia" w:ascii="宋体" w:hAnsi="宋体" w:cs="宋体"/>
          <w:bCs w:val="0"/>
          <w:kern w:val="0"/>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_Toc7519 </w:instrText>
      </w:r>
      <w:r>
        <w:rPr>
          <w:rFonts w:hint="eastAsia" w:ascii="宋体" w:hAnsi="宋体" w:cs="宋体"/>
          <w:szCs w:val="21"/>
        </w:rPr>
        <w:fldChar w:fldCharType="separate"/>
      </w:r>
      <w:r>
        <w:rPr>
          <w:rFonts w:hint="eastAsia" w:ascii="宋体" w:hAnsi="宋体" w:cs="宋体"/>
          <w:szCs w:val="36"/>
          <w:lang w:val="zh-CN"/>
        </w:rPr>
        <w:t>第二部分  投标人须知</w:t>
      </w:r>
      <w:r>
        <w:tab/>
      </w:r>
      <w:r>
        <w:fldChar w:fldCharType="begin"/>
      </w:r>
      <w:r>
        <w:instrText xml:space="preserve"> PAGEREF _Toc7519 </w:instrText>
      </w:r>
      <w:r>
        <w:fldChar w:fldCharType="separate"/>
      </w:r>
      <w:r>
        <w:t>8</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_Toc20599 </w:instrText>
      </w:r>
      <w:r>
        <w:rPr>
          <w:rFonts w:hint="eastAsia" w:ascii="宋体" w:hAnsi="宋体" w:cs="宋体"/>
          <w:szCs w:val="21"/>
        </w:rPr>
        <w:fldChar w:fldCharType="separate"/>
      </w:r>
      <w:r>
        <w:rPr>
          <w:rFonts w:hint="eastAsia" w:ascii="宋体" w:hAnsi="宋体" w:cs="宋体"/>
          <w:lang w:val="zh-CN"/>
        </w:rPr>
        <w:t>一、说明</w:t>
      </w:r>
      <w:r>
        <w:tab/>
      </w:r>
      <w:r>
        <w:fldChar w:fldCharType="begin"/>
      </w:r>
      <w:r>
        <w:instrText xml:space="preserve"> PAGEREF _Toc20599 </w:instrText>
      </w:r>
      <w:r>
        <w:fldChar w:fldCharType="separate"/>
      </w:r>
      <w:r>
        <w:t>8</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_Toc18292 </w:instrText>
      </w:r>
      <w:r>
        <w:rPr>
          <w:rFonts w:hint="eastAsia" w:ascii="宋体" w:hAnsi="宋体" w:cs="宋体"/>
          <w:szCs w:val="21"/>
        </w:rPr>
        <w:fldChar w:fldCharType="separate"/>
      </w:r>
      <w:r>
        <w:rPr>
          <w:rFonts w:hint="eastAsia" w:ascii="宋体" w:hAnsi="宋体" w:cs="宋体"/>
          <w:szCs w:val="28"/>
          <w:lang w:val="zh-CN"/>
        </w:rPr>
        <w:t>1.适用范围</w:t>
      </w:r>
      <w:r>
        <w:tab/>
      </w:r>
      <w:r>
        <w:fldChar w:fldCharType="begin"/>
      </w:r>
      <w:r>
        <w:instrText xml:space="preserve"> PAGEREF _Toc18292 </w:instrText>
      </w:r>
      <w:r>
        <w:fldChar w:fldCharType="separate"/>
      </w:r>
      <w:r>
        <w:t>8</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_Toc3483 </w:instrText>
      </w:r>
      <w:r>
        <w:rPr>
          <w:rFonts w:hint="eastAsia" w:ascii="宋体" w:hAnsi="宋体" w:cs="宋体"/>
          <w:szCs w:val="21"/>
        </w:rPr>
        <w:fldChar w:fldCharType="separate"/>
      </w:r>
      <w:r>
        <w:rPr>
          <w:rFonts w:hint="eastAsia" w:ascii="宋体" w:hAnsi="宋体" w:cs="宋体"/>
          <w:szCs w:val="28"/>
          <w:lang w:val="zh-CN"/>
        </w:rPr>
        <w:t>2.采购方式、合格的投标人</w:t>
      </w:r>
      <w:r>
        <w:tab/>
      </w:r>
      <w:r>
        <w:fldChar w:fldCharType="begin"/>
      </w:r>
      <w:r>
        <w:instrText xml:space="preserve"> PAGEREF _Toc3483 </w:instrText>
      </w:r>
      <w:r>
        <w:fldChar w:fldCharType="separate"/>
      </w:r>
      <w:r>
        <w:t>8</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_Toc26110 </w:instrText>
      </w:r>
      <w:r>
        <w:rPr>
          <w:rFonts w:hint="eastAsia" w:ascii="宋体" w:hAnsi="宋体" w:cs="宋体"/>
          <w:szCs w:val="21"/>
        </w:rPr>
        <w:fldChar w:fldCharType="separate"/>
      </w:r>
      <w:r>
        <w:rPr>
          <w:rFonts w:hint="eastAsia" w:ascii="宋体" w:hAnsi="宋体" w:cs="宋体"/>
          <w:szCs w:val="28"/>
          <w:lang w:val="zh-CN"/>
        </w:rPr>
        <w:t>3.投标费用</w:t>
      </w:r>
      <w:r>
        <w:tab/>
      </w:r>
      <w:r>
        <w:fldChar w:fldCharType="begin"/>
      </w:r>
      <w:r>
        <w:instrText xml:space="preserve"> PAGEREF _Toc26110 </w:instrText>
      </w:r>
      <w:r>
        <w:fldChar w:fldCharType="separate"/>
      </w:r>
      <w:r>
        <w:t>8</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_Toc6078 </w:instrText>
      </w:r>
      <w:r>
        <w:rPr>
          <w:rFonts w:hint="eastAsia" w:ascii="宋体" w:hAnsi="宋体" w:cs="宋体"/>
          <w:szCs w:val="21"/>
        </w:rPr>
        <w:fldChar w:fldCharType="separate"/>
      </w:r>
      <w:r>
        <w:rPr>
          <w:rFonts w:hint="eastAsia" w:ascii="宋体" w:hAnsi="宋体" w:cs="宋体"/>
          <w:lang w:val="zh-CN"/>
        </w:rPr>
        <w:t>二、招标文件说明</w:t>
      </w:r>
      <w:r>
        <w:tab/>
      </w:r>
      <w:r>
        <w:fldChar w:fldCharType="begin"/>
      </w:r>
      <w:r>
        <w:instrText xml:space="preserve"> PAGEREF _Toc6078 </w:instrText>
      </w:r>
      <w:r>
        <w:fldChar w:fldCharType="separate"/>
      </w:r>
      <w:r>
        <w:t>8</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_Toc24438 </w:instrText>
      </w:r>
      <w:r>
        <w:rPr>
          <w:rFonts w:hint="eastAsia" w:ascii="宋体" w:hAnsi="宋体" w:cs="宋体"/>
          <w:szCs w:val="21"/>
        </w:rPr>
        <w:fldChar w:fldCharType="separate"/>
      </w:r>
      <w:r>
        <w:rPr>
          <w:rFonts w:hint="eastAsia" w:ascii="宋体" w:hAnsi="宋体" w:cs="宋体"/>
          <w:szCs w:val="28"/>
          <w:lang w:val="zh-CN"/>
        </w:rPr>
        <w:t>4.招标文件的构成</w:t>
      </w:r>
      <w:r>
        <w:tab/>
      </w:r>
      <w:r>
        <w:fldChar w:fldCharType="begin"/>
      </w:r>
      <w:r>
        <w:instrText xml:space="preserve"> PAGEREF _Toc24438 </w:instrText>
      </w:r>
      <w:r>
        <w:fldChar w:fldCharType="separate"/>
      </w:r>
      <w:r>
        <w:t>8</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_Toc2133 </w:instrText>
      </w:r>
      <w:r>
        <w:rPr>
          <w:rFonts w:hint="eastAsia" w:ascii="宋体" w:hAnsi="宋体" w:cs="宋体"/>
          <w:szCs w:val="21"/>
        </w:rPr>
        <w:fldChar w:fldCharType="separate"/>
      </w:r>
      <w:r>
        <w:rPr>
          <w:rFonts w:hint="eastAsia" w:ascii="宋体" w:hAnsi="宋体" w:cs="宋体"/>
          <w:szCs w:val="28"/>
          <w:lang w:val="zh-CN"/>
        </w:rPr>
        <w:t>5.</w:t>
      </w:r>
      <w:r>
        <w:rPr>
          <w:rFonts w:hint="eastAsia"/>
        </w:rPr>
        <w:t xml:space="preserve"> </w:t>
      </w:r>
      <w:r>
        <w:rPr>
          <w:rFonts w:hint="eastAsia" w:ascii="宋体" w:hAnsi="宋体" w:cs="宋体"/>
          <w:szCs w:val="28"/>
          <w:lang w:val="zh-CN"/>
        </w:rPr>
        <w:t>招标文件、采购活动和中标结果的质疑</w:t>
      </w:r>
      <w:r>
        <w:tab/>
      </w:r>
      <w:r>
        <w:fldChar w:fldCharType="begin"/>
      </w:r>
      <w:r>
        <w:instrText xml:space="preserve"> PAGEREF _Toc2133 </w:instrText>
      </w:r>
      <w:r>
        <w:fldChar w:fldCharType="separate"/>
      </w:r>
      <w:r>
        <w:t>8</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_Toc2264 </w:instrText>
      </w:r>
      <w:r>
        <w:rPr>
          <w:rFonts w:hint="eastAsia" w:ascii="宋体" w:hAnsi="宋体" w:cs="宋体"/>
          <w:szCs w:val="21"/>
        </w:rPr>
        <w:fldChar w:fldCharType="separate"/>
      </w:r>
      <w:r>
        <w:rPr>
          <w:rFonts w:hint="eastAsia" w:ascii="宋体" w:hAnsi="宋体" w:cs="宋体"/>
          <w:szCs w:val="28"/>
          <w:lang w:val="zh-CN"/>
        </w:rPr>
        <w:t>6.招标文件的澄清或修改</w:t>
      </w:r>
      <w:r>
        <w:tab/>
      </w:r>
      <w:r>
        <w:fldChar w:fldCharType="begin"/>
      </w:r>
      <w:r>
        <w:instrText xml:space="preserve"> PAGEREF _Toc2264 </w:instrText>
      </w:r>
      <w:r>
        <w:fldChar w:fldCharType="separate"/>
      </w:r>
      <w:r>
        <w:t>9</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_Toc25692 </w:instrText>
      </w:r>
      <w:r>
        <w:rPr>
          <w:rFonts w:hint="eastAsia" w:ascii="宋体" w:hAnsi="宋体" w:cs="宋体"/>
          <w:szCs w:val="21"/>
        </w:rPr>
        <w:fldChar w:fldCharType="separate"/>
      </w:r>
      <w:r>
        <w:rPr>
          <w:rFonts w:hint="eastAsia" w:ascii="宋体" w:hAnsi="宋体" w:cs="宋体"/>
          <w:lang w:val="zh-CN"/>
        </w:rPr>
        <w:t>三、投标文件的编制</w:t>
      </w:r>
      <w:r>
        <w:tab/>
      </w:r>
      <w:r>
        <w:fldChar w:fldCharType="begin"/>
      </w:r>
      <w:r>
        <w:instrText xml:space="preserve"> PAGEREF _Toc25692 </w:instrText>
      </w:r>
      <w:r>
        <w:fldChar w:fldCharType="separate"/>
      </w:r>
      <w:r>
        <w:t>9</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_Toc3928 </w:instrText>
      </w:r>
      <w:r>
        <w:rPr>
          <w:rFonts w:hint="eastAsia" w:ascii="宋体" w:hAnsi="宋体" w:cs="宋体"/>
          <w:szCs w:val="21"/>
        </w:rPr>
        <w:fldChar w:fldCharType="separate"/>
      </w:r>
      <w:r>
        <w:rPr>
          <w:rFonts w:hint="eastAsia" w:ascii="宋体" w:hAnsi="宋体" w:cs="宋体"/>
          <w:szCs w:val="28"/>
          <w:lang w:val="zh-CN"/>
        </w:rPr>
        <w:t>7.投标文件的语言及度量衡单位</w:t>
      </w:r>
      <w:r>
        <w:tab/>
      </w:r>
      <w:r>
        <w:fldChar w:fldCharType="begin"/>
      </w:r>
      <w:r>
        <w:instrText xml:space="preserve"> PAGEREF _Toc3928 </w:instrText>
      </w:r>
      <w:r>
        <w:fldChar w:fldCharType="separate"/>
      </w:r>
      <w:r>
        <w:t>9</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_Toc6077 </w:instrText>
      </w:r>
      <w:r>
        <w:rPr>
          <w:rFonts w:hint="eastAsia" w:ascii="宋体" w:hAnsi="宋体" w:cs="宋体"/>
          <w:szCs w:val="21"/>
        </w:rPr>
        <w:fldChar w:fldCharType="separate"/>
      </w:r>
      <w:r>
        <w:rPr>
          <w:rFonts w:hint="eastAsia" w:ascii="宋体" w:hAnsi="宋体" w:cs="宋体"/>
          <w:szCs w:val="28"/>
          <w:lang w:val="zh-CN"/>
        </w:rPr>
        <w:t>8.投标报价及币种</w:t>
      </w:r>
      <w:r>
        <w:tab/>
      </w:r>
      <w:r>
        <w:fldChar w:fldCharType="begin"/>
      </w:r>
      <w:r>
        <w:instrText xml:space="preserve"> PAGEREF _Toc6077 </w:instrText>
      </w:r>
      <w:r>
        <w:fldChar w:fldCharType="separate"/>
      </w:r>
      <w:r>
        <w:t>9</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_Toc23732 </w:instrText>
      </w:r>
      <w:r>
        <w:rPr>
          <w:rFonts w:hint="eastAsia" w:ascii="宋体" w:hAnsi="宋体" w:cs="宋体"/>
          <w:szCs w:val="21"/>
        </w:rPr>
        <w:fldChar w:fldCharType="separate"/>
      </w:r>
      <w:r>
        <w:rPr>
          <w:rFonts w:hint="eastAsia" w:ascii="宋体" w:hAnsi="宋体" w:cs="宋体"/>
          <w:szCs w:val="28"/>
          <w:lang w:val="zh-CN"/>
        </w:rPr>
        <w:t>9.投标保证金</w:t>
      </w:r>
      <w:r>
        <w:tab/>
      </w:r>
      <w:r>
        <w:fldChar w:fldCharType="begin"/>
      </w:r>
      <w:r>
        <w:instrText xml:space="preserve"> PAGEREF _Toc23732 </w:instrText>
      </w:r>
      <w:r>
        <w:fldChar w:fldCharType="separate"/>
      </w:r>
      <w:r>
        <w:t>10</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_Toc17613 </w:instrText>
      </w:r>
      <w:r>
        <w:rPr>
          <w:rFonts w:hint="eastAsia" w:ascii="宋体" w:hAnsi="宋体" w:cs="宋体"/>
          <w:szCs w:val="21"/>
        </w:rPr>
        <w:fldChar w:fldCharType="separate"/>
      </w:r>
      <w:r>
        <w:rPr>
          <w:rFonts w:hint="eastAsia" w:ascii="宋体" w:hAnsi="宋体" w:cs="宋体"/>
          <w:szCs w:val="28"/>
          <w:lang w:val="zh-CN"/>
        </w:rPr>
        <w:t>10.投标有效期</w:t>
      </w:r>
      <w:r>
        <w:tab/>
      </w:r>
      <w:r>
        <w:fldChar w:fldCharType="begin"/>
      </w:r>
      <w:r>
        <w:instrText xml:space="preserve"> PAGEREF _Toc17613 </w:instrText>
      </w:r>
      <w:r>
        <w:fldChar w:fldCharType="separate"/>
      </w:r>
      <w:r>
        <w:t>10</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_Toc13109 </w:instrText>
      </w:r>
      <w:r>
        <w:rPr>
          <w:rFonts w:hint="eastAsia" w:ascii="宋体" w:hAnsi="宋体" w:cs="宋体"/>
          <w:szCs w:val="21"/>
        </w:rPr>
        <w:fldChar w:fldCharType="separate"/>
      </w:r>
      <w:r>
        <w:rPr>
          <w:rFonts w:hint="eastAsia" w:ascii="宋体" w:hAnsi="宋体" w:cs="宋体"/>
          <w:szCs w:val="28"/>
          <w:lang w:val="zh-CN"/>
        </w:rPr>
        <w:t>11.投标文件构成</w:t>
      </w:r>
      <w:r>
        <w:tab/>
      </w:r>
      <w:r>
        <w:fldChar w:fldCharType="begin"/>
      </w:r>
      <w:r>
        <w:instrText xml:space="preserve"> PAGEREF _Toc13109 </w:instrText>
      </w:r>
      <w:r>
        <w:fldChar w:fldCharType="separate"/>
      </w:r>
      <w:r>
        <w:t>10</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_Toc20693 </w:instrText>
      </w:r>
      <w:r>
        <w:rPr>
          <w:rFonts w:hint="eastAsia" w:ascii="宋体" w:hAnsi="宋体" w:cs="宋体"/>
          <w:szCs w:val="21"/>
        </w:rPr>
        <w:fldChar w:fldCharType="separate"/>
      </w:r>
      <w:r>
        <w:rPr>
          <w:rFonts w:hint="eastAsia" w:ascii="宋体" w:hAnsi="宋体" w:cs="宋体"/>
          <w:szCs w:val="28"/>
          <w:lang w:val="zh-CN"/>
        </w:rPr>
        <w:t>12.投标文件的编制要求</w:t>
      </w:r>
      <w:r>
        <w:tab/>
      </w:r>
      <w:r>
        <w:fldChar w:fldCharType="begin"/>
      </w:r>
      <w:r>
        <w:instrText xml:space="preserve"> PAGEREF _Toc20693 </w:instrText>
      </w:r>
      <w:r>
        <w:fldChar w:fldCharType="separate"/>
      </w:r>
      <w:r>
        <w:t>11</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_Toc26269 </w:instrText>
      </w:r>
      <w:r>
        <w:rPr>
          <w:rFonts w:hint="eastAsia" w:ascii="宋体" w:hAnsi="宋体" w:cs="宋体"/>
          <w:szCs w:val="21"/>
        </w:rPr>
        <w:fldChar w:fldCharType="separate"/>
      </w:r>
      <w:r>
        <w:rPr>
          <w:rFonts w:hint="eastAsia" w:ascii="宋体" w:hAnsi="宋体" w:cs="宋体"/>
          <w:lang w:val="zh-CN"/>
        </w:rPr>
        <w:t>四、投标文件的提交</w:t>
      </w:r>
      <w:r>
        <w:tab/>
      </w:r>
      <w:r>
        <w:fldChar w:fldCharType="begin"/>
      </w:r>
      <w:r>
        <w:instrText xml:space="preserve"> PAGEREF _Toc26269 </w:instrText>
      </w:r>
      <w:r>
        <w:fldChar w:fldCharType="separate"/>
      </w:r>
      <w:r>
        <w:t>12</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_Toc7617 </w:instrText>
      </w:r>
      <w:r>
        <w:rPr>
          <w:rFonts w:hint="eastAsia" w:ascii="宋体" w:hAnsi="宋体" w:cs="宋体"/>
          <w:szCs w:val="21"/>
        </w:rPr>
        <w:fldChar w:fldCharType="separate"/>
      </w:r>
      <w:r>
        <w:rPr>
          <w:rFonts w:hint="eastAsia" w:ascii="宋体" w:hAnsi="宋体" w:cs="宋体"/>
          <w:szCs w:val="28"/>
          <w:lang w:val="zh-CN"/>
        </w:rPr>
        <w:t>13.投标文件的密封和标记</w:t>
      </w:r>
      <w:r>
        <w:tab/>
      </w:r>
      <w:r>
        <w:fldChar w:fldCharType="begin"/>
      </w:r>
      <w:r>
        <w:instrText xml:space="preserve"> PAGEREF _Toc7617 </w:instrText>
      </w:r>
      <w:r>
        <w:fldChar w:fldCharType="separate"/>
      </w:r>
      <w:r>
        <w:t>12</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_Toc398 </w:instrText>
      </w:r>
      <w:r>
        <w:rPr>
          <w:rFonts w:hint="eastAsia" w:ascii="宋体" w:hAnsi="宋体" w:cs="宋体"/>
          <w:szCs w:val="21"/>
        </w:rPr>
        <w:fldChar w:fldCharType="separate"/>
      </w:r>
      <w:r>
        <w:rPr>
          <w:rFonts w:hint="eastAsia" w:ascii="宋体" w:hAnsi="宋体" w:cs="宋体"/>
          <w:szCs w:val="28"/>
          <w:lang w:val="zh-CN"/>
        </w:rPr>
        <w:t>14.</w:t>
      </w:r>
      <w:r>
        <w:rPr>
          <w:rFonts w:hint="eastAsia"/>
        </w:rPr>
        <w:t xml:space="preserve"> </w:t>
      </w:r>
      <w:r>
        <w:rPr>
          <w:rFonts w:hint="eastAsia" w:ascii="宋体" w:hAnsi="宋体" w:cs="宋体"/>
          <w:szCs w:val="28"/>
          <w:lang w:val="zh-CN"/>
        </w:rPr>
        <w:t>提交投标文件的时间、地点、方式</w:t>
      </w:r>
      <w:r>
        <w:tab/>
      </w:r>
      <w:r>
        <w:fldChar w:fldCharType="begin"/>
      </w:r>
      <w:r>
        <w:instrText xml:space="preserve"> PAGEREF _Toc398 </w:instrText>
      </w:r>
      <w:r>
        <w:fldChar w:fldCharType="separate"/>
      </w:r>
      <w:r>
        <w:t>12</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_Toc8812 </w:instrText>
      </w:r>
      <w:r>
        <w:rPr>
          <w:rFonts w:hint="eastAsia" w:ascii="宋体" w:hAnsi="宋体" w:cs="宋体"/>
          <w:szCs w:val="21"/>
        </w:rPr>
        <w:fldChar w:fldCharType="separate"/>
      </w:r>
      <w:r>
        <w:rPr>
          <w:rFonts w:hint="eastAsia" w:ascii="宋体" w:hAnsi="宋体" w:cs="宋体"/>
          <w:szCs w:val="28"/>
          <w:lang w:val="zh-CN"/>
        </w:rPr>
        <w:t>15.投标文件的补充、修改或者撤回</w:t>
      </w:r>
      <w:r>
        <w:tab/>
      </w:r>
      <w:r>
        <w:fldChar w:fldCharType="begin"/>
      </w:r>
      <w:r>
        <w:instrText xml:space="preserve"> PAGEREF _Toc8812 </w:instrText>
      </w:r>
      <w:r>
        <w:fldChar w:fldCharType="separate"/>
      </w:r>
      <w:r>
        <w:t>12</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_Toc25397 </w:instrText>
      </w:r>
      <w:r>
        <w:rPr>
          <w:rFonts w:hint="eastAsia" w:ascii="宋体" w:hAnsi="宋体" w:cs="宋体"/>
          <w:szCs w:val="21"/>
        </w:rPr>
        <w:fldChar w:fldCharType="separate"/>
      </w:r>
      <w:r>
        <w:rPr>
          <w:rFonts w:hint="eastAsia" w:ascii="宋体" w:hAnsi="宋体" w:cs="宋体"/>
          <w:lang w:val="zh-CN"/>
        </w:rPr>
        <w:t>五、开标</w:t>
      </w:r>
      <w:r>
        <w:tab/>
      </w:r>
      <w:r>
        <w:fldChar w:fldCharType="begin"/>
      </w:r>
      <w:r>
        <w:instrText xml:space="preserve"> PAGEREF _Toc25397 </w:instrText>
      </w:r>
      <w:r>
        <w:fldChar w:fldCharType="separate"/>
      </w:r>
      <w:r>
        <w:t>12</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_Toc24096 </w:instrText>
      </w:r>
      <w:r>
        <w:rPr>
          <w:rFonts w:hint="eastAsia" w:ascii="宋体" w:hAnsi="宋体" w:cs="宋体"/>
          <w:szCs w:val="21"/>
        </w:rPr>
        <w:fldChar w:fldCharType="separate"/>
      </w:r>
      <w:r>
        <w:rPr>
          <w:rFonts w:hint="eastAsia" w:ascii="宋体" w:hAnsi="宋体" w:cs="宋体"/>
          <w:szCs w:val="28"/>
          <w:lang w:val="zh-CN"/>
        </w:rPr>
        <w:t>16.开标</w:t>
      </w:r>
      <w:r>
        <w:tab/>
      </w:r>
      <w:r>
        <w:fldChar w:fldCharType="begin"/>
      </w:r>
      <w:r>
        <w:instrText xml:space="preserve"> PAGEREF _Toc24096 </w:instrText>
      </w:r>
      <w:r>
        <w:fldChar w:fldCharType="separate"/>
      </w:r>
      <w:r>
        <w:t>12</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_Toc32572 </w:instrText>
      </w:r>
      <w:r>
        <w:rPr>
          <w:rFonts w:hint="eastAsia" w:ascii="宋体" w:hAnsi="宋体" w:cs="宋体"/>
          <w:szCs w:val="21"/>
        </w:rPr>
        <w:fldChar w:fldCharType="separate"/>
      </w:r>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r>
        <w:tab/>
      </w:r>
      <w:r>
        <w:fldChar w:fldCharType="begin"/>
      </w:r>
      <w:r>
        <w:instrText xml:space="preserve"> PAGEREF _Toc32572 </w:instrText>
      </w:r>
      <w:r>
        <w:fldChar w:fldCharType="separate"/>
      </w:r>
      <w:r>
        <w:t>13</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_Toc18754 </w:instrText>
      </w:r>
      <w:r>
        <w:rPr>
          <w:rFonts w:hint="eastAsia" w:ascii="宋体" w:hAnsi="宋体" w:cs="宋体"/>
          <w:szCs w:val="21"/>
        </w:rPr>
        <w:fldChar w:fldCharType="separate"/>
      </w:r>
      <w:r>
        <w:rPr>
          <w:rFonts w:hint="eastAsia" w:ascii="宋体" w:hAnsi="宋体" w:cs="宋体"/>
          <w:szCs w:val="28"/>
        </w:rPr>
        <w:t>17.资格审查</w:t>
      </w:r>
      <w:r>
        <w:tab/>
      </w:r>
      <w:r>
        <w:fldChar w:fldCharType="begin"/>
      </w:r>
      <w:r>
        <w:instrText xml:space="preserve"> PAGEREF _Toc18754 </w:instrText>
      </w:r>
      <w:r>
        <w:fldChar w:fldCharType="separate"/>
      </w:r>
      <w:r>
        <w:t>13</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_Toc31308 </w:instrText>
      </w:r>
      <w:r>
        <w:rPr>
          <w:rFonts w:hint="eastAsia" w:ascii="宋体" w:hAnsi="宋体" w:cs="宋体"/>
          <w:szCs w:val="21"/>
        </w:rPr>
        <w:fldChar w:fldCharType="separate"/>
      </w:r>
      <w:r>
        <w:rPr>
          <w:rFonts w:hint="eastAsia" w:ascii="宋体" w:hAnsi="宋体" w:cs="宋体"/>
          <w:lang w:val="zh-CN"/>
        </w:rPr>
        <w:t>七、评审程序及方法</w:t>
      </w:r>
      <w:r>
        <w:tab/>
      </w:r>
      <w:r>
        <w:fldChar w:fldCharType="begin"/>
      </w:r>
      <w:r>
        <w:instrText xml:space="preserve"> PAGEREF _Toc31308 </w:instrText>
      </w:r>
      <w:r>
        <w:fldChar w:fldCharType="separate"/>
      </w:r>
      <w:r>
        <w:t>13</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_Toc13387 </w:instrText>
      </w:r>
      <w:r>
        <w:rPr>
          <w:rFonts w:hint="eastAsia" w:ascii="宋体" w:hAnsi="宋体" w:cs="宋体"/>
          <w:szCs w:val="21"/>
        </w:rPr>
        <w:fldChar w:fldCharType="separate"/>
      </w:r>
      <w:r>
        <w:rPr>
          <w:rFonts w:hint="eastAsia" w:ascii="宋体" w:hAnsi="宋体" w:cs="宋体"/>
          <w:szCs w:val="28"/>
          <w:lang w:val="zh-CN"/>
        </w:rPr>
        <w:t>1</w:t>
      </w:r>
      <w:r>
        <w:rPr>
          <w:rFonts w:hint="eastAsia" w:ascii="宋体" w:hAnsi="宋体" w:cs="宋体"/>
          <w:szCs w:val="28"/>
        </w:rPr>
        <w:t>8</w:t>
      </w:r>
      <w:r>
        <w:rPr>
          <w:rFonts w:hint="eastAsia" w:ascii="宋体" w:hAnsi="宋体" w:cs="宋体"/>
          <w:szCs w:val="28"/>
          <w:lang w:val="zh-CN"/>
        </w:rPr>
        <w:t>.评标委员会</w:t>
      </w:r>
      <w:r>
        <w:tab/>
      </w:r>
      <w:r>
        <w:fldChar w:fldCharType="begin"/>
      </w:r>
      <w:r>
        <w:instrText xml:space="preserve"> PAGEREF _Toc13387 </w:instrText>
      </w:r>
      <w:r>
        <w:fldChar w:fldCharType="separate"/>
      </w:r>
      <w:r>
        <w:t>13</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_Toc28585 </w:instrText>
      </w:r>
      <w:r>
        <w:rPr>
          <w:rFonts w:hint="eastAsia" w:ascii="宋体" w:hAnsi="宋体" w:cs="宋体"/>
          <w:szCs w:val="21"/>
        </w:rPr>
        <w:fldChar w:fldCharType="separate"/>
      </w:r>
      <w:r>
        <w:rPr>
          <w:rFonts w:hint="eastAsia" w:ascii="宋体" w:hAnsi="宋体" w:cs="宋体"/>
          <w:szCs w:val="28"/>
        </w:rPr>
        <w:t>19</w:t>
      </w:r>
      <w:r>
        <w:rPr>
          <w:rFonts w:hint="eastAsia" w:ascii="宋体" w:hAnsi="宋体" w:cs="宋体"/>
          <w:szCs w:val="28"/>
          <w:lang w:val="zh-CN"/>
        </w:rPr>
        <w:t>.评审工作程序</w:t>
      </w:r>
      <w:r>
        <w:tab/>
      </w:r>
      <w:r>
        <w:fldChar w:fldCharType="begin"/>
      </w:r>
      <w:r>
        <w:instrText xml:space="preserve"> PAGEREF _Toc28585 </w:instrText>
      </w:r>
      <w:r>
        <w:fldChar w:fldCharType="separate"/>
      </w:r>
      <w:r>
        <w:t>15</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_Toc20334 </w:instrText>
      </w:r>
      <w:r>
        <w:rPr>
          <w:rFonts w:hint="eastAsia" w:ascii="宋体" w:hAnsi="宋体" w:cs="宋体"/>
          <w:szCs w:val="21"/>
        </w:rPr>
        <w:fldChar w:fldCharType="separate"/>
      </w:r>
      <w:r>
        <w:rPr>
          <w:rFonts w:hint="eastAsia" w:ascii="宋体" w:hAnsi="宋体" w:cs="宋体"/>
          <w:szCs w:val="28"/>
        </w:rPr>
        <w:t>20</w:t>
      </w:r>
      <w:r>
        <w:rPr>
          <w:rFonts w:hint="eastAsia" w:ascii="宋体" w:hAnsi="宋体" w:cs="宋体"/>
          <w:szCs w:val="28"/>
          <w:lang w:val="zh-CN"/>
        </w:rPr>
        <w:t>.评审方法和标准</w:t>
      </w:r>
      <w:r>
        <w:tab/>
      </w:r>
      <w:r>
        <w:fldChar w:fldCharType="begin"/>
      </w:r>
      <w:r>
        <w:instrText xml:space="preserve"> PAGEREF _Toc20334 </w:instrText>
      </w:r>
      <w:r>
        <w:fldChar w:fldCharType="separate"/>
      </w:r>
      <w:r>
        <w:t>17</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_Toc20657 </w:instrText>
      </w:r>
      <w:r>
        <w:rPr>
          <w:rFonts w:hint="eastAsia" w:ascii="宋体" w:hAnsi="宋体" w:cs="宋体"/>
          <w:szCs w:val="21"/>
        </w:rPr>
        <w:fldChar w:fldCharType="separate"/>
      </w:r>
      <w:r>
        <w:rPr>
          <w:rFonts w:hint="eastAsia" w:ascii="宋体" w:hAnsi="宋体" w:cs="宋体"/>
          <w:lang w:val="zh-CN"/>
        </w:rPr>
        <w:t>八、中标</w:t>
      </w:r>
      <w:r>
        <w:tab/>
      </w:r>
      <w:r>
        <w:fldChar w:fldCharType="begin"/>
      </w:r>
      <w:r>
        <w:instrText xml:space="preserve"> PAGEREF _Toc20657 </w:instrText>
      </w:r>
      <w:r>
        <w:fldChar w:fldCharType="separate"/>
      </w:r>
      <w:r>
        <w:t>21</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_Toc10405 </w:instrText>
      </w:r>
      <w:r>
        <w:rPr>
          <w:rFonts w:hint="eastAsia" w:ascii="宋体" w:hAnsi="宋体" w:cs="宋体"/>
          <w:szCs w:val="21"/>
        </w:rPr>
        <w:fldChar w:fldCharType="separate"/>
      </w:r>
      <w:r>
        <w:rPr>
          <w:rFonts w:hint="eastAsia" w:ascii="宋体" w:hAnsi="宋体" w:cs="宋体"/>
          <w:szCs w:val="28"/>
          <w:lang w:val="zh-CN"/>
        </w:rPr>
        <w:t>2</w:t>
      </w:r>
      <w:r>
        <w:rPr>
          <w:rFonts w:hint="eastAsia" w:ascii="宋体" w:hAnsi="宋体" w:cs="宋体"/>
          <w:szCs w:val="28"/>
        </w:rPr>
        <w:t>1</w:t>
      </w:r>
      <w:r>
        <w:rPr>
          <w:rFonts w:hint="eastAsia" w:ascii="宋体" w:hAnsi="宋体" w:cs="宋体"/>
          <w:szCs w:val="28"/>
          <w:lang w:val="zh-CN"/>
        </w:rPr>
        <w:t>.推荐并确定中标人</w:t>
      </w:r>
      <w:r>
        <w:tab/>
      </w:r>
      <w:r>
        <w:fldChar w:fldCharType="begin"/>
      </w:r>
      <w:r>
        <w:instrText xml:space="preserve"> PAGEREF _Toc10405 </w:instrText>
      </w:r>
      <w:r>
        <w:fldChar w:fldCharType="separate"/>
      </w:r>
      <w:r>
        <w:t>21</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_Toc5440 </w:instrText>
      </w:r>
      <w:r>
        <w:rPr>
          <w:rFonts w:hint="eastAsia" w:ascii="宋体" w:hAnsi="宋体" w:cs="宋体"/>
          <w:szCs w:val="21"/>
        </w:rPr>
        <w:fldChar w:fldCharType="separate"/>
      </w:r>
      <w:r>
        <w:rPr>
          <w:rFonts w:hint="eastAsia" w:ascii="宋体" w:hAnsi="宋体" w:cs="宋体"/>
          <w:szCs w:val="28"/>
          <w:lang w:val="zh-CN"/>
        </w:rPr>
        <w:t>2</w:t>
      </w:r>
      <w:r>
        <w:rPr>
          <w:rFonts w:hint="eastAsia" w:ascii="宋体" w:hAnsi="宋体" w:cs="宋体"/>
          <w:szCs w:val="28"/>
        </w:rPr>
        <w:t>2</w:t>
      </w:r>
      <w:r>
        <w:rPr>
          <w:rFonts w:hint="eastAsia" w:ascii="宋体" w:hAnsi="宋体" w:cs="宋体"/>
          <w:szCs w:val="28"/>
          <w:lang w:val="zh-CN"/>
        </w:rPr>
        <w:t>.中标通知</w:t>
      </w:r>
      <w:r>
        <w:tab/>
      </w:r>
      <w:r>
        <w:fldChar w:fldCharType="begin"/>
      </w:r>
      <w:r>
        <w:instrText xml:space="preserve"> PAGEREF _Toc5440 </w:instrText>
      </w:r>
      <w:r>
        <w:fldChar w:fldCharType="separate"/>
      </w:r>
      <w:r>
        <w:t>21</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_Toc6909 </w:instrText>
      </w:r>
      <w:r>
        <w:rPr>
          <w:rFonts w:hint="eastAsia" w:ascii="宋体" w:hAnsi="宋体" w:cs="宋体"/>
          <w:szCs w:val="21"/>
        </w:rPr>
        <w:fldChar w:fldCharType="separate"/>
      </w:r>
      <w:r>
        <w:rPr>
          <w:rFonts w:hint="eastAsia" w:ascii="宋体" w:hAnsi="宋体" w:cs="宋体"/>
          <w:lang w:val="zh-CN"/>
        </w:rPr>
        <w:t>九、授予合同</w:t>
      </w:r>
      <w:r>
        <w:tab/>
      </w:r>
      <w:r>
        <w:fldChar w:fldCharType="begin"/>
      </w:r>
      <w:r>
        <w:instrText xml:space="preserve"> PAGEREF _Toc6909 </w:instrText>
      </w:r>
      <w:r>
        <w:fldChar w:fldCharType="separate"/>
      </w:r>
      <w:r>
        <w:t>21</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_Toc27720 </w:instrText>
      </w:r>
      <w:r>
        <w:rPr>
          <w:rFonts w:hint="eastAsia" w:ascii="宋体" w:hAnsi="宋体" w:cs="宋体"/>
          <w:szCs w:val="21"/>
        </w:rPr>
        <w:fldChar w:fldCharType="separate"/>
      </w:r>
      <w:r>
        <w:rPr>
          <w:rFonts w:hint="eastAsia" w:ascii="宋体" w:hAnsi="宋体" w:cs="宋体"/>
          <w:szCs w:val="28"/>
          <w:lang w:val="zh-CN"/>
        </w:rPr>
        <w:t>2</w:t>
      </w:r>
      <w:r>
        <w:rPr>
          <w:rFonts w:hint="eastAsia" w:ascii="宋体" w:hAnsi="宋体" w:cs="宋体"/>
          <w:szCs w:val="28"/>
        </w:rPr>
        <w:t>3</w:t>
      </w:r>
      <w:r>
        <w:rPr>
          <w:rFonts w:hint="eastAsia" w:ascii="宋体" w:hAnsi="宋体" w:cs="宋体"/>
          <w:szCs w:val="28"/>
          <w:lang w:val="zh-CN"/>
        </w:rPr>
        <w:t>.签订合同</w:t>
      </w:r>
      <w:r>
        <w:tab/>
      </w:r>
      <w:r>
        <w:fldChar w:fldCharType="begin"/>
      </w:r>
      <w:r>
        <w:instrText xml:space="preserve"> PAGEREF _Toc27720 </w:instrText>
      </w:r>
      <w:r>
        <w:fldChar w:fldCharType="separate"/>
      </w:r>
      <w:r>
        <w:t>21</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_Toc16722 </w:instrText>
      </w:r>
      <w:r>
        <w:rPr>
          <w:rFonts w:hint="eastAsia" w:ascii="宋体" w:hAnsi="宋体" w:cs="宋体"/>
          <w:szCs w:val="21"/>
        </w:rPr>
        <w:fldChar w:fldCharType="separate"/>
      </w:r>
      <w:r>
        <w:rPr>
          <w:rFonts w:hint="eastAsia" w:ascii="宋体" w:hAnsi="宋体" w:cs="宋体"/>
          <w:lang w:val="zh-CN"/>
        </w:rPr>
        <w:t>十、其他</w:t>
      </w:r>
      <w:r>
        <w:tab/>
      </w:r>
      <w:r>
        <w:fldChar w:fldCharType="begin"/>
      </w:r>
      <w:r>
        <w:instrText xml:space="preserve"> PAGEREF _Toc16722 </w:instrText>
      </w:r>
      <w:r>
        <w:fldChar w:fldCharType="separate"/>
      </w:r>
      <w:r>
        <w:t>22</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_Toc22050 </w:instrText>
      </w:r>
      <w:r>
        <w:rPr>
          <w:rFonts w:hint="eastAsia" w:ascii="宋体" w:hAnsi="宋体" w:cs="宋体"/>
          <w:szCs w:val="21"/>
        </w:rPr>
        <w:fldChar w:fldCharType="separate"/>
      </w:r>
      <w:r>
        <w:rPr>
          <w:rFonts w:hint="eastAsia" w:ascii="宋体" w:hAnsi="宋体" w:cs="宋体"/>
          <w:szCs w:val="28"/>
        </w:rPr>
        <w:t>2</w:t>
      </w:r>
      <w:r>
        <w:rPr>
          <w:rFonts w:ascii="宋体" w:hAnsi="宋体" w:cs="宋体"/>
          <w:szCs w:val="28"/>
        </w:rPr>
        <w:t>4</w:t>
      </w:r>
      <w:r>
        <w:rPr>
          <w:rFonts w:hint="eastAsia" w:ascii="宋体" w:hAnsi="宋体" w:cs="宋体"/>
          <w:szCs w:val="28"/>
        </w:rPr>
        <w:t>. 串通投标的情形</w:t>
      </w:r>
      <w:r>
        <w:tab/>
      </w:r>
      <w:r>
        <w:fldChar w:fldCharType="begin"/>
      </w:r>
      <w:r>
        <w:instrText xml:space="preserve"> PAGEREF _Toc22050 </w:instrText>
      </w:r>
      <w:r>
        <w:fldChar w:fldCharType="separate"/>
      </w:r>
      <w:r>
        <w:t>22</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_Toc20444 </w:instrText>
      </w:r>
      <w:r>
        <w:rPr>
          <w:rFonts w:hint="eastAsia" w:ascii="宋体" w:hAnsi="宋体" w:cs="宋体"/>
          <w:szCs w:val="21"/>
        </w:rPr>
        <w:fldChar w:fldCharType="separate"/>
      </w:r>
      <w:r>
        <w:rPr>
          <w:rFonts w:hint="eastAsia" w:ascii="宋体" w:hAnsi="宋体" w:cs="宋体"/>
          <w:szCs w:val="28"/>
        </w:rPr>
        <w:t>2</w:t>
      </w:r>
      <w:r>
        <w:rPr>
          <w:rFonts w:ascii="宋体" w:hAnsi="宋体" w:cs="宋体"/>
          <w:szCs w:val="28"/>
        </w:rPr>
        <w:t>5</w:t>
      </w:r>
      <w:r>
        <w:rPr>
          <w:rFonts w:hint="eastAsia" w:ascii="宋体" w:hAnsi="宋体" w:cs="宋体"/>
          <w:szCs w:val="28"/>
        </w:rPr>
        <w:t>. 废标</w:t>
      </w:r>
      <w:r>
        <w:tab/>
      </w:r>
      <w:r>
        <w:fldChar w:fldCharType="begin"/>
      </w:r>
      <w:r>
        <w:instrText xml:space="preserve"> PAGEREF _Toc20444 </w:instrText>
      </w:r>
      <w:r>
        <w:fldChar w:fldCharType="separate"/>
      </w:r>
      <w:r>
        <w:t>23</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_Toc7773 </w:instrText>
      </w:r>
      <w:r>
        <w:rPr>
          <w:rFonts w:hint="eastAsia" w:ascii="宋体" w:hAnsi="宋体" w:cs="宋体"/>
          <w:szCs w:val="21"/>
        </w:rPr>
        <w:fldChar w:fldCharType="separate"/>
      </w:r>
      <w:r>
        <w:rPr>
          <w:rFonts w:hint="eastAsia" w:ascii="宋体" w:hAnsi="宋体" w:cs="宋体"/>
          <w:szCs w:val="28"/>
        </w:rPr>
        <w:t>2</w:t>
      </w:r>
      <w:r>
        <w:rPr>
          <w:rFonts w:ascii="宋体" w:hAnsi="宋体" w:cs="宋体"/>
          <w:szCs w:val="28"/>
        </w:rPr>
        <w:t>6</w:t>
      </w:r>
      <w:r>
        <w:rPr>
          <w:rFonts w:hint="eastAsia" w:ascii="宋体" w:hAnsi="宋体" w:cs="宋体"/>
          <w:szCs w:val="28"/>
        </w:rPr>
        <w:t>. 中标服务费</w:t>
      </w:r>
      <w:r>
        <w:tab/>
      </w:r>
      <w:r>
        <w:fldChar w:fldCharType="begin"/>
      </w:r>
      <w:r>
        <w:instrText xml:space="preserve"> PAGEREF _Toc7773 </w:instrText>
      </w:r>
      <w:r>
        <w:fldChar w:fldCharType="separate"/>
      </w:r>
      <w:r>
        <w:t>23</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_Toc4926 </w:instrText>
      </w:r>
      <w:r>
        <w:rPr>
          <w:rFonts w:hint="eastAsia" w:ascii="宋体" w:hAnsi="宋体" w:cs="宋体"/>
          <w:szCs w:val="21"/>
        </w:rPr>
        <w:fldChar w:fldCharType="separate"/>
      </w:r>
      <w:r>
        <w:rPr>
          <w:rFonts w:hint="eastAsia" w:ascii="宋体" w:hAnsi="宋体" w:cs="宋体"/>
          <w:szCs w:val="36"/>
          <w:lang w:val="zh-CN"/>
        </w:rPr>
        <w:t xml:space="preserve">第三部分 </w:t>
      </w:r>
      <w:r>
        <w:rPr>
          <w:rFonts w:hint="eastAsia" w:ascii="宋体" w:hAnsi="宋体" w:cs="宋体"/>
          <w:szCs w:val="36"/>
        </w:rPr>
        <w:t xml:space="preserve"> </w:t>
      </w:r>
      <w:r>
        <w:rPr>
          <w:rFonts w:hint="eastAsia"/>
          <w:lang w:val="zh-CN"/>
        </w:rPr>
        <w:t>PPP框架协议</w:t>
      </w:r>
      <w:r>
        <w:rPr>
          <w:rFonts w:hint="eastAsia"/>
        </w:rPr>
        <w:t>（草案）</w:t>
      </w:r>
      <w:r>
        <w:tab/>
      </w:r>
      <w:r>
        <w:fldChar w:fldCharType="begin"/>
      </w:r>
      <w:r>
        <w:instrText xml:space="preserve"> PAGEREF _Toc4926 </w:instrText>
      </w:r>
      <w:r>
        <w:fldChar w:fldCharType="separate"/>
      </w:r>
      <w:r>
        <w:t>24</w:t>
      </w:r>
      <w:r>
        <w:fldChar w:fldCharType="end"/>
      </w:r>
      <w:r>
        <w:rPr>
          <w:rFonts w:hint="eastAsia" w:ascii="宋体" w:hAnsi="宋体" w:cs="宋体"/>
          <w:szCs w:val="21"/>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_Toc6427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一、协议主体</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_Toc6427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24</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_Toc2296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二、项目建设内容</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_Toc2296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24</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_Toc26680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三、主要合同条款</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_Toc26680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26</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_Toc25697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en-US" w:eastAsia="zh-CN" w:bidi="ar-SA"/>
        </w:rPr>
        <w:t>四、PPP项目主要边界条件</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_Toc25697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27</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_Toc28372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en-US" w:eastAsia="zh-CN" w:bidi="ar-SA"/>
        </w:rPr>
        <w:t>五、补充事项</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_Toc28372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28</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_Toc11427 </w:instrText>
      </w:r>
      <w:r>
        <w:rPr>
          <w:rFonts w:hint="eastAsia" w:ascii="宋体" w:hAnsi="宋体" w:cs="宋体"/>
          <w:szCs w:val="21"/>
        </w:rPr>
        <w:fldChar w:fldCharType="separate"/>
      </w:r>
      <w:r>
        <w:rPr>
          <w:rFonts w:hint="eastAsia" w:ascii="宋体" w:hAnsi="宋体" w:cs="宋体"/>
          <w:szCs w:val="36"/>
          <w:lang w:val="zh-CN"/>
        </w:rPr>
        <w:t>第四部分  投标文件格式</w:t>
      </w:r>
      <w:r>
        <w:tab/>
      </w:r>
      <w:r>
        <w:fldChar w:fldCharType="begin"/>
      </w:r>
      <w:r>
        <w:instrText xml:space="preserve"> PAGEREF _Toc11427 </w:instrText>
      </w:r>
      <w:r>
        <w:fldChar w:fldCharType="separate"/>
      </w:r>
      <w:r>
        <w:t>29</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_Toc3570 </w:instrText>
      </w:r>
      <w:r>
        <w:rPr>
          <w:rFonts w:hint="eastAsia" w:ascii="宋体" w:hAnsi="宋体" w:cs="宋体"/>
          <w:szCs w:val="21"/>
        </w:rPr>
        <w:fldChar w:fldCharType="separate"/>
      </w:r>
      <w:r>
        <w:rPr>
          <w:rFonts w:hint="eastAsia" w:ascii="宋体" w:hAnsi="宋体" w:cs="宋体"/>
          <w:szCs w:val="30"/>
          <w:lang w:val="zh-CN"/>
        </w:rPr>
        <w:t>封面（上册）</w:t>
      </w:r>
      <w:r>
        <w:tab/>
      </w:r>
      <w:r>
        <w:fldChar w:fldCharType="begin"/>
      </w:r>
      <w:r>
        <w:instrText xml:space="preserve"> PAGEREF _Toc3570 </w:instrText>
      </w:r>
      <w:r>
        <w:fldChar w:fldCharType="separate"/>
      </w:r>
      <w:r>
        <w:t>29</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_Toc17218 </w:instrText>
      </w:r>
      <w:r>
        <w:rPr>
          <w:rFonts w:hint="eastAsia" w:ascii="宋体" w:hAnsi="宋体" w:cs="宋体"/>
          <w:szCs w:val="21"/>
        </w:rPr>
        <w:fldChar w:fldCharType="separate"/>
      </w:r>
      <w:r>
        <w:rPr>
          <w:rFonts w:hint="eastAsia" w:ascii="宋体" w:hAnsi="宋体" w:cs="宋体"/>
          <w:szCs w:val="30"/>
          <w:lang w:val="zh-CN"/>
        </w:rPr>
        <w:t>目录（上册）</w:t>
      </w:r>
      <w:r>
        <w:tab/>
      </w:r>
      <w:r>
        <w:fldChar w:fldCharType="begin"/>
      </w:r>
      <w:r>
        <w:instrText xml:space="preserve"> PAGEREF _Toc17218 </w:instrText>
      </w:r>
      <w:r>
        <w:fldChar w:fldCharType="separate"/>
      </w:r>
      <w:r>
        <w:t>30</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_Toc23370 </w:instrText>
      </w:r>
      <w:r>
        <w:rPr>
          <w:rFonts w:hint="eastAsia" w:ascii="宋体" w:hAnsi="宋体" w:cs="宋体"/>
          <w:szCs w:val="21"/>
        </w:rPr>
        <w:fldChar w:fldCharType="separate"/>
      </w:r>
      <w:r>
        <w:rPr>
          <w:rFonts w:hint="eastAsia" w:ascii="宋体" w:hAnsi="宋体" w:cs="宋体"/>
          <w:szCs w:val="30"/>
        </w:rPr>
        <w:t>（1）</w:t>
      </w:r>
      <w:r>
        <w:rPr>
          <w:rFonts w:hint="eastAsia" w:ascii="宋体" w:hAnsi="宋体" w:cs="宋体"/>
          <w:szCs w:val="30"/>
          <w:lang w:val="zh-CN"/>
        </w:rPr>
        <w:t>投标函</w:t>
      </w:r>
      <w:r>
        <w:tab/>
      </w:r>
      <w:r>
        <w:fldChar w:fldCharType="begin"/>
      </w:r>
      <w:r>
        <w:instrText xml:space="preserve"> PAGEREF _Toc23370 </w:instrText>
      </w:r>
      <w:r>
        <w:fldChar w:fldCharType="separate"/>
      </w:r>
      <w:r>
        <w:t>31</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_Toc24634 </w:instrText>
      </w:r>
      <w:r>
        <w:rPr>
          <w:rFonts w:hint="eastAsia" w:ascii="宋体" w:hAnsi="宋体" w:cs="宋体"/>
          <w:szCs w:val="21"/>
        </w:rPr>
        <w:fldChar w:fldCharType="separate"/>
      </w:r>
      <w:r>
        <w:rPr>
          <w:rFonts w:hint="eastAsia" w:ascii="宋体" w:hAnsi="宋体" w:cs="宋体"/>
          <w:kern w:val="0"/>
          <w:szCs w:val="30"/>
          <w:lang w:val="zh-CN"/>
        </w:rPr>
        <w:t>（</w:t>
      </w:r>
      <w:r>
        <w:rPr>
          <w:rFonts w:hint="eastAsia" w:ascii="宋体" w:hAnsi="宋体" w:cs="宋体"/>
          <w:kern w:val="0"/>
          <w:szCs w:val="30"/>
        </w:rPr>
        <w:t>2</w:t>
      </w:r>
      <w:r>
        <w:rPr>
          <w:rFonts w:hint="eastAsia" w:ascii="宋体" w:hAnsi="宋体" w:cs="宋体"/>
          <w:kern w:val="0"/>
          <w:szCs w:val="30"/>
          <w:lang w:val="zh-CN"/>
        </w:rPr>
        <w:t>）</w:t>
      </w:r>
      <w:r>
        <w:rPr>
          <w:rFonts w:hint="eastAsia" w:ascii="宋体" w:hAnsi="宋体" w:cs="宋体"/>
          <w:szCs w:val="30"/>
        </w:rPr>
        <w:t>法定代表人证明书</w:t>
      </w:r>
      <w:r>
        <w:tab/>
      </w:r>
      <w:r>
        <w:fldChar w:fldCharType="begin"/>
      </w:r>
      <w:r>
        <w:instrText xml:space="preserve"> PAGEREF _Toc24634 </w:instrText>
      </w:r>
      <w:r>
        <w:fldChar w:fldCharType="separate"/>
      </w:r>
      <w:r>
        <w:t>32</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_Toc19335 </w:instrText>
      </w:r>
      <w:r>
        <w:rPr>
          <w:rFonts w:hint="eastAsia" w:ascii="宋体" w:hAnsi="宋体" w:cs="宋体"/>
          <w:szCs w:val="21"/>
        </w:rPr>
        <w:fldChar w:fldCharType="separate"/>
      </w:r>
      <w:r>
        <w:rPr>
          <w:rFonts w:hint="eastAsia" w:ascii="宋体" w:hAnsi="宋体" w:cs="宋体"/>
          <w:szCs w:val="30"/>
        </w:rPr>
        <w:t>（3）</w:t>
      </w:r>
      <w:r>
        <w:rPr>
          <w:rFonts w:hint="eastAsia" w:ascii="宋体" w:hAnsi="宋体" w:cs="宋体"/>
          <w:szCs w:val="30"/>
          <w:lang w:val="zh-CN"/>
        </w:rPr>
        <w:t>法定代表人授权书</w:t>
      </w:r>
      <w:r>
        <w:tab/>
      </w:r>
      <w:r>
        <w:fldChar w:fldCharType="begin"/>
      </w:r>
      <w:r>
        <w:instrText xml:space="preserve"> PAGEREF _Toc19335 </w:instrText>
      </w:r>
      <w:r>
        <w:fldChar w:fldCharType="separate"/>
      </w:r>
      <w:r>
        <w:t>33</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_Toc14266 </w:instrText>
      </w:r>
      <w:r>
        <w:rPr>
          <w:rFonts w:hint="eastAsia" w:ascii="宋体" w:hAnsi="宋体" w:cs="宋体"/>
          <w:szCs w:val="21"/>
        </w:rPr>
        <w:fldChar w:fldCharType="separate"/>
      </w:r>
      <w:r>
        <w:rPr>
          <w:rFonts w:hint="eastAsia" w:ascii="宋体" w:hAnsi="宋体" w:cs="宋体"/>
          <w:szCs w:val="30"/>
        </w:rPr>
        <w:t>（4）</w:t>
      </w:r>
      <w:r>
        <w:rPr>
          <w:rFonts w:hint="eastAsia" w:ascii="宋体" w:hAnsi="宋体" w:cs="宋体"/>
          <w:szCs w:val="30"/>
          <w:lang w:val="zh-CN"/>
        </w:rPr>
        <w:t>投标人承诺函</w:t>
      </w:r>
      <w:r>
        <w:tab/>
      </w:r>
      <w:r>
        <w:fldChar w:fldCharType="begin"/>
      </w:r>
      <w:r>
        <w:instrText xml:space="preserve"> PAGEREF _Toc14266 </w:instrText>
      </w:r>
      <w:r>
        <w:fldChar w:fldCharType="separate"/>
      </w:r>
      <w:r>
        <w:t>34</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_Toc21374 </w:instrText>
      </w:r>
      <w:r>
        <w:rPr>
          <w:rFonts w:hint="eastAsia" w:ascii="宋体" w:hAnsi="宋体" w:cs="宋体"/>
          <w:szCs w:val="21"/>
        </w:rPr>
        <w:fldChar w:fldCharType="separate"/>
      </w:r>
      <w:r>
        <w:rPr>
          <w:rFonts w:hint="eastAsia" w:ascii="宋体" w:hAnsi="宋体" w:cs="宋体"/>
          <w:szCs w:val="30"/>
        </w:rPr>
        <w:t>（5）</w:t>
      </w:r>
      <w:r>
        <w:rPr>
          <w:rFonts w:hint="eastAsia" w:ascii="宋体" w:hAnsi="宋体" w:cs="宋体"/>
          <w:szCs w:val="30"/>
          <w:lang w:val="zh-CN"/>
        </w:rPr>
        <w:t>投标人诚信承诺书</w:t>
      </w:r>
      <w:r>
        <w:tab/>
      </w:r>
      <w:r>
        <w:fldChar w:fldCharType="begin"/>
      </w:r>
      <w:r>
        <w:instrText xml:space="preserve"> PAGEREF _Toc21374 </w:instrText>
      </w:r>
      <w:r>
        <w:fldChar w:fldCharType="separate"/>
      </w:r>
      <w:r>
        <w:t>35</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_Toc24324 </w:instrText>
      </w:r>
      <w:r>
        <w:rPr>
          <w:rFonts w:hint="eastAsia" w:ascii="宋体" w:hAnsi="宋体" w:cs="宋体"/>
          <w:szCs w:val="21"/>
        </w:rPr>
        <w:fldChar w:fldCharType="separate"/>
      </w:r>
      <w:r>
        <w:rPr>
          <w:rFonts w:hint="eastAsia" w:ascii="宋体" w:hAnsi="宋体" w:cs="宋体"/>
          <w:szCs w:val="30"/>
        </w:rPr>
        <w:t>（6）</w:t>
      </w:r>
      <w:r>
        <w:rPr>
          <w:rFonts w:hint="eastAsia" w:ascii="宋体" w:hAnsi="宋体" w:cs="宋体"/>
          <w:szCs w:val="30"/>
          <w:lang w:val="zh-CN"/>
        </w:rPr>
        <w:t>资格预审合格通知书</w:t>
      </w:r>
      <w:r>
        <w:tab/>
      </w:r>
      <w:r>
        <w:fldChar w:fldCharType="begin"/>
      </w:r>
      <w:r>
        <w:instrText xml:space="preserve"> PAGEREF _Toc24324 </w:instrText>
      </w:r>
      <w:r>
        <w:fldChar w:fldCharType="separate"/>
      </w:r>
      <w:r>
        <w:t>36</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_Toc24619 </w:instrText>
      </w:r>
      <w:r>
        <w:rPr>
          <w:rFonts w:hint="eastAsia" w:ascii="宋体" w:hAnsi="宋体" w:cs="宋体"/>
          <w:szCs w:val="21"/>
        </w:rPr>
        <w:fldChar w:fldCharType="separate"/>
      </w:r>
      <w:r>
        <w:rPr>
          <w:rFonts w:hint="eastAsia" w:ascii="宋体" w:hAnsi="宋体" w:cs="宋体"/>
          <w:szCs w:val="30"/>
        </w:rPr>
        <w:t>（</w:t>
      </w:r>
      <w:r>
        <w:rPr>
          <w:rFonts w:ascii="宋体" w:hAnsi="宋体" w:cs="宋体"/>
          <w:szCs w:val="30"/>
        </w:rPr>
        <w:t>7</w:t>
      </w:r>
      <w:r>
        <w:rPr>
          <w:rFonts w:hint="eastAsia" w:ascii="宋体" w:hAnsi="宋体" w:cs="宋体"/>
          <w:szCs w:val="30"/>
        </w:rPr>
        <w:t>）</w:t>
      </w:r>
      <w:r>
        <w:rPr>
          <w:rFonts w:hint="eastAsia" w:ascii="宋体" w:hAnsi="宋体" w:cs="宋体"/>
          <w:szCs w:val="30"/>
          <w:lang w:val="zh-CN"/>
        </w:rPr>
        <w:t>投标保证金证明</w:t>
      </w:r>
      <w:r>
        <w:tab/>
      </w:r>
      <w:r>
        <w:fldChar w:fldCharType="begin"/>
      </w:r>
      <w:r>
        <w:instrText xml:space="preserve"> PAGEREF _Toc24619 </w:instrText>
      </w:r>
      <w:r>
        <w:fldChar w:fldCharType="separate"/>
      </w:r>
      <w:r>
        <w:t>37</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_Toc28923 </w:instrText>
      </w:r>
      <w:r>
        <w:rPr>
          <w:rFonts w:hint="eastAsia" w:ascii="宋体" w:hAnsi="宋体" w:cs="宋体"/>
          <w:szCs w:val="21"/>
        </w:rPr>
        <w:fldChar w:fldCharType="separate"/>
      </w:r>
      <w:r>
        <w:rPr>
          <w:rFonts w:hint="eastAsia" w:ascii="宋体" w:hAnsi="宋体" w:cs="宋体"/>
          <w:szCs w:val="30"/>
          <w:lang w:val="zh-CN"/>
        </w:rPr>
        <w:t>（下册）</w:t>
      </w:r>
      <w:r>
        <w:tab/>
      </w:r>
      <w:r>
        <w:fldChar w:fldCharType="begin"/>
      </w:r>
      <w:r>
        <w:instrText xml:space="preserve"> PAGEREF _Toc28923 </w:instrText>
      </w:r>
      <w:r>
        <w:fldChar w:fldCharType="separate"/>
      </w:r>
      <w:r>
        <w:t>38</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_Toc17263 </w:instrText>
      </w:r>
      <w:r>
        <w:rPr>
          <w:rFonts w:hint="eastAsia" w:ascii="宋体" w:hAnsi="宋体" w:cs="宋体"/>
          <w:szCs w:val="21"/>
        </w:rPr>
        <w:fldChar w:fldCharType="separate"/>
      </w:r>
      <w:r>
        <w:rPr>
          <w:rFonts w:hint="eastAsia" w:ascii="宋体" w:hAnsi="宋体" w:cs="宋体"/>
          <w:szCs w:val="30"/>
          <w:lang w:val="zh-CN"/>
        </w:rPr>
        <w:t>目录（下册）</w:t>
      </w:r>
      <w:r>
        <w:tab/>
      </w:r>
      <w:r>
        <w:fldChar w:fldCharType="begin"/>
      </w:r>
      <w:r>
        <w:instrText xml:space="preserve"> PAGEREF _Toc17263 </w:instrText>
      </w:r>
      <w:r>
        <w:fldChar w:fldCharType="separate"/>
      </w:r>
      <w:r>
        <w:t>39</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_Toc14430 </w:instrText>
      </w:r>
      <w:r>
        <w:rPr>
          <w:rFonts w:hint="eastAsia" w:ascii="宋体" w:hAnsi="宋体" w:cs="宋体"/>
          <w:szCs w:val="21"/>
        </w:rPr>
        <w:fldChar w:fldCharType="separate"/>
      </w:r>
      <w:r>
        <w:rPr>
          <w:rFonts w:hint="eastAsia" w:ascii="宋体" w:hAnsi="宋体" w:cs="宋体"/>
          <w:szCs w:val="30"/>
        </w:rPr>
        <w:t>（</w:t>
      </w:r>
      <w:r>
        <w:rPr>
          <w:rFonts w:ascii="宋体" w:hAnsi="宋体" w:cs="宋体"/>
          <w:szCs w:val="30"/>
        </w:rPr>
        <w:t>8</w:t>
      </w:r>
      <w:r>
        <w:rPr>
          <w:rFonts w:hint="eastAsia" w:ascii="宋体" w:hAnsi="宋体" w:cs="宋体"/>
          <w:szCs w:val="30"/>
        </w:rPr>
        <w:t>）</w:t>
      </w:r>
      <w:r>
        <w:rPr>
          <w:rFonts w:hint="eastAsia" w:ascii="宋体" w:hAnsi="宋体" w:cs="宋体"/>
          <w:szCs w:val="30"/>
          <w:lang w:val="zh-CN"/>
        </w:rPr>
        <w:t>评分对照表</w:t>
      </w:r>
      <w:r>
        <w:tab/>
      </w:r>
      <w:r>
        <w:fldChar w:fldCharType="begin"/>
      </w:r>
      <w:r>
        <w:instrText xml:space="preserve"> PAGEREF _Toc14430 </w:instrText>
      </w:r>
      <w:r>
        <w:fldChar w:fldCharType="separate"/>
      </w:r>
      <w:r>
        <w:t>40</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_Toc25570 </w:instrText>
      </w:r>
      <w:r>
        <w:rPr>
          <w:rFonts w:hint="eastAsia" w:ascii="宋体" w:hAnsi="宋体" w:cs="宋体"/>
          <w:szCs w:val="21"/>
        </w:rPr>
        <w:fldChar w:fldCharType="separate"/>
      </w:r>
      <w:r>
        <w:rPr>
          <w:rFonts w:hint="eastAsia" w:ascii="宋体" w:hAnsi="宋体" w:cs="宋体"/>
          <w:szCs w:val="30"/>
        </w:rPr>
        <w:t>（</w:t>
      </w:r>
      <w:r>
        <w:rPr>
          <w:rFonts w:ascii="宋体" w:hAnsi="宋体" w:cs="宋体"/>
          <w:szCs w:val="30"/>
        </w:rPr>
        <w:t>9</w:t>
      </w:r>
      <w:r>
        <w:rPr>
          <w:rFonts w:hint="eastAsia" w:ascii="宋体" w:hAnsi="宋体" w:cs="宋体"/>
          <w:szCs w:val="30"/>
        </w:rPr>
        <w:t>）</w:t>
      </w:r>
      <w:r>
        <w:rPr>
          <w:rFonts w:hint="eastAsia" w:ascii="宋体" w:hAnsi="宋体" w:cs="宋体"/>
          <w:szCs w:val="30"/>
          <w:lang w:val="zh-CN"/>
        </w:rPr>
        <w:t>开标一览表（报价表）</w:t>
      </w:r>
      <w:r>
        <w:tab/>
      </w:r>
      <w:r>
        <w:fldChar w:fldCharType="begin"/>
      </w:r>
      <w:r>
        <w:instrText xml:space="preserve"> PAGEREF _Toc25570 </w:instrText>
      </w:r>
      <w:r>
        <w:fldChar w:fldCharType="separate"/>
      </w:r>
      <w:r>
        <w:t>41</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_Toc5328 </w:instrText>
      </w:r>
      <w:r>
        <w:rPr>
          <w:rFonts w:hint="eastAsia" w:ascii="宋体" w:hAnsi="宋体" w:cs="宋体"/>
          <w:szCs w:val="21"/>
        </w:rPr>
        <w:fldChar w:fldCharType="separate"/>
      </w:r>
      <w:r>
        <w:rPr>
          <w:rFonts w:hint="eastAsia" w:ascii="宋体" w:hAnsi="宋体" w:cs="宋体"/>
          <w:szCs w:val="30"/>
        </w:rPr>
        <w:t>（1</w:t>
      </w:r>
      <w:r>
        <w:rPr>
          <w:rFonts w:ascii="宋体" w:hAnsi="宋体" w:cs="宋体"/>
          <w:szCs w:val="30"/>
        </w:rPr>
        <w:t>0</w:t>
      </w:r>
      <w:r>
        <w:rPr>
          <w:rFonts w:hint="eastAsia" w:ascii="宋体" w:hAnsi="宋体" w:cs="宋体"/>
          <w:szCs w:val="30"/>
        </w:rPr>
        <w:t>）</w:t>
      </w:r>
      <w:r>
        <w:rPr>
          <w:rFonts w:hint="eastAsia" w:ascii="宋体" w:hAnsi="宋体" w:cs="宋体"/>
          <w:szCs w:val="30"/>
          <w:lang w:val="zh-CN"/>
        </w:rPr>
        <w:t>服务应答表</w:t>
      </w:r>
      <w:r>
        <w:tab/>
      </w:r>
      <w:r>
        <w:fldChar w:fldCharType="begin"/>
      </w:r>
      <w:r>
        <w:instrText xml:space="preserve"> PAGEREF _Toc5328 </w:instrText>
      </w:r>
      <w:r>
        <w:fldChar w:fldCharType="separate"/>
      </w:r>
      <w:r>
        <w:t>42</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_Toc12357 </w:instrText>
      </w:r>
      <w:r>
        <w:rPr>
          <w:rFonts w:hint="eastAsia" w:ascii="宋体" w:hAnsi="宋体" w:cs="宋体"/>
          <w:szCs w:val="21"/>
        </w:rPr>
        <w:fldChar w:fldCharType="separate"/>
      </w:r>
      <w:r>
        <w:rPr>
          <w:rFonts w:hint="eastAsia" w:ascii="宋体" w:hAnsi="宋体" w:cs="宋体"/>
          <w:szCs w:val="30"/>
        </w:rPr>
        <w:t>（1</w:t>
      </w:r>
      <w:r>
        <w:rPr>
          <w:rFonts w:ascii="宋体" w:hAnsi="宋体" w:cs="宋体"/>
          <w:szCs w:val="30"/>
        </w:rPr>
        <w:t>1</w:t>
      </w:r>
      <w:r>
        <w:rPr>
          <w:rFonts w:hint="eastAsia" w:ascii="宋体" w:hAnsi="宋体" w:cs="宋体"/>
          <w:szCs w:val="30"/>
        </w:rPr>
        <w:t>）</w:t>
      </w:r>
      <w:r>
        <w:rPr>
          <w:rFonts w:hint="eastAsia" w:ascii="宋体" w:hAnsi="宋体" w:cs="宋体"/>
          <w:szCs w:val="30"/>
          <w:lang w:val="zh-CN"/>
        </w:rPr>
        <w:t>响应方案</w:t>
      </w:r>
      <w:r>
        <w:tab/>
      </w:r>
      <w:r>
        <w:fldChar w:fldCharType="begin"/>
      </w:r>
      <w:r>
        <w:instrText xml:space="preserve"> PAGEREF _Toc12357 </w:instrText>
      </w:r>
      <w:r>
        <w:fldChar w:fldCharType="separate"/>
      </w:r>
      <w:r>
        <w:t>43</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_Toc14613 </w:instrText>
      </w:r>
      <w:r>
        <w:rPr>
          <w:rFonts w:hint="eastAsia" w:ascii="宋体" w:hAnsi="宋体" w:cs="宋体"/>
          <w:szCs w:val="21"/>
        </w:rPr>
        <w:fldChar w:fldCharType="separate"/>
      </w:r>
      <w:r>
        <w:rPr>
          <w:rFonts w:hint="eastAsia" w:ascii="宋体" w:hAnsi="宋体" w:cs="宋体"/>
          <w:szCs w:val="30"/>
        </w:rPr>
        <w:t>（1</w:t>
      </w:r>
      <w:r>
        <w:rPr>
          <w:rFonts w:ascii="宋体" w:hAnsi="宋体" w:cs="宋体"/>
          <w:szCs w:val="30"/>
        </w:rPr>
        <w:t>2</w:t>
      </w:r>
      <w:r>
        <w:rPr>
          <w:rFonts w:hint="eastAsia" w:ascii="宋体" w:hAnsi="宋体" w:cs="宋体"/>
          <w:szCs w:val="30"/>
        </w:rPr>
        <w:t>）</w:t>
      </w:r>
      <w:r>
        <w:rPr>
          <w:rFonts w:hint="eastAsia" w:ascii="宋体" w:hAnsi="宋体" w:cs="宋体"/>
          <w:szCs w:val="30"/>
          <w:lang w:val="zh-CN"/>
        </w:rPr>
        <w:t>投标人的类似业绩证明材料</w:t>
      </w:r>
      <w:r>
        <w:tab/>
      </w:r>
      <w:r>
        <w:fldChar w:fldCharType="begin"/>
      </w:r>
      <w:r>
        <w:instrText xml:space="preserve"> PAGEREF _Toc14613 </w:instrText>
      </w:r>
      <w:r>
        <w:fldChar w:fldCharType="separate"/>
      </w:r>
      <w:r>
        <w:t>44</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_Toc6987 </w:instrText>
      </w:r>
      <w:r>
        <w:rPr>
          <w:rFonts w:hint="eastAsia" w:ascii="宋体" w:hAnsi="宋体" w:cs="宋体"/>
          <w:szCs w:val="21"/>
        </w:rPr>
        <w:fldChar w:fldCharType="separate"/>
      </w:r>
      <w:r>
        <w:rPr>
          <w:rFonts w:hint="eastAsia" w:ascii="宋体" w:hAnsi="宋体" w:cs="宋体"/>
          <w:szCs w:val="30"/>
        </w:rPr>
        <w:t>（1</w:t>
      </w:r>
      <w:r>
        <w:rPr>
          <w:rFonts w:ascii="宋体" w:hAnsi="宋体" w:cs="宋体"/>
          <w:szCs w:val="30"/>
        </w:rPr>
        <w:t>3</w:t>
      </w:r>
      <w:r>
        <w:rPr>
          <w:rFonts w:hint="eastAsia" w:ascii="宋体" w:hAnsi="宋体" w:cs="宋体"/>
          <w:szCs w:val="30"/>
        </w:rPr>
        <w:t>.1）</w:t>
      </w:r>
      <w:r>
        <w:rPr>
          <w:rFonts w:hint="eastAsia" w:ascii="宋体" w:hAnsi="宋体" w:cs="宋体"/>
          <w:szCs w:val="30"/>
          <w:lang w:val="zh-CN"/>
        </w:rPr>
        <w:t>制造（生产）企业小型、微型企业声明函</w:t>
      </w:r>
      <w:r>
        <w:tab/>
      </w:r>
      <w:r>
        <w:fldChar w:fldCharType="begin"/>
      </w:r>
      <w:r>
        <w:instrText xml:space="preserve"> PAGEREF _Toc6987 </w:instrText>
      </w:r>
      <w:r>
        <w:fldChar w:fldCharType="separate"/>
      </w:r>
      <w:r>
        <w:t>45</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_Toc5159 </w:instrText>
      </w:r>
      <w:r>
        <w:rPr>
          <w:rFonts w:hint="eastAsia" w:ascii="宋体" w:hAnsi="宋体" w:cs="宋体"/>
          <w:szCs w:val="21"/>
        </w:rPr>
        <w:fldChar w:fldCharType="separate"/>
      </w:r>
      <w:r>
        <w:rPr>
          <w:rFonts w:hint="eastAsia" w:ascii="宋体" w:hAnsi="宋体" w:cs="宋体"/>
          <w:szCs w:val="30"/>
        </w:rPr>
        <w:t>（1</w:t>
      </w:r>
      <w:r>
        <w:rPr>
          <w:rFonts w:ascii="宋体" w:hAnsi="宋体" w:cs="宋体"/>
          <w:szCs w:val="30"/>
        </w:rPr>
        <w:t>3</w:t>
      </w:r>
      <w:r>
        <w:rPr>
          <w:rFonts w:hint="eastAsia" w:ascii="宋体" w:hAnsi="宋体" w:cs="宋体"/>
          <w:szCs w:val="30"/>
        </w:rPr>
        <w:t>.2）</w:t>
      </w:r>
      <w:r>
        <w:rPr>
          <w:rFonts w:hint="eastAsia" w:ascii="宋体" w:hAnsi="宋体" w:cs="宋体"/>
          <w:szCs w:val="30"/>
          <w:lang w:val="zh-CN"/>
        </w:rPr>
        <w:t>从业人员声明函</w:t>
      </w:r>
      <w:r>
        <w:tab/>
      </w:r>
      <w:r>
        <w:fldChar w:fldCharType="begin"/>
      </w:r>
      <w:r>
        <w:instrText xml:space="preserve"> PAGEREF _Toc5159 </w:instrText>
      </w:r>
      <w:r>
        <w:fldChar w:fldCharType="separate"/>
      </w:r>
      <w:r>
        <w:t>46</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_Toc19151 </w:instrText>
      </w:r>
      <w:r>
        <w:rPr>
          <w:rFonts w:hint="eastAsia" w:ascii="宋体" w:hAnsi="宋体" w:cs="宋体"/>
          <w:szCs w:val="21"/>
        </w:rPr>
        <w:fldChar w:fldCharType="separate"/>
      </w:r>
      <w:r>
        <w:rPr>
          <w:rFonts w:hint="eastAsia" w:ascii="宋体" w:hAnsi="宋体" w:cs="宋体"/>
          <w:bCs w:val="0"/>
          <w:szCs w:val="28"/>
          <w:lang w:val="zh-CN"/>
        </w:rPr>
        <w:t>（</w:t>
      </w:r>
      <w:r>
        <w:rPr>
          <w:rFonts w:hint="eastAsia" w:ascii="宋体" w:hAnsi="宋体" w:cs="宋体"/>
          <w:bCs w:val="0"/>
          <w:szCs w:val="28"/>
        </w:rPr>
        <w:t>1</w:t>
      </w:r>
      <w:r>
        <w:rPr>
          <w:rFonts w:ascii="宋体" w:hAnsi="宋体" w:cs="宋体"/>
          <w:bCs w:val="0"/>
          <w:szCs w:val="28"/>
        </w:rPr>
        <w:t>4</w:t>
      </w:r>
      <w:r>
        <w:rPr>
          <w:rFonts w:hint="eastAsia" w:ascii="宋体" w:hAnsi="宋体" w:cs="宋体"/>
          <w:bCs w:val="0"/>
          <w:szCs w:val="28"/>
          <w:lang w:val="zh-CN"/>
        </w:rPr>
        <w:t>）</w:t>
      </w:r>
      <w:r>
        <w:rPr>
          <w:rFonts w:hint="eastAsia" w:ascii="宋体" w:hAnsi="宋体" w:cs="宋体"/>
          <w:bCs w:val="0"/>
          <w:szCs w:val="30"/>
          <w:lang w:val="zh-CN"/>
        </w:rPr>
        <w:t>残疾人</w:t>
      </w:r>
      <w:r>
        <w:rPr>
          <w:rFonts w:hint="eastAsia" w:ascii="宋体" w:hAnsi="宋体" w:cs="宋体"/>
          <w:bCs w:val="0"/>
          <w:szCs w:val="28"/>
        </w:rPr>
        <w:t>福利性单位声明函</w:t>
      </w:r>
      <w:r>
        <w:tab/>
      </w:r>
      <w:r>
        <w:fldChar w:fldCharType="begin"/>
      </w:r>
      <w:r>
        <w:instrText xml:space="preserve"> PAGEREF _Toc19151 </w:instrText>
      </w:r>
      <w:r>
        <w:fldChar w:fldCharType="separate"/>
      </w:r>
      <w:r>
        <w:t>47</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_Toc1044 </w:instrText>
      </w:r>
      <w:r>
        <w:rPr>
          <w:rFonts w:hint="eastAsia" w:ascii="宋体" w:hAnsi="宋体" w:cs="宋体"/>
          <w:szCs w:val="21"/>
        </w:rPr>
        <w:fldChar w:fldCharType="separate"/>
      </w:r>
      <w:r>
        <w:rPr>
          <w:rFonts w:hint="eastAsia" w:ascii="宋体" w:hAnsi="宋体" w:cs="宋体"/>
          <w:szCs w:val="30"/>
        </w:rPr>
        <w:t>（1</w:t>
      </w:r>
      <w:r>
        <w:rPr>
          <w:rFonts w:ascii="宋体" w:hAnsi="宋体" w:cs="宋体"/>
          <w:szCs w:val="30"/>
        </w:rPr>
        <w:t>5</w:t>
      </w:r>
      <w:r>
        <w:rPr>
          <w:rFonts w:hint="eastAsia" w:ascii="宋体" w:hAnsi="宋体" w:cs="宋体"/>
          <w:szCs w:val="30"/>
        </w:rPr>
        <w:t>）</w:t>
      </w:r>
      <w:r>
        <w:rPr>
          <w:rFonts w:hint="eastAsia" w:ascii="宋体" w:hAnsi="宋体" w:cs="宋体"/>
          <w:szCs w:val="30"/>
          <w:lang w:val="zh-CN"/>
        </w:rPr>
        <w:t>投标人认为在其他方面有必要说明的事项</w:t>
      </w:r>
      <w:r>
        <w:tab/>
      </w:r>
      <w:r>
        <w:fldChar w:fldCharType="begin"/>
      </w:r>
      <w:r>
        <w:instrText xml:space="preserve"> PAGEREF _Toc1044 </w:instrText>
      </w:r>
      <w:r>
        <w:fldChar w:fldCharType="separate"/>
      </w:r>
      <w:r>
        <w:t>48</w:t>
      </w:r>
      <w:r>
        <w:fldChar w:fldCharType="end"/>
      </w:r>
      <w:r>
        <w:rPr>
          <w:rFonts w:hint="eastAsia" w:ascii="宋体" w:hAnsi="宋体" w:cs="宋体"/>
          <w:szCs w:val="21"/>
        </w:rPr>
        <w:fldChar w:fldCharType="end"/>
      </w:r>
    </w:p>
    <w:p>
      <w:pPr>
        <w:pStyle w:val="12"/>
        <w:tabs>
          <w:tab w:val="right" w:leader="dot" w:pos="10190"/>
        </w:tabs>
      </w:pPr>
      <w:r>
        <w:rPr>
          <w:rFonts w:hint="eastAsia" w:ascii="宋体" w:hAnsi="宋体" w:cs="宋体"/>
          <w:szCs w:val="21"/>
        </w:rPr>
        <w:fldChar w:fldCharType="begin"/>
      </w:r>
      <w:r>
        <w:rPr>
          <w:rFonts w:hint="eastAsia" w:ascii="宋体" w:hAnsi="宋体" w:cs="宋体"/>
          <w:szCs w:val="21"/>
        </w:rPr>
        <w:instrText xml:space="preserve"> HYPERLINK \l _Toc15804 </w:instrText>
      </w:r>
      <w:r>
        <w:rPr>
          <w:rFonts w:hint="eastAsia" w:ascii="宋体" w:hAnsi="宋体" w:cs="宋体"/>
          <w:szCs w:val="21"/>
        </w:rPr>
        <w:fldChar w:fldCharType="separate"/>
      </w:r>
      <w:r>
        <w:rPr>
          <w:rFonts w:hint="eastAsia" w:ascii="宋体" w:hAnsi="宋体" w:cs="宋体"/>
          <w:szCs w:val="36"/>
          <w:lang w:val="zh-CN"/>
        </w:rPr>
        <w:t>第五部分  项目需求概况</w:t>
      </w:r>
      <w:r>
        <w:tab/>
      </w:r>
      <w:r>
        <w:fldChar w:fldCharType="begin"/>
      </w:r>
      <w:r>
        <w:instrText xml:space="preserve"> PAGEREF _Toc15804 </w:instrText>
      </w:r>
      <w:r>
        <w:fldChar w:fldCharType="separate"/>
      </w:r>
      <w:r>
        <w:t>49</w:t>
      </w:r>
      <w:r>
        <w:fldChar w:fldCharType="end"/>
      </w:r>
      <w:r>
        <w:rPr>
          <w:rFonts w:hint="eastAsia" w:ascii="宋体" w:hAnsi="宋体" w:cs="宋体"/>
          <w:szCs w:val="21"/>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_Toc10444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en-US" w:eastAsia="zh-CN" w:bidi="ar-SA"/>
        </w:rPr>
        <w:t>一、项目基本情况</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_Toc10444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49</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_Toc1583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en-US" w:eastAsia="zh-CN" w:bidi="ar-SA"/>
        </w:rPr>
        <w:t>二、项目合作内容：</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_Toc1583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54</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_Toc7743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en-US" w:eastAsia="zh-CN" w:bidi="ar-SA"/>
        </w:rPr>
        <w:t>三、参数设置</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_Toc7743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55</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_Toc24980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en-US" w:eastAsia="zh-CN" w:bidi="ar-SA"/>
        </w:rPr>
        <w:t>四、财务测算过程</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_Toc24980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55</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_Toc24695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en-US" w:eastAsia="zh-CN" w:bidi="ar-SA"/>
        </w:rPr>
        <w:t>五、投标范围</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_Toc24695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57</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_Toc1748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en-US" w:eastAsia="zh-CN" w:bidi="ar-SA"/>
        </w:rPr>
        <w:t>六、PPP 运作方式</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_Toc1748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58</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_Toc29086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en-US" w:eastAsia="zh-CN" w:bidi="ar-SA"/>
        </w:rPr>
        <w:t>七、回报机制</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_Toc29086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59</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rPr>
          <w:rFonts w:hint="eastAsia" w:ascii="宋体" w:hAnsi="宋体" w:eastAsia="宋体" w:cs="宋体"/>
          <w:b/>
          <w:bCs/>
          <w:i w:val="0"/>
          <w:iCs w:val="0"/>
          <w:caps/>
          <w:kern w:val="2"/>
          <w:sz w:val="24"/>
          <w:szCs w:val="30"/>
          <w:lang w:val="zh-CN" w:eastAsia="zh-CN" w:bidi="ar-SA"/>
        </w:rPr>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_Toc717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en-US" w:eastAsia="zh-CN" w:bidi="ar-SA"/>
        </w:rPr>
        <w:t>八、股权结构</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_Toc717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60</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pStyle w:val="9"/>
        <w:tabs>
          <w:tab w:val="right" w:leader="dot" w:pos="10190"/>
          <w:tab w:val="clear" w:pos="8777"/>
        </w:tabs>
      </w:pP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HYPERLINK \l _Toc22793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en-US" w:eastAsia="zh-CN" w:bidi="ar-SA"/>
        </w:rPr>
        <w:t>九、风险分配架构</w:t>
      </w:r>
      <w:r>
        <w:rPr>
          <w:rFonts w:hint="eastAsia" w:ascii="宋体" w:hAnsi="宋体" w:eastAsia="宋体" w:cs="宋体"/>
          <w:b/>
          <w:bCs/>
          <w:i w:val="0"/>
          <w:iCs w:val="0"/>
          <w:caps/>
          <w:kern w:val="2"/>
          <w:sz w:val="24"/>
          <w:szCs w:val="30"/>
          <w:lang w:val="zh-CN" w:eastAsia="zh-CN" w:bidi="ar-SA"/>
        </w:rPr>
        <w:tab/>
      </w:r>
      <w:r>
        <w:rPr>
          <w:rFonts w:hint="eastAsia" w:ascii="宋体" w:hAnsi="宋体" w:eastAsia="宋体" w:cs="宋体"/>
          <w:b/>
          <w:bCs/>
          <w:i w:val="0"/>
          <w:iCs w:val="0"/>
          <w:caps/>
          <w:kern w:val="2"/>
          <w:sz w:val="24"/>
          <w:szCs w:val="30"/>
          <w:lang w:val="zh-CN" w:eastAsia="zh-CN" w:bidi="ar-SA"/>
        </w:rPr>
        <w:fldChar w:fldCharType="begin"/>
      </w:r>
      <w:r>
        <w:rPr>
          <w:rFonts w:hint="eastAsia" w:ascii="宋体" w:hAnsi="宋体" w:eastAsia="宋体" w:cs="宋体"/>
          <w:b/>
          <w:bCs/>
          <w:i w:val="0"/>
          <w:iCs w:val="0"/>
          <w:caps/>
          <w:kern w:val="2"/>
          <w:sz w:val="24"/>
          <w:szCs w:val="30"/>
          <w:lang w:val="zh-CN" w:eastAsia="zh-CN" w:bidi="ar-SA"/>
        </w:rPr>
        <w:instrText xml:space="preserve"> PAGEREF _Toc22793 </w:instrText>
      </w:r>
      <w:r>
        <w:rPr>
          <w:rFonts w:hint="eastAsia" w:ascii="宋体" w:hAnsi="宋体" w:eastAsia="宋体" w:cs="宋体"/>
          <w:b/>
          <w:bCs/>
          <w:i w:val="0"/>
          <w:iCs w:val="0"/>
          <w:caps/>
          <w:kern w:val="2"/>
          <w:sz w:val="24"/>
          <w:szCs w:val="30"/>
          <w:lang w:val="zh-CN" w:eastAsia="zh-CN" w:bidi="ar-SA"/>
        </w:rPr>
        <w:fldChar w:fldCharType="separate"/>
      </w:r>
      <w:r>
        <w:rPr>
          <w:rFonts w:hint="eastAsia" w:ascii="宋体" w:hAnsi="宋体" w:eastAsia="宋体" w:cs="宋体"/>
          <w:b/>
          <w:bCs/>
          <w:i w:val="0"/>
          <w:iCs w:val="0"/>
          <w:caps/>
          <w:kern w:val="2"/>
          <w:sz w:val="24"/>
          <w:szCs w:val="30"/>
          <w:lang w:val="zh-CN" w:eastAsia="zh-CN" w:bidi="ar-SA"/>
        </w:rPr>
        <w:t>60</w:t>
      </w:r>
      <w:r>
        <w:rPr>
          <w:rFonts w:hint="eastAsia" w:ascii="宋体" w:hAnsi="宋体" w:eastAsia="宋体" w:cs="宋体"/>
          <w:b/>
          <w:bCs/>
          <w:i w:val="0"/>
          <w:iCs w:val="0"/>
          <w:caps/>
          <w:kern w:val="2"/>
          <w:sz w:val="24"/>
          <w:szCs w:val="30"/>
          <w:lang w:val="zh-CN" w:eastAsia="zh-CN" w:bidi="ar-SA"/>
        </w:rPr>
        <w:fldChar w:fldCharType="end"/>
      </w:r>
      <w:r>
        <w:rPr>
          <w:rFonts w:hint="eastAsia" w:ascii="宋体" w:hAnsi="宋体" w:eastAsia="宋体" w:cs="宋体"/>
          <w:b/>
          <w:bCs/>
          <w:i w:val="0"/>
          <w:iCs w:val="0"/>
          <w:caps/>
          <w:kern w:val="2"/>
          <w:sz w:val="24"/>
          <w:szCs w:val="30"/>
          <w:lang w:val="zh-CN" w:eastAsia="zh-CN" w:bidi="ar-SA"/>
        </w:rPr>
        <w:fldChar w:fldCharType="end"/>
      </w:r>
    </w:p>
    <w:p>
      <w:pPr>
        <w:spacing w:line="360" w:lineRule="auto"/>
        <w:rPr>
          <w:rFonts w:ascii="宋体" w:hAnsi="宋体" w:cs="宋体"/>
        </w:rPr>
      </w:pPr>
      <w:r>
        <w:rPr>
          <w:rFonts w:hint="eastAsia" w:ascii="宋体" w:hAnsi="宋体" w:cs="宋体"/>
          <w:szCs w:val="21"/>
        </w:rPr>
        <w:fldChar w:fldCharType="end"/>
      </w:r>
    </w:p>
    <w:p>
      <w:pPr>
        <w:pStyle w:val="15"/>
        <w:spacing w:before="0" w:after="0" w:line="360" w:lineRule="auto"/>
        <w:rPr>
          <w:rFonts w:hint="eastAsia" w:ascii="宋体" w:hAnsi="宋体" w:cs="宋体"/>
          <w:szCs w:val="36"/>
          <w:lang w:val="zh-CN"/>
        </w:rPr>
        <w:sectPr>
          <w:footerReference r:id="rId3" w:type="default"/>
          <w:pgSz w:w="11910" w:h="16840"/>
          <w:pgMar w:top="1480" w:right="880" w:bottom="1180" w:left="840" w:header="0" w:footer="915" w:gutter="0"/>
          <w:pgNumType w:fmt="decimal"/>
          <w:cols w:space="720" w:num="1"/>
        </w:sectPr>
      </w:pPr>
    </w:p>
    <w:p>
      <w:pPr>
        <w:pStyle w:val="15"/>
        <w:spacing w:before="0" w:after="0" w:line="360" w:lineRule="auto"/>
        <w:rPr>
          <w:rFonts w:ascii="宋体" w:hAnsi="宋体" w:cs="宋体"/>
          <w:szCs w:val="36"/>
          <w:lang w:val="zh-CN"/>
        </w:rPr>
      </w:pPr>
      <w:bookmarkStart w:id="0" w:name="_Toc16248"/>
      <w:r>
        <w:rPr>
          <w:rFonts w:hint="eastAsia" w:ascii="宋体" w:hAnsi="宋体" w:cs="宋体"/>
          <w:szCs w:val="36"/>
          <w:lang w:val="zh-CN"/>
        </w:rPr>
        <w:t>第一部分  投标邀请</w:t>
      </w:r>
      <w:bookmarkEnd w:id="0"/>
    </w:p>
    <w:p>
      <w:pPr>
        <w:autoSpaceDE w:val="0"/>
        <w:autoSpaceDN w:val="0"/>
        <w:adjustRightInd w:val="0"/>
        <w:spacing w:line="360" w:lineRule="auto"/>
        <w:ind w:firstLine="480" w:firstLineChars="200"/>
        <w:rPr>
          <w:rFonts w:ascii="宋体" w:hAnsi="宋体" w:cs="宋体"/>
          <w:kern w:val="0"/>
          <w:lang w:val="zh-CN"/>
        </w:rPr>
      </w:pPr>
      <w:r>
        <w:rPr>
          <w:rFonts w:hint="eastAsia" w:ascii="宋体" w:hAnsi="宋体" w:cs="宋体"/>
          <w:kern w:val="0"/>
          <w:lang w:val="zh-CN"/>
        </w:rPr>
        <w:t>青海创德项目管理有限公司（以下均简称“采购代理机构”）受共和县生态环境局（以下均简称“采购人”）委托,拟对</w:t>
      </w:r>
      <w:r>
        <w:rPr>
          <w:rFonts w:hint="eastAsia" w:ascii="宋体" w:hAnsi="宋体" w:cs="仿宋"/>
          <w:lang w:eastAsia="zh-CN"/>
        </w:rPr>
        <w:t>环</w:t>
      </w:r>
      <w:r>
        <w:rPr>
          <w:rFonts w:hint="eastAsia" w:ascii="宋体" w:hAnsi="宋体" w:cs="仿宋"/>
          <w:u w:val="single"/>
          <w:lang w:eastAsia="zh-CN"/>
        </w:rPr>
        <w:t>青海湖南岸环卫设施建设运营 PPP 项目</w:t>
      </w:r>
      <w:r>
        <w:rPr>
          <w:rFonts w:hint="eastAsia" w:ascii="宋体" w:hAnsi="宋体" w:cs="仿宋"/>
          <w:u w:val="single"/>
          <w:lang w:val="zh-CN" w:eastAsia="zh-CN"/>
        </w:rPr>
        <w:t>（第二次）</w:t>
      </w:r>
      <w:r>
        <w:rPr>
          <w:rFonts w:hint="eastAsia" w:ascii="宋体" w:hAnsi="宋体" w:cs="宋体"/>
          <w:kern w:val="0"/>
          <w:lang w:val="zh-CN"/>
        </w:rPr>
        <w:t>进行国内公开招标，现予以公告，欢迎</w:t>
      </w:r>
      <w:r>
        <w:rPr>
          <w:rFonts w:hint="eastAsia" w:ascii="宋体" w:hAnsi="宋体" w:cs="宋体"/>
          <w:kern w:val="0"/>
          <w:lang w:val="zh-CN" w:eastAsia="zh-CN"/>
        </w:rPr>
        <w:t>通过资格预审</w:t>
      </w:r>
      <w:r>
        <w:rPr>
          <w:rFonts w:hint="eastAsia" w:ascii="宋体" w:hAnsi="宋体" w:cs="宋体"/>
          <w:kern w:val="0"/>
          <w:lang w:val="zh-CN"/>
        </w:rPr>
        <w:t>的投标人参加本次政府采购活动。</w:t>
      </w:r>
    </w:p>
    <w:tbl>
      <w:tblPr>
        <w:tblStyle w:val="20"/>
        <w:tblW w:w="9133" w:type="dxa"/>
        <w:jc w:val="center"/>
        <w:tblInd w:w="0" w:type="dxa"/>
        <w:tblLayout w:type="fixed"/>
        <w:tblCellMar>
          <w:top w:w="0" w:type="dxa"/>
          <w:left w:w="108" w:type="dxa"/>
          <w:bottom w:w="0" w:type="dxa"/>
          <w:right w:w="108" w:type="dxa"/>
        </w:tblCellMar>
      </w:tblPr>
      <w:tblGrid>
        <w:gridCol w:w="2491"/>
        <w:gridCol w:w="6642"/>
      </w:tblGrid>
      <w:tr>
        <w:tblPrEx>
          <w:tblLayout w:type="fixed"/>
          <w:tblCellMar>
            <w:top w:w="0" w:type="dxa"/>
            <w:left w:w="108" w:type="dxa"/>
            <w:bottom w:w="0" w:type="dxa"/>
            <w:right w:w="108" w:type="dxa"/>
          </w:tblCellMar>
        </w:tblPrEx>
        <w:trPr>
          <w:trHeight w:val="298"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采购项目编号</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lang w:val="zh-CN"/>
              </w:rPr>
            </w:pPr>
            <w:r>
              <w:rPr>
                <w:rFonts w:hint="eastAsia" w:ascii="宋体" w:hAnsi="Calibri" w:cs="宋体"/>
                <w:kern w:val="0"/>
                <w:lang w:val="zh-CN"/>
              </w:rPr>
              <w:t>创德公招（服务）2019-</w:t>
            </w:r>
            <w:r>
              <w:rPr>
                <w:rFonts w:hint="eastAsia" w:ascii="宋体" w:hAnsi="Calibri" w:cs="宋体"/>
                <w:kern w:val="0"/>
                <w:lang w:val="en-US" w:eastAsia="zh-CN"/>
              </w:rPr>
              <w:t>-</w:t>
            </w:r>
            <w:r>
              <w:rPr>
                <w:rFonts w:hint="eastAsia" w:ascii="宋体" w:hAnsi="Calibri" w:cs="宋体"/>
                <w:kern w:val="0"/>
                <w:lang w:val="zh-CN"/>
              </w:rPr>
              <w:t>019S</w:t>
            </w:r>
          </w:p>
        </w:tc>
      </w:tr>
      <w:tr>
        <w:tblPrEx>
          <w:tblLayout w:type="fixed"/>
          <w:tblCellMar>
            <w:top w:w="0" w:type="dxa"/>
            <w:left w:w="108" w:type="dxa"/>
            <w:bottom w:w="0" w:type="dxa"/>
            <w:right w:w="108" w:type="dxa"/>
          </w:tblCellMar>
        </w:tblPrEx>
        <w:trPr>
          <w:trHeight w:val="2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采购项目名称</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lang w:val="zh-CN"/>
              </w:rPr>
            </w:pPr>
            <w:r>
              <w:rPr>
                <w:rFonts w:hint="eastAsia" w:ascii="宋体" w:hAnsi="Calibri" w:cs="宋体"/>
                <w:kern w:val="0"/>
                <w:lang w:val="zh-CN"/>
              </w:rPr>
              <w:t>环青海湖南岸环卫设施建设运营 PPP 项目（第二次）</w:t>
            </w:r>
          </w:p>
        </w:tc>
      </w:tr>
      <w:tr>
        <w:tblPrEx>
          <w:tblLayout w:type="fixed"/>
          <w:tblCellMar>
            <w:top w:w="0" w:type="dxa"/>
            <w:left w:w="108" w:type="dxa"/>
            <w:bottom w:w="0" w:type="dxa"/>
            <w:right w:w="108" w:type="dxa"/>
          </w:tblCellMar>
        </w:tblPrEx>
        <w:trPr>
          <w:trHeight w:val="496"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采购方式</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lang w:val="zh-CN"/>
              </w:rPr>
            </w:pPr>
            <w:r>
              <w:rPr>
                <w:rFonts w:hint="eastAsia" w:ascii="宋体" w:hAnsi="Calibri" w:cs="宋体"/>
                <w:kern w:val="0"/>
                <w:lang w:val="zh-CN"/>
              </w:rPr>
              <w:t>公开招标</w:t>
            </w:r>
          </w:p>
        </w:tc>
      </w:tr>
      <w:tr>
        <w:tblPrEx>
          <w:tblLayout w:type="fixed"/>
          <w:tblCellMar>
            <w:top w:w="0" w:type="dxa"/>
            <w:left w:w="108" w:type="dxa"/>
            <w:bottom w:w="0" w:type="dxa"/>
            <w:right w:w="108" w:type="dxa"/>
          </w:tblCellMar>
        </w:tblPrEx>
        <w:trPr>
          <w:trHeight w:val="2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jc w:val="left"/>
              <w:rPr>
                <w:rFonts w:hint="eastAsia" w:ascii="宋体" w:hAnsi="宋体"/>
                <w:lang w:val="zh-CN"/>
              </w:rPr>
            </w:pPr>
            <w:r>
              <w:rPr>
                <w:rFonts w:hint="eastAsia" w:ascii="宋体" w:hAnsi="宋体"/>
                <w:lang w:val="zh-CN"/>
              </w:rPr>
              <w:t>采购预算额度</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宋体" w:hAnsi="宋体"/>
                <w:lang w:val="zh-CN"/>
              </w:rPr>
            </w:pPr>
            <w:r>
              <w:rPr>
                <w:rFonts w:hint="eastAsia" w:ascii="宋体" w:hAnsi="宋体"/>
                <w:lang w:val="en-US"/>
              </w:rPr>
              <w:t>本项目总投资额 10131.39 万元</w:t>
            </w:r>
          </w:p>
        </w:tc>
      </w:tr>
      <w:tr>
        <w:tblPrEx>
          <w:tblLayout w:type="fixed"/>
          <w:tblCellMar>
            <w:top w:w="0" w:type="dxa"/>
            <w:left w:w="108" w:type="dxa"/>
            <w:bottom w:w="0" w:type="dxa"/>
            <w:right w:w="108" w:type="dxa"/>
          </w:tblCellMar>
        </w:tblPrEx>
        <w:trPr>
          <w:trHeight w:val="2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项目分包个数</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rPr>
            </w:pPr>
            <w:r>
              <w:rPr>
                <w:rFonts w:ascii="宋体" w:hAnsi="Calibri" w:cs="宋体"/>
                <w:kern w:val="0"/>
              </w:rPr>
              <w:t>无</w:t>
            </w:r>
          </w:p>
        </w:tc>
      </w:tr>
      <w:tr>
        <w:tblPrEx>
          <w:tblLayout w:type="fixed"/>
          <w:tblCellMar>
            <w:top w:w="0" w:type="dxa"/>
            <w:left w:w="108" w:type="dxa"/>
            <w:bottom w:w="0" w:type="dxa"/>
            <w:right w:w="108" w:type="dxa"/>
          </w:tblCellMar>
        </w:tblPrEx>
        <w:trPr>
          <w:trHeight w:val="3616"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各包要求</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u w:val="dashDotHeavy"/>
              </w:rPr>
            </w:pPr>
            <w:r>
              <w:rPr>
                <w:rFonts w:hint="eastAsia" w:ascii="宋体" w:hAnsi="宋体"/>
                <w:lang w:val="en-US"/>
              </w:rPr>
              <w:t>环青海湖南岸环卫设施建设运营 PPP 项目的投融资、建设、运营管理及维护；</w:t>
            </w:r>
            <w:r>
              <w:rPr>
                <w:rFonts w:hint="eastAsia" w:ascii="宋体" w:hAnsi="宋体"/>
                <w:lang w:val="en-US"/>
              </w:rPr>
              <w:br w:type="textWrapping"/>
            </w:r>
            <w:r>
              <w:rPr>
                <w:rFonts w:hint="eastAsia" w:ascii="宋体" w:hAnsi="宋体"/>
                <w:lang w:val="en-US"/>
              </w:rPr>
              <w:t>本项目共计包含七个独立子项目，各子项目名称及建设、运营内容如下：</w:t>
            </w:r>
            <w:r>
              <w:rPr>
                <w:rFonts w:hint="eastAsia" w:ascii="宋体" w:hAnsi="宋体"/>
                <w:lang w:val="en-US"/>
              </w:rPr>
              <w:br w:type="textWrapping"/>
            </w:r>
            <w:r>
              <w:rPr>
                <w:rFonts w:hint="eastAsia" w:ascii="宋体" w:hAnsi="宋体"/>
                <w:lang w:val="en-US"/>
              </w:rPr>
              <w:t>1. 共和县石乃亥乡污水处理厂及配套污水管网建设项目</w:t>
            </w:r>
            <w:r>
              <w:rPr>
                <w:rFonts w:hint="eastAsia" w:ascii="宋体" w:hAnsi="宋体"/>
                <w:lang w:val="en-US"/>
              </w:rPr>
              <w:br w:type="textWrapping"/>
            </w:r>
            <w:r>
              <w:rPr>
                <w:rFonts w:hint="eastAsia" w:ascii="宋体" w:hAnsi="宋体"/>
                <w:lang w:val="en-US"/>
              </w:rPr>
              <w:t>建设规模：污水处理厂处理规模：近期 400m3/d ，远期 800m3/d。污水搜集管网 4490m，管径DN300-DN400。</w:t>
            </w:r>
            <w:r>
              <w:rPr>
                <w:rFonts w:hint="eastAsia" w:ascii="宋体" w:hAnsi="宋体"/>
                <w:lang w:val="en-US"/>
              </w:rPr>
              <w:br w:type="textWrapping"/>
            </w:r>
            <w:r>
              <w:rPr>
                <w:rFonts w:hint="eastAsia" w:ascii="宋体" w:hAnsi="宋体"/>
                <w:lang w:val="en-US"/>
              </w:rPr>
              <w:t>2. 共和县湖东种羊场污水处理厂及配套污水管网建设项目</w:t>
            </w:r>
            <w:r>
              <w:rPr>
                <w:rFonts w:hint="eastAsia" w:ascii="宋体" w:hAnsi="宋体"/>
                <w:lang w:val="en-US"/>
              </w:rPr>
              <w:br w:type="textWrapping"/>
            </w:r>
            <w:r>
              <w:rPr>
                <w:rFonts w:hint="eastAsia" w:ascii="宋体" w:hAnsi="宋体"/>
                <w:lang w:val="en-US"/>
              </w:rPr>
              <w:t>建设规模：污水处理厂处理规模：近期 200m3/d ，远期 400m3/d。污水搜集管网 1497m，管径DN300。</w:t>
            </w:r>
            <w:r>
              <w:rPr>
                <w:rFonts w:hint="eastAsia" w:ascii="宋体" w:hAnsi="宋体"/>
                <w:lang w:val="en-US"/>
              </w:rPr>
              <w:br w:type="textWrapping"/>
            </w:r>
            <w:r>
              <w:rPr>
                <w:rFonts w:hint="eastAsia" w:ascii="宋体" w:hAnsi="宋体"/>
                <w:lang w:val="en-US"/>
              </w:rPr>
              <w:t>3. 共和县江西沟乡污水处理厂及配套污水管网建设项目</w:t>
            </w:r>
            <w:r>
              <w:rPr>
                <w:rFonts w:hint="eastAsia" w:ascii="宋体" w:hAnsi="宋体"/>
                <w:lang w:val="en-US"/>
              </w:rPr>
              <w:br w:type="textWrapping"/>
            </w:r>
            <w:r>
              <w:rPr>
                <w:rFonts w:hint="eastAsia" w:ascii="宋体" w:hAnsi="宋体"/>
                <w:lang w:val="en-US"/>
              </w:rPr>
              <w:t>建设规模：污水处理厂处理规模：近期 400m3/d ，远期 1000m3/d。污水收集管网 2263m，管径 DN300-DN400。</w:t>
            </w:r>
            <w:r>
              <w:rPr>
                <w:rFonts w:hint="eastAsia" w:ascii="宋体" w:hAnsi="宋体"/>
                <w:lang w:val="en-US"/>
              </w:rPr>
              <w:br w:type="textWrapping"/>
            </w:r>
            <w:r>
              <w:rPr>
                <w:rFonts w:hint="eastAsia" w:ascii="宋体" w:hAnsi="宋体"/>
                <w:lang w:val="en-US"/>
              </w:rPr>
              <w:t>4. 共和县黑马河乡生活垃圾填埋场及环卫设施建设项目</w:t>
            </w:r>
            <w:r>
              <w:rPr>
                <w:rFonts w:hint="eastAsia" w:ascii="宋体" w:hAnsi="宋体"/>
                <w:lang w:val="en-US"/>
              </w:rPr>
              <w:br w:type="textWrapping"/>
            </w:r>
            <w:r>
              <w:rPr>
                <w:rFonts w:hint="eastAsia" w:ascii="宋体" w:hAnsi="宋体"/>
                <w:lang w:val="en-US"/>
              </w:rPr>
              <w:t>建设规模： 拟建垃圾填埋场距黑马河镇驻地约 4km 处。2030 年垃圾运转量约为 19.19t/d，按照《城市垃圾转运站设计规范》中的有关规定，垃圾运转规模可分为小型(运转量小于 150t/d)，中型(运转量为 150～450t/d)和大型(运转量大于 450t/d)，故黑马河垃圾转运规模确定为小型。</w:t>
            </w:r>
            <w:r>
              <w:rPr>
                <w:rFonts w:hint="eastAsia" w:ascii="宋体" w:hAnsi="宋体"/>
                <w:lang w:val="en-US"/>
              </w:rPr>
              <w:br w:type="textWrapping"/>
            </w:r>
            <w:r>
              <w:rPr>
                <w:rFonts w:hint="eastAsia" w:ascii="宋体" w:hAnsi="宋体"/>
                <w:lang w:val="en-US"/>
              </w:rPr>
              <w:t>5. 共和县石乃亥生活垃圾填埋场及环卫设施建设项目</w:t>
            </w:r>
            <w:r>
              <w:rPr>
                <w:rFonts w:hint="eastAsia" w:ascii="宋体" w:hAnsi="宋体"/>
                <w:lang w:val="en-US"/>
              </w:rPr>
              <w:br w:type="textWrapping"/>
            </w:r>
            <w:r>
              <w:rPr>
                <w:rFonts w:hint="eastAsia" w:ascii="宋体" w:hAnsi="宋体"/>
                <w:lang w:val="en-US"/>
              </w:rPr>
              <w:t>①建设规模：（1）垃圾运转规模：垃圾最大运转量（2038年）5.412t/d；</w:t>
            </w:r>
            <w:r>
              <w:rPr>
                <w:rFonts w:hint="eastAsia" w:ascii="宋体" w:hAnsi="宋体"/>
                <w:lang w:val="en-US"/>
              </w:rPr>
              <w:br w:type="textWrapping"/>
            </w:r>
            <w:r>
              <w:rPr>
                <w:rFonts w:hint="eastAsia" w:ascii="宋体" w:hAnsi="宋体"/>
                <w:lang w:val="en-US"/>
              </w:rPr>
              <w:t>（2）垃圾填埋场规模：有效库容 6.96  万 m3，服务年限：20年（2019年—2038 年）。</w:t>
            </w:r>
            <w:r>
              <w:rPr>
                <w:rFonts w:hint="eastAsia" w:ascii="宋体" w:hAnsi="宋体"/>
                <w:lang w:val="en-US"/>
              </w:rPr>
              <w:br w:type="textWrapping"/>
            </w:r>
            <w:r>
              <w:rPr>
                <w:rFonts w:hint="eastAsia" w:ascii="宋体" w:hAnsi="宋体"/>
                <w:lang w:val="en-US"/>
              </w:rPr>
              <w:t>6. 共和县江西沟乡生活垃圾填埋场及环卫设施建设项目</w:t>
            </w:r>
            <w:r>
              <w:rPr>
                <w:rFonts w:hint="eastAsia" w:ascii="宋体" w:hAnsi="宋体"/>
                <w:lang w:val="en-US"/>
              </w:rPr>
              <w:br w:type="textWrapping"/>
            </w:r>
            <w:r>
              <w:rPr>
                <w:rFonts w:hint="eastAsia" w:ascii="宋体" w:hAnsi="宋体"/>
                <w:lang w:val="en-US"/>
              </w:rPr>
              <w:t>建设规模：拟建垃圾填埋场距江西沟镇政府驻地约 4km 处。2035 年垃圾运转量约为 13.35t/d，按照《城市垃圾转运站设计规范》中的有关规定， 垃圾运转规模可分为小型(运转量小于 150t/d)，中型(运转量为 150～450t/d)和大型(运转量大于 450t/d)，故江西沟垃圾转运规模确定为小型。</w:t>
            </w:r>
            <w:r>
              <w:rPr>
                <w:rFonts w:hint="eastAsia" w:ascii="宋体" w:hAnsi="宋体"/>
                <w:lang w:val="en-US"/>
              </w:rPr>
              <w:br w:type="textWrapping"/>
            </w:r>
            <w:r>
              <w:rPr>
                <w:rFonts w:hint="eastAsia" w:ascii="宋体" w:hAnsi="宋体"/>
                <w:lang w:val="en-US"/>
              </w:rPr>
              <w:t>7. 共和县湖东种羊场生活垃圾填埋场及环卫设施建设项目</w:t>
            </w:r>
            <w:r>
              <w:rPr>
                <w:rFonts w:hint="eastAsia" w:ascii="宋体" w:hAnsi="宋体"/>
                <w:lang w:val="en-US"/>
              </w:rPr>
              <w:br w:type="textWrapping"/>
            </w:r>
            <w:r>
              <w:rPr>
                <w:rFonts w:hint="eastAsia" w:ascii="宋体" w:hAnsi="宋体"/>
                <w:lang w:val="en-US"/>
              </w:rPr>
              <w:t>①建设规模：</w:t>
            </w:r>
            <w:r>
              <w:rPr>
                <w:rFonts w:hint="eastAsia" w:ascii="宋体" w:hAnsi="宋体"/>
                <w:lang w:val="en-US"/>
              </w:rPr>
              <w:br w:type="textWrapping"/>
            </w:r>
            <w:r>
              <w:rPr>
                <w:rFonts w:hint="eastAsia" w:ascii="宋体" w:hAnsi="宋体"/>
                <w:lang w:val="en-US"/>
              </w:rPr>
              <w:t>（1）垃圾运转规模：垃圾最大运转量 4.13t/d（2038年）；（2）垃圾填埋场规模：填埋场库容：5.3万m3，服务年限：20年（2019年—2038年）。</w:t>
            </w:r>
            <w:r>
              <w:rPr>
                <w:rFonts w:hint="eastAsia" w:ascii="宋体" w:hAnsi="宋体"/>
                <w:lang w:val="en-US"/>
              </w:rPr>
              <w:br w:type="textWrapping"/>
            </w:r>
            <w:r>
              <w:rPr>
                <w:rFonts w:hint="eastAsia" w:ascii="宋体" w:hAnsi="宋体"/>
                <w:lang w:val="en-US"/>
              </w:rPr>
              <w:t>详见资格预审文件；具体内容详见招标文件</w:t>
            </w:r>
          </w:p>
        </w:tc>
      </w:tr>
      <w:tr>
        <w:tblPrEx>
          <w:tblLayout w:type="fixed"/>
          <w:tblCellMar>
            <w:top w:w="0" w:type="dxa"/>
            <w:left w:w="108" w:type="dxa"/>
            <w:bottom w:w="0" w:type="dxa"/>
            <w:right w:w="108" w:type="dxa"/>
          </w:tblCellMar>
        </w:tblPrEx>
        <w:trPr>
          <w:trHeight w:val="1599"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jc w:val="left"/>
              <w:rPr>
                <w:rFonts w:hint="eastAsia" w:ascii="宋体" w:hAnsi="宋体"/>
                <w:lang w:val="zh-CN"/>
              </w:rPr>
            </w:pPr>
            <w:r>
              <w:rPr>
                <w:rFonts w:hint="eastAsia" w:ascii="宋体" w:hAnsi="宋体"/>
                <w:lang w:val="zh-CN"/>
              </w:rPr>
              <w:t>各包投标人</w:t>
            </w:r>
          </w:p>
          <w:p>
            <w:pPr>
              <w:autoSpaceDE w:val="0"/>
              <w:autoSpaceDN w:val="0"/>
              <w:adjustRightInd w:val="0"/>
              <w:spacing w:line="276" w:lineRule="auto"/>
              <w:jc w:val="left"/>
              <w:rPr>
                <w:rFonts w:hint="eastAsia" w:ascii="宋体" w:hAnsi="宋体"/>
                <w:lang w:val="zh-CN"/>
              </w:rPr>
            </w:pPr>
            <w:r>
              <w:rPr>
                <w:rFonts w:hint="eastAsia" w:ascii="宋体" w:hAnsi="宋体"/>
                <w:lang w:val="zh-CN"/>
              </w:rPr>
              <w:t>资格</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lang w:val="en-US"/>
              </w:rPr>
            </w:pPr>
            <w:r>
              <w:rPr>
                <w:rFonts w:hint="eastAsia" w:ascii="宋体" w:hAnsi="宋体"/>
                <w:lang w:val="en-US"/>
              </w:rPr>
              <w:t>1.政府采购法第二十二条及政府采购法实施条例第十七条之规定；</w:t>
            </w:r>
          </w:p>
          <w:p>
            <w:pPr>
              <w:autoSpaceDE w:val="0"/>
              <w:autoSpaceDN w:val="0"/>
              <w:adjustRightInd w:val="0"/>
              <w:spacing w:line="360" w:lineRule="auto"/>
              <w:rPr>
                <w:rFonts w:hint="eastAsia" w:ascii="宋体" w:hAnsi="宋体"/>
                <w:lang w:val="en-US"/>
              </w:rPr>
            </w:pPr>
            <w:r>
              <w:rPr>
                <w:rFonts w:hint="eastAsia" w:ascii="宋体" w:hAnsi="宋体"/>
                <w:lang w:val="en-US"/>
              </w:rPr>
              <w:t>2.已通过资格预审的社会资本（</w:t>
            </w:r>
            <w:r>
              <w:rPr>
                <w:rFonts w:hint="eastAsia" w:ascii="宋体" w:hAnsi="宋体"/>
                <w:lang w:val="zh-CN"/>
              </w:rPr>
              <w:t>须提供资格预审合格通知书</w:t>
            </w:r>
            <w:r>
              <w:rPr>
                <w:rFonts w:hint="eastAsia" w:ascii="宋体" w:hAnsi="宋体"/>
                <w:lang w:val="en-US"/>
              </w:rPr>
              <w:t>）；</w:t>
            </w:r>
          </w:p>
          <w:p>
            <w:pPr>
              <w:autoSpaceDE w:val="0"/>
              <w:autoSpaceDN w:val="0"/>
              <w:adjustRightInd w:val="0"/>
              <w:spacing w:line="360" w:lineRule="auto"/>
              <w:rPr>
                <w:rFonts w:hint="eastAsia" w:ascii="宋体" w:hAnsi="宋体"/>
                <w:lang w:val="en-US"/>
              </w:rPr>
            </w:pPr>
            <w:r>
              <w:rPr>
                <w:rFonts w:hint="eastAsia" w:ascii="宋体" w:hAnsi="宋体"/>
                <w:lang w:val="en-US"/>
              </w:rPr>
              <w:t>3.本项目接受联合体投标。</w:t>
            </w:r>
          </w:p>
        </w:tc>
      </w:tr>
      <w:tr>
        <w:tblPrEx>
          <w:tblLayout w:type="fixed"/>
          <w:tblCellMar>
            <w:top w:w="0" w:type="dxa"/>
            <w:left w:w="108" w:type="dxa"/>
            <w:bottom w:w="0" w:type="dxa"/>
            <w:right w:w="108" w:type="dxa"/>
          </w:tblCellMar>
        </w:tblPrEx>
        <w:trPr>
          <w:trHeight w:val="475"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jc w:val="left"/>
              <w:rPr>
                <w:rFonts w:hint="eastAsia" w:ascii="宋体" w:hAnsi="宋体"/>
                <w:lang w:val="zh-CN"/>
              </w:rPr>
            </w:pPr>
            <w:r>
              <w:rPr>
                <w:rFonts w:hint="eastAsia" w:ascii="宋体" w:hAnsi="宋体"/>
                <w:lang w:val="zh-CN"/>
              </w:rPr>
              <w:t>公告发布时间</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宋体" w:hAnsi="宋体"/>
                <w:lang w:val="zh-CN"/>
              </w:rPr>
            </w:pPr>
            <w:r>
              <w:rPr>
                <w:rFonts w:hint="eastAsia" w:ascii="宋体" w:hAnsi="宋体"/>
                <w:lang w:val="zh-CN"/>
              </w:rPr>
              <w:t>2019年9月</w:t>
            </w:r>
            <w:r>
              <w:rPr>
                <w:rFonts w:hint="eastAsia" w:ascii="宋体" w:hAnsi="宋体" w:cs="宋体"/>
                <w:kern w:val="0"/>
                <w:lang w:val="en-US" w:eastAsia="zh-CN"/>
              </w:rPr>
              <w:t>23</w:t>
            </w:r>
            <w:r>
              <w:rPr>
                <w:rFonts w:hint="eastAsia" w:ascii="宋体" w:hAnsi="宋体"/>
                <w:lang w:val="zh-CN"/>
              </w:rPr>
              <w:t>日</w:t>
            </w:r>
          </w:p>
        </w:tc>
      </w:tr>
      <w:tr>
        <w:tblPrEx>
          <w:tblLayout w:type="fixed"/>
          <w:tblCellMar>
            <w:top w:w="0" w:type="dxa"/>
            <w:left w:w="108" w:type="dxa"/>
            <w:bottom w:w="0" w:type="dxa"/>
            <w:right w:w="108" w:type="dxa"/>
          </w:tblCellMar>
        </w:tblPrEx>
        <w:trPr>
          <w:trHeight w:val="817"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jc w:val="left"/>
              <w:rPr>
                <w:rFonts w:hint="eastAsia" w:ascii="宋体" w:hAnsi="宋体"/>
                <w:lang w:val="zh-CN"/>
              </w:rPr>
            </w:pPr>
            <w:r>
              <w:rPr>
                <w:rFonts w:hint="eastAsia" w:ascii="宋体" w:hAnsi="宋体"/>
                <w:lang w:val="zh-CN"/>
              </w:rPr>
              <w:t>获取招标文件的时间期限</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eastAsia" w:ascii="宋体" w:hAnsi="宋体"/>
                <w:lang w:val="zh-CN"/>
              </w:rPr>
            </w:pPr>
            <w:r>
              <w:rPr>
                <w:rFonts w:hint="eastAsia" w:ascii="宋体" w:hAnsi="宋体"/>
                <w:lang w:val="zh-CN"/>
              </w:rPr>
              <w:t>2019年9月</w:t>
            </w:r>
            <w:r>
              <w:rPr>
                <w:rFonts w:hint="eastAsia" w:ascii="宋体" w:hAnsi="宋体"/>
                <w:lang w:val="en-US" w:eastAsia="zh-CN"/>
              </w:rPr>
              <w:t>24</w:t>
            </w:r>
            <w:r>
              <w:rPr>
                <w:rFonts w:hint="eastAsia" w:ascii="宋体" w:hAnsi="宋体"/>
                <w:lang w:val="zh-CN"/>
              </w:rPr>
              <w:t>日至2019年9月</w:t>
            </w:r>
            <w:r>
              <w:rPr>
                <w:rFonts w:hint="eastAsia" w:ascii="宋体" w:hAnsi="宋体"/>
                <w:lang w:val="en-US" w:eastAsia="zh-CN"/>
              </w:rPr>
              <w:t>30</w:t>
            </w:r>
            <w:r>
              <w:rPr>
                <w:rFonts w:hint="eastAsia" w:ascii="宋体" w:hAnsi="宋体"/>
                <w:lang w:val="zh-CN"/>
              </w:rPr>
              <w:t>日上午9时- 12时，下午15时-17时30分（北京时间）节假日除外。</w:t>
            </w:r>
          </w:p>
        </w:tc>
      </w:tr>
      <w:tr>
        <w:tblPrEx>
          <w:tblLayout w:type="fixed"/>
          <w:tblCellMar>
            <w:top w:w="0" w:type="dxa"/>
            <w:left w:w="108" w:type="dxa"/>
            <w:bottom w:w="0" w:type="dxa"/>
            <w:right w:w="108" w:type="dxa"/>
          </w:tblCellMar>
        </w:tblPrEx>
        <w:trPr>
          <w:trHeight w:val="2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获取招标文件方式</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现场购买</w:t>
            </w:r>
          </w:p>
        </w:tc>
      </w:tr>
      <w:tr>
        <w:tblPrEx>
          <w:tblLayout w:type="fixed"/>
          <w:tblCellMar>
            <w:top w:w="0" w:type="dxa"/>
            <w:left w:w="108" w:type="dxa"/>
            <w:bottom w:w="0" w:type="dxa"/>
            <w:right w:w="108" w:type="dxa"/>
          </w:tblCellMar>
        </w:tblPrEx>
        <w:trPr>
          <w:trHeight w:val="2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招标文件售价</w:t>
            </w:r>
          </w:p>
        </w:tc>
        <w:tc>
          <w:tcPr>
            <w:tcW w:w="6642" w:type="dxa"/>
            <w:tcBorders>
              <w:top w:val="single" w:color="000000" w:sz="6" w:space="0"/>
              <w:left w:val="single" w:color="000000" w:sz="6" w:space="0"/>
              <w:bottom w:val="single" w:color="000000" w:sz="6" w:space="0"/>
              <w:right w:val="single" w:color="000000" w:sz="6" w:space="0"/>
            </w:tcBorders>
            <w:vAlign w:val="center"/>
          </w:tcPr>
          <w:p>
            <w:pPr>
              <w:pStyle w:val="7"/>
              <w:spacing w:line="360" w:lineRule="auto"/>
              <w:jc w:val="both"/>
              <w:rPr>
                <w:rFonts w:ascii="宋体" w:hAnsi="宋体" w:cs="宋体"/>
                <w:kern w:val="0"/>
                <w:lang w:val="zh-CN"/>
              </w:rPr>
            </w:pPr>
            <w:r>
              <w:rPr>
                <w:rFonts w:ascii="宋体" w:hAnsi="Calibri" w:cs="宋体"/>
                <w:kern w:val="0"/>
                <w:lang w:val="zh-CN"/>
              </w:rPr>
              <w:t>5</w:t>
            </w:r>
            <w:r>
              <w:rPr>
                <w:rFonts w:hint="eastAsia" w:ascii="宋体" w:hAnsi="Calibri" w:cs="宋体"/>
                <w:kern w:val="0"/>
                <w:lang w:val="zh-CN"/>
              </w:rPr>
              <w:t>00元</w:t>
            </w:r>
            <w:r>
              <w:rPr>
                <w:rFonts w:ascii="宋体" w:hAnsi="Calibri" w:cs="宋体"/>
                <w:kern w:val="0"/>
                <w:lang w:val="zh-CN"/>
              </w:rPr>
              <w:t>/</w:t>
            </w:r>
            <w:r>
              <w:rPr>
                <w:rFonts w:hint="eastAsia" w:ascii="宋体" w:hAnsi="Calibri" w:cs="宋体"/>
                <w:kern w:val="0"/>
                <w:lang w:val="zh-CN"/>
              </w:rPr>
              <w:t>份</w:t>
            </w:r>
            <w:r>
              <w:rPr>
                <w:rFonts w:hint="eastAsia" w:ascii="宋体" w:hAnsi="宋体" w:cs="宋体"/>
                <w:kern w:val="0"/>
                <w:lang w:val="zh-CN"/>
              </w:rPr>
              <w:t>（招标文件售后不退,投标资格不能转让。）</w:t>
            </w:r>
          </w:p>
        </w:tc>
      </w:tr>
      <w:tr>
        <w:tblPrEx>
          <w:tblLayout w:type="fixed"/>
          <w:tblCellMar>
            <w:top w:w="0" w:type="dxa"/>
            <w:left w:w="108" w:type="dxa"/>
            <w:bottom w:w="0" w:type="dxa"/>
            <w:right w:w="108" w:type="dxa"/>
          </w:tblCellMar>
        </w:tblPrEx>
        <w:trPr>
          <w:trHeight w:val="977"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获取招标文件地点</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12" w:lineRule="auto"/>
              <w:rPr>
                <w:rFonts w:hint="eastAsia" w:asciiTheme="minorEastAsia" w:hAnsiTheme="minorEastAsia" w:eastAsiaTheme="minorEastAsia" w:cstheme="minorEastAsia"/>
                <w:color w:val="000000"/>
                <w:sz w:val="21"/>
                <w:szCs w:val="21"/>
                <w:lang w:val="zh-CN"/>
              </w:rPr>
            </w:pPr>
            <w:r>
              <w:rPr>
                <w:rFonts w:hint="eastAsia" w:ascii="宋体" w:hAnsi="宋体" w:cs="宋体"/>
                <w:kern w:val="0"/>
                <w:lang w:val="zh-CN"/>
              </w:rPr>
              <w:t>青海创德项目管理有限公司</w:t>
            </w:r>
            <w:r>
              <w:rPr>
                <w:rFonts w:hint="eastAsia" w:ascii="宋体" w:hAnsi="宋体" w:cs="宋体"/>
                <w:kern w:val="0"/>
                <w:lang w:val="en-US"/>
              </w:rPr>
              <w:t>（西宁市城西区广场路万达SOHO4号公寓楼7楼10701室）</w:t>
            </w:r>
          </w:p>
        </w:tc>
      </w:tr>
      <w:tr>
        <w:tblPrEx>
          <w:tblLayout w:type="fixed"/>
          <w:tblCellMar>
            <w:top w:w="0" w:type="dxa"/>
            <w:left w:w="108" w:type="dxa"/>
            <w:bottom w:w="0" w:type="dxa"/>
            <w:right w:w="108" w:type="dxa"/>
          </w:tblCellMar>
        </w:tblPrEx>
        <w:trPr>
          <w:trHeight w:val="2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购买招标文件时应提供材料</w:t>
            </w:r>
          </w:p>
        </w:tc>
        <w:tc>
          <w:tcPr>
            <w:tcW w:w="6642" w:type="dxa"/>
            <w:tcBorders>
              <w:top w:val="single" w:color="000000" w:sz="6" w:space="0"/>
              <w:left w:val="single" w:color="000000" w:sz="6" w:space="0"/>
              <w:bottom w:val="single" w:color="000000" w:sz="6" w:space="0"/>
              <w:right w:val="single" w:color="000000" w:sz="6" w:space="0"/>
            </w:tcBorders>
            <w:vAlign w:val="center"/>
          </w:tcPr>
          <w:p>
            <w:pPr>
              <w:pStyle w:val="7"/>
              <w:spacing w:line="276" w:lineRule="auto"/>
              <w:jc w:val="both"/>
              <w:rPr>
                <w:rFonts w:ascii="宋体" w:hAnsi="宋体" w:cs="宋体"/>
                <w:kern w:val="0"/>
                <w:lang w:val="zh-CN"/>
              </w:rPr>
            </w:pPr>
            <w:r>
              <w:rPr>
                <w:rFonts w:hint="eastAsia" w:ascii="宋体" w:hAnsi="宋体" w:cs="宋体"/>
                <w:kern w:val="0"/>
                <w:lang w:val="zh-CN"/>
              </w:rPr>
              <w:t>营业执照副本复印件（加盖单位公章）、法定代表人授权书或介绍信（加盖单位公章）、本人身份证复印件（加盖单位公章）。</w:t>
            </w:r>
          </w:p>
        </w:tc>
      </w:tr>
      <w:tr>
        <w:tblPrEx>
          <w:tblLayout w:type="fixed"/>
          <w:tblCellMar>
            <w:top w:w="0" w:type="dxa"/>
            <w:left w:w="108" w:type="dxa"/>
            <w:bottom w:w="0" w:type="dxa"/>
            <w:right w:w="108" w:type="dxa"/>
          </w:tblCellMar>
        </w:tblPrEx>
        <w:trPr>
          <w:trHeight w:val="2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投标</w:t>
            </w:r>
            <w:r>
              <w:rPr>
                <w:rFonts w:hint="eastAsia" w:ascii="宋体" w:hAnsi="宋体" w:cs="宋体"/>
              </w:rPr>
              <w:t>文件递交截止时间</w:t>
            </w:r>
          </w:p>
        </w:tc>
        <w:tc>
          <w:tcPr>
            <w:tcW w:w="6642" w:type="dxa"/>
            <w:tcBorders>
              <w:top w:val="single" w:color="000000" w:sz="6" w:space="0"/>
              <w:left w:val="single" w:color="000000" w:sz="6" w:space="0"/>
              <w:bottom w:val="single" w:color="000000" w:sz="6" w:space="0"/>
              <w:right w:val="single" w:color="000000" w:sz="6" w:space="0"/>
            </w:tcBorders>
            <w:vAlign w:val="center"/>
          </w:tcPr>
          <w:p>
            <w:pPr>
              <w:pStyle w:val="7"/>
              <w:spacing w:line="276" w:lineRule="auto"/>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2019年</w:t>
            </w:r>
            <w:r>
              <w:rPr>
                <w:rFonts w:hint="eastAsia" w:ascii="宋体" w:hAnsi="宋体" w:eastAsia="宋体" w:cs="宋体"/>
                <w:kern w:val="0"/>
                <w:sz w:val="24"/>
                <w:szCs w:val="24"/>
                <w:lang w:val="en-US" w:eastAsia="zh-CN" w:bidi="ar-SA"/>
              </w:rPr>
              <w:t>10</w:t>
            </w:r>
            <w:r>
              <w:rPr>
                <w:rFonts w:hint="eastAsia" w:ascii="宋体" w:hAnsi="宋体" w:eastAsia="宋体" w:cs="宋体"/>
                <w:kern w:val="0"/>
                <w:sz w:val="24"/>
                <w:szCs w:val="24"/>
                <w:lang w:val="zh-CN" w:eastAsia="zh-CN" w:bidi="ar-SA"/>
              </w:rPr>
              <w:t>月</w:t>
            </w:r>
            <w:r>
              <w:rPr>
                <w:rFonts w:hint="eastAsia" w:ascii="宋体" w:hAnsi="宋体" w:eastAsia="宋体" w:cs="宋体"/>
                <w:kern w:val="0"/>
                <w:sz w:val="24"/>
                <w:szCs w:val="24"/>
                <w:lang w:val="en-US" w:eastAsia="zh-CN" w:bidi="ar-SA"/>
              </w:rPr>
              <w:t>17</w:t>
            </w:r>
            <w:r>
              <w:rPr>
                <w:rFonts w:hint="eastAsia" w:ascii="宋体" w:hAnsi="宋体" w:eastAsia="宋体" w:cs="宋体"/>
                <w:kern w:val="0"/>
                <w:sz w:val="24"/>
                <w:szCs w:val="24"/>
                <w:lang w:val="zh-CN" w:eastAsia="zh-CN" w:bidi="ar-SA"/>
              </w:rPr>
              <w:t>日</w:t>
            </w:r>
            <w:r>
              <w:rPr>
                <w:rFonts w:hint="eastAsia" w:ascii="宋体" w:hAnsi="宋体" w:eastAsia="宋体" w:cs="宋体"/>
                <w:kern w:val="0"/>
                <w:sz w:val="24"/>
                <w:szCs w:val="24"/>
                <w:lang w:val="en-US" w:eastAsia="zh-CN" w:bidi="ar-SA"/>
              </w:rPr>
              <w:t>11</w:t>
            </w:r>
            <w:r>
              <w:rPr>
                <w:rFonts w:hint="eastAsia" w:ascii="宋体" w:hAnsi="宋体" w:eastAsia="宋体" w:cs="宋体"/>
                <w:kern w:val="0"/>
                <w:sz w:val="24"/>
                <w:szCs w:val="24"/>
                <w:lang w:val="zh-CN" w:eastAsia="zh-CN" w:bidi="ar-SA"/>
              </w:rPr>
              <w:t>时</w:t>
            </w:r>
            <w:r>
              <w:rPr>
                <w:rFonts w:hint="eastAsia" w:ascii="宋体" w:hAnsi="宋体" w:eastAsia="宋体" w:cs="宋体"/>
                <w:kern w:val="0"/>
                <w:sz w:val="24"/>
                <w:szCs w:val="24"/>
                <w:lang w:val="en-US" w:eastAsia="zh-CN" w:bidi="ar-SA"/>
              </w:rPr>
              <w:t>00</w:t>
            </w:r>
            <w:r>
              <w:rPr>
                <w:rFonts w:hint="eastAsia" w:ascii="宋体" w:hAnsi="宋体" w:eastAsia="宋体" w:cs="宋体"/>
                <w:kern w:val="0"/>
                <w:sz w:val="24"/>
                <w:szCs w:val="24"/>
                <w:lang w:val="zh-CN" w:eastAsia="zh-CN" w:bidi="ar-SA"/>
              </w:rPr>
              <w:t>分（北京时间）</w:t>
            </w:r>
          </w:p>
        </w:tc>
      </w:tr>
      <w:tr>
        <w:tblPrEx>
          <w:tblLayout w:type="fixed"/>
          <w:tblCellMar>
            <w:top w:w="0" w:type="dxa"/>
            <w:left w:w="108" w:type="dxa"/>
            <w:bottom w:w="0" w:type="dxa"/>
            <w:right w:w="108" w:type="dxa"/>
          </w:tblCellMar>
        </w:tblPrEx>
        <w:trPr>
          <w:trHeight w:val="2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642" w:type="dxa"/>
            <w:tcBorders>
              <w:top w:val="single" w:color="000000" w:sz="6" w:space="0"/>
              <w:left w:val="single" w:color="000000" w:sz="6" w:space="0"/>
              <w:bottom w:val="single" w:color="000000" w:sz="6" w:space="0"/>
              <w:right w:val="single" w:color="000000" w:sz="6" w:space="0"/>
            </w:tcBorders>
            <w:vAlign w:val="center"/>
          </w:tcPr>
          <w:p>
            <w:pPr>
              <w:pStyle w:val="7"/>
              <w:spacing w:line="276" w:lineRule="auto"/>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2019年</w:t>
            </w:r>
            <w:r>
              <w:rPr>
                <w:rFonts w:hint="eastAsia" w:ascii="宋体" w:hAnsi="宋体" w:eastAsia="宋体" w:cs="宋体"/>
                <w:kern w:val="0"/>
                <w:sz w:val="24"/>
                <w:szCs w:val="24"/>
                <w:lang w:val="en-US" w:eastAsia="zh-CN" w:bidi="ar-SA"/>
              </w:rPr>
              <w:t>10</w:t>
            </w:r>
            <w:r>
              <w:rPr>
                <w:rFonts w:hint="eastAsia" w:ascii="宋体" w:hAnsi="宋体" w:eastAsia="宋体" w:cs="宋体"/>
                <w:kern w:val="0"/>
                <w:sz w:val="24"/>
                <w:szCs w:val="24"/>
                <w:lang w:val="zh-CN" w:eastAsia="zh-CN" w:bidi="ar-SA"/>
              </w:rPr>
              <w:t>月</w:t>
            </w:r>
            <w:r>
              <w:rPr>
                <w:rFonts w:hint="eastAsia" w:ascii="宋体" w:hAnsi="宋体" w:eastAsia="宋体" w:cs="宋体"/>
                <w:kern w:val="0"/>
                <w:sz w:val="24"/>
                <w:szCs w:val="24"/>
                <w:lang w:val="en-US" w:eastAsia="zh-CN" w:bidi="ar-SA"/>
              </w:rPr>
              <w:t>17</w:t>
            </w:r>
            <w:r>
              <w:rPr>
                <w:rFonts w:hint="eastAsia" w:ascii="宋体" w:hAnsi="宋体" w:eastAsia="宋体" w:cs="宋体"/>
                <w:kern w:val="0"/>
                <w:sz w:val="24"/>
                <w:szCs w:val="24"/>
                <w:lang w:val="zh-CN" w:eastAsia="zh-CN" w:bidi="ar-SA"/>
              </w:rPr>
              <w:t>日</w:t>
            </w:r>
            <w:r>
              <w:rPr>
                <w:rFonts w:hint="eastAsia" w:ascii="宋体" w:hAnsi="宋体" w:eastAsia="宋体" w:cs="宋体"/>
                <w:kern w:val="0"/>
                <w:sz w:val="24"/>
                <w:szCs w:val="24"/>
                <w:lang w:val="en-US" w:eastAsia="zh-CN" w:bidi="ar-SA"/>
              </w:rPr>
              <w:t>11</w:t>
            </w:r>
            <w:r>
              <w:rPr>
                <w:rFonts w:hint="eastAsia" w:ascii="宋体" w:hAnsi="宋体" w:eastAsia="宋体" w:cs="宋体"/>
                <w:kern w:val="0"/>
                <w:sz w:val="24"/>
                <w:szCs w:val="24"/>
                <w:lang w:val="zh-CN" w:eastAsia="zh-CN" w:bidi="ar-SA"/>
              </w:rPr>
              <w:t>时</w:t>
            </w:r>
            <w:r>
              <w:rPr>
                <w:rFonts w:hint="eastAsia" w:ascii="宋体" w:hAnsi="宋体" w:eastAsia="宋体" w:cs="宋体"/>
                <w:kern w:val="0"/>
                <w:sz w:val="24"/>
                <w:szCs w:val="24"/>
                <w:lang w:val="en-US" w:eastAsia="zh-CN" w:bidi="ar-SA"/>
              </w:rPr>
              <w:t>00</w:t>
            </w:r>
            <w:r>
              <w:rPr>
                <w:rFonts w:hint="eastAsia" w:ascii="宋体" w:hAnsi="宋体" w:eastAsia="宋体" w:cs="宋体"/>
                <w:kern w:val="0"/>
                <w:sz w:val="24"/>
                <w:szCs w:val="24"/>
                <w:lang w:val="zh-CN" w:eastAsia="zh-CN" w:bidi="ar-SA"/>
              </w:rPr>
              <w:t>分（北京时间）</w:t>
            </w:r>
          </w:p>
        </w:tc>
      </w:tr>
      <w:tr>
        <w:tblPrEx>
          <w:tblLayout w:type="fixed"/>
          <w:tblCellMar>
            <w:top w:w="0" w:type="dxa"/>
            <w:left w:w="108" w:type="dxa"/>
            <w:bottom w:w="0" w:type="dxa"/>
            <w:right w:w="108" w:type="dxa"/>
          </w:tblCellMar>
        </w:tblPrEx>
        <w:trPr>
          <w:trHeight w:val="301"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投标及开标地点</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12" w:lineRule="auto"/>
              <w:rPr>
                <w:rFonts w:hint="eastAsia" w:ascii="宋体" w:hAnsi="宋体" w:eastAsia="宋体" w:cs="宋体"/>
                <w:kern w:val="0"/>
                <w:lang w:val="en-US" w:eastAsia="zh-CN"/>
              </w:rPr>
            </w:pPr>
            <w:r>
              <w:rPr>
                <w:rFonts w:hint="eastAsia" w:ascii="宋体" w:hAnsi="Calibri" w:cs="宋体"/>
                <w:kern w:val="0"/>
                <w:lang w:val="zh-CN" w:eastAsia="zh-CN"/>
              </w:rPr>
              <w:t>青海省</w:t>
            </w:r>
            <w:r>
              <w:rPr>
                <w:rFonts w:hint="eastAsia" w:ascii="宋体" w:hAnsi="Calibri" w:cs="宋体"/>
                <w:kern w:val="0"/>
                <w:lang w:val="zh-CN"/>
              </w:rPr>
              <w:t>公共资源交易中心二楼开标厅，具体信息详见交易中心</w:t>
            </w:r>
            <w:r>
              <w:rPr>
                <w:rFonts w:hint="eastAsia" w:ascii="宋体" w:hAnsi="Calibri" w:cs="宋体"/>
                <w:kern w:val="0"/>
                <w:lang w:val="en-US" w:eastAsia="zh-CN"/>
              </w:rPr>
              <w:t>2楼当天大屏幕项目信息。</w:t>
            </w:r>
          </w:p>
        </w:tc>
      </w:tr>
      <w:tr>
        <w:tblPrEx>
          <w:tblLayout w:type="fixed"/>
          <w:tblCellMar>
            <w:top w:w="0" w:type="dxa"/>
            <w:left w:w="108" w:type="dxa"/>
            <w:bottom w:w="0" w:type="dxa"/>
            <w:right w:w="108" w:type="dxa"/>
          </w:tblCellMar>
        </w:tblPrEx>
        <w:trPr>
          <w:trHeight w:val="2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12" w:lineRule="auto"/>
              <w:rPr>
                <w:rFonts w:hint="eastAsia" w:ascii="宋体" w:hAnsi="Calibri" w:cs="宋体"/>
                <w:kern w:val="0"/>
                <w:lang w:val="en-US"/>
              </w:rPr>
            </w:pPr>
            <w:r>
              <w:rPr>
                <w:rFonts w:hint="eastAsia" w:ascii="宋体" w:hAnsi="Calibri" w:cs="宋体"/>
                <w:kern w:val="0"/>
                <w:lang w:val="en-US"/>
              </w:rPr>
              <w:t>采购单位：共和县生态环境局</w:t>
            </w:r>
          </w:p>
          <w:p>
            <w:pPr>
              <w:autoSpaceDE w:val="0"/>
              <w:autoSpaceDN w:val="0"/>
              <w:adjustRightInd w:val="0"/>
              <w:snapToGrid w:val="0"/>
              <w:spacing w:line="312" w:lineRule="auto"/>
              <w:rPr>
                <w:rFonts w:hint="eastAsia" w:ascii="宋体" w:hAnsi="Calibri" w:cs="宋体"/>
                <w:kern w:val="0"/>
                <w:lang w:val="en-US"/>
              </w:rPr>
            </w:pPr>
            <w:r>
              <w:rPr>
                <w:rFonts w:hint="eastAsia" w:ascii="宋体" w:hAnsi="Calibri" w:cs="宋体"/>
                <w:kern w:val="0"/>
                <w:lang w:val="en-US"/>
              </w:rPr>
              <w:t>联系人：羊中彭措</w:t>
            </w:r>
          </w:p>
          <w:p>
            <w:pPr>
              <w:autoSpaceDE w:val="0"/>
              <w:autoSpaceDN w:val="0"/>
              <w:adjustRightInd w:val="0"/>
              <w:snapToGrid w:val="0"/>
              <w:spacing w:line="312" w:lineRule="auto"/>
              <w:rPr>
                <w:rFonts w:ascii="宋体" w:hAnsi="宋体" w:cs="宋体"/>
                <w:kern w:val="0"/>
              </w:rPr>
            </w:pPr>
            <w:r>
              <w:rPr>
                <w:rFonts w:hint="eastAsia" w:ascii="宋体" w:hAnsi="Calibri" w:cs="宋体"/>
                <w:kern w:val="0"/>
                <w:lang w:val="en-US"/>
              </w:rPr>
              <w:t>联系电话：13997346877</w:t>
            </w:r>
          </w:p>
        </w:tc>
      </w:tr>
      <w:tr>
        <w:tblPrEx>
          <w:tblLayout w:type="fixed"/>
          <w:tblCellMar>
            <w:top w:w="0" w:type="dxa"/>
            <w:left w:w="108" w:type="dxa"/>
            <w:bottom w:w="0" w:type="dxa"/>
            <w:right w:w="108" w:type="dxa"/>
          </w:tblCellMar>
        </w:tblPrEx>
        <w:trPr>
          <w:trHeight w:val="2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hint="eastAsia" w:ascii="宋体" w:hAnsi="宋体" w:cs="宋体" w:eastAsiaTheme="minorEastAsia"/>
                <w:kern w:val="0"/>
                <w:sz w:val="24"/>
                <w:szCs w:val="24"/>
                <w:lang w:val="zh-CN" w:eastAsia="zh-CN" w:bidi="ar-SA"/>
              </w:rPr>
            </w:pPr>
            <w:r>
              <w:rPr>
                <w:rFonts w:hint="eastAsia" w:ascii="宋体" w:hAnsi="宋体" w:cs="宋体" w:eastAsiaTheme="minorEastAsia"/>
                <w:kern w:val="0"/>
                <w:sz w:val="24"/>
                <w:szCs w:val="24"/>
                <w:lang w:val="zh-CN" w:eastAsia="zh-CN" w:bidi="ar-SA"/>
              </w:rPr>
              <w:t>代理机构联系人</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12" w:lineRule="auto"/>
              <w:rPr>
                <w:rFonts w:hint="eastAsia" w:ascii="宋体" w:hAnsi="宋体" w:cs="宋体" w:eastAsiaTheme="minorEastAsia"/>
                <w:kern w:val="0"/>
                <w:sz w:val="24"/>
                <w:szCs w:val="24"/>
                <w:lang w:val="en-US" w:eastAsia="zh-CN" w:bidi="ar-SA"/>
              </w:rPr>
            </w:pPr>
            <w:r>
              <w:rPr>
                <w:rFonts w:hint="eastAsia" w:ascii="宋体" w:hAnsi="宋体" w:cs="宋体" w:eastAsiaTheme="minorEastAsia"/>
                <w:kern w:val="0"/>
                <w:sz w:val="24"/>
                <w:szCs w:val="24"/>
                <w:lang w:val="en-US" w:eastAsia="zh-CN" w:bidi="ar-SA"/>
              </w:rPr>
              <w:t>采购代理机构：青海创德项目管理有限公司</w:t>
            </w:r>
          </w:p>
          <w:p>
            <w:pPr>
              <w:autoSpaceDE w:val="0"/>
              <w:autoSpaceDN w:val="0"/>
              <w:adjustRightInd w:val="0"/>
              <w:snapToGrid w:val="0"/>
              <w:spacing w:line="312" w:lineRule="auto"/>
              <w:rPr>
                <w:rFonts w:hint="eastAsia" w:ascii="宋体" w:hAnsi="宋体" w:cs="宋体" w:eastAsiaTheme="minorEastAsia"/>
                <w:kern w:val="0"/>
                <w:sz w:val="24"/>
                <w:szCs w:val="24"/>
                <w:lang w:val="en-US" w:eastAsia="zh-CN" w:bidi="ar-SA"/>
              </w:rPr>
            </w:pPr>
            <w:r>
              <w:rPr>
                <w:rFonts w:hint="eastAsia" w:ascii="宋体" w:hAnsi="宋体" w:cs="宋体" w:eastAsiaTheme="minorEastAsia"/>
                <w:kern w:val="0"/>
                <w:sz w:val="24"/>
                <w:szCs w:val="24"/>
                <w:lang w:val="en-US" w:eastAsia="zh-CN" w:bidi="ar-SA"/>
              </w:rPr>
              <w:t>联系人：赵女士</w:t>
            </w:r>
          </w:p>
          <w:p>
            <w:pPr>
              <w:autoSpaceDE w:val="0"/>
              <w:autoSpaceDN w:val="0"/>
              <w:adjustRightInd w:val="0"/>
              <w:snapToGrid w:val="0"/>
              <w:spacing w:line="312" w:lineRule="auto"/>
              <w:rPr>
                <w:rFonts w:hint="eastAsia" w:ascii="宋体" w:hAnsi="宋体" w:cs="宋体" w:eastAsiaTheme="minorEastAsia"/>
                <w:kern w:val="0"/>
                <w:sz w:val="24"/>
                <w:szCs w:val="24"/>
                <w:lang w:val="zh-CN" w:eastAsia="zh-CN" w:bidi="ar-SA"/>
              </w:rPr>
            </w:pPr>
            <w:r>
              <w:rPr>
                <w:rFonts w:hint="eastAsia" w:ascii="宋体" w:hAnsi="宋体" w:cs="宋体" w:eastAsiaTheme="minorEastAsia"/>
                <w:kern w:val="0"/>
                <w:sz w:val="24"/>
                <w:szCs w:val="24"/>
                <w:lang w:val="en-US" w:eastAsia="zh-CN" w:bidi="ar-SA"/>
              </w:rPr>
              <w:t xml:space="preserve">联系电话：0971-5203868  </w:t>
            </w:r>
          </w:p>
        </w:tc>
      </w:tr>
      <w:tr>
        <w:tblPrEx>
          <w:tblLayout w:type="fixed"/>
          <w:tblCellMar>
            <w:top w:w="0" w:type="dxa"/>
            <w:left w:w="108" w:type="dxa"/>
            <w:bottom w:w="0" w:type="dxa"/>
            <w:right w:w="108" w:type="dxa"/>
          </w:tblCellMar>
        </w:tblPrEx>
        <w:trPr>
          <w:trHeight w:val="525"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eastAsiaTheme="minorEastAsia"/>
                <w:kern w:val="0"/>
                <w:sz w:val="24"/>
                <w:szCs w:val="24"/>
                <w:lang w:val="zh-CN" w:eastAsia="zh-CN" w:bidi="ar-SA"/>
              </w:rPr>
            </w:pPr>
            <w:r>
              <w:rPr>
                <w:rFonts w:hint="eastAsia" w:ascii="宋体" w:hAnsi="宋体" w:cs="宋体" w:eastAsiaTheme="minorEastAsia"/>
                <w:kern w:val="0"/>
                <w:sz w:val="24"/>
                <w:szCs w:val="24"/>
                <w:lang w:val="zh-CN" w:eastAsia="zh-CN" w:bidi="ar-SA"/>
              </w:rPr>
              <w:t>投标有效期</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cs="宋体" w:eastAsiaTheme="minorEastAsia"/>
                <w:kern w:val="0"/>
                <w:sz w:val="24"/>
                <w:szCs w:val="24"/>
                <w:lang w:val="en-US" w:eastAsia="zh-CN" w:bidi="ar-SA"/>
              </w:rPr>
            </w:pPr>
            <w:r>
              <w:rPr>
                <w:rFonts w:hint="eastAsia" w:ascii="宋体" w:hAnsi="宋体" w:cs="宋体" w:eastAsiaTheme="minorEastAsia"/>
                <w:kern w:val="0"/>
                <w:sz w:val="24"/>
                <w:szCs w:val="24"/>
                <w:lang w:val="en-US" w:eastAsia="zh-CN" w:bidi="ar-SA"/>
              </w:rPr>
              <w:t>60天</w:t>
            </w:r>
          </w:p>
        </w:tc>
      </w:tr>
      <w:tr>
        <w:tblPrEx>
          <w:tblLayout w:type="fixed"/>
          <w:tblCellMar>
            <w:top w:w="0" w:type="dxa"/>
            <w:left w:w="108" w:type="dxa"/>
            <w:bottom w:w="0" w:type="dxa"/>
            <w:right w:w="108" w:type="dxa"/>
          </w:tblCellMar>
        </w:tblPrEx>
        <w:trPr>
          <w:trHeight w:val="2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代理机构开户行</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仿宋"/>
              </w:rPr>
              <w:t>中国民生银行西宁分行营业部</w:t>
            </w:r>
          </w:p>
        </w:tc>
      </w:tr>
      <w:tr>
        <w:tblPrEx>
          <w:tblLayout w:type="fixed"/>
          <w:tblCellMar>
            <w:top w:w="0" w:type="dxa"/>
            <w:left w:w="108" w:type="dxa"/>
            <w:bottom w:w="0" w:type="dxa"/>
            <w:right w:w="108" w:type="dxa"/>
          </w:tblCellMar>
        </w:tblPrEx>
        <w:trPr>
          <w:trHeight w:val="425"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lang w:val="zh-CN"/>
              </w:rPr>
            </w:pPr>
            <w:r>
              <w:rPr>
                <w:rFonts w:hint="eastAsia" w:ascii="宋体" w:hAnsi="宋体"/>
                <w:lang w:val="zh-CN"/>
              </w:rPr>
              <w:t>收款人</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Calibri" w:cs="宋体"/>
                <w:kern w:val="0"/>
                <w:lang w:val="zh-CN"/>
              </w:rPr>
            </w:pPr>
            <w:r>
              <w:rPr>
                <w:rFonts w:hint="eastAsia" w:ascii="宋体" w:hAnsi="Calibri" w:cs="宋体"/>
                <w:kern w:val="0"/>
                <w:lang w:val="en-US"/>
              </w:rPr>
              <w:t>青海创德项目管理有限公司</w:t>
            </w:r>
          </w:p>
        </w:tc>
      </w:tr>
      <w:tr>
        <w:tblPrEx>
          <w:tblLayout w:type="fixed"/>
          <w:tblCellMar>
            <w:top w:w="0" w:type="dxa"/>
            <w:left w:w="108" w:type="dxa"/>
            <w:bottom w:w="0" w:type="dxa"/>
            <w:right w:w="108" w:type="dxa"/>
          </w:tblCellMar>
        </w:tblPrEx>
        <w:trPr>
          <w:trHeight w:val="269"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lang w:val="zh-CN"/>
              </w:rPr>
            </w:pPr>
            <w:r>
              <w:rPr>
                <w:rFonts w:hint="eastAsia" w:ascii="宋体" w:hAnsi="宋体"/>
                <w:lang w:val="en-US"/>
              </w:rPr>
              <w:t>采购代理机构开户银行</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仿宋"/>
                <w:lang w:val="zh-CN"/>
              </w:rPr>
            </w:pPr>
            <w:r>
              <w:rPr>
                <w:rFonts w:hint="eastAsia" w:ascii="宋体" w:hAnsi="宋体" w:cs="仿宋"/>
                <w:lang w:val="en-US"/>
              </w:rPr>
              <w:t>中信银行股份有限公司西宁海湖新区支行</w:t>
            </w:r>
          </w:p>
        </w:tc>
      </w:tr>
      <w:tr>
        <w:tblPrEx>
          <w:tblLayout w:type="fixed"/>
          <w:tblCellMar>
            <w:top w:w="0" w:type="dxa"/>
            <w:left w:w="108" w:type="dxa"/>
            <w:bottom w:w="0" w:type="dxa"/>
            <w:right w:w="108" w:type="dxa"/>
          </w:tblCellMar>
        </w:tblPrEx>
        <w:trPr>
          <w:trHeight w:val="269"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lang w:val="zh-CN"/>
              </w:rPr>
            </w:pPr>
            <w:r>
              <w:rPr>
                <w:rFonts w:hint="eastAsia" w:ascii="宋体" w:hAnsi="宋体"/>
                <w:lang w:val="en-US"/>
              </w:rPr>
              <w:t>采购代理机构收款人</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仿宋"/>
                <w:lang w:val="zh-CN"/>
              </w:rPr>
            </w:pPr>
            <w:r>
              <w:rPr>
                <w:rFonts w:hint="eastAsia" w:ascii="宋体" w:hAnsi="宋体" w:cs="仿宋"/>
                <w:lang w:val="en-US"/>
              </w:rPr>
              <w:t>青海创德项目管理有限公司</w:t>
            </w:r>
          </w:p>
        </w:tc>
      </w:tr>
      <w:tr>
        <w:tblPrEx>
          <w:tblLayout w:type="fixed"/>
          <w:tblCellMar>
            <w:top w:w="0" w:type="dxa"/>
            <w:left w:w="108" w:type="dxa"/>
            <w:bottom w:w="0" w:type="dxa"/>
            <w:right w:w="108" w:type="dxa"/>
          </w:tblCellMar>
        </w:tblPrEx>
        <w:trPr>
          <w:trHeight w:val="269"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lang w:val="zh-CN"/>
              </w:rPr>
            </w:pPr>
            <w:r>
              <w:rPr>
                <w:rFonts w:hint="eastAsia" w:ascii="宋体" w:hAnsi="宋体"/>
                <w:lang w:val="en-US"/>
              </w:rPr>
              <w:t>采购代理机构银行账号</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仿宋"/>
                <w:lang w:val="zh-CN"/>
              </w:rPr>
            </w:pPr>
            <w:r>
              <w:rPr>
                <w:rFonts w:hint="eastAsia" w:ascii="宋体" w:hAnsi="宋体" w:cs="仿宋"/>
                <w:lang w:val="en-US"/>
              </w:rPr>
              <w:t>8112 8010 1260 0024 279</w:t>
            </w:r>
          </w:p>
        </w:tc>
      </w:tr>
      <w:tr>
        <w:tblPrEx>
          <w:tblLayout w:type="fixed"/>
          <w:tblCellMar>
            <w:top w:w="0" w:type="dxa"/>
            <w:left w:w="108" w:type="dxa"/>
            <w:bottom w:w="0" w:type="dxa"/>
            <w:right w:w="108" w:type="dxa"/>
          </w:tblCellMar>
        </w:tblPrEx>
        <w:trPr>
          <w:trHeight w:val="411"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lang w:val="zh-CN"/>
              </w:rPr>
            </w:pPr>
            <w:r>
              <w:rPr>
                <w:rFonts w:hint="eastAsia" w:ascii="宋体" w:hAnsi="宋体"/>
                <w:lang w:val="zh-CN"/>
              </w:rPr>
              <w:t>其他事项</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Calibri" w:cs="宋体"/>
                <w:kern w:val="0"/>
                <w:lang w:val="zh-CN"/>
              </w:rPr>
              <w:t>投标文件必须在投标截止时间前送达开标地点。本次招标不接受邮寄的投标文件。</w:t>
            </w:r>
          </w:p>
        </w:tc>
      </w:tr>
      <w:tr>
        <w:tblPrEx>
          <w:tblLayout w:type="fixed"/>
          <w:tblCellMar>
            <w:top w:w="0" w:type="dxa"/>
            <w:left w:w="108" w:type="dxa"/>
            <w:bottom w:w="0" w:type="dxa"/>
            <w:right w:w="108" w:type="dxa"/>
          </w:tblCellMar>
        </w:tblPrEx>
        <w:trPr>
          <w:trHeight w:val="553" w:hRule="atLeast"/>
          <w:jc w:val="center"/>
        </w:trPr>
        <w:tc>
          <w:tcPr>
            <w:tcW w:w="249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Calibri" w:cs="宋体"/>
                <w:kern w:val="0"/>
                <w:lang w:val="zh-CN"/>
              </w:rPr>
              <w:t>财政监督部门及电话</w:t>
            </w:r>
          </w:p>
        </w:tc>
        <w:tc>
          <w:tcPr>
            <w:tcW w:w="66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Calibri" w:cs="宋体"/>
                <w:kern w:val="0"/>
                <w:lang w:val="en-US"/>
              </w:rPr>
              <w:t>监督单位：共和县财政局</w:t>
            </w:r>
            <w:r>
              <w:rPr>
                <w:rFonts w:hint="eastAsia" w:ascii="宋体" w:hAnsi="Calibri" w:cs="宋体"/>
                <w:kern w:val="0"/>
                <w:lang w:val="en-US"/>
              </w:rPr>
              <w:br w:type="textWrapping"/>
            </w:r>
            <w:r>
              <w:rPr>
                <w:rFonts w:hint="eastAsia" w:ascii="宋体" w:hAnsi="Calibri" w:cs="宋体"/>
                <w:kern w:val="0"/>
                <w:lang w:val="en-US"/>
              </w:rPr>
              <w:t>联系电话：0974-8520708</w:t>
            </w:r>
          </w:p>
        </w:tc>
      </w:tr>
    </w:tbl>
    <w:p>
      <w:pPr>
        <w:pStyle w:val="15"/>
        <w:spacing w:before="0" w:after="0" w:line="360" w:lineRule="auto"/>
        <w:rPr>
          <w:rFonts w:ascii="宋体" w:hAnsi="宋体" w:cs="宋体"/>
          <w:szCs w:val="36"/>
        </w:rPr>
      </w:pPr>
      <w:bookmarkStart w:id="1" w:name="_Toc428180535"/>
      <w:r>
        <w:rPr>
          <w:rFonts w:hint="eastAsia" w:ascii="宋体" w:hAnsi="宋体" w:cs="宋体"/>
          <w:lang w:val="zh-CN"/>
        </w:rPr>
        <w:br w:type="page"/>
      </w:r>
      <w:bookmarkEnd w:id="1"/>
      <w:bookmarkStart w:id="2" w:name="_Toc7519"/>
      <w:r>
        <w:rPr>
          <w:rFonts w:hint="eastAsia" w:ascii="宋体" w:hAnsi="宋体" w:cs="宋体"/>
          <w:szCs w:val="36"/>
          <w:lang w:val="zh-CN"/>
        </w:rPr>
        <w:t>第二部分  投标人须知</w:t>
      </w:r>
      <w:bookmarkEnd w:id="2"/>
    </w:p>
    <w:p>
      <w:pPr>
        <w:pStyle w:val="15"/>
        <w:spacing w:before="0" w:after="0" w:line="360" w:lineRule="auto"/>
        <w:rPr>
          <w:rFonts w:ascii="宋体" w:hAnsi="宋体" w:cs="宋体"/>
        </w:rPr>
      </w:pPr>
      <w:bookmarkStart w:id="3" w:name="_Toc20599"/>
      <w:r>
        <w:rPr>
          <w:rFonts w:hint="eastAsia" w:ascii="宋体" w:hAnsi="宋体" w:cs="宋体"/>
          <w:lang w:val="zh-CN"/>
        </w:rPr>
        <w:t>一、说明</w:t>
      </w:r>
      <w:bookmarkEnd w:id="3"/>
    </w:p>
    <w:p>
      <w:pPr>
        <w:pStyle w:val="15"/>
        <w:spacing w:before="0" w:after="0" w:line="360" w:lineRule="auto"/>
        <w:jc w:val="left"/>
        <w:rPr>
          <w:rFonts w:ascii="宋体" w:hAnsi="宋体" w:cs="宋体"/>
          <w:lang w:val="zh-CN"/>
        </w:rPr>
      </w:pPr>
      <w:bookmarkStart w:id="4" w:name="_Toc18292"/>
      <w:r>
        <w:rPr>
          <w:rFonts w:hint="eastAsia" w:ascii="宋体" w:hAnsi="宋体" w:cs="宋体"/>
          <w:sz w:val="28"/>
          <w:szCs w:val="28"/>
          <w:lang w:val="zh-CN"/>
        </w:rPr>
        <w:t>1.适用范围</w:t>
      </w:r>
      <w:bookmarkEnd w:id="4"/>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15"/>
        <w:spacing w:before="0" w:after="0" w:line="360" w:lineRule="auto"/>
        <w:jc w:val="left"/>
        <w:rPr>
          <w:rFonts w:ascii="宋体" w:hAnsi="宋体" w:cs="宋体"/>
          <w:lang w:val="zh-CN"/>
        </w:rPr>
      </w:pPr>
      <w:bookmarkStart w:id="5" w:name="_Toc3483"/>
      <w:r>
        <w:rPr>
          <w:rFonts w:hint="eastAsia" w:ascii="宋体" w:hAnsi="宋体" w:cs="宋体"/>
          <w:sz w:val="28"/>
          <w:szCs w:val="28"/>
          <w:lang w:val="zh-CN"/>
        </w:rPr>
        <w:t>2.采购方式、合格的投标人</w:t>
      </w:r>
      <w:bookmarkEnd w:id="5"/>
    </w:p>
    <w:p>
      <w:pPr>
        <w:autoSpaceDE w:val="0"/>
        <w:autoSpaceDN w:val="0"/>
        <w:spacing w:line="360" w:lineRule="auto"/>
        <w:ind w:firstLine="360" w:firstLineChars="150"/>
        <w:rPr>
          <w:rFonts w:ascii="宋体" w:hAnsi="宋体" w:cs="宋体"/>
          <w:b/>
          <w:bCs/>
          <w:kern w:val="0"/>
          <w:lang w:val="zh-CN"/>
        </w:rPr>
      </w:pPr>
      <w:r>
        <w:rPr>
          <w:rFonts w:hint="eastAsia" w:ascii="宋体" w:hAnsi="宋体" w:cs="宋体"/>
          <w:kern w:val="0"/>
          <w:lang w:val="zh-CN"/>
        </w:rPr>
        <w:t>2.1</w:t>
      </w:r>
      <w:r>
        <w:rPr>
          <w:rFonts w:hint="eastAsia" w:ascii="宋体" w:hAnsi="宋体" w:cs="宋体"/>
          <w:kern w:val="0"/>
        </w:rPr>
        <w:t xml:space="preserve"> </w:t>
      </w:r>
      <w:r>
        <w:rPr>
          <w:rFonts w:hint="eastAsia" w:ascii="宋体" w:hAnsi="宋体" w:cs="宋体"/>
          <w:kern w:val="0"/>
          <w:lang w:val="zh-CN"/>
        </w:rPr>
        <w:t>本次招标采取公开招标方式。</w:t>
      </w:r>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2.2</w:t>
      </w:r>
      <w:r>
        <w:rPr>
          <w:rFonts w:hint="eastAsia" w:ascii="宋体" w:hAnsi="宋体" w:cs="宋体"/>
          <w:kern w:val="0"/>
        </w:rPr>
        <w:t xml:space="preserve"> </w:t>
      </w:r>
      <w:r>
        <w:rPr>
          <w:rFonts w:hint="eastAsia" w:ascii="宋体" w:hAnsi="宋体" w:cs="宋体"/>
          <w:kern w:val="0"/>
          <w:lang w:val="zh-CN"/>
        </w:rPr>
        <w:t>合格的投标人：详见第一部分</w:t>
      </w:r>
      <w:r>
        <w:rPr>
          <w:rFonts w:hint="eastAsia" w:ascii="宋体" w:hAnsi="宋体" w:cs="宋体"/>
          <w:kern w:val="0"/>
        </w:rPr>
        <w:t>“</w:t>
      </w:r>
      <w:r>
        <w:rPr>
          <w:rFonts w:hint="eastAsia" w:ascii="宋体" w:hAnsi="宋体" w:cs="宋体"/>
          <w:kern w:val="0"/>
          <w:lang w:val="zh-CN"/>
        </w:rPr>
        <w:t>各包投标人资格要求</w:t>
      </w:r>
      <w:r>
        <w:rPr>
          <w:rFonts w:hint="eastAsia" w:ascii="宋体" w:hAnsi="宋体" w:cs="宋体"/>
          <w:kern w:val="0"/>
        </w:rPr>
        <w:t>”。</w:t>
      </w:r>
    </w:p>
    <w:p>
      <w:pPr>
        <w:pStyle w:val="15"/>
        <w:spacing w:before="0" w:after="0" w:line="360" w:lineRule="auto"/>
        <w:jc w:val="left"/>
        <w:rPr>
          <w:rFonts w:ascii="宋体" w:hAnsi="宋体" w:cs="宋体"/>
          <w:lang w:val="zh-CN"/>
        </w:rPr>
      </w:pPr>
      <w:bookmarkStart w:id="6" w:name="_Toc26110"/>
      <w:r>
        <w:rPr>
          <w:rFonts w:hint="eastAsia" w:ascii="宋体" w:hAnsi="宋体" w:cs="宋体"/>
          <w:sz w:val="28"/>
          <w:szCs w:val="28"/>
          <w:lang w:val="zh-CN"/>
        </w:rPr>
        <w:t>3.投标费用</w:t>
      </w:r>
      <w:bookmarkEnd w:id="6"/>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15"/>
        <w:spacing w:before="0" w:after="0" w:line="360" w:lineRule="auto"/>
        <w:rPr>
          <w:rFonts w:ascii="宋体" w:hAnsi="宋体" w:cs="宋体"/>
        </w:rPr>
      </w:pPr>
      <w:bookmarkStart w:id="7" w:name="_Toc6078"/>
      <w:r>
        <w:rPr>
          <w:rFonts w:hint="eastAsia" w:ascii="宋体" w:hAnsi="宋体" w:cs="宋体"/>
          <w:lang w:val="zh-CN"/>
        </w:rPr>
        <w:t>二、招标文件说明</w:t>
      </w:r>
      <w:bookmarkEnd w:id="7"/>
    </w:p>
    <w:p>
      <w:pPr>
        <w:pStyle w:val="15"/>
        <w:spacing w:before="0" w:after="0" w:line="360" w:lineRule="auto"/>
        <w:jc w:val="left"/>
        <w:rPr>
          <w:rFonts w:ascii="宋体" w:hAnsi="宋体" w:cs="宋体"/>
          <w:lang w:val="zh-CN"/>
        </w:rPr>
      </w:pPr>
      <w:bookmarkStart w:id="8" w:name="_Toc24438"/>
      <w:r>
        <w:rPr>
          <w:rFonts w:hint="eastAsia" w:ascii="宋体" w:hAnsi="宋体" w:cs="宋体"/>
          <w:sz w:val="28"/>
          <w:szCs w:val="28"/>
          <w:lang w:val="zh-CN"/>
        </w:rPr>
        <w:t>4.招标文件的构成</w:t>
      </w:r>
      <w:bookmarkEnd w:id="8"/>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4.1</w:t>
      </w:r>
      <w:r>
        <w:rPr>
          <w:rFonts w:hint="eastAsia" w:ascii="宋体" w:hAnsi="宋体" w:cs="宋体"/>
          <w:kern w:val="0"/>
        </w:rPr>
        <w:t xml:space="preserve"> </w:t>
      </w:r>
      <w:r>
        <w:rPr>
          <w:rFonts w:hint="eastAsia" w:ascii="宋体" w:hAnsi="宋体" w:cs="宋体"/>
          <w:kern w:val="0"/>
          <w:lang w:val="zh-CN"/>
        </w:rPr>
        <w:t>招标文件包括：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w:t>
      </w:r>
      <w:r>
        <w:rPr>
          <w:rFonts w:hint="eastAsia" w:ascii="宋体" w:hAnsi="宋体" w:cs="宋体"/>
          <w:kern w:val="0"/>
          <w:lang w:val="en-US" w:eastAsia="zh-CN"/>
        </w:rPr>
        <w:t xml:space="preserve"> </w:t>
      </w:r>
      <w:r>
        <w:rPr>
          <w:rFonts w:hint="eastAsia" w:ascii="宋体" w:hAnsi="宋体" w:cs="宋体"/>
          <w:kern w:val="0"/>
          <w:lang w:val="zh-CN"/>
        </w:rPr>
        <w:t>同书范本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15"/>
        <w:spacing w:before="0" w:after="0" w:line="360" w:lineRule="auto"/>
        <w:jc w:val="left"/>
        <w:rPr>
          <w:rFonts w:ascii="宋体" w:hAnsi="宋体" w:cs="宋体"/>
          <w:sz w:val="28"/>
          <w:szCs w:val="28"/>
          <w:lang w:val="zh-CN"/>
        </w:rPr>
      </w:pPr>
      <w:bookmarkStart w:id="9" w:name="_Toc2133"/>
      <w:r>
        <w:rPr>
          <w:rFonts w:hint="eastAsia" w:ascii="宋体" w:hAnsi="宋体" w:cs="宋体"/>
          <w:sz w:val="28"/>
          <w:szCs w:val="28"/>
          <w:lang w:val="zh-CN"/>
        </w:rPr>
        <w:t>5.</w:t>
      </w:r>
      <w:r>
        <w:rPr>
          <w:rFonts w:hint="eastAsia"/>
        </w:rPr>
        <w:t xml:space="preserve"> </w:t>
      </w:r>
      <w:r>
        <w:rPr>
          <w:rFonts w:hint="eastAsia" w:ascii="宋体" w:hAnsi="宋体" w:cs="宋体"/>
          <w:sz w:val="28"/>
          <w:szCs w:val="28"/>
          <w:lang w:val="zh-CN"/>
        </w:rPr>
        <w:t>招标文件、采购活动和中标结果的质疑</w:t>
      </w:r>
      <w:bookmarkEnd w:id="9"/>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rPr>
        <w:t>潜在供应商已依法获取其可质疑的采购文件的，可以对该文件提出质疑</w:t>
      </w:r>
      <w:r>
        <w:rPr>
          <w:rFonts w:hint="eastAsia" w:ascii="Arial" w:hAnsi="Arial" w:cs="Arial"/>
        </w:rPr>
        <w:t>，</w:t>
      </w:r>
      <w:r>
        <w:rPr>
          <w:rFonts w:ascii="Arial" w:hAnsi="Arial" w:cs="Arial"/>
        </w:rPr>
        <w:t>对采购文件提出质疑的，应当在获取采购文件或者采购文件公告期限届满之日起7个工作日内提出</w:t>
      </w:r>
      <w:r>
        <w:rPr>
          <w:rFonts w:hint="eastAsia" w:ascii="宋体" w:hAnsi="宋体" w:cs="宋体"/>
          <w:kern w:val="0"/>
        </w:rPr>
        <w:t>。</w:t>
      </w:r>
      <w:r>
        <w:rPr>
          <w:rFonts w:ascii="Arial" w:hAnsi="Arial" w:cs="Arial"/>
        </w:rPr>
        <w:t>供应商</w:t>
      </w:r>
      <w:r>
        <w:rPr>
          <w:rFonts w:hint="eastAsia" w:ascii="Arial" w:hAnsi="Arial" w:cs="Arial"/>
        </w:rPr>
        <w:t>须</w:t>
      </w:r>
      <w:r>
        <w:rPr>
          <w:rFonts w:ascii="Arial" w:hAnsi="Arial" w:cs="Arial"/>
        </w:rPr>
        <w:t>在法定质疑期内一次性提出针对同一采购程序环节的质疑。</w:t>
      </w:r>
      <w:r>
        <w:rPr>
          <w:rFonts w:hint="eastAsia" w:ascii="宋体" w:hAnsi="宋体" w:cs="宋体"/>
          <w:kern w:val="0"/>
          <w:lang w:val="zh-CN"/>
        </w:rPr>
        <w:t>采购人或采购代理机构在收到书面</w:t>
      </w:r>
      <w:r>
        <w:rPr>
          <w:rFonts w:ascii="Arial" w:hAnsi="Arial" w:cs="Arial"/>
        </w:rPr>
        <w:t>质疑函后7个工作日内作出答复</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15"/>
        <w:spacing w:before="0" w:after="0" w:line="360" w:lineRule="auto"/>
        <w:jc w:val="left"/>
        <w:rPr>
          <w:rFonts w:ascii="宋体" w:hAnsi="宋体" w:cs="宋体"/>
          <w:lang w:val="zh-CN"/>
        </w:rPr>
      </w:pPr>
      <w:bookmarkStart w:id="10" w:name="_Toc2264"/>
      <w:r>
        <w:rPr>
          <w:rFonts w:hint="eastAsia" w:ascii="宋体" w:hAnsi="宋体" w:cs="宋体"/>
          <w:sz w:val="28"/>
          <w:szCs w:val="28"/>
          <w:lang w:val="zh-CN"/>
        </w:rPr>
        <w:t>6.招标文件的澄清或修改</w:t>
      </w:r>
      <w:bookmarkEnd w:id="1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15"/>
        <w:spacing w:before="0" w:after="0" w:line="360" w:lineRule="auto"/>
        <w:rPr>
          <w:rFonts w:ascii="宋体" w:hAnsi="宋体" w:cs="宋体"/>
        </w:rPr>
      </w:pPr>
      <w:bookmarkStart w:id="11" w:name="_Toc25692"/>
      <w:r>
        <w:rPr>
          <w:rFonts w:hint="eastAsia" w:ascii="宋体" w:hAnsi="宋体" w:cs="宋体"/>
          <w:lang w:val="zh-CN"/>
        </w:rPr>
        <w:t>三、投标文件的编制</w:t>
      </w:r>
      <w:bookmarkEnd w:id="11"/>
    </w:p>
    <w:p>
      <w:pPr>
        <w:pStyle w:val="15"/>
        <w:spacing w:before="0" w:after="0" w:line="360" w:lineRule="auto"/>
        <w:jc w:val="left"/>
        <w:rPr>
          <w:rFonts w:ascii="宋体" w:hAnsi="宋体" w:cs="宋体"/>
          <w:lang w:val="zh-CN"/>
        </w:rPr>
      </w:pPr>
      <w:bookmarkStart w:id="12" w:name="_Toc3928"/>
      <w:r>
        <w:rPr>
          <w:rFonts w:hint="eastAsia" w:ascii="宋体" w:hAnsi="宋体" w:cs="宋体"/>
          <w:sz w:val="28"/>
          <w:szCs w:val="28"/>
          <w:lang w:val="zh-CN"/>
        </w:rPr>
        <w:t>7.投标文件的语言及度量衡单位</w:t>
      </w:r>
      <w:bookmarkEnd w:id="12"/>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7.1</w:t>
      </w:r>
      <w:r>
        <w:rPr>
          <w:rFonts w:hint="eastAsia" w:ascii="宋体" w:hAnsi="宋体" w:cs="宋体"/>
          <w:kern w:val="0"/>
        </w:rPr>
        <w:t xml:space="preserve"> </w:t>
      </w:r>
      <w:r>
        <w:rPr>
          <w:rFonts w:hint="eastAsia" w:ascii="宋体" w:hAnsi="宋体" w:cs="宋体"/>
          <w:kern w:val="0"/>
          <w:lang w:val="zh-CN"/>
        </w:rPr>
        <w:t>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15"/>
        <w:spacing w:before="0" w:after="0" w:line="360" w:lineRule="auto"/>
        <w:jc w:val="left"/>
        <w:rPr>
          <w:rFonts w:ascii="宋体" w:hAnsi="宋体" w:cs="宋体"/>
          <w:lang w:val="zh-CN"/>
        </w:rPr>
      </w:pPr>
      <w:bookmarkStart w:id="13" w:name="_Toc6077"/>
      <w:r>
        <w:rPr>
          <w:rFonts w:hint="eastAsia" w:ascii="宋体" w:hAnsi="宋体" w:cs="宋体"/>
          <w:sz w:val="28"/>
          <w:szCs w:val="28"/>
          <w:lang w:val="zh-CN"/>
        </w:rPr>
        <w:t>8.投标报价及币种</w:t>
      </w:r>
      <w:bookmarkEnd w:id="13"/>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8.1</w:t>
      </w:r>
      <w:r>
        <w:rPr>
          <w:rFonts w:hint="eastAsia" w:ascii="宋体" w:hAnsi="宋体" w:cs="宋体"/>
          <w:kern w:val="0"/>
        </w:rPr>
        <w:t xml:space="preserve"> </w:t>
      </w:r>
      <w:r>
        <w:rPr>
          <w:rFonts w:hint="eastAsia" w:ascii="宋体" w:hAnsi="宋体" w:cs="宋体"/>
          <w:kern w:val="0"/>
          <w:lang w:val="zh-CN"/>
        </w:rPr>
        <w:t>投标报价为投标总价。投标报价必须包括：产品费、验收费、手续费、包装费、运输费、保险费、安装费、调试费、培训费、售前、售中、售后服务费、招标代理费、税金及不可预见费等全部费用。（说明：具体内容应根据项目特点实事求是的填写）</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8.2</w:t>
      </w:r>
      <w:r>
        <w:rPr>
          <w:rFonts w:hint="eastAsia" w:ascii="宋体" w:hAnsi="宋体" w:cs="宋体"/>
          <w:kern w:val="0"/>
        </w:rPr>
        <w:t xml:space="preserve"> </w:t>
      </w:r>
      <w:r>
        <w:rPr>
          <w:rFonts w:hint="eastAsia" w:ascii="宋体" w:hAnsi="宋体" w:cs="宋体"/>
          <w:kern w:val="0"/>
          <w:lang w:val="zh-CN"/>
        </w:rPr>
        <w:t>投标报价有效期与投标有效期一致。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15"/>
        <w:spacing w:before="0" w:after="0" w:line="360" w:lineRule="auto"/>
        <w:jc w:val="left"/>
        <w:rPr>
          <w:rFonts w:ascii="宋体" w:hAnsi="宋体" w:cs="宋体"/>
          <w:lang w:val="zh-CN"/>
        </w:rPr>
      </w:pPr>
      <w:bookmarkStart w:id="14" w:name="_Toc23732"/>
      <w:r>
        <w:rPr>
          <w:rFonts w:hint="eastAsia" w:ascii="宋体" w:hAnsi="宋体" w:cs="宋体"/>
          <w:sz w:val="28"/>
          <w:szCs w:val="28"/>
          <w:lang w:val="zh-CN"/>
        </w:rPr>
        <w:t>9.投标保证金</w:t>
      </w:r>
      <w:bookmarkEnd w:id="14"/>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9.1</w:t>
      </w:r>
      <w:r>
        <w:rPr>
          <w:rFonts w:hint="eastAsia" w:ascii="宋体" w:hAnsi="宋体" w:cs="宋体"/>
          <w:kern w:val="0"/>
        </w:rPr>
        <w:t xml:space="preserve"> </w:t>
      </w:r>
      <w:r>
        <w:rPr>
          <w:rFonts w:hint="eastAsia" w:ascii="宋体" w:hAnsi="宋体" w:cs="宋体"/>
          <w:kern w:val="0"/>
          <w:lang w:val="zh-CN"/>
        </w:rPr>
        <w:t>投标人须在投标截止期前按以下要求交纳投标保证金（说明：收取的投标保证金不得超过采购项目预算金额的2%）：</w:t>
      </w:r>
    </w:p>
    <w:p>
      <w:pPr>
        <w:autoSpaceDE w:val="0"/>
        <w:autoSpaceDN w:val="0"/>
        <w:spacing w:line="360" w:lineRule="auto"/>
        <w:ind w:firstLine="482" w:firstLineChars="200"/>
        <w:rPr>
          <w:rFonts w:ascii="宋体" w:hAnsi="宋体" w:cs="宋体"/>
          <w:b/>
          <w:bCs/>
          <w:kern w:val="0"/>
          <w:lang w:val="zh-CN"/>
        </w:rPr>
      </w:pPr>
      <w:r>
        <w:rPr>
          <w:rFonts w:hint="eastAsia" w:ascii="宋体" w:hAnsi="宋体" w:cs="宋体"/>
          <w:b/>
          <w:bCs/>
          <w:kern w:val="0"/>
          <w:lang w:val="zh-CN"/>
        </w:rPr>
        <w:t>投标保证金：</w:t>
      </w:r>
      <w:r>
        <w:rPr>
          <w:rFonts w:hint="eastAsia" w:ascii="宋体" w:hAnsi="宋体" w:cs="宋体"/>
          <w:b/>
          <w:bCs/>
          <w:kern w:val="0"/>
          <w:lang w:val="en-US" w:eastAsia="zh-CN"/>
        </w:rPr>
        <w:t>200000</w:t>
      </w:r>
      <w:r>
        <w:rPr>
          <w:rFonts w:ascii="宋体" w:hAnsi="宋体" w:cs="宋体"/>
          <w:b/>
          <w:bCs/>
          <w:kern w:val="0"/>
        </w:rPr>
        <w:t>.00</w:t>
      </w:r>
      <w:r>
        <w:rPr>
          <w:rFonts w:hint="eastAsia" w:ascii="宋体" w:hAnsi="宋体" w:cs="宋体"/>
          <w:b/>
          <w:bCs/>
          <w:kern w:val="0"/>
          <w:lang w:val="zh-CN"/>
        </w:rPr>
        <w:t>元整（大写：贰拾万元整）；</w:t>
      </w:r>
    </w:p>
    <w:p>
      <w:pPr>
        <w:autoSpaceDE w:val="0"/>
        <w:autoSpaceDN w:val="0"/>
        <w:spacing w:line="360" w:lineRule="auto"/>
        <w:ind w:firstLine="482" w:firstLineChars="200"/>
        <w:rPr>
          <w:rFonts w:hint="eastAsia" w:ascii="宋体" w:hAnsi="宋体" w:cs="宋体"/>
          <w:b/>
          <w:bCs/>
          <w:kern w:val="0"/>
          <w:lang w:val="zh-CN"/>
        </w:rPr>
      </w:pPr>
      <w:r>
        <w:rPr>
          <w:rFonts w:hint="eastAsia" w:ascii="宋体" w:hAnsi="宋体" w:cs="宋体"/>
          <w:b/>
          <w:bCs/>
          <w:kern w:val="0"/>
          <w:lang w:val="zh-CN"/>
        </w:rPr>
        <w:t>收款单位：青海创德项目管理有限公司</w:t>
      </w:r>
    </w:p>
    <w:p>
      <w:pPr>
        <w:autoSpaceDE w:val="0"/>
        <w:autoSpaceDN w:val="0"/>
        <w:spacing w:line="360" w:lineRule="auto"/>
        <w:ind w:firstLine="482" w:firstLineChars="200"/>
        <w:rPr>
          <w:rFonts w:hint="eastAsia" w:ascii="宋体" w:hAnsi="宋体" w:cs="宋体"/>
          <w:b/>
          <w:bCs/>
          <w:kern w:val="0"/>
          <w:lang w:val="zh-CN"/>
        </w:rPr>
      </w:pPr>
      <w:r>
        <w:rPr>
          <w:rFonts w:hint="eastAsia" w:ascii="宋体" w:hAnsi="宋体" w:cs="宋体"/>
          <w:b/>
          <w:bCs/>
          <w:kern w:val="0"/>
          <w:lang w:val="zh-CN"/>
        </w:rPr>
        <w:t>开 户 行：</w:t>
      </w:r>
      <w:r>
        <w:rPr>
          <w:rFonts w:hint="eastAsia" w:ascii="宋体" w:hAnsi="宋体" w:cs="宋体"/>
          <w:b/>
          <w:bCs/>
          <w:kern w:val="0"/>
          <w:lang w:val="en-US"/>
        </w:rPr>
        <w:t>中信银行股份有限公司西宁海湖新区支行</w:t>
      </w:r>
    </w:p>
    <w:p>
      <w:pPr>
        <w:autoSpaceDE w:val="0"/>
        <w:autoSpaceDN w:val="0"/>
        <w:spacing w:line="360" w:lineRule="auto"/>
        <w:ind w:firstLine="482" w:firstLineChars="200"/>
        <w:rPr>
          <w:rFonts w:hint="eastAsia" w:ascii="宋体" w:hAnsi="宋体" w:cs="宋体"/>
          <w:b/>
          <w:bCs/>
          <w:kern w:val="0"/>
          <w:lang w:val="zh-CN"/>
        </w:rPr>
      </w:pPr>
      <w:r>
        <w:rPr>
          <w:rFonts w:hint="eastAsia" w:ascii="宋体" w:hAnsi="宋体" w:cs="宋体"/>
          <w:b/>
          <w:bCs/>
          <w:kern w:val="0"/>
          <w:lang w:val="zh-CN"/>
        </w:rPr>
        <w:t>银行账号：</w:t>
      </w:r>
      <w:r>
        <w:rPr>
          <w:rFonts w:hint="eastAsia" w:ascii="宋体" w:hAnsi="宋体" w:cs="宋体"/>
          <w:b/>
          <w:bCs/>
          <w:kern w:val="0"/>
          <w:lang w:val="en-US"/>
        </w:rPr>
        <w:t>8112 8010 1260 0024 279</w:t>
      </w:r>
    </w:p>
    <w:p>
      <w:pPr>
        <w:autoSpaceDE w:val="0"/>
        <w:autoSpaceDN w:val="0"/>
        <w:spacing w:line="360" w:lineRule="auto"/>
        <w:ind w:firstLine="482" w:firstLineChars="200"/>
        <w:rPr>
          <w:rFonts w:hint="eastAsia" w:ascii="宋体" w:hAnsi="宋体" w:cs="宋体"/>
          <w:b/>
          <w:bCs/>
          <w:kern w:val="0"/>
          <w:lang w:val="zh-CN"/>
        </w:rPr>
      </w:pPr>
      <w:r>
        <w:rPr>
          <w:rFonts w:hint="eastAsia" w:ascii="宋体" w:hAnsi="宋体" w:cs="宋体"/>
          <w:b/>
          <w:bCs/>
          <w:kern w:val="0"/>
          <w:lang w:val="zh-CN"/>
        </w:rPr>
        <w:t>交纳时间：2019年</w:t>
      </w:r>
      <w:r>
        <w:rPr>
          <w:rFonts w:hint="eastAsia" w:ascii="宋体" w:hAnsi="宋体" w:cs="宋体"/>
          <w:b/>
          <w:bCs/>
          <w:kern w:val="0"/>
          <w:lang w:val="en-US" w:eastAsia="zh-CN"/>
        </w:rPr>
        <w:t>10</w:t>
      </w:r>
      <w:r>
        <w:rPr>
          <w:rFonts w:hint="eastAsia" w:ascii="宋体" w:hAnsi="宋体" w:cs="宋体"/>
          <w:b/>
          <w:bCs/>
          <w:kern w:val="0"/>
          <w:lang w:val="zh-CN"/>
        </w:rPr>
        <w:t>月</w:t>
      </w:r>
      <w:r>
        <w:rPr>
          <w:rFonts w:hint="eastAsia" w:ascii="宋体" w:hAnsi="宋体" w:cs="宋体"/>
          <w:b/>
          <w:bCs/>
          <w:kern w:val="0"/>
          <w:lang w:val="en-US" w:eastAsia="zh-CN"/>
        </w:rPr>
        <w:t>16</w:t>
      </w:r>
      <w:r>
        <w:rPr>
          <w:rFonts w:hint="eastAsia" w:ascii="宋体" w:hAnsi="宋体" w:cs="宋体"/>
          <w:b/>
          <w:bCs/>
          <w:kern w:val="0"/>
          <w:lang w:val="zh-CN"/>
        </w:rPr>
        <w:t>日17时前，以银行到账时间为准。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缴费方式：投标保证金应当以支票、汇票、本票或者金融机构、担保机构出具的保函等非现金形式提交。</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9.3</w:t>
      </w:r>
      <w:r>
        <w:rPr>
          <w:rFonts w:hint="eastAsia" w:ascii="宋体" w:hAnsi="宋体" w:cs="宋体"/>
          <w:kern w:val="0"/>
        </w:rPr>
        <w:t xml:space="preserve"> </w:t>
      </w:r>
      <w:r>
        <w:rPr>
          <w:rFonts w:hint="eastAsia" w:ascii="宋体" w:hAnsi="宋体" w:cs="宋体"/>
          <w:kern w:val="0"/>
          <w:lang w:val="zh-CN"/>
        </w:rPr>
        <w:t>投标保证金退还：投标人在投标截止时间前撤回已提交的投标文件的，采购代理机构应当自收到投标人书面撤回通知之日起5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9.4 投标有效期内投标人撤销投标文件的，采购人或者采购代理机构可以不退还投标保证金。</w:t>
      </w:r>
    </w:p>
    <w:p>
      <w:pPr>
        <w:pStyle w:val="15"/>
        <w:spacing w:before="0" w:after="0" w:line="360" w:lineRule="auto"/>
        <w:jc w:val="left"/>
        <w:rPr>
          <w:rFonts w:ascii="宋体" w:hAnsi="宋体" w:cs="宋体"/>
          <w:color w:val="auto"/>
          <w:lang w:val="zh-CN"/>
        </w:rPr>
      </w:pPr>
      <w:bookmarkStart w:id="15" w:name="_Toc17613"/>
      <w:r>
        <w:rPr>
          <w:rFonts w:hint="eastAsia" w:ascii="宋体" w:hAnsi="宋体" w:cs="宋体"/>
          <w:color w:val="auto"/>
          <w:sz w:val="28"/>
          <w:szCs w:val="28"/>
          <w:lang w:val="zh-CN"/>
        </w:rPr>
        <w:t>10.投标有效期</w:t>
      </w:r>
      <w:bookmarkEnd w:id="15"/>
    </w:p>
    <w:p>
      <w:pPr>
        <w:autoSpaceDE w:val="0"/>
        <w:autoSpaceDN w:val="0"/>
        <w:spacing w:line="360" w:lineRule="auto"/>
        <w:ind w:firstLine="480" w:firstLineChars="200"/>
        <w:rPr>
          <w:rFonts w:ascii="宋体" w:hAnsi="宋体" w:cs="宋体"/>
          <w:kern w:val="0"/>
          <w:lang w:val="zh-CN"/>
        </w:rPr>
      </w:pPr>
      <w:r>
        <w:rPr>
          <w:rFonts w:hint="eastAsia" w:ascii="宋体" w:hAnsi="宋体" w:cs="宋体"/>
          <w:color w:val="auto"/>
          <w:shd w:val="clear" w:color="auto" w:fill="FFFFFF"/>
        </w:rPr>
        <w:t>从提交投标文件的截止之日</w:t>
      </w:r>
      <w:r>
        <w:rPr>
          <w:rFonts w:hint="eastAsia" w:ascii="宋体" w:hAnsi="宋体" w:cs="宋体"/>
          <w:color w:val="auto"/>
          <w:kern w:val="0"/>
          <w:lang w:val="zh-CN"/>
        </w:rPr>
        <w:t>起</w:t>
      </w:r>
      <w:r>
        <w:rPr>
          <w:rFonts w:hint="eastAsia" w:ascii="宋体" w:hAnsi="宋体" w:cs="宋体"/>
          <w:color w:val="auto"/>
          <w:kern w:val="0"/>
          <w:lang w:val="en-US" w:eastAsia="zh-CN"/>
        </w:rPr>
        <w:t>60</w:t>
      </w:r>
      <w:r>
        <w:rPr>
          <w:rFonts w:hint="eastAsia" w:ascii="宋体" w:hAnsi="宋体" w:cs="宋体"/>
          <w:color w:val="auto"/>
          <w:kern w:val="0"/>
          <w:lang w:val="zh-CN"/>
        </w:rPr>
        <w:t>日历日。投标文件中承诺的投标有效期应当不少于招标文件中载明的投标有效期。投标有效期内投标人撤销投标文件</w:t>
      </w:r>
      <w:r>
        <w:rPr>
          <w:rFonts w:hint="eastAsia" w:ascii="宋体" w:hAnsi="宋体" w:cs="宋体"/>
          <w:kern w:val="0"/>
          <w:lang w:val="zh-CN"/>
        </w:rPr>
        <w:t>的，采购人或者采购代理机构可以不退还投标保证金。</w:t>
      </w:r>
    </w:p>
    <w:p>
      <w:pPr>
        <w:pStyle w:val="15"/>
        <w:spacing w:before="0" w:after="0" w:line="360" w:lineRule="auto"/>
        <w:jc w:val="left"/>
        <w:rPr>
          <w:rFonts w:ascii="宋体" w:hAnsi="宋体" w:cs="宋体"/>
          <w:lang w:val="zh-CN"/>
        </w:rPr>
      </w:pPr>
      <w:bookmarkStart w:id="16" w:name="_Toc13109"/>
      <w:r>
        <w:rPr>
          <w:rFonts w:hint="eastAsia" w:ascii="宋体" w:hAnsi="宋体" w:cs="宋体"/>
          <w:sz w:val="28"/>
          <w:szCs w:val="28"/>
          <w:lang w:val="zh-CN"/>
        </w:rPr>
        <w:t>11.投标文件构成</w:t>
      </w:r>
      <w:bookmarkEnd w:id="16"/>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rPr>
      </w:pPr>
      <w:r>
        <w:rPr>
          <w:rFonts w:hint="eastAsia" w:ascii="宋体" w:hAnsi="宋体" w:cs="宋体"/>
          <w:b/>
          <w:bCs/>
          <w:kern w:val="0"/>
        </w:rPr>
        <w:t>11.1</w:t>
      </w:r>
      <w:r>
        <w:rPr>
          <w:rFonts w:hint="eastAsia" w:ascii="宋体" w:hAnsi="宋体" w:cs="宋体"/>
          <w:b/>
          <w:bCs/>
          <w:kern w:val="0"/>
          <w:lang w:val="zh-CN"/>
        </w:rPr>
        <w:t>、投标文件（上册）</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投标函</w:t>
      </w:r>
    </w:p>
    <w:p>
      <w:pPr>
        <w:numPr>
          <w:ilvl w:val="0"/>
          <w:numId w:val="1"/>
        </w:num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法定代表人证明书</w:t>
      </w:r>
    </w:p>
    <w:p>
      <w:pPr>
        <w:numPr>
          <w:ilvl w:val="0"/>
          <w:numId w:val="1"/>
        </w:num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法定代表人授权书</w:t>
      </w:r>
    </w:p>
    <w:p>
      <w:pPr>
        <w:numPr>
          <w:ilvl w:val="0"/>
          <w:numId w:val="1"/>
        </w:num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投标人承诺函</w:t>
      </w:r>
    </w:p>
    <w:p>
      <w:pPr>
        <w:numPr>
          <w:ilvl w:val="0"/>
          <w:numId w:val="1"/>
        </w:num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投标人诚信承诺书</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资格预审合格通知书</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投标保证金证明</w:t>
      </w:r>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rPr>
        <w:t xml:space="preserve">11.2 </w:t>
      </w:r>
      <w:r>
        <w:rPr>
          <w:rFonts w:hint="eastAsia" w:ascii="宋体" w:hAnsi="宋体" w:cs="宋体"/>
          <w:b/>
          <w:bCs/>
          <w:kern w:val="0"/>
          <w:lang w:val="zh-CN"/>
        </w:rPr>
        <w:t>投标文件（下册）</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评分对照表</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开标一览表（报价表）</w:t>
      </w:r>
    </w:p>
    <w:p>
      <w:pPr>
        <w:pStyle w:val="21"/>
        <w:ind w:firstLine="424" w:firstLineChars="177"/>
        <w:rPr>
          <w:color w:val="auto"/>
        </w:rPr>
      </w:pPr>
      <w:r>
        <w:rPr>
          <w:rFonts w:hint="eastAsia" w:eastAsia="宋体" w:cs="宋体"/>
          <w:color w:val="auto"/>
          <w:kern w:val="0"/>
          <w:szCs w:val="24"/>
        </w:rPr>
        <w:t>服务应答表</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响应方案</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投标人的类似业绩证明材料</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制造（生产）企业小型、微型企业声明函、从业人员声明函</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rPr>
        <w:t>残疾人福利性单位声明函</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投标人认为在其他方面有必要说明的事项</w:t>
      </w:r>
    </w:p>
    <w:p>
      <w:pPr>
        <w:autoSpaceDE w:val="0"/>
        <w:autoSpaceDN w:val="0"/>
        <w:spacing w:line="36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15"/>
        <w:spacing w:before="0" w:after="0" w:line="360" w:lineRule="auto"/>
        <w:jc w:val="left"/>
        <w:rPr>
          <w:rFonts w:ascii="宋体" w:hAnsi="宋体" w:cs="宋体"/>
          <w:lang w:val="zh-CN"/>
        </w:rPr>
      </w:pPr>
      <w:bookmarkStart w:id="17" w:name="_Toc20693"/>
      <w:r>
        <w:rPr>
          <w:rFonts w:hint="eastAsia" w:ascii="宋体" w:hAnsi="宋体" w:cs="宋体"/>
          <w:sz w:val="28"/>
          <w:szCs w:val="28"/>
          <w:lang w:val="zh-CN"/>
        </w:rPr>
        <w:t>12.投标文件的编制要求</w:t>
      </w:r>
      <w:bookmarkEnd w:id="17"/>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12.1</w:t>
      </w:r>
      <w:r>
        <w:rPr>
          <w:rFonts w:hint="eastAsia" w:ascii="宋体" w:hAnsi="宋体" w:cs="宋体"/>
          <w:kern w:val="0"/>
        </w:rPr>
        <w:t xml:space="preserve"> </w:t>
      </w:r>
      <w:r>
        <w:rPr>
          <w:rFonts w:hint="eastAsia" w:ascii="宋体" w:hAnsi="宋体" w:cs="宋体"/>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12.2</w:t>
      </w:r>
      <w:r>
        <w:rPr>
          <w:rFonts w:hint="eastAsia" w:ascii="宋体" w:hAnsi="宋体" w:cs="宋体"/>
          <w:kern w:val="0"/>
        </w:rPr>
        <w:t xml:space="preserve"> </w:t>
      </w:r>
      <w:r>
        <w:rPr>
          <w:rFonts w:hint="eastAsia" w:ascii="宋体" w:hAnsi="宋体" w:cs="宋体"/>
          <w:kern w:val="0"/>
          <w:lang w:val="zh-CN"/>
        </w:rPr>
        <w:t>投标人应准备纸质投标文件正本1份</w:t>
      </w:r>
      <w:r>
        <w:rPr>
          <w:rFonts w:hint="eastAsia" w:ascii="宋体" w:hAnsi="宋体" w:cs="宋体"/>
          <w:kern w:val="0"/>
        </w:rPr>
        <w:t>(上、下册)</w:t>
      </w:r>
      <w:r>
        <w:rPr>
          <w:rFonts w:hint="eastAsia" w:ascii="宋体" w:hAnsi="宋体" w:cs="宋体"/>
          <w:kern w:val="0"/>
          <w:lang w:val="zh-CN"/>
        </w:rPr>
        <w:t>、副本</w:t>
      </w:r>
      <w:r>
        <w:rPr>
          <w:rFonts w:hint="eastAsia" w:ascii="宋体" w:hAnsi="宋体" w:cs="宋体"/>
          <w:kern w:val="0"/>
        </w:rPr>
        <w:t>4份(上、下册)</w:t>
      </w:r>
      <w:r>
        <w:rPr>
          <w:rFonts w:hint="eastAsia" w:ascii="宋体" w:hAnsi="宋体" w:cs="宋体"/>
          <w:kern w:val="0"/>
          <w:lang w:val="zh-CN"/>
        </w:rPr>
        <w:t>，电子文档1份</w:t>
      </w:r>
      <w:r>
        <w:rPr>
          <w:rFonts w:hint="eastAsia" w:ascii="宋体" w:hAnsi="宋体" w:cs="宋体"/>
          <w:kern w:val="0"/>
        </w:rPr>
        <w:t>(上、下册)、</w:t>
      </w:r>
      <w:r>
        <w:rPr>
          <w:rFonts w:ascii="宋体" w:hAnsi="宋体" w:cs="宋体"/>
          <w:kern w:val="0"/>
        </w:rPr>
        <w:t>报价一览表</w:t>
      </w:r>
      <w:r>
        <w:rPr>
          <w:rFonts w:hint="eastAsia" w:ascii="宋体" w:hAnsi="宋体" w:cs="宋体"/>
          <w:kern w:val="0"/>
        </w:rPr>
        <w:t>1份</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w:t>
      </w:r>
      <w:r>
        <w:rPr>
          <w:rFonts w:ascii="宋体" w:hAnsi="宋体" w:cs="宋体"/>
          <w:kern w:val="0"/>
        </w:rPr>
        <w:t>报价一览表</w:t>
      </w:r>
      <w:r>
        <w:rPr>
          <w:rFonts w:hint="eastAsia" w:ascii="宋体" w:hAnsi="宋体" w:cs="宋体"/>
          <w:kern w:val="0"/>
          <w:lang w:val="zh-CN"/>
        </w:rPr>
        <w:t>必须和投标文件正本中</w:t>
      </w:r>
      <w:r>
        <w:rPr>
          <w:rFonts w:ascii="宋体" w:hAnsi="宋体" w:cs="宋体"/>
          <w:kern w:val="0"/>
          <w:lang w:val="zh-CN"/>
        </w:rPr>
        <w:t>报价一览表</w:t>
      </w:r>
      <w:r>
        <w:rPr>
          <w:rFonts w:hint="eastAsia" w:ascii="宋体" w:hAnsi="宋体" w:cs="宋体"/>
          <w:kern w:val="0"/>
          <w:lang w:val="zh-CN"/>
        </w:rPr>
        <w:t>一致，电子文档</w:t>
      </w:r>
      <w:r>
        <w:rPr>
          <w:rFonts w:hint="eastAsia" w:ascii="宋体" w:hAnsi="宋体" w:cs="宋体"/>
          <w:kern w:val="0"/>
        </w:rPr>
        <w:t>(上、下册)</w:t>
      </w:r>
      <w:r>
        <w:rPr>
          <w:rFonts w:hint="eastAsia" w:ascii="宋体" w:hAnsi="宋体" w:cs="宋体"/>
          <w:kern w:val="0"/>
          <w:lang w:val="zh-CN"/>
        </w:rPr>
        <w:t>用光盘或U盘制作，采用不可修改文档格式（如：PDF格式），内容必须和纸质投标文件正本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15"/>
        <w:spacing w:before="0" w:after="0" w:line="360" w:lineRule="auto"/>
        <w:rPr>
          <w:rFonts w:ascii="宋体" w:hAnsi="宋体" w:cs="宋体"/>
        </w:rPr>
      </w:pPr>
      <w:bookmarkStart w:id="18" w:name="_Toc26269"/>
      <w:r>
        <w:rPr>
          <w:rFonts w:hint="eastAsia" w:ascii="宋体" w:hAnsi="宋体" w:cs="宋体"/>
          <w:lang w:val="zh-CN"/>
        </w:rPr>
        <w:t>四、投标文件的提交</w:t>
      </w:r>
      <w:bookmarkEnd w:id="18"/>
    </w:p>
    <w:p>
      <w:pPr>
        <w:pStyle w:val="15"/>
        <w:spacing w:before="0" w:after="0" w:line="360" w:lineRule="auto"/>
        <w:jc w:val="left"/>
        <w:rPr>
          <w:rFonts w:ascii="宋体" w:hAnsi="宋体" w:cs="宋体"/>
          <w:lang w:val="zh-CN"/>
        </w:rPr>
      </w:pPr>
      <w:bookmarkStart w:id="19" w:name="_Toc7617"/>
      <w:r>
        <w:rPr>
          <w:rFonts w:hint="eastAsia" w:ascii="宋体" w:hAnsi="宋体" w:cs="宋体"/>
          <w:sz w:val="28"/>
          <w:szCs w:val="28"/>
          <w:lang w:val="zh-CN"/>
        </w:rPr>
        <w:t>13.投标文件的密封和标记</w:t>
      </w:r>
      <w:bookmarkEnd w:id="19"/>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13.1</w:t>
      </w:r>
      <w:r>
        <w:rPr>
          <w:rFonts w:hint="eastAsia" w:ascii="宋体" w:hAnsi="宋体" w:cs="宋体"/>
          <w:kern w:val="0"/>
        </w:rPr>
        <w:t xml:space="preserve"> </w:t>
      </w:r>
      <w:r>
        <w:rPr>
          <w:rFonts w:hint="eastAsia" w:ascii="宋体" w:hAnsi="宋体" w:cs="宋体"/>
          <w:kern w:val="0"/>
          <w:lang w:val="zh-CN"/>
        </w:rPr>
        <w:t>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w:t>
      </w:r>
      <w:r>
        <w:rPr>
          <w:rFonts w:hint="eastAsia" w:ascii="宋体" w:hAnsi="宋体" w:cs="宋体"/>
          <w:kern w:val="0"/>
        </w:rPr>
        <w:t>(上、下册)、报价</w:t>
      </w:r>
      <w:r>
        <w:rPr>
          <w:rFonts w:ascii="宋体" w:hAnsi="宋体" w:cs="宋体"/>
          <w:kern w:val="0"/>
        </w:rPr>
        <w:t>一览表</w:t>
      </w:r>
      <w:r>
        <w:rPr>
          <w:rFonts w:hint="eastAsia" w:ascii="宋体" w:hAnsi="宋体" w:cs="宋体"/>
          <w:kern w:val="0"/>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13.2 密封后的投标文件密封袋用“于2019年</w:t>
      </w:r>
      <w:r>
        <w:rPr>
          <w:rFonts w:ascii="宋体" w:hAnsi="宋体" w:cs="宋体"/>
          <w:kern w:val="0"/>
          <w:lang w:val="zh-CN"/>
        </w:rPr>
        <w:t>*</w:t>
      </w:r>
      <w:r>
        <w:rPr>
          <w:rFonts w:hint="eastAsia" w:ascii="宋体" w:hAnsi="宋体" w:cs="宋体"/>
          <w:kern w:val="0"/>
          <w:lang w:val="zh-CN"/>
        </w:rPr>
        <w:t>月</w:t>
      </w:r>
      <w:r>
        <w:rPr>
          <w:rFonts w:ascii="宋体" w:hAnsi="宋体" w:cs="宋体"/>
          <w:kern w:val="0"/>
          <w:lang w:val="zh-CN"/>
        </w:rPr>
        <w:t>*</w:t>
      </w:r>
      <w:r>
        <w:rPr>
          <w:rFonts w:hint="eastAsia" w:ascii="宋体" w:hAnsi="宋体" w:cs="宋体"/>
          <w:kern w:val="0"/>
          <w:lang w:val="zh-CN"/>
        </w:rPr>
        <w:t>日</w:t>
      </w:r>
      <w:r>
        <w:rPr>
          <w:rFonts w:ascii="宋体" w:hAnsi="宋体" w:cs="宋体"/>
          <w:kern w:val="0"/>
          <w:lang w:val="zh-CN"/>
        </w:rPr>
        <w:t>*</w:t>
      </w:r>
      <w:r>
        <w:rPr>
          <w:rFonts w:hint="eastAsia" w:ascii="宋体" w:hAnsi="宋体" w:cs="宋体"/>
          <w:kern w:val="0"/>
          <w:lang w:val="zh-CN"/>
        </w:rPr>
        <w:t>时</w:t>
      </w:r>
      <w:r>
        <w:rPr>
          <w:rFonts w:ascii="宋体" w:hAnsi="宋体" w:cs="宋体"/>
          <w:kern w:val="0"/>
          <w:lang w:val="zh-CN"/>
        </w:rPr>
        <w:t>*</w:t>
      </w:r>
      <w:r>
        <w:rPr>
          <w:rFonts w:hint="eastAsia" w:ascii="宋体" w:hAnsi="宋体" w:cs="宋体"/>
          <w:kern w:val="0"/>
          <w:lang w:val="zh-CN"/>
        </w:rPr>
        <w:t>分（北京时间）之前不准启封”的标签密封。</w:t>
      </w:r>
    </w:p>
    <w:p>
      <w:pPr>
        <w:autoSpaceDE w:val="0"/>
        <w:autoSpaceDN w:val="0"/>
        <w:spacing w:line="360" w:lineRule="auto"/>
        <w:ind w:firstLine="480" w:firstLineChars="200"/>
        <w:rPr>
          <w:rFonts w:ascii="宋体" w:hAnsi="宋体" w:cs="宋体"/>
          <w:sz w:val="28"/>
          <w:szCs w:val="28"/>
          <w:lang w:val="zh-CN"/>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15"/>
        <w:spacing w:before="0" w:after="0" w:line="360" w:lineRule="auto"/>
        <w:jc w:val="left"/>
        <w:rPr>
          <w:rFonts w:ascii="宋体" w:hAnsi="宋体" w:cs="宋体"/>
          <w:lang w:val="zh-CN"/>
        </w:rPr>
      </w:pPr>
      <w:bookmarkStart w:id="20" w:name="_Toc398"/>
      <w:r>
        <w:rPr>
          <w:rFonts w:hint="eastAsia" w:ascii="宋体" w:hAnsi="宋体" w:cs="宋体"/>
          <w:sz w:val="28"/>
          <w:szCs w:val="28"/>
          <w:lang w:val="zh-CN"/>
        </w:rPr>
        <w:t>14.</w:t>
      </w:r>
      <w:r>
        <w:rPr>
          <w:rFonts w:hint="eastAsia"/>
        </w:rPr>
        <w:t xml:space="preserve"> </w:t>
      </w:r>
      <w:r>
        <w:rPr>
          <w:rFonts w:hint="eastAsia" w:ascii="宋体" w:hAnsi="宋体" w:cs="宋体"/>
          <w:sz w:val="28"/>
          <w:szCs w:val="28"/>
          <w:lang w:val="zh-CN"/>
        </w:rPr>
        <w:t>提交投标文件的时间、地点、方式</w:t>
      </w:r>
      <w:bookmarkEnd w:id="2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14.1</w:t>
      </w:r>
      <w:r>
        <w:rPr>
          <w:rFonts w:hint="eastAsia" w:ascii="宋体" w:hAnsi="宋体" w:cs="宋体"/>
          <w:kern w:val="0"/>
        </w:rPr>
        <w:t xml:space="preserve"> </w:t>
      </w:r>
      <w:r>
        <w:rPr>
          <w:rFonts w:hint="eastAsia" w:ascii="宋体" w:hAnsi="宋体" w:cs="宋体"/>
          <w:kern w:val="0"/>
          <w:lang w:val="zh-CN"/>
        </w:rPr>
        <w:t>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w:t>
      </w:r>
      <w:r>
        <w:rPr>
          <w:rFonts w:ascii="宋体" w:hAnsi="宋体" w:cs="宋体"/>
          <w:kern w:val="0"/>
          <w:lang w:val="zh-CN"/>
        </w:rPr>
        <w:t>并按要求递交投标文件</w:t>
      </w:r>
      <w:r>
        <w:rPr>
          <w:rFonts w:hint="eastAsia" w:ascii="宋体" w:hAnsi="宋体" w:cs="宋体"/>
          <w:kern w:val="0"/>
          <w:lang w:val="zh-CN"/>
        </w:rPr>
        <w:t>，</w:t>
      </w:r>
      <w:r>
        <w:rPr>
          <w:rFonts w:hint="eastAsia" w:ascii="宋体" w:hAnsi="宋体" w:cs="宋体"/>
        </w:rPr>
        <w:t>在截止时间后送达的，采购人、集中采购机构或者评标委员会应当拒收。</w:t>
      </w:r>
      <w:r>
        <w:rPr>
          <w:rFonts w:hint="eastAsia" w:ascii="宋体" w:hAnsi="宋体" w:cs="宋体"/>
          <w:kern w:val="0"/>
          <w:lang w:val="zh-CN"/>
        </w:rPr>
        <w:t>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15"/>
        <w:spacing w:before="0" w:after="0" w:line="360" w:lineRule="auto"/>
        <w:jc w:val="left"/>
        <w:rPr>
          <w:rFonts w:ascii="宋体" w:hAnsi="宋体" w:cs="宋体"/>
          <w:lang w:val="zh-CN"/>
        </w:rPr>
      </w:pPr>
      <w:bookmarkStart w:id="21" w:name="_Toc8812"/>
      <w:r>
        <w:rPr>
          <w:rFonts w:hint="eastAsia" w:ascii="宋体" w:hAnsi="宋体" w:cs="宋体"/>
          <w:sz w:val="28"/>
          <w:szCs w:val="28"/>
          <w:lang w:val="zh-CN"/>
        </w:rPr>
        <w:t>15.投标文件的补充、修改或者撤回</w:t>
      </w:r>
      <w:bookmarkEnd w:id="21"/>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15"/>
        <w:spacing w:before="0" w:after="0" w:line="360" w:lineRule="auto"/>
        <w:rPr>
          <w:rFonts w:ascii="宋体" w:hAnsi="宋体" w:cs="宋体"/>
        </w:rPr>
      </w:pPr>
      <w:bookmarkStart w:id="22" w:name="_Toc25397"/>
      <w:r>
        <w:rPr>
          <w:rFonts w:hint="eastAsia" w:ascii="宋体" w:hAnsi="宋体" w:cs="宋体"/>
          <w:lang w:val="zh-CN"/>
        </w:rPr>
        <w:t>五、开标</w:t>
      </w:r>
      <w:bookmarkEnd w:id="22"/>
    </w:p>
    <w:p>
      <w:pPr>
        <w:pStyle w:val="15"/>
        <w:spacing w:before="0" w:after="0" w:line="360" w:lineRule="auto"/>
        <w:jc w:val="left"/>
        <w:rPr>
          <w:rFonts w:ascii="宋体" w:hAnsi="宋体" w:cs="宋体"/>
          <w:lang w:val="zh-CN"/>
        </w:rPr>
      </w:pPr>
      <w:bookmarkStart w:id="23" w:name="_Toc24096"/>
      <w:r>
        <w:rPr>
          <w:rFonts w:hint="eastAsia" w:ascii="宋体" w:hAnsi="宋体" w:cs="宋体"/>
          <w:sz w:val="28"/>
          <w:szCs w:val="28"/>
          <w:lang w:val="zh-CN"/>
        </w:rPr>
        <w:t>16.开标</w:t>
      </w:r>
      <w:bookmarkEnd w:id="23"/>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16.1</w:t>
      </w:r>
      <w:r>
        <w:rPr>
          <w:rFonts w:hint="eastAsia" w:ascii="宋体" w:hAnsi="宋体" w:cs="宋体"/>
          <w:kern w:val="0"/>
        </w:rPr>
        <w:t xml:space="preserve"> </w:t>
      </w:r>
      <w:r>
        <w:rPr>
          <w:rFonts w:hint="eastAsia" w:ascii="宋体" w:hAnsi="宋体" w:cs="宋体"/>
          <w:kern w:val="0"/>
          <w:lang w:val="zh-CN"/>
        </w:rPr>
        <w:t>开标应当在招标文件确定的提交投标文件截止时间的同一时间进行。采购人或采购代理机构应当按本文件中确定的时间和地点组织开标活动。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16.2 开标由采购人或采购代理机构主持，邀请投标人参加。评标委员会成员不得参加开标活动。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16.3 开标时，应当由投标人或者其推选的代表检查投标文件的密封情况；经确认无误后，由采购人或者采购代理机构工作人员当众拆封，宣布投标人名称、投标价格和其他主要内容。</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投标人不足3家的，不得开标。</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16.4 开标过程应当由采购人或者采购代理机构负责记录，由参加开标的各投标人代表和相关工作人员签字确认后随采购文件一并存档。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360" w:lineRule="auto"/>
        <w:ind w:firstLine="480" w:firstLineChars="200"/>
        <w:rPr>
          <w:rFonts w:ascii="宋体" w:hAnsi="宋体" w:cs="宋体"/>
          <w:kern w:val="0"/>
        </w:rPr>
      </w:pPr>
    </w:p>
    <w:p>
      <w:pPr>
        <w:pStyle w:val="15"/>
        <w:spacing w:before="0" w:after="0" w:line="360" w:lineRule="auto"/>
        <w:rPr>
          <w:rFonts w:ascii="宋体" w:hAnsi="宋体" w:cs="宋体"/>
          <w:kern w:val="0"/>
        </w:rPr>
      </w:pPr>
      <w:bookmarkStart w:id="24" w:name="_Toc32572"/>
      <w:bookmarkStart w:id="25" w:name="_Toc496004006"/>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bookmarkEnd w:id="24"/>
      <w:bookmarkEnd w:id="25"/>
    </w:p>
    <w:p>
      <w:pPr>
        <w:pStyle w:val="15"/>
        <w:spacing w:before="0" w:after="0" w:line="360" w:lineRule="auto"/>
        <w:jc w:val="left"/>
        <w:rPr>
          <w:rFonts w:ascii="宋体" w:hAnsi="宋体" w:cs="宋体"/>
          <w:sz w:val="28"/>
          <w:szCs w:val="28"/>
        </w:rPr>
      </w:pPr>
      <w:bookmarkStart w:id="26" w:name="_Toc18754"/>
      <w:r>
        <w:rPr>
          <w:rFonts w:hint="eastAsia" w:ascii="宋体" w:hAnsi="宋体" w:cs="宋体"/>
          <w:sz w:val="28"/>
          <w:szCs w:val="28"/>
        </w:rPr>
        <w:t>17.资格审查</w:t>
      </w:r>
      <w:bookmarkEnd w:id="26"/>
    </w:p>
    <w:p>
      <w:pPr>
        <w:autoSpaceDE w:val="0"/>
        <w:autoSpaceDN w:val="0"/>
        <w:spacing w:line="360" w:lineRule="auto"/>
        <w:ind w:firstLine="480" w:firstLineChars="200"/>
        <w:rPr>
          <w:rFonts w:ascii="宋体" w:hAnsi="宋体" w:cs="宋体"/>
          <w:kern w:val="0"/>
        </w:rPr>
      </w:pPr>
      <w:r>
        <w:rPr>
          <w:rFonts w:hint="eastAsia" w:ascii="宋体" w:hAnsi="宋体" w:cs="宋体"/>
          <w:kern w:val="0"/>
        </w:rPr>
        <w:t>17.1 开标结束后，采购人或者采购代理机构应当依法对投标人的资格性审查文件（上册）进行审查。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17.2 合格投标人不足3家的，不得评标。</w:t>
      </w:r>
    </w:p>
    <w:p>
      <w:pPr>
        <w:autoSpaceDE w:val="0"/>
        <w:autoSpaceDN w:val="0"/>
        <w:spacing w:line="360" w:lineRule="auto"/>
        <w:ind w:firstLine="480" w:firstLineChars="200"/>
        <w:rPr>
          <w:rFonts w:ascii="宋体" w:hAnsi="宋体" w:cs="宋体"/>
          <w:sz w:val="28"/>
          <w:szCs w:val="28"/>
        </w:rPr>
      </w:pPr>
      <w:bookmarkStart w:id="27" w:name="_Toc497503315"/>
      <w:bookmarkStart w:id="28" w:name="_Toc497503449"/>
      <w:bookmarkStart w:id="29" w:name="_Toc497503249"/>
      <w:bookmarkStart w:id="30" w:name="_Toc30809"/>
      <w:bookmarkStart w:id="31" w:name="_Toc497503516"/>
      <w:r>
        <w:rPr>
          <w:rFonts w:hint="eastAsia" w:ascii="宋体" w:hAnsi="宋体" w:cs="宋体"/>
          <w:kern w:val="0"/>
        </w:rPr>
        <w:t>17.3 资格审查时，投标人存在下列情况之一的，按无效投标处理：</w:t>
      </w:r>
      <w:bookmarkEnd w:id="27"/>
      <w:bookmarkEnd w:id="28"/>
      <w:bookmarkEnd w:id="29"/>
      <w:bookmarkEnd w:id="30"/>
      <w:bookmarkEnd w:id="31"/>
    </w:p>
    <w:p>
      <w:pPr>
        <w:numPr>
          <w:ilvl w:val="0"/>
          <w:numId w:val="2"/>
        </w:numPr>
        <w:tabs>
          <w:tab w:val="left" w:pos="960"/>
        </w:tabs>
        <w:autoSpaceDE w:val="0"/>
        <w:autoSpaceDN w:val="0"/>
        <w:spacing w:line="360" w:lineRule="auto"/>
        <w:ind w:firstLine="480"/>
        <w:rPr>
          <w:rFonts w:ascii="宋体" w:hAnsi="宋体" w:cs="宋体"/>
          <w:kern w:val="0"/>
        </w:rPr>
      </w:pPr>
      <w:r>
        <w:rPr>
          <w:rFonts w:hint="eastAsia" w:ascii="宋体" w:hAnsi="宋体" w:cs="宋体"/>
          <w:shd w:val="clear" w:color="auto" w:fill="FFFFFF"/>
        </w:rPr>
        <w:t>不具备第一部分“投标邀请”中各包投标人资格要求的；</w:t>
      </w:r>
    </w:p>
    <w:p>
      <w:pPr>
        <w:numPr>
          <w:ilvl w:val="0"/>
          <w:numId w:val="2"/>
        </w:numPr>
        <w:tabs>
          <w:tab w:val="left" w:pos="960"/>
        </w:tabs>
        <w:autoSpaceDE w:val="0"/>
        <w:autoSpaceDN w:val="0"/>
        <w:spacing w:line="360" w:lineRule="auto"/>
        <w:ind w:firstLine="480"/>
        <w:rPr>
          <w:rFonts w:ascii="宋体" w:hAnsi="宋体" w:cs="宋体"/>
          <w:kern w:val="0"/>
        </w:rPr>
      </w:pPr>
      <w:r>
        <w:rPr>
          <w:rFonts w:hint="eastAsia" w:ascii="宋体" w:hAnsi="宋体" w:cs="宋体"/>
          <w:kern w:val="0"/>
        </w:rPr>
        <w:t>未按招标文件要求交纳或未足额交纳投标保证金的；</w:t>
      </w:r>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未按第11.1要求提供相关资料的；</w:t>
      </w:r>
    </w:p>
    <w:p>
      <w:pPr>
        <w:numPr>
          <w:ilvl w:val="0"/>
          <w:numId w:val="2"/>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报价超过招标文件中规定的预算金额或者最高限价的；</w:t>
      </w:r>
    </w:p>
    <w:p>
      <w:pPr>
        <w:numPr>
          <w:ilvl w:val="0"/>
          <w:numId w:val="2"/>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未按照招标文件要求提供电子文档</w:t>
      </w:r>
      <w:r>
        <w:rPr>
          <w:rFonts w:hint="eastAsia" w:ascii="宋体" w:hAnsi="宋体" w:cs="宋体"/>
          <w:kern w:val="0"/>
          <w:lang w:val="zh-CN"/>
        </w:rPr>
        <w:t>的。</w:t>
      </w:r>
    </w:p>
    <w:p>
      <w:pPr>
        <w:pStyle w:val="15"/>
        <w:spacing w:before="0" w:after="0" w:line="360" w:lineRule="auto"/>
        <w:rPr>
          <w:rFonts w:ascii="宋体" w:hAnsi="宋体" w:cs="宋体"/>
        </w:rPr>
      </w:pPr>
      <w:bookmarkStart w:id="32" w:name="_Toc31308"/>
      <w:r>
        <w:rPr>
          <w:rFonts w:hint="eastAsia" w:ascii="宋体" w:hAnsi="宋体" w:cs="宋体"/>
          <w:lang w:val="zh-CN"/>
        </w:rPr>
        <w:t>七、评审程序及方法</w:t>
      </w:r>
      <w:bookmarkEnd w:id="32"/>
    </w:p>
    <w:p>
      <w:pPr>
        <w:pStyle w:val="15"/>
        <w:spacing w:before="0" w:after="0" w:line="360" w:lineRule="auto"/>
        <w:jc w:val="left"/>
        <w:rPr>
          <w:rFonts w:ascii="宋体" w:hAnsi="宋体" w:cs="宋体"/>
          <w:lang w:val="zh-CN"/>
        </w:rPr>
      </w:pPr>
      <w:bookmarkStart w:id="33" w:name="_Toc13387"/>
      <w:r>
        <w:rPr>
          <w:rFonts w:hint="eastAsia" w:ascii="宋体" w:hAnsi="宋体" w:cs="宋体"/>
          <w:sz w:val="28"/>
          <w:szCs w:val="28"/>
          <w:lang w:val="zh-CN"/>
        </w:rPr>
        <w:t>1</w:t>
      </w:r>
      <w:r>
        <w:rPr>
          <w:rFonts w:hint="eastAsia" w:ascii="宋体" w:hAnsi="宋体" w:cs="宋体"/>
          <w:sz w:val="28"/>
          <w:szCs w:val="28"/>
        </w:rPr>
        <w:t>8</w:t>
      </w:r>
      <w:r>
        <w:rPr>
          <w:rFonts w:hint="eastAsia" w:ascii="宋体" w:hAnsi="宋体" w:cs="宋体"/>
          <w:sz w:val="28"/>
          <w:szCs w:val="28"/>
          <w:lang w:val="zh-CN"/>
        </w:rPr>
        <w:t>.评标委员会</w:t>
      </w:r>
      <w:bookmarkEnd w:id="33"/>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18.1</w:t>
      </w:r>
      <w:r>
        <w:rPr>
          <w:rFonts w:hint="eastAsia" w:ascii="宋体" w:hAnsi="宋体" w:cs="宋体"/>
          <w:kern w:val="0"/>
          <w:lang w:val="zh-CN"/>
        </w:rPr>
        <w:t xml:space="preserve"> 采购人或采购代理机构负责组织评标工作，并履行下列职责：</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18.2 评标委员会负责具体评标事务，并独立履行下列职责：</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严格遵守评审工作纪律,按照客观、公正、审慎的原则,根据采购文件规定的评审程序、评审方法和评审标准进行独立评审</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要求投标人对投标文件有关事项作出澄清或者说明；</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对投标文件进行比较和评价；</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确定中标候选人名单，以及根据采购人委托直接确定中标人；</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配合答复供应商的询问、质疑和投诉等事项,不得泄露评审文件、评审情况和在评审过程中获悉的商业秘密</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18.4 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采购人或采购代理机构应当将变更、重新组建评标委员会的情况予以记录，并随采购文件一并存档。</w:t>
      </w:r>
    </w:p>
    <w:p>
      <w:pPr>
        <w:pStyle w:val="15"/>
        <w:spacing w:before="0" w:after="0" w:line="360" w:lineRule="auto"/>
        <w:jc w:val="left"/>
        <w:rPr>
          <w:rFonts w:ascii="宋体" w:hAnsi="宋体" w:cs="宋体"/>
          <w:lang w:val="zh-CN"/>
        </w:rPr>
      </w:pPr>
      <w:bookmarkStart w:id="34" w:name="_Toc28585"/>
      <w:r>
        <w:rPr>
          <w:rFonts w:hint="eastAsia" w:ascii="宋体" w:hAnsi="宋体" w:cs="宋体"/>
          <w:sz w:val="28"/>
          <w:szCs w:val="28"/>
        </w:rPr>
        <w:t>19</w:t>
      </w:r>
      <w:r>
        <w:rPr>
          <w:rFonts w:hint="eastAsia" w:ascii="宋体" w:hAnsi="宋体" w:cs="宋体"/>
          <w:sz w:val="28"/>
          <w:szCs w:val="28"/>
          <w:lang w:val="zh-CN"/>
        </w:rPr>
        <w:t>.评审工作程序</w:t>
      </w:r>
      <w:bookmarkEnd w:id="34"/>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lang w:val="zh-CN"/>
        </w:rPr>
        <w:t>1</w:t>
      </w:r>
      <w:r>
        <w:rPr>
          <w:rFonts w:hint="eastAsia" w:ascii="宋体" w:hAnsi="宋体" w:cs="宋体"/>
          <w:b/>
          <w:bCs/>
          <w:kern w:val="0"/>
        </w:rPr>
        <w:t>9</w:t>
      </w:r>
      <w:r>
        <w:rPr>
          <w:rFonts w:hint="eastAsia" w:ascii="宋体" w:hAnsi="宋体" w:cs="宋体"/>
          <w:b/>
          <w:bCs/>
          <w:kern w:val="0"/>
          <w:lang w:val="zh-CN"/>
        </w:rPr>
        <w:t>.1</w:t>
      </w:r>
      <w:r>
        <w:rPr>
          <w:rFonts w:hint="eastAsia" w:ascii="宋体" w:hAnsi="宋体" w:cs="宋体"/>
          <w:kern w:val="0"/>
        </w:rPr>
        <w:t xml:space="preserve"> </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19.1.1</w:t>
      </w:r>
      <w:r>
        <w:rPr>
          <w:rFonts w:hint="eastAsia" w:ascii="宋体" w:hAnsi="宋体" w:cs="宋体"/>
          <w:b/>
          <w:bCs/>
          <w:kern w:val="0"/>
        </w:rPr>
        <w:t xml:space="preserve">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.2投标人存在下列情况之一的，投标无效:</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符合性审查文件未按招标文件要求签署、盖章的；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lang w:val="zh-CN"/>
        </w:rPr>
        <w:t>未按第11</w:t>
      </w:r>
      <w:r>
        <w:rPr>
          <w:rFonts w:hint="eastAsia" w:ascii="宋体" w:hAnsi="宋体" w:cs="宋体"/>
        </w:rPr>
        <w:t>.</w:t>
      </w:r>
      <w:r>
        <w:rPr>
          <w:rFonts w:hint="eastAsia" w:ascii="宋体" w:hAnsi="宋体" w:cs="宋体"/>
          <w:lang w:val="zh-CN"/>
        </w:rPr>
        <w:t>2（11）</w:t>
      </w:r>
      <w:r>
        <w:rPr>
          <w:rFonts w:hint="eastAsia" w:ascii="宋体" w:hAnsi="宋体" w:cs="楷体_GB2312"/>
          <w:lang w:val="zh-CN"/>
        </w:rPr>
        <w:t>-</w:t>
      </w:r>
      <w:r>
        <w:rPr>
          <w:rFonts w:ascii="宋体" w:hAnsi="宋体" w:cs="宋体"/>
          <w:lang w:val="zh-CN"/>
        </w:rPr>
        <w:t>（</w:t>
      </w:r>
      <w:r>
        <w:rPr>
          <w:rFonts w:hint="eastAsia" w:ascii="宋体" w:hAnsi="宋体" w:cs="宋体"/>
          <w:lang w:val="zh-CN"/>
        </w:rPr>
        <w:t>15</w:t>
      </w:r>
      <w:r>
        <w:rPr>
          <w:rFonts w:ascii="宋体" w:hAnsi="宋体" w:cs="宋体"/>
          <w:lang w:val="zh-CN"/>
        </w:rPr>
        <w:t>）</w:t>
      </w:r>
      <w:r>
        <w:rPr>
          <w:rFonts w:hint="eastAsia" w:ascii="宋体" w:hAnsi="宋体" w:cs="宋体"/>
          <w:lang w:val="zh-CN"/>
        </w:rPr>
        <w:t>款要求提供相关资料的；</w:t>
      </w:r>
    </w:p>
    <w:p>
      <w:pPr>
        <w:numPr>
          <w:ilvl w:val="0"/>
          <w:numId w:val="4"/>
        </w:num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产品交货时间不能满足招标文件要求的；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rPr>
        <w:t>投标总报价超过招标文件规定的采购预算额度或者最高限价的；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rPr>
        <w:t>投标产品的技术规格、技术标准明显不符合采购项目要求的；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rPr>
        <w:t>投标产品未完全满足招标文件确定的重要技术指标、参数的；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存在串通投标行为；</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rPr>
        <w:t>投标报价出现前后不一致</w:t>
      </w:r>
      <w:r>
        <w:rPr>
          <w:rFonts w:ascii="宋体" w:hAnsi="宋体"/>
        </w:rPr>
        <w:t>，</w:t>
      </w:r>
      <w:r>
        <w:rPr>
          <w:rFonts w:hint="eastAsia" w:ascii="宋体" w:hAnsi="宋体"/>
        </w:rPr>
        <w:t>又不按19.1.1进行确认</w:t>
      </w:r>
      <w:r>
        <w:rPr>
          <w:rFonts w:ascii="宋体" w:hAnsi="宋体"/>
        </w:rPr>
        <w:t>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rPr>
        <w:t>评标委员会认为应按无效投标处理的其他情况；</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法律、法规和招标文件规定的其他无效情形。</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19.1.3 投标文件报价出现前后不一致的，按照下列规定修正：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同时出现两种以上不一致的，按照前款规定的顺序修正。修正后的报价按19.1.1第二款的规定经投标人确认后产生约束力，投标人不确认的，其投标无效。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kern w:val="0"/>
        </w:rPr>
        <w:t>18</w:t>
      </w:r>
      <w:r>
        <w:rPr>
          <w:rFonts w:hint="eastAsia" w:ascii="宋体" w:hAnsi="宋体" w:cs="宋体"/>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 xml:space="preserve"> </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 xml:space="preserve">19.6 </w:t>
      </w:r>
      <w:r>
        <w:rPr>
          <w:rFonts w:hint="eastAsia" w:ascii="宋体" w:hAnsi="宋体" w:cs="宋体"/>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5"/>
        <w:spacing w:before="0" w:after="0" w:line="360" w:lineRule="auto"/>
        <w:jc w:val="left"/>
        <w:rPr>
          <w:rFonts w:ascii="宋体" w:hAnsi="宋体" w:cs="宋体"/>
          <w:sz w:val="28"/>
          <w:szCs w:val="28"/>
          <w:lang w:val="zh-CN"/>
        </w:rPr>
      </w:pPr>
      <w:bookmarkStart w:id="35" w:name="_Toc20334"/>
      <w:r>
        <w:rPr>
          <w:rFonts w:hint="eastAsia" w:ascii="宋体" w:hAnsi="宋体" w:cs="宋体"/>
          <w:sz w:val="28"/>
          <w:szCs w:val="28"/>
        </w:rPr>
        <w:t>20</w:t>
      </w:r>
      <w:r>
        <w:rPr>
          <w:rFonts w:hint="eastAsia" w:ascii="宋体" w:hAnsi="宋体" w:cs="宋体"/>
          <w:sz w:val="28"/>
          <w:szCs w:val="28"/>
          <w:lang w:val="zh-CN"/>
        </w:rPr>
        <w:t>.评审方法和标准</w:t>
      </w:r>
      <w:bookmarkEnd w:id="35"/>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20</w:t>
      </w:r>
      <w:r>
        <w:rPr>
          <w:rFonts w:hint="eastAsia" w:ascii="宋体" w:hAnsi="宋体" w:cs="宋体"/>
          <w:kern w:val="0"/>
          <w:lang w:val="zh-CN"/>
        </w:rPr>
        <w:t>.1</w:t>
      </w:r>
      <w:r>
        <w:rPr>
          <w:rFonts w:hint="eastAsia" w:ascii="宋体" w:hAnsi="宋体" w:cs="宋体"/>
          <w:kern w:val="0"/>
        </w:rPr>
        <w:t xml:space="preserve"> </w:t>
      </w:r>
      <w:r>
        <w:rPr>
          <w:rFonts w:hint="eastAsia" w:ascii="宋体" w:hAnsi="宋体" w:cs="宋体"/>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kern w:val="0"/>
          <w:u w:val="dashDotHeavy"/>
        </w:rPr>
      </w:pPr>
      <w:r>
        <w:rPr>
          <w:rFonts w:hint="eastAsia" w:ascii="宋体" w:hAnsi="宋体" w:cs="宋体"/>
          <w:kern w:val="0"/>
        </w:rPr>
        <w:t>20</w:t>
      </w:r>
      <w:r>
        <w:rPr>
          <w:rFonts w:hint="eastAsia" w:ascii="宋体" w:hAnsi="宋体" w:cs="宋体"/>
          <w:kern w:val="0"/>
          <w:lang w:val="zh-CN"/>
        </w:rPr>
        <w:t>.2</w:t>
      </w:r>
      <w:r>
        <w:rPr>
          <w:rFonts w:hint="eastAsia" w:ascii="宋体" w:hAnsi="宋体" w:cs="宋体"/>
          <w:kern w:val="0"/>
        </w:rPr>
        <w:t xml:space="preserve"> </w:t>
      </w:r>
      <w:r>
        <w:rPr>
          <w:rFonts w:hint="eastAsia" w:ascii="宋体" w:hAnsi="宋体" w:cs="宋体"/>
          <w:kern w:val="0"/>
          <w:lang w:val="zh-CN"/>
        </w:rPr>
        <w:t>本次评审方法采用</w:t>
      </w:r>
      <w:r>
        <w:rPr>
          <w:rFonts w:hint="eastAsia" w:ascii="宋体" w:hAnsi="宋体" w:cs="宋体"/>
          <w:b/>
          <w:bCs/>
          <w:sz w:val="28"/>
          <w:szCs w:val="28"/>
          <w:lang w:val="zh-CN"/>
        </w:rPr>
        <w:t>综合评分法。</w:t>
      </w:r>
    </w:p>
    <w:p>
      <w:pPr>
        <w:autoSpaceDE w:val="0"/>
        <w:autoSpaceDN w:val="0"/>
        <w:spacing w:line="360" w:lineRule="auto"/>
        <w:ind w:firstLine="482" w:firstLineChars="200"/>
        <w:rPr>
          <w:rFonts w:ascii="宋体" w:hAnsi="宋体" w:cs="宋体"/>
          <w:b/>
          <w:bCs/>
          <w:szCs w:val="28"/>
          <w:lang w:val="zh-CN"/>
        </w:rPr>
      </w:pPr>
      <w:r>
        <w:rPr>
          <w:rFonts w:hint="eastAsia" w:ascii="宋体" w:hAnsi="宋体" w:cs="宋体"/>
          <w:b/>
          <w:bCs/>
          <w:szCs w:val="28"/>
          <w:lang w:val="zh-CN"/>
        </w:rPr>
        <w:t>评审方法：采用综合评分法</w:t>
      </w:r>
    </w:p>
    <w:p>
      <w:pPr>
        <w:autoSpaceDE w:val="0"/>
        <w:autoSpaceDN w:val="0"/>
        <w:spacing w:line="36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评审因素的设定应当与投标人所提供货物服务的质量相关，包括投标报价、技术或者服务水平、履约能力、售后服务等。资格条件不得作为评审因素。</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Style w:val="20"/>
        <w:tblW w:w="9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687"/>
        <w:gridCol w:w="3991"/>
        <w:gridCol w:w="249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985" w:type="dxa"/>
            <w:gridSpan w:val="2"/>
            <w:vAlign w:val="center"/>
          </w:tcPr>
          <w:p>
            <w:pPr>
              <w:widowControl/>
              <w:jc w:val="center"/>
              <w:rPr>
                <w:rFonts w:ascii="宋体" w:hAnsi="宋体" w:cs="宋体"/>
                <w:kern w:val="0"/>
                <w:sz w:val="21"/>
                <w:szCs w:val="21"/>
              </w:rPr>
            </w:pPr>
            <w:r>
              <w:rPr>
                <w:rFonts w:hint="eastAsia" w:ascii="宋体" w:hAnsi="宋体" w:cs="宋体"/>
                <w:kern w:val="0"/>
                <w:sz w:val="21"/>
                <w:szCs w:val="21"/>
              </w:rPr>
              <w:t>评分因素（权重）</w:t>
            </w:r>
          </w:p>
        </w:tc>
        <w:tc>
          <w:tcPr>
            <w:tcW w:w="687" w:type="dxa"/>
            <w:vAlign w:val="center"/>
          </w:tcPr>
          <w:p>
            <w:pPr>
              <w:widowControl/>
              <w:rPr>
                <w:rFonts w:ascii="宋体" w:hAnsi="宋体" w:cs="宋体"/>
                <w:kern w:val="0"/>
                <w:sz w:val="21"/>
                <w:szCs w:val="21"/>
              </w:rPr>
            </w:pPr>
            <w:r>
              <w:rPr>
                <w:rFonts w:hint="eastAsia" w:ascii="宋体" w:hAnsi="宋体" w:cs="宋体"/>
                <w:kern w:val="0"/>
                <w:sz w:val="21"/>
                <w:szCs w:val="21"/>
              </w:rPr>
              <w:t>分值</w:t>
            </w:r>
          </w:p>
        </w:tc>
        <w:tc>
          <w:tcPr>
            <w:tcW w:w="3991" w:type="dxa"/>
            <w:vAlign w:val="center"/>
          </w:tcPr>
          <w:p>
            <w:pPr>
              <w:widowControl/>
              <w:jc w:val="center"/>
              <w:rPr>
                <w:rFonts w:ascii="宋体" w:hAnsi="宋体" w:cs="宋体"/>
                <w:kern w:val="0"/>
                <w:sz w:val="21"/>
                <w:szCs w:val="21"/>
              </w:rPr>
            </w:pPr>
            <w:r>
              <w:rPr>
                <w:rFonts w:hint="eastAsia" w:ascii="宋体" w:hAnsi="宋体" w:cs="宋体"/>
                <w:kern w:val="0"/>
                <w:sz w:val="21"/>
                <w:szCs w:val="21"/>
              </w:rPr>
              <w:t>评分标准</w:t>
            </w:r>
          </w:p>
        </w:tc>
        <w:tc>
          <w:tcPr>
            <w:tcW w:w="2496" w:type="dxa"/>
            <w:vAlign w:val="center"/>
          </w:tcPr>
          <w:p>
            <w:pPr>
              <w:widowControl/>
              <w:jc w:val="center"/>
              <w:rPr>
                <w:rFonts w:ascii="宋体" w:hAnsi="宋体" w:cs="宋体"/>
                <w:kern w:val="0"/>
                <w:sz w:val="21"/>
                <w:szCs w:val="21"/>
              </w:rPr>
            </w:pPr>
            <w:r>
              <w:rPr>
                <w:rFonts w:hint="eastAsia" w:ascii="宋体" w:hAnsi="宋体" w:cs="宋体"/>
                <w:kern w:val="0"/>
                <w:sz w:val="21"/>
                <w:szCs w:val="21"/>
              </w:rPr>
              <w:t>备注</w:t>
            </w:r>
          </w:p>
        </w:tc>
        <w:tc>
          <w:tcPr>
            <w:tcW w:w="633" w:type="dxa"/>
            <w:vAlign w:val="center"/>
          </w:tcPr>
          <w:p>
            <w:pPr>
              <w:widowControl/>
              <w:rPr>
                <w:rFonts w:ascii="宋体" w:hAnsi="宋体" w:cs="宋体"/>
                <w:kern w:val="0"/>
                <w:sz w:val="21"/>
                <w:szCs w:val="21"/>
              </w:rPr>
            </w:pPr>
            <w:r>
              <w:rPr>
                <w:rFonts w:hint="eastAsia" w:ascii="宋体" w:hAnsi="宋体" w:cs="宋体"/>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1985" w:type="dxa"/>
            <w:gridSpan w:val="2"/>
            <w:vAlign w:val="center"/>
          </w:tcPr>
          <w:p>
            <w:pPr>
              <w:widowControl/>
              <w:rPr>
                <w:rFonts w:ascii="宋体" w:hAnsi="宋体" w:cs="宋体"/>
                <w:kern w:val="0"/>
                <w:sz w:val="21"/>
                <w:szCs w:val="21"/>
              </w:rPr>
            </w:pPr>
            <w:r>
              <w:rPr>
                <w:rFonts w:hint="eastAsia" w:ascii="宋体" w:hAnsi="宋体" w:cs="宋体"/>
                <w:kern w:val="0"/>
                <w:sz w:val="21"/>
                <w:szCs w:val="21"/>
              </w:rPr>
              <w:t>报价部分（1</w:t>
            </w:r>
            <w:r>
              <w:rPr>
                <w:rFonts w:ascii="宋体" w:hAnsi="宋体" w:cs="宋体"/>
                <w:kern w:val="0"/>
                <w:sz w:val="21"/>
                <w:szCs w:val="21"/>
              </w:rPr>
              <w:t>5</w:t>
            </w:r>
            <w:r>
              <w:rPr>
                <w:rFonts w:hint="eastAsia" w:ascii="宋体" w:hAnsi="宋体" w:cs="宋体"/>
                <w:kern w:val="0"/>
                <w:sz w:val="21"/>
                <w:szCs w:val="21"/>
              </w:rPr>
              <w:t>%）</w:t>
            </w:r>
          </w:p>
        </w:tc>
        <w:tc>
          <w:tcPr>
            <w:tcW w:w="687" w:type="dxa"/>
            <w:vAlign w:val="center"/>
          </w:tcPr>
          <w:p>
            <w:pPr>
              <w:widowControl/>
              <w:rPr>
                <w:rFonts w:ascii="宋体" w:hAnsi="宋体" w:cs="宋体"/>
                <w:kern w:val="0"/>
                <w:sz w:val="21"/>
                <w:szCs w:val="21"/>
              </w:rPr>
            </w:pPr>
            <w:r>
              <w:rPr>
                <w:rFonts w:hint="eastAsia" w:ascii="宋体" w:hAnsi="宋体" w:cs="宋体"/>
                <w:kern w:val="0"/>
                <w:sz w:val="21"/>
                <w:szCs w:val="21"/>
              </w:rPr>
              <w:t>15分</w:t>
            </w:r>
          </w:p>
        </w:tc>
        <w:tc>
          <w:tcPr>
            <w:tcW w:w="3991" w:type="dxa"/>
            <w:vAlign w:val="center"/>
          </w:tcPr>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可用性</w:t>
            </w:r>
            <w:r>
              <w:rPr>
                <w:rFonts w:hint="eastAsia" w:ascii="宋体" w:hAnsi="宋体" w:cs="宋体"/>
                <w:color w:val="auto"/>
                <w:kern w:val="0"/>
                <w:sz w:val="21"/>
                <w:szCs w:val="21"/>
                <w:highlight w:val="none"/>
                <w:lang w:eastAsia="zh-CN"/>
              </w:rPr>
              <w:t>服务费折现</w:t>
            </w:r>
            <w:r>
              <w:rPr>
                <w:rFonts w:hint="eastAsia" w:ascii="宋体" w:hAnsi="宋体" w:cs="宋体"/>
                <w:color w:val="auto"/>
                <w:kern w:val="0"/>
                <w:sz w:val="21"/>
                <w:szCs w:val="21"/>
                <w:highlight w:val="none"/>
              </w:rPr>
              <w:t>率：</w:t>
            </w:r>
          </w:p>
          <w:p>
            <w:pPr>
              <w:widowControl/>
              <w:rPr>
                <w:rFonts w:ascii="宋体" w:hAnsi="宋体" w:cs="宋体"/>
                <w:color w:val="auto"/>
                <w:kern w:val="0"/>
                <w:sz w:val="21"/>
                <w:szCs w:val="21"/>
                <w:highlight w:val="none"/>
              </w:rPr>
            </w:pPr>
            <w:r>
              <w:rPr>
                <w:rFonts w:hint="eastAsia" w:ascii="宋体" w:hAnsi="宋体" w:cs="宋体"/>
                <w:color w:val="auto"/>
                <w:kern w:val="0"/>
                <w:sz w:val="21"/>
                <w:szCs w:val="21"/>
                <w:highlight w:val="none"/>
              </w:rPr>
              <w:t>以有效投标人的最低报价作为基准价，报价为基准价的得满分，其它投标人报价得分按下列公式计算：</w:t>
            </w:r>
          </w:p>
          <w:p>
            <w:pPr>
              <w:widowControl/>
              <w:rPr>
                <w:rFonts w:ascii="宋体" w:hAnsi="宋体" w:cs="宋体"/>
                <w:color w:val="auto"/>
                <w:kern w:val="0"/>
                <w:sz w:val="21"/>
                <w:szCs w:val="21"/>
              </w:rPr>
            </w:pPr>
            <w:r>
              <w:rPr>
                <w:rFonts w:hint="eastAsia" w:ascii="宋体" w:hAnsi="宋体" w:cs="宋体"/>
                <w:color w:val="auto"/>
                <w:kern w:val="0"/>
                <w:sz w:val="21"/>
                <w:szCs w:val="21"/>
                <w:highlight w:val="none"/>
              </w:rPr>
              <w:t>报价得分=(基准价÷报价)×</w:t>
            </w:r>
            <w:r>
              <w:rPr>
                <w:rFonts w:hint="eastAsia" w:ascii="宋体" w:hAnsi="宋体" w:cs="宋体"/>
                <w:color w:val="auto"/>
                <w:kern w:val="0"/>
                <w:sz w:val="21"/>
                <w:szCs w:val="21"/>
                <w:highlight w:val="none"/>
                <w:lang w:val="en-US" w:eastAsia="zh-CN"/>
              </w:rPr>
              <w:t>15</w:t>
            </w:r>
            <w:r>
              <w:rPr>
                <w:rFonts w:hint="eastAsia" w:ascii="宋体" w:hAnsi="宋体" w:cs="宋体"/>
                <w:color w:val="auto"/>
                <w:kern w:val="0"/>
                <w:sz w:val="21"/>
                <w:szCs w:val="21"/>
                <w:highlight w:val="none"/>
              </w:rPr>
              <w:t>%×100</w:t>
            </w:r>
          </w:p>
        </w:tc>
        <w:tc>
          <w:tcPr>
            <w:tcW w:w="2496" w:type="dxa"/>
            <w:vAlign w:val="center"/>
          </w:tcPr>
          <w:p>
            <w:pPr>
              <w:widowControl/>
              <w:ind w:firstLine="420" w:firstLineChars="200"/>
              <w:rPr>
                <w:rFonts w:hint="eastAsia" w:ascii="宋体" w:hAnsi="宋体" w:cs="宋体"/>
                <w:color w:val="auto"/>
                <w:kern w:val="0"/>
                <w:sz w:val="21"/>
                <w:szCs w:val="21"/>
              </w:rPr>
            </w:pPr>
            <w:r>
              <w:rPr>
                <w:rFonts w:hint="eastAsia" w:ascii="宋体" w:hAnsi="宋体" w:cs="宋体"/>
                <w:color w:val="auto"/>
                <w:kern w:val="0"/>
                <w:sz w:val="21"/>
                <w:szCs w:val="21"/>
                <w:highlight w:val="none"/>
              </w:rPr>
              <w:t>可用性</w:t>
            </w:r>
            <w:r>
              <w:rPr>
                <w:rFonts w:hint="eastAsia" w:ascii="宋体" w:hAnsi="宋体" w:cs="宋体"/>
                <w:color w:val="auto"/>
                <w:kern w:val="0"/>
                <w:sz w:val="21"/>
                <w:szCs w:val="21"/>
                <w:highlight w:val="none"/>
                <w:lang w:eastAsia="zh-CN"/>
              </w:rPr>
              <w:t>服务费折现</w:t>
            </w:r>
            <w:r>
              <w:rPr>
                <w:rFonts w:hint="eastAsia" w:ascii="宋体" w:hAnsi="宋体" w:cs="宋体"/>
                <w:color w:val="auto"/>
                <w:kern w:val="0"/>
                <w:sz w:val="21"/>
                <w:szCs w:val="21"/>
                <w:highlight w:val="none"/>
              </w:rPr>
              <w:t>率</w:t>
            </w:r>
            <w:r>
              <w:rPr>
                <w:rFonts w:hint="eastAsia" w:ascii="宋体" w:hAnsi="宋体" w:cs="宋体"/>
                <w:color w:val="auto"/>
                <w:kern w:val="0"/>
                <w:sz w:val="21"/>
                <w:szCs w:val="21"/>
              </w:rPr>
              <w:t>不超过</w:t>
            </w:r>
            <w:r>
              <w:rPr>
                <w:rFonts w:hint="eastAsia" w:ascii="宋体" w:hAnsi="宋体" w:cs="宋体"/>
                <w:color w:val="auto"/>
                <w:kern w:val="0"/>
                <w:sz w:val="21"/>
                <w:szCs w:val="21"/>
                <w:lang w:val="en-US" w:eastAsia="zh-CN"/>
              </w:rPr>
              <w:t>8</w:t>
            </w:r>
            <w:r>
              <w:rPr>
                <w:rFonts w:hint="eastAsia" w:ascii="宋体" w:hAnsi="宋体" w:cs="宋体"/>
                <w:color w:val="auto"/>
                <w:kern w:val="0"/>
                <w:sz w:val="21"/>
                <w:szCs w:val="21"/>
              </w:rPr>
              <w:t>%。</w:t>
            </w:r>
          </w:p>
        </w:tc>
        <w:tc>
          <w:tcPr>
            <w:tcW w:w="633" w:type="dxa"/>
            <w:vAlign w:val="center"/>
          </w:tcPr>
          <w:p>
            <w:pPr>
              <w:widowControl/>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0" w:hRule="atLeast"/>
          <w:jc w:val="center"/>
        </w:trPr>
        <w:tc>
          <w:tcPr>
            <w:tcW w:w="993" w:type="dxa"/>
            <w:vAlign w:val="center"/>
          </w:tcPr>
          <w:p>
            <w:pPr>
              <w:widowControl/>
              <w:rPr>
                <w:rFonts w:ascii="宋体" w:hAnsi="宋体" w:cs="宋体"/>
                <w:kern w:val="0"/>
                <w:sz w:val="21"/>
                <w:szCs w:val="21"/>
              </w:rPr>
            </w:pPr>
            <w:r>
              <w:rPr>
                <w:rFonts w:hint="eastAsia" w:ascii="宋体" w:hAnsi="宋体" w:cs="宋体"/>
                <w:kern w:val="0"/>
                <w:sz w:val="21"/>
                <w:szCs w:val="21"/>
              </w:rPr>
              <w:t>履约能力部分（</w:t>
            </w:r>
            <w:r>
              <w:rPr>
                <w:rFonts w:ascii="宋体" w:hAnsi="宋体" w:cs="宋体"/>
                <w:kern w:val="0"/>
                <w:sz w:val="21"/>
                <w:szCs w:val="21"/>
              </w:rPr>
              <w:t>20</w:t>
            </w:r>
            <w:r>
              <w:rPr>
                <w:rFonts w:hint="eastAsia" w:ascii="宋体" w:hAnsi="宋体" w:cs="宋体"/>
                <w:kern w:val="0"/>
                <w:sz w:val="21"/>
                <w:szCs w:val="21"/>
              </w:rPr>
              <w:t>%）</w:t>
            </w:r>
          </w:p>
        </w:tc>
        <w:tc>
          <w:tcPr>
            <w:tcW w:w="992" w:type="dxa"/>
            <w:vAlign w:val="center"/>
          </w:tcPr>
          <w:p>
            <w:pPr>
              <w:widowControl/>
              <w:jc w:val="center"/>
              <w:rPr>
                <w:rFonts w:ascii="宋体" w:hAnsi="宋体" w:cs="宋体"/>
                <w:kern w:val="0"/>
                <w:sz w:val="21"/>
                <w:szCs w:val="21"/>
              </w:rPr>
            </w:pPr>
            <w:r>
              <w:rPr>
                <w:rFonts w:hint="eastAsia" w:ascii="宋体" w:hAnsi="宋体" w:cs="宋体"/>
                <w:kern w:val="0"/>
                <w:sz w:val="21"/>
                <w:szCs w:val="21"/>
              </w:rPr>
              <w:t>项目业绩（</w:t>
            </w:r>
            <w:r>
              <w:rPr>
                <w:rFonts w:ascii="宋体" w:hAnsi="宋体" w:cs="宋体"/>
                <w:kern w:val="0"/>
                <w:sz w:val="21"/>
                <w:szCs w:val="21"/>
              </w:rPr>
              <w:t>20</w:t>
            </w:r>
            <w:r>
              <w:rPr>
                <w:rFonts w:hint="eastAsia" w:ascii="宋体" w:hAnsi="宋体" w:cs="宋体"/>
                <w:kern w:val="0"/>
                <w:sz w:val="21"/>
                <w:szCs w:val="21"/>
              </w:rPr>
              <w:t>%）</w:t>
            </w:r>
          </w:p>
        </w:tc>
        <w:tc>
          <w:tcPr>
            <w:tcW w:w="687" w:type="dxa"/>
            <w:vAlign w:val="center"/>
          </w:tcPr>
          <w:p>
            <w:pPr>
              <w:widowControl/>
              <w:rPr>
                <w:rFonts w:ascii="宋体" w:hAnsi="宋体" w:cs="宋体"/>
                <w:kern w:val="0"/>
                <w:sz w:val="21"/>
                <w:szCs w:val="21"/>
              </w:rPr>
            </w:pPr>
            <w:r>
              <w:rPr>
                <w:rFonts w:ascii="宋体" w:hAnsi="宋体" w:cs="宋体"/>
                <w:kern w:val="0"/>
                <w:sz w:val="21"/>
                <w:szCs w:val="21"/>
              </w:rPr>
              <w:t>20</w:t>
            </w:r>
            <w:r>
              <w:rPr>
                <w:rFonts w:hint="eastAsia" w:ascii="宋体" w:hAnsi="宋体" w:cs="宋体"/>
                <w:kern w:val="0"/>
                <w:sz w:val="21"/>
                <w:szCs w:val="21"/>
              </w:rPr>
              <w:t>分</w:t>
            </w:r>
          </w:p>
        </w:tc>
        <w:tc>
          <w:tcPr>
            <w:tcW w:w="3991" w:type="dxa"/>
            <w:vAlign w:val="center"/>
          </w:tcPr>
          <w:p>
            <w:pPr>
              <w:pStyle w:val="13"/>
              <w:shd w:val="clear" w:color="auto" w:fill="FFFFFF"/>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投标人提供2015年1月至开标截止前类似项目业绩：</w:t>
            </w:r>
          </w:p>
          <w:p>
            <w:pPr>
              <w:pStyle w:val="13"/>
              <w:shd w:val="clear" w:color="auto" w:fill="FFFFFF"/>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1）有建设或运营污水厂或垃圾填埋场业绩每有一个得</w:t>
            </w:r>
            <w:r>
              <w:rPr>
                <w:rFonts w:hint="eastAsia" w:cs="宋体"/>
                <w:color w:val="auto"/>
                <w:kern w:val="0"/>
                <w:sz w:val="21"/>
                <w:szCs w:val="21"/>
                <w:lang w:val="en-US" w:eastAsia="zh-CN" w:bidi="ar-SA"/>
              </w:rPr>
              <w:t>4</w:t>
            </w:r>
            <w:r>
              <w:rPr>
                <w:rFonts w:hint="eastAsia" w:ascii="宋体" w:hAnsi="宋体" w:eastAsia="宋体" w:cs="宋体"/>
                <w:color w:val="auto"/>
                <w:kern w:val="0"/>
                <w:sz w:val="21"/>
                <w:szCs w:val="21"/>
                <w:lang w:val="en-US" w:eastAsia="zh-CN" w:bidi="ar-SA"/>
              </w:rPr>
              <w:t>分；</w:t>
            </w:r>
          </w:p>
          <w:p>
            <w:pPr>
              <w:pStyle w:val="13"/>
              <w:shd w:val="clear" w:color="auto" w:fill="FFFFFF"/>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2）有PPP项目建设业绩每有一个得2分；</w:t>
            </w:r>
          </w:p>
          <w:p>
            <w:pPr>
              <w:pStyle w:val="13"/>
              <w:shd w:val="clear" w:color="auto" w:fill="FFFFFF"/>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3）有污水厂或垃圾填埋场施工业绩每有一个得1分；</w:t>
            </w:r>
          </w:p>
          <w:p>
            <w:pPr>
              <w:pStyle w:val="13"/>
              <w:shd w:val="clear" w:color="auto" w:fill="FFFFFF"/>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4）有其它施工业绩每有一个得0.5分；</w:t>
            </w:r>
          </w:p>
          <w:p>
            <w:pPr>
              <w:pStyle w:val="13"/>
              <w:shd w:val="clear" w:color="auto" w:fill="FFFFFF"/>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以上四项合计最多20分，超过20分按20分计。</w:t>
            </w:r>
          </w:p>
          <w:p>
            <w:pPr>
              <w:pStyle w:val="13"/>
              <w:shd w:val="clear" w:color="auto" w:fill="FFFFFF"/>
              <w:rPr>
                <w:rFonts w:ascii="inherit" w:hAnsi="inherit"/>
                <w:color w:val="auto"/>
                <w:sz w:val="21"/>
                <w:szCs w:val="21"/>
              </w:rPr>
            </w:pPr>
            <w:r>
              <w:rPr>
                <w:rFonts w:hint="eastAsia" w:ascii="宋体" w:hAnsi="宋体" w:eastAsia="宋体" w:cs="宋体"/>
                <w:color w:val="auto"/>
                <w:kern w:val="0"/>
                <w:sz w:val="21"/>
                <w:szCs w:val="21"/>
                <w:lang w:val="en-US" w:eastAsia="zh-CN" w:bidi="ar-SA"/>
              </w:rPr>
              <w:t>（若为联合体，则联合体任一成员单位提供的业绩均可，可累加）</w:t>
            </w:r>
          </w:p>
        </w:tc>
        <w:tc>
          <w:tcPr>
            <w:tcW w:w="2496" w:type="dxa"/>
            <w:vAlign w:val="center"/>
          </w:tcPr>
          <w:p>
            <w:pPr>
              <w:widowControl/>
              <w:rPr>
                <w:rFonts w:ascii="宋体" w:hAnsi="宋体" w:cs="宋体"/>
                <w:color w:val="auto"/>
                <w:kern w:val="0"/>
                <w:sz w:val="21"/>
                <w:szCs w:val="21"/>
              </w:rPr>
            </w:pPr>
            <w:r>
              <w:rPr>
                <w:rFonts w:hint="eastAsia" w:ascii="宋体" w:hAnsi="宋体" w:cs="宋体"/>
                <w:color w:val="auto"/>
                <w:kern w:val="0"/>
                <w:sz w:val="21"/>
                <w:szCs w:val="21"/>
              </w:rPr>
              <w:t>提供合同或中标通知书复印件</w:t>
            </w:r>
          </w:p>
        </w:tc>
        <w:tc>
          <w:tcPr>
            <w:tcW w:w="633" w:type="dxa"/>
            <w:vAlign w:val="center"/>
          </w:tcPr>
          <w:p>
            <w:pPr>
              <w:widowControl/>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3" w:type="dxa"/>
            <w:vMerge w:val="restart"/>
            <w:vAlign w:val="center"/>
          </w:tcPr>
          <w:p>
            <w:pPr>
              <w:widowControl/>
              <w:rPr>
                <w:rFonts w:ascii="宋体" w:hAnsi="宋体" w:cs="宋体"/>
                <w:kern w:val="0"/>
                <w:sz w:val="21"/>
                <w:szCs w:val="21"/>
              </w:rPr>
            </w:pPr>
            <w:r>
              <w:rPr>
                <w:rFonts w:hint="eastAsia" w:ascii="宋体" w:hAnsi="宋体" w:cs="宋体"/>
                <w:kern w:val="0"/>
                <w:sz w:val="21"/>
                <w:szCs w:val="21"/>
              </w:rPr>
              <w:t>企业实力（</w:t>
            </w:r>
            <w:r>
              <w:rPr>
                <w:rFonts w:ascii="宋体" w:hAnsi="宋体" w:cs="宋体"/>
                <w:kern w:val="0"/>
                <w:sz w:val="21"/>
                <w:szCs w:val="21"/>
              </w:rPr>
              <w:t>20</w:t>
            </w:r>
            <w:r>
              <w:rPr>
                <w:rFonts w:hint="eastAsia" w:ascii="宋体" w:hAnsi="宋体" w:cs="宋体"/>
                <w:kern w:val="0"/>
                <w:sz w:val="21"/>
                <w:szCs w:val="21"/>
              </w:rPr>
              <w:t>%）</w:t>
            </w:r>
          </w:p>
        </w:tc>
        <w:tc>
          <w:tcPr>
            <w:tcW w:w="992" w:type="dxa"/>
            <w:vAlign w:val="center"/>
          </w:tcPr>
          <w:p>
            <w:pPr>
              <w:widowControl/>
              <w:jc w:val="center"/>
              <w:rPr>
                <w:rFonts w:ascii="宋体" w:hAnsi="宋体" w:cs="宋体"/>
                <w:kern w:val="0"/>
                <w:sz w:val="21"/>
                <w:szCs w:val="21"/>
              </w:rPr>
            </w:pPr>
            <w:r>
              <w:rPr>
                <w:rFonts w:hint="eastAsia" w:ascii="宋体" w:hAnsi="宋体" w:cs="宋体"/>
                <w:kern w:val="0"/>
                <w:sz w:val="21"/>
                <w:szCs w:val="21"/>
              </w:rPr>
              <w:t>资信（10%）</w:t>
            </w:r>
          </w:p>
        </w:tc>
        <w:tc>
          <w:tcPr>
            <w:tcW w:w="687" w:type="dxa"/>
            <w:vAlign w:val="center"/>
          </w:tcPr>
          <w:p>
            <w:pPr>
              <w:widowControl/>
              <w:rPr>
                <w:rFonts w:ascii="宋体" w:hAnsi="宋体" w:cs="宋体"/>
                <w:kern w:val="0"/>
                <w:sz w:val="21"/>
                <w:szCs w:val="21"/>
              </w:rPr>
            </w:pPr>
            <w:r>
              <w:rPr>
                <w:rFonts w:hint="eastAsia" w:ascii="宋体" w:hAnsi="宋体" w:cs="宋体"/>
                <w:kern w:val="0"/>
                <w:sz w:val="21"/>
                <w:szCs w:val="21"/>
              </w:rPr>
              <w:t>10分</w:t>
            </w:r>
          </w:p>
        </w:tc>
        <w:tc>
          <w:tcPr>
            <w:tcW w:w="3991" w:type="dxa"/>
            <w:vAlign w:val="center"/>
          </w:tcPr>
          <w:p>
            <w:pPr>
              <w:widowControl/>
              <w:rPr>
                <w:rFonts w:ascii="宋体" w:hAnsi="宋体" w:cs="宋体"/>
                <w:color w:val="auto"/>
                <w:kern w:val="0"/>
                <w:sz w:val="21"/>
                <w:szCs w:val="21"/>
              </w:rPr>
            </w:pPr>
            <w:r>
              <w:rPr>
                <w:rFonts w:hint="eastAsia" w:ascii="宋体" w:hAnsi="宋体" w:cs="宋体"/>
                <w:color w:val="auto"/>
                <w:kern w:val="0"/>
                <w:sz w:val="21"/>
                <w:szCs w:val="21"/>
              </w:rPr>
              <w:t>提供基本开户银行出具的资信证明（同时提供基本存款账户开户许可证</w:t>
            </w:r>
            <w:r>
              <w:rPr>
                <w:rFonts w:hint="eastAsia" w:ascii="宋体" w:hAnsi="宋体" w:cs="宋体"/>
                <w:color w:val="auto"/>
                <w:kern w:val="0"/>
                <w:sz w:val="21"/>
                <w:szCs w:val="21"/>
                <w:lang w:eastAsia="zh-CN"/>
              </w:rPr>
              <w:t>复印件</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，无不良记录的得</w:t>
            </w:r>
            <w:r>
              <w:rPr>
                <w:rFonts w:hint="eastAsia" w:ascii="宋体" w:hAnsi="宋体" w:cs="宋体"/>
                <w:color w:val="auto"/>
                <w:kern w:val="0"/>
                <w:sz w:val="21"/>
                <w:szCs w:val="21"/>
                <w:lang w:val="en-US" w:eastAsia="zh-CN"/>
              </w:rPr>
              <w:t>10分，有不良记录的不得分。（联合体投标的提供融资成员单位的资信证明，融资成员单位有不良记录的此项不得分）</w:t>
            </w:r>
          </w:p>
        </w:tc>
        <w:tc>
          <w:tcPr>
            <w:tcW w:w="2496" w:type="dxa"/>
            <w:vAlign w:val="center"/>
          </w:tcPr>
          <w:p>
            <w:pPr>
              <w:widowControl/>
              <w:rPr>
                <w:rFonts w:ascii="宋体" w:hAnsi="宋体" w:cs="宋体"/>
                <w:color w:val="auto"/>
                <w:kern w:val="0"/>
                <w:sz w:val="21"/>
                <w:szCs w:val="21"/>
              </w:rPr>
            </w:pPr>
          </w:p>
        </w:tc>
        <w:tc>
          <w:tcPr>
            <w:tcW w:w="633" w:type="dxa"/>
            <w:vAlign w:val="center"/>
          </w:tcPr>
          <w:p>
            <w:pPr>
              <w:widowControl/>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993" w:type="dxa"/>
            <w:vMerge w:val="continue"/>
            <w:vAlign w:val="center"/>
          </w:tcPr>
          <w:p>
            <w:pPr>
              <w:widowControl/>
              <w:rPr>
                <w:rFonts w:ascii="宋体" w:hAnsi="宋体" w:cs="宋体"/>
                <w:kern w:val="0"/>
              </w:rPr>
            </w:pPr>
          </w:p>
        </w:tc>
        <w:tc>
          <w:tcPr>
            <w:tcW w:w="992" w:type="dxa"/>
            <w:vAlign w:val="center"/>
          </w:tcPr>
          <w:p>
            <w:pPr>
              <w:widowControl/>
              <w:rPr>
                <w:rFonts w:ascii="宋体" w:hAnsi="宋体" w:cs="宋体"/>
                <w:kern w:val="0"/>
                <w:sz w:val="21"/>
                <w:szCs w:val="21"/>
              </w:rPr>
            </w:pPr>
            <w:r>
              <w:rPr>
                <w:rFonts w:hint="eastAsia" w:ascii="宋体" w:hAnsi="宋体" w:cs="宋体"/>
                <w:kern w:val="0"/>
                <w:sz w:val="21"/>
                <w:szCs w:val="21"/>
              </w:rPr>
              <w:t>资金实力（10%）</w:t>
            </w:r>
          </w:p>
        </w:tc>
        <w:tc>
          <w:tcPr>
            <w:tcW w:w="687" w:type="dxa"/>
            <w:vAlign w:val="center"/>
          </w:tcPr>
          <w:p>
            <w:pPr>
              <w:widowControl/>
              <w:rPr>
                <w:rFonts w:ascii="宋体" w:hAnsi="宋体" w:cs="宋体"/>
                <w:kern w:val="0"/>
                <w:sz w:val="21"/>
                <w:szCs w:val="21"/>
              </w:rPr>
            </w:pPr>
            <w:r>
              <w:rPr>
                <w:rFonts w:ascii="宋体" w:hAnsi="宋体" w:cs="宋体"/>
                <w:kern w:val="0"/>
                <w:sz w:val="21"/>
                <w:szCs w:val="21"/>
              </w:rPr>
              <w:t>1</w:t>
            </w:r>
            <w:r>
              <w:rPr>
                <w:rFonts w:hint="eastAsia" w:ascii="宋体" w:hAnsi="宋体" w:cs="宋体"/>
                <w:kern w:val="0"/>
                <w:sz w:val="21"/>
                <w:szCs w:val="21"/>
              </w:rPr>
              <w:t>0分</w:t>
            </w:r>
          </w:p>
        </w:tc>
        <w:tc>
          <w:tcPr>
            <w:tcW w:w="3991" w:type="dxa"/>
            <w:vAlign w:val="center"/>
          </w:tcPr>
          <w:p>
            <w:pPr>
              <w:widowControl/>
              <w:rPr>
                <w:rFonts w:hint="eastAsia" w:ascii="宋体" w:hAnsi="宋体" w:cs="宋体"/>
                <w:color w:val="auto"/>
                <w:kern w:val="0"/>
                <w:sz w:val="21"/>
                <w:szCs w:val="21"/>
              </w:rPr>
            </w:pPr>
            <w:r>
              <w:rPr>
                <w:rFonts w:hint="eastAsia" w:ascii="宋体" w:hAnsi="宋体" w:cs="宋体"/>
                <w:color w:val="auto"/>
                <w:kern w:val="0"/>
                <w:sz w:val="21"/>
                <w:szCs w:val="21"/>
              </w:rPr>
              <w:t>提供银行授信余额证明，额度不少于人民币</w:t>
            </w:r>
            <w:r>
              <w:rPr>
                <w:rFonts w:hint="eastAsia" w:ascii="宋体" w:hAnsi="宋体" w:cs="宋体"/>
                <w:color w:val="auto"/>
                <w:kern w:val="0"/>
                <w:sz w:val="21"/>
                <w:szCs w:val="21"/>
                <w:lang w:val="en-US" w:eastAsia="zh-CN"/>
              </w:rPr>
              <w:t>60</w:t>
            </w:r>
            <w:r>
              <w:rPr>
                <w:rFonts w:ascii="宋体" w:hAnsi="宋体" w:cs="宋体"/>
                <w:color w:val="auto"/>
                <w:kern w:val="0"/>
                <w:sz w:val="21"/>
                <w:szCs w:val="21"/>
              </w:rPr>
              <w:t>00</w:t>
            </w:r>
            <w:r>
              <w:rPr>
                <w:rFonts w:hint="eastAsia" w:ascii="宋体" w:hAnsi="宋体" w:cs="宋体"/>
                <w:color w:val="auto"/>
                <w:kern w:val="0"/>
                <w:sz w:val="21"/>
                <w:szCs w:val="21"/>
              </w:rPr>
              <w:t>万元</w:t>
            </w:r>
            <w:r>
              <w:rPr>
                <w:rFonts w:hint="eastAsia" w:ascii="宋体" w:hAnsi="宋体" w:cs="宋体"/>
                <w:color w:val="auto"/>
                <w:kern w:val="0"/>
                <w:sz w:val="21"/>
                <w:szCs w:val="21"/>
                <w:lang w:eastAsia="zh-CN"/>
              </w:rPr>
              <w:t>（含）</w:t>
            </w:r>
            <w:r>
              <w:rPr>
                <w:rFonts w:hint="eastAsia" w:ascii="宋体" w:hAnsi="宋体" w:cs="宋体"/>
                <w:color w:val="auto"/>
                <w:kern w:val="0"/>
                <w:sz w:val="21"/>
                <w:szCs w:val="21"/>
              </w:rPr>
              <w:t>的得6分；在</w:t>
            </w:r>
            <w:r>
              <w:rPr>
                <w:rFonts w:hint="eastAsia" w:ascii="宋体" w:hAnsi="宋体" w:cs="宋体"/>
                <w:color w:val="auto"/>
                <w:kern w:val="0"/>
                <w:sz w:val="21"/>
                <w:szCs w:val="21"/>
                <w:lang w:val="en-US" w:eastAsia="zh-CN"/>
              </w:rPr>
              <w:t>60</w:t>
            </w:r>
            <w:r>
              <w:rPr>
                <w:rFonts w:ascii="宋体" w:hAnsi="宋体" w:cs="宋体"/>
                <w:color w:val="auto"/>
                <w:kern w:val="0"/>
                <w:sz w:val="21"/>
                <w:szCs w:val="21"/>
              </w:rPr>
              <w:t>00</w:t>
            </w:r>
            <w:r>
              <w:rPr>
                <w:rFonts w:hint="eastAsia" w:ascii="宋体" w:hAnsi="宋体" w:cs="宋体"/>
                <w:color w:val="auto"/>
                <w:kern w:val="0"/>
                <w:sz w:val="21"/>
                <w:szCs w:val="21"/>
              </w:rPr>
              <w:t>万元基础上每增加1</w:t>
            </w:r>
            <w:r>
              <w:rPr>
                <w:rFonts w:ascii="宋体" w:hAnsi="宋体" w:cs="宋体"/>
                <w:color w:val="auto"/>
                <w:kern w:val="0"/>
                <w:sz w:val="21"/>
                <w:szCs w:val="21"/>
              </w:rPr>
              <w:t>00</w:t>
            </w:r>
            <w:r>
              <w:rPr>
                <w:rFonts w:hint="eastAsia" w:ascii="宋体" w:hAnsi="宋体" w:cs="宋体"/>
                <w:color w:val="auto"/>
                <w:kern w:val="0"/>
                <w:sz w:val="21"/>
                <w:szCs w:val="21"/>
                <w:lang w:val="en-US" w:eastAsia="zh-CN"/>
              </w:rPr>
              <w:t>0</w:t>
            </w:r>
            <w:r>
              <w:rPr>
                <w:rFonts w:hint="eastAsia" w:ascii="宋体" w:hAnsi="宋体" w:cs="宋体"/>
                <w:color w:val="auto"/>
                <w:kern w:val="0"/>
                <w:sz w:val="21"/>
                <w:szCs w:val="21"/>
              </w:rPr>
              <w:t>万元加1分，最多加4分，本项最多得1</w:t>
            </w:r>
            <w:r>
              <w:rPr>
                <w:rFonts w:ascii="宋体" w:hAnsi="宋体" w:cs="宋体"/>
                <w:color w:val="auto"/>
                <w:kern w:val="0"/>
                <w:sz w:val="21"/>
                <w:szCs w:val="21"/>
              </w:rPr>
              <w:t>0</w:t>
            </w:r>
            <w:r>
              <w:rPr>
                <w:rFonts w:hint="eastAsia" w:ascii="宋体" w:hAnsi="宋体" w:cs="宋体"/>
                <w:color w:val="auto"/>
                <w:kern w:val="0"/>
                <w:sz w:val="21"/>
                <w:szCs w:val="21"/>
              </w:rPr>
              <w:t>分。（以1</w:t>
            </w:r>
            <w:r>
              <w:rPr>
                <w:rFonts w:ascii="宋体" w:hAnsi="宋体" w:cs="宋体"/>
                <w:color w:val="auto"/>
                <w:kern w:val="0"/>
                <w:sz w:val="21"/>
                <w:szCs w:val="21"/>
              </w:rPr>
              <w:t>00</w:t>
            </w:r>
            <w:r>
              <w:rPr>
                <w:rFonts w:hint="eastAsia" w:ascii="宋体" w:hAnsi="宋体" w:cs="宋体"/>
                <w:color w:val="auto"/>
                <w:kern w:val="0"/>
                <w:sz w:val="21"/>
                <w:szCs w:val="21"/>
                <w:lang w:val="en-US" w:eastAsia="zh-CN"/>
              </w:rPr>
              <w:t>0</w:t>
            </w:r>
            <w:r>
              <w:rPr>
                <w:rFonts w:hint="eastAsia" w:ascii="宋体" w:hAnsi="宋体" w:cs="宋体"/>
                <w:color w:val="auto"/>
                <w:kern w:val="0"/>
                <w:sz w:val="21"/>
                <w:szCs w:val="21"/>
              </w:rPr>
              <w:t>万元为计分单位，不足1</w:t>
            </w:r>
            <w:r>
              <w:rPr>
                <w:rFonts w:ascii="宋体" w:hAnsi="宋体" w:cs="宋体"/>
                <w:color w:val="auto"/>
                <w:kern w:val="0"/>
                <w:sz w:val="21"/>
                <w:szCs w:val="21"/>
              </w:rPr>
              <w:t>00</w:t>
            </w:r>
            <w:r>
              <w:rPr>
                <w:rFonts w:hint="eastAsia" w:ascii="宋体" w:hAnsi="宋体" w:cs="宋体"/>
                <w:color w:val="auto"/>
                <w:kern w:val="0"/>
                <w:sz w:val="21"/>
                <w:szCs w:val="21"/>
                <w:lang w:val="en-US" w:eastAsia="zh-CN"/>
              </w:rPr>
              <w:t>0</w:t>
            </w:r>
            <w:r>
              <w:rPr>
                <w:rFonts w:hint="eastAsia" w:ascii="宋体" w:hAnsi="宋体" w:cs="宋体"/>
                <w:color w:val="auto"/>
                <w:kern w:val="0"/>
                <w:sz w:val="21"/>
                <w:szCs w:val="21"/>
              </w:rPr>
              <w:t>万元的不加分）</w:t>
            </w:r>
          </w:p>
        </w:tc>
        <w:tc>
          <w:tcPr>
            <w:tcW w:w="2496" w:type="dxa"/>
            <w:vAlign w:val="center"/>
          </w:tcPr>
          <w:p>
            <w:pPr>
              <w:widowControl/>
              <w:rPr>
                <w:rFonts w:hint="default" w:ascii="宋体" w:hAnsi="宋体" w:cs="宋体"/>
                <w:strike w:val="0"/>
                <w:dstrike w:val="0"/>
                <w:color w:val="auto"/>
                <w:kern w:val="0"/>
                <w:sz w:val="21"/>
                <w:szCs w:val="21"/>
                <w:highlight w:val="none"/>
                <w:lang w:val="en-US" w:eastAsia="zh-CN"/>
              </w:rPr>
            </w:pPr>
            <w:r>
              <w:rPr>
                <w:rFonts w:hint="eastAsia" w:ascii="宋体" w:hAnsi="宋体" w:cs="宋体"/>
                <w:color w:val="auto"/>
                <w:kern w:val="0"/>
                <w:sz w:val="21"/>
                <w:szCs w:val="21"/>
                <w:highlight w:val="none"/>
              </w:rPr>
              <w:t>联合体投标的，</w:t>
            </w:r>
            <w:r>
              <w:rPr>
                <w:rFonts w:hint="eastAsia" w:ascii="宋体" w:hAnsi="宋体" w:cs="宋体"/>
                <w:strike w:val="0"/>
                <w:dstrike w:val="0"/>
                <w:color w:val="auto"/>
                <w:kern w:val="0"/>
                <w:sz w:val="21"/>
                <w:szCs w:val="21"/>
                <w:highlight w:val="none"/>
                <w:lang w:eastAsia="zh-CN"/>
              </w:rPr>
              <w:t>以负责项目融资单位为准，有多个融资成员单位的以最高的计分，各成员单位不可累计。</w:t>
            </w:r>
          </w:p>
        </w:tc>
        <w:tc>
          <w:tcPr>
            <w:tcW w:w="633" w:type="dxa"/>
            <w:vAlign w:val="center"/>
          </w:tcPr>
          <w:p>
            <w:pPr>
              <w:widowControl/>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993" w:type="dxa"/>
            <w:vMerge w:val="restart"/>
            <w:vAlign w:val="center"/>
          </w:tcPr>
          <w:p>
            <w:pPr>
              <w:widowControl/>
              <w:rPr>
                <w:rFonts w:ascii="宋体" w:hAnsi="宋体" w:cs="宋体"/>
                <w:kern w:val="0"/>
                <w:sz w:val="21"/>
                <w:szCs w:val="21"/>
              </w:rPr>
            </w:pPr>
            <w:r>
              <w:rPr>
                <w:rFonts w:hint="eastAsia" w:ascii="宋体" w:hAnsi="宋体" w:cs="宋体"/>
                <w:kern w:val="0"/>
                <w:sz w:val="21"/>
                <w:szCs w:val="21"/>
              </w:rPr>
              <w:t>技术部分（</w:t>
            </w:r>
            <w:r>
              <w:rPr>
                <w:rFonts w:ascii="宋体" w:hAnsi="宋体" w:cs="宋体"/>
                <w:kern w:val="0"/>
                <w:sz w:val="21"/>
                <w:szCs w:val="21"/>
              </w:rPr>
              <w:t>45</w:t>
            </w:r>
            <w:r>
              <w:rPr>
                <w:rFonts w:hint="eastAsia" w:ascii="宋体" w:hAnsi="宋体" w:cs="宋体"/>
                <w:kern w:val="0"/>
                <w:sz w:val="21"/>
                <w:szCs w:val="21"/>
              </w:rPr>
              <w:t>%）</w:t>
            </w:r>
          </w:p>
        </w:tc>
        <w:tc>
          <w:tcPr>
            <w:tcW w:w="992" w:type="dxa"/>
            <w:vAlign w:val="center"/>
          </w:tcPr>
          <w:p>
            <w:pPr>
              <w:widowControl/>
              <w:rPr>
                <w:rFonts w:ascii="宋体" w:hAnsi="宋体" w:cs="宋体"/>
                <w:kern w:val="0"/>
                <w:sz w:val="21"/>
                <w:szCs w:val="21"/>
              </w:rPr>
            </w:pPr>
            <w:r>
              <w:rPr>
                <w:rFonts w:hint="eastAsia" w:ascii="宋体" w:hAnsi="宋体" w:cs="宋体"/>
                <w:kern w:val="0"/>
                <w:sz w:val="21"/>
                <w:szCs w:val="21"/>
              </w:rPr>
              <w:t>项目公司组建方案（</w:t>
            </w:r>
            <w:r>
              <w:rPr>
                <w:rFonts w:ascii="宋体" w:hAnsi="宋体" w:cs="宋体"/>
                <w:kern w:val="0"/>
                <w:sz w:val="21"/>
                <w:szCs w:val="21"/>
              </w:rPr>
              <w:t>10</w:t>
            </w:r>
            <w:r>
              <w:rPr>
                <w:rFonts w:hint="eastAsia" w:ascii="宋体" w:hAnsi="宋体" w:cs="宋体"/>
                <w:kern w:val="0"/>
                <w:sz w:val="21"/>
                <w:szCs w:val="21"/>
              </w:rPr>
              <w:t>%）</w:t>
            </w:r>
          </w:p>
        </w:tc>
        <w:tc>
          <w:tcPr>
            <w:tcW w:w="687" w:type="dxa"/>
            <w:vAlign w:val="center"/>
          </w:tcPr>
          <w:p>
            <w:pPr>
              <w:widowControl/>
              <w:rPr>
                <w:rFonts w:ascii="宋体" w:hAnsi="宋体" w:cs="宋体"/>
                <w:kern w:val="0"/>
                <w:sz w:val="21"/>
                <w:szCs w:val="21"/>
              </w:rPr>
            </w:pPr>
            <w:r>
              <w:rPr>
                <w:rFonts w:ascii="宋体" w:hAnsi="宋体" w:cs="宋体"/>
                <w:kern w:val="0"/>
                <w:sz w:val="21"/>
                <w:szCs w:val="21"/>
              </w:rPr>
              <w:t>10</w:t>
            </w:r>
            <w:r>
              <w:rPr>
                <w:rFonts w:hint="eastAsia" w:ascii="宋体" w:hAnsi="宋体" w:cs="宋体"/>
                <w:kern w:val="0"/>
                <w:sz w:val="21"/>
                <w:szCs w:val="21"/>
              </w:rPr>
              <w:t>分</w:t>
            </w:r>
          </w:p>
        </w:tc>
        <w:tc>
          <w:tcPr>
            <w:tcW w:w="3991" w:type="dxa"/>
            <w:vAlign w:val="center"/>
          </w:tcPr>
          <w:p>
            <w:pPr>
              <w:widowControl/>
              <w:rPr>
                <w:rFonts w:ascii="宋体" w:hAnsi="宋体" w:cs="宋体"/>
                <w:kern w:val="0"/>
                <w:sz w:val="21"/>
                <w:szCs w:val="21"/>
              </w:rPr>
            </w:pPr>
            <w:r>
              <w:rPr>
                <w:rFonts w:hint="eastAsia" w:ascii="宋体" w:hAnsi="宋体" w:cs="宋体"/>
                <w:kern w:val="0"/>
                <w:sz w:val="21"/>
                <w:szCs w:val="21"/>
              </w:rPr>
              <w:t>根据投标人提供的项目公司组建方案中项目公司组建的时间安排，执行方案及建议，管理层设置和分工，以及常见问题分析和解决措施等内容进行打分。方案优得</w:t>
            </w:r>
            <w:r>
              <w:rPr>
                <w:rFonts w:ascii="宋体" w:hAnsi="宋体" w:cs="宋体"/>
                <w:kern w:val="0"/>
                <w:sz w:val="21"/>
                <w:szCs w:val="21"/>
              </w:rPr>
              <w:t>10</w:t>
            </w:r>
            <w:r>
              <w:rPr>
                <w:rFonts w:hint="eastAsia" w:ascii="宋体" w:hAnsi="宋体" w:cs="宋体"/>
                <w:kern w:val="0"/>
                <w:sz w:val="21"/>
                <w:szCs w:val="21"/>
              </w:rPr>
              <w:t>分，良得</w:t>
            </w:r>
            <w:r>
              <w:rPr>
                <w:rFonts w:ascii="宋体" w:hAnsi="宋体" w:cs="宋体"/>
                <w:kern w:val="0"/>
                <w:sz w:val="21"/>
                <w:szCs w:val="21"/>
              </w:rPr>
              <w:t>7</w:t>
            </w:r>
            <w:r>
              <w:rPr>
                <w:rFonts w:hint="eastAsia" w:ascii="宋体" w:hAnsi="宋体" w:cs="宋体"/>
                <w:kern w:val="0"/>
                <w:sz w:val="21"/>
                <w:szCs w:val="21"/>
              </w:rPr>
              <w:t>分，一般的得</w:t>
            </w:r>
            <w:r>
              <w:rPr>
                <w:rFonts w:ascii="宋体" w:hAnsi="宋体" w:cs="宋体"/>
                <w:kern w:val="0"/>
                <w:sz w:val="21"/>
                <w:szCs w:val="21"/>
              </w:rPr>
              <w:t>5</w:t>
            </w:r>
            <w:r>
              <w:rPr>
                <w:rFonts w:hint="eastAsia" w:ascii="宋体" w:hAnsi="宋体" w:cs="宋体"/>
                <w:kern w:val="0"/>
                <w:sz w:val="21"/>
                <w:szCs w:val="21"/>
              </w:rPr>
              <w:t>分，差得</w:t>
            </w:r>
            <w:r>
              <w:rPr>
                <w:rFonts w:ascii="宋体" w:hAnsi="宋体" w:cs="宋体"/>
                <w:kern w:val="0"/>
                <w:sz w:val="21"/>
                <w:szCs w:val="21"/>
              </w:rPr>
              <w:t>2</w:t>
            </w:r>
            <w:r>
              <w:rPr>
                <w:rFonts w:hint="eastAsia" w:ascii="宋体" w:hAnsi="宋体" w:cs="宋体"/>
                <w:kern w:val="0"/>
                <w:sz w:val="21"/>
                <w:szCs w:val="21"/>
              </w:rPr>
              <w:t>分，没有提供方案的得0分。</w:t>
            </w:r>
          </w:p>
        </w:tc>
        <w:tc>
          <w:tcPr>
            <w:tcW w:w="2496" w:type="dxa"/>
            <w:vAlign w:val="center"/>
          </w:tcPr>
          <w:p>
            <w:pPr>
              <w:widowControl/>
              <w:rPr>
                <w:rFonts w:ascii="宋体" w:hAnsi="宋体" w:cs="宋体"/>
                <w:kern w:val="0"/>
              </w:rPr>
            </w:pPr>
            <w:r>
              <w:rPr>
                <w:rFonts w:hint="eastAsia" w:ascii="宋体" w:hAnsi="宋体" w:cs="宋体"/>
                <w:kern w:val="0"/>
              </w:rPr>
              <w:t>/</w:t>
            </w:r>
          </w:p>
        </w:tc>
        <w:tc>
          <w:tcPr>
            <w:tcW w:w="633" w:type="dxa"/>
            <w:vMerge w:val="restart"/>
            <w:vAlign w:val="center"/>
          </w:tcPr>
          <w:p>
            <w:pPr>
              <w:widowControl/>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9" w:hRule="atLeast"/>
          <w:jc w:val="center"/>
        </w:trPr>
        <w:tc>
          <w:tcPr>
            <w:tcW w:w="993" w:type="dxa"/>
            <w:vMerge w:val="continue"/>
            <w:vAlign w:val="center"/>
          </w:tcPr>
          <w:p>
            <w:pPr>
              <w:widowControl/>
              <w:rPr>
                <w:rFonts w:ascii="宋体" w:hAnsi="宋体" w:cs="宋体"/>
                <w:kern w:val="0"/>
              </w:rPr>
            </w:pPr>
          </w:p>
        </w:tc>
        <w:tc>
          <w:tcPr>
            <w:tcW w:w="992" w:type="dxa"/>
            <w:vAlign w:val="center"/>
          </w:tcPr>
          <w:p>
            <w:pPr>
              <w:widowControl/>
              <w:rPr>
                <w:rFonts w:ascii="宋体" w:hAnsi="宋体" w:cs="宋体"/>
                <w:kern w:val="0"/>
                <w:sz w:val="21"/>
                <w:szCs w:val="21"/>
              </w:rPr>
            </w:pPr>
            <w:r>
              <w:rPr>
                <w:rFonts w:hint="eastAsia" w:ascii="宋体" w:hAnsi="宋体" w:cs="宋体"/>
                <w:kern w:val="0"/>
                <w:sz w:val="21"/>
                <w:szCs w:val="21"/>
              </w:rPr>
              <w:t>融资方案（</w:t>
            </w:r>
            <w:r>
              <w:rPr>
                <w:rFonts w:ascii="宋体" w:hAnsi="宋体" w:cs="宋体"/>
                <w:kern w:val="0"/>
                <w:sz w:val="21"/>
                <w:szCs w:val="21"/>
              </w:rPr>
              <w:t>8</w:t>
            </w:r>
            <w:r>
              <w:rPr>
                <w:rFonts w:hint="eastAsia" w:ascii="宋体" w:hAnsi="宋体" w:cs="宋体"/>
                <w:kern w:val="0"/>
                <w:sz w:val="21"/>
                <w:szCs w:val="21"/>
              </w:rPr>
              <w:t>%）</w:t>
            </w:r>
          </w:p>
        </w:tc>
        <w:tc>
          <w:tcPr>
            <w:tcW w:w="687" w:type="dxa"/>
            <w:vAlign w:val="center"/>
          </w:tcPr>
          <w:p>
            <w:pPr>
              <w:widowControl/>
              <w:rPr>
                <w:rFonts w:ascii="宋体" w:hAnsi="宋体" w:cs="宋体"/>
                <w:kern w:val="0"/>
                <w:sz w:val="21"/>
                <w:szCs w:val="21"/>
              </w:rPr>
            </w:pPr>
            <w:r>
              <w:rPr>
                <w:rFonts w:ascii="宋体" w:hAnsi="宋体" w:cs="宋体"/>
                <w:kern w:val="0"/>
                <w:sz w:val="21"/>
                <w:szCs w:val="21"/>
              </w:rPr>
              <w:t>8</w:t>
            </w:r>
            <w:r>
              <w:rPr>
                <w:rFonts w:hint="eastAsia" w:ascii="宋体" w:hAnsi="宋体" w:cs="宋体"/>
                <w:kern w:val="0"/>
                <w:sz w:val="21"/>
                <w:szCs w:val="21"/>
              </w:rPr>
              <w:t>分</w:t>
            </w:r>
          </w:p>
        </w:tc>
        <w:tc>
          <w:tcPr>
            <w:tcW w:w="3991" w:type="dxa"/>
            <w:vAlign w:val="center"/>
          </w:tcPr>
          <w:p>
            <w:pPr>
              <w:widowControl/>
              <w:rPr>
                <w:rFonts w:ascii="宋体" w:hAnsi="宋体" w:cs="宋体"/>
                <w:kern w:val="0"/>
                <w:sz w:val="21"/>
                <w:szCs w:val="21"/>
              </w:rPr>
            </w:pPr>
            <w:r>
              <w:rPr>
                <w:rFonts w:hint="eastAsia" w:ascii="宋体" w:hAnsi="宋体" w:cs="宋体"/>
                <w:kern w:val="0"/>
                <w:sz w:val="21"/>
                <w:szCs w:val="21"/>
              </w:rPr>
              <w:t>财务测算合理、完整、科学，足以支持投标报价；融资方式结构合理、科学，融资成本可控，方案全面、合理、科学、可行，得</w:t>
            </w:r>
            <w:r>
              <w:rPr>
                <w:rFonts w:ascii="宋体" w:hAnsi="宋体" w:cs="宋体"/>
                <w:kern w:val="0"/>
                <w:sz w:val="21"/>
                <w:szCs w:val="21"/>
              </w:rPr>
              <w:t>8</w:t>
            </w:r>
            <w:r>
              <w:rPr>
                <w:rFonts w:hint="eastAsia" w:ascii="宋体" w:hAnsi="宋体" w:cs="宋体"/>
                <w:kern w:val="0"/>
                <w:sz w:val="21"/>
                <w:szCs w:val="21"/>
              </w:rPr>
              <w:t>分；财务测算合理、完整、科学，足以支持投标报价；融资方式结构合理、科学，融资成本可控，方案较全面、合理、基本可行、先进性良好的，得</w:t>
            </w:r>
            <w:r>
              <w:rPr>
                <w:rFonts w:ascii="宋体" w:hAnsi="宋体" w:cs="宋体"/>
                <w:kern w:val="0"/>
                <w:sz w:val="21"/>
                <w:szCs w:val="21"/>
              </w:rPr>
              <w:t>6</w:t>
            </w:r>
            <w:r>
              <w:rPr>
                <w:rFonts w:hint="eastAsia" w:ascii="宋体" w:hAnsi="宋体" w:cs="宋体"/>
                <w:kern w:val="0"/>
                <w:sz w:val="21"/>
                <w:szCs w:val="21"/>
              </w:rPr>
              <w:t>分；财务测算合理、完整、科学，足以支持投标报价；融资方式结构合理、科学，融资成本可控，方案质量一般的，得</w:t>
            </w:r>
            <w:r>
              <w:rPr>
                <w:rFonts w:ascii="宋体" w:hAnsi="宋体" w:cs="宋体"/>
                <w:kern w:val="0"/>
                <w:sz w:val="21"/>
                <w:szCs w:val="21"/>
              </w:rPr>
              <w:t>4</w:t>
            </w:r>
            <w:r>
              <w:rPr>
                <w:rFonts w:hint="eastAsia" w:ascii="宋体" w:hAnsi="宋体" w:cs="宋体"/>
                <w:kern w:val="0"/>
                <w:sz w:val="21"/>
                <w:szCs w:val="21"/>
              </w:rPr>
              <w:t>分；财务测算合理、完整、科学，足以支持投标报价；融资方式结构合理、科学，融资成本可控，方案质量较差，得</w:t>
            </w:r>
            <w:r>
              <w:rPr>
                <w:rFonts w:ascii="宋体" w:hAnsi="宋体" w:cs="宋体"/>
                <w:kern w:val="0"/>
                <w:sz w:val="21"/>
                <w:szCs w:val="21"/>
              </w:rPr>
              <w:t>2</w:t>
            </w:r>
            <w:r>
              <w:rPr>
                <w:rFonts w:hint="eastAsia" w:ascii="宋体" w:hAnsi="宋体" w:cs="宋体"/>
                <w:kern w:val="0"/>
                <w:sz w:val="21"/>
                <w:szCs w:val="21"/>
              </w:rPr>
              <w:t>分；没有提供方案的，得0分。</w:t>
            </w:r>
          </w:p>
        </w:tc>
        <w:tc>
          <w:tcPr>
            <w:tcW w:w="2496" w:type="dxa"/>
            <w:vAlign w:val="center"/>
          </w:tcPr>
          <w:p>
            <w:pPr>
              <w:widowControl/>
              <w:rPr>
                <w:rFonts w:ascii="宋体" w:hAnsi="宋体" w:cs="宋体"/>
                <w:kern w:val="0"/>
              </w:rPr>
            </w:pPr>
            <w:r>
              <w:rPr>
                <w:rFonts w:hint="eastAsia" w:ascii="宋体" w:hAnsi="宋体" w:cs="宋体"/>
                <w:kern w:val="0"/>
              </w:rPr>
              <w:t>/</w:t>
            </w:r>
          </w:p>
        </w:tc>
        <w:tc>
          <w:tcPr>
            <w:tcW w:w="633" w:type="dxa"/>
            <w:vMerge w:val="continue"/>
            <w:vAlign w:val="center"/>
          </w:tcPr>
          <w:p>
            <w:pPr>
              <w:widowControl/>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jc w:val="center"/>
        </w:trPr>
        <w:tc>
          <w:tcPr>
            <w:tcW w:w="993" w:type="dxa"/>
            <w:vMerge w:val="continue"/>
            <w:vAlign w:val="center"/>
          </w:tcPr>
          <w:p>
            <w:pPr>
              <w:widowControl/>
              <w:rPr>
                <w:rFonts w:ascii="宋体" w:hAnsi="宋体" w:cs="宋体"/>
                <w:kern w:val="0"/>
              </w:rPr>
            </w:pPr>
          </w:p>
        </w:tc>
        <w:tc>
          <w:tcPr>
            <w:tcW w:w="992" w:type="dxa"/>
            <w:vAlign w:val="center"/>
          </w:tcPr>
          <w:p>
            <w:pPr>
              <w:widowControl/>
              <w:rPr>
                <w:rFonts w:ascii="宋体" w:hAnsi="宋体" w:cs="宋体"/>
                <w:kern w:val="0"/>
                <w:sz w:val="21"/>
                <w:szCs w:val="21"/>
              </w:rPr>
            </w:pPr>
            <w:r>
              <w:rPr>
                <w:rFonts w:hint="eastAsia" w:ascii="宋体" w:hAnsi="宋体" w:cs="宋体"/>
                <w:kern w:val="0"/>
                <w:sz w:val="21"/>
                <w:szCs w:val="21"/>
                <w:lang w:eastAsia="zh-CN"/>
              </w:rPr>
              <w:t>建设</w:t>
            </w:r>
            <w:r>
              <w:rPr>
                <w:rFonts w:hint="eastAsia" w:ascii="宋体" w:hAnsi="宋体" w:cs="宋体"/>
                <w:kern w:val="0"/>
                <w:sz w:val="21"/>
                <w:szCs w:val="21"/>
              </w:rPr>
              <w:t>方案（</w:t>
            </w:r>
            <w:r>
              <w:rPr>
                <w:rFonts w:ascii="宋体" w:hAnsi="宋体" w:cs="宋体"/>
                <w:kern w:val="0"/>
                <w:sz w:val="21"/>
                <w:szCs w:val="21"/>
              </w:rPr>
              <w:t>20</w:t>
            </w:r>
            <w:r>
              <w:rPr>
                <w:rFonts w:hint="eastAsia" w:ascii="宋体" w:hAnsi="宋体" w:cs="宋体"/>
                <w:kern w:val="0"/>
                <w:sz w:val="21"/>
                <w:szCs w:val="21"/>
              </w:rPr>
              <w:t>%）</w:t>
            </w:r>
          </w:p>
        </w:tc>
        <w:tc>
          <w:tcPr>
            <w:tcW w:w="687" w:type="dxa"/>
            <w:vAlign w:val="center"/>
          </w:tcPr>
          <w:p>
            <w:pPr>
              <w:widowControl/>
              <w:rPr>
                <w:rFonts w:ascii="宋体" w:hAnsi="宋体" w:cs="宋体"/>
                <w:kern w:val="0"/>
                <w:sz w:val="21"/>
                <w:szCs w:val="21"/>
              </w:rPr>
            </w:pPr>
            <w:r>
              <w:rPr>
                <w:rFonts w:ascii="宋体" w:hAnsi="宋体" w:cs="宋体"/>
                <w:kern w:val="0"/>
                <w:sz w:val="21"/>
                <w:szCs w:val="21"/>
              </w:rPr>
              <w:t>20</w:t>
            </w:r>
            <w:r>
              <w:rPr>
                <w:rFonts w:hint="eastAsia" w:ascii="宋体" w:hAnsi="宋体" w:cs="宋体"/>
                <w:kern w:val="0"/>
                <w:sz w:val="21"/>
                <w:szCs w:val="21"/>
              </w:rPr>
              <w:t>分</w:t>
            </w:r>
          </w:p>
        </w:tc>
        <w:tc>
          <w:tcPr>
            <w:tcW w:w="3991" w:type="dxa"/>
            <w:vAlign w:val="center"/>
          </w:tcPr>
          <w:p>
            <w:pPr>
              <w:widowControl/>
              <w:rPr>
                <w:rFonts w:ascii="宋体" w:hAnsi="宋体" w:cs="宋体"/>
                <w:kern w:val="0"/>
                <w:sz w:val="21"/>
                <w:szCs w:val="21"/>
              </w:rPr>
            </w:pPr>
            <w:r>
              <w:rPr>
                <w:rFonts w:hint="eastAsia" w:ascii="宋体" w:hAnsi="宋体" w:cs="宋体"/>
                <w:kern w:val="0"/>
                <w:sz w:val="21"/>
                <w:szCs w:val="21"/>
              </w:rPr>
              <w:t>从前期准备、工期安排、质量保障、造价成本控制、安全生产、环境保护、避免及减少对</w:t>
            </w:r>
            <w:r>
              <w:rPr>
                <w:rFonts w:hint="eastAsia" w:ascii="宋体" w:hAnsi="宋体" w:cs="宋体"/>
                <w:kern w:val="0"/>
                <w:sz w:val="21"/>
                <w:szCs w:val="21"/>
                <w:lang w:eastAsia="zh-CN"/>
              </w:rPr>
              <w:t>本项目</w:t>
            </w:r>
            <w:r>
              <w:rPr>
                <w:rFonts w:hint="eastAsia" w:ascii="宋体" w:hAnsi="宋体" w:cs="宋体"/>
                <w:kern w:val="0"/>
                <w:sz w:val="21"/>
                <w:szCs w:val="21"/>
              </w:rPr>
              <w:t>可能造成损害、发包和合同管理等方面评审</w:t>
            </w:r>
            <w:r>
              <w:rPr>
                <w:rFonts w:hint="eastAsia" w:ascii="宋体" w:hAnsi="宋体" w:cs="宋体"/>
                <w:kern w:val="0"/>
                <w:sz w:val="21"/>
                <w:szCs w:val="21"/>
                <w:lang w:eastAsia="zh-CN"/>
              </w:rPr>
              <w:t>；</w:t>
            </w:r>
            <w:r>
              <w:rPr>
                <w:rFonts w:hint="eastAsia" w:ascii="宋体" w:hAnsi="宋体" w:cs="宋体"/>
                <w:kern w:val="0"/>
                <w:sz w:val="21"/>
                <w:szCs w:val="21"/>
                <w:lang w:val="zh-CN"/>
              </w:rPr>
              <w:t>方案为优秀的得</w:t>
            </w:r>
            <w:r>
              <w:rPr>
                <w:rFonts w:hint="eastAsia" w:ascii="宋体" w:hAnsi="宋体" w:cs="宋体"/>
                <w:kern w:val="0"/>
                <w:sz w:val="21"/>
                <w:szCs w:val="21"/>
                <w:lang w:val="en-US" w:eastAsia="zh-CN"/>
              </w:rPr>
              <w:t>20</w:t>
            </w:r>
            <w:r>
              <w:rPr>
                <w:rFonts w:hint="eastAsia" w:ascii="宋体" w:hAnsi="宋体" w:cs="宋体"/>
                <w:kern w:val="0"/>
                <w:sz w:val="21"/>
                <w:szCs w:val="21"/>
                <w:lang w:val="zh-CN"/>
              </w:rPr>
              <w:t>分；方案为良好的得</w:t>
            </w:r>
            <w:r>
              <w:rPr>
                <w:rFonts w:hint="eastAsia" w:ascii="宋体" w:hAnsi="宋体" w:cs="宋体"/>
                <w:kern w:val="0"/>
                <w:sz w:val="21"/>
                <w:szCs w:val="21"/>
                <w:lang w:val="en-US" w:eastAsia="zh-CN"/>
              </w:rPr>
              <w:t>15</w:t>
            </w:r>
            <w:r>
              <w:rPr>
                <w:rFonts w:hint="eastAsia" w:ascii="宋体" w:hAnsi="宋体" w:cs="宋体"/>
                <w:kern w:val="0"/>
                <w:sz w:val="21"/>
                <w:szCs w:val="21"/>
                <w:lang w:val="zh-CN"/>
              </w:rPr>
              <w:t>分；方案为一般的得</w:t>
            </w:r>
            <w:r>
              <w:rPr>
                <w:rFonts w:hint="eastAsia" w:ascii="宋体" w:hAnsi="宋体" w:cs="宋体"/>
                <w:kern w:val="0"/>
                <w:sz w:val="21"/>
                <w:szCs w:val="21"/>
                <w:lang w:val="en-US" w:eastAsia="zh-CN"/>
              </w:rPr>
              <w:t>10</w:t>
            </w:r>
            <w:r>
              <w:rPr>
                <w:rFonts w:hint="eastAsia" w:ascii="宋体" w:hAnsi="宋体" w:cs="宋体"/>
                <w:kern w:val="0"/>
                <w:sz w:val="21"/>
                <w:szCs w:val="21"/>
                <w:lang w:val="zh-CN"/>
              </w:rPr>
              <w:t>分；方案为较差的不得分。</w:t>
            </w:r>
          </w:p>
        </w:tc>
        <w:tc>
          <w:tcPr>
            <w:tcW w:w="2496" w:type="dxa"/>
            <w:vAlign w:val="center"/>
          </w:tcPr>
          <w:p>
            <w:pPr>
              <w:widowControl/>
              <w:rPr>
                <w:rFonts w:ascii="宋体" w:hAnsi="宋体" w:cs="宋体"/>
                <w:kern w:val="0"/>
              </w:rPr>
            </w:pPr>
            <w:r>
              <w:rPr>
                <w:rFonts w:hint="eastAsia" w:ascii="宋体" w:hAnsi="宋体" w:cs="宋体"/>
                <w:kern w:val="0"/>
              </w:rPr>
              <w:t>/</w:t>
            </w:r>
          </w:p>
        </w:tc>
        <w:tc>
          <w:tcPr>
            <w:tcW w:w="633" w:type="dxa"/>
            <w:vMerge w:val="continue"/>
            <w:vAlign w:val="center"/>
          </w:tcPr>
          <w:p>
            <w:pPr>
              <w:widowControl/>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993" w:type="dxa"/>
            <w:vMerge w:val="continue"/>
            <w:vAlign w:val="center"/>
          </w:tcPr>
          <w:p>
            <w:pPr>
              <w:widowControl/>
              <w:rPr>
                <w:rFonts w:ascii="宋体" w:hAnsi="宋体" w:cs="宋体"/>
                <w:kern w:val="0"/>
              </w:rPr>
            </w:pPr>
          </w:p>
        </w:tc>
        <w:tc>
          <w:tcPr>
            <w:tcW w:w="992" w:type="dxa"/>
            <w:vAlign w:val="center"/>
          </w:tcPr>
          <w:p>
            <w:pPr>
              <w:widowControl/>
              <w:rPr>
                <w:rFonts w:ascii="宋体" w:hAnsi="宋体" w:cs="宋体"/>
                <w:kern w:val="0"/>
                <w:sz w:val="21"/>
                <w:szCs w:val="21"/>
              </w:rPr>
            </w:pPr>
            <w:r>
              <w:rPr>
                <w:rFonts w:hint="eastAsia" w:ascii="宋体" w:hAnsi="宋体" w:cs="宋体"/>
                <w:kern w:val="0"/>
                <w:sz w:val="21"/>
                <w:szCs w:val="21"/>
              </w:rPr>
              <w:t>移交方案（</w:t>
            </w:r>
            <w:r>
              <w:rPr>
                <w:rFonts w:ascii="宋体" w:hAnsi="宋体" w:cs="宋体"/>
                <w:kern w:val="0"/>
                <w:sz w:val="21"/>
                <w:szCs w:val="21"/>
              </w:rPr>
              <w:t>7</w:t>
            </w:r>
            <w:r>
              <w:rPr>
                <w:rFonts w:hint="eastAsia" w:ascii="宋体" w:hAnsi="宋体" w:cs="宋体"/>
                <w:kern w:val="0"/>
                <w:sz w:val="21"/>
                <w:szCs w:val="21"/>
              </w:rPr>
              <w:t>%）</w:t>
            </w:r>
          </w:p>
        </w:tc>
        <w:tc>
          <w:tcPr>
            <w:tcW w:w="687" w:type="dxa"/>
            <w:vAlign w:val="center"/>
          </w:tcPr>
          <w:p>
            <w:pPr>
              <w:widowControl/>
              <w:rPr>
                <w:rFonts w:ascii="宋体" w:hAnsi="宋体" w:cs="宋体"/>
                <w:kern w:val="0"/>
                <w:sz w:val="21"/>
                <w:szCs w:val="21"/>
              </w:rPr>
            </w:pPr>
            <w:r>
              <w:rPr>
                <w:rFonts w:ascii="宋体" w:hAnsi="宋体" w:cs="宋体"/>
                <w:kern w:val="0"/>
                <w:sz w:val="21"/>
                <w:szCs w:val="21"/>
              </w:rPr>
              <w:t>7</w:t>
            </w:r>
            <w:r>
              <w:rPr>
                <w:rFonts w:hint="eastAsia" w:ascii="宋体" w:hAnsi="宋体" w:cs="宋体"/>
                <w:kern w:val="0"/>
                <w:sz w:val="21"/>
                <w:szCs w:val="21"/>
              </w:rPr>
              <w:t>分</w:t>
            </w:r>
          </w:p>
        </w:tc>
        <w:tc>
          <w:tcPr>
            <w:tcW w:w="3991" w:type="dxa"/>
            <w:vAlign w:val="center"/>
          </w:tcPr>
          <w:p>
            <w:pPr>
              <w:widowControl/>
              <w:numPr>
                <w:ilvl w:val="0"/>
                <w:numId w:val="5"/>
              </w:numPr>
              <w:rPr>
                <w:rFonts w:hint="eastAsia" w:ascii="宋体" w:hAnsi="宋体" w:cs="宋体"/>
                <w:kern w:val="0"/>
                <w:sz w:val="21"/>
                <w:szCs w:val="21"/>
              </w:rPr>
            </w:pPr>
            <w:r>
              <w:rPr>
                <w:rFonts w:hint="eastAsia" w:ascii="宋体" w:hAnsi="宋体" w:cs="宋体"/>
                <w:kern w:val="0"/>
                <w:sz w:val="21"/>
                <w:szCs w:val="21"/>
              </w:rPr>
              <w:t>针对本项目特点，项目设施移交方案全面详细、针对性强，合理、切实可行；满足上述要求得</w:t>
            </w:r>
            <w:r>
              <w:rPr>
                <w:rFonts w:hint="eastAsia" w:ascii="宋体" w:hAnsi="宋体" w:cs="宋体"/>
                <w:kern w:val="0"/>
                <w:sz w:val="21"/>
                <w:szCs w:val="21"/>
                <w:lang w:val="en-US" w:eastAsia="zh-CN"/>
              </w:rPr>
              <w:t>5</w:t>
            </w:r>
            <w:r>
              <w:rPr>
                <w:rFonts w:hint="eastAsia" w:ascii="宋体" w:hAnsi="宋体" w:cs="宋体"/>
                <w:kern w:val="0"/>
                <w:sz w:val="21"/>
                <w:szCs w:val="21"/>
              </w:rPr>
              <w:t>分，基本满足得</w:t>
            </w:r>
            <w:r>
              <w:rPr>
                <w:rFonts w:hint="eastAsia" w:ascii="宋体" w:hAnsi="宋体" w:cs="宋体"/>
                <w:kern w:val="0"/>
                <w:sz w:val="21"/>
                <w:szCs w:val="21"/>
                <w:lang w:val="en-US" w:eastAsia="zh-CN"/>
              </w:rPr>
              <w:t>2</w:t>
            </w:r>
            <w:r>
              <w:rPr>
                <w:rFonts w:hint="eastAsia" w:ascii="宋体" w:hAnsi="宋体" w:cs="宋体"/>
                <w:kern w:val="0"/>
                <w:sz w:val="21"/>
                <w:szCs w:val="21"/>
              </w:rPr>
              <w:t>分，没有此项得0分。</w:t>
            </w:r>
          </w:p>
          <w:p>
            <w:pPr>
              <w:widowControl/>
              <w:numPr>
                <w:ilvl w:val="0"/>
                <w:numId w:val="5"/>
              </w:numPr>
              <w:rPr>
                <w:rFonts w:ascii="宋体" w:hAnsi="宋体" w:cs="宋体"/>
                <w:kern w:val="0"/>
                <w:sz w:val="21"/>
                <w:szCs w:val="21"/>
              </w:rPr>
            </w:pPr>
            <w:r>
              <w:rPr>
                <w:rFonts w:hint="eastAsia" w:ascii="宋体" w:hAnsi="宋体" w:cs="宋体"/>
                <w:kern w:val="0"/>
                <w:sz w:val="21"/>
                <w:szCs w:val="21"/>
              </w:rPr>
              <w:t>针对本项目特点，移交资产范围和移交验收程序表述清晰、完整、合理、切实可行；满足上述要求得</w:t>
            </w:r>
            <w:r>
              <w:rPr>
                <w:rFonts w:hint="eastAsia" w:ascii="宋体" w:hAnsi="宋体" w:cs="宋体"/>
                <w:kern w:val="0"/>
                <w:sz w:val="21"/>
                <w:szCs w:val="21"/>
                <w:lang w:val="en-US" w:eastAsia="zh-CN"/>
              </w:rPr>
              <w:t>3</w:t>
            </w:r>
            <w:r>
              <w:rPr>
                <w:rFonts w:hint="eastAsia" w:ascii="宋体" w:hAnsi="宋体" w:cs="宋体"/>
                <w:kern w:val="0"/>
                <w:sz w:val="21"/>
                <w:szCs w:val="21"/>
              </w:rPr>
              <w:t>分，基本满足得</w:t>
            </w:r>
            <w:r>
              <w:rPr>
                <w:rFonts w:hint="eastAsia" w:ascii="宋体" w:hAnsi="宋体" w:cs="宋体"/>
                <w:kern w:val="0"/>
                <w:sz w:val="21"/>
                <w:szCs w:val="21"/>
                <w:lang w:val="en-US" w:eastAsia="zh-CN"/>
              </w:rPr>
              <w:t>1</w:t>
            </w:r>
            <w:r>
              <w:rPr>
                <w:rFonts w:hint="eastAsia" w:ascii="宋体" w:hAnsi="宋体" w:cs="宋体"/>
                <w:kern w:val="0"/>
                <w:sz w:val="21"/>
                <w:szCs w:val="21"/>
              </w:rPr>
              <w:t>分，没有此项得0分。</w:t>
            </w:r>
          </w:p>
        </w:tc>
        <w:tc>
          <w:tcPr>
            <w:tcW w:w="2496" w:type="dxa"/>
            <w:vAlign w:val="center"/>
          </w:tcPr>
          <w:p>
            <w:pPr>
              <w:widowControl/>
              <w:rPr>
                <w:rFonts w:ascii="宋体" w:hAnsi="宋体" w:cs="宋体"/>
                <w:kern w:val="0"/>
              </w:rPr>
            </w:pPr>
            <w:r>
              <w:rPr>
                <w:rFonts w:hint="eastAsia" w:ascii="宋体" w:hAnsi="宋体" w:cs="宋体"/>
                <w:kern w:val="0"/>
              </w:rPr>
              <w:t>/</w:t>
            </w:r>
          </w:p>
        </w:tc>
        <w:tc>
          <w:tcPr>
            <w:tcW w:w="633" w:type="dxa"/>
            <w:vMerge w:val="continue"/>
            <w:vAlign w:val="center"/>
          </w:tcPr>
          <w:p>
            <w:pPr>
              <w:widowControl/>
              <w:rPr>
                <w:rFonts w:ascii="宋体" w:hAnsi="宋体" w:cs="宋体"/>
                <w:kern w:val="0"/>
              </w:rPr>
            </w:pPr>
          </w:p>
        </w:tc>
      </w:tr>
    </w:tbl>
    <w:p>
      <w:pPr>
        <w:autoSpaceDE w:val="0"/>
        <w:autoSpaceDN w:val="0"/>
        <w:spacing w:line="360" w:lineRule="auto"/>
        <w:rPr>
          <w:rFonts w:ascii="宋体" w:hAnsi="宋体" w:cs="宋体"/>
          <w:shd w:val="clear" w:color="auto" w:fill="FFFFFF"/>
        </w:rPr>
      </w:pP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 xml:space="preserve">20.3 </w:t>
      </w:r>
      <w:r>
        <w:rPr>
          <w:rFonts w:hint="eastAsia" w:ascii="宋体" w:hAnsi="宋体" w:cs="宋体"/>
          <w:b/>
          <w:bCs/>
          <w:kern w:val="0"/>
        </w:rPr>
        <w:t>采用综合评分法的，</w:t>
      </w:r>
      <w:r>
        <w:rPr>
          <w:rFonts w:hint="eastAsia" w:ascii="宋体" w:hAnsi="宋体" w:cs="宋体"/>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15"/>
        <w:spacing w:before="0" w:after="0" w:line="360" w:lineRule="auto"/>
        <w:rPr>
          <w:rFonts w:ascii="宋体" w:hAnsi="宋体" w:cs="宋体"/>
          <w:lang w:val="zh-CN"/>
        </w:rPr>
      </w:pPr>
      <w:bookmarkStart w:id="36" w:name="_Toc20657"/>
      <w:r>
        <w:rPr>
          <w:rFonts w:hint="eastAsia" w:ascii="宋体" w:hAnsi="宋体" w:cs="宋体"/>
          <w:lang w:val="zh-CN"/>
        </w:rPr>
        <w:t>八、中标</w:t>
      </w:r>
      <w:bookmarkEnd w:id="36"/>
    </w:p>
    <w:p>
      <w:pPr>
        <w:pStyle w:val="15"/>
        <w:spacing w:before="0" w:after="0" w:line="360" w:lineRule="auto"/>
        <w:jc w:val="left"/>
        <w:rPr>
          <w:rFonts w:ascii="宋体" w:hAnsi="宋体" w:cs="宋体"/>
          <w:lang w:val="zh-CN"/>
        </w:rPr>
      </w:pPr>
      <w:bookmarkStart w:id="37" w:name="_Toc10405"/>
      <w:r>
        <w:rPr>
          <w:rFonts w:hint="eastAsia" w:ascii="宋体" w:hAnsi="宋体" w:cs="宋体"/>
          <w:sz w:val="28"/>
          <w:szCs w:val="28"/>
          <w:lang w:val="zh-CN"/>
        </w:rPr>
        <w:t>2</w:t>
      </w:r>
      <w:r>
        <w:rPr>
          <w:rFonts w:hint="eastAsia" w:ascii="宋体" w:hAnsi="宋体" w:cs="宋体"/>
          <w:sz w:val="28"/>
          <w:szCs w:val="28"/>
        </w:rPr>
        <w:t>1</w:t>
      </w:r>
      <w:r>
        <w:rPr>
          <w:rFonts w:hint="eastAsia" w:ascii="宋体" w:hAnsi="宋体" w:cs="宋体"/>
          <w:sz w:val="28"/>
          <w:szCs w:val="28"/>
          <w:lang w:val="zh-CN"/>
        </w:rPr>
        <w:t>.推荐并确定中标人</w:t>
      </w:r>
      <w:bookmarkEnd w:id="37"/>
    </w:p>
    <w:p>
      <w:pPr>
        <w:autoSpaceDE w:val="0"/>
        <w:autoSpaceDN w:val="0"/>
        <w:spacing w:line="360" w:lineRule="auto"/>
        <w:ind w:firstLine="480" w:firstLineChars="200"/>
        <w:rPr>
          <w:rFonts w:ascii="宋体" w:hAnsi="宋体" w:cs="宋体"/>
        </w:rPr>
      </w:pPr>
      <w:r>
        <w:rPr>
          <w:rFonts w:hint="eastAsia" w:ascii="宋体" w:hAnsi="宋体" w:cs="宋体"/>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rPr>
      </w:pPr>
      <w:r>
        <w:rPr>
          <w:rFonts w:hint="eastAsia" w:ascii="宋体" w:hAnsi="宋体" w:cs="宋体"/>
        </w:rPr>
        <w:t>21.2 采购人自行组织招标的，应当在评标结束后5个工作日内确定中标人。</w:t>
      </w:r>
    </w:p>
    <w:p>
      <w:pPr>
        <w:autoSpaceDE w:val="0"/>
        <w:autoSpaceDN w:val="0"/>
        <w:spacing w:line="360" w:lineRule="auto"/>
        <w:ind w:firstLine="480" w:firstLineChars="200"/>
        <w:rPr>
          <w:rFonts w:ascii="宋体" w:hAnsi="宋体" w:cs="宋体"/>
        </w:rPr>
      </w:pPr>
      <w:r>
        <w:rPr>
          <w:rFonts w:hint="eastAsia" w:ascii="宋体" w:hAnsi="宋体" w:cs="宋体"/>
        </w:rPr>
        <w:t>21.3 采购人在收到评标报告</w:t>
      </w:r>
      <w:r>
        <w:rPr>
          <w:rFonts w:ascii="宋体" w:hAnsi="宋体" w:cs="宋体"/>
        </w:rPr>
        <w:t>5</w:t>
      </w:r>
      <w:r>
        <w:rPr>
          <w:rFonts w:hint="eastAsia" w:ascii="宋体" w:hAnsi="宋体" w:cs="宋体"/>
        </w:rPr>
        <w:t>个工作日内未按评标报告推荐的中标候选人顺序确定中标人，又不能说明合法理由的，视同按评标报告推荐的顺序确定排名第一的中标候选人为中标人。</w:t>
      </w:r>
    </w:p>
    <w:p>
      <w:pPr>
        <w:pStyle w:val="15"/>
        <w:spacing w:before="0" w:after="0" w:line="360" w:lineRule="auto"/>
        <w:jc w:val="left"/>
        <w:rPr>
          <w:rFonts w:ascii="宋体" w:hAnsi="宋体" w:cs="宋体"/>
          <w:lang w:val="zh-CN"/>
        </w:rPr>
      </w:pPr>
      <w:bookmarkStart w:id="38" w:name="_Toc5440"/>
      <w:r>
        <w:rPr>
          <w:rFonts w:hint="eastAsia" w:ascii="宋体" w:hAnsi="宋体" w:cs="宋体"/>
          <w:sz w:val="28"/>
          <w:szCs w:val="28"/>
          <w:lang w:val="zh-CN"/>
        </w:rPr>
        <w:t>2</w:t>
      </w:r>
      <w:r>
        <w:rPr>
          <w:rFonts w:hint="eastAsia" w:ascii="宋体" w:hAnsi="宋体" w:cs="宋体"/>
          <w:sz w:val="28"/>
          <w:szCs w:val="28"/>
        </w:rPr>
        <w:t>2</w:t>
      </w:r>
      <w:r>
        <w:rPr>
          <w:rFonts w:hint="eastAsia" w:ascii="宋体" w:hAnsi="宋体" w:cs="宋体"/>
          <w:sz w:val="28"/>
          <w:szCs w:val="28"/>
          <w:lang w:val="zh-CN"/>
        </w:rPr>
        <w:t>.中标通知</w:t>
      </w:r>
      <w:bookmarkEnd w:id="38"/>
    </w:p>
    <w:p>
      <w:pPr>
        <w:autoSpaceDE w:val="0"/>
        <w:autoSpaceDN w:val="0"/>
        <w:spacing w:line="360" w:lineRule="auto"/>
        <w:ind w:firstLine="480" w:firstLineChars="200"/>
        <w:rPr>
          <w:rFonts w:ascii="宋体" w:hAnsi="宋体" w:cs="宋体"/>
          <w:kern w:val="0"/>
        </w:rPr>
      </w:pPr>
      <w:r>
        <w:rPr>
          <w:rFonts w:hint="eastAsia" w:ascii="宋体" w:hAnsi="宋体" w:cs="宋体"/>
          <w:kern w:val="0"/>
        </w:rPr>
        <w:t>22.1 采购人或者采购代理机构应当自中标人确定之日起2个工作日内，在省级以上财政部门指定的媒体上公告中标结果，招标文件应当随中标结果同时公告。</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22.3 中标公告期限为1个工作日。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22.4 在公告中标结果的同时，采购人或者采购代理机构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22.5 中标通知书发出后，采购人不得违法改变中标结果，中标人无正当理由不得放弃中标。</w:t>
      </w:r>
    </w:p>
    <w:p>
      <w:pPr>
        <w:pStyle w:val="15"/>
        <w:spacing w:before="0" w:after="0" w:line="360" w:lineRule="auto"/>
        <w:rPr>
          <w:rFonts w:ascii="宋体" w:hAnsi="宋体" w:cs="宋体"/>
          <w:lang w:val="zh-CN"/>
        </w:rPr>
      </w:pPr>
      <w:bookmarkStart w:id="39" w:name="_Toc6909"/>
      <w:r>
        <w:rPr>
          <w:rFonts w:hint="eastAsia" w:ascii="宋体" w:hAnsi="宋体" w:cs="宋体"/>
          <w:lang w:val="zh-CN"/>
        </w:rPr>
        <w:t>九、授予合同</w:t>
      </w:r>
      <w:bookmarkEnd w:id="39"/>
    </w:p>
    <w:p>
      <w:pPr>
        <w:pStyle w:val="15"/>
        <w:spacing w:before="0" w:after="0" w:line="360" w:lineRule="auto"/>
        <w:jc w:val="left"/>
        <w:rPr>
          <w:rFonts w:ascii="宋体" w:hAnsi="宋体" w:cs="宋体"/>
          <w:kern w:val="0"/>
          <w:sz w:val="24"/>
        </w:rPr>
      </w:pPr>
      <w:bookmarkStart w:id="40" w:name="_Toc27720"/>
      <w:r>
        <w:rPr>
          <w:rFonts w:hint="eastAsia" w:ascii="宋体" w:hAnsi="宋体" w:cs="宋体"/>
          <w:sz w:val="28"/>
          <w:szCs w:val="28"/>
          <w:lang w:val="zh-CN"/>
        </w:rPr>
        <w:t>2</w:t>
      </w:r>
      <w:r>
        <w:rPr>
          <w:rFonts w:hint="eastAsia" w:ascii="宋体" w:hAnsi="宋体" w:cs="宋体"/>
          <w:sz w:val="28"/>
          <w:szCs w:val="28"/>
        </w:rPr>
        <w:t>3</w:t>
      </w:r>
      <w:r>
        <w:rPr>
          <w:rFonts w:hint="eastAsia" w:ascii="宋体" w:hAnsi="宋体" w:cs="宋体"/>
          <w:sz w:val="28"/>
          <w:szCs w:val="28"/>
          <w:lang w:val="zh-CN"/>
        </w:rPr>
        <w:t>.签订合同</w:t>
      </w:r>
      <w:bookmarkEnd w:id="40"/>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.4</w:t>
      </w:r>
      <w:r>
        <w:rPr>
          <w:rFonts w:hint="eastAsia" w:ascii="宋体" w:hAnsi="宋体" w:cs="宋体"/>
          <w:kern w:val="0"/>
        </w:rPr>
        <w:t xml:space="preserve"> </w:t>
      </w:r>
      <w:r>
        <w:rPr>
          <w:rFonts w:hint="eastAsia" w:ascii="宋体" w:hAnsi="宋体" w:cs="宋体"/>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23.7 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23.8 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23.9 采购人、采购代理机构应当建立真实完整的招标采购档案，妥善保存每项采购活动的采购文件。</w:t>
      </w:r>
    </w:p>
    <w:p>
      <w:pPr>
        <w:pStyle w:val="15"/>
        <w:spacing w:before="0" w:after="0" w:line="360" w:lineRule="auto"/>
        <w:rPr>
          <w:rFonts w:ascii="宋体" w:hAnsi="宋体" w:cs="宋体"/>
          <w:lang w:val="zh-CN"/>
        </w:rPr>
      </w:pPr>
      <w:bookmarkStart w:id="41" w:name="_Toc16722"/>
      <w:r>
        <w:rPr>
          <w:rFonts w:hint="eastAsia" w:ascii="宋体" w:hAnsi="宋体" w:cs="宋体"/>
          <w:lang w:val="zh-CN"/>
        </w:rPr>
        <w:t>十、其他</w:t>
      </w:r>
      <w:bookmarkEnd w:id="41"/>
    </w:p>
    <w:p>
      <w:pPr>
        <w:pStyle w:val="15"/>
        <w:spacing w:before="0" w:after="0" w:line="360" w:lineRule="auto"/>
        <w:jc w:val="left"/>
        <w:rPr>
          <w:rFonts w:ascii="宋体" w:hAnsi="宋体" w:cs="宋体"/>
          <w:sz w:val="28"/>
          <w:szCs w:val="28"/>
        </w:rPr>
      </w:pPr>
      <w:bookmarkStart w:id="42" w:name="_Toc22050"/>
      <w:bookmarkStart w:id="43" w:name="_Toc515908202"/>
      <w:r>
        <w:rPr>
          <w:rFonts w:hint="eastAsia" w:ascii="宋体" w:hAnsi="宋体" w:cs="宋体"/>
          <w:sz w:val="28"/>
          <w:szCs w:val="28"/>
        </w:rPr>
        <w:t>2</w:t>
      </w:r>
      <w:r>
        <w:rPr>
          <w:rFonts w:ascii="宋体" w:hAnsi="宋体" w:cs="宋体"/>
          <w:sz w:val="28"/>
          <w:szCs w:val="28"/>
        </w:rPr>
        <w:t>4</w:t>
      </w:r>
      <w:r>
        <w:rPr>
          <w:rFonts w:hint="eastAsia" w:ascii="宋体" w:hAnsi="宋体" w:cs="宋体"/>
          <w:sz w:val="28"/>
          <w:szCs w:val="28"/>
        </w:rPr>
        <w:t>. 串通投标的情形</w:t>
      </w:r>
      <w:bookmarkEnd w:id="42"/>
      <w:bookmarkEnd w:id="43"/>
    </w:p>
    <w:p>
      <w:pPr>
        <w:autoSpaceDE w:val="0"/>
        <w:autoSpaceDN w:val="0"/>
        <w:spacing w:line="360" w:lineRule="auto"/>
        <w:ind w:firstLine="480" w:firstLineChars="200"/>
        <w:rPr>
          <w:rFonts w:ascii="宋体" w:hAnsi="宋体" w:cs="宋体"/>
          <w:kern w:val="0"/>
        </w:rPr>
      </w:pPr>
      <w:r>
        <w:rPr>
          <w:rFonts w:hint="eastAsia" w:ascii="宋体" w:hAnsi="宋体" w:cs="宋体"/>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24.2</w:t>
      </w:r>
      <w:r>
        <w:rPr>
          <w:rFonts w:ascii="宋体" w:hAnsi="宋体" w:cs="宋体"/>
          <w:kern w:val="0"/>
        </w:rPr>
        <w:t xml:space="preserve"> </w:t>
      </w:r>
      <w:r>
        <w:rPr>
          <w:rFonts w:hint="eastAsia" w:ascii="宋体" w:hAnsi="宋体" w:cs="宋体"/>
          <w:kern w:val="0"/>
        </w:rPr>
        <w:t>有下列情形之一的，视为投标人串通投标，其投标无效：</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pStyle w:val="15"/>
        <w:spacing w:before="0" w:after="0" w:line="360" w:lineRule="auto"/>
        <w:jc w:val="both"/>
        <w:rPr>
          <w:rFonts w:ascii="宋体" w:hAnsi="宋体" w:cs="宋体"/>
          <w:sz w:val="28"/>
          <w:szCs w:val="28"/>
        </w:rPr>
      </w:pPr>
      <w:bookmarkStart w:id="44" w:name="_Toc515908203"/>
      <w:bookmarkStart w:id="45" w:name="_Toc20444"/>
      <w:r>
        <w:rPr>
          <w:rFonts w:hint="eastAsia" w:ascii="宋体" w:hAnsi="宋体" w:cs="宋体"/>
          <w:sz w:val="28"/>
          <w:szCs w:val="28"/>
        </w:rPr>
        <w:t>2</w:t>
      </w:r>
      <w:r>
        <w:rPr>
          <w:rFonts w:ascii="宋体" w:hAnsi="宋体" w:cs="宋体"/>
          <w:sz w:val="28"/>
          <w:szCs w:val="28"/>
        </w:rPr>
        <w:t>5</w:t>
      </w:r>
      <w:r>
        <w:rPr>
          <w:rFonts w:hint="eastAsia" w:ascii="宋体" w:hAnsi="宋体" w:cs="宋体"/>
          <w:sz w:val="28"/>
          <w:szCs w:val="28"/>
        </w:rPr>
        <w:t>. 废标</w:t>
      </w:r>
      <w:bookmarkEnd w:id="44"/>
      <w:bookmarkEnd w:id="45"/>
    </w:p>
    <w:p>
      <w:pPr>
        <w:autoSpaceDE w:val="0"/>
        <w:autoSpaceDN w:val="0"/>
        <w:spacing w:line="360" w:lineRule="auto"/>
        <w:ind w:firstLine="480" w:firstLineChars="200"/>
        <w:rPr>
          <w:rFonts w:ascii="宋体" w:hAnsi="宋体" w:cs="宋体"/>
          <w:kern w:val="0"/>
        </w:rPr>
      </w:pPr>
      <w:r>
        <w:rPr>
          <w:rFonts w:hint="eastAsia" w:ascii="宋体" w:hAnsi="宋体" w:cs="宋体"/>
          <w:kern w:val="0"/>
        </w:rPr>
        <w:t>25.1</w:t>
      </w:r>
      <w:r>
        <w:rPr>
          <w:rFonts w:ascii="宋体" w:hAnsi="宋体" w:cs="宋体"/>
          <w:kern w:val="0"/>
        </w:rPr>
        <w:t xml:space="preserve"> </w:t>
      </w:r>
      <w:r>
        <w:rPr>
          <w:rFonts w:hint="eastAsia" w:ascii="宋体" w:hAnsi="宋体" w:cs="宋体"/>
          <w:kern w:val="0"/>
        </w:rPr>
        <w:t>在招标采购中，出现下列情形之一的，应予废标：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（2）出现影响采购公正的违法、违规行为的。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（3）投标人的报价均超出采购预算，采购人不能支付的。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（4）因重大变故，采购任务取消的。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废标后，由采购人或者采购代理机构发布废标公告。</w:t>
      </w:r>
    </w:p>
    <w:p>
      <w:pPr>
        <w:autoSpaceDE w:val="0"/>
        <w:autoSpaceDN w:val="0"/>
        <w:spacing w:line="360" w:lineRule="auto"/>
        <w:ind w:firstLine="480" w:firstLineChars="200"/>
        <w:rPr>
          <w:rFonts w:ascii="宋体" w:hAnsi="宋体" w:cs="宋体"/>
          <w:kern w:val="0"/>
        </w:rPr>
      </w:pPr>
      <w:r>
        <w:rPr>
          <w:rFonts w:ascii="宋体" w:hAnsi="宋体" w:cs="宋体"/>
          <w:kern w:val="0"/>
        </w:rPr>
        <w:t xml:space="preserve">25.2 </w:t>
      </w:r>
      <w:r>
        <w:rPr>
          <w:rFonts w:hint="eastAsia" w:ascii="宋体" w:hAnsi="宋体" w:cs="宋体"/>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pStyle w:val="15"/>
        <w:spacing w:before="0" w:after="0" w:line="360" w:lineRule="auto"/>
        <w:jc w:val="left"/>
        <w:rPr>
          <w:rFonts w:ascii="宋体" w:hAnsi="宋体" w:cs="宋体"/>
          <w:sz w:val="28"/>
          <w:szCs w:val="28"/>
        </w:rPr>
      </w:pPr>
      <w:bookmarkStart w:id="46" w:name="_Toc7773"/>
      <w:bookmarkStart w:id="47" w:name="_Toc515908204"/>
      <w:r>
        <w:rPr>
          <w:rFonts w:hint="eastAsia" w:ascii="宋体" w:hAnsi="宋体" w:cs="宋体"/>
          <w:sz w:val="28"/>
          <w:szCs w:val="28"/>
        </w:rPr>
        <w:t>2</w:t>
      </w:r>
      <w:r>
        <w:rPr>
          <w:rFonts w:ascii="宋体" w:hAnsi="宋体" w:cs="宋体"/>
          <w:sz w:val="28"/>
          <w:szCs w:val="28"/>
        </w:rPr>
        <w:t>6</w:t>
      </w:r>
      <w:r>
        <w:rPr>
          <w:rFonts w:hint="eastAsia" w:ascii="宋体" w:hAnsi="宋体" w:cs="宋体"/>
          <w:sz w:val="28"/>
          <w:szCs w:val="28"/>
        </w:rPr>
        <w:t>. 中标服务费</w:t>
      </w:r>
      <w:bookmarkEnd w:id="46"/>
      <w:bookmarkEnd w:id="47"/>
    </w:p>
    <w:p>
      <w:pPr>
        <w:autoSpaceDE w:val="0"/>
        <w:autoSpaceDN w:val="0"/>
        <w:spacing w:line="360" w:lineRule="auto"/>
        <w:ind w:firstLine="480" w:firstLineChars="200"/>
        <w:jc w:val="left"/>
        <w:rPr>
          <w:rFonts w:ascii="宋体" w:hAnsi="宋体" w:cs="宋体"/>
          <w:color w:val="auto"/>
          <w:kern w:val="0"/>
          <w:lang w:val="zh-CN"/>
        </w:rPr>
      </w:pPr>
      <w:r>
        <w:rPr>
          <w:rFonts w:hint="eastAsia" w:ascii="宋体" w:hAnsi="宋体" w:cs="宋体"/>
          <w:color w:val="auto"/>
          <w:kern w:val="0"/>
          <w:lang w:val="zh-CN"/>
        </w:rPr>
        <w:t>26.1 收取对象：</w:t>
      </w:r>
      <w:r>
        <w:rPr>
          <w:rFonts w:hint="eastAsia" w:ascii="宋体" w:hAnsi="宋体" w:cs="宋体"/>
          <w:color w:val="auto"/>
          <w:kern w:val="0"/>
          <w:u w:val="dashDotDotHeavy"/>
          <w:lang w:val="zh-CN"/>
        </w:rPr>
        <w:t>中标人</w:t>
      </w:r>
      <w:r>
        <w:rPr>
          <w:rFonts w:hint="eastAsia" w:ascii="宋体" w:hAnsi="宋体" w:cs="宋体"/>
          <w:color w:val="auto"/>
          <w:kern w:val="0"/>
          <w:lang w:val="zh-CN"/>
        </w:rPr>
        <w:t>。</w:t>
      </w:r>
    </w:p>
    <w:p>
      <w:pPr>
        <w:autoSpaceDE w:val="0"/>
        <w:autoSpaceDN w:val="0"/>
        <w:spacing w:line="360" w:lineRule="auto"/>
        <w:ind w:firstLine="480" w:firstLineChars="200"/>
        <w:jc w:val="left"/>
        <w:rPr>
          <w:rFonts w:ascii="宋体" w:hAnsi="宋体" w:cs="宋体"/>
          <w:b/>
          <w:bCs/>
          <w:sz w:val="36"/>
          <w:szCs w:val="32"/>
          <w:lang w:val="zh-CN"/>
        </w:rPr>
      </w:pPr>
      <w:r>
        <w:rPr>
          <w:rFonts w:ascii="宋体" w:hAnsi="宋体" w:cs="宋体"/>
          <w:color w:val="auto"/>
          <w:kern w:val="0"/>
        </w:rPr>
        <w:t xml:space="preserve">26.2 </w:t>
      </w:r>
      <w:r>
        <w:rPr>
          <w:rFonts w:hint="eastAsia" w:ascii="宋体" w:hAnsi="宋体" w:cs="宋体"/>
          <w:color w:val="auto"/>
          <w:kern w:val="0"/>
          <w:lang w:val="zh-CN"/>
        </w:rPr>
        <w:t>收费金额：</w:t>
      </w:r>
      <w:r>
        <w:rPr>
          <w:rFonts w:hint="eastAsia" w:ascii="宋体" w:hAnsi="宋体" w:cs="宋体"/>
          <w:color w:val="auto"/>
          <w:kern w:val="0"/>
        </w:rPr>
        <w:t>根据</w:t>
      </w:r>
      <w:r>
        <w:rPr>
          <w:rFonts w:hint="eastAsia" w:ascii="宋体" w:hAnsi="宋体" w:cs="宋体"/>
          <w:color w:val="auto"/>
          <w:kern w:val="0"/>
          <w:lang w:val="zh-CN"/>
        </w:rPr>
        <w:t>《</w:t>
      </w:r>
      <w:r>
        <w:rPr>
          <w:rFonts w:hint="eastAsia" w:ascii="宋体" w:hAnsi="宋体" w:cs="宋体"/>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kern w:val="0"/>
        </w:rPr>
        <w:t>。</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15"/>
        <w:spacing w:before="0" w:after="0" w:line="360" w:lineRule="auto"/>
        <w:jc w:val="left"/>
        <w:rPr>
          <w:rFonts w:hint="eastAsia" w:ascii="宋体" w:hAnsi="宋体" w:cs="宋体"/>
          <w:sz w:val="28"/>
          <w:szCs w:val="28"/>
          <w:lang w:eastAsia="zh-CN"/>
        </w:rPr>
      </w:pPr>
      <w:r>
        <w:rPr>
          <w:rFonts w:hint="eastAsia" w:ascii="宋体" w:hAnsi="宋体" w:cs="宋体"/>
          <w:sz w:val="28"/>
          <w:szCs w:val="28"/>
        </w:rPr>
        <w:t>2</w:t>
      </w:r>
      <w:r>
        <w:rPr>
          <w:rFonts w:hint="eastAsia" w:ascii="宋体" w:hAnsi="宋体" w:cs="宋体"/>
          <w:sz w:val="28"/>
          <w:szCs w:val="28"/>
          <w:lang w:val="en-US" w:eastAsia="zh-CN"/>
        </w:rPr>
        <w:t>7</w:t>
      </w:r>
      <w:r>
        <w:rPr>
          <w:rFonts w:hint="eastAsia" w:ascii="宋体" w:hAnsi="宋体" w:cs="宋体"/>
          <w:sz w:val="28"/>
          <w:szCs w:val="28"/>
        </w:rPr>
        <w:t>.</w:t>
      </w:r>
      <w:r>
        <w:rPr>
          <w:rFonts w:hint="eastAsia" w:ascii="宋体" w:hAnsi="宋体" w:cs="宋体"/>
          <w:sz w:val="28"/>
          <w:szCs w:val="28"/>
          <w:lang w:eastAsia="zh-CN"/>
        </w:rPr>
        <w:t>其它事项</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highlight w:val="none"/>
          <w:lang w:val="en-US" w:eastAsia="zh-CN"/>
        </w:rPr>
        <w:t>27.1其它：本项目在招标中所未尽事宜在采购结果确认谈判工作中进行谈判确定或由招标人与中标人在签订合同时沟通协商解决。</w:t>
      </w:r>
    </w:p>
    <w:p>
      <w:pPr>
        <w:autoSpaceDE w:val="0"/>
        <w:autoSpaceDN w:val="0"/>
        <w:spacing w:line="360" w:lineRule="auto"/>
        <w:ind w:firstLine="480" w:firstLineChars="200"/>
        <w:rPr>
          <w:rFonts w:hint="eastAsia" w:ascii="宋体" w:hAnsi="宋体" w:cs="宋体"/>
          <w:kern w:val="0"/>
          <w:lang w:val="zh-CN"/>
        </w:rPr>
      </w:pPr>
    </w:p>
    <w:p>
      <w:pPr>
        <w:autoSpaceDE w:val="0"/>
        <w:autoSpaceDN w:val="0"/>
        <w:spacing w:line="360" w:lineRule="auto"/>
        <w:ind w:firstLine="480" w:firstLineChars="200"/>
        <w:rPr>
          <w:rFonts w:hint="eastAsia" w:ascii="宋体" w:hAnsi="宋体" w:cs="宋体"/>
          <w:kern w:val="0"/>
          <w:lang w:val="zh-CN"/>
        </w:rPr>
      </w:pPr>
    </w:p>
    <w:p>
      <w:pPr>
        <w:autoSpaceDE w:val="0"/>
        <w:autoSpaceDN w:val="0"/>
        <w:spacing w:line="360" w:lineRule="auto"/>
        <w:ind w:firstLine="480" w:firstLineChars="200"/>
        <w:rPr>
          <w:rFonts w:hint="eastAsia" w:ascii="宋体" w:hAnsi="宋体" w:cs="宋体"/>
          <w:kern w:val="0"/>
          <w:lang w:val="zh-CN"/>
        </w:rPr>
      </w:pPr>
    </w:p>
    <w:p>
      <w:pPr>
        <w:autoSpaceDE w:val="0"/>
        <w:autoSpaceDN w:val="0"/>
        <w:spacing w:line="360" w:lineRule="auto"/>
        <w:ind w:firstLine="480" w:firstLineChars="200"/>
        <w:rPr>
          <w:rFonts w:hint="eastAsia" w:ascii="宋体" w:hAnsi="宋体" w:cs="宋体"/>
          <w:kern w:val="0"/>
          <w:lang w:val="zh-CN"/>
        </w:rPr>
      </w:pPr>
    </w:p>
    <w:p>
      <w:pPr>
        <w:pStyle w:val="15"/>
        <w:spacing w:before="0" w:after="0" w:line="360" w:lineRule="auto"/>
        <w:jc w:val="both"/>
        <w:rPr>
          <w:rFonts w:hint="eastAsia" w:ascii="宋体" w:hAnsi="宋体" w:cs="宋体"/>
          <w:szCs w:val="36"/>
          <w:lang w:val="zh-CN"/>
        </w:rPr>
      </w:pPr>
      <w:r>
        <w:rPr>
          <w:rFonts w:hint="eastAsia" w:ascii="宋体" w:hAnsi="宋体" w:cs="宋体"/>
          <w:szCs w:val="36"/>
          <w:lang w:val="zh-CN"/>
        </w:rPr>
        <w:br w:type="page"/>
      </w:r>
    </w:p>
    <w:p>
      <w:pPr>
        <w:pStyle w:val="15"/>
        <w:spacing w:before="0" w:after="0" w:line="360" w:lineRule="auto"/>
        <w:rPr>
          <w:rFonts w:ascii="宋体" w:hAnsi="宋体" w:cs="宋体"/>
          <w:b w:val="0"/>
          <w:bCs w:val="0"/>
          <w:szCs w:val="36"/>
          <w:lang w:val="zh-CN"/>
        </w:rPr>
      </w:pPr>
      <w:bookmarkStart w:id="48" w:name="_Toc4926"/>
      <w:r>
        <w:rPr>
          <w:rFonts w:hint="eastAsia" w:ascii="宋体" w:hAnsi="宋体" w:cs="宋体"/>
          <w:szCs w:val="36"/>
          <w:lang w:val="zh-CN"/>
        </w:rPr>
        <w:t xml:space="preserve">第三部分 </w:t>
      </w:r>
      <w:r>
        <w:rPr>
          <w:rFonts w:hint="eastAsia" w:ascii="宋体" w:hAnsi="宋体" w:cs="宋体"/>
          <w:szCs w:val="36"/>
        </w:rPr>
        <w:t xml:space="preserve"> </w:t>
      </w:r>
      <w:r>
        <w:rPr>
          <w:rFonts w:hint="eastAsia"/>
          <w:lang w:val="zh-CN"/>
        </w:rPr>
        <w:t>PPP框架协议</w:t>
      </w:r>
      <w:r>
        <w:rPr>
          <w:rFonts w:hint="eastAsia"/>
        </w:rPr>
        <w:t>（草案）</w:t>
      </w:r>
      <w:bookmarkEnd w:id="48"/>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bookmarkStart w:id="49" w:name="_Toc18568684"/>
      <w:bookmarkStart w:id="50" w:name="_Toc18074973"/>
      <w:bookmarkStart w:id="51" w:name="_Toc18568461"/>
      <w:bookmarkStart w:id="52" w:name="_Toc6427"/>
      <w:r>
        <w:rPr>
          <w:rStyle w:val="18"/>
          <w:rFonts w:ascii="宋体" w:hAnsi="宋体"/>
          <w:b/>
          <w:bCs/>
          <w:i w:val="0"/>
          <w:iCs w:val="0"/>
          <w:sz w:val="24"/>
          <w:szCs w:val="24"/>
        </w:rPr>
        <w:t>甲方：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法定代表人：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8"/>
          <w:rFonts w:ascii="宋体" w:hAnsi="宋体"/>
          <w:b/>
          <w:bCs/>
          <w:i w:val="0"/>
          <w:iCs w:val="0"/>
          <w:sz w:val="24"/>
          <w:szCs w:val="24"/>
        </w:rPr>
        <w:t>乙方：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法定代表人：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      </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鉴于：</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 xml:space="preserve">（1）根据 </w:t>
      </w:r>
      <w:r>
        <w:rPr>
          <w:rFonts w:ascii="宋体" w:hAnsi="宋体"/>
          <w:sz w:val="24"/>
          <w:szCs w:val="24"/>
          <w:u w:val="single"/>
        </w:rPr>
        <w:t>                    </w:t>
      </w:r>
      <w:r>
        <w:rPr>
          <w:rFonts w:ascii="宋体" w:hAnsi="宋体"/>
          <w:sz w:val="24"/>
          <w:szCs w:val="24"/>
        </w:rPr>
        <w:t> （政府授权文件名称及文号），</w:t>
      </w:r>
      <w:r>
        <w:rPr>
          <w:rFonts w:ascii="宋体" w:hAnsi="宋体"/>
          <w:sz w:val="24"/>
          <w:szCs w:val="24"/>
          <w:u w:val="single"/>
        </w:rPr>
        <w:t>                    </w:t>
      </w:r>
      <w:r>
        <w:rPr>
          <w:rFonts w:ascii="宋体" w:hAnsi="宋体"/>
          <w:sz w:val="24"/>
          <w:szCs w:val="24"/>
        </w:rPr>
        <w:t> 政府授权甲方作为政府主体（即项目实施机构）负责</w:t>
      </w:r>
      <w:r>
        <w:rPr>
          <w:rFonts w:ascii="宋体" w:hAnsi="宋体"/>
          <w:sz w:val="24"/>
          <w:szCs w:val="24"/>
          <w:u w:val="single"/>
        </w:rPr>
        <w:t>                    </w:t>
      </w:r>
      <w:r>
        <w:rPr>
          <w:rFonts w:ascii="宋体" w:hAnsi="宋体"/>
          <w:sz w:val="24"/>
          <w:szCs w:val="24"/>
        </w:rPr>
        <w:t> 项目（“本项目”）的实施，已通过物有所值评估和财政可承受能力论证；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（2）为了有效地解决本项目的资金问题，缓解政府财政压力，同时也为了有效地控制本项目的成本、进度、质量，就本项目的专营权面向社会投资者实施政府采购；</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（3）经过合法、合规的政府采购程序，确定由</w:t>
      </w:r>
      <w:r>
        <w:rPr>
          <w:rFonts w:ascii="宋体" w:hAnsi="宋体"/>
          <w:sz w:val="24"/>
          <w:szCs w:val="24"/>
          <w:u w:val="single"/>
        </w:rPr>
        <w:t>                    </w:t>
      </w:r>
      <w:r>
        <w:rPr>
          <w:rFonts w:ascii="宋体" w:hAnsi="宋体"/>
          <w:sz w:val="24"/>
          <w:szCs w:val="24"/>
        </w:rPr>
        <w:t> （填写代表社会投资者出资的主体或者代表政府方出资的主体与代表社会投资者出资的主体共同出资组建的项目公司全称）（即本协议项下的乙方）作为中标人，负责本项目的融资建设及运营维护，以</w:t>
      </w:r>
      <w:r>
        <w:rPr>
          <w:rFonts w:ascii="宋体" w:hAnsi="宋体"/>
          <w:sz w:val="24"/>
          <w:szCs w:val="24"/>
          <w:u w:val="single"/>
        </w:rPr>
        <w:t>        </w:t>
      </w:r>
      <w:r>
        <w:rPr>
          <w:rFonts w:ascii="宋体" w:hAnsi="宋体"/>
          <w:sz w:val="24"/>
          <w:szCs w:val="24"/>
        </w:rPr>
        <w:t> 年的运营收益和政府专营补贴作为投资回报。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依照《合同法》、《政府采购法》、《招标投标法》以及其他有关法律、法规，遵循平等、自愿、公平和诚实信用的原则，甲乙双方就本项目有关事项协商一致，订立本协议，以昭信守。</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Style w:val="17"/>
          <w:rFonts w:hint="eastAsia" w:ascii="宋体" w:hAnsi="宋体" w:eastAsia="宋体" w:cs="宋体"/>
          <w:b/>
          <w:bCs w:val="0"/>
          <w:sz w:val="24"/>
          <w:szCs w:val="24"/>
        </w:rPr>
        <w:t>第一章</w:t>
      </w:r>
      <w:r>
        <w:rPr>
          <w:rStyle w:val="17"/>
          <w:rFonts w:ascii="宋体" w:hAnsi="宋体" w:eastAsia="Times New Roman"/>
          <w:b/>
          <w:bCs w:val="0"/>
          <w:sz w:val="24"/>
          <w:szCs w:val="24"/>
        </w:rPr>
        <w:t xml:space="preserve"> </w:t>
      </w:r>
      <w:r>
        <w:rPr>
          <w:rStyle w:val="17"/>
          <w:rFonts w:hint="eastAsia" w:ascii="宋体" w:hAnsi="宋体" w:eastAsia="宋体" w:cs="宋体"/>
          <w:b/>
          <w:bCs w:val="0"/>
          <w:sz w:val="24"/>
          <w:szCs w:val="24"/>
        </w:rPr>
        <w:t>总</w:t>
      </w:r>
      <w:r>
        <w:rPr>
          <w:rStyle w:val="17"/>
          <w:rFonts w:ascii="宋体" w:hAnsi="宋体" w:eastAsia="Times New Roman"/>
          <w:b/>
          <w:bCs w:val="0"/>
          <w:sz w:val="24"/>
          <w:szCs w:val="24"/>
        </w:rPr>
        <w:t xml:space="preserve"> </w:t>
      </w:r>
      <w:r>
        <w:rPr>
          <w:rStyle w:val="17"/>
          <w:rFonts w:hint="eastAsia" w:ascii="宋体" w:hAnsi="宋体" w:eastAsia="宋体" w:cs="宋体"/>
          <w:b/>
          <w:bCs w:val="0"/>
          <w:sz w:val="24"/>
          <w:szCs w:val="24"/>
        </w:rPr>
        <w:t>则</w:t>
      </w:r>
      <w:r>
        <w:rPr>
          <w:rStyle w:val="17"/>
          <w:rFonts w:ascii="Cambria" w:hAnsi="Cambria" w:eastAsia="Times New Roman" w:cs="Cambria"/>
          <w:b/>
          <w:bCs w:val="0"/>
          <w:sz w:val="24"/>
          <w:szCs w:val="24"/>
        </w:rPr>
        <w:t> </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第一条  定义和解释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1、定义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（1）“本项目”：指</w:t>
      </w:r>
      <w:r>
        <w:rPr>
          <w:rFonts w:ascii="宋体" w:hAnsi="宋体"/>
          <w:sz w:val="24"/>
          <w:szCs w:val="24"/>
          <w:u w:val="single"/>
        </w:rPr>
        <w:t>                    </w:t>
      </w:r>
      <w:r>
        <w:rPr>
          <w:rFonts w:ascii="宋体" w:hAnsi="宋体"/>
          <w:sz w:val="24"/>
          <w:szCs w:val="24"/>
        </w:rPr>
        <w:t> 项目；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（2）“本协议”：指甲方与乙方就本项目所签署的PPP协议；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w:t>
      </w:r>
      <w:r>
        <w:rPr>
          <w:rFonts w:ascii="宋体" w:hAnsi="宋体"/>
          <w:sz w:val="24"/>
          <w:szCs w:val="24"/>
          <w:u w:val="single"/>
        </w:rPr>
        <w:t>                    </w:t>
      </w:r>
      <w:r>
        <w:rPr>
          <w:rFonts w:ascii="宋体" w:hAnsi="宋体"/>
          <w:sz w:val="24"/>
          <w:szCs w:val="24"/>
        </w:rPr>
        <w:t> 政府”：指</w:t>
      </w:r>
      <w:r>
        <w:rPr>
          <w:rFonts w:ascii="宋体" w:hAnsi="宋体"/>
          <w:sz w:val="24"/>
          <w:szCs w:val="24"/>
          <w:u w:val="single"/>
        </w:rPr>
        <w:t>                    </w:t>
      </w:r>
      <w:r>
        <w:rPr>
          <w:rFonts w:ascii="宋体" w:hAnsi="宋体"/>
          <w:sz w:val="24"/>
          <w:szCs w:val="24"/>
        </w:rPr>
        <w:t> 人民政府；</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（4）“政府主体”：指经</w:t>
      </w:r>
      <w:r>
        <w:rPr>
          <w:rFonts w:ascii="宋体" w:hAnsi="宋体"/>
          <w:sz w:val="24"/>
          <w:szCs w:val="24"/>
          <w:u w:val="single"/>
        </w:rPr>
        <w:t>                    </w:t>
      </w:r>
      <w:r>
        <w:rPr>
          <w:rFonts w:ascii="宋体" w:hAnsi="宋体"/>
          <w:sz w:val="24"/>
          <w:szCs w:val="24"/>
        </w:rPr>
        <w:t> 政府授权作为本项目实施机构的</w:t>
      </w:r>
      <w:r>
        <w:rPr>
          <w:rFonts w:ascii="宋体" w:hAnsi="宋体"/>
          <w:sz w:val="24"/>
          <w:szCs w:val="24"/>
          <w:u w:val="single"/>
        </w:rPr>
        <w:t>                    </w:t>
      </w:r>
      <w:r>
        <w:rPr>
          <w:rFonts w:ascii="宋体" w:hAnsi="宋体"/>
          <w:sz w:val="24"/>
          <w:szCs w:val="24"/>
        </w:rPr>
        <w:t> （即本协议项下的甲方）；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（5）“项目公司”：指经政府主体依法确定的中标人</w:t>
      </w:r>
      <w:r>
        <w:rPr>
          <w:rFonts w:ascii="宋体" w:hAnsi="宋体"/>
          <w:sz w:val="24"/>
          <w:szCs w:val="24"/>
          <w:u w:val="single"/>
        </w:rPr>
        <w:t>                    </w:t>
      </w:r>
      <w:r>
        <w:rPr>
          <w:rFonts w:ascii="宋体" w:hAnsi="宋体"/>
          <w:sz w:val="24"/>
          <w:szCs w:val="24"/>
        </w:rPr>
        <w:t> （即本协议项下的乙方），该公司由</w:t>
      </w:r>
      <w:r>
        <w:rPr>
          <w:rFonts w:ascii="宋体" w:hAnsi="宋体"/>
          <w:sz w:val="24"/>
          <w:szCs w:val="24"/>
          <w:u w:val="single"/>
        </w:rPr>
        <w:t>                    </w:t>
      </w:r>
      <w:r>
        <w:rPr>
          <w:rFonts w:ascii="宋体" w:hAnsi="宋体"/>
          <w:sz w:val="24"/>
          <w:szCs w:val="24"/>
        </w:rPr>
        <w:t> 出资组建，负责本项目的建设期融资、项目建设、运营期的运营和维护；</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（6）“贷款银行”：指与乙方签订借款合同、为本项目提供融资的金融机构，具体指国家开发银行股份有限公司，经办分行为</w:t>
      </w:r>
      <w:r>
        <w:rPr>
          <w:rFonts w:ascii="宋体" w:hAnsi="宋体"/>
          <w:sz w:val="24"/>
          <w:szCs w:val="24"/>
          <w:u w:val="single"/>
        </w:rPr>
        <w:t>                    </w:t>
      </w:r>
      <w:r>
        <w:rPr>
          <w:rFonts w:ascii="宋体" w:hAnsi="宋体"/>
          <w:sz w:val="24"/>
          <w:szCs w:val="24"/>
        </w:rPr>
        <w:t> 分行，或由其牵头组建的银团；（该款为必备条款，原则上不得删、改）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（7）“专营权”：指乙方根据本协议所享有和承担的投资、建设、运营和维护本项目并取得甲方给予的政府补贴等收益回报等相关权利；</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（8）“建设期”：指本项目开工之日起至本项目经竣工验收并正式投入运营之日的期间，建设期为</w:t>
      </w:r>
      <w:r>
        <w:rPr>
          <w:rFonts w:ascii="宋体" w:hAnsi="宋体"/>
          <w:sz w:val="24"/>
          <w:szCs w:val="24"/>
          <w:u w:val="single"/>
        </w:rPr>
        <w:t>        </w:t>
      </w:r>
      <w:r>
        <w:rPr>
          <w:rFonts w:ascii="宋体" w:hAnsi="宋体"/>
          <w:sz w:val="24"/>
          <w:szCs w:val="24"/>
        </w:rPr>
        <w:t> 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（9）“运营期”：指本项目经竣工验收并正式投入运营之日起至本项目预期移交之日的期间，运营期为</w:t>
      </w:r>
      <w:r>
        <w:rPr>
          <w:rFonts w:ascii="宋体" w:hAnsi="宋体"/>
          <w:sz w:val="24"/>
          <w:szCs w:val="24"/>
          <w:u w:val="single"/>
        </w:rPr>
        <w:t>        </w:t>
      </w:r>
      <w:r>
        <w:rPr>
          <w:rFonts w:ascii="宋体" w:hAnsi="宋体"/>
          <w:sz w:val="24"/>
          <w:szCs w:val="24"/>
        </w:rPr>
        <w:t> 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（10）“专营期”：指本项目的建设期和运营期，合计约</w:t>
      </w:r>
      <w:r>
        <w:rPr>
          <w:rFonts w:ascii="宋体" w:hAnsi="宋体"/>
          <w:sz w:val="24"/>
          <w:szCs w:val="24"/>
          <w:u w:val="single"/>
        </w:rPr>
        <w:t>        </w:t>
      </w:r>
      <w:r>
        <w:rPr>
          <w:rFonts w:ascii="宋体" w:hAnsi="宋体"/>
          <w:sz w:val="24"/>
          <w:szCs w:val="24"/>
        </w:rPr>
        <w:t> 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（11）“移交期”：指本协议规定的乙方向甲方移交本项目的期间，具体为本项目专营期届满前</w:t>
      </w:r>
      <w:r>
        <w:rPr>
          <w:rFonts w:ascii="宋体" w:hAnsi="宋体"/>
          <w:sz w:val="24"/>
          <w:szCs w:val="24"/>
          <w:u w:val="single"/>
        </w:rPr>
        <w:t>        </w:t>
      </w:r>
      <w:r>
        <w:rPr>
          <w:rFonts w:ascii="宋体" w:hAnsi="宋体"/>
          <w:sz w:val="24"/>
          <w:szCs w:val="24"/>
        </w:rPr>
        <w:t> 个月；</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（12）“中国”：指中华人民共和国，为本协议之目的，不包括香港特别行政区、澳门特别行政区及台湾地区；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（13）“元”：指人民币元。</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（可根据项目具体情况相应补充相关定义）。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2、解释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除非另有所指，在本协议中：</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（1）“一方”或“各方”指本协议的一方或各方。本协议的各方均包括其各自的继任者和获准的受让人；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（2）“资产”包括现有和将来的任何名目的财产、收入及权益；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（3）“修订”包括补充、更新、替换、转让或重新制订（“被修订”应作相应解释）；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（4）称作“重大”的事项是指对于各方在本协议项下的利益或在该利益相关的范围内影响重大的事项；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（5）任何人在本协议、任何其他协议或文件项下的“义务”应当被理解为其根据本协议或任何其他协议或文件（视情形而定）应承担义务；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（6）“人”包括任何自然人、公司、法人团体、政府、国家、国家机构或任何协会、信托或合伙（不论是否拥有独立法人资格）或兼具上述任何两项以上的性质；</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（7）法律的条文亦指该条文的经修订或重订的版本；</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（8）一“日”是指一个工作日；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（9）章、条及附件的标题仅供方便阅读而设；</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（10）“包括”应被理解为包括但不限于。</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第二条  协议背景和目的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w:t>
      </w:r>
      <w:r>
        <w:rPr>
          <w:rFonts w:ascii="宋体" w:hAnsi="宋体"/>
          <w:sz w:val="24"/>
          <w:szCs w:val="24"/>
          <w:u w:val="single"/>
        </w:rPr>
        <w:t>                    </w:t>
      </w:r>
      <w:r>
        <w:rPr>
          <w:rFonts w:ascii="宋体" w:hAnsi="宋体"/>
          <w:sz w:val="24"/>
          <w:szCs w:val="24"/>
        </w:rPr>
        <w:t> （本项目基本情况简介，例如立项及可研报告批复情况（如有）、项目总投资概算及资金来源等。）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2、根据</w:t>
      </w:r>
      <w:r>
        <w:rPr>
          <w:rFonts w:ascii="宋体" w:hAnsi="宋体"/>
          <w:sz w:val="24"/>
          <w:szCs w:val="24"/>
          <w:u w:val="single"/>
        </w:rPr>
        <w:t>                    </w:t>
      </w:r>
      <w:r>
        <w:rPr>
          <w:rFonts w:ascii="宋体" w:hAnsi="宋体"/>
          <w:sz w:val="24"/>
          <w:szCs w:val="24"/>
        </w:rPr>
        <w:t> 省财政厅（或省发改委）于</w:t>
      </w:r>
      <w:r>
        <w:rPr>
          <w:rFonts w:ascii="宋体" w:hAnsi="宋体"/>
          <w:sz w:val="24"/>
          <w:szCs w:val="24"/>
          <w:u w:val="single"/>
        </w:rPr>
        <w:t>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日出具的</w:t>
      </w:r>
      <w:r>
        <w:rPr>
          <w:rFonts w:ascii="宋体" w:hAnsi="宋体"/>
          <w:sz w:val="24"/>
          <w:szCs w:val="24"/>
          <w:u w:val="single"/>
        </w:rPr>
        <w:t>                    </w:t>
      </w:r>
      <w:r>
        <w:rPr>
          <w:rFonts w:ascii="宋体" w:hAnsi="宋体"/>
          <w:sz w:val="24"/>
          <w:szCs w:val="24"/>
        </w:rPr>
        <w:t> （文件名称及文号）（详见本协议附件一），本项目已经被列入</w:t>
      </w:r>
      <w:r>
        <w:rPr>
          <w:rFonts w:ascii="宋体" w:hAnsi="宋体"/>
          <w:sz w:val="24"/>
          <w:szCs w:val="24"/>
          <w:u w:val="single"/>
        </w:rPr>
        <w:t>                    </w:t>
      </w:r>
      <w:r>
        <w:rPr>
          <w:rFonts w:ascii="宋体" w:hAnsi="宋体"/>
          <w:sz w:val="24"/>
          <w:szCs w:val="24"/>
        </w:rPr>
        <w:t> 省PPP项目库。（该款为必备条款，原则上不得删、改）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3、根据</w:t>
      </w:r>
      <w:r>
        <w:rPr>
          <w:rFonts w:ascii="宋体" w:hAnsi="宋体"/>
          <w:sz w:val="24"/>
          <w:szCs w:val="24"/>
          <w:u w:val="single"/>
        </w:rPr>
        <w:t>                    </w:t>
      </w:r>
      <w:r>
        <w:rPr>
          <w:rFonts w:ascii="宋体" w:hAnsi="宋体"/>
          <w:sz w:val="24"/>
          <w:szCs w:val="24"/>
        </w:rPr>
        <w:t> 政府于</w:t>
      </w:r>
      <w:r>
        <w:rPr>
          <w:rFonts w:ascii="宋体" w:hAnsi="宋体"/>
          <w:sz w:val="24"/>
          <w:szCs w:val="24"/>
          <w:u w:val="single"/>
        </w:rPr>
        <w:t>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日出具的</w:t>
      </w:r>
      <w:r>
        <w:rPr>
          <w:rFonts w:ascii="宋体" w:hAnsi="宋体"/>
          <w:sz w:val="24"/>
          <w:szCs w:val="24"/>
          <w:u w:val="single"/>
        </w:rPr>
        <w:t>                    </w:t>
      </w:r>
      <w:r>
        <w:rPr>
          <w:rFonts w:ascii="宋体" w:hAnsi="宋体"/>
          <w:sz w:val="24"/>
          <w:szCs w:val="24"/>
        </w:rPr>
        <w:t> （文件名称及文号）（详见本协议附件二），</w:t>
      </w:r>
      <w:r>
        <w:rPr>
          <w:rFonts w:ascii="宋体" w:hAnsi="宋体"/>
          <w:sz w:val="24"/>
          <w:szCs w:val="24"/>
          <w:u w:val="single"/>
        </w:rPr>
        <w:t>                    </w:t>
      </w:r>
      <w:r>
        <w:rPr>
          <w:rFonts w:ascii="宋体" w:hAnsi="宋体"/>
          <w:sz w:val="24"/>
          <w:szCs w:val="24"/>
        </w:rPr>
        <w:t> 政府作为甲方（或政府授权甲方作为本项目实施机构代表</w:t>
      </w:r>
      <w:r>
        <w:rPr>
          <w:rFonts w:ascii="宋体" w:hAnsi="宋体"/>
          <w:sz w:val="24"/>
          <w:szCs w:val="24"/>
          <w:u w:val="single"/>
        </w:rPr>
        <w:t>                    </w:t>
      </w:r>
      <w:r>
        <w:rPr>
          <w:rFonts w:ascii="宋体" w:hAnsi="宋体"/>
          <w:sz w:val="24"/>
          <w:szCs w:val="24"/>
        </w:rPr>
        <w:t> 政府）与乙方签署本协议。（该款为必备条款，原则上不得删、改）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第三条  声明和保证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1、甲方在此做出如下声明和保证：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（1）甲方已充分理解本协议背景和目的，并承诺按照法律法规的规定及本协议的约定诚信履行本协议；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（2）经</w:t>
      </w:r>
      <w:r>
        <w:rPr>
          <w:rFonts w:ascii="宋体" w:hAnsi="宋体"/>
          <w:sz w:val="24"/>
          <w:szCs w:val="24"/>
          <w:u w:val="single"/>
        </w:rPr>
        <w:t>                    </w:t>
      </w:r>
      <w:r>
        <w:rPr>
          <w:rFonts w:ascii="宋体" w:hAnsi="宋体"/>
          <w:sz w:val="24"/>
          <w:szCs w:val="24"/>
        </w:rPr>
        <w:t> 政府授权，甲方完全有权力和能力代表</w:t>
      </w:r>
      <w:r>
        <w:rPr>
          <w:rFonts w:ascii="宋体" w:hAnsi="宋体"/>
          <w:sz w:val="24"/>
          <w:szCs w:val="24"/>
          <w:u w:val="single"/>
        </w:rPr>
        <w:t>                    </w:t>
      </w:r>
      <w:r>
        <w:rPr>
          <w:rFonts w:ascii="宋体" w:hAnsi="宋体"/>
          <w:sz w:val="24"/>
          <w:szCs w:val="24"/>
        </w:rPr>
        <w:t> 政府签署本协议并履行其在本协议项下的义务；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（3）本项目以PPP的模式实施并以</w:t>
      </w:r>
      <w:r>
        <w:rPr>
          <w:rFonts w:ascii="宋体" w:hAnsi="宋体"/>
          <w:sz w:val="24"/>
          <w:szCs w:val="24"/>
          <w:u w:val="single"/>
        </w:rPr>
        <w:t>                    </w:t>
      </w:r>
      <w:r>
        <w:rPr>
          <w:rFonts w:ascii="宋体" w:hAnsi="宋体"/>
          <w:sz w:val="24"/>
          <w:szCs w:val="24"/>
        </w:rPr>
        <w:t> （公开招标/竞争性谈判/邀请招标/竞争性磋商/单一来源采购）的政府采购方式选择并授予乙方专营权符合相关法律法规的要求。</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2、乙方在此做出如下声明和保证：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（1）乙方已充分理解本协议背景和目的，并承诺按本协议相关约定执行协议；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（2）乙方作为依中国法设立、有效存续的独立法人，具有签署和履行本协议的法律资格和能力；</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（3）乙方及其授权签字人已获得签署和履行本协议的有效授权；</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（4）乙方签署本协议前已仔细审阅了本协议相关内容，并已完全理解和了解本协议项下乙方的权利和义务；乙方不得以未理解本协议相关条款或内容为由主张减轻或免除其在本协议项下的任何义务或责任；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（5）乙方保证并承诺其将根据法律法规的规定及本协议的约定诚信履行本协议，为本项目提供持续服务和维护公共利益；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（6）乙方保证并承诺其所声明、保证内容在本协议有效期间的真实性、准确性和完整性并愿意为此承担相应的法律责任。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第四条  协议生效条件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本协议在以下条件同时满足之日生效：</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1、本协议经各方盖章，并经法定代表人（负责人）或授权代表签署；以及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w:t>
      </w:r>
      <w:r>
        <w:rPr>
          <w:rFonts w:ascii="宋体" w:hAnsi="宋体"/>
          <w:sz w:val="24"/>
          <w:szCs w:val="24"/>
          <w:u w:val="single"/>
        </w:rPr>
        <w:t>                    </w:t>
      </w:r>
      <w:r>
        <w:rPr>
          <w:rFonts w:ascii="宋体" w:hAnsi="宋体"/>
          <w:sz w:val="24"/>
          <w:szCs w:val="24"/>
        </w:rPr>
        <w:t>（其他，如乙方获得了贷款银行针对本项目的相关授信审批）。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第五条  协议构成及优先次序</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1、本协议的附件构成本协议的一部分，与本协议具有同等效力并应与本协议主文一并阅读和解释。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2、双方就本协议的变更或补充达成的变更或补充协议构成本协议的一部分，本协议的变更或补充协议与本协议的内容不一致的，以变更或补充协议的约定为准。</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Style w:val="17"/>
          <w:rFonts w:hint="eastAsia" w:ascii="宋体" w:hAnsi="宋体" w:eastAsia="宋体" w:cs="宋体"/>
          <w:b/>
          <w:bCs w:val="0"/>
          <w:sz w:val="24"/>
          <w:szCs w:val="24"/>
        </w:rPr>
        <w:t>第二章</w:t>
      </w:r>
      <w:r>
        <w:rPr>
          <w:rStyle w:val="17"/>
          <w:rFonts w:ascii="宋体" w:hAnsi="宋体" w:eastAsia="Times New Roman"/>
          <w:b/>
          <w:bCs w:val="0"/>
          <w:sz w:val="24"/>
          <w:szCs w:val="24"/>
        </w:rPr>
        <w:t xml:space="preserve"> </w:t>
      </w:r>
      <w:r>
        <w:rPr>
          <w:rStyle w:val="17"/>
          <w:rFonts w:hint="eastAsia" w:ascii="宋体" w:hAnsi="宋体" w:eastAsia="宋体" w:cs="宋体"/>
          <w:b/>
          <w:bCs w:val="0"/>
          <w:sz w:val="24"/>
          <w:szCs w:val="24"/>
        </w:rPr>
        <w:t>协议主体</w:t>
      </w:r>
      <w:r>
        <w:rPr>
          <w:rStyle w:val="17"/>
          <w:rFonts w:ascii="Cambria" w:hAnsi="Cambria" w:eastAsia="Times New Roman" w:cs="Cambria"/>
          <w:b/>
          <w:bCs w:val="0"/>
          <w:sz w:val="24"/>
          <w:szCs w:val="24"/>
        </w:rPr>
        <w:t> </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第六条  政府主体</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1、主体资格</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 xml:space="preserve">（1）甲方是 </w:t>
      </w:r>
      <w:r>
        <w:rPr>
          <w:rFonts w:ascii="宋体" w:hAnsi="宋体"/>
          <w:sz w:val="24"/>
          <w:szCs w:val="24"/>
          <w:u w:val="single"/>
        </w:rPr>
        <w:t>                    </w:t>
      </w:r>
      <w:r>
        <w:rPr>
          <w:rFonts w:ascii="宋体" w:hAnsi="宋体"/>
          <w:sz w:val="24"/>
          <w:szCs w:val="24"/>
        </w:rPr>
        <w:t> （甲方的主体地位及职责简介）。</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（2）经</w:t>
      </w:r>
      <w:r>
        <w:rPr>
          <w:rFonts w:ascii="宋体" w:hAnsi="宋体"/>
          <w:sz w:val="24"/>
          <w:szCs w:val="24"/>
          <w:u w:val="single"/>
        </w:rPr>
        <w:t>                    </w:t>
      </w:r>
      <w:r>
        <w:rPr>
          <w:rFonts w:ascii="宋体" w:hAnsi="宋体"/>
          <w:sz w:val="24"/>
          <w:szCs w:val="24"/>
        </w:rPr>
        <w:t> 政府批准，甲方作为本项目的政府主体，全权代表</w:t>
      </w:r>
      <w:r>
        <w:rPr>
          <w:rFonts w:ascii="宋体" w:hAnsi="宋体"/>
          <w:sz w:val="24"/>
          <w:szCs w:val="24"/>
          <w:u w:val="single"/>
        </w:rPr>
        <w:t>                    </w:t>
      </w:r>
      <w:r>
        <w:rPr>
          <w:rFonts w:ascii="宋体" w:hAnsi="宋体"/>
          <w:sz w:val="24"/>
          <w:szCs w:val="24"/>
        </w:rPr>
        <w:t> 政府签订本协议。如未来本项目项下的政府主体发生调整，应由</w:t>
      </w:r>
      <w:r>
        <w:rPr>
          <w:rFonts w:ascii="宋体" w:hAnsi="宋体"/>
          <w:sz w:val="24"/>
          <w:szCs w:val="24"/>
          <w:u w:val="single"/>
        </w:rPr>
        <w:t>                    </w:t>
      </w:r>
      <w:r>
        <w:rPr>
          <w:rFonts w:ascii="宋体" w:hAnsi="宋体"/>
          <w:sz w:val="24"/>
          <w:szCs w:val="24"/>
        </w:rPr>
        <w:t> 政府明确指定的具有承担甲方在本协议项下的所有权利、义务和责任的能力和授权的其他部门作为本项目的政府主体，继承甲方在本协议项下的全部权利和义务，并书面告知乙方。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2、权利界定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（1）甲方基于本协议及其他配套协议与项目相关参与方之间形成平等的民事主体关系，按协议约定行使权利。</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甲方有权按照本协议的约定及有关法律法规和政府管理的相关职能规定，对本项目的建设、运营和维护实施监督和检查；但甲方并不因行使该等监督和检查权而承担任何责任，也并不因此减轻或免除乙方根据本协议或相关法律法规的要求而应承担的任何义务或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（3）甲方享有本协议项下约定的和甲方与乙方不时商定的其他权利。</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3、义务界定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（1）甲方基于本协议及其他配套协议与项目相关参与方之间形成平等的民事主体关系，按协议约定履行义务。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（2）甲方应确保本项目所涉及的交易结构及核心条件（可阐明具体内容）已获得</w:t>
      </w:r>
      <w:r>
        <w:rPr>
          <w:rFonts w:ascii="宋体" w:hAnsi="宋体"/>
          <w:sz w:val="24"/>
          <w:szCs w:val="24"/>
          <w:u w:val="single"/>
        </w:rPr>
        <w:t>                    </w:t>
      </w:r>
      <w:r>
        <w:rPr>
          <w:rFonts w:ascii="宋体" w:hAnsi="宋体"/>
          <w:sz w:val="24"/>
          <w:szCs w:val="24"/>
        </w:rPr>
        <w:t> 政府或相关部门的审批。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在乙方因本项目需要提出适当、合理和及时的要求后，甲方应在合法合规的前提下尽最大努力协助乙方从甲方及/或其他政府部门及时获得、保持和延续本项目投资、建设、运营和维护所需的一切审批或类似手续。但此等努力并不免除乙方在本协议项下负有的获得相关审批或类似手续的义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（4）甲方应积极协助乙方及时地、以公平价格并按照不逊于接收与乙方大致相同服务的其他企业一般可以得到的条件获得本项目建设、运营和维护所需的所有基本配套设施，包括水、电、通讯设施等。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除本协议另有约定外，甲方不得随意干预本项目的建设、运营和维护，除非是为保护公众健康和公共安全以及履行其法定职责和行使本协议约定的权利的需要。应乙方的要求，甲方应尽最大努力减少可能产生的第三方对项目的干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（6）甲方应当按照本协议的约定为乙方就本项目的融资提供必要的协助，包括由甲方或</w:t>
      </w:r>
      <w:r>
        <w:rPr>
          <w:rFonts w:ascii="宋体" w:hAnsi="宋体"/>
          <w:sz w:val="24"/>
          <w:szCs w:val="24"/>
          <w:u w:val="single"/>
        </w:rPr>
        <w:t>                    </w:t>
      </w:r>
      <w:r>
        <w:rPr>
          <w:rFonts w:ascii="宋体" w:hAnsi="宋体"/>
          <w:sz w:val="24"/>
          <w:szCs w:val="24"/>
        </w:rPr>
        <w:t> 政府及其职能部门出具相关的同意或证明文件等。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（7）甲方应尽最大努力积极协助乙方行使乙方在本协议项下的权利，但此等努力并不构成甲方对乙方实现本协议目的的一种明示或默示的保证。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第七条  社会资本主体</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1、主体资格</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 xml:space="preserve">（1）（如果乙方是项目公司）乙方是由 </w:t>
      </w:r>
      <w:r>
        <w:rPr>
          <w:rFonts w:ascii="宋体" w:hAnsi="宋体"/>
          <w:sz w:val="24"/>
          <w:szCs w:val="24"/>
          <w:u w:val="single"/>
        </w:rPr>
        <w:t>                    </w:t>
      </w:r>
      <w:r>
        <w:rPr>
          <w:rFonts w:ascii="宋体" w:hAnsi="宋体"/>
          <w:sz w:val="24"/>
          <w:szCs w:val="24"/>
        </w:rPr>
        <w:t> （代表政府方出资的主体全称）（持股</w:t>
      </w:r>
      <w:r>
        <w:rPr>
          <w:rFonts w:ascii="宋体" w:hAnsi="宋体"/>
          <w:sz w:val="24"/>
          <w:szCs w:val="24"/>
          <w:u w:val="single"/>
        </w:rPr>
        <w:t>        </w:t>
      </w:r>
      <w:r>
        <w:rPr>
          <w:rFonts w:ascii="宋体" w:hAnsi="宋体"/>
          <w:sz w:val="24"/>
          <w:szCs w:val="24"/>
        </w:rPr>
        <w:t>%）和</w:t>
      </w:r>
      <w:r>
        <w:rPr>
          <w:rFonts w:ascii="宋体" w:hAnsi="宋体"/>
          <w:sz w:val="24"/>
          <w:szCs w:val="24"/>
          <w:u w:val="single"/>
        </w:rPr>
        <w:t>                    </w:t>
      </w:r>
      <w:r>
        <w:rPr>
          <w:rFonts w:ascii="宋体" w:hAnsi="宋体"/>
          <w:sz w:val="24"/>
          <w:szCs w:val="24"/>
        </w:rPr>
        <w:t> （代表社会投资者出资的主体全称）（持股</w:t>
      </w:r>
      <w:r>
        <w:rPr>
          <w:rFonts w:ascii="宋体" w:hAnsi="宋体"/>
          <w:sz w:val="24"/>
          <w:szCs w:val="24"/>
          <w:u w:val="single"/>
        </w:rPr>
        <w:t>        </w:t>
      </w:r>
      <w:r>
        <w:rPr>
          <w:rFonts w:ascii="宋体" w:hAnsi="宋体"/>
          <w:sz w:val="24"/>
          <w:szCs w:val="24"/>
        </w:rPr>
        <w:t>%）为实施本项目之目的共同出资组建并由</w:t>
      </w:r>
      <w:r>
        <w:rPr>
          <w:rFonts w:ascii="宋体" w:hAnsi="宋体"/>
          <w:sz w:val="24"/>
          <w:szCs w:val="24"/>
          <w:u w:val="single"/>
        </w:rPr>
        <w:t>                    </w:t>
      </w:r>
      <w:r>
        <w:rPr>
          <w:rFonts w:ascii="宋体" w:hAnsi="宋体"/>
          <w:sz w:val="24"/>
          <w:szCs w:val="24"/>
        </w:rPr>
        <w:t> （代表社会投资者出资的主体全称）控股的项目公司，系依照中国法设立的企业法人，注册资本为人民币</w:t>
      </w:r>
      <w:r>
        <w:rPr>
          <w:rFonts w:ascii="宋体" w:hAnsi="宋体"/>
          <w:sz w:val="24"/>
          <w:szCs w:val="24"/>
          <w:u w:val="single"/>
        </w:rPr>
        <w:t xml:space="preserve">        </w:t>
      </w:r>
      <w:r>
        <w:rPr>
          <w:rFonts w:ascii="宋体" w:hAnsi="宋体"/>
          <w:sz w:val="24"/>
          <w:szCs w:val="24"/>
        </w:rPr>
        <w:t>元。</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（2）经过合法合规的程序，乙方获得本项目</w:t>
      </w:r>
      <w:r>
        <w:rPr>
          <w:rFonts w:ascii="宋体" w:hAnsi="宋体"/>
          <w:sz w:val="24"/>
          <w:szCs w:val="24"/>
          <w:u w:val="single"/>
        </w:rPr>
        <w:t>        </w:t>
      </w:r>
      <w:r>
        <w:rPr>
          <w:rFonts w:ascii="宋体" w:hAnsi="宋体"/>
          <w:sz w:val="24"/>
          <w:szCs w:val="24"/>
        </w:rPr>
        <w:t> 年的专营权，与甲方签订本协议，负责本项目的融资、建设、运营和维护。</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2、权利界定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乙方在本协议约定的范围内享有和承担投资、建设、运营和维护本项目并取得甲方根据本协议约定给予的</w:t>
      </w:r>
      <w:r>
        <w:rPr>
          <w:rFonts w:ascii="宋体" w:hAnsi="宋体"/>
          <w:sz w:val="24"/>
          <w:szCs w:val="24"/>
          <w:u w:val="single"/>
        </w:rPr>
        <w:t>                    </w:t>
      </w:r>
      <w:r>
        <w:rPr>
          <w:rFonts w:ascii="宋体" w:hAnsi="宋体"/>
          <w:sz w:val="24"/>
          <w:szCs w:val="24"/>
        </w:rPr>
        <w:t> （如运营收益、专营补贴、服务购买费、收费收入等收益回报）等相关权利。</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3、义务界定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（1）乙方应尽一切努力，按本协议约定的计划工期节点目标实施本项目建设，确保本项目于</w:t>
      </w:r>
      <w:r>
        <w:rPr>
          <w:rFonts w:ascii="宋体" w:hAnsi="宋体"/>
          <w:sz w:val="24"/>
          <w:szCs w:val="24"/>
          <w:u w:val="single"/>
        </w:rPr>
        <w:t>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日通过竣工验收并投入运营实施项目管理。除本协议另有约定外，乙方应按照本协议的约定对竣工验收迟延承担相应的责任。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（2）乙方的资本金以及采用银行贷款所获得的融资等建设资金应依照本协议的约定专项用于本项目建设。</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运营期内乙方应当按照本协议的约定及相关法律法规的规定负责本项目的运营和维护，确保本项目设施完好并符合法定或约定标准。运营期届满后，乙方应按照本协议约定将符合移交标准的本项目设施移交给甲方或甲方指定的机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（4）乙方为本项目之目的而依据本协议签订的相关文件（包括但不限于工程文件、融资文件等）应当符合本协议的要求且不得与本协议相抵触。</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（5）除本协议另有约定外，专营期内乙方不得就本项目进行除投资、建设、运营和维护以外任何与本项目无关的活动，不得实施有损本项目资产及权益完整性之行为。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（6）乙方应依法承担和缴纳与本项目建设、运营和维护相关的应由乙方承担的税费。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（7）乙方应做好本项目建设及运营资料的收集、分类、整理、归档工作，按要求及时、准确地将运营情况、设施状况等相关资料报送政府相关部门。</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（8）乙方有义务就由于建设、运营、维护本项目而造成的环境污染及因此而导致的任何损害、费用、损失及责任，对甲方予以赔偿。</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（9）乙方确保甲方免受本项目专营期内第三方向甲方提起的任何与本项目有关的索赔、权利请求或诉讼，该等索赔、权利请求或诉讼由乙方自行处理或应对；若因此给甲方造成损失的，乙方应予赔偿。</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（10）乙方应自行承担和履行本协议项下乙方的所有义务或责任，且不受以下影响：</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a、甲方或其他任何有权机构出具任何批准或证书；</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b、甲方提出或未能提出任何意见或建议；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c、在进行任何操作，例如测试、检测或检查时甲方或有权机构的代表在场或不在场。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4、对项目公司的约定（该款为必备条款，原则上不得删、改） </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（1）本协议签订后，注册资本须按照项目公司章程约定按时到位。</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（2）在本协议期间，未经甲方事先书面批准或同意，不得对项目公司的股权结构和股比关系、董事会、监事会主要成员以及总经理等高管人员等事项进行重大变更调整。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（3）项目公司应接受甲方、贷款银行及其他有权机构的监督和监管，并应及时将其的发展规划、年度经营和计划、年度经营报告报送甲方及贷款银行备案。</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Style w:val="17"/>
          <w:rFonts w:hint="eastAsia" w:ascii="宋体" w:hAnsi="宋体" w:eastAsia="宋体" w:cs="宋体"/>
          <w:b/>
          <w:bCs w:val="0"/>
          <w:sz w:val="24"/>
          <w:szCs w:val="24"/>
        </w:rPr>
        <w:t>第三章</w:t>
      </w:r>
      <w:r>
        <w:rPr>
          <w:rStyle w:val="17"/>
          <w:rFonts w:ascii="宋体" w:hAnsi="宋体" w:eastAsia="Times New Roman"/>
          <w:b/>
          <w:bCs w:val="0"/>
          <w:sz w:val="24"/>
          <w:szCs w:val="24"/>
        </w:rPr>
        <w:t xml:space="preserve"> </w:t>
      </w:r>
      <w:r>
        <w:rPr>
          <w:rStyle w:val="17"/>
          <w:rFonts w:hint="eastAsia" w:ascii="宋体" w:hAnsi="宋体" w:eastAsia="宋体" w:cs="宋体"/>
          <w:b/>
          <w:bCs w:val="0"/>
          <w:sz w:val="24"/>
          <w:szCs w:val="24"/>
        </w:rPr>
        <w:t>合作关系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第八条  合作内容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1、项目范围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项目范围主要包括本项目的投资建设、运营维护和移交，其中：</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（1）本项目的主要建设内容为：</w:t>
      </w:r>
      <w:r>
        <w:rPr>
          <w:rFonts w:ascii="宋体" w:hAnsi="宋体"/>
          <w:sz w:val="24"/>
          <w:szCs w:val="24"/>
          <w:u w:val="single"/>
        </w:rPr>
        <w:t>                    </w:t>
      </w:r>
      <w:r>
        <w:rPr>
          <w:rFonts w:ascii="宋体" w:hAnsi="宋体"/>
          <w:sz w:val="24"/>
          <w:szCs w:val="24"/>
        </w:rPr>
        <w:t> （根据具体项目实际情况补充。）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（2）本项目的主要运营内容：</w:t>
      </w:r>
      <w:r>
        <w:rPr>
          <w:rFonts w:ascii="宋体" w:hAnsi="宋体"/>
          <w:sz w:val="24"/>
          <w:szCs w:val="24"/>
          <w:u w:val="single"/>
        </w:rPr>
        <w:t>                    </w:t>
      </w:r>
      <w:r>
        <w:rPr>
          <w:rFonts w:ascii="宋体" w:hAnsi="宋体"/>
          <w:sz w:val="24"/>
          <w:szCs w:val="24"/>
        </w:rPr>
        <w:t> （如按照本协议的约定及相关法律法规和标准负责本项目的商业运营和维护，并对本项目设施定期进行检修保养，确保本项目设施的完好的适营状态）。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（3）本项目的主要移交内容：运营期届满，按照本协议的约定负责将符合移交标准的本项目及其设施等移交给甲方或甲方/</w:t>
      </w:r>
      <w:r>
        <w:rPr>
          <w:rFonts w:ascii="宋体" w:hAnsi="宋体"/>
          <w:sz w:val="24"/>
          <w:szCs w:val="24"/>
          <w:u w:val="single"/>
        </w:rPr>
        <w:t>                    </w:t>
      </w:r>
      <w:r>
        <w:rPr>
          <w:rFonts w:ascii="宋体" w:hAnsi="宋体"/>
          <w:sz w:val="24"/>
          <w:szCs w:val="24"/>
        </w:rPr>
        <w:t> 政府指定的机构。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2、政府提供的条件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依据本协议的规定，甲方授予乙方在专营期内独家享有如下权利：</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（1）为本项目融资及建设、运营和维护本项目；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（2）按本协议约定使用本项目用地范围内的土地；</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（3）根据本协议约定取得专营补贴；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（4）取得本项目运营期间的经营性收益。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（可根据具体项目情况相应调整或补充。）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3、社会资本主体承担的任务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u w:val="single"/>
        </w:rPr>
        <w:t>                    </w:t>
      </w:r>
      <w:r>
        <w:rPr>
          <w:rFonts w:ascii="宋体" w:hAnsi="宋体"/>
          <w:sz w:val="24"/>
          <w:szCs w:val="24"/>
        </w:rPr>
        <w:t> （本项目的投资建设、运营维护和移交，以本协议详细约定为准。）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4、回报方式</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乙方在本项目中的投资回报包括：</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（1）取得本项目运营期间的全部运营收益；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（2）甲方在专营期内以</w:t>
      </w:r>
      <w:r>
        <w:rPr>
          <w:rFonts w:ascii="宋体" w:hAnsi="宋体"/>
          <w:sz w:val="24"/>
          <w:szCs w:val="24"/>
          <w:u w:val="single"/>
        </w:rPr>
        <w:t>                    </w:t>
      </w:r>
      <w:r>
        <w:rPr>
          <w:rFonts w:ascii="宋体" w:hAnsi="宋体"/>
          <w:sz w:val="24"/>
          <w:szCs w:val="24"/>
        </w:rPr>
        <w:t> （如逐年分期支付专营补贴）的形式作为回报，将本项目专营补贴纳入</w:t>
      </w:r>
      <w:r>
        <w:rPr>
          <w:rFonts w:ascii="宋体" w:hAnsi="宋体"/>
          <w:sz w:val="24"/>
          <w:szCs w:val="24"/>
          <w:u w:val="single"/>
        </w:rPr>
        <w:t>                    </w:t>
      </w:r>
      <w:r>
        <w:rPr>
          <w:rFonts w:ascii="宋体" w:hAnsi="宋体"/>
          <w:sz w:val="24"/>
          <w:szCs w:val="24"/>
        </w:rPr>
        <w:t> 政府财政预算管理，在每年的</w:t>
      </w:r>
      <w:r>
        <w:rPr>
          <w:rFonts w:ascii="宋体" w:hAnsi="宋体"/>
          <w:sz w:val="24"/>
          <w:szCs w:val="24"/>
          <w:u w:val="single"/>
        </w:rPr>
        <w:t>                    </w:t>
      </w:r>
      <w:r>
        <w:rPr>
          <w:rFonts w:ascii="宋体" w:hAnsi="宋体"/>
          <w:sz w:val="24"/>
          <w:szCs w:val="24"/>
        </w:rPr>
        <w:t> （城市基础设施投资计划）中列支，以保证</w:t>
      </w:r>
      <w:r>
        <w:rPr>
          <w:rFonts w:ascii="宋体" w:hAnsi="宋体"/>
          <w:sz w:val="24"/>
          <w:szCs w:val="24"/>
          <w:u w:val="single"/>
        </w:rPr>
        <w:t>                    </w:t>
      </w:r>
      <w:r>
        <w:rPr>
          <w:rFonts w:ascii="宋体" w:hAnsi="宋体"/>
          <w:sz w:val="24"/>
          <w:szCs w:val="24"/>
        </w:rPr>
        <w:t> （代表社会投资者出资的主体全称）在专营期可收回全部投资本金并取得不超过（或不低于）</w:t>
      </w:r>
      <w:r>
        <w:rPr>
          <w:rFonts w:ascii="宋体" w:hAnsi="宋体"/>
          <w:sz w:val="24"/>
          <w:szCs w:val="24"/>
          <w:u w:val="single"/>
        </w:rPr>
        <w:t>        </w:t>
      </w:r>
      <w:r>
        <w:rPr>
          <w:rFonts w:ascii="宋体" w:hAnsi="宋体"/>
          <w:sz w:val="24"/>
          <w:szCs w:val="24"/>
        </w:rPr>
        <w:t>%/年的投资收益，具体见本协议第九章的约定。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5、项目资产权属</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（1）在专营期内，本项目资产归乙方所有；在专营期届满时，</w:t>
      </w:r>
      <w:r>
        <w:rPr>
          <w:rFonts w:ascii="宋体" w:hAnsi="宋体"/>
          <w:sz w:val="24"/>
          <w:szCs w:val="24"/>
          <w:u w:val="single"/>
        </w:rPr>
        <w:t>                    </w:t>
      </w:r>
      <w:r>
        <w:rPr>
          <w:rFonts w:ascii="宋体" w:hAnsi="宋体"/>
          <w:sz w:val="24"/>
          <w:szCs w:val="24"/>
        </w:rPr>
        <w:t> 乙方按照约定采取相应的退出机制，将该项目的所有权移交给甲方，项目完全归甲方所有。移交可能产生的任何税费由</w:t>
      </w:r>
      <w:r>
        <w:rPr>
          <w:rFonts w:ascii="宋体" w:hAnsi="宋体"/>
          <w:sz w:val="24"/>
          <w:szCs w:val="24"/>
          <w:u w:val="single"/>
        </w:rPr>
        <w:t>                    </w:t>
      </w:r>
      <w:r>
        <w:rPr>
          <w:rFonts w:ascii="宋体" w:hAnsi="宋体"/>
          <w:sz w:val="24"/>
          <w:szCs w:val="24"/>
        </w:rPr>
        <w:t> （甲方或乙方）承担。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专营期内，未经甲方和贷款银行书面同意，乙方不得将本项目专营权或项目资产转让、出租、抵押或质押给任何第三方。但在专营期内且必要时，乙方可以按照本协议的约定或经甲乙双方及贷款银行另行协商一致，为本项目融资之目的，在符合有关规定的前提下，依法将本项目专营权（包括专营权项下的收益权/应收账款）或项目资产为贷款银行设定质押或抵押，但不得在此等收益权上设定除此之外的其他任何转让、出租、质押等权利、义务或责任。（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6、土地获取和使用权利</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（1）本项目土地由</w:t>
      </w:r>
      <w:r>
        <w:rPr>
          <w:rFonts w:ascii="宋体" w:hAnsi="宋体"/>
          <w:sz w:val="24"/>
          <w:szCs w:val="24"/>
          <w:u w:val="single"/>
        </w:rPr>
        <w:t>                    </w:t>
      </w:r>
      <w:r>
        <w:rPr>
          <w:rFonts w:ascii="宋体" w:hAnsi="宋体"/>
          <w:sz w:val="24"/>
          <w:szCs w:val="24"/>
        </w:rPr>
        <w:t> 政府以</w:t>
      </w:r>
      <w:r>
        <w:rPr>
          <w:rFonts w:ascii="宋体" w:hAnsi="宋体"/>
          <w:sz w:val="24"/>
          <w:szCs w:val="24"/>
          <w:u w:val="single"/>
        </w:rPr>
        <w:t>                    </w:t>
      </w:r>
      <w:r>
        <w:rPr>
          <w:rFonts w:ascii="宋体" w:hAnsi="宋体"/>
          <w:sz w:val="24"/>
          <w:szCs w:val="24"/>
        </w:rPr>
        <w:t> （出让/划拨）方式提供，甲方应积极协助乙方及时取得本项目国有土地使用证。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（2）专营期内，乙方应承担取得本项目土地使用证所需的一切税费以及将本项目土地用于本协议约定的经营目的依法所需缴纳的一切税费。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专营期内，乙方应严格按照本协议约定和相关法律规定合法使用本项目土地，未经甲方事先书面同意，乙方不得将本项目土地使用权及其上建筑物、构筑物、相关设施进行任何抵押、出租、转让或类似处分。但为本项目融资之目的，必要时乙方可以本项目土地使用权及其上建筑物、构筑物、有关设施等为贷款银行设定抵押担保。（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7、风险分担机制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本协议项下项目风险的承担，按照“风险由最合适的一方来承担”的原则处理。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（1）政策、法律和最低需求等风险由政府承担；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（2）设计、建设、财务、运营维护等商业风险由乙方承担。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第九条  合作期限</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本项目的合作期限即专营期为</w:t>
      </w:r>
      <w:r>
        <w:rPr>
          <w:rFonts w:ascii="宋体" w:hAnsi="宋体"/>
          <w:sz w:val="24"/>
          <w:szCs w:val="24"/>
          <w:u w:val="single"/>
        </w:rPr>
        <w:t>        </w:t>
      </w:r>
      <w:r>
        <w:rPr>
          <w:rFonts w:ascii="宋体" w:hAnsi="宋体"/>
          <w:sz w:val="24"/>
          <w:szCs w:val="24"/>
        </w:rPr>
        <w:t> 年，包括建设期和运营期。其中建设</w:t>
      </w:r>
      <w:r>
        <w:rPr>
          <w:rFonts w:ascii="宋体" w:hAnsi="宋体"/>
          <w:sz w:val="24"/>
          <w:szCs w:val="24"/>
          <w:u w:val="single"/>
        </w:rPr>
        <w:t>        </w:t>
      </w:r>
      <w:r>
        <w:rPr>
          <w:rFonts w:ascii="宋体" w:hAnsi="宋体"/>
          <w:sz w:val="24"/>
          <w:szCs w:val="24"/>
        </w:rPr>
        <w:t> 期</w:t>
      </w:r>
      <w:r>
        <w:rPr>
          <w:rFonts w:ascii="宋体" w:hAnsi="宋体"/>
          <w:sz w:val="24"/>
          <w:szCs w:val="24"/>
          <w:u w:val="single"/>
        </w:rPr>
        <w:t>        </w:t>
      </w:r>
      <w:r>
        <w:rPr>
          <w:rFonts w:ascii="宋体" w:hAnsi="宋体"/>
          <w:sz w:val="24"/>
          <w:szCs w:val="24"/>
        </w:rPr>
        <w:t> 年，自</w:t>
      </w:r>
      <w:r>
        <w:rPr>
          <w:rFonts w:ascii="宋体" w:hAnsi="宋体"/>
          <w:sz w:val="24"/>
          <w:szCs w:val="24"/>
          <w:u w:val="single"/>
        </w:rPr>
        <w:t>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日之日起算；运营期</w:t>
      </w:r>
      <w:r>
        <w:rPr>
          <w:rFonts w:ascii="宋体" w:hAnsi="宋体"/>
          <w:sz w:val="24"/>
          <w:szCs w:val="24"/>
          <w:u w:val="single"/>
        </w:rPr>
        <w:t>        </w:t>
      </w:r>
      <w:r>
        <w:rPr>
          <w:rFonts w:ascii="宋体" w:hAnsi="宋体"/>
          <w:sz w:val="24"/>
          <w:szCs w:val="24"/>
        </w:rPr>
        <w:t> 年，自本项目竣工验收并正式投入运营之日起算。</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第十条  排他性约定</w:t>
      </w:r>
      <w:r>
        <w:rPr>
          <w:rFonts w:ascii="宋体" w:hAnsi="宋体"/>
          <w:sz w:val="24"/>
          <w:szCs w:val="24"/>
        </w:rPr>
        <w:t>（该条为必备条款，原则上不得删、改） </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除本协议另有约定外，本项目的专营权在专营期内专属于乙方。除非法律另有规定或双方另有约定并经贷款银行同意，专营期内，甲方不得将本项目专营权授予其他社会资本。</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Fonts w:hint="eastAsia" w:ascii="宋体" w:hAnsi="宋体" w:eastAsia="宋体" w:cs="宋体"/>
          <w:sz w:val="24"/>
          <w:szCs w:val="24"/>
        </w:rPr>
        <w:t>第四章</w:t>
      </w:r>
      <w:r>
        <w:rPr>
          <w:rFonts w:ascii="宋体" w:hAnsi="宋体" w:eastAsia="Times New Roman"/>
          <w:sz w:val="24"/>
          <w:szCs w:val="24"/>
        </w:rPr>
        <w:t xml:space="preserve"> </w:t>
      </w:r>
      <w:r>
        <w:rPr>
          <w:rFonts w:hint="eastAsia" w:ascii="宋体" w:hAnsi="宋体" w:eastAsia="宋体" w:cs="宋体"/>
          <w:sz w:val="24"/>
          <w:szCs w:val="24"/>
        </w:rPr>
        <w:t>投资计划及融资方案</w:t>
      </w:r>
      <w:r>
        <w:rPr>
          <w:rFonts w:ascii="Cambria" w:hAnsi="Cambria" w:eastAsia="Times New Roman" w:cs="Cambria"/>
          <w:sz w:val="24"/>
          <w:szCs w:val="24"/>
        </w:rPr>
        <w:t> </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第十一条  项目总投资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1、投资规模及其构成</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u w:val="single"/>
        </w:rPr>
        <w:t>                    </w:t>
      </w:r>
      <w:r>
        <w:rPr>
          <w:rFonts w:ascii="宋体" w:hAnsi="宋体"/>
          <w:sz w:val="24"/>
          <w:szCs w:val="24"/>
        </w:rPr>
        <w:t> （根据具体项目情况补充。）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2、项目投资计划</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u w:val="single"/>
        </w:rPr>
        <w:t>                    </w:t>
      </w:r>
      <w:r>
        <w:rPr>
          <w:rFonts w:ascii="宋体" w:hAnsi="宋体"/>
          <w:sz w:val="24"/>
          <w:szCs w:val="24"/>
        </w:rPr>
        <w:t> （根据具体项目情况补充。） </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第十二条  投资控制责任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1、本项目合作期限内，如因甲方的指示发生变更导致本项目工作范围发生重大变更，因此额外增加的费用由甲方承担。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2、乙方可根据本第十二条第（一）款的约定要求甲方给予相应补偿，甲方应及时协调</w:t>
      </w:r>
      <w:r>
        <w:rPr>
          <w:rFonts w:ascii="宋体" w:hAnsi="宋体"/>
          <w:sz w:val="24"/>
          <w:szCs w:val="24"/>
          <w:u w:val="single"/>
        </w:rPr>
        <w:t>                    </w:t>
      </w:r>
      <w:r>
        <w:rPr>
          <w:rFonts w:ascii="宋体" w:hAnsi="宋体"/>
          <w:sz w:val="24"/>
          <w:szCs w:val="24"/>
        </w:rPr>
        <w:t> 财政部门审核确认。</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第十三条  融资方案</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1、本项目资金筹措方式主要包括：</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（1）政府和社会投资者投入资本金合计人民币</w:t>
      </w:r>
      <w:r>
        <w:rPr>
          <w:rFonts w:ascii="宋体" w:hAnsi="宋体"/>
          <w:sz w:val="24"/>
          <w:szCs w:val="24"/>
          <w:u w:val="single"/>
        </w:rPr>
        <w:t xml:space="preserve">        </w:t>
      </w:r>
      <w:r>
        <w:rPr>
          <w:rFonts w:ascii="宋体" w:hAnsi="宋体"/>
          <w:sz w:val="24"/>
          <w:szCs w:val="24"/>
        </w:rPr>
        <w:t>元，约占总投资的</w:t>
      </w:r>
      <w:r>
        <w:rPr>
          <w:rFonts w:ascii="宋体" w:hAnsi="宋体"/>
          <w:sz w:val="24"/>
          <w:szCs w:val="24"/>
          <w:u w:val="single"/>
        </w:rPr>
        <w:t>        </w:t>
      </w:r>
      <w:r>
        <w:rPr>
          <w:rFonts w:ascii="宋体" w:hAnsi="宋体"/>
          <w:sz w:val="24"/>
          <w:szCs w:val="24"/>
        </w:rPr>
        <w:t>%；</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（2）银行贷款人民币</w:t>
      </w:r>
      <w:r>
        <w:rPr>
          <w:rFonts w:ascii="宋体" w:hAnsi="宋体"/>
          <w:sz w:val="24"/>
          <w:szCs w:val="24"/>
          <w:u w:val="single"/>
        </w:rPr>
        <w:t xml:space="preserve">        </w:t>
      </w:r>
      <w:r>
        <w:rPr>
          <w:rFonts w:ascii="宋体" w:hAnsi="宋体"/>
          <w:sz w:val="24"/>
          <w:szCs w:val="24"/>
        </w:rPr>
        <w:t>元，约占总投资的</w:t>
      </w:r>
      <w:r>
        <w:rPr>
          <w:rFonts w:ascii="宋体" w:hAnsi="宋体"/>
          <w:sz w:val="24"/>
          <w:szCs w:val="24"/>
          <w:u w:val="single"/>
        </w:rPr>
        <w:t>        </w:t>
      </w:r>
      <w:r>
        <w:rPr>
          <w:rFonts w:ascii="宋体" w:hAnsi="宋体"/>
          <w:sz w:val="24"/>
          <w:szCs w:val="24"/>
        </w:rPr>
        <w:t>%。</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2、项目公司的资本金比例、出资方式及投入进度：</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政府方通过</w:t>
      </w:r>
      <w:r>
        <w:rPr>
          <w:rFonts w:ascii="宋体" w:hAnsi="宋体"/>
          <w:sz w:val="24"/>
          <w:szCs w:val="24"/>
          <w:u w:val="single"/>
        </w:rPr>
        <w:t>                    </w:t>
      </w:r>
      <w:r>
        <w:rPr>
          <w:rFonts w:ascii="宋体" w:hAnsi="宋体"/>
          <w:sz w:val="24"/>
          <w:szCs w:val="24"/>
        </w:rPr>
        <w:t> 投入资本金的</w:t>
      </w:r>
      <w:r>
        <w:rPr>
          <w:rFonts w:ascii="宋体" w:hAnsi="宋体"/>
          <w:sz w:val="24"/>
          <w:szCs w:val="24"/>
          <w:u w:val="single"/>
        </w:rPr>
        <w:t>        </w:t>
      </w:r>
      <w:r>
        <w:rPr>
          <w:rFonts w:ascii="宋体" w:hAnsi="宋体"/>
          <w:sz w:val="24"/>
          <w:szCs w:val="24"/>
        </w:rPr>
        <w:t>%，全部为货币出资，金额为人民币</w:t>
      </w:r>
      <w:r>
        <w:rPr>
          <w:rFonts w:ascii="宋体" w:hAnsi="宋体"/>
          <w:sz w:val="24"/>
          <w:szCs w:val="24"/>
          <w:u w:val="single"/>
        </w:rPr>
        <w:t xml:space="preserve">        </w:t>
      </w:r>
      <w:r>
        <w:rPr>
          <w:rFonts w:ascii="宋体" w:hAnsi="宋体"/>
          <w:sz w:val="24"/>
          <w:szCs w:val="24"/>
        </w:rPr>
        <w:t>元；社会投资者投入资本金的</w:t>
      </w:r>
      <w:r>
        <w:rPr>
          <w:rFonts w:ascii="宋体" w:hAnsi="宋体"/>
          <w:sz w:val="24"/>
          <w:szCs w:val="24"/>
          <w:u w:val="single"/>
        </w:rPr>
        <w:t>        </w:t>
      </w:r>
      <w:r>
        <w:rPr>
          <w:rFonts w:ascii="宋体" w:hAnsi="宋体"/>
          <w:sz w:val="24"/>
          <w:szCs w:val="24"/>
        </w:rPr>
        <w:t>%，全部为货币出资，金额为人民币</w:t>
      </w:r>
      <w:r>
        <w:rPr>
          <w:rFonts w:ascii="宋体" w:hAnsi="宋体"/>
          <w:sz w:val="24"/>
          <w:szCs w:val="24"/>
          <w:u w:val="single"/>
        </w:rPr>
        <w:t xml:space="preserve">        </w:t>
      </w:r>
      <w:r>
        <w:rPr>
          <w:rFonts w:ascii="宋体" w:hAnsi="宋体"/>
          <w:sz w:val="24"/>
          <w:szCs w:val="24"/>
        </w:rPr>
        <w:t>元。资本金投入进度为</w:t>
      </w:r>
      <w:r>
        <w:rPr>
          <w:rFonts w:ascii="宋体" w:hAnsi="宋体"/>
          <w:sz w:val="24"/>
          <w:szCs w:val="24"/>
          <w:u w:val="single"/>
        </w:rPr>
        <w:t>                    </w:t>
      </w:r>
      <w:r>
        <w:rPr>
          <w:rFonts w:ascii="宋体" w:hAnsi="宋体"/>
          <w:sz w:val="24"/>
          <w:szCs w:val="24"/>
        </w:rPr>
        <w:t> 。</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3、银行贷款资金的规模、来源及融资条件：本协议签订后，拟由乙方向贷款银行申请项目贷款人民币</w:t>
      </w:r>
      <w:r>
        <w:rPr>
          <w:rFonts w:ascii="宋体" w:hAnsi="宋体"/>
          <w:sz w:val="24"/>
          <w:szCs w:val="24"/>
          <w:u w:val="single"/>
        </w:rPr>
        <w:t xml:space="preserve">        </w:t>
      </w:r>
      <w:r>
        <w:rPr>
          <w:rFonts w:ascii="宋体" w:hAnsi="宋体"/>
          <w:sz w:val="24"/>
          <w:szCs w:val="24"/>
        </w:rPr>
        <w:t>元，贷款期限为</w:t>
      </w:r>
      <w:r>
        <w:rPr>
          <w:rFonts w:ascii="宋体" w:hAnsi="宋体"/>
          <w:sz w:val="24"/>
          <w:szCs w:val="24"/>
          <w:u w:val="single"/>
        </w:rPr>
        <w:t>        </w:t>
      </w:r>
      <w:r>
        <w:rPr>
          <w:rFonts w:ascii="宋体" w:hAnsi="宋体"/>
          <w:sz w:val="24"/>
          <w:szCs w:val="24"/>
        </w:rPr>
        <w:t> 年，贷款利率为</w:t>
      </w:r>
      <w:r>
        <w:rPr>
          <w:rFonts w:ascii="宋体" w:hAnsi="宋体"/>
          <w:sz w:val="24"/>
          <w:szCs w:val="24"/>
          <w:u w:val="single"/>
        </w:rPr>
        <w:t>        </w:t>
      </w:r>
      <w:r>
        <w:rPr>
          <w:rFonts w:ascii="宋体" w:hAnsi="宋体"/>
          <w:sz w:val="24"/>
          <w:szCs w:val="24"/>
        </w:rPr>
        <w:t>%。银行贷款投入进度与资本金保持一致。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第十四条  政府提供的其他投融资支持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甲方为项目公司提供融资便利、担保协助、贷款贴息、税收优惠、公共事业收费豁免、保费补贴等支持（根据项目实际情况选用）。</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第十五条  投融资监管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甲方有权对乙方就本项目注资和融资实施监督管理。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第十六条  投融资违约及其处理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1、由于乙方资本金未到位而影响贷款提用视为重大违约，因此产生损失的，由违约方承担每日</w:t>
      </w:r>
      <w:r>
        <w:rPr>
          <w:rFonts w:ascii="宋体" w:hAnsi="宋体"/>
          <w:sz w:val="24"/>
          <w:szCs w:val="24"/>
          <w:u w:val="single"/>
        </w:rPr>
        <w:t>                    </w:t>
      </w:r>
      <w:r>
        <w:rPr>
          <w:rFonts w:ascii="宋体" w:hAnsi="宋体"/>
          <w:sz w:val="24"/>
          <w:szCs w:val="24"/>
        </w:rPr>
        <w:t> 的赔偿。</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2、非因甲方原因导致乙方未能就本项目及时获得银行贷款融资的，视为乙方在本协议项下的重大违约，甲方有权终止本协议并要求乙方赔偿相应损失。</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Fonts w:hint="eastAsia" w:ascii="宋体" w:hAnsi="宋体" w:eastAsia="宋体" w:cs="宋体"/>
          <w:sz w:val="24"/>
          <w:szCs w:val="24"/>
        </w:rPr>
        <w:t>第五章</w:t>
      </w:r>
      <w:r>
        <w:rPr>
          <w:rFonts w:ascii="宋体" w:hAnsi="宋体" w:eastAsia="Times New Roman"/>
          <w:sz w:val="24"/>
          <w:szCs w:val="24"/>
        </w:rPr>
        <w:t xml:space="preserve"> </w:t>
      </w:r>
      <w:r>
        <w:rPr>
          <w:rFonts w:hint="eastAsia" w:ascii="宋体" w:hAnsi="宋体" w:eastAsia="宋体" w:cs="宋体"/>
          <w:sz w:val="24"/>
          <w:szCs w:val="24"/>
        </w:rPr>
        <w:t>项目前期工作</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第十七条  前期工作内容及要求</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本项目前期工作包括</w:t>
      </w:r>
      <w:r>
        <w:rPr>
          <w:rFonts w:ascii="宋体" w:hAnsi="宋体"/>
          <w:sz w:val="24"/>
          <w:szCs w:val="24"/>
          <w:u w:val="single"/>
        </w:rPr>
        <w:t>                    </w:t>
      </w:r>
      <w:r>
        <w:rPr>
          <w:rFonts w:ascii="宋体" w:hAnsi="宋体"/>
          <w:sz w:val="24"/>
          <w:szCs w:val="24"/>
        </w:rPr>
        <w:t> （根据具体项目情况补充）。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第十八条  前期工作任务分担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本项目前期工作由乙方承担，甲方负责尽最大努力协调各政府部门做好配合工作。</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第十九条  前期工作经费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w:t>
      </w:r>
      <w:r>
        <w:rPr>
          <w:rFonts w:ascii="宋体" w:hAnsi="宋体"/>
          <w:sz w:val="24"/>
          <w:szCs w:val="24"/>
          <w:u w:val="single"/>
        </w:rPr>
        <w:t>                    </w:t>
      </w:r>
      <w:r>
        <w:rPr>
          <w:rFonts w:ascii="宋体" w:hAnsi="宋体"/>
          <w:sz w:val="24"/>
          <w:szCs w:val="24"/>
        </w:rPr>
        <w:t> （本项目前期工作相关费用由乙方先行支付，相关费用按政府相关文件执行，以政府财政部门审核认定为准）。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2、本项目前期工作相关费用计入本项目总投资。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第二十条  政府提供的前期工作支持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甲方对本项目前期工作提供支持，包括但不限于：</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1、协调相关部门和利益主体提供必要资料和文件；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2、对乙方提出的合理请求尽最大努力提供支持；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3、组织召开项目协调会等。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第二十一条  前期工作监管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甲方有权采取其合理认为必要的措施对本项目前期工作的实施进行监督管理，乙方应对甲方的监督管理提供配合。</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第二十二条  前期工作违约及处理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乙方未能履行本协议约定的前期工作的，应当对因此给甲方及本项目造成的损失依法承担赔偿责任。</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Fonts w:hint="eastAsia" w:ascii="宋体" w:hAnsi="宋体" w:eastAsia="宋体" w:cs="宋体"/>
          <w:sz w:val="24"/>
          <w:szCs w:val="24"/>
        </w:rPr>
        <w:t>第六章</w:t>
      </w:r>
      <w:r>
        <w:rPr>
          <w:rFonts w:ascii="宋体" w:hAnsi="宋体" w:eastAsia="Times New Roman"/>
          <w:sz w:val="24"/>
          <w:szCs w:val="24"/>
        </w:rPr>
        <w:t xml:space="preserve"> </w:t>
      </w:r>
      <w:r>
        <w:rPr>
          <w:rFonts w:hint="eastAsia" w:ascii="宋体" w:hAnsi="宋体" w:eastAsia="宋体" w:cs="宋体"/>
          <w:sz w:val="24"/>
          <w:szCs w:val="24"/>
        </w:rPr>
        <w:t>项目建设</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第二十三条  政府提供的建设条件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1、甲方应当积极按照本协议的约定，为本项目建设创造良好的建设条件，保障项目建设的有效推进。</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2、甲方应尽最大努力协助乙方从政府部门获得、保持和延续项目建设所需的一切审批手续。</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3、甲方应积极协助乙方及时地、以公平价格并按照不逊于接收与乙方大致相同服务的其他企业一般可以得到的条件获得本项目建设、运营和维护所需的所有基本配套设施，包括水、电、通讯设施等。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第二十四条  进度、质量、安全及管理要求</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1、项目建设应当遵守国家的法律、法规、政府规定的要求，按照基本建设程序和协议约定实施。</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2、乙方必须按照国家及</w:t>
      </w:r>
      <w:r>
        <w:rPr>
          <w:rFonts w:ascii="宋体" w:hAnsi="宋体"/>
          <w:sz w:val="24"/>
          <w:szCs w:val="24"/>
          <w:u w:val="single"/>
        </w:rPr>
        <w:t>                    </w:t>
      </w:r>
      <w:r>
        <w:rPr>
          <w:rFonts w:ascii="宋体" w:hAnsi="宋体"/>
          <w:sz w:val="24"/>
          <w:szCs w:val="24"/>
        </w:rPr>
        <w:t> 省有关招投标的管理规定，采用招标方式选择本项目的设计、施工及监理单位。相关招标方案及协议文件应当报甲方予以确认。</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3、乙方必须严格按照政府批准的初步设计中确定的项目建设规模、技术标准组织施工，确保项目建设质量符合国家、地方和行业的技术标准和规范。</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4、乙方负责全面履行本项目建设管理中的相关安全生产管理职责，避免发生安全生产事故。因乙方未尽管理职责发生安全生产事故的，由乙方承担相应的法律责任。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5、乙方在本项目建设期间，应采取有效措施，保证文明施工并履行下列义务：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（1）防治因施工产生的环境污染；</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（2）落实施工区域内的安全措施；</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（3）按规定处置建筑垃圾和工程渣土；</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（4）保护施工区域内的各种管线；</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（5）处理因本项目施工引起的其他问题；</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（6）配合进行各类紧急事件的处理，并承担相关处理费用。</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6、本项目建设期内，乙方应当按月向甲方提交项目建设进度报告。报告应详细描述以下内容：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（1）上个月已完成和在建的工程情况；</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（2）预计本月完成建设情况；</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（3）至计划完工日期的后续建设计划和进度安排；</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（4）预计完工的时间；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（5）甲方合理要求的其他事宜。</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乙方有义务将有关本项目涉及和建设的所有技术数据，包括设计报告、计算和设计文件等，在编制完成后及时提交给甲方或甲方/政府指定的机构，以使甲方或甲方/政府指定机构能够有效地监督本项目的建设进度。</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8、乙方向甲方保证，乙方对于其用于本项目的设计、建设其作为知识产权客体的施工图等非甲方制作之文件，拥有合法的所有权或使用权，并给与甲方不可撤销的、非独占的许可以使用上述文件。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9、乙方必须按照政府有关部门批准的建设规模和技术标准进行项目建设并保证本项目在</w:t>
      </w:r>
      <w:r>
        <w:rPr>
          <w:rFonts w:ascii="宋体" w:hAnsi="宋体"/>
          <w:sz w:val="24"/>
          <w:szCs w:val="24"/>
          <w:u w:val="single"/>
        </w:rPr>
        <w:t>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日前竣工验收并投入运营，本协议或双方另有约定的除外。</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第二十五条  建设期的审查和审批事项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1、建设期的审查和审批事项包括：初步设计批复、可研批复、建设用地批准证书、用地规划证、工程规划证、施工证、交通审批、绿化审批等。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负责组织实施相关审批手续的办理，甲方负责协调相关政府部门给与便利和配合。（在已由旧的项目公司取得相关项目前期审批手续后采用PPP模式重新组建新的项目公司的情况下，可相应调整为“甲方应当积极协调和配合将本项目已取得的相关前期审批手续变更至乙方名下，以确保乙方承接和实施本项目的合法合规性。”）</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第二十六条  工程变更管理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1、在确保工程质量标准的前提下，对在降低项目工程建设造价、节省项目用地、加快施工进度、提高工程质量、保证工程安全等方面具有显著效益的，可考虑变更设计。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2、工程变更需经过甲方同意并经监理、乙方、财政部门共同审核，乙方应做好备案以便甲方及其他政府部门检查。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3、工程变更费用超过人民币</w:t>
      </w:r>
      <w:r>
        <w:rPr>
          <w:rFonts w:ascii="宋体" w:hAnsi="宋体"/>
          <w:sz w:val="24"/>
          <w:szCs w:val="24"/>
          <w:u w:val="single"/>
        </w:rPr>
        <w:t xml:space="preserve">        </w:t>
      </w:r>
      <w:r>
        <w:rPr>
          <w:rFonts w:ascii="宋体" w:hAnsi="宋体"/>
          <w:sz w:val="24"/>
          <w:szCs w:val="24"/>
        </w:rPr>
        <w:t>元或总投资的</w:t>
      </w:r>
      <w:r>
        <w:rPr>
          <w:rFonts w:ascii="宋体" w:hAnsi="宋体"/>
          <w:sz w:val="24"/>
          <w:szCs w:val="24"/>
          <w:u w:val="single"/>
        </w:rPr>
        <w:t>        </w:t>
      </w:r>
      <w:r>
        <w:rPr>
          <w:rFonts w:ascii="宋体" w:hAnsi="宋体"/>
          <w:sz w:val="24"/>
          <w:szCs w:val="24"/>
        </w:rPr>
        <w:t>%的，应当组织召开专家会议，并同时邀请甲方、跟踪审计部门、质量安全监管部门及相关参建单位与会。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第二十七条  实际投资认定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1、本项目建设成本包括：前期报建、审批、咨询费，行政规费，项目建安工程费、工程建设其他费、工程建设预备费、工程建设期贷款利息等。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2、建安工程费、工程建设其他费、工程建设预备费等按</w:t>
      </w:r>
      <w:r>
        <w:rPr>
          <w:rFonts w:ascii="宋体" w:hAnsi="宋体"/>
          <w:sz w:val="24"/>
          <w:szCs w:val="24"/>
          <w:u w:val="single"/>
        </w:rPr>
        <w:t>                    </w:t>
      </w:r>
      <w:r>
        <w:rPr>
          <w:rFonts w:ascii="宋体" w:hAnsi="宋体"/>
          <w:sz w:val="24"/>
          <w:szCs w:val="24"/>
        </w:rPr>
        <w:t> 省（直辖市、自治区）相关标准计取，本着节约、合理的原则，公开招标确定项目的具体取费费率；前期报建、审批、咨询费，行政规费等按实计取结算。</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3、本项目实际投资最终以</w:t>
      </w:r>
      <w:r>
        <w:rPr>
          <w:rFonts w:ascii="宋体" w:hAnsi="宋体"/>
          <w:sz w:val="24"/>
          <w:szCs w:val="24"/>
          <w:u w:val="single"/>
        </w:rPr>
        <w:t>                    </w:t>
      </w:r>
      <w:r>
        <w:rPr>
          <w:rFonts w:ascii="宋体" w:hAnsi="宋体"/>
          <w:sz w:val="24"/>
          <w:szCs w:val="24"/>
        </w:rPr>
        <w:t> 财政部门审核认定的总金额为准。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第二十八条  征地、拆迁和安置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本项目实施区域内的相关土地征收、拆迁安置等工作由甲方负责并由甲方承担相应的拆迁安置费用。（根据具体项目情况补充、调整。）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第二十九条  项目验收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1、本项目建成投入运营前，乙方应按照</w:t>
      </w:r>
      <w:r>
        <w:rPr>
          <w:rFonts w:ascii="宋体" w:hAnsi="宋体"/>
          <w:sz w:val="24"/>
          <w:szCs w:val="24"/>
          <w:u w:val="single"/>
        </w:rPr>
        <w:t>                    </w:t>
      </w:r>
      <w:r>
        <w:rPr>
          <w:rFonts w:ascii="宋体" w:hAnsi="宋体"/>
          <w:sz w:val="24"/>
          <w:szCs w:val="24"/>
        </w:rPr>
        <w:t> 省和</w:t>
      </w:r>
      <w:r>
        <w:rPr>
          <w:rFonts w:ascii="宋体" w:hAnsi="宋体"/>
          <w:sz w:val="24"/>
          <w:szCs w:val="24"/>
          <w:u w:val="single"/>
        </w:rPr>
        <w:t>                    </w:t>
      </w:r>
      <w:r>
        <w:rPr>
          <w:rFonts w:ascii="宋体" w:hAnsi="宋体"/>
          <w:sz w:val="24"/>
          <w:szCs w:val="24"/>
        </w:rPr>
        <w:t> 市有关竣工验收规定及双方确定的相关节点组织、完成并通过本项目的竣工验收。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2、竣工验收由乙方组织，并由甲方、市政设施监管机构、设计、施工、监理等单位代表组成验收组，在质量监督部门的监督下按照竣工验收规定进行。</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3、如本项目在进行竣工验收程序后被认定竣工验收不合格的，乙方应根据甲方及竣工验收部门的要求及时整改以尽快通过竣工验收并承担相应的费用。</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4、乙方应当自本项目竣工验收合格后按照竣工验收规定向相关部门办理竣工验收合格备案。</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5、乙方应严格按照</w:t>
      </w:r>
      <w:r>
        <w:rPr>
          <w:rFonts w:ascii="宋体" w:hAnsi="宋体"/>
          <w:sz w:val="24"/>
          <w:szCs w:val="24"/>
          <w:u w:val="single"/>
        </w:rPr>
        <w:t>                    </w:t>
      </w:r>
      <w:r>
        <w:rPr>
          <w:rFonts w:ascii="宋体" w:hAnsi="宋体"/>
          <w:sz w:val="24"/>
          <w:szCs w:val="24"/>
        </w:rPr>
        <w:t> 省及</w:t>
      </w:r>
      <w:r>
        <w:rPr>
          <w:rFonts w:ascii="宋体" w:hAnsi="宋体"/>
          <w:sz w:val="24"/>
          <w:szCs w:val="24"/>
          <w:u w:val="single"/>
        </w:rPr>
        <w:t>                    </w:t>
      </w:r>
      <w:r>
        <w:rPr>
          <w:rFonts w:ascii="宋体" w:hAnsi="宋体"/>
          <w:sz w:val="24"/>
          <w:szCs w:val="24"/>
        </w:rPr>
        <w:t> 市有关规定在本项目竣工验收合格后及时清理债权债务和各项资产物资，编制好竣工决算和固定资产交付使用清册，交甲方备案并向甲方移送相关工程档案；同时，乙方应当自留一份完整的工程档案并予以妥善保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6、本项目竣工验收合格后</w:t>
      </w:r>
      <w:r>
        <w:rPr>
          <w:rFonts w:ascii="宋体" w:hAnsi="宋体"/>
          <w:sz w:val="24"/>
          <w:szCs w:val="24"/>
          <w:u w:val="single"/>
        </w:rPr>
        <w:t>        </w:t>
      </w:r>
      <w:r>
        <w:rPr>
          <w:rFonts w:ascii="宋体" w:hAnsi="宋体"/>
          <w:sz w:val="24"/>
          <w:szCs w:val="24"/>
        </w:rPr>
        <w:t> 个月内，乙方应当自付费用做好本项目范围内的现场清理及恢复工作。</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7、因乙方原因，致使本工程验收不合格的（包括不能一次性合格通过的），甲方有权暂停支付专营补贴。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第三十条  工程建设保险</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1、乙方应当负责在建设期内为本项目足额投保建设期内的一切必要保险，包括建设安装工程一切险（含第三者责任险），确保该等保险在本项目建设期内持续有效，并将贷款银行作为保险第一受益人。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2、保险赔偿的费用用于本项目及/或被保险人的财产及/或人身损失的赔偿，保险受偿规定按照保险协议具体约定执行。</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3、乙方应及时将本项目建设期内的所有保险单证副本及时交甲方备案。</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第三十一条  工程保修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1、保修范围和内容：</w:t>
      </w:r>
      <w:r>
        <w:rPr>
          <w:rFonts w:ascii="宋体" w:hAnsi="宋体"/>
          <w:sz w:val="24"/>
          <w:szCs w:val="24"/>
          <w:u w:val="single"/>
        </w:rPr>
        <w:t>                    </w:t>
      </w:r>
      <w:r>
        <w:rPr>
          <w:rFonts w:ascii="宋体" w:hAnsi="宋体"/>
          <w:sz w:val="24"/>
          <w:szCs w:val="24"/>
        </w:rPr>
        <w:t> （保修范围基于本项目所有设施，具体按双方约定或相关法律规定执行）。</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2、质量保修期：以设计文件规定的该工程的合理使用期限为准或按照《建设工程质量管理条例》的有关规定执行。</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3、缺陷责任期：</w:t>
      </w:r>
      <w:r>
        <w:rPr>
          <w:rFonts w:ascii="宋体" w:hAnsi="宋体"/>
          <w:sz w:val="24"/>
          <w:szCs w:val="24"/>
          <w:u w:val="single"/>
        </w:rPr>
        <w:t>        </w:t>
      </w:r>
      <w:r>
        <w:rPr>
          <w:rFonts w:ascii="宋体" w:hAnsi="宋体"/>
          <w:sz w:val="24"/>
          <w:szCs w:val="24"/>
        </w:rPr>
        <w:t> 年，自本项目通过竣工验收之日起算。</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第三十二条  建设期监管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1、乙方在本工程建设期间应当接受建设行政主管部门及其他职责机构就本项目质量、安全等方面依照法定职责及本协议相关约定实施的监管。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2、甲方有权对本项目工程全程实施监督，监督范围和内容包括但不限于以下：</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（1）参与工程各阶段招标工作，审核相关招标文件；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（2）参与工程各阶段设计文件的审查；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（3）参与工程重大施工技术方案的会审；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（4）参与单位工程及本项目的竣工验收；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（5）参与工程安全、质量事故的调查、处理和监督整改；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（6）审定重大设计变更；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（7）监督工程建设的安全与质量、检查施工现场及相关技术资料的规范性；</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（8）监督工程进度，审定重大进度计划的调整；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（9）可能对本项目建设有重大影响的其他事项。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3、甲方有权按</w:t>
      </w:r>
      <w:r>
        <w:rPr>
          <w:rFonts w:ascii="宋体" w:hAnsi="宋体"/>
          <w:sz w:val="24"/>
          <w:szCs w:val="24"/>
          <w:u w:val="single"/>
        </w:rPr>
        <w:t>                    </w:t>
      </w:r>
      <w:r>
        <w:rPr>
          <w:rFonts w:ascii="宋体" w:hAnsi="宋体"/>
          <w:sz w:val="24"/>
          <w:szCs w:val="24"/>
        </w:rPr>
        <w:t> 市重大工程相关要求检查、监督本项目进度情况，定期或不定期检查本项目质量，抽查本项目工程监理部门的相关资料，按行业有关规范对本项目工程安全、文明施工等进行监管。对于检查、监管中发现的问题有权提出整改意见，并按有关规定提请执法部门对责任单位和责任人作出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4、乙方应按工程项目管理要求向甲方提交月度、年度统计报表。</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乙方应同时接受市政设施监管机构依法实施的监督管理，其建设行为应满足市政设施监管机构实施监管过程中为确保项目建成后功能完善、安全运行、便于维护提出的具体要求。市政设施监管部门对本项目建设过程中的监管行为，均视为甲方的监管行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6、乙方的行为不符合建设行政主管部门、市政设施监管机构及其他有权机构依照法律规定及本协议约定监管要求或整改指示的，视为乙方在本协议项下的违约。</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为确保本项目工程质量，乙方应当并要求相关的施工单位、供应商等按招标文件要求而进行采购相关材料和设备。即使有经甲方认可用于本项目建设的材料、设备或经双方协商确认后的材料和设备，也并不减轻和免除乙方在本项目建设过程中应承担的所有义务或责任，且甲方不承担任何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第三十三条  建设期违约及其处理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1、乙方的资本金不能及时足额到位的，乙方应及时纠正，在甲方指定期限内拒不纠正的，甲方有权取消其专营权，终止本协议。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以不限制或影响双方在本协议项下其他权利和义务为前提，在建设期内因乙方造成的建设期延误而导致本项目未能在本协议约定的日期竣工验收的，构成重大违约，乙方应当承担违约责任。在此情形下，乙方每逾期一日应向甲方支付相当于运营期内每年专营补贴</w:t>
      </w:r>
      <w:r>
        <w:rPr>
          <w:rFonts w:ascii="宋体" w:hAnsi="宋体"/>
          <w:sz w:val="24"/>
          <w:szCs w:val="24"/>
          <w:u w:val="single"/>
        </w:rPr>
        <w:t>        </w:t>
      </w:r>
      <w:r>
        <w:rPr>
          <w:rFonts w:ascii="宋体" w:hAnsi="宋体"/>
          <w:sz w:val="24"/>
          <w:szCs w:val="24"/>
        </w:rPr>
        <w:t>%的违约金。</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3、乙方擅自变更经批准的本项目设计文件或应履行报批手续而未报批的，应予纠正；情节严重构成犯罪的，依法承担相应的刑事责任。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4、乙方有下列行为之一的，应在收到甲方通知后立即予以纠正，情况严重的由政府有权部门给予处罚：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（1）迫使承包方以低于成本的价格竞标的；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（2）任意压缩合理工期的；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（3）明示或暗示设计单位或施工单位违反工程建设强制性标准，降低工程质量的；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（4）按规定必须审查之施工图设计文件未经审查或审查不合格，擅自施工的；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（5）未实行工程监理的；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（6）安全生产与文明施工违反国家及    省/市有关规定的；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（7）未按照国家规定办理工程质量监督手续的；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（8）明示或暗示施工单位使用不合格的建筑材料、建筑构配件和设备的；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（9）未按相关规定将竣工验收报告、有关认可文件等报送备案的。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5、乙方有下列行为之一的，责令改正；给甲方造成损失的，依法承担赔偿责任：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（1）未组织竣工验收擅自将本项目投入运营的；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（2）竣工验收不合格擅自将本项目投入运营的；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（3）以弄虚作假、隐瞒等方式致使验收单位或验收组对不合格的工程部分按照合格工程验收的。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6、本项目竣工验收合格后，乙方未向建设行政主管部门或其他有关部门移交建设项目档案的，应在收到甲方通知后立即予以纠正。</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Fonts w:hint="eastAsia" w:ascii="宋体" w:hAnsi="宋体" w:eastAsia="宋体" w:cs="宋体"/>
          <w:sz w:val="24"/>
          <w:szCs w:val="24"/>
        </w:rPr>
        <w:t>第七章</w:t>
      </w:r>
      <w:r>
        <w:rPr>
          <w:rFonts w:ascii="宋体" w:hAnsi="宋体" w:eastAsia="Times New Roman"/>
          <w:sz w:val="24"/>
          <w:szCs w:val="24"/>
        </w:rPr>
        <w:t xml:space="preserve">  </w:t>
      </w:r>
      <w:r>
        <w:rPr>
          <w:rFonts w:hint="eastAsia" w:ascii="宋体" w:hAnsi="宋体" w:eastAsia="宋体" w:cs="宋体"/>
          <w:sz w:val="24"/>
          <w:szCs w:val="24"/>
        </w:rPr>
        <w:t>项目运营和服务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第三十四条  政府提供的外部条件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1、甲方应积极按照本协议约定，为项目公司对本项目的运营创造良好的政策和法律环境，保障本项目安全、有效地运营。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2、甲方应尽最大努力协助乙方从政府部门获得与本项目运营相关的一切批准或类似手续。</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3、甲方应协助乙方以公平价格并按照不低于与乙方提供大致相同服务的其他企业可以得到的条件获得项目运营所需的所有公用设施，包括水、电、通讯设施。</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第三十五条  试运营和正式运营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1、乙方应确保本项目于建设期届满（由双方根据具体项目情况协商确定）进入试运营阶段。</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（1）试运营的前提条件为：</w:t>
      </w:r>
      <w:r>
        <w:rPr>
          <w:rFonts w:ascii="宋体" w:hAnsi="宋体"/>
          <w:sz w:val="24"/>
          <w:szCs w:val="24"/>
          <w:u w:val="single"/>
        </w:rPr>
        <w:t>                    </w:t>
      </w:r>
      <w:r>
        <w:rPr>
          <w:rFonts w:ascii="宋体" w:hAnsi="宋体"/>
          <w:sz w:val="24"/>
          <w:szCs w:val="24"/>
        </w:rPr>
        <w:t> （由双方根据具体项目情况协商确定）。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（2）试运营阶段的费用由乙方承担。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2、乙方应确保本项目于本协议项下运营期开始后即投入正式运营阶段。</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（1）正式运营的前提条件为：</w:t>
      </w:r>
      <w:r>
        <w:rPr>
          <w:rFonts w:ascii="宋体" w:hAnsi="宋体"/>
          <w:sz w:val="24"/>
          <w:szCs w:val="24"/>
          <w:u w:val="single"/>
        </w:rPr>
        <w:t>                    </w:t>
      </w:r>
      <w:r>
        <w:rPr>
          <w:rFonts w:ascii="宋体" w:hAnsi="宋体"/>
          <w:sz w:val="24"/>
          <w:szCs w:val="24"/>
        </w:rPr>
        <w:t> （如本项目顺利通过竣工验收;甲方合理要求的其他条件得到满足）。</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（2）正式运营阶段开始的时间为乙方收到甲方书面确认之日。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第三十六条  运营服务标准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u w:val="single"/>
        </w:rPr>
        <w:t>                    </w:t>
      </w:r>
      <w:r>
        <w:rPr>
          <w:rFonts w:ascii="宋体" w:hAnsi="宋体"/>
          <w:sz w:val="24"/>
          <w:szCs w:val="24"/>
        </w:rPr>
        <w:t> （由双方根据具体项目情况协商确定。）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第三十七条  运营服务要求变更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1、未经双方协商一致，本协议约定的运营服务标准不得随意变动。</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2、如因政策或外部环境发生重大变化等原因导致确有必要变更运营服务标准的，须经甲乙双方协商一致，明确新增投资和运营费用承担责任并经甲方或</w:t>
      </w:r>
      <w:r>
        <w:rPr>
          <w:rFonts w:ascii="宋体" w:hAnsi="宋体"/>
          <w:sz w:val="24"/>
          <w:szCs w:val="24"/>
          <w:u w:val="single"/>
        </w:rPr>
        <w:t>        </w:t>
      </w:r>
      <w:r>
        <w:rPr>
          <w:rFonts w:ascii="宋体" w:hAnsi="宋体"/>
          <w:sz w:val="24"/>
          <w:szCs w:val="24"/>
        </w:rPr>
        <w:t> 政府批准后方可执行，并及时通知贷款银行。</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第三十八条  运营维护与修理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1、乙方应全权负责运营期间本项目的维护与修理，确保本项目相关设施的完好和适营状态。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如需聘请第三方为本项目相关设施提供运营维护服务的，乙方应当通过招投标程序或甲方认可的其他方式选择有资质的单位对本项目进行维护；乙方应当就该等第三方的行为向甲方负责并接受甲方及相关政府主管部门的监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3、运营期间本项目的维护与修理的相关费用由乙方承担。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第三十九条  更新改造和追加投资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乙方在专营期间为确保和提高本项目相关设施运营条件和服务水平而对本项目进行必要更新改造的，乙方应当事先将改造内容以专项报告形式上报甲方审批，审批后所涉及的追加投资和相关费用应列入当年的专营补贴中。</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第四十条  运营期的特别补偿</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在本项目运营期内，若由于甲方特殊要求造成乙方增加对项目的支出或减少其所获得的收入，甲方将根据相关协议约定及市场准则对乙方进行合理补偿。</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第四十一条  运营期保险</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应足额投保为本项目运营所需的一切险种并确保该等保险在本项目运营期内持续有效，贷款银行为保险第一受益人，相关保险费用由乙方承担。发生投保范围内的保险事故时，保险赔偿金优先用于偿还本项目银行贷款本息，剩余的保险赔偿金用于补偿乙方的投资回报。（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2、乙方应及时将本项目运营期内的所有保险单证副本及时交甲方备案。</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乙方理解并确认，本协议项下的乙方投保义务是为了确保甲方不承担专营期内任何双方约定范围内的因为保险事故所导致的任何风险、损失与损害。为此目的，乙方同意，在运营期间的具体保险协议中，在不可抗力事件导致本协议终止的情况下，应包括弥补甲方在该等保险事故发生时的利益补偿安排，乙方应采取一切必要的行动以使甲方或其授权的机构在该等情形下享有该等保险利益补偿安排。</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第四十二条  运营期政府监管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1、甲方有权对项目运营进行监管，乙方应当予以配合。甲方可在不影响项目正常运营的原则下安排特别监管措施，并与乙方议定费用分担方式。甲方的监管措施包括但不限于：</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（1）要求乙方提供本项目运营维护方案及年度工作计划；</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（2）要求乙方提供本项目日常运营维护记录和报告；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（3）进入项目现场进行检视、检查并根据检查结果对乙方进行奖惩；</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（4）委托专业机构对项目开展检测和评估，相关费用由乙方承担；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（5）甲方合理要求采取的其他监管措施。</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应当接受市政设施监管机构及其他有权政府部门依法对项目运营进行的监管，该等政府部门的运营监管视为甲方的监管。乙方之行为不符合市政设施监管机构发出的监管指示的，视为乙方在本协议项下对甲方的违约。</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第四十三条  运营支出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1、本项目运营支出包括运营期间本项目相关设施维护费用、水费、电费、人工费、运营过程中所涉及的财务费用、保险费用及相关水费等。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2、本项目运营支出由乙方承担。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第四 十四条 运营期违约事项和处理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1、在运营期内，若乙方未能按照本协议的要求运营维护本项目，且在收到甲方要求其按照本协议要求履行运营维护义务的书面通知后</w:t>
      </w:r>
      <w:r>
        <w:rPr>
          <w:rFonts w:ascii="宋体" w:hAnsi="宋体"/>
          <w:sz w:val="24"/>
          <w:szCs w:val="24"/>
          <w:u w:val="single"/>
        </w:rPr>
        <w:t>        </w:t>
      </w:r>
      <w:r>
        <w:rPr>
          <w:rFonts w:ascii="宋体" w:hAnsi="宋体"/>
          <w:sz w:val="24"/>
          <w:szCs w:val="24"/>
        </w:rPr>
        <w:t> 日仍未履行，甲方有权对本项目实施临时接管。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2、若乙方严重违约而致使协议目的无法实现的，甲方有权终止本协议。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3、若因甲方违约导致乙方运营成本大幅增加，或本协议约定的乙方收入和回报明显减少，双方应就补偿事项协商达成一致意见。</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Fonts w:hint="eastAsia" w:ascii="宋体" w:hAnsi="宋体" w:eastAsia="宋体" w:cs="宋体"/>
          <w:sz w:val="24"/>
          <w:szCs w:val="24"/>
        </w:rPr>
        <w:t>第八章</w:t>
      </w:r>
      <w:r>
        <w:rPr>
          <w:rFonts w:ascii="宋体" w:hAnsi="宋体" w:eastAsia="Times New Roman"/>
          <w:sz w:val="24"/>
          <w:szCs w:val="24"/>
        </w:rPr>
        <w:t xml:space="preserve"> </w:t>
      </w:r>
      <w:r>
        <w:rPr>
          <w:rFonts w:hint="eastAsia" w:ascii="宋体" w:hAnsi="宋体" w:eastAsia="宋体" w:cs="宋体"/>
          <w:sz w:val="24"/>
          <w:szCs w:val="24"/>
        </w:rPr>
        <w:t>项目移交</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第四十五条  项目移交前过渡期</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1、本项目专营期届满前</w:t>
      </w:r>
      <w:r>
        <w:rPr>
          <w:rFonts w:ascii="宋体" w:hAnsi="宋体"/>
          <w:sz w:val="24"/>
          <w:szCs w:val="24"/>
          <w:u w:val="single"/>
        </w:rPr>
        <w:t>        </w:t>
      </w:r>
      <w:r>
        <w:rPr>
          <w:rFonts w:ascii="宋体" w:hAnsi="宋体"/>
          <w:sz w:val="24"/>
          <w:szCs w:val="24"/>
        </w:rPr>
        <w:t> 个月为移交过渡期。</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2、甲乙双方应当在专营期届满前</w:t>
      </w:r>
      <w:r>
        <w:rPr>
          <w:rFonts w:ascii="宋体" w:hAnsi="宋体"/>
          <w:sz w:val="24"/>
          <w:szCs w:val="24"/>
          <w:u w:val="single"/>
        </w:rPr>
        <w:t>        </w:t>
      </w:r>
      <w:r>
        <w:rPr>
          <w:rFonts w:ascii="宋体" w:hAnsi="宋体"/>
          <w:sz w:val="24"/>
          <w:szCs w:val="24"/>
        </w:rPr>
        <w:t> 个月内进行磋商，并就本项目移交详细安排达成一致意见。乙方应向甲方提交拟移交的设施、设备和物品详细清单、移交的技术环节及负责移交的代表姓名及联系方式，甲方应将负责接收的代表姓名及联系方式通知乙方。于甲方或其指定的资产接收人要求时，乙方应积极配合办理本项目移交所需之相关手续。</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在本项目移交前一年，乙方应对本项目设施状况进行全面检修，并按政府有关部门确认的实施方案实施。应当移交的资产必须接受权威质量监测评估部门及其他有权部门的全面检查，并聘请专家组成专家委员会进行综合评审，相关费用由乙方承担。乙方应对评审中发现的缺陷进行修复。</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第四十六条  项目移交</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专营期届满后，在甲方已按照本协议约定向乙方支付了相应项目专营补贴的前提下，乙方应将包括但不限于如下经竣工审计确定投资形成的资产（正常损耗的除外）与相关资料无偿移交给甲方或政府指定的资产接收单位：</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（1）项目设施；</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（2）项目土地使用权及项目用地相关的其他权利；</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（3）本项目范围内的固定资产、设备器材所有权及运营期间增添形成的固定资产；</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（4）本项目运营期间的运营手册、运营简介、运营维护程序和方法、规则；</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（5）与本项目建设、运营相关的财务资料；</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（6）为本项目继续运营所需的其他一切资料、文件；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（7）本项目所有未到期的保险和维修权益；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（8）乙方在专营期内签署的所有未到期的协议项下的权益；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（9）与本项目运营维护有关的所有技术、实施产权的使用权；</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（10）与本项目密切相关的无形资产；</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（11）本项目完整的养护资料；</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（12）本项目运营期间按规定提取但未使用的养护及更新、重置费用；</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（13）与本项目有关的其他权利或权益。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2、专营期届满前</w:t>
      </w:r>
      <w:r>
        <w:rPr>
          <w:rFonts w:ascii="宋体" w:hAnsi="宋体"/>
          <w:sz w:val="24"/>
          <w:szCs w:val="24"/>
          <w:u w:val="single"/>
        </w:rPr>
        <w:t>        </w:t>
      </w:r>
      <w:r>
        <w:rPr>
          <w:rFonts w:ascii="宋体" w:hAnsi="宋体"/>
          <w:sz w:val="24"/>
          <w:szCs w:val="24"/>
        </w:rPr>
        <w:t> 个月内，乙方应向甲方移交前款所述的所有内容。乙方应保证移交时本项目设施处于良好运营状态，维护妥善（正常损耗除外）。如未达到上述标准，乙方应继续整改直至达到本协议要求。在未达到本协议约定移交标准之前，乙方的移交义务视为未完成。除非另有约定，乙方为履行移交义务的整改所需的时间应计入专营期而不予顺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专营期届满前，乙方应及时清理债权债务，移交的资产在移交时不得存在由于抵押、质押、留置或任何其他形式的担保或权利负担或瑕疵。专营期届满或提前终止后，甲方或甲方/政府指定的机构不承担乙方在专营期间所形成的任何与本项目有关或无关的债务或负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4、乙方履行完毕本协议项下的移交义务后，由甲方签发移交完毕确认文件，移交完毕确认文件签发之日为移交工作完成日。甲方仍应在移交工作完成后与乙方进行项目结算并支付相应的费用（如需）。</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5、自甲方签发移交完毕确认文件完毕之日起，本协议项下的权利义务终止。未经甲方重新许可，乙方不再拥有本项目专营权。与本项目有关的资产和权利归甲方享有。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6、以满足本协议约定的移交标准为前提，甲方或政府指定的资产接收人应于专营期届满前完成接管。若移交期需要顺延，在此期间内，乙方仍应继续履行保管职责，维持本项目的正常运营。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7、专营期届满后，如政府继续对本项目实施专营的，同等条件下乙方享有优先权。</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第四十七条  移交质量保证</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1、在移交日，乙方应保证本项目处于良好运营状况，得到良好维护（正常损耗除外），并符合国家有关法律法规规定的安全、质量和环境标准。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2、本项目专营期届满移交后，乙方对本项目设施管理中出现的任何问题不再承担责任，但下述情况除外：</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（1）因乙方在专营期间之故意、过错、疏忽或不当行为而造成之责任；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（2）因乙方就其移交资料或设施侵犯第三方权利而造成之责任；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（3）因专营期内的项目设施存在重大瑕疵或隐患导致在移交后造成的损害和损失；</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（4）因乙方未按照本协议所要求之标准对本项目进行建设、维护与运营而造成之责任。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3、乙方进一步保证在移交日后</w:t>
      </w:r>
      <w:r>
        <w:rPr>
          <w:rFonts w:ascii="宋体" w:hAnsi="宋体"/>
          <w:sz w:val="24"/>
          <w:szCs w:val="24"/>
          <w:u w:val="single"/>
        </w:rPr>
        <w:t>        </w:t>
      </w:r>
      <w:r>
        <w:rPr>
          <w:rFonts w:ascii="宋体" w:hAnsi="宋体"/>
          <w:sz w:val="24"/>
          <w:szCs w:val="24"/>
        </w:rPr>
        <w:t> 个月内，对由于项目设施、设备、材料、工艺或设计问题或乙方在专营权期间的任何操作失误造成的本项目设施出现的任何缺陷或损坏（正常损耗除外）由乙方负责修复。</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第四十八条  项目移交违约及处理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1、乙方未能在本协议约定的移交期内向甲方履行本协议约定的移交义务的，甲方可以从保证金中按照如下标准扣除相应的金额作为逾期移交违约金：运营期内每年应支付的专营补贴÷365×逾期天数。</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2、移交期届满之日起满</w:t>
      </w:r>
      <w:r>
        <w:rPr>
          <w:rFonts w:ascii="宋体" w:hAnsi="宋体"/>
          <w:sz w:val="24"/>
          <w:szCs w:val="24"/>
          <w:u w:val="single"/>
        </w:rPr>
        <w:t>        </w:t>
      </w:r>
      <w:r>
        <w:rPr>
          <w:rFonts w:ascii="宋体" w:hAnsi="宋体"/>
          <w:sz w:val="24"/>
          <w:szCs w:val="24"/>
        </w:rPr>
        <w:t> 天，乙方仍无法完成移交义务的，由甲乙双方共同选定一家评估机构对无法移交部分进行价值评估，价值评估完成后，对于无法移交部分由甲方在移交保证金中按评估价值扣除相应金额，不足部分由乙方在</w:t>
      </w:r>
      <w:r>
        <w:rPr>
          <w:rFonts w:ascii="宋体" w:hAnsi="宋体"/>
          <w:sz w:val="24"/>
          <w:szCs w:val="24"/>
          <w:u w:val="single"/>
        </w:rPr>
        <w:t>        </w:t>
      </w:r>
      <w:r>
        <w:rPr>
          <w:rFonts w:ascii="宋体" w:hAnsi="宋体"/>
          <w:sz w:val="24"/>
          <w:szCs w:val="24"/>
        </w:rPr>
        <w:t> 天内补足，未及时补足部分按逾期每日</w:t>
      </w:r>
      <w:r>
        <w:rPr>
          <w:rFonts w:ascii="宋体" w:hAnsi="宋体"/>
          <w:sz w:val="24"/>
          <w:szCs w:val="24"/>
          <w:u w:val="single"/>
        </w:rPr>
        <w:t>        </w:t>
      </w:r>
      <w:r>
        <w:rPr>
          <w:rFonts w:ascii="宋体" w:hAnsi="宋体"/>
          <w:sz w:val="24"/>
          <w:szCs w:val="24"/>
        </w:rPr>
        <w:t>%支付逾期利息。</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Fonts w:hint="eastAsia" w:ascii="宋体" w:hAnsi="宋体" w:eastAsia="宋体" w:cs="宋体"/>
          <w:sz w:val="24"/>
          <w:szCs w:val="24"/>
        </w:rPr>
        <w:t>第九章</w:t>
      </w:r>
      <w:r>
        <w:rPr>
          <w:rFonts w:ascii="宋体" w:hAnsi="宋体" w:eastAsia="Times New Roman"/>
          <w:sz w:val="24"/>
          <w:szCs w:val="24"/>
        </w:rPr>
        <w:t xml:space="preserve"> </w:t>
      </w:r>
      <w:r>
        <w:rPr>
          <w:rFonts w:hint="eastAsia" w:ascii="宋体" w:hAnsi="宋体" w:eastAsia="宋体" w:cs="宋体"/>
          <w:sz w:val="24"/>
          <w:szCs w:val="24"/>
        </w:rPr>
        <w:t>收入和回报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第四十九条  收入和回报机制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本项目项下乙方的收入和回报如下：</w:t>
      </w:r>
      <w:r>
        <w:rPr>
          <w:rFonts w:ascii="宋体" w:hAnsi="宋体"/>
          <w:sz w:val="24"/>
          <w:szCs w:val="24"/>
          <w:u w:val="single"/>
        </w:rPr>
        <w:t>                    </w:t>
      </w:r>
      <w:r>
        <w:rPr>
          <w:rFonts w:ascii="宋体" w:hAnsi="宋体"/>
          <w:sz w:val="24"/>
          <w:szCs w:val="24"/>
        </w:rPr>
        <w:t> （根据具体项目情况选择适用1、2、3款）</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1、对于使用者付费+政府缺口补贴项目：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（1）乙方有权获取本项目运营期间的全部运营收入。</w:t>
      </w:r>
      <w:r>
        <w:rPr>
          <w:rFonts w:ascii="宋体" w:hAnsi="宋体"/>
          <w:sz w:val="24"/>
          <w:szCs w:val="24"/>
          <w:u w:val="single"/>
        </w:rPr>
        <w:t>                    </w:t>
      </w:r>
      <w:r>
        <w:rPr>
          <w:rFonts w:ascii="宋体" w:hAnsi="宋体"/>
          <w:sz w:val="24"/>
          <w:szCs w:val="24"/>
        </w:rPr>
        <w:t> （社会投资主体）可按照项目公司章程和股东协议的约定获得</w:t>
      </w:r>
      <w:r>
        <w:rPr>
          <w:rFonts w:ascii="宋体" w:hAnsi="宋体"/>
          <w:sz w:val="24"/>
          <w:szCs w:val="24"/>
          <w:u w:val="single"/>
        </w:rPr>
        <w:t>                    </w:t>
      </w:r>
      <w:r>
        <w:rPr>
          <w:rFonts w:ascii="宋体" w:hAnsi="宋体"/>
          <w:sz w:val="24"/>
          <w:szCs w:val="24"/>
        </w:rPr>
        <w:t> （全部/相应比例）的利润分红；</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（2）甲方应当按照本协议的约定向乙方提供政府专营补贴并应当确保本协议约定的相关政府专营补贴纳入</w:t>
      </w:r>
      <w:r>
        <w:rPr>
          <w:rFonts w:ascii="宋体" w:hAnsi="宋体"/>
          <w:sz w:val="24"/>
          <w:szCs w:val="24"/>
          <w:u w:val="single"/>
        </w:rPr>
        <w:t>                    </w:t>
      </w:r>
      <w:r>
        <w:rPr>
          <w:rFonts w:ascii="宋体" w:hAnsi="宋体"/>
          <w:sz w:val="24"/>
          <w:szCs w:val="24"/>
        </w:rPr>
        <w:t> 政府财政预算并提供相应的</w:t>
      </w:r>
      <w:r>
        <w:rPr>
          <w:rFonts w:ascii="宋体" w:hAnsi="宋体"/>
          <w:sz w:val="24"/>
          <w:szCs w:val="24"/>
          <w:u w:val="single"/>
        </w:rPr>
        <w:t>                    </w:t>
      </w:r>
      <w:r>
        <w:rPr>
          <w:rFonts w:ascii="宋体" w:hAnsi="宋体"/>
          <w:sz w:val="24"/>
          <w:szCs w:val="24"/>
        </w:rPr>
        <w:t> 政府同级人大决议或其他合法有效的审批文件，该等人大决议或审批文件作为本协议附件三。（该款为必备条款，原则上不得删、改）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2、对于政府付费项目：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（1）甲方以支付</w:t>
      </w:r>
      <w:r>
        <w:rPr>
          <w:rFonts w:ascii="宋体" w:hAnsi="宋体"/>
          <w:sz w:val="24"/>
          <w:szCs w:val="24"/>
          <w:u w:val="single"/>
        </w:rPr>
        <w:t>                    </w:t>
      </w:r>
      <w:r>
        <w:rPr>
          <w:rFonts w:ascii="宋体" w:hAnsi="宋体"/>
          <w:sz w:val="24"/>
          <w:szCs w:val="24"/>
        </w:rPr>
        <w:t> （如污水处理服务费/生态环境治理费等，可根据具体项目情况调整或补充）的方式向乙方购买本协议项下乙方就本项目提供的相关服务，该等政府支付费用</w:t>
      </w:r>
      <w:r>
        <w:rPr>
          <w:rFonts w:ascii="宋体" w:hAnsi="宋体"/>
          <w:sz w:val="24"/>
          <w:szCs w:val="24"/>
          <w:u w:val="single"/>
        </w:rPr>
        <w:t>                    </w:t>
      </w:r>
      <w:r>
        <w:rPr>
          <w:rFonts w:ascii="宋体" w:hAnsi="宋体"/>
          <w:sz w:val="24"/>
          <w:szCs w:val="24"/>
        </w:rPr>
        <w:t> （如社会投资者出资的主体投入本项目的全部投资本金加上</w:t>
      </w:r>
      <w:r>
        <w:rPr>
          <w:rFonts w:ascii="宋体" w:hAnsi="宋体"/>
          <w:sz w:val="24"/>
          <w:szCs w:val="24"/>
          <w:u w:val="single"/>
        </w:rPr>
        <w:t>        </w:t>
      </w:r>
      <w:r>
        <w:rPr>
          <w:rFonts w:ascii="宋体" w:hAnsi="宋体"/>
          <w:sz w:val="24"/>
          <w:szCs w:val="24"/>
        </w:rPr>
        <w:t>%/年的投资收益）。甲方应当于本协议签署后</w:t>
      </w:r>
      <w:r>
        <w:rPr>
          <w:rFonts w:ascii="宋体" w:hAnsi="宋体"/>
          <w:sz w:val="24"/>
          <w:szCs w:val="24"/>
          <w:u w:val="single"/>
        </w:rPr>
        <w:t>        </w:t>
      </w:r>
      <w:r>
        <w:rPr>
          <w:rFonts w:ascii="宋体" w:hAnsi="宋体"/>
          <w:sz w:val="24"/>
          <w:szCs w:val="24"/>
        </w:rPr>
        <w:t> 日内向乙方支付</w:t>
      </w:r>
      <w:r>
        <w:rPr>
          <w:rFonts w:ascii="宋体" w:hAnsi="宋体"/>
          <w:sz w:val="24"/>
          <w:szCs w:val="24"/>
          <w:u w:val="single"/>
        </w:rPr>
        <w:t>        </w:t>
      </w:r>
      <w:r>
        <w:rPr>
          <w:rFonts w:ascii="宋体" w:hAnsi="宋体"/>
          <w:sz w:val="24"/>
          <w:szCs w:val="24"/>
        </w:rPr>
        <w:t>%的费用，其余费用由甲方按年以等额方式在专营期内每</w:t>
      </w:r>
      <w:r>
        <w:rPr>
          <w:rFonts w:ascii="宋体" w:hAnsi="宋体"/>
          <w:sz w:val="24"/>
          <w:szCs w:val="24"/>
          <w:u w:val="single"/>
        </w:rPr>
        <w:t>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日前向乙方支付；</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（2）甲方应确保其应向乙方支付的上述本项目相关的</w:t>
      </w:r>
      <w:r>
        <w:rPr>
          <w:rFonts w:ascii="宋体" w:hAnsi="宋体"/>
          <w:sz w:val="24"/>
          <w:szCs w:val="24"/>
          <w:u w:val="single"/>
        </w:rPr>
        <w:t>                    </w:t>
      </w:r>
      <w:r>
        <w:rPr>
          <w:rFonts w:ascii="宋体" w:hAnsi="宋体"/>
          <w:sz w:val="24"/>
          <w:szCs w:val="24"/>
        </w:rPr>
        <w:t> （如污水处理服务费、生态环境治理费等）等资金纳入</w:t>
      </w:r>
      <w:r>
        <w:rPr>
          <w:rFonts w:ascii="宋体" w:hAnsi="宋体"/>
          <w:sz w:val="24"/>
          <w:szCs w:val="24"/>
          <w:u w:val="single"/>
        </w:rPr>
        <w:t>                    </w:t>
      </w:r>
      <w:r>
        <w:rPr>
          <w:rFonts w:ascii="宋体" w:hAnsi="宋体"/>
          <w:sz w:val="24"/>
          <w:szCs w:val="24"/>
        </w:rPr>
        <w:t> 政府财政预算并提供相应的</w:t>
      </w:r>
      <w:r>
        <w:rPr>
          <w:rFonts w:ascii="宋体" w:hAnsi="宋体"/>
          <w:sz w:val="24"/>
          <w:szCs w:val="24"/>
          <w:u w:val="single"/>
        </w:rPr>
        <w:t>                    </w:t>
      </w:r>
      <w:r>
        <w:rPr>
          <w:rFonts w:ascii="宋体" w:hAnsi="宋体"/>
          <w:sz w:val="24"/>
          <w:szCs w:val="24"/>
        </w:rPr>
        <w:t> 政府同级人大决议或其他合法有效的审批文件，该等人大决议或审批文件作为本协议附件三。（该款为必备条款，原则上不得删、改）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3、对于使用者付费项目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（1）乙方有权获取本项目建成后专营期内的全部收费收入（社会投资主体可按照项目公司章程和股东协议的约定获得全部/相应比例的分成）；</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（2）甲方应当确保专营期内社会投资主体实际分得的本项目收费收入不低于投入本项目的全部投资本金加上</w:t>
      </w:r>
      <w:r>
        <w:rPr>
          <w:rFonts w:ascii="宋体" w:hAnsi="宋体"/>
          <w:sz w:val="24"/>
          <w:szCs w:val="24"/>
          <w:u w:val="single"/>
        </w:rPr>
        <w:t>        </w:t>
      </w:r>
      <w:r>
        <w:rPr>
          <w:rFonts w:ascii="宋体" w:hAnsi="宋体"/>
          <w:sz w:val="24"/>
          <w:szCs w:val="24"/>
        </w:rPr>
        <w:t>%/年的投资收益。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第五十条  项目专营补贴及资金支付</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（1）除非本协议另有约定，甲方或其授权部门应当在专营期内向乙方提供专营补贴，以确保社会资本在专营期内收回全部投资本金并取得约</w:t>
      </w:r>
      <w:r>
        <w:rPr>
          <w:rFonts w:ascii="宋体" w:hAnsi="宋体"/>
          <w:sz w:val="24"/>
          <w:szCs w:val="24"/>
          <w:u w:val="single"/>
        </w:rPr>
        <w:t>        </w:t>
      </w:r>
      <w:r>
        <w:rPr>
          <w:rFonts w:ascii="宋体" w:hAnsi="宋体"/>
          <w:sz w:val="24"/>
          <w:szCs w:val="24"/>
        </w:rPr>
        <w:t>%/年的投资收益。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（2）专营期内各年专营补贴确定方式如下：</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专营期内第N年PPP项目政府财政补贴金额=当年应偿还银行贷款本金及应支付利息+社会投资主体针对PPP项目当年应取得的投资回报（包括投资本金及投资收益）+PPP项目当年运营成本+PPP项目当年管理成本+PPP项目当年全部应缴税费-PPP项目当年运营收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其中：PPP项目当年运营成本为保障PPP项目正常经营所发生的当年直接维护、运营等成本，PPP项目当年管理成本为项目公司针对PPP项目的当年日常经营管理成本，PPP项目当年运营收入指项目公司针对PPP项目当年取得的全部经营性收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（3）根据目前测算的项目公司经营情况，建设期内专营补贴总金额为人民币</w:t>
      </w:r>
      <w:r>
        <w:rPr>
          <w:rFonts w:ascii="宋体" w:hAnsi="宋体"/>
          <w:sz w:val="24"/>
          <w:szCs w:val="24"/>
          <w:u w:val="single"/>
        </w:rPr>
        <w:t xml:space="preserve">        </w:t>
      </w:r>
      <w:r>
        <w:rPr>
          <w:rFonts w:ascii="宋体" w:hAnsi="宋体"/>
          <w:sz w:val="24"/>
          <w:szCs w:val="24"/>
        </w:rPr>
        <w:t>元，运营期内每年的专营补贴金额为人民币</w:t>
      </w:r>
      <w:r>
        <w:rPr>
          <w:rFonts w:ascii="宋体" w:hAnsi="宋体"/>
          <w:sz w:val="24"/>
          <w:szCs w:val="24"/>
          <w:u w:val="single"/>
        </w:rPr>
        <w:t xml:space="preserve">        </w:t>
      </w:r>
      <w:r>
        <w:rPr>
          <w:rFonts w:ascii="宋体" w:hAnsi="宋体"/>
          <w:sz w:val="24"/>
          <w:szCs w:val="24"/>
        </w:rPr>
        <w:t>元，建设期和运营期专营补贴共计人民币</w:t>
      </w:r>
      <w:r>
        <w:rPr>
          <w:rFonts w:ascii="宋体" w:hAnsi="宋体"/>
          <w:sz w:val="24"/>
          <w:szCs w:val="24"/>
          <w:u w:val="single"/>
        </w:rPr>
        <w:t xml:space="preserve">        </w:t>
      </w:r>
      <w:r>
        <w:rPr>
          <w:rFonts w:ascii="宋体" w:hAnsi="宋体"/>
          <w:sz w:val="24"/>
          <w:szCs w:val="24"/>
        </w:rPr>
        <w:t>元。本项目专营期内政府在各年应支付的财政补贴金额测算详见本协议附件四。（专营期内，按照本条第（2）款确定的公式计算的政府每年应支付的财政补贴金额与本协议附件四中列明的当年补贴款金额不一致的，以按照本条第（2）款确定的公式计算的补贴金额为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（4）对于建设期的专营补贴，甲方应当在</w:t>
      </w:r>
      <w:r>
        <w:rPr>
          <w:rFonts w:ascii="宋体" w:hAnsi="宋体"/>
          <w:sz w:val="24"/>
          <w:szCs w:val="24"/>
          <w:u w:val="single"/>
        </w:rPr>
        <w:t>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日向乙方一次性支付。对于运营期的专营补贴，甲方应当在每年的</w:t>
      </w:r>
      <w:r>
        <w:rPr>
          <w:rFonts w:ascii="宋体" w:hAnsi="宋体"/>
          <w:sz w:val="24"/>
          <w:szCs w:val="24"/>
          <w:u w:val="single"/>
        </w:rPr>
        <w:t>        </w:t>
      </w:r>
      <w:r>
        <w:rPr>
          <w:rFonts w:ascii="宋体" w:hAnsi="宋体"/>
          <w:sz w:val="24"/>
          <w:szCs w:val="24"/>
        </w:rPr>
        <w:t>月</w:t>
      </w:r>
      <w:r>
        <w:rPr>
          <w:rFonts w:ascii="宋体" w:hAnsi="宋体"/>
          <w:sz w:val="24"/>
          <w:szCs w:val="24"/>
          <w:u w:val="single"/>
        </w:rPr>
        <w:t xml:space="preserve">        </w:t>
      </w:r>
      <w:r>
        <w:rPr>
          <w:rFonts w:ascii="宋体" w:hAnsi="宋体"/>
          <w:sz w:val="24"/>
          <w:szCs w:val="24"/>
        </w:rPr>
        <w:t>日和</w:t>
      </w:r>
      <w:r>
        <w:rPr>
          <w:rFonts w:ascii="宋体" w:hAnsi="宋体"/>
          <w:sz w:val="24"/>
          <w:szCs w:val="24"/>
          <w:u w:val="single"/>
        </w:rPr>
        <w:t>        </w:t>
      </w:r>
      <w:r>
        <w:rPr>
          <w:rFonts w:ascii="宋体" w:hAnsi="宋体"/>
          <w:sz w:val="24"/>
          <w:szCs w:val="24"/>
        </w:rPr>
        <w:t>月</w:t>
      </w:r>
      <w:r>
        <w:rPr>
          <w:rFonts w:ascii="宋体" w:hAnsi="宋体"/>
          <w:sz w:val="24"/>
          <w:szCs w:val="24"/>
          <w:u w:val="single"/>
        </w:rPr>
        <w:t xml:space="preserve">        </w:t>
      </w:r>
      <w:r>
        <w:rPr>
          <w:rFonts w:ascii="宋体" w:hAnsi="宋体"/>
          <w:sz w:val="24"/>
          <w:szCs w:val="24"/>
        </w:rPr>
        <w:t>日分别向乙方支付当年专营补贴款的1/2。在每个专营补贴款支付日到期前</w:t>
      </w:r>
      <w:r>
        <w:rPr>
          <w:rFonts w:ascii="宋体" w:hAnsi="宋体"/>
          <w:sz w:val="24"/>
          <w:szCs w:val="24"/>
          <w:u w:val="single"/>
        </w:rPr>
        <w:t>        </w:t>
      </w:r>
      <w:r>
        <w:rPr>
          <w:rFonts w:ascii="宋体" w:hAnsi="宋体"/>
          <w:sz w:val="24"/>
          <w:szCs w:val="24"/>
        </w:rPr>
        <w:t> 个工作日前，乙方应当向甲方出具协议法有效的财务收款凭据，甲方在收到该等收款凭据后按照本协议约定向乙方支付专营补贴款。</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（5）本协议项下资金支付计划初步安排如下：（该款为必备条款，原则上不得删、改）</w:t>
      </w:r>
    </w:p>
    <w:tbl>
      <w:tblPr>
        <w:tblStyle w:val="20"/>
        <w:tblW w:w="8565" w:type="dxa"/>
        <w:tblInd w:w="0" w:type="dxa"/>
        <w:tblLayout w:type="fixed"/>
        <w:tblCellMar>
          <w:top w:w="15" w:type="dxa"/>
          <w:left w:w="15" w:type="dxa"/>
          <w:bottom w:w="15" w:type="dxa"/>
          <w:right w:w="15" w:type="dxa"/>
        </w:tblCellMar>
      </w:tblPr>
      <w:tblGrid>
        <w:gridCol w:w="1725"/>
        <w:gridCol w:w="1939"/>
        <w:gridCol w:w="1985"/>
        <w:gridCol w:w="2916"/>
      </w:tblGrid>
      <w:tr>
        <w:tblPrEx>
          <w:tblLayout w:type="fixed"/>
          <w:tblCellMar>
            <w:top w:w="15" w:type="dxa"/>
            <w:left w:w="15" w:type="dxa"/>
            <w:bottom w:w="15" w:type="dxa"/>
            <w:right w:w="15" w:type="dxa"/>
          </w:tblCellMar>
        </w:tblPrEx>
        <w:tc>
          <w:tcPr>
            <w:tcW w:w="1725"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期间</w:t>
            </w:r>
          </w:p>
        </w:tc>
        <w:tc>
          <w:tcPr>
            <w:tcW w:w="3924" w:type="dxa"/>
            <w:gridSpan w:val="2"/>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年度</w:t>
            </w:r>
          </w:p>
        </w:tc>
        <w:tc>
          <w:tcPr>
            <w:tcW w:w="2916"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支付金额（万元）</w:t>
            </w:r>
          </w:p>
        </w:tc>
      </w:tr>
      <w:tr>
        <w:tblPrEx>
          <w:tblLayout w:type="fixed"/>
          <w:tblCellMar>
            <w:top w:w="15" w:type="dxa"/>
            <w:left w:w="15" w:type="dxa"/>
            <w:bottom w:w="15" w:type="dxa"/>
            <w:right w:w="15" w:type="dxa"/>
          </w:tblCellMar>
        </w:tblPrEx>
        <w:tc>
          <w:tcPr>
            <w:tcW w:w="1725" w:type="dxa"/>
            <w:vMerge w:val="restart"/>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建设期</w:t>
            </w: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第1年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第2年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第3年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restart"/>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运营期</w:t>
            </w: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第4年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第5年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第6年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第7年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第8年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第9年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第10年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第11年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第12年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第13年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第14年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第15年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第16年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第17年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第18年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第19年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第20年</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w:t>
            </w:r>
          </w:p>
        </w:tc>
        <w:tc>
          <w:tcPr>
            <w:tcW w:w="2916" w:type="dxa"/>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heme="minorEastAsia"/>
                <w:sz w:val="24"/>
                <w:szCs w:val="24"/>
              </w:rPr>
            </w:pPr>
          </w:p>
        </w:tc>
        <w:tc>
          <w:tcPr>
            <w:tcW w:w="1939"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198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r>
        <w:tblPrEx>
          <w:tblLayout w:type="fixed"/>
          <w:tblCellMar>
            <w:top w:w="15" w:type="dxa"/>
            <w:left w:w="15" w:type="dxa"/>
            <w:bottom w:w="15" w:type="dxa"/>
            <w:right w:w="15" w:type="dxa"/>
          </w:tblCellMar>
        </w:tblPrEx>
        <w:tc>
          <w:tcPr>
            <w:tcW w:w="1725"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c>
          <w:tcPr>
            <w:tcW w:w="3924" w:type="dxa"/>
            <w:gridSpan w:val="2"/>
            <w:tcBorders>
              <w:top w:val="single" w:color="000000" w:sz="6" w:space="0"/>
              <w:left w:val="single" w:color="000000" w:sz="6" w:space="0"/>
              <w:bottom w:val="single" w:color="000000" w:sz="6" w:space="0"/>
              <w:right w:val="single" w:color="000000" w:sz="6" w:space="0"/>
            </w:tcBorders>
            <w:vAlign w:val="center"/>
          </w:tcPr>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合计</w:t>
            </w:r>
          </w:p>
        </w:tc>
        <w:tc>
          <w:tcPr>
            <w:tcW w:w="2916" w:type="dxa"/>
            <w:tcBorders>
              <w:top w:val="single" w:color="000000" w:sz="6" w:space="0"/>
              <w:left w:val="single" w:color="000000" w:sz="6" w:space="0"/>
              <w:bottom w:val="single" w:color="000000" w:sz="6" w:space="0"/>
              <w:right w:val="single" w:color="000000" w:sz="6" w:space="0"/>
            </w:tcBorders>
            <w:vAlign w:val="center"/>
          </w:tcPr>
          <w:p>
            <w:pPr>
              <w:pageBreakBefore w:val="0"/>
              <w:kinsoku/>
              <w:wordWrap/>
              <w:overflowPunct/>
              <w:topLinePunct w:val="0"/>
              <w:autoSpaceDE/>
              <w:autoSpaceDN/>
              <w:bidi w:val="0"/>
              <w:adjustRightInd/>
              <w:snapToGrid/>
              <w:spacing w:line="360" w:lineRule="auto"/>
              <w:textAlignment w:val="auto"/>
              <w:rPr>
                <w:rFonts w:ascii="宋体" w:hAnsi="宋体" w:eastAsia="Times New Roman"/>
                <w:sz w:val="24"/>
                <w:szCs w:val="24"/>
              </w:rPr>
            </w:pPr>
            <w:r>
              <w:rPr>
                <w:rFonts w:ascii="宋体" w:hAnsi="宋体" w:eastAsia="Times New Roman"/>
                <w:sz w:val="24"/>
                <w:szCs w:val="24"/>
              </w:rPr>
              <w:t> </w:t>
            </w:r>
          </w:p>
        </w:tc>
      </w:tr>
    </w:tbl>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甲方支付费用的具体时间安排应当考虑乙方为完成本项目进行的融资活动，具体支付计划将与相关融资协议约定的还款计划相衔接匹配，具体金额根据利率等因素进行动态调整。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甲乙双方确认本协议总价款及支付方式是基于对项目各方面要求综合考察的结果，其中项目还本付息要求是确定本协议价款支付标准、时间和额度的基础之一。如果本协议中任何一方或双方认为协议价款及支付标准、进度需要作出调整时，应事先取得贷款银行同意。</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如因项目投资额度、规模或进度调整等因素，导致本协议规定的资金支付额度及时间与融资合同规定的还本付息计划不匹配时，甲方同意相应调整本协议中资金支付计划，以满足项目正常建设运营及融资本息的足额偿还。（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（7）乙方应在上述支付日期前</w:t>
      </w:r>
      <w:r>
        <w:rPr>
          <w:rFonts w:ascii="宋体" w:hAnsi="宋体"/>
          <w:sz w:val="24"/>
          <w:szCs w:val="24"/>
          <w:u w:val="single"/>
        </w:rPr>
        <w:t>        </w:t>
      </w:r>
      <w:r>
        <w:rPr>
          <w:rFonts w:ascii="宋体" w:hAnsi="宋体"/>
          <w:sz w:val="24"/>
          <w:szCs w:val="24"/>
        </w:rPr>
        <w:t> 个工作日内向甲方提交费用发票及费用明细资料（如需），甲方应在收到发票等资料后</w:t>
      </w:r>
      <w:r>
        <w:rPr>
          <w:rFonts w:ascii="宋体" w:hAnsi="宋体"/>
          <w:sz w:val="24"/>
          <w:szCs w:val="24"/>
          <w:u w:val="single"/>
        </w:rPr>
        <w:t>        </w:t>
      </w:r>
      <w:r>
        <w:rPr>
          <w:rFonts w:ascii="宋体" w:hAnsi="宋体"/>
          <w:sz w:val="24"/>
          <w:szCs w:val="24"/>
        </w:rPr>
        <w:t> 个工作日内将相应资金支付至乙方在贷款银行开立的账户：。未经贷款银行书面同意，上述账户不得变更。（该款为必备条款，原则上不得删、改）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第五十一条  专营补贴调整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1、甲方原则上按照本协议第五十条的约定向乙方支付本协议项下的专营补贴款。同时，双方同意，专营期内每    年对本项目进行一次绩效评价，甲方有权根据绩效评价结果相应调整专营补贴金额。</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2、如因基准利率发生变化导致乙方与贷款银行就本项目融资签订的贷款协议项下的贷款利率发生变化以及因税收政策变化等原因导致本项目成本增加、</w:t>
      </w:r>
      <w:r>
        <w:rPr>
          <w:rFonts w:ascii="宋体" w:hAnsi="宋体"/>
          <w:sz w:val="24"/>
          <w:szCs w:val="24"/>
          <w:u w:val="single"/>
        </w:rPr>
        <w:t>                    </w:t>
      </w:r>
      <w:r>
        <w:rPr>
          <w:rFonts w:ascii="宋体" w:hAnsi="宋体"/>
          <w:sz w:val="24"/>
          <w:szCs w:val="24"/>
        </w:rPr>
        <w:t> （代表社会投资者出资的主体全称）收益减少，甲乙双方应当积极协商并对本协议项下的专营补贴金额按下述公式加以相应调整:调整后的当年专营补贴=按照本协议第四十九条确定的当年专营补贴+当年贷款余额×</w:t>
      </w:r>
      <w:r>
        <w:rPr>
          <w:rFonts w:ascii="宋体" w:hAnsi="宋体"/>
          <w:sz w:val="24"/>
          <w:szCs w:val="24"/>
          <w:u w:val="single"/>
        </w:rPr>
        <w:t>                    </w:t>
      </w:r>
      <w:r>
        <w:rPr>
          <w:rFonts w:ascii="宋体" w:hAnsi="宋体"/>
          <w:sz w:val="24"/>
          <w:szCs w:val="24"/>
        </w:rPr>
        <w:t> （调整后的贷款利率-调整前的贷款利率）。（该款为必备条款，原则上不得删、改）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第五十二条  特殊项目收入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u w:val="single"/>
        </w:rPr>
        <w:t>                    </w:t>
      </w:r>
      <w:r>
        <w:rPr>
          <w:rFonts w:ascii="宋体" w:hAnsi="宋体"/>
          <w:sz w:val="24"/>
          <w:szCs w:val="24"/>
        </w:rPr>
        <w:t> （根据项目具体情况补充。）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第五十三条  财务监管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专营期内，乙方应于每年</w:t>
      </w:r>
      <w:r>
        <w:rPr>
          <w:rFonts w:ascii="宋体" w:hAnsi="宋体"/>
          <w:sz w:val="24"/>
          <w:szCs w:val="24"/>
          <w:u w:val="single"/>
        </w:rPr>
        <w:t>        </w:t>
      </w:r>
      <w:r>
        <w:rPr>
          <w:rFonts w:ascii="宋体" w:hAnsi="宋体"/>
          <w:sz w:val="24"/>
          <w:szCs w:val="24"/>
        </w:rPr>
        <w:t>月</w:t>
      </w:r>
      <w:r>
        <w:rPr>
          <w:rFonts w:ascii="宋体" w:hAnsi="宋体"/>
          <w:sz w:val="24"/>
          <w:szCs w:val="24"/>
          <w:u w:val="single"/>
        </w:rPr>
        <w:t xml:space="preserve">        </w:t>
      </w:r>
      <w:r>
        <w:rPr>
          <w:rFonts w:ascii="宋体" w:hAnsi="宋体"/>
          <w:sz w:val="24"/>
          <w:szCs w:val="24"/>
        </w:rPr>
        <w:t>日前将上年度财务报表、项目建设运营收支台账及甲方合理要求的其他财务资料上报甲方审定。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第五十四条  违约事项及其处理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若甲方未按照本协议约定按期向乙方支付专营补贴，每逾期一日应向乙方支付应付未付金额</w:t>
      </w:r>
      <w:r>
        <w:rPr>
          <w:rFonts w:ascii="宋体" w:hAnsi="宋体"/>
          <w:sz w:val="24"/>
          <w:szCs w:val="24"/>
          <w:u w:val="single"/>
        </w:rPr>
        <w:t>        </w:t>
      </w:r>
      <w:r>
        <w:rPr>
          <w:rFonts w:ascii="宋体" w:hAnsi="宋体"/>
          <w:sz w:val="24"/>
          <w:szCs w:val="24"/>
        </w:rPr>
        <w:t>%的违约金。</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Fonts w:hint="eastAsia" w:ascii="宋体" w:hAnsi="宋体" w:eastAsia="宋体" w:cs="宋体"/>
          <w:sz w:val="24"/>
          <w:szCs w:val="24"/>
        </w:rPr>
        <w:t>第十章</w:t>
      </w:r>
      <w:r>
        <w:rPr>
          <w:rFonts w:ascii="宋体" w:hAnsi="宋体" w:eastAsia="Times New Roman"/>
          <w:sz w:val="24"/>
          <w:szCs w:val="24"/>
        </w:rPr>
        <w:t xml:space="preserve">  </w:t>
      </w:r>
      <w:r>
        <w:rPr>
          <w:rFonts w:hint="eastAsia" w:ascii="宋体" w:hAnsi="宋体" w:eastAsia="宋体" w:cs="宋体"/>
          <w:sz w:val="24"/>
          <w:szCs w:val="24"/>
        </w:rPr>
        <w:t>不可抗力和法律变更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第五十五条  不可抗力事件</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本协议所约定的不可抗力是指不可预见、不可克服并不可控制的任何行为/事件，且此行为/事件导致一方无法部分或完全地履行本协议下的义务，包括但不限于：</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1、雷电、地震、火山爆发、滑坡、水灾、暴雨、海啸、台风、龙卷风或旱灾等自然灾害；</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2、流行病、瘟疫、化学或放射性污染、核辐射污染；</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3、战争行为、武装冲突、外敌入侵、封锁、戒严或军事力量的动用、暴乱或恐怖行为；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4、全国性、地区性、城市型或行业性罢工；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5、征收征用等政府行为；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6、考古或文物保护等。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第五十六条  不可抗力事件的认定和评估</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不可抗力事件的认定和评估以政府相关部门或专业机构出具的报告为准。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第五十七条  不可抗力事件发生期间各方权利和义务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不可抗力事件发生后，受到不可抗力影响的一方应及时通知另一方并详细描述不可抗力发生的情况和可能导致的后果，包括不可抗力事件发生的日期和预计停止时间，以及对该方履行其在本协议项下义务的影响，并在另一方要求时及时提供相应的证明材料。</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受到不可抗力影响的一方应自负费用（包括使用保险赔偿金）尽最大的努力减少不可抗力的消极影响，包括但不限于制定并实施补救计划及合理的替代措施以及根据对方合理要求而采取其他必要措施以尽可能地减小不可抗力时间给项目或对方造成的不利影响或损失。</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3、受到不可抗力影响的一方应在不可抗力消除后尽快恢复履行本协议项下的义务。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第五十八条  不可抗力事件的处理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在专营期内，若乙方按照本协议的约定履行了不可抗力事件的通知义务且不可抗力并未导致协议不能继续履行的，则本协议项下的专营期可相应顺延，顺延期间等同于不可抗力事件持续的时间。但是，不可抗力事件持续期间的专营补贴在不可抗力事件持续期间不予支付，而是根据专营期限之顺延而相应顺延支付，专营补贴之总金额不予调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2、如果任何不可抗力事件阻止一方履行其义务的时间自该不可抗力事件发生之日起持续超过</w:t>
      </w:r>
      <w:r>
        <w:rPr>
          <w:rFonts w:ascii="宋体" w:hAnsi="宋体"/>
          <w:sz w:val="24"/>
          <w:szCs w:val="24"/>
          <w:u w:val="single"/>
        </w:rPr>
        <w:t>        </w:t>
      </w:r>
      <w:r>
        <w:rPr>
          <w:rFonts w:ascii="宋体" w:hAnsi="宋体"/>
          <w:sz w:val="24"/>
          <w:szCs w:val="24"/>
        </w:rPr>
        <w:t> 天，双方应协商决定继续履行本协议或终止本协议。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3、如果自任何不可抗力事件发生后    天内双方不能就继续履行本协议的条件或终止本协议达成一致意见的，任何一方有权根据本协议的约定单方通知对方提前终止本协议。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第五十九条  法律变更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1、在本协议生效后，如国家或政府发布新的适用于本项目的任何法律、法规或对现行相关法律、法规进行修订、废止等，导致乙方在本协议项下获得的专营权违法或不符合法律强制性规定的，本协议终止。</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在本协议生效后，如国家或政府发布新的适用于本项目的任何法律、法规或对现行相关法律、法规进行修订、废止等，导致乙方在本协议项下应获取的协议利益受到重大不利影响但并未导致专营权终止的，乙方可书面提出延长运营期或调整专营补贴的金额等其他合理请求，甲方在收到乙方上述书面请求后应及时考虑该等请求是否合理并尽可能采取积极措施维护乙方的合理利益以使乙方处于与其在此类法律变更发生前相当的运营地位和状态。乙方理解，本条款项下相关积极措施的采取并非甲方的强制性义务，也不构成甲方对乙方的具有法律约束力的明示或默示的承诺或保证。</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Fonts w:hint="eastAsia" w:ascii="宋体" w:hAnsi="宋体" w:eastAsia="宋体" w:cs="宋体"/>
          <w:sz w:val="24"/>
          <w:szCs w:val="24"/>
        </w:rPr>
        <w:t>第十一章</w:t>
      </w:r>
      <w:r>
        <w:rPr>
          <w:rFonts w:ascii="宋体" w:hAnsi="宋体" w:eastAsia="Times New Roman"/>
          <w:sz w:val="24"/>
          <w:szCs w:val="24"/>
        </w:rPr>
        <w:t xml:space="preserve">  </w:t>
      </w:r>
      <w:r>
        <w:rPr>
          <w:rFonts w:hint="eastAsia" w:ascii="宋体" w:hAnsi="宋体" w:eastAsia="宋体" w:cs="宋体"/>
          <w:sz w:val="24"/>
          <w:szCs w:val="24"/>
        </w:rPr>
        <w:t>协议解除</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第六十条  协议解除的事由</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1、本协议项下的导致协议解除的事由包括：</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（1）本协议项下的专营期限届满；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（2）发生法律变更导致乙方在本协议项下获得的专营权违法或不符合法律强制性规定；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（3）发生不可抗力事件，任何一方根据本协议第五十八条第3款的约定提前终止本协议；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（4）甲方根据本协议第六十六条的约定提前终止本协议；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（5）双方协商一致解除或提前终止本协议；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（6）法律规定或协议双方约定的其他事由。</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2、除本协议另有约定或法律另有规定外，未经贷款银行书面同意，任何一方不得擅自解除或提前终止本协议。（该款为必备条款，原则上不得删、改）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第六十一条  协议解除的程序</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1、发生本协议第六十条第1款第（1）、（2）项规定的协议解除事由时，本协议自动终止。</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2、一方依据本协议第六十条第1款第（3）、（4）项的约定单方解除本协议的，应提前</w:t>
      </w:r>
      <w:r>
        <w:rPr>
          <w:rFonts w:ascii="宋体" w:hAnsi="宋体"/>
          <w:sz w:val="24"/>
          <w:szCs w:val="24"/>
          <w:u w:val="single"/>
        </w:rPr>
        <w:t>        </w:t>
      </w:r>
      <w:r>
        <w:rPr>
          <w:rFonts w:ascii="宋体" w:hAnsi="宋体"/>
          <w:sz w:val="24"/>
          <w:szCs w:val="24"/>
        </w:rPr>
        <w:t> 天书面通知另一方。本协议自另一方收到书面解除通知之日起解除。</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3、双方协商一致解除本协议的，应当签署书面解除协议，并经贷款银行书面同意。（该款为必备条款，原则上不得删、改）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第六十二条  协议解除的财务安排</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本协议解除后，双方可根据公平合理、维护公益性的原则协商补偿或赔偿额度维护贷款银行应有权益。甲方在依据本协议决定解除本协议、取消乙方专营权或对本项目实施临时接管前，应当通知贷款银行，并允许贷款银行自行或委托第三方在甲方限定的合理期限内对本项目进行补救（如贷款银行提出此等要求），相关费用由乙方承担。（该款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第六十三条  协议解除后的项目移交</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1、在本协议根据约定提前终止后，本项目应视同专营期届满而由乙方按本协议第四十六条所述之原则向甲方移交。甲方有权将应支付给乙方的最近一期专营补贴转为移交保证金，待乙方完成移交后据实结算。</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2、除上述第六十三条第1款之约定外，于本协议提前终止之情形下，乙方还应承担如下义务：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应配合并促使其与本项目相关之各协议相对人（甲方除外）与甲方（或甲方/政府指定的第三方）就与本项目有关之未履行完毕的协议签订权利义务转移协议并办理相应手续，以使甲方（或甲方/政府指定的第三方）享有与本项目有关之各项协议项下之所有权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（2）乙方应及时清理相关债权债务，甲方（或甲方/政府指定的第三方）不承担乙方在相关协议终止前形成的任何债务。</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Fonts w:hint="eastAsia" w:ascii="宋体" w:hAnsi="宋体" w:eastAsia="宋体" w:cs="宋体"/>
          <w:sz w:val="24"/>
          <w:szCs w:val="24"/>
        </w:rPr>
        <w:t>第十二章</w:t>
      </w:r>
      <w:r>
        <w:rPr>
          <w:rFonts w:ascii="宋体" w:hAnsi="宋体" w:eastAsia="Times New Roman"/>
          <w:sz w:val="24"/>
          <w:szCs w:val="24"/>
        </w:rPr>
        <w:t xml:space="preserve">  </w:t>
      </w:r>
      <w:r>
        <w:rPr>
          <w:rFonts w:hint="eastAsia" w:ascii="宋体" w:hAnsi="宋体" w:eastAsia="宋体" w:cs="宋体"/>
          <w:sz w:val="24"/>
          <w:szCs w:val="24"/>
        </w:rPr>
        <w:t>违约处理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第六十四条  违约行为的认定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1、任何一方违反其在本协议项下的任何义务均属违约。</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2、受限于本协议第十章相关条款的约定，如果某一方证明其未履行义务是因不可抗力造成的，则该方对该项违约不承担责任，但该方未按本协议约定履行相应的通知和减损义务的除外。</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3、因第三方原因导致本协议项下一方对另一方违约的，该违约方仍应当对守约方承担违约责任，违约方与第三方的纠纷由违约方与第三方另行处理。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4、任何一方向另一方承担的违约责任均不解除违约方对第三者的责任，也不解除对此有管辖权的政府部门依照国家或当地法律、法规等对违约方进行的处罚。</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第六十五条  违约责任的承担方式</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1、甲方违约的，应当按照相关法律的规定及本协议的约定向乙方承担纠正违约行为、赔偿损失等违约责任。</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2、乙方违约的，甲方有权根据本协议约定采取以下违约救济措施：</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（1）要求乙方停止违约行为并积极采取补救措施；</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（2）终止本协议、取消乙方专营权；</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（3）对本项目实施临时接管；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（4）要求乙方支付违约金或赔偿因乙方违约给甲方造成的一切损失；</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（5）法律法规规定的其他救济措施。</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3、因一方违约致使对方遭受任何损失、支出和费用的，违约方应当对该等损失予以赔偿，但该等赔偿金额不得超过违约方订立协议时已经预见或应当预见的可能因违约造成的合理损失。</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4、本协议相关条款未明确约定违约责任承担方式的，按照不时适用的相关法律法规的规定处理。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第六十六条  违约行为的处理</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1、甲方未履行其在本协议项下的义务的，包括但不限于：</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（1）未能协调政府如约投入专营补贴；</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（2）未能协调政府部门将应投入的专营补贴纳入预算；</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（3）未能如约办理项目公司所需的相关证照、手续和批复，或出台相关政策导致项目无法按照原计划达到预期经营状态或经营受到重大不利影响；</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（4）政府对项目的全部或部分进行征收或征用；</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（5）未履行本协议其他重要义务并构成实质性违约。</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则乙方有权要求甲方依照法律规定及本协议约定承担赔偿损失等违约责任。甲方未履行其在本协议项下的义务导致本协议目的不能实现或导致乙方履行本协议产生根本性障碍的，经乙方限期要求改正而甲方未予改正且持续超过60日的，乙方有权在前述60日届满后15日内以书面方式通知甲方终止本协议。</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2、乙方在专营期间有以下行为之一的，甲方有权选择终止本协议、取消乙方专营权或对本项目实施临时接管：</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（1）乙方注册资本未能按照本协议约定及时足额到位；</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（2）乙方未按本协议约定组织、按时完成本项目建设的；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（3）乙方违反本协议约定，擅自转让、出租、质押专营权或专营权收益，或于专营权上设置任何权利负担；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（4）乙方违反本协议约定，擅自转让、出租、抵押、质押本项目资产，或于项目资产上设置任何权利负担；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（5）乙方违反本协议约定，擅自变更项目公司股权结构和股东持股比例的或在项目公司股权上设定质押等权利负担的；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（6）非因甲方原因导致本项目或任何一个计划工期节点目标被延期60天以上；</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（7）因乙方管理不善，导致本项目发生重大质量、安全事故未及时整改的；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（8）乙方依法进入破产、解散或类似程序的；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（9）发生其他本协议约定取消专营权或实施临时接管情形的；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（10）乙方违反其在本协议项下的任何义务导致对本项目产生重大不利影响的。</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第六十七条  特别约定</w:t>
      </w:r>
      <w:r>
        <w:rPr>
          <w:rFonts w:ascii="宋体" w:hAnsi="宋体"/>
          <w:sz w:val="24"/>
          <w:szCs w:val="24"/>
        </w:rPr>
        <w:t>（该条为必备条款，原则上不得删、改）</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尽管本协议有其它约定，甲乙双方在此不可撤销地同意并确认：</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发生本协议项下乙方的违约事件时，甲方和乙方应立即书面通知贷款银行；同时，甲方在依据本协议决定终止本协议、取消乙方专营权或对本项目实施临时接管前应当允许贷款银行自行或委托第三方在甲方限定的合理期限内对本项目进行补救（如贷款银行提出此等要求），相关费用由乙方承担。</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2、发生本协议项下甲方的违约事件时，乙方和甲方应立即书面通知贷款银行。同时，乙方在依据本协议决定终止或解除本协议前应当取得贷款银行的同意。</w:t>
      </w:r>
    </w:p>
    <w:p>
      <w:pPr>
        <w:pStyle w:val="4"/>
        <w:pageBreakBefore w:val="0"/>
        <w:kinsoku/>
        <w:wordWrap/>
        <w:overflowPunct/>
        <w:topLinePunct w:val="0"/>
        <w:autoSpaceDE/>
        <w:autoSpaceDN/>
        <w:bidi w:val="0"/>
        <w:adjustRightInd/>
        <w:snapToGrid/>
        <w:spacing w:line="360" w:lineRule="auto"/>
        <w:jc w:val="center"/>
        <w:textAlignment w:val="auto"/>
        <w:rPr>
          <w:rFonts w:ascii="宋体" w:hAnsi="宋体" w:eastAsia="Times New Roman"/>
          <w:sz w:val="24"/>
          <w:szCs w:val="24"/>
        </w:rPr>
      </w:pPr>
      <w:r>
        <w:rPr>
          <w:rFonts w:hint="eastAsia" w:ascii="宋体" w:hAnsi="宋体" w:eastAsia="宋体" w:cs="宋体"/>
          <w:sz w:val="24"/>
          <w:szCs w:val="24"/>
        </w:rPr>
        <w:t>第十三章</w:t>
      </w:r>
      <w:r>
        <w:rPr>
          <w:rFonts w:ascii="宋体" w:hAnsi="宋体" w:eastAsia="Times New Roman"/>
          <w:sz w:val="24"/>
          <w:szCs w:val="24"/>
        </w:rPr>
        <w:t xml:space="preserve"> </w:t>
      </w:r>
      <w:r>
        <w:rPr>
          <w:rFonts w:hint="eastAsia" w:ascii="宋体" w:hAnsi="宋体" w:eastAsia="宋体" w:cs="宋体"/>
          <w:sz w:val="24"/>
          <w:szCs w:val="24"/>
        </w:rPr>
        <w:t>适用法律及争议解决</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第六十八条  适用法律</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本协议的制定、解释及其在执行过程中出现的、或与本协议有关的纠纷之解决，受中华人民共和国现行有效的法律的约束。</w:t>
      </w:r>
    </w:p>
    <w:p>
      <w:pPr>
        <w:pageBreakBefore w:val="0"/>
        <w:kinsoku/>
        <w:wordWrap/>
        <w:overflowPunct/>
        <w:topLinePunct w:val="0"/>
        <w:autoSpaceDE/>
        <w:autoSpaceDN/>
        <w:bidi w:val="0"/>
        <w:adjustRightInd/>
        <w:snapToGrid/>
        <w:spacing w:line="360" w:lineRule="auto"/>
        <w:textAlignment w:val="auto"/>
        <w:rPr>
          <w:rFonts w:eastAsia="Times New Roman"/>
          <w:sz w:val="24"/>
          <w:szCs w:val="24"/>
        </w:rPr>
      </w:pPr>
      <w:r>
        <w:rPr>
          <w:rFonts w:eastAsia="Times New Roman"/>
          <w:sz w:val="24"/>
          <w:szCs w:val="24"/>
        </w:rPr>
        <w:t> </w:t>
      </w:r>
    </w:p>
    <w:p>
      <w:pPr>
        <w:pageBreakBefore w:val="0"/>
        <w:kinsoku/>
        <w:wordWrap/>
        <w:overflowPunct/>
        <w:topLinePunct w:val="0"/>
        <w:autoSpaceDE/>
        <w:autoSpaceDN/>
        <w:bidi w:val="0"/>
        <w:adjustRightInd/>
        <w:snapToGrid/>
        <w:spacing w:line="360" w:lineRule="auto"/>
        <w:textAlignment w:val="auto"/>
        <w:rPr>
          <w:rFonts w:eastAsia="Times New Roman"/>
          <w:sz w:val="24"/>
          <w:szCs w:val="24"/>
        </w:rPr>
      </w:pPr>
      <w:r>
        <w:rPr>
          <w:rFonts w:eastAsia="Times New Roman"/>
          <w:sz w:val="24"/>
          <w:szCs w:val="24"/>
        </w:rPr>
        <w:t> </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第六十九条  争议解决</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因本合同引起的或与本合同有关的任何争议，由合同各方协商解决，也可由有关部门调解。协商或调解不成的，按下列第</w:t>
      </w:r>
      <w:r>
        <w:rPr>
          <w:rFonts w:ascii="宋体" w:hAnsi="宋体"/>
          <w:sz w:val="24"/>
          <w:szCs w:val="24"/>
          <w:u w:val="single"/>
        </w:rPr>
        <w:t>        </w:t>
      </w:r>
      <w:r>
        <w:rPr>
          <w:rFonts w:ascii="宋体" w:hAnsi="宋体"/>
          <w:sz w:val="24"/>
          <w:szCs w:val="24"/>
        </w:rPr>
        <w:t>种方式解决：</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（1）提交位于</w:t>
      </w:r>
      <w:r>
        <w:rPr>
          <w:rFonts w:ascii="宋体" w:hAnsi="宋体"/>
          <w:sz w:val="24"/>
          <w:szCs w:val="24"/>
          <w:u w:val="single"/>
        </w:rPr>
        <w:t xml:space="preserve">        </w:t>
      </w:r>
      <w:r>
        <w:rPr>
          <w:rFonts w:ascii="宋体" w:hAnsi="宋体"/>
          <w:sz w:val="24"/>
          <w:szCs w:val="24"/>
        </w:rPr>
        <w:t>（地点）的</w:t>
      </w:r>
      <w:r>
        <w:rPr>
          <w:rFonts w:ascii="宋体" w:hAnsi="宋体"/>
          <w:sz w:val="24"/>
          <w:szCs w:val="24"/>
          <w:u w:val="single"/>
        </w:rPr>
        <w:t>        </w:t>
      </w:r>
      <w:r>
        <w:rPr>
          <w:rFonts w:ascii="宋体" w:hAnsi="宋体"/>
          <w:sz w:val="24"/>
          <w:szCs w:val="24"/>
        </w:rPr>
        <w:t> 仲裁委员会仲裁。仲裁裁决是终局的，对各方均有约束力；</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（2）依法向</w:t>
      </w:r>
      <w:r>
        <w:rPr>
          <w:rFonts w:ascii="宋体" w:hAnsi="宋体"/>
          <w:sz w:val="24"/>
          <w:szCs w:val="24"/>
          <w:u w:val="single"/>
        </w:rPr>
        <w:t>        </w:t>
      </w:r>
      <w:r>
        <w:rPr>
          <w:rFonts w:ascii="宋体" w:hAnsi="宋体"/>
          <w:sz w:val="24"/>
          <w:szCs w:val="24"/>
        </w:rPr>
        <w:t> 所在地有管辖权的人民法院起诉。</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Style w:val="17"/>
          <w:rFonts w:ascii="宋体" w:hAnsi="宋体"/>
          <w:sz w:val="24"/>
          <w:szCs w:val="24"/>
        </w:rPr>
        <w:t>第七十条  其他</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1、本协议一式二份，协议各方各执一份。各份协议文本具有同等法律效力。</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2、本协议经各方签署后生效。</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 </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签署时间：         年         月        日</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 </w:t>
      </w:r>
      <w:r>
        <w:rPr>
          <w:rFonts w:ascii="宋体" w:hAnsi="宋体"/>
          <w:sz w:val="24"/>
          <w:szCs w:val="24"/>
        </w:rPr>
        <w:br w:type="textWrapping"/>
      </w:r>
      <w:r>
        <w:rPr>
          <w:rStyle w:val="17"/>
          <w:rFonts w:ascii="宋体" w:hAnsi="宋体"/>
          <w:sz w:val="24"/>
          <w:szCs w:val="24"/>
        </w:rPr>
        <w:t>甲方（盖章）：</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联系人：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联系方式：</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地址：</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br w:type="textWrapping"/>
      </w:r>
      <w:r>
        <w:rPr>
          <w:rStyle w:val="17"/>
          <w:rFonts w:ascii="宋体" w:hAnsi="宋体"/>
          <w:sz w:val="24"/>
          <w:szCs w:val="24"/>
        </w:rPr>
        <w:t>乙方（盖章）：</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联系人：</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联系方式：</w:t>
      </w:r>
    </w:p>
    <w:p>
      <w:pPr>
        <w:pStyle w:val="14"/>
        <w:pageBreakBefore w:val="0"/>
        <w:kinsoku/>
        <w:wordWrap/>
        <w:overflowPunct/>
        <w:topLinePunct w:val="0"/>
        <w:autoSpaceDE/>
        <w:autoSpaceDN/>
        <w:bidi w:val="0"/>
        <w:adjustRightInd/>
        <w:snapToGrid/>
        <w:spacing w:before="0" w:beforeAutospacing="0" w:after="0" w:afterAutospacing="0" w:line="360" w:lineRule="auto"/>
        <w:textAlignment w:val="auto"/>
        <w:rPr>
          <w:rFonts w:ascii="宋体" w:hAnsi="宋体"/>
          <w:sz w:val="24"/>
          <w:szCs w:val="24"/>
        </w:rPr>
      </w:pPr>
      <w:r>
        <w:rPr>
          <w:rFonts w:ascii="宋体" w:hAnsi="宋体"/>
          <w:sz w:val="24"/>
          <w:szCs w:val="24"/>
        </w:rPr>
        <w:t>地址：</w:t>
      </w:r>
    </w:p>
    <w:p>
      <w:r>
        <w:rPr>
          <w:rFonts w:ascii="宋体" w:hAnsi="宋体"/>
        </w:rPr>
        <w:t> </w:t>
      </w:r>
    </w:p>
    <w:bookmarkEnd w:id="49"/>
    <w:bookmarkEnd w:id="50"/>
    <w:bookmarkEnd w:id="51"/>
    <w:bookmarkEnd w:id="52"/>
    <w:p>
      <w:pPr>
        <w:widowControl/>
        <w:spacing w:line="360" w:lineRule="auto"/>
        <w:jc w:val="left"/>
        <w:rPr>
          <w:rFonts w:ascii="Times New Roman" w:hAnsi="Times New Roman" w:eastAsia="宋体" w:cs="Times New Roman"/>
          <w:kern w:val="2"/>
          <w:sz w:val="24"/>
          <w:szCs w:val="24"/>
          <w:lang w:val="zh-CN" w:eastAsia="zh-CN" w:bidi="ar-SA"/>
        </w:rPr>
      </w:pPr>
    </w:p>
    <w:p>
      <w:pPr>
        <w:widowControl/>
        <w:spacing w:line="360" w:lineRule="auto"/>
        <w:jc w:val="left"/>
        <w:rPr>
          <w:rFonts w:ascii="Times New Roman" w:hAnsi="Times New Roman" w:eastAsia="宋体" w:cs="Times New Roman"/>
          <w:kern w:val="2"/>
          <w:sz w:val="21"/>
          <w:szCs w:val="21"/>
          <w:lang w:val="zh-CN" w:eastAsia="zh-CN" w:bidi="ar-SA"/>
        </w:rPr>
      </w:pPr>
      <w:r>
        <w:rPr>
          <w:rFonts w:ascii="Times New Roman" w:hAnsi="Times New Roman" w:eastAsia="宋体" w:cs="Times New Roman"/>
          <w:kern w:val="2"/>
          <w:sz w:val="24"/>
          <w:szCs w:val="24"/>
          <w:lang w:val="zh-CN" w:eastAsia="zh-CN" w:bidi="ar-SA"/>
        </w:rPr>
        <w:br w:type="page"/>
      </w:r>
    </w:p>
    <w:p>
      <w:pPr>
        <w:pStyle w:val="15"/>
        <w:spacing w:before="0" w:after="0" w:line="360" w:lineRule="auto"/>
        <w:rPr>
          <w:rFonts w:ascii="宋体" w:hAnsi="宋体" w:cs="宋体"/>
          <w:lang w:val="zh-CN"/>
        </w:rPr>
      </w:pPr>
      <w:bookmarkStart w:id="53" w:name="_Toc11427"/>
      <w:r>
        <w:rPr>
          <w:rFonts w:hint="eastAsia" w:ascii="宋体" w:hAnsi="宋体" w:cs="宋体"/>
          <w:szCs w:val="36"/>
          <w:lang w:val="zh-CN"/>
        </w:rPr>
        <w:t>第四部分  投标文件格式</w:t>
      </w:r>
      <w:bookmarkEnd w:id="53"/>
    </w:p>
    <w:p>
      <w:pPr>
        <w:pStyle w:val="15"/>
        <w:spacing w:before="0" w:after="0" w:line="360" w:lineRule="auto"/>
        <w:jc w:val="left"/>
        <w:outlineLvl w:val="1"/>
        <w:rPr>
          <w:rFonts w:ascii="宋体" w:hAnsi="宋体" w:cs="宋体"/>
        </w:rPr>
      </w:pPr>
      <w:bookmarkStart w:id="54" w:name="_Toc11851"/>
      <w:bookmarkStart w:id="55" w:name="_Toc3570"/>
      <w:r>
        <w:rPr>
          <w:rFonts w:hint="eastAsia" w:ascii="宋体" w:hAnsi="宋体" w:cs="宋体"/>
          <w:sz w:val="30"/>
          <w:szCs w:val="30"/>
          <w:lang w:val="zh-CN"/>
        </w:rPr>
        <w:t>封面</w:t>
      </w:r>
      <w:bookmarkEnd w:id="54"/>
      <w:r>
        <w:rPr>
          <w:rFonts w:hint="eastAsia" w:ascii="宋体" w:hAnsi="宋体" w:cs="宋体"/>
          <w:sz w:val="30"/>
          <w:szCs w:val="30"/>
          <w:lang w:val="zh-CN"/>
        </w:rPr>
        <w:t>（上册）</w:t>
      </w:r>
      <w:bookmarkEnd w:id="55"/>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rPr>
          <w:rFonts w:ascii="宋体" w:hAns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标</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包</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号：</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15"/>
        <w:spacing w:before="0" w:after="0" w:line="360" w:lineRule="auto"/>
        <w:jc w:val="left"/>
        <w:outlineLvl w:val="1"/>
        <w:rPr>
          <w:rFonts w:ascii="宋体" w:hAnsi="宋体" w:cs="宋体"/>
          <w:lang w:val="zh-CN"/>
        </w:rPr>
      </w:pPr>
      <w:r>
        <w:rPr>
          <w:rFonts w:hint="eastAsia" w:ascii="宋体" w:hAnsi="宋体" w:cs="宋体"/>
          <w:b w:val="0"/>
          <w:bCs w:val="0"/>
          <w:kern w:val="0"/>
          <w:lang w:val="zh-CN"/>
        </w:rPr>
        <w:br w:type="page"/>
      </w:r>
      <w:bookmarkStart w:id="56" w:name="_Toc17218"/>
      <w:bookmarkStart w:id="57" w:name="_Toc29902"/>
      <w:bookmarkStart w:id="58" w:name="_Toc8514"/>
      <w:r>
        <w:rPr>
          <w:rFonts w:hint="eastAsia" w:ascii="宋体" w:hAnsi="宋体" w:cs="宋体"/>
          <w:sz w:val="30"/>
          <w:szCs w:val="30"/>
          <w:lang w:val="zh-CN"/>
        </w:rPr>
        <w:t>目录（上册）</w:t>
      </w:r>
      <w:bookmarkEnd w:id="56"/>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投标函……………………………………………………………所在页码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法定代表人证明书………………………………………………所在页码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法定代表人授权书………………………………………………所在页码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投标人承诺函……………………………………………………所在页码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投标人诚信承诺书………………………………………………所在页码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格预审合格通知书………………………………………………所在页码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投标保证金证明…………………………………………………所在页码</w:t>
      </w:r>
    </w:p>
    <w:bookmarkEnd w:id="57"/>
    <w:bookmarkEnd w:id="58"/>
    <w:p>
      <w:pPr>
        <w:pStyle w:val="15"/>
        <w:spacing w:before="0" w:after="0" w:line="360" w:lineRule="auto"/>
        <w:jc w:val="left"/>
        <w:outlineLvl w:val="1"/>
        <w:rPr>
          <w:rFonts w:ascii="宋体" w:hAnsi="宋体" w:cs="宋体"/>
          <w:lang w:val="zh-CN"/>
        </w:rPr>
      </w:pPr>
      <w:bookmarkStart w:id="59" w:name="_Toc19582"/>
      <w:r>
        <w:rPr>
          <w:rFonts w:hint="eastAsia" w:ascii="宋体" w:hAnsi="宋体" w:cs="宋体"/>
          <w:sz w:val="30"/>
          <w:szCs w:val="30"/>
          <w:lang w:val="zh-CN"/>
        </w:rPr>
        <w:br w:type="page"/>
      </w:r>
      <w:bookmarkStart w:id="60" w:name="_Toc23370"/>
      <w:r>
        <w:rPr>
          <w:rFonts w:hint="eastAsia" w:ascii="宋体" w:hAnsi="宋体" w:cs="宋体"/>
          <w:sz w:val="30"/>
          <w:szCs w:val="30"/>
        </w:rPr>
        <w:t>（1）</w:t>
      </w:r>
      <w:r>
        <w:rPr>
          <w:rFonts w:hint="eastAsia" w:ascii="宋体" w:hAnsi="宋体" w:cs="宋体"/>
          <w:sz w:val="30"/>
          <w:szCs w:val="30"/>
          <w:lang w:val="zh-CN"/>
        </w:rPr>
        <w:t>投标函</w:t>
      </w:r>
      <w:bookmarkEnd w:id="59"/>
      <w:bookmarkEnd w:id="60"/>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u w:val="single"/>
          <w:lang w:val="zh-CN"/>
        </w:rPr>
        <w:t xml:space="preserve">    </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ascii="宋体" w:hAnsi="宋体" w:cs="宋体"/>
        </w:rPr>
      </w:pPr>
      <w:r>
        <w:rPr>
          <w:rFonts w:hint="eastAsia" w:ascii="宋体" w:hAnsi="宋体" w:cs="宋体"/>
          <w:b w:val="0"/>
          <w:bCs w:val="0"/>
          <w:kern w:val="0"/>
          <w:sz w:val="24"/>
          <w:lang w:val="zh-CN"/>
        </w:rPr>
        <w:br w:type="page"/>
      </w:r>
      <w:bookmarkStart w:id="61" w:name="_Toc24634"/>
      <w:bookmarkStart w:id="62" w:name="_Toc29944"/>
      <w:r>
        <w:rPr>
          <w:rFonts w:hint="eastAsia" w:ascii="宋体" w:hAnsi="宋体" w:cs="宋体"/>
          <w:kern w:val="0"/>
          <w:sz w:val="30"/>
          <w:szCs w:val="30"/>
          <w:lang w:val="zh-CN"/>
        </w:rPr>
        <w:t>（</w:t>
      </w:r>
      <w:r>
        <w:rPr>
          <w:rFonts w:hint="eastAsia" w:ascii="宋体" w:hAnsi="宋体" w:cs="宋体"/>
          <w:kern w:val="0"/>
          <w:sz w:val="30"/>
          <w:szCs w:val="30"/>
        </w:rPr>
        <w:t>2</w:t>
      </w:r>
      <w:r>
        <w:rPr>
          <w:rFonts w:hint="eastAsia" w:ascii="宋体" w:hAnsi="宋体" w:cs="宋体"/>
          <w:kern w:val="0"/>
          <w:sz w:val="30"/>
          <w:szCs w:val="30"/>
          <w:lang w:val="zh-CN"/>
        </w:rPr>
        <w:t>）</w:t>
      </w:r>
      <w:r>
        <w:rPr>
          <w:rFonts w:hint="eastAsia" w:ascii="宋体" w:hAnsi="宋体" w:cs="宋体"/>
          <w:sz w:val="30"/>
          <w:szCs w:val="30"/>
        </w:rPr>
        <w:t>法定代表人证明书</w:t>
      </w:r>
      <w:bookmarkEnd w:id="61"/>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（法定代表人姓名）</w:t>
      </w:r>
      <w:r>
        <w:rPr>
          <w:rFonts w:hint="eastAsia" w:ascii="宋体" w:hAnsi="宋体" w:cs="宋体"/>
          <w:kern w:val="0"/>
          <w:lang w:val="zh-CN"/>
        </w:rPr>
        <w:t>现任我单位</w:t>
      </w:r>
      <w:r>
        <w:rPr>
          <w:rFonts w:hint="eastAsia" w:ascii="宋体" w:hAnsi="宋体" w:cs="宋体"/>
          <w:kern w:val="0"/>
          <w:u w:val="single"/>
          <w:lang w:val="zh-CN"/>
        </w:rPr>
        <w:t xml:space="preserve">      </w:t>
      </w:r>
      <w:r>
        <w:rPr>
          <w:rFonts w:hint="eastAsia" w:ascii="宋体" w:hAnsi="宋体" w:cs="宋体"/>
          <w:kern w:val="0"/>
          <w:lang w:val="zh-CN"/>
        </w:rPr>
        <w:t>职务，为法定代表人，特此证明。</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性别：</w:t>
      </w:r>
      <w:r>
        <w:rPr>
          <w:rFonts w:hint="eastAsia" w:ascii="宋体" w:hAnsi="宋体" w:cs="宋体"/>
          <w:kern w:val="0"/>
          <w:u w:val="single"/>
          <w:lang w:val="zh-CN"/>
        </w:rPr>
        <w:t xml:space="preserve">           </w:t>
      </w:r>
      <w:r>
        <w:rPr>
          <w:rFonts w:hint="eastAsia" w:ascii="宋体" w:hAnsi="宋体" w:cs="宋体"/>
          <w:kern w:val="0"/>
          <w:lang w:val="zh-CN"/>
        </w:rPr>
        <w:t>年龄：</w:t>
      </w:r>
      <w:r>
        <w:rPr>
          <w:rFonts w:hint="eastAsia" w:ascii="宋体" w:hAnsi="宋体" w:cs="宋体"/>
          <w:kern w:val="0"/>
          <w:u w:val="single"/>
          <w:lang w:val="zh-CN"/>
        </w:rPr>
        <w:t xml:space="preserve">           </w:t>
      </w:r>
      <w:r>
        <w:rPr>
          <w:rFonts w:hint="eastAsia" w:ascii="宋体" w:hAnsi="宋体" w:cs="宋体"/>
          <w:kern w:val="0"/>
          <w:lang w:val="zh-CN"/>
        </w:rPr>
        <w:t xml:space="preserve"> 民族：</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地址：</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r>
        <w:rPr>
          <w:rFonts w:hint="eastAsia" w:ascii="宋体" w:hAnsi="宋体" w:cs="宋体"/>
          <w:kern w:val="0"/>
          <w:lang w:val="zh-CN"/>
        </w:rPr>
        <w:t>身份证号码：</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法定代表人：    </w:t>
      </w:r>
      <w:r>
        <w:rPr>
          <w:rFonts w:ascii="宋体" w:hAnsi="宋体" w:cs="宋体"/>
          <w:b/>
          <w:bCs/>
          <w:kern w:val="0"/>
          <w:lang w:val="zh-CN"/>
        </w:rPr>
        <w:t xml:space="preserve">            </w:t>
      </w:r>
      <w:r>
        <w:rPr>
          <w:rFonts w:hint="eastAsia" w:ascii="宋体" w:hAnsi="宋体" w:cs="宋体"/>
          <w:b/>
          <w:bCs/>
          <w:kern w:val="0"/>
          <w:lang w:val="zh-CN"/>
        </w:rPr>
        <w:t xml:space="preserve">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ascii="宋体" w:hAnsi="宋体" w:cs="宋体"/>
          <w:lang w:val="zh-CN"/>
        </w:rPr>
      </w:pPr>
      <w:r>
        <w:rPr>
          <w:rFonts w:hint="eastAsia" w:ascii="宋体" w:hAnsi="宋体" w:cs="宋体"/>
          <w:lang w:val="zh-CN"/>
        </w:rPr>
        <w:br w:type="page"/>
      </w:r>
      <w:bookmarkEnd w:id="62"/>
      <w:bookmarkStart w:id="63" w:name="_Toc19335"/>
      <w:bookmarkStart w:id="64" w:name="_Toc17284"/>
      <w:r>
        <w:rPr>
          <w:rFonts w:hint="eastAsia" w:ascii="宋体" w:hAnsi="宋体" w:cs="宋体"/>
          <w:sz w:val="30"/>
          <w:szCs w:val="30"/>
        </w:rPr>
        <w:t>（3）</w:t>
      </w:r>
      <w:r>
        <w:rPr>
          <w:rFonts w:hint="eastAsia" w:ascii="宋体" w:hAnsi="宋体" w:cs="宋体"/>
          <w:sz w:val="30"/>
          <w:szCs w:val="30"/>
          <w:lang w:val="zh-CN"/>
        </w:rPr>
        <w:t>法定代表人授权书</w:t>
      </w:r>
      <w:bookmarkEnd w:id="63"/>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 xml:space="preserve">              </w:t>
      </w:r>
      <w:r>
        <w:rPr>
          <w:rFonts w:hint="eastAsia" w:ascii="宋体" w:hAnsi="宋体" w:cs="宋体"/>
          <w:kern w:val="0"/>
          <w:lang w:val="zh-CN"/>
        </w:rPr>
        <w:t>。</w:t>
      </w:r>
    </w:p>
    <w:p>
      <w:pPr>
        <w:autoSpaceDE w:val="0"/>
        <w:autoSpaceDN w:val="0"/>
        <w:spacing w:line="360" w:lineRule="auto"/>
        <w:rPr>
          <w:rFonts w:ascii="宋体" w:hAnsi="宋体" w:cs="宋体"/>
          <w:kern w:val="0"/>
          <w:lang w:val="zh-CN"/>
        </w:rPr>
      </w:pPr>
      <w:r>
        <w:rPr>
          <w:rFonts w:hint="eastAsia" w:ascii="宋体" w:hAnsi="宋体" w:cs="宋体"/>
          <w:kern w:val="0"/>
        </w:rPr>
        <w:t xml:space="preserve">    </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p>
    <w:p>
      <w:pPr>
        <w:autoSpaceDE w:val="0"/>
        <w:autoSpaceDN w:val="0"/>
        <w:spacing w:line="360" w:lineRule="auto"/>
        <w:rPr>
          <w:rFonts w:ascii="宋体" w:hAnsi="宋体" w:cs="宋体"/>
          <w:kern w:val="0"/>
          <w:lang w:val="zh-CN"/>
        </w:rPr>
      </w:pPr>
      <w:r>
        <w:rPr>
          <w:rFonts w:hint="eastAsia" w:ascii="宋体" w:hAnsi="宋体" w:cs="宋体"/>
          <w:kern w:val="0"/>
          <w:u w:val="single"/>
          <w:lang w:val="zh-CN"/>
        </w:rPr>
        <w:t xml:space="preserve">                         </w:t>
      </w:r>
      <w:r>
        <w:rPr>
          <w:rFonts w:hint="eastAsia" w:ascii="宋体" w:hAnsi="宋体" w:cs="宋体"/>
          <w:kern w:val="0"/>
          <w:lang w:val="zh-CN"/>
        </w:rPr>
        <w:t>项目的投标、答疑等具体工作，并签署全部有关的文件、资料。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被授权人（委托代理人）签字：</w:t>
      </w:r>
      <w:r>
        <w:rPr>
          <w:rFonts w:hint="eastAsia" w:ascii="宋体" w:hAnsi="宋体" w:cs="宋体"/>
          <w:kern w:val="0"/>
          <w:u w:val="single"/>
          <w:lang w:val="zh-CN"/>
        </w:rPr>
        <w:t xml:space="preserve">       </w:t>
      </w:r>
      <w:r>
        <w:rPr>
          <w:rFonts w:hint="eastAsia" w:ascii="宋体" w:hAnsi="宋体" w:cs="宋体"/>
          <w:kern w:val="0"/>
          <w:lang w:val="zh-CN"/>
        </w:rPr>
        <w:t xml:space="preserve">  授权人（法定代表人）签字：</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职务：</w:t>
      </w:r>
      <w:r>
        <w:rPr>
          <w:rFonts w:hint="eastAsia" w:ascii="宋体" w:hAnsi="宋体" w:cs="宋体"/>
          <w:kern w:val="0"/>
          <w:u w:val="single"/>
          <w:lang w:val="zh-CN"/>
        </w:rPr>
        <w:t xml:space="preserve">                             </w:t>
      </w:r>
      <w:r>
        <w:rPr>
          <w:rFonts w:hint="eastAsia" w:ascii="宋体" w:hAnsi="宋体" w:cs="宋体"/>
          <w:kern w:val="0"/>
          <w:lang w:val="zh-CN"/>
        </w:rPr>
        <w:t xml:space="preserve">  职务：</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法定代表人：    </w:t>
      </w:r>
      <w:r>
        <w:rPr>
          <w:rFonts w:ascii="宋体" w:hAnsi="宋体" w:cs="宋体"/>
          <w:b/>
          <w:bCs/>
          <w:kern w:val="0"/>
          <w:lang w:val="zh-CN"/>
        </w:rPr>
        <w:t xml:space="preserve">            </w:t>
      </w:r>
      <w:r>
        <w:rPr>
          <w:rFonts w:hint="eastAsia" w:ascii="宋体" w:hAnsi="宋体" w:cs="宋体"/>
          <w:b/>
          <w:bCs/>
          <w:kern w:val="0"/>
          <w:lang w:val="zh-CN"/>
        </w:rPr>
        <w:t xml:space="preserve">    （签字）</w:t>
      </w: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ascii="宋体" w:hAnsi="宋体" w:cs="宋体"/>
          <w:kern w:val="0"/>
          <w:lang w:val="zh-CN"/>
        </w:rPr>
      </w:pPr>
    </w:p>
    <w:p>
      <w:pPr>
        <w:pStyle w:val="15"/>
        <w:spacing w:before="0" w:after="0" w:line="360" w:lineRule="auto"/>
        <w:jc w:val="left"/>
        <w:outlineLvl w:val="1"/>
        <w:rPr>
          <w:rFonts w:ascii="宋体" w:hAnsi="宋体" w:cs="宋体"/>
          <w:lang w:val="zh-CN"/>
        </w:rPr>
      </w:pPr>
      <w:r>
        <w:rPr>
          <w:rFonts w:hint="eastAsia" w:ascii="宋体" w:hAnsi="宋体" w:cs="宋体"/>
          <w:lang w:val="zh-CN"/>
        </w:rPr>
        <w:br w:type="page"/>
      </w:r>
      <w:bookmarkStart w:id="65" w:name="_Toc14266"/>
      <w:r>
        <w:rPr>
          <w:rFonts w:hint="eastAsia" w:ascii="宋体" w:hAnsi="宋体" w:cs="宋体"/>
          <w:sz w:val="30"/>
          <w:szCs w:val="30"/>
        </w:rPr>
        <w:t>（4）</w:t>
      </w:r>
      <w:r>
        <w:rPr>
          <w:rFonts w:hint="eastAsia" w:ascii="宋体" w:hAnsi="宋体" w:cs="宋体"/>
          <w:sz w:val="30"/>
          <w:szCs w:val="30"/>
          <w:lang w:val="zh-CN"/>
        </w:rPr>
        <w:t>投标人承诺函</w:t>
      </w:r>
      <w:bookmarkEnd w:id="65"/>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XX</w:t>
      </w:r>
      <w:r>
        <w:rPr>
          <w:rFonts w:hint="eastAsia" w:ascii="宋体" w:hAnsi="宋体" w:cs="宋体"/>
          <w:kern w:val="0"/>
          <w:lang w:val="zh-CN"/>
        </w:rPr>
        <w:t>年</w:t>
      </w:r>
      <w:r>
        <w:rPr>
          <w:rFonts w:hint="eastAsia" w:ascii="宋体" w:hAnsi="宋体" w:cs="宋体"/>
          <w:kern w:val="0"/>
          <w:u w:val="single"/>
          <w:lang w:val="zh-CN"/>
        </w:rPr>
        <w:t xml:space="preserve">   </w:t>
      </w:r>
      <w:r>
        <w:rPr>
          <w:rFonts w:hint="eastAsia" w:ascii="宋体" w:hAnsi="宋体" w:cs="宋体"/>
          <w:kern w:val="0"/>
          <w:lang w:val="zh-CN"/>
        </w:rPr>
        <w:t>月</w:t>
      </w:r>
      <w:r>
        <w:rPr>
          <w:rFonts w:hint="eastAsia" w:ascii="宋体" w:hAnsi="宋体" w:cs="宋体"/>
          <w:kern w:val="0"/>
          <w:u w:val="single"/>
          <w:lang w:val="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1.完全理解和接受招标文件的一切规定和要求；</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rPr>
          <w:rFonts w:ascii="宋体" w:hAnsi="宋体" w:cs="宋体"/>
          <w:kern w:val="0"/>
        </w:rPr>
      </w:pPr>
      <w:r>
        <w:rPr>
          <w:rFonts w:hint="eastAsia" w:ascii="宋体" w:hAnsi="宋体" w:cs="宋体"/>
          <w:kern w:val="0"/>
          <w:lang w:val="zh-CN"/>
        </w:rPr>
        <w:t xml:space="preserve"> </w:t>
      </w:r>
      <w:r>
        <w:rPr>
          <w:rFonts w:ascii="宋体" w:hAnsi="宋体" w:cs="宋体"/>
          <w:kern w:val="0"/>
          <w:lang w:val="zh-CN"/>
        </w:rPr>
        <w:t xml:space="preserve">  </w:t>
      </w:r>
      <w:r>
        <w:rPr>
          <w:rFonts w:hint="eastAsia" w:ascii="宋体" w:hAnsi="宋体" w:cs="宋体"/>
          <w:kern w:val="0"/>
          <w:lang w:val="zh-CN"/>
        </w:rPr>
        <w:t xml:space="preserve"> </w:t>
      </w:r>
      <w:r>
        <w:rPr>
          <w:rFonts w:hint="eastAsia" w:ascii="宋体" w:hAnsi="宋体" w:cs="宋体"/>
          <w:kern w:val="0"/>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6.若中标，本承诺将成为合同不可分割的一部分，与合同具有同等的法律效力。</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ascii="宋体" w:hAnsi="宋体" w:cs="宋体"/>
          <w:lang w:val="zh-CN"/>
        </w:rPr>
      </w:pPr>
      <w:r>
        <w:rPr>
          <w:rFonts w:hint="eastAsia" w:ascii="宋体" w:hAnsi="宋体" w:cs="宋体"/>
          <w:lang w:val="zh-CN"/>
        </w:rPr>
        <w:br w:type="page"/>
      </w:r>
      <w:bookmarkStart w:id="66" w:name="_Toc21374"/>
      <w:r>
        <w:rPr>
          <w:rFonts w:hint="eastAsia" w:ascii="宋体" w:hAnsi="宋体" w:cs="宋体"/>
          <w:sz w:val="30"/>
          <w:szCs w:val="30"/>
        </w:rPr>
        <w:t>（5）</w:t>
      </w:r>
      <w:r>
        <w:rPr>
          <w:rFonts w:hint="eastAsia" w:ascii="宋体" w:hAnsi="宋体" w:cs="宋体"/>
          <w:sz w:val="30"/>
          <w:szCs w:val="30"/>
          <w:lang w:val="zh-CN"/>
        </w:rPr>
        <w:t>投标人诚信承诺书</w:t>
      </w:r>
      <w:bookmarkEnd w:id="66"/>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ascii="宋体" w:hAnsi="宋体" w:cs="宋体"/>
          <w:lang w:val="zh-CN"/>
        </w:rPr>
      </w:pPr>
      <w:r>
        <w:rPr>
          <w:rFonts w:hint="eastAsia" w:ascii="宋体" w:hAnsi="宋体" w:cs="宋体"/>
          <w:kern w:val="0"/>
          <w:sz w:val="24"/>
          <w:lang w:val="zh-CN"/>
        </w:rPr>
        <w:br w:type="page"/>
      </w:r>
      <w:bookmarkEnd w:id="64"/>
      <w:bookmarkStart w:id="67" w:name="_Toc24324"/>
      <w:bookmarkStart w:id="68" w:name="_Toc8344"/>
      <w:r>
        <w:rPr>
          <w:rFonts w:hint="eastAsia" w:ascii="宋体" w:hAnsi="宋体" w:cs="宋体"/>
          <w:sz w:val="30"/>
          <w:szCs w:val="30"/>
        </w:rPr>
        <w:t>（6）</w:t>
      </w:r>
      <w:r>
        <w:rPr>
          <w:rFonts w:hint="eastAsia" w:ascii="宋体" w:hAnsi="宋体" w:cs="宋体"/>
          <w:sz w:val="30"/>
          <w:szCs w:val="30"/>
          <w:lang w:val="zh-CN"/>
        </w:rPr>
        <w:t>资格预审合格通知书</w:t>
      </w:r>
      <w:bookmarkEnd w:id="67"/>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28"/>
          <w:szCs w:val="28"/>
          <w:lang w:val="zh-CN"/>
        </w:rPr>
      </w:pPr>
      <w:r>
        <w:rPr>
          <w:rFonts w:hint="eastAsia" w:ascii="宋体" w:hAnsi="宋体" w:cs="宋体"/>
          <w:b/>
          <w:bCs/>
          <w:kern w:val="0"/>
          <w:sz w:val="28"/>
          <w:szCs w:val="28"/>
          <w:lang w:val="zh-CN" w:eastAsia="zh-CN"/>
        </w:rPr>
        <w:t>资</w:t>
      </w:r>
      <w:r>
        <w:rPr>
          <w:rFonts w:hint="eastAsia" w:ascii="宋体" w:hAnsi="宋体" w:cs="宋体"/>
          <w:b/>
          <w:bCs/>
          <w:kern w:val="0"/>
          <w:sz w:val="28"/>
          <w:szCs w:val="28"/>
          <w:lang w:val="zh-CN"/>
        </w:rPr>
        <w:t>格预审合格通知书</w:t>
      </w:r>
    </w:p>
    <w:p>
      <w:pPr>
        <w:autoSpaceDE w:val="0"/>
        <w:autoSpaceDN w:val="0"/>
        <w:spacing w:line="360" w:lineRule="auto"/>
        <w:jc w:val="center"/>
        <w:rPr>
          <w:rFonts w:hint="eastAsia" w:ascii="宋体" w:hAnsi="宋体" w:cs="宋体"/>
          <w:kern w:val="0"/>
          <w:sz w:val="28"/>
          <w:szCs w:val="28"/>
          <w:lang w:val="zh-CN"/>
        </w:rPr>
      </w:pPr>
    </w:p>
    <w:p>
      <w:pPr>
        <w:numPr>
          <w:ilvl w:val="0"/>
          <w:numId w:val="7"/>
        </w:numPr>
        <w:spacing w:line="360" w:lineRule="auto"/>
        <w:ind w:firstLine="480"/>
        <w:rPr>
          <w:rFonts w:ascii="宋体" w:hAnsi="宋体" w:cs="宋体"/>
        </w:rPr>
      </w:pPr>
      <w:r>
        <w:rPr>
          <w:rFonts w:hint="eastAsia" w:ascii="宋体" w:hAnsi="宋体" w:cs="宋体"/>
        </w:rPr>
        <w:t>提供有效的营业执照、税务登记证、机构代码证或三证（五证）合一统一社会代码证及其他资格证明文件（扫描或复印件）；</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（2）资格预审合格通知书。</w:t>
      </w:r>
    </w:p>
    <w:p>
      <w:pPr>
        <w:pStyle w:val="15"/>
        <w:spacing w:before="0" w:after="0" w:line="360" w:lineRule="auto"/>
        <w:jc w:val="left"/>
        <w:outlineLvl w:val="1"/>
        <w:rPr>
          <w:rFonts w:ascii="宋体" w:hAnsi="宋体" w:cs="宋体"/>
          <w:kern w:val="0"/>
          <w:lang w:val="zh-CN"/>
        </w:rPr>
      </w:pPr>
      <w:r>
        <w:rPr>
          <w:rFonts w:hint="eastAsia" w:ascii="宋体" w:hAnsi="宋体" w:cs="宋体"/>
          <w:kern w:val="0"/>
          <w:sz w:val="24"/>
          <w:lang w:val="zh-CN"/>
        </w:rPr>
        <w:br w:type="page"/>
      </w:r>
    </w:p>
    <w:bookmarkEnd w:id="68"/>
    <w:p>
      <w:pPr>
        <w:pStyle w:val="15"/>
        <w:spacing w:before="0" w:after="0" w:line="360" w:lineRule="auto"/>
        <w:jc w:val="both"/>
        <w:outlineLvl w:val="1"/>
        <w:rPr>
          <w:rFonts w:ascii="宋体" w:hAnsi="宋体" w:cs="宋体"/>
          <w:lang w:val="zh-CN"/>
        </w:rPr>
      </w:pPr>
      <w:bookmarkStart w:id="69" w:name="_Toc24619"/>
      <w:bookmarkStart w:id="70" w:name="_Toc21530"/>
      <w:r>
        <w:rPr>
          <w:rFonts w:hint="eastAsia" w:ascii="宋体" w:hAnsi="宋体" w:cs="宋体"/>
          <w:sz w:val="30"/>
          <w:szCs w:val="30"/>
        </w:rPr>
        <w:t>（</w:t>
      </w:r>
      <w:r>
        <w:rPr>
          <w:rFonts w:ascii="宋体" w:hAnsi="宋体" w:cs="宋体"/>
          <w:sz w:val="30"/>
          <w:szCs w:val="30"/>
        </w:rPr>
        <w:t>7</w:t>
      </w:r>
      <w:r>
        <w:rPr>
          <w:rFonts w:hint="eastAsia" w:ascii="宋体" w:hAnsi="宋体" w:cs="宋体"/>
          <w:sz w:val="30"/>
          <w:szCs w:val="30"/>
        </w:rPr>
        <w:t>）</w:t>
      </w:r>
      <w:bookmarkStart w:id="71" w:name="_Toc29764"/>
      <w:r>
        <w:rPr>
          <w:rFonts w:hint="eastAsia" w:ascii="宋体" w:hAnsi="宋体" w:cs="宋体"/>
          <w:sz w:val="30"/>
          <w:szCs w:val="30"/>
          <w:lang w:val="zh-CN"/>
        </w:rPr>
        <w:t>投标保证金证明</w:t>
      </w:r>
      <w:bookmarkEnd w:id="69"/>
      <w:bookmarkEnd w:id="71"/>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附件：保证金交款证明复印件（加盖公章）</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 xml:space="preserve">      基本户开户许可证复印件（加盖公章）</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户    名：</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开户银行：</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开户帐号：</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注：通过银行转账的，必须由投标人从其基本账户汇（转）入</w:t>
      </w:r>
      <w:r>
        <w:rPr>
          <w:rFonts w:hint="eastAsia" w:ascii="宋体" w:hAnsi="宋体" w:cs="宋体"/>
          <w:kern w:val="0"/>
        </w:rPr>
        <w:t>9.1条规定的账户</w:t>
      </w:r>
      <w:r>
        <w:rPr>
          <w:rFonts w:hint="eastAsia" w:ascii="宋体" w:hAnsi="宋体" w:cs="宋体"/>
          <w:kern w:val="0"/>
          <w:lang w:val="zh-CN"/>
        </w:rPr>
        <w:t>。</w:t>
      </w:r>
    </w:p>
    <w:p>
      <w:pPr>
        <w:autoSpaceDE w:val="0"/>
        <w:autoSpaceDN w:val="0"/>
        <w:spacing w:line="360" w:lineRule="auto"/>
        <w:ind w:firstLine="360"/>
        <w:rPr>
          <w:rFonts w:ascii="宋体" w:hAnsi="宋体" w:cs="宋体"/>
          <w:kern w:val="0"/>
          <w:lang w:val="zh-CN"/>
        </w:rPr>
      </w:pPr>
    </w:p>
    <w:p>
      <w:pPr>
        <w:autoSpaceDE w:val="0"/>
        <w:autoSpaceDN w:val="0"/>
        <w:spacing w:line="360" w:lineRule="auto"/>
        <w:ind w:firstLine="360"/>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ascii="宋体" w:hAnsi="宋体" w:cs="宋体"/>
          <w:b/>
          <w:bCs/>
          <w:kern w:val="0"/>
          <w:lang w:val="zh-CN"/>
        </w:rPr>
      </w:pPr>
    </w:p>
    <w:bookmarkEnd w:id="70"/>
    <w:p>
      <w:pPr>
        <w:pStyle w:val="15"/>
        <w:spacing w:before="0" w:after="0" w:line="360" w:lineRule="auto"/>
        <w:jc w:val="left"/>
        <w:rPr>
          <w:rFonts w:ascii="宋体" w:hAnsi="宋体" w:cs="宋体"/>
        </w:rPr>
      </w:pPr>
      <w:r>
        <w:rPr>
          <w:rFonts w:hint="eastAsia" w:ascii="宋体" w:hAnsi="宋体" w:cs="宋体"/>
          <w:kern w:val="0"/>
          <w:sz w:val="24"/>
          <w:szCs w:val="24"/>
          <w:lang w:val="zh-CN"/>
        </w:rPr>
        <w:br w:type="page"/>
      </w:r>
      <w:bookmarkStart w:id="72" w:name="_Toc28923"/>
      <w:r>
        <w:rPr>
          <w:rFonts w:hint="eastAsia" w:ascii="宋体" w:hAnsi="宋体" w:cs="宋体"/>
          <w:sz w:val="30"/>
          <w:szCs w:val="30"/>
          <w:lang w:val="zh-CN"/>
        </w:rPr>
        <w:t>（下册）</w:t>
      </w:r>
      <w:bookmarkEnd w:id="72"/>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ascii="宋体" w:hAnsi="宋体" w:cs="宋体"/>
          <w:kern w:val="0"/>
          <w:sz w:val="44"/>
          <w:szCs w:val="44"/>
        </w:rPr>
      </w:pPr>
      <w:r>
        <w:rPr>
          <w:rFonts w:hint="eastAsia" w:ascii="宋体" w:hAnsi="宋体" w:cs="宋体"/>
          <w:b/>
          <w:bCs/>
          <w:sz w:val="44"/>
          <w:szCs w:val="44"/>
          <w:lang w:val="zh-CN"/>
        </w:rPr>
        <w:t>（下册）</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标</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包</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号：</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15"/>
        <w:spacing w:before="0" w:after="0" w:line="360" w:lineRule="auto"/>
        <w:jc w:val="left"/>
        <w:rPr>
          <w:rFonts w:ascii="宋体" w:hAnsi="宋体" w:cs="宋体"/>
          <w:lang w:val="zh-CN"/>
        </w:rPr>
      </w:pPr>
      <w:r>
        <w:rPr>
          <w:rFonts w:hint="eastAsia" w:ascii="宋体" w:hAnsi="宋体" w:cs="宋体"/>
          <w:b w:val="0"/>
          <w:bCs w:val="0"/>
          <w:kern w:val="0"/>
          <w:lang w:val="zh-CN"/>
        </w:rPr>
        <w:br w:type="page"/>
      </w:r>
      <w:bookmarkStart w:id="73" w:name="_Toc17263"/>
      <w:r>
        <w:rPr>
          <w:rFonts w:hint="eastAsia" w:ascii="宋体" w:hAnsi="宋体" w:cs="宋体"/>
          <w:sz w:val="30"/>
          <w:szCs w:val="30"/>
          <w:lang w:val="zh-CN"/>
        </w:rPr>
        <w:t>目录（下册）</w:t>
      </w:r>
      <w:bookmarkEnd w:id="73"/>
    </w:p>
    <w:p>
      <w:pPr>
        <w:numPr>
          <w:ilvl w:val="0"/>
          <w:numId w:val="8"/>
        </w:numPr>
        <w:autoSpaceDE w:val="0"/>
        <w:autoSpaceDN w:val="0"/>
        <w:spacing w:line="360" w:lineRule="auto"/>
        <w:rPr>
          <w:rFonts w:ascii="宋体" w:hAnsi="宋体" w:cs="宋体"/>
          <w:kern w:val="0"/>
          <w:lang w:val="zh-CN"/>
        </w:rPr>
      </w:pPr>
      <w:r>
        <w:rPr>
          <w:rFonts w:hint="eastAsia" w:ascii="宋体" w:hAnsi="宋体" w:cs="宋体"/>
        </w:rPr>
        <w:t>评分对照表</w:t>
      </w:r>
      <w:r>
        <w:rPr>
          <w:rFonts w:hint="eastAsia" w:ascii="宋体" w:hAnsi="宋体" w:cs="宋体"/>
          <w:kern w:val="0"/>
          <w:lang w:val="zh-CN"/>
        </w:rPr>
        <w:t>………………………………………………………所在页码</w:t>
      </w:r>
    </w:p>
    <w:p>
      <w:pPr>
        <w:numPr>
          <w:ilvl w:val="0"/>
          <w:numId w:val="8"/>
        </w:numPr>
        <w:autoSpaceDE w:val="0"/>
        <w:autoSpaceDN w:val="0"/>
        <w:spacing w:line="360" w:lineRule="auto"/>
        <w:rPr>
          <w:rFonts w:ascii="宋体" w:hAnsi="宋体" w:cs="宋体"/>
          <w:kern w:val="0"/>
          <w:lang w:val="zh-CN"/>
        </w:rPr>
      </w:pPr>
      <w:r>
        <w:rPr>
          <w:rFonts w:hint="eastAsia" w:ascii="宋体" w:hAnsi="宋体" w:cs="宋体"/>
          <w:kern w:val="0"/>
          <w:lang w:val="zh-CN"/>
        </w:rPr>
        <w:t>开标一览表（报价表）…………………………………………所在页码</w:t>
      </w:r>
    </w:p>
    <w:p>
      <w:pPr>
        <w:numPr>
          <w:ilvl w:val="0"/>
          <w:numId w:val="8"/>
        </w:numPr>
        <w:autoSpaceDE w:val="0"/>
        <w:autoSpaceDN w:val="0"/>
        <w:spacing w:line="360" w:lineRule="auto"/>
        <w:rPr>
          <w:rFonts w:ascii="宋体" w:hAnsi="宋体" w:cs="宋体"/>
          <w:kern w:val="0"/>
          <w:lang w:val="zh-CN"/>
        </w:rPr>
      </w:pPr>
      <w:r>
        <w:rPr>
          <w:rFonts w:hint="eastAsia" w:ascii="宋体" w:hAnsi="宋体" w:cs="宋体"/>
          <w:kern w:val="0"/>
          <w:lang w:val="zh-CN"/>
        </w:rPr>
        <w:t>服务应答表………………………………………………………所在页码</w:t>
      </w:r>
    </w:p>
    <w:p>
      <w:pPr>
        <w:numPr>
          <w:ilvl w:val="0"/>
          <w:numId w:val="8"/>
        </w:numPr>
        <w:autoSpaceDE w:val="0"/>
        <w:autoSpaceDN w:val="0"/>
        <w:spacing w:line="360" w:lineRule="auto"/>
        <w:rPr>
          <w:rFonts w:ascii="宋体" w:hAnsi="宋体" w:cs="宋体"/>
          <w:kern w:val="0"/>
          <w:lang w:val="zh-CN"/>
        </w:rPr>
      </w:pPr>
      <w:r>
        <w:rPr>
          <w:rFonts w:hint="eastAsia" w:ascii="宋体" w:hAnsi="宋体" w:cs="宋体"/>
          <w:kern w:val="0"/>
          <w:lang w:val="zh-CN"/>
        </w:rPr>
        <w:t>响应方案…………………………………………………………所在页码</w:t>
      </w:r>
    </w:p>
    <w:p>
      <w:pPr>
        <w:numPr>
          <w:ilvl w:val="0"/>
          <w:numId w:val="8"/>
        </w:numPr>
        <w:autoSpaceDE w:val="0"/>
        <w:autoSpaceDN w:val="0"/>
        <w:spacing w:line="360" w:lineRule="auto"/>
        <w:rPr>
          <w:rFonts w:ascii="宋体" w:hAnsi="宋体" w:cs="宋体"/>
          <w:kern w:val="0"/>
          <w:lang w:val="zh-CN"/>
        </w:rPr>
      </w:pPr>
      <w:r>
        <w:rPr>
          <w:rFonts w:hint="eastAsia" w:ascii="宋体" w:hAnsi="宋体" w:cs="宋体"/>
          <w:kern w:val="0"/>
          <w:lang w:val="zh-CN"/>
        </w:rPr>
        <w:t>投标人的类似业绩证明材料……………………………………所在页码</w:t>
      </w:r>
    </w:p>
    <w:p>
      <w:pPr>
        <w:numPr>
          <w:ilvl w:val="0"/>
          <w:numId w:val="8"/>
        </w:numPr>
        <w:autoSpaceDE w:val="0"/>
        <w:autoSpaceDN w:val="0"/>
        <w:spacing w:line="360" w:lineRule="auto"/>
        <w:rPr>
          <w:rFonts w:ascii="宋体" w:hAnsi="宋体" w:cs="宋体"/>
          <w:lang w:val="zh-CN"/>
        </w:rPr>
      </w:pPr>
      <w:r>
        <w:rPr>
          <w:rFonts w:hint="eastAsia" w:ascii="宋体" w:hAnsi="宋体" w:cs="宋体"/>
          <w:kern w:val="0"/>
          <w:lang w:val="zh-CN"/>
        </w:rPr>
        <w:t>制造（生产）企业小型微型企业声明函、从业人员声明函…所在页码</w:t>
      </w:r>
    </w:p>
    <w:p>
      <w:pPr>
        <w:numPr>
          <w:ilvl w:val="0"/>
          <w:numId w:val="8"/>
        </w:numPr>
        <w:autoSpaceDE w:val="0"/>
        <w:autoSpaceDN w:val="0"/>
        <w:spacing w:line="360" w:lineRule="auto"/>
        <w:rPr>
          <w:rFonts w:ascii="宋体" w:hAnsi="宋体" w:cs="宋体"/>
          <w:kern w:val="0"/>
          <w:lang w:val="zh-CN"/>
        </w:rPr>
      </w:pPr>
      <w:r>
        <w:rPr>
          <w:rFonts w:hint="eastAsia" w:ascii="宋体" w:hAnsi="宋体" w:cs="宋体"/>
          <w:kern w:val="0"/>
          <w:lang w:val="zh-CN"/>
        </w:rPr>
        <w:t>残疾人福利性单位声明函………………………………………所在页码</w:t>
      </w:r>
    </w:p>
    <w:p>
      <w:pPr>
        <w:numPr>
          <w:ilvl w:val="0"/>
          <w:numId w:val="8"/>
        </w:numPr>
        <w:autoSpaceDE w:val="0"/>
        <w:autoSpaceDN w:val="0"/>
        <w:spacing w:line="360" w:lineRule="auto"/>
        <w:rPr>
          <w:rFonts w:ascii="宋体" w:hAnsi="宋体" w:cs="宋体"/>
          <w:lang w:val="zh-CN"/>
        </w:rPr>
      </w:pPr>
      <w:r>
        <w:rPr>
          <w:rFonts w:hint="eastAsia" w:ascii="宋体" w:hAnsi="宋体" w:cs="宋体"/>
          <w:kern w:val="0"/>
          <w:lang w:val="zh-CN"/>
        </w:rPr>
        <w:t>投标人认为在其他方面有必要说明的事项……………………所在页码</w:t>
      </w:r>
    </w:p>
    <w:p>
      <w:pPr>
        <w:pStyle w:val="15"/>
        <w:spacing w:before="0" w:after="0" w:line="360" w:lineRule="auto"/>
        <w:jc w:val="left"/>
        <w:outlineLvl w:val="1"/>
        <w:rPr>
          <w:rFonts w:ascii="宋体" w:hAnsi="宋体" w:cs="宋体"/>
          <w:sz w:val="30"/>
          <w:szCs w:val="30"/>
          <w:lang w:val="zh-CN"/>
        </w:rPr>
      </w:pPr>
      <w:r>
        <w:rPr>
          <w:rFonts w:hint="eastAsia" w:ascii="宋体" w:hAnsi="宋体" w:cs="宋体"/>
          <w:lang w:val="zh-CN"/>
        </w:rPr>
        <w:br w:type="page"/>
      </w:r>
      <w:bookmarkStart w:id="74" w:name="_Toc14430"/>
      <w:r>
        <w:rPr>
          <w:rFonts w:hint="eastAsia" w:ascii="宋体" w:hAnsi="宋体" w:cs="宋体"/>
          <w:sz w:val="30"/>
          <w:szCs w:val="30"/>
        </w:rPr>
        <w:t>（</w:t>
      </w:r>
      <w:r>
        <w:rPr>
          <w:rFonts w:ascii="宋体" w:hAnsi="宋体" w:cs="宋体"/>
          <w:sz w:val="30"/>
          <w:szCs w:val="30"/>
        </w:rPr>
        <w:t>8</w:t>
      </w:r>
      <w:r>
        <w:rPr>
          <w:rFonts w:hint="eastAsia" w:ascii="宋体" w:hAnsi="宋体" w:cs="宋体"/>
          <w:sz w:val="30"/>
          <w:szCs w:val="30"/>
        </w:rPr>
        <w:t>）</w:t>
      </w:r>
      <w:r>
        <w:rPr>
          <w:rFonts w:hint="eastAsia" w:ascii="宋体" w:hAnsi="宋体" w:cs="宋体"/>
          <w:sz w:val="30"/>
          <w:szCs w:val="30"/>
          <w:lang w:val="zh-CN"/>
        </w:rPr>
        <w:t>评分对照表</w:t>
      </w:r>
      <w:bookmarkEnd w:id="74"/>
    </w:p>
    <w:p>
      <w:pPr>
        <w:spacing w:line="360" w:lineRule="auto"/>
        <w:rPr>
          <w:rFonts w:ascii="宋体" w:hAnsi="宋体" w:cs="宋体"/>
          <w:sz w:val="28"/>
          <w:szCs w:val="28"/>
        </w:rPr>
      </w:pPr>
    </w:p>
    <w:p>
      <w:pPr>
        <w:spacing w:line="360" w:lineRule="auto"/>
        <w:jc w:val="center"/>
        <w:rPr>
          <w:rFonts w:ascii="宋体" w:hAnsi="宋体" w:cs="宋体"/>
        </w:rPr>
      </w:pPr>
      <w:r>
        <w:rPr>
          <w:rFonts w:hint="eastAsia" w:ascii="宋体" w:hAnsi="宋体" w:cs="宋体"/>
          <w:b/>
          <w:bCs/>
          <w:sz w:val="28"/>
          <w:szCs w:val="28"/>
        </w:rPr>
        <w:t>评分对照表</w:t>
      </w:r>
    </w:p>
    <w:p>
      <w:pPr>
        <w:spacing w:line="360" w:lineRule="auto"/>
        <w:rPr>
          <w:rFonts w:ascii="宋体" w:hAnsi="宋体" w:cs="宋体"/>
          <w:sz w:val="28"/>
          <w:szCs w:val="28"/>
        </w:rPr>
      </w:pPr>
    </w:p>
    <w:tbl>
      <w:tblPr>
        <w:tblStyle w:val="20"/>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6"/>
              <w:spacing w:line="36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6"/>
              <w:spacing w:line="36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6"/>
              <w:spacing w:line="36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szCs w:val="24"/>
              </w:rPr>
            </w:pPr>
          </w:p>
        </w:tc>
        <w:tc>
          <w:tcPr>
            <w:tcW w:w="2514" w:type="dxa"/>
            <w:vAlign w:val="center"/>
          </w:tcPr>
          <w:p>
            <w:pPr>
              <w:pStyle w:val="6"/>
              <w:spacing w:line="360" w:lineRule="auto"/>
              <w:ind w:firstLine="0"/>
              <w:jc w:val="center"/>
              <w:rPr>
                <w:rFonts w:ascii="宋体" w:hAnsi="宋体" w:cs="宋体"/>
                <w:szCs w:val="24"/>
              </w:rPr>
            </w:pPr>
          </w:p>
        </w:tc>
        <w:tc>
          <w:tcPr>
            <w:tcW w:w="2266" w:type="dxa"/>
            <w:vAlign w:val="center"/>
          </w:tcPr>
          <w:p>
            <w:pPr>
              <w:pStyle w:val="6"/>
              <w:spacing w:line="360" w:lineRule="auto"/>
              <w:ind w:firstLine="0"/>
              <w:jc w:val="center"/>
              <w:rPr>
                <w:rFonts w:ascii="宋体" w:hAnsi="宋体" w:cs="宋体"/>
                <w:szCs w:val="24"/>
              </w:rPr>
            </w:pPr>
          </w:p>
        </w:tc>
        <w:tc>
          <w:tcPr>
            <w:tcW w:w="2966" w:type="dxa"/>
            <w:vAlign w:val="center"/>
          </w:tcPr>
          <w:p>
            <w:pPr>
              <w:pStyle w:val="6"/>
              <w:spacing w:line="360" w:lineRule="auto"/>
              <w:ind w:firstLine="0"/>
              <w:jc w:val="center"/>
              <w:rPr>
                <w:rFonts w:ascii="宋体" w:hAnsi="宋体" w:cs="宋体"/>
                <w:szCs w:val="24"/>
              </w:rPr>
            </w:pPr>
          </w:p>
        </w:tc>
      </w:tr>
    </w:tbl>
    <w:p>
      <w:pPr>
        <w:spacing w:line="360" w:lineRule="auto"/>
        <w:rPr>
          <w:rFonts w:ascii="宋体" w:hAnsi="宋体" w:cs="宋体"/>
          <w:lang w:val="zh-CN"/>
        </w:rPr>
      </w:pPr>
    </w:p>
    <w:p>
      <w:pPr>
        <w:pStyle w:val="15"/>
        <w:spacing w:before="0" w:after="0" w:line="360" w:lineRule="auto"/>
        <w:jc w:val="left"/>
        <w:outlineLvl w:val="1"/>
        <w:rPr>
          <w:rFonts w:ascii="宋体" w:hAnsi="宋体" w:cs="宋体"/>
          <w:lang w:val="zh-CN"/>
        </w:rPr>
      </w:pPr>
      <w:bookmarkStart w:id="75" w:name="_Toc28963"/>
      <w:r>
        <w:rPr>
          <w:rFonts w:hint="eastAsia" w:ascii="宋体" w:hAnsi="宋体" w:cs="宋体"/>
          <w:sz w:val="30"/>
          <w:szCs w:val="30"/>
          <w:lang w:val="zh-CN"/>
        </w:rPr>
        <w:br w:type="page"/>
      </w:r>
      <w:bookmarkStart w:id="76" w:name="_Toc26451"/>
      <w:bookmarkStart w:id="77" w:name="_Toc25570"/>
      <w:r>
        <w:rPr>
          <w:rFonts w:hint="eastAsia" w:ascii="宋体" w:hAnsi="宋体" w:cs="宋体"/>
          <w:sz w:val="30"/>
          <w:szCs w:val="30"/>
        </w:rPr>
        <w:t>（</w:t>
      </w:r>
      <w:r>
        <w:rPr>
          <w:rFonts w:ascii="宋体" w:hAnsi="宋体" w:cs="宋体"/>
          <w:sz w:val="30"/>
          <w:szCs w:val="30"/>
        </w:rPr>
        <w:t>9</w:t>
      </w:r>
      <w:r>
        <w:rPr>
          <w:rFonts w:hint="eastAsia" w:ascii="宋体" w:hAnsi="宋体" w:cs="宋体"/>
          <w:sz w:val="30"/>
          <w:szCs w:val="30"/>
        </w:rPr>
        <w:t>）</w:t>
      </w:r>
      <w:r>
        <w:rPr>
          <w:rFonts w:hint="eastAsia" w:ascii="宋体" w:hAnsi="宋体" w:cs="宋体"/>
          <w:sz w:val="30"/>
          <w:szCs w:val="30"/>
          <w:lang w:val="zh-CN"/>
        </w:rPr>
        <w:t>开标一览表（报价表）</w:t>
      </w:r>
      <w:bookmarkEnd w:id="76"/>
      <w:bookmarkEnd w:id="77"/>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360" w:lineRule="auto"/>
        <w:rPr>
          <w:rFonts w:ascii="宋体" w:hAnsi="宋体" w:cs="宋体"/>
          <w:b/>
          <w:bCs/>
          <w:kern w:val="0"/>
          <w:sz w:val="28"/>
          <w:szCs w:val="28"/>
          <w:lang w:val="zh-CN"/>
        </w:rPr>
      </w:pPr>
    </w:p>
    <w:tbl>
      <w:tblPr>
        <w:tblStyle w:val="20"/>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85"/>
        <w:gridCol w:w="2804"/>
        <w:gridCol w:w="4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4289" w:type="dxa"/>
            <w:gridSpan w:val="2"/>
            <w:vAlign w:val="center"/>
          </w:tcPr>
          <w:p>
            <w:pPr>
              <w:pStyle w:val="6"/>
              <w:spacing w:line="360" w:lineRule="auto"/>
              <w:ind w:firstLine="0"/>
              <w:jc w:val="center"/>
              <w:rPr>
                <w:rFonts w:ascii="宋体" w:hAnsi="宋体" w:cs="宋体"/>
                <w:szCs w:val="24"/>
              </w:rPr>
            </w:pPr>
            <w:r>
              <w:rPr>
                <w:rFonts w:hint="eastAsia" w:ascii="宋体" w:hAnsi="宋体" w:cs="宋体"/>
                <w:szCs w:val="24"/>
              </w:rPr>
              <w:t>投标人名称</w:t>
            </w:r>
          </w:p>
        </w:tc>
        <w:tc>
          <w:tcPr>
            <w:tcW w:w="4328" w:type="dxa"/>
            <w:vAlign w:val="center"/>
          </w:tcPr>
          <w:p>
            <w:pPr>
              <w:pStyle w:val="6"/>
              <w:spacing w:line="36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4289" w:type="dxa"/>
            <w:gridSpan w:val="2"/>
            <w:vAlign w:val="center"/>
          </w:tcPr>
          <w:p>
            <w:pPr>
              <w:pStyle w:val="6"/>
              <w:spacing w:line="360" w:lineRule="auto"/>
              <w:ind w:firstLine="0"/>
              <w:jc w:val="center"/>
              <w:rPr>
                <w:rFonts w:ascii="宋体" w:hAnsi="宋体" w:cs="宋体"/>
                <w:szCs w:val="24"/>
              </w:rPr>
            </w:pPr>
            <w:r>
              <w:rPr>
                <w:rFonts w:hint="eastAsia" w:ascii="宋体" w:hAnsi="宋体" w:cs="宋体"/>
                <w:szCs w:val="24"/>
                <w:lang w:val="zh-CN"/>
              </w:rPr>
              <w:t>投标包号</w:t>
            </w:r>
          </w:p>
        </w:tc>
        <w:tc>
          <w:tcPr>
            <w:tcW w:w="4328" w:type="dxa"/>
            <w:vAlign w:val="center"/>
          </w:tcPr>
          <w:p>
            <w:pPr>
              <w:pStyle w:val="6"/>
              <w:spacing w:line="36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67" w:hRule="atLeast"/>
          <w:jc w:val="center"/>
        </w:trPr>
        <w:tc>
          <w:tcPr>
            <w:tcW w:w="1485" w:type="dxa"/>
            <w:vAlign w:val="center"/>
          </w:tcPr>
          <w:p>
            <w:pPr>
              <w:pStyle w:val="6"/>
              <w:spacing w:line="360" w:lineRule="auto"/>
              <w:ind w:firstLine="0"/>
              <w:jc w:val="center"/>
              <w:rPr>
                <w:rFonts w:ascii="宋体" w:hAnsi="宋体" w:cs="宋体"/>
                <w:szCs w:val="24"/>
              </w:rPr>
            </w:pPr>
            <w:r>
              <w:rPr>
                <w:rFonts w:hint="eastAsia" w:ascii="宋体" w:hAnsi="宋体" w:cs="宋体"/>
                <w:szCs w:val="24"/>
              </w:rPr>
              <w:t>投标报价</w:t>
            </w:r>
          </w:p>
        </w:tc>
        <w:tc>
          <w:tcPr>
            <w:tcW w:w="2804" w:type="dxa"/>
            <w:vAlign w:val="center"/>
          </w:tcPr>
          <w:p>
            <w:pPr>
              <w:pStyle w:val="6"/>
              <w:spacing w:line="360" w:lineRule="auto"/>
              <w:ind w:firstLine="0"/>
              <w:jc w:val="center"/>
              <w:rPr>
                <w:rFonts w:ascii="宋体" w:hAnsi="宋体" w:cs="宋体"/>
                <w:szCs w:val="24"/>
              </w:rPr>
            </w:pPr>
            <w:r>
              <w:rPr>
                <w:rFonts w:hint="eastAsia" w:ascii="宋体" w:hAnsi="宋体" w:cs="宋体"/>
                <w:color w:val="auto"/>
                <w:kern w:val="0"/>
                <w:sz w:val="21"/>
                <w:szCs w:val="21"/>
                <w:highlight w:val="none"/>
              </w:rPr>
              <w:t>可用性</w:t>
            </w:r>
            <w:r>
              <w:rPr>
                <w:rFonts w:hint="eastAsia" w:ascii="宋体" w:hAnsi="宋体" w:cs="宋体"/>
                <w:color w:val="auto"/>
                <w:kern w:val="0"/>
                <w:sz w:val="21"/>
                <w:szCs w:val="21"/>
                <w:highlight w:val="none"/>
                <w:lang w:eastAsia="zh-CN"/>
              </w:rPr>
              <w:t>服务费折现</w:t>
            </w:r>
            <w:r>
              <w:rPr>
                <w:rFonts w:hint="eastAsia" w:ascii="宋体" w:hAnsi="宋体" w:cs="宋体"/>
                <w:color w:val="auto"/>
                <w:kern w:val="0"/>
                <w:sz w:val="21"/>
                <w:szCs w:val="21"/>
                <w:highlight w:val="none"/>
              </w:rPr>
              <w:t>率</w:t>
            </w:r>
          </w:p>
        </w:tc>
        <w:tc>
          <w:tcPr>
            <w:tcW w:w="4328" w:type="dxa"/>
            <w:vAlign w:val="center"/>
          </w:tcPr>
          <w:p>
            <w:pPr>
              <w:pStyle w:val="6"/>
              <w:spacing w:line="360" w:lineRule="auto"/>
              <w:ind w:firstLine="0"/>
              <w:rPr>
                <w:rFonts w:hint="default" w:ascii="宋体" w:hAnsi="宋体" w:eastAsia="宋体" w:cs="宋体"/>
                <w:szCs w:val="24"/>
                <w:lang w:val="en-US" w:eastAsia="zh-CN"/>
              </w:rPr>
            </w:pPr>
            <w:r>
              <w:rPr>
                <w:rFonts w:hint="eastAsia" w:ascii="宋体" w:hAnsi="宋体" w:cs="宋体"/>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4289" w:type="dxa"/>
            <w:gridSpan w:val="2"/>
            <w:vAlign w:val="center"/>
          </w:tcPr>
          <w:p>
            <w:pPr>
              <w:pStyle w:val="6"/>
              <w:spacing w:line="360" w:lineRule="auto"/>
              <w:ind w:firstLine="0"/>
              <w:jc w:val="center"/>
              <w:rPr>
                <w:rFonts w:ascii="宋体" w:hAnsi="宋体" w:cs="宋体"/>
                <w:szCs w:val="24"/>
              </w:rPr>
            </w:pPr>
            <w:r>
              <w:rPr>
                <w:rFonts w:hint="eastAsia" w:ascii="宋体" w:hAnsi="宋体" w:cs="宋体"/>
                <w:szCs w:val="24"/>
              </w:rPr>
              <w:t>服务期</w:t>
            </w:r>
          </w:p>
        </w:tc>
        <w:tc>
          <w:tcPr>
            <w:tcW w:w="4328" w:type="dxa"/>
            <w:vAlign w:val="center"/>
          </w:tcPr>
          <w:p>
            <w:pPr>
              <w:pStyle w:val="6"/>
              <w:spacing w:line="360" w:lineRule="auto"/>
              <w:ind w:firstLine="0"/>
              <w:rPr>
                <w:rFonts w:ascii="宋体" w:hAnsi="宋体" w:cs="宋体"/>
                <w:szCs w:val="24"/>
              </w:rPr>
            </w:pPr>
          </w:p>
        </w:tc>
      </w:tr>
    </w:tbl>
    <w:p>
      <w:pPr>
        <w:autoSpaceDE w:val="0"/>
        <w:autoSpaceDN w:val="0"/>
        <w:spacing w:line="36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360" w:lineRule="auto"/>
        <w:ind w:firstLine="480"/>
        <w:rPr>
          <w:rFonts w:ascii="宋体" w:hAnsi="宋体" w:cs="宋体"/>
          <w:kern w:val="0"/>
          <w:lang w:val="zh-CN"/>
        </w:rPr>
      </w:pPr>
      <w:r>
        <w:rPr>
          <w:rFonts w:ascii="宋体" w:hAnsi="宋体" w:cs="宋体"/>
          <w:kern w:val="0"/>
          <w:lang w:val="zh-CN"/>
        </w:rPr>
        <w:t>2</w:t>
      </w:r>
      <w:r>
        <w:rPr>
          <w:rFonts w:hint="eastAsia" w:ascii="宋体" w:hAnsi="宋体" w:cs="宋体"/>
          <w:kern w:val="0"/>
          <w:lang w:val="zh-CN"/>
        </w:rPr>
        <w:t>.投标报价不能有两个或两个以上的报价方案，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ascii="宋体" w:hAnsi="宋体" w:cs="宋体"/>
          <w:kern w:val="0"/>
          <w:lang w:val="zh-CN"/>
        </w:rPr>
      </w:pPr>
    </w:p>
    <w:p>
      <w:pPr>
        <w:pStyle w:val="15"/>
        <w:spacing w:before="0" w:after="0" w:line="360" w:lineRule="auto"/>
        <w:jc w:val="left"/>
        <w:outlineLvl w:val="1"/>
        <w:rPr>
          <w:rFonts w:ascii="宋体" w:hAnsi="宋体" w:cs="宋体"/>
        </w:rPr>
      </w:pPr>
      <w:r>
        <w:rPr>
          <w:rFonts w:hint="eastAsia" w:ascii="宋体" w:hAnsi="宋体" w:cs="宋体"/>
          <w:sz w:val="30"/>
          <w:szCs w:val="30"/>
          <w:lang w:val="zh-CN"/>
        </w:rPr>
        <w:br w:type="page"/>
      </w:r>
      <w:bookmarkStart w:id="78" w:name="_Toc5328"/>
      <w:r>
        <w:rPr>
          <w:rFonts w:hint="eastAsia" w:ascii="宋体" w:hAnsi="宋体" w:cs="宋体"/>
          <w:sz w:val="30"/>
          <w:szCs w:val="30"/>
        </w:rPr>
        <w:t>（1</w:t>
      </w:r>
      <w:r>
        <w:rPr>
          <w:rFonts w:ascii="宋体" w:hAnsi="宋体" w:cs="宋体"/>
          <w:sz w:val="30"/>
          <w:szCs w:val="30"/>
        </w:rPr>
        <w:t>0</w:t>
      </w:r>
      <w:r>
        <w:rPr>
          <w:rFonts w:hint="eastAsia" w:ascii="宋体" w:hAnsi="宋体" w:cs="宋体"/>
          <w:sz w:val="30"/>
          <w:szCs w:val="30"/>
        </w:rPr>
        <w:t>）</w:t>
      </w:r>
      <w:bookmarkEnd w:id="75"/>
      <w:r>
        <w:rPr>
          <w:rFonts w:hint="eastAsia" w:ascii="宋体" w:hAnsi="宋体" w:cs="宋体"/>
          <w:sz w:val="30"/>
          <w:szCs w:val="30"/>
          <w:lang w:val="zh-CN"/>
        </w:rPr>
        <w:t>服务应答表</w:t>
      </w:r>
      <w:bookmarkEnd w:id="78"/>
    </w:p>
    <w:p>
      <w:pPr>
        <w:autoSpaceDE w:val="0"/>
        <w:autoSpaceDN w:val="0"/>
        <w:spacing w:line="360" w:lineRule="auto"/>
        <w:rPr>
          <w:rFonts w:ascii="宋体" w:hAnsi="宋体" w:cs="宋体"/>
          <w:b/>
          <w:bCs/>
          <w:kern w:val="0"/>
          <w:sz w:val="28"/>
          <w:szCs w:val="28"/>
          <w:lang w:val="zh-CN"/>
        </w:rPr>
      </w:pPr>
    </w:p>
    <w:p>
      <w:pPr>
        <w:keepNext/>
        <w:keepLines/>
        <w:spacing w:before="260" w:after="260" w:line="400" w:lineRule="exact"/>
        <w:jc w:val="center"/>
        <w:outlineLvl w:val="1"/>
        <w:rPr>
          <w:rFonts w:ascii="宋体" w:hAnsi="宋体"/>
          <w:b/>
          <w:kern w:val="0"/>
          <w:sz w:val="32"/>
          <w:szCs w:val="28"/>
        </w:rPr>
      </w:pPr>
      <w:r>
        <w:rPr>
          <w:rFonts w:hint="eastAsia" w:ascii="宋体" w:hAnsi="宋体"/>
          <w:b/>
          <w:kern w:val="0"/>
          <w:sz w:val="32"/>
          <w:szCs w:val="28"/>
        </w:rPr>
        <w:t>服务应答表</w:t>
      </w:r>
    </w:p>
    <w:p>
      <w:pPr>
        <w:autoSpaceDE w:val="0"/>
        <w:autoSpaceDN w:val="0"/>
        <w:adjustRightInd w:val="0"/>
        <w:spacing w:line="400" w:lineRule="exact"/>
        <w:jc w:val="center"/>
        <w:rPr>
          <w:rFonts w:ascii="宋体" w:hAnsi="宋体"/>
          <w:b/>
          <w:bCs/>
          <w:kern w:val="0"/>
          <w:sz w:val="28"/>
        </w:rPr>
      </w:pPr>
    </w:p>
    <w:p>
      <w:pPr>
        <w:spacing w:line="400" w:lineRule="exact"/>
        <w:rPr>
          <w:rFonts w:ascii="宋体" w:hAnsi="宋体"/>
          <w:szCs w:val="21"/>
        </w:rPr>
      </w:pPr>
      <w:r>
        <w:rPr>
          <w:rFonts w:hint="eastAsia" w:ascii="宋体" w:hAnsi="宋体"/>
        </w:rPr>
        <w:t xml:space="preserve">项目编号：                                         </w:t>
      </w:r>
    </w:p>
    <w:tbl>
      <w:tblPr>
        <w:tblStyle w:val="20"/>
        <w:tblW w:w="84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297"/>
        <w:gridCol w:w="1866"/>
        <w:gridCol w:w="2297"/>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862" w:type="dxa"/>
            <w:vAlign w:val="center"/>
          </w:tcPr>
          <w:p>
            <w:pPr>
              <w:tabs>
                <w:tab w:val="left" w:pos="6880"/>
              </w:tabs>
              <w:spacing w:line="360" w:lineRule="auto"/>
              <w:rPr>
                <w:rFonts w:ascii="宋体" w:hAnsi="宋体" w:cs="宋体"/>
                <w:b/>
                <w:kern w:val="0"/>
              </w:rPr>
            </w:pPr>
            <w:r>
              <w:rPr>
                <w:rFonts w:hint="eastAsia" w:ascii="宋体" w:hAnsi="宋体" w:cs="宋体"/>
                <w:b/>
                <w:kern w:val="0"/>
              </w:rPr>
              <w:t>序号</w:t>
            </w:r>
          </w:p>
        </w:tc>
        <w:tc>
          <w:tcPr>
            <w:tcW w:w="2297" w:type="dxa"/>
            <w:vAlign w:val="center"/>
          </w:tcPr>
          <w:p>
            <w:pPr>
              <w:tabs>
                <w:tab w:val="left" w:pos="6880"/>
              </w:tabs>
              <w:spacing w:line="360" w:lineRule="auto"/>
              <w:jc w:val="center"/>
              <w:rPr>
                <w:rFonts w:ascii="宋体" w:hAnsi="宋体" w:cs="宋体"/>
                <w:b/>
                <w:kern w:val="0"/>
              </w:rPr>
            </w:pPr>
            <w:r>
              <w:rPr>
                <w:rFonts w:ascii="宋体" w:hAnsi="宋体" w:cs="宋体"/>
                <w:b/>
                <w:kern w:val="0"/>
              </w:rPr>
              <w:t>招标文件条目号</w:t>
            </w:r>
          </w:p>
        </w:tc>
        <w:tc>
          <w:tcPr>
            <w:tcW w:w="1866" w:type="dxa"/>
            <w:vAlign w:val="center"/>
          </w:tcPr>
          <w:p>
            <w:pPr>
              <w:tabs>
                <w:tab w:val="left" w:pos="6880"/>
              </w:tabs>
              <w:spacing w:line="360" w:lineRule="auto"/>
              <w:jc w:val="center"/>
              <w:rPr>
                <w:rFonts w:ascii="宋体" w:hAnsi="宋体" w:cs="宋体"/>
                <w:b/>
                <w:kern w:val="0"/>
              </w:rPr>
            </w:pPr>
            <w:r>
              <w:rPr>
                <w:rFonts w:hint="eastAsia" w:ascii="宋体" w:hAnsi="宋体" w:cs="宋体"/>
                <w:b/>
                <w:kern w:val="0"/>
              </w:rPr>
              <w:t>招标文件要求</w:t>
            </w:r>
          </w:p>
        </w:tc>
        <w:tc>
          <w:tcPr>
            <w:tcW w:w="2297" w:type="dxa"/>
            <w:vAlign w:val="center"/>
          </w:tcPr>
          <w:p>
            <w:pPr>
              <w:tabs>
                <w:tab w:val="left" w:pos="6880"/>
              </w:tabs>
              <w:spacing w:line="360" w:lineRule="auto"/>
              <w:jc w:val="center"/>
              <w:rPr>
                <w:rFonts w:ascii="宋体" w:hAnsi="宋体" w:cs="宋体"/>
                <w:b/>
                <w:kern w:val="0"/>
              </w:rPr>
            </w:pPr>
            <w:r>
              <w:rPr>
                <w:rFonts w:hint="eastAsia" w:ascii="宋体" w:hAnsi="宋体" w:cs="宋体"/>
                <w:b/>
                <w:kern w:val="0"/>
              </w:rPr>
              <w:t>投标文件的应答</w:t>
            </w:r>
          </w:p>
        </w:tc>
        <w:tc>
          <w:tcPr>
            <w:tcW w:w="1148" w:type="dxa"/>
            <w:vAlign w:val="center"/>
          </w:tcPr>
          <w:p>
            <w:pPr>
              <w:tabs>
                <w:tab w:val="left" w:pos="6880"/>
              </w:tabs>
              <w:spacing w:line="360" w:lineRule="auto"/>
              <w:jc w:val="center"/>
              <w:rPr>
                <w:rFonts w:ascii="宋体" w:hAnsi="宋体" w:cs="宋体"/>
                <w:b/>
                <w:kern w:val="0"/>
              </w:rPr>
            </w:pPr>
            <w:r>
              <w:rPr>
                <w:rFonts w:hint="eastAsia" w:ascii="宋体" w:hAnsi="宋体" w:cs="宋体"/>
                <w:b/>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1</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2</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3</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4</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62" w:type="dxa"/>
            <w:vAlign w:val="center"/>
          </w:tcPr>
          <w:p>
            <w:pPr>
              <w:tabs>
                <w:tab w:val="left" w:pos="34"/>
              </w:tabs>
              <w:spacing w:line="360" w:lineRule="auto"/>
              <w:ind w:left="-108"/>
              <w:jc w:val="center"/>
              <w:rPr>
                <w:rFonts w:ascii="宋体" w:hAnsi="宋体" w:cs="宋体"/>
                <w:kern w:val="0"/>
              </w:rPr>
            </w:pPr>
            <w:r>
              <w:rPr>
                <w:rFonts w:hint="eastAsia" w:ascii="宋体" w:hAnsi="宋体" w:cs="宋体"/>
                <w:kern w:val="0"/>
              </w:rPr>
              <w:t>5</w:t>
            </w:r>
          </w:p>
        </w:tc>
        <w:tc>
          <w:tcPr>
            <w:tcW w:w="2297" w:type="dxa"/>
            <w:vAlign w:val="center"/>
          </w:tcPr>
          <w:p>
            <w:pPr>
              <w:tabs>
                <w:tab w:val="left" w:pos="6880"/>
              </w:tabs>
              <w:spacing w:line="360" w:lineRule="auto"/>
              <w:ind w:firstLine="480" w:firstLineChars="200"/>
              <w:jc w:val="center"/>
              <w:rPr>
                <w:rFonts w:ascii="宋体" w:hAnsi="宋体" w:cs="宋体"/>
                <w:kern w:val="0"/>
              </w:rPr>
            </w:pPr>
          </w:p>
        </w:tc>
        <w:tc>
          <w:tcPr>
            <w:tcW w:w="1866" w:type="dxa"/>
            <w:vAlign w:val="center"/>
          </w:tcPr>
          <w:p>
            <w:pPr>
              <w:tabs>
                <w:tab w:val="left" w:pos="6880"/>
              </w:tabs>
              <w:spacing w:line="360" w:lineRule="auto"/>
              <w:ind w:firstLine="480" w:firstLineChars="200"/>
              <w:rPr>
                <w:rFonts w:ascii="宋体" w:hAnsi="宋体" w:cs="宋体"/>
                <w:kern w:val="0"/>
              </w:rPr>
            </w:pPr>
          </w:p>
        </w:tc>
        <w:tc>
          <w:tcPr>
            <w:tcW w:w="2297" w:type="dxa"/>
            <w:vAlign w:val="center"/>
          </w:tcPr>
          <w:p>
            <w:pPr>
              <w:tabs>
                <w:tab w:val="left" w:pos="6880"/>
              </w:tabs>
              <w:spacing w:line="360" w:lineRule="auto"/>
              <w:ind w:firstLine="480" w:firstLineChars="200"/>
              <w:rPr>
                <w:rFonts w:ascii="宋体" w:hAnsi="宋体" w:cs="宋体"/>
                <w:kern w:val="0"/>
              </w:rPr>
            </w:pPr>
          </w:p>
        </w:tc>
        <w:tc>
          <w:tcPr>
            <w:tcW w:w="1148" w:type="dxa"/>
            <w:vAlign w:val="center"/>
          </w:tcPr>
          <w:p>
            <w:pPr>
              <w:tabs>
                <w:tab w:val="left" w:pos="6880"/>
              </w:tabs>
              <w:spacing w:line="360" w:lineRule="auto"/>
              <w:ind w:firstLine="480" w:firstLineChars="200"/>
              <w:rPr>
                <w:rFonts w:ascii="宋体" w:hAnsi="宋体" w:cs="宋体"/>
                <w:kern w:val="0"/>
              </w:rPr>
            </w:pPr>
          </w:p>
        </w:tc>
      </w:tr>
    </w:tbl>
    <w:p>
      <w:pPr>
        <w:spacing w:line="400" w:lineRule="exact"/>
        <w:ind w:left="617" w:leftChars="57" w:hanging="480" w:hangingChars="200"/>
        <w:rPr>
          <w:rFonts w:ascii="宋体" w:hAnsi="宋体"/>
        </w:rPr>
      </w:pPr>
      <w:r>
        <w:rPr>
          <w:rFonts w:hint="eastAsia" w:ascii="宋体" w:hAnsi="宋体"/>
        </w:rPr>
        <w:t>注：1. 投标人必须把招标项目的全部服务内容事项列入此表。</w:t>
      </w:r>
    </w:p>
    <w:p>
      <w:pPr>
        <w:spacing w:line="400" w:lineRule="exact"/>
        <w:ind w:left="684" w:leftChars="285"/>
        <w:rPr>
          <w:rFonts w:ascii="宋体" w:hAnsi="宋体"/>
        </w:rPr>
      </w:pPr>
      <w:r>
        <w:rPr>
          <w:rFonts w:hint="eastAsia" w:ascii="宋体" w:hAnsi="宋体"/>
        </w:rPr>
        <w:t>2．按照招标项目服务要求的顺序对应填写。</w:t>
      </w:r>
    </w:p>
    <w:p>
      <w:pPr>
        <w:spacing w:line="400" w:lineRule="exact"/>
        <w:ind w:left="684" w:leftChars="285"/>
        <w:rPr>
          <w:rFonts w:ascii="宋体" w:hAnsi="宋体"/>
        </w:rPr>
      </w:pPr>
      <w:r>
        <w:rPr>
          <w:rFonts w:hint="eastAsia" w:ascii="宋体" w:hAnsi="宋体"/>
        </w:rPr>
        <w:t>3．投标人必须据实填写，不得虚假填写，否则将取消其投标或中标资格。</w:t>
      </w:r>
    </w:p>
    <w:p>
      <w:pPr>
        <w:adjustRightInd w:val="0"/>
        <w:spacing w:line="400" w:lineRule="exact"/>
        <w:ind w:firstLine="490" w:firstLineChars="175"/>
        <w:jc w:val="left"/>
        <w:rPr>
          <w:rFonts w:ascii="宋体" w:hAnsi="宋体"/>
          <w:bCs/>
          <w:sz w:val="28"/>
          <w:szCs w:val="28"/>
        </w:rPr>
      </w:pPr>
    </w:p>
    <w:p>
      <w:pPr>
        <w:rPr>
          <w:lang w:val="zh-CN"/>
        </w:rPr>
      </w:pPr>
    </w:p>
    <w:p>
      <w:pPr>
        <w:rPr>
          <w:lang w:val="zh-CN"/>
        </w:rPr>
      </w:pPr>
    </w:p>
    <w:p>
      <w:pPr>
        <w:rPr>
          <w:lang w:val="zh-CN"/>
        </w:rPr>
      </w:pPr>
    </w:p>
    <w:p>
      <w:pPr>
        <w:rPr>
          <w:lang w:val="zh-CN"/>
        </w:rPr>
      </w:pPr>
    </w:p>
    <w:p>
      <w:pPr>
        <w:rPr>
          <w:lang w:val="zh-CN"/>
        </w:rPr>
      </w:pPr>
    </w:p>
    <w:p>
      <w:pPr>
        <w:rPr>
          <w:lang w:val="zh-CN"/>
        </w:rPr>
      </w:pPr>
    </w:p>
    <w:p>
      <w:pPr>
        <w:autoSpaceDE w:val="0"/>
        <w:autoSpaceDN w:val="0"/>
        <w:spacing w:line="360" w:lineRule="auto"/>
        <w:ind w:firstLine="480"/>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ind w:firstLine="3253"/>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rPr>
          <w:rFonts w:ascii="宋体" w:hAnsi="宋体" w:cs="宋体"/>
          <w:b/>
          <w:bCs/>
          <w:kern w:val="0"/>
          <w:lang w:val="zh-CN"/>
        </w:rPr>
      </w:pPr>
    </w:p>
    <w:p>
      <w:pPr>
        <w:pStyle w:val="15"/>
        <w:spacing w:before="0" w:after="0" w:line="360" w:lineRule="auto"/>
        <w:jc w:val="both"/>
        <w:outlineLvl w:val="1"/>
        <w:rPr>
          <w:rFonts w:ascii="宋体" w:hAnsi="宋体" w:cs="宋体"/>
        </w:rPr>
      </w:pPr>
      <w:r>
        <w:rPr>
          <w:rFonts w:hint="eastAsia" w:ascii="宋体" w:hAnsi="宋体" w:cs="宋体"/>
          <w:sz w:val="30"/>
          <w:szCs w:val="30"/>
          <w:lang w:val="zh-CN"/>
        </w:rPr>
        <w:br w:type="page"/>
      </w:r>
      <w:bookmarkStart w:id="79" w:name="_Toc12357"/>
      <w:r>
        <w:rPr>
          <w:rFonts w:hint="eastAsia" w:ascii="宋体" w:hAnsi="宋体" w:cs="宋体"/>
          <w:sz w:val="30"/>
          <w:szCs w:val="30"/>
        </w:rPr>
        <w:t>（1</w:t>
      </w:r>
      <w:r>
        <w:rPr>
          <w:rFonts w:ascii="宋体" w:hAnsi="宋体" w:cs="宋体"/>
          <w:sz w:val="30"/>
          <w:szCs w:val="30"/>
        </w:rPr>
        <w:t>1</w:t>
      </w:r>
      <w:r>
        <w:rPr>
          <w:rFonts w:hint="eastAsia" w:ascii="宋体" w:hAnsi="宋体" w:cs="宋体"/>
          <w:sz w:val="30"/>
          <w:szCs w:val="30"/>
        </w:rPr>
        <w:t>）</w:t>
      </w:r>
      <w:bookmarkStart w:id="80" w:name="_Toc14290"/>
      <w:r>
        <w:rPr>
          <w:rFonts w:hint="eastAsia" w:ascii="宋体" w:hAnsi="宋体" w:cs="宋体"/>
          <w:sz w:val="30"/>
          <w:szCs w:val="30"/>
          <w:lang w:val="zh-CN"/>
        </w:rPr>
        <w:t>响应方案</w:t>
      </w:r>
      <w:bookmarkEnd w:id="79"/>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firstLineChars="200"/>
        <w:rPr>
          <w:rFonts w:ascii="宋体" w:hAnsi="宋体" w:cs="宋体"/>
          <w:sz w:val="32"/>
          <w:lang w:val="zh-CN"/>
        </w:rPr>
      </w:pPr>
      <w:r>
        <w:rPr>
          <w:rFonts w:hint="eastAsia" w:ascii="宋体" w:hAnsi="宋体" w:cs="宋体"/>
          <w:kern w:val="0"/>
          <w:lang w:val="zh-CN"/>
        </w:rPr>
        <w:t>根据本项目服务内容提供的融资、项目公司组建、经营管理、施工、运营维护、移交等方案内容。</w:t>
      </w:r>
    </w:p>
    <w:p>
      <w:pPr>
        <w:pStyle w:val="15"/>
        <w:spacing w:before="0" w:after="0" w:line="360" w:lineRule="auto"/>
        <w:jc w:val="left"/>
        <w:outlineLvl w:val="1"/>
        <w:rPr>
          <w:rFonts w:ascii="宋体" w:hAnsi="宋体" w:cs="宋体"/>
        </w:rPr>
      </w:pPr>
      <w:r>
        <w:rPr>
          <w:rFonts w:hint="eastAsia" w:ascii="宋体" w:hAnsi="宋体" w:cs="宋体"/>
          <w:lang w:val="zh-CN"/>
        </w:rPr>
        <w:br w:type="page"/>
      </w:r>
      <w:bookmarkStart w:id="81" w:name="_Toc14613"/>
      <w:r>
        <w:rPr>
          <w:rFonts w:hint="eastAsia" w:ascii="宋体" w:hAnsi="宋体" w:cs="宋体"/>
          <w:sz w:val="30"/>
          <w:szCs w:val="30"/>
        </w:rPr>
        <w:t>（1</w:t>
      </w:r>
      <w:r>
        <w:rPr>
          <w:rFonts w:ascii="宋体" w:hAnsi="宋体" w:cs="宋体"/>
          <w:sz w:val="30"/>
          <w:szCs w:val="30"/>
        </w:rPr>
        <w:t>2</w:t>
      </w:r>
      <w:r>
        <w:rPr>
          <w:rFonts w:hint="eastAsia" w:ascii="宋体" w:hAnsi="宋体" w:cs="宋体"/>
          <w:sz w:val="30"/>
          <w:szCs w:val="30"/>
        </w:rPr>
        <w:t>）</w:t>
      </w:r>
      <w:r>
        <w:rPr>
          <w:rFonts w:hint="eastAsia" w:ascii="宋体" w:hAnsi="宋体" w:cs="宋体"/>
          <w:sz w:val="30"/>
          <w:szCs w:val="30"/>
          <w:lang w:val="zh-CN"/>
        </w:rPr>
        <w:t>投标人的类似业绩证明材料</w:t>
      </w:r>
      <w:bookmarkEnd w:id="80"/>
      <w:bookmarkEnd w:id="81"/>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提供自</w:t>
      </w:r>
      <w:r>
        <w:rPr>
          <w:rFonts w:hint="eastAsia" w:ascii="宋体" w:hAnsi="宋体" w:cs="宋体"/>
          <w:kern w:val="0"/>
          <w:u w:val="single"/>
          <w:lang w:val="zh-CN"/>
        </w:rPr>
        <w:t xml:space="preserve"> </w:t>
      </w:r>
      <w:r>
        <w:rPr>
          <w:rFonts w:ascii="宋体" w:hAnsi="宋体" w:cs="宋体"/>
          <w:kern w:val="0"/>
          <w:u w:val="single"/>
          <w:lang w:val="zh-CN"/>
        </w:rPr>
        <w:t xml:space="preserve">2015 </w:t>
      </w:r>
      <w:r>
        <w:rPr>
          <w:rFonts w:hint="eastAsia" w:ascii="宋体" w:hAnsi="宋体" w:cs="宋体"/>
          <w:kern w:val="0"/>
          <w:lang w:val="zh-CN"/>
        </w:rPr>
        <w:t>年以来的类似业绩证明材料。</w:t>
      </w:r>
      <w:r>
        <w:rPr>
          <w:rFonts w:hint="eastAsia" w:ascii="宋体" w:hAnsi="宋体"/>
        </w:rPr>
        <w:t>需提供包含合同首页、标的及金额所在页、供货合同签字盖章页的扫描（或复印）件或中标通知书复印件。</w:t>
      </w:r>
    </w:p>
    <w:p>
      <w:pPr>
        <w:pStyle w:val="15"/>
        <w:spacing w:before="0" w:after="0" w:line="360" w:lineRule="auto"/>
        <w:jc w:val="left"/>
        <w:outlineLvl w:val="1"/>
        <w:rPr>
          <w:rFonts w:ascii="宋体" w:hAnsi="宋体" w:cs="宋体"/>
          <w:lang w:val="zh-CN"/>
        </w:rPr>
      </w:pPr>
      <w:r>
        <w:rPr>
          <w:rFonts w:hint="eastAsia" w:ascii="宋体" w:hAnsi="宋体" w:cs="宋体"/>
          <w:lang w:val="zh-CN"/>
        </w:rPr>
        <w:br w:type="page"/>
      </w:r>
      <w:bookmarkStart w:id="82" w:name="_Toc10010"/>
      <w:bookmarkStart w:id="83" w:name="_Toc6987"/>
      <w:r>
        <w:rPr>
          <w:rFonts w:hint="eastAsia" w:ascii="宋体" w:hAnsi="宋体" w:cs="宋体"/>
          <w:sz w:val="30"/>
          <w:szCs w:val="30"/>
        </w:rPr>
        <w:t>（1</w:t>
      </w:r>
      <w:r>
        <w:rPr>
          <w:rFonts w:ascii="宋体" w:hAnsi="宋体" w:cs="宋体"/>
          <w:sz w:val="30"/>
          <w:szCs w:val="30"/>
        </w:rPr>
        <w:t>3</w:t>
      </w:r>
      <w:r>
        <w:rPr>
          <w:rFonts w:hint="eastAsia" w:ascii="宋体" w:hAnsi="宋体" w:cs="宋体"/>
          <w:sz w:val="30"/>
          <w:szCs w:val="30"/>
        </w:rPr>
        <w:t>.1）</w:t>
      </w:r>
      <w:r>
        <w:rPr>
          <w:rFonts w:hint="eastAsia" w:ascii="宋体" w:hAnsi="宋体" w:cs="宋体"/>
          <w:sz w:val="30"/>
          <w:szCs w:val="30"/>
          <w:lang w:val="zh-CN"/>
        </w:rPr>
        <w:t>制造（生产）企业小型、微型企业声明函</w:t>
      </w:r>
      <w:bookmarkEnd w:id="82"/>
      <w:bookmarkEnd w:id="83"/>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360" w:lineRule="auto"/>
        <w:rPr>
          <w:rFonts w:ascii="宋体" w:hAnsi="宋体" w:cs="宋体"/>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本公司对上述声明的真实性负责。如有虚假，将依法承担相应责任。</w:t>
      </w:r>
    </w:p>
    <w:p>
      <w:pPr>
        <w:spacing w:line="360" w:lineRule="auto"/>
        <w:ind w:firstLine="480"/>
      </w:pPr>
    </w:p>
    <w:p>
      <w:pPr>
        <w:spacing w:line="360" w:lineRule="auto"/>
        <w:rPr>
          <w:rFonts w:ascii="宋体" w:hAnsi="宋体"/>
        </w:rPr>
      </w:pPr>
      <w:r>
        <w:rPr>
          <w:rFonts w:hint="eastAsia" w:ascii="宋体" w:hAnsi="宋体"/>
        </w:rPr>
        <w:t xml:space="preserve">注：1、此函需声明参与本次投标的货物（产品）名称、规格、型号等相关资料；   </w:t>
      </w:r>
    </w:p>
    <w:p>
      <w:pPr>
        <w:spacing w:line="360" w:lineRule="auto"/>
        <w:ind w:firstLine="360" w:firstLineChars="150"/>
        <w:rPr>
          <w:rFonts w:ascii="宋体" w:hAnsi="宋体"/>
        </w:rPr>
      </w:pPr>
      <w:r>
        <w:rPr>
          <w:rFonts w:hint="eastAsia" w:ascii="宋体" w:hAnsi="宋体"/>
        </w:rPr>
        <w:t xml:space="preserve"> 2、此函须由投标产品的制造（生产）企业提供并声明，且加盖投标人公章。同时附制造（生产）企业上一年度的财务状况审计报告；</w:t>
      </w:r>
    </w:p>
    <w:p>
      <w:pPr>
        <w:spacing w:line="360" w:lineRule="auto"/>
        <w:ind w:firstLine="360" w:firstLineChars="150"/>
        <w:rPr>
          <w:rFonts w:ascii="宋体" w:hAnsi="宋体"/>
        </w:rPr>
      </w:pPr>
      <w:r>
        <w:rPr>
          <w:rFonts w:hint="eastAsia" w:ascii="宋体" w:hAnsi="宋体"/>
        </w:rPr>
        <w:t>3、此函若出现多家制造（生产）企业的货物（产品）投标时，可按制造（生产）企业分别声明，一家制造（生产）企业填写一张。</w:t>
      </w:r>
    </w:p>
    <w:p>
      <w:pPr>
        <w:autoSpaceDE w:val="0"/>
        <w:autoSpaceDN w:val="0"/>
        <w:spacing w:line="360" w:lineRule="auto"/>
        <w:ind w:firstLine="480" w:firstLineChars="200"/>
        <w:rPr>
          <w:rFonts w:ascii="宋体" w:hAnsi="宋体" w:cs="宋体"/>
          <w:kern w:val="0"/>
          <w:lang w:val="zh-CN"/>
        </w:rPr>
      </w:pPr>
      <w:r>
        <w:rPr>
          <w:rFonts w:hint="eastAsia" w:ascii="宋体" w:hAnsi="宋体"/>
        </w:rPr>
        <w:t>4、若无此项内容，可不提供此函。</w:t>
      </w:r>
    </w:p>
    <w:p>
      <w:pPr>
        <w:autoSpaceDE w:val="0"/>
        <w:autoSpaceDN w:val="0"/>
        <w:spacing w:line="360" w:lineRule="auto"/>
        <w:ind w:firstLine="480" w:firstLineChars="200"/>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ascii="宋体" w:hAnsi="宋体" w:cs="宋体"/>
          <w:lang w:val="zh-CN"/>
        </w:rPr>
      </w:pPr>
      <w:r>
        <w:rPr>
          <w:rFonts w:hint="eastAsia" w:ascii="宋体" w:hAnsi="宋体" w:cs="宋体"/>
          <w:kern w:val="0"/>
          <w:lang w:val="zh-CN"/>
        </w:rPr>
        <w:br w:type="page"/>
      </w:r>
      <w:bookmarkStart w:id="84" w:name="_Toc5159"/>
      <w:r>
        <w:rPr>
          <w:rFonts w:hint="eastAsia" w:ascii="宋体" w:hAnsi="宋体" w:cs="宋体"/>
          <w:sz w:val="30"/>
          <w:szCs w:val="30"/>
        </w:rPr>
        <w:t>（1</w:t>
      </w:r>
      <w:r>
        <w:rPr>
          <w:rFonts w:ascii="宋体" w:hAnsi="宋体" w:cs="宋体"/>
          <w:sz w:val="30"/>
          <w:szCs w:val="30"/>
        </w:rPr>
        <w:t>3</w:t>
      </w:r>
      <w:r>
        <w:rPr>
          <w:rFonts w:hint="eastAsia" w:ascii="宋体" w:hAnsi="宋体" w:cs="宋体"/>
          <w:sz w:val="30"/>
          <w:szCs w:val="30"/>
        </w:rPr>
        <w:t>.2）</w:t>
      </w:r>
      <w:r>
        <w:rPr>
          <w:rFonts w:hint="eastAsia" w:ascii="宋体" w:hAnsi="宋体" w:cs="宋体"/>
          <w:sz w:val="30"/>
          <w:szCs w:val="30"/>
          <w:lang w:val="zh-CN"/>
        </w:rPr>
        <w:t>从业人员声明函</w:t>
      </w:r>
      <w:bookmarkEnd w:id="84"/>
    </w:p>
    <w:p>
      <w:pPr>
        <w:adjustRightInd w:val="0"/>
        <w:snapToGrid w:val="0"/>
        <w:spacing w:line="440" w:lineRule="exact"/>
        <w:ind w:left="6987" w:hanging="6987" w:hangingChars="2900"/>
        <w:jc w:val="center"/>
        <w:rPr>
          <w:rFonts w:ascii="宋体" w:hAnsi="宋体" w:cs="宋体"/>
          <w:b/>
          <w:bCs/>
          <w:kern w:val="0"/>
          <w:lang w:val="zh-CN"/>
        </w:rPr>
      </w:pPr>
    </w:p>
    <w:p>
      <w:pPr>
        <w:adjustRightInd w:val="0"/>
        <w:snapToGrid w:val="0"/>
        <w:spacing w:line="440" w:lineRule="exact"/>
        <w:ind w:left="8152" w:hanging="8152" w:hangingChars="2900"/>
        <w:jc w:val="center"/>
        <w:rPr>
          <w:rFonts w:ascii="宋体" w:hAnsi="宋体" w:cs="宋体"/>
          <w:b/>
        </w:rPr>
      </w:pPr>
      <w:r>
        <w:rPr>
          <w:rFonts w:hint="eastAsia" w:ascii="宋体" w:hAnsi="宋体" w:cs="宋体"/>
          <w:b/>
          <w:sz w:val="28"/>
          <w:szCs w:val="28"/>
        </w:rPr>
        <w:t>从业人员声明函</w:t>
      </w:r>
    </w:p>
    <w:p>
      <w:pPr>
        <w:adjustRightInd w:val="0"/>
        <w:snapToGrid w:val="0"/>
        <w:spacing w:line="440" w:lineRule="exact"/>
        <w:ind w:left="6987" w:hanging="6987" w:hangingChars="2900"/>
        <w:rPr>
          <w:rFonts w:ascii="宋体" w:hAnsi="宋体" w:cs="宋体"/>
          <w:b/>
          <w:bCs/>
          <w:kern w:val="0"/>
          <w:lang w:val="zh-CN"/>
        </w:rPr>
      </w:pPr>
    </w:p>
    <w:p>
      <w:pPr>
        <w:adjustRightInd w:val="0"/>
        <w:snapToGrid w:val="0"/>
        <w:spacing w:line="440" w:lineRule="exact"/>
        <w:ind w:left="6987" w:hanging="6987" w:hangingChars="2900"/>
        <w:rPr>
          <w:rFonts w:ascii="宋体" w:hAnsi="宋体" w:cs="宋体"/>
        </w:rPr>
      </w:pPr>
      <w:r>
        <w:rPr>
          <w:rFonts w:hint="eastAsia" w:ascii="宋体" w:hAnsi="宋体" w:cs="宋体"/>
          <w:b/>
          <w:bCs/>
          <w:kern w:val="0"/>
          <w:lang w:val="zh-CN"/>
        </w:rPr>
        <w:t>致：采购代理机构</w:t>
      </w:r>
    </w:p>
    <w:p>
      <w:pPr>
        <w:adjustRightInd w:val="0"/>
        <w:snapToGrid w:val="0"/>
        <w:spacing w:line="360" w:lineRule="auto"/>
        <w:ind w:left="-5" w:leftChars="-2" w:firstLine="480" w:firstLineChars="200"/>
        <w:rPr>
          <w:rFonts w:hint="eastAsia" w:ascii="宋体" w:hAnsi="宋体" w:cs="宋体"/>
        </w:rPr>
      </w:pPr>
    </w:p>
    <w:p>
      <w:pPr>
        <w:adjustRightInd w:val="0"/>
        <w:snapToGrid w:val="0"/>
        <w:spacing w:line="360" w:lineRule="auto"/>
        <w:ind w:left="-5" w:leftChars="-2" w:firstLine="480" w:firstLineChars="200"/>
        <w:rPr>
          <w:rFonts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u w:val="single"/>
        </w:rPr>
        <w:t xml:space="preserve">       </w:t>
      </w:r>
      <w:r>
        <w:rPr>
          <w:rFonts w:hint="eastAsia" w:ascii="宋体" w:hAnsi="宋体" w:cs="宋体"/>
        </w:rPr>
        <w:t>人。</w:t>
      </w:r>
    </w:p>
    <w:p>
      <w:pPr>
        <w:adjustRightInd w:val="0"/>
        <w:snapToGrid w:val="0"/>
        <w:spacing w:line="360" w:lineRule="auto"/>
        <w:ind w:left="-2" w:leftChars="-1" w:firstLine="480" w:firstLineChars="200"/>
        <w:rPr>
          <w:rFonts w:ascii="宋体" w:hAnsi="宋体" w:cs="宋体"/>
        </w:rPr>
      </w:pPr>
      <w:r>
        <w:rPr>
          <w:rFonts w:hint="eastAsia" w:ascii="宋体" w:hAnsi="宋体" w:cs="宋体"/>
        </w:rPr>
        <w:t>本公司对上述声明的真实性负责，如有虚假，将依法承担相应责任。</w:t>
      </w: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5"/>
        <w:spacing w:before="0" w:after="0" w:line="360" w:lineRule="auto"/>
        <w:jc w:val="left"/>
        <w:outlineLvl w:val="1"/>
        <w:rPr>
          <w:rFonts w:ascii="宋体" w:hAnsi="宋体" w:cs="宋体"/>
          <w:b w:val="0"/>
          <w:sz w:val="28"/>
          <w:szCs w:val="28"/>
        </w:rPr>
      </w:pPr>
      <w:r>
        <w:rPr>
          <w:rFonts w:hint="eastAsia" w:ascii="宋体" w:hAnsi="宋体" w:cs="宋体"/>
          <w:lang w:val="zh-CN"/>
        </w:rPr>
        <w:br w:type="page"/>
      </w:r>
      <w:bookmarkStart w:id="85" w:name="_Toc19151"/>
      <w:bookmarkStart w:id="86" w:name="_Toc743"/>
      <w:r>
        <w:rPr>
          <w:rFonts w:hint="eastAsia" w:ascii="宋体" w:hAnsi="宋体" w:cs="宋体"/>
          <w:bCs w:val="0"/>
          <w:sz w:val="28"/>
          <w:szCs w:val="28"/>
          <w:lang w:val="zh-CN"/>
        </w:rPr>
        <w:t>（</w:t>
      </w:r>
      <w:r>
        <w:rPr>
          <w:rFonts w:hint="eastAsia" w:ascii="宋体" w:hAnsi="宋体" w:cs="宋体"/>
          <w:bCs w:val="0"/>
          <w:sz w:val="28"/>
          <w:szCs w:val="28"/>
        </w:rPr>
        <w:t>1</w:t>
      </w:r>
      <w:r>
        <w:rPr>
          <w:rFonts w:ascii="宋体" w:hAnsi="宋体" w:cs="宋体"/>
          <w:bCs w:val="0"/>
          <w:sz w:val="28"/>
          <w:szCs w:val="28"/>
        </w:rPr>
        <w:t>4</w:t>
      </w:r>
      <w:r>
        <w:rPr>
          <w:rFonts w:hint="eastAsia" w:ascii="宋体" w:hAnsi="宋体" w:cs="宋体"/>
          <w:bCs w:val="0"/>
          <w:sz w:val="28"/>
          <w:szCs w:val="28"/>
          <w:lang w:val="zh-CN"/>
        </w:rPr>
        <w:t>）</w:t>
      </w:r>
      <w:r>
        <w:rPr>
          <w:rFonts w:hint="eastAsia" w:ascii="宋体" w:hAnsi="宋体" w:cs="宋体"/>
          <w:bCs w:val="0"/>
          <w:sz w:val="30"/>
          <w:szCs w:val="30"/>
          <w:lang w:val="zh-CN"/>
        </w:rPr>
        <w:t>残疾人</w:t>
      </w:r>
      <w:r>
        <w:rPr>
          <w:rFonts w:hint="eastAsia" w:ascii="宋体" w:hAnsi="宋体" w:cs="宋体"/>
          <w:bCs w:val="0"/>
          <w:sz w:val="28"/>
          <w:szCs w:val="28"/>
        </w:rPr>
        <w:t>福利性单位声明函</w:t>
      </w:r>
      <w:bookmarkEnd w:id="85"/>
    </w:p>
    <w:p>
      <w:pPr>
        <w:jc w:val="center"/>
        <w:rPr>
          <w:rFonts w:ascii="宋体" w:hAnsi="宋体" w:cs="宋体"/>
          <w:b/>
          <w:sz w:val="36"/>
          <w:szCs w:val="36"/>
        </w:rPr>
      </w:pPr>
      <w:bookmarkStart w:id="87" w:name="OLE_LINK14"/>
      <w:bookmarkStart w:id="88" w:name="OLE_LINK13"/>
    </w:p>
    <w:p>
      <w:pPr>
        <w:jc w:val="center"/>
        <w:rPr>
          <w:rFonts w:ascii="宋体" w:hAnsi="宋体" w:cs="宋体"/>
          <w:b/>
          <w:sz w:val="36"/>
          <w:szCs w:val="36"/>
        </w:rPr>
      </w:pPr>
      <w:r>
        <w:rPr>
          <w:rFonts w:hint="eastAsia" w:ascii="宋体" w:hAnsi="宋体" w:cs="宋体"/>
          <w:b/>
          <w:sz w:val="36"/>
          <w:szCs w:val="36"/>
        </w:rPr>
        <w:t>残疾人福利性单位声明函</w:t>
      </w:r>
    </w:p>
    <w:bookmarkEnd w:id="87"/>
    <w:bookmarkEnd w:id="88"/>
    <w:p>
      <w:pPr>
        <w:spacing w:after="120" w:afterLines="50"/>
        <w:rPr>
          <w:rFonts w:ascii="宋体" w:hAnsi="宋体" w:cs="宋体"/>
          <w:bCs/>
        </w:rPr>
      </w:pPr>
    </w:p>
    <w:p>
      <w:pPr>
        <w:spacing w:after="120" w:afterLines="50"/>
        <w:rPr>
          <w:rFonts w:ascii="宋体" w:hAnsi="宋体" w:cs="宋体"/>
          <w:b/>
          <w:bCs/>
        </w:rPr>
      </w:pPr>
      <w:r>
        <w:rPr>
          <w:rFonts w:hint="eastAsia" w:ascii="宋体" w:hAnsi="宋体" w:cs="宋体"/>
          <w:b/>
          <w:bCs/>
        </w:rPr>
        <w:t>致：</w:t>
      </w:r>
      <w:r>
        <w:rPr>
          <w:rFonts w:hint="eastAsia" w:ascii="宋体" w:hAnsi="宋体" w:cs="宋体"/>
          <w:b/>
          <w:bCs/>
          <w:kern w:val="0"/>
          <w:lang w:val="zh-CN"/>
        </w:rPr>
        <w:t>采购代理机构</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ascii="宋体" w:hAnsi="宋体" w:cs="宋体"/>
        </w:rPr>
      </w:pPr>
    </w:p>
    <w:p>
      <w:pPr>
        <w:spacing w:line="360" w:lineRule="auto"/>
        <w:rPr>
          <w:rFonts w:ascii="宋体" w:hAnsi="宋体" w:cs="宋体"/>
        </w:rPr>
      </w:pPr>
      <w:r>
        <w:rPr>
          <w:rFonts w:hint="eastAsia" w:ascii="宋体" w:hAnsi="宋体" w:cs="宋体"/>
        </w:rPr>
        <w:t>注：若无此项内容，可不提供此函。</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jc w:val="center"/>
        <w:rPr>
          <w:rFonts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rPr>
          <w:rFonts w:ascii="宋体" w:hAnsi="宋体" w:cs="宋体"/>
          <w:b/>
        </w:rPr>
      </w:pPr>
      <w:r>
        <w:rPr>
          <w:rFonts w:hint="eastAsia" w:ascii="宋体" w:hAnsi="宋体" w:cs="宋体"/>
          <w:b/>
        </w:rPr>
        <w:t xml:space="preserve">              年   月  日</w:t>
      </w:r>
    </w:p>
    <w:p>
      <w:pPr>
        <w:pStyle w:val="15"/>
        <w:spacing w:before="0" w:after="0" w:line="360" w:lineRule="auto"/>
        <w:jc w:val="left"/>
        <w:outlineLvl w:val="1"/>
        <w:rPr>
          <w:rFonts w:ascii="宋体" w:hAnsi="宋体" w:cs="宋体"/>
        </w:rPr>
      </w:pPr>
      <w:r>
        <w:rPr>
          <w:rFonts w:hint="eastAsia" w:ascii="宋体" w:hAnsi="宋体" w:cs="宋体"/>
          <w:lang w:val="zh-CN"/>
        </w:rPr>
        <w:br w:type="page"/>
      </w:r>
      <w:bookmarkStart w:id="89" w:name="_Toc1044"/>
      <w:r>
        <w:rPr>
          <w:rFonts w:hint="eastAsia" w:ascii="宋体" w:hAnsi="宋体" w:cs="宋体"/>
          <w:sz w:val="30"/>
          <w:szCs w:val="30"/>
        </w:rPr>
        <w:t>（1</w:t>
      </w:r>
      <w:r>
        <w:rPr>
          <w:rFonts w:ascii="宋体" w:hAnsi="宋体" w:cs="宋体"/>
          <w:sz w:val="30"/>
          <w:szCs w:val="30"/>
        </w:rPr>
        <w:t>5</w:t>
      </w:r>
      <w:r>
        <w:rPr>
          <w:rFonts w:hint="eastAsia" w:ascii="宋体" w:hAnsi="宋体" w:cs="宋体"/>
          <w:sz w:val="30"/>
          <w:szCs w:val="30"/>
        </w:rPr>
        <w:t>）</w:t>
      </w:r>
      <w:r>
        <w:rPr>
          <w:rFonts w:hint="eastAsia" w:ascii="宋体" w:hAnsi="宋体" w:cs="宋体"/>
          <w:sz w:val="30"/>
          <w:szCs w:val="30"/>
          <w:lang w:val="zh-CN"/>
        </w:rPr>
        <w:t>投标人认为在其他方面有必要说明的事项</w:t>
      </w:r>
      <w:bookmarkEnd w:id="86"/>
      <w:bookmarkEnd w:id="89"/>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rPr>
          <w:rFonts w:ascii="宋体" w:hAnsi="宋体" w:cs="宋体"/>
          <w:lang w:val="zh-CN"/>
        </w:rPr>
      </w:pPr>
      <w:r>
        <w:rPr>
          <w:rFonts w:hint="eastAsia" w:ascii="宋体" w:hAnsi="宋体" w:cs="宋体"/>
          <w:lang w:val="zh-CN"/>
        </w:rPr>
        <w:t>格式自定</w:t>
      </w:r>
    </w:p>
    <w:p>
      <w:pPr>
        <w:widowControl/>
        <w:jc w:val="left"/>
        <w:rPr>
          <w:rFonts w:ascii="宋体" w:hAnsi="宋体" w:cs="宋体"/>
          <w:szCs w:val="36"/>
          <w:lang w:val="zh-CN"/>
        </w:rPr>
      </w:pPr>
      <w:bookmarkStart w:id="90" w:name="_Toc18752"/>
      <w:r>
        <w:rPr>
          <w:rFonts w:ascii="宋体" w:hAnsi="宋体" w:cs="宋体"/>
          <w:szCs w:val="36"/>
          <w:lang w:val="zh-CN"/>
        </w:rPr>
        <w:br w:type="page"/>
      </w:r>
    </w:p>
    <w:p>
      <w:pPr>
        <w:pStyle w:val="15"/>
        <w:spacing w:before="0" w:after="0" w:line="360" w:lineRule="auto"/>
        <w:rPr>
          <w:rFonts w:ascii="宋体" w:hAnsi="宋体" w:cs="宋体"/>
          <w:szCs w:val="36"/>
          <w:lang w:val="zh-CN"/>
        </w:rPr>
      </w:pPr>
      <w:bookmarkStart w:id="91" w:name="_Toc15804"/>
      <w:r>
        <w:rPr>
          <w:rFonts w:hint="eastAsia" w:ascii="宋体" w:hAnsi="宋体" w:cs="宋体"/>
          <w:szCs w:val="36"/>
          <w:lang w:val="zh-CN"/>
        </w:rPr>
        <w:t xml:space="preserve">第五部分  </w:t>
      </w:r>
      <w:bookmarkEnd w:id="90"/>
      <w:r>
        <w:rPr>
          <w:rFonts w:hint="eastAsia" w:ascii="宋体" w:hAnsi="宋体" w:cs="宋体"/>
          <w:szCs w:val="36"/>
          <w:lang w:val="zh-CN"/>
        </w:rPr>
        <w:t>项目需求概况</w:t>
      </w:r>
      <w:bookmarkEnd w:id="91"/>
    </w:p>
    <w:p>
      <w:pPr>
        <w:pStyle w:val="2"/>
        <w:rPr>
          <w:rFonts w:asciiTheme="majorEastAsia" w:hAnsiTheme="majorEastAsia" w:eastAsiaTheme="majorEastAsia"/>
          <w:sz w:val="32"/>
          <w:szCs w:val="32"/>
        </w:rPr>
      </w:pPr>
      <w:bookmarkStart w:id="92" w:name="_Toc536625491"/>
      <w:bookmarkStart w:id="93" w:name="_Toc30967_WPSOffice_Level2"/>
      <w:bookmarkStart w:id="94" w:name="_Toc24695"/>
      <w:r>
        <w:rPr>
          <w:rFonts w:hint="eastAsia" w:asciiTheme="majorEastAsia" w:hAnsiTheme="majorEastAsia" w:eastAsiaTheme="majorEastAsia"/>
          <w:sz w:val="32"/>
          <w:szCs w:val="32"/>
        </w:rPr>
        <w:t>一、项目概况</w:t>
      </w:r>
      <w:bookmarkEnd w:id="92"/>
    </w:p>
    <w:p>
      <w:pPr>
        <w:pStyle w:val="3"/>
        <w:rPr>
          <w:sz w:val="30"/>
          <w:szCs w:val="30"/>
        </w:rPr>
      </w:pPr>
      <w:bookmarkStart w:id="95" w:name="_Toc536625492"/>
      <w:r>
        <w:rPr>
          <w:rFonts w:hint="eastAsia"/>
          <w:sz w:val="30"/>
          <w:szCs w:val="30"/>
        </w:rPr>
        <w:t>1、实施背景</w:t>
      </w:r>
      <w:bookmarkEnd w:id="95"/>
    </w:p>
    <w:p>
      <w:pPr>
        <w:spacing w:line="360" w:lineRule="auto"/>
        <w:ind w:firstLine="420"/>
        <w:rPr>
          <w:sz w:val="28"/>
          <w:szCs w:val="28"/>
        </w:rPr>
      </w:pPr>
      <w:bookmarkStart w:id="96" w:name="_Hlk481941379"/>
      <w:r>
        <w:rPr>
          <w:rFonts w:hint="eastAsia"/>
          <w:sz w:val="28"/>
          <w:szCs w:val="28"/>
        </w:rPr>
        <w:t>环境是人类生存的物质基础，是国民经济发展的支撑条件，保护环境是我国的一项基本国策。大节能环保投入，重点加强水、大气、土壤等污染防治，改善城乡人居环境，加快环保基础设施建设，提高乡镇垃圾无害化处理率，始终是环境保护工作的重点内容之一。随着经济建设的快速发展和人民生活水平的不</w:t>
      </w:r>
      <w:r>
        <w:rPr>
          <w:rFonts w:hint="eastAsia"/>
          <w:sz w:val="28"/>
          <w:szCs w:val="28"/>
          <w:lang w:val="en-US" w:eastAsia="zh-CN"/>
        </w:rPr>
        <w:t xml:space="preserve"> </w:t>
      </w:r>
      <w:r>
        <w:rPr>
          <w:rFonts w:hint="eastAsia"/>
          <w:sz w:val="28"/>
          <w:szCs w:val="28"/>
        </w:rPr>
        <w:t>断提高，加强城乡一体化建设，对农村基础设施和公共服务发展及其重要。</w:t>
      </w:r>
    </w:p>
    <w:p>
      <w:pPr>
        <w:spacing w:line="360" w:lineRule="auto"/>
        <w:ind w:firstLine="420"/>
        <w:rPr>
          <w:rFonts w:asciiTheme="minorEastAsia" w:hAnsiTheme="minorEastAsia"/>
          <w:sz w:val="28"/>
          <w:szCs w:val="28"/>
        </w:rPr>
      </w:pPr>
      <w:r>
        <w:rPr>
          <w:rFonts w:hint="eastAsia"/>
          <w:sz w:val="28"/>
          <w:szCs w:val="28"/>
        </w:rPr>
        <w:t>由于共和县部分居民的生活卫生习惯不良，环保意识差，再加上基础设施不完善，造成环境卫生状况差。群众生活垃圾随意丢弃，进行乡镇环境整治是共和县人民群众长期反应的热点问题，是改善农民生活环境的迫切需要。改善乡镇的生活环境条件是国家重点支持和发展的方向，乡镇环境整治工程建设是一项长期受益的好项目，是共和县的长远战略意义。</w:t>
      </w:r>
    </w:p>
    <w:bookmarkEnd w:id="96"/>
    <w:p>
      <w:pPr>
        <w:pStyle w:val="3"/>
        <w:rPr>
          <w:sz w:val="30"/>
          <w:szCs w:val="30"/>
        </w:rPr>
      </w:pPr>
      <w:bookmarkStart w:id="97" w:name="_Toc536625493"/>
      <w:r>
        <w:rPr>
          <w:rFonts w:hint="eastAsia"/>
          <w:sz w:val="30"/>
          <w:szCs w:val="30"/>
        </w:rPr>
        <w:t>2、项目基本情况</w:t>
      </w:r>
      <w:bookmarkEnd w:id="97"/>
    </w:p>
    <w:p>
      <w:pPr>
        <w:spacing w:line="360" w:lineRule="auto"/>
        <w:ind w:firstLine="420"/>
        <w:rPr>
          <w:rFonts w:asciiTheme="minorEastAsia" w:hAnsiTheme="minorEastAsia"/>
          <w:sz w:val="28"/>
          <w:szCs w:val="28"/>
        </w:rPr>
      </w:pPr>
      <w:r>
        <w:rPr>
          <w:rFonts w:hint="eastAsia" w:asciiTheme="minorEastAsia" w:hAnsiTheme="minorEastAsia"/>
          <w:sz w:val="28"/>
          <w:szCs w:val="28"/>
        </w:rPr>
        <w:t>（1）项目名称：</w:t>
      </w:r>
    </w:p>
    <w:p>
      <w:pPr>
        <w:spacing w:line="360" w:lineRule="auto"/>
        <w:ind w:firstLine="420"/>
        <w:rPr>
          <w:rFonts w:ascii="宋体" w:cs="宋体"/>
          <w:sz w:val="28"/>
          <w:szCs w:val="28"/>
        </w:rPr>
      </w:pPr>
      <w:r>
        <w:rPr>
          <w:rFonts w:hint="eastAsia" w:ascii="宋体" w:cs="宋体"/>
          <w:sz w:val="28"/>
          <w:szCs w:val="28"/>
        </w:rPr>
        <w:t>共和县环青海湖南岸环卫设施建设运营PPP项目。</w:t>
      </w:r>
    </w:p>
    <w:p>
      <w:pPr>
        <w:spacing w:line="360" w:lineRule="auto"/>
        <w:ind w:firstLine="420"/>
        <w:rPr>
          <w:rFonts w:ascii="宋体" w:cs="宋体"/>
          <w:sz w:val="28"/>
          <w:szCs w:val="28"/>
        </w:rPr>
      </w:pPr>
      <w:r>
        <w:rPr>
          <w:rFonts w:hint="eastAsia" w:ascii="宋体" w:cs="宋体"/>
          <w:sz w:val="28"/>
          <w:szCs w:val="28"/>
        </w:rPr>
        <w:t>本项目共计包含七个独立子项目，各子项目名称如下：</w:t>
      </w:r>
    </w:p>
    <w:p>
      <w:pPr>
        <w:spacing w:line="360" w:lineRule="auto"/>
        <w:ind w:firstLine="420"/>
        <w:jc w:val="center"/>
        <w:rPr>
          <w:rFonts w:ascii="宋体" w:cs="宋体"/>
          <w:sz w:val="28"/>
          <w:szCs w:val="28"/>
        </w:rPr>
      </w:pPr>
    </w:p>
    <w:p>
      <w:pPr>
        <w:spacing w:line="360" w:lineRule="auto"/>
        <w:ind w:firstLine="420"/>
        <w:jc w:val="center"/>
        <w:rPr>
          <w:rFonts w:ascii="宋体" w:cs="宋体"/>
          <w:sz w:val="28"/>
          <w:szCs w:val="28"/>
        </w:rPr>
      </w:pPr>
    </w:p>
    <w:p>
      <w:pPr>
        <w:spacing w:line="360" w:lineRule="auto"/>
        <w:ind w:firstLine="420"/>
        <w:jc w:val="center"/>
        <w:rPr>
          <w:rFonts w:ascii="宋体" w:cs="宋体"/>
          <w:sz w:val="28"/>
          <w:szCs w:val="28"/>
        </w:rPr>
      </w:pPr>
      <w:r>
        <w:rPr>
          <w:rFonts w:hint="eastAsia" w:ascii="宋体" w:cs="宋体"/>
          <w:sz w:val="28"/>
          <w:szCs w:val="28"/>
        </w:rPr>
        <w:t>表1-</w:t>
      </w:r>
      <w:r>
        <w:rPr>
          <w:rFonts w:ascii="宋体" w:cs="宋体"/>
          <w:sz w:val="28"/>
          <w:szCs w:val="28"/>
        </w:rPr>
        <w:t xml:space="preserve">1 </w:t>
      </w:r>
      <w:r>
        <w:rPr>
          <w:rFonts w:hint="eastAsia" w:ascii="宋体" w:cs="宋体"/>
          <w:sz w:val="28"/>
          <w:szCs w:val="28"/>
        </w:rPr>
        <w:t>项目明细表</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181" w:type="dxa"/>
            <w:shd w:val="clear" w:color="auto" w:fill="auto"/>
            <w:noWrap/>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序号</w:t>
            </w:r>
          </w:p>
        </w:tc>
        <w:tc>
          <w:tcPr>
            <w:tcW w:w="7115" w:type="dxa"/>
            <w:shd w:val="clear" w:color="auto" w:fill="auto"/>
            <w:noWrap/>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81" w:type="dxa"/>
            <w:shd w:val="clear" w:color="auto" w:fill="auto"/>
            <w:noWrap/>
            <w:vAlign w:val="center"/>
          </w:tcPr>
          <w:p>
            <w:pPr>
              <w:widowControl/>
              <w:jc w:val="center"/>
              <w:rPr>
                <w:rFonts w:ascii="宋体" w:hAnsi="宋体" w:cs="宋体"/>
                <w:color w:val="000000"/>
                <w:kern w:val="0"/>
                <w:sz w:val="22"/>
              </w:rPr>
            </w:pPr>
            <w:bookmarkStart w:id="98" w:name="_Hlk493060825"/>
            <w:r>
              <w:rPr>
                <w:rFonts w:hint="eastAsia" w:ascii="宋体" w:hAnsi="宋体" w:cs="宋体"/>
                <w:color w:val="000000"/>
                <w:kern w:val="0"/>
                <w:sz w:val="22"/>
              </w:rPr>
              <w:t>1</w:t>
            </w:r>
          </w:p>
        </w:tc>
        <w:tc>
          <w:tcPr>
            <w:tcW w:w="7115" w:type="dxa"/>
            <w:shd w:val="clear" w:color="auto" w:fill="auto"/>
            <w:vAlign w:val="center"/>
          </w:tcPr>
          <w:p>
            <w:pPr>
              <w:widowControl/>
              <w:jc w:val="center"/>
              <w:rPr>
                <w:color w:val="000000"/>
                <w:sz w:val="22"/>
              </w:rPr>
            </w:pPr>
            <w:r>
              <w:rPr>
                <w:rFonts w:hint="eastAsia"/>
                <w:color w:val="000000"/>
                <w:sz w:val="22"/>
              </w:rPr>
              <w:t>共和县石乃亥乡污水处理厂及配套污水管网建设项目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8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7115" w:type="dxa"/>
            <w:shd w:val="clear" w:color="auto" w:fill="auto"/>
            <w:noWrap/>
            <w:vAlign w:val="center"/>
          </w:tcPr>
          <w:p>
            <w:pPr>
              <w:jc w:val="center"/>
              <w:rPr>
                <w:color w:val="000000"/>
                <w:sz w:val="22"/>
              </w:rPr>
            </w:pPr>
            <w:r>
              <w:rPr>
                <w:rFonts w:hint="eastAsia"/>
                <w:color w:val="000000"/>
                <w:sz w:val="22"/>
              </w:rPr>
              <w:t>共和县湖东种羊场污水处理厂及配套污水管网建设项目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8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7115" w:type="dxa"/>
            <w:shd w:val="clear" w:color="auto" w:fill="auto"/>
            <w:noWrap/>
            <w:vAlign w:val="center"/>
          </w:tcPr>
          <w:p>
            <w:pPr>
              <w:jc w:val="center"/>
              <w:rPr>
                <w:color w:val="000000"/>
                <w:sz w:val="22"/>
              </w:rPr>
            </w:pPr>
            <w:r>
              <w:rPr>
                <w:rFonts w:hint="eastAsia"/>
                <w:color w:val="000000"/>
                <w:sz w:val="22"/>
              </w:rPr>
              <w:t>共和县江西沟乡污水处理厂及配套污水管网建设项目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8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7115" w:type="dxa"/>
            <w:shd w:val="clear" w:color="auto" w:fill="auto"/>
            <w:noWrap/>
            <w:vAlign w:val="center"/>
          </w:tcPr>
          <w:p>
            <w:pPr>
              <w:jc w:val="center"/>
              <w:rPr>
                <w:color w:val="000000"/>
                <w:sz w:val="22"/>
              </w:rPr>
            </w:pPr>
            <w:r>
              <w:rPr>
                <w:rFonts w:hint="eastAsia"/>
                <w:color w:val="000000"/>
                <w:sz w:val="22"/>
              </w:rPr>
              <w:t>共和县黑马河乡生活垃圾填埋场及环卫设施建设项目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8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7115" w:type="dxa"/>
            <w:shd w:val="clear" w:color="auto" w:fill="auto"/>
            <w:noWrap/>
            <w:vAlign w:val="center"/>
          </w:tcPr>
          <w:p>
            <w:pPr>
              <w:jc w:val="center"/>
              <w:rPr>
                <w:color w:val="000000"/>
                <w:sz w:val="22"/>
              </w:rPr>
            </w:pPr>
            <w:r>
              <w:rPr>
                <w:rFonts w:hint="eastAsia"/>
                <w:color w:val="000000"/>
                <w:sz w:val="22"/>
              </w:rPr>
              <w:t>共和县石乃亥生活垃圾填埋场及环卫设施建设项目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8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7115" w:type="dxa"/>
            <w:shd w:val="clear" w:color="auto" w:fill="auto"/>
            <w:noWrap/>
            <w:vAlign w:val="center"/>
          </w:tcPr>
          <w:p>
            <w:pPr>
              <w:jc w:val="center"/>
              <w:rPr>
                <w:color w:val="000000"/>
                <w:sz w:val="22"/>
              </w:rPr>
            </w:pPr>
            <w:r>
              <w:rPr>
                <w:rFonts w:hint="eastAsia"/>
                <w:color w:val="000000"/>
                <w:sz w:val="22"/>
              </w:rPr>
              <w:t>共和县江西沟乡生活垃圾填埋场及环卫设施建设项目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81"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7115" w:type="dxa"/>
            <w:shd w:val="clear" w:color="auto" w:fill="auto"/>
            <w:vAlign w:val="center"/>
          </w:tcPr>
          <w:p>
            <w:pPr>
              <w:jc w:val="center"/>
              <w:rPr>
                <w:color w:val="000000"/>
                <w:sz w:val="22"/>
              </w:rPr>
            </w:pPr>
            <w:r>
              <w:rPr>
                <w:rFonts w:hint="eastAsia"/>
                <w:color w:val="000000"/>
                <w:sz w:val="22"/>
              </w:rPr>
              <w:t>共和县湖东种羊场生活垃圾填埋场及环卫设施建设项目</w:t>
            </w:r>
          </w:p>
        </w:tc>
      </w:tr>
      <w:bookmarkEnd w:id="98"/>
    </w:tbl>
    <w:p>
      <w:pPr>
        <w:spacing w:line="360" w:lineRule="auto"/>
        <w:ind w:firstLine="420"/>
        <w:rPr>
          <w:rFonts w:asciiTheme="minorEastAsia" w:hAnsiTheme="minorEastAsia"/>
          <w:sz w:val="28"/>
          <w:szCs w:val="28"/>
        </w:rPr>
      </w:pPr>
    </w:p>
    <w:p>
      <w:pPr>
        <w:spacing w:line="360" w:lineRule="auto"/>
        <w:ind w:firstLine="420"/>
        <w:rPr>
          <w:rFonts w:asciiTheme="minorEastAsia" w:hAnsiTheme="minorEastAsia"/>
          <w:sz w:val="28"/>
          <w:szCs w:val="28"/>
        </w:rPr>
      </w:pPr>
      <w:r>
        <w:rPr>
          <w:rFonts w:hint="eastAsia" w:asciiTheme="minorEastAsia" w:hAnsiTheme="minorEastAsia"/>
          <w:sz w:val="28"/>
          <w:szCs w:val="28"/>
        </w:rPr>
        <w:t>（2）项目类型：新建</w:t>
      </w:r>
    </w:p>
    <w:p>
      <w:pPr>
        <w:spacing w:line="360" w:lineRule="auto"/>
        <w:ind w:firstLine="420"/>
        <w:rPr>
          <w:rFonts w:asciiTheme="minorEastAsia" w:hAnsiTheme="minorEastAsia"/>
          <w:sz w:val="28"/>
          <w:szCs w:val="28"/>
        </w:rPr>
      </w:pPr>
      <w:r>
        <w:rPr>
          <w:rFonts w:hint="eastAsia" w:asciiTheme="minorEastAsia" w:hAnsiTheme="minorEastAsia"/>
          <w:sz w:val="28"/>
          <w:szCs w:val="28"/>
        </w:rPr>
        <w:t>（3）项目所属行业：环境保护</w:t>
      </w:r>
    </w:p>
    <w:p>
      <w:pPr>
        <w:spacing w:line="360" w:lineRule="auto"/>
        <w:ind w:firstLine="420"/>
        <w:rPr>
          <w:rFonts w:asciiTheme="minorEastAsia" w:hAnsiTheme="minorEastAsia"/>
          <w:sz w:val="28"/>
          <w:szCs w:val="28"/>
        </w:rPr>
      </w:pPr>
      <w:r>
        <w:rPr>
          <w:rFonts w:hint="eastAsia" w:asciiTheme="minorEastAsia" w:hAnsiTheme="minorEastAsia"/>
          <w:sz w:val="28"/>
          <w:szCs w:val="28"/>
        </w:rPr>
        <w:t>（4）项目投资规模</w:t>
      </w:r>
    </w:p>
    <w:p>
      <w:pPr>
        <w:spacing w:line="360" w:lineRule="auto"/>
        <w:ind w:firstLine="420"/>
        <w:rPr>
          <w:rFonts w:ascii="宋体" w:cs="宋体"/>
          <w:sz w:val="28"/>
          <w:szCs w:val="28"/>
        </w:rPr>
      </w:pPr>
      <w:r>
        <w:rPr>
          <w:rFonts w:asciiTheme="minorEastAsia" w:hAnsiTheme="minorEastAsia"/>
          <w:sz w:val="28"/>
          <w:szCs w:val="28"/>
        </w:rPr>
        <w:tab/>
      </w:r>
      <w:r>
        <w:rPr>
          <w:rFonts w:hint="eastAsia" w:ascii="宋体" w:cs="宋体"/>
          <w:sz w:val="28"/>
          <w:szCs w:val="28"/>
        </w:rPr>
        <w:t>本项目总投资为</w:t>
      </w:r>
      <w:r>
        <w:rPr>
          <w:rFonts w:ascii="宋体" w:cs="宋体"/>
          <w:sz w:val="28"/>
          <w:szCs w:val="28"/>
        </w:rPr>
        <w:t>10,131.39</w:t>
      </w:r>
      <w:r>
        <w:rPr>
          <w:rFonts w:hint="eastAsia" w:ascii="宋体" w:cs="宋体"/>
          <w:sz w:val="28"/>
          <w:szCs w:val="28"/>
        </w:rPr>
        <w:t>万元，具体投资规模如下：</w:t>
      </w:r>
    </w:p>
    <w:p>
      <w:pPr>
        <w:spacing w:line="360" w:lineRule="auto"/>
        <w:ind w:firstLine="420"/>
        <w:jc w:val="center"/>
        <w:rPr>
          <w:rFonts w:ascii="宋体" w:cs="宋体"/>
          <w:sz w:val="28"/>
          <w:szCs w:val="28"/>
        </w:rPr>
      </w:pPr>
      <w:r>
        <w:rPr>
          <w:rFonts w:hint="eastAsia" w:ascii="宋体" w:cs="宋体"/>
          <w:sz w:val="28"/>
          <w:szCs w:val="28"/>
        </w:rPr>
        <w:t>表1-</w:t>
      </w:r>
      <w:r>
        <w:rPr>
          <w:rFonts w:ascii="宋体" w:cs="宋体"/>
          <w:sz w:val="28"/>
          <w:szCs w:val="28"/>
        </w:rPr>
        <w:t xml:space="preserve">2 </w:t>
      </w:r>
      <w:r>
        <w:rPr>
          <w:rFonts w:hint="eastAsia" w:ascii="宋体" w:cs="宋体"/>
          <w:sz w:val="28"/>
          <w:szCs w:val="28"/>
        </w:rPr>
        <w:t>项目投资估算汇总表</w:t>
      </w:r>
    </w:p>
    <w:p>
      <w:pPr>
        <w:spacing w:line="360" w:lineRule="auto"/>
        <w:ind w:firstLine="420"/>
        <w:jc w:val="right"/>
        <w:rPr>
          <w:rFonts w:ascii="宋体" w:cs="宋体"/>
          <w:sz w:val="28"/>
          <w:szCs w:val="28"/>
        </w:rPr>
      </w:pPr>
      <w:r>
        <w:rPr>
          <w:rFonts w:hint="eastAsia" w:ascii="宋体" w:cs="宋体"/>
          <w:sz w:val="28"/>
          <w:szCs w:val="28"/>
        </w:rPr>
        <w:t>单位：万元</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5394"/>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8" w:type="dxa"/>
            <w:shd w:val="clear" w:color="auto" w:fill="auto"/>
            <w:noWrap/>
            <w:vAlign w:val="center"/>
          </w:tcPr>
          <w:p>
            <w:pPr>
              <w:widowControl/>
              <w:jc w:val="center"/>
              <w:rPr>
                <w:rFonts w:ascii="宋体" w:hAnsi="宋体" w:eastAsia="宋体" w:cs="宋体"/>
                <w:b/>
                <w:bCs/>
                <w:color w:val="000000"/>
                <w:kern w:val="0"/>
                <w:sz w:val="22"/>
              </w:rPr>
            </w:pPr>
            <w:bookmarkStart w:id="99" w:name="_Hlk499804221"/>
            <w:r>
              <w:rPr>
                <w:rFonts w:hint="eastAsia" w:ascii="宋体" w:hAnsi="宋体" w:eastAsia="宋体" w:cs="宋体"/>
                <w:b/>
                <w:bCs/>
                <w:color w:val="000000"/>
                <w:kern w:val="0"/>
                <w:sz w:val="22"/>
              </w:rPr>
              <w:t>序号</w:t>
            </w:r>
          </w:p>
        </w:tc>
        <w:tc>
          <w:tcPr>
            <w:tcW w:w="539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208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总投资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394"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共和县石乃亥乡污水处理厂及配套污水管网建设项目</w:t>
            </w:r>
          </w:p>
        </w:tc>
        <w:tc>
          <w:tcPr>
            <w:tcW w:w="2084"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1,525.79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394" w:type="dxa"/>
            <w:shd w:val="clear" w:color="auto" w:fill="auto"/>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共和县湖东种羊场污水处理厂及配套污水管网建设项目</w:t>
            </w:r>
          </w:p>
        </w:tc>
        <w:tc>
          <w:tcPr>
            <w:tcW w:w="2084"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1,143.14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5394"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共和县江西沟乡污水处理厂及配套污水管网建设项目</w:t>
            </w:r>
          </w:p>
        </w:tc>
        <w:tc>
          <w:tcPr>
            <w:tcW w:w="2084"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2,023.40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5394"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共和县黑马河乡生活垃圾填埋场及环卫设施建设项目</w:t>
            </w:r>
          </w:p>
        </w:tc>
        <w:tc>
          <w:tcPr>
            <w:tcW w:w="2084"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1,670.04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5394"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共和县石乃亥生活垃圾填埋场及环卫设施建设项目</w:t>
            </w:r>
          </w:p>
        </w:tc>
        <w:tc>
          <w:tcPr>
            <w:tcW w:w="2084"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1,233.60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5394"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共和县江西沟乡生活垃圾填埋场及环卫设施建设项目</w:t>
            </w:r>
          </w:p>
        </w:tc>
        <w:tc>
          <w:tcPr>
            <w:tcW w:w="2084"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1,393.87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5394" w:type="dxa"/>
            <w:shd w:val="clear" w:color="auto" w:fill="auto"/>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共和县湖东种羊场生活垃圾填埋场及环卫设施建设项目</w:t>
            </w:r>
          </w:p>
        </w:tc>
        <w:tc>
          <w:tcPr>
            <w:tcW w:w="2084"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1,141.55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212" w:type="dxa"/>
            <w:gridSpan w:val="2"/>
            <w:shd w:val="clear" w:color="auto" w:fill="auto"/>
            <w:noWrap/>
            <w:vAlign w:val="center"/>
          </w:tcPr>
          <w:p>
            <w:pPr>
              <w:widowControl/>
              <w:jc w:val="center"/>
              <w:rPr>
                <w:rFonts w:ascii="Times New Roman" w:hAnsi="Times New Roman" w:eastAsia="宋体" w:cs="Times New Roman"/>
                <w:b/>
                <w:bCs/>
                <w:color w:val="000000"/>
                <w:kern w:val="0"/>
                <w:sz w:val="22"/>
              </w:rPr>
            </w:pPr>
            <w:r>
              <w:rPr>
                <w:rFonts w:ascii="Times New Roman" w:hAnsi="Times New Roman" w:eastAsia="宋体" w:cs="Times New Roman"/>
                <w:b/>
                <w:bCs/>
                <w:color w:val="000000"/>
                <w:kern w:val="0"/>
                <w:sz w:val="22"/>
              </w:rPr>
              <w:t>合计</w:t>
            </w:r>
          </w:p>
        </w:tc>
        <w:tc>
          <w:tcPr>
            <w:tcW w:w="2084"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10,131.39</w:t>
            </w:r>
          </w:p>
        </w:tc>
      </w:tr>
      <w:bookmarkEnd w:id="99"/>
    </w:tbl>
    <w:p>
      <w:pPr>
        <w:spacing w:line="360" w:lineRule="auto"/>
        <w:ind w:firstLine="420"/>
        <w:rPr>
          <w:rFonts w:asciiTheme="minorEastAsia" w:hAnsiTheme="minorEastAsia"/>
          <w:sz w:val="28"/>
          <w:szCs w:val="28"/>
        </w:rPr>
      </w:pPr>
      <w:r>
        <w:rPr>
          <w:rFonts w:hint="eastAsia" w:asciiTheme="minorEastAsia" w:hAnsiTheme="minorEastAsia"/>
          <w:sz w:val="28"/>
          <w:szCs w:val="28"/>
        </w:rPr>
        <w:t>（5）项目建设、运营内容</w:t>
      </w:r>
    </w:p>
    <w:p>
      <w:pPr>
        <w:spacing w:line="360" w:lineRule="auto"/>
        <w:ind w:firstLine="420"/>
        <w:rPr>
          <w:rFonts w:ascii="宋体" w:hAnsi="宋体" w:cs="宋体"/>
          <w:sz w:val="28"/>
          <w:szCs w:val="28"/>
        </w:rPr>
      </w:pPr>
      <w:r>
        <w:rPr>
          <w:rFonts w:hint="eastAsia" w:ascii="宋体" w:hAnsi="宋体" w:cs="宋体"/>
          <w:sz w:val="28"/>
          <w:szCs w:val="28"/>
        </w:rPr>
        <w:t>本项目按照一次招商，各子项目独立实施。各项目概况如下：</w:t>
      </w:r>
    </w:p>
    <w:p>
      <w:pPr>
        <w:pStyle w:val="5"/>
      </w:pPr>
      <w:bookmarkStart w:id="100" w:name="_Hlk499804255"/>
      <w:r>
        <w:t>5.1</w:t>
      </w:r>
      <w:r>
        <w:rPr>
          <w:rFonts w:hint="eastAsia"/>
        </w:rPr>
        <w:t>共和县石乃亥乡污水处理厂及配套污水管网建设项目</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1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①</w:t>
      </w:r>
      <w:r>
        <w:rPr>
          <w:rFonts w:ascii="宋体" w:hAnsi="宋体" w:cs="宋体"/>
          <w:sz w:val="28"/>
          <w:szCs w:val="28"/>
        </w:rPr>
        <w:fldChar w:fldCharType="end"/>
      </w:r>
      <w:r>
        <w:rPr>
          <w:rFonts w:hint="eastAsia" w:ascii="宋体" w:hAnsi="宋体" w:cs="宋体"/>
          <w:sz w:val="28"/>
          <w:szCs w:val="28"/>
        </w:rPr>
        <w:t>建设规模：污水处理厂处理规模：近期400m3/d ，远期800m3/d。污水搜集管网4490m，管径DN300-DN400。</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2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②</w:t>
      </w:r>
      <w:r>
        <w:rPr>
          <w:rFonts w:ascii="宋体" w:hAnsi="宋体" w:cs="宋体"/>
          <w:sz w:val="28"/>
          <w:szCs w:val="28"/>
        </w:rPr>
        <w:fldChar w:fldCharType="end"/>
      </w:r>
      <w:r>
        <w:rPr>
          <w:rFonts w:hint="eastAsia" w:ascii="宋体" w:hAnsi="宋体" w:cs="宋体"/>
          <w:sz w:val="28"/>
          <w:szCs w:val="28"/>
        </w:rPr>
        <w:t>设计年限：本工程设计年限为：近期2020 年，远期2030 年。</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3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③</w:t>
      </w:r>
      <w:r>
        <w:rPr>
          <w:rFonts w:ascii="宋体" w:hAnsi="宋体" w:cs="宋体"/>
          <w:sz w:val="28"/>
          <w:szCs w:val="28"/>
        </w:rPr>
        <w:fldChar w:fldCharType="end"/>
      </w:r>
      <w:r>
        <w:rPr>
          <w:rFonts w:hint="eastAsia" w:ascii="宋体" w:hAnsi="宋体" w:cs="宋体"/>
          <w:sz w:val="28"/>
          <w:szCs w:val="28"/>
        </w:rPr>
        <w:t>污水处理厂厂址及占地：位于共和县石乃亥乡东北，污水处理厂征地面积10658.5m2 ，约15.99 亩。</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4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④</w:t>
      </w:r>
      <w:r>
        <w:rPr>
          <w:rFonts w:ascii="宋体" w:hAnsi="宋体" w:cs="宋体"/>
          <w:sz w:val="28"/>
          <w:szCs w:val="28"/>
        </w:rPr>
        <w:fldChar w:fldCharType="end"/>
      </w:r>
      <w:r>
        <w:rPr>
          <w:rFonts w:hint="eastAsia" w:ascii="宋体" w:hAnsi="宋体" w:cs="宋体"/>
          <w:sz w:val="28"/>
          <w:szCs w:val="28"/>
        </w:rPr>
        <w:t>推荐工艺：污水进行二级生物强化处理后续过滤处理，处理工艺为 A2/O+压力过滤工艺，处理后尾水部进入湿地进一步净化。污泥直接进行浓缩脱水，外运填埋。</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5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⑤</w:t>
      </w:r>
      <w:r>
        <w:rPr>
          <w:rFonts w:ascii="宋体" w:hAnsi="宋体" w:cs="宋体"/>
          <w:sz w:val="28"/>
          <w:szCs w:val="28"/>
        </w:rPr>
        <w:fldChar w:fldCharType="end"/>
      </w:r>
      <w:r>
        <w:rPr>
          <w:rFonts w:hint="eastAsia" w:ascii="宋体" w:hAnsi="宋体" w:cs="宋体"/>
          <w:sz w:val="28"/>
          <w:szCs w:val="28"/>
        </w:rPr>
        <w:t>进出水水质</w:t>
      </w:r>
    </w:p>
    <w:p>
      <w:pPr>
        <w:spacing w:line="360" w:lineRule="auto"/>
        <w:ind w:firstLine="420"/>
        <w:jc w:val="center"/>
        <w:rPr>
          <w:rFonts w:ascii="宋体" w:hAnsi="宋体" w:cs="宋体"/>
          <w:sz w:val="28"/>
          <w:szCs w:val="28"/>
        </w:rPr>
      </w:pPr>
      <w:r>
        <w:rPr>
          <w:rFonts w:hint="eastAsia" w:ascii="宋体" w:hAnsi="宋体" w:cs="宋体"/>
          <w:sz w:val="28"/>
          <w:szCs w:val="28"/>
        </w:rPr>
        <w:t>表1-</w:t>
      </w:r>
      <w:r>
        <w:rPr>
          <w:rFonts w:ascii="宋体" w:hAnsi="宋体" w:cs="宋体"/>
          <w:sz w:val="28"/>
          <w:szCs w:val="28"/>
        </w:rPr>
        <w:t xml:space="preserve">1 </w:t>
      </w:r>
      <w:r>
        <w:rPr>
          <w:rFonts w:hint="eastAsia" w:ascii="宋体" w:hAnsi="宋体" w:cs="宋体"/>
          <w:sz w:val="28"/>
          <w:szCs w:val="28"/>
        </w:rPr>
        <w:t>设计污水处理厂进出水水质表(单位mg/L)</w:t>
      </w:r>
      <w:r>
        <w:drawing>
          <wp:inline distT="0" distB="0" distL="0" distR="0">
            <wp:extent cx="5274310" cy="1191895"/>
            <wp:effectExtent l="0" t="0" r="254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5274310" cy="1191895"/>
                    </a:xfrm>
                    <a:prstGeom prst="rect">
                      <a:avLst/>
                    </a:prstGeom>
                  </pic:spPr>
                </pic:pic>
              </a:graphicData>
            </a:graphic>
          </wp:inline>
        </w:drawing>
      </w:r>
    </w:p>
    <w:p>
      <w:pPr>
        <w:pStyle w:val="5"/>
      </w:pPr>
      <w:r>
        <w:t>5</w:t>
      </w:r>
      <w:r>
        <w:rPr>
          <w:rFonts w:hint="eastAsia"/>
        </w:rPr>
        <w:t>.</w:t>
      </w:r>
      <w:r>
        <w:t>2</w:t>
      </w:r>
      <w:r>
        <w:rPr>
          <w:rFonts w:hint="eastAsia"/>
        </w:rPr>
        <w:t>共和县湖东种羊场污水处理厂及配套污水管网建设项目</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1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①</w:t>
      </w:r>
      <w:r>
        <w:rPr>
          <w:rFonts w:ascii="宋体" w:hAnsi="宋体" w:cs="宋体"/>
          <w:sz w:val="28"/>
          <w:szCs w:val="28"/>
        </w:rPr>
        <w:fldChar w:fldCharType="end"/>
      </w:r>
      <w:r>
        <w:rPr>
          <w:rFonts w:hint="eastAsia" w:ascii="宋体" w:hAnsi="宋体" w:cs="宋体"/>
          <w:sz w:val="28"/>
          <w:szCs w:val="28"/>
        </w:rPr>
        <w:t>建设规模：污水处理厂处理规模：近期200m3/d ，远期400m3/d。污水搜集管网1497m，管径DN300。</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2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②</w:t>
      </w:r>
      <w:r>
        <w:rPr>
          <w:rFonts w:ascii="宋体" w:hAnsi="宋体" w:cs="宋体"/>
          <w:sz w:val="28"/>
          <w:szCs w:val="28"/>
        </w:rPr>
        <w:fldChar w:fldCharType="end"/>
      </w:r>
      <w:r>
        <w:rPr>
          <w:rFonts w:hint="eastAsia" w:ascii="宋体" w:hAnsi="宋体" w:cs="宋体"/>
          <w:sz w:val="28"/>
          <w:szCs w:val="28"/>
        </w:rPr>
        <w:t>设计年限：本工程设计年限为：近期2020 年，远期2030 年。</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3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③</w:t>
      </w:r>
      <w:r>
        <w:rPr>
          <w:rFonts w:ascii="宋体" w:hAnsi="宋体" w:cs="宋体"/>
          <w:sz w:val="28"/>
          <w:szCs w:val="28"/>
        </w:rPr>
        <w:fldChar w:fldCharType="end"/>
      </w:r>
      <w:r>
        <w:rPr>
          <w:rFonts w:hint="eastAsia" w:ascii="宋体" w:hAnsi="宋体" w:cs="宋体"/>
          <w:sz w:val="28"/>
          <w:szCs w:val="28"/>
        </w:rPr>
        <w:t>污水处理厂厂址及占地：位于共和县环湖东路西侧，海神亭北侧，污水处理厂征地面积103m×68m，7004m2 ，约10.5 亩。</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4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④</w:t>
      </w:r>
      <w:r>
        <w:rPr>
          <w:rFonts w:ascii="宋体" w:hAnsi="宋体" w:cs="宋体"/>
          <w:sz w:val="28"/>
          <w:szCs w:val="28"/>
        </w:rPr>
        <w:fldChar w:fldCharType="end"/>
      </w:r>
      <w:r>
        <w:rPr>
          <w:rFonts w:hint="eastAsia" w:ascii="宋体" w:hAnsi="宋体" w:cs="宋体"/>
          <w:sz w:val="28"/>
          <w:szCs w:val="28"/>
        </w:rPr>
        <w:t>推荐工艺：污水进行二级生物强化处理后续过滤处理，处理工艺为 A2/O+活性砂滤池工艺，处理后尾水部进入湿地进一步净化。污泥直接进行浓缩脱水，外运填埋。</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5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⑤</w:t>
      </w:r>
      <w:r>
        <w:rPr>
          <w:rFonts w:ascii="宋体" w:hAnsi="宋体" w:cs="宋体"/>
          <w:sz w:val="28"/>
          <w:szCs w:val="28"/>
        </w:rPr>
        <w:fldChar w:fldCharType="end"/>
      </w:r>
      <w:r>
        <w:rPr>
          <w:rFonts w:hint="eastAsia" w:ascii="宋体" w:hAnsi="宋体" w:cs="宋体"/>
          <w:sz w:val="28"/>
          <w:szCs w:val="28"/>
        </w:rPr>
        <w:t>进出水水质</w:t>
      </w:r>
    </w:p>
    <w:p>
      <w:pPr>
        <w:spacing w:line="360" w:lineRule="auto"/>
        <w:ind w:firstLine="420"/>
        <w:jc w:val="center"/>
        <w:rPr>
          <w:rFonts w:ascii="宋体" w:hAnsi="宋体" w:cs="宋体"/>
          <w:sz w:val="28"/>
          <w:szCs w:val="28"/>
        </w:rPr>
      </w:pPr>
      <w:r>
        <w:rPr>
          <w:rFonts w:hint="eastAsia" w:ascii="宋体" w:hAnsi="宋体" w:cs="宋体"/>
          <w:sz w:val="28"/>
          <w:szCs w:val="28"/>
        </w:rPr>
        <w:t>表1-</w:t>
      </w:r>
      <w:r>
        <w:rPr>
          <w:rFonts w:ascii="宋体" w:hAnsi="宋体" w:cs="宋体"/>
          <w:sz w:val="28"/>
          <w:szCs w:val="28"/>
        </w:rPr>
        <w:t xml:space="preserve">2 </w:t>
      </w:r>
      <w:r>
        <w:rPr>
          <w:rFonts w:hint="eastAsia" w:ascii="宋体" w:hAnsi="宋体" w:cs="宋体"/>
          <w:sz w:val="28"/>
          <w:szCs w:val="28"/>
        </w:rPr>
        <w:t>设计污水处理厂进出水水质表(单位mg/L)</w:t>
      </w:r>
      <w:r>
        <w:drawing>
          <wp:inline distT="0" distB="0" distL="0" distR="0">
            <wp:extent cx="5274310" cy="1199515"/>
            <wp:effectExtent l="0" t="0" r="254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stretch>
                      <a:fillRect/>
                    </a:stretch>
                  </pic:blipFill>
                  <pic:spPr>
                    <a:xfrm>
                      <a:off x="0" y="0"/>
                      <a:ext cx="5274310" cy="1199515"/>
                    </a:xfrm>
                    <a:prstGeom prst="rect">
                      <a:avLst/>
                    </a:prstGeom>
                  </pic:spPr>
                </pic:pic>
              </a:graphicData>
            </a:graphic>
          </wp:inline>
        </w:drawing>
      </w:r>
    </w:p>
    <w:p>
      <w:pPr>
        <w:pStyle w:val="5"/>
      </w:pPr>
      <w:r>
        <w:t>5.3</w:t>
      </w:r>
      <w:r>
        <w:rPr>
          <w:rFonts w:hint="eastAsia"/>
        </w:rPr>
        <w:t>共和县江西沟乡污水处理厂及配套污水管网建设项目</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1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①</w:t>
      </w:r>
      <w:r>
        <w:rPr>
          <w:rFonts w:ascii="宋体" w:hAnsi="宋体" w:cs="宋体"/>
          <w:sz w:val="28"/>
          <w:szCs w:val="28"/>
        </w:rPr>
        <w:fldChar w:fldCharType="end"/>
      </w:r>
      <w:r>
        <w:rPr>
          <w:rFonts w:hint="eastAsia" w:ascii="宋体" w:hAnsi="宋体" w:cs="宋体"/>
          <w:sz w:val="28"/>
          <w:szCs w:val="28"/>
        </w:rPr>
        <w:t>建设规模：污水处理厂处理规模：近期400m3/d ，远期1000m3/d。污水收集管网2263m，管径DN300-DN400。</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2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②</w:t>
      </w:r>
      <w:r>
        <w:rPr>
          <w:rFonts w:ascii="宋体" w:hAnsi="宋体" w:cs="宋体"/>
          <w:sz w:val="28"/>
          <w:szCs w:val="28"/>
        </w:rPr>
        <w:fldChar w:fldCharType="end"/>
      </w:r>
      <w:r>
        <w:rPr>
          <w:rFonts w:hint="eastAsia" w:ascii="宋体" w:hAnsi="宋体" w:cs="宋体"/>
          <w:sz w:val="28"/>
          <w:szCs w:val="28"/>
        </w:rPr>
        <w:t>设计年限：本工程设计年限为：近期2020 年，远期2030 年。</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3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③</w:t>
      </w:r>
      <w:r>
        <w:rPr>
          <w:rFonts w:ascii="宋体" w:hAnsi="宋体" w:cs="宋体"/>
          <w:sz w:val="28"/>
          <w:szCs w:val="28"/>
        </w:rPr>
        <w:fldChar w:fldCharType="end"/>
      </w:r>
      <w:r>
        <w:rPr>
          <w:rFonts w:hint="eastAsia" w:ascii="宋体" w:hAnsi="宋体" w:cs="宋体"/>
          <w:sz w:val="28"/>
          <w:szCs w:val="28"/>
        </w:rPr>
        <w:t>污水处理厂厂址及占地：污水处理厂位于共和县江西沟镇东北，占地面积为6200m2，合9.3亩。</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4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④</w:t>
      </w:r>
      <w:r>
        <w:rPr>
          <w:rFonts w:ascii="宋体" w:hAnsi="宋体" w:cs="宋体"/>
          <w:sz w:val="28"/>
          <w:szCs w:val="28"/>
        </w:rPr>
        <w:fldChar w:fldCharType="end"/>
      </w:r>
      <w:r>
        <w:rPr>
          <w:rFonts w:hint="eastAsia" w:ascii="宋体" w:hAnsi="宋体" w:cs="宋体"/>
          <w:sz w:val="28"/>
          <w:szCs w:val="28"/>
        </w:rPr>
        <w:t>推荐工艺：污水进行二级生物强化处理后续过滤处理，处理工艺为A2/O+活性砂滤池工艺，处理后尾水部进入湿地进一步净化。污泥直接进行浓缩脱水，外运填埋。</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5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⑤</w:t>
      </w:r>
      <w:r>
        <w:rPr>
          <w:rFonts w:ascii="宋体" w:hAnsi="宋体" w:cs="宋体"/>
          <w:sz w:val="28"/>
          <w:szCs w:val="28"/>
        </w:rPr>
        <w:fldChar w:fldCharType="end"/>
      </w:r>
      <w:r>
        <w:rPr>
          <w:rFonts w:hint="eastAsia" w:ascii="宋体" w:hAnsi="宋体" w:cs="宋体"/>
          <w:sz w:val="28"/>
          <w:szCs w:val="28"/>
        </w:rPr>
        <w:t>进出水水质</w:t>
      </w:r>
    </w:p>
    <w:p>
      <w:pPr>
        <w:spacing w:line="360" w:lineRule="auto"/>
        <w:ind w:firstLine="420"/>
        <w:jc w:val="center"/>
        <w:rPr>
          <w:rFonts w:ascii="宋体" w:hAnsi="宋体" w:cs="宋体"/>
          <w:sz w:val="28"/>
          <w:szCs w:val="28"/>
        </w:rPr>
      </w:pPr>
      <w:r>
        <w:rPr>
          <w:rFonts w:hint="eastAsia" w:ascii="宋体" w:hAnsi="宋体" w:cs="宋体"/>
          <w:sz w:val="28"/>
          <w:szCs w:val="28"/>
        </w:rPr>
        <w:t>表1-</w:t>
      </w:r>
      <w:r>
        <w:rPr>
          <w:rFonts w:ascii="宋体" w:hAnsi="宋体" w:cs="宋体"/>
          <w:sz w:val="28"/>
          <w:szCs w:val="28"/>
        </w:rPr>
        <w:t xml:space="preserve">3 </w:t>
      </w:r>
      <w:r>
        <w:rPr>
          <w:rFonts w:hint="eastAsia" w:ascii="宋体" w:hAnsi="宋体" w:cs="宋体"/>
          <w:sz w:val="28"/>
          <w:szCs w:val="28"/>
        </w:rPr>
        <w:t>设计污水处理厂进出水水质表(单位mg/L)</w:t>
      </w:r>
    </w:p>
    <w:p>
      <w:pPr>
        <w:spacing w:line="360" w:lineRule="auto"/>
        <w:ind w:firstLine="420"/>
        <w:jc w:val="center"/>
        <w:rPr>
          <w:rFonts w:ascii="宋体" w:hAnsi="宋体" w:cs="宋体"/>
          <w:sz w:val="28"/>
          <w:szCs w:val="28"/>
        </w:rPr>
      </w:pPr>
    </w:p>
    <w:tbl>
      <w:tblPr>
        <w:tblStyle w:val="2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185"/>
        <w:gridCol w:w="1185"/>
        <w:gridCol w:w="1185"/>
        <w:gridCol w:w="1185"/>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18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CODcr</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BOD5</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SS</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TN</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NH4+-N</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18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进水</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350</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18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出水</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18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处理程度</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≥86.1%</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≥94.4%</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≥95.5%</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≥66.7%</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≥85.7%</w:t>
            </w:r>
          </w:p>
        </w:tc>
        <w:tc>
          <w:tcPr>
            <w:tcW w:w="11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≥87.5%</w:t>
            </w:r>
          </w:p>
        </w:tc>
      </w:tr>
    </w:tbl>
    <w:p>
      <w:pPr>
        <w:pStyle w:val="5"/>
      </w:pPr>
      <w:r>
        <w:t>5</w:t>
      </w:r>
      <w:r>
        <w:rPr>
          <w:rFonts w:hint="eastAsia"/>
        </w:rPr>
        <w:t>.</w:t>
      </w:r>
      <w:r>
        <w:t>4</w:t>
      </w:r>
      <w:r>
        <w:rPr>
          <w:rFonts w:hint="eastAsia"/>
        </w:rPr>
        <w:t>共和县黑马河乡生活垃圾填埋场及环卫设施建设项目</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1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①</w:t>
      </w:r>
      <w:r>
        <w:rPr>
          <w:rFonts w:ascii="宋体" w:hAnsi="宋体" w:cs="宋体"/>
          <w:sz w:val="28"/>
          <w:szCs w:val="28"/>
        </w:rPr>
        <w:fldChar w:fldCharType="end"/>
      </w:r>
      <w:r>
        <w:rPr>
          <w:rFonts w:hint="eastAsia" w:ascii="宋体" w:hAnsi="宋体" w:cs="宋体"/>
          <w:sz w:val="28"/>
          <w:szCs w:val="28"/>
        </w:rPr>
        <w:t>建设规模：</w:t>
      </w:r>
      <w:r>
        <w:rPr>
          <w:rFonts w:ascii="宋体" w:hAnsi="宋体" w:cs="宋体"/>
          <w:sz w:val="28"/>
          <w:szCs w:val="28"/>
        </w:rPr>
        <w:t xml:space="preserve"> </w:t>
      </w:r>
      <w:r>
        <w:rPr>
          <w:rFonts w:hint="eastAsia" w:ascii="宋体" w:hAnsi="宋体" w:cs="宋体"/>
          <w:sz w:val="28"/>
          <w:szCs w:val="28"/>
        </w:rPr>
        <w:t>拟建垃圾填埋场距黑马河镇驻地约4km处。2030 年垃圾运转量约为19.19t/d，按照《城市垃圾转运站设计规范》中的有关规定，垃圾运转规模可分为小型(运转量小于150t/d)，中型(运转量为150～450t/d)和大型(运转量大于450t/d)，故黑马河垃圾转运规模确定为小型。</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2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②</w:t>
      </w:r>
      <w:r>
        <w:rPr>
          <w:rFonts w:ascii="宋体" w:hAnsi="宋体" w:cs="宋体"/>
          <w:sz w:val="28"/>
          <w:szCs w:val="28"/>
        </w:rPr>
        <w:fldChar w:fldCharType="end"/>
      </w:r>
      <w:r>
        <w:rPr>
          <w:rFonts w:hint="eastAsia" w:ascii="宋体" w:hAnsi="宋体" w:cs="宋体"/>
          <w:sz w:val="28"/>
          <w:szCs w:val="28"/>
        </w:rPr>
        <w:t>处理对象：</w:t>
      </w:r>
      <w:r>
        <w:rPr>
          <w:rFonts w:ascii="宋体" w:hAnsi="宋体" w:cs="宋体"/>
          <w:sz w:val="28"/>
          <w:szCs w:val="28"/>
        </w:rPr>
        <w:t xml:space="preserve"> </w:t>
      </w:r>
      <w:r>
        <w:rPr>
          <w:rFonts w:hint="eastAsia" w:ascii="宋体" w:hAnsi="宋体" w:cs="宋体"/>
          <w:sz w:val="28"/>
          <w:szCs w:val="28"/>
        </w:rPr>
        <w:t>处理对象主要是黑马河镇生活垃圾，包括：居民生活垃圾、商业垃圾、集市贸易市场垃圾、街道垃圾、公共场所垃圾、机关、学校、厂矿等单位的生活垃圾。</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3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③</w:t>
      </w:r>
      <w:r>
        <w:rPr>
          <w:rFonts w:ascii="宋体" w:hAnsi="宋体" w:cs="宋体"/>
          <w:sz w:val="28"/>
          <w:szCs w:val="28"/>
        </w:rPr>
        <w:fldChar w:fldCharType="end"/>
      </w:r>
      <w:r>
        <w:rPr>
          <w:rFonts w:hint="eastAsia" w:ascii="宋体" w:hAnsi="宋体" w:cs="宋体"/>
          <w:sz w:val="28"/>
          <w:szCs w:val="28"/>
        </w:rPr>
        <w:t>主要技术指标</w:t>
      </w:r>
    </w:p>
    <w:p>
      <w:pPr>
        <w:spacing w:line="360" w:lineRule="auto"/>
        <w:ind w:firstLine="420"/>
        <w:jc w:val="center"/>
        <w:rPr>
          <w:rFonts w:ascii="宋体" w:hAnsi="宋体" w:cs="宋体"/>
          <w:sz w:val="28"/>
          <w:szCs w:val="28"/>
        </w:rPr>
      </w:pPr>
      <w:r>
        <w:rPr>
          <w:rFonts w:hint="eastAsia" w:ascii="宋体" w:hAnsi="宋体" w:cs="宋体"/>
          <w:sz w:val="28"/>
          <w:szCs w:val="28"/>
        </w:rPr>
        <w:t>表1</w:t>
      </w:r>
      <w:r>
        <w:rPr>
          <w:rFonts w:ascii="宋体" w:hAnsi="宋体" w:cs="宋体"/>
          <w:sz w:val="28"/>
          <w:szCs w:val="28"/>
        </w:rPr>
        <w:t xml:space="preserve">-4 </w:t>
      </w:r>
      <w:r>
        <w:rPr>
          <w:rFonts w:hint="eastAsia" w:ascii="宋体" w:hAnsi="宋体" w:cs="宋体"/>
          <w:sz w:val="28"/>
          <w:szCs w:val="28"/>
        </w:rPr>
        <w:t>主要技术指标表</w:t>
      </w:r>
      <w:r>
        <w:drawing>
          <wp:inline distT="0" distB="0" distL="0" distR="0">
            <wp:extent cx="5274310" cy="1209675"/>
            <wp:effectExtent l="0" t="0" r="254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5274310" cy="1209675"/>
                    </a:xfrm>
                    <a:prstGeom prst="rect">
                      <a:avLst/>
                    </a:prstGeom>
                  </pic:spPr>
                </pic:pic>
              </a:graphicData>
            </a:graphic>
          </wp:inline>
        </w:drawing>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4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④</w:t>
      </w:r>
      <w:r>
        <w:rPr>
          <w:rFonts w:ascii="宋体" w:hAnsi="宋体" w:cs="宋体"/>
          <w:sz w:val="28"/>
          <w:szCs w:val="28"/>
        </w:rPr>
        <w:fldChar w:fldCharType="end"/>
      </w:r>
      <w:r>
        <w:rPr>
          <w:rFonts w:hint="eastAsia" w:ascii="宋体" w:hAnsi="宋体" w:cs="宋体"/>
          <w:sz w:val="28"/>
          <w:szCs w:val="28"/>
        </w:rPr>
        <w:t>推荐工艺：项目采用卫生填埋处理方法，其优点是处理能力大，生产性投资较低，运行费用低，且不受垃圾成份变化的影响，单就城镇生活垃圾的最终处置而言，在目前的经济条件下，选择填埋法处理城镇生活垃圾是行之有效的方法。</w:t>
      </w:r>
    </w:p>
    <w:p>
      <w:pPr>
        <w:pStyle w:val="5"/>
      </w:pPr>
      <w:r>
        <w:t>5.5</w:t>
      </w:r>
      <w:r>
        <w:rPr>
          <w:rFonts w:hint="eastAsia"/>
        </w:rPr>
        <w:t>共和县石乃亥生活垃圾填埋场及环卫设施建设项目</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1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①</w:t>
      </w:r>
      <w:r>
        <w:rPr>
          <w:rFonts w:ascii="宋体" w:hAnsi="宋体" w:cs="宋体"/>
          <w:sz w:val="28"/>
          <w:szCs w:val="28"/>
        </w:rPr>
        <w:fldChar w:fldCharType="end"/>
      </w:r>
      <w:r>
        <w:rPr>
          <w:rFonts w:hint="eastAsia" w:ascii="宋体" w:hAnsi="宋体" w:cs="宋体"/>
          <w:sz w:val="28"/>
          <w:szCs w:val="28"/>
        </w:rPr>
        <w:t>建设规模：（1）垃圾运转规模：垃圾最大运转量（2038 年）5.412t/d；（2）垃圾填埋场规模：有效库容6.96 万m3，服务年限：20 年（2019 年—2038 年）。</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2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②</w:t>
      </w:r>
      <w:r>
        <w:rPr>
          <w:rFonts w:ascii="宋体" w:hAnsi="宋体" w:cs="宋体"/>
          <w:sz w:val="28"/>
          <w:szCs w:val="28"/>
        </w:rPr>
        <w:fldChar w:fldCharType="end"/>
      </w:r>
      <w:r>
        <w:rPr>
          <w:rFonts w:hint="eastAsia" w:ascii="宋体" w:hAnsi="宋体" w:cs="宋体"/>
          <w:sz w:val="28"/>
          <w:szCs w:val="28"/>
        </w:rPr>
        <w:t>建设内容：</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976"/>
        <w:gridCol w:w="1031"/>
        <w:gridCol w:w="1031"/>
        <w:gridCol w:w="2196"/>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1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垃圾坝</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1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填埋区</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隔离坝</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1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渗滤液导排盲沟</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锚固沟</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600m</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1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截洪沟</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消能池</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1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填埋区环库道路平台</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611m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阀门井</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1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渗滤液调节池</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监测井</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21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地磅基座</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洗车平台</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21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洗车水沉淀池</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清水池（雨水池）</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21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机房</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办公平房</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21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雨棚</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生产管理区围墙</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142m</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21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储料场</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2450m2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9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进场道路</w:t>
            </w:r>
          </w:p>
        </w:tc>
        <w:tc>
          <w:tcPr>
            <w:tcW w:w="103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1000m</w:t>
            </w:r>
          </w:p>
        </w:tc>
        <w:tc>
          <w:tcPr>
            <w:tcW w:w="1031" w:type="dxa"/>
            <w:shd w:val="clear" w:color="auto" w:fill="auto"/>
            <w:noWrap/>
            <w:vAlign w:val="center"/>
          </w:tcPr>
          <w:p>
            <w:pPr>
              <w:widowControl/>
              <w:jc w:val="center"/>
              <w:rPr>
                <w:rFonts w:ascii="宋体" w:hAnsi="宋体" w:eastAsia="宋体" w:cs="宋体"/>
                <w:color w:val="000000"/>
                <w:kern w:val="0"/>
                <w:sz w:val="22"/>
              </w:rPr>
            </w:pPr>
          </w:p>
        </w:tc>
        <w:tc>
          <w:tcPr>
            <w:tcW w:w="2196" w:type="dxa"/>
            <w:shd w:val="clear" w:color="auto" w:fill="auto"/>
            <w:noWrap/>
            <w:vAlign w:val="center"/>
          </w:tcPr>
          <w:p>
            <w:pPr>
              <w:widowControl/>
              <w:jc w:val="center"/>
              <w:rPr>
                <w:rFonts w:ascii="Times New Roman" w:hAnsi="Times New Roman" w:eastAsia="Times New Roman" w:cs="Times New Roman"/>
                <w:kern w:val="0"/>
                <w:sz w:val="20"/>
                <w:szCs w:val="20"/>
              </w:rPr>
            </w:pPr>
          </w:p>
        </w:tc>
        <w:tc>
          <w:tcPr>
            <w:tcW w:w="1031" w:type="dxa"/>
            <w:shd w:val="clear" w:color="auto" w:fill="auto"/>
            <w:noWrap/>
            <w:vAlign w:val="center"/>
          </w:tcPr>
          <w:p>
            <w:pPr>
              <w:widowControl/>
              <w:jc w:val="center"/>
              <w:rPr>
                <w:rFonts w:ascii="Times New Roman" w:hAnsi="Times New Roman" w:eastAsia="Times New Roman" w:cs="Times New Roman"/>
                <w:kern w:val="0"/>
                <w:sz w:val="20"/>
                <w:szCs w:val="20"/>
              </w:rPr>
            </w:pPr>
          </w:p>
        </w:tc>
      </w:tr>
    </w:tbl>
    <w:p>
      <w:pPr>
        <w:spacing w:line="360" w:lineRule="auto"/>
        <w:ind w:firstLine="420"/>
        <w:rPr>
          <w:rFonts w:ascii="宋体" w:hAnsi="宋体" w:cs="宋体"/>
          <w:sz w:val="28"/>
          <w:szCs w:val="28"/>
        </w:rPr>
      </w:pP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3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③</w:t>
      </w:r>
      <w:r>
        <w:rPr>
          <w:rFonts w:ascii="宋体" w:hAnsi="宋体" w:cs="宋体"/>
          <w:sz w:val="28"/>
          <w:szCs w:val="28"/>
        </w:rPr>
        <w:fldChar w:fldCharType="end"/>
      </w:r>
      <w:r>
        <w:rPr>
          <w:rFonts w:hint="eastAsia" w:ascii="宋体" w:hAnsi="宋体" w:cs="宋体"/>
          <w:sz w:val="28"/>
          <w:szCs w:val="28"/>
        </w:rPr>
        <w:t>厂址：石乃亥镇生活垃圾处理场位于石乃亥西南方向约2.7km 处，地理坐标为北纬36°59′11.5"，东经99°33′46"。</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4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④</w:t>
      </w:r>
      <w:r>
        <w:rPr>
          <w:rFonts w:ascii="宋体" w:hAnsi="宋体" w:cs="宋体"/>
          <w:sz w:val="28"/>
          <w:szCs w:val="28"/>
        </w:rPr>
        <w:fldChar w:fldCharType="end"/>
      </w:r>
      <w:r>
        <w:rPr>
          <w:rFonts w:hint="eastAsia" w:ascii="宋体" w:hAnsi="宋体" w:cs="宋体"/>
          <w:sz w:val="28"/>
          <w:szCs w:val="28"/>
        </w:rPr>
        <w:t>推荐工艺：</w:t>
      </w:r>
      <w:r>
        <w:rPr>
          <w:rFonts w:ascii="宋体" w:hAnsi="宋体" w:cs="宋体"/>
          <w:sz w:val="28"/>
          <w:szCs w:val="28"/>
        </w:rPr>
        <w:t xml:space="preserve"> </w:t>
      </w:r>
      <w:r>
        <w:rPr>
          <w:rFonts w:hint="eastAsia" w:ascii="宋体" w:hAnsi="宋体" w:cs="宋体"/>
          <w:sz w:val="28"/>
          <w:szCs w:val="28"/>
        </w:rPr>
        <w:t>项目采用卫生填埋处理方法，其优点是处理能力大，生产性投资较低，运行费用低，且不受垃圾成份变化的影响，单就城镇生活垃圾的最终处置而言，在目前的经济条件下，选择填埋法处理城镇生活垃圾是行之有效的方法。</w:t>
      </w:r>
    </w:p>
    <w:p>
      <w:pPr>
        <w:pStyle w:val="5"/>
      </w:pPr>
      <w:r>
        <w:t>5.6</w:t>
      </w:r>
      <w:r>
        <w:rPr>
          <w:rFonts w:hint="eastAsia"/>
        </w:rPr>
        <w:t>共和县江西沟乡生活垃圾填埋场及环卫设施建设项目</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1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①</w:t>
      </w:r>
      <w:r>
        <w:rPr>
          <w:rFonts w:ascii="宋体" w:hAnsi="宋体" w:cs="宋体"/>
          <w:sz w:val="28"/>
          <w:szCs w:val="28"/>
        </w:rPr>
        <w:fldChar w:fldCharType="end"/>
      </w:r>
      <w:r>
        <w:rPr>
          <w:rFonts w:hint="eastAsia" w:ascii="宋体" w:hAnsi="宋体" w:cs="宋体"/>
          <w:sz w:val="28"/>
          <w:szCs w:val="28"/>
        </w:rPr>
        <w:t>建设规模：拟建垃圾填埋场距江西沟镇政府驻地约4km 处。2035 年垃圾运转量约为13.35t/d，按照《城市垃圾转运站设计规范》中的有关规定，垃圾运转规模可分为小型(运转量小于150t/d)，中型(运转量为150～450t/d)和大型(运转量大于450t/d)，故江西沟垃圾转运规模确定为小型。</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2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②</w:t>
      </w:r>
      <w:r>
        <w:rPr>
          <w:rFonts w:ascii="宋体" w:hAnsi="宋体" w:cs="宋体"/>
          <w:sz w:val="28"/>
          <w:szCs w:val="28"/>
        </w:rPr>
        <w:fldChar w:fldCharType="end"/>
      </w:r>
      <w:r>
        <w:rPr>
          <w:rFonts w:hint="eastAsia" w:ascii="宋体" w:hAnsi="宋体" w:cs="宋体"/>
          <w:sz w:val="28"/>
          <w:szCs w:val="28"/>
        </w:rPr>
        <w:t>建设内容：</w:t>
      </w:r>
    </w:p>
    <w:p>
      <w:pPr>
        <w:spacing w:line="360" w:lineRule="auto"/>
        <w:ind w:firstLine="420"/>
        <w:rPr>
          <w:rFonts w:ascii="宋体" w:hAnsi="宋体" w:cs="宋体"/>
          <w:sz w:val="28"/>
          <w:szCs w:val="28"/>
        </w:rPr>
      </w:pPr>
      <w:r>
        <w:rPr>
          <w:rFonts w:hint="eastAsia" w:ascii="宋体" w:hAnsi="宋体" w:cs="宋体"/>
          <w:sz w:val="28"/>
          <w:szCs w:val="28"/>
        </w:rPr>
        <w:t>（1）垃圾处理场</w:t>
      </w:r>
    </w:p>
    <w:p>
      <w:pPr>
        <w:spacing w:line="360" w:lineRule="auto"/>
        <w:rPr>
          <w:rFonts w:ascii="宋体" w:hAnsi="宋体" w:cs="宋体"/>
          <w:sz w:val="28"/>
          <w:szCs w:val="28"/>
        </w:rPr>
      </w:pPr>
      <w:r>
        <w:rPr>
          <w:rFonts w:ascii="宋体" w:hAnsi="宋体" w:cs="宋体"/>
          <w:sz w:val="28"/>
          <w:szCs w:val="28"/>
        </w:rPr>
        <w:tab/>
      </w:r>
      <w:r>
        <w:rPr>
          <w:rFonts w:hint="eastAsia" w:ascii="宋体" w:hAnsi="宋体" w:cs="宋体"/>
          <w:sz w:val="28"/>
          <w:szCs w:val="28"/>
        </w:rPr>
        <w:t>主要建设填埋场以及设备配套的管理用房、道路、供电、计量设施等设施。垃圾处理场主要防洪、排水设施、防渗设施和排气等工程组成。</w:t>
      </w:r>
    </w:p>
    <w:p>
      <w:pPr>
        <w:spacing w:line="360" w:lineRule="auto"/>
        <w:ind w:firstLine="420"/>
        <w:rPr>
          <w:rFonts w:ascii="宋体" w:hAnsi="宋体" w:cs="宋体"/>
          <w:sz w:val="28"/>
          <w:szCs w:val="28"/>
        </w:rPr>
      </w:pPr>
      <w:r>
        <w:rPr>
          <w:rFonts w:hint="eastAsia" w:ascii="宋体" w:hAnsi="宋体" w:cs="宋体"/>
          <w:sz w:val="28"/>
          <w:szCs w:val="28"/>
        </w:rPr>
        <w:t>（2）镇区环卫收集及转运设施</w:t>
      </w:r>
    </w:p>
    <w:p>
      <w:pPr>
        <w:spacing w:line="360" w:lineRule="auto"/>
        <w:ind w:firstLine="420"/>
        <w:rPr>
          <w:rFonts w:ascii="宋体" w:hAnsi="宋体" w:cs="宋体"/>
          <w:sz w:val="28"/>
          <w:szCs w:val="28"/>
        </w:rPr>
      </w:pPr>
      <w:r>
        <w:rPr>
          <w:rFonts w:hint="eastAsia" w:ascii="宋体" w:hAnsi="宋体" w:cs="宋体"/>
          <w:sz w:val="28"/>
          <w:szCs w:val="28"/>
        </w:rPr>
        <w:t>主要是垃圾收集转运设施、设备，包括自卸垃圾车、装载机、推土机、垃圾斗、果皮箱等。</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3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③</w:t>
      </w:r>
      <w:r>
        <w:rPr>
          <w:rFonts w:ascii="宋体" w:hAnsi="宋体" w:cs="宋体"/>
          <w:sz w:val="28"/>
          <w:szCs w:val="28"/>
        </w:rPr>
        <w:fldChar w:fldCharType="end"/>
      </w:r>
      <w:r>
        <w:rPr>
          <w:rFonts w:hint="eastAsia" w:ascii="宋体" w:hAnsi="宋体" w:cs="宋体"/>
          <w:sz w:val="28"/>
          <w:szCs w:val="28"/>
        </w:rPr>
        <w:t>处理对象：处理对象主要是江西沟镇生活垃圾，包括：居民生活垃圾、商业垃圾、集市贸易市场垃圾、街道垃圾、公共场所垃圾、机关、学校、厂矿等单位的生活垃圾。</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4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④</w:t>
      </w:r>
      <w:r>
        <w:rPr>
          <w:rFonts w:ascii="宋体" w:hAnsi="宋体" w:cs="宋体"/>
          <w:sz w:val="28"/>
          <w:szCs w:val="28"/>
        </w:rPr>
        <w:fldChar w:fldCharType="end"/>
      </w:r>
      <w:r>
        <w:rPr>
          <w:rFonts w:hint="eastAsia" w:ascii="宋体" w:hAnsi="宋体" w:cs="宋体"/>
          <w:sz w:val="28"/>
          <w:szCs w:val="28"/>
        </w:rPr>
        <w:t>主要技术指标</w:t>
      </w:r>
    </w:p>
    <w:p>
      <w:pPr>
        <w:spacing w:line="360" w:lineRule="auto"/>
        <w:ind w:firstLine="420"/>
        <w:jc w:val="center"/>
        <w:rPr>
          <w:rFonts w:ascii="宋体" w:hAnsi="宋体" w:cs="宋体"/>
          <w:sz w:val="28"/>
          <w:szCs w:val="28"/>
        </w:rPr>
      </w:pPr>
      <w:r>
        <w:rPr>
          <w:rFonts w:hint="eastAsia" w:ascii="宋体" w:hAnsi="宋体" w:cs="宋体"/>
          <w:sz w:val="28"/>
          <w:szCs w:val="28"/>
        </w:rPr>
        <w:t>表1-</w:t>
      </w:r>
      <w:r>
        <w:rPr>
          <w:rFonts w:ascii="宋体" w:hAnsi="宋体" w:cs="宋体"/>
          <w:sz w:val="28"/>
          <w:szCs w:val="28"/>
        </w:rPr>
        <w:t xml:space="preserve">5 </w:t>
      </w:r>
      <w:r>
        <w:rPr>
          <w:rFonts w:hint="eastAsia" w:ascii="宋体" w:hAnsi="宋体" w:cs="宋体"/>
          <w:sz w:val="28"/>
          <w:szCs w:val="28"/>
        </w:rPr>
        <w:t>主要技术指标表</w:t>
      </w:r>
      <w:r>
        <w:drawing>
          <wp:inline distT="0" distB="0" distL="0" distR="0">
            <wp:extent cx="5274310" cy="1201420"/>
            <wp:effectExtent l="0" t="0" r="2540" b="177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9"/>
                    <a:stretch>
                      <a:fillRect/>
                    </a:stretch>
                  </pic:blipFill>
                  <pic:spPr>
                    <a:xfrm>
                      <a:off x="0" y="0"/>
                      <a:ext cx="5274310" cy="1201420"/>
                    </a:xfrm>
                    <a:prstGeom prst="rect">
                      <a:avLst/>
                    </a:prstGeom>
                  </pic:spPr>
                </pic:pic>
              </a:graphicData>
            </a:graphic>
          </wp:inline>
        </w:drawing>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4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④</w:t>
      </w:r>
      <w:r>
        <w:rPr>
          <w:rFonts w:ascii="宋体" w:hAnsi="宋体" w:cs="宋体"/>
          <w:sz w:val="28"/>
          <w:szCs w:val="28"/>
        </w:rPr>
        <w:fldChar w:fldCharType="end"/>
      </w:r>
      <w:r>
        <w:rPr>
          <w:rFonts w:hint="eastAsia" w:ascii="宋体" w:hAnsi="宋体" w:cs="宋体"/>
          <w:sz w:val="28"/>
          <w:szCs w:val="28"/>
        </w:rPr>
        <w:t>推荐工艺：项目采用卫生填埋处理方法，其优点是处理能力大，生产性投资较低，运行费用低，且不受垃圾成份变化的影响，单就城镇生活垃圾的最终处置而言，在目前的经济条件下，选择填埋法处理城镇生活垃圾是行之有效的方法。</w:t>
      </w:r>
    </w:p>
    <w:p>
      <w:pPr>
        <w:pStyle w:val="5"/>
      </w:pPr>
      <w:r>
        <w:t>5.7</w:t>
      </w:r>
      <w:r>
        <w:rPr>
          <w:rFonts w:hint="eastAsia"/>
        </w:rPr>
        <w:t>共和县湖东种羊场生活垃圾填埋场及环卫设施建设项目</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1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①</w:t>
      </w:r>
      <w:r>
        <w:rPr>
          <w:rFonts w:ascii="宋体" w:hAnsi="宋体" w:cs="宋体"/>
          <w:sz w:val="28"/>
          <w:szCs w:val="28"/>
        </w:rPr>
        <w:fldChar w:fldCharType="end"/>
      </w:r>
      <w:r>
        <w:rPr>
          <w:rFonts w:hint="eastAsia" w:ascii="宋体" w:hAnsi="宋体" w:cs="宋体"/>
          <w:sz w:val="28"/>
          <w:szCs w:val="28"/>
        </w:rPr>
        <w:t>建设规模：</w:t>
      </w:r>
    </w:p>
    <w:p>
      <w:pPr>
        <w:spacing w:line="360" w:lineRule="auto"/>
        <w:ind w:firstLine="420"/>
        <w:rPr>
          <w:rFonts w:ascii="宋体" w:hAnsi="宋体" w:cs="宋体"/>
          <w:sz w:val="28"/>
          <w:szCs w:val="28"/>
        </w:rPr>
      </w:pPr>
      <w:r>
        <w:rPr>
          <w:rFonts w:hint="eastAsia" w:ascii="宋体" w:hAnsi="宋体" w:cs="宋体"/>
          <w:sz w:val="28"/>
          <w:szCs w:val="28"/>
        </w:rPr>
        <w:t>（1）垃圾运转规模：垃圾最大运转量4.13t/d（2038 年）；</w:t>
      </w:r>
    </w:p>
    <w:p>
      <w:pPr>
        <w:spacing w:line="360" w:lineRule="auto"/>
        <w:ind w:firstLine="420"/>
        <w:rPr>
          <w:rFonts w:ascii="宋体" w:hAnsi="宋体" w:cs="宋体"/>
          <w:sz w:val="28"/>
          <w:szCs w:val="28"/>
        </w:rPr>
      </w:pPr>
      <w:r>
        <w:rPr>
          <w:rFonts w:hint="eastAsia" w:ascii="宋体" w:hAnsi="宋体" w:cs="宋体"/>
          <w:sz w:val="28"/>
          <w:szCs w:val="28"/>
        </w:rPr>
        <w:t>（2）垃圾填埋场规模：填埋场库容：5.3 万m3，服务年限：20 年（2019 年—2038 年）。</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2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②</w:t>
      </w:r>
      <w:r>
        <w:rPr>
          <w:rFonts w:ascii="宋体" w:hAnsi="宋体" w:cs="宋体"/>
          <w:sz w:val="28"/>
          <w:szCs w:val="28"/>
        </w:rPr>
        <w:fldChar w:fldCharType="end"/>
      </w:r>
      <w:r>
        <w:rPr>
          <w:rFonts w:hint="eastAsia" w:ascii="宋体" w:hAnsi="宋体" w:cs="宋体"/>
          <w:sz w:val="28"/>
          <w:szCs w:val="28"/>
        </w:rPr>
        <w:t>建设内容</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823"/>
        <w:gridCol w:w="5037"/>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主要参数</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垃圾坝</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长度77.7m。顶宽度6.0m，底宽度18.6m，坝高6.8m,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拦洪坝</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长度78.58m。顶宽度6.0m，底宽度16.0m，坝高3.0m,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泄洪渠道</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长度240.1m，宽度1.0m，平均深度约2.8m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消能池</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平面净尺寸：1.2×1.2m,深度0.3m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填埋区</w:t>
            </w:r>
          </w:p>
        </w:tc>
        <w:tc>
          <w:tcPr>
            <w:tcW w:w="503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库上口平均尺寸：134.02×78.69m，库底平均尺寸：</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112.43×50.98m,总容量：5.27 万m3。</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隔离坝</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坝顶宽度1.0m,坝低宽度3.0m,高度1.0m，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环库道路</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平台宽度5.0,道路宽度3.0m。高出附近地面0.3m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432.4m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渗滤液导排盲沟</w:t>
            </w:r>
          </w:p>
        </w:tc>
        <w:tc>
          <w:tcPr>
            <w:tcW w:w="503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上口宽度0.8—1.2m，下口宽度0.3—0.8mm，深度：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300mm；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锚固沟</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断面尺寸：0.8×0.8m；长度：424m。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阀门井</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1.5×1.2×2.0m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渗滤液调节池</w:t>
            </w:r>
          </w:p>
        </w:tc>
        <w:tc>
          <w:tcPr>
            <w:tcW w:w="503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上口尺寸19.5×19.5m，池底平面净尺寸： 14.3×</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14.3m，总深度：4.5m,有效容积：780m2</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监测井</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井筒直径300mm,深度：m。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地磅基座</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平面尺寸13.06×2.9m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洗车平台</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平面净尺寸：12.0×3.2m,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洗车水沉淀池</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平面尺寸：1.2×1.2m；总深度3.2m，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清水池（雨水池）</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平面尺寸：6.0×4.0m；总深度3.2m，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机房</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平面尺寸：21×9.3m，建筑面积：199.5m2。</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办公平房</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平面净尺寸：18.6×7.5m，建筑面积：138m2。</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雨棚</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平面净尺寸：9.0×7.4m，建筑面积：66.6m2。</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生产管理区围墙</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长度142m，高度2.4m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储料场</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平面尺寸：28×96m，占地面积：2688m2。</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2688m2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182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进场道路</w:t>
            </w:r>
          </w:p>
        </w:tc>
        <w:tc>
          <w:tcPr>
            <w:tcW w:w="503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路基宽4.5m，路面宽3.5m，长度：780m。</w:t>
            </w:r>
          </w:p>
        </w:tc>
        <w:tc>
          <w:tcPr>
            <w:tcW w:w="81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780m</w:t>
            </w:r>
          </w:p>
        </w:tc>
      </w:tr>
    </w:tbl>
    <w:p>
      <w:pPr>
        <w:spacing w:line="360" w:lineRule="auto"/>
        <w:ind w:firstLine="420"/>
        <w:rPr>
          <w:rFonts w:ascii="宋体" w:hAnsi="宋体" w:cs="宋体"/>
          <w:sz w:val="28"/>
          <w:szCs w:val="28"/>
        </w:rPr>
      </w:pP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3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③</w:t>
      </w:r>
      <w:r>
        <w:rPr>
          <w:rFonts w:ascii="宋体" w:hAnsi="宋体" w:cs="宋体"/>
          <w:sz w:val="28"/>
          <w:szCs w:val="28"/>
        </w:rPr>
        <w:fldChar w:fldCharType="end"/>
      </w:r>
      <w:r>
        <w:rPr>
          <w:rFonts w:hint="eastAsia" w:ascii="宋体" w:hAnsi="宋体" w:cs="宋体"/>
          <w:sz w:val="28"/>
          <w:szCs w:val="28"/>
        </w:rPr>
        <w:t>场址：湖东种羊场垃圾填埋场位于种羊场东南方向约720m 处的壕沟，地理坐标为东经100°49′15.59"，北纬36°47′48"。</w:t>
      </w:r>
    </w:p>
    <w:p>
      <w:pPr>
        <w:spacing w:line="360" w:lineRule="auto"/>
        <w:ind w:firstLine="420"/>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w:instrText>
      </w:r>
      <w:r>
        <w:rPr>
          <w:rFonts w:hint="eastAsia" w:ascii="宋体" w:hAnsi="宋体" w:cs="宋体"/>
          <w:sz w:val="28"/>
          <w:szCs w:val="28"/>
        </w:rPr>
        <w:instrText xml:space="preserve">= 4 \* GB3</w:instrText>
      </w:r>
      <w:r>
        <w:rPr>
          <w:rFonts w:ascii="宋体" w:hAnsi="宋体" w:cs="宋体"/>
          <w:sz w:val="28"/>
          <w:szCs w:val="28"/>
        </w:rPr>
        <w:instrText xml:space="preserve"> </w:instrText>
      </w:r>
      <w:r>
        <w:rPr>
          <w:rFonts w:ascii="宋体" w:hAnsi="宋体" w:cs="宋体"/>
          <w:sz w:val="28"/>
          <w:szCs w:val="28"/>
        </w:rPr>
        <w:fldChar w:fldCharType="separate"/>
      </w:r>
      <w:r>
        <w:rPr>
          <w:rFonts w:hint="eastAsia" w:ascii="宋体" w:hAnsi="宋体" w:cs="宋体"/>
          <w:sz w:val="28"/>
          <w:szCs w:val="28"/>
        </w:rPr>
        <w:t>④</w:t>
      </w:r>
      <w:r>
        <w:rPr>
          <w:rFonts w:ascii="宋体" w:hAnsi="宋体" w:cs="宋体"/>
          <w:sz w:val="28"/>
          <w:szCs w:val="28"/>
        </w:rPr>
        <w:fldChar w:fldCharType="end"/>
      </w:r>
      <w:r>
        <w:rPr>
          <w:rFonts w:hint="eastAsia" w:ascii="宋体" w:hAnsi="宋体" w:cs="宋体"/>
          <w:sz w:val="28"/>
          <w:szCs w:val="28"/>
        </w:rPr>
        <w:t>推荐工艺：项目采用卫生填埋处理方法，其优点是处理能力大，生产性投资较低，运行费用低，且不受垃圾成份变化的影响，单就城镇生活垃圾的最终处置而言，在目前的经济条件下，选择填埋法处理城镇生活垃圾是行之有效的方法。</w:t>
      </w:r>
    </w:p>
    <w:bookmarkEnd w:id="100"/>
    <w:p>
      <w:pPr>
        <w:pStyle w:val="3"/>
        <w:rPr>
          <w:sz w:val="30"/>
          <w:szCs w:val="30"/>
        </w:rPr>
      </w:pPr>
      <w:bookmarkStart w:id="101" w:name="_Toc536625494"/>
      <w:r>
        <w:rPr>
          <w:rFonts w:hint="eastAsia"/>
          <w:sz w:val="30"/>
          <w:szCs w:val="30"/>
        </w:rPr>
        <w:t>3、项目实施机构</w:t>
      </w:r>
      <w:bookmarkEnd w:id="101"/>
    </w:p>
    <w:p>
      <w:pPr>
        <w:spacing w:line="360" w:lineRule="auto"/>
        <w:ind w:firstLine="420"/>
        <w:rPr>
          <w:rFonts w:asciiTheme="minorEastAsia" w:hAnsiTheme="minorEastAsia"/>
          <w:sz w:val="28"/>
          <w:szCs w:val="28"/>
        </w:rPr>
      </w:pPr>
      <w:r>
        <w:rPr>
          <w:rFonts w:hint="eastAsia" w:asciiTheme="minorEastAsia" w:hAnsiTheme="minorEastAsia"/>
          <w:sz w:val="28"/>
          <w:szCs w:val="28"/>
        </w:rPr>
        <w:t>根据《政府和社会资本合作模式操作指南（试行）》（财金〔2014〕113号），政府或其指定的有关职能部门或事业单位可作为项目实施机构，负责项目准备、采购、监管和移交等工作。</w:t>
      </w:r>
    </w:p>
    <w:p>
      <w:pPr>
        <w:spacing w:line="360" w:lineRule="auto"/>
        <w:ind w:firstLine="420"/>
        <w:rPr>
          <w:rFonts w:asciiTheme="minorEastAsia" w:hAnsiTheme="minorEastAsia"/>
          <w:sz w:val="28"/>
          <w:szCs w:val="28"/>
        </w:rPr>
      </w:pPr>
      <w:r>
        <w:rPr>
          <w:rFonts w:hint="eastAsia" w:ascii="Times New Roman" w:hAnsi="Times New Roman" w:eastAsia="仿宋"/>
          <w:sz w:val="30"/>
          <w:szCs w:val="30"/>
        </w:rPr>
        <w:t>本项目</w:t>
      </w:r>
      <w:r>
        <w:rPr>
          <w:rFonts w:hint="eastAsia" w:ascii="宋体" w:hAnsi="宋体" w:cs="宋体"/>
          <w:b/>
          <w:sz w:val="28"/>
          <w:szCs w:val="28"/>
        </w:rPr>
        <w:t>共和县环境保护和林业局</w:t>
      </w:r>
      <w:r>
        <w:rPr>
          <w:rFonts w:hint="eastAsia" w:asciiTheme="minorEastAsia" w:hAnsiTheme="minorEastAsia"/>
          <w:sz w:val="28"/>
          <w:szCs w:val="28"/>
        </w:rPr>
        <w:t>作为项目实施机构。</w:t>
      </w:r>
    </w:p>
    <w:p>
      <w:pPr>
        <w:pStyle w:val="3"/>
        <w:rPr>
          <w:sz w:val="30"/>
          <w:szCs w:val="30"/>
        </w:rPr>
      </w:pPr>
      <w:bookmarkStart w:id="102" w:name="_Toc536625495"/>
      <w:r>
        <w:rPr>
          <w:rFonts w:hint="eastAsia"/>
          <w:sz w:val="30"/>
          <w:szCs w:val="30"/>
        </w:rPr>
        <w:t>4、</w:t>
      </w:r>
      <w:bookmarkStart w:id="103" w:name="_Toc483589255"/>
      <w:r>
        <w:rPr>
          <w:rFonts w:hint="eastAsia"/>
          <w:sz w:val="30"/>
          <w:szCs w:val="30"/>
        </w:rPr>
        <w:t>项目公司设立要求</w:t>
      </w:r>
      <w:bookmarkEnd w:id="102"/>
      <w:bookmarkEnd w:id="103"/>
    </w:p>
    <w:p>
      <w:pPr>
        <w:spacing w:line="360" w:lineRule="auto"/>
        <w:ind w:firstLine="42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1</w:t>
      </w:r>
      <w:r>
        <w:rPr>
          <w:rFonts w:hint="eastAsia" w:asciiTheme="minorEastAsia" w:hAnsiTheme="minorEastAsia"/>
          <w:sz w:val="28"/>
          <w:szCs w:val="28"/>
        </w:rPr>
        <w:t>）项目公司注册地在共和县境内。</w:t>
      </w:r>
    </w:p>
    <w:p>
      <w:pPr>
        <w:spacing w:line="360" w:lineRule="auto"/>
        <w:ind w:firstLine="42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2</w:t>
      </w:r>
      <w:r>
        <w:rPr>
          <w:rFonts w:hint="eastAsia" w:asciiTheme="minorEastAsia" w:hAnsiTheme="minorEastAsia"/>
          <w:sz w:val="28"/>
          <w:szCs w:val="28"/>
        </w:rPr>
        <w:t>）项目资本金为总投资的</w:t>
      </w:r>
      <w:r>
        <w:rPr>
          <w:rFonts w:asciiTheme="minorEastAsia" w:hAnsiTheme="minorEastAsia"/>
          <w:sz w:val="28"/>
          <w:szCs w:val="28"/>
        </w:rPr>
        <w:t>20%</w:t>
      </w:r>
      <w:r>
        <w:rPr>
          <w:rFonts w:hint="eastAsia" w:asciiTheme="minorEastAsia" w:hAnsiTheme="minorEastAsia"/>
          <w:sz w:val="28"/>
          <w:szCs w:val="28"/>
        </w:rPr>
        <w:t>即</w:t>
      </w:r>
      <w:r>
        <w:rPr>
          <w:rFonts w:asciiTheme="minorEastAsia" w:hAnsiTheme="minorEastAsia"/>
          <w:sz w:val="28"/>
          <w:szCs w:val="28"/>
        </w:rPr>
        <w:t>2,026.28</w:t>
      </w:r>
      <w:r>
        <w:rPr>
          <w:rFonts w:hint="eastAsia" w:asciiTheme="minorEastAsia" w:hAnsiTheme="minorEastAsia"/>
          <w:sz w:val="28"/>
          <w:szCs w:val="28"/>
        </w:rPr>
        <w:t>万元（建设期利息同比例出资），由政府方出资代表和中标社会资本方共同出资完成，政府方以现金出资</w:t>
      </w:r>
      <w:r>
        <w:rPr>
          <w:rFonts w:asciiTheme="minorEastAsia" w:hAnsiTheme="minorEastAsia"/>
          <w:sz w:val="28"/>
          <w:szCs w:val="28"/>
        </w:rPr>
        <w:t>101.31</w:t>
      </w:r>
      <w:r>
        <w:rPr>
          <w:rFonts w:hint="eastAsia" w:asciiTheme="minorEastAsia" w:hAnsiTheme="minorEastAsia"/>
          <w:sz w:val="28"/>
          <w:szCs w:val="28"/>
        </w:rPr>
        <w:t>万元占股比例为</w:t>
      </w:r>
      <w:r>
        <w:rPr>
          <w:rFonts w:asciiTheme="minorEastAsia" w:hAnsiTheme="minorEastAsia"/>
          <w:sz w:val="28"/>
          <w:szCs w:val="28"/>
        </w:rPr>
        <w:t>5%</w:t>
      </w:r>
      <w:r>
        <w:rPr>
          <w:rFonts w:hint="eastAsia" w:asciiTheme="minorEastAsia" w:hAnsiTheme="minorEastAsia"/>
          <w:sz w:val="28"/>
          <w:szCs w:val="28"/>
        </w:rPr>
        <w:t>，社会资本方出资</w:t>
      </w:r>
      <w:r>
        <w:rPr>
          <w:rFonts w:asciiTheme="minorEastAsia" w:hAnsiTheme="minorEastAsia"/>
          <w:sz w:val="28"/>
          <w:szCs w:val="28"/>
        </w:rPr>
        <w:t>1,924.96</w:t>
      </w:r>
      <w:r>
        <w:rPr>
          <w:rFonts w:hint="eastAsia" w:asciiTheme="minorEastAsia" w:hAnsiTheme="minorEastAsia"/>
          <w:sz w:val="28"/>
          <w:szCs w:val="28"/>
        </w:rPr>
        <w:t>万元（现金或固定资产）占股比例为</w:t>
      </w:r>
      <w:r>
        <w:rPr>
          <w:rFonts w:asciiTheme="minorEastAsia" w:hAnsiTheme="minorEastAsia"/>
          <w:sz w:val="28"/>
          <w:szCs w:val="28"/>
        </w:rPr>
        <w:t>95%</w:t>
      </w:r>
      <w:r>
        <w:rPr>
          <w:rFonts w:hint="eastAsia" w:asciiTheme="minorEastAsia" w:hAnsiTheme="minorEastAsia"/>
          <w:sz w:val="28"/>
          <w:szCs w:val="28"/>
        </w:rPr>
        <w:t>，建设投资超出项目资本金部分，由项目公司通过债务性融资解决，债务性融资部分为项目总投资的</w:t>
      </w:r>
      <w:r>
        <w:rPr>
          <w:rFonts w:asciiTheme="minorEastAsia" w:hAnsiTheme="minorEastAsia"/>
          <w:sz w:val="28"/>
          <w:szCs w:val="28"/>
        </w:rPr>
        <w:t>80%</w:t>
      </w:r>
      <w:r>
        <w:rPr>
          <w:rFonts w:hint="eastAsia" w:asciiTheme="minorEastAsia" w:hAnsiTheme="minorEastAsia"/>
          <w:sz w:val="28"/>
          <w:szCs w:val="28"/>
        </w:rPr>
        <w:t>即</w:t>
      </w:r>
      <w:r>
        <w:rPr>
          <w:rFonts w:asciiTheme="minorEastAsia" w:hAnsiTheme="minorEastAsia"/>
          <w:sz w:val="28"/>
          <w:szCs w:val="28"/>
        </w:rPr>
        <w:t>8,105.11</w:t>
      </w:r>
      <w:r>
        <w:rPr>
          <w:rFonts w:hint="eastAsia" w:asciiTheme="minorEastAsia" w:hAnsiTheme="minorEastAsia"/>
          <w:sz w:val="28"/>
          <w:szCs w:val="28"/>
        </w:rPr>
        <w:t>万元。</w:t>
      </w:r>
    </w:p>
    <w:p>
      <w:pPr>
        <w:spacing w:line="360" w:lineRule="auto"/>
        <w:ind w:firstLine="42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3</w:t>
      </w:r>
      <w:r>
        <w:rPr>
          <w:rFonts w:hint="eastAsia" w:asciiTheme="minorEastAsia" w:hAnsiTheme="minorEastAsia"/>
          <w:sz w:val="28"/>
          <w:szCs w:val="28"/>
        </w:rPr>
        <w:t>）公司类型为有限责任公司。</w:t>
      </w:r>
    </w:p>
    <w:p>
      <w:pPr>
        <w:pStyle w:val="3"/>
        <w:rPr>
          <w:sz w:val="30"/>
          <w:szCs w:val="30"/>
        </w:rPr>
      </w:pPr>
      <w:bookmarkStart w:id="104" w:name="_Toc536625496"/>
      <w:r>
        <w:rPr>
          <w:rFonts w:hint="eastAsia"/>
          <w:sz w:val="30"/>
          <w:szCs w:val="30"/>
        </w:rPr>
        <w:t>5、项目合作内容</w:t>
      </w:r>
      <w:bookmarkEnd w:id="104"/>
    </w:p>
    <w:p>
      <w:pPr>
        <w:spacing w:line="360" w:lineRule="auto"/>
        <w:ind w:firstLine="420"/>
        <w:rPr>
          <w:rFonts w:asciiTheme="minorEastAsia" w:hAnsiTheme="minorEastAsia"/>
          <w:sz w:val="28"/>
          <w:szCs w:val="28"/>
        </w:rPr>
      </w:pPr>
      <w:r>
        <w:rPr>
          <w:rFonts w:hint="eastAsia" w:asciiTheme="minorEastAsia" w:hAnsiTheme="minorEastAsia"/>
          <w:sz w:val="28"/>
          <w:szCs w:val="28"/>
        </w:rPr>
        <w:t>（1）由政府方指定的出资人与经公开采购确定中标的社会资本方共同成立项目公司，各方按PPP项目合同承担权利义务。</w:t>
      </w:r>
    </w:p>
    <w:p>
      <w:pPr>
        <w:spacing w:line="360" w:lineRule="auto"/>
        <w:ind w:firstLine="420"/>
        <w:rPr>
          <w:rFonts w:asciiTheme="minorEastAsia" w:hAnsiTheme="minorEastAsia"/>
          <w:sz w:val="28"/>
          <w:szCs w:val="28"/>
        </w:rPr>
      </w:pPr>
      <w:r>
        <w:rPr>
          <w:rFonts w:hint="eastAsia" w:asciiTheme="minorEastAsia" w:hAnsiTheme="minorEastAsia"/>
          <w:sz w:val="28"/>
          <w:szCs w:val="28"/>
        </w:rPr>
        <w:t>（2）在建设期内，由项目公司具体负责本项目的投融资、建设。</w:t>
      </w:r>
    </w:p>
    <w:p>
      <w:pPr>
        <w:spacing w:line="360" w:lineRule="auto"/>
        <w:ind w:firstLine="420"/>
        <w:rPr>
          <w:rFonts w:asciiTheme="minorEastAsia" w:hAnsiTheme="minorEastAsia"/>
          <w:sz w:val="28"/>
          <w:szCs w:val="28"/>
        </w:rPr>
      </w:pPr>
      <w:r>
        <w:rPr>
          <w:rFonts w:hint="eastAsia" w:asciiTheme="minorEastAsia" w:hAnsiTheme="minorEastAsia"/>
          <w:sz w:val="28"/>
          <w:szCs w:val="28"/>
        </w:rPr>
        <w:t>（3）运营维护期内，由项目公司负责本项目资产的维护及管理；项目实施机构按照绩效考核指标对项目公司提供的运营维护情况进行定期和不定期考核，财政部门按PPP合同约定依据考核情况支付政府付费（包括可用性服务费、运维绩效服务费）。</w:t>
      </w:r>
    </w:p>
    <w:p>
      <w:pPr>
        <w:spacing w:line="360" w:lineRule="auto"/>
        <w:ind w:firstLine="420"/>
        <w:rPr>
          <w:rFonts w:asciiTheme="minorEastAsia" w:hAnsiTheme="minorEastAsia"/>
          <w:sz w:val="28"/>
          <w:szCs w:val="28"/>
        </w:rPr>
      </w:pPr>
      <w:r>
        <w:rPr>
          <w:rFonts w:hint="eastAsia" w:asciiTheme="minorEastAsia" w:hAnsiTheme="minorEastAsia"/>
          <w:sz w:val="28"/>
          <w:szCs w:val="28"/>
        </w:rPr>
        <w:t>（4）运营维护期结束后，项目公司将全部项目资产无偿移交给政府方或其指定的其他机构。</w:t>
      </w:r>
    </w:p>
    <w:p>
      <w:pPr>
        <w:spacing w:line="360" w:lineRule="auto"/>
        <w:ind w:firstLine="420"/>
        <w:rPr>
          <w:rFonts w:asciiTheme="minorEastAsia" w:hAnsiTheme="minorEastAsia"/>
          <w:sz w:val="28"/>
          <w:szCs w:val="28"/>
        </w:rPr>
      </w:pPr>
      <w:r>
        <w:rPr>
          <w:rFonts w:hint="eastAsia" w:asciiTheme="minorEastAsia" w:hAnsiTheme="minorEastAsia"/>
          <w:sz w:val="28"/>
          <w:szCs w:val="28"/>
        </w:rPr>
        <w:t>（5）填埋场封场后的维护</w:t>
      </w:r>
    </w:p>
    <w:p>
      <w:pPr>
        <w:spacing w:line="360" w:lineRule="auto"/>
        <w:ind w:firstLine="420"/>
        <w:rPr>
          <w:rFonts w:asciiTheme="minorEastAsia" w:hAnsiTheme="minorEastAsia"/>
          <w:sz w:val="28"/>
          <w:szCs w:val="28"/>
        </w:rPr>
      </w:pPr>
      <w:r>
        <w:rPr>
          <w:rFonts w:hint="eastAsia" w:asciiTheme="minorEastAsia" w:hAnsiTheme="minorEastAsia"/>
          <w:sz w:val="28"/>
          <w:szCs w:val="28"/>
        </w:rPr>
        <w:t>垃圾填埋场封场后，虽然不再有新鲜生活垃圾补充进来，但是封场覆盖层下面的原有生活垃圾在相当长一段时间内仍然进行着各种生化反应，场地仍会产生不同程度的沉降，垃圾渗滤液及填埋气仍然会产生，因此，为了维护封场后填埋场的安全运行，必须进行封场后各种维护。封场后的维护主要包括填埋场地的连续视察与维护、基础设施的不定期维护以及场内及周边环境的连续监测。</w:t>
      </w:r>
    </w:p>
    <w:p>
      <w:pPr>
        <w:spacing w:line="360" w:lineRule="auto"/>
        <w:ind w:firstLine="420"/>
        <w:rPr>
          <w:rFonts w:asciiTheme="minorEastAsia" w:hAnsiTheme="minorEastAsia"/>
          <w:sz w:val="28"/>
          <w:szCs w:val="28"/>
        </w:rPr>
      </w:pPr>
      <w:r>
        <w:rPr>
          <w:rFonts w:hint="eastAsia" w:asciiTheme="minorEastAsia" w:hAnsiTheme="minorEastAsia"/>
          <w:sz w:val="28"/>
          <w:szCs w:val="28"/>
        </w:rPr>
        <w:t>在填埋场封场后, 为了管理好填埋场的环境条件，确保填埋场不释放可能对公众健康和周边环境造成影响的污染物，封场后仍需对场内及周边一定范围进行环境监测。监测范围主要包括： ①渗滤液区的气体和液体，②地表水，③空气质量。分析所需的采样数量和采样频率通常取决于当地空气污染和水体污染管理机构的规定。</w:t>
      </w:r>
    </w:p>
    <w:p>
      <w:pPr>
        <w:spacing w:line="360" w:lineRule="auto"/>
        <w:ind w:firstLine="420"/>
        <w:rPr>
          <w:rFonts w:asciiTheme="minorEastAsia" w:hAnsiTheme="minorEastAsia"/>
          <w:sz w:val="28"/>
          <w:szCs w:val="28"/>
        </w:rPr>
      </w:pPr>
      <w:r>
        <w:rPr>
          <w:rFonts w:hint="eastAsia" w:asciiTheme="minorEastAsia" w:hAnsiTheme="minorEastAsia"/>
          <w:sz w:val="28"/>
          <w:szCs w:val="28"/>
        </w:rPr>
        <w:t>本项目填埋场达到服务年限时，若运营期未结束，则由社会资本继续负责对填埋场封场后的维护，维护费用另行协商；合作期结束后社会资本将不再负责封场填埋场的维护，由政府方接收填埋场及相关资产，封场后的维护费用由政府方承担。</w:t>
      </w:r>
    </w:p>
    <w:p>
      <w:pPr>
        <w:pStyle w:val="3"/>
        <w:rPr>
          <w:sz w:val="30"/>
          <w:szCs w:val="30"/>
        </w:rPr>
      </w:pPr>
      <w:bookmarkStart w:id="105" w:name="_Toc536625497"/>
      <w:r>
        <w:rPr>
          <w:rFonts w:hint="eastAsia"/>
          <w:sz w:val="30"/>
          <w:szCs w:val="30"/>
        </w:rPr>
        <w:t>6、项目用地</w:t>
      </w:r>
      <w:bookmarkEnd w:id="105"/>
    </w:p>
    <w:p>
      <w:pPr>
        <w:spacing w:line="360" w:lineRule="auto"/>
        <w:ind w:firstLine="420"/>
        <w:rPr>
          <w:rFonts w:asciiTheme="minorEastAsia" w:hAnsiTheme="minorEastAsia"/>
          <w:sz w:val="28"/>
          <w:szCs w:val="28"/>
        </w:rPr>
      </w:pPr>
      <w:r>
        <w:rPr>
          <w:rFonts w:hint="eastAsia" w:asciiTheme="minorEastAsia" w:hAnsiTheme="minorEastAsia"/>
          <w:sz w:val="28"/>
          <w:szCs w:val="28"/>
        </w:rPr>
        <w:t>项目建设用地符合用地规划，政府交净地给建设单位。</w:t>
      </w:r>
    </w:p>
    <w:p>
      <w:pPr>
        <w:spacing w:line="360" w:lineRule="auto"/>
        <w:ind w:firstLine="420"/>
        <w:rPr>
          <w:rFonts w:asciiTheme="minorEastAsia" w:hAnsiTheme="minorEastAsia"/>
          <w:sz w:val="28"/>
          <w:szCs w:val="28"/>
        </w:rPr>
      </w:pPr>
      <w:r>
        <w:rPr>
          <w:rFonts w:hint="eastAsia" w:asciiTheme="minorEastAsia" w:hAnsiTheme="minorEastAsia"/>
          <w:sz w:val="28"/>
          <w:szCs w:val="28"/>
        </w:rPr>
        <w:t>拟选场址水、电、通讯设施较完善，项目区附近无已探明的矿床和珍贵动植物资源，没有园林古迹，也没有政府法令指定保护的名胜古迹。</w:t>
      </w:r>
    </w:p>
    <w:p>
      <w:pPr>
        <w:spacing w:line="360" w:lineRule="auto"/>
        <w:ind w:firstLine="420"/>
        <w:rPr>
          <w:rFonts w:asciiTheme="minorEastAsia" w:hAnsiTheme="minorEastAsia"/>
          <w:sz w:val="28"/>
          <w:szCs w:val="28"/>
        </w:rPr>
      </w:pPr>
      <w:r>
        <w:rPr>
          <w:rFonts w:hint="eastAsia" w:asciiTheme="minorEastAsia" w:hAnsiTheme="minorEastAsia"/>
          <w:sz w:val="28"/>
          <w:szCs w:val="28"/>
        </w:rPr>
        <w:t>各项条件均已符合项目施工条件。</w:t>
      </w:r>
    </w:p>
    <w:p>
      <w:pPr>
        <w:pStyle w:val="2"/>
        <w:rPr>
          <w:rFonts w:asciiTheme="majorEastAsia" w:hAnsiTheme="majorEastAsia" w:eastAsiaTheme="majorEastAsia"/>
          <w:sz w:val="32"/>
          <w:szCs w:val="32"/>
        </w:rPr>
      </w:pPr>
      <w:bookmarkStart w:id="106" w:name="_Toc536625498"/>
      <w:r>
        <w:rPr>
          <w:rFonts w:hint="eastAsia" w:asciiTheme="majorEastAsia" w:hAnsiTheme="majorEastAsia" w:eastAsiaTheme="majorEastAsia"/>
          <w:sz w:val="32"/>
          <w:szCs w:val="32"/>
        </w:rPr>
        <w:t>二、项目经济效益分析</w:t>
      </w:r>
      <w:bookmarkEnd w:id="106"/>
    </w:p>
    <w:p>
      <w:pPr>
        <w:pStyle w:val="3"/>
        <w:rPr>
          <w:sz w:val="30"/>
          <w:szCs w:val="30"/>
        </w:rPr>
      </w:pPr>
      <w:bookmarkStart w:id="107" w:name="_Toc536625499"/>
      <w:r>
        <w:rPr>
          <w:rFonts w:hint="eastAsia"/>
          <w:sz w:val="30"/>
          <w:szCs w:val="30"/>
        </w:rPr>
        <w:t>1、效益分析方法</w:t>
      </w:r>
      <w:bookmarkEnd w:id="107"/>
    </w:p>
    <w:p>
      <w:pPr>
        <w:spacing w:line="360" w:lineRule="auto"/>
        <w:ind w:firstLine="420"/>
        <w:rPr>
          <w:rFonts w:asciiTheme="minorEastAsia" w:hAnsiTheme="minorEastAsia"/>
          <w:sz w:val="28"/>
          <w:szCs w:val="28"/>
        </w:rPr>
      </w:pPr>
      <w:r>
        <w:rPr>
          <w:rFonts w:hint="eastAsia" w:asciiTheme="minorEastAsia" w:hAnsiTheme="minorEastAsia"/>
          <w:sz w:val="28"/>
          <w:szCs w:val="28"/>
        </w:rPr>
        <w:t>（1）效益分析总体思路</w:t>
      </w:r>
    </w:p>
    <w:p>
      <w:pPr>
        <w:spacing w:line="360" w:lineRule="auto"/>
        <w:ind w:firstLine="420"/>
        <w:rPr>
          <w:rFonts w:asciiTheme="minorEastAsia" w:hAnsiTheme="minorEastAsia"/>
          <w:sz w:val="28"/>
          <w:szCs w:val="28"/>
        </w:rPr>
      </w:pPr>
      <w:r>
        <w:rPr>
          <w:rFonts w:hint="eastAsia" w:asciiTheme="minorEastAsia" w:hAnsiTheme="minorEastAsia"/>
          <w:sz w:val="28"/>
          <w:szCs w:val="28"/>
        </w:rPr>
        <w:t>项目效益分析主要是通过建立财务模型，进行财务预测分析，以评价PPP投资项目的投入与产出情况。财务模型由一系列的计算表构成，包括但不限于投资进度计划表、融资与还本付息计划表、项目收入测算表、运营成本费用计算表、现金流量表等构成，最终形成测算指标输出表。</w:t>
      </w:r>
    </w:p>
    <w:p>
      <w:pPr>
        <w:spacing w:line="360" w:lineRule="auto"/>
        <w:rPr>
          <w:rFonts w:asciiTheme="minorEastAsia" w:hAnsiTheme="minorEastAsia"/>
          <w:sz w:val="28"/>
          <w:szCs w:val="28"/>
        </w:rPr>
      </w:pPr>
      <w:r>
        <w:rPr>
          <w:bCs/>
          <w:szCs w:val="28"/>
        </w:rPr>
        <w:object>
          <v:shape id="_x0000_i1025" o:spt="75" type="#_x0000_t75" style="height:252pt;width:420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图2-1 项目效益分析思路</w:t>
      </w:r>
    </w:p>
    <w:p>
      <w:pPr>
        <w:spacing w:line="360" w:lineRule="auto"/>
        <w:ind w:firstLine="420"/>
        <w:rPr>
          <w:rFonts w:asciiTheme="minorEastAsia" w:hAnsiTheme="minorEastAsia"/>
          <w:sz w:val="28"/>
          <w:szCs w:val="28"/>
        </w:rPr>
      </w:pPr>
      <w:r>
        <w:rPr>
          <w:rFonts w:hint="eastAsia" w:asciiTheme="minorEastAsia" w:hAnsiTheme="minorEastAsia"/>
          <w:sz w:val="28"/>
          <w:szCs w:val="28"/>
        </w:rPr>
        <w:t>（2）效益评价指标</w:t>
      </w:r>
    </w:p>
    <w:p>
      <w:pPr>
        <w:spacing w:line="360" w:lineRule="auto"/>
        <w:ind w:firstLine="420"/>
        <w:rPr>
          <w:rFonts w:asciiTheme="minorEastAsia" w:hAnsiTheme="minorEastAsia"/>
          <w:sz w:val="28"/>
          <w:szCs w:val="28"/>
        </w:rPr>
      </w:pPr>
      <w:r>
        <w:rPr>
          <w:rFonts w:hint="eastAsia" w:asciiTheme="minorEastAsia" w:hAnsiTheme="minorEastAsia"/>
          <w:sz w:val="28"/>
          <w:szCs w:val="28"/>
        </w:rPr>
        <w:t>本次测算选用现金流量法进行效益分析，以项目资本金税后内部收益率作为项目财务分析的主要评价指标。</w:t>
      </w:r>
    </w:p>
    <w:p>
      <w:pPr>
        <w:spacing w:line="360" w:lineRule="auto"/>
        <w:ind w:firstLine="420"/>
        <w:rPr>
          <w:rFonts w:asciiTheme="minorEastAsia" w:hAnsiTheme="minorEastAsia"/>
          <w:sz w:val="28"/>
          <w:szCs w:val="28"/>
        </w:rPr>
      </w:pPr>
      <w:r>
        <w:rPr>
          <w:rFonts w:hint="eastAsia" w:asciiTheme="minorEastAsia" w:hAnsiTheme="minorEastAsia"/>
          <w:sz w:val="28"/>
          <w:szCs w:val="28"/>
        </w:rPr>
        <w:t>内部收益率，是资金流入现值总额与资金流出现值总额相等、净现值等于零时的折现率。它是一项投资可望达到的报酬率，该指标越大说明投资的报酬率越高。一般情况下，内部收益率大于等于基准收益率时，该项目是可行的，本项目财务测算指标为资本金税后内部收益率。</w:t>
      </w:r>
    </w:p>
    <w:p>
      <w:pPr>
        <w:spacing w:line="360" w:lineRule="auto"/>
        <w:ind w:firstLine="420"/>
        <w:rPr>
          <w:rFonts w:asciiTheme="minorEastAsia" w:hAnsiTheme="minorEastAsia"/>
          <w:sz w:val="28"/>
          <w:szCs w:val="28"/>
        </w:rPr>
      </w:pPr>
      <w:r>
        <w:rPr>
          <w:rFonts w:hint="eastAsia" w:asciiTheme="minorEastAsia" w:hAnsiTheme="minorEastAsia"/>
          <w:sz w:val="28"/>
          <w:szCs w:val="28"/>
        </w:rPr>
        <w:t>IRR（内部收益率）≥基准收益率（社会资本期望的最低收益率），社会资本接受项目投资；</w:t>
      </w:r>
    </w:p>
    <w:p>
      <w:pPr>
        <w:spacing w:line="360" w:lineRule="auto"/>
        <w:ind w:firstLine="420"/>
        <w:rPr>
          <w:rFonts w:asciiTheme="minorEastAsia" w:hAnsiTheme="minorEastAsia"/>
          <w:sz w:val="28"/>
          <w:szCs w:val="28"/>
        </w:rPr>
      </w:pPr>
      <w:r>
        <w:rPr>
          <w:rFonts w:hint="eastAsia" w:asciiTheme="minorEastAsia" w:hAnsiTheme="minorEastAsia"/>
          <w:sz w:val="28"/>
          <w:szCs w:val="28"/>
        </w:rPr>
        <w:t>IRR（内部收益率）＜基准收益率（社会资本期望的最低收益率），社会资本拒绝项目投资；</w:t>
      </w:r>
    </w:p>
    <w:p>
      <w:pPr>
        <w:pStyle w:val="3"/>
        <w:rPr>
          <w:sz w:val="30"/>
          <w:szCs w:val="30"/>
        </w:rPr>
      </w:pPr>
      <w:bookmarkStart w:id="108" w:name="_Toc536625500"/>
      <w:r>
        <w:rPr>
          <w:rFonts w:hint="eastAsia"/>
          <w:sz w:val="30"/>
          <w:szCs w:val="30"/>
        </w:rPr>
        <w:t>2、参数设置</w:t>
      </w:r>
      <w:bookmarkEnd w:id="108"/>
    </w:p>
    <w:p>
      <w:pPr>
        <w:spacing w:line="360" w:lineRule="auto"/>
        <w:ind w:firstLine="420"/>
        <w:rPr>
          <w:rFonts w:asciiTheme="minorEastAsia" w:hAnsiTheme="minorEastAsia"/>
          <w:sz w:val="28"/>
          <w:szCs w:val="28"/>
        </w:rPr>
      </w:pPr>
      <w:r>
        <w:rPr>
          <w:rFonts w:hint="eastAsia" w:asciiTheme="minorEastAsia" w:hAnsiTheme="minorEastAsia"/>
          <w:sz w:val="28"/>
          <w:szCs w:val="28"/>
        </w:rPr>
        <w:t>（1）项目投资估算</w:t>
      </w:r>
    </w:p>
    <w:p>
      <w:pPr>
        <w:spacing w:line="360" w:lineRule="auto"/>
        <w:ind w:firstLine="420"/>
        <w:rPr>
          <w:rFonts w:asciiTheme="minorEastAsia" w:hAnsiTheme="minorEastAsia"/>
          <w:sz w:val="28"/>
          <w:szCs w:val="28"/>
        </w:rPr>
      </w:pPr>
      <w:r>
        <w:rPr>
          <w:rFonts w:hint="eastAsia" w:asciiTheme="minorEastAsia" w:hAnsiTheme="minorEastAsia"/>
          <w:sz w:val="28"/>
          <w:szCs w:val="28"/>
        </w:rPr>
        <w:t>本项目总投资</w:t>
      </w:r>
      <w:r>
        <w:rPr>
          <w:rFonts w:asciiTheme="minorEastAsia" w:hAnsiTheme="minorEastAsia"/>
          <w:sz w:val="28"/>
          <w:szCs w:val="28"/>
        </w:rPr>
        <w:t>10,131.39</w:t>
      </w:r>
      <w:r>
        <w:rPr>
          <w:rFonts w:hint="eastAsia" w:asciiTheme="minorEastAsia" w:hAnsiTheme="minorEastAsia"/>
          <w:sz w:val="28"/>
          <w:szCs w:val="28"/>
        </w:rPr>
        <w:t>万元（不含建设期利息）。</w:t>
      </w:r>
    </w:p>
    <w:p>
      <w:pPr>
        <w:spacing w:line="360" w:lineRule="auto"/>
        <w:ind w:firstLine="420"/>
        <w:rPr>
          <w:rFonts w:asciiTheme="minorEastAsia" w:hAnsiTheme="minorEastAsia"/>
          <w:sz w:val="28"/>
          <w:szCs w:val="28"/>
        </w:rPr>
      </w:pPr>
      <w:r>
        <w:rPr>
          <w:rFonts w:hint="eastAsia" w:asciiTheme="minorEastAsia" w:hAnsiTheme="minorEastAsia"/>
          <w:sz w:val="28"/>
          <w:szCs w:val="28"/>
        </w:rPr>
        <w:t>（2）投融资结构</w:t>
      </w:r>
    </w:p>
    <w:p>
      <w:pPr>
        <w:spacing w:line="360" w:lineRule="auto"/>
        <w:ind w:firstLine="420"/>
        <w:rPr>
          <w:rFonts w:asciiTheme="minorEastAsia" w:hAnsiTheme="minorEastAsia"/>
          <w:sz w:val="28"/>
          <w:szCs w:val="28"/>
        </w:rPr>
      </w:pPr>
      <w:r>
        <w:rPr>
          <w:rFonts w:hint="eastAsia" w:asciiTheme="minorEastAsia" w:hAnsiTheme="minorEastAsia"/>
          <w:sz w:val="28"/>
          <w:szCs w:val="28"/>
        </w:rPr>
        <w:t>项目资本金占建设投资20%（建设期利息同比例出资），为</w:t>
      </w:r>
      <w:r>
        <w:rPr>
          <w:rFonts w:asciiTheme="minorEastAsia" w:hAnsiTheme="minorEastAsia"/>
          <w:sz w:val="28"/>
          <w:szCs w:val="28"/>
        </w:rPr>
        <w:t>2,026.28</w:t>
      </w:r>
      <w:r>
        <w:rPr>
          <w:rFonts w:hint="eastAsia" w:asciiTheme="minorEastAsia" w:hAnsiTheme="minorEastAsia"/>
          <w:sz w:val="28"/>
          <w:szCs w:val="28"/>
        </w:rPr>
        <w:t>万元，剩余</w:t>
      </w:r>
      <w:r>
        <w:rPr>
          <w:rFonts w:asciiTheme="minorEastAsia" w:hAnsiTheme="minorEastAsia"/>
          <w:sz w:val="28"/>
          <w:szCs w:val="28"/>
        </w:rPr>
        <w:t>8,105.11</w:t>
      </w:r>
      <w:r>
        <w:rPr>
          <w:rFonts w:hint="eastAsia" w:asciiTheme="minorEastAsia" w:hAnsiTheme="minorEastAsia"/>
          <w:sz w:val="28"/>
          <w:szCs w:val="28"/>
        </w:rPr>
        <w:t>万元通过外部融资解决。</w:t>
      </w:r>
    </w:p>
    <w:p>
      <w:pPr>
        <w:spacing w:line="360" w:lineRule="auto"/>
        <w:ind w:firstLine="420"/>
        <w:rPr>
          <w:rFonts w:asciiTheme="minorEastAsia" w:hAnsiTheme="minorEastAsia"/>
          <w:sz w:val="28"/>
          <w:szCs w:val="28"/>
        </w:rPr>
      </w:pPr>
      <w:r>
        <w:rPr>
          <w:rFonts w:hint="eastAsia" w:asciiTheme="minorEastAsia" w:hAnsiTheme="minorEastAsia"/>
          <w:sz w:val="28"/>
          <w:szCs w:val="28"/>
        </w:rPr>
        <w:t>（3）合作期限</w:t>
      </w:r>
    </w:p>
    <w:p>
      <w:pPr>
        <w:spacing w:line="360" w:lineRule="auto"/>
        <w:ind w:firstLine="420"/>
        <w:rPr>
          <w:rFonts w:asciiTheme="minorEastAsia" w:hAnsiTheme="minorEastAsia"/>
          <w:sz w:val="28"/>
          <w:szCs w:val="28"/>
        </w:rPr>
      </w:pPr>
      <w:r>
        <w:rPr>
          <w:rFonts w:hint="eastAsia" w:asciiTheme="minorEastAsia" w:hAnsiTheme="minorEastAsia"/>
          <w:sz w:val="28"/>
          <w:szCs w:val="28"/>
        </w:rPr>
        <w:t>本项目合作期限为</w:t>
      </w:r>
      <w:r>
        <w:rPr>
          <w:rFonts w:asciiTheme="minorEastAsia" w:hAnsiTheme="minorEastAsia"/>
          <w:sz w:val="28"/>
          <w:szCs w:val="28"/>
        </w:rPr>
        <w:t>21</w:t>
      </w:r>
      <w:r>
        <w:rPr>
          <w:rFonts w:hint="eastAsia" w:asciiTheme="minorEastAsia" w:hAnsiTheme="minorEastAsia"/>
          <w:sz w:val="28"/>
          <w:szCs w:val="28"/>
        </w:rPr>
        <w:t>年，其中污水处理项目合作期限均为2年建设期及1</w:t>
      </w:r>
      <w:r>
        <w:rPr>
          <w:rFonts w:asciiTheme="minorEastAsia" w:hAnsiTheme="minorEastAsia"/>
          <w:sz w:val="28"/>
          <w:szCs w:val="28"/>
        </w:rPr>
        <w:t>9</w:t>
      </w:r>
      <w:r>
        <w:rPr>
          <w:rFonts w:hint="eastAsia" w:asciiTheme="minorEastAsia" w:hAnsiTheme="minorEastAsia"/>
          <w:sz w:val="28"/>
          <w:szCs w:val="28"/>
        </w:rPr>
        <w:t>年运营期，填埋场合作期限均为1年建设期及2</w:t>
      </w:r>
      <w:r>
        <w:rPr>
          <w:rFonts w:asciiTheme="minorEastAsia" w:hAnsiTheme="minorEastAsia"/>
          <w:sz w:val="28"/>
          <w:szCs w:val="28"/>
        </w:rPr>
        <w:t>0</w:t>
      </w:r>
      <w:r>
        <w:rPr>
          <w:rFonts w:hint="eastAsia" w:asciiTheme="minorEastAsia" w:hAnsiTheme="minorEastAsia"/>
          <w:sz w:val="28"/>
          <w:szCs w:val="28"/>
        </w:rPr>
        <w:t>年运营期。填埋场达到服务年限时，填埋场封厂处理，若运营期未结束，则由社会资本继续负责对填埋场封场后的维护，维护费用另行协商，合作期结束后社会资本将不再负责封场填埋场的维护，由政府方接收填埋场及相关资产，封场后的维护费用由政府方承担。本项目各个子项目合作年限具体如下表：</w:t>
      </w:r>
    </w:p>
    <w:p>
      <w:pPr>
        <w:spacing w:line="360" w:lineRule="auto"/>
        <w:ind w:firstLine="420"/>
        <w:rPr>
          <w:rFonts w:asciiTheme="minorEastAsia" w:hAnsiTheme="minorEastAsia"/>
          <w:sz w:val="28"/>
          <w:szCs w:val="28"/>
        </w:rPr>
      </w:pP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458"/>
        <w:gridCol w:w="4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99"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3458"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4339"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合作年限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9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3458"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共和县石乃亥乡污水处理厂及配套污水管网建设项目</w:t>
            </w:r>
          </w:p>
        </w:tc>
        <w:tc>
          <w:tcPr>
            <w:tcW w:w="4339"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21</w:t>
            </w:r>
            <w:r>
              <w:rPr>
                <w:rFonts w:hint="eastAsia" w:ascii="Times New Roman" w:hAnsi="Times New Roman" w:cs="Times New Roman"/>
                <w:color w:val="000000"/>
                <w:sz w:val="22"/>
              </w:rPr>
              <w:t>年（2年建设期，1</w:t>
            </w:r>
            <w:r>
              <w:rPr>
                <w:rFonts w:ascii="Times New Roman" w:hAnsi="Times New Roman" w:cs="Times New Roman"/>
                <w:color w:val="000000"/>
                <w:sz w:val="22"/>
              </w:rPr>
              <w:t>9</w:t>
            </w:r>
            <w:r>
              <w:rPr>
                <w:rFonts w:hint="eastAsia" w:ascii="Times New Roman" w:hAnsi="Times New Roman" w:cs="Times New Roman"/>
                <w:color w:val="000000"/>
                <w:sz w:val="22"/>
              </w:rPr>
              <w:t>年运营期）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9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458" w:type="dxa"/>
            <w:shd w:val="clear" w:color="auto" w:fill="auto"/>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共和县湖东种羊场污水处理厂及配套污水管网建设项目</w:t>
            </w:r>
          </w:p>
        </w:tc>
        <w:tc>
          <w:tcPr>
            <w:tcW w:w="4339"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21</w:t>
            </w:r>
            <w:r>
              <w:rPr>
                <w:rFonts w:hint="eastAsia" w:ascii="Times New Roman" w:hAnsi="Times New Roman" w:cs="Times New Roman"/>
                <w:color w:val="000000"/>
                <w:sz w:val="22"/>
              </w:rPr>
              <w:t>年（2年建设期，1</w:t>
            </w:r>
            <w:r>
              <w:rPr>
                <w:rFonts w:ascii="Times New Roman" w:hAnsi="Times New Roman" w:cs="Times New Roman"/>
                <w:color w:val="000000"/>
                <w:sz w:val="22"/>
              </w:rPr>
              <w:t>9</w:t>
            </w:r>
            <w:r>
              <w:rPr>
                <w:rFonts w:hint="eastAsia" w:ascii="Times New Roman" w:hAnsi="Times New Roman" w:cs="Times New Roman"/>
                <w:color w:val="000000"/>
                <w:sz w:val="22"/>
              </w:rPr>
              <w:t>年运营期）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9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3458"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共和县江西沟乡污水处理厂及配套污水管网建设项目</w:t>
            </w:r>
          </w:p>
        </w:tc>
        <w:tc>
          <w:tcPr>
            <w:tcW w:w="4339"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21</w:t>
            </w:r>
            <w:r>
              <w:rPr>
                <w:rFonts w:hint="eastAsia" w:ascii="Times New Roman" w:hAnsi="Times New Roman" w:cs="Times New Roman"/>
                <w:color w:val="000000"/>
                <w:sz w:val="22"/>
              </w:rPr>
              <w:t>年（2年建设期，1</w:t>
            </w:r>
            <w:r>
              <w:rPr>
                <w:rFonts w:ascii="Times New Roman" w:hAnsi="Times New Roman" w:cs="Times New Roman"/>
                <w:color w:val="000000"/>
                <w:sz w:val="22"/>
              </w:rPr>
              <w:t>9</w:t>
            </w:r>
            <w:r>
              <w:rPr>
                <w:rFonts w:hint="eastAsia" w:ascii="Times New Roman" w:hAnsi="Times New Roman" w:cs="Times New Roman"/>
                <w:color w:val="000000"/>
                <w:sz w:val="22"/>
              </w:rPr>
              <w:t>年运营期）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9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3458"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共和县黑马河乡生活垃圾填埋场及环卫设施建设项目</w:t>
            </w:r>
          </w:p>
        </w:tc>
        <w:tc>
          <w:tcPr>
            <w:tcW w:w="4339"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21</w:t>
            </w:r>
            <w:r>
              <w:rPr>
                <w:rFonts w:hint="eastAsia" w:ascii="Times New Roman" w:hAnsi="Times New Roman" w:cs="Times New Roman"/>
                <w:color w:val="000000"/>
                <w:sz w:val="22"/>
              </w:rPr>
              <w:t>年（1年建设期，</w:t>
            </w:r>
            <w:r>
              <w:rPr>
                <w:rFonts w:ascii="Times New Roman" w:hAnsi="Times New Roman" w:cs="Times New Roman"/>
                <w:color w:val="000000"/>
                <w:sz w:val="22"/>
              </w:rPr>
              <w:t>20</w:t>
            </w:r>
            <w:r>
              <w:rPr>
                <w:rFonts w:hint="eastAsia" w:ascii="Times New Roman" w:hAnsi="Times New Roman" w:cs="Times New Roman"/>
                <w:color w:val="000000"/>
                <w:sz w:val="22"/>
              </w:rPr>
              <w:t>年运营期，其中包含8年封场后维护运营）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9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3458"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共和县石乃亥生活垃圾填埋场及环卫设施建设项目</w:t>
            </w:r>
          </w:p>
        </w:tc>
        <w:tc>
          <w:tcPr>
            <w:tcW w:w="4339"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21</w:t>
            </w:r>
            <w:r>
              <w:rPr>
                <w:rFonts w:hint="eastAsia" w:ascii="Times New Roman" w:hAnsi="Times New Roman" w:cs="Times New Roman"/>
                <w:color w:val="000000"/>
                <w:sz w:val="22"/>
              </w:rPr>
              <w:t>年（1年建设期，</w:t>
            </w:r>
            <w:r>
              <w:rPr>
                <w:rFonts w:ascii="Times New Roman" w:hAnsi="Times New Roman" w:cs="Times New Roman"/>
                <w:color w:val="000000"/>
                <w:sz w:val="22"/>
              </w:rPr>
              <w:t>20</w:t>
            </w:r>
            <w:r>
              <w:rPr>
                <w:rFonts w:hint="eastAsia" w:ascii="Times New Roman" w:hAnsi="Times New Roman" w:cs="Times New Roman"/>
                <w:color w:val="000000"/>
                <w:sz w:val="22"/>
              </w:rPr>
              <w:t>年运营期）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9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3458"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共和县江西沟乡生活垃圾填埋场及环卫设施建设项目</w:t>
            </w:r>
          </w:p>
        </w:tc>
        <w:tc>
          <w:tcPr>
            <w:tcW w:w="4339"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21</w:t>
            </w:r>
            <w:r>
              <w:rPr>
                <w:rFonts w:hint="eastAsia" w:ascii="Times New Roman" w:hAnsi="Times New Roman" w:cs="Times New Roman"/>
                <w:color w:val="000000"/>
                <w:sz w:val="22"/>
              </w:rPr>
              <w:t>年（1年建设期，</w:t>
            </w:r>
            <w:r>
              <w:rPr>
                <w:rFonts w:ascii="Times New Roman" w:hAnsi="Times New Roman" w:cs="Times New Roman"/>
                <w:color w:val="000000"/>
                <w:sz w:val="22"/>
              </w:rPr>
              <w:t>20</w:t>
            </w:r>
            <w:r>
              <w:rPr>
                <w:rFonts w:hint="eastAsia" w:ascii="Times New Roman" w:hAnsi="Times New Roman" w:cs="Times New Roman"/>
                <w:color w:val="000000"/>
                <w:sz w:val="22"/>
              </w:rPr>
              <w:t>年运营期，其中包含</w:t>
            </w:r>
            <w:r>
              <w:rPr>
                <w:rFonts w:ascii="Times New Roman" w:hAnsi="Times New Roman" w:cs="Times New Roman"/>
                <w:color w:val="000000"/>
                <w:sz w:val="22"/>
              </w:rPr>
              <w:t>3</w:t>
            </w:r>
            <w:r>
              <w:rPr>
                <w:rFonts w:hint="eastAsia" w:ascii="Times New Roman" w:hAnsi="Times New Roman" w:cs="Times New Roman"/>
                <w:color w:val="000000"/>
                <w:sz w:val="22"/>
              </w:rPr>
              <w:t>年封场后维护运营）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9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3458" w:type="dxa"/>
            <w:shd w:val="clear" w:color="auto" w:fill="auto"/>
            <w:vAlign w:val="center"/>
          </w:tcPr>
          <w:p>
            <w:pPr>
              <w:jc w:val="center"/>
              <w:rPr>
                <w:rFonts w:ascii="Times New Roman" w:hAnsi="Times New Roman" w:cs="Times New Roman"/>
                <w:color w:val="000000"/>
                <w:sz w:val="22"/>
              </w:rPr>
            </w:pPr>
            <w:r>
              <w:rPr>
                <w:rFonts w:ascii="Times New Roman" w:hAnsi="Times New Roman" w:cs="Times New Roman"/>
                <w:color w:val="000000"/>
                <w:sz w:val="22"/>
              </w:rPr>
              <w:t>共和县湖东种羊场生活垃圾填埋场及环卫设施建设项目</w:t>
            </w:r>
          </w:p>
        </w:tc>
        <w:tc>
          <w:tcPr>
            <w:tcW w:w="4339"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21</w:t>
            </w:r>
            <w:r>
              <w:rPr>
                <w:rFonts w:hint="eastAsia" w:ascii="Times New Roman" w:hAnsi="Times New Roman" w:cs="Times New Roman"/>
                <w:color w:val="000000"/>
                <w:sz w:val="22"/>
              </w:rPr>
              <w:t>年（1年建设期，</w:t>
            </w:r>
            <w:r>
              <w:rPr>
                <w:rFonts w:ascii="Times New Roman" w:hAnsi="Times New Roman" w:cs="Times New Roman"/>
                <w:color w:val="000000"/>
                <w:sz w:val="22"/>
              </w:rPr>
              <w:t>20</w:t>
            </w:r>
            <w:r>
              <w:rPr>
                <w:rFonts w:hint="eastAsia" w:ascii="Times New Roman" w:hAnsi="Times New Roman" w:cs="Times New Roman"/>
                <w:color w:val="000000"/>
                <w:sz w:val="22"/>
              </w:rPr>
              <w:t>年运营期）</w:t>
            </w:r>
          </w:p>
        </w:tc>
      </w:tr>
    </w:tbl>
    <w:p>
      <w:pPr>
        <w:spacing w:line="360" w:lineRule="auto"/>
        <w:ind w:firstLine="420"/>
        <w:rPr>
          <w:rFonts w:asciiTheme="minorEastAsia" w:hAnsiTheme="minorEastAsia"/>
          <w:sz w:val="28"/>
          <w:szCs w:val="28"/>
        </w:rPr>
      </w:pPr>
    </w:p>
    <w:p>
      <w:pPr>
        <w:spacing w:line="360" w:lineRule="auto"/>
        <w:ind w:firstLine="420"/>
        <w:rPr>
          <w:rFonts w:asciiTheme="minorEastAsia" w:hAnsiTheme="minorEastAsia"/>
          <w:sz w:val="28"/>
          <w:szCs w:val="28"/>
        </w:rPr>
      </w:pPr>
      <w:r>
        <w:rPr>
          <w:rFonts w:hint="eastAsia" w:asciiTheme="minorEastAsia" w:hAnsiTheme="minorEastAsia"/>
          <w:sz w:val="28"/>
          <w:szCs w:val="28"/>
        </w:rPr>
        <w:t>（4）自有资金使用计划</w:t>
      </w:r>
    </w:p>
    <w:p>
      <w:pPr>
        <w:spacing w:line="360" w:lineRule="auto"/>
        <w:ind w:firstLine="420"/>
        <w:rPr>
          <w:rFonts w:asciiTheme="minorEastAsia" w:hAnsiTheme="minorEastAsia"/>
          <w:sz w:val="28"/>
          <w:szCs w:val="28"/>
        </w:rPr>
      </w:pPr>
      <w:r>
        <w:rPr>
          <w:rFonts w:hint="eastAsia" w:asciiTheme="minorEastAsia" w:hAnsiTheme="minorEastAsia"/>
          <w:sz w:val="28"/>
          <w:szCs w:val="28"/>
        </w:rPr>
        <w:t>假设自有资金于建设期均匀投入（污水处理项目在</w:t>
      </w:r>
      <w:r>
        <w:rPr>
          <w:rFonts w:asciiTheme="minorEastAsia" w:hAnsiTheme="minorEastAsia"/>
          <w:sz w:val="28"/>
          <w:szCs w:val="28"/>
        </w:rPr>
        <w:t>2</w:t>
      </w:r>
      <w:r>
        <w:rPr>
          <w:rFonts w:hint="eastAsia" w:asciiTheme="minorEastAsia" w:hAnsiTheme="minorEastAsia"/>
          <w:sz w:val="28"/>
          <w:szCs w:val="28"/>
        </w:rPr>
        <w:t>年建设期内均匀投入，填埋场项目在1年建设期内均匀投入）。</w:t>
      </w:r>
    </w:p>
    <w:p>
      <w:pPr>
        <w:spacing w:line="360" w:lineRule="auto"/>
        <w:ind w:firstLine="42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5</w:t>
      </w:r>
      <w:r>
        <w:rPr>
          <w:rFonts w:hint="eastAsia" w:asciiTheme="minorEastAsia" w:hAnsiTheme="minorEastAsia"/>
          <w:sz w:val="28"/>
          <w:szCs w:val="28"/>
        </w:rPr>
        <w:t>）折旧摊销</w:t>
      </w:r>
    </w:p>
    <w:p>
      <w:pPr>
        <w:spacing w:line="360" w:lineRule="auto"/>
        <w:ind w:firstLine="420"/>
        <w:rPr>
          <w:rFonts w:asciiTheme="minorEastAsia" w:hAnsiTheme="minorEastAsia"/>
          <w:sz w:val="28"/>
          <w:szCs w:val="28"/>
        </w:rPr>
      </w:pPr>
      <w:r>
        <w:rPr>
          <w:rFonts w:hint="eastAsia" w:asciiTheme="minorEastAsia" w:hAnsiTheme="minorEastAsia"/>
          <w:sz w:val="28"/>
          <w:szCs w:val="28"/>
        </w:rPr>
        <w:t>根据《财政部关于印发企业会计准则解释第2号的通知》（财会【2008】11号）的要求，项目合作期满后，将无偿移交政府，即BOT运作方式。因此，项目公司在完成建设后通过竣工决算确认的项目总投资，按规定确认为无形资产，依据会计相关准则计提项目无形资产值，在运营期内按平均年限法进行摊销，列入当年的运营总成本。</w:t>
      </w:r>
    </w:p>
    <w:p>
      <w:pPr>
        <w:spacing w:line="360" w:lineRule="auto"/>
        <w:ind w:firstLine="42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6</w:t>
      </w:r>
      <w:r>
        <w:rPr>
          <w:rFonts w:hint="eastAsia" w:asciiTheme="minorEastAsia" w:hAnsiTheme="minorEastAsia"/>
          <w:sz w:val="28"/>
          <w:szCs w:val="28"/>
        </w:rPr>
        <w:t>）税率</w:t>
      </w:r>
    </w:p>
    <w:p>
      <w:pPr>
        <w:spacing w:line="360" w:lineRule="auto"/>
        <w:ind w:firstLine="420"/>
        <w:rPr>
          <w:rFonts w:asciiTheme="minorEastAsia" w:hAnsiTheme="minorEastAsia"/>
          <w:sz w:val="28"/>
          <w:szCs w:val="28"/>
        </w:rPr>
      </w:pPr>
      <w:r>
        <w:rPr>
          <w:rFonts w:hint="eastAsia" w:asciiTheme="minorEastAsia" w:hAnsiTheme="minorEastAsia"/>
          <w:sz w:val="28"/>
          <w:szCs w:val="28"/>
        </w:rPr>
        <w:t>增值税：项目公司销售收入按简易征收</w:t>
      </w:r>
      <w:r>
        <w:rPr>
          <w:rFonts w:asciiTheme="minorEastAsia" w:hAnsiTheme="minorEastAsia"/>
          <w:sz w:val="28"/>
          <w:szCs w:val="28"/>
        </w:rPr>
        <w:t>6</w:t>
      </w:r>
      <w:r>
        <w:rPr>
          <w:rFonts w:hint="eastAsia" w:asciiTheme="minorEastAsia" w:hAnsiTheme="minorEastAsia"/>
          <w:sz w:val="28"/>
          <w:szCs w:val="28"/>
        </w:rPr>
        <w:t>%计算；</w:t>
      </w:r>
    </w:p>
    <w:p>
      <w:pPr>
        <w:spacing w:line="360" w:lineRule="auto"/>
        <w:ind w:firstLine="420"/>
        <w:rPr>
          <w:rFonts w:asciiTheme="minorEastAsia" w:hAnsiTheme="minorEastAsia"/>
          <w:sz w:val="28"/>
          <w:szCs w:val="28"/>
        </w:rPr>
      </w:pPr>
      <w:r>
        <w:rPr>
          <w:rFonts w:hint="eastAsia" w:asciiTheme="minorEastAsia" w:hAnsiTheme="minorEastAsia"/>
          <w:sz w:val="28"/>
          <w:szCs w:val="28"/>
        </w:rPr>
        <w:t>城市建设维护税：按</w:t>
      </w:r>
      <w:r>
        <w:rPr>
          <w:rFonts w:asciiTheme="minorEastAsia" w:hAnsiTheme="minorEastAsia"/>
          <w:sz w:val="28"/>
          <w:szCs w:val="28"/>
        </w:rPr>
        <w:t>5</w:t>
      </w:r>
      <w:r>
        <w:rPr>
          <w:rFonts w:hint="eastAsia" w:asciiTheme="minorEastAsia" w:hAnsiTheme="minorEastAsia"/>
          <w:sz w:val="28"/>
          <w:szCs w:val="28"/>
        </w:rPr>
        <w:t>%计取</w:t>
      </w:r>
    </w:p>
    <w:p>
      <w:pPr>
        <w:spacing w:line="360" w:lineRule="auto"/>
        <w:ind w:firstLine="420"/>
        <w:rPr>
          <w:rFonts w:asciiTheme="minorEastAsia" w:hAnsiTheme="minorEastAsia"/>
          <w:sz w:val="28"/>
          <w:szCs w:val="28"/>
        </w:rPr>
      </w:pPr>
      <w:r>
        <w:rPr>
          <w:rFonts w:hint="eastAsia" w:asciiTheme="minorEastAsia" w:hAnsiTheme="minorEastAsia"/>
          <w:sz w:val="28"/>
          <w:szCs w:val="28"/>
        </w:rPr>
        <w:t>教育附加：按3%计取；</w:t>
      </w:r>
    </w:p>
    <w:p>
      <w:pPr>
        <w:spacing w:line="360" w:lineRule="auto"/>
        <w:ind w:firstLine="420"/>
        <w:rPr>
          <w:rFonts w:asciiTheme="minorEastAsia" w:hAnsiTheme="minorEastAsia"/>
          <w:sz w:val="28"/>
          <w:szCs w:val="28"/>
        </w:rPr>
      </w:pPr>
      <w:r>
        <w:rPr>
          <w:rFonts w:hint="eastAsia" w:asciiTheme="minorEastAsia" w:hAnsiTheme="minorEastAsia"/>
          <w:sz w:val="28"/>
          <w:szCs w:val="28"/>
        </w:rPr>
        <w:t>地方教育附加：按2%计取；</w:t>
      </w:r>
    </w:p>
    <w:p>
      <w:pPr>
        <w:spacing w:line="360" w:lineRule="auto"/>
        <w:ind w:firstLine="420"/>
        <w:rPr>
          <w:rFonts w:asciiTheme="minorEastAsia" w:hAnsiTheme="minorEastAsia"/>
          <w:sz w:val="28"/>
          <w:szCs w:val="28"/>
        </w:rPr>
      </w:pPr>
      <w:r>
        <w:rPr>
          <w:rFonts w:hint="eastAsia" w:asciiTheme="minorEastAsia" w:hAnsiTheme="minorEastAsia"/>
          <w:sz w:val="28"/>
          <w:szCs w:val="28"/>
        </w:rPr>
        <w:t>所得税：按25%计取。</w:t>
      </w:r>
    </w:p>
    <w:p>
      <w:pPr>
        <w:pStyle w:val="3"/>
        <w:rPr>
          <w:sz w:val="30"/>
          <w:szCs w:val="30"/>
        </w:rPr>
      </w:pPr>
      <w:bookmarkStart w:id="109" w:name="_Toc536625501"/>
      <w:r>
        <w:rPr>
          <w:rFonts w:hint="eastAsia"/>
          <w:sz w:val="30"/>
          <w:szCs w:val="30"/>
        </w:rPr>
        <w:t>3、财务测算过程</w:t>
      </w:r>
      <w:bookmarkEnd w:id="109"/>
    </w:p>
    <w:p>
      <w:pPr>
        <w:ind w:firstLine="420"/>
        <w:rPr>
          <w:rFonts w:asciiTheme="minorEastAsia" w:hAnsiTheme="minorEastAsia"/>
          <w:sz w:val="28"/>
          <w:szCs w:val="28"/>
        </w:rPr>
      </w:pPr>
      <w:r>
        <w:rPr>
          <w:rFonts w:hint="eastAsia" w:asciiTheme="minorEastAsia" w:hAnsiTheme="minorEastAsia"/>
          <w:sz w:val="28"/>
          <w:szCs w:val="28"/>
        </w:rPr>
        <w:t>（一）运营成本测算</w:t>
      </w:r>
    </w:p>
    <w:p>
      <w:pPr>
        <w:spacing w:line="360" w:lineRule="auto"/>
        <w:ind w:firstLine="420"/>
        <w:rPr>
          <w:rFonts w:asciiTheme="minorEastAsia" w:hAnsiTheme="minorEastAsia"/>
          <w:sz w:val="28"/>
          <w:szCs w:val="28"/>
        </w:rPr>
      </w:pPr>
      <w:r>
        <w:rPr>
          <w:rFonts w:hint="eastAsia" w:asciiTheme="minorEastAsia" w:hAnsiTheme="minorEastAsia"/>
          <w:sz w:val="28"/>
          <w:szCs w:val="28"/>
        </w:rPr>
        <w:t>运营成本包括电费、水费、药剂费等。参照可研报告，相关成本价格取值如下：</w:t>
      </w:r>
    </w:p>
    <w:p>
      <w:pPr>
        <w:spacing w:line="360" w:lineRule="auto"/>
        <w:ind w:firstLine="420"/>
        <w:rPr>
          <w:rFonts w:asciiTheme="minorEastAsia" w:hAnsiTheme="minorEastAsia"/>
          <w:sz w:val="28"/>
          <w:szCs w:val="28"/>
        </w:rPr>
      </w:pPr>
      <w:r>
        <w:rPr>
          <w:rFonts w:hint="eastAsia" w:asciiTheme="minorEastAsia" w:hAnsiTheme="minorEastAsia"/>
          <w:sz w:val="28"/>
          <w:szCs w:val="28"/>
        </w:rPr>
        <w:t>1、污水处理厂运营成本参数：</w:t>
      </w:r>
    </w:p>
    <w:p>
      <w:pPr>
        <w:pStyle w:val="25"/>
        <w:numPr>
          <w:ilvl w:val="0"/>
          <w:numId w:val="9"/>
        </w:numPr>
        <w:spacing w:line="360" w:lineRule="auto"/>
        <w:ind w:firstLineChars="0"/>
        <w:rPr>
          <w:rFonts w:asciiTheme="minorEastAsia" w:hAnsiTheme="minorEastAsia"/>
          <w:sz w:val="28"/>
          <w:szCs w:val="28"/>
        </w:rPr>
      </w:pPr>
      <w:r>
        <w:rPr>
          <w:rFonts w:hint="eastAsia" w:asciiTheme="minorEastAsia" w:hAnsiTheme="minorEastAsia"/>
          <w:sz w:val="28"/>
          <w:szCs w:val="28"/>
        </w:rPr>
        <w:t>脱水药剂PAM，单价35000 元／吨；</w:t>
      </w:r>
    </w:p>
    <w:p>
      <w:pPr>
        <w:pStyle w:val="25"/>
        <w:numPr>
          <w:ilvl w:val="0"/>
          <w:numId w:val="9"/>
        </w:numPr>
        <w:spacing w:line="360" w:lineRule="auto"/>
        <w:ind w:firstLineChars="0"/>
        <w:rPr>
          <w:rFonts w:asciiTheme="minorEastAsia" w:hAnsiTheme="minorEastAsia"/>
          <w:sz w:val="28"/>
          <w:szCs w:val="28"/>
        </w:rPr>
      </w:pPr>
      <w:r>
        <w:rPr>
          <w:rFonts w:hint="eastAsia" w:asciiTheme="minorEastAsia" w:hAnsiTheme="minorEastAsia"/>
          <w:sz w:val="28"/>
          <w:szCs w:val="28"/>
        </w:rPr>
        <w:t>消毒用盐酸，单价800 元／吨；</w:t>
      </w:r>
    </w:p>
    <w:p>
      <w:pPr>
        <w:pStyle w:val="25"/>
        <w:numPr>
          <w:ilvl w:val="0"/>
          <w:numId w:val="9"/>
        </w:numPr>
        <w:spacing w:line="360" w:lineRule="auto"/>
        <w:ind w:firstLineChars="0"/>
        <w:rPr>
          <w:rFonts w:asciiTheme="minorEastAsia" w:hAnsiTheme="minorEastAsia"/>
          <w:sz w:val="28"/>
          <w:szCs w:val="28"/>
        </w:rPr>
      </w:pPr>
      <w:r>
        <w:rPr>
          <w:rFonts w:hint="eastAsia" w:asciiTheme="minorEastAsia" w:hAnsiTheme="minorEastAsia"/>
          <w:sz w:val="28"/>
          <w:szCs w:val="28"/>
        </w:rPr>
        <w:t>消毒用氯酸钠，单价6000 元／吨；</w:t>
      </w:r>
    </w:p>
    <w:p>
      <w:pPr>
        <w:pStyle w:val="25"/>
        <w:numPr>
          <w:ilvl w:val="0"/>
          <w:numId w:val="9"/>
        </w:numPr>
        <w:spacing w:line="360" w:lineRule="auto"/>
        <w:ind w:firstLineChars="0"/>
        <w:rPr>
          <w:rFonts w:asciiTheme="minorEastAsia" w:hAnsiTheme="minorEastAsia"/>
          <w:sz w:val="28"/>
          <w:szCs w:val="28"/>
        </w:rPr>
      </w:pPr>
      <w:r>
        <w:rPr>
          <w:rFonts w:hint="eastAsia" w:asciiTheme="minorEastAsia" w:hAnsiTheme="minorEastAsia"/>
          <w:sz w:val="28"/>
          <w:szCs w:val="28"/>
        </w:rPr>
        <w:t>电：当地电价为0.9 元／度；</w:t>
      </w:r>
    </w:p>
    <w:p>
      <w:pPr>
        <w:pStyle w:val="25"/>
        <w:numPr>
          <w:ilvl w:val="0"/>
          <w:numId w:val="9"/>
        </w:numPr>
        <w:spacing w:line="360" w:lineRule="auto"/>
        <w:ind w:firstLineChars="0"/>
        <w:rPr>
          <w:rFonts w:asciiTheme="minorEastAsia" w:hAnsiTheme="minorEastAsia"/>
          <w:sz w:val="28"/>
          <w:szCs w:val="28"/>
        </w:rPr>
      </w:pPr>
      <w:r>
        <w:rPr>
          <w:rFonts w:hint="eastAsia" w:asciiTheme="minorEastAsia" w:hAnsiTheme="minorEastAsia"/>
          <w:sz w:val="28"/>
          <w:szCs w:val="28"/>
        </w:rPr>
        <w:t>暖气费：供热单价5.5 元/m2·月，年采暖5.5 个月；</w:t>
      </w:r>
    </w:p>
    <w:p>
      <w:pPr>
        <w:pStyle w:val="25"/>
        <w:numPr>
          <w:ilvl w:val="0"/>
          <w:numId w:val="9"/>
        </w:numPr>
        <w:spacing w:line="360" w:lineRule="auto"/>
        <w:ind w:firstLineChars="0"/>
        <w:rPr>
          <w:rFonts w:asciiTheme="minorEastAsia" w:hAnsiTheme="minorEastAsia"/>
          <w:sz w:val="28"/>
          <w:szCs w:val="28"/>
        </w:rPr>
      </w:pPr>
      <w:r>
        <w:rPr>
          <w:rFonts w:hint="eastAsia" w:asciiTheme="minorEastAsia" w:hAnsiTheme="minorEastAsia"/>
          <w:sz w:val="28"/>
          <w:szCs w:val="28"/>
        </w:rPr>
        <w:t>）人员工资及福利：人员工资平均每人每月2000 元；福利费按人工工资总额14%计；</w:t>
      </w:r>
    </w:p>
    <w:p>
      <w:pPr>
        <w:spacing w:line="360" w:lineRule="auto"/>
        <w:ind w:left="420"/>
        <w:rPr>
          <w:rFonts w:asciiTheme="minorEastAsia" w:hAnsiTheme="minorEastAsia"/>
          <w:sz w:val="28"/>
          <w:szCs w:val="28"/>
        </w:rPr>
      </w:pPr>
      <w:r>
        <w:rPr>
          <w:rFonts w:hint="eastAsia" w:asciiTheme="minorEastAsia" w:hAnsiTheme="minorEastAsia"/>
          <w:sz w:val="28"/>
          <w:szCs w:val="28"/>
        </w:rPr>
        <w:t>2、垃圾填埋场运营成本参数：</w:t>
      </w:r>
    </w:p>
    <w:p>
      <w:pPr>
        <w:spacing w:line="360" w:lineRule="auto"/>
        <w:ind w:left="420"/>
        <w:rPr>
          <w:rFonts w:asciiTheme="minorEastAsia" w:hAnsiTheme="minorEastAsia"/>
          <w:sz w:val="28"/>
          <w:szCs w:val="28"/>
        </w:rPr>
      </w:pPr>
      <w:r>
        <w:rPr>
          <w:rFonts w:hint="eastAsia" w:asciiTheme="minorEastAsia" w:hAnsiTheme="minorEastAsia"/>
          <w:sz w:val="28"/>
          <w:szCs w:val="28"/>
        </w:rPr>
        <w:t>（1）年外购燃料动力及原材料</w:t>
      </w:r>
    </w:p>
    <w:p>
      <w:pPr>
        <w:spacing w:line="360" w:lineRule="auto"/>
        <w:ind w:left="420" w:firstLine="420"/>
        <w:rPr>
          <w:rFonts w:asciiTheme="minorEastAsia" w:hAnsiTheme="minorEastAsia"/>
          <w:sz w:val="28"/>
          <w:szCs w:val="28"/>
        </w:rPr>
      </w:pPr>
      <w:r>
        <w:rPr>
          <w:rFonts w:hint="eastAsia" w:asciiTheme="minorEastAsia" w:hAnsiTheme="minorEastAsia"/>
          <w:sz w:val="28"/>
          <w:szCs w:val="28"/>
        </w:rPr>
        <w:t>燃料、动力、原材料费用：</w:t>
      </w:r>
    </w:p>
    <w:p>
      <w:pPr>
        <w:spacing w:line="360" w:lineRule="auto"/>
        <w:ind w:left="420" w:firstLine="420"/>
        <w:rPr>
          <w:rFonts w:asciiTheme="minorEastAsia" w:hAnsiTheme="minorEastAsia"/>
          <w:sz w:val="28"/>
          <w:szCs w:val="28"/>
        </w:rPr>
      </w:pPr>
      <w:r>
        <w:rPr>
          <w:rFonts w:hint="eastAsia" w:asciiTheme="minorEastAsia" w:hAnsiTheme="minorEastAsia"/>
          <w:sz w:val="28"/>
          <w:szCs w:val="28"/>
        </w:rPr>
        <w:t>柴油5.84 元/升；</w:t>
      </w:r>
    </w:p>
    <w:p>
      <w:pPr>
        <w:spacing w:line="360" w:lineRule="auto"/>
        <w:ind w:left="420" w:firstLine="420"/>
        <w:rPr>
          <w:rFonts w:asciiTheme="minorEastAsia" w:hAnsiTheme="minorEastAsia"/>
          <w:sz w:val="28"/>
          <w:szCs w:val="28"/>
        </w:rPr>
      </w:pPr>
      <w:r>
        <w:rPr>
          <w:rFonts w:hint="eastAsia" w:asciiTheme="minorEastAsia" w:hAnsiTheme="minorEastAsia"/>
          <w:sz w:val="28"/>
          <w:szCs w:val="28"/>
        </w:rPr>
        <w:t>垃圾运输车：0.15 台班/日、1032.2 元/台班；</w:t>
      </w:r>
    </w:p>
    <w:p>
      <w:pPr>
        <w:spacing w:line="360" w:lineRule="auto"/>
        <w:ind w:left="420" w:firstLine="420"/>
        <w:rPr>
          <w:rFonts w:asciiTheme="minorEastAsia" w:hAnsiTheme="minorEastAsia"/>
          <w:sz w:val="28"/>
          <w:szCs w:val="28"/>
        </w:rPr>
      </w:pPr>
      <w:r>
        <w:rPr>
          <w:rFonts w:hint="eastAsia" w:asciiTheme="minorEastAsia" w:hAnsiTheme="minorEastAsia"/>
          <w:sz w:val="28"/>
          <w:szCs w:val="28"/>
        </w:rPr>
        <w:t>推土机：0.01 台班/日、1327 元/台班；</w:t>
      </w:r>
    </w:p>
    <w:p>
      <w:pPr>
        <w:spacing w:line="360" w:lineRule="auto"/>
        <w:ind w:left="420" w:firstLine="420"/>
        <w:rPr>
          <w:rFonts w:asciiTheme="minorEastAsia" w:hAnsiTheme="minorEastAsia"/>
          <w:sz w:val="28"/>
          <w:szCs w:val="28"/>
        </w:rPr>
      </w:pPr>
      <w:r>
        <w:rPr>
          <w:rFonts w:hint="eastAsia" w:asciiTheme="minorEastAsia" w:hAnsiTheme="minorEastAsia"/>
          <w:sz w:val="28"/>
          <w:szCs w:val="28"/>
        </w:rPr>
        <w:t>洒水车：0.01 台班/日、784.05 元/台班。</w:t>
      </w:r>
    </w:p>
    <w:p>
      <w:pPr>
        <w:spacing w:line="360" w:lineRule="auto"/>
        <w:ind w:left="420"/>
        <w:rPr>
          <w:rFonts w:asciiTheme="minorEastAsia" w:hAnsiTheme="minorEastAsia"/>
          <w:sz w:val="28"/>
          <w:szCs w:val="28"/>
        </w:rPr>
      </w:pPr>
      <w:r>
        <w:rPr>
          <w:rFonts w:hint="eastAsia" w:asciiTheme="minorEastAsia" w:hAnsiTheme="minorEastAsia"/>
          <w:sz w:val="28"/>
          <w:szCs w:val="28"/>
        </w:rPr>
        <w:t>（2）人员工资及福利：平均工资每人每月1500 元，福利费用按工资的14%考虑。</w:t>
      </w:r>
    </w:p>
    <w:p>
      <w:pPr>
        <w:spacing w:line="360" w:lineRule="auto"/>
        <w:ind w:firstLine="420"/>
        <w:rPr>
          <w:rFonts w:asciiTheme="minorEastAsia" w:hAnsiTheme="minorEastAsia"/>
          <w:sz w:val="28"/>
          <w:szCs w:val="28"/>
        </w:rPr>
      </w:pPr>
      <w:r>
        <w:rPr>
          <w:rFonts w:hint="eastAsia" w:asciiTheme="minorEastAsia" w:hAnsiTheme="minorEastAsia"/>
          <w:sz w:val="28"/>
          <w:szCs w:val="28"/>
        </w:rPr>
        <w:t>各子项目单位直接成本测算结果如下表：</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5496"/>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24" w:type="dxa"/>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549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1976"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年运营成本（年）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24" w:type="dxa"/>
          </w:tcPr>
          <w:p>
            <w:pPr>
              <w:widowControl/>
              <w:jc w:val="center"/>
              <w:rPr>
                <w:color w:val="000000"/>
                <w:sz w:val="22"/>
              </w:rPr>
            </w:pPr>
            <w:r>
              <w:rPr>
                <w:rFonts w:hint="eastAsia"/>
                <w:color w:val="000000"/>
                <w:sz w:val="22"/>
              </w:rPr>
              <w:t>1</w:t>
            </w:r>
          </w:p>
        </w:tc>
        <w:tc>
          <w:tcPr>
            <w:tcW w:w="5496" w:type="dxa"/>
            <w:shd w:val="clear" w:color="auto" w:fill="auto"/>
            <w:noWrap/>
            <w:vAlign w:val="center"/>
          </w:tcPr>
          <w:p>
            <w:pPr>
              <w:widowControl/>
              <w:jc w:val="left"/>
              <w:rPr>
                <w:color w:val="000000"/>
                <w:sz w:val="22"/>
              </w:rPr>
            </w:pPr>
            <w:r>
              <w:rPr>
                <w:rFonts w:hint="eastAsia"/>
                <w:color w:val="000000"/>
                <w:sz w:val="22"/>
              </w:rPr>
              <w:t>共和县石乃亥乡污水处理厂及配套污水管网建设项目</w:t>
            </w:r>
          </w:p>
        </w:tc>
        <w:tc>
          <w:tcPr>
            <w:tcW w:w="1976" w:type="dxa"/>
            <w:shd w:val="clear" w:color="auto" w:fill="auto"/>
            <w:noWrap/>
            <w:vAlign w:val="center"/>
          </w:tcPr>
          <w:p>
            <w:pPr>
              <w:widowControl/>
              <w:jc w:val="center"/>
              <w:rPr>
                <w:color w:val="000000"/>
                <w:sz w:val="22"/>
              </w:rPr>
            </w:pPr>
            <w:r>
              <w:rPr>
                <w:rFonts w:ascii="Times New Roman" w:hAnsi="Times New Roman" w:cs="Times New Roman"/>
                <w:color w:val="000000"/>
                <w:sz w:val="22"/>
              </w:rPr>
              <w:t>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24" w:type="dxa"/>
          </w:tcPr>
          <w:p>
            <w:pPr>
              <w:jc w:val="center"/>
              <w:rPr>
                <w:color w:val="000000"/>
                <w:sz w:val="22"/>
              </w:rPr>
            </w:pPr>
            <w:r>
              <w:rPr>
                <w:rFonts w:hint="eastAsia"/>
                <w:color w:val="000000"/>
                <w:sz w:val="22"/>
              </w:rPr>
              <w:t>2</w:t>
            </w:r>
          </w:p>
        </w:tc>
        <w:tc>
          <w:tcPr>
            <w:tcW w:w="5496" w:type="dxa"/>
            <w:shd w:val="clear" w:color="auto" w:fill="auto"/>
            <w:noWrap/>
            <w:vAlign w:val="center"/>
          </w:tcPr>
          <w:p>
            <w:pPr>
              <w:rPr>
                <w:color w:val="000000"/>
                <w:sz w:val="22"/>
              </w:rPr>
            </w:pPr>
            <w:r>
              <w:rPr>
                <w:rFonts w:hint="eastAsia"/>
                <w:color w:val="000000"/>
                <w:sz w:val="22"/>
              </w:rPr>
              <w:t>共和县湖东种羊场污水处理厂及配套污水管网建设项目</w:t>
            </w:r>
          </w:p>
        </w:tc>
        <w:tc>
          <w:tcPr>
            <w:tcW w:w="1976" w:type="dxa"/>
            <w:shd w:val="clear" w:color="auto" w:fill="auto"/>
            <w:noWrap/>
            <w:vAlign w:val="center"/>
          </w:tcPr>
          <w:p>
            <w:pPr>
              <w:jc w:val="center"/>
              <w:rPr>
                <w:color w:val="000000"/>
                <w:sz w:val="22"/>
              </w:rPr>
            </w:pPr>
            <w:r>
              <w:rPr>
                <w:rFonts w:ascii="Times New Roman" w:hAnsi="Times New Roman" w:cs="Times New Roman"/>
                <w:color w:val="000000"/>
                <w:sz w:val="22"/>
              </w:rPr>
              <w:t>43.62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24" w:type="dxa"/>
          </w:tcPr>
          <w:p>
            <w:pPr>
              <w:jc w:val="center"/>
              <w:rPr>
                <w:color w:val="000000"/>
                <w:sz w:val="22"/>
              </w:rPr>
            </w:pPr>
            <w:r>
              <w:rPr>
                <w:rFonts w:hint="eastAsia"/>
                <w:color w:val="000000"/>
                <w:sz w:val="22"/>
              </w:rPr>
              <w:t>3</w:t>
            </w:r>
          </w:p>
        </w:tc>
        <w:tc>
          <w:tcPr>
            <w:tcW w:w="5496" w:type="dxa"/>
            <w:shd w:val="clear" w:color="auto" w:fill="auto"/>
            <w:noWrap/>
            <w:vAlign w:val="center"/>
          </w:tcPr>
          <w:p>
            <w:pPr>
              <w:rPr>
                <w:color w:val="000000"/>
                <w:sz w:val="22"/>
              </w:rPr>
            </w:pPr>
            <w:r>
              <w:rPr>
                <w:rFonts w:hint="eastAsia"/>
                <w:color w:val="000000"/>
                <w:sz w:val="22"/>
              </w:rPr>
              <w:t>共和县江西沟乡污水处理厂及配套污水管网建设项目</w:t>
            </w:r>
          </w:p>
        </w:tc>
        <w:tc>
          <w:tcPr>
            <w:tcW w:w="1976" w:type="dxa"/>
            <w:shd w:val="clear" w:color="auto" w:fill="auto"/>
            <w:noWrap/>
            <w:vAlign w:val="center"/>
          </w:tcPr>
          <w:p>
            <w:pPr>
              <w:jc w:val="center"/>
              <w:rPr>
                <w:color w:val="000000"/>
                <w:sz w:val="22"/>
              </w:rPr>
            </w:pPr>
            <w:r>
              <w:rPr>
                <w:rFonts w:ascii="Times New Roman" w:hAnsi="Times New Roman" w:cs="Times New Roman"/>
                <w:color w:val="000000"/>
                <w:sz w:val="22"/>
              </w:rPr>
              <w:t>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24" w:type="dxa"/>
          </w:tcPr>
          <w:p>
            <w:pPr>
              <w:jc w:val="center"/>
              <w:rPr>
                <w:color w:val="000000"/>
                <w:sz w:val="22"/>
              </w:rPr>
            </w:pPr>
            <w:r>
              <w:rPr>
                <w:rFonts w:hint="eastAsia"/>
                <w:color w:val="000000"/>
                <w:sz w:val="22"/>
              </w:rPr>
              <w:t>4</w:t>
            </w:r>
          </w:p>
        </w:tc>
        <w:tc>
          <w:tcPr>
            <w:tcW w:w="5496" w:type="dxa"/>
            <w:shd w:val="clear" w:color="auto" w:fill="auto"/>
            <w:noWrap/>
            <w:vAlign w:val="center"/>
          </w:tcPr>
          <w:p>
            <w:pPr>
              <w:rPr>
                <w:color w:val="000000"/>
                <w:sz w:val="22"/>
              </w:rPr>
            </w:pPr>
            <w:r>
              <w:rPr>
                <w:rFonts w:hint="eastAsia"/>
                <w:color w:val="000000"/>
                <w:sz w:val="22"/>
              </w:rPr>
              <w:t>共和县黑马河乡生活垃圾填埋场及环卫设施建设项目</w:t>
            </w:r>
          </w:p>
        </w:tc>
        <w:tc>
          <w:tcPr>
            <w:tcW w:w="1976" w:type="dxa"/>
            <w:shd w:val="clear" w:color="auto" w:fill="auto"/>
            <w:noWrap/>
            <w:vAlign w:val="center"/>
          </w:tcPr>
          <w:p>
            <w:pPr>
              <w:jc w:val="center"/>
              <w:rPr>
                <w:color w:val="000000"/>
                <w:sz w:val="22"/>
              </w:rPr>
            </w:pPr>
            <w:r>
              <w:rPr>
                <w:rFonts w:ascii="Times New Roman" w:hAnsi="Times New Roman" w:cs="Times New Roman"/>
                <w:color w:val="000000"/>
                <w:sz w:val="22"/>
              </w:rPr>
              <w:t>46.80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24" w:type="dxa"/>
          </w:tcPr>
          <w:p>
            <w:pPr>
              <w:jc w:val="center"/>
              <w:rPr>
                <w:color w:val="000000"/>
                <w:sz w:val="22"/>
              </w:rPr>
            </w:pPr>
            <w:r>
              <w:rPr>
                <w:rFonts w:hint="eastAsia"/>
                <w:color w:val="000000"/>
                <w:sz w:val="22"/>
              </w:rPr>
              <w:t>5</w:t>
            </w:r>
          </w:p>
        </w:tc>
        <w:tc>
          <w:tcPr>
            <w:tcW w:w="5496" w:type="dxa"/>
            <w:shd w:val="clear" w:color="auto" w:fill="auto"/>
            <w:noWrap/>
            <w:vAlign w:val="center"/>
          </w:tcPr>
          <w:p>
            <w:pPr>
              <w:rPr>
                <w:color w:val="000000"/>
                <w:sz w:val="22"/>
              </w:rPr>
            </w:pPr>
            <w:r>
              <w:rPr>
                <w:rFonts w:hint="eastAsia"/>
                <w:color w:val="000000"/>
                <w:sz w:val="22"/>
              </w:rPr>
              <w:t>共和县石乃亥生活垃圾填埋场及环卫设施建设项目</w:t>
            </w:r>
          </w:p>
        </w:tc>
        <w:tc>
          <w:tcPr>
            <w:tcW w:w="1976" w:type="dxa"/>
            <w:shd w:val="clear" w:color="auto" w:fill="auto"/>
            <w:noWrap/>
            <w:vAlign w:val="center"/>
          </w:tcPr>
          <w:p>
            <w:pPr>
              <w:jc w:val="center"/>
              <w:rPr>
                <w:color w:val="000000"/>
                <w:sz w:val="22"/>
              </w:rPr>
            </w:pPr>
            <w:r>
              <w:rPr>
                <w:rFonts w:ascii="Times New Roman" w:hAnsi="Times New Roman" w:cs="Times New Roman"/>
                <w:color w:val="000000"/>
                <w:sz w:val="22"/>
              </w:rPr>
              <w:t>35.78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24" w:type="dxa"/>
          </w:tcPr>
          <w:p>
            <w:pPr>
              <w:jc w:val="center"/>
              <w:rPr>
                <w:color w:val="000000"/>
                <w:sz w:val="22"/>
              </w:rPr>
            </w:pPr>
            <w:r>
              <w:rPr>
                <w:rFonts w:hint="eastAsia"/>
                <w:color w:val="000000"/>
                <w:sz w:val="22"/>
              </w:rPr>
              <w:t>6</w:t>
            </w:r>
          </w:p>
        </w:tc>
        <w:tc>
          <w:tcPr>
            <w:tcW w:w="5496" w:type="dxa"/>
            <w:shd w:val="clear" w:color="auto" w:fill="auto"/>
            <w:noWrap/>
            <w:vAlign w:val="center"/>
          </w:tcPr>
          <w:p>
            <w:pPr>
              <w:rPr>
                <w:color w:val="000000"/>
                <w:sz w:val="22"/>
              </w:rPr>
            </w:pPr>
            <w:r>
              <w:rPr>
                <w:rFonts w:hint="eastAsia"/>
                <w:color w:val="000000"/>
                <w:sz w:val="22"/>
              </w:rPr>
              <w:t>共和县江西沟乡生活垃圾填埋场及环卫设施建设项目</w:t>
            </w:r>
          </w:p>
        </w:tc>
        <w:tc>
          <w:tcPr>
            <w:tcW w:w="1976" w:type="dxa"/>
            <w:shd w:val="clear" w:color="auto" w:fill="auto"/>
            <w:noWrap/>
            <w:vAlign w:val="center"/>
          </w:tcPr>
          <w:p>
            <w:pPr>
              <w:jc w:val="center"/>
              <w:rPr>
                <w:color w:val="000000"/>
                <w:sz w:val="22"/>
              </w:rPr>
            </w:pPr>
            <w:r>
              <w:rPr>
                <w:rFonts w:ascii="Times New Roman" w:hAnsi="Times New Roman" w:cs="Times New Roman"/>
                <w:color w:val="000000"/>
                <w:sz w:val="22"/>
              </w:rPr>
              <w:t>46.80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24" w:type="dxa"/>
          </w:tcPr>
          <w:p>
            <w:pPr>
              <w:jc w:val="center"/>
              <w:rPr>
                <w:color w:val="000000"/>
                <w:sz w:val="22"/>
              </w:rPr>
            </w:pPr>
            <w:r>
              <w:rPr>
                <w:rFonts w:hint="eastAsia"/>
                <w:color w:val="000000"/>
                <w:sz w:val="22"/>
              </w:rPr>
              <w:t>7</w:t>
            </w:r>
          </w:p>
        </w:tc>
        <w:tc>
          <w:tcPr>
            <w:tcW w:w="5496" w:type="dxa"/>
            <w:shd w:val="clear" w:color="auto" w:fill="auto"/>
            <w:noWrap/>
            <w:vAlign w:val="center"/>
          </w:tcPr>
          <w:p>
            <w:pPr>
              <w:rPr>
                <w:color w:val="000000"/>
                <w:sz w:val="22"/>
              </w:rPr>
            </w:pPr>
            <w:r>
              <w:rPr>
                <w:rFonts w:hint="eastAsia"/>
                <w:color w:val="000000"/>
                <w:sz w:val="22"/>
              </w:rPr>
              <w:t>共和县湖东种羊场生活垃圾填埋场及环卫设施建设项目</w:t>
            </w:r>
          </w:p>
        </w:tc>
        <w:tc>
          <w:tcPr>
            <w:tcW w:w="1976" w:type="dxa"/>
            <w:shd w:val="clear" w:color="auto" w:fill="auto"/>
            <w:noWrap/>
            <w:vAlign w:val="center"/>
          </w:tcPr>
          <w:p>
            <w:pPr>
              <w:jc w:val="center"/>
              <w:rPr>
                <w:color w:val="000000"/>
                <w:sz w:val="22"/>
              </w:rPr>
            </w:pPr>
            <w:r>
              <w:rPr>
                <w:rFonts w:ascii="Times New Roman" w:hAnsi="Times New Roman" w:cs="Times New Roman"/>
                <w:color w:val="000000"/>
                <w:sz w:val="22"/>
              </w:rPr>
              <w:t>35.78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320" w:type="dxa"/>
            <w:gridSpan w:val="2"/>
          </w:tcPr>
          <w:p>
            <w:pPr>
              <w:jc w:val="center"/>
              <w:rPr>
                <w:color w:val="000000"/>
                <w:sz w:val="22"/>
              </w:rPr>
            </w:pPr>
            <w:r>
              <w:rPr>
                <w:rFonts w:hint="eastAsia"/>
                <w:color w:val="000000"/>
                <w:sz w:val="22"/>
              </w:rPr>
              <w:t>合计</w:t>
            </w:r>
          </w:p>
        </w:tc>
        <w:tc>
          <w:tcPr>
            <w:tcW w:w="1976" w:type="dxa"/>
            <w:shd w:val="clear" w:color="auto" w:fill="auto"/>
            <w:noWrap/>
            <w:vAlign w:val="center"/>
          </w:tcPr>
          <w:p>
            <w:pPr>
              <w:widowControl/>
              <w:jc w:val="center"/>
              <w:rPr>
                <w:color w:val="000000"/>
                <w:sz w:val="22"/>
              </w:rPr>
            </w:pPr>
            <w:r>
              <w:rPr>
                <w:rFonts w:hint="eastAsia"/>
                <w:color w:val="000000"/>
                <w:sz w:val="22"/>
              </w:rPr>
              <w:t>317.83</w:t>
            </w:r>
          </w:p>
        </w:tc>
      </w:tr>
    </w:tbl>
    <w:p>
      <w:pPr>
        <w:spacing w:line="360" w:lineRule="auto"/>
        <w:ind w:firstLine="420"/>
        <w:rPr>
          <w:rFonts w:asciiTheme="minorEastAsia" w:hAnsiTheme="minorEastAsia"/>
          <w:sz w:val="28"/>
          <w:szCs w:val="28"/>
        </w:rPr>
      </w:pPr>
      <w:r>
        <w:rPr>
          <w:rFonts w:hint="eastAsia" w:asciiTheme="minorEastAsia" w:hAnsiTheme="minorEastAsia"/>
          <w:sz w:val="28"/>
          <w:szCs w:val="28"/>
        </w:rPr>
        <w:t>（二）收入测算</w:t>
      </w:r>
    </w:p>
    <w:p>
      <w:pPr>
        <w:spacing w:line="360" w:lineRule="auto"/>
        <w:ind w:firstLine="420"/>
        <w:rPr>
          <w:rFonts w:asciiTheme="minorEastAsia" w:hAnsiTheme="minorEastAsia"/>
          <w:sz w:val="28"/>
          <w:szCs w:val="28"/>
        </w:rPr>
      </w:pPr>
      <w:r>
        <w:rPr>
          <w:rFonts w:hint="eastAsia" w:asciiTheme="minorEastAsia" w:hAnsiTheme="minorEastAsia"/>
          <w:sz w:val="28"/>
          <w:szCs w:val="28"/>
        </w:rPr>
        <w:t>本项目采用“政府付费”模式，按照绩效付费，由政府部门根据绩效考核结果支付项目公司服务费。项目公司服务费分为两部分：可用性服务费和运维绩效服务费。</w:t>
      </w:r>
    </w:p>
    <w:p>
      <w:pPr>
        <w:spacing w:line="360" w:lineRule="auto"/>
        <w:ind w:firstLine="420"/>
        <w:rPr>
          <w:rFonts w:asciiTheme="minorEastAsia" w:hAnsiTheme="minorEastAsia"/>
          <w:sz w:val="28"/>
          <w:szCs w:val="28"/>
        </w:rPr>
      </w:pPr>
      <w:r>
        <w:rPr>
          <w:rFonts w:hint="eastAsia" w:asciiTheme="minorEastAsia" w:hAnsiTheme="minorEastAsia"/>
          <w:sz w:val="28"/>
          <w:szCs w:val="28"/>
        </w:rPr>
        <w:t>（1）可用性服务费</w:t>
      </w:r>
    </w:p>
    <w:p>
      <w:pPr>
        <w:spacing w:line="360" w:lineRule="auto"/>
        <w:ind w:firstLine="420"/>
        <w:rPr>
          <w:rFonts w:asciiTheme="minorEastAsia" w:hAnsiTheme="minorEastAsia"/>
          <w:sz w:val="28"/>
          <w:szCs w:val="28"/>
        </w:rPr>
      </w:pPr>
      <w:r>
        <w:rPr>
          <w:rFonts w:hint="eastAsia" w:asciiTheme="minorEastAsia" w:hAnsiTheme="minorEastAsia"/>
          <w:sz w:val="28"/>
          <w:szCs w:val="28"/>
        </w:rPr>
        <w:t>根据确认的项目总投资（不含建设期利息）、服务期限、支付比例、合理年利率等边界条件，可用性服务费的合理年利率上限以商业银行中长期（5年期以上）贷款基准利率作为基数适当上浮，上浮比例最高不得超过</w:t>
      </w:r>
      <w:r>
        <w:rPr>
          <w:rFonts w:asciiTheme="minorEastAsia" w:hAnsiTheme="minorEastAsia"/>
          <w:sz w:val="28"/>
          <w:szCs w:val="28"/>
        </w:rPr>
        <w:t>65</w:t>
      </w:r>
      <w:r>
        <w:rPr>
          <w:rFonts w:hint="eastAsia" w:asciiTheme="minorEastAsia" w:hAnsiTheme="minorEastAsia"/>
          <w:sz w:val="28"/>
          <w:szCs w:val="28"/>
        </w:rPr>
        <w:t>%（即不超过</w:t>
      </w:r>
      <w:r>
        <w:rPr>
          <w:rFonts w:asciiTheme="minorEastAsia" w:hAnsiTheme="minorEastAsia"/>
          <w:sz w:val="28"/>
          <w:szCs w:val="28"/>
        </w:rPr>
        <w:t>8</w:t>
      </w:r>
      <w:r>
        <w:rPr>
          <w:rFonts w:hint="eastAsia" w:asciiTheme="minorEastAsia" w:hAnsiTheme="minorEastAsia"/>
          <w:sz w:val="28"/>
          <w:szCs w:val="28"/>
        </w:rPr>
        <w:t>%）。因此，本方案测算合理年利率按</w:t>
      </w:r>
      <w:r>
        <w:rPr>
          <w:rFonts w:asciiTheme="minorEastAsia" w:hAnsiTheme="minorEastAsia"/>
          <w:sz w:val="28"/>
          <w:szCs w:val="28"/>
        </w:rPr>
        <w:t>8</w:t>
      </w:r>
      <w:r>
        <w:rPr>
          <w:rFonts w:hint="eastAsia" w:asciiTheme="minorEastAsia" w:hAnsiTheme="minorEastAsia"/>
          <w:sz w:val="28"/>
          <w:szCs w:val="28"/>
        </w:rPr>
        <w:t>%进行测算。今后每年政府付费依据中长期利率的浮动而进行调整。</w:t>
      </w:r>
    </w:p>
    <w:p>
      <w:pPr>
        <w:spacing w:line="360" w:lineRule="auto"/>
        <w:ind w:firstLine="420"/>
        <w:rPr>
          <w:rFonts w:asciiTheme="minorEastAsia" w:hAnsiTheme="minorEastAsia"/>
          <w:sz w:val="28"/>
          <w:szCs w:val="28"/>
        </w:rPr>
      </w:pPr>
      <w:r>
        <w:rPr>
          <w:rFonts w:hint="eastAsia" w:asciiTheme="minorEastAsia" w:hAnsiTheme="minorEastAsia"/>
          <w:sz w:val="28"/>
          <w:szCs w:val="28"/>
        </w:rPr>
        <w:t xml:space="preserve">可用性服务费Y= </w:t>
      </w:r>
      <w:r>
        <w:rPr>
          <w:rFonts w:asciiTheme="minorEastAsia" w:hAnsiTheme="minorEastAsia"/>
          <w:sz w:val="28"/>
          <w:szCs w:val="28"/>
        </w:rPr>
        <w:t>P</w:t>
      </w:r>
      <w:r>
        <w:rPr>
          <w:rFonts w:hint="eastAsia" w:asciiTheme="minorEastAsia" w:hAnsiTheme="minorEastAsia"/>
          <w:sz w:val="28"/>
          <w:szCs w:val="28"/>
        </w:rPr>
        <w:t>×</w:t>
      </w:r>
      <w:r>
        <w:rPr>
          <w:rFonts w:hint="eastAsia" w:ascii="仿宋_GB2312" w:hAnsi="宋体" w:eastAsia="仿宋_GB2312" w:cs="仿宋_GB2312"/>
          <w:position w:val="-28"/>
          <w:szCs w:val="24"/>
        </w:rPr>
        <w:object>
          <v:shape id="_x0000_i1026" o:spt="75" type="#_x0000_t75" style="height:35.4pt;width:66.6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p>
    <w:p>
      <w:pPr>
        <w:spacing w:line="360" w:lineRule="auto"/>
        <w:ind w:firstLine="420"/>
        <w:rPr>
          <w:rFonts w:asciiTheme="minorEastAsia" w:hAnsiTheme="minorEastAsia"/>
          <w:sz w:val="28"/>
          <w:szCs w:val="28"/>
        </w:rPr>
      </w:pPr>
      <w:r>
        <w:rPr>
          <w:rFonts w:hint="eastAsia" w:asciiTheme="minorEastAsia" w:hAnsiTheme="minorEastAsia"/>
          <w:sz w:val="28"/>
          <w:szCs w:val="28"/>
        </w:rPr>
        <w:t>其中，P为项目建设总成本，主要包含社会资本自有资金投入及债务性资金投入；最终以竣工决算数据为准。</w:t>
      </w:r>
    </w:p>
    <w:p>
      <w:pPr>
        <w:spacing w:line="360" w:lineRule="auto"/>
        <w:ind w:firstLine="420"/>
        <w:rPr>
          <w:rFonts w:asciiTheme="minorEastAsia" w:hAnsiTheme="minorEastAsia"/>
          <w:sz w:val="28"/>
          <w:szCs w:val="28"/>
        </w:rPr>
      </w:pPr>
      <w:r>
        <w:rPr>
          <w:rFonts w:hint="eastAsia" w:asciiTheme="minorEastAsia" w:hAnsiTheme="minorEastAsia"/>
          <w:sz w:val="28"/>
          <w:szCs w:val="28"/>
        </w:rPr>
        <w:t>i为年利率，为保证项目内部收益率及资本金内部收益率维持合理水平。</w:t>
      </w:r>
    </w:p>
    <w:p>
      <w:pPr>
        <w:spacing w:line="360" w:lineRule="auto"/>
        <w:ind w:firstLine="420"/>
        <w:rPr>
          <w:rFonts w:asciiTheme="minorEastAsia" w:hAnsiTheme="minorEastAsia"/>
          <w:sz w:val="28"/>
          <w:szCs w:val="28"/>
        </w:rPr>
      </w:pPr>
      <w:r>
        <w:rPr>
          <w:rFonts w:hint="eastAsia" w:asciiTheme="minorEastAsia" w:hAnsiTheme="minorEastAsia"/>
          <w:sz w:val="28"/>
          <w:szCs w:val="28"/>
        </w:rPr>
        <w:t>n为项目付费期限；</w:t>
      </w:r>
    </w:p>
    <w:p>
      <w:pPr>
        <w:spacing w:line="360" w:lineRule="auto"/>
        <w:ind w:firstLine="420"/>
        <w:rPr>
          <w:rFonts w:asciiTheme="minorEastAsia" w:hAnsiTheme="minorEastAsia"/>
          <w:sz w:val="28"/>
          <w:szCs w:val="28"/>
        </w:rPr>
      </w:pPr>
      <w:r>
        <w:rPr>
          <w:rFonts w:hint="eastAsia" w:asciiTheme="minorEastAsia" w:hAnsiTheme="minorEastAsia"/>
          <w:sz w:val="28"/>
          <w:szCs w:val="28"/>
        </w:rPr>
        <w:t>本项目折现率以中长期（5年期以上）基准利率4.</w:t>
      </w:r>
      <w:r>
        <w:rPr>
          <w:rFonts w:asciiTheme="minorEastAsia" w:hAnsiTheme="minorEastAsia"/>
          <w:sz w:val="28"/>
          <w:szCs w:val="28"/>
        </w:rPr>
        <w:t>90</w:t>
      </w:r>
      <w:r>
        <w:rPr>
          <w:rFonts w:hint="eastAsia" w:asciiTheme="minorEastAsia" w:hAnsiTheme="minorEastAsia"/>
          <w:sz w:val="28"/>
          <w:szCs w:val="28"/>
        </w:rPr>
        <w:t>%上浮</w:t>
      </w:r>
      <w:r>
        <w:rPr>
          <w:rFonts w:asciiTheme="minorEastAsia" w:hAnsiTheme="minorEastAsia"/>
          <w:sz w:val="28"/>
          <w:szCs w:val="28"/>
        </w:rPr>
        <w:t>65</w:t>
      </w:r>
      <w:r>
        <w:rPr>
          <w:rFonts w:hint="eastAsia" w:asciiTheme="minorEastAsia" w:hAnsiTheme="minorEastAsia"/>
          <w:sz w:val="28"/>
          <w:szCs w:val="28"/>
        </w:rPr>
        <w:t>%，即</w:t>
      </w:r>
      <w:r>
        <w:rPr>
          <w:rFonts w:asciiTheme="minorEastAsia" w:hAnsiTheme="minorEastAsia"/>
          <w:sz w:val="28"/>
          <w:szCs w:val="28"/>
        </w:rPr>
        <w:t>8</w:t>
      </w:r>
      <w:r>
        <w:rPr>
          <w:rFonts w:hint="eastAsia" w:asciiTheme="minorEastAsia" w:hAnsiTheme="minorEastAsia"/>
          <w:sz w:val="28"/>
          <w:szCs w:val="28"/>
        </w:rPr>
        <w:t>%计算。</w:t>
      </w:r>
    </w:p>
    <w:p>
      <w:pPr>
        <w:spacing w:line="360" w:lineRule="auto"/>
        <w:ind w:firstLine="420"/>
        <w:rPr>
          <w:rFonts w:asciiTheme="minorEastAsia" w:hAnsiTheme="minorEastAsia"/>
          <w:sz w:val="28"/>
          <w:szCs w:val="28"/>
        </w:rPr>
      </w:pPr>
      <w:r>
        <w:rPr>
          <w:rFonts w:hint="eastAsia" w:asciiTheme="minorEastAsia" w:hAnsiTheme="minorEastAsia"/>
          <w:sz w:val="28"/>
          <w:szCs w:val="28"/>
        </w:rPr>
        <w:t>将以上数据带入上述公式，得出</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5421"/>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40"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5421"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2235"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年可用性付费（万元）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4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421" w:type="dxa"/>
            <w:shd w:val="clear" w:color="auto" w:fill="auto"/>
            <w:vAlign w:val="center"/>
          </w:tcPr>
          <w:p>
            <w:pPr>
              <w:widowControl/>
              <w:jc w:val="left"/>
              <w:rPr>
                <w:color w:val="000000"/>
                <w:sz w:val="22"/>
              </w:rPr>
            </w:pPr>
            <w:r>
              <w:rPr>
                <w:rFonts w:hint="eastAsia"/>
                <w:color w:val="000000"/>
                <w:sz w:val="22"/>
              </w:rPr>
              <w:t>共和县石乃亥乡污水处理厂及配套污水管网建设项目</w:t>
            </w:r>
          </w:p>
        </w:tc>
        <w:tc>
          <w:tcPr>
            <w:tcW w:w="2235" w:type="dxa"/>
            <w:shd w:val="clear" w:color="auto" w:fill="auto"/>
            <w:noWrap/>
            <w:vAlign w:val="center"/>
          </w:tcPr>
          <w:p>
            <w:pPr>
              <w:widowControl/>
              <w:jc w:val="center"/>
              <w:rPr>
                <w:rFonts w:ascii="Times New Roman" w:hAnsi="Times New Roman" w:cs="Times New Roman"/>
                <w:color w:val="000000"/>
                <w:sz w:val="22"/>
              </w:rPr>
            </w:pPr>
            <w:r>
              <w:rPr>
                <w:rFonts w:ascii="Times New Roman" w:hAnsi="Times New Roman" w:cs="Times New Roman"/>
                <w:color w:val="000000"/>
                <w:sz w:val="22"/>
              </w:rPr>
              <w:t>158.88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4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421" w:type="dxa"/>
            <w:shd w:val="clear" w:color="auto" w:fill="auto"/>
            <w:noWrap/>
            <w:vAlign w:val="center"/>
          </w:tcPr>
          <w:p>
            <w:pPr>
              <w:rPr>
                <w:color w:val="000000"/>
                <w:sz w:val="22"/>
              </w:rPr>
            </w:pPr>
            <w:r>
              <w:rPr>
                <w:rFonts w:hint="eastAsia"/>
                <w:color w:val="000000"/>
                <w:sz w:val="22"/>
              </w:rPr>
              <w:t>共和县湖东种羊场污水处理厂及配套污水管网建设项目</w:t>
            </w:r>
          </w:p>
        </w:tc>
        <w:tc>
          <w:tcPr>
            <w:tcW w:w="2235"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4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5421" w:type="dxa"/>
            <w:shd w:val="clear" w:color="auto" w:fill="auto"/>
            <w:noWrap/>
            <w:vAlign w:val="center"/>
          </w:tcPr>
          <w:p>
            <w:pPr>
              <w:rPr>
                <w:color w:val="000000"/>
                <w:sz w:val="22"/>
              </w:rPr>
            </w:pPr>
            <w:r>
              <w:rPr>
                <w:rFonts w:hint="eastAsia"/>
                <w:color w:val="000000"/>
                <w:sz w:val="22"/>
              </w:rPr>
              <w:t>共和县江西沟乡污水处理厂及配套污水管网建设项目</w:t>
            </w:r>
          </w:p>
        </w:tc>
        <w:tc>
          <w:tcPr>
            <w:tcW w:w="2235"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210.69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4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5421" w:type="dxa"/>
            <w:shd w:val="clear" w:color="auto" w:fill="auto"/>
            <w:noWrap/>
            <w:vAlign w:val="center"/>
          </w:tcPr>
          <w:p>
            <w:pPr>
              <w:rPr>
                <w:color w:val="000000"/>
                <w:sz w:val="22"/>
              </w:rPr>
            </w:pPr>
            <w:r>
              <w:rPr>
                <w:rFonts w:hint="eastAsia"/>
                <w:color w:val="000000"/>
                <w:sz w:val="22"/>
              </w:rPr>
              <w:t>共和县黑马河乡生活垃圾填埋场及环卫设施建设项目</w:t>
            </w:r>
          </w:p>
        </w:tc>
        <w:tc>
          <w:tcPr>
            <w:tcW w:w="2235"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4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5421" w:type="dxa"/>
            <w:shd w:val="clear" w:color="auto" w:fill="auto"/>
            <w:noWrap/>
            <w:vAlign w:val="center"/>
          </w:tcPr>
          <w:p>
            <w:pPr>
              <w:rPr>
                <w:color w:val="000000"/>
                <w:sz w:val="22"/>
              </w:rPr>
            </w:pPr>
            <w:r>
              <w:rPr>
                <w:rFonts w:hint="eastAsia"/>
                <w:color w:val="000000"/>
                <w:sz w:val="22"/>
              </w:rPr>
              <w:t>共和县石乃亥生活垃圾填埋场及环卫设施建设项目</w:t>
            </w:r>
          </w:p>
        </w:tc>
        <w:tc>
          <w:tcPr>
            <w:tcW w:w="2235"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125.64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4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5421" w:type="dxa"/>
            <w:shd w:val="clear" w:color="auto" w:fill="auto"/>
            <w:noWrap/>
            <w:vAlign w:val="center"/>
          </w:tcPr>
          <w:p>
            <w:pPr>
              <w:rPr>
                <w:color w:val="000000"/>
                <w:sz w:val="22"/>
              </w:rPr>
            </w:pPr>
            <w:r>
              <w:rPr>
                <w:rFonts w:hint="eastAsia"/>
                <w:color w:val="000000"/>
                <w:sz w:val="22"/>
              </w:rPr>
              <w:t>共和县江西沟乡生活垃圾填埋场及环卫设施建设项目</w:t>
            </w:r>
          </w:p>
        </w:tc>
        <w:tc>
          <w:tcPr>
            <w:tcW w:w="2235"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152.81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4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5421" w:type="dxa"/>
            <w:shd w:val="clear" w:color="auto" w:fill="auto"/>
            <w:vAlign w:val="center"/>
          </w:tcPr>
          <w:p>
            <w:pPr>
              <w:rPr>
                <w:color w:val="000000"/>
                <w:sz w:val="22"/>
              </w:rPr>
            </w:pPr>
            <w:r>
              <w:rPr>
                <w:rFonts w:hint="eastAsia"/>
                <w:color w:val="000000"/>
                <w:sz w:val="22"/>
              </w:rPr>
              <w:t>共和县湖东种羊场生活垃圾填埋场及环卫设施建设项目</w:t>
            </w:r>
          </w:p>
        </w:tc>
        <w:tc>
          <w:tcPr>
            <w:tcW w:w="2235" w:type="dxa"/>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061" w:type="dxa"/>
            <w:gridSpan w:val="2"/>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235" w:type="dxa"/>
            <w:shd w:val="clear" w:color="auto" w:fill="auto"/>
            <w:noWrap/>
            <w:vAlign w:val="center"/>
          </w:tcPr>
          <w:p>
            <w:pPr>
              <w:widowControl/>
              <w:jc w:val="center"/>
              <w:rPr>
                <w:b/>
                <w:bCs/>
                <w:color w:val="000000"/>
                <w:sz w:val="22"/>
              </w:rPr>
            </w:pPr>
            <w:r>
              <w:rPr>
                <w:rFonts w:hint="eastAsia"/>
                <w:b/>
                <w:bCs/>
                <w:color w:val="000000"/>
                <w:sz w:val="22"/>
              </w:rPr>
              <w:t>1,104.93</w:t>
            </w:r>
          </w:p>
        </w:tc>
      </w:tr>
    </w:tbl>
    <w:p>
      <w:pPr>
        <w:spacing w:line="360" w:lineRule="auto"/>
        <w:ind w:firstLine="420"/>
        <w:rPr>
          <w:rFonts w:asciiTheme="minorEastAsia" w:hAnsiTheme="minorEastAsia"/>
          <w:sz w:val="28"/>
          <w:szCs w:val="28"/>
        </w:rPr>
      </w:pPr>
      <w:r>
        <w:rPr>
          <w:rFonts w:hint="eastAsia" w:asciiTheme="minorEastAsia" w:hAnsiTheme="minorEastAsia"/>
          <w:sz w:val="28"/>
          <w:szCs w:val="28"/>
        </w:rPr>
        <w:t>备注：污水处理厂付费期限均为运营期第1-</w:t>
      </w:r>
      <w:r>
        <w:rPr>
          <w:rFonts w:asciiTheme="minorEastAsia" w:hAnsiTheme="minorEastAsia"/>
          <w:sz w:val="28"/>
          <w:szCs w:val="28"/>
        </w:rPr>
        <w:t>19</w:t>
      </w:r>
      <w:r>
        <w:rPr>
          <w:rFonts w:hint="eastAsia" w:asciiTheme="minorEastAsia" w:hAnsiTheme="minorEastAsia"/>
          <w:sz w:val="28"/>
          <w:szCs w:val="28"/>
        </w:rPr>
        <w:t>年，填埋场付费期限为各子项目使用寿命期限。</w:t>
      </w:r>
    </w:p>
    <w:p>
      <w:pPr>
        <w:spacing w:line="360" w:lineRule="auto"/>
        <w:ind w:firstLine="420"/>
        <w:rPr>
          <w:rFonts w:asciiTheme="minorEastAsia" w:hAnsiTheme="minorEastAsia"/>
          <w:sz w:val="28"/>
          <w:szCs w:val="28"/>
        </w:rPr>
      </w:pPr>
      <w:r>
        <w:rPr>
          <w:rFonts w:hint="eastAsia" w:asciiTheme="minorEastAsia" w:hAnsiTheme="minorEastAsia"/>
          <w:sz w:val="28"/>
          <w:szCs w:val="28"/>
        </w:rPr>
        <w:t>（2）运维绩效服务费</w:t>
      </w:r>
    </w:p>
    <w:p>
      <w:pPr>
        <w:spacing w:line="360" w:lineRule="auto"/>
        <w:ind w:firstLine="420"/>
        <w:rPr>
          <w:rFonts w:asciiTheme="minorEastAsia" w:hAnsiTheme="minorEastAsia"/>
          <w:sz w:val="28"/>
          <w:szCs w:val="28"/>
        </w:rPr>
      </w:pPr>
      <w:r>
        <w:rPr>
          <w:rFonts w:hint="eastAsia" w:asciiTheme="minorEastAsia" w:hAnsiTheme="minorEastAsia"/>
          <w:sz w:val="28"/>
          <w:szCs w:val="28"/>
        </w:rPr>
        <w:t>本项目运维服务费设定保底量，保底量根据各子项目实际情况设定，具体如下表：</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4651"/>
        <w:gridCol w:w="1689"/>
        <w:gridCol w:w="768"/>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0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4651"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1689" w:type="dxa"/>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设计规模（远期）</w:t>
            </w:r>
          </w:p>
        </w:tc>
        <w:tc>
          <w:tcPr>
            <w:tcW w:w="768" w:type="dxa"/>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保底量</w:t>
            </w:r>
          </w:p>
        </w:tc>
        <w:tc>
          <w:tcPr>
            <w:tcW w:w="584" w:type="dxa"/>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0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651"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共和县石乃亥乡污水处理厂及配套污水管网建设项目</w:t>
            </w:r>
          </w:p>
        </w:tc>
        <w:tc>
          <w:tcPr>
            <w:tcW w:w="1689" w:type="dxa"/>
            <w:shd w:val="clear" w:color="auto" w:fill="auto"/>
            <w:noWrap/>
            <w:vAlign w:val="center"/>
          </w:tcPr>
          <w:p>
            <w:pPr>
              <w:widowControl/>
              <w:jc w:val="center"/>
              <w:rPr>
                <w:rFonts w:ascii="宋体" w:hAnsi="宋体" w:eastAsia="宋体" w:cs="宋体"/>
                <w:color w:val="000000"/>
                <w:kern w:val="0"/>
              </w:rPr>
            </w:pPr>
            <w:r>
              <w:rPr>
                <w:rFonts w:hint="eastAsia"/>
                <w:color w:val="000000"/>
                <w:sz w:val="22"/>
              </w:rPr>
              <w:t>800</w:t>
            </w:r>
          </w:p>
        </w:tc>
        <w:tc>
          <w:tcPr>
            <w:tcW w:w="768" w:type="dxa"/>
            <w:shd w:val="clear" w:color="auto" w:fill="auto"/>
            <w:noWrap/>
            <w:vAlign w:val="center"/>
          </w:tcPr>
          <w:p>
            <w:pPr>
              <w:widowControl/>
              <w:jc w:val="center"/>
              <w:rPr>
                <w:color w:val="000000"/>
                <w:sz w:val="22"/>
              </w:rPr>
            </w:pPr>
            <w:r>
              <w:rPr>
                <w:rFonts w:hint="eastAsia"/>
                <w:color w:val="000000"/>
                <w:sz w:val="22"/>
              </w:rPr>
              <w:t>300</w:t>
            </w:r>
          </w:p>
        </w:tc>
        <w:tc>
          <w:tcPr>
            <w:tcW w:w="584" w:type="dxa"/>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0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65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共和县湖东种羊场污水处理厂及配套污水管网建设项目</w:t>
            </w:r>
          </w:p>
        </w:tc>
        <w:tc>
          <w:tcPr>
            <w:tcW w:w="1689" w:type="dxa"/>
            <w:shd w:val="clear" w:color="auto" w:fill="auto"/>
            <w:noWrap/>
            <w:vAlign w:val="center"/>
          </w:tcPr>
          <w:p>
            <w:pPr>
              <w:widowControl/>
              <w:jc w:val="center"/>
              <w:rPr>
                <w:rFonts w:ascii="宋体" w:hAnsi="宋体" w:eastAsia="宋体" w:cs="宋体"/>
                <w:color w:val="000000"/>
                <w:kern w:val="0"/>
              </w:rPr>
            </w:pPr>
            <w:r>
              <w:rPr>
                <w:rFonts w:hint="eastAsia"/>
                <w:color w:val="000000"/>
                <w:sz w:val="22"/>
              </w:rPr>
              <w:t>400</w:t>
            </w:r>
          </w:p>
        </w:tc>
        <w:tc>
          <w:tcPr>
            <w:tcW w:w="768" w:type="dxa"/>
            <w:shd w:val="clear" w:color="auto" w:fill="auto"/>
            <w:noWrap/>
            <w:vAlign w:val="center"/>
          </w:tcPr>
          <w:p>
            <w:pPr>
              <w:jc w:val="center"/>
              <w:rPr>
                <w:color w:val="000000"/>
                <w:sz w:val="22"/>
              </w:rPr>
            </w:pPr>
            <w:r>
              <w:rPr>
                <w:rFonts w:hint="eastAsia"/>
                <w:color w:val="000000"/>
                <w:sz w:val="22"/>
              </w:rPr>
              <w:t>180</w:t>
            </w:r>
          </w:p>
        </w:tc>
        <w:tc>
          <w:tcPr>
            <w:tcW w:w="584" w:type="dxa"/>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0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4651"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共和县江西沟乡污水处理厂及配套污水管网建设项目</w:t>
            </w:r>
          </w:p>
        </w:tc>
        <w:tc>
          <w:tcPr>
            <w:tcW w:w="1689" w:type="dxa"/>
            <w:shd w:val="clear" w:color="auto" w:fill="auto"/>
            <w:noWrap/>
            <w:vAlign w:val="center"/>
          </w:tcPr>
          <w:p>
            <w:pPr>
              <w:widowControl/>
              <w:jc w:val="center"/>
              <w:rPr>
                <w:rFonts w:ascii="宋体" w:hAnsi="宋体" w:eastAsia="宋体" w:cs="宋体"/>
                <w:color w:val="000000"/>
                <w:kern w:val="0"/>
              </w:rPr>
            </w:pPr>
            <w:r>
              <w:rPr>
                <w:rFonts w:hint="eastAsia"/>
                <w:color w:val="000000"/>
                <w:sz w:val="22"/>
              </w:rPr>
              <w:t>1000</w:t>
            </w:r>
          </w:p>
        </w:tc>
        <w:tc>
          <w:tcPr>
            <w:tcW w:w="768" w:type="dxa"/>
            <w:shd w:val="clear" w:color="auto" w:fill="auto"/>
            <w:noWrap/>
            <w:vAlign w:val="center"/>
          </w:tcPr>
          <w:p>
            <w:pPr>
              <w:jc w:val="center"/>
              <w:rPr>
                <w:color w:val="000000"/>
                <w:sz w:val="22"/>
              </w:rPr>
            </w:pPr>
            <w:r>
              <w:rPr>
                <w:rFonts w:hint="eastAsia"/>
                <w:color w:val="000000"/>
                <w:sz w:val="22"/>
              </w:rPr>
              <w:t>300</w:t>
            </w:r>
          </w:p>
        </w:tc>
        <w:tc>
          <w:tcPr>
            <w:tcW w:w="584" w:type="dxa"/>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0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4651"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共和县黑马河乡生活垃圾填埋场及环卫设施建设项目</w:t>
            </w:r>
          </w:p>
        </w:tc>
        <w:tc>
          <w:tcPr>
            <w:tcW w:w="1689" w:type="dxa"/>
            <w:shd w:val="clear" w:color="auto" w:fill="auto"/>
            <w:noWrap/>
            <w:vAlign w:val="center"/>
          </w:tcPr>
          <w:p>
            <w:pPr>
              <w:widowControl/>
              <w:jc w:val="center"/>
              <w:rPr>
                <w:rFonts w:ascii="宋体" w:hAnsi="宋体" w:eastAsia="宋体" w:cs="宋体"/>
                <w:color w:val="000000"/>
                <w:kern w:val="0"/>
              </w:rPr>
            </w:pPr>
            <w:r>
              <w:rPr>
                <w:rFonts w:hint="eastAsia"/>
                <w:color w:val="000000"/>
                <w:sz w:val="22"/>
              </w:rPr>
              <w:t>19.19</w:t>
            </w:r>
          </w:p>
        </w:tc>
        <w:tc>
          <w:tcPr>
            <w:tcW w:w="768" w:type="dxa"/>
            <w:shd w:val="clear" w:color="auto" w:fill="auto"/>
            <w:noWrap/>
            <w:vAlign w:val="center"/>
          </w:tcPr>
          <w:p>
            <w:pPr>
              <w:jc w:val="center"/>
              <w:rPr>
                <w:color w:val="000000"/>
                <w:sz w:val="22"/>
              </w:rPr>
            </w:pPr>
            <w:r>
              <w:rPr>
                <w:rFonts w:hint="eastAsia"/>
                <w:color w:val="000000"/>
                <w:sz w:val="22"/>
              </w:rPr>
              <w:t>8</w:t>
            </w:r>
          </w:p>
        </w:tc>
        <w:tc>
          <w:tcPr>
            <w:tcW w:w="584" w:type="dxa"/>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0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4651"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共和县石乃亥生活垃圾填埋场及环卫设施建设项目</w:t>
            </w:r>
          </w:p>
        </w:tc>
        <w:tc>
          <w:tcPr>
            <w:tcW w:w="1689" w:type="dxa"/>
            <w:shd w:val="clear" w:color="auto" w:fill="auto"/>
            <w:noWrap/>
            <w:vAlign w:val="center"/>
          </w:tcPr>
          <w:p>
            <w:pPr>
              <w:widowControl/>
              <w:jc w:val="center"/>
              <w:rPr>
                <w:rFonts w:ascii="宋体" w:hAnsi="宋体" w:eastAsia="宋体" w:cs="宋体"/>
                <w:color w:val="000000"/>
                <w:kern w:val="0"/>
              </w:rPr>
            </w:pPr>
            <w:r>
              <w:rPr>
                <w:rFonts w:hint="eastAsia"/>
                <w:color w:val="000000"/>
                <w:sz w:val="22"/>
              </w:rPr>
              <w:t>5.412</w:t>
            </w:r>
          </w:p>
        </w:tc>
        <w:tc>
          <w:tcPr>
            <w:tcW w:w="768" w:type="dxa"/>
            <w:shd w:val="clear" w:color="auto" w:fill="auto"/>
            <w:noWrap/>
            <w:vAlign w:val="center"/>
          </w:tcPr>
          <w:p>
            <w:pPr>
              <w:jc w:val="center"/>
              <w:rPr>
                <w:color w:val="000000"/>
                <w:sz w:val="22"/>
              </w:rPr>
            </w:pPr>
            <w:r>
              <w:rPr>
                <w:rFonts w:hint="eastAsia"/>
                <w:color w:val="000000"/>
                <w:sz w:val="22"/>
              </w:rPr>
              <w:t>3</w:t>
            </w:r>
          </w:p>
        </w:tc>
        <w:tc>
          <w:tcPr>
            <w:tcW w:w="584" w:type="dxa"/>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0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4651"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共和县江西沟乡生活垃圾填埋场及环卫设施建设项目</w:t>
            </w:r>
          </w:p>
        </w:tc>
        <w:tc>
          <w:tcPr>
            <w:tcW w:w="1689" w:type="dxa"/>
            <w:shd w:val="clear" w:color="auto" w:fill="auto"/>
            <w:noWrap/>
            <w:vAlign w:val="center"/>
          </w:tcPr>
          <w:p>
            <w:pPr>
              <w:widowControl/>
              <w:jc w:val="center"/>
              <w:rPr>
                <w:rFonts w:ascii="宋体" w:hAnsi="宋体" w:eastAsia="宋体" w:cs="宋体"/>
                <w:color w:val="000000"/>
                <w:kern w:val="0"/>
              </w:rPr>
            </w:pPr>
            <w:r>
              <w:rPr>
                <w:rFonts w:hint="eastAsia"/>
                <w:color w:val="000000"/>
                <w:sz w:val="22"/>
              </w:rPr>
              <w:t>13.35</w:t>
            </w:r>
          </w:p>
        </w:tc>
        <w:tc>
          <w:tcPr>
            <w:tcW w:w="768" w:type="dxa"/>
            <w:shd w:val="clear" w:color="auto" w:fill="auto"/>
            <w:noWrap/>
            <w:vAlign w:val="center"/>
          </w:tcPr>
          <w:p>
            <w:pPr>
              <w:jc w:val="center"/>
              <w:rPr>
                <w:color w:val="000000"/>
                <w:sz w:val="22"/>
              </w:rPr>
            </w:pPr>
            <w:r>
              <w:rPr>
                <w:rFonts w:hint="eastAsia"/>
                <w:color w:val="000000"/>
                <w:sz w:val="22"/>
              </w:rPr>
              <w:t>8</w:t>
            </w:r>
          </w:p>
        </w:tc>
        <w:tc>
          <w:tcPr>
            <w:tcW w:w="584" w:type="dxa"/>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0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465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共和县湖东种羊场生活垃圾填埋场及环卫设施建设项目</w:t>
            </w:r>
          </w:p>
        </w:tc>
        <w:tc>
          <w:tcPr>
            <w:tcW w:w="1689" w:type="dxa"/>
            <w:shd w:val="clear" w:color="auto" w:fill="auto"/>
            <w:noWrap/>
            <w:vAlign w:val="center"/>
          </w:tcPr>
          <w:p>
            <w:pPr>
              <w:widowControl/>
              <w:jc w:val="center"/>
              <w:rPr>
                <w:rFonts w:ascii="宋体" w:hAnsi="宋体" w:eastAsia="宋体" w:cs="宋体"/>
                <w:color w:val="000000"/>
                <w:kern w:val="0"/>
              </w:rPr>
            </w:pPr>
            <w:r>
              <w:rPr>
                <w:rFonts w:hint="eastAsia"/>
                <w:color w:val="000000"/>
                <w:sz w:val="22"/>
              </w:rPr>
              <w:t>4.13</w:t>
            </w:r>
          </w:p>
        </w:tc>
        <w:tc>
          <w:tcPr>
            <w:tcW w:w="768" w:type="dxa"/>
            <w:shd w:val="clear" w:color="auto" w:fill="auto"/>
            <w:noWrap/>
            <w:vAlign w:val="center"/>
          </w:tcPr>
          <w:p>
            <w:pPr>
              <w:jc w:val="center"/>
              <w:rPr>
                <w:color w:val="000000"/>
                <w:sz w:val="22"/>
              </w:rPr>
            </w:pPr>
            <w:r>
              <w:rPr>
                <w:rFonts w:hint="eastAsia"/>
                <w:color w:val="000000"/>
                <w:sz w:val="22"/>
              </w:rPr>
              <w:t>3</w:t>
            </w:r>
          </w:p>
        </w:tc>
        <w:tc>
          <w:tcPr>
            <w:tcW w:w="584" w:type="dxa"/>
            <w:shd w:val="clear" w:color="auto" w:fill="auto"/>
            <w:noWrap/>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t/d</w:t>
            </w:r>
          </w:p>
        </w:tc>
      </w:tr>
    </w:tbl>
    <w:p>
      <w:pPr>
        <w:spacing w:line="360" w:lineRule="auto"/>
        <w:ind w:firstLine="420"/>
        <w:rPr>
          <w:rFonts w:asciiTheme="minorEastAsia" w:hAnsiTheme="minorEastAsia"/>
          <w:sz w:val="28"/>
          <w:szCs w:val="28"/>
        </w:rPr>
      </w:pPr>
      <w:r>
        <w:rPr>
          <w:rFonts w:hint="eastAsia" w:asciiTheme="minorEastAsia" w:hAnsiTheme="minorEastAsia"/>
          <w:sz w:val="28"/>
          <w:szCs w:val="28"/>
        </w:rPr>
        <w:t>则，各子项目服务单价如下表：</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5087"/>
        <w:gridCol w:w="181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36"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序号</w:t>
            </w:r>
          </w:p>
        </w:tc>
        <w:tc>
          <w:tcPr>
            <w:tcW w:w="5087" w:type="dxa"/>
            <w:shd w:val="clear" w:color="auto" w:fill="auto"/>
            <w:noWrap/>
            <w:vAlign w:val="center"/>
          </w:tcPr>
          <w:p>
            <w:pPr>
              <w:widowControl/>
              <w:jc w:val="left"/>
              <w:rPr>
                <w:rFonts w:ascii="Times New Roman" w:hAnsi="Times New Roman" w:eastAsia="Times New Roman" w:cs="Times New Roman"/>
                <w:kern w:val="0"/>
                <w:szCs w:val="21"/>
              </w:rPr>
            </w:pPr>
            <w:r>
              <w:rPr>
                <w:rFonts w:hint="eastAsia" w:ascii="宋体" w:hAnsi="宋体" w:eastAsia="宋体" w:cs="宋体"/>
                <w:kern w:val="0"/>
                <w:szCs w:val="21"/>
              </w:rPr>
              <w:t>项目名称</w:t>
            </w:r>
          </w:p>
        </w:tc>
        <w:tc>
          <w:tcPr>
            <w:tcW w:w="1810" w:type="dxa"/>
            <w:shd w:val="clear" w:color="auto" w:fill="auto"/>
            <w:noWrap/>
            <w:vAlign w:val="center"/>
          </w:tcPr>
          <w:p>
            <w:pPr>
              <w:widowControl/>
              <w:jc w:val="center"/>
              <w:rPr>
                <w:rFonts w:ascii="Times New Roman" w:hAnsi="Times New Roman" w:eastAsia="Times New Roman" w:cs="Times New Roman"/>
                <w:kern w:val="0"/>
                <w:szCs w:val="21"/>
              </w:rPr>
            </w:pPr>
            <w:r>
              <w:rPr>
                <w:rFonts w:hint="eastAsia" w:ascii="宋体" w:hAnsi="宋体" w:eastAsia="宋体" w:cs="宋体"/>
                <w:kern w:val="0"/>
                <w:szCs w:val="21"/>
              </w:rPr>
              <w:t>服务单价</w:t>
            </w:r>
          </w:p>
        </w:tc>
        <w:tc>
          <w:tcPr>
            <w:tcW w:w="763" w:type="dxa"/>
          </w:tcPr>
          <w:p>
            <w:pPr>
              <w:widowControl/>
              <w:jc w:val="left"/>
              <w:rPr>
                <w:rFonts w:ascii="宋体" w:hAnsi="宋体" w:eastAsia="宋体" w:cs="宋体"/>
                <w:kern w:val="0"/>
                <w:szCs w:val="21"/>
              </w:rPr>
            </w:pPr>
            <w:r>
              <w:rPr>
                <w:rFonts w:hint="eastAsia" w:ascii="宋体" w:hAnsi="宋体" w:eastAsia="宋体" w:cs="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5087"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共和县石乃亥乡污水处理厂及配套污水管网建设项目</w:t>
            </w:r>
          </w:p>
        </w:tc>
        <w:tc>
          <w:tcPr>
            <w:tcW w:w="1810" w:type="dxa"/>
            <w:shd w:val="clear" w:color="auto" w:fill="auto"/>
            <w:noWrap/>
            <w:vAlign w:val="center"/>
          </w:tcPr>
          <w:p>
            <w:pPr>
              <w:widowControl/>
              <w:jc w:val="center"/>
              <w:rPr>
                <w:rFonts w:ascii="宋体" w:hAnsi="宋体" w:eastAsia="宋体" w:cs="宋体"/>
                <w:color w:val="000000"/>
                <w:kern w:val="0"/>
                <w:szCs w:val="21"/>
              </w:rPr>
            </w:pPr>
            <w:r>
              <w:rPr>
                <w:rFonts w:hint="eastAsia"/>
                <w:color w:val="000000"/>
                <w:sz w:val="22"/>
              </w:rPr>
              <w:t>4.98</w:t>
            </w:r>
          </w:p>
        </w:tc>
        <w:tc>
          <w:tcPr>
            <w:tcW w:w="763"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5087"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共和县湖东种羊场污水处理厂及配套污水管网建设项目</w:t>
            </w:r>
          </w:p>
        </w:tc>
        <w:tc>
          <w:tcPr>
            <w:tcW w:w="1810" w:type="dxa"/>
            <w:shd w:val="clear" w:color="auto" w:fill="auto"/>
            <w:noWrap/>
            <w:vAlign w:val="center"/>
          </w:tcPr>
          <w:p>
            <w:pPr>
              <w:widowControl/>
              <w:jc w:val="center"/>
              <w:rPr>
                <w:rFonts w:ascii="宋体" w:hAnsi="宋体" w:eastAsia="宋体" w:cs="宋体"/>
                <w:color w:val="000000"/>
                <w:kern w:val="0"/>
                <w:szCs w:val="21"/>
              </w:rPr>
            </w:pPr>
            <w:r>
              <w:rPr>
                <w:rFonts w:hint="eastAsia"/>
                <w:color w:val="000000"/>
                <w:sz w:val="22"/>
              </w:rPr>
              <w:t>6.64</w:t>
            </w:r>
          </w:p>
        </w:tc>
        <w:tc>
          <w:tcPr>
            <w:tcW w:w="763"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5087"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共和县江西沟乡污水处理厂及配套污水管网建设项目</w:t>
            </w:r>
          </w:p>
        </w:tc>
        <w:tc>
          <w:tcPr>
            <w:tcW w:w="1810" w:type="dxa"/>
            <w:shd w:val="clear" w:color="auto" w:fill="auto"/>
            <w:noWrap/>
            <w:vAlign w:val="center"/>
          </w:tcPr>
          <w:p>
            <w:pPr>
              <w:widowControl/>
              <w:jc w:val="center"/>
              <w:rPr>
                <w:rFonts w:ascii="宋体" w:hAnsi="宋体" w:eastAsia="宋体" w:cs="宋体"/>
                <w:color w:val="000000"/>
                <w:kern w:val="0"/>
                <w:szCs w:val="21"/>
              </w:rPr>
            </w:pPr>
            <w:r>
              <w:rPr>
                <w:rFonts w:hint="eastAsia"/>
                <w:color w:val="000000"/>
                <w:sz w:val="22"/>
              </w:rPr>
              <w:t>4.98</w:t>
            </w:r>
          </w:p>
        </w:tc>
        <w:tc>
          <w:tcPr>
            <w:tcW w:w="763"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5087"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共和县黑马河乡生活垃圾填埋场及环卫设施建设项目</w:t>
            </w:r>
          </w:p>
        </w:tc>
        <w:tc>
          <w:tcPr>
            <w:tcW w:w="1810" w:type="dxa"/>
            <w:shd w:val="clear" w:color="auto" w:fill="auto"/>
            <w:noWrap/>
            <w:vAlign w:val="center"/>
          </w:tcPr>
          <w:p>
            <w:pPr>
              <w:widowControl/>
              <w:jc w:val="center"/>
              <w:rPr>
                <w:rFonts w:ascii="宋体" w:hAnsi="宋体" w:eastAsia="宋体" w:cs="宋体"/>
                <w:color w:val="000000"/>
                <w:kern w:val="0"/>
                <w:szCs w:val="21"/>
              </w:rPr>
            </w:pPr>
            <w:r>
              <w:rPr>
                <w:rFonts w:hint="eastAsia"/>
                <w:color w:val="000000"/>
                <w:sz w:val="22"/>
              </w:rPr>
              <w:t>160.28</w:t>
            </w:r>
          </w:p>
        </w:tc>
        <w:tc>
          <w:tcPr>
            <w:tcW w:w="763"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5087"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共和县石乃亥生活垃圾填埋场及环卫设施建设项目</w:t>
            </w:r>
          </w:p>
        </w:tc>
        <w:tc>
          <w:tcPr>
            <w:tcW w:w="1810" w:type="dxa"/>
            <w:shd w:val="clear" w:color="auto" w:fill="auto"/>
            <w:noWrap/>
            <w:vAlign w:val="center"/>
          </w:tcPr>
          <w:p>
            <w:pPr>
              <w:widowControl/>
              <w:jc w:val="center"/>
              <w:rPr>
                <w:rFonts w:ascii="宋体" w:hAnsi="宋体" w:eastAsia="宋体" w:cs="宋体"/>
                <w:color w:val="000000"/>
                <w:kern w:val="0"/>
                <w:szCs w:val="21"/>
              </w:rPr>
            </w:pPr>
            <w:r>
              <w:rPr>
                <w:rFonts w:hint="eastAsia"/>
                <w:color w:val="000000"/>
                <w:sz w:val="22"/>
              </w:rPr>
              <w:t>326.75</w:t>
            </w:r>
          </w:p>
        </w:tc>
        <w:tc>
          <w:tcPr>
            <w:tcW w:w="763"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5087"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共和县江西沟乡生活垃圾填埋场及环卫设施建设项目</w:t>
            </w:r>
          </w:p>
        </w:tc>
        <w:tc>
          <w:tcPr>
            <w:tcW w:w="1810" w:type="dxa"/>
            <w:shd w:val="clear" w:color="auto" w:fill="auto"/>
            <w:noWrap/>
            <w:vAlign w:val="center"/>
          </w:tcPr>
          <w:p>
            <w:pPr>
              <w:widowControl/>
              <w:jc w:val="center"/>
              <w:rPr>
                <w:rFonts w:ascii="宋体" w:hAnsi="宋体" w:eastAsia="宋体" w:cs="宋体"/>
                <w:color w:val="000000"/>
                <w:kern w:val="0"/>
                <w:szCs w:val="21"/>
              </w:rPr>
            </w:pPr>
            <w:r>
              <w:rPr>
                <w:rFonts w:hint="eastAsia"/>
                <w:color w:val="000000"/>
                <w:sz w:val="22"/>
              </w:rPr>
              <w:t>160.28</w:t>
            </w:r>
          </w:p>
        </w:tc>
        <w:tc>
          <w:tcPr>
            <w:tcW w:w="763"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6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5087"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共和县湖东种羊场生活垃圾填埋场及环卫设施建设项目</w:t>
            </w:r>
          </w:p>
        </w:tc>
        <w:tc>
          <w:tcPr>
            <w:tcW w:w="1810" w:type="dxa"/>
            <w:shd w:val="clear" w:color="auto" w:fill="auto"/>
            <w:noWrap/>
            <w:vAlign w:val="center"/>
          </w:tcPr>
          <w:p>
            <w:pPr>
              <w:widowControl/>
              <w:jc w:val="center"/>
              <w:rPr>
                <w:rFonts w:ascii="宋体" w:hAnsi="宋体" w:eastAsia="宋体" w:cs="宋体"/>
                <w:color w:val="000000"/>
                <w:kern w:val="0"/>
                <w:szCs w:val="21"/>
              </w:rPr>
            </w:pPr>
            <w:r>
              <w:rPr>
                <w:rFonts w:hint="eastAsia"/>
                <w:color w:val="000000"/>
                <w:sz w:val="22"/>
              </w:rPr>
              <w:t>326.75</w:t>
            </w:r>
          </w:p>
        </w:tc>
        <w:tc>
          <w:tcPr>
            <w:tcW w:w="763"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元/吨</w:t>
            </w:r>
          </w:p>
        </w:tc>
      </w:tr>
    </w:tbl>
    <w:p>
      <w:pPr>
        <w:spacing w:line="360" w:lineRule="auto"/>
        <w:ind w:firstLine="420"/>
        <w:rPr>
          <w:rFonts w:asciiTheme="minorEastAsia" w:hAnsiTheme="minorEastAsia"/>
          <w:sz w:val="28"/>
          <w:szCs w:val="28"/>
        </w:rPr>
      </w:pPr>
      <w:r>
        <w:rPr>
          <w:rFonts w:hint="eastAsia" w:asciiTheme="minorEastAsia" w:hAnsiTheme="minorEastAsia"/>
          <w:sz w:val="28"/>
          <w:szCs w:val="28"/>
        </w:rPr>
        <w:t>备注：污水处理服务期限均为1</w:t>
      </w:r>
      <w:r>
        <w:rPr>
          <w:rFonts w:asciiTheme="minorEastAsia" w:hAnsiTheme="minorEastAsia"/>
          <w:sz w:val="28"/>
          <w:szCs w:val="28"/>
        </w:rPr>
        <w:t>9</w:t>
      </w:r>
      <w:r>
        <w:rPr>
          <w:rFonts w:hint="eastAsia" w:asciiTheme="minorEastAsia" w:hAnsiTheme="minorEastAsia"/>
          <w:sz w:val="28"/>
          <w:szCs w:val="28"/>
        </w:rPr>
        <w:t>年，填埋场服务费期限为各子项目使用寿命期限。上述单价不包含设备大修费用、更新重置费、填埋场封场费及渗滤液处置费用，建议该部分费用由政府方与中标社会资本另行协商约定。</w:t>
      </w:r>
    </w:p>
    <w:p>
      <w:pPr>
        <w:spacing w:line="360" w:lineRule="auto"/>
        <w:ind w:firstLine="420"/>
        <w:rPr>
          <w:rFonts w:asciiTheme="minorEastAsia" w:hAnsiTheme="minorEastAsia"/>
          <w:sz w:val="28"/>
          <w:szCs w:val="28"/>
        </w:rPr>
      </w:pPr>
      <w:r>
        <w:rPr>
          <w:rFonts w:hint="eastAsia" w:asciiTheme="minorEastAsia" w:hAnsiTheme="minorEastAsia"/>
          <w:sz w:val="28"/>
          <w:szCs w:val="28"/>
        </w:rPr>
        <w:t>污水处理厂实际污水处理量不足基本量时，政府按基本量与服务单价付费；实际处理量超过基本量时，超出部分单价按5</w:t>
      </w:r>
      <w:r>
        <w:rPr>
          <w:rFonts w:asciiTheme="minorEastAsia" w:hAnsiTheme="minorEastAsia"/>
          <w:sz w:val="28"/>
          <w:szCs w:val="28"/>
        </w:rPr>
        <w:t>0</w:t>
      </w:r>
      <w:r>
        <w:rPr>
          <w:rFonts w:hint="eastAsia" w:asciiTheme="minorEastAsia" w:hAnsiTheme="minorEastAsia"/>
          <w:sz w:val="28"/>
          <w:szCs w:val="28"/>
        </w:rPr>
        <w:t>%计（本项目变动成本占直接运营成本的比例约为5</w:t>
      </w:r>
      <w:r>
        <w:rPr>
          <w:rFonts w:asciiTheme="minorEastAsia" w:hAnsiTheme="minorEastAsia"/>
          <w:sz w:val="28"/>
          <w:szCs w:val="28"/>
        </w:rPr>
        <w:t>0</w:t>
      </w:r>
      <w:r>
        <w:rPr>
          <w:rFonts w:hint="eastAsia" w:asciiTheme="minorEastAsia" w:hAnsiTheme="minorEastAsia"/>
          <w:sz w:val="28"/>
          <w:szCs w:val="28"/>
        </w:rPr>
        <w:t>%）。</w:t>
      </w:r>
    </w:p>
    <w:p>
      <w:pPr>
        <w:spacing w:line="360" w:lineRule="auto"/>
        <w:ind w:firstLine="420"/>
        <w:rPr>
          <w:rFonts w:asciiTheme="minorEastAsia" w:hAnsiTheme="minorEastAsia"/>
          <w:sz w:val="28"/>
          <w:szCs w:val="28"/>
        </w:rPr>
      </w:pPr>
      <w:r>
        <w:rPr>
          <w:rFonts w:hint="eastAsia" w:asciiTheme="minorEastAsia" w:hAnsiTheme="minorEastAsia"/>
          <w:sz w:val="28"/>
          <w:szCs w:val="28"/>
        </w:rPr>
        <w:t>垃圾填埋场实际垃圾处理量不足基本量时，政府按基本量与服务单价付费；实际处理量超过基本量时，超出部分单价按</w:t>
      </w:r>
      <w:r>
        <w:rPr>
          <w:rFonts w:asciiTheme="minorEastAsia" w:hAnsiTheme="minorEastAsia"/>
          <w:sz w:val="28"/>
          <w:szCs w:val="28"/>
        </w:rPr>
        <w:t>30</w:t>
      </w:r>
      <w:r>
        <w:rPr>
          <w:rFonts w:hint="eastAsia" w:asciiTheme="minorEastAsia" w:hAnsiTheme="minorEastAsia"/>
          <w:sz w:val="28"/>
          <w:szCs w:val="28"/>
        </w:rPr>
        <w:t>%计（本项目变动成本占直接运营成本的比例约为</w:t>
      </w:r>
      <w:r>
        <w:rPr>
          <w:rFonts w:asciiTheme="minorEastAsia" w:hAnsiTheme="minorEastAsia"/>
          <w:sz w:val="28"/>
          <w:szCs w:val="28"/>
        </w:rPr>
        <w:t>30</w:t>
      </w:r>
      <w:r>
        <w:rPr>
          <w:rFonts w:hint="eastAsia" w:asciiTheme="minorEastAsia" w:hAnsiTheme="minorEastAsia"/>
          <w:sz w:val="28"/>
          <w:szCs w:val="28"/>
        </w:rPr>
        <w:t>%）。</w:t>
      </w:r>
    </w:p>
    <w:p>
      <w:pPr>
        <w:pStyle w:val="3"/>
        <w:rPr>
          <w:sz w:val="30"/>
          <w:szCs w:val="30"/>
        </w:rPr>
      </w:pPr>
      <w:bookmarkStart w:id="110" w:name="_Toc536625502"/>
      <w:r>
        <w:rPr>
          <w:rFonts w:hint="eastAsia"/>
          <w:sz w:val="30"/>
          <w:szCs w:val="30"/>
        </w:rPr>
        <w:t>4、财务评价指标</w:t>
      </w:r>
      <w:bookmarkEnd w:id="110"/>
    </w:p>
    <w:p>
      <w:pPr>
        <w:spacing w:line="360" w:lineRule="auto"/>
        <w:ind w:firstLine="420"/>
        <w:rPr>
          <w:rFonts w:asciiTheme="minorEastAsia" w:hAnsiTheme="minorEastAsia"/>
          <w:sz w:val="28"/>
          <w:szCs w:val="28"/>
        </w:rPr>
      </w:pPr>
      <w:r>
        <w:rPr>
          <w:rFonts w:hint="eastAsia" w:asciiTheme="minorEastAsia" w:hAnsiTheme="minorEastAsia"/>
          <w:sz w:val="28"/>
          <w:szCs w:val="28"/>
        </w:rPr>
        <w:t>本项目测算资本金税后财务内部收益率，反应社会资本合理收益的指标。采用净现金流法，综合上述项目收入及成本支出，计算得到项目经营期内各项财务指标。（具体测算过程见下表）</w:t>
      </w:r>
    </w:p>
    <w:p>
      <w:pPr>
        <w:spacing w:line="360" w:lineRule="auto"/>
        <w:ind w:firstLine="420"/>
        <w:jc w:val="center"/>
        <w:rPr>
          <w:rFonts w:asciiTheme="minorEastAsia" w:hAnsiTheme="minorEastAsia"/>
          <w:sz w:val="28"/>
          <w:szCs w:val="28"/>
        </w:rPr>
      </w:pPr>
      <w:r>
        <w:rPr>
          <w:rFonts w:hint="eastAsia" w:asciiTheme="minorEastAsia" w:hAnsiTheme="minorEastAsia"/>
          <w:sz w:val="28"/>
          <w:szCs w:val="28"/>
        </w:rPr>
        <w:t>表2-1</w:t>
      </w:r>
      <w:r>
        <w:rPr>
          <w:rFonts w:asciiTheme="minorEastAsia" w:hAnsiTheme="minorEastAsia"/>
          <w:sz w:val="28"/>
          <w:szCs w:val="28"/>
        </w:rPr>
        <w:t xml:space="preserve"> </w:t>
      </w:r>
      <w:r>
        <w:rPr>
          <w:rFonts w:hint="eastAsia" w:asciiTheme="minorEastAsia" w:hAnsiTheme="minorEastAsia"/>
          <w:sz w:val="28"/>
          <w:szCs w:val="28"/>
        </w:rPr>
        <w:t>财务评价指标表</w:t>
      </w:r>
    </w:p>
    <w:tbl>
      <w:tblPr>
        <w:tblStyle w:val="20"/>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1987"/>
        <w:gridCol w:w="40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cantSplit/>
          <w:trHeight w:val="397" w:hRule="atLeast"/>
          <w:jc w:val="center"/>
        </w:trPr>
        <w:tc>
          <w:tcPr>
            <w:tcW w:w="2317" w:type="dxa"/>
            <w:tcBorders>
              <w:top w:val="single" w:color="auto" w:sz="12" w:space="0"/>
              <w:left w:val="nil"/>
              <w:bottom w:val="single" w:color="auto" w:sz="4" w:space="0"/>
              <w:right w:val="single" w:color="auto" w:sz="4" w:space="0"/>
            </w:tcBorders>
            <w:vAlign w:val="center"/>
          </w:tcPr>
          <w:p>
            <w:pPr>
              <w:spacing w:line="360" w:lineRule="auto"/>
              <w:ind w:firstLine="420"/>
              <w:rPr>
                <w:rFonts w:asciiTheme="minorEastAsia" w:hAnsiTheme="minorEastAsia"/>
                <w:sz w:val="28"/>
                <w:szCs w:val="28"/>
              </w:rPr>
            </w:pPr>
            <w:r>
              <w:rPr>
                <w:rFonts w:hint="eastAsia" w:asciiTheme="minorEastAsia" w:hAnsiTheme="minorEastAsia"/>
                <w:sz w:val="28"/>
                <w:szCs w:val="28"/>
              </w:rPr>
              <w:t>指标</w:t>
            </w:r>
          </w:p>
        </w:tc>
        <w:tc>
          <w:tcPr>
            <w:tcW w:w="1987" w:type="dxa"/>
            <w:tcBorders>
              <w:top w:val="single" w:color="auto" w:sz="12" w:space="0"/>
              <w:left w:val="single" w:color="auto" w:sz="4" w:space="0"/>
              <w:bottom w:val="single" w:color="auto" w:sz="4" w:space="0"/>
              <w:right w:val="single" w:color="auto" w:sz="4" w:space="0"/>
            </w:tcBorders>
            <w:vAlign w:val="center"/>
          </w:tcPr>
          <w:p>
            <w:pPr>
              <w:spacing w:line="360" w:lineRule="auto"/>
              <w:ind w:firstLine="420"/>
              <w:rPr>
                <w:rFonts w:asciiTheme="minorEastAsia" w:hAnsiTheme="minorEastAsia"/>
                <w:sz w:val="28"/>
                <w:szCs w:val="28"/>
              </w:rPr>
            </w:pPr>
            <w:r>
              <w:rPr>
                <w:rFonts w:hint="eastAsia" w:asciiTheme="minorEastAsia" w:hAnsiTheme="minorEastAsia"/>
                <w:sz w:val="28"/>
                <w:szCs w:val="28"/>
              </w:rPr>
              <w:t>单位</w:t>
            </w:r>
          </w:p>
        </w:tc>
        <w:tc>
          <w:tcPr>
            <w:tcW w:w="4002" w:type="dxa"/>
            <w:tcBorders>
              <w:top w:val="single" w:color="auto" w:sz="12" w:space="0"/>
              <w:left w:val="single" w:color="auto" w:sz="4" w:space="0"/>
              <w:bottom w:val="single" w:color="auto" w:sz="4" w:space="0"/>
              <w:right w:val="nil"/>
            </w:tcBorders>
            <w:vAlign w:val="center"/>
          </w:tcPr>
          <w:p>
            <w:pPr>
              <w:spacing w:line="360" w:lineRule="auto"/>
              <w:ind w:firstLine="420"/>
              <w:rPr>
                <w:rFonts w:asciiTheme="minorEastAsia" w:hAnsiTheme="minorEastAsia"/>
                <w:sz w:val="28"/>
                <w:szCs w:val="28"/>
              </w:rPr>
            </w:pPr>
            <w:r>
              <w:rPr>
                <w:rFonts w:hint="eastAsia" w:asciiTheme="minorEastAsia" w:hAnsiTheme="minorEastAsia"/>
                <w:sz w:val="28"/>
                <w:szCs w:val="28"/>
              </w:rPr>
              <w:t>数值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cantSplit/>
          <w:trHeight w:val="397" w:hRule="atLeast"/>
          <w:jc w:val="center"/>
        </w:trPr>
        <w:tc>
          <w:tcPr>
            <w:tcW w:w="2317" w:type="dxa"/>
            <w:tcBorders>
              <w:top w:val="single" w:color="auto" w:sz="4" w:space="0"/>
              <w:left w:val="nil"/>
              <w:bottom w:val="single" w:color="auto" w:sz="4" w:space="0"/>
              <w:right w:val="single" w:color="auto" w:sz="4" w:space="0"/>
            </w:tcBorders>
            <w:vAlign w:val="center"/>
          </w:tcPr>
          <w:p>
            <w:pPr>
              <w:spacing w:line="360" w:lineRule="auto"/>
              <w:ind w:firstLine="420"/>
              <w:rPr>
                <w:rFonts w:asciiTheme="minorEastAsia" w:hAnsiTheme="minorEastAsia"/>
                <w:sz w:val="28"/>
                <w:szCs w:val="28"/>
              </w:rPr>
            </w:pPr>
            <w:r>
              <w:rPr>
                <w:rFonts w:hint="eastAsia" w:asciiTheme="minorEastAsia" w:hAnsiTheme="minorEastAsia"/>
                <w:sz w:val="28"/>
                <w:szCs w:val="28"/>
              </w:rPr>
              <w:t>IRR</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Theme="minorEastAsia" w:hAnsiTheme="minorEastAsia"/>
                <w:sz w:val="28"/>
                <w:szCs w:val="28"/>
              </w:rPr>
            </w:pPr>
          </w:p>
        </w:tc>
        <w:tc>
          <w:tcPr>
            <w:tcW w:w="4002" w:type="dxa"/>
            <w:tcBorders>
              <w:top w:val="single" w:color="auto" w:sz="4" w:space="0"/>
              <w:left w:val="single" w:color="auto" w:sz="4" w:space="0"/>
              <w:bottom w:val="single" w:color="auto" w:sz="4" w:space="0"/>
              <w:right w:val="nil"/>
            </w:tcBorders>
            <w:vAlign w:val="center"/>
          </w:tcPr>
          <w:p>
            <w:pPr>
              <w:spacing w:line="360" w:lineRule="auto"/>
              <w:ind w:firstLine="420"/>
              <w:rPr>
                <w:rFonts w:asciiTheme="minorEastAsia" w:hAnsiTheme="minorEastAsia"/>
                <w:sz w:val="28"/>
                <w:szCs w:val="28"/>
              </w:rPr>
            </w:pPr>
            <w:r>
              <w:rPr>
                <w:rFonts w:asciiTheme="minorEastAsia" w:hAnsiTheme="minorEastAsia"/>
                <w:sz w:val="28"/>
                <w:szCs w:val="28"/>
              </w:rPr>
              <w:t>8.44</w:t>
            </w:r>
            <w:r>
              <w:rPr>
                <w:rFonts w:hint="eastAsia" w:asciiTheme="minorEastAsia" w:hAnsiTheme="minorEastAsia"/>
                <w:sz w:val="28"/>
                <w:szCs w:val="2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17" w:type="dxa"/>
            <w:tcBorders>
              <w:top w:val="single" w:color="auto" w:sz="4" w:space="0"/>
              <w:left w:val="nil"/>
              <w:bottom w:val="single" w:color="auto" w:sz="12" w:space="0"/>
              <w:right w:val="single" w:color="auto" w:sz="4" w:space="0"/>
            </w:tcBorders>
            <w:vAlign w:val="center"/>
          </w:tcPr>
          <w:p>
            <w:pPr>
              <w:spacing w:line="360" w:lineRule="auto"/>
              <w:ind w:firstLine="420"/>
              <w:rPr>
                <w:rFonts w:asciiTheme="minorEastAsia" w:hAnsiTheme="minorEastAsia"/>
                <w:sz w:val="28"/>
                <w:szCs w:val="28"/>
              </w:rPr>
            </w:pPr>
            <w:r>
              <w:rPr>
                <w:rFonts w:hint="eastAsia" w:asciiTheme="minorEastAsia" w:hAnsiTheme="minorEastAsia"/>
                <w:sz w:val="28"/>
                <w:szCs w:val="28"/>
              </w:rPr>
              <w:t>N（合作</w:t>
            </w:r>
            <w:r>
              <w:rPr>
                <w:rFonts w:asciiTheme="minorEastAsia" w:hAnsiTheme="minorEastAsia"/>
                <w:sz w:val="28"/>
                <w:szCs w:val="28"/>
              </w:rPr>
              <w:t>期</w:t>
            </w:r>
            <w:r>
              <w:rPr>
                <w:rFonts w:hint="eastAsia" w:asciiTheme="minorEastAsia" w:hAnsiTheme="minorEastAsia"/>
                <w:sz w:val="28"/>
                <w:szCs w:val="28"/>
              </w:rPr>
              <w:t>）</w:t>
            </w:r>
          </w:p>
        </w:tc>
        <w:tc>
          <w:tcPr>
            <w:tcW w:w="1987" w:type="dxa"/>
            <w:tcBorders>
              <w:top w:val="single" w:color="auto" w:sz="4" w:space="0"/>
              <w:left w:val="single" w:color="auto" w:sz="4" w:space="0"/>
              <w:bottom w:val="single" w:color="auto" w:sz="12" w:space="0"/>
              <w:right w:val="single" w:color="auto" w:sz="4" w:space="0"/>
            </w:tcBorders>
            <w:vAlign w:val="center"/>
          </w:tcPr>
          <w:p>
            <w:pPr>
              <w:spacing w:line="360" w:lineRule="auto"/>
              <w:ind w:firstLine="420"/>
              <w:rPr>
                <w:rFonts w:asciiTheme="minorEastAsia" w:hAnsiTheme="minorEastAsia"/>
                <w:sz w:val="28"/>
                <w:szCs w:val="28"/>
              </w:rPr>
            </w:pPr>
            <w:r>
              <w:rPr>
                <w:rFonts w:hint="eastAsia" w:asciiTheme="minorEastAsia" w:hAnsiTheme="minorEastAsia"/>
                <w:sz w:val="28"/>
                <w:szCs w:val="28"/>
              </w:rPr>
              <w:t>年</w:t>
            </w:r>
          </w:p>
        </w:tc>
        <w:tc>
          <w:tcPr>
            <w:tcW w:w="4002" w:type="dxa"/>
            <w:tcBorders>
              <w:top w:val="single" w:color="auto" w:sz="4" w:space="0"/>
              <w:left w:val="single" w:color="auto" w:sz="4" w:space="0"/>
              <w:bottom w:val="single" w:color="auto" w:sz="12" w:space="0"/>
              <w:right w:val="nil"/>
            </w:tcBorders>
            <w:vAlign w:val="center"/>
          </w:tcPr>
          <w:p>
            <w:pPr>
              <w:spacing w:line="360" w:lineRule="auto"/>
              <w:ind w:firstLine="420"/>
              <w:rPr>
                <w:rFonts w:asciiTheme="minorEastAsia" w:hAnsiTheme="minorEastAsia"/>
                <w:sz w:val="28"/>
                <w:szCs w:val="28"/>
              </w:rPr>
            </w:pPr>
            <w:r>
              <w:rPr>
                <w:rFonts w:asciiTheme="minorEastAsia" w:hAnsiTheme="minorEastAsia"/>
                <w:sz w:val="28"/>
                <w:szCs w:val="28"/>
              </w:rPr>
              <w:t>21</w:t>
            </w:r>
          </w:p>
        </w:tc>
      </w:tr>
    </w:tbl>
    <w:p>
      <w:pPr>
        <w:spacing w:line="360" w:lineRule="auto"/>
        <w:ind w:firstLine="420"/>
        <w:rPr>
          <w:rFonts w:asciiTheme="minorEastAsia" w:hAnsiTheme="minorEastAsia"/>
          <w:sz w:val="28"/>
          <w:szCs w:val="28"/>
        </w:rPr>
      </w:pPr>
      <w:r>
        <w:rPr>
          <w:rFonts w:hint="eastAsia" w:asciiTheme="minorEastAsia" w:hAnsiTheme="minorEastAsia"/>
          <w:sz w:val="28"/>
          <w:szCs w:val="28"/>
        </w:rPr>
        <w:t>综上</w:t>
      </w:r>
      <w:r>
        <w:rPr>
          <w:rFonts w:asciiTheme="minorEastAsia" w:hAnsiTheme="minorEastAsia"/>
          <w:sz w:val="28"/>
          <w:szCs w:val="28"/>
        </w:rPr>
        <w:t>，</w:t>
      </w:r>
      <w:r>
        <w:rPr>
          <w:rFonts w:hint="eastAsia" w:asciiTheme="minorEastAsia" w:hAnsiTheme="minorEastAsia"/>
          <w:sz w:val="28"/>
          <w:szCs w:val="28"/>
        </w:rPr>
        <w:t>本项目资本金税后内部收益率为</w:t>
      </w:r>
      <w:r>
        <w:rPr>
          <w:rFonts w:asciiTheme="minorEastAsia" w:hAnsiTheme="minorEastAsia"/>
          <w:sz w:val="28"/>
          <w:szCs w:val="28"/>
        </w:rPr>
        <w:t>8.44%</w:t>
      </w:r>
      <w:r>
        <w:rPr>
          <w:rFonts w:hint="eastAsia" w:asciiTheme="minorEastAsia" w:hAnsiTheme="minorEastAsia"/>
          <w:sz w:val="28"/>
          <w:szCs w:val="28"/>
        </w:rPr>
        <w:t>，综合项目总投资数额、项目风险情况及其他因素来看，社会资本通过政府付费可回收投资成本并取得合理回报，该收益水平能够使得社会资本愿意参与本项目，项目具有一定的财务可行性，对社会资本有一定的吸引力。</w:t>
      </w:r>
    </w:p>
    <w:p>
      <w:pPr>
        <w:pStyle w:val="3"/>
        <w:spacing w:line="360" w:lineRule="auto"/>
        <w:rPr>
          <w:rFonts w:hint="eastAsia" w:ascii="Times New Roman" w:hAnsi="Times New Roman" w:eastAsia="宋体"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三</w:t>
      </w:r>
      <w:r>
        <w:rPr>
          <w:rFonts w:hint="eastAsia" w:ascii="Times New Roman" w:hAnsi="Times New Roman" w:eastAsia="宋体" w:cs="Times New Roman"/>
          <w:kern w:val="2"/>
          <w:sz w:val="28"/>
          <w:szCs w:val="28"/>
          <w:lang w:val="en-US" w:eastAsia="zh-CN" w:bidi="ar-SA"/>
        </w:rPr>
        <w:t>、投标范围</w:t>
      </w:r>
      <w:bookmarkEnd w:id="93"/>
      <w:bookmarkEnd w:id="94"/>
    </w:p>
    <w:p>
      <w:pPr>
        <w:autoSpaceDN/>
        <w:spacing w:line="364" w:lineRule="auto"/>
        <w:ind w:left="293" w:right="251" w:firstLine="480"/>
        <w:rPr>
          <w:sz w:val="24"/>
        </w:rPr>
      </w:pPr>
      <w:r>
        <w:rPr>
          <w:sz w:val="24"/>
        </w:rPr>
        <w:t>通过公开招标以 PPP 的模式择优选取一名社会资本合作方，承担共和县环青海湖南岸环卫设施建设运营 PPP 项目的投融资、建设、运营管理及维护等。</w:t>
      </w:r>
    </w:p>
    <w:p>
      <w:pPr>
        <w:pStyle w:val="3"/>
        <w:spacing w:line="360" w:lineRule="auto"/>
        <w:rPr>
          <w:rFonts w:hint="eastAsia" w:ascii="Times New Roman" w:hAnsi="Times New Roman" w:eastAsia="宋体" w:cs="Times New Roman"/>
          <w:kern w:val="2"/>
          <w:sz w:val="28"/>
          <w:szCs w:val="28"/>
          <w:lang w:val="en-US" w:eastAsia="zh-CN" w:bidi="ar-SA"/>
        </w:rPr>
      </w:pPr>
      <w:bookmarkStart w:id="111" w:name="_Toc1748"/>
      <w:bookmarkStart w:id="112" w:name="_Toc28442_WPSOffice_Level2"/>
      <w:r>
        <w:rPr>
          <w:rFonts w:hint="eastAsia" w:ascii="Times New Roman" w:hAnsi="Times New Roman" w:cs="Times New Roman"/>
          <w:kern w:val="2"/>
          <w:sz w:val="28"/>
          <w:szCs w:val="28"/>
          <w:lang w:val="en-US" w:eastAsia="zh-CN" w:bidi="ar-SA"/>
        </w:rPr>
        <w:t>四</w:t>
      </w:r>
      <w:r>
        <w:rPr>
          <w:rFonts w:hint="eastAsia" w:ascii="Times New Roman" w:hAnsi="Times New Roman" w:eastAsia="宋体" w:cs="Times New Roman"/>
          <w:kern w:val="2"/>
          <w:sz w:val="28"/>
          <w:szCs w:val="28"/>
          <w:lang w:val="en-US" w:eastAsia="zh-CN" w:bidi="ar-SA"/>
        </w:rPr>
        <w:t>、PPP 运作方式</w:t>
      </w:r>
      <w:bookmarkEnd w:id="111"/>
      <w:bookmarkEnd w:id="112"/>
    </w:p>
    <w:p>
      <w:pPr>
        <w:pStyle w:val="8"/>
        <w:autoSpaceDN/>
        <w:spacing w:before="60" w:line="417" w:lineRule="auto"/>
        <w:ind w:left="293" w:right="246"/>
        <w:rPr>
          <w:sz w:val="24"/>
          <w:szCs w:val="24"/>
        </w:rPr>
      </w:pPr>
      <w:r>
        <w:rPr>
          <w:sz w:val="24"/>
          <w:szCs w:val="24"/>
        </w:rPr>
        <w:t>根据《国务院办公厅关于促进建筑业持续健康发展的意见》（国办发〔2017〕19 号）精神、加快推行工程总承包，培育全过程工程咨询。鼓励投资咨询、勘察、设计、监理、招标代理、造价等企业采取联合经营、并购重组等方式发展全过程工程咨询，政府投资工程应带头推行全过程工程咨询。</w:t>
      </w:r>
    </w:p>
    <w:p>
      <w:pPr>
        <w:pStyle w:val="8"/>
        <w:autoSpaceDN/>
        <w:spacing w:line="417" w:lineRule="auto"/>
        <w:ind w:left="293" w:right="224" w:firstLine="420"/>
        <w:jc w:val="both"/>
        <w:rPr>
          <w:sz w:val="24"/>
          <w:szCs w:val="24"/>
        </w:rPr>
      </w:pPr>
      <w:r>
        <w:rPr>
          <w:rFonts w:ascii="Times New Roman" w:eastAsia="Times New Roman"/>
          <w:sz w:val="24"/>
          <w:szCs w:val="24"/>
        </w:rPr>
        <w:t xml:space="preserve">EPC </w:t>
      </w:r>
      <w:r>
        <w:rPr>
          <w:sz w:val="24"/>
          <w:szCs w:val="24"/>
        </w:rPr>
        <w:t>是指公司受业主委托，按照合同约定对工程建设项目的设计、采购、施工、试运行等实行全过程或若干阶段的承包。通常公司在总价合同条件下，对其所承包工程的质量、安全、费用和进度进行负责。较传统承包模式而言，</w:t>
      </w:r>
      <w:r>
        <w:rPr>
          <w:rFonts w:ascii="Times New Roman" w:eastAsia="Times New Roman"/>
          <w:sz w:val="24"/>
          <w:szCs w:val="24"/>
        </w:rPr>
        <w:t xml:space="preserve">EPC </w:t>
      </w:r>
      <w:r>
        <w:rPr>
          <w:sz w:val="24"/>
          <w:szCs w:val="24"/>
        </w:rPr>
        <w:t>总承包模式具有以下三个方面基本优势：</w:t>
      </w:r>
    </w:p>
    <w:p>
      <w:pPr>
        <w:pStyle w:val="25"/>
        <w:numPr>
          <w:ilvl w:val="0"/>
          <w:numId w:val="10"/>
        </w:numPr>
        <w:tabs>
          <w:tab w:val="left" w:pos="1245"/>
        </w:tabs>
        <w:autoSpaceDN/>
        <w:spacing w:line="417" w:lineRule="auto"/>
        <w:ind w:right="256" w:firstLine="420"/>
        <w:jc w:val="both"/>
        <w:rPr>
          <w:sz w:val="24"/>
          <w:szCs w:val="24"/>
        </w:rPr>
      </w:pPr>
      <w:r>
        <w:rPr>
          <w:sz w:val="24"/>
          <w:szCs w:val="24"/>
        </w:rPr>
        <w:t>强调和充分发挥设计在整个工程建设过程中的主导作用。对设计在整个工程建设过程中的主导作用的强调和发挥，有利于工程项目建设整体方案的不断优化。</w:t>
      </w:r>
    </w:p>
    <w:p>
      <w:pPr>
        <w:pStyle w:val="25"/>
        <w:numPr>
          <w:ilvl w:val="0"/>
          <w:numId w:val="10"/>
        </w:numPr>
        <w:tabs>
          <w:tab w:val="left" w:pos="1245"/>
        </w:tabs>
        <w:autoSpaceDN/>
        <w:spacing w:line="417" w:lineRule="auto"/>
        <w:ind w:right="246" w:firstLine="420"/>
        <w:jc w:val="both"/>
        <w:rPr>
          <w:sz w:val="24"/>
          <w:szCs w:val="24"/>
        </w:rPr>
      </w:pPr>
      <w:r>
        <w:rPr>
          <w:sz w:val="24"/>
          <w:szCs w:val="24"/>
        </w:rPr>
        <w:t>有效克服设计、采购、施工相互制约和相互脱节的矛盾，有利于设计、采购、施工各阶段工作的合理衔接，有效地实现建设项目的进度、成本和质量控制符合建设工程承包合同约定，确保获得较好的投资效益。</w:t>
      </w:r>
    </w:p>
    <w:p>
      <w:pPr>
        <w:pStyle w:val="25"/>
        <w:numPr>
          <w:ilvl w:val="0"/>
          <w:numId w:val="10"/>
        </w:numPr>
        <w:tabs>
          <w:tab w:val="left" w:pos="1243"/>
        </w:tabs>
        <w:autoSpaceDN/>
        <w:spacing w:line="269" w:lineRule="exact"/>
        <w:ind w:left="1242" w:hanging="529"/>
        <w:rPr>
          <w:sz w:val="24"/>
          <w:szCs w:val="24"/>
        </w:rPr>
      </w:pPr>
      <w:r>
        <w:rPr>
          <w:sz w:val="24"/>
          <w:szCs w:val="24"/>
        </w:rPr>
        <w:t>建设工程质量责任主体明确，有利于追究工程质量责任和确定工程质量责任的承担人。</w:t>
      </w:r>
    </w:p>
    <w:p>
      <w:pPr>
        <w:pStyle w:val="8"/>
        <w:autoSpaceDN/>
        <w:spacing w:before="6"/>
        <w:rPr>
          <w:sz w:val="24"/>
          <w:szCs w:val="24"/>
        </w:rPr>
      </w:pPr>
    </w:p>
    <w:p>
      <w:pPr>
        <w:pStyle w:val="8"/>
        <w:autoSpaceDN/>
        <w:spacing w:line="417" w:lineRule="auto"/>
        <w:ind w:left="293" w:right="248" w:firstLine="420"/>
        <w:jc w:val="both"/>
        <w:rPr>
          <w:sz w:val="24"/>
          <w:szCs w:val="24"/>
        </w:rPr>
      </w:pPr>
      <w:r>
        <w:rPr>
          <w:sz w:val="24"/>
          <w:szCs w:val="24"/>
        </w:rPr>
        <w:t>“</w:t>
      </w:r>
      <w:r>
        <w:rPr>
          <w:rFonts w:ascii="Times New Roman" w:hAnsi="Times New Roman" w:eastAsia="Times New Roman"/>
          <w:sz w:val="24"/>
          <w:szCs w:val="24"/>
        </w:rPr>
        <w:t>EPC+BOT</w:t>
      </w:r>
      <w:r>
        <w:rPr>
          <w:sz w:val="24"/>
          <w:szCs w:val="24"/>
        </w:rPr>
        <w:t xml:space="preserve">”组合模式是指在采用 </w:t>
      </w:r>
      <w:r>
        <w:rPr>
          <w:rFonts w:ascii="Times New Roman" w:hAnsi="Times New Roman" w:eastAsia="Times New Roman"/>
          <w:sz w:val="24"/>
          <w:szCs w:val="24"/>
        </w:rPr>
        <w:t xml:space="preserve">PPP </w:t>
      </w:r>
      <w:r>
        <w:rPr>
          <w:sz w:val="24"/>
          <w:szCs w:val="24"/>
        </w:rPr>
        <w:t xml:space="preserve">模式建设运营的项目中，政府在依法选择 </w:t>
      </w:r>
      <w:r>
        <w:rPr>
          <w:rFonts w:ascii="Times New Roman" w:hAnsi="Times New Roman" w:eastAsia="Times New Roman"/>
          <w:sz w:val="24"/>
          <w:szCs w:val="24"/>
        </w:rPr>
        <w:t xml:space="preserve">PPP </w:t>
      </w:r>
      <w:r>
        <w:rPr>
          <w:sz w:val="24"/>
          <w:szCs w:val="24"/>
        </w:rPr>
        <w:t>模式下社会资本方的同时，也确定了项目的建设工程总承包方。</w:t>
      </w:r>
    </w:p>
    <w:p>
      <w:pPr>
        <w:pStyle w:val="8"/>
        <w:autoSpaceDN/>
        <w:spacing w:line="417" w:lineRule="auto"/>
        <w:ind w:left="293" w:right="246" w:firstLine="420"/>
        <w:jc w:val="both"/>
        <w:rPr>
          <w:sz w:val="24"/>
          <w:szCs w:val="24"/>
        </w:rPr>
      </w:pPr>
      <w:r>
        <w:rPr>
          <w:sz w:val="24"/>
          <w:szCs w:val="24"/>
        </w:rPr>
        <w:t xml:space="preserve">综上，本项目拟采用 </w:t>
      </w:r>
      <w:r>
        <w:rPr>
          <w:rFonts w:ascii="Times New Roman" w:eastAsia="Times New Roman"/>
          <w:sz w:val="24"/>
          <w:szCs w:val="24"/>
        </w:rPr>
        <w:t xml:space="preserve">BOT+EPC </w:t>
      </w:r>
      <w:r>
        <w:rPr>
          <w:sz w:val="24"/>
          <w:szCs w:val="24"/>
        </w:rPr>
        <w:t>运作模式，政府将项目设计（施工图设计）、建设、融资、运营及维护等全部交给项目公司，并向项目公司支付可用性服务费和运维绩效服务费，并纳入共和县县政府跨年度的财政预算支出。合作期满后，将相关设施设备无偿、完好、无债务、不设定担保地移交给共和县人民政府或其指定机构。</w:t>
      </w:r>
    </w:p>
    <w:p>
      <w:pPr>
        <w:pStyle w:val="8"/>
        <w:autoSpaceDN/>
        <w:spacing w:line="417" w:lineRule="auto"/>
        <w:ind w:left="293" w:right="248" w:firstLine="420"/>
        <w:jc w:val="both"/>
        <w:rPr>
          <w:sz w:val="24"/>
          <w:szCs w:val="24"/>
        </w:rPr>
      </w:pPr>
      <w:r>
        <w:rPr>
          <w:sz w:val="24"/>
          <w:szCs w:val="24"/>
        </w:rPr>
        <w:t>建设期内，项目公司负责本项目设计、建设及融资工作。项目建设期间，政府方出资代表根据共和县人民政府的委托，承担协调土地租用、协助行政审批、进行造价控制等相关管理工作，并由共和县人民政府方委托工程监理机构对项目建设进行监理工作。项目公司按政府方的通知向工程监理机构支付相关费用。</w:t>
      </w:r>
    </w:p>
    <w:p>
      <w:pPr>
        <w:pStyle w:val="8"/>
        <w:autoSpaceDN/>
        <w:spacing w:line="417" w:lineRule="auto"/>
        <w:ind w:left="293" w:right="246" w:firstLine="420"/>
        <w:jc w:val="both"/>
        <w:rPr>
          <w:sz w:val="24"/>
          <w:szCs w:val="24"/>
        </w:rPr>
      </w:pPr>
      <w:r>
        <w:rPr>
          <w:sz w:val="24"/>
          <w:szCs w:val="24"/>
        </w:rPr>
        <w:t>建设期内由共和县审计部门组织全过程跟踪审计，重点对项目建安工程量、工程造价的真实性和合规性进行监督，使其实现预期的功能。审计内容包括但不限于对项目公司的注册资本的到位情况、资金使用情况、项目进度情况、项目质量和安全情况、设计变更和工程签证情况、项目实施情况等，项目公司有义务对审计检查工作给予充分配合，提供必要的、完整的所需查看的各种文件资料，并对提供资料的真实性负责。</w:t>
      </w:r>
    </w:p>
    <w:p>
      <w:pPr>
        <w:pStyle w:val="8"/>
        <w:autoSpaceDN/>
        <w:spacing w:line="417" w:lineRule="auto"/>
        <w:ind w:left="293" w:right="246" w:firstLine="420"/>
        <w:jc w:val="both"/>
        <w:rPr>
          <w:sz w:val="24"/>
          <w:szCs w:val="24"/>
        </w:rPr>
      </w:pPr>
      <w:r>
        <w:rPr>
          <w:sz w:val="24"/>
          <w:szCs w:val="24"/>
        </w:rPr>
        <w:t>运营期内，项目公司负责主体设备设施及其配套的附属工程维护管理。合作期满后，项目公司将项目设施完好、无偿移交给</w:t>
      </w:r>
      <w:r>
        <w:rPr>
          <w:rFonts w:hint="eastAsia"/>
          <w:sz w:val="24"/>
          <w:szCs w:val="24"/>
        </w:rPr>
        <w:t>共和县生态环境局</w:t>
      </w:r>
      <w:r>
        <w:rPr>
          <w:sz w:val="24"/>
          <w:szCs w:val="24"/>
        </w:rPr>
        <w:t>或共和县人民政府其他指定移交机构。</w:t>
      </w:r>
    </w:p>
    <w:p>
      <w:pPr>
        <w:pStyle w:val="8"/>
        <w:autoSpaceDN/>
        <w:spacing w:line="417" w:lineRule="auto"/>
        <w:ind w:left="293" w:right="246" w:firstLine="420"/>
        <w:jc w:val="both"/>
        <w:rPr>
          <w:sz w:val="24"/>
          <w:szCs w:val="24"/>
        </w:rPr>
      </w:pPr>
      <w:r>
        <w:rPr>
          <w:sz w:val="24"/>
          <w:szCs w:val="24"/>
        </w:rPr>
        <w:t>本项目采用“</w:t>
      </w:r>
      <w:r>
        <w:rPr>
          <w:rFonts w:ascii="Times New Roman" w:hAnsi="Times New Roman" w:eastAsia="Times New Roman"/>
          <w:sz w:val="24"/>
          <w:szCs w:val="24"/>
        </w:rPr>
        <w:t>EPC+BOT</w:t>
      </w:r>
      <w:r>
        <w:rPr>
          <w:sz w:val="24"/>
          <w:szCs w:val="24"/>
        </w:rPr>
        <w:t>”运作模式，共和县政府授权</w:t>
      </w:r>
      <w:r>
        <w:rPr>
          <w:rFonts w:hint="eastAsia"/>
          <w:sz w:val="24"/>
          <w:szCs w:val="24"/>
        </w:rPr>
        <w:t>共和县生态环境局</w:t>
      </w:r>
      <w:r>
        <w:rPr>
          <w:sz w:val="24"/>
          <w:szCs w:val="24"/>
        </w:rPr>
        <w:t>为项目实施机构，与项目公司签订</w:t>
      </w:r>
      <w:r>
        <w:rPr>
          <w:rFonts w:ascii="Times New Roman" w:hAnsi="Times New Roman" w:eastAsia="Times New Roman"/>
          <w:sz w:val="24"/>
          <w:szCs w:val="24"/>
        </w:rPr>
        <w:t xml:space="preserve">PPP </w:t>
      </w:r>
      <w:r>
        <w:rPr>
          <w:sz w:val="24"/>
          <w:szCs w:val="24"/>
        </w:rPr>
        <w:t>项目合同，由项目公司负责本项目融资、施工图设计、建设和运营维护工作。共和县环境保护和林业局对项目的建设、运营和移交进行监督和管理，合作期结束后，项目公司无偿将资产移交给共和县政府方。本项目交易结构如下图：</w:t>
      </w:r>
    </w:p>
    <w:p>
      <w:pPr>
        <w:pStyle w:val="8"/>
        <w:autoSpaceDN/>
        <w:ind w:left="825"/>
        <w:rPr>
          <w:sz w:val="20"/>
        </w:rPr>
      </w:pPr>
      <w:r>
        <w:rPr>
          <w:sz w:val="20"/>
          <w:lang w:val="en-US" w:bidi="ar-SA"/>
        </w:rPr>
        <w:drawing>
          <wp:inline distT="0" distB="0" distL="0" distR="0">
            <wp:extent cx="5151120" cy="3326130"/>
            <wp:effectExtent l="0" t="0" r="11430" b="762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4" cstate="print"/>
                    <a:stretch>
                      <a:fillRect/>
                    </a:stretch>
                  </pic:blipFill>
                  <pic:spPr>
                    <a:xfrm>
                      <a:off x="0" y="0"/>
                      <a:ext cx="5151460" cy="3326225"/>
                    </a:xfrm>
                    <a:prstGeom prst="rect">
                      <a:avLst/>
                    </a:prstGeom>
                  </pic:spPr>
                </pic:pic>
              </a:graphicData>
            </a:graphic>
          </wp:inline>
        </w:drawing>
      </w:r>
    </w:p>
    <w:p>
      <w:pPr>
        <w:pStyle w:val="8"/>
        <w:autoSpaceDN/>
        <w:spacing w:before="8"/>
        <w:rPr>
          <w:sz w:val="15"/>
        </w:rPr>
      </w:pPr>
    </w:p>
    <w:p>
      <w:pPr>
        <w:pStyle w:val="3"/>
        <w:spacing w:line="360" w:lineRule="auto"/>
        <w:rPr>
          <w:rFonts w:hint="eastAsia" w:ascii="Times New Roman" w:hAnsi="Times New Roman" w:eastAsia="宋体" w:cs="Times New Roman"/>
          <w:kern w:val="2"/>
          <w:sz w:val="28"/>
          <w:szCs w:val="28"/>
          <w:lang w:val="en-US" w:eastAsia="zh-CN" w:bidi="ar-SA"/>
        </w:rPr>
      </w:pPr>
      <w:bookmarkStart w:id="113" w:name="_Toc29086"/>
      <w:bookmarkStart w:id="114" w:name="_Toc19216_WPSOffice_Level2"/>
      <w:r>
        <w:rPr>
          <w:rFonts w:hint="eastAsia" w:ascii="Times New Roman" w:hAnsi="Times New Roman" w:cs="Times New Roman"/>
          <w:kern w:val="2"/>
          <w:sz w:val="28"/>
          <w:szCs w:val="28"/>
          <w:lang w:val="en-US" w:eastAsia="zh-CN" w:bidi="ar-SA"/>
        </w:rPr>
        <w:t>五</w:t>
      </w:r>
      <w:r>
        <w:rPr>
          <w:rFonts w:hint="eastAsia" w:ascii="Times New Roman" w:hAnsi="Times New Roman" w:eastAsia="宋体" w:cs="Times New Roman"/>
          <w:kern w:val="2"/>
          <w:sz w:val="28"/>
          <w:szCs w:val="28"/>
          <w:lang w:val="en-US" w:eastAsia="zh-CN" w:bidi="ar-SA"/>
        </w:rPr>
        <w:t>、回报机制</w:t>
      </w:r>
      <w:bookmarkEnd w:id="113"/>
      <w:bookmarkEnd w:id="114"/>
    </w:p>
    <w:p>
      <w:pPr>
        <w:spacing w:line="360" w:lineRule="auto"/>
        <w:ind w:firstLine="420"/>
        <w:rPr>
          <w:rFonts w:asciiTheme="minorEastAsia" w:hAnsiTheme="minorEastAsia"/>
          <w:sz w:val="28"/>
          <w:szCs w:val="28"/>
        </w:rPr>
      </w:pPr>
      <w:r>
        <w:rPr>
          <w:rFonts w:hint="eastAsia" w:asciiTheme="minorEastAsia" w:hAnsiTheme="minorEastAsia"/>
          <w:sz w:val="28"/>
          <w:szCs w:val="28"/>
          <w:lang w:val="en-US" w:eastAsia="zh-CN"/>
        </w:rPr>
        <w:t>5.1</w:t>
      </w:r>
      <w:r>
        <w:rPr>
          <w:rFonts w:hint="eastAsia" w:asciiTheme="minorEastAsia" w:hAnsiTheme="minorEastAsia"/>
          <w:sz w:val="28"/>
          <w:szCs w:val="28"/>
        </w:rPr>
        <w:t>付费机制</w:t>
      </w:r>
    </w:p>
    <w:p>
      <w:pPr>
        <w:spacing w:line="360" w:lineRule="auto"/>
        <w:ind w:firstLine="420"/>
        <w:rPr>
          <w:rFonts w:asciiTheme="minorEastAsia" w:hAnsiTheme="minorEastAsia"/>
          <w:sz w:val="28"/>
          <w:szCs w:val="28"/>
        </w:rPr>
      </w:pPr>
      <w:r>
        <w:rPr>
          <w:rFonts w:hint="eastAsia" w:asciiTheme="minorEastAsia" w:hAnsiTheme="minorEastAsia"/>
          <w:sz w:val="28"/>
          <w:szCs w:val="28"/>
        </w:rPr>
        <w:t>项目回报机制主要说明社会资本取得投资回报的资金来源。根据财政部PPP项目合同指南（财金〔2014〕156号）相关要求，项目回报机制主要包括政府付费、使用者付费和可行性缺口补助。经过沟通我们了解到，本项目填埋场及污水均有经营收入，鉴于污水费及垃圾费由政府直接收取并上交县财政局，本项目采用政府付费模式。项目公司可获得回报为：可用性服务费+运维绩效服务费。</w:t>
      </w:r>
    </w:p>
    <w:p>
      <w:pPr>
        <w:spacing w:line="360" w:lineRule="auto"/>
        <w:ind w:firstLine="420"/>
        <w:rPr>
          <w:rFonts w:asciiTheme="minorEastAsia" w:hAnsiTheme="minorEastAsia"/>
          <w:sz w:val="28"/>
          <w:szCs w:val="28"/>
        </w:rPr>
      </w:pPr>
      <w:r>
        <w:rPr>
          <w:rFonts w:hint="eastAsia" w:asciiTheme="minorEastAsia" w:hAnsiTheme="minorEastAsia"/>
          <w:sz w:val="28"/>
          <w:szCs w:val="28"/>
        </w:rPr>
        <w:t>本项目政府方出资代表不参与项目公司分红。</w:t>
      </w:r>
    </w:p>
    <w:p>
      <w:pPr>
        <w:spacing w:line="360" w:lineRule="auto"/>
        <w:ind w:firstLine="420"/>
        <w:rPr>
          <w:rFonts w:asciiTheme="minorEastAsia" w:hAnsiTheme="minorEastAsia"/>
          <w:sz w:val="28"/>
          <w:szCs w:val="28"/>
        </w:rPr>
      </w:pPr>
      <w:r>
        <w:rPr>
          <w:rFonts w:hint="eastAsia" w:asciiTheme="minorEastAsia" w:hAnsiTheme="minorEastAsia"/>
          <w:sz w:val="28"/>
          <w:szCs w:val="28"/>
        </w:rPr>
        <w:t>本项目可用性服务费于每年年末一次性结算并支付；运维绩效服务费每季度支付一次，每半年根据绩效考核结果结算运维绩效服务费。</w:t>
      </w:r>
    </w:p>
    <w:p>
      <w:pPr>
        <w:spacing w:line="360" w:lineRule="auto"/>
        <w:ind w:firstLine="420"/>
        <w:rPr>
          <w:rFonts w:asciiTheme="minorEastAsia" w:hAnsiTheme="minorEastAsia"/>
          <w:sz w:val="28"/>
          <w:szCs w:val="28"/>
        </w:rPr>
      </w:pPr>
      <w:r>
        <w:rPr>
          <w:rFonts w:hint="eastAsia" w:asciiTheme="minorEastAsia" w:hAnsiTheme="minorEastAsia"/>
          <w:sz w:val="28"/>
          <w:szCs w:val="28"/>
        </w:rPr>
        <w:t>具体支付方式以P</w:t>
      </w:r>
      <w:r>
        <w:rPr>
          <w:rFonts w:asciiTheme="minorEastAsia" w:hAnsiTheme="minorEastAsia"/>
          <w:sz w:val="28"/>
          <w:szCs w:val="28"/>
        </w:rPr>
        <w:t>PP</w:t>
      </w:r>
      <w:r>
        <w:rPr>
          <w:rFonts w:hint="eastAsia" w:asciiTheme="minorEastAsia" w:hAnsiTheme="minorEastAsia"/>
          <w:sz w:val="28"/>
          <w:szCs w:val="28"/>
        </w:rPr>
        <w:t>项目协议双方约定的为准。</w:t>
      </w:r>
    </w:p>
    <w:p>
      <w:pPr>
        <w:spacing w:line="360" w:lineRule="auto"/>
        <w:ind w:firstLine="420"/>
        <w:rPr>
          <w:rFonts w:asciiTheme="minorEastAsia" w:hAnsi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sz w:val="28"/>
          <w:szCs w:val="28"/>
        </w:rPr>
        <w:t>.2调价机制</w:t>
      </w:r>
    </w:p>
    <w:p>
      <w:pPr>
        <w:spacing w:line="360" w:lineRule="auto"/>
        <w:ind w:firstLine="420"/>
        <w:rPr>
          <w:rFonts w:asciiTheme="minorEastAsia" w:hAnsiTheme="minorEastAsia"/>
          <w:sz w:val="28"/>
          <w:szCs w:val="28"/>
        </w:rPr>
      </w:pPr>
      <w:r>
        <w:rPr>
          <w:rFonts w:hint="eastAsia" w:asciiTheme="minorEastAsia" w:hAnsiTheme="minorEastAsia"/>
          <w:sz w:val="28"/>
          <w:szCs w:val="28"/>
        </w:rPr>
        <w:t>原则上，可用性付费基数按建设项目财务竣工决算审计确认数为依据。运营绩效服务费付费以基本水量、基本垃圾量、实际处理量及付费单价作为付费依据。在运营期间，可依物价、材料、人工、税费或利率的变化，对运营维护服务合理利润率做出适当调整，建议调整频率为两年一调，具体调整幅度由实施机构与项目公司根据市场情况商定。</w:t>
      </w:r>
    </w:p>
    <w:p>
      <w:pPr>
        <w:spacing w:line="360" w:lineRule="auto"/>
        <w:ind w:firstLine="420"/>
        <w:rPr>
          <w:rFonts w:asciiTheme="minorEastAsia" w:hAnsi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sz w:val="28"/>
          <w:szCs w:val="28"/>
        </w:rPr>
        <w:t>.3收益分配机制</w:t>
      </w:r>
    </w:p>
    <w:p>
      <w:pPr>
        <w:spacing w:line="360" w:lineRule="auto"/>
        <w:ind w:firstLine="420"/>
        <w:rPr>
          <w:rFonts w:asciiTheme="minorEastAsia" w:hAnsiTheme="minorEastAsia"/>
          <w:sz w:val="28"/>
          <w:szCs w:val="28"/>
        </w:rPr>
      </w:pPr>
      <w:r>
        <w:rPr>
          <w:rFonts w:hint="eastAsia" w:asciiTheme="minorEastAsia" w:hAnsiTheme="minorEastAsia"/>
          <w:sz w:val="28"/>
          <w:szCs w:val="28"/>
        </w:rPr>
        <w:t>政府方出资代表不参与项目公司利润分配。</w:t>
      </w:r>
    </w:p>
    <w:p>
      <w:pPr>
        <w:pStyle w:val="8"/>
        <w:autoSpaceDN/>
        <w:spacing w:before="2"/>
        <w:rPr>
          <w:sz w:val="26"/>
        </w:rPr>
      </w:pPr>
    </w:p>
    <w:p>
      <w:pPr>
        <w:pStyle w:val="3"/>
        <w:spacing w:line="360" w:lineRule="auto"/>
        <w:rPr>
          <w:rFonts w:hint="eastAsia" w:ascii="Times New Roman" w:hAnsi="Times New Roman" w:eastAsia="宋体" w:cs="Times New Roman"/>
          <w:kern w:val="2"/>
          <w:sz w:val="28"/>
          <w:szCs w:val="28"/>
          <w:lang w:val="en-US" w:eastAsia="zh-CN" w:bidi="ar-SA"/>
        </w:rPr>
      </w:pPr>
      <w:bookmarkStart w:id="115" w:name="_Toc2305_WPSOffice_Level2"/>
      <w:bookmarkStart w:id="116" w:name="_Toc717"/>
      <w:r>
        <w:rPr>
          <w:rFonts w:hint="eastAsia" w:ascii="Times New Roman" w:hAnsi="Times New Roman" w:cs="Times New Roman"/>
          <w:kern w:val="2"/>
          <w:sz w:val="28"/>
          <w:szCs w:val="28"/>
          <w:lang w:val="en-US" w:eastAsia="zh-CN" w:bidi="ar-SA"/>
        </w:rPr>
        <w:t>六</w:t>
      </w:r>
      <w:r>
        <w:rPr>
          <w:rFonts w:hint="eastAsia" w:ascii="Times New Roman" w:hAnsi="Times New Roman" w:eastAsia="宋体" w:cs="Times New Roman"/>
          <w:kern w:val="2"/>
          <w:sz w:val="28"/>
          <w:szCs w:val="28"/>
          <w:lang w:val="en-US" w:eastAsia="zh-CN" w:bidi="ar-SA"/>
        </w:rPr>
        <w:t>、股权结构</w:t>
      </w:r>
      <w:bookmarkEnd w:id="115"/>
      <w:bookmarkEnd w:id="116"/>
    </w:p>
    <w:p>
      <w:pPr>
        <w:pStyle w:val="8"/>
        <w:autoSpaceDN/>
        <w:spacing w:line="360" w:lineRule="auto"/>
        <w:ind w:left="713"/>
        <w:rPr>
          <w:sz w:val="24"/>
          <w:szCs w:val="24"/>
        </w:rPr>
      </w:pPr>
      <w:r>
        <w:rPr>
          <w:sz w:val="24"/>
          <w:szCs w:val="24"/>
        </w:rPr>
        <w:t>根据财政部《</w:t>
      </w:r>
      <w:r>
        <w:rPr>
          <w:rFonts w:ascii="Times New Roman" w:hAnsi="Times New Roman" w:eastAsia="Times New Roman"/>
          <w:sz w:val="24"/>
          <w:szCs w:val="24"/>
        </w:rPr>
        <w:t xml:space="preserve">PPP </w:t>
      </w:r>
      <w:r>
        <w:rPr>
          <w:sz w:val="24"/>
          <w:szCs w:val="24"/>
        </w:rPr>
        <w:t>项目合同指南（试行）》（财金〔</w:t>
      </w:r>
      <w:r>
        <w:rPr>
          <w:rFonts w:ascii="Times New Roman" w:hAnsi="Times New Roman" w:eastAsia="Times New Roman"/>
          <w:sz w:val="24"/>
          <w:szCs w:val="24"/>
        </w:rPr>
        <w:t>2014</w:t>
      </w:r>
      <w:r>
        <w:rPr>
          <w:sz w:val="24"/>
          <w:szCs w:val="24"/>
        </w:rPr>
        <w:t>〕</w:t>
      </w:r>
      <w:r>
        <w:rPr>
          <w:rFonts w:ascii="Times New Roman" w:hAnsi="Times New Roman" w:eastAsia="Times New Roman"/>
          <w:sz w:val="24"/>
          <w:szCs w:val="24"/>
        </w:rPr>
        <w:t xml:space="preserve">156 </w:t>
      </w:r>
      <w:r>
        <w:rPr>
          <w:sz w:val="24"/>
          <w:szCs w:val="24"/>
        </w:rPr>
        <w:t>号）中明确指出：“政府在项目公司中的</w:t>
      </w:r>
    </w:p>
    <w:p>
      <w:pPr>
        <w:pStyle w:val="8"/>
        <w:autoSpaceDN/>
        <w:spacing w:before="60" w:line="360" w:lineRule="auto"/>
        <w:ind w:right="248"/>
        <w:jc w:val="both"/>
        <w:rPr>
          <w:sz w:val="24"/>
          <w:szCs w:val="24"/>
        </w:rPr>
      </w:pPr>
      <w:r>
        <w:rPr>
          <w:sz w:val="24"/>
          <w:szCs w:val="24"/>
        </w:rPr>
        <w:t xml:space="preserve">持股比例应当低于 </w:t>
      </w:r>
      <w:r>
        <w:rPr>
          <w:rFonts w:ascii="Times New Roman" w:hAnsi="Times New Roman" w:eastAsia="Times New Roman"/>
          <w:sz w:val="24"/>
          <w:szCs w:val="24"/>
        </w:rPr>
        <w:t>50%</w:t>
      </w:r>
      <w:r>
        <w:rPr>
          <w:sz w:val="24"/>
          <w:szCs w:val="24"/>
        </w:rPr>
        <w:t>、且不具有实际控制力及管理权”</w:t>
      </w:r>
      <w:r>
        <w:rPr>
          <w:rFonts w:ascii="Times New Roman" w:hAnsi="Times New Roman" w:eastAsia="Times New Roman"/>
          <w:sz w:val="24"/>
          <w:szCs w:val="24"/>
        </w:rPr>
        <w:t>,</w:t>
      </w:r>
      <w:r>
        <w:rPr>
          <w:sz w:val="24"/>
          <w:szCs w:val="24"/>
        </w:rPr>
        <w:t xml:space="preserve">同时 </w:t>
      </w:r>
      <w:r>
        <w:rPr>
          <w:rFonts w:ascii="Times New Roman" w:hAnsi="Times New Roman" w:eastAsia="Times New Roman"/>
          <w:sz w:val="24"/>
          <w:szCs w:val="24"/>
        </w:rPr>
        <w:t xml:space="preserve">PPP </w:t>
      </w:r>
      <w:r>
        <w:rPr>
          <w:sz w:val="24"/>
          <w:szCs w:val="24"/>
        </w:rPr>
        <w:t>项目公司是依法设立的自主运营、自负盈亏的具有独立法人资格的经营实体</w:t>
      </w:r>
      <w:r>
        <w:rPr>
          <w:rFonts w:ascii="Times New Roman" w:hAnsi="Times New Roman" w:eastAsia="Times New Roman"/>
          <w:sz w:val="24"/>
          <w:szCs w:val="24"/>
        </w:rPr>
        <w:t>,</w:t>
      </w:r>
      <w:r>
        <w:rPr>
          <w:sz w:val="24"/>
          <w:szCs w:val="24"/>
        </w:rPr>
        <w:t xml:space="preserve">本项目政府方和社会资本出资比例按 </w:t>
      </w:r>
      <w:r>
        <w:rPr>
          <w:rFonts w:ascii="Times New Roman" w:hAnsi="Times New Roman" w:eastAsia="Times New Roman"/>
          <w:sz w:val="24"/>
          <w:szCs w:val="24"/>
        </w:rPr>
        <w:t>5%</w:t>
      </w:r>
      <w:r>
        <w:rPr>
          <w:sz w:val="24"/>
          <w:szCs w:val="24"/>
        </w:rPr>
        <w:t>：</w:t>
      </w:r>
      <w:r>
        <w:rPr>
          <w:rFonts w:ascii="Times New Roman" w:hAnsi="Times New Roman" w:eastAsia="Times New Roman"/>
          <w:sz w:val="24"/>
          <w:szCs w:val="24"/>
        </w:rPr>
        <w:t>95%</w:t>
      </w:r>
      <w:r>
        <w:rPr>
          <w:sz w:val="24"/>
          <w:szCs w:val="24"/>
        </w:rPr>
        <w:t xml:space="preserve">出资设立 </w:t>
      </w:r>
      <w:r>
        <w:rPr>
          <w:rFonts w:ascii="Times New Roman" w:hAnsi="Times New Roman" w:eastAsia="Times New Roman"/>
          <w:sz w:val="24"/>
          <w:szCs w:val="24"/>
        </w:rPr>
        <w:t xml:space="preserve">PPP </w:t>
      </w:r>
      <w:r>
        <w:rPr>
          <w:sz w:val="24"/>
          <w:szCs w:val="24"/>
        </w:rPr>
        <w:t>项目公司。</w:t>
      </w:r>
    </w:p>
    <w:p>
      <w:pPr>
        <w:pStyle w:val="8"/>
        <w:autoSpaceDN/>
        <w:spacing w:line="360" w:lineRule="auto"/>
        <w:ind w:left="293" w:right="245" w:firstLine="420"/>
        <w:rPr>
          <w:rFonts w:hint="eastAsia" w:ascii="Times New Roman" w:hAnsi="Times New Roman" w:cs="Times New Roman"/>
          <w:kern w:val="2"/>
          <w:sz w:val="21"/>
          <w:szCs w:val="21"/>
          <w:lang w:val="en-US" w:eastAsia="zh-CN" w:bidi="ar-SA"/>
        </w:rPr>
      </w:pPr>
      <w:r>
        <w:rPr>
          <w:sz w:val="24"/>
          <w:szCs w:val="24"/>
        </w:rPr>
        <w:t xml:space="preserve">政府方出资代表以货币资金出资 </w:t>
      </w:r>
      <w:r>
        <w:rPr>
          <w:rFonts w:ascii="Times New Roman" w:eastAsia="Times New Roman"/>
          <w:sz w:val="24"/>
          <w:szCs w:val="24"/>
        </w:rPr>
        <w:t xml:space="preserve">101.31 </w:t>
      </w:r>
      <w:r>
        <w:rPr>
          <w:sz w:val="24"/>
          <w:szCs w:val="24"/>
        </w:rPr>
        <w:t xml:space="preserve">万元，占股 </w:t>
      </w:r>
      <w:r>
        <w:rPr>
          <w:rFonts w:ascii="Times New Roman" w:eastAsia="Times New Roman"/>
          <w:sz w:val="24"/>
          <w:szCs w:val="24"/>
        </w:rPr>
        <w:t>5%</w:t>
      </w:r>
      <w:r>
        <w:rPr>
          <w:sz w:val="24"/>
          <w:szCs w:val="24"/>
        </w:rPr>
        <w:t xml:space="preserve">；社会资本以货币资金出资 </w:t>
      </w:r>
      <w:r>
        <w:rPr>
          <w:rFonts w:ascii="Times New Roman" w:eastAsia="Times New Roman"/>
          <w:sz w:val="24"/>
          <w:szCs w:val="24"/>
        </w:rPr>
        <w:t xml:space="preserve">1,924.96 </w:t>
      </w:r>
      <w:r>
        <w:rPr>
          <w:sz w:val="24"/>
          <w:szCs w:val="24"/>
        </w:rPr>
        <w:t xml:space="preserve">万元，占股 </w:t>
      </w:r>
      <w:r>
        <w:rPr>
          <w:rFonts w:ascii="Times New Roman" w:eastAsia="Times New Roman"/>
          <w:sz w:val="24"/>
          <w:szCs w:val="24"/>
        </w:rPr>
        <w:t>95%</w:t>
      </w:r>
      <w:r>
        <w:rPr>
          <w:sz w:val="24"/>
          <w:szCs w:val="24"/>
        </w:rPr>
        <w:t>。</w:t>
      </w:r>
      <w:bookmarkStart w:id="117" w:name="_Toc29408_WPSOffice_Level2"/>
      <w:bookmarkStart w:id="118" w:name="_Toc22793"/>
    </w:p>
    <w:p>
      <w:pPr>
        <w:pStyle w:val="3"/>
        <w:spacing w:line="360" w:lineRule="auto"/>
        <w:rPr>
          <w:rFonts w:hint="eastAsia" w:ascii="Times New Roman" w:hAnsi="Times New Roman" w:eastAsia="宋体"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七</w:t>
      </w:r>
      <w:r>
        <w:rPr>
          <w:rFonts w:hint="eastAsia" w:ascii="Times New Roman" w:hAnsi="Times New Roman" w:eastAsia="宋体" w:cs="Times New Roman"/>
          <w:kern w:val="2"/>
          <w:sz w:val="28"/>
          <w:szCs w:val="28"/>
          <w:lang w:val="en-US" w:eastAsia="zh-CN" w:bidi="ar-SA"/>
        </w:rPr>
        <w:t>、风险分配架构</w:t>
      </w:r>
      <w:bookmarkEnd w:id="117"/>
      <w:bookmarkEnd w:id="118"/>
    </w:p>
    <w:p>
      <w:pPr>
        <w:pStyle w:val="3"/>
        <w:rPr>
          <w:sz w:val="30"/>
          <w:szCs w:val="30"/>
        </w:rPr>
      </w:pPr>
      <w:bookmarkStart w:id="119" w:name="_Toc536625507"/>
      <w:r>
        <w:rPr>
          <w:rFonts w:hint="eastAsia"/>
          <w:sz w:val="30"/>
          <w:szCs w:val="30"/>
        </w:rPr>
        <w:t>1、风险分配流程图</w:t>
      </w:r>
      <w:bookmarkEnd w:id="119"/>
    </w:p>
    <w:p>
      <w:pPr>
        <w:spacing w:line="360" w:lineRule="auto"/>
        <w:ind w:firstLine="420"/>
        <w:rPr>
          <w:rFonts w:asciiTheme="minorEastAsia" w:hAnsiTheme="minorEastAsia"/>
          <w:sz w:val="28"/>
          <w:szCs w:val="28"/>
        </w:rPr>
      </w:pPr>
      <w:r>
        <w:rPr>
          <w:rFonts w:hint="eastAsia" w:asciiTheme="minorEastAsia" w:hAnsiTheme="minorEastAsia"/>
          <w:sz w:val="28"/>
          <w:szCs w:val="28"/>
        </w:rPr>
        <w:t>本项目风险分配流程如下图所示：</w:t>
      </w:r>
    </w:p>
    <w:p>
      <w:pPr>
        <w:spacing w:line="360" w:lineRule="auto"/>
        <w:ind w:firstLine="420"/>
        <w:jc w:val="center"/>
        <w:rPr>
          <w:rFonts w:asciiTheme="minorEastAsia" w:hAnsiTheme="minorEastAsia"/>
          <w:sz w:val="28"/>
          <w:szCs w:val="28"/>
        </w:rPr>
      </w:pPr>
      <w:r>
        <w:rPr>
          <w:rFonts w:hint="eastAsia" w:asciiTheme="minorEastAsia" w:hAnsiTheme="minorEastAsia"/>
          <w:sz w:val="28"/>
          <w:szCs w:val="28"/>
        </w:rPr>
        <w:t>图4-1风险分配流程图</w:t>
      </w:r>
    </w:p>
    <w:p>
      <w:pPr>
        <w:pStyle w:val="3"/>
        <w:rPr>
          <w:sz w:val="30"/>
          <w:szCs w:val="30"/>
        </w:rPr>
      </w:pPr>
      <w:bookmarkStart w:id="120" w:name="_Toc536625508"/>
      <w:r>
        <w:rPr>
          <w:sz w:val="30"/>
          <w:szCs w:val="30"/>
        </w:rPr>
        <w:pict>
          <v:shape id="对象 108" o:spid="_x0000_s1029" o:spt="75" type="#_x0000_t75" style="position:absolute;left:0pt;margin-left:-0.05pt;margin-top:-0.55pt;height:411.35pt;width:418.35pt;mso-wrap-distance-bottom:0pt;mso-wrap-distance-top:0pt;z-index:251665408;mso-width-relative:page;mso-height-relative:page;" o:ole="t" filled="f" o:preferrelative="t" stroked="f" coordsize="21600,21600" o:allowoverlap="f">
            <v:path/>
            <v:fill on="f" focussize="0,0"/>
            <v:stroke on="f" joinstyle="miter"/>
            <v:imagedata r:id="rId16" o:title=""/>
            <o:lock v:ext="edit" aspectratio="t"/>
            <w10:wrap type="topAndBottom"/>
          </v:shape>
          <o:OLEObject Type="Embed" ProgID="Visio.Drawing.11" ShapeID="对象 108" DrawAspect="Content" ObjectID="_1468075727" r:id="rId15">
            <o:LockedField>false</o:LockedField>
          </o:OLEObject>
        </w:pict>
      </w:r>
      <w:r>
        <w:rPr>
          <w:rFonts w:hint="eastAsia"/>
          <w:sz w:val="30"/>
          <w:szCs w:val="30"/>
        </w:rPr>
        <w:t>2、风险识别</w:t>
      </w:r>
      <w:bookmarkEnd w:id="120"/>
    </w:p>
    <w:p>
      <w:pPr>
        <w:spacing w:line="360" w:lineRule="auto"/>
        <w:ind w:firstLine="420"/>
        <w:rPr>
          <w:rFonts w:asciiTheme="minorEastAsia" w:hAnsiTheme="minorEastAsia"/>
          <w:sz w:val="28"/>
          <w:szCs w:val="28"/>
        </w:rPr>
      </w:pPr>
      <w:r>
        <w:rPr>
          <w:rFonts w:hint="eastAsia" w:asciiTheme="minorEastAsia" w:hAnsiTheme="minorEastAsia"/>
          <w:sz w:val="28"/>
          <w:szCs w:val="28"/>
        </w:rPr>
        <w:t>将风险因素按照项目阶段和风险来源，分为前期风险、建设风险、运营风险、移交风险和其它风险，具体描述详见下表：</w:t>
      </w:r>
    </w:p>
    <w:p>
      <w:pPr>
        <w:spacing w:line="360" w:lineRule="auto"/>
        <w:ind w:firstLine="420"/>
        <w:jc w:val="center"/>
        <w:rPr>
          <w:rFonts w:asciiTheme="minorEastAsia" w:hAnsiTheme="minorEastAsia"/>
          <w:sz w:val="28"/>
          <w:szCs w:val="28"/>
        </w:rPr>
      </w:pPr>
      <w:r>
        <w:rPr>
          <w:rFonts w:hint="eastAsia" w:asciiTheme="minorEastAsia" w:hAnsiTheme="minorEastAsia"/>
          <w:sz w:val="28"/>
          <w:szCs w:val="28"/>
        </w:rPr>
        <w:t>图4-2风险识别描述</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287"/>
        <w:gridCol w:w="1560"/>
        <w:gridCol w:w="5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70" w:hRule="atLeast"/>
        </w:trPr>
        <w:tc>
          <w:tcPr>
            <w:tcW w:w="1287" w:type="dxa"/>
            <w:vMerge w:val="restart"/>
            <w:noWrap/>
            <w:vAlign w:val="center"/>
          </w:tcPr>
          <w:p>
            <w:pPr>
              <w:widowControl/>
              <w:jc w:val="center"/>
              <w:rPr>
                <w:rFonts w:ascii="宋体" w:hAnsi="宋体" w:cs="宋体"/>
                <w:color w:val="000000"/>
                <w:kern w:val="0"/>
                <w:sz w:val="22"/>
              </w:rPr>
            </w:pPr>
            <w:bookmarkStart w:id="121" w:name="_Hlk6160594"/>
            <w:bookmarkStart w:id="122" w:name="_Toc536625509"/>
            <w:r>
              <w:rPr>
                <w:rFonts w:hint="eastAsia" w:ascii="宋体" w:hAnsi="宋体" w:cs="宋体"/>
                <w:color w:val="000000"/>
                <w:kern w:val="0"/>
                <w:sz w:val="22"/>
              </w:rPr>
              <w:t>前期风险</w:t>
            </w: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招投标风险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由于招投标方式程序不合理、市场不规范、竞标者恶性竞争等，使最优企业没有中标所存在的市场准入风险。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项目谈判风险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在与最后一二个企业的谈判过程中，某些问题未达成一致，而导致项目失败。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项目规划风险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项目规模与当地的社会经济发展规划和用水需求等不相符合，影响投资收益。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项目融资风险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项目融资困难或资金不足。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土地征用风险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征地过程中出现障碍，拆迁时间长导致延误工期；由于征地费用高，导致项目投资大幅增加。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restart"/>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建设风险</w:t>
            </w: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项目成本超支</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项目融资成本和建设成本超过预算额度，不得不追加投资。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分包商的选择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分包商的资质、信誉等方面出现问题而产生的风险。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完工风险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由于一些外界因素影响而导致项目竣工的延误。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质量风险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项目在建设安装过程中可能出现质量问题，给项目带来的风险。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工艺和设备选择风险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项目的设备材料及整体技术工艺存在问题，对项目投资和运行成本产生影响的风险。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restart"/>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运营风险</w:t>
            </w: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进水水质风险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污染物浓度的变化影响项目的运行成本和运行的稳定性。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5"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进水量风险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进水量远高于或低于项目的设计水量。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运营能力欠缺风险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运营商技术或管理能力欠缺，影响项目收益的风险。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环境标准变化风险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污水或污泥处理排放标准提高，导致项目因无法达到排放标准需要改造，严重的可能面临停运。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能源价格调整风险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污水处理过程中所用到的电等能源的价格上涨，导致成本增加。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原材料价格调整风险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污水处理过程中所用到的药剂等价格上涨，导致成本增加。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70" w:hRule="atLeast"/>
        </w:trPr>
        <w:tc>
          <w:tcPr>
            <w:tcW w:w="1287" w:type="dxa"/>
            <w:vMerge w:val="restart"/>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移交风险</w:t>
            </w: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设备质量风险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由于设备质量达不到合同标准要求，移交前对设备和相关设施进行改造维护，甚至大修，使得成本费用增加。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项目产权风险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由于资产产权界定不清，引起双方纠纷，从而带来了投资的损失。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rPr>
        <w:tc>
          <w:tcPr>
            <w:tcW w:w="1287" w:type="dxa"/>
            <w:vMerge w:val="restart"/>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其他风险</w:t>
            </w: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政策风险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与项目有关的如项目资产国有化、强制收购和征用以及优惠政策的撤销等。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合同风险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从微观层面考虑，如在各个阶段项目双方以及分包商之间的纠纷以及一方或多方违约等，导致项目暂停或终止。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70" w:hRule="atLeast"/>
        </w:trPr>
        <w:tc>
          <w:tcPr>
            <w:tcW w:w="1287" w:type="dxa"/>
            <w:vMerge w:val="continue"/>
            <w:vAlign w:val="center"/>
          </w:tcPr>
          <w:p>
            <w:pPr>
              <w:widowControl/>
              <w:jc w:val="left"/>
              <w:rPr>
                <w:rFonts w:ascii="宋体" w:hAnsi="宋体" w:cs="宋体"/>
                <w:color w:val="000000"/>
                <w:kern w:val="0"/>
                <w:sz w:val="22"/>
              </w:rPr>
            </w:pPr>
          </w:p>
        </w:tc>
        <w:tc>
          <w:tcPr>
            <w:tcW w:w="1560"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不可抗力风险</w:t>
            </w:r>
          </w:p>
        </w:tc>
        <w:tc>
          <w:tcPr>
            <w:tcW w:w="5449" w:type="dxa"/>
            <w:vAlign w:val="center"/>
          </w:tcPr>
          <w:p>
            <w:pPr>
              <w:widowControl/>
              <w:jc w:val="left"/>
              <w:rPr>
                <w:rFonts w:ascii="宋体" w:hAnsi="宋体" w:cs="宋体"/>
                <w:color w:val="000000"/>
                <w:kern w:val="0"/>
                <w:sz w:val="22"/>
              </w:rPr>
            </w:pPr>
            <w:r>
              <w:rPr>
                <w:rFonts w:hint="eastAsia" w:ascii="宋体" w:hAnsi="宋体" w:cs="宋体"/>
                <w:color w:val="000000"/>
                <w:kern w:val="0"/>
                <w:sz w:val="22"/>
              </w:rPr>
              <w:t>发生了不能预见和避免、不能通过人力克服的意外事件或自然灾害，导致项目损失或失败。</w:t>
            </w:r>
          </w:p>
        </w:tc>
      </w:tr>
      <w:bookmarkEnd w:id="121"/>
    </w:tbl>
    <w:p>
      <w:pPr>
        <w:pStyle w:val="3"/>
        <w:rPr>
          <w:sz w:val="30"/>
          <w:szCs w:val="30"/>
        </w:rPr>
      </w:pPr>
      <w:r>
        <w:rPr>
          <w:rFonts w:hint="eastAsia" w:asciiTheme="minorEastAsia" w:hAnsiTheme="minorEastAsia"/>
          <w:sz w:val="28"/>
          <w:szCs w:val="28"/>
        </w:rPr>
        <w:t>3、</w:t>
      </w:r>
      <w:r>
        <w:rPr>
          <w:rFonts w:hint="eastAsia"/>
          <w:sz w:val="30"/>
          <w:szCs w:val="30"/>
        </w:rPr>
        <w:t>项目风险分配</w:t>
      </w:r>
      <w:bookmarkEnd w:id="122"/>
    </w:p>
    <w:p>
      <w:pPr>
        <w:spacing w:line="360" w:lineRule="auto"/>
        <w:ind w:firstLine="420"/>
        <w:rPr>
          <w:rFonts w:asciiTheme="minorEastAsia" w:hAnsiTheme="minorEastAsia"/>
          <w:sz w:val="28"/>
          <w:szCs w:val="28"/>
        </w:rPr>
      </w:pPr>
      <w:bookmarkStart w:id="123" w:name="_Hlk481941862"/>
      <w:r>
        <w:rPr>
          <w:rFonts w:hint="eastAsia" w:asciiTheme="minorEastAsia" w:hAnsiTheme="minorEastAsia"/>
          <w:sz w:val="28"/>
          <w:szCs w:val="28"/>
        </w:rPr>
        <w:t>按照风险分配优化、风险收益对等和风险可控等原则，综合考虑政府风险管理能力、项目回报机制和市场风险管理能力等要素，在政府和社会资本间合理分配项目风险。分项分配的基本原则：</w:t>
      </w:r>
    </w:p>
    <w:p>
      <w:pPr>
        <w:spacing w:line="360" w:lineRule="auto"/>
        <w:ind w:firstLine="420"/>
        <w:rPr>
          <w:rFonts w:asciiTheme="minorEastAsia" w:hAnsiTheme="minorEastAsia"/>
          <w:sz w:val="28"/>
          <w:szCs w:val="28"/>
        </w:rPr>
      </w:pPr>
      <w:r>
        <w:rPr>
          <w:rFonts w:hint="eastAsia" w:asciiTheme="minorEastAsia" w:hAnsiTheme="minorEastAsia"/>
          <w:sz w:val="28"/>
          <w:szCs w:val="28"/>
        </w:rPr>
        <w:t>（1）承担风险的一方应该对该风险具有控制力;</w:t>
      </w:r>
    </w:p>
    <w:p>
      <w:pPr>
        <w:spacing w:line="360" w:lineRule="auto"/>
        <w:ind w:firstLine="420"/>
        <w:rPr>
          <w:rFonts w:asciiTheme="minorEastAsia" w:hAnsiTheme="minorEastAsia"/>
          <w:sz w:val="28"/>
          <w:szCs w:val="28"/>
        </w:rPr>
      </w:pPr>
      <w:r>
        <w:rPr>
          <w:rFonts w:hint="eastAsia" w:asciiTheme="minorEastAsia" w:hAnsiTheme="minorEastAsia"/>
          <w:sz w:val="28"/>
          <w:szCs w:val="28"/>
        </w:rPr>
        <w:t>（2）承担风险的一方能够将该风险合理转移;</w:t>
      </w:r>
    </w:p>
    <w:p>
      <w:pPr>
        <w:spacing w:line="360" w:lineRule="auto"/>
        <w:ind w:firstLine="420"/>
        <w:rPr>
          <w:rFonts w:asciiTheme="minorEastAsia" w:hAnsiTheme="minorEastAsia"/>
          <w:sz w:val="28"/>
          <w:szCs w:val="28"/>
        </w:rPr>
      </w:pPr>
      <w:r>
        <w:rPr>
          <w:rFonts w:hint="eastAsia" w:asciiTheme="minorEastAsia" w:hAnsiTheme="minorEastAsia"/>
          <w:sz w:val="28"/>
          <w:szCs w:val="28"/>
        </w:rPr>
        <w:t>（3）承担风险一方对控制该风险有更大经济利益或动机;</w:t>
      </w:r>
    </w:p>
    <w:p>
      <w:pPr>
        <w:spacing w:line="360" w:lineRule="auto"/>
        <w:ind w:firstLine="420"/>
        <w:rPr>
          <w:rFonts w:asciiTheme="minorEastAsia" w:hAnsiTheme="minorEastAsia"/>
          <w:sz w:val="28"/>
          <w:szCs w:val="28"/>
        </w:rPr>
      </w:pPr>
      <w:r>
        <w:rPr>
          <w:rFonts w:hint="eastAsia" w:asciiTheme="minorEastAsia" w:hAnsiTheme="minorEastAsia"/>
          <w:sz w:val="28"/>
          <w:szCs w:val="28"/>
        </w:rPr>
        <w:t>（4）由该方承担该风险最有效率;</w:t>
      </w:r>
    </w:p>
    <w:p>
      <w:pPr>
        <w:spacing w:line="360" w:lineRule="auto"/>
        <w:ind w:firstLine="420"/>
        <w:rPr>
          <w:rFonts w:asciiTheme="minorEastAsia" w:hAnsiTheme="minorEastAsia"/>
          <w:sz w:val="28"/>
          <w:szCs w:val="28"/>
        </w:rPr>
      </w:pPr>
      <w:r>
        <w:rPr>
          <w:rFonts w:hint="eastAsia" w:asciiTheme="minorEastAsia" w:hAnsiTheme="minorEastAsia"/>
          <w:sz w:val="28"/>
          <w:szCs w:val="28"/>
        </w:rPr>
        <w:t>（5）如果风险最终发生，承担风险的一方不应将由此产生的费用和损失转移给合同相对方。</w:t>
      </w:r>
    </w:p>
    <w:p>
      <w:pPr>
        <w:spacing w:line="360" w:lineRule="auto"/>
        <w:ind w:firstLine="420"/>
        <w:rPr>
          <w:rFonts w:asciiTheme="minorEastAsia" w:hAnsiTheme="minorEastAsia"/>
          <w:sz w:val="28"/>
          <w:szCs w:val="28"/>
        </w:rPr>
      </w:pPr>
      <w:r>
        <w:rPr>
          <w:rFonts w:hint="eastAsia" w:asciiTheme="minorEastAsia" w:hAnsiTheme="minorEastAsia"/>
          <w:sz w:val="28"/>
          <w:szCs w:val="28"/>
        </w:rPr>
        <w:t>根据以上原则，本项目风险因素按下表所示由社会资本和政府方共同进行分配。</w:t>
      </w:r>
    </w:p>
    <w:p>
      <w:pPr>
        <w:spacing w:line="360" w:lineRule="auto"/>
        <w:ind w:firstLine="420"/>
        <w:jc w:val="center"/>
        <w:rPr>
          <w:rFonts w:asciiTheme="minorEastAsia" w:hAnsiTheme="minorEastAsia"/>
          <w:sz w:val="28"/>
          <w:szCs w:val="28"/>
        </w:rPr>
      </w:pPr>
      <w:r>
        <w:rPr>
          <w:rFonts w:hint="eastAsia" w:asciiTheme="minorEastAsia" w:hAnsiTheme="minorEastAsia"/>
          <w:sz w:val="28"/>
          <w:szCs w:val="28"/>
        </w:rPr>
        <w:t>图4-3风险分配表</w:t>
      </w:r>
    </w:p>
    <w:tbl>
      <w:tblPr>
        <w:tblStyle w:val="20"/>
        <w:tblW w:w="8296" w:type="dxa"/>
        <w:tblInd w:w="0" w:type="dxa"/>
        <w:tblLayout w:type="fixed"/>
        <w:tblCellMar>
          <w:top w:w="15" w:type="dxa"/>
          <w:left w:w="108" w:type="dxa"/>
          <w:bottom w:w="15" w:type="dxa"/>
          <w:right w:w="108" w:type="dxa"/>
        </w:tblCellMar>
      </w:tblPr>
      <w:tblGrid>
        <w:gridCol w:w="3058"/>
        <w:gridCol w:w="2180"/>
        <w:gridCol w:w="3058"/>
      </w:tblGrid>
      <w:tr>
        <w:tblPrEx>
          <w:tblLayout w:type="fixed"/>
          <w:tblCellMar>
            <w:top w:w="15" w:type="dxa"/>
            <w:left w:w="108" w:type="dxa"/>
            <w:bottom w:w="15" w:type="dxa"/>
            <w:right w:w="108" w:type="dxa"/>
          </w:tblCellMar>
        </w:tblPrEx>
        <w:trPr>
          <w:trHeight w:val="285" w:hRule="atLeast"/>
        </w:trPr>
        <w:tc>
          <w:tcPr>
            <w:tcW w:w="30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bookmarkStart w:id="124" w:name="_Hlk6160606"/>
            <w:r>
              <w:rPr>
                <w:rFonts w:hint="eastAsia" w:ascii="宋体" w:hAnsi="宋体" w:cs="宋体"/>
                <w:color w:val="000000"/>
                <w:kern w:val="0"/>
                <w:sz w:val="22"/>
              </w:rPr>
              <w:t>社会资本承担的风险</w:t>
            </w:r>
          </w:p>
        </w:tc>
        <w:tc>
          <w:tcPr>
            <w:tcW w:w="21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政府承担的风险</w:t>
            </w:r>
          </w:p>
        </w:tc>
        <w:tc>
          <w:tcPr>
            <w:tcW w:w="30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共同承担风险</w:t>
            </w:r>
          </w:p>
        </w:tc>
      </w:tr>
      <w:tr>
        <w:tblPrEx>
          <w:tblLayout w:type="fixed"/>
          <w:tblCellMar>
            <w:top w:w="15" w:type="dxa"/>
            <w:left w:w="108" w:type="dxa"/>
            <w:bottom w:w="15" w:type="dxa"/>
            <w:right w:w="108" w:type="dxa"/>
          </w:tblCellMar>
        </w:tblPrEx>
        <w:trPr>
          <w:trHeight w:val="285" w:hRule="atLeast"/>
        </w:trPr>
        <w:tc>
          <w:tcPr>
            <w:tcW w:w="3058"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项目融资风险</w:t>
            </w:r>
          </w:p>
        </w:tc>
        <w:tc>
          <w:tcPr>
            <w:tcW w:w="2180"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招投标风险</w:t>
            </w:r>
          </w:p>
        </w:tc>
        <w:tc>
          <w:tcPr>
            <w:tcW w:w="3058" w:type="dxa"/>
            <w:tcBorders>
              <w:top w:val="nil"/>
              <w:left w:val="nil"/>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环境标准变化风险</w:t>
            </w:r>
          </w:p>
        </w:tc>
      </w:tr>
      <w:tr>
        <w:tblPrEx>
          <w:tblLayout w:type="fixed"/>
          <w:tblCellMar>
            <w:top w:w="15" w:type="dxa"/>
            <w:left w:w="108" w:type="dxa"/>
            <w:bottom w:w="15" w:type="dxa"/>
            <w:right w:w="108" w:type="dxa"/>
          </w:tblCellMar>
        </w:tblPrEx>
        <w:trPr>
          <w:trHeight w:val="285" w:hRule="atLeast"/>
        </w:trPr>
        <w:tc>
          <w:tcPr>
            <w:tcW w:w="3058"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项目成本超支</w:t>
            </w:r>
          </w:p>
        </w:tc>
        <w:tc>
          <w:tcPr>
            <w:tcW w:w="2180"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项目谈判风险</w:t>
            </w:r>
          </w:p>
        </w:tc>
        <w:tc>
          <w:tcPr>
            <w:tcW w:w="3058" w:type="dxa"/>
            <w:tcBorders>
              <w:top w:val="nil"/>
              <w:left w:val="nil"/>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能源价格调整风险</w:t>
            </w:r>
          </w:p>
        </w:tc>
      </w:tr>
      <w:tr>
        <w:tblPrEx>
          <w:tblLayout w:type="fixed"/>
          <w:tblCellMar>
            <w:top w:w="15" w:type="dxa"/>
            <w:left w:w="108" w:type="dxa"/>
            <w:bottom w:w="15" w:type="dxa"/>
            <w:right w:w="108" w:type="dxa"/>
          </w:tblCellMar>
        </w:tblPrEx>
        <w:trPr>
          <w:trHeight w:val="285" w:hRule="atLeast"/>
        </w:trPr>
        <w:tc>
          <w:tcPr>
            <w:tcW w:w="3058"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分包商的选择</w:t>
            </w:r>
          </w:p>
        </w:tc>
        <w:tc>
          <w:tcPr>
            <w:tcW w:w="2180"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项目规划风险</w:t>
            </w:r>
          </w:p>
        </w:tc>
        <w:tc>
          <w:tcPr>
            <w:tcW w:w="3058" w:type="dxa"/>
            <w:tcBorders>
              <w:top w:val="nil"/>
              <w:left w:val="nil"/>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原材料价格调整风险</w:t>
            </w:r>
          </w:p>
        </w:tc>
      </w:tr>
      <w:tr>
        <w:tblPrEx>
          <w:tblLayout w:type="fixed"/>
          <w:tblCellMar>
            <w:top w:w="15" w:type="dxa"/>
            <w:left w:w="108" w:type="dxa"/>
            <w:bottom w:w="15" w:type="dxa"/>
            <w:right w:w="108" w:type="dxa"/>
          </w:tblCellMar>
        </w:tblPrEx>
        <w:trPr>
          <w:trHeight w:val="285" w:hRule="atLeast"/>
        </w:trPr>
        <w:tc>
          <w:tcPr>
            <w:tcW w:w="3058"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完工风险</w:t>
            </w:r>
          </w:p>
        </w:tc>
        <w:tc>
          <w:tcPr>
            <w:tcW w:w="2180"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土地征用风险</w:t>
            </w:r>
          </w:p>
        </w:tc>
        <w:tc>
          <w:tcPr>
            <w:tcW w:w="3058" w:type="dxa"/>
            <w:tcBorders>
              <w:top w:val="nil"/>
              <w:left w:val="nil"/>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项目产权风险</w:t>
            </w:r>
          </w:p>
        </w:tc>
      </w:tr>
      <w:tr>
        <w:tblPrEx>
          <w:tblLayout w:type="fixed"/>
          <w:tblCellMar>
            <w:top w:w="15" w:type="dxa"/>
            <w:left w:w="108" w:type="dxa"/>
            <w:bottom w:w="15" w:type="dxa"/>
            <w:right w:w="108" w:type="dxa"/>
          </w:tblCellMar>
        </w:tblPrEx>
        <w:trPr>
          <w:trHeight w:val="285" w:hRule="atLeast"/>
        </w:trPr>
        <w:tc>
          <w:tcPr>
            <w:tcW w:w="3058"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质量风险</w:t>
            </w:r>
          </w:p>
        </w:tc>
        <w:tc>
          <w:tcPr>
            <w:tcW w:w="2180"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进水水质风险</w:t>
            </w:r>
          </w:p>
        </w:tc>
        <w:tc>
          <w:tcPr>
            <w:tcW w:w="3058" w:type="dxa"/>
            <w:tcBorders>
              <w:top w:val="nil"/>
              <w:left w:val="nil"/>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政策风险</w:t>
            </w:r>
          </w:p>
        </w:tc>
      </w:tr>
      <w:tr>
        <w:tblPrEx>
          <w:tblLayout w:type="fixed"/>
          <w:tblCellMar>
            <w:top w:w="15" w:type="dxa"/>
            <w:left w:w="108" w:type="dxa"/>
            <w:bottom w:w="15" w:type="dxa"/>
            <w:right w:w="108" w:type="dxa"/>
          </w:tblCellMar>
        </w:tblPrEx>
        <w:trPr>
          <w:trHeight w:val="285" w:hRule="atLeast"/>
        </w:trPr>
        <w:tc>
          <w:tcPr>
            <w:tcW w:w="3058"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工艺和设备选择风险</w:t>
            </w:r>
          </w:p>
        </w:tc>
        <w:tc>
          <w:tcPr>
            <w:tcW w:w="2180"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进水量风险</w:t>
            </w:r>
          </w:p>
        </w:tc>
        <w:tc>
          <w:tcPr>
            <w:tcW w:w="3058" w:type="dxa"/>
            <w:tcBorders>
              <w:top w:val="nil"/>
              <w:left w:val="nil"/>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合同风险</w:t>
            </w:r>
          </w:p>
        </w:tc>
      </w:tr>
      <w:tr>
        <w:tblPrEx>
          <w:tblLayout w:type="fixed"/>
          <w:tblCellMar>
            <w:top w:w="15" w:type="dxa"/>
            <w:left w:w="108" w:type="dxa"/>
            <w:bottom w:w="15" w:type="dxa"/>
            <w:right w:w="108" w:type="dxa"/>
          </w:tblCellMar>
        </w:tblPrEx>
        <w:trPr>
          <w:trHeight w:val="285" w:hRule="atLeast"/>
        </w:trPr>
        <w:tc>
          <w:tcPr>
            <w:tcW w:w="3058"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运营能力欠缺风险</w:t>
            </w:r>
          </w:p>
        </w:tc>
        <w:tc>
          <w:tcPr>
            <w:tcW w:w="2180" w:type="dxa"/>
            <w:tcBorders>
              <w:top w:val="nil"/>
              <w:left w:val="single" w:color="auto" w:sz="4" w:space="0"/>
              <w:bottom w:val="nil"/>
              <w:right w:val="single" w:color="auto" w:sz="4" w:space="0"/>
            </w:tcBorders>
            <w:noWrap/>
            <w:vAlign w:val="center"/>
          </w:tcPr>
          <w:p>
            <w:pPr>
              <w:widowControl/>
              <w:jc w:val="center"/>
              <w:rPr>
                <w:rFonts w:ascii="宋体" w:hAnsi="宋体" w:cs="宋体"/>
                <w:color w:val="000000"/>
                <w:kern w:val="0"/>
                <w:sz w:val="22"/>
              </w:rPr>
            </w:pPr>
          </w:p>
        </w:tc>
        <w:tc>
          <w:tcPr>
            <w:tcW w:w="3058" w:type="dxa"/>
            <w:tcBorders>
              <w:top w:val="nil"/>
              <w:left w:val="nil"/>
              <w:bottom w:val="nil"/>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不可抗力风险</w:t>
            </w:r>
          </w:p>
        </w:tc>
      </w:tr>
      <w:tr>
        <w:tblPrEx>
          <w:tblLayout w:type="fixed"/>
          <w:tblCellMar>
            <w:top w:w="15" w:type="dxa"/>
            <w:left w:w="108" w:type="dxa"/>
            <w:bottom w:w="15" w:type="dxa"/>
            <w:right w:w="108" w:type="dxa"/>
          </w:tblCellMar>
        </w:tblPrEx>
        <w:trPr>
          <w:trHeight w:val="285" w:hRule="atLeast"/>
        </w:trPr>
        <w:tc>
          <w:tcPr>
            <w:tcW w:w="305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设备质量风险</w:t>
            </w:r>
          </w:p>
        </w:tc>
        <w:tc>
          <w:tcPr>
            <w:tcW w:w="21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305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Times New Roman" w:cs="Times New Roman"/>
                <w:kern w:val="0"/>
                <w:sz w:val="20"/>
                <w:szCs w:val="20"/>
              </w:rPr>
            </w:pPr>
          </w:p>
        </w:tc>
      </w:tr>
      <w:bookmarkEnd w:id="123"/>
      <w:bookmarkEnd w:id="124"/>
    </w:tbl>
    <w:p>
      <w:pPr>
        <w:pStyle w:val="3"/>
        <w:rPr>
          <w:sz w:val="30"/>
          <w:szCs w:val="30"/>
        </w:rPr>
      </w:pPr>
      <w:bookmarkStart w:id="125" w:name="_Toc536625510"/>
      <w:r>
        <w:rPr>
          <w:rFonts w:hint="eastAsia"/>
          <w:sz w:val="30"/>
          <w:szCs w:val="30"/>
        </w:rPr>
        <w:t>4、项目风险控制</w:t>
      </w:r>
      <w:bookmarkEnd w:id="125"/>
    </w:p>
    <w:p>
      <w:pPr>
        <w:spacing w:line="360" w:lineRule="auto"/>
        <w:ind w:firstLine="420"/>
        <w:rPr>
          <w:rFonts w:asciiTheme="minorEastAsia" w:hAnsiTheme="minorEastAsia"/>
          <w:sz w:val="28"/>
          <w:szCs w:val="28"/>
        </w:rPr>
      </w:pPr>
      <w:bookmarkStart w:id="126" w:name="_Hlk481941905"/>
      <w:r>
        <w:rPr>
          <w:rFonts w:hint="eastAsia" w:asciiTheme="minorEastAsia" w:hAnsiTheme="minorEastAsia"/>
          <w:sz w:val="28"/>
          <w:szCs w:val="28"/>
        </w:rPr>
        <w:t>（1）前期风险的控制</w:t>
      </w:r>
    </w:p>
    <w:p>
      <w:pPr>
        <w:spacing w:line="360" w:lineRule="auto"/>
        <w:ind w:firstLine="420"/>
        <w:rPr>
          <w:rFonts w:asciiTheme="minorEastAsia" w:hAnsiTheme="minorEastAsia"/>
          <w:sz w:val="28"/>
          <w:szCs w:val="28"/>
        </w:rPr>
      </w:pPr>
      <w:r>
        <w:rPr>
          <w:rFonts w:hint="eastAsia" w:asciiTheme="minorEastAsia" w:hAnsiTheme="minorEastAsia"/>
          <w:sz w:val="28"/>
          <w:szCs w:val="28"/>
        </w:rPr>
        <w:t>融资风险的主要承担者为社会资本方，融资风险控制的主要可通过多方面采取措施，降低财务风险，积极落实资金来源，设计良好的投资方案，广泛利用各种金融工具，实现多元化的融资。</w:t>
      </w:r>
    </w:p>
    <w:p>
      <w:pPr>
        <w:spacing w:line="360" w:lineRule="auto"/>
        <w:ind w:firstLine="420"/>
        <w:rPr>
          <w:rFonts w:asciiTheme="minorEastAsia" w:hAnsiTheme="minorEastAsia"/>
          <w:sz w:val="28"/>
          <w:szCs w:val="28"/>
        </w:rPr>
      </w:pPr>
      <w:r>
        <w:rPr>
          <w:rFonts w:hint="eastAsia" w:asciiTheme="minorEastAsia" w:hAnsiTheme="minorEastAsia"/>
          <w:sz w:val="28"/>
          <w:szCs w:val="28"/>
        </w:rPr>
        <w:t>社会风险的主要承担者为政府方，可通过积极与当地村民沟通协调，在土地租用等方面积极配合，最大限度的保护农民利益，到达互助互利、共同发展目的。</w:t>
      </w:r>
    </w:p>
    <w:p>
      <w:pPr>
        <w:spacing w:line="360" w:lineRule="auto"/>
        <w:ind w:firstLine="420"/>
        <w:rPr>
          <w:rFonts w:asciiTheme="minorEastAsia" w:hAnsiTheme="minorEastAsia"/>
          <w:sz w:val="28"/>
          <w:szCs w:val="28"/>
        </w:rPr>
      </w:pPr>
      <w:r>
        <w:rPr>
          <w:rFonts w:hint="eastAsia" w:asciiTheme="minorEastAsia" w:hAnsiTheme="minorEastAsia"/>
          <w:sz w:val="28"/>
          <w:szCs w:val="28"/>
        </w:rPr>
        <w:t>（2）建设风险的控制</w:t>
      </w:r>
    </w:p>
    <w:p>
      <w:pPr>
        <w:spacing w:line="360" w:lineRule="auto"/>
        <w:ind w:firstLine="420"/>
        <w:rPr>
          <w:rFonts w:asciiTheme="minorEastAsia" w:hAnsiTheme="minorEastAsia"/>
          <w:sz w:val="28"/>
          <w:szCs w:val="28"/>
        </w:rPr>
      </w:pPr>
      <w:r>
        <w:rPr>
          <w:rFonts w:hint="eastAsia" w:asciiTheme="minorEastAsia" w:hAnsiTheme="minorEastAsia"/>
          <w:sz w:val="28"/>
          <w:szCs w:val="28"/>
        </w:rPr>
        <w:t>技术与设计风险的承担者为社会资本方，本项目的设计规划必须从实现专业功能需求入手，将前瞻性、实用性、人文性等要素综合起来，因地制宜，切合实际，避免由于设计方案不当可能带来的风险。</w:t>
      </w:r>
    </w:p>
    <w:p>
      <w:pPr>
        <w:spacing w:line="360" w:lineRule="auto"/>
        <w:ind w:firstLine="420"/>
        <w:rPr>
          <w:rFonts w:asciiTheme="minorEastAsia" w:hAnsiTheme="minorEastAsia"/>
          <w:sz w:val="28"/>
          <w:szCs w:val="28"/>
        </w:rPr>
      </w:pPr>
      <w:r>
        <w:rPr>
          <w:rFonts w:hint="eastAsia" w:asciiTheme="minorEastAsia" w:hAnsiTheme="minorEastAsia"/>
          <w:sz w:val="28"/>
          <w:szCs w:val="28"/>
        </w:rPr>
        <w:t>建设成本风险主要承担者为社会资本，风险控制可通过多方面采取措施，降低财务风险，积极落实资金来源，提高资本运营效率方面，优化工期、控制总建设规模，避免由于工期延长所带来的支出增加。</w:t>
      </w:r>
    </w:p>
    <w:p>
      <w:pPr>
        <w:spacing w:line="360" w:lineRule="auto"/>
        <w:ind w:firstLine="420"/>
        <w:rPr>
          <w:rFonts w:asciiTheme="minorEastAsia" w:hAnsiTheme="minorEastAsia"/>
          <w:sz w:val="28"/>
          <w:szCs w:val="28"/>
        </w:rPr>
      </w:pPr>
      <w:r>
        <w:rPr>
          <w:rFonts w:hint="eastAsia" w:asciiTheme="minorEastAsia" w:hAnsiTheme="minorEastAsia"/>
          <w:sz w:val="28"/>
          <w:szCs w:val="28"/>
        </w:rPr>
        <w:t>但是由于政府方设计变更等原因造成的建设成本增加，应由政府承担该部分超支风险。</w:t>
      </w:r>
    </w:p>
    <w:p>
      <w:pPr>
        <w:spacing w:line="360" w:lineRule="auto"/>
        <w:ind w:firstLine="420"/>
        <w:rPr>
          <w:rFonts w:asciiTheme="minorEastAsia" w:hAnsiTheme="minorEastAsia"/>
          <w:sz w:val="28"/>
          <w:szCs w:val="28"/>
        </w:rPr>
      </w:pPr>
      <w:r>
        <w:rPr>
          <w:rFonts w:hint="eastAsia" w:asciiTheme="minorEastAsia" w:hAnsiTheme="minorEastAsia"/>
          <w:sz w:val="28"/>
          <w:szCs w:val="28"/>
        </w:rPr>
        <w:t>（3）运营风险的控制</w:t>
      </w:r>
    </w:p>
    <w:p>
      <w:pPr>
        <w:spacing w:line="360" w:lineRule="auto"/>
        <w:ind w:firstLine="420"/>
        <w:rPr>
          <w:rFonts w:asciiTheme="minorEastAsia" w:hAnsiTheme="minorEastAsia"/>
          <w:sz w:val="28"/>
          <w:szCs w:val="28"/>
        </w:rPr>
      </w:pPr>
      <w:r>
        <w:rPr>
          <w:rFonts w:hint="eastAsia" w:asciiTheme="minorEastAsia" w:hAnsiTheme="minorEastAsia"/>
          <w:sz w:val="28"/>
          <w:szCs w:val="28"/>
        </w:rPr>
        <w:t>运营管理风险主要承担者为社会资本方，为实现风险控制，项目公司的领导层配置需有在项目融资、工程管理、公司管理、财务管理、人力资源等方面具有丰富实践经验,以提高项目公司的经营能力和管理能力。建立完善合理且有效的管理系统以及公司制度，加强人员管理培训，建立设备定期管理制度。</w:t>
      </w:r>
    </w:p>
    <w:p>
      <w:pPr>
        <w:spacing w:line="360" w:lineRule="auto"/>
        <w:ind w:firstLine="420"/>
        <w:rPr>
          <w:rFonts w:asciiTheme="minorEastAsia" w:hAnsiTheme="minorEastAsia"/>
          <w:sz w:val="28"/>
          <w:szCs w:val="28"/>
        </w:rPr>
      </w:pPr>
      <w:r>
        <w:rPr>
          <w:rFonts w:hint="eastAsia" w:asciiTheme="minorEastAsia" w:hAnsiTheme="minorEastAsia"/>
          <w:sz w:val="28"/>
          <w:szCs w:val="28"/>
        </w:rPr>
        <w:t>运营成本风险主要承担者为社会资本方，项目公司可通过高效的管理和技术的进步对运营成本进行控制。但由于进水水质超标等政府原因造成的运营成本增加由政府承担。</w:t>
      </w:r>
    </w:p>
    <w:p>
      <w:pPr>
        <w:spacing w:line="360" w:lineRule="auto"/>
        <w:ind w:firstLine="420"/>
        <w:rPr>
          <w:rFonts w:asciiTheme="minorEastAsia" w:hAnsiTheme="minorEastAsia"/>
          <w:sz w:val="28"/>
          <w:szCs w:val="28"/>
        </w:rPr>
      </w:pPr>
      <w:r>
        <w:rPr>
          <w:rFonts w:hint="eastAsia" w:asciiTheme="minorEastAsia" w:hAnsiTheme="minorEastAsia"/>
          <w:sz w:val="28"/>
          <w:szCs w:val="28"/>
        </w:rPr>
        <w:t>（4）移交风险的控制</w:t>
      </w:r>
    </w:p>
    <w:p>
      <w:pPr>
        <w:spacing w:line="360" w:lineRule="auto"/>
        <w:ind w:firstLine="420"/>
        <w:rPr>
          <w:rFonts w:asciiTheme="minorEastAsia" w:hAnsiTheme="minorEastAsia"/>
          <w:sz w:val="28"/>
          <w:szCs w:val="28"/>
        </w:rPr>
      </w:pPr>
      <w:r>
        <w:rPr>
          <w:rFonts w:hint="eastAsia" w:asciiTheme="minorEastAsia" w:hAnsiTheme="minorEastAsia"/>
          <w:sz w:val="28"/>
          <w:szCs w:val="28"/>
        </w:rPr>
        <w:t>移交风险主要为设备设施、主体及附属工程的质量风险，项目公司可通过运营期高效高质的运营管理，保证设备设施的完好和功能完善，并最终移交成功。</w:t>
      </w:r>
    </w:p>
    <w:p>
      <w:pPr>
        <w:spacing w:line="360" w:lineRule="auto"/>
        <w:ind w:firstLine="420"/>
        <w:rPr>
          <w:rFonts w:asciiTheme="minorEastAsia" w:hAnsiTheme="minorEastAsia"/>
          <w:sz w:val="28"/>
          <w:szCs w:val="28"/>
        </w:rPr>
      </w:pPr>
      <w:r>
        <w:rPr>
          <w:rFonts w:hint="eastAsia" w:asciiTheme="minorEastAsia" w:hAnsiTheme="minorEastAsia"/>
          <w:sz w:val="28"/>
          <w:szCs w:val="28"/>
        </w:rPr>
        <w:t>（5）政策风险的控制</w:t>
      </w:r>
    </w:p>
    <w:p>
      <w:pPr>
        <w:spacing w:line="360" w:lineRule="auto"/>
        <w:ind w:firstLine="420"/>
        <w:rPr>
          <w:rFonts w:asciiTheme="minorEastAsia" w:hAnsiTheme="minorEastAsia"/>
          <w:sz w:val="28"/>
          <w:szCs w:val="28"/>
        </w:rPr>
      </w:pPr>
      <w:r>
        <w:rPr>
          <w:rFonts w:hint="eastAsia" w:asciiTheme="minorEastAsia" w:hAnsiTheme="minorEastAsia"/>
          <w:sz w:val="28"/>
          <w:szCs w:val="28"/>
        </w:rPr>
        <w:t>政府则应该进行职能转变,与社会其他部门构建良好的伙伴关系，建立PPP中心,保护项目公司和PPP项目顺利进行的同时,也起到规范和监管的作用，应该完善相关PPP模式的法律制度,用法律对政府部门与企业部门在项目中承担的责任、义务和风险进行明确界定。</w:t>
      </w:r>
    </w:p>
    <w:p>
      <w:pPr>
        <w:spacing w:line="360" w:lineRule="auto"/>
        <w:ind w:firstLine="420"/>
        <w:rPr>
          <w:rFonts w:asciiTheme="minorEastAsia" w:hAnsiTheme="minorEastAsia"/>
          <w:sz w:val="28"/>
          <w:szCs w:val="28"/>
        </w:rPr>
      </w:pPr>
      <w:r>
        <w:rPr>
          <w:rFonts w:hint="eastAsia" w:asciiTheme="minorEastAsia" w:hAnsiTheme="minorEastAsia"/>
          <w:sz w:val="28"/>
          <w:szCs w:val="28"/>
        </w:rPr>
        <w:t>（6）规划风险</w:t>
      </w:r>
    </w:p>
    <w:p>
      <w:pPr>
        <w:spacing w:line="360" w:lineRule="auto"/>
        <w:ind w:firstLine="420"/>
        <w:rPr>
          <w:rFonts w:asciiTheme="minorEastAsia" w:hAnsiTheme="minorEastAsia"/>
          <w:sz w:val="28"/>
          <w:szCs w:val="28"/>
        </w:rPr>
      </w:pPr>
      <w:r>
        <w:rPr>
          <w:rFonts w:hint="eastAsia" w:asciiTheme="minorEastAsia" w:hAnsiTheme="minorEastAsia"/>
          <w:sz w:val="28"/>
          <w:szCs w:val="28"/>
        </w:rPr>
        <w:t>加强与规划设计单位的沟通，充分落实和评审施工单位的施工方案，同时对于一些用量大的可供选择的设备和建材做好招标比选工作，以避免选材不当带来的技术风险。</w:t>
      </w:r>
    </w:p>
    <w:p>
      <w:pPr>
        <w:spacing w:line="360" w:lineRule="auto"/>
        <w:ind w:firstLine="420"/>
        <w:rPr>
          <w:rFonts w:asciiTheme="minorEastAsia" w:hAnsiTheme="minorEastAsia"/>
          <w:sz w:val="28"/>
          <w:szCs w:val="28"/>
        </w:rPr>
      </w:pPr>
      <w:r>
        <w:rPr>
          <w:rFonts w:hint="eastAsia" w:asciiTheme="minorEastAsia" w:hAnsiTheme="minorEastAsia"/>
          <w:sz w:val="28"/>
          <w:szCs w:val="28"/>
        </w:rPr>
        <w:t>（7）法律风险的控制</w:t>
      </w:r>
    </w:p>
    <w:p>
      <w:pPr>
        <w:spacing w:line="360" w:lineRule="auto"/>
        <w:ind w:firstLine="420"/>
        <w:rPr>
          <w:rFonts w:asciiTheme="minorEastAsia" w:hAnsiTheme="minorEastAsia"/>
          <w:sz w:val="28"/>
          <w:szCs w:val="28"/>
        </w:rPr>
      </w:pPr>
      <w:r>
        <w:rPr>
          <w:rFonts w:hint="eastAsia" w:asciiTheme="minorEastAsia" w:hAnsiTheme="minorEastAsia"/>
          <w:sz w:val="28"/>
          <w:szCs w:val="28"/>
        </w:rPr>
        <w:t>由于PPP的立法还不完善，现有法律以及各项规定对某些问题的解释和要求会存在一定的交叉。对于项目公司来说，应确保各项协议、约定符合相关法律法规的要求，在合同条款的设置上仔细斟酌,严格执行合同以维护各当事方的合法权益,保证权力和义务的履行。</w:t>
      </w:r>
    </w:p>
    <w:p>
      <w:pPr>
        <w:spacing w:line="360" w:lineRule="auto"/>
        <w:ind w:firstLine="420"/>
        <w:rPr>
          <w:rFonts w:asciiTheme="minorEastAsia" w:hAnsiTheme="minorEastAsia"/>
          <w:sz w:val="28"/>
          <w:szCs w:val="28"/>
        </w:rPr>
      </w:pPr>
      <w:r>
        <w:rPr>
          <w:rFonts w:hint="eastAsia" w:asciiTheme="minorEastAsia" w:hAnsiTheme="minorEastAsia"/>
          <w:sz w:val="28"/>
          <w:szCs w:val="28"/>
        </w:rPr>
        <w:t>（8）不可抗力风险的控制</w:t>
      </w:r>
    </w:p>
    <w:p>
      <w:pPr>
        <w:pStyle w:val="8"/>
        <w:autoSpaceDN/>
        <w:spacing w:before="43" w:line="278" w:lineRule="auto"/>
        <w:ind w:right="246"/>
        <w:jc w:val="both"/>
      </w:pPr>
      <w:r>
        <w:rPr>
          <w:rFonts w:hint="eastAsia" w:asciiTheme="minorEastAsia" w:hAnsiTheme="minorEastAsia"/>
          <w:sz w:val="28"/>
          <w:szCs w:val="28"/>
        </w:rPr>
        <w:t>在PPP项目签订的一系列合同及法律文件中，需要对与不可抗力风险有关的问题进行严格的约束，并且保证在出现相关风险问题的时候，政府相关部门应以延长合作期限、调整服务费或其他措施协助社会资本解决问题，尽量保证双方经济效益和社会效益的最优化。</w:t>
      </w:r>
      <w:bookmarkEnd w:id="126"/>
    </w:p>
    <w:sectPr>
      <w:footerReference r:id="rId4" w:type="default"/>
      <w:pgSz w:w="11849" w:h="16781"/>
      <w:pgMar w:top="1440" w:right="1217" w:bottom="1440" w:left="1803" w:header="851" w:footer="992" w:gutter="0"/>
      <w:pgNumType w:fmt="decimal"/>
      <w:cols w:space="720" w:num="1"/>
      <w:titlePg/>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inherit">
    <w:altName w:val="Cambria"/>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3A0FE"/>
    <w:multiLevelType w:val="singleLevel"/>
    <w:tmpl w:val="4043A0FE"/>
    <w:lvl w:ilvl="0" w:tentative="0">
      <w:start w:val="1"/>
      <w:numFmt w:val="decimal"/>
      <w:suff w:val="nothing"/>
      <w:lvlText w:val="%1、"/>
      <w:lvlJc w:val="left"/>
    </w:lvl>
  </w:abstractNum>
  <w:abstractNum w:abstractNumId="1">
    <w:nsid w:val="41FF1B42"/>
    <w:multiLevelType w:val="multilevel"/>
    <w:tmpl w:val="41FF1B42"/>
    <w:lvl w:ilvl="0" w:tentative="0">
      <w:start w:val="1"/>
      <w:numFmt w:val="decimal"/>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9B11739"/>
    <w:multiLevelType w:val="singleLevel"/>
    <w:tmpl w:val="59B11739"/>
    <w:lvl w:ilvl="0" w:tentative="0">
      <w:start w:val="1"/>
      <w:numFmt w:val="decimal"/>
      <w:suff w:val="nothing"/>
      <w:lvlText w:val="（%1）"/>
      <w:lvlJc w:val="left"/>
    </w:lvl>
  </w:abstractNum>
  <w:abstractNum w:abstractNumId="3">
    <w:nsid w:val="59FC3CC6"/>
    <w:multiLevelType w:val="singleLevel"/>
    <w:tmpl w:val="59FC3CC6"/>
    <w:lvl w:ilvl="0" w:tentative="0">
      <w:start w:val="1"/>
      <w:numFmt w:val="decimal"/>
      <w:pStyle w:val="21"/>
      <w:suff w:val="nothing"/>
      <w:lvlText w:val="（%1）"/>
      <w:lvlJc w:val="left"/>
    </w:lvl>
  </w:abstractNum>
  <w:abstractNum w:abstractNumId="4">
    <w:nsid w:val="59FC3E95"/>
    <w:multiLevelType w:val="singleLevel"/>
    <w:tmpl w:val="59FC3E95"/>
    <w:lvl w:ilvl="0" w:tentative="0">
      <w:start w:val="1"/>
      <w:numFmt w:val="decimal"/>
      <w:lvlText w:val="(%1)"/>
      <w:lvlJc w:val="left"/>
      <w:pPr>
        <w:tabs>
          <w:tab w:val="left" w:pos="312"/>
        </w:tabs>
      </w:pPr>
    </w:lvl>
  </w:abstractNum>
  <w:abstractNum w:abstractNumId="5">
    <w:nsid w:val="59FC4271"/>
    <w:multiLevelType w:val="singleLevel"/>
    <w:tmpl w:val="59FC4271"/>
    <w:lvl w:ilvl="0" w:tentative="0">
      <w:start w:val="1"/>
      <w:numFmt w:val="decimal"/>
      <w:suff w:val="nothing"/>
      <w:lvlText w:val="（%1）"/>
      <w:lvlJc w:val="left"/>
    </w:lvl>
  </w:abstractNum>
  <w:abstractNum w:abstractNumId="6">
    <w:nsid w:val="59FC4698"/>
    <w:multiLevelType w:val="singleLevel"/>
    <w:tmpl w:val="59FC4698"/>
    <w:lvl w:ilvl="0" w:tentative="0">
      <w:start w:val="1"/>
      <w:numFmt w:val="decimal"/>
      <w:suff w:val="nothing"/>
      <w:lvlText w:val="（%1）"/>
      <w:lvlJc w:val="left"/>
    </w:lvl>
  </w:abstractNum>
  <w:abstractNum w:abstractNumId="7">
    <w:nsid w:val="59FC4CCC"/>
    <w:multiLevelType w:val="singleLevel"/>
    <w:tmpl w:val="59FC4CCC"/>
    <w:lvl w:ilvl="0" w:tentative="0">
      <w:start w:val="1"/>
      <w:numFmt w:val="decimal"/>
      <w:suff w:val="nothing"/>
      <w:lvlText w:val="（%1）"/>
      <w:lvlJc w:val="left"/>
    </w:lvl>
  </w:abstractNum>
  <w:abstractNum w:abstractNumId="8">
    <w:nsid w:val="59FC4D84"/>
    <w:multiLevelType w:val="singleLevel"/>
    <w:tmpl w:val="59FC4D84"/>
    <w:lvl w:ilvl="0" w:tentative="0">
      <w:start w:val="11"/>
      <w:numFmt w:val="decimal"/>
      <w:suff w:val="nothing"/>
      <w:lvlText w:val="（%1）"/>
      <w:lvlJc w:val="left"/>
    </w:lvl>
  </w:abstractNum>
  <w:abstractNum w:abstractNumId="9">
    <w:nsid w:val="7C246926"/>
    <w:multiLevelType w:val="multilevel"/>
    <w:tmpl w:val="7C246926"/>
    <w:lvl w:ilvl="0" w:tentative="0">
      <w:start w:val="1"/>
      <w:numFmt w:val="decimal"/>
      <w:lvlText w:val="（%1）"/>
      <w:lvlJc w:val="left"/>
      <w:pPr>
        <w:ind w:left="293" w:hanging="532"/>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288" w:hanging="532"/>
      </w:pPr>
      <w:rPr>
        <w:rFonts w:hint="default"/>
        <w:lang w:val="zh-CN" w:eastAsia="zh-CN" w:bidi="zh-CN"/>
      </w:rPr>
    </w:lvl>
    <w:lvl w:ilvl="2" w:tentative="0">
      <w:start w:val="0"/>
      <w:numFmt w:val="bullet"/>
      <w:lvlText w:val="•"/>
      <w:lvlJc w:val="left"/>
      <w:pPr>
        <w:ind w:left="2277" w:hanging="532"/>
      </w:pPr>
      <w:rPr>
        <w:rFonts w:hint="default"/>
        <w:lang w:val="zh-CN" w:eastAsia="zh-CN" w:bidi="zh-CN"/>
      </w:rPr>
    </w:lvl>
    <w:lvl w:ilvl="3" w:tentative="0">
      <w:start w:val="0"/>
      <w:numFmt w:val="bullet"/>
      <w:lvlText w:val="•"/>
      <w:lvlJc w:val="left"/>
      <w:pPr>
        <w:ind w:left="3265" w:hanging="532"/>
      </w:pPr>
      <w:rPr>
        <w:rFonts w:hint="default"/>
        <w:lang w:val="zh-CN" w:eastAsia="zh-CN" w:bidi="zh-CN"/>
      </w:rPr>
    </w:lvl>
    <w:lvl w:ilvl="4" w:tentative="0">
      <w:start w:val="0"/>
      <w:numFmt w:val="bullet"/>
      <w:lvlText w:val="•"/>
      <w:lvlJc w:val="left"/>
      <w:pPr>
        <w:ind w:left="4254" w:hanging="532"/>
      </w:pPr>
      <w:rPr>
        <w:rFonts w:hint="default"/>
        <w:lang w:val="zh-CN" w:eastAsia="zh-CN" w:bidi="zh-CN"/>
      </w:rPr>
    </w:lvl>
    <w:lvl w:ilvl="5" w:tentative="0">
      <w:start w:val="0"/>
      <w:numFmt w:val="bullet"/>
      <w:lvlText w:val="•"/>
      <w:lvlJc w:val="left"/>
      <w:pPr>
        <w:ind w:left="5243" w:hanging="532"/>
      </w:pPr>
      <w:rPr>
        <w:rFonts w:hint="default"/>
        <w:lang w:val="zh-CN" w:eastAsia="zh-CN" w:bidi="zh-CN"/>
      </w:rPr>
    </w:lvl>
    <w:lvl w:ilvl="6" w:tentative="0">
      <w:start w:val="0"/>
      <w:numFmt w:val="bullet"/>
      <w:lvlText w:val="•"/>
      <w:lvlJc w:val="left"/>
      <w:pPr>
        <w:ind w:left="6231" w:hanging="532"/>
      </w:pPr>
      <w:rPr>
        <w:rFonts w:hint="default"/>
        <w:lang w:val="zh-CN" w:eastAsia="zh-CN" w:bidi="zh-CN"/>
      </w:rPr>
    </w:lvl>
    <w:lvl w:ilvl="7" w:tentative="0">
      <w:start w:val="0"/>
      <w:numFmt w:val="bullet"/>
      <w:lvlText w:val="•"/>
      <w:lvlJc w:val="left"/>
      <w:pPr>
        <w:ind w:left="7220" w:hanging="532"/>
      </w:pPr>
      <w:rPr>
        <w:rFonts w:hint="default"/>
        <w:lang w:val="zh-CN" w:eastAsia="zh-CN" w:bidi="zh-CN"/>
      </w:rPr>
    </w:lvl>
    <w:lvl w:ilvl="8" w:tentative="0">
      <w:start w:val="0"/>
      <w:numFmt w:val="bullet"/>
      <w:lvlText w:val="•"/>
      <w:lvlJc w:val="left"/>
      <w:pPr>
        <w:ind w:left="8209" w:hanging="532"/>
      </w:pPr>
      <w:rPr>
        <w:rFonts w:hint="default"/>
        <w:lang w:val="zh-CN" w:eastAsia="zh-CN" w:bidi="zh-CN"/>
      </w:rPr>
    </w:lvl>
  </w:abstractNum>
  <w:num w:numId="1">
    <w:abstractNumId w:val="3"/>
  </w:num>
  <w:num w:numId="2">
    <w:abstractNumId w:val="4"/>
  </w:num>
  <w:num w:numId="3">
    <w:abstractNumId w:val="5"/>
  </w:num>
  <w:num w:numId="4">
    <w:abstractNumId w:val="6"/>
  </w:num>
  <w:num w:numId="5">
    <w:abstractNumId w:val="0"/>
  </w:num>
  <w:num w:numId="6">
    <w:abstractNumId w:val="7"/>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E11E8"/>
    <w:rsid w:val="002F5792"/>
    <w:rsid w:val="003E01DA"/>
    <w:rsid w:val="00B47A67"/>
    <w:rsid w:val="01AC4303"/>
    <w:rsid w:val="02F02B12"/>
    <w:rsid w:val="03B82EBD"/>
    <w:rsid w:val="067E1AA8"/>
    <w:rsid w:val="09B45A80"/>
    <w:rsid w:val="09C32C74"/>
    <w:rsid w:val="0CCB4A6A"/>
    <w:rsid w:val="0D724372"/>
    <w:rsid w:val="0DE90946"/>
    <w:rsid w:val="0E4B0CEA"/>
    <w:rsid w:val="0FC564E4"/>
    <w:rsid w:val="11585EDA"/>
    <w:rsid w:val="11D83E7A"/>
    <w:rsid w:val="12C540A1"/>
    <w:rsid w:val="13164554"/>
    <w:rsid w:val="13B70724"/>
    <w:rsid w:val="14AC0775"/>
    <w:rsid w:val="15A55D10"/>
    <w:rsid w:val="1A3B274A"/>
    <w:rsid w:val="1A5A2880"/>
    <w:rsid w:val="1BB331CF"/>
    <w:rsid w:val="1EDE2962"/>
    <w:rsid w:val="208861E2"/>
    <w:rsid w:val="229A70DD"/>
    <w:rsid w:val="23096B1B"/>
    <w:rsid w:val="246A132A"/>
    <w:rsid w:val="29C73CC4"/>
    <w:rsid w:val="29F862F0"/>
    <w:rsid w:val="2A5D2E70"/>
    <w:rsid w:val="2AB05685"/>
    <w:rsid w:val="2AEB1772"/>
    <w:rsid w:val="2BF35ED3"/>
    <w:rsid w:val="2DAC5E52"/>
    <w:rsid w:val="2E407841"/>
    <w:rsid w:val="2EFC3805"/>
    <w:rsid w:val="2F0E18D3"/>
    <w:rsid w:val="2F240286"/>
    <w:rsid w:val="312C0569"/>
    <w:rsid w:val="31A867AD"/>
    <w:rsid w:val="332D3601"/>
    <w:rsid w:val="34D97709"/>
    <w:rsid w:val="37EA58F7"/>
    <w:rsid w:val="38163305"/>
    <w:rsid w:val="39597FE1"/>
    <w:rsid w:val="39F25FA9"/>
    <w:rsid w:val="3ABA7902"/>
    <w:rsid w:val="3B4F1B50"/>
    <w:rsid w:val="3DC73EB4"/>
    <w:rsid w:val="3EDC43C3"/>
    <w:rsid w:val="40A05C2B"/>
    <w:rsid w:val="41B22995"/>
    <w:rsid w:val="42E524C4"/>
    <w:rsid w:val="45316DBC"/>
    <w:rsid w:val="46225216"/>
    <w:rsid w:val="468E11E8"/>
    <w:rsid w:val="479F23C2"/>
    <w:rsid w:val="47CD54F6"/>
    <w:rsid w:val="48C97E8A"/>
    <w:rsid w:val="4DDD045D"/>
    <w:rsid w:val="4F495E14"/>
    <w:rsid w:val="50847D61"/>
    <w:rsid w:val="5094366A"/>
    <w:rsid w:val="51070AE5"/>
    <w:rsid w:val="52F04F02"/>
    <w:rsid w:val="559410ED"/>
    <w:rsid w:val="56AE5368"/>
    <w:rsid w:val="57220399"/>
    <w:rsid w:val="57F82D3B"/>
    <w:rsid w:val="59823F68"/>
    <w:rsid w:val="598D5583"/>
    <w:rsid w:val="5D0344BF"/>
    <w:rsid w:val="5E5F7A13"/>
    <w:rsid w:val="607B3AAD"/>
    <w:rsid w:val="608C716A"/>
    <w:rsid w:val="639D0E47"/>
    <w:rsid w:val="63E60176"/>
    <w:rsid w:val="64FA524F"/>
    <w:rsid w:val="655C3A48"/>
    <w:rsid w:val="67CD7E67"/>
    <w:rsid w:val="6C820453"/>
    <w:rsid w:val="6E7B0CC2"/>
    <w:rsid w:val="6F197131"/>
    <w:rsid w:val="70445142"/>
    <w:rsid w:val="7260428D"/>
    <w:rsid w:val="74180A4A"/>
    <w:rsid w:val="74C86C08"/>
    <w:rsid w:val="755D5406"/>
    <w:rsid w:val="75C0563E"/>
    <w:rsid w:val="76CB43C6"/>
    <w:rsid w:val="774F4D1E"/>
    <w:rsid w:val="77C8481B"/>
    <w:rsid w:val="78C819CA"/>
    <w:rsid w:val="79A54BD2"/>
    <w:rsid w:val="79E562F4"/>
    <w:rsid w:val="7D1345D8"/>
    <w:rsid w:val="7D416130"/>
    <w:rsid w:val="7D6418FA"/>
    <w:rsid w:val="7DB2556B"/>
    <w:rsid w:val="7DFC51BD"/>
    <w:rsid w:val="7FA049DF"/>
    <w:rsid w:val="7FD7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Cambria" w:hAnsi="Cambria"/>
      <w:b/>
      <w:bCs/>
      <w:sz w:val="32"/>
      <w:szCs w:val="32"/>
      <w:lang w:val="zh-CN"/>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1"/>
    <w:pPr>
      <w:ind w:left="775"/>
      <w:outlineLvl w:val="3"/>
    </w:pPr>
    <w:rPr>
      <w:b/>
      <w:bCs/>
      <w:sz w:val="24"/>
      <w:szCs w:val="24"/>
    </w:rPr>
  </w:style>
  <w:style w:type="character" w:default="1" w:styleId="16">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rPr>
      <w:rFonts w:asciiTheme="minorHAnsi" w:hAnsiTheme="minorHAnsi" w:eastAsiaTheme="minorEastAsia" w:cstheme="minorBidi"/>
    </w:rPr>
  </w:style>
  <w:style w:type="paragraph" w:styleId="8">
    <w:name w:val="Body Text"/>
    <w:basedOn w:val="1"/>
    <w:qFormat/>
    <w:uiPriority w:val="1"/>
    <w:rPr>
      <w:sz w:val="21"/>
      <w:szCs w:val="21"/>
    </w:rPr>
  </w:style>
  <w:style w:type="paragraph" w:styleId="9">
    <w:name w:val="toc 3"/>
    <w:basedOn w:val="1"/>
    <w:next w:val="1"/>
    <w:qFormat/>
    <w:uiPriority w:val="39"/>
    <w:pPr>
      <w:tabs>
        <w:tab w:val="right" w:leader="dot" w:pos="8777"/>
      </w:tabs>
      <w:spacing w:line="480" w:lineRule="exact"/>
      <w:ind w:left="482" w:firstLine="103" w:firstLineChars="43"/>
      <w:jc w:val="left"/>
    </w:pPr>
    <w:rPr>
      <w:rFonts w:ascii="Calibri" w:hAnsi="Calibri"/>
      <w:i/>
      <w:iCs/>
      <w:sz w:val="20"/>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14">
    <w:name w:val="Normal (Web)"/>
    <w:basedOn w:val="1"/>
    <w:semiHidden/>
    <w:unhideWhenUsed/>
    <w:qFormat/>
    <w:uiPriority w:val="99"/>
    <w:pPr>
      <w:widowControl/>
      <w:spacing w:before="100" w:beforeAutospacing="1" w:after="100" w:afterAutospacing="1"/>
      <w:jc w:val="left"/>
    </w:pPr>
    <w:rPr>
      <w:rFonts w:eastAsiaTheme="minorEastAsia"/>
      <w:kern w:val="0"/>
      <w:sz w:val="24"/>
    </w:rPr>
  </w:style>
  <w:style w:type="paragraph" w:styleId="15">
    <w:name w:val="Title"/>
    <w:basedOn w:val="1"/>
    <w:next w:val="1"/>
    <w:qFormat/>
    <w:uiPriority w:val="0"/>
    <w:pPr>
      <w:spacing w:before="240" w:after="60"/>
      <w:jc w:val="center"/>
      <w:outlineLvl w:val="0"/>
    </w:pPr>
    <w:rPr>
      <w:rFonts w:ascii="Cambria" w:hAnsi="Cambria" w:eastAsiaTheme="minorEastAsia" w:cstheme="minorBidi"/>
      <w:b/>
      <w:bCs/>
      <w:sz w:val="36"/>
      <w:szCs w:val="32"/>
    </w:rPr>
  </w:style>
  <w:style w:type="character" w:styleId="17">
    <w:name w:val="Strong"/>
    <w:qFormat/>
    <w:uiPriority w:val="22"/>
    <w:rPr>
      <w:b/>
    </w:rPr>
  </w:style>
  <w:style w:type="character" w:styleId="18">
    <w:name w:val="Emphasis"/>
    <w:basedOn w:val="16"/>
    <w:qFormat/>
    <w:uiPriority w:val="20"/>
    <w:rPr>
      <w:i/>
      <w:iCs/>
    </w:rPr>
  </w:style>
  <w:style w:type="character" w:styleId="19">
    <w:name w:val="Hyperlink"/>
    <w:qFormat/>
    <w:uiPriority w:val="99"/>
    <w:rPr>
      <w:color w:val="000000"/>
      <w:u w:val="none"/>
    </w:rPr>
  </w:style>
  <w:style w:type="paragraph" w:customStyle="1" w:styleId="21">
    <w:name w:val="项目"/>
    <w:basedOn w:val="1"/>
    <w:qFormat/>
    <w:uiPriority w:val="0"/>
    <w:pPr>
      <w:numPr>
        <w:ilvl w:val="0"/>
        <w:numId w:val="1"/>
      </w:numPr>
      <w:spacing w:line="360" w:lineRule="auto"/>
    </w:pPr>
    <w:rPr>
      <w:rFonts w:ascii="宋体" w:hAnsi="宋体" w:eastAsiaTheme="minorEastAsia" w:cstheme="minorBidi"/>
      <w:color w:val="000000"/>
      <w:szCs w:val="22"/>
      <w:lang w:val="zh-CN"/>
    </w:rPr>
  </w:style>
  <w:style w:type="paragraph" w:customStyle="1" w:styleId="2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
    <w:name w:val="S202正文"/>
    <w:basedOn w:val="1"/>
    <w:qFormat/>
    <w:uiPriority w:val="0"/>
    <w:pPr>
      <w:spacing w:line="360" w:lineRule="auto"/>
      <w:ind w:firstLine="480" w:firstLineChars="200"/>
    </w:pPr>
    <w:rPr>
      <w:rFonts w:ascii="宋体" w:hAnsi="宋体"/>
      <w:kern w:val="0"/>
    </w:rPr>
  </w:style>
  <w:style w:type="paragraph" w:customStyle="1" w:styleId="24">
    <w:name w:val="Table Paragraph"/>
    <w:basedOn w:val="1"/>
    <w:qFormat/>
    <w:uiPriority w:val="1"/>
  </w:style>
  <w:style w:type="paragraph" w:styleId="25">
    <w:name w:val="List Paragraph"/>
    <w:basedOn w:val="1"/>
    <w:qFormat/>
    <w:uiPriority w:val="1"/>
    <w:pPr>
      <w:ind w:left="1082" w:hanging="367"/>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emf"/><Relationship Id="rId15" Type="http://schemas.openxmlformats.org/officeDocument/2006/relationships/oleObject" Target="embeddings/oleObject3.bin"/><Relationship Id="rId14" Type="http://schemas.openxmlformats.org/officeDocument/2006/relationships/image" Target="media/image7.jpeg"/><Relationship Id="rId13" Type="http://schemas.openxmlformats.org/officeDocument/2006/relationships/image" Target="media/image6.wmf"/><Relationship Id="rId12" Type="http://schemas.openxmlformats.org/officeDocument/2006/relationships/oleObject" Target="embeddings/oleObject2.bin"/><Relationship Id="rId11" Type="http://schemas.openxmlformats.org/officeDocument/2006/relationships/image" Target="media/image5.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2019-09-11T01:43:00Z</dcterms:created>
  <dc:creator>Administrator</dc:creator>
  <cp:lastModifiedBy>Administrator</cp:lastModifiedBy>
  <dcterms:modified xsi:type="dcterms:W3CDTF">2019-09-23T02:17:12Z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