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bCs/>
          <w:color w:val="000000" w:themeColor="text1"/>
          <w:sz w:val="84"/>
          <w:szCs w:val="84"/>
          <w:lang w:val="en-US" w:eastAsia="zh-CN"/>
          <w14:textFill>
            <w14:solidFill>
              <w14:schemeClr w14:val="tx1"/>
            </w14:solidFill>
          </w14:textFill>
        </w:rPr>
      </w:pPr>
    </w:p>
    <w:p>
      <w:pPr>
        <w:pStyle w:val="35"/>
        <w:ind w:left="0"/>
        <w:rPr>
          <w:rFonts w:ascii="宋体" w:hAnsi="宋体" w:cs="宋体"/>
          <w:b/>
          <w:bCs/>
          <w:color w:val="000000" w:themeColor="text1"/>
          <w:sz w:val="84"/>
          <w:szCs w:val="84"/>
          <w:lang w:val="zh-CN"/>
          <w14:textFill>
            <w14:solidFill>
              <w14:schemeClr w14:val="tx1"/>
            </w14:solidFill>
          </w14:textFill>
        </w:rPr>
      </w:pPr>
    </w:p>
    <w:p>
      <w:pPr>
        <w:pStyle w:val="37"/>
        <w:ind w:firstLine="420"/>
        <w:rPr>
          <w:color w:val="000000" w:themeColor="text1"/>
          <w:lang w:val="zh-CN"/>
          <w14:textFill>
            <w14:solidFill>
              <w14:schemeClr w14:val="tx1"/>
            </w14:solidFill>
          </w14:textFill>
        </w:rPr>
      </w:pPr>
    </w:p>
    <w:p>
      <w:pPr>
        <w:autoSpaceDE w:val="0"/>
        <w:autoSpaceDN w:val="0"/>
        <w:adjustRightInd w:val="0"/>
        <w:spacing w:line="720" w:lineRule="auto"/>
        <w:ind w:firstLine="1687"/>
        <w:rPr>
          <w:color w:val="000000" w:themeColor="text1"/>
          <w14:textFill>
            <w14:solidFill>
              <w14:schemeClr w14:val="tx1"/>
            </w14:solidFill>
          </w14:textFill>
        </w:rPr>
      </w:pPr>
      <w:r>
        <w:rPr>
          <w:rFonts w:hint="eastAsia" w:ascii="宋体" w:hAnsi="宋体" w:cs="宋体"/>
          <w:b/>
          <w:bCs/>
          <w:color w:val="000000" w:themeColor="text1"/>
          <w:sz w:val="84"/>
          <w:szCs w:val="84"/>
          <w:lang w:val="zh-CN"/>
          <w14:textFill>
            <w14:solidFill>
              <w14:schemeClr w14:val="tx1"/>
            </w14:solidFill>
          </w14:textFill>
        </w:rPr>
        <w:t>竞争性磋商文件</w:t>
      </w:r>
    </w:p>
    <w:p>
      <w:pPr>
        <w:pStyle w:val="8"/>
        <w:spacing w:line="720" w:lineRule="auto"/>
        <w:ind w:firstLine="420"/>
        <w:rPr>
          <w:color w:val="000000" w:themeColor="text1"/>
          <w14:textFill>
            <w14:solidFill>
              <w14:schemeClr w14:val="tx1"/>
            </w14:solidFill>
          </w14:textFill>
        </w:rPr>
      </w:pPr>
    </w:p>
    <w:p>
      <w:pPr>
        <w:pStyle w:val="31"/>
        <w:outlineLvl w:val="9"/>
        <w:rPr>
          <w:color w:val="000000" w:themeColor="text1"/>
          <w14:textFill>
            <w14:solidFill>
              <w14:schemeClr w14:val="tx1"/>
            </w14:solidFill>
          </w14:textFill>
        </w:rPr>
      </w:pPr>
    </w:p>
    <w:p>
      <w:pPr>
        <w:pStyle w:val="33"/>
        <w:ind w:firstLine="42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840" w:lineRule="auto"/>
        <w:ind w:right="-340" w:rightChars="-162" w:firstLine="360" w:firstLineChars="100"/>
        <w:textAlignment w:val="baseline"/>
        <w:rPr>
          <w:rFonts w:ascii="宋体" w:cs="Times New Roman"/>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b/>
          <w:sz w:val="36"/>
          <w:szCs w:val="36"/>
          <w:lang w:eastAsia="zh-CN"/>
        </w:rPr>
        <w:t>都</w:t>
      </w:r>
      <w:r>
        <w:rPr>
          <w:rFonts w:hint="eastAsia" w:ascii="宋体" w:hAnsi="宋体"/>
          <w:b/>
          <w:sz w:val="36"/>
          <w:szCs w:val="36"/>
        </w:rPr>
        <w:t>政采磋商（货物）2022-</w:t>
      </w:r>
      <w:r>
        <w:rPr>
          <w:rFonts w:hint="eastAsia" w:ascii="宋体" w:hAnsi="宋体"/>
          <w:b/>
          <w:sz w:val="36"/>
          <w:szCs w:val="36"/>
          <w:lang w:val="en-US" w:eastAsia="zh-CN"/>
        </w:rPr>
        <w:t>02</w:t>
      </w:r>
      <w:r>
        <w:rPr>
          <w:rFonts w:hint="eastAsia" w:ascii="宋体" w:hAnsi="宋体"/>
          <w:b/>
          <w:sz w:val="36"/>
          <w:szCs w:val="36"/>
        </w:rPr>
        <w:t>号</w:t>
      </w:r>
    </w:p>
    <w:p>
      <w:pPr>
        <w:adjustRightInd w:val="0"/>
        <w:spacing w:line="360" w:lineRule="auto"/>
        <w:ind w:left="2835" w:leftChars="150" w:right="-247" w:rightChars="-118" w:hanging="2520" w:hangingChars="700"/>
        <w:textAlignment w:val="baseline"/>
        <w:rPr>
          <w:rFonts w:hint="default" w:ascii="宋体" w:hAnsi="宋体" w:eastAsia="宋体"/>
          <w:b/>
          <w:sz w:val="36"/>
          <w:szCs w:val="36"/>
          <w:lang w:val="en-US" w:eastAsia="zh-CN"/>
        </w:rPr>
      </w:pPr>
      <w:r>
        <w:rPr>
          <w:rFonts w:hint="eastAsia" w:ascii="宋体" w:hAnsi="宋体" w:cs="宋体"/>
          <w:b/>
          <w:bCs/>
          <w:color w:val="000000" w:themeColor="text1"/>
          <w:sz w:val="36"/>
          <w:szCs w:val="36"/>
          <w14:textFill>
            <w14:solidFill>
              <w14:schemeClr w14:val="tx1"/>
            </w14:solidFill>
          </w14:textFill>
        </w:rPr>
        <w:t>采购项目名称：</w:t>
      </w:r>
      <w:r>
        <w:rPr>
          <w:rFonts w:hint="eastAsia" w:ascii="宋体" w:hAnsi="宋体"/>
          <w:b/>
          <w:sz w:val="36"/>
          <w:szCs w:val="36"/>
          <w:lang w:eastAsia="zh-CN"/>
        </w:rPr>
        <w:t>都兰县</w:t>
      </w:r>
      <w:r>
        <w:rPr>
          <w:rFonts w:hint="eastAsia" w:ascii="宋体" w:hAnsi="宋体"/>
          <w:b/>
          <w:sz w:val="36"/>
          <w:szCs w:val="36"/>
          <w:lang w:val="en-US" w:eastAsia="zh-CN"/>
        </w:rPr>
        <w:t>2022年教育质量提升工程（包1）</w:t>
      </w:r>
    </w:p>
    <w:p>
      <w:pPr>
        <w:keepNext w:val="0"/>
        <w:keepLines w:val="0"/>
        <w:pageBreakBefore w:val="0"/>
        <w:widowControl w:val="0"/>
        <w:kinsoku/>
        <w:wordWrap/>
        <w:overflowPunct/>
        <w:topLinePunct w:val="0"/>
        <w:autoSpaceDE/>
        <w:autoSpaceDN/>
        <w:bidi w:val="0"/>
        <w:adjustRightInd w:val="0"/>
        <w:snapToGrid/>
        <w:spacing w:line="840" w:lineRule="auto"/>
        <w:ind w:left="2879" w:leftChars="171" w:hanging="2520" w:hangingChars="700"/>
        <w:textAlignment w:val="baseline"/>
        <w:rPr>
          <w:rFonts w:hint="eastAsia" w:ascii="宋体" w:hAnsi="宋体" w:eastAsia="宋体" w:cs="宋体"/>
          <w:b/>
          <w:bCs/>
          <w:color w:val="000000" w:themeColor="text1"/>
          <w:sz w:val="36"/>
          <w:szCs w:val="36"/>
          <w:highlight w:val="green"/>
          <w:lang w:eastAsia="zh-CN"/>
          <w14:textFill>
            <w14:solidFill>
              <w14:schemeClr w14:val="tx1"/>
            </w14:solidFill>
          </w14:textFill>
        </w:rPr>
      </w:pPr>
    </w:p>
    <w:p>
      <w:pPr>
        <w:adjustRightInd w:val="0"/>
        <w:spacing w:line="360" w:lineRule="auto"/>
        <w:ind w:right="-247" w:rightChars="-118" w:firstLine="360" w:firstLineChars="100"/>
        <w:textAlignment w:val="baseline"/>
        <w:rPr>
          <w:rFonts w:hint="eastAsia" w:ascii="宋体" w:hAnsi="宋体"/>
          <w:b/>
          <w:sz w:val="36"/>
          <w:szCs w:val="36"/>
        </w:rPr>
      </w:pPr>
      <w:r>
        <w:rPr>
          <w:rFonts w:hint="eastAsia" w:ascii="宋体" w:hAnsi="宋体" w:cs="宋体"/>
          <w:b/>
          <w:bCs/>
          <w:color w:val="000000" w:themeColor="text1"/>
          <w:sz w:val="36"/>
          <w:szCs w:val="36"/>
          <w14:textFill>
            <w14:solidFill>
              <w14:schemeClr w14:val="tx1"/>
            </w14:solidFill>
          </w14:textFill>
        </w:rPr>
        <w:t>采   购   人：</w:t>
      </w:r>
      <w:r>
        <w:rPr>
          <w:rFonts w:hint="eastAsia" w:ascii="宋体" w:hAnsi="宋体"/>
          <w:b/>
          <w:sz w:val="36"/>
          <w:szCs w:val="36"/>
          <w:lang w:eastAsia="zh-CN"/>
        </w:rPr>
        <w:t>都兰县</w:t>
      </w:r>
      <w:r>
        <w:rPr>
          <w:rFonts w:hint="eastAsia" w:ascii="宋体" w:hAnsi="宋体"/>
          <w:b/>
          <w:sz w:val="36"/>
          <w:szCs w:val="36"/>
        </w:rPr>
        <w:t>教育</w:t>
      </w:r>
      <w:r>
        <w:rPr>
          <w:rFonts w:hint="eastAsia" w:ascii="宋体" w:hAnsi="宋体"/>
          <w:b/>
          <w:sz w:val="36"/>
          <w:szCs w:val="36"/>
          <w:lang w:eastAsia="zh-CN"/>
        </w:rPr>
        <w:t>和科技</w:t>
      </w:r>
      <w:r>
        <w:rPr>
          <w:rFonts w:hint="eastAsia" w:ascii="宋体" w:hAnsi="宋体"/>
          <w:b/>
          <w:sz w:val="36"/>
          <w:szCs w:val="36"/>
        </w:rPr>
        <w:t>局</w:t>
      </w:r>
    </w:p>
    <w:p>
      <w:pPr>
        <w:keepNext w:val="0"/>
        <w:keepLines w:val="0"/>
        <w:pageBreakBefore w:val="0"/>
        <w:widowControl w:val="0"/>
        <w:kinsoku/>
        <w:wordWrap/>
        <w:overflowPunct/>
        <w:topLinePunct w:val="0"/>
        <w:autoSpaceDE/>
        <w:autoSpaceDN/>
        <w:bidi w:val="0"/>
        <w:snapToGrid/>
        <w:spacing w:line="840" w:lineRule="auto"/>
        <w:ind w:left="0" w:leftChars="0" w:firstLine="360" w:firstLineChars="100"/>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采购代理机构：</w:t>
      </w:r>
      <w:r>
        <w:rPr>
          <w:rFonts w:hint="eastAsia" w:ascii="宋体" w:hAnsi="宋体"/>
          <w:b/>
          <w:sz w:val="32"/>
          <w:szCs w:val="32"/>
          <w:lang w:eastAsia="zh-CN"/>
        </w:rPr>
        <w:t>都兰县政府采购服务中心</w:t>
      </w:r>
    </w:p>
    <w:p>
      <w:pPr>
        <w:pStyle w:val="23"/>
        <w:spacing w:line="720" w:lineRule="auto"/>
        <w:ind w:left="0" w:lef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pStyle w:val="52"/>
        <w:spacing w:line="720" w:lineRule="auto"/>
        <w:ind w:firstLine="420"/>
        <w:jc w:val="center"/>
        <w:rPr>
          <w:rFonts w:hint="eastAsia" w:ascii="宋体" w:hAnsi="宋体" w:eastAsia="宋体"/>
          <w:color w:val="000000" w:themeColor="text1"/>
          <w:sz w:val="24"/>
          <w:szCs w:val="24"/>
          <w:lang w:val="zh-CN" w:eastAsia="zh-CN"/>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066" w:bottom="1440" w:left="1800" w:header="851" w:footer="992" w:gutter="0"/>
          <w:pgNumType w:start="1"/>
          <w:cols w:space="0" w:num="1"/>
          <w:docGrid w:type="linesAndChars" w:linePitch="312" w:charSpace="0"/>
        </w:sectPr>
      </w:pPr>
      <w:r>
        <w:rPr>
          <w:rFonts w:hint="eastAsia" w:ascii="宋体" w:hAnsi="宋体" w:cs="宋体"/>
          <w:b/>
          <w:bCs/>
          <w:color w:val="000000" w:themeColor="text1"/>
          <w:sz w:val="36"/>
          <w:szCs w:val="36"/>
          <w:lang w:eastAsia="zh-CN"/>
          <w14:textFill>
            <w14:solidFill>
              <w14:schemeClr w14:val="tx1"/>
            </w14:solidFill>
          </w14:textFill>
        </w:rPr>
        <w:t>2022年0</w:t>
      </w:r>
      <w:r>
        <w:rPr>
          <w:rFonts w:hint="eastAsia" w:ascii="宋体" w:hAnsi="宋体" w:cs="宋体"/>
          <w:b/>
          <w:bCs/>
          <w:color w:val="000000" w:themeColor="text1"/>
          <w:sz w:val="36"/>
          <w:szCs w:val="36"/>
          <w:lang w:val="en-US" w:eastAsia="zh-CN"/>
          <w14:textFill>
            <w14:solidFill>
              <w14:schemeClr w14:val="tx1"/>
            </w14:solidFill>
          </w14:textFill>
        </w:rPr>
        <w:t>6</w:t>
      </w:r>
      <w:r>
        <w:rPr>
          <w:rFonts w:hint="eastAsia" w:ascii="宋体" w:hAnsi="宋体" w:cs="宋体"/>
          <w:b/>
          <w:bCs/>
          <w:color w:val="000000" w:themeColor="text1"/>
          <w:sz w:val="36"/>
          <w:szCs w:val="36"/>
          <w:lang w:eastAsia="zh-CN"/>
          <w14:textFill>
            <w14:solidFill>
              <w14:schemeClr w14:val="tx1"/>
            </w14:solidFill>
          </w14:textFill>
        </w:rPr>
        <w:t>月</w:t>
      </w:r>
    </w:p>
    <w:sdt>
      <w:sdtPr>
        <w:rPr>
          <w:rFonts w:ascii="宋体" w:hAnsi="宋体"/>
          <w:color w:val="000000" w:themeColor="text1"/>
          <w14:textFill>
            <w14:solidFill>
              <w14:schemeClr w14:val="tx1"/>
            </w14:solidFill>
          </w14:textFill>
        </w:rPr>
        <w:id w:val="147461035"/>
        <w:docPartObj>
          <w:docPartGallery w:val="Table of Contents"/>
          <w:docPartUnique/>
        </w:docPartObj>
      </w:sdtPr>
      <w:sdtEndPr>
        <w:rPr>
          <w:rFonts w:ascii="宋体" w:hAnsi="宋体"/>
          <w:color w:val="000000" w:themeColor="text1"/>
          <w14:textFill>
            <w14:solidFill>
              <w14:schemeClr w14:val="tx1"/>
            </w14:solidFill>
          </w14:textFill>
        </w:rPr>
      </w:sdtEndPr>
      <w:sdtContent>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目录</w:t>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TOC \o "1-1" \h \u </w:instrText>
          </w:r>
          <w:r>
            <w:rPr>
              <w:rFonts w:hint="eastAsia" w:ascii="宋体" w:hAnsi="宋体" w:cs="宋体"/>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"_Toc13833"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第一部分 竞争性磋商公告</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_Toc13833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44"/>
              <w:sz w:val="24"/>
              <w:szCs w:val="24"/>
              <w14:textFill>
                <w14:solidFill>
                  <w14:schemeClr w14:val="tx1"/>
                </w14:solidFill>
              </w14:textFill>
            </w:rPr>
            <w:t>第二部分  磋商供应商须知前附表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_Toc2775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"_Toc20865"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28"/>
              <w:sz w:val="24"/>
              <w:szCs w:val="24"/>
              <w14:textFill>
                <w14:solidFill>
                  <w14:schemeClr w14:val="tx1"/>
                </w14:solidFill>
              </w14:textFill>
            </w:rPr>
            <w:t>第三部分 供应商须知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_Toc20865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1.适用范围</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_Toc28982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"_Toc11819"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2.采购方式、合格的供应商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_Toc11819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"_Toc32128"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3.磋商费用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_Toc32128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"_Toc11669"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4.磋商文件的构成</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_Toc11669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"_Toc28941"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5.磋商文件的质疑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_Toc28941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"_Toc25004"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6.磋商文件的澄清、修改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_Toc25004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"_Toc31782"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7.响应文件的语言及度量衡单位</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_Toc31782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"_Toc20327"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8.磋商报价及币种</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_Toc20327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"_Toc30347"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9.磋商保证金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_Toc30347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10.有效期</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_Toc17304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"_Toc25974"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11.文件构成</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_Toc25974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"_Toc13184"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12.响应文件编印和签署</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_Toc13184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"_Toc611"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13响应文件的密封和标记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_Toc611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"_Toc12002"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14.提交响应文件截止时间、地点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_Toc12002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"_Toc20835"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15.磋商过程</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_Toc20835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"_Toc22421"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16.磋商小组</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_Toc22421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"_Toc2762"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17.磋商程序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_Toc2762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"_Toc31598"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18.评审办法</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_Toc31598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19.推荐并确定成交供应商</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_Toc2999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"_Toc22492"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20.成交通知</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_Toc22492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"_Toc3745"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21.签订合同</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_Toc3745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"_Toc8741"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22.终止情形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_Toc8741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23.处罚情形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_Toc25546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"_Toc32571"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28"/>
              <w:sz w:val="24"/>
              <w:szCs w:val="24"/>
              <w14:textFill>
                <w14:solidFill>
                  <w14:schemeClr w14:val="tx1"/>
                </w14:solidFill>
              </w14:textFill>
            </w:rPr>
            <w:t>第四部分采购项目合同书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_Toc32571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"_Toc19709" </w:instrText>
          </w:r>
          <w:r>
            <w:rPr>
              <w:color w:val="000000" w:themeColor="text1"/>
              <w14:textFill>
                <w14:solidFill>
                  <w14:schemeClr w14:val="tx1"/>
                </w14:solidFill>
              </w14:textFill>
            </w:rPr>
            <w:fldChar w:fldCharType="separate"/>
          </w:r>
          <w:r>
            <w:rPr>
              <w:rFonts w:hint="eastAsia" w:ascii="宋体" w:hAnsi="宋体" w:cs="宋体"/>
              <w:bCs/>
              <w:color w:val="000000" w:themeColor="text1"/>
              <w:kern w:val="28"/>
              <w:sz w:val="24"/>
              <w:szCs w:val="24"/>
              <w14:textFill>
                <w14:solidFill>
                  <w14:schemeClr w14:val="tx1"/>
                </w14:solidFill>
              </w14:textFill>
            </w:rPr>
            <w:t>第五部分响应文件格式</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_Toc19709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"_Toc32746"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附件1：响应文件封面</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_Toc32746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附件2：响应文件目录</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_Toc23864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附件3：磋商函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_Toc17145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39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"_Toc14568"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附件4：磋商报价一览表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_Toc14568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"_Toc16630"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附件5：分项报价表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_Toc16630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"_Toc3303"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附件6.技术规格响应表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_Toc3303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"_Toc22456"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附件7：法定代表人证明书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_Toc22456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43</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"_Toc6798"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附件8：法定代表人授权书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_Toc6798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"_Toc6814"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附件9：供应商承诺函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_Toc6814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附件10：供应商诚信承诺书</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_Toc26984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"_Toc22031"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附件11：资格证明材料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_Toc22031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47</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"_Toc29495"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4"/>
              <w:szCs w:val="24"/>
              <w14:textFill>
                <w14:solidFill>
                  <w14:schemeClr w14:val="tx1"/>
                </w14:solidFill>
              </w14:textFill>
            </w:rPr>
            <w:t>附件12：财务状况、缴纳税收和社会保障资金证明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_Toc29495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"_Toc26580"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附件13：具备履行合同所必须的设备和专业技术能力证明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_Toc26580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49</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附件14：无重大违法记录声明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_Toc1393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50</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"_Toc23344"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附件15：磋商保证金</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_Toc23344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"_Toc11105"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附件16：供应商的类似业绩证明材料</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_Toc11105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"_Toc28400"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附件17：最终报价表</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_Toc28400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"_Toc20109"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附件18：制造（生产）企业小型、微型企业声明函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_Toc20109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54</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"_Toc7368"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附件19：从业人员声明函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_Toc7368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"_Toc26386"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附件20：残疾人福利性单位声明函</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_Toc26386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"_Toc13489"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附件21：供应商认为在其他方面有必要说明的事项</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_Toc13489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56</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"_Toc9234"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第六部分采购项目要求及技术参数</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_Toc9234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"_Toc29735"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（一）采购项目要求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_Toc29735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"_Toc29804"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投标</w:t>
          </w:r>
          <w:r>
            <w:rPr>
              <w:rFonts w:hint="eastAsia" w:ascii="宋体" w:hAnsi="宋体" w:cs="宋体"/>
              <w:color w:val="000000" w:themeColor="text1"/>
              <w:sz w:val="24"/>
              <w:szCs w:val="24"/>
              <w:lang w:val="zh-CN"/>
              <w14:textFill>
                <w14:solidFill>
                  <w14:schemeClr w14:val="tx1"/>
                </w14:solidFill>
              </w14:textFill>
            </w:rPr>
            <w:t>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_Toc29804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2.报价说明</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_Toc126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"_Toc23123"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3.重要指标</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_Toc23123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pStyle w:val="76"/>
            <w:tabs>
              <w:tab w:val="right" w:leader="dot" w:pos="8312"/>
            </w:tabs>
            <w:spacing w:line="360" w:lineRule="auto"/>
            <w:rPr>
              <w:rFonts w:ascii="宋体" w:hAnsi="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"_Toc9377"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szCs w:val="24"/>
              <w:lang w:val="zh-CN"/>
              <w14:textFill>
                <w14:solidFill>
                  <w14:schemeClr w14:val="tx1"/>
                </w14:solidFill>
              </w14:textFill>
            </w:rPr>
            <w:t>4.商务要求</w:t>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PAGEREF _Toc9377 \h </w:instrText>
          </w:r>
          <w:r>
            <w:rPr>
              <w:rFonts w:hint="eastAsia" w:ascii="宋体" w:hAnsi="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14:textFill>
                <w14:solidFill>
                  <w14:schemeClr w14:val="tx1"/>
                </w14:solidFill>
              </w14:textFill>
            </w:rPr>
            <w:t>58</w: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fldChar w:fldCharType="end"/>
          </w:r>
        </w:p>
        <w:p>
          <w:pPr>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fldChar w:fldCharType="end"/>
          </w:r>
        </w:p>
      </w:sdtContent>
    </w:sdt>
    <w:p>
      <w:pPr>
        <w:pStyle w:val="3"/>
        <w:numPr>
          <w:ilvl w:val="0"/>
          <w:numId w:val="1"/>
        </w:numPr>
        <w:spacing w:line="540" w:lineRule="exact"/>
        <w:ind w:firstLine="0" w:firstLineChars="0"/>
        <w:rPr>
          <w:rFonts w:hAnsi="宋体" w:cs="宋体"/>
          <w:color w:val="000000" w:themeColor="text1"/>
          <w:szCs w:val="22"/>
          <w14:textFill>
            <w14:solidFill>
              <w14:schemeClr w14:val="tx1"/>
            </w14:solidFill>
          </w14:textFill>
        </w:rPr>
      </w:pPr>
      <w:bookmarkStart w:id="0" w:name="_Toc13833"/>
      <w:r>
        <w:rPr>
          <w:rFonts w:hint="eastAsia"/>
          <w:color w:val="000000" w:themeColor="text1"/>
          <w14:textFill>
            <w14:solidFill>
              <w14:schemeClr w14:val="tx1"/>
            </w14:solidFill>
          </w14:textFill>
        </w:rPr>
        <w:t>竞争性磋商公告</w:t>
      </w:r>
      <w:bookmarkEnd w:id="0"/>
    </w:p>
    <w:p>
      <w:pPr>
        <w:pBdr>
          <w:top w:val="single" w:color="auto" w:sz="4" w:space="1"/>
          <w:left w:val="single" w:color="auto" w:sz="4" w:space="4"/>
          <w:bottom w:val="single" w:color="auto" w:sz="4" w:space="1"/>
          <w:right w:val="single" w:color="auto" w:sz="4" w:space="4"/>
        </w:pBdr>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cs="宋体"/>
          <w:color w:val="000000"/>
          <w:kern w:val="0"/>
          <w:sz w:val="24"/>
          <w:szCs w:val="24"/>
          <w:u w:val="single"/>
          <w:lang w:val="zh-CN"/>
        </w:rPr>
        <w:t>都兰县</w:t>
      </w:r>
      <w:r>
        <w:rPr>
          <w:rFonts w:hint="eastAsia" w:ascii="宋体" w:hAnsi="宋体" w:cs="宋体"/>
          <w:color w:val="000000"/>
          <w:kern w:val="0"/>
          <w:sz w:val="24"/>
          <w:szCs w:val="24"/>
          <w:u w:val="single"/>
          <w:lang w:val="en-US" w:eastAsia="zh-CN"/>
        </w:rPr>
        <w:t>2022年教育质量提升工程</w:t>
      </w:r>
      <w:r>
        <w:rPr>
          <w:rFonts w:hint="eastAsia" w:asciiTheme="minorEastAsia" w:hAnsiTheme="minorEastAsia" w:eastAsiaTheme="minorEastAsia" w:cstheme="minorEastAsia"/>
          <w:color w:val="000000" w:themeColor="text1"/>
          <w:sz w:val="24"/>
          <w:szCs w:val="24"/>
          <w:u w:val="single"/>
          <w:lang w:val="zh-CN"/>
          <w14:textFill>
            <w14:solidFill>
              <w14:schemeClr w14:val="tx1"/>
            </w14:solidFill>
          </w14:textFill>
        </w:rPr>
        <w:t>项目（包1）</w:t>
      </w:r>
      <w:r>
        <w:rPr>
          <w:rFonts w:hint="eastAsia" w:asciiTheme="minorEastAsia" w:hAnsiTheme="minorEastAsia" w:eastAsiaTheme="minorEastAsia" w:cstheme="minorEastAsia"/>
          <w:color w:val="000000" w:themeColor="text1"/>
          <w:sz w:val="24"/>
          <w:szCs w:val="24"/>
          <w14:textFill>
            <w14:solidFill>
              <w14:schemeClr w14:val="tx1"/>
            </w14:solidFill>
          </w14:textFill>
        </w:rPr>
        <w:t>的潜在供应商应在</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海西州都兰县政府采购服务中心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日10：00分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
        <w:spacing w:before="0" w:after="0" w:line="400" w:lineRule="exact"/>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1" w:name="_Toc28359012"/>
      <w:bookmarkStart w:id="2" w:name="_Toc16438"/>
      <w:bookmarkStart w:id="3" w:name="_Toc35393629"/>
      <w:bookmarkStart w:id="4" w:name="_Toc35393798"/>
      <w:bookmarkStart w:id="5" w:name="_Toc48762397"/>
      <w:bookmarkStart w:id="6" w:name="_Toc28359089"/>
      <w:bookmarkStart w:id="7" w:name="_Toc9749"/>
      <w:bookmarkStart w:id="8" w:name="_Toc47448902"/>
      <w:r>
        <w:rPr>
          <w:rFonts w:hint="eastAsia" w:asciiTheme="minorEastAsia" w:hAnsiTheme="minorEastAsia" w:eastAsiaTheme="minorEastAsia" w:cstheme="minorEastAsia"/>
          <w:color w:val="000000" w:themeColor="text1"/>
          <w:sz w:val="24"/>
          <w:szCs w:val="24"/>
          <w14:textFill>
            <w14:solidFill>
              <w14:schemeClr w14:val="tx1"/>
            </w14:solidFill>
          </w14:textFill>
        </w:rPr>
        <w:t>一、项目基本情况</w:t>
      </w:r>
      <w:bookmarkEnd w:id="1"/>
      <w:bookmarkEnd w:id="2"/>
      <w:bookmarkEnd w:id="3"/>
      <w:bookmarkEnd w:id="4"/>
      <w:bookmarkEnd w:id="5"/>
      <w:bookmarkEnd w:id="6"/>
      <w:bookmarkEnd w:id="7"/>
      <w:bookmarkEnd w:id="8"/>
    </w:p>
    <w:p>
      <w:pPr>
        <w:spacing w:line="360" w:lineRule="auto"/>
        <w:ind w:firstLine="0" w:firstLineChars="0"/>
        <w:rPr>
          <w:rFonts w:hint="eastAsia" w:ascii="宋体" w:hAnsi="宋体"/>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r>
        <w:rPr>
          <w:rFonts w:hint="eastAsia" w:ascii="宋体" w:hAnsi="宋体"/>
          <w:lang w:eastAsia="zh-CN"/>
        </w:rPr>
        <w:t>都</w:t>
      </w:r>
      <w:r>
        <w:rPr>
          <w:rFonts w:hint="eastAsia" w:ascii="宋体" w:hAnsi="宋体"/>
        </w:rPr>
        <w:t>政采磋商（货物）2022-</w:t>
      </w:r>
      <w:r>
        <w:rPr>
          <w:rFonts w:hint="eastAsia" w:ascii="宋体" w:hAnsi="宋体"/>
          <w:lang w:val="en-US" w:eastAsia="zh-CN"/>
        </w:rPr>
        <w:t>02</w:t>
      </w:r>
      <w:r>
        <w:rPr>
          <w:rFonts w:hint="eastAsia" w:ascii="宋体" w:hAnsi="宋体"/>
        </w:rPr>
        <w:t>号</w:t>
      </w:r>
    </w:p>
    <w:p>
      <w:pPr>
        <w:spacing w:line="360" w:lineRule="auto"/>
        <w:ind w:firstLine="0" w:firstLineChars="0"/>
        <w:rPr>
          <w:rFonts w:hint="eastAsia" w:ascii="宋体" w:hAnsi="宋体" w:cs="宋体"/>
          <w:color w:val="000000"/>
          <w:kern w:val="0"/>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r>
        <w:rPr>
          <w:rFonts w:hint="eastAsia" w:ascii="宋体" w:hAnsi="宋体" w:cs="宋体"/>
          <w:color w:val="000000"/>
          <w:kern w:val="0"/>
          <w:lang w:val="zh-CN"/>
        </w:rPr>
        <w:t>都兰县</w:t>
      </w:r>
      <w:r>
        <w:rPr>
          <w:rFonts w:hint="eastAsia" w:ascii="宋体" w:hAnsi="宋体" w:cs="宋体"/>
          <w:color w:val="000000"/>
          <w:kern w:val="0"/>
          <w:lang w:val="en-US" w:eastAsia="zh-CN"/>
        </w:rPr>
        <w:t>2022年教育质量提升工程</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采购方式：竞争性磋商</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1456200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最高限价：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1456200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p>
      <w:pPr>
        <w:spacing w:line="360" w:lineRule="auto"/>
        <w:ind w:firstLine="0" w:firstLineChars="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采购需求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360" w:lineRule="auto"/>
        <w:ind w:left="1679" w:leftChars="228" w:hanging="1200" w:hangingChars="5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标项名称：</w:t>
      </w:r>
      <w:r>
        <w:rPr>
          <w:rFonts w:hint="eastAsia" w:ascii="宋体" w:hAnsi="宋体" w:cs="宋体"/>
          <w:color w:val="000000"/>
          <w:kern w:val="0"/>
          <w:sz w:val="24"/>
          <w:szCs w:val="24"/>
          <w:lang w:val="zh-CN"/>
        </w:rPr>
        <w:t>都兰县</w:t>
      </w:r>
      <w:r>
        <w:rPr>
          <w:rFonts w:hint="eastAsia" w:ascii="宋体" w:hAnsi="宋体" w:cs="宋体"/>
          <w:color w:val="000000"/>
          <w:kern w:val="0"/>
          <w:sz w:val="24"/>
          <w:szCs w:val="24"/>
          <w:lang w:val="en-US" w:eastAsia="zh-CN"/>
        </w:rPr>
        <w:t>2022年教育质量提升工程</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数量：1项</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预算金额（元）：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1456200</w:t>
      </w:r>
      <w:r>
        <w:rPr>
          <w:rFonts w:hint="eastAsia" w:asciiTheme="minorEastAsia" w:hAnsiTheme="minorEastAsia" w:eastAsiaTheme="minorEastAsia" w:cstheme="minorEastAsia"/>
          <w:color w:val="000000" w:themeColor="text1"/>
          <w:sz w:val="24"/>
          <w:szCs w:val="24"/>
          <w14:textFill>
            <w14:solidFill>
              <w14:schemeClr w14:val="tx1"/>
            </w14:solidFill>
          </w14:textFill>
        </w:rPr>
        <w:t>元</w:t>
      </w:r>
    </w:p>
    <w:p>
      <w:pPr>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简要规格描述：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安装标准化考试设备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具体详见《磋商文件》。</w:t>
      </w:r>
    </w:p>
    <w:p>
      <w:pPr>
        <w:spacing w:line="360" w:lineRule="auto"/>
        <w:ind w:firstLine="48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合同履约期限：自签订合同后30日历日</w:t>
      </w:r>
    </w:p>
    <w:p>
      <w:pPr>
        <w:spacing w:line="360" w:lineRule="auto"/>
        <w:ind w:firstLine="720" w:firstLineChars="3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w:t>
      </w:r>
    </w:p>
    <w:p>
      <w:pPr>
        <w:pStyle w:val="2"/>
        <w:spacing w:before="0" w:after="0"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9" w:name="_Toc28359013"/>
      <w:bookmarkStart w:id="10" w:name="_Toc17787"/>
      <w:bookmarkStart w:id="11" w:name="_Toc47448903"/>
      <w:bookmarkStart w:id="12" w:name="_Toc35393799"/>
      <w:bookmarkStart w:id="13" w:name="_Toc24492"/>
      <w:bookmarkStart w:id="14" w:name="_Toc35393630"/>
      <w:bookmarkStart w:id="15" w:name="_Toc28359090"/>
      <w:bookmarkStart w:id="16" w:name="_Toc48762398"/>
      <w:r>
        <w:rPr>
          <w:rFonts w:hint="eastAsia" w:asciiTheme="minorEastAsia" w:hAnsiTheme="minorEastAsia" w:eastAsiaTheme="minorEastAsia" w:cstheme="minorEastAsia"/>
          <w:color w:val="000000" w:themeColor="text1"/>
          <w:sz w:val="24"/>
          <w:szCs w:val="24"/>
          <w14:textFill>
            <w14:solidFill>
              <w14:schemeClr w14:val="tx1"/>
            </w14:solidFill>
          </w14:textFill>
        </w:rPr>
        <w:t>二、申请人的资格要求：</w:t>
      </w:r>
      <w:bookmarkEnd w:id="9"/>
      <w:bookmarkEnd w:id="10"/>
      <w:bookmarkEnd w:id="11"/>
      <w:bookmarkEnd w:id="12"/>
      <w:bookmarkEnd w:id="13"/>
      <w:bookmarkEnd w:id="14"/>
      <w:bookmarkEnd w:id="15"/>
      <w:bookmarkEnd w:id="16"/>
    </w:p>
    <w:p>
      <w:pPr>
        <w:widowControl/>
        <w:spacing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7" w:name="_Toc28359014"/>
      <w:bookmarkStart w:id="18" w:name="_Toc28359091"/>
      <w:bookmarkStart w:id="19" w:name="_Toc48762399"/>
      <w:bookmarkStart w:id="20" w:name="_Toc35393631"/>
      <w:bookmarkStart w:id="21" w:name="_Toc8192"/>
      <w:bookmarkStart w:id="22" w:name="_Toc47448904"/>
      <w:bookmarkStart w:id="23" w:name="_Toc35393800"/>
      <w:r>
        <w:rPr>
          <w:rFonts w:hint="eastAsia" w:asciiTheme="minorEastAsia" w:hAnsiTheme="minorEastAsia" w:eastAsiaTheme="minorEastAsia" w:cstheme="minorEastAsia"/>
          <w:color w:val="000000" w:themeColor="text1"/>
          <w:sz w:val="24"/>
          <w:szCs w:val="24"/>
          <w14:textFill>
            <w14:solidFill>
              <w14:schemeClr w14:val="tx1"/>
            </w14:solidFill>
          </w14:textFill>
        </w:rPr>
        <w:t>1.满足《中华人民共和国政府采购法》第二十二条规定；</w:t>
      </w:r>
    </w:p>
    <w:p>
      <w:pPr>
        <w:widowControl/>
        <w:spacing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2.落实政府采购政策需满足的资格要求：/</w:t>
      </w:r>
    </w:p>
    <w:p>
      <w:pPr>
        <w:pStyle w:val="34"/>
        <w:ind w:firstLine="0" w:firstLineChars="0"/>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3.本</w:t>
      </w:r>
      <w:r>
        <w:rPr>
          <w:rFonts w:hint="eastAsia" w:asciiTheme="minorEastAsia" w:hAnsiTheme="minorEastAsia" w:eastAsiaTheme="minorEastAsia" w:cstheme="minorEastAsia"/>
          <w:color w:val="000000" w:themeColor="text1"/>
          <w:kern w:val="0"/>
          <w:sz w:val="24"/>
          <w14:textFill>
            <w14:solidFill>
              <w14:schemeClr w14:val="tx1"/>
            </w14:solidFill>
          </w14:textFill>
        </w:rPr>
        <w:t>项目的特定资格要求：</w:t>
      </w:r>
    </w:p>
    <w:p>
      <w:pPr>
        <w:pStyle w:val="35"/>
        <w:spacing w:line="360" w:lineRule="auto"/>
        <w:ind w:left="0"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asciiTheme="minorEastAsia" w:hAnsiTheme="minorEastAsia" w:eastAsiaTheme="minorEastAsia" w:cstheme="minorEastAsia"/>
          <w:color w:val="000000" w:themeColor="text1"/>
          <w:sz w:val="24"/>
          <w:szCs w:val="24"/>
          <w14:textFill>
            <w14:solidFill>
              <w14:schemeClr w14:val="tx1"/>
            </w14:solidFill>
          </w14:textFill>
        </w:rPr>
        <w:t>）在中华人民共和国境内合法注册的，并在人员、设备、资金等方面具有相应的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供货</w:t>
      </w:r>
      <w:r>
        <w:rPr>
          <w:rFonts w:asciiTheme="minorEastAsia" w:hAnsiTheme="minorEastAsia" w:eastAsiaTheme="minorEastAsia" w:cstheme="minorEastAsia"/>
          <w:color w:val="000000" w:themeColor="text1"/>
          <w:sz w:val="24"/>
          <w:szCs w:val="24"/>
          <w14:textFill>
            <w14:solidFill>
              <w14:schemeClr w14:val="tx1"/>
            </w14:solidFill>
          </w14:textFill>
        </w:rPr>
        <w:t>能力。</w:t>
      </w:r>
    </w:p>
    <w:p>
      <w:pPr>
        <w:autoSpaceDE w:val="0"/>
        <w:autoSpaceDN w:val="0"/>
        <w:adjustRightInd w:val="0"/>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（2）单位负责人为同一人或者存在直接控股、管理关系的不同供应商，不得参加同一合同项下的政府采购活动。否则，皆取消投标资格；</w:t>
      </w:r>
    </w:p>
    <w:p>
      <w:pPr>
        <w:autoSpaceDE w:val="0"/>
        <w:autoSpaceDN w:val="0"/>
        <w:adjustRightInd w:val="0"/>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（3）本项目不接受供应商以联合体方式进行投标；</w:t>
      </w:r>
    </w:p>
    <w:p>
      <w:pPr>
        <w:autoSpaceDE w:val="0"/>
        <w:autoSpaceDN w:val="0"/>
        <w:adjustRightInd w:val="0"/>
        <w:spacing w:line="360" w:lineRule="auto"/>
        <w:ind w:firstLine="48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为本采购项目提供整体设计、规范编制或者项目管理、监理、检测等服务的投标人，不得再参加该采购项目的其他采购活动；</w:t>
      </w:r>
      <w:bookmarkStart w:id="24" w:name="_Toc13473"/>
    </w:p>
    <w:p>
      <w:pPr>
        <w:autoSpaceDE w:val="0"/>
        <w:autoSpaceDN w:val="0"/>
        <w:adjustRightInd w:val="0"/>
        <w:spacing w:line="360" w:lineRule="auto"/>
        <w:ind w:firstLine="480"/>
        <w:rPr>
          <w:rFonts w:hint="eastAsia" w:ascii="宋体" w:hAnsi="宋体" w:cs="宋体"/>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bookmarkEnd w:id="24"/>
    </w:p>
    <w:p>
      <w:pPr>
        <w:pStyle w:val="2"/>
        <w:spacing w:before="0" w:after="0" w:line="360" w:lineRule="auto"/>
        <w:ind w:firstLine="0" w:firstLineChars="0"/>
        <w:jc w:val="left"/>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25" w:name="_Toc29000"/>
      <w:r>
        <w:rPr>
          <w:rFonts w:hint="eastAsia" w:asciiTheme="minorEastAsia" w:hAnsiTheme="minorEastAsia" w:eastAsiaTheme="minorEastAsia" w:cstheme="minorEastAsia"/>
          <w:color w:val="000000" w:themeColor="text1"/>
          <w:sz w:val="24"/>
          <w:szCs w:val="24"/>
          <w14:textFill>
            <w14:solidFill>
              <w14:schemeClr w14:val="tx1"/>
            </w14:solidFill>
          </w14:textFill>
        </w:rPr>
        <w:t>三、获取采购文件</w:t>
      </w:r>
      <w:bookmarkEnd w:id="17"/>
      <w:bookmarkEnd w:id="18"/>
      <w:bookmarkEnd w:id="19"/>
      <w:bookmarkEnd w:id="20"/>
      <w:bookmarkEnd w:id="21"/>
      <w:bookmarkEnd w:id="22"/>
      <w:bookmarkEnd w:id="23"/>
      <w:bookmarkEnd w:id="25"/>
    </w:p>
    <w:p>
      <w:pPr>
        <w:spacing w:line="360" w:lineRule="auto"/>
        <w:ind w:firstLine="480"/>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日至2022年0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，每天上午9：00至12：00，下午14：30至17:30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（北京时间，法定节假日除外 ）</w:t>
      </w:r>
    </w:p>
    <w:p>
      <w:pPr>
        <w:spacing w:line="360" w:lineRule="auto"/>
        <w:ind w:firstLine="480"/>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海西州都兰县政府采购服务中心</w:t>
      </w:r>
    </w:p>
    <w:p>
      <w:pPr>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现场或网上获取。</w:t>
      </w:r>
    </w:p>
    <w:p>
      <w:pPr>
        <w:spacing w:line="360" w:lineRule="auto"/>
        <w:ind w:firstLine="48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售价：0.00元</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份</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（投标资格不能转让）</w:t>
      </w:r>
    </w:p>
    <w:p>
      <w:pPr>
        <w:spacing w:line="360" w:lineRule="auto"/>
        <w:ind w:firstLine="480"/>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获取</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磋商文件时应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在网上</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报名</w:t>
      </w:r>
      <w:r>
        <w:rPr>
          <w:rFonts w:hint="eastAsia" w:asciiTheme="minorEastAsia" w:hAnsiTheme="minorEastAsia" w:eastAsiaTheme="minorEastAsia" w:cstheme="minorEastAsia"/>
          <w:color w:val="000000" w:themeColor="text1"/>
          <w:sz w:val="24"/>
          <w:szCs w:val="24"/>
          <w14:textFill>
            <w14:solidFill>
              <w14:schemeClr w14:val="tx1"/>
            </w14:solidFill>
          </w14:textFill>
        </w:rPr>
        <w:t>材料：</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供应商的营业执照、法人授权委托书（原件）及法人身份证和代理人身份证</w:t>
      </w:r>
      <w:r>
        <w:rPr>
          <w:rFonts w:hint="eastAsia" w:asciiTheme="minorEastAsia" w:hAnsiTheme="minorEastAsia" w:eastAsiaTheme="minorEastAsia" w:cstheme="minorEastAsia"/>
          <w:color w:val="000000" w:themeColor="text1"/>
          <w:sz w:val="24"/>
          <w:szCs w:val="24"/>
          <w14:textFill>
            <w14:solidFill>
              <w14:schemeClr w14:val="tx1"/>
            </w14:solidFill>
          </w14:textFill>
        </w:rPr>
        <w:t>或</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公司介绍信。（以上资料均需复印件加盖公章）</w:t>
      </w:r>
    </w:p>
    <w:p>
      <w:pPr>
        <w:spacing w:line="360" w:lineRule="auto"/>
        <w:ind w:firstLine="480"/>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注：获取招标文件的供应商可将以上材料扫描后发送至采购代理机构电子邮箱，在邮件中标明项目编号、项目名称、联系人及联系方式，并联系代理机构工作人员进行确认后邮寄。</w:t>
      </w:r>
    </w:p>
    <w:p>
      <w:pPr>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李老师</w:t>
      </w:r>
    </w:p>
    <w:p>
      <w:pPr>
        <w:pStyle w:val="14"/>
        <w:spacing w:line="360" w:lineRule="auto"/>
        <w:ind w:firstLine="480"/>
        <w:rPr>
          <w:rFonts w:hint="eastAsia" w:ascii="宋体" w:hAnsi="宋体" w:cs="宋体"/>
          <w:color w:val="000000"/>
          <w:kern w:val="0"/>
          <w:sz w:val="24"/>
          <w:highlight w:val="none"/>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  箱：</w:t>
      </w: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HYPERLINK "mailto:dlxzfcgzx@126.com" </w:instrText>
      </w:r>
      <w:r>
        <w:rPr>
          <w:rFonts w:hint="eastAsia" w:ascii="宋体" w:hAnsi="宋体" w:cs="宋体"/>
          <w:color w:val="000000"/>
          <w:kern w:val="0"/>
          <w:sz w:val="24"/>
          <w:lang w:val="en-US" w:eastAsia="zh-CN"/>
        </w:rPr>
        <w:fldChar w:fldCharType="separate"/>
      </w:r>
      <w:r>
        <w:rPr>
          <w:rStyle w:val="29"/>
          <w:rFonts w:hint="eastAsia" w:ascii="宋体" w:hAnsi="宋体" w:cs="宋体"/>
          <w:color w:val="000000"/>
          <w:kern w:val="0"/>
          <w:sz w:val="24"/>
          <w:lang w:val="en-US" w:eastAsia="zh-CN"/>
        </w:rPr>
        <w:t>dlxzfcgzx</w:t>
      </w:r>
      <w:r>
        <w:rPr>
          <w:rStyle w:val="29"/>
          <w:rFonts w:hint="eastAsia" w:ascii="宋体" w:hAnsi="宋体" w:cs="宋体"/>
          <w:color w:val="000000"/>
          <w:kern w:val="0"/>
          <w:sz w:val="24"/>
          <w:highlight w:val="none"/>
        </w:rPr>
        <w:t>@126.com</w:t>
      </w:r>
      <w:r>
        <w:rPr>
          <w:rFonts w:hint="eastAsia" w:ascii="宋体" w:hAnsi="宋体" w:cs="宋体"/>
          <w:color w:val="000000"/>
          <w:kern w:val="0"/>
          <w:sz w:val="24"/>
          <w:lang w:val="en-US" w:eastAsia="zh-CN"/>
        </w:rPr>
        <w:fldChar w:fldCharType="end"/>
      </w:r>
    </w:p>
    <w:p>
      <w:pPr>
        <w:pStyle w:val="14"/>
        <w:spacing w:line="360" w:lineRule="auto"/>
        <w:ind w:firstLine="480"/>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097</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8232067</w:t>
      </w:r>
    </w:p>
    <w:p>
      <w:pPr>
        <w:pStyle w:val="2"/>
        <w:spacing w:before="0" w:after="0"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6" w:name="_Toc35393801"/>
      <w:bookmarkStart w:id="27" w:name="_Toc11379"/>
      <w:bookmarkStart w:id="28" w:name="_Toc28359092"/>
      <w:bookmarkStart w:id="29" w:name="_Toc28359015"/>
      <w:bookmarkStart w:id="30" w:name="_Toc48762400"/>
      <w:bookmarkStart w:id="31" w:name="_Toc1711"/>
      <w:bookmarkStart w:id="32" w:name="_Toc35393632"/>
      <w:bookmarkStart w:id="33" w:name="_Toc47448905"/>
      <w:r>
        <w:rPr>
          <w:rFonts w:hint="eastAsia" w:asciiTheme="minorEastAsia" w:hAnsiTheme="minorEastAsia" w:eastAsiaTheme="minorEastAsia" w:cstheme="minorEastAsia"/>
          <w:color w:val="000000" w:themeColor="text1"/>
          <w:sz w:val="24"/>
          <w:szCs w:val="24"/>
          <w14:textFill>
            <w14:solidFill>
              <w14:schemeClr w14:val="tx1"/>
            </w14:solidFill>
          </w14:textFill>
        </w:rPr>
        <w:t>四、响应文件提交</w:t>
      </w:r>
      <w:bookmarkEnd w:id="26"/>
      <w:bookmarkEnd w:id="27"/>
      <w:bookmarkEnd w:id="28"/>
      <w:bookmarkEnd w:id="29"/>
      <w:bookmarkEnd w:id="30"/>
      <w:bookmarkEnd w:id="31"/>
      <w:bookmarkEnd w:id="32"/>
      <w:bookmarkEnd w:id="33"/>
    </w:p>
    <w:p>
      <w:pPr>
        <w:spacing w:line="360" w:lineRule="auto"/>
        <w:ind w:firstLine="480"/>
        <w:rPr>
          <w:rFonts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截止时间：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日上午10：00分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p>
    <w:p>
      <w:pPr>
        <w:spacing w:line="360" w:lineRule="auto"/>
        <w:ind w:firstLine="480"/>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bookmarkStart w:id="34" w:name="_Toc28359093"/>
      <w:bookmarkStart w:id="35" w:name="_Toc47448906"/>
      <w:bookmarkStart w:id="36" w:name="_Toc28359016"/>
      <w:bookmarkStart w:id="37" w:name="_Toc35393802"/>
      <w:bookmarkStart w:id="38" w:name="_Toc48762401"/>
      <w:bookmarkStart w:id="39" w:name="_Toc35393633"/>
      <w:r>
        <w:rPr>
          <w:rFonts w:hint="eastAsia" w:ascii="宋体" w:hAnsi="宋体" w:cs="宋体"/>
          <w:color w:val="000000"/>
          <w:kern w:val="0"/>
          <w:highlight w:val="none"/>
          <w:lang w:val="zh-CN"/>
        </w:rPr>
        <w:t>海西州行政服务和公共资源交易中心4楼3号询价谈判室</w:t>
      </w:r>
    </w:p>
    <w:p>
      <w:pPr>
        <w:spacing w:line="360" w:lineRule="auto"/>
        <w:ind w:firstLine="0" w:firstLineChars="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五、响应文件开启</w:t>
      </w:r>
      <w:bookmarkEnd w:id="34"/>
      <w:bookmarkEnd w:id="35"/>
      <w:bookmarkEnd w:id="36"/>
      <w:bookmarkEnd w:id="37"/>
      <w:bookmarkEnd w:id="38"/>
      <w:bookmarkEnd w:id="39"/>
    </w:p>
    <w:p>
      <w:pPr>
        <w:spacing w:line="360" w:lineRule="auto"/>
        <w:ind w:firstLine="480"/>
        <w:rPr>
          <w:rFonts w:asciiTheme="minorEastAsia" w:hAnsiTheme="minorEastAsia" w:eastAsia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2022年0</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日上午10：00分</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（北京时间）</w:t>
      </w:r>
    </w:p>
    <w:p>
      <w:pPr>
        <w:spacing w:line="360" w:lineRule="auto"/>
        <w:ind w:firstLine="480"/>
        <w:rPr>
          <w:rFonts w:asciiTheme="minorEastAsia" w:hAnsiTheme="minorEastAsia" w:eastAsiaTheme="minorEastAsia" w:cstheme="minorEastAsia"/>
          <w:bCs/>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宋体" w:hAnsi="宋体" w:cs="宋体"/>
          <w:color w:val="000000"/>
          <w:kern w:val="0"/>
          <w:highlight w:val="none"/>
          <w:lang w:val="zh-CN"/>
        </w:rPr>
        <w:t>海西州行政服务和公共资源交易中心4楼3号询价谈判室</w:t>
      </w:r>
    </w:p>
    <w:p>
      <w:pPr>
        <w:pStyle w:val="2"/>
        <w:spacing w:before="0" w:after="0"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40" w:name="_Toc47448907"/>
      <w:bookmarkStart w:id="41" w:name="_Toc10901"/>
      <w:bookmarkStart w:id="42" w:name="_Toc28359017"/>
      <w:bookmarkStart w:id="43" w:name="_Toc28756"/>
      <w:bookmarkStart w:id="44" w:name="_Toc35393634"/>
      <w:bookmarkStart w:id="45" w:name="_Toc48762402"/>
      <w:bookmarkStart w:id="46" w:name="_Toc28359094"/>
      <w:bookmarkStart w:id="47" w:name="_Toc35393803"/>
      <w:r>
        <w:rPr>
          <w:rFonts w:hint="eastAsia" w:asciiTheme="minorEastAsia" w:hAnsiTheme="minorEastAsia" w:eastAsiaTheme="minorEastAsia" w:cstheme="minorEastAsia"/>
          <w:color w:val="000000" w:themeColor="text1"/>
          <w:sz w:val="24"/>
          <w:szCs w:val="24"/>
          <w14:textFill>
            <w14:solidFill>
              <w14:schemeClr w14:val="tx1"/>
            </w14:solidFill>
          </w14:textFill>
        </w:rPr>
        <w:t>六、公告期限</w:t>
      </w:r>
      <w:bookmarkEnd w:id="40"/>
      <w:bookmarkEnd w:id="41"/>
      <w:bookmarkEnd w:id="42"/>
      <w:bookmarkEnd w:id="43"/>
      <w:bookmarkEnd w:id="44"/>
      <w:bookmarkEnd w:id="45"/>
      <w:bookmarkEnd w:id="46"/>
      <w:bookmarkEnd w:id="47"/>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自本公告发布之日起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w:t>
      </w:r>
    </w:p>
    <w:p>
      <w:pPr>
        <w:pStyle w:val="2"/>
        <w:spacing w:before="0" w:after="0"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48" w:name="_Toc35393804"/>
      <w:bookmarkStart w:id="49" w:name="_Toc25398"/>
      <w:bookmarkStart w:id="50" w:name="_Toc48762403"/>
      <w:bookmarkStart w:id="51" w:name="_Toc47448908"/>
      <w:bookmarkStart w:id="52" w:name="_Toc32767"/>
      <w:bookmarkStart w:id="53" w:name="_Toc35393635"/>
      <w:r>
        <w:rPr>
          <w:rFonts w:hint="eastAsia" w:asciiTheme="minorEastAsia" w:hAnsiTheme="minorEastAsia" w:eastAsiaTheme="minorEastAsia" w:cstheme="minorEastAsia"/>
          <w:color w:val="000000" w:themeColor="text1"/>
          <w:sz w:val="24"/>
          <w:szCs w:val="24"/>
          <w14:textFill>
            <w14:solidFill>
              <w14:schemeClr w14:val="tx1"/>
            </w14:solidFill>
          </w14:textFill>
        </w:rPr>
        <w:t>七、其他补充事宜</w:t>
      </w:r>
      <w:bookmarkEnd w:id="48"/>
      <w:bookmarkEnd w:id="49"/>
      <w:bookmarkEnd w:id="50"/>
      <w:bookmarkEnd w:id="51"/>
      <w:bookmarkEnd w:id="52"/>
      <w:bookmarkEnd w:id="53"/>
    </w:p>
    <w:p>
      <w:pPr>
        <w:pStyle w:val="2"/>
        <w:spacing w:before="0" w:after="0" w:line="360" w:lineRule="auto"/>
        <w:ind w:firstLine="480"/>
        <w:rPr>
          <w:rFonts w:asciiTheme="minorEastAsia" w:hAnsiTheme="minorEastAsia" w:eastAsiaTheme="minorEastAsia" w:cstheme="minorEastAsia"/>
          <w:b w:val="0"/>
          <w:bCs w:val="0"/>
          <w:color w:val="000000" w:themeColor="text1"/>
          <w:sz w:val="24"/>
          <w:szCs w:val="24"/>
          <w14:textFill>
            <w14:solidFill>
              <w14:schemeClr w14:val="tx1"/>
            </w14:solidFill>
          </w14:textFill>
        </w:rPr>
      </w:pPr>
      <w:bookmarkStart w:id="54" w:name="_Toc13346"/>
      <w:bookmarkStart w:id="55" w:name="_Toc48762404"/>
      <w:bookmarkStart w:id="56" w:name="_Toc35393805"/>
      <w:bookmarkStart w:id="57" w:name="_Toc47448909"/>
      <w:bookmarkStart w:id="58" w:name="_Toc8304"/>
      <w:bookmarkStart w:id="59" w:name="_Toc28359018"/>
      <w:bookmarkStart w:id="60" w:name="_Toc35393636"/>
      <w:bookmarkStart w:id="61" w:name="_Toc28359095"/>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本项目磋商</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公告在《青海省政府采购网》发布。</w:t>
      </w:r>
      <w:bookmarkEnd w:id="54"/>
    </w:p>
    <w:p>
      <w:pPr>
        <w:pStyle w:val="2"/>
        <w:spacing w:before="0" w:after="0"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62" w:name="_Toc21382"/>
      <w:r>
        <w:rPr>
          <w:rFonts w:hint="eastAsia" w:asciiTheme="minorEastAsia" w:hAnsiTheme="minorEastAsia" w:eastAsiaTheme="minorEastAsia" w:cstheme="minorEastAsia"/>
          <w:color w:val="000000" w:themeColor="text1"/>
          <w:sz w:val="24"/>
          <w:szCs w:val="24"/>
          <w14:textFill>
            <w14:solidFill>
              <w14:schemeClr w14:val="tx1"/>
            </w14:solidFill>
          </w14:textFill>
        </w:rPr>
        <w:t>八、凡对本次采购提出询问，请按以下方式联系。</w:t>
      </w:r>
      <w:bookmarkEnd w:id="55"/>
      <w:bookmarkEnd w:id="56"/>
      <w:bookmarkEnd w:id="57"/>
      <w:bookmarkEnd w:id="58"/>
      <w:bookmarkEnd w:id="59"/>
      <w:bookmarkEnd w:id="60"/>
      <w:bookmarkEnd w:id="61"/>
      <w:bookmarkEnd w:id="62"/>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bookmarkStart w:id="63" w:name="_Toc35393637"/>
      <w:bookmarkStart w:id="64" w:name="_Toc35393806"/>
      <w:bookmarkStart w:id="65" w:name="_Toc48762405"/>
      <w:bookmarkStart w:id="66" w:name="_Toc28359096"/>
      <w:bookmarkStart w:id="67" w:name="_Toc47448910"/>
      <w:bookmarkStart w:id="68" w:name="_Toc28359019"/>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1.采购人信息</w:t>
      </w:r>
      <w:bookmarkEnd w:id="63"/>
      <w:bookmarkEnd w:id="64"/>
      <w:bookmarkEnd w:id="65"/>
      <w:bookmarkEnd w:id="66"/>
      <w:bookmarkEnd w:id="67"/>
      <w:bookmarkEnd w:id="68"/>
    </w:p>
    <w:p>
      <w:pPr>
        <w:spacing w:line="360" w:lineRule="auto"/>
        <w:ind w:firstLine="0" w:firstLineChars="0"/>
        <w:jc w:val="lef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bookmarkStart w:id="69" w:name="_Toc28359097"/>
      <w:bookmarkStart w:id="70" w:name="_Toc28359020"/>
      <w:bookmarkStart w:id="71" w:name="_Toc47448911"/>
      <w:bookmarkStart w:id="72" w:name="_Toc35393807"/>
      <w:bookmarkStart w:id="73" w:name="_Toc35393638"/>
      <w:bookmarkStart w:id="74" w:name="_Toc48762406"/>
      <w:r>
        <w:rPr>
          <w:rFonts w:hint="eastAsia" w:asciiTheme="minorEastAsia" w:hAnsiTheme="minorEastAsia" w:eastAsiaTheme="minorEastAsia" w:cstheme="minorEastAsia"/>
          <w:color w:val="000000" w:themeColor="text1"/>
          <w:sz w:val="24"/>
          <w:szCs w:val="24"/>
          <w14:textFill>
            <w14:solidFill>
              <w14:schemeClr w14:val="tx1"/>
            </w14:solidFill>
          </w14:textFill>
        </w:rPr>
        <w:t>采购单位：</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都兰县教育和科技局</w:t>
      </w:r>
    </w:p>
    <w:p>
      <w:pPr>
        <w:spacing w:line="360" w:lineRule="auto"/>
        <w:ind w:firstLine="0" w:firstLineChars="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朱</w:t>
      </w:r>
      <w:r>
        <w:rPr>
          <w:rFonts w:hint="eastAsia" w:asciiTheme="minorEastAsia" w:hAnsiTheme="minorEastAsia" w:eastAsiaTheme="minorEastAsia" w:cstheme="minorEastAsia"/>
          <w:color w:val="000000" w:themeColor="text1"/>
          <w:sz w:val="24"/>
          <w:szCs w:val="24"/>
          <w14:textFill>
            <w14:solidFill>
              <w14:schemeClr w14:val="tx1"/>
            </w14:solidFill>
          </w14:textFill>
        </w:rPr>
        <w:t>老师</w:t>
      </w:r>
    </w:p>
    <w:p>
      <w:pPr>
        <w:widowControl/>
        <w:ind w:firstLine="0" w:firstLineChars="0"/>
        <w:jc w:val="left"/>
        <w:rPr>
          <w:rFonts w:hint="default" w:ascii="宋体" w:hAnsi="宋体" w:eastAsia="宋体" w:cs="宋体"/>
          <w:color w:val="000000"/>
          <w:kern w:val="0"/>
          <w:lang w:val="en-US"/>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宋体" w:hAnsi="宋体" w:cs="宋体"/>
          <w:color w:val="000000"/>
          <w:kern w:val="0"/>
          <w:lang w:val="en-US" w:eastAsia="zh-CN"/>
        </w:rPr>
        <w:t>0977-8335118</w:t>
      </w:r>
    </w:p>
    <w:p>
      <w:pPr>
        <w:spacing w:line="360" w:lineRule="auto"/>
        <w:ind w:firstLine="0" w:firstLineChars="0"/>
        <w:rPr>
          <w:rFonts w:hint="eastAsia" w:ascii="宋体" w:hAnsi="宋体" w:eastAsia="宋体" w:cs="宋体"/>
          <w:color w:val="000000"/>
          <w:kern w:val="0"/>
          <w:highlight w:val="none"/>
          <w:lang w:val="zh-CN"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联系地址：</w:t>
      </w:r>
      <w:r>
        <w:rPr>
          <w:rFonts w:hint="eastAsia" w:ascii="宋体" w:hAnsi="宋体" w:eastAsia="宋体" w:cs="宋体"/>
          <w:color w:val="000000"/>
          <w:kern w:val="0"/>
          <w:highlight w:val="none"/>
          <w:lang w:val="zh-CN"/>
        </w:rPr>
        <w:t>青海省海西州</w:t>
      </w:r>
      <w:r>
        <w:rPr>
          <w:rFonts w:hint="eastAsia" w:ascii="宋体" w:hAnsi="宋体" w:cs="宋体"/>
          <w:color w:val="000000"/>
          <w:kern w:val="0"/>
          <w:highlight w:val="none"/>
          <w:lang w:val="zh-CN"/>
        </w:rPr>
        <w:t>都兰县察汗乌苏镇新政府大楼都兰县</w:t>
      </w:r>
      <w:r>
        <w:rPr>
          <w:rFonts w:hint="eastAsia" w:ascii="宋体" w:hAnsi="宋体" w:eastAsia="宋体" w:cs="宋体"/>
          <w:color w:val="000000"/>
          <w:kern w:val="0"/>
          <w:highlight w:val="none"/>
          <w:lang w:val="zh-CN" w:eastAsia="zh-CN"/>
        </w:rPr>
        <w:t>教育</w:t>
      </w:r>
      <w:r>
        <w:rPr>
          <w:rFonts w:hint="eastAsia" w:ascii="宋体" w:hAnsi="宋体" w:cs="宋体"/>
          <w:color w:val="000000"/>
          <w:kern w:val="0"/>
          <w:highlight w:val="none"/>
          <w:lang w:val="zh-CN" w:eastAsia="zh-CN"/>
        </w:rPr>
        <w:t>和科技</w:t>
      </w:r>
      <w:r>
        <w:rPr>
          <w:rFonts w:hint="eastAsia" w:ascii="宋体" w:hAnsi="宋体" w:eastAsia="宋体" w:cs="宋体"/>
          <w:color w:val="000000"/>
          <w:kern w:val="0"/>
          <w:highlight w:val="none"/>
          <w:lang w:val="zh-CN" w:eastAsia="zh-CN"/>
        </w:rPr>
        <w:t>局</w:t>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2.采购代理机构信息</w:t>
      </w:r>
      <w:bookmarkEnd w:id="69"/>
      <w:bookmarkEnd w:id="70"/>
      <w:bookmarkEnd w:id="71"/>
      <w:bookmarkEnd w:id="72"/>
      <w:bookmarkEnd w:id="73"/>
      <w:bookmarkEnd w:id="74"/>
    </w:p>
    <w:p>
      <w:pPr>
        <w:spacing w:line="36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采</w:t>
      </w:r>
      <w:r>
        <w:rPr>
          <w:rFonts w:hint="eastAsia" w:asciiTheme="minorEastAsia" w:hAnsiTheme="minorEastAsia" w:eastAsiaTheme="minorEastAsia" w:cstheme="minorEastAsia"/>
          <w:color w:val="000000" w:themeColor="text1"/>
          <w:sz w:val="24"/>
          <w:szCs w:val="24"/>
          <w14:textFill>
            <w14:solidFill>
              <w14:schemeClr w14:val="tx1"/>
            </w14:solidFill>
          </w14:textFill>
        </w:rPr>
        <w:t>购代理机构：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都兰县政府采购服务中心</w:t>
      </w:r>
    </w:p>
    <w:p>
      <w:pPr>
        <w:spacing w:line="36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李老师</w:t>
      </w:r>
    </w:p>
    <w:p>
      <w:pPr>
        <w:spacing w:line="360" w:lineRule="auto"/>
        <w:ind w:firstLine="0" w:firstLineChars="0"/>
        <w:jc w:val="left"/>
        <w:rPr>
          <w:rFonts w:hint="eastAsia" w:cs="Times New Roman"/>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imes New Roman" w:hAnsi="Times New Roman" w:eastAsia="宋体" w:cs="Times New Roman"/>
          <w:lang w:val="zh-CN"/>
        </w:rPr>
        <w:t>0977-</w:t>
      </w:r>
      <w:r>
        <w:rPr>
          <w:rFonts w:hint="eastAsia" w:cs="Times New Roman"/>
          <w:lang w:val="en-US" w:eastAsia="zh-CN"/>
        </w:rPr>
        <w:t>8232067</w:t>
      </w:r>
    </w:p>
    <w:p>
      <w:pPr>
        <w:pStyle w:val="14"/>
        <w:spacing w:line="360" w:lineRule="auto"/>
        <w:ind w:left="0" w:leftChars="0" w:firstLine="0" w:firstLineChars="0"/>
        <w:rPr>
          <w:rFonts w:hint="eastAsia" w:ascii="宋体" w:hAnsi="宋体" w:cs="宋体"/>
          <w:color w:val="000000"/>
          <w:kern w:val="0"/>
          <w:sz w:val="24"/>
          <w:highlight w:val="none"/>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  箱：</w:t>
      </w:r>
      <w:r>
        <w:rPr>
          <w:rFonts w:hint="eastAsia" w:ascii="宋体" w:hAnsi="宋体" w:cs="宋体"/>
          <w:color w:val="000000"/>
          <w:kern w:val="0"/>
          <w:sz w:val="24"/>
          <w:lang w:val="en-US" w:eastAsia="zh-CN"/>
        </w:rPr>
        <w:fldChar w:fldCharType="begin"/>
      </w:r>
      <w:r>
        <w:rPr>
          <w:rFonts w:hint="eastAsia" w:ascii="宋体" w:hAnsi="宋体" w:cs="宋体"/>
          <w:color w:val="000000"/>
          <w:kern w:val="0"/>
          <w:sz w:val="24"/>
          <w:lang w:val="en-US" w:eastAsia="zh-CN"/>
        </w:rPr>
        <w:instrText xml:space="preserve"> HYPERLINK "mailto:dlxzfcgzx@126.com" </w:instrText>
      </w:r>
      <w:r>
        <w:rPr>
          <w:rFonts w:hint="eastAsia" w:ascii="宋体" w:hAnsi="宋体" w:cs="宋体"/>
          <w:color w:val="000000"/>
          <w:kern w:val="0"/>
          <w:sz w:val="24"/>
          <w:lang w:val="en-US" w:eastAsia="zh-CN"/>
        </w:rPr>
        <w:fldChar w:fldCharType="separate"/>
      </w:r>
      <w:r>
        <w:rPr>
          <w:rStyle w:val="29"/>
          <w:rFonts w:hint="eastAsia" w:ascii="宋体" w:hAnsi="宋体" w:cs="宋体"/>
          <w:color w:val="000000"/>
          <w:kern w:val="0"/>
          <w:sz w:val="24"/>
          <w:lang w:val="en-US" w:eastAsia="zh-CN"/>
        </w:rPr>
        <w:t>dlxzfcgzx</w:t>
      </w:r>
      <w:r>
        <w:rPr>
          <w:rStyle w:val="29"/>
          <w:rFonts w:hint="eastAsia" w:ascii="宋体" w:hAnsi="宋体" w:cs="宋体"/>
          <w:color w:val="000000"/>
          <w:kern w:val="0"/>
          <w:sz w:val="24"/>
          <w:highlight w:val="none"/>
        </w:rPr>
        <w:t>@126.com</w:t>
      </w:r>
      <w:r>
        <w:rPr>
          <w:rFonts w:hint="eastAsia" w:ascii="宋体" w:hAnsi="宋体" w:cs="宋体"/>
          <w:color w:val="000000"/>
          <w:kern w:val="0"/>
          <w:sz w:val="24"/>
          <w:lang w:val="en-US" w:eastAsia="zh-CN"/>
        </w:rPr>
        <w:fldChar w:fldCharType="end"/>
      </w:r>
    </w:p>
    <w:p>
      <w:pPr>
        <w:spacing w:line="360" w:lineRule="auto"/>
        <w:ind w:firstLine="0" w:firstLineChars="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联系地址：</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青海省</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海西州都兰县采购服务中心</w:t>
      </w:r>
    </w:p>
    <w:p>
      <w:pPr>
        <w:spacing w:line="360" w:lineRule="auto"/>
        <w:jc w:val="righ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都兰县政府采购服务中心</w:t>
      </w:r>
    </w:p>
    <w:p>
      <w:pPr>
        <w:spacing w:line="360" w:lineRule="auto"/>
        <w:ind w:firstLine="480"/>
        <w:jc w:val="right"/>
        <w:rPr>
          <w:rFonts w:hint="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 xml:space="preserve"> 2022年0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w:t>
      </w: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bookmarkStart w:id="75" w:name="_Toc444715733"/>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firstLine="964"/>
        <w:jc w:val="both"/>
        <w:outlineLvl w:val="0"/>
        <w:rPr>
          <w:rFonts w:ascii="宋体" w:hAnsi="宋体"/>
          <w:color w:val="000000" w:themeColor="text1"/>
          <w:sz w:val="48"/>
          <w14:textFill>
            <w14:solidFill>
              <w14:schemeClr w14:val="tx1"/>
            </w14:solidFill>
          </w14:textFill>
        </w:rPr>
      </w:pPr>
    </w:p>
    <w:p>
      <w:pPr>
        <w:pStyle w:val="17"/>
        <w:spacing w:before="0" w:after="0" w:line="540" w:lineRule="exact"/>
        <w:ind w:left="0" w:leftChars="0" w:firstLine="883" w:firstLineChars="200"/>
        <w:jc w:val="both"/>
        <w:outlineLvl w:val="0"/>
        <w:rPr>
          <w:rFonts w:ascii="宋体" w:hAnsi="宋体"/>
          <w:color w:val="000000" w:themeColor="text1"/>
          <w:lang w:val="zh-CN"/>
          <w14:textFill>
            <w14:solidFill>
              <w14:schemeClr w14:val="tx1"/>
            </w14:solidFill>
          </w14:textFill>
        </w:rPr>
      </w:pPr>
      <w:bookmarkStart w:id="76" w:name="_Toc28823_WPSOffice_Level1"/>
      <w:bookmarkStart w:id="77" w:name="_Toc32747"/>
      <w:bookmarkStart w:id="78" w:name="_Toc2775"/>
      <w:bookmarkStart w:id="79" w:name="_Toc26200"/>
      <w:bookmarkStart w:id="80" w:name="_Toc27882_WPSOffice_Level1"/>
      <w:r>
        <w:rPr>
          <w:rFonts w:hint="eastAsia" w:ascii="Calibri" w:hAnsi="Calibri"/>
          <w:color w:val="000000" w:themeColor="text1"/>
          <w:kern w:val="44"/>
          <w:sz w:val="44"/>
          <w:szCs w:val="44"/>
          <w14:textFill>
            <w14:solidFill>
              <w14:schemeClr w14:val="tx1"/>
            </w14:solidFill>
          </w14:textFill>
        </w:rPr>
        <w:t>第二部分  磋商供应商须知前附表</w:t>
      </w:r>
      <w:bookmarkEnd w:id="75"/>
      <w:bookmarkEnd w:id="76"/>
      <w:bookmarkEnd w:id="77"/>
      <w:bookmarkEnd w:id="78"/>
      <w:bookmarkEnd w:id="79"/>
      <w:bookmarkEnd w:id="80"/>
    </w:p>
    <w:tbl>
      <w:tblPr>
        <w:tblStyle w:val="24"/>
        <w:tblW w:w="9578" w:type="dxa"/>
        <w:jc w:val="center"/>
        <w:tblLayout w:type="fixed"/>
        <w:tblCellMar>
          <w:top w:w="0" w:type="dxa"/>
          <w:left w:w="57" w:type="dxa"/>
          <w:bottom w:w="0" w:type="dxa"/>
          <w:right w:w="57" w:type="dxa"/>
        </w:tblCellMar>
      </w:tblPr>
      <w:tblGrid>
        <w:gridCol w:w="653"/>
        <w:gridCol w:w="2523"/>
        <w:gridCol w:w="6402"/>
      </w:tblGrid>
      <w:tr>
        <w:tblPrEx>
          <w:tblCellMar>
            <w:top w:w="0" w:type="dxa"/>
            <w:left w:w="57" w:type="dxa"/>
            <w:bottom w:w="0" w:type="dxa"/>
            <w:right w:w="57" w:type="dxa"/>
          </w:tblCellMar>
        </w:tblPrEx>
        <w:trPr>
          <w:trHeight w:val="301"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1</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eastAsia"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采购项目名称</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kern w:val="0"/>
                <w:lang w:val="zh-CN"/>
              </w:rPr>
              <w:t>都兰县</w:t>
            </w:r>
            <w:r>
              <w:rPr>
                <w:rFonts w:hint="eastAsia" w:ascii="宋体" w:hAnsi="宋体" w:cs="宋体"/>
                <w:color w:val="000000"/>
                <w:kern w:val="0"/>
                <w:lang w:val="en-US" w:eastAsia="zh-CN"/>
              </w:rPr>
              <w:t>2022年教育质量提升工程（包1）</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采购项目编号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lang w:eastAsia="zh-CN"/>
              </w:rPr>
              <w:t>都</w:t>
            </w:r>
            <w:r>
              <w:rPr>
                <w:rFonts w:hint="eastAsia" w:ascii="宋体" w:hAnsi="宋体"/>
              </w:rPr>
              <w:t>政采磋商（货物）2022-</w:t>
            </w:r>
            <w:r>
              <w:rPr>
                <w:rFonts w:hint="eastAsia" w:ascii="宋体" w:hAnsi="宋体"/>
                <w:lang w:val="en-US" w:eastAsia="zh-CN"/>
              </w:rPr>
              <w:t>02</w:t>
            </w:r>
            <w:r>
              <w:rPr>
                <w:rFonts w:hint="eastAsia" w:ascii="宋体" w:hAnsi="宋体"/>
              </w:rPr>
              <w:t>号</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采购单位</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都兰县教育和科技局</w:t>
            </w:r>
          </w:p>
        </w:tc>
      </w:tr>
      <w:tr>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采购代理机构</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都兰县政府采购服务中心</w:t>
            </w:r>
          </w:p>
        </w:tc>
      </w:tr>
      <w:tr>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竞争性磋商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评分办法</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综合评分法</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7</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采购预算额度</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1456200</w:t>
            </w:r>
            <w:r>
              <w:rPr>
                <w:rFonts w:hint="eastAsia" w:ascii="宋体" w:hAnsi="宋体" w:cs="宋体"/>
                <w:color w:val="000000" w:themeColor="text1"/>
                <w:kern w:val="2"/>
                <w:sz w:val="24"/>
                <w:szCs w:val="24"/>
                <w:highlight w:val="none"/>
                <w:lang w:val="zh-CN"/>
                <w14:textFill>
                  <w14:solidFill>
                    <w14:schemeClr w14:val="tx1"/>
                  </w14:solidFill>
                </w14:textFill>
              </w:rPr>
              <w:t>元</w:t>
            </w:r>
          </w:p>
        </w:tc>
      </w:tr>
      <w:tr>
        <w:tblPrEx>
          <w:tblCellMar>
            <w:top w:w="0" w:type="dxa"/>
            <w:left w:w="57" w:type="dxa"/>
            <w:bottom w:w="0" w:type="dxa"/>
            <w:right w:w="57" w:type="dxa"/>
          </w:tblCellMar>
        </w:tblPrEx>
        <w:trPr>
          <w:trHeight w:val="19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8</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控制价</w:t>
            </w:r>
          </w:p>
        </w:tc>
        <w:tc>
          <w:tcPr>
            <w:tcW w:w="6402" w:type="dxa"/>
            <w:tcBorders>
              <w:top w:val="single" w:color="000000" w:sz="6" w:space="0"/>
              <w:left w:val="single" w:color="000000" w:sz="6" w:space="0"/>
              <w:bottom w:val="single" w:color="000000" w:sz="6" w:space="0"/>
              <w:right w:val="single" w:color="000000" w:sz="6" w:space="0"/>
            </w:tcBorders>
            <w:shd w:val="clear" w:color="auto" w:fill="FFFFFF"/>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1456200</w:t>
            </w:r>
            <w:r>
              <w:rPr>
                <w:rFonts w:hint="eastAsia" w:ascii="宋体" w:hAnsi="宋体" w:cs="宋体"/>
                <w:color w:val="000000" w:themeColor="text1"/>
                <w:kern w:val="2"/>
                <w:sz w:val="24"/>
                <w:szCs w:val="24"/>
                <w:lang w:val="zh-CN"/>
                <w14:textFill>
                  <w14:solidFill>
                    <w14:schemeClr w14:val="tx1"/>
                  </w14:solidFill>
                </w14:textFill>
              </w:rPr>
              <w:t>元</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eastAsia" w:ascii="宋体" w:hAnsi="宋体" w:eastAsia="宋体" w:cs="宋体"/>
                <w:color w:val="000000" w:themeColor="text1"/>
                <w:kern w:val="2"/>
                <w:sz w:val="24"/>
                <w:szCs w:val="24"/>
                <w:lang w:val="zh-CN"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9</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采购要求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磋商内容：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安装标准化考试设备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cs="宋体"/>
                <w:color w:val="000000" w:themeColor="text1"/>
                <w:kern w:val="2"/>
                <w:sz w:val="24"/>
                <w:szCs w:val="24"/>
                <w:lang w:val="zh-CN"/>
                <w14:textFill>
                  <w14:solidFill>
                    <w14:schemeClr w14:val="tx1"/>
                  </w14:solidFill>
                </w14:textFill>
              </w:rPr>
              <w:t>详见磋商文件。</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10</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磋商供应商资格条件</w:t>
            </w:r>
          </w:p>
        </w:tc>
        <w:tc>
          <w:tcPr>
            <w:tcW w:w="6402"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1.符合《政府采购法》第22条条件，并提供下列材料：</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（1）供应商的营业执照等证明文件，自然人的身份证明。</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（2）有良好的企业信誉和健全的财务会计制度（提供投标企业经第三方出具的202</w:t>
            </w:r>
            <w:r>
              <w:rPr>
                <w:rFonts w:hint="eastAsia" w:ascii="宋体" w:hAnsi="宋体" w:cs="宋体"/>
                <w:color w:val="000000" w:themeColor="text1"/>
                <w:kern w:val="2"/>
                <w:sz w:val="24"/>
                <w:szCs w:val="24"/>
                <w:lang w:val="en-US" w:eastAsia="zh-CN"/>
                <w14:textFill>
                  <w14:solidFill>
                    <w14:schemeClr w14:val="tx1"/>
                  </w14:solidFill>
                </w14:textFill>
              </w:rPr>
              <w:t>1</w:t>
            </w:r>
            <w:r>
              <w:rPr>
                <w:rFonts w:hint="eastAsia" w:ascii="宋体" w:hAnsi="宋体" w:cs="宋体"/>
                <w:color w:val="000000" w:themeColor="text1"/>
                <w:kern w:val="2"/>
                <w:sz w:val="24"/>
                <w:szCs w:val="24"/>
                <w14:textFill>
                  <w14:solidFill>
                    <w14:schemeClr w14:val="tx1"/>
                  </w14:solidFill>
                </w14:textFill>
              </w:rPr>
              <w:t>年度财务状况审计报告或基本开户银行近三个月内出具的资信证明）。</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（3）有依法缴纳税收和社会保障资金的良好记录（提供近半年内任意3个月的纳税和社保缴纳凭证）。</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（4）具备履行合同所必需的设备和专业技术能力的证明材料。</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（5）参加政府采购活动前3年内在经营活动中没有重大违法记录的书面声明。</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（6）具备法律、行政法规规定的其他条件的证明材料。</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2.在中华人民共和国境内合法注册的，并在人员、设备、资金等方面具有相应的</w:t>
            </w:r>
            <w:r>
              <w:rPr>
                <w:rFonts w:hint="eastAsia" w:ascii="宋体" w:hAnsi="宋体" w:cs="宋体"/>
                <w:color w:val="000000" w:themeColor="text1"/>
                <w:kern w:val="2"/>
                <w:sz w:val="24"/>
                <w:szCs w:val="24"/>
                <w:lang w:val="en-US" w:eastAsia="zh-CN"/>
                <w14:textFill>
                  <w14:solidFill>
                    <w14:schemeClr w14:val="tx1"/>
                  </w14:solidFill>
                </w14:textFill>
              </w:rPr>
              <w:t>供货</w:t>
            </w:r>
            <w:r>
              <w:rPr>
                <w:rFonts w:hint="eastAsia" w:ascii="宋体" w:hAnsi="宋体" w:cs="宋体"/>
                <w:color w:val="000000" w:themeColor="text1"/>
                <w:kern w:val="2"/>
                <w:sz w:val="24"/>
                <w:szCs w:val="24"/>
                <w14:textFill>
                  <w14:solidFill>
                    <w14:schemeClr w14:val="tx1"/>
                  </w14:solidFill>
                </w14:textFill>
              </w:rPr>
              <w:t>能力。</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3.单位负责人为同一人或者存在直接控股、管理关系的不同供应商，不得参加同一合同项下的政府采购活动。否则，皆取消投标资格；</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4.本项目不接受供应商以联合体方式进行投标；</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5.为本采购项目提供整体设计、规范编制或者项目管理、监理、检测等服务的投标人，不得再参加该采购项目的其他采购活动；</w:t>
            </w:r>
          </w:p>
          <w:p>
            <w:pPr>
              <w:widowControl/>
              <w:spacing w:line="360" w:lineRule="auto"/>
              <w:ind w:firstLine="0" w:firstLineChars="0"/>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6.经信用中国（www.creditchina.gov.cn）、中国政府采购网（www.ccgp.gov.cn）等渠道查询后，列入失信被执行人、重大税收违法案件当事人名单、政府采购严重违法失信行为记录名单的，取消投标资格。</w:t>
            </w:r>
          </w:p>
        </w:tc>
      </w:tr>
      <w:tr>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11</w:t>
            </w:r>
          </w:p>
        </w:tc>
        <w:tc>
          <w:tcPr>
            <w:tcW w:w="2523" w:type="dxa"/>
            <w:tcBorders>
              <w:top w:val="single" w:color="000000" w:sz="6" w:space="0"/>
              <w:left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w:t>
            </w:r>
          </w:p>
        </w:tc>
        <w:tc>
          <w:tcPr>
            <w:tcW w:w="6402" w:type="dxa"/>
            <w:tcBorders>
              <w:top w:val="single" w:color="000000" w:sz="6" w:space="0"/>
              <w:left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各磋商供应商须在磋商响应文件递交截止时间前，缴纳磋商保证金（磋商保证金应当从其基本账户汇出，磋商响应文件中须附企业基本账户开户许可证并加盖磋商企业公章）</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磋商保证金金额：</w:t>
            </w:r>
            <w:r>
              <w:rPr>
                <w:rFonts w:hint="eastAsia" w:ascii="宋体" w:hAnsi="宋体" w:cs="宋体"/>
                <w:color w:val="000000" w:themeColor="text1"/>
                <w:kern w:val="2"/>
                <w:sz w:val="24"/>
                <w:szCs w:val="24"/>
                <w:lang w:val="en-US" w:eastAsia="zh-CN"/>
                <w14:textFill>
                  <w14:solidFill>
                    <w14:schemeClr w14:val="tx1"/>
                  </w14:solidFill>
                </w14:textFill>
              </w:rPr>
              <w:t>29000</w:t>
            </w:r>
            <w:r>
              <w:rPr>
                <w:rFonts w:hint="eastAsia" w:ascii="宋体" w:hAnsi="宋体" w:cs="宋体"/>
                <w:color w:val="000000" w:themeColor="text1"/>
                <w:kern w:val="2"/>
                <w:sz w:val="24"/>
                <w:szCs w:val="24"/>
                <w14:textFill>
                  <w14:solidFill>
                    <w14:schemeClr w14:val="tx1"/>
                  </w14:solidFill>
                </w14:textFill>
              </w:rPr>
              <w:t>.00</w:t>
            </w:r>
            <w:r>
              <w:rPr>
                <w:rFonts w:hint="eastAsia" w:ascii="宋体" w:hAnsi="宋体" w:cs="宋体"/>
                <w:color w:val="000000" w:themeColor="text1"/>
                <w:kern w:val="2"/>
                <w:sz w:val="24"/>
                <w:szCs w:val="24"/>
                <w:lang w:val="zh-CN"/>
                <w14:textFill>
                  <w14:solidFill>
                    <w14:schemeClr w14:val="tx1"/>
                  </w14:solidFill>
                </w14:textFill>
              </w:rPr>
              <w:t>元（大写：贰万</w:t>
            </w:r>
            <w:r>
              <w:rPr>
                <w:rFonts w:hint="eastAsia" w:ascii="宋体" w:hAnsi="宋体" w:cs="宋体"/>
                <w:color w:val="000000" w:themeColor="text1"/>
                <w:kern w:val="2"/>
                <w:sz w:val="24"/>
                <w:szCs w:val="24"/>
                <w14:textFill>
                  <w14:solidFill>
                    <w14:schemeClr w14:val="tx1"/>
                  </w14:solidFill>
                </w14:textFill>
              </w:rPr>
              <w:t>玖仟元整</w:t>
            </w:r>
            <w:r>
              <w:rPr>
                <w:rFonts w:hint="eastAsia" w:ascii="宋体" w:hAnsi="宋体" w:cs="宋体"/>
                <w:color w:val="000000" w:themeColor="text1"/>
                <w:kern w:val="2"/>
                <w:sz w:val="24"/>
                <w:szCs w:val="24"/>
                <w:lang w:val="zh-CN"/>
                <w14:textFill>
                  <w14:solidFill>
                    <w14:schemeClr w14:val="tx1"/>
                  </w14:solidFill>
                </w14:textFill>
              </w:rPr>
              <w:t>）；</w:t>
            </w:r>
          </w:p>
          <w:p>
            <w:pPr>
              <w:pStyle w:val="72"/>
              <w:textAlignment w:val="baseline"/>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收款单位：</w:t>
            </w:r>
            <w:r>
              <w:rPr>
                <w:rFonts w:hint="eastAsia" w:ascii="宋体" w:hAnsi="宋体" w:eastAsia="宋体" w:cs="宋体"/>
                <w:bCs/>
                <w:kern w:val="0"/>
                <w:sz w:val="24"/>
                <w:highlight w:val="none"/>
              </w:rPr>
              <w:t>都兰县财政局-预算外资金专户</w:t>
            </w:r>
          </w:p>
          <w:p>
            <w:pPr>
              <w:pStyle w:val="72"/>
              <w:textAlignment w:val="baseline"/>
              <w:rPr>
                <w:rFonts w:ascii="宋体" w:hAnsi="宋体" w:cs="宋体"/>
                <w:color w:val="000000" w:themeColor="text1"/>
                <w:kern w:val="2"/>
                <w:sz w:val="24"/>
                <w:szCs w:val="24"/>
                <w:highlight w:val="none"/>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开 户 行：</w:t>
            </w:r>
            <w:r>
              <w:rPr>
                <w:rFonts w:hint="eastAsia" w:ascii="宋体" w:hAnsi="宋体" w:eastAsia="宋体" w:cs="宋体"/>
                <w:sz w:val="24"/>
                <w:highlight w:val="none"/>
                <w:lang w:val="zh-CN"/>
              </w:rPr>
              <w:t>农行都兰县希望街支行</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highlight w:val="none"/>
                <w:lang w:val="zh-CN"/>
                <w14:textFill>
                  <w14:solidFill>
                    <w14:schemeClr w14:val="tx1"/>
                  </w14:solidFill>
                </w14:textFill>
              </w:rPr>
              <w:t>银行账号：</w:t>
            </w:r>
            <w:r>
              <w:rPr>
                <w:rFonts w:hint="eastAsia" w:ascii="宋体" w:hAnsi="宋体" w:eastAsia="宋体" w:cs="宋体"/>
                <w:sz w:val="24"/>
                <w:lang w:val="zh-CN"/>
              </w:rPr>
              <w:t>28-512001040000126（保证金汇款，后附项目名称、包号）</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缴纳时间：投标截止前，以银行到账时间为准。</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（1）不接受个人名义或现金形式递交的磋商保证金，磋商供应商应单独提交磋商保证金，磋商保证金须从企业基本账户中支付，磋商文件中须附企业开户许可证；</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（2）磋商保证金有效期与磋商有效期一致。</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磋商保证金缴纳方式</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应当以电汇、支票、汇票、本票或者金融机构、担保机构出具的保函等非现金形式提交。通过银行转账的，必须由磋商供应商从其基本账户（需提供开户许可证）汇（转）入本须知附表中第11条指定的账户。</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磋商供应商未按照磋商文件要求提交磋商保证金的，磋商无效。</w:t>
            </w:r>
          </w:p>
        </w:tc>
      </w:tr>
      <w:tr>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磋商保证金退还</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未中标磋商供应商的磋商保证金自成交通知书发出之日起5个工作日内退还（不退现金）；中标磋商供应商的磋商保证金，自政府采购合同签订之日起5个工作日内退还（不退现金）。</w:t>
            </w:r>
          </w:p>
        </w:tc>
      </w:tr>
      <w:tr>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磋商文件编制要求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1）磋商供应商应按照磋商文件所提供的磋商响应文件格式，分别填写磋商文件第五部分的内容，应分别注明所提供服务的名称、数量和价格等内容；磋商文件要求签字、盖章的地方必须由磋商供应商的法定代表人或委托代理人按要求签字、盖章。</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（2）磋商供应商应按磋商文件要求准备磋商响应文件（1份正本、</w:t>
            </w:r>
            <w:r>
              <w:rPr>
                <w:rFonts w:hint="eastAsia" w:ascii="宋体" w:hAnsi="宋体" w:cs="宋体"/>
                <w:color w:val="000000" w:themeColor="text1"/>
                <w:kern w:val="2"/>
                <w:sz w:val="24"/>
                <w:szCs w:val="24"/>
                <w:lang w:val="en-US" w:eastAsia="zh-CN"/>
                <w14:textFill>
                  <w14:solidFill>
                    <w14:schemeClr w14:val="tx1"/>
                  </w14:solidFill>
                </w14:textFill>
              </w:rPr>
              <w:t>2</w:t>
            </w:r>
            <w:r>
              <w:rPr>
                <w:rFonts w:hint="eastAsia" w:ascii="宋体" w:hAnsi="宋体" w:cs="宋体"/>
                <w:color w:val="000000" w:themeColor="text1"/>
                <w:kern w:val="2"/>
                <w:sz w:val="24"/>
                <w:szCs w:val="24"/>
                <w:lang w:val="zh-CN"/>
                <w14:textFill>
                  <w14:solidFill>
                    <w14:schemeClr w14:val="tx1"/>
                  </w14:solidFill>
                </w14:textFill>
              </w:rPr>
              <w:t>份副本和相应的电子文档1份）。每份磋商响应文件都必须清楚地标明“正本”或“副本”等字样。若发生正本和副本不符，以正本磋商响应文件为准。磋商响应文件统一使用A4幅面的纸张印制，必须胶装成册并编码，不得采用活页夹等可随时拆换的方式装订。</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（3）磋商响应文件的正本和副本均需打印或用不褪色、不变质的墨水书写并由磋商供应商的委托代理人加盖公章。磋商响应文件副本可采用正本的复印件，若不满足以上条件，按无效磋商处理。</w:t>
            </w:r>
          </w:p>
          <w:p>
            <w:pPr>
              <w:widowControl/>
              <w:spacing w:line="360" w:lineRule="auto"/>
              <w:ind w:firstLine="0" w:firstLineChars="0"/>
              <w:rPr>
                <w:rFonts w:ascii="宋体" w:hAnsi="宋体" w:cs="宋体"/>
                <w:color w:val="000000" w:themeColor="text1"/>
                <w:kern w:val="2"/>
                <w:sz w:val="24"/>
                <w:szCs w:val="24"/>
                <w:lang w:val="zh-CN"/>
                <w14:textFill>
                  <w14:solidFill>
                    <w14:schemeClr w14:val="tx1"/>
                  </w14:solidFill>
                </w14:textFill>
              </w:rPr>
            </w:pPr>
            <w:r>
              <w:rPr>
                <w:rFonts w:hint="eastAsia" w:ascii="宋体" w:hAnsi="宋体" w:cs="宋体"/>
                <w:color w:val="000000" w:themeColor="text1"/>
                <w:kern w:val="2"/>
                <w:sz w:val="24"/>
                <w:szCs w:val="24"/>
                <w:lang w:val="zh-CN"/>
                <w14:textFill>
                  <w14:solidFill>
                    <w14:schemeClr w14:val="tx1"/>
                  </w14:solidFill>
                </w14:textFill>
              </w:rPr>
              <w:t>（4）电子文档用U盘制作，采用不可修改文档格式（如：PDF格式），须写明采购项目名称、供应商名称及磋商日期，电子文档为纸质版磋商响应文件正本的扫描件，需采用不可修改文档格式，电子文档与纸质版磋商响应文件正本内容必须完全一致，包括盖章和签字，并与书面磋商响应文件一并提交，否则，视为无效磋商。</w:t>
            </w:r>
          </w:p>
        </w:tc>
      </w:tr>
      <w:tr>
        <w:trPr>
          <w:trHeight w:val="3989"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磋商文件的密封</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响应文件的正本与副本须分别密封，加贴密封条，并在密封包装的封口处加盖磋商单位公章和法人章（未按要求密封的磋商响应文件将不予接收）；磋商响应文件的封套上应标记“正本”或“副本”字样，封套上应写明：</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采购项目名称：                正（副）本</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采购项目编号：</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磋商供应商名称：             （加盖单位公章）</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法定代表人：                 （加盖法人章）</w:t>
            </w:r>
          </w:p>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于*年*月*日*分前不得开启</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17</w:t>
            </w:r>
          </w:p>
        </w:tc>
        <w:tc>
          <w:tcPr>
            <w:tcW w:w="2523" w:type="dxa"/>
            <w:tcBorders>
              <w:top w:val="single" w:color="000000" w:sz="6" w:space="0"/>
              <w:left w:val="single" w:color="000000" w:sz="6" w:space="0"/>
              <w:bottom w:val="single" w:color="auto" w:sz="4"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递交磋商文件方式</w:t>
            </w:r>
          </w:p>
        </w:tc>
        <w:tc>
          <w:tcPr>
            <w:tcW w:w="6402" w:type="dxa"/>
            <w:tcBorders>
              <w:top w:val="single" w:color="000000" w:sz="6" w:space="0"/>
              <w:left w:val="single" w:color="000000" w:sz="6" w:space="0"/>
              <w:bottom w:val="single" w:color="auto" w:sz="4" w:space="0"/>
              <w:right w:val="single" w:color="000000" w:sz="6"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 xml:space="preserve">现场递交，不接受邮寄磋商。 </w:t>
            </w:r>
          </w:p>
        </w:tc>
      </w:tr>
      <w:tr>
        <w:trPr>
          <w:trHeight w:val="440"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18</w:t>
            </w:r>
          </w:p>
        </w:tc>
        <w:tc>
          <w:tcPr>
            <w:tcW w:w="252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磋商截止时间</w:t>
            </w:r>
          </w:p>
        </w:tc>
        <w:tc>
          <w:tcPr>
            <w:tcW w:w="640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2022年0</w:t>
            </w: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lang w:val="zh-CN"/>
                <w14:textFill>
                  <w14:solidFill>
                    <w14:schemeClr w14:val="tx1"/>
                  </w14:solidFill>
                </w14:textFill>
              </w:rPr>
              <w:t>月</w:t>
            </w:r>
            <w:r>
              <w:rPr>
                <w:rFonts w:hint="eastAsia" w:ascii="宋体" w:hAnsi="宋体" w:cs="仿宋"/>
                <w:color w:val="000000" w:themeColor="text1"/>
                <w:sz w:val="24"/>
                <w:lang w:val="en-US" w:eastAsia="zh-CN"/>
                <w14:textFill>
                  <w14:solidFill>
                    <w14:schemeClr w14:val="tx1"/>
                  </w14:solidFill>
                </w14:textFill>
              </w:rPr>
              <w:t>14</w:t>
            </w:r>
            <w:r>
              <w:rPr>
                <w:rFonts w:hint="eastAsia" w:ascii="宋体" w:hAnsi="宋体" w:cs="仿宋"/>
                <w:color w:val="000000" w:themeColor="text1"/>
                <w:sz w:val="24"/>
                <w:lang w:val="zh-CN"/>
                <w14:textFill>
                  <w14:solidFill>
                    <w14:schemeClr w14:val="tx1"/>
                  </w14:solidFill>
                </w14:textFill>
              </w:rPr>
              <w:t>日上午10：00分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19</w:t>
            </w:r>
          </w:p>
        </w:tc>
        <w:tc>
          <w:tcPr>
            <w:tcW w:w="252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磋商时间</w:t>
            </w:r>
          </w:p>
        </w:tc>
        <w:tc>
          <w:tcPr>
            <w:tcW w:w="6402" w:type="dxa"/>
            <w:tcBorders>
              <w:top w:val="single" w:color="auto" w:sz="4" w:space="0"/>
              <w:left w:val="single" w:color="auto" w:sz="4" w:space="0"/>
              <w:bottom w:val="single" w:color="auto" w:sz="4" w:space="0"/>
              <w:right w:val="single" w:color="auto" w:sz="4" w:space="0"/>
            </w:tcBorders>
            <w:vAlign w:val="center"/>
          </w:tcPr>
          <w:p>
            <w:pPr>
              <w:pStyle w:val="71"/>
              <w:spacing w:line="360" w:lineRule="auto"/>
              <w:rPr>
                <w:rFonts w:ascii="宋体" w:hAnsi="宋体" w:cs="仿宋"/>
                <w:color w:val="000000" w:themeColor="text1"/>
                <w:sz w:val="24"/>
                <w:lang w:val="zh-CN"/>
                <w14:textFill>
                  <w14:solidFill>
                    <w14:schemeClr w14:val="tx1"/>
                  </w14:solidFill>
                </w14:textFill>
              </w:rPr>
            </w:pPr>
            <w:r>
              <w:rPr>
                <w:rFonts w:hint="eastAsia" w:ascii="宋体" w:hAnsi="宋体" w:cs="仿宋"/>
                <w:color w:val="000000" w:themeColor="text1"/>
                <w:sz w:val="24"/>
                <w:lang w:val="zh-CN"/>
                <w14:textFill>
                  <w14:solidFill>
                    <w14:schemeClr w14:val="tx1"/>
                  </w14:solidFill>
                </w14:textFill>
              </w:rPr>
              <w:t>2022年0</w:t>
            </w:r>
            <w:r>
              <w:rPr>
                <w:rFonts w:hint="eastAsia" w:ascii="宋体" w:hAnsi="宋体" w:cs="仿宋"/>
                <w:color w:val="000000" w:themeColor="text1"/>
                <w:sz w:val="24"/>
                <w:lang w:val="en-US" w:eastAsia="zh-CN"/>
                <w14:textFill>
                  <w14:solidFill>
                    <w14:schemeClr w14:val="tx1"/>
                  </w14:solidFill>
                </w14:textFill>
              </w:rPr>
              <w:t>7</w:t>
            </w:r>
            <w:r>
              <w:rPr>
                <w:rFonts w:hint="eastAsia" w:ascii="宋体" w:hAnsi="宋体" w:cs="仿宋"/>
                <w:color w:val="000000" w:themeColor="text1"/>
                <w:sz w:val="24"/>
                <w:lang w:val="zh-CN"/>
                <w14:textFill>
                  <w14:solidFill>
                    <w14:schemeClr w14:val="tx1"/>
                  </w14:solidFill>
                </w14:textFill>
              </w:rPr>
              <w:t>月</w:t>
            </w:r>
            <w:r>
              <w:rPr>
                <w:rFonts w:hint="eastAsia" w:ascii="宋体" w:hAnsi="宋体" w:cs="仿宋"/>
                <w:color w:val="000000" w:themeColor="text1"/>
                <w:sz w:val="24"/>
                <w:lang w:val="en-US" w:eastAsia="zh-CN"/>
                <w14:textFill>
                  <w14:solidFill>
                    <w14:schemeClr w14:val="tx1"/>
                  </w14:solidFill>
                </w14:textFill>
              </w:rPr>
              <w:t>14</w:t>
            </w:r>
            <w:r>
              <w:rPr>
                <w:rFonts w:hint="eastAsia" w:ascii="宋体" w:hAnsi="宋体" w:cs="仿宋"/>
                <w:color w:val="000000" w:themeColor="text1"/>
                <w:sz w:val="24"/>
                <w:lang w:val="zh-CN"/>
                <w14:textFill>
                  <w14:solidFill>
                    <w14:schemeClr w14:val="tx1"/>
                  </w14:solidFill>
                </w14:textFill>
              </w:rPr>
              <w:t>日上午10：00分</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auto" w:sz="4"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20</w:t>
            </w:r>
          </w:p>
        </w:tc>
        <w:tc>
          <w:tcPr>
            <w:tcW w:w="252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磋商及磋商地点</w:t>
            </w:r>
          </w:p>
        </w:tc>
        <w:tc>
          <w:tcPr>
            <w:tcW w:w="6402"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宋体"/>
                <w:color w:val="000000"/>
                <w:kern w:val="0"/>
                <w:highlight w:val="none"/>
                <w:lang w:val="zh-CN"/>
              </w:rPr>
              <w:t>海西州行政服务和公共资源交易中心4楼3号询价谈判室</w:t>
            </w:r>
          </w:p>
        </w:tc>
      </w:tr>
      <w:tr>
        <w:tblPrEx>
          <w:tblCellMar>
            <w:top w:w="0" w:type="dxa"/>
            <w:left w:w="57" w:type="dxa"/>
            <w:bottom w:w="0" w:type="dxa"/>
            <w:right w:w="57"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21</w:t>
            </w:r>
          </w:p>
        </w:tc>
        <w:tc>
          <w:tcPr>
            <w:tcW w:w="2523" w:type="dxa"/>
            <w:tcBorders>
              <w:top w:val="single" w:color="auto" w:sz="4"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答疑澄清方式</w:t>
            </w:r>
          </w:p>
        </w:tc>
        <w:tc>
          <w:tcPr>
            <w:tcW w:w="6402" w:type="dxa"/>
            <w:tcBorders>
              <w:top w:val="single" w:color="auto" w:sz="4"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采用现场答疑。磋商供应商须提供准确的联系方式（手机和固定电话），应在规定的时间内到达评审现场进行答疑澄清，如在规定的时间内联系无果或未按时到达的，视同放弃答疑。</w:t>
            </w:r>
          </w:p>
        </w:tc>
      </w:tr>
      <w:tr>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22</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代理服务费收取</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199" w:firstLineChars="83"/>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招标代理服务费：小写：</w:t>
            </w:r>
            <w:r>
              <w:rPr>
                <w:rFonts w:hint="eastAsia" w:ascii="宋体" w:hAnsi="宋体" w:cs="仿宋"/>
                <w:color w:val="000000" w:themeColor="text1"/>
                <w:sz w:val="24"/>
                <w:szCs w:val="24"/>
                <w14:textFill>
                  <w14:solidFill>
                    <w14:schemeClr w14:val="tx1"/>
                  </w14:solidFill>
                </w14:textFill>
              </w:rPr>
              <w:t>0</w:t>
            </w:r>
            <w:r>
              <w:rPr>
                <w:rFonts w:hint="eastAsia" w:ascii="宋体" w:hAnsi="宋体" w:cs="仿宋"/>
                <w:color w:val="000000" w:themeColor="text1"/>
                <w:sz w:val="24"/>
                <w:szCs w:val="24"/>
                <w:lang w:eastAsia="zh-CN"/>
                <w14:textFill>
                  <w14:solidFill>
                    <w14:schemeClr w14:val="tx1"/>
                  </w14:solidFill>
                </w14:textFill>
              </w:rPr>
              <w:t>元</w:t>
            </w:r>
            <w:r>
              <w:rPr>
                <w:rFonts w:hint="eastAsia" w:ascii="宋体" w:hAnsi="宋体" w:cs="仿宋"/>
                <w:color w:val="000000" w:themeColor="text1"/>
                <w:sz w:val="24"/>
                <w:szCs w:val="24"/>
                <w:lang w:val="zh-CN"/>
                <w14:textFill>
                  <w14:solidFill>
                    <w14:schemeClr w14:val="tx1"/>
                  </w14:solidFill>
                </w14:textFill>
              </w:rPr>
              <w:t>。</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23</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合同签订有效期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自成交通知书发出之日起30日内与采购单位签订合同</w:t>
            </w:r>
          </w:p>
        </w:tc>
      </w:tr>
      <w:tr>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24</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政府采购合同备案</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采购合同全数返回采购代理机构签字，盖章。</w:t>
            </w:r>
          </w:p>
          <w:p>
            <w:pPr>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采购代理机构留存两份原件备案。</w:t>
            </w:r>
          </w:p>
        </w:tc>
      </w:tr>
      <w:tr>
        <w:trPr>
          <w:trHeight w:val="25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25</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磋商有效期</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left="0" w:leftChars="0"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60日历天</w:t>
            </w:r>
          </w:p>
        </w:tc>
      </w:tr>
      <w:tr>
        <w:tblPrEx>
          <w:tblCellMar>
            <w:top w:w="0" w:type="dxa"/>
            <w:left w:w="57" w:type="dxa"/>
            <w:bottom w:w="0" w:type="dxa"/>
            <w:right w:w="57" w:type="dxa"/>
          </w:tblCellMar>
        </w:tblPrEx>
        <w:trPr>
          <w:trHeight w:val="1037"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0"/>
              </w:tabs>
              <w:autoSpaceDE w:val="0"/>
              <w:spacing w:line="360" w:lineRule="exact"/>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26</w:t>
            </w:r>
          </w:p>
        </w:tc>
        <w:tc>
          <w:tcPr>
            <w:tcW w:w="252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exact"/>
              <w:ind w:firstLine="48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其他要求</w:t>
            </w:r>
          </w:p>
        </w:tc>
        <w:tc>
          <w:tcPr>
            <w:tcW w:w="6402" w:type="dxa"/>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0" w:firstLineChars="0"/>
              <w:rPr>
                <w:rFonts w:ascii="宋体" w:hAnsi="宋体" w:cs="仿宋"/>
                <w:color w:val="000000" w:themeColor="text1"/>
                <w:sz w:val="24"/>
                <w:szCs w:val="24"/>
                <w:lang w:val="zh-CN"/>
                <w14:textFill>
                  <w14:solidFill>
                    <w14:schemeClr w14:val="tx1"/>
                  </w14:solidFill>
                </w14:textFill>
              </w:rPr>
            </w:pPr>
            <w:r>
              <w:rPr>
                <w:rFonts w:hint="eastAsia" w:ascii="宋体" w:hAnsi="宋体" w:cs="仿宋"/>
                <w:color w:val="000000" w:themeColor="text1"/>
                <w:sz w:val="24"/>
                <w:szCs w:val="24"/>
                <w:lang w:val="zh-CN"/>
                <w14:textFill>
                  <w14:solidFill>
                    <w14:schemeClr w14:val="tx1"/>
                  </w14:solidFill>
                </w14:textFill>
              </w:rPr>
              <w:t>本项目磋商公告在《青海政府采购网》</w:t>
            </w:r>
            <w:r>
              <w:rPr>
                <w:rFonts w:hint="eastAsia" w:ascii="宋体" w:hAnsi="宋体" w:cs="仿宋"/>
                <w:color w:val="000000" w:themeColor="text1"/>
                <w:sz w:val="24"/>
                <w:szCs w:val="24"/>
                <w14:textFill>
                  <w14:solidFill>
                    <w14:schemeClr w14:val="tx1"/>
                  </w14:solidFill>
                </w14:textFill>
              </w:rPr>
              <w:t>为准</w:t>
            </w:r>
            <w:r>
              <w:rPr>
                <w:rFonts w:hint="eastAsia" w:ascii="宋体" w:hAnsi="宋体" w:cs="仿宋"/>
                <w:color w:val="000000" w:themeColor="text1"/>
                <w:sz w:val="24"/>
                <w:szCs w:val="24"/>
                <w:lang w:val="zh-CN"/>
                <w14:textFill>
                  <w14:solidFill>
                    <w14:schemeClr w14:val="tx1"/>
                  </w14:solidFill>
                </w14:textFill>
              </w:rPr>
              <w:t>。</w:t>
            </w:r>
          </w:p>
        </w:tc>
      </w:tr>
      <w:tr>
        <w:tblPrEx>
          <w:tblCellMar>
            <w:top w:w="0" w:type="dxa"/>
            <w:left w:w="57" w:type="dxa"/>
            <w:bottom w:w="0" w:type="dxa"/>
            <w:right w:w="57" w:type="dxa"/>
          </w:tblCellMar>
        </w:tblPrEx>
        <w:trPr>
          <w:trHeight w:val="423" w:hRule="atLeast"/>
          <w:jc w:val="center"/>
        </w:trPr>
        <w:tc>
          <w:tcPr>
            <w:tcW w:w="9578"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autoSpaceDE w:val="0"/>
              <w:spacing w:line="360" w:lineRule="auto"/>
              <w:ind w:firstLine="0" w:firstLineChars="0"/>
              <w:rPr>
                <w:rFonts w:hint="default" w:ascii="宋体" w:hAnsi="宋体" w:eastAsia="宋体" w:cs="仿宋"/>
                <w:color w:val="000000" w:themeColor="text1"/>
                <w:sz w:val="24"/>
                <w:szCs w:val="24"/>
                <w:lang w:val="en-US" w:eastAsia="zh-CN"/>
                <w14:textFill>
                  <w14:solidFill>
                    <w14:schemeClr w14:val="tx1"/>
                  </w14:solidFill>
                </w14:textFill>
              </w:rPr>
            </w:pPr>
            <w:r>
              <w:rPr>
                <w:rFonts w:hint="eastAsia" w:ascii="宋体" w:hAnsi="宋体" w:cs="仿宋"/>
                <w:color w:val="000000" w:themeColor="text1"/>
                <w:sz w:val="24"/>
                <w:szCs w:val="24"/>
                <w:lang w:val="en-US" w:eastAsia="zh-CN"/>
                <w14:textFill>
                  <w14:solidFill>
                    <w14:schemeClr w14:val="tx1"/>
                  </w14:solidFill>
                </w14:textFill>
              </w:rPr>
              <w:t>注：其他内容与本表不一致时，以磋商供应商须知前附表为准。</w:t>
            </w:r>
          </w:p>
        </w:tc>
      </w:tr>
    </w:tbl>
    <w:p>
      <w:pPr>
        <w:ind w:firstLine="480"/>
        <w:rPr>
          <w:rFonts w:ascii="宋体" w:hAnsi="宋体" w:cs="仿宋"/>
          <w:color w:val="000000" w:themeColor="text1"/>
          <w:sz w:val="24"/>
          <w:szCs w:val="24"/>
          <w:lang w:val="zh-CN"/>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bookmarkStart w:id="81" w:name="_Toc20865"/>
      <w:bookmarkStart w:id="82" w:name="_Toc22659"/>
      <w:bookmarkStart w:id="83" w:name="_Toc464136613"/>
      <w:bookmarkStart w:id="84" w:name="_Toc28958_WPSOffice_Level1"/>
      <w:bookmarkStart w:id="85" w:name="_Toc31818_WPSOffice_Level1"/>
      <w:bookmarkStart w:id="86" w:name="_Toc325725997"/>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jc w:val="both"/>
        <w:rPr>
          <w:rFonts w:hint="eastAsia"/>
          <w:color w:val="000000" w:themeColor="text1"/>
          <w:kern w:val="28"/>
          <w14:textFill>
            <w14:solidFill>
              <w14:schemeClr w14:val="tx1"/>
            </w14:solidFill>
          </w14:textFill>
        </w:rPr>
      </w:pPr>
    </w:p>
    <w:p>
      <w:pPr>
        <w:pStyle w:val="21"/>
        <w:spacing w:before="0" w:after="0" w:line="360" w:lineRule="auto"/>
        <w:ind w:firstLine="0" w:firstLineChars="0"/>
        <w:rPr>
          <w:rFonts w:hint="eastAsia"/>
          <w:color w:val="000000" w:themeColor="text1"/>
          <w:kern w:val="28"/>
          <w14:textFill>
            <w14:solidFill>
              <w14:schemeClr w14:val="tx1"/>
            </w14:solidFill>
          </w14:textFill>
        </w:rPr>
      </w:pPr>
    </w:p>
    <w:p>
      <w:pPr>
        <w:pStyle w:val="21"/>
        <w:spacing w:before="0" w:after="0" w:line="360" w:lineRule="auto"/>
        <w:ind w:firstLine="0" w:firstLineChars="0"/>
        <w:rPr>
          <w:color w:val="000000" w:themeColor="text1"/>
          <w:kern w:val="28"/>
          <w14:textFill>
            <w14:solidFill>
              <w14:schemeClr w14:val="tx1"/>
            </w14:solidFill>
          </w14:textFill>
        </w:rPr>
      </w:pPr>
      <w:r>
        <w:rPr>
          <w:rFonts w:hint="eastAsia"/>
          <w:color w:val="000000" w:themeColor="text1"/>
          <w:kern w:val="28"/>
          <w14:textFill>
            <w14:solidFill>
              <w14:schemeClr w14:val="tx1"/>
            </w14:solidFill>
          </w14:textFill>
        </w:rPr>
        <w:t>第三部分 供应商须知</w:t>
      </w:r>
      <w:bookmarkEnd w:id="81"/>
      <w:bookmarkEnd w:id="82"/>
      <w:bookmarkEnd w:id="83"/>
      <w:bookmarkEnd w:id="84"/>
      <w:bookmarkEnd w:id="85"/>
    </w:p>
    <w:p>
      <w:pPr>
        <w:widowControl/>
        <w:spacing w:line="360" w:lineRule="auto"/>
        <w:ind w:firstLine="0" w:firstLineChars="0"/>
        <w:jc w:val="center"/>
        <w:outlineLvl w:val="1"/>
        <w:rPr>
          <w:rFonts w:ascii="宋体" w:cs="Times New Roman"/>
          <w:b/>
          <w:bCs/>
          <w:color w:val="000000" w:themeColor="text1"/>
          <w:sz w:val="32"/>
          <w:szCs w:val="32"/>
          <w14:textFill>
            <w14:solidFill>
              <w14:schemeClr w14:val="tx1"/>
            </w14:solidFill>
          </w14:textFill>
        </w:rPr>
      </w:pPr>
      <w:bookmarkStart w:id="87" w:name="_Toc14943"/>
      <w:bookmarkStart w:id="88" w:name="_Toc24622"/>
      <w:bookmarkStart w:id="89" w:name="_Toc376936728"/>
      <w:bookmarkStart w:id="90" w:name="_Toc464136614"/>
      <w:bookmarkStart w:id="91" w:name="_Toc32002"/>
      <w:bookmarkStart w:id="92" w:name="_Toc31818_WPSOffice_Level2"/>
      <w:bookmarkStart w:id="93" w:name="_Toc28958_WPSOffice_Level2"/>
      <w:r>
        <w:rPr>
          <w:rFonts w:hint="eastAsia" w:ascii="宋体" w:hAnsi="宋体" w:cs="宋体"/>
          <w:b/>
          <w:bCs/>
          <w:color w:val="000000" w:themeColor="text1"/>
          <w:sz w:val="32"/>
          <w:szCs w:val="32"/>
          <w14:textFill>
            <w14:solidFill>
              <w14:schemeClr w14:val="tx1"/>
            </w14:solidFill>
          </w14:textFill>
        </w:rPr>
        <w:t>一、说明</w:t>
      </w:r>
      <w:bookmarkEnd w:id="86"/>
      <w:bookmarkEnd w:id="87"/>
      <w:bookmarkEnd w:id="88"/>
      <w:bookmarkEnd w:id="89"/>
      <w:bookmarkEnd w:id="90"/>
      <w:bookmarkEnd w:id="91"/>
      <w:bookmarkEnd w:id="92"/>
      <w:bookmarkEnd w:id="93"/>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94" w:name="_Toc9770"/>
      <w:bookmarkStart w:id="95" w:name="_Toc26944"/>
      <w:bookmarkStart w:id="96" w:name="_Toc28982"/>
      <w:bookmarkStart w:id="97" w:name="_Toc24543"/>
      <w:bookmarkStart w:id="98" w:name="_Toc464136615"/>
      <w:bookmarkStart w:id="99" w:name="_Toc376936729"/>
      <w:bookmarkStart w:id="100" w:name="_Toc325725998"/>
      <w:bookmarkStart w:id="101" w:name="_Toc28068"/>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适用范围</w:t>
      </w:r>
      <w:bookmarkEnd w:id="94"/>
      <w:bookmarkEnd w:id="95"/>
      <w:bookmarkEnd w:id="96"/>
      <w:bookmarkEnd w:id="97"/>
      <w:bookmarkEnd w:id="98"/>
      <w:bookmarkEnd w:id="99"/>
      <w:bookmarkEnd w:id="100"/>
      <w:bookmarkEnd w:id="101"/>
    </w:p>
    <w:p>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本次采购依据采购人的采购计划，仅适用于本磋商文件中所叙述的项目。</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02" w:name="_Toc325725999"/>
      <w:bookmarkStart w:id="103" w:name="_Toc376936730"/>
      <w:bookmarkStart w:id="104" w:name="_Toc21998"/>
      <w:bookmarkStart w:id="105" w:name="_Toc31556"/>
      <w:bookmarkStart w:id="106" w:name="_Toc11819"/>
      <w:bookmarkStart w:id="107" w:name="_Toc20494"/>
      <w:bookmarkStart w:id="108" w:name="_Toc464136616"/>
      <w:bookmarkStart w:id="109" w:name="_Toc1678"/>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采购方式、合格的</w:t>
      </w:r>
      <w:bookmarkEnd w:id="102"/>
      <w:bookmarkEnd w:id="103"/>
      <w:bookmarkEnd w:id="104"/>
      <w:r>
        <w:rPr>
          <w:rFonts w:hint="eastAsia" w:ascii="宋体" w:hAnsi="宋体" w:cs="宋体"/>
          <w:color w:val="000000" w:themeColor="text1"/>
          <w:sz w:val="24"/>
          <w:szCs w:val="24"/>
          <w14:textFill>
            <w14:solidFill>
              <w14:schemeClr w14:val="tx1"/>
            </w14:solidFill>
          </w14:textFill>
        </w:rPr>
        <w:t>供应商</w:t>
      </w:r>
      <w:bookmarkEnd w:id="105"/>
      <w:bookmarkEnd w:id="106"/>
      <w:bookmarkEnd w:id="107"/>
      <w:bookmarkEnd w:id="108"/>
      <w:bookmarkEnd w:id="109"/>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bookmarkStart w:id="110" w:name="_Toc376936731"/>
      <w:bookmarkStart w:id="111" w:name="_Toc325726000"/>
      <w:bookmarkStart w:id="112" w:name="_Toc464136617"/>
      <w:bookmarkStart w:id="113" w:name="_Toc8805"/>
      <w:bookmarkStart w:id="114" w:name="_Toc8820"/>
      <w:r>
        <w:rPr>
          <w:rFonts w:hint="eastAsia" w:ascii="宋体" w:hAnsi="宋体" w:cs="宋体"/>
          <w:color w:val="000000" w:themeColor="text1"/>
          <w:sz w:val="24"/>
          <w:szCs w:val="24"/>
          <w14:textFill>
            <w14:solidFill>
              <w14:schemeClr w14:val="tx1"/>
            </w14:solidFill>
          </w14:textFill>
        </w:rPr>
        <w:t>2.1 本次招标采取竞争性磋商方式。</w:t>
      </w:r>
    </w:p>
    <w:p>
      <w:pPr>
        <w:autoSpaceDE w:val="0"/>
        <w:autoSpaceDN w:val="0"/>
        <w:spacing w:line="360" w:lineRule="auto"/>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 合格的供应商：详见第一部分“供应商资格要求”。</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15" w:name="_Toc10609"/>
      <w:bookmarkStart w:id="116" w:name="_Toc32128"/>
      <w:bookmarkStart w:id="117" w:name="_Toc11212"/>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磋商费用</w:t>
      </w:r>
      <w:bookmarkEnd w:id="110"/>
      <w:bookmarkEnd w:id="111"/>
      <w:bookmarkEnd w:id="112"/>
      <w:bookmarkEnd w:id="113"/>
      <w:bookmarkEnd w:id="114"/>
      <w:bookmarkEnd w:id="115"/>
      <w:bookmarkEnd w:id="116"/>
      <w:bookmarkEnd w:id="117"/>
    </w:p>
    <w:p>
      <w:pPr>
        <w:tabs>
          <w:tab w:val="left" w:pos="840"/>
        </w:tabs>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供应商应自愿承担与参加本次磋商有关的费用。采购代理机构对供应商发生的费用不承担任何责任。</w:t>
      </w:r>
      <w:bookmarkStart w:id="118" w:name="_Toc18155"/>
      <w:bookmarkStart w:id="119" w:name="_Toc376936732"/>
      <w:bookmarkStart w:id="120" w:name="_Toc325726001"/>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21" w:name="_Toc2837_WPSOffice_Level2"/>
      <w:bookmarkStart w:id="122" w:name="_Toc8770_WPSOffice_Level2"/>
      <w:bookmarkStart w:id="123" w:name="_Toc6863"/>
      <w:r>
        <w:rPr>
          <w:rFonts w:hint="eastAsia" w:ascii="宋体" w:hAnsi="宋体" w:cs="宋体"/>
          <w:b/>
          <w:bCs/>
          <w:color w:val="000000" w:themeColor="text1"/>
          <w:sz w:val="32"/>
          <w:szCs w:val="32"/>
          <w14:textFill>
            <w14:solidFill>
              <w14:schemeClr w14:val="tx1"/>
            </w14:solidFill>
          </w14:textFill>
        </w:rPr>
        <w:t>二、磋商文件说明</w:t>
      </w:r>
      <w:bookmarkEnd w:id="118"/>
      <w:bookmarkEnd w:id="119"/>
      <w:bookmarkEnd w:id="120"/>
      <w:bookmarkEnd w:id="121"/>
      <w:bookmarkEnd w:id="122"/>
      <w:bookmarkEnd w:id="123"/>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24" w:name="_Toc376936733"/>
      <w:bookmarkStart w:id="125" w:name="_Toc10649"/>
      <w:bookmarkStart w:id="126" w:name="_Toc325726002"/>
      <w:bookmarkStart w:id="127" w:name="_Toc14153"/>
      <w:bookmarkStart w:id="128" w:name="_Toc11669"/>
      <w:bookmarkStart w:id="129" w:name="_Toc22362"/>
      <w:bookmarkStart w:id="130" w:name="_Toc464136618"/>
      <w:bookmarkStart w:id="131" w:name="_Toc25985"/>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磋商文件的构成</w:t>
      </w:r>
      <w:bookmarkEnd w:id="124"/>
      <w:bookmarkEnd w:id="125"/>
      <w:bookmarkEnd w:id="126"/>
      <w:bookmarkEnd w:id="127"/>
      <w:bookmarkEnd w:id="128"/>
      <w:bookmarkEnd w:id="129"/>
      <w:bookmarkEnd w:id="130"/>
      <w:bookmarkEnd w:id="131"/>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14:textFill>
            <w14:solidFill>
              <w14:schemeClr w14:val="tx1"/>
            </w14:solidFill>
          </w14:textFill>
        </w:rPr>
        <w:t>磋商文件包括：</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）磋商邀请</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（2）供应商须知</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（3）采购项目合同书</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（4）响应文件格式（相关附件）</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（5）采购项目要求</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（6）磋商过程中发生的澄清、变更和补充文件</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4.2 </w:t>
      </w:r>
      <w:r>
        <w:rPr>
          <w:rFonts w:hint="eastAsia" w:ascii="宋体" w:hAnsi="宋体" w:cs="宋体"/>
          <w:color w:val="000000" w:themeColor="text1"/>
          <w:sz w:val="24"/>
          <w:szCs w:val="24"/>
          <w14:textFill>
            <w14:solidFill>
              <w14:schemeClr w14:val="tx1"/>
            </w14:solidFill>
          </w14:textFill>
        </w:rPr>
        <w:t>供应商应认真阅读磋商文件中列出的事项、格式、条款和要求等内容。如果供应商未按磋商文件要求提交全部资料，或者对磋商文件未作出实质性响应的，将视为响应无效。</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32" w:name="_Toc376936734"/>
      <w:bookmarkStart w:id="133" w:name="_Toc325726003"/>
      <w:bookmarkStart w:id="134" w:name="_Toc6482"/>
      <w:bookmarkStart w:id="135" w:name="_Toc25194"/>
      <w:bookmarkStart w:id="136" w:name="_Toc3451"/>
      <w:bookmarkStart w:id="137" w:name="_Toc464136619"/>
      <w:bookmarkStart w:id="138" w:name="_Toc28941"/>
      <w:bookmarkStart w:id="139" w:name="_Toc31096"/>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磋商文件的</w:t>
      </w:r>
      <w:bookmarkEnd w:id="132"/>
      <w:bookmarkEnd w:id="133"/>
      <w:r>
        <w:rPr>
          <w:rFonts w:hint="eastAsia" w:ascii="宋体" w:hAnsi="宋体" w:cs="宋体"/>
          <w:color w:val="000000" w:themeColor="text1"/>
          <w:sz w:val="24"/>
          <w:szCs w:val="24"/>
          <w14:textFill>
            <w14:solidFill>
              <w14:schemeClr w14:val="tx1"/>
            </w14:solidFill>
          </w14:textFill>
        </w:rPr>
        <w:t>质疑</w:t>
      </w:r>
      <w:bookmarkEnd w:id="134"/>
      <w:bookmarkEnd w:id="135"/>
      <w:bookmarkEnd w:id="136"/>
      <w:bookmarkEnd w:id="137"/>
      <w:bookmarkEnd w:id="138"/>
      <w:bookmarkEnd w:id="139"/>
    </w:p>
    <w:p>
      <w:pPr>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供应商对磋商文件有异议的，应在提交首次响应文件截止时间至少</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日前以书面形式提出（不接受匿名质疑），采购代理机构在收到供应商的书面质疑后视情况予以答复，如有变更在发布磋商公告的网站发布变更公告，告知本项目的所有潜在供应商。</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40" w:name="_Toc464136620"/>
      <w:bookmarkStart w:id="141" w:name="_Toc376936735"/>
      <w:bookmarkStart w:id="142" w:name="_Toc13050"/>
      <w:bookmarkStart w:id="143" w:name="_Toc10276"/>
      <w:bookmarkStart w:id="144" w:name="_Toc325726004"/>
      <w:bookmarkStart w:id="145" w:name="_Toc26515"/>
      <w:bookmarkStart w:id="146" w:name="_Toc12001"/>
      <w:bookmarkStart w:id="147" w:name="_Toc25004"/>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磋商文件的澄清、修改</w:t>
      </w:r>
      <w:bookmarkEnd w:id="140"/>
      <w:bookmarkEnd w:id="141"/>
      <w:bookmarkEnd w:id="142"/>
      <w:bookmarkEnd w:id="143"/>
      <w:bookmarkEnd w:id="144"/>
      <w:bookmarkEnd w:id="145"/>
      <w:bookmarkEnd w:id="146"/>
      <w:bookmarkEnd w:id="147"/>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6.1</w:t>
      </w:r>
      <w:r>
        <w:rPr>
          <w:rFonts w:hint="eastAsia" w:ascii="宋体" w:hAnsi="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themeColor="text1"/>
          <w:sz w:val="24"/>
          <w:szCs w:val="24"/>
          <w14:textFill>
            <w14:solidFill>
              <w14:schemeClr w14:val="tx1"/>
            </w14:solidFill>
          </w14:textFill>
        </w:rPr>
        <w:t>5</w:t>
      </w:r>
      <w:r>
        <w:rPr>
          <w:rFonts w:hint="eastAsia" w:ascii="宋体" w:hAnsi="宋体" w:cs="宋体"/>
          <w:snapToGrid w:val="0"/>
          <w:color w:val="000000" w:themeColor="text1"/>
          <w:sz w:val="24"/>
          <w:szCs w:val="24"/>
          <w14:textFill>
            <w14:solidFill>
              <w14:schemeClr w14:val="tx1"/>
            </w14:solidFill>
          </w14:textFill>
        </w:rPr>
        <w:t>日前，以书面形式通知所有获取磋商文件的供应商；不足</w:t>
      </w:r>
      <w:r>
        <w:rPr>
          <w:rFonts w:ascii="宋体" w:hAnsi="宋体" w:cs="宋体"/>
          <w:snapToGrid w:val="0"/>
          <w:color w:val="000000" w:themeColor="text1"/>
          <w:sz w:val="24"/>
          <w:szCs w:val="24"/>
          <w14:textFill>
            <w14:solidFill>
              <w14:schemeClr w14:val="tx1"/>
            </w14:solidFill>
          </w14:textFill>
        </w:rPr>
        <w:t>5</w:t>
      </w:r>
      <w:r>
        <w:rPr>
          <w:rFonts w:hint="eastAsia" w:ascii="宋体" w:hAnsi="宋体" w:cs="宋体"/>
          <w:snapToGrid w:val="0"/>
          <w:color w:val="000000" w:themeColor="text1"/>
          <w:sz w:val="24"/>
          <w:szCs w:val="24"/>
          <w14:textFill>
            <w14:solidFill>
              <w14:schemeClr w14:val="tx1"/>
            </w14:solidFill>
          </w14:textFill>
        </w:rPr>
        <w:t>日的，采购代理机构应当顺延提交首次响应文件截止时间。</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14:textFill>
            <w14:solidFill>
              <w14:schemeClr w14:val="tx1"/>
            </w14:solidFill>
          </w14:textFill>
        </w:rPr>
        <w:t>在提交响应文件截止时间前，采购代理机构可以视采购具体情况，延长提交响应文件截止时间和开启时间，并在磋商文件中要求的提交响应文件截止时间和开启时间的3日前，同时在发布本次磋商公告的网站发布变更公告。</w:t>
      </w:r>
      <w:bookmarkStart w:id="148" w:name="_Toc376936736"/>
      <w:bookmarkStart w:id="149" w:name="_Toc325726005"/>
      <w:bookmarkStart w:id="150" w:name="_Toc23340"/>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151" w:name="_Toc25563_WPSOffice_Level2"/>
      <w:bookmarkStart w:id="152" w:name="_Toc27170_WPSOffice_Level2"/>
      <w:bookmarkStart w:id="153" w:name="_Toc26438"/>
      <w:r>
        <w:rPr>
          <w:rFonts w:hint="eastAsia" w:ascii="宋体" w:hAnsi="宋体" w:cs="宋体"/>
          <w:b/>
          <w:bCs/>
          <w:color w:val="000000" w:themeColor="text1"/>
          <w:sz w:val="32"/>
          <w:szCs w:val="32"/>
          <w14:textFill>
            <w14:solidFill>
              <w14:schemeClr w14:val="tx1"/>
            </w14:solidFill>
          </w14:textFill>
        </w:rPr>
        <w:t>三、响应文件的编制</w:t>
      </w:r>
      <w:bookmarkEnd w:id="148"/>
      <w:bookmarkEnd w:id="149"/>
      <w:bookmarkEnd w:id="150"/>
      <w:bookmarkEnd w:id="151"/>
      <w:bookmarkEnd w:id="152"/>
      <w:bookmarkEnd w:id="153"/>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54" w:name="_Toc376936737"/>
      <w:bookmarkStart w:id="155" w:name="_Toc13057"/>
      <w:bookmarkStart w:id="156" w:name="_Toc26593"/>
      <w:bookmarkStart w:id="157" w:name="_Toc31782"/>
      <w:bookmarkStart w:id="158" w:name="_Toc22601"/>
      <w:bookmarkStart w:id="159" w:name="_Toc464136621"/>
      <w:bookmarkStart w:id="160" w:name="_Toc9674"/>
      <w:bookmarkStart w:id="161" w:name="_Toc325726006"/>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响应文件的语言及度量衡单位</w:t>
      </w:r>
      <w:bookmarkEnd w:id="154"/>
      <w:bookmarkEnd w:id="155"/>
      <w:bookmarkEnd w:id="156"/>
      <w:bookmarkEnd w:id="157"/>
      <w:bookmarkEnd w:id="158"/>
      <w:bookmarkEnd w:id="159"/>
      <w:bookmarkEnd w:id="160"/>
      <w:bookmarkEnd w:id="161"/>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14:textFill>
            <w14:solidFill>
              <w14:schemeClr w14:val="tx1"/>
            </w14:solidFill>
          </w14:textFill>
        </w:rPr>
        <w:t>供应商提交的响应文件以及供应商与采购代理机构就此磋商发生的所有来往函电均应使用简体中文。</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7.2 </w:t>
      </w:r>
      <w:r>
        <w:rPr>
          <w:rFonts w:hint="eastAsia" w:ascii="宋体" w:hAnsi="宋体" w:cs="宋体"/>
          <w:color w:val="000000" w:themeColor="text1"/>
          <w:sz w:val="24"/>
          <w:szCs w:val="24"/>
          <w14:textFill>
            <w14:solidFill>
              <w14:schemeClr w14:val="tx1"/>
            </w14:solidFill>
          </w14:textFill>
        </w:rPr>
        <w:t>除磋商文件中另有规定外，响应文件所使用的度量衡单位，均须采用国家法定计量单位。</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7.3</w:t>
      </w:r>
      <w:r>
        <w:rPr>
          <w:rFonts w:hint="eastAsia" w:ascii="宋体" w:hAnsi="宋体" w:cs="宋体"/>
          <w:color w:val="000000" w:themeColor="text1"/>
          <w:sz w:val="24"/>
          <w:szCs w:val="24"/>
          <w14:textFill>
            <w14:solidFill>
              <w14:schemeClr w14:val="tx1"/>
            </w14:solidFill>
          </w14:textFill>
        </w:rPr>
        <w:t>附有外文资料的，须翻译成中文并加盖供应商公章，如果翻译的中文资料与外文资料存在差异和矛盾时，以中文资料为准。其准确性由供应商负责。</w:t>
      </w:r>
    </w:p>
    <w:p>
      <w:pPr>
        <w:pStyle w:val="21"/>
        <w:ind w:firstLine="0" w:firstLineChars="0"/>
        <w:jc w:val="left"/>
        <w:rPr>
          <w:rFonts w:ascii="宋体"/>
          <w:color w:val="000000" w:themeColor="text1"/>
          <w:sz w:val="24"/>
          <w:szCs w:val="24"/>
          <w14:textFill>
            <w14:solidFill>
              <w14:schemeClr w14:val="tx1"/>
            </w14:solidFill>
          </w14:textFill>
        </w:rPr>
      </w:pPr>
      <w:bookmarkStart w:id="162" w:name="_Toc13327"/>
      <w:bookmarkStart w:id="163" w:name="_Toc20327"/>
      <w:bookmarkStart w:id="164" w:name="_Toc7991"/>
      <w:bookmarkStart w:id="165" w:name="_Toc430937642"/>
      <w:bookmarkStart w:id="166" w:name="_Toc464136622"/>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磋商报价及币种</w:t>
      </w:r>
      <w:bookmarkEnd w:id="162"/>
      <w:bookmarkEnd w:id="163"/>
      <w:bookmarkEnd w:id="164"/>
      <w:bookmarkEnd w:id="165"/>
      <w:bookmarkEnd w:id="166"/>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8.1</w:t>
      </w:r>
      <w:r>
        <w:rPr>
          <w:rFonts w:hint="eastAsia" w:ascii="宋体" w:hAnsi="宋体" w:cs="宋体"/>
          <w:color w:val="000000" w:themeColor="text1"/>
          <w:sz w:val="24"/>
          <w:szCs w:val="24"/>
          <w14:textFill>
            <w14:solidFill>
              <w14:schemeClr w14:val="tx1"/>
            </w14:solidFill>
          </w14:textFill>
        </w:rPr>
        <w:t>磋商(响应)报价为响应总价。包括：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8.2</w:t>
      </w:r>
      <w:r>
        <w:rPr>
          <w:rFonts w:hint="eastAsia" w:ascii="宋体" w:hAnsi="宋体" w:cs="宋体"/>
          <w:color w:val="000000" w:themeColor="text1"/>
          <w:sz w:val="24"/>
          <w:szCs w:val="24"/>
          <w14:textFill>
            <w14:solidFill>
              <w14:schemeClr w14:val="tx1"/>
            </w14:solidFill>
          </w14:textFill>
        </w:rPr>
        <w:t>磋商(响应)报价应注明有效期，有效期应与磋商有效期一致。</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8.3</w:t>
      </w:r>
      <w:r>
        <w:rPr>
          <w:rFonts w:hint="eastAsia" w:ascii="宋体" w:hAnsi="宋体" w:cs="宋体"/>
          <w:color w:val="000000" w:themeColor="text1"/>
          <w:sz w:val="24"/>
          <w:szCs w:val="24"/>
          <w14:textFill>
            <w14:solidFill>
              <w14:schemeClr w14:val="tx1"/>
            </w14:solidFill>
          </w14:textFill>
        </w:rPr>
        <w:t>供应商应根据磋商文件规定的格式完整填写所有内容，并保证所提供的全部资料真实可信，自愿承担相应责任。</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8.4</w:t>
      </w:r>
      <w:r>
        <w:rPr>
          <w:rFonts w:hint="eastAsia" w:ascii="宋体" w:hAnsi="宋体" w:cs="宋体"/>
          <w:color w:val="000000" w:themeColor="text1"/>
          <w:sz w:val="24"/>
          <w:szCs w:val="24"/>
          <w14:textFill>
            <w14:solidFill>
              <w14:schemeClr w14:val="tx1"/>
            </w14:solidFill>
          </w14:textFill>
        </w:rPr>
        <w:t>磋商(响应)最终报价为成交价，即成交后在合同有效期内价格不变。</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8.5</w:t>
      </w:r>
      <w:r>
        <w:rPr>
          <w:rFonts w:hint="eastAsia" w:ascii="宋体" w:hAnsi="宋体" w:cs="宋体"/>
          <w:color w:val="000000" w:themeColor="text1"/>
          <w:sz w:val="24"/>
          <w:szCs w:val="24"/>
          <w14:textFill>
            <w14:solidFill>
              <w14:schemeClr w14:val="tx1"/>
            </w14:solidFill>
          </w14:textFill>
        </w:rPr>
        <w:t>磋商响应币种是人民币。</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67" w:name="_Toc325726012"/>
      <w:bookmarkStart w:id="168" w:name="_Toc17093"/>
      <w:bookmarkStart w:id="169" w:name="_Toc464136623"/>
      <w:bookmarkStart w:id="170" w:name="_Toc30347"/>
      <w:bookmarkStart w:id="171" w:name="_Toc13361"/>
      <w:bookmarkStart w:id="172" w:name="_Toc23598"/>
      <w:bookmarkStart w:id="173" w:name="_Toc21569"/>
      <w:bookmarkStart w:id="174" w:name="_Toc376936743"/>
      <w:r>
        <w:rPr>
          <w:rFonts w:hint="eastAsia" w:ascii="宋体" w:hAnsi="宋体" w:cs="宋体"/>
          <w:color w:val="000000" w:themeColor="text1"/>
          <w:sz w:val="24"/>
          <w:szCs w:val="24"/>
          <w14:textFill>
            <w14:solidFill>
              <w14:schemeClr w14:val="tx1"/>
            </w14:solidFill>
          </w14:textFill>
        </w:rPr>
        <w:t>9.磋商保证金</w:t>
      </w:r>
      <w:bookmarkEnd w:id="167"/>
      <w:bookmarkEnd w:id="168"/>
      <w:bookmarkEnd w:id="169"/>
      <w:bookmarkEnd w:id="170"/>
      <w:bookmarkEnd w:id="171"/>
      <w:bookmarkEnd w:id="172"/>
      <w:bookmarkEnd w:id="173"/>
      <w:bookmarkEnd w:id="174"/>
      <w:r>
        <w:rPr>
          <w:rFonts w:hint="eastAsia" w:ascii="宋体" w:hAnsi="宋体" w:cs="宋体"/>
          <w:color w:val="000000" w:themeColor="text1"/>
          <w:sz w:val="24"/>
          <w:szCs w:val="24"/>
          <w14:textFill>
            <w14:solidFill>
              <w14:schemeClr w14:val="tx1"/>
            </w14:solidFill>
          </w14:textFill>
        </w:rPr>
        <w:tab/>
      </w:r>
    </w:p>
    <w:p>
      <w:pPr>
        <w:autoSpaceDE w:val="0"/>
        <w:ind w:firstLine="480"/>
        <w:rPr>
          <w:rFonts w:ascii="宋体" w:hAnsi="宋体" w:cs="宋体"/>
          <w:bCs/>
          <w:color w:val="000000" w:themeColor="text1"/>
          <w:sz w:val="24"/>
          <w:szCs w:val="24"/>
          <w14:textFill>
            <w14:solidFill>
              <w14:schemeClr w14:val="tx1"/>
            </w14:solidFill>
          </w14:textFill>
        </w:rPr>
      </w:pPr>
      <w:bookmarkStart w:id="175" w:name="_Toc32704"/>
      <w:bookmarkStart w:id="176" w:name="_Toc376936744"/>
      <w:bookmarkStart w:id="177" w:name="_Toc325726013"/>
      <w:bookmarkStart w:id="178" w:name="_Toc22044"/>
      <w:r>
        <w:rPr>
          <w:rFonts w:hint="eastAsia" w:ascii="宋体" w:hAnsi="宋体" w:cs="宋体"/>
          <w:bCs/>
          <w:color w:val="000000" w:themeColor="text1"/>
          <w:sz w:val="24"/>
          <w:szCs w:val="24"/>
          <w:lang w:val="zh-CN"/>
          <w14:textFill>
            <w14:solidFill>
              <w14:schemeClr w14:val="tx1"/>
            </w14:solidFill>
          </w14:textFill>
        </w:rPr>
        <w:t>9.1 供应商须在磋商截止期前按采购项目预算额度提交投标保证金，缴纳的磋商保证金不得超过项目预算的</w:t>
      </w:r>
      <w:r>
        <w:rPr>
          <w:rFonts w:hint="eastAsia" w:ascii="宋体" w:hAnsi="宋体" w:cs="宋体"/>
          <w:bCs/>
          <w:color w:val="000000" w:themeColor="text1"/>
          <w:sz w:val="24"/>
          <w:szCs w:val="24"/>
          <w14:textFill>
            <w14:solidFill>
              <w14:schemeClr w14:val="tx1"/>
            </w14:solidFill>
          </w14:textFill>
        </w:rPr>
        <w:t>2％，供应商未按照磋商文件要求提交磋商保证金的，响应无效。</w:t>
      </w:r>
      <w:r>
        <w:rPr>
          <w:rFonts w:hint="eastAsia" w:ascii="宋体" w:hAnsi="宋体" w:cs="宋体"/>
          <w:bCs/>
          <w:color w:val="000000" w:themeColor="text1"/>
          <w:sz w:val="24"/>
          <w:szCs w:val="24"/>
          <w:lang w:val="zh-CN"/>
          <w14:textFill>
            <w14:solidFill>
              <w14:schemeClr w14:val="tx1"/>
            </w14:solidFill>
          </w14:textFill>
        </w:rPr>
        <w:t>本次采购活动中未成交且供应商未发生违规行为的，</w:t>
      </w:r>
      <w:r>
        <w:rPr>
          <w:rFonts w:hint="eastAsia" w:ascii="宋体" w:hAnsi="宋体" w:cs="宋体"/>
          <w:bCs/>
          <w:color w:val="000000" w:themeColor="text1"/>
          <w:sz w:val="24"/>
          <w:szCs w:val="24"/>
          <w14:textFill>
            <w14:solidFill>
              <w14:schemeClr w14:val="tx1"/>
            </w14:solidFill>
          </w14:textFill>
        </w:rPr>
        <w:t>由</w:t>
      </w:r>
      <w:r>
        <w:rPr>
          <w:rFonts w:hint="eastAsia" w:ascii="宋体" w:hAnsi="宋体" w:cs="宋体"/>
          <w:bCs/>
          <w:color w:val="000000" w:themeColor="text1"/>
          <w:sz w:val="24"/>
          <w:szCs w:val="24"/>
          <w:lang w:val="zh-CN"/>
          <w14:textFill>
            <w14:solidFill>
              <w14:schemeClr w14:val="tx1"/>
            </w14:solidFill>
          </w14:textFill>
        </w:rPr>
        <w:t>采购代理机构在法定期限内退还磋商保证金；</w:t>
      </w:r>
      <w:r>
        <w:rPr>
          <w:rFonts w:hint="eastAsia" w:ascii="宋体" w:hAnsi="宋体" w:cs="宋体"/>
          <w:bCs/>
          <w:color w:val="000000" w:themeColor="text1"/>
          <w:sz w:val="24"/>
          <w:szCs w:val="24"/>
          <w14:textFill>
            <w14:solidFill>
              <w14:schemeClr w14:val="tx1"/>
            </w14:solidFill>
          </w14:textFill>
        </w:rPr>
        <w:t>成交供应商的</w:t>
      </w:r>
      <w:r>
        <w:rPr>
          <w:rFonts w:hint="eastAsia" w:ascii="宋体" w:hAnsi="宋体" w:cs="宋体"/>
          <w:bCs/>
          <w:color w:val="000000" w:themeColor="text1"/>
          <w:sz w:val="24"/>
          <w:szCs w:val="24"/>
          <w:lang w:val="zh-CN"/>
          <w14:textFill>
            <w14:solidFill>
              <w14:schemeClr w14:val="tx1"/>
            </w14:solidFill>
          </w14:textFill>
        </w:rPr>
        <w:t>磋商保证金</w:t>
      </w:r>
      <w:r>
        <w:rPr>
          <w:rFonts w:hint="eastAsia" w:ascii="宋体" w:hAnsi="宋体" w:cs="宋体"/>
          <w:bCs/>
          <w:color w:val="000000" w:themeColor="text1"/>
          <w:sz w:val="24"/>
          <w:szCs w:val="24"/>
          <w14:textFill>
            <w14:solidFill>
              <w14:schemeClr w14:val="tx1"/>
            </w14:solidFill>
          </w14:textFill>
        </w:rPr>
        <w:t>自采购合同签订之日起5个工作日内予以退还。</w:t>
      </w:r>
    </w:p>
    <w:p>
      <w:pPr>
        <w:pStyle w:val="72"/>
        <w:textAlignment w:val="baseline"/>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9.2 磋商保证金由供应商以现金或转款方式直接缴入“</w:t>
      </w:r>
      <w:r>
        <w:rPr>
          <w:rFonts w:hint="eastAsia" w:ascii="宋体" w:hAnsi="宋体" w:eastAsia="宋体" w:cs="宋体"/>
          <w:bCs/>
          <w:kern w:val="0"/>
          <w:sz w:val="24"/>
          <w:highlight w:val="none"/>
        </w:rPr>
        <w:t>都兰县财政局-预算外资金专户</w:t>
      </w:r>
      <w:r>
        <w:rPr>
          <w:rFonts w:hint="eastAsia" w:ascii="宋体" w:hAnsi="宋体" w:cs="宋体"/>
          <w:bCs/>
          <w:color w:val="000000" w:themeColor="text1"/>
          <w:sz w:val="24"/>
          <w:szCs w:val="24"/>
          <w:lang w:val="zh-CN"/>
          <w14:textFill>
            <w14:solidFill>
              <w14:schemeClr w14:val="tx1"/>
            </w14:solidFill>
          </w14:textFill>
        </w:rPr>
        <w:t>”银行帐户。</w:t>
      </w:r>
    </w:p>
    <w:p>
      <w:pPr>
        <w:autoSpaceDE w:val="0"/>
        <w:ind w:firstLine="48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9.3 供应商投标签到时，需出示“</w:t>
      </w:r>
      <w:r>
        <w:rPr>
          <w:rFonts w:hint="eastAsia" w:ascii="宋体" w:hAnsi="宋体" w:cs="宋体"/>
          <w:bCs/>
          <w:color w:val="000000" w:themeColor="text1"/>
          <w:sz w:val="24"/>
          <w:szCs w:val="24"/>
          <w14:textFill>
            <w14:solidFill>
              <w14:schemeClr w14:val="tx1"/>
            </w14:solidFill>
          </w14:textFill>
        </w:rPr>
        <w:t>磋商保证金缴款证明”原件作为供应商参加磋商的资格证明。同时将缴款证明扫描（或复印）件盖章后装订在磋商响应文件中，否则采购代理机构将</w:t>
      </w:r>
      <w:r>
        <w:rPr>
          <w:rFonts w:hint="eastAsia" w:ascii="宋体" w:hAnsi="宋体" w:cs="宋体"/>
          <w:bCs/>
          <w:color w:val="000000" w:themeColor="text1"/>
          <w:sz w:val="24"/>
          <w:szCs w:val="24"/>
          <w:lang w:val="zh-CN"/>
          <w14:textFill>
            <w14:solidFill>
              <w14:schemeClr w14:val="tx1"/>
            </w14:solidFill>
          </w14:textFill>
        </w:rPr>
        <w:t>视其为不响应磋商要求而</w:t>
      </w:r>
      <w:r>
        <w:rPr>
          <w:rFonts w:hint="eastAsia" w:ascii="宋体" w:hAnsi="宋体" w:cs="宋体"/>
          <w:bCs/>
          <w:color w:val="000000" w:themeColor="text1"/>
          <w:sz w:val="24"/>
          <w:szCs w:val="24"/>
          <w14:textFill>
            <w14:solidFill>
              <w14:schemeClr w14:val="tx1"/>
            </w14:solidFill>
          </w14:textFill>
        </w:rPr>
        <w:t>拒收磋商响应文件。</w:t>
      </w:r>
    </w:p>
    <w:p>
      <w:pPr>
        <w:autoSpaceDE w:val="0"/>
        <w:ind w:firstLine="480"/>
        <w:rPr>
          <w:rFonts w:ascii="宋体" w:hAnsi="Cambria" w:cs="Times New Roman"/>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 xml:space="preserve">9.4 </w:t>
      </w:r>
      <w:r>
        <w:rPr>
          <w:rFonts w:hint="eastAsia" w:ascii="宋体" w:hAnsi="宋体" w:cs="宋体"/>
          <w:bCs/>
          <w:color w:val="000000" w:themeColor="text1"/>
          <w:sz w:val="24"/>
          <w:szCs w:val="24"/>
          <w14:textFill>
            <w14:solidFill>
              <w14:schemeClr w14:val="tx1"/>
            </w14:solidFill>
          </w14:textFill>
        </w:rPr>
        <w:t>供应商磋商现场签到时，须将磋商保证金缴款证明（原件）和电子标书一并提交（电子标书与书面磋商响应文件内容必须完全相同，包括磋商文件要求的签字、盖章）。否则，视为无效响应。</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79" w:name="_Toc20737"/>
      <w:bookmarkStart w:id="180" w:name="_Toc7021"/>
      <w:bookmarkStart w:id="181" w:name="_Toc464136624"/>
      <w:bookmarkStart w:id="182" w:name="_Toc17304"/>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有效期</w:t>
      </w:r>
      <w:bookmarkEnd w:id="175"/>
      <w:bookmarkEnd w:id="176"/>
      <w:bookmarkEnd w:id="177"/>
      <w:bookmarkEnd w:id="178"/>
      <w:bookmarkEnd w:id="179"/>
      <w:bookmarkEnd w:id="180"/>
      <w:bookmarkEnd w:id="181"/>
      <w:bookmarkEnd w:id="182"/>
    </w:p>
    <w:p>
      <w:pPr>
        <w:spacing w:line="360" w:lineRule="auto"/>
        <w:ind w:firstLine="48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磋商有效期为自磋商开始之日起60</w:t>
      </w:r>
      <w:r>
        <w:rPr>
          <w:rFonts w:hint="eastAsia" w:ascii="宋体" w:hAnsi="宋体" w:cs="宋体"/>
          <w:bCs/>
          <w:color w:val="000000" w:themeColor="text1"/>
          <w:sz w:val="24"/>
          <w:szCs w:val="24"/>
          <w14:textFill>
            <w14:solidFill>
              <w14:schemeClr w14:val="tx1"/>
            </w14:solidFill>
          </w14:textFill>
        </w:rPr>
        <w:tab/>
      </w:r>
      <w:r>
        <w:rPr>
          <w:rFonts w:hint="eastAsia" w:ascii="宋体" w:hAnsi="宋体" w:cs="宋体"/>
          <w:bCs/>
          <w:color w:val="000000" w:themeColor="text1"/>
          <w:sz w:val="24"/>
          <w:szCs w:val="24"/>
          <w14:textFill>
            <w14:solidFill>
              <w14:schemeClr w14:val="tx1"/>
            </w14:solidFill>
          </w14:textFill>
        </w:rPr>
        <w:t>个日历天</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83" w:name="_Toc325726008"/>
      <w:bookmarkStart w:id="184" w:name="_Toc464136625"/>
      <w:bookmarkStart w:id="185" w:name="_Toc376936739"/>
      <w:bookmarkStart w:id="186" w:name="_Toc31915"/>
      <w:bookmarkStart w:id="187" w:name="_Toc14608"/>
      <w:bookmarkStart w:id="188" w:name="_Toc25974"/>
      <w:bookmarkStart w:id="189" w:name="_Toc16445"/>
      <w:bookmarkStart w:id="190" w:name="_Toc328"/>
      <w:r>
        <w:rPr>
          <w:rFonts w:ascii="宋体" w:hAnsi="宋体" w:cs="宋体"/>
          <w:color w:val="000000" w:themeColor="text1"/>
          <w:sz w:val="24"/>
          <w:szCs w:val="24"/>
          <w14:textFill>
            <w14:solidFill>
              <w14:schemeClr w14:val="tx1"/>
            </w14:solidFill>
          </w14:textFill>
        </w:rPr>
        <w:t>11.</w:t>
      </w:r>
      <w:r>
        <w:rPr>
          <w:rFonts w:hint="eastAsia" w:ascii="宋体" w:hAnsi="宋体" w:cs="宋体"/>
          <w:color w:val="000000" w:themeColor="text1"/>
          <w:sz w:val="24"/>
          <w:szCs w:val="24"/>
          <w14:textFill>
            <w14:solidFill>
              <w14:schemeClr w14:val="tx1"/>
            </w14:solidFill>
          </w14:textFill>
        </w:rPr>
        <w:t>文件构成</w:t>
      </w:r>
      <w:bookmarkEnd w:id="183"/>
      <w:bookmarkEnd w:id="184"/>
      <w:bookmarkEnd w:id="185"/>
      <w:bookmarkEnd w:id="186"/>
      <w:bookmarkEnd w:id="187"/>
      <w:bookmarkEnd w:id="188"/>
      <w:bookmarkEnd w:id="189"/>
      <w:bookmarkEnd w:id="190"/>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供应商应提交相关证明材料，作为其参加磋商谈判和成交后有能力履行合同的证明。编写的响应文件须包括以下内容（格式详见磋商文件第五部分内容）：</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）响应文件封面</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（2）响应文件目录</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（3）磋商函</w:t>
      </w:r>
    </w:p>
    <w:p>
      <w:pPr>
        <w:spacing w:line="360" w:lineRule="auto"/>
        <w:ind w:firstLine="0" w:firstLineChars="0"/>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（4）报价</w:t>
      </w:r>
      <w:r>
        <w:rPr>
          <w:rFonts w:hint="eastAsia" w:ascii="宋体" w:hAnsi="宋体" w:cs="宋体"/>
          <w:bCs/>
          <w:color w:val="000000" w:themeColor="text1"/>
          <w:sz w:val="24"/>
          <w:szCs w:val="24"/>
          <w:lang w:val="zh-CN"/>
          <w14:textFill>
            <w14:solidFill>
              <w14:schemeClr w14:val="tx1"/>
            </w14:solidFill>
          </w14:textFill>
        </w:rPr>
        <w:t>一览表</w:t>
      </w:r>
    </w:p>
    <w:p>
      <w:pPr>
        <w:spacing w:line="360" w:lineRule="auto"/>
        <w:ind w:firstLine="117" w:firstLineChars="49"/>
        <w:rPr>
          <w:rFonts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(5) 分项报价表</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（6）技术规格响应表</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（7）法定代表人证明书</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（8）法定代表人授权书</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（9）供应商承诺函</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（10）供应商诚信承诺书</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（11）资格证明材料</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（12）财务状况、缴纳税收和社会保障资金证明</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3）具备履行合同所必须的设备和专业技术能力证明</w:t>
      </w:r>
    </w:p>
    <w:p>
      <w:pPr>
        <w:spacing w:line="360" w:lineRule="auto"/>
        <w:ind w:firstLine="0" w:firstLineChars="0"/>
        <w:rPr>
          <w:rFonts w:ascii="宋体" w:cs="Times New Roman"/>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4）无重大违法记录声明</w:t>
      </w:r>
    </w:p>
    <w:p>
      <w:pPr>
        <w:spacing w:line="360" w:lineRule="auto"/>
        <w:ind w:firstLine="0" w:firstLineChars="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1</w:t>
      </w:r>
      <w:r>
        <w:rPr>
          <w:rFonts w:hint="eastAsia" w:ascii="宋体" w:hAnsi="宋体" w:cs="宋体"/>
          <w:bCs/>
          <w:color w:val="000000" w:themeColor="text1"/>
          <w:sz w:val="24"/>
          <w:szCs w:val="24"/>
          <w14:textFill>
            <w14:solidFill>
              <w14:schemeClr w14:val="tx1"/>
            </w14:solidFill>
          </w14:textFill>
        </w:rPr>
        <w:t>5）磋商保证金</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（16）供应商的类似业绩证明材料</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7）最终报价表</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8）制造（生产）企业小型、微型企业声明函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（19）从业人员声明函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（20）残疾人福利性单位声明函</w:t>
      </w:r>
    </w:p>
    <w:p>
      <w:pPr>
        <w:spacing w:line="360" w:lineRule="auto"/>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（21）供应商认为在其他方面有必要说明的事项</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191" w:name="_Toc373392580"/>
      <w:bookmarkStart w:id="192" w:name="_Toc13184"/>
      <w:bookmarkStart w:id="193" w:name="_Toc1911"/>
      <w:bookmarkStart w:id="194" w:name="_Toc16453"/>
      <w:bookmarkStart w:id="195" w:name="_Toc20094"/>
      <w:bookmarkStart w:id="196" w:name="_Toc412617729"/>
      <w:bookmarkStart w:id="197" w:name="_Toc464136626"/>
      <w:bookmarkStart w:id="198" w:name="_Toc11377"/>
      <w:r>
        <w:rPr>
          <w:rFonts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szCs w:val="24"/>
          <w14:textFill>
            <w14:solidFill>
              <w14:schemeClr w14:val="tx1"/>
            </w14:solidFill>
          </w14:textFill>
        </w:rPr>
        <w:t>磋商响应文件编印和签署</w:t>
      </w:r>
      <w:bookmarkEnd w:id="191"/>
      <w:bookmarkEnd w:id="192"/>
      <w:bookmarkEnd w:id="193"/>
      <w:bookmarkEnd w:id="194"/>
      <w:bookmarkEnd w:id="195"/>
      <w:bookmarkEnd w:id="196"/>
      <w:bookmarkEnd w:id="197"/>
      <w:bookmarkEnd w:id="198"/>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12.1</w:t>
      </w:r>
      <w:r>
        <w:rPr>
          <w:rFonts w:hint="eastAsia" w:hAnsi="宋体"/>
          <w:bCs/>
          <w:color w:val="000000" w:themeColor="text1"/>
          <w:sz w:val="24"/>
          <w:szCs w:val="24"/>
          <w14:textFill>
            <w14:solidFill>
              <w14:schemeClr w14:val="tx1"/>
            </w14:solidFill>
          </w14:textFill>
        </w:rPr>
        <w:t>供应商须提交一式三份响应文件（一份正本、</w:t>
      </w:r>
      <w:r>
        <w:rPr>
          <w:rFonts w:hint="eastAsia" w:hAnsi="宋体"/>
          <w:bCs/>
          <w:color w:val="000000" w:themeColor="text1"/>
          <w:sz w:val="24"/>
          <w:szCs w:val="24"/>
          <w:lang w:val="en-US" w:eastAsia="zh-CN"/>
          <w14:textFill>
            <w14:solidFill>
              <w14:schemeClr w14:val="tx1"/>
            </w14:solidFill>
          </w14:textFill>
        </w:rPr>
        <w:t>二</w:t>
      </w:r>
      <w:r>
        <w:rPr>
          <w:rFonts w:hint="eastAsia" w:hAnsi="宋体"/>
          <w:bCs/>
          <w:color w:val="000000" w:themeColor="text1"/>
          <w:sz w:val="24"/>
          <w:szCs w:val="24"/>
          <w14:textFill>
            <w14:solidFill>
              <w14:schemeClr w14:val="tx1"/>
            </w14:solidFill>
          </w14:textFill>
        </w:rPr>
        <w:t>份副本、一份电子版（PDF版））</w:t>
      </w:r>
      <w:r>
        <w:rPr>
          <w:rFonts w:hint="eastAsia" w:hAnsi="宋体"/>
          <w:color w:val="000000" w:themeColor="text1"/>
          <w:sz w:val="24"/>
          <w:szCs w:val="24"/>
          <w14:textFill>
            <w14:solidFill>
              <w14:schemeClr w14:val="tx1"/>
            </w14:solidFill>
          </w14:textFill>
        </w:rPr>
        <w:t>，每份响应文件须清楚地标明“正本”或“副本”字样。若发生正本和副本不符，以正本为准。响应文件统一使用</w:t>
      </w:r>
      <w:r>
        <w:rPr>
          <w:rFonts w:hAnsi="宋体"/>
          <w:color w:val="000000" w:themeColor="text1"/>
          <w:sz w:val="24"/>
          <w:szCs w:val="24"/>
          <w14:textFill>
            <w14:solidFill>
              <w14:schemeClr w14:val="tx1"/>
            </w14:solidFill>
          </w14:textFill>
        </w:rPr>
        <w:t>A4</w:t>
      </w:r>
      <w:r>
        <w:rPr>
          <w:rFonts w:hint="eastAsia" w:hAnsi="宋体"/>
          <w:color w:val="000000" w:themeColor="text1"/>
          <w:sz w:val="24"/>
          <w:szCs w:val="24"/>
          <w14:textFill>
            <w14:solidFill>
              <w14:schemeClr w14:val="tx1"/>
            </w14:solidFill>
          </w14:textFill>
        </w:rPr>
        <w:t>幅面的纸张印制，左侧胶装，其他方式装订的响应文件一概不予接受。</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12.2</w:t>
      </w:r>
      <w:r>
        <w:rPr>
          <w:rFonts w:hint="eastAsia" w:hAnsi="宋体"/>
          <w:color w:val="000000" w:themeColor="text1"/>
          <w:sz w:val="24"/>
          <w:szCs w:val="24"/>
          <w14:textFill>
            <w14:solidFill>
              <w14:schemeClr w14:val="tx1"/>
            </w14:solidFill>
          </w14:textFill>
        </w:rPr>
        <w:t>响应文件的正本需打印或用不褪色、不变质的墨水书写、副本可采用正本的复印件，并由供应商的法定代表人或委托代理人按要求签字、盖章。</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12.3</w:t>
      </w:r>
      <w:r>
        <w:rPr>
          <w:rFonts w:hint="eastAsia" w:hAnsi="宋体"/>
          <w:color w:val="000000" w:themeColor="text1"/>
          <w:sz w:val="24"/>
          <w:szCs w:val="24"/>
          <w14:textFill>
            <w14:solidFill>
              <w14:schemeClr w14:val="tx1"/>
            </w14:solidFill>
          </w14:textFill>
        </w:rPr>
        <w:t>响应文件中不得行间插字、涂改或增删，如有修改错漏处，须由供应商法定代表人或其委托代理人签字。</w:t>
      </w:r>
      <w:bookmarkStart w:id="199" w:name="_Toc412617730"/>
      <w:bookmarkStart w:id="200" w:name="_Toc15102"/>
      <w:bookmarkStart w:id="201" w:name="_Toc376936748"/>
      <w:bookmarkStart w:id="202" w:name="_Toc371090029"/>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03" w:name="_Toc9244_WPSOffice_Level2"/>
      <w:bookmarkStart w:id="204" w:name="_Toc13867"/>
      <w:bookmarkStart w:id="205" w:name="_Toc6261_WPSOffice_Level2"/>
      <w:r>
        <w:rPr>
          <w:rFonts w:hint="eastAsia" w:ascii="宋体" w:hAnsi="宋体" w:cs="宋体"/>
          <w:b/>
          <w:bCs/>
          <w:color w:val="000000" w:themeColor="text1"/>
          <w:sz w:val="32"/>
          <w:szCs w:val="32"/>
          <w14:textFill>
            <w14:solidFill>
              <w14:schemeClr w14:val="tx1"/>
            </w14:solidFill>
          </w14:textFill>
        </w:rPr>
        <w:t>四、磋商响应文件的递交</w:t>
      </w:r>
      <w:bookmarkEnd w:id="199"/>
      <w:bookmarkEnd w:id="200"/>
      <w:bookmarkEnd w:id="203"/>
      <w:bookmarkEnd w:id="204"/>
      <w:bookmarkEnd w:id="205"/>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06" w:name="_Toc412617731"/>
      <w:bookmarkStart w:id="207" w:name="_Toc23823"/>
      <w:bookmarkStart w:id="208" w:name="_Toc464136627"/>
      <w:bookmarkStart w:id="209" w:name="_Toc325726016"/>
      <w:bookmarkStart w:id="210" w:name="_Toc373392582"/>
      <w:bookmarkStart w:id="211" w:name="_Toc20002"/>
      <w:bookmarkStart w:id="212" w:name="_Toc611"/>
      <w:bookmarkStart w:id="213" w:name="_Toc5355"/>
      <w:bookmarkStart w:id="214" w:name="_Toc1176"/>
      <w:r>
        <w:rPr>
          <w:rFonts w:ascii="宋体" w:hAnsi="宋体" w:cs="宋体"/>
          <w:color w:val="000000" w:themeColor="text1"/>
          <w:sz w:val="24"/>
          <w:szCs w:val="24"/>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响应文件的密封和标记</w:t>
      </w:r>
      <w:bookmarkEnd w:id="206"/>
      <w:bookmarkEnd w:id="207"/>
      <w:bookmarkEnd w:id="208"/>
      <w:bookmarkEnd w:id="209"/>
      <w:bookmarkEnd w:id="210"/>
      <w:bookmarkEnd w:id="211"/>
      <w:bookmarkEnd w:id="212"/>
      <w:bookmarkEnd w:id="213"/>
      <w:bookmarkEnd w:id="214"/>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13.1</w:t>
      </w:r>
      <w:r>
        <w:rPr>
          <w:rFonts w:hint="eastAsia" w:hAnsi="宋体"/>
          <w:color w:val="000000" w:themeColor="text1"/>
          <w:sz w:val="24"/>
          <w:szCs w:val="24"/>
          <w14:textFill>
            <w14:solidFill>
              <w14:schemeClr w14:val="tx1"/>
            </w14:solidFill>
          </w14:textFill>
        </w:rPr>
        <w:t>响应文件正、副本应分别封装于不同的密封袋内，密封袋上应分别标上“正本”“副本”字样，并按标明采购项目编号、采购项目名称、供应商的名称、包号（如有分包）等。</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13.2</w:t>
      </w:r>
      <w:r>
        <w:rPr>
          <w:rFonts w:hint="eastAsia" w:hAnsi="宋体"/>
          <w:color w:val="000000" w:themeColor="text1"/>
          <w:sz w:val="24"/>
          <w:szCs w:val="24"/>
          <w14:textFill>
            <w14:solidFill>
              <w14:schemeClr w14:val="tx1"/>
            </w14:solidFill>
          </w14:textFill>
        </w:rPr>
        <w:t>响应文件均应：</w:t>
      </w:r>
    </w:p>
    <w:p>
      <w:pPr>
        <w:pStyle w:val="11"/>
        <w:spacing w:line="360" w:lineRule="auto"/>
        <w:ind w:firstLine="0" w:firstLineChars="0"/>
        <w:rPr>
          <w:rFonts w:hAnsi="宋体" w:cs="Times New Roman"/>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）按“磋商邀请”中注明的时间、地址送达；</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）响应文件密封袋用</w:t>
      </w:r>
      <w:r>
        <w:rPr>
          <w:rFonts w:hint="eastAsia" w:hAnsi="宋体"/>
          <w:b/>
          <w:bCs/>
          <w:color w:val="000000" w:themeColor="text1"/>
          <w:sz w:val="24"/>
          <w:szCs w:val="24"/>
          <w14:textFill>
            <w14:solidFill>
              <w14:schemeClr w14:val="tx1"/>
            </w14:solidFill>
          </w14:textFill>
        </w:rPr>
        <w:t>“于 /</w:t>
      </w:r>
      <w:r>
        <w:rPr>
          <w:rFonts w:hAnsi="宋体"/>
          <w:b/>
          <w:bCs/>
          <w:color w:val="000000" w:themeColor="text1"/>
          <w:sz w:val="24"/>
          <w:szCs w:val="24"/>
          <w:lang w:val="zh-CN"/>
          <w14:textFill>
            <w14:solidFill>
              <w14:schemeClr w14:val="tx1"/>
            </w14:solidFill>
          </w14:textFill>
        </w:rPr>
        <w:t>年</w:t>
      </w: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月</w:t>
      </w: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日</w:t>
      </w:r>
      <w:r>
        <w:rPr>
          <w:rFonts w:hint="eastAsia" w:hAnsi="宋体"/>
          <w:b/>
          <w:bCs/>
          <w:color w:val="000000" w:themeColor="text1"/>
          <w:sz w:val="24"/>
          <w:szCs w:val="24"/>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w:t>
      </w:r>
      <w:r>
        <w:rPr>
          <w:rFonts w:hint="eastAsia" w:hAnsi="宋体"/>
          <w:b/>
          <w:bCs/>
          <w:color w:val="000000" w:themeColor="text1"/>
          <w:sz w:val="24"/>
          <w:szCs w:val="24"/>
          <w14:textFill>
            <w14:solidFill>
              <w14:schemeClr w14:val="tx1"/>
            </w14:solidFill>
          </w14:textFill>
        </w:rPr>
        <w:t>/之前</w:t>
      </w:r>
      <w:r>
        <w:rPr>
          <w:rFonts w:hint="eastAsia" w:hAnsi="宋体"/>
          <w:b/>
          <w:color w:val="000000" w:themeColor="text1"/>
          <w:sz w:val="24"/>
          <w:szCs w:val="24"/>
          <w14:textFill>
            <w14:solidFill>
              <w14:schemeClr w14:val="tx1"/>
            </w14:solidFill>
          </w14:textFill>
        </w:rPr>
        <w:t>不准启封”</w:t>
      </w:r>
      <w:r>
        <w:rPr>
          <w:rFonts w:hint="eastAsia" w:hAnsi="宋体"/>
          <w:color w:val="000000" w:themeColor="text1"/>
          <w:sz w:val="24"/>
          <w:szCs w:val="24"/>
          <w14:textFill>
            <w14:solidFill>
              <w14:schemeClr w14:val="tx1"/>
            </w14:solidFill>
          </w14:textFill>
        </w:rPr>
        <w:t>标签密封。</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（3）供应商如投（响应）多个包，响应文件每包分别按上述规定装订（如果有）。</w:t>
      </w:r>
    </w:p>
    <w:bookmarkEnd w:id="201"/>
    <w:bookmarkEnd w:id="202"/>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15" w:name="_Toc16312"/>
      <w:bookmarkStart w:id="216" w:name="_Toc464136628"/>
      <w:bookmarkStart w:id="217" w:name="_Toc12002"/>
      <w:bookmarkStart w:id="218" w:name="_Toc27714"/>
      <w:bookmarkStart w:id="219" w:name="_Toc376936749"/>
      <w:bookmarkStart w:id="220" w:name="_Toc371090030"/>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提交响应文件截止时间、地点</w:t>
      </w:r>
      <w:bookmarkEnd w:id="215"/>
      <w:bookmarkEnd w:id="216"/>
      <w:bookmarkEnd w:id="217"/>
      <w:bookmarkEnd w:id="218"/>
    </w:p>
    <w:bookmarkEnd w:id="219"/>
    <w:bookmarkEnd w:id="220"/>
    <w:p>
      <w:pPr>
        <w:pStyle w:val="11"/>
        <w:spacing w:line="360" w:lineRule="auto"/>
        <w:ind w:firstLine="0" w:firstLineChars="0"/>
        <w:rPr>
          <w:rFonts w:hAnsi="宋体"/>
          <w:color w:val="000000" w:themeColor="text1"/>
          <w:sz w:val="24"/>
          <w:szCs w:val="24"/>
          <w14:textFill>
            <w14:solidFill>
              <w14:schemeClr w14:val="tx1"/>
            </w14:solidFill>
          </w14:textFill>
        </w:rPr>
      </w:pPr>
      <w:bookmarkStart w:id="221" w:name="_Toc376936750"/>
      <w:bookmarkStart w:id="222" w:name="_Toc325726019"/>
      <w:bookmarkStart w:id="223" w:name="_Toc9147"/>
      <w:bookmarkStart w:id="224" w:name="_Toc464136629"/>
      <w:bookmarkStart w:id="225" w:name="_Toc5644"/>
      <w:r>
        <w:rPr>
          <w:rFonts w:hint="eastAsia" w:hAnsi="宋体"/>
          <w:color w:val="000000" w:themeColor="text1"/>
          <w:sz w:val="24"/>
          <w:szCs w:val="24"/>
          <w14:textFill>
            <w14:solidFill>
              <w14:schemeClr w14:val="tx1"/>
            </w14:solidFill>
          </w14:textFill>
        </w:rPr>
        <w:t>14.1 供应商应当在磋商文件要求提交响应文件的截止时间前，将响应文件（正本、副本）密封送达磋商地点。采购代理机构收到响应文件后，如实记载响应文件的送达时间和密封情况，签收保存。任何单位和个人不得在响应截止前开启响应文件。</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14.2 逾期送达或者未按照磋商文件第13.1-13.2条要求密封的响应文件，采购人、采购代理机构应当拒收。</w:t>
      </w:r>
    </w:p>
    <w:p>
      <w:pPr>
        <w:pStyle w:val="11"/>
        <w:spacing w:line="360" w:lineRule="auto"/>
        <w:ind w:firstLine="0" w:firstLineChars="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14.3响应文件递交时间为响应截止前半小时内。</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26" w:name="_Toc17531_WPSOffice_Level2"/>
      <w:bookmarkStart w:id="227" w:name="_Toc25894_WPSOffice_Level2"/>
      <w:bookmarkStart w:id="228" w:name="_Toc11434"/>
      <w:r>
        <w:rPr>
          <w:rFonts w:hint="eastAsia" w:ascii="宋体" w:hAnsi="宋体" w:cs="宋体"/>
          <w:b/>
          <w:bCs/>
          <w:color w:val="000000" w:themeColor="text1"/>
          <w:sz w:val="32"/>
          <w:szCs w:val="32"/>
          <w14:textFill>
            <w14:solidFill>
              <w14:schemeClr w14:val="tx1"/>
            </w14:solidFill>
          </w14:textFill>
        </w:rPr>
        <w:t>五、</w:t>
      </w:r>
      <w:bookmarkEnd w:id="221"/>
      <w:bookmarkEnd w:id="222"/>
      <w:r>
        <w:rPr>
          <w:rFonts w:hint="eastAsia" w:ascii="宋体" w:hAnsi="宋体" w:cs="宋体"/>
          <w:b/>
          <w:bCs/>
          <w:color w:val="000000" w:themeColor="text1"/>
          <w:sz w:val="32"/>
          <w:szCs w:val="32"/>
          <w14:textFill>
            <w14:solidFill>
              <w14:schemeClr w14:val="tx1"/>
            </w14:solidFill>
          </w14:textFill>
        </w:rPr>
        <w:t>磋商过程</w:t>
      </w:r>
      <w:bookmarkEnd w:id="223"/>
      <w:bookmarkEnd w:id="224"/>
      <w:bookmarkEnd w:id="225"/>
      <w:bookmarkEnd w:id="226"/>
      <w:bookmarkEnd w:id="227"/>
      <w:bookmarkEnd w:id="228"/>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29" w:name="_Toc15630"/>
      <w:bookmarkStart w:id="230" w:name="_Toc29851"/>
      <w:bookmarkStart w:id="231" w:name="_Toc20835"/>
      <w:bookmarkStart w:id="232" w:name="_Toc26723"/>
      <w:bookmarkStart w:id="233" w:name="_Toc30658"/>
      <w:bookmarkStart w:id="234" w:name="_Toc464136630"/>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磋商过程</w:t>
      </w:r>
      <w:bookmarkEnd w:id="229"/>
      <w:bookmarkEnd w:id="230"/>
      <w:bookmarkEnd w:id="231"/>
      <w:bookmarkEnd w:id="232"/>
      <w:bookmarkEnd w:id="233"/>
      <w:bookmarkEnd w:id="234"/>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15.1</w:t>
      </w:r>
      <w:r>
        <w:rPr>
          <w:rFonts w:hint="eastAsia" w:hAnsi="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15.2</w:t>
      </w:r>
      <w:r>
        <w:rPr>
          <w:rFonts w:hint="eastAsia" w:ascii="宋体" w:hAnsi="宋体" w:cs="宋体"/>
          <w:color w:val="000000" w:themeColor="text1"/>
          <w:sz w:val="24"/>
          <w:szCs w:val="24"/>
          <w14:textFill>
            <w14:solidFill>
              <w14:schemeClr w14:val="tx1"/>
            </w14:solidFill>
          </w14:textFill>
        </w:rPr>
        <w:t>对不同文字文本响应文件的解释发生异议的，以中文文本为准。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14:textFill>
            <w14:solidFill>
              <w14:schemeClr w14:val="tx1"/>
            </w14:solidFill>
          </w14:textFill>
        </w:rPr>
        <w:t>由采购代理机构组织，采购人、采购监管、纪检监察等有关方面代表可根据采购项目的具体情况列席。</w:t>
      </w:r>
    </w:p>
    <w:p>
      <w:pPr>
        <w:spacing w:line="360" w:lineRule="auto"/>
        <w:ind w:firstLine="0" w:firstLineChars="0"/>
        <w:jc w:val="left"/>
        <w:rPr>
          <w:rFonts w:hint="eastAsia" w:ascii="宋体" w:eastAsia="宋体" w:cs="Times New Roman"/>
          <w:color w:val="000000" w:themeColor="text1"/>
          <w:sz w:val="24"/>
          <w:szCs w:val="24"/>
          <w:lang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15.4</w:t>
      </w:r>
      <w:r>
        <w:rPr>
          <w:rFonts w:hint="eastAsia" w:ascii="宋体" w:hAnsi="宋体" w:cs="宋体"/>
          <w:color w:val="000000" w:themeColor="text1"/>
          <w:sz w:val="24"/>
          <w:szCs w:val="24"/>
          <w14:textFill>
            <w14:solidFill>
              <w14:schemeClr w14:val="tx1"/>
            </w14:solidFill>
          </w14:textFill>
        </w:rPr>
        <w:t>有专人记录，并存档备查。</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35" w:name="_Toc31624_WPSOffice_Level2"/>
      <w:bookmarkStart w:id="236" w:name="_Toc19030"/>
      <w:bookmarkStart w:id="237" w:name="_Toc325726021"/>
      <w:bookmarkStart w:id="238" w:name="_Toc18107"/>
      <w:bookmarkStart w:id="239" w:name="_Toc11255"/>
      <w:bookmarkStart w:id="240" w:name="_Toc376936752"/>
      <w:bookmarkStart w:id="241" w:name="_Toc464136631"/>
      <w:bookmarkStart w:id="242" w:name="_Toc15721_WPSOffice_Level2"/>
      <w:r>
        <w:rPr>
          <w:rFonts w:hint="eastAsia" w:ascii="宋体" w:hAnsi="宋体" w:cs="宋体"/>
          <w:b/>
          <w:bCs/>
          <w:color w:val="000000" w:themeColor="text1"/>
          <w:sz w:val="32"/>
          <w:szCs w:val="32"/>
          <w14:textFill>
            <w14:solidFill>
              <w14:schemeClr w14:val="tx1"/>
            </w14:solidFill>
          </w14:textFill>
        </w:rPr>
        <w:t>六、磋商程序及方法</w:t>
      </w:r>
      <w:bookmarkEnd w:id="235"/>
      <w:bookmarkEnd w:id="236"/>
      <w:bookmarkEnd w:id="237"/>
      <w:bookmarkEnd w:id="238"/>
      <w:bookmarkEnd w:id="239"/>
      <w:bookmarkEnd w:id="240"/>
      <w:bookmarkEnd w:id="241"/>
      <w:bookmarkEnd w:id="242"/>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43" w:name="_Toc376936753"/>
      <w:bookmarkStart w:id="244" w:name="_Toc6214"/>
      <w:bookmarkStart w:id="245" w:name="_Toc464136632"/>
      <w:bookmarkStart w:id="246" w:name="_Toc26121"/>
      <w:bookmarkStart w:id="247" w:name="_Toc6466"/>
      <w:bookmarkStart w:id="248" w:name="_Toc16935"/>
      <w:bookmarkStart w:id="249" w:name="_Toc325726022"/>
      <w:bookmarkStart w:id="250" w:name="_Toc22421"/>
      <w:r>
        <w:rPr>
          <w:rFonts w:ascii="宋体" w:hAnsi="宋体" w:cs="宋体"/>
          <w:color w:val="000000" w:themeColor="text1"/>
          <w:sz w:val="24"/>
          <w:szCs w:val="24"/>
          <w14:textFill>
            <w14:solidFill>
              <w14:schemeClr w14:val="tx1"/>
            </w14:solidFill>
          </w14:textFill>
        </w:rPr>
        <w:t>16.</w:t>
      </w:r>
      <w:r>
        <w:rPr>
          <w:rFonts w:hint="eastAsia" w:ascii="宋体" w:hAnsi="宋体" w:cs="宋体"/>
          <w:color w:val="000000" w:themeColor="text1"/>
          <w:sz w:val="24"/>
          <w:szCs w:val="24"/>
          <w14:textFill>
            <w14:solidFill>
              <w14:schemeClr w14:val="tx1"/>
            </w14:solidFill>
          </w14:textFill>
        </w:rPr>
        <w:t>磋商小组</w:t>
      </w:r>
      <w:bookmarkEnd w:id="243"/>
      <w:bookmarkEnd w:id="244"/>
      <w:bookmarkEnd w:id="245"/>
      <w:bookmarkEnd w:id="246"/>
      <w:bookmarkEnd w:id="247"/>
      <w:bookmarkEnd w:id="248"/>
      <w:bookmarkEnd w:id="249"/>
      <w:bookmarkEnd w:id="250"/>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16.1</w:t>
      </w:r>
      <w:r>
        <w:rPr>
          <w:rFonts w:hint="eastAsia" w:ascii="宋体" w:hAnsi="宋体" w:cs="宋体"/>
          <w:color w:val="000000" w:themeColor="text1"/>
          <w:sz w:val="24"/>
          <w:szCs w:val="24"/>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16.2</w:t>
      </w:r>
      <w:r>
        <w:rPr>
          <w:rFonts w:hint="eastAsia" w:ascii="宋体" w:hAnsi="宋体" w:cs="宋体"/>
          <w:color w:val="000000" w:themeColor="text1"/>
          <w:sz w:val="24"/>
          <w:szCs w:val="24"/>
          <w14:textFill>
            <w14:solidFill>
              <w14:schemeClr w14:val="tx1"/>
            </w14:solidFill>
          </w14:textFill>
        </w:rPr>
        <w:t>采购代理机构负责组织，具体磋商事务由依法组建的磋商小组负责，并独立履行下列职责：</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）审查响应文件是否符合磋商文件要求，并作出评价；</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）要求供应商对响应文件有关事项作出解释或澄清；</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）推荐预成交候选供应商；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）对非法干预评标工作的人员和机构进行举报或投诉。</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16.3</w:t>
      </w:r>
      <w:r>
        <w:rPr>
          <w:rFonts w:hint="eastAsia" w:ascii="宋体" w:hAnsi="宋体" w:cs="宋体"/>
          <w:color w:val="000000" w:themeColor="text1"/>
          <w:sz w:val="24"/>
          <w:szCs w:val="24"/>
          <w14:textFill>
            <w14:solidFill>
              <w14:schemeClr w14:val="tx1"/>
            </w14:solidFill>
          </w14:textFill>
        </w:rPr>
        <w:t>应遵守并履行下列义务：</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）遵纪守法，客观、公正、廉洁地履行职责；</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）按照磋商文件规定的评审方法和评审标准进行评审，磋商小组成员并对评审意见承担责任；</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）对响应文件、磋商情况和磋商中获悉的商业秘密保密；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）参与磋商报告的起草；</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）解答供应商及有关方面的质疑；</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）配合纪检部门进行投诉处理工作。</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16.4</w:t>
      </w:r>
      <w:r>
        <w:rPr>
          <w:rFonts w:hint="eastAsia" w:ascii="宋体" w:hAnsi="宋体" w:cs="宋体"/>
          <w:color w:val="000000" w:themeColor="text1"/>
          <w:sz w:val="24"/>
          <w:szCs w:val="24"/>
          <w14:textFill>
            <w14:solidFill>
              <w14:schemeClr w14:val="tx1"/>
            </w14:solidFill>
          </w14:textFill>
        </w:rPr>
        <w:t>所有成员应当集中与单一供应商分别进行磋商，并给予所有参加磋商的供应商平等的磋商机会。</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16.5</w:t>
      </w:r>
      <w:r>
        <w:rPr>
          <w:rFonts w:hint="eastAsia" w:ascii="宋体" w:hAnsi="宋体" w:cs="宋体"/>
          <w:color w:val="000000" w:themeColor="text1"/>
          <w:sz w:val="24"/>
          <w:szCs w:val="24"/>
          <w14:textFill>
            <w14:solidFill>
              <w14:schemeClr w14:val="tx1"/>
            </w14:solidFill>
          </w14:textFill>
        </w:rPr>
        <w:t>在有关部门的监督和严格保密的情况下依法开展，任何单位和个人不得非法干预、影响磋商工作和磋商结果。</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51" w:name="_Toc23462"/>
      <w:bookmarkStart w:id="252" w:name="_Toc27086"/>
      <w:bookmarkStart w:id="253" w:name="_Toc2762"/>
      <w:bookmarkStart w:id="254" w:name="_Toc464136633"/>
      <w:bookmarkStart w:id="255" w:name="_Toc14694"/>
      <w:bookmarkStart w:id="256" w:name="_Toc376936754"/>
      <w:bookmarkStart w:id="257" w:name="_Toc325726023"/>
      <w:bookmarkStart w:id="258" w:name="_Toc7266"/>
      <w:r>
        <w:rPr>
          <w:rFonts w:ascii="宋体" w:hAnsi="宋体" w:cs="宋体"/>
          <w:color w:val="000000" w:themeColor="text1"/>
          <w:sz w:val="24"/>
          <w:szCs w:val="24"/>
          <w14:textFill>
            <w14:solidFill>
              <w14:schemeClr w14:val="tx1"/>
            </w14:solidFill>
          </w14:textFill>
        </w:rPr>
        <w:t>17.</w:t>
      </w:r>
      <w:r>
        <w:rPr>
          <w:rFonts w:hint="eastAsia" w:ascii="宋体" w:hAnsi="宋体" w:cs="宋体"/>
          <w:color w:val="000000" w:themeColor="text1"/>
          <w:sz w:val="24"/>
          <w:szCs w:val="24"/>
          <w14:textFill>
            <w14:solidFill>
              <w14:schemeClr w14:val="tx1"/>
            </w14:solidFill>
          </w14:textFill>
        </w:rPr>
        <w:t>磋商程序</w:t>
      </w:r>
      <w:bookmarkEnd w:id="251"/>
      <w:bookmarkEnd w:id="252"/>
      <w:bookmarkEnd w:id="253"/>
      <w:bookmarkEnd w:id="254"/>
      <w:bookmarkEnd w:id="255"/>
      <w:bookmarkEnd w:id="256"/>
      <w:bookmarkEnd w:id="257"/>
      <w:bookmarkEnd w:id="258"/>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14:textFill>
            <w14:solidFill>
              <w14:schemeClr w14:val="tx1"/>
            </w14:solidFill>
          </w14:textFill>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14:textFill>
            <w14:solidFill>
              <w14:schemeClr w14:val="tx1"/>
            </w14:solidFill>
          </w14:textFill>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17.2.1</w:t>
      </w:r>
      <w:r>
        <w:rPr>
          <w:rFonts w:hint="eastAsia" w:ascii="宋体" w:hAnsi="宋体" w:cs="宋体"/>
          <w:color w:val="000000" w:themeColor="text1"/>
          <w:sz w:val="24"/>
          <w:szCs w:val="24"/>
          <w14:textFill>
            <w14:solidFill>
              <w14:schemeClr w14:val="tx1"/>
            </w14:solidFill>
          </w14:textFill>
        </w:rPr>
        <w:t>实质性偏离是指响应文件未能实质性响应磋商文件的要求。以下情况属于实质性偏离，响应文件有下列情况之一的，按无效文件处理。</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）不符合第</w:t>
      </w:r>
      <w:r>
        <w:rPr>
          <w:rFonts w:ascii="宋体" w:hAnsi="Cambria" w:cs="宋体"/>
          <w:color w:val="000000" w:themeColor="text1"/>
          <w:sz w:val="24"/>
          <w:lang w:val="zh-CN"/>
          <w14:textFill>
            <w14:solidFill>
              <w14:schemeClr w14:val="tx1"/>
            </w14:solidFill>
          </w14:textFill>
        </w:rPr>
        <w:t>2.2</w:t>
      </w:r>
      <w:r>
        <w:rPr>
          <w:rFonts w:hint="eastAsia" w:ascii="宋体" w:hAnsi="Cambria" w:cs="宋体"/>
          <w:color w:val="000000" w:themeColor="text1"/>
          <w:sz w:val="24"/>
          <w:lang w:val="zh-CN"/>
          <w14:textFill>
            <w14:solidFill>
              <w14:schemeClr w14:val="tx1"/>
            </w14:solidFill>
          </w14:textFill>
        </w:rPr>
        <w:t>款</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合格的供应商</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之规定的；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）未按磋商文件要求缴纳或未足额缴纳磋商保证金的；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）未按第</w:t>
      </w:r>
      <w:r>
        <w:rPr>
          <w:rFonts w:ascii="宋体" w:hAnsi="Cambria" w:cs="宋体"/>
          <w:color w:val="000000" w:themeColor="text1"/>
          <w:sz w:val="24"/>
          <w:lang w:val="zh-CN"/>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款（</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15</w:t>
      </w:r>
      <w:r>
        <w:rPr>
          <w:rFonts w:hint="eastAsia" w:ascii="宋体" w:hAnsi="Cambria" w:cs="宋体"/>
          <w:color w:val="000000" w:themeColor="text1"/>
          <w:sz w:val="24"/>
          <w:lang w:val="zh-CN"/>
          <w14:textFill>
            <w14:solidFill>
              <w14:schemeClr w14:val="tx1"/>
            </w14:solidFill>
          </w14:textFill>
        </w:rPr>
        <w:t>）要求提供相关资料的；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）响应文件内容没有按磋商文件规定和要求签字、盖章的；</w:t>
      </w:r>
    </w:p>
    <w:p>
      <w:pPr>
        <w:autoSpaceDE w:val="0"/>
        <w:autoSpaceDN w:val="0"/>
        <w:adjustRightInd w:val="0"/>
        <w:spacing w:line="360" w:lineRule="auto"/>
        <w:ind w:right="-313" w:rightChars="-149" w:firstLine="48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（5）法定代表人未在磋商响应文件中出具保证交货期和交货质量承诺函的；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（6）响应文件编排混乱，导致评审工作难以正常进行的；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（7）交货期、磋商(响应)有效期不能满足磋商文件要求的；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（8）响应产品、技术标准明显不符合采购项目要求的；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（9）响应文件中附有采购人不能接受的条件的；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（10）磋商报价超过采购预算额度或最高限价的；</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（11）磋商小组认为应按响应无效处理的其他情况；</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（12）法律、法规规定的其他情形。</w:t>
      </w:r>
    </w:p>
    <w:p>
      <w:pPr>
        <w:tabs>
          <w:tab w:val="left" w:pos="8787"/>
        </w:tabs>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17.2.2</w:t>
      </w:r>
      <w:r>
        <w:rPr>
          <w:rFonts w:hint="eastAsia" w:ascii="宋体" w:hAnsi="宋体" w:cs="宋体"/>
          <w:color w:val="000000" w:themeColor="text1"/>
          <w:sz w:val="24"/>
          <w:szCs w:val="24"/>
          <w14:textFill>
            <w14:solidFill>
              <w14:schemeClr w14:val="tx1"/>
            </w14:solidFill>
          </w14:textFill>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17.2.3</w:t>
      </w:r>
      <w:r>
        <w:rPr>
          <w:rFonts w:hint="eastAsia" w:ascii="宋体" w:hAnsi="宋体" w:cs="宋体"/>
          <w:color w:val="000000" w:themeColor="text1"/>
          <w:sz w:val="24"/>
          <w:szCs w:val="24"/>
          <w14:textFill>
            <w14:solidFill>
              <w14:schemeClr w14:val="tx1"/>
            </w14:solidFill>
          </w14:textFill>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17.2.4</w:t>
      </w:r>
      <w:r>
        <w:rPr>
          <w:rFonts w:hint="eastAsia" w:ascii="宋体" w:hAnsi="宋体" w:cs="宋体"/>
          <w:color w:val="000000" w:themeColor="text1"/>
          <w:sz w:val="24"/>
          <w:szCs w:val="24"/>
          <w14:textFill>
            <w14:solidFill>
              <w14:schemeClr w14:val="tx1"/>
            </w14:solidFill>
          </w14:textFill>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17.2.5</w:t>
      </w:r>
      <w:r>
        <w:rPr>
          <w:rFonts w:hint="eastAsia" w:ascii="宋体" w:hAnsi="宋体" w:cs="宋体"/>
          <w:color w:val="000000" w:themeColor="text1"/>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59" w:name="_Toc376936755"/>
      <w:bookmarkStart w:id="260" w:name="_Toc13668"/>
      <w:bookmarkStart w:id="261" w:name="_Toc15777"/>
      <w:bookmarkStart w:id="262" w:name="_Toc20611"/>
      <w:bookmarkStart w:id="263" w:name="_Toc29795"/>
      <w:bookmarkStart w:id="264" w:name="_Toc325726024"/>
      <w:bookmarkStart w:id="265" w:name="_Toc31598"/>
      <w:bookmarkStart w:id="266" w:name="_Toc464136634"/>
      <w:r>
        <w:rPr>
          <w:rFonts w:ascii="宋体" w:hAnsi="宋体" w:cs="宋体"/>
          <w:color w:val="000000" w:themeColor="text1"/>
          <w:sz w:val="24"/>
          <w:szCs w:val="24"/>
          <w14:textFill>
            <w14:solidFill>
              <w14:schemeClr w14:val="tx1"/>
            </w14:solidFill>
          </w14:textFill>
        </w:rPr>
        <w:t>18.</w:t>
      </w:r>
      <w:r>
        <w:rPr>
          <w:rFonts w:hint="eastAsia" w:ascii="宋体" w:hAnsi="宋体" w:cs="宋体"/>
          <w:color w:val="000000" w:themeColor="text1"/>
          <w:sz w:val="24"/>
          <w:szCs w:val="24"/>
          <w14:textFill>
            <w14:solidFill>
              <w14:schemeClr w14:val="tx1"/>
            </w14:solidFill>
          </w14:textFill>
        </w:rPr>
        <w:t>评审办法</w:t>
      </w:r>
      <w:bookmarkEnd w:id="259"/>
      <w:bookmarkEnd w:id="260"/>
      <w:bookmarkEnd w:id="261"/>
      <w:bookmarkEnd w:id="262"/>
      <w:bookmarkEnd w:id="263"/>
      <w:bookmarkEnd w:id="264"/>
      <w:bookmarkEnd w:id="265"/>
      <w:bookmarkEnd w:id="266"/>
    </w:p>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18.1</w:t>
      </w:r>
      <w:r>
        <w:rPr>
          <w:rFonts w:hint="eastAsia" w:ascii="宋体" w:hAnsi="宋体" w:cs="宋体"/>
          <w:color w:val="000000" w:themeColor="text1"/>
          <w:sz w:val="24"/>
          <w:szCs w:val="24"/>
          <w14:textFill>
            <w14:solidFill>
              <w14:schemeClr w14:val="tx1"/>
            </w14:solidFill>
          </w14:textFill>
        </w:rPr>
        <w:t>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Cambria" w:cs="宋体"/>
          <w:color w:val="000000" w:themeColor="text1"/>
          <w:sz w:val="24"/>
          <w:szCs w:val="24"/>
          <w:lang w:val="zh-CN"/>
          <w14:textFill>
            <w14:solidFill>
              <w14:schemeClr w14:val="tx1"/>
            </w14:solidFill>
          </w14:textFill>
        </w:rPr>
      </w:pPr>
      <w:r>
        <w:rPr>
          <w:rFonts w:ascii="宋体" w:hAnsi="Cambria" w:cs="宋体"/>
          <w:color w:val="000000" w:themeColor="text1"/>
          <w:sz w:val="24"/>
          <w:szCs w:val="24"/>
          <w:lang w:val="zh-CN"/>
          <w14:textFill>
            <w14:solidFill>
              <w14:schemeClr w14:val="tx1"/>
            </w14:solidFill>
          </w14:textFill>
        </w:rPr>
        <w:t>18.2</w:t>
      </w:r>
      <w:r>
        <w:rPr>
          <w:rFonts w:hint="eastAsia" w:ascii="宋体" w:hAnsi="Cambria" w:cs="宋体"/>
          <w:color w:val="000000" w:themeColor="text1"/>
          <w:sz w:val="24"/>
          <w:szCs w:val="24"/>
          <w:lang w:val="zh-CN"/>
          <w14:textFill>
            <w14:solidFill>
              <w14:schemeClr w14:val="tx1"/>
            </w14:solidFill>
          </w14:textFill>
        </w:rPr>
        <w:t>评审标准和分值分配：</w:t>
      </w:r>
    </w:p>
    <w:tbl>
      <w:tblPr>
        <w:tblStyle w:val="24"/>
        <w:tblpPr w:leftFromText="180" w:rightFromText="180" w:vertAnchor="text" w:horzAnchor="page" w:tblpX="954" w:tblpY="449"/>
        <w:tblOverlap w:val="never"/>
        <w:tblW w:w="10205" w:type="dxa"/>
        <w:tblInd w:w="0" w:type="dxa"/>
        <w:tblLayout w:type="fixed"/>
        <w:tblCellMar>
          <w:top w:w="0" w:type="dxa"/>
          <w:left w:w="108" w:type="dxa"/>
          <w:bottom w:w="0" w:type="dxa"/>
          <w:right w:w="108" w:type="dxa"/>
        </w:tblCellMar>
      </w:tblPr>
      <w:tblGrid>
        <w:gridCol w:w="1275"/>
        <w:gridCol w:w="1627"/>
        <w:gridCol w:w="1338"/>
        <w:gridCol w:w="5965"/>
      </w:tblGrid>
      <w:tr>
        <w:tblPrEx>
          <w:tblCellMar>
            <w:top w:w="0" w:type="dxa"/>
            <w:left w:w="108" w:type="dxa"/>
            <w:bottom w:w="0" w:type="dxa"/>
            <w:right w:w="108" w:type="dxa"/>
          </w:tblCellMar>
        </w:tblPrEx>
        <w:trPr>
          <w:trHeight w:val="499" w:hRule="atLeast"/>
        </w:trPr>
        <w:tc>
          <w:tcPr>
            <w:tcW w:w="127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类别</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项目</w:t>
            </w: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满分分值</w:t>
            </w:r>
          </w:p>
        </w:tc>
        <w:tc>
          <w:tcPr>
            <w:tcW w:w="59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评审标准</w:t>
            </w:r>
          </w:p>
        </w:tc>
      </w:tr>
      <w:tr>
        <w:tblPrEx>
          <w:tblCellMar>
            <w:top w:w="0" w:type="dxa"/>
            <w:left w:w="108" w:type="dxa"/>
            <w:bottom w:w="0" w:type="dxa"/>
            <w:right w:w="108" w:type="dxa"/>
          </w:tblCellMar>
        </w:tblPrEx>
        <w:trPr>
          <w:trHeight w:val="3468" w:hRule="atLeast"/>
        </w:trPr>
        <w:tc>
          <w:tcPr>
            <w:tcW w:w="1275"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投标报价</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14:textFill>
                  <w14:solidFill>
                    <w14:schemeClr w14:val="tx1"/>
                  </w14:solidFill>
                </w14:textFill>
              </w:rPr>
              <w:t>30</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报价分</w:t>
            </w:r>
          </w:p>
        </w:tc>
        <w:tc>
          <w:tcPr>
            <w:tcW w:w="133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30分</w:t>
            </w:r>
          </w:p>
        </w:tc>
        <w:tc>
          <w:tcPr>
            <w:tcW w:w="59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注：根据《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6%的扣除，用扣除后的价格参加评审。</w:t>
            </w:r>
          </w:p>
        </w:tc>
      </w:tr>
      <w:tr>
        <w:tblPrEx>
          <w:tblCellMar>
            <w:top w:w="0" w:type="dxa"/>
            <w:left w:w="108" w:type="dxa"/>
            <w:bottom w:w="0" w:type="dxa"/>
            <w:right w:w="108" w:type="dxa"/>
          </w:tblCellMar>
        </w:tblPrEx>
        <w:trPr>
          <w:trHeight w:val="90" w:hRule="atLeast"/>
        </w:trPr>
        <w:tc>
          <w:tcPr>
            <w:tcW w:w="1275" w:type="dxa"/>
            <w:vMerge w:val="restart"/>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技术水平  （</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en-US" w:eastAsia="zh-CN"/>
                <w14:textFill>
                  <w14:solidFill>
                    <w14:schemeClr w14:val="tx1"/>
                  </w14:solidFill>
                </w14:textFill>
              </w:rPr>
              <w:t>7</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000000" w:sz="6"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技术参数</w:t>
            </w:r>
          </w:p>
        </w:tc>
        <w:tc>
          <w:tcPr>
            <w:tcW w:w="1338" w:type="dxa"/>
            <w:tcBorders>
              <w:top w:val="single" w:color="000000" w:sz="6" w:space="0"/>
              <w:left w:val="single" w:color="auto" w:sz="4"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en-US" w:eastAsia="zh-CN"/>
                <w14:textFill>
                  <w14:solidFill>
                    <w14:schemeClr w14:val="tx1"/>
                  </w14:solidFill>
                </w14:textFill>
              </w:rPr>
              <w:t>5</w:t>
            </w:r>
            <w:r>
              <w:rPr>
                <w:rFonts w:hint="eastAsia" w:ascii="宋体" w:hAnsi="宋体" w:cstheme="minorEastAsia"/>
                <w:bCs/>
                <w:color w:val="000000" w:themeColor="text1"/>
                <w:sz w:val="24"/>
                <w:szCs w:val="24"/>
                <w:lang w:val="zh-CN"/>
                <w14:textFill>
                  <w14:solidFill>
                    <w14:schemeClr w14:val="tx1"/>
                  </w14:solidFill>
                </w14:textFill>
              </w:rPr>
              <w:t>分</w:t>
            </w:r>
          </w:p>
        </w:tc>
        <w:tc>
          <w:tcPr>
            <w:tcW w:w="596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投标产品技术参数和配置完全满足或高于招标文件要求的，得2</w:t>
            </w:r>
            <w:r>
              <w:rPr>
                <w:rFonts w:hint="eastAsia" w:ascii="宋体" w:hAnsi="宋体" w:cstheme="minorEastAsia"/>
                <w:bCs/>
                <w:color w:val="000000" w:themeColor="text1"/>
                <w:sz w:val="24"/>
                <w:szCs w:val="24"/>
                <w:lang w:val="en-US" w:eastAsia="zh-CN"/>
                <w14:textFill>
                  <w14:solidFill>
                    <w14:schemeClr w14:val="tx1"/>
                  </w14:solidFill>
                </w14:textFill>
              </w:rPr>
              <w:t>5</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所投产品</w:t>
            </w:r>
            <w:r>
              <w:rPr>
                <w:rFonts w:hint="eastAsia" w:ascii="宋体" w:hAnsi="宋体" w:cstheme="minorEastAsia"/>
                <w:bCs/>
                <w:color w:val="000000" w:themeColor="text1"/>
                <w:sz w:val="24"/>
                <w:szCs w:val="24"/>
                <w14:textFill>
                  <w14:solidFill>
                    <w14:schemeClr w14:val="tx1"/>
                  </w14:solidFill>
                </w14:textFill>
              </w:rPr>
              <w:t>每有一项负偏离扣2分，</w:t>
            </w:r>
            <w:r>
              <w:rPr>
                <w:rFonts w:hint="eastAsia" w:ascii="宋体" w:hAnsi="宋体" w:cs="宋体"/>
                <w:color w:val="000000" w:themeColor="text1"/>
                <w:sz w:val="24"/>
                <w:szCs w:val="24"/>
                <w14:textFill>
                  <w14:solidFill>
                    <w14:schemeClr w14:val="tx1"/>
                  </w14:solidFill>
                </w14:textFill>
              </w:rPr>
              <w:t>直到</w:t>
            </w:r>
            <w:r>
              <w:rPr>
                <w:rFonts w:hint="eastAsia" w:ascii="宋体" w:hAnsi="宋体" w:cstheme="minorEastAsia"/>
                <w:bCs/>
                <w:color w:val="000000" w:themeColor="text1"/>
                <w:sz w:val="24"/>
                <w:szCs w:val="24"/>
                <w14:textFill>
                  <w14:solidFill>
                    <w14:schemeClr w14:val="tx1"/>
                  </w14:solidFill>
                </w14:textFill>
              </w:rPr>
              <w:t>扣完为止。（提供支撑材料，如彩页或技术白皮书等证明材料）</w:t>
            </w:r>
          </w:p>
        </w:tc>
      </w:tr>
      <w:tr>
        <w:tblPrEx>
          <w:tblCellMar>
            <w:top w:w="0" w:type="dxa"/>
            <w:left w:w="108" w:type="dxa"/>
            <w:bottom w:w="0" w:type="dxa"/>
            <w:right w:w="108" w:type="dxa"/>
          </w:tblCellMar>
        </w:tblPrEx>
        <w:trPr>
          <w:trHeight w:val="458" w:hRule="atLeast"/>
        </w:trPr>
        <w:tc>
          <w:tcPr>
            <w:tcW w:w="1275"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节能和环保</w:t>
            </w:r>
          </w:p>
        </w:tc>
        <w:tc>
          <w:tcPr>
            <w:tcW w:w="1338"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2分</w:t>
            </w:r>
          </w:p>
        </w:tc>
        <w:tc>
          <w:tcPr>
            <w:tcW w:w="5965" w:type="dxa"/>
            <w:tcBorders>
              <w:top w:val="single" w:color="000000" w:sz="6"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供应商或所投产品具有</w:t>
            </w:r>
            <w:r>
              <w:rPr>
                <w:rFonts w:hint="eastAsia" w:ascii="宋体" w:hAnsi="宋体" w:cstheme="minorEastAsia"/>
                <w:bCs/>
                <w:color w:val="000000" w:themeColor="text1"/>
                <w:sz w:val="24"/>
                <w:szCs w:val="24"/>
                <w:lang w:val="zh-CN"/>
                <w14:textFill>
                  <w14:solidFill>
                    <w14:schemeClr w14:val="tx1"/>
                  </w14:solidFill>
                </w14:textFill>
              </w:rPr>
              <w:t>节能产品得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分，须提供《国家节能产品认证证书》，所投产品为环保产品得</w:t>
            </w:r>
            <w:r>
              <w:rPr>
                <w:rFonts w:hint="eastAsia" w:ascii="宋体" w:hAnsi="宋体" w:cstheme="minorEastAsia"/>
                <w:bCs/>
                <w:color w:val="000000" w:themeColor="text1"/>
                <w:sz w:val="24"/>
                <w:szCs w:val="24"/>
                <w14:textFill>
                  <w14:solidFill>
                    <w14:schemeClr w14:val="tx1"/>
                  </w14:solidFill>
                </w14:textFill>
              </w:rPr>
              <w:t>1</w:t>
            </w:r>
            <w:r>
              <w:rPr>
                <w:rFonts w:hint="eastAsia" w:ascii="宋体" w:hAnsi="宋体" w:cstheme="minorEastAsia"/>
                <w:bCs/>
                <w:color w:val="000000" w:themeColor="text1"/>
                <w:sz w:val="24"/>
                <w:szCs w:val="24"/>
                <w:lang w:val="zh-CN"/>
                <w14:textFill>
                  <w14:solidFill>
                    <w14:schemeClr w14:val="tx1"/>
                  </w14:solidFill>
                </w14:textFill>
              </w:rPr>
              <w:t>分，须提供《中国环境标志产品认证证书》；满分</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分，未提供不得分。</w:t>
            </w:r>
          </w:p>
        </w:tc>
      </w:tr>
      <w:tr>
        <w:tblPrEx>
          <w:tblCellMar>
            <w:top w:w="0" w:type="dxa"/>
            <w:left w:w="108" w:type="dxa"/>
            <w:bottom w:w="0" w:type="dxa"/>
            <w:right w:w="108" w:type="dxa"/>
          </w:tblCellMar>
        </w:tblPrEx>
        <w:trPr>
          <w:trHeight w:val="602" w:hRule="atLeast"/>
        </w:trPr>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履约能力(</w:t>
            </w:r>
            <w:r>
              <w:rPr>
                <w:rFonts w:hint="eastAsia" w:ascii="宋体" w:hAnsi="宋体" w:cstheme="minorEastAsia"/>
                <w:bCs/>
                <w:color w:val="000000" w:themeColor="text1"/>
                <w:sz w:val="24"/>
                <w:szCs w:val="24"/>
                <w14:textFill>
                  <w14:solidFill>
                    <w14:schemeClr w14:val="tx1"/>
                  </w14:solidFill>
                </w14:textFill>
              </w:rPr>
              <w:t>3</w:t>
            </w: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w:t>
            </w:r>
            <w:r>
              <w:rPr>
                <w:rFonts w:hint="eastAsia" w:ascii="宋体" w:hAnsi="宋体" w:cstheme="minorEastAsia"/>
                <w:bCs/>
                <w:color w:val="000000" w:themeColor="text1"/>
                <w:sz w:val="24"/>
                <w:szCs w:val="24"/>
                <w:lang w:val="zh-CN"/>
                <w14:textFill>
                  <w14:solidFill>
                    <w14:schemeClr w14:val="tx1"/>
                  </w14:solidFill>
                </w14:textFill>
              </w:rPr>
              <w:t>)</w:t>
            </w: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类似业绩</w:t>
            </w:r>
          </w:p>
          <w:p>
            <w:pPr>
              <w:ind w:firstLine="240" w:firstLineChars="100"/>
              <w:jc w:val="center"/>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情况</w:t>
            </w:r>
          </w:p>
        </w:tc>
        <w:tc>
          <w:tcPr>
            <w:tcW w:w="133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10分</w:t>
            </w:r>
          </w:p>
        </w:tc>
        <w:tc>
          <w:tcPr>
            <w:tcW w:w="596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提供自2019年以来类似业绩证明材料。每提供1项得</w:t>
            </w:r>
            <w:r>
              <w:rPr>
                <w:rFonts w:hint="eastAsia" w:ascii="宋体" w:hAnsi="宋体" w:cstheme="minorEastAsia"/>
                <w:bCs/>
                <w:color w:val="000000" w:themeColor="text1"/>
                <w:sz w:val="24"/>
                <w:szCs w:val="24"/>
                <w14:textFill>
                  <w14:solidFill>
                    <w14:schemeClr w14:val="tx1"/>
                  </w14:solidFill>
                </w14:textFill>
              </w:rPr>
              <w:t>2</w:t>
            </w:r>
            <w:r>
              <w:rPr>
                <w:rFonts w:hint="eastAsia" w:ascii="宋体" w:hAnsi="宋体" w:cstheme="minorEastAsia"/>
                <w:bCs/>
                <w:color w:val="000000" w:themeColor="text1"/>
                <w:sz w:val="24"/>
                <w:szCs w:val="24"/>
                <w:lang w:val="zh-CN"/>
                <w14:textFill>
                  <w14:solidFill>
                    <w14:schemeClr w14:val="tx1"/>
                  </w14:solidFill>
                </w14:textFill>
              </w:rPr>
              <w:t>分,满分</w:t>
            </w:r>
            <w:r>
              <w:rPr>
                <w:rFonts w:hint="eastAsia" w:ascii="宋体" w:hAnsi="宋体" w:cstheme="minorEastAsia"/>
                <w:bCs/>
                <w:color w:val="000000" w:themeColor="text1"/>
                <w:sz w:val="24"/>
                <w:szCs w:val="24"/>
                <w:lang w:val="en-US" w:eastAsia="zh-CN"/>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分；不提供不得分（需提合同协议书或中标通知书复印件）。</w:t>
            </w:r>
          </w:p>
        </w:tc>
      </w:tr>
      <w:tr>
        <w:tblPrEx>
          <w:tblCellMar>
            <w:top w:w="0" w:type="dxa"/>
            <w:left w:w="108" w:type="dxa"/>
            <w:bottom w:w="0" w:type="dxa"/>
            <w:right w:w="108" w:type="dxa"/>
          </w:tblCellMar>
        </w:tblPrEx>
        <w:trPr>
          <w:trHeight w:val="602"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资格证书</w:t>
            </w:r>
          </w:p>
        </w:tc>
        <w:tc>
          <w:tcPr>
            <w:tcW w:w="133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en-US" w:eastAsia="zh-CN"/>
                <w14:textFill>
                  <w14:solidFill>
                    <w14:schemeClr w14:val="tx1"/>
                  </w14:solidFill>
                </w14:textFill>
              </w:rPr>
              <w:t>3</w:t>
            </w:r>
            <w:r>
              <w:rPr>
                <w:rFonts w:hint="eastAsia" w:ascii="宋体" w:hAnsi="宋体" w:cstheme="minorEastAsia"/>
                <w:bCs/>
                <w:color w:val="000000" w:themeColor="text1"/>
                <w:sz w:val="24"/>
                <w:szCs w:val="24"/>
                <w14:textFill>
                  <w14:solidFill>
                    <w14:schemeClr w14:val="tx1"/>
                  </w14:solidFill>
                </w14:textFill>
              </w:rPr>
              <w:t>分</w:t>
            </w:r>
          </w:p>
        </w:tc>
        <w:tc>
          <w:tcPr>
            <w:tcW w:w="596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1、供应商或所投产品具有质量管理体系认证、环境管理体系认证、职业健康安全管理体系认证，每提供一个得1分，最高得3分，未提供证书不得分。</w:t>
            </w:r>
          </w:p>
          <w:p>
            <w:pPr>
              <w:pStyle w:val="9"/>
              <w:ind w:left="0" w:leftChars="0" w:firstLine="0" w:firstLineChars="0"/>
              <w:rPr>
                <w:rFonts w:ascii="宋体" w:hAnsi="宋体" w:cstheme="minorEastAsia"/>
                <w:bCs/>
                <w:color w:val="000000" w:themeColor="text1"/>
                <w:sz w:val="24"/>
                <w:szCs w:val="24"/>
                <w:lang w:val="zh-CN"/>
                <w14:textFill>
                  <w14:solidFill>
                    <w14:schemeClr w14:val="tx1"/>
                  </w14:solidFill>
                </w14:textFill>
              </w:rPr>
            </w:pPr>
          </w:p>
        </w:tc>
      </w:tr>
      <w:tr>
        <w:tblPrEx>
          <w:tblCellMar>
            <w:top w:w="0" w:type="dxa"/>
            <w:left w:w="108" w:type="dxa"/>
            <w:bottom w:w="0" w:type="dxa"/>
            <w:right w:w="108" w:type="dxa"/>
          </w:tblCellMar>
        </w:tblPrEx>
        <w:trPr>
          <w:trHeight w:val="7393" w:hRule="atLeast"/>
        </w:trPr>
        <w:tc>
          <w:tcPr>
            <w:tcW w:w="127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p>
        </w:tc>
        <w:tc>
          <w:tcPr>
            <w:tcW w:w="1627"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实施方案</w:t>
            </w:r>
          </w:p>
        </w:tc>
        <w:tc>
          <w:tcPr>
            <w:tcW w:w="133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40" w:firstLineChars="100"/>
              <w:jc w:val="left"/>
              <w:rPr>
                <w:rFonts w:ascii="宋体" w:hAnsi="宋体" w:cstheme="minorEastAsia"/>
                <w:bCs/>
                <w:color w:val="000000" w:themeColor="text1"/>
                <w:sz w:val="24"/>
                <w:szCs w:val="24"/>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20分</w:t>
            </w:r>
          </w:p>
        </w:tc>
        <w:tc>
          <w:tcPr>
            <w:tcW w:w="596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34"/>
              <w:ind w:firstLine="0" w:firstLineChars="0"/>
              <w:rPr>
                <w:rFonts w:ascii="宋体" w:hAnsi="宋体" w:cstheme="minorEastAsia"/>
                <w:bCs/>
                <w:color w:val="000000" w:themeColor="text1"/>
                <w:sz w:val="24"/>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1</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投标人针对本项目提供项目实施方案，实施方案科学合理、项目契合度高、响应情况</w:t>
            </w:r>
            <w:r>
              <w:rPr>
                <w:rFonts w:hint="eastAsia" w:ascii="宋体" w:hAnsi="宋体" w:cs="宋体"/>
                <w:color w:val="000000" w:themeColor="text1"/>
                <w:sz w:val="24"/>
                <w14:textFill>
                  <w14:solidFill>
                    <w14:schemeClr w14:val="tx1"/>
                  </w14:solidFill>
                </w14:textFill>
              </w:rPr>
              <w:t>高于或优于招标文件要求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分；实施方案科学合理、</w:t>
            </w:r>
            <w:r>
              <w:rPr>
                <w:rFonts w:hint="eastAsia" w:ascii="宋体" w:hAnsi="宋体" w:cs="宋体"/>
                <w:color w:val="000000" w:themeColor="text1"/>
                <w:sz w:val="24"/>
                <w14:textFill>
                  <w14:solidFill>
                    <w14:schemeClr w14:val="tx1"/>
                  </w14:solidFill>
                </w14:textFill>
              </w:rPr>
              <w:t>响应招标文件要求</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分；实施方案简单粗略的得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pStyle w:val="34"/>
              <w:ind w:firstLine="0" w:firstLineChars="0"/>
              <w:rPr>
                <w:rFonts w:ascii="宋体" w:hAnsi="宋体"/>
                <w:color w:val="000000" w:themeColor="text1"/>
                <w14:textFill>
                  <w14:solidFill>
                    <w14:schemeClr w14:val="tx1"/>
                  </w14:solidFill>
                </w14:textFill>
              </w:rPr>
            </w:pP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theme="minorEastAsia"/>
                <w:bCs/>
                <w:color w:val="000000" w:themeColor="text1"/>
                <w:sz w:val="24"/>
                <w14:textFill>
                  <w14:solidFill>
                    <w14:schemeClr w14:val="tx1"/>
                  </w14:solidFill>
                </w14:textFill>
              </w:rPr>
              <w:t>2</w:t>
            </w:r>
            <w:r>
              <w:rPr>
                <w:rFonts w:hint="eastAsia" w:ascii="宋体" w:hAnsi="宋体" w:cstheme="minorEastAsia"/>
                <w:bCs/>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计划投入到本项目设备安装、调试等专业技术服务人员的计划情况等方面综合评比。安装、调试合理，契合度</w:t>
            </w:r>
            <w:r>
              <w:rPr>
                <w:rFonts w:hint="eastAsia" w:ascii="宋体" w:hAnsi="宋体" w:cs="宋体"/>
                <w:color w:val="000000" w:themeColor="text1"/>
                <w:sz w:val="24"/>
                <w14:textFill>
                  <w14:solidFill>
                    <w14:schemeClr w14:val="tx1"/>
                  </w14:solidFill>
                </w14:textFill>
              </w:rPr>
              <w:t>高</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zh-CN"/>
                <w14:textFill>
                  <w14:solidFill>
                    <w14:schemeClr w14:val="tx1"/>
                  </w14:solidFill>
                </w14:textFill>
              </w:rPr>
              <w:t>分；安装、调试</w:t>
            </w:r>
            <w:r>
              <w:rPr>
                <w:rFonts w:hint="eastAsia" w:ascii="宋体" w:hAnsi="宋体" w:cs="宋体"/>
                <w:color w:val="000000" w:themeColor="text1"/>
                <w:sz w:val="24"/>
                <w14:textFill>
                  <w14:solidFill>
                    <w14:schemeClr w14:val="tx1"/>
                  </w14:solidFill>
                </w14:textFill>
              </w:rPr>
              <w:t>完整</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分；设备安装</w:t>
            </w:r>
            <w:r>
              <w:rPr>
                <w:rFonts w:hint="eastAsia" w:ascii="宋体" w:hAnsi="宋体" w:cs="宋体"/>
                <w:color w:val="000000" w:themeColor="text1"/>
                <w:sz w:val="24"/>
                <w14:textFill>
                  <w14:solidFill>
                    <w14:schemeClr w14:val="tx1"/>
                  </w14:solidFill>
                </w14:textFill>
              </w:rPr>
              <w:t>简单粗略</w:t>
            </w:r>
            <w:r>
              <w:rPr>
                <w:rFonts w:hint="eastAsia" w:ascii="宋体" w:hAnsi="宋体" w:cs="宋体"/>
                <w:color w:val="000000" w:themeColor="text1"/>
                <w:sz w:val="24"/>
                <w:lang w:val="zh-CN"/>
                <w14:textFill>
                  <w14:solidFill>
                    <w14:schemeClr w14:val="tx1"/>
                  </w14:solidFill>
                </w14:textFill>
              </w:rPr>
              <w:t>的得</w:t>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分，未提供的不得分；</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3）设置了项目管理机构，并且有科学、具体的项目管理措施，能够结合项目特点制定实施方案的得5分；设置了项目管理机构和项目管理措施，但未针对本项目特点制定实施方案的得3分；设置了简单粗略的项目管理机构的得1分；未提供或其他情况的不得分</w:t>
            </w:r>
            <w:r>
              <w:rPr>
                <w:rFonts w:hint="eastAsia" w:ascii="宋体" w:hAnsi="宋体" w:cstheme="minorEastAsia"/>
                <w:bCs/>
                <w:color w:val="000000" w:themeColor="text1"/>
                <w:sz w:val="24"/>
                <w:szCs w:val="24"/>
                <w:lang w:val="zh-CN"/>
                <w14:textFill>
                  <w14:solidFill>
                    <w14:schemeClr w14:val="tx1"/>
                  </w14:solidFill>
                </w14:textFill>
              </w:rPr>
              <w:t>；</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4）交货期进度计划及保证措施：交货进度可行、合理，保证措施计划编制全面、科学的得5分；交货进度可行，简单的保证措施计划编制的得3分；交货进度描述简单粗略，但无保证措施的得1分；未提供的不得分。</w:t>
            </w:r>
          </w:p>
        </w:tc>
      </w:tr>
      <w:tr>
        <w:tblPrEx>
          <w:tblCellMar>
            <w:top w:w="0" w:type="dxa"/>
            <w:left w:w="108" w:type="dxa"/>
            <w:bottom w:w="0" w:type="dxa"/>
            <w:right w:w="108" w:type="dxa"/>
          </w:tblCellMar>
        </w:tblPrEx>
        <w:trPr>
          <w:trHeight w:val="2840" w:hRule="atLeast"/>
        </w:trPr>
        <w:tc>
          <w:tcPr>
            <w:tcW w:w="127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p>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w:t>
            </w:r>
            <w:r>
              <w:rPr>
                <w:rFonts w:hint="eastAsia" w:ascii="宋体" w:hAnsi="宋体" w:cstheme="minorEastAsia"/>
                <w:bCs/>
                <w:color w:val="000000" w:themeColor="text1"/>
                <w:sz w:val="24"/>
                <w:szCs w:val="24"/>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w:t>
            </w:r>
          </w:p>
        </w:tc>
        <w:tc>
          <w:tcPr>
            <w:tcW w:w="1627" w:type="dxa"/>
            <w:tcBorders>
              <w:top w:val="single" w:color="auto" w:sz="4" w:space="0"/>
              <w:left w:val="single" w:color="auto" w:sz="4"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lang w:val="zh-CN"/>
                <w14:textFill>
                  <w14:solidFill>
                    <w14:schemeClr w14:val="tx1"/>
                  </w14:solidFill>
                </w14:textFill>
              </w:rPr>
              <w:t>售后服务</w:t>
            </w:r>
            <w:r>
              <w:rPr>
                <w:rFonts w:hint="eastAsia" w:ascii="宋体" w:hAnsi="宋体" w:cstheme="minorEastAsia"/>
                <w:bCs/>
                <w:color w:val="000000" w:themeColor="text1"/>
                <w:sz w:val="24"/>
                <w:szCs w:val="24"/>
                <w:lang w:val="en-US" w:eastAsia="zh-CN"/>
                <w14:textFill>
                  <w14:solidFill>
                    <w14:schemeClr w14:val="tx1"/>
                  </w14:solidFill>
                </w14:textFill>
              </w:rPr>
              <w:t>计</w:t>
            </w:r>
            <w:r>
              <w:rPr>
                <w:rFonts w:hint="eastAsia" w:ascii="宋体" w:hAnsi="宋体" w:cstheme="minorEastAsia"/>
                <w:bCs/>
                <w:color w:val="000000" w:themeColor="text1"/>
                <w:sz w:val="24"/>
                <w:szCs w:val="24"/>
                <w14:textFill>
                  <w14:solidFill>
                    <w14:schemeClr w14:val="tx1"/>
                  </w14:solidFill>
                </w14:textFill>
              </w:rPr>
              <w:t>划</w:t>
            </w:r>
            <w:r>
              <w:rPr>
                <w:rFonts w:hint="eastAsia" w:ascii="宋体" w:hAnsi="宋体" w:cstheme="minorEastAsia"/>
                <w:bCs/>
                <w:color w:val="000000" w:themeColor="text1"/>
                <w:sz w:val="24"/>
                <w:szCs w:val="24"/>
                <w:lang w:val="zh-CN"/>
                <w14:textFill>
                  <w14:solidFill>
                    <w14:schemeClr w14:val="tx1"/>
                  </w14:solidFill>
                </w14:textFill>
              </w:rPr>
              <w:t>、措施及服务承诺</w:t>
            </w:r>
          </w:p>
        </w:tc>
        <w:tc>
          <w:tcPr>
            <w:tcW w:w="1338"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240" w:firstLineChars="10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10</w:t>
            </w:r>
            <w:r>
              <w:rPr>
                <w:rFonts w:hint="eastAsia" w:ascii="宋体" w:hAnsi="宋体" w:cstheme="minorEastAsia"/>
                <w:bCs/>
                <w:color w:val="000000" w:themeColor="text1"/>
                <w:sz w:val="24"/>
                <w:szCs w:val="24"/>
                <w:lang w:val="zh-CN"/>
                <w14:textFill>
                  <w14:solidFill>
                    <w14:schemeClr w14:val="tx1"/>
                  </w14:solidFill>
                </w14:textFill>
              </w:rPr>
              <w:t>分</w:t>
            </w:r>
          </w:p>
        </w:tc>
        <w:tc>
          <w:tcPr>
            <w:tcW w:w="5965" w:type="dxa"/>
            <w:tcBorders>
              <w:top w:val="single" w:color="auto" w:sz="4" w:space="0"/>
              <w:left w:val="single" w:color="000000" w:sz="6" w:space="0"/>
              <w:bottom w:val="single" w:color="auto" w:sz="4" w:space="0"/>
              <w:right w:val="single" w:color="000000" w:sz="6" w:space="0"/>
            </w:tcBorders>
            <w:shd w:val="clear" w:color="000000" w:fill="FFFFFF"/>
            <w:vAlign w:val="center"/>
          </w:tcPr>
          <w:p>
            <w:pPr>
              <w:ind w:firstLine="0" w:firstLineChars="0"/>
              <w:jc w:val="left"/>
              <w:rPr>
                <w:rFonts w:ascii="宋体" w:hAnsi="宋体" w:cstheme="minorEastAsia"/>
                <w:bCs/>
                <w:color w:val="000000" w:themeColor="text1"/>
                <w:sz w:val="24"/>
                <w:szCs w:val="24"/>
                <w:lang w:val="zh-CN"/>
                <w14:textFill>
                  <w14:solidFill>
                    <w14:schemeClr w14:val="tx1"/>
                  </w14:solidFill>
                </w14:textFill>
              </w:rPr>
            </w:pPr>
            <w:r>
              <w:rPr>
                <w:rFonts w:hint="eastAsia" w:ascii="宋体" w:hAnsi="宋体" w:cstheme="minorEastAsia"/>
                <w:bCs/>
                <w:color w:val="000000" w:themeColor="text1"/>
                <w:sz w:val="24"/>
                <w:szCs w:val="24"/>
                <w14:textFill>
                  <w14:solidFill>
                    <w14:schemeClr w14:val="tx1"/>
                  </w14:solidFill>
                </w14:textFill>
              </w:rPr>
              <w:t>针对该项目有详尽的组织配送、验收、售后等方面的服务能力、措施及相关承诺，全面、详细、可行的得10分；服务能力、措施及相关承诺详细、可行的得7分；服务能力、措施及相关承诺可行，但不全面的得4分；服务能力、措施及相关承诺仅能</w:t>
            </w:r>
            <w:r>
              <w:rPr>
                <w:rFonts w:hint="eastAsia" w:ascii="宋体" w:hAnsi="宋体" w:cstheme="minorEastAsia"/>
                <w:bCs/>
                <w:color w:val="000000" w:themeColor="text1"/>
                <w:sz w:val="24"/>
                <w:szCs w:val="24"/>
                <w:lang w:val="zh-CN"/>
                <w14:textFill>
                  <w14:solidFill>
                    <w14:schemeClr w14:val="tx1"/>
                  </w14:solidFill>
                </w14:textFill>
              </w:rPr>
              <w:t>满足招标文件要求</w:t>
            </w:r>
            <w:r>
              <w:rPr>
                <w:rFonts w:hint="eastAsia" w:ascii="宋体" w:hAnsi="宋体" w:cstheme="minorEastAsia"/>
                <w:bCs/>
                <w:color w:val="000000" w:themeColor="text1"/>
                <w:sz w:val="24"/>
                <w:szCs w:val="24"/>
                <w14:textFill>
                  <w14:solidFill>
                    <w14:schemeClr w14:val="tx1"/>
                  </w14:solidFill>
                </w14:textFill>
              </w:rPr>
              <w:t>的得1分；未提供的不得分。</w:t>
            </w:r>
          </w:p>
        </w:tc>
      </w:tr>
    </w:tbl>
    <w:p>
      <w:pPr>
        <w:pStyle w:val="8"/>
        <w:ind w:firstLine="420"/>
        <w:rPr>
          <w:color w:val="000000" w:themeColor="text1"/>
          <w:lang w:val="zh-CN"/>
          <w14:textFill>
            <w14:solidFill>
              <w14:schemeClr w14:val="tx1"/>
            </w14:solidFill>
          </w14:textFill>
        </w:rPr>
      </w:pP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67" w:name="_Toc376936756"/>
      <w:bookmarkStart w:id="268" w:name="_Toc325726025"/>
      <w:bookmarkStart w:id="269" w:name="_Toc2506"/>
      <w:bookmarkStart w:id="270" w:name="_Toc6689"/>
      <w:bookmarkStart w:id="271" w:name="_Toc13745_WPSOffice_Level2"/>
      <w:bookmarkStart w:id="272" w:name="_Toc464136635"/>
      <w:bookmarkStart w:id="273" w:name="_Toc20274_WPSOffice_Level2"/>
      <w:bookmarkStart w:id="274" w:name="_Toc16658"/>
      <w:r>
        <w:rPr>
          <w:rFonts w:hint="eastAsia" w:ascii="宋体" w:hAnsi="宋体" w:cs="宋体"/>
          <w:b/>
          <w:bCs/>
          <w:color w:val="000000" w:themeColor="text1"/>
          <w:sz w:val="32"/>
          <w:szCs w:val="32"/>
          <w14:textFill>
            <w14:solidFill>
              <w14:schemeClr w14:val="tx1"/>
            </w14:solidFill>
          </w14:textFill>
        </w:rPr>
        <w:t>七、</w:t>
      </w:r>
      <w:bookmarkEnd w:id="267"/>
      <w:bookmarkEnd w:id="268"/>
      <w:r>
        <w:rPr>
          <w:rFonts w:hint="eastAsia" w:ascii="宋体" w:hAnsi="宋体" w:cs="宋体"/>
          <w:b/>
          <w:bCs/>
          <w:color w:val="000000" w:themeColor="text1"/>
          <w:sz w:val="32"/>
          <w:szCs w:val="32"/>
          <w14:textFill>
            <w14:solidFill>
              <w14:schemeClr w14:val="tx1"/>
            </w14:solidFill>
          </w14:textFill>
        </w:rPr>
        <w:t>确定成交供应商</w:t>
      </w:r>
      <w:bookmarkEnd w:id="269"/>
      <w:bookmarkEnd w:id="270"/>
      <w:bookmarkEnd w:id="271"/>
      <w:bookmarkEnd w:id="272"/>
      <w:bookmarkEnd w:id="273"/>
      <w:bookmarkEnd w:id="274"/>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75" w:name="_Toc325726026"/>
      <w:bookmarkStart w:id="276" w:name="_Toc376936757"/>
      <w:bookmarkStart w:id="277" w:name="_Toc464136636"/>
      <w:bookmarkStart w:id="278" w:name="_Toc28889"/>
      <w:bookmarkStart w:id="279" w:name="_Toc6112"/>
      <w:bookmarkStart w:id="280" w:name="_Toc17038"/>
      <w:bookmarkStart w:id="281" w:name="_Toc23355"/>
      <w:bookmarkStart w:id="282" w:name="_Toc2999"/>
      <w:r>
        <w:rPr>
          <w:rFonts w:ascii="宋体" w:hAnsi="宋体" w:cs="宋体"/>
          <w:color w:val="000000" w:themeColor="text1"/>
          <w:sz w:val="24"/>
          <w:szCs w:val="24"/>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t>推荐并确定成交</w:t>
      </w:r>
      <w:bookmarkEnd w:id="275"/>
      <w:bookmarkEnd w:id="276"/>
      <w:r>
        <w:rPr>
          <w:rFonts w:hint="eastAsia" w:ascii="宋体" w:hAnsi="宋体" w:cs="宋体"/>
          <w:color w:val="000000" w:themeColor="text1"/>
          <w:sz w:val="24"/>
          <w:szCs w:val="24"/>
          <w14:textFill>
            <w14:solidFill>
              <w14:schemeClr w14:val="tx1"/>
            </w14:solidFill>
          </w14:textFill>
        </w:rPr>
        <w:t>供应商</w:t>
      </w:r>
      <w:bookmarkEnd w:id="277"/>
      <w:bookmarkEnd w:id="278"/>
      <w:bookmarkEnd w:id="279"/>
      <w:bookmarkEnd w:id="280"/>
      <w:bookmarkEnd w:id="281"/>
      <w:bookmarkEnd w:id="282"/>
    </w:p>
    <w:p>
      <w:pPr>
        <w:spacing w:line="360" w:lineRule="auto"/>
        <w:ind w:firstLine="48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采购代理机构应当在评审结束后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个工作日内将评审报告送采购人确认。采购人应当在收到评审报告后</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83" w:name="_Toc2346"/>
      <w:bookmarkStart w:id="284" w:name="_Toc325726028"/>
      <w:bookmarkStart w:id="285" w:name="_Toc376936759"/>
      <w:bookmarkStart w:id="286" w:name="_Toc27670"/>
      <w:bookmarkStart w:id="287" w:name="_Toc20323"/>
      <w:bookmarkStart w:id="288" w:name="_Toc2963"/>
      <w:bookmarkStart w:id="289" w:name="_Toc22492"/>
      <w:bookmarkStart w:id="290" w:name="_Toc464136637"/>
      <w:bookmarkStart w:id="291" w:name="_Toc325726027"/>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成交通知</w:t>
      </w:r>
      <w:bookmarkEnd w:id="283"/>
      <w:bookmarkEnd w:id="284"/>
      <w:bookmarkEnd w:id="285"/>
      <w:bookmarkEnd w:id="286"/>
      <w:bookmarkEnd w:id="287"/>
      <w:bookmarkEnd w:id="288"/>
      <w:bookmarkEnd w:id="289"/>
      <w:bookmarkEnd w:id="290"/>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14:textFill>
            <w14:solidFill>
              <w14:schemeClr w14:val="tx1"/>
            </w14:solidFill>
          </w14:textFill>
        </w:rPr>
        <w:t>采购人或者采购代理机构应当在成交供应商确定后</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个工作日内，在发布磋商公告的网站（青海政府采购网）上公告成交结果，同时向成交供应商发出成交通知书。</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14:textFill>
            <w14:solidFill>
              <w14:schemeClr w14:val="tx1"/>
            </w14:solidFill>
          </w14:textFill>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292" w:name="_Toc5556"/>
      <w:bookmarkStart w:id="293" w:name="_Toc18063"/>
      <w:bookmarkStart w:id="294" w:name="_Toc30719"/>
      <w:bookmarkStart w:id="295" w:name="_Toc376936758"/>
      <w:bookmarkStart w:id="296" w:name="_Toc4119_WPSOffice_Level2"/>
      <w:bookmarkStart w:id="297" w:name="_Toc32739_WPSOffice_Level2"/>
      <w:bookmarkStart w:id="298" w:name="_Toc464136638"/>
      <w:r>
        <w:rPr>
          <w:rFonts w:hint="eastAsia" w:ascii="宋体" w:hAnsi="宋体" w:cs="宋体"/>
          <w:b/>
          <w:bCs/>
          <w:color w:val="000000" w:themeColor="text1"/>
          <w:sz w:val="32"/>
          <w:szCs w:val="32"/>
          <w14:textFill>
            <w14:solidFill>
              <w14:schemeClr w14:val="tx1"/>
            </w14:solidFill>
          </w14:textFill>
        </w:rPr>
        <w:t>八、授予合同</w:t>
      </w:r>
      <w:bookmarkEnd w:id="291"/>
      <w:bookmarkEnd w:id="292"/>
      <w:bookmarkEnd w:id="293"/>
      <w:bookmarkEnd w:id="294"/>
      <w:bookmarkEnd w:id="295"/>
      <w:bookmarkEnd w:id="296"/>
      <w:bookmarkEnd w:id="297"/>
      <w:bookmarkEnd w:id="298"/>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299" w:name="_Toc3745"/>
      <w:bookmarkStart w:id="300" w:name="_Toc464136639"/>
      <w:bookmarkStart w:id="301" w:name="_Toc28394"/>
      <w:bookmarkStart w:id="302" w:name="_Toc376936760"/>
      <w:bookmarkStart w:id="303" w:name="_Toc30567"/>
      <w:bookmarkStart w:id="304" w:name="_Toc921"/>
      <w:bookmarkStart w:id="305" w:name="_Toc14864"/>
      <w:bookmarkStart w:id="306" w:name="_Toc325726029"/>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签订合同</w:t>
      </w:r>
      <w:bookmarkEnd w:id="299"/>
      <w:bookmarkEnd w:id="300"/>
      <w:bookmarkEnd w:id="301"/>
      <w:bookmarkEnd w:id="302"/>
      <w:bookmarkEnd w:id="303"/>
      <w:bookmarkEnd w:id="304"/>
      <w:bookmarkEnd w:id="305"/>
      <w:bookmarkEnd w:id="306"/>
    </w:p>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bookmarkStart w:id="307" w:name="_Toc376936761"/>
      <w:bookmarkStart w:id="308" w:name="_Toc325726030"/>
      <w:r>
        <w:rPr>
          <w:rFonts w:ascii="宋体" w:hAnsi="宋体" w:cs="宋体"/>
          <w:color w:val="000000" w:themeColor="text1"/>
          <w:sz w:val="24"/>
          <w:szCs w:val="24"/>
          <w14:textFill>
            <w14:solidFill>
              <w14:schemeClr w14:val="tx1"/>
            </w14:solidFill>
          </w14:textFill>
        </w:rPr>
        <w:t>21.1</w:t>
      </w:r>
      <w:r>
        <w:rPr>
          <w:rFonts w:hint="eastAsia" w:ascii="宋体" w:hAnsi="宋体" w:cs="宋体"/>
          <w:color w:val="000000" w:themeColor="text1"/>
          <w:sz w:val="24"/>
          <w:szCs w:val="24"/>
          <w14:textFill>
            <w14:solidFill>
              <w14:schemeClr w14:val="tx1"/>
            </w14:solidFill>
          </w14:textFill>
        </w:rPr>
        <w:t>采购人与成交供应商应当在成交通知书发出之日起</w:t>
      </w: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日内，按照磋商文件确定的合同文本以及采购标的、规格型号、采购金额、采购数量、技术和服务要求等事项签订政府采购合同。</w:t>
      </w:r>
    </w:p>
    <w:p>
      <w:pPr>
        <w:spacing w:line="360" w:lineRule="auto"/>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21.2签订合同时，供应商应当以支票、汇票、本票等非现金形式缴纳成交总金额</w:t>
      </w:r>
      <w:r>
        <w:rPr>
          <w:rFonts w:hint="eastAsia" w:ascii="宋体" w:hAnsi="宋体"/>
          <w:b/>
          <w:color w:val="000000" w:themeColor="text1"/>
          <w:sz w:val="24"/>
          <w:szCs w:val="24"/>
          <w:u w:val="single"/>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的履约保证金到采购人指定的账户。（履约保证金可转为质保金）</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309" w:name="_Toc464136640"/>
      <w:bookmarkStart w:id="310" w:name="_Toc16046_WPSOffice_Level2"/>
      <w:bookmarkStart w:id="311" w:name="_Toc12758_WPSOffice_Level2"/>
      <w:bookmarkStart w:id="312" w:name="_Toc22442"/>
      <w:bookmarkStart w:id="313" w:name="_Toc6616"/>
      <w:bookmarkStart w:id="314" w:name="_Toc896"/>
      <w:r>
        <w:rPr>
          <w:rFonts w:hint="eastAsia" w:ascii="宋体" w:hAnsi="宋体" w:cs="宋体"/>
          <w:b/>
          <w:bCs/>
          <w:color w:val="000000" w:themeColor="text1"/>
          <w:sz w:val="32"/>
          <w:szCs w:val="32"/>
          <w14:textFill>
            <w14:solidFill>
              <w14:schemeClr w14:val="tx1"/>
            </w14:solidFill>
          </w14:textFill>
        </w:rPr>
        <w:t>九、</w:t>
      </w:r>
      <w:bookmarkEnd w:id="307"/>
      <w:bookmarkEnd w:id="308"/>
      <w:r>
        <w:rPr>
          <w:rFonts w:hint="eastAsia" w:ascii="宋体" w:hAnsi="宋体" w:cs="宋体"/>
          <w:b/>
          <w:bCs/>
          <w:color w:val="000000" w:themeColor="text1"/>
          <w:sz w:val="32"/>
          <w:szCs w:val="32"/>
          <w14:textFill>
            <w14:solidFill>
              <w14:schemeClr w14:val="tx1"/>
            </w14:solidFill>
          </w14:textFill>
        </w:rPr>
        <w:t>磋商活动终止</w:t>
      </w:r>
      <w:bookmarkEnd w:id="309"/>
      <w:bookmarkEnd w:id="310"/>
      <w:bookmarkEnd w:id="311"/>
      <w:bookmarkEnd w:id="312"/>
      <w:bookmarkEnd w:id="313"/>
      <w:bookmarkEnd w:id="314"/>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315" w:name="_Toc464136641"/>
      <w:bookmarkStart w:id="316" w:name="_Toc7587"/>
      <w:bookmarkStart w:id="317" w:name="_Toc11684"/>
      <w:bookmarkStart w:id="318" w:name="_Toc8741"/>
      <w:bookmarkStart w:id="319" w:name="_Toc1034"/>
      <w:bookmarkStart w:id="320" w:name="_Toc7098"/>
      <w:bookmarkStart w:id="321" w:name="_Toc325726031"/>
      <w:bookmarkStart w:id="322" w:name="_Toc376936762"/>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终止情形</w:t>
      </w:r>
      <w:bookmarkEnd w:id="315"/>
      <w:bookmarkEnd w:id="316"/>
      <w:bookmarkEnd w:id="317"/>
      <w:bookmarkEnd w:id="318"/>
      <w:bookmarkEnd w:id="319"/>
      <w:bookmarkEnd w:id="320"/>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bookmarkEnd w:id="321"/>
      <w:bookmarkEnd w:id="322"/>
      <w:r>
        <w:rPr>
          <w:rFonts w:hint="eastAsia" w:ascii="宋体" w:hAnsi="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）因情况变化，不再符合规定的竞争性磋商采购方式适用情形的；</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）出现影响采购公正的违法、违规行为的；</w:t>
      </w:r>
    </w:p>
    <w:p>
      <w:pPr>
        <w:spacing w:line="360" w:lineRule="auto"/>
        <w:ind w:firstLine="0" w:firstLineChars="0"/>
        <w:jc w:val="left"/>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）除《政府采购竞争性磋商采购方式管理暂行办法》第二十一条第三款规定的情形外，在采购过程中符合要求的供应商或者作出实质性响应的供应商不足</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家的。</w:t>
      </w:r>
    </w:p>
    <w:p>
      <w:pPr>
        <w:spacing w:line="360" w:lineRule="auto"/>
        <w:ind w:firstLine="0" w:firstLineChars="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14:textFill>
            <w14:solidFill>
              <w14:schemeClr w14:val="tx1"/>
            </w14:solidFill>
          </w14:textFill>
        </w:rPr>
        <w:t>终止磋商活动后，由采购代理机构发布终止公告并说明原因。</w:t>
      </w:r>
      <w:bookmarkStart w:id="323" w:name="_Toc325726032"/>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324" w:name="_Toc26752"/>
      <w:bookmarkStart w:id="325" w:name="_Toc2480_WPSOffice_Level2"/>
      <w:bookmarkStart w:id="326" w:name="_Toc376936763"/>
      <w:bookmarkStart w:id="327" w:name="_Toc464136642"/>
      <w:bookmarkStart w:id="328" w:name="_Toc6646"/>
      <w:bookmarkStart w:id="329" w:name="_Toc9958_WPSOffice_Level2"/>
      <w:bookmarkStart w:id="330" w:name="_Toc27950"/>
      <w:r>
        <w:rPr>
          <w:rFonts w:hint="eastAsia" w:ascii="宋体" w:hAnsi="宋体" w:cs="宋体"/>
          <w:b/>
          <w:bCs/>
          <w:color w:val="000000" w:themeColor="text1"/>
          <w:sz w:val="32"/>
          <w:szCs w:val="32"/>
          <w14:textFill>
            <w14:solidFill>
              <w14:schemeClr w14:val="tx1"/>
            </w14:solidFill>
          </w14:textFill>
        </w:rPr>
        <w:t>十、处罚</w:t>
      </w:r>
      <w:bookmarkEnd w:id="323"/>
      <w:bookmarkEnd w:id="324"/>
      <w:bookmarkEnd w:id="325"/>
      <w:bookmarkEnd w:id="326"/>
      <w:bookmarkEnd w:id="327"/>
      <w:bookmarkEnd w:id="328"/>
      <w:bookmarkEnd w:id="329"/>
      <w:bookmarkEnd w:id="330"/>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331" w:name="_Toc376936764"/>
      <w:bookmarkStart w:id="332" w:name="_Toc9983"/>
      <w:bookmarkStart w:id="333" w:name="_Toc28018"/>
      <w:bookmarkStart w:id="334" w:name="_Toc25546"/>
      <w:bookmarkStart w:id="335" w:name="_Toc17567"/>
      <w:bookmarkStart w:id="336" w:name="_Toc21229"/>
      <w:bookmarkStart w:id="337" w:name="_Toc464136643"/>
      <w:bookmarkStart w:id="338" w:name="_Toc325726033"/>
      <w:r>
        <w:rPr>
          <w:rFonts w:ascii="宋体" w:hAnsi="宋体" w:cs="宋体"/>
          <w:color w:val="000000" w:themeColor="text1"/>
          <w:sz w:val="24"/>
          <w:szCs w:val="24"/>
          <w14:textFill>
            <w14:solidFill>
              <w14:schemeClr w14:val="tx1"/>
            </w14:solidFill>
          </w14:textFill>
        </w:rPr>
        <w:t>23.</w:t>
      </w:r>
      <w:r>
        <w:rPr>
          <w:rFonts w:hint="eastAsia" w:ascii="宋体" w:hAnsi="宋体" w:cs="宋体"/>
          <w:color w:val="000000" w:themeColor="text1"/>
          <w:sz w:val="24"/>
          <w:szCs w:val="24"/>
          <w14:textFill>
            <w14:solidFill>
              <w14:schemeClr w14:val="tx1"/>
            </w14:solidFill>
          </w14:textFill>
        </w:rPr>
        <w:t>处罚情形</w:t>
      </w:r>
      <w:bookmarkEnd w:id="331"/>
      <w:bookmarkEnd w:id="332"/>
      <w:bookmarkEnd w:id="333"/>
      <w:bookmarkEnd w:id="334"/>
      <w:bookmarkEnd w:id="335"/>
      <w:bookmarkEnd w:id="336"/>
      <w:bookmarkEnd w:id="337"/>
      <w:bookmarkEnd w:id="338"/>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）提供虚假材料谋取成交、成交的；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）采取不正当手段诋毁、排挤其他供应商的；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）与采购人、其他供应商或者采购代理机构恶意串通的；</w:t>
      </w:r>
    </w:p>
    <w:p>
      <w:pPr>
        <w:autoSpaceDE w:val="0"/>
        <w:autoSpaceDN w:val="0"/>
        <w:spacing w:line="360" w:lineRule="auto"/>
        <w:ind w:firstLine="0" w:firstLineChars="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）向采购人、采购代理机构行贿或者提供其他不正当利益的；</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）向磋商小组行贿或者提供其他不正当利益。</w:t>
      </w:r>
    </w:p>
    <w:p>
      <w:pPr>
        <w:widowControl/>
        <w:spacing w:line="360" w:lineRule="auto"/>
        <w:ind w:firstLine="0" w:firstLineChars="0"/>
        <w:jc w:val="center"/>
        <w:outlineLvl w:val="1"/>
        <w:rPr>
          <w:rFonts w:ascii="宋体" w:hAnsi="宋体" w:cs="宋体"/>
          <w:b/>
          <w:bCs/>
          <w:color w:val="000000" w:themeColor="text1"/>
          <w:sz w:val="32"/>
          <w:szCs w:val="32"/>
          <w14:textFill>
            <w14:solidFill>
              <w14:schemeClr w14:val="tx1"/>
            </w14:solidFill>
          </w14:textFill>
        </w:rPr>
      </w:pPr>
      <w:bookmarkStart w:id="339" w:name="_Toc19538"/>
      <w:bookmarkStart w:id="340" w:name="_Toc6928_WPSOffice_Level2"/>
      <w:bookmarkStart w:id="341" w:name="_Toc376936765"/>
      <w:bookmarkStart w:id="342" w:name="_Toc12005_WPSOffice_Level2"/>
      <w:bookmarkStart w:id="343" w:name="_Toc16406"/>
      <w:bookmarkStart w:id="344" w:name="_Toc2414"/>
      <w:bookmarkStart w:id="345" w:name="_Toc464136644"/>
      <w:bookmarkStart w:id="346" w:name="_Toc325726034"/>
      <w:r>
        <w:rPr>
          <w:rFonts w:hint="eastAsia" w:ascii="宋体" w:hAnsi="宋体" w:cs="宋体"/>
          <w:b/>
          <w:bCs/>
          <w:color w:val="000000" w:themeColor="text1"/>
          <w:sz w:val="32"/>
          <w:szCs w:val="32"/>
          <w14:textFill>
            <w14:solidFill>
              <w14:schemeClr w14:val="tx1"/>
            </w14:solidFill>
          </w14:textFill>
        </w:rPr>
        <w:t>十一、其他</w:t>
      </w:r>
      <w:bookmarkEnd w:id="339"/>
      <w:bookmarkEnd w:id="340"/>
      <w:bookmarkEnd w:id="341"/>
      <w:bookmarkEnd w:id="342"/>
      <w:bookmarkEnd w:id="343"/>
      <w:bookmarkEnd w:id="344"/>
      <w:bookmarkEnd w:id="345"/>
      <w:bookmarkEnd w:id="346"/>
    </w:p>
    <w:p>
      <w:pPr>
        <w:wordWrap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其他未尽事宜，按照《中华人民共和国政府采购法》、《中华人民共和国合同法》、《中华人民共和国政府采购法实施条例》、《政府采购竞争性磋商采购方式管理暂行办法》等法律法规的有关条款执行。</w:t>
      </w:r>
    </w:p>
    <w:p>
      <w:pPr>
        <w:ind w:firstLine="723"/>
        <w:rPr>
          <w:rFonts w:ascii="宋体" w:hAnsi="宋体" w:cs="宋体"/>
          <w:b/>
          <w:bCs/>
          <w:color w:val="000000" w:themeColor="text1"/>
          <w:kern w:val="28"/>
          <w:sz w:val="36"/>
          <w:szCs w:val="36"/>
          <w14:textFill>
            <w14:solidFill>
              <w14:schemeClr w14:val="tx1"/>
            </w14:solidFill>
          </w14:textFill>
        </w:rPr>
      </w:pPr>
      <w:bookmarkStart w:id="347" w:name="_Toc8770_WPSOffice_Level1"/>
      <w:bookmarkStart w:id="348" w:name="_Toc464136645"/>
      <w:bookmarkStart w:id="349" w:name="_Toc3332"/>
      <w:bookmarkStart w:id="350" w:name="_Toc2837_WPSOffice_Level1"/>
      <w:r>
        <w:rPr>
          <w:rFonts w:hint="eastAsia" w:ascii="宋体" w:hAnsi="宋体" w:cs="宋体"/>
          <w:b/>
          <w:bCs/>
          <w:color w:val="000000" w:themeColor="text1"/>
          <w:kern w:val="28"/>
          <w:sz w:val="36"/>
          <w:szCs w:val="36"/>
          <w14:textFill>
            <w14:solidFill>
              <w14:schemeClr w14:val="tx1"/>
            </w14:solidFill>
          </w14:textFill>
        </w:rPr>
        <w:br w:type="page"/>
      </w:r>
    </w:p>
    <w:p>
      <w:pPr>
        <w:pStyle w:val="34"/>
        <w:ind w:firstLine="420"/>
        <w:rPr>
          <w:color w:val="000000" w:themeColor="text1"/>
          <w14:textFill>
            <w14:solidFill>
              <w14:schemeClr w14:val="tx1"/>
            </w14:solidFill>
          </w14:textFill>
        </w:rPr>
      </w:pPr>
    </w:p>
    <w:p>
      <w:pPr>
        <w:keepNext/>
        <w:keepLines/>
        <w:widowControl/>
        <w:snapToGrid w:val="0"/>
        <w:spacing w:line="240" w:lineRule="auto"/>
        <w:ind w:firstLine="1807" w:firstLineChars="500"/>
        <w:outlineLvl w:val="0"/>
        <w:rPr>
          <w:rFonts w:ascii="宋体" w:cs="Times New Roman"/>
          <w:color w:val="000000" w:themeColor="text1"/>
          <w:sz w:val="24"/>
          <w:szCs w:val="24"/>
          <w14:textFill>
            <w14:solidFill>
              <w14:schemeClr w14:val="tx1"/>
            </w14:solidFill>
          </w14:textFill>
        </w:rPr>
      </w:pPr>
      <w:bookmarkStart w:id="351" w:name="_Toc32571"/>
      <w:r>
        <w:rPr>
          <w:rFonts w:hint="eastAsia" w:ascii="宋体" w:hAnsi="宋体" w:cs="宋体"/>
          <w:b/>
          <w:bCs/>
          <w:color w:val="000000" w:themeColor="text1"/>
          <w:kern w:val="28"/>
          <w:sz w:val="36"/>
          <w:szCs w:val="36"/>
          <w14:textFill>
            <w14:solidFill>
              <w14:schemeClr w14:val="tx1"/>
            </w14:solidFill>
          </w14:textFill>
        </w:rPr>
        <w:t>第四部分采购项目合同书</w:t>
      </w:r>
      <w:bookmarkEnd w:id="347"/>
      <w:bookmarkEnd w:id="348"/>
      <w:bookmarkEnd w:id="349"/>
      <w:bookmarkEnd w:id="350"/>
      <w:bookmarkEnd w:id="351"/>
    </w:p>
    <w:p>
      <w:pPr>
        <w:spacing w:line="240" w:lineRule="auto"/>
        <w:ind w:firstLine="0" w:firstLineChars="0"/>
        <w:rPr>
          <w:rFonts w:ascii="宋体" w:cs="Times New Roman"/>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pStyle w:val="38"/>
        <w:spacing w:line="240" w:lineRule="auto"/>
        <w:outlineLvl w:val="9"/>
        <w:rPr>
          <w:rFonts w:ascii="宋体"/>
          <w:color w:val="000000" w:themeColor="text1"/>
          <w:sz w:val="24"/>
          <w:szCs w:val="24"/>
          <w14:textFill>
            <w14:solidFill>
              <w14:schemeClr w14:val="tx1"/>
            </w14:solidFill>
          </w14:textFill>
        </w:rPr>
      </w:pPr>
    </w:p>
    <w:p>
      <w:pPr>
        <w:autoSpaceDE w:val="0"/>
        <w:autoSpaceDN w:val="0"/>
        <w:spacing w:line="240" w:lineRule="auto"/>
        <w:ind w:firstLine="0" w:firstLineChars="0"/>
        <w:jc w:val="center"/>
        <w:rPr>
          <w:rFonts w:ascii="宋体" w:cs="Times New Roman"/>
          <w:b/>
          <w:bCs/>
          <w:color w:val="000000" w:themeColor="text1"/>
          <w:sz w:val="48"/>
          <w:szCs w:val="48"/>
          <w14:textFill>
            <w14:solidFill>
              <w14:schemeClr w14:val="tx1"/>
            </w14:solidFill>
          </w14:textFill>
        </w:rPr>
      </w:pPr>
      <w:bookmarkStart w:id="352" w:name="_Toc27545_WPSOffice_Level2"/>
      <w:bookmarkStart w:id="353" w:name="_Toc2470_WPSOffice_Level2"/>
      <w:r>
        <w:rPr>
          <w:rFonts w:hint="eastAsia" w:ascii="宋体" w:hAnsi="宋体" w:cs="宋体"/>
          <w:b/>
          <w:bCs/>
          <w:color w:val="000000" w:themeColor="text1"/>
          <w:sz w:val="48"/>
          <w:szCs w:val="48"/>
          <w:lang w:val="zh-CN"/>
          <w14:textFill>
            <w14:solidFill>
              <w14:schemeClr w14:val="tx1"/>
            </w14:solidFill>
          </w14:textFill>
        </w:rPr>
        <w:t>青海省政府采购项目合同书</w:t>
      </w:r>
      <w:bookmarkEnd w:id="352"/>
      <w:bookmarkEnd w:id="353"/>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spacing w:line="240" w:lineRule="auto"/>
        <w:ind w:firstLine="0" w:firstLineChars="0"/>
        <w:rPr>
          <w:rFonts w:ascii="宋体" w:cs="Times New Roman"/>
          <w:color w:val="000000" w:themeColor="text1"/>
          <w:sz w:val="24"/>
          <w:szCs w:val="24"/>
          <w14:textFill>
            <w14:solidFill>
              <w14:schemeClr w14:val="tx1"/>
            </w14:solidFill>
          </w14:textFill>
        </w:rPr>
      </w:pPr>
    </w:p>
    <w:p>
      <w:pPr>
        <w:autoSpaceDE w:val="0"/>
        <w:autoSpaceDN w:val="0"/>
        <w:spacing w:line="240" w:lineRule="auto"/>
        <w:ind w:firstLine="0" w:firstLineChars="0"/>
        <w:rPr>
          <w:rFonts w:ascii="宋体" w:hAnsi="宋体" w:cs="宋体"/>
          <w:b/>
          <w:bCs/>
          <w:color w:val="000000" w:themeColor="text1"/>
          <w:sz w:val="30"/>
          <w:szCs w:val="30"/>
          <w:u w:val="single"/>
          <w14:textFill>
            <w14:solidFill>
              <w14:schemeClr w14:val="tx1"/>
            </w14:solidFill>
          </w14:textFill>
        </w:rPr>
      </w:pPr>
      <w:bookmarkStart w:id="354" w:name="_Toc15796_WPSOffice_Level2"/>
      <w:bookmarkStart w:id="355" w:name="_Toc17174_WPSOffice_Level2"/>
      <w:r>
        <w:rPr>
          <w:rFonts w:hint="eastAsia" w:ascii="宋体" w:hAnsi="宋体" w:cs="宋体"/>
          <w:b/>
          <w:bCs/>
          <w:color w:val="000000" w:themeColor="text1"/>
          <w:sz w:val="30"/>
          <w:szCs w:val="30"/>
          <w:lang w:val="zh-CN"/>
          <w14:textFill>
            <w14:solidFill>
              <w14:schemeClr w14:val="tx1"/>
            </w14:solidFill>
          </w14:textFill>
        </w:rPr>
        <w:t>采购项目编号：</w:t>
      </w:r>
      <w:bookmarkEnd w:id="354"/>
      <w:bookmarkEnd w:id="355"/>
      <w:r>
        <w:rPr>
          <w:rFonts w:hint="eastAsia" w:ascii="宋体" w:hAnsi="宋体" w:cs="宋体"/>
          <w:b/>
          <w:bCs/>
          <w:color w:val="000000" w:themeColor="text1"/>
          <w:sz w:val="30"/>
          <w:szCs w:val="30"/>
          <w:u w:val="single"/>
          <w:lang w:val="zh-CN" w:eastAsia="zh-CN"/>
          <w14:textFill>
            <w14:solidFill>
              <w14:schemeClr w14:val="tx1"/>
            </w14:solidFill>
          </w14:textFill>
        </w:rPr>
        <w:t>都</w:t>
      </w:r>
      <w:r>
        <w:rPr>
          <w:rFonts w:hint="eastAsia" w:ascii="宋体" w:hAnsi="宋体" w:cs="宋体"/>
          <w:b/>
          <w:bCs/>
          <w:color w:val="000000" w:themeColor="text1"/>
          <w:sz w:val="30"/>
          <w:szCs w:val="30"/>
          <w:u w:val="single"/>
          <w:lang w:val="zh-CN"/>
          <w14:textFill>
            <w14:solidFill>
              <w14:schemeClr w14:val="tx1"/>
            </w14:solidFill>
          </w14:textFill>
        </w:rPr>
        <w:t>政采磋商（货物）2022-</w:t>
      </w:r>
      <w:r>
        <w:rPr>
          <w:rFonts w:hint="eastAsia" w:ascii="宋体" w:hAnsi="宋体" w:cs="宋体"/>
          <w:b/>
          <w:bCs/>
          <w:color w:val="000000" w:themeColor="text1"/>
          <w:sz w:val="30"/>
          <w:szCs w:val="30"/>
          <w:u w:val="single"/>
          <w:lang w:val="en-US" w:eastAsia="zh-CN"/>
          <w14:textFill>
            <w14:solidFill>
              <w14:schemeClr w14:val="tx1"/>
            </w14:solidFill>
          </w14:textFill>
        </w:rPr>
        <w:t>02</w:t>
      </w:r>
      <w:r>
        <w:rPr>
          <w:rFonts w:hint="eastAsia" w:ascii="宋体" w:hAnsi="宋体" w:cs="宋体"/>
          <w:b/>
          <w:bCs/>
          <w:color w:val="000000" w:themeColor="text1"/>
          <w:sz w:val="30"/>
          <w:szCs w:val="30"/>
          <w:u w:val="single"/>
          <w:lang w:val="zh-CN"/>
          <w14:textFill>
            <w14:solidFill>
              <w14:schemeClr w14:val="tx1"/>
            </w14:solidFill>
          </w14:textFill>
        </w:rPr>
        <w:t xml:space="preserve">号 </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left="2108" w:hanging="2108" w:hangingChars="700"/>
        <w:rPr>
          <w:rFonts w:ascii="宋体" w:hAnsi="宋体" w:cs="宋体"/>
          <w:b/>
          <w:bCs/>
          <w:color w:val="000000" w:themeColor="text1"/>
          <w:w w:val="90"/>
          <w:sz w:val="30"/>
          <w:szCs w:val="30"/>
          <w:u w:val="single"/>
          <w14:textFill>
            <w14:solidFill>
              <w14:schemeClr w14:val="tx1"/>
            </w14:solidFill>
          </w14:textFill>
        </w:rPr>
      </w:pPr>
      <w:bookmarkStart w:id="356" w:name="_Toc18226_WPSOffice_Level2"/>
      <w:bookmarkStart w:id="357" w:name="_Toc5091_WPSOffice_Level2"/>
      <w:r>
        <w:rPr>
          <w:rFonts w:hint="eastAsia" w:ascii="宋体" w:hAnsi="宋体" w:cs="宋体"/>
          <w:b/>
          <w:bCs/>
          <w:color w:val="000000" w:themeColor="text1"/>
          <w:sz w:val="30"/>
          <w:szCs w:val="30"/>
          <w:lang w:val="zh-CN"/>
          <w14:textFill>
            <w14:solidFill>
              <w14:schemeClr w14:val="tx1"/>
            </w14:solidFill>
          </w14:textFill>
        </w:rPr>
        <w:t>采购项目名称：</w:t>
      </w:r>
      <w:bookmarkEnd w:id="356"/>
      <w:bookmarkEnd w:id="357"/>
      <w:r>
        <w:rPr>
          <w:rFonts w:hint="eastAsia" w:ascii="宋体" w:hAnsi="宋体" w:cs="宋体"/>
          <w:b/>
          <w:bCs/>
          <w:color w:val="000000" w:themeColor="text1"/>
          <w:sz w:val="30"/>
          <w:szCs w:val="30"/>
          <w:u w:val="single"/>
          <w:lang w:val="zh-CN"/>
          <w14:textFill>
            <w14:solidFill>
              <w14:schemeClr w14:val="tx1"/>
            </w14:solidFill>
          </w14:textFill>
        </w:rPr>
        <w:t>都兰县</w:t>
      </w:r>
      <w:r>
        <w:rPr>
          <w:rFonts w:hint="eastAsia" w:ascii="宋体" w:hAnsi="宋体" w:cs="宋体"/>
          <w:b/>
          <w:bCs/>
          <w:color w:val="000000" w:themeColor="text1"/>
          <w:sz w:val="30"/>
          <w:szCs w:val="30"/>
          <w:u w:val="single"/>
          <w:lang w:val="en-US" w:eastAsia="zh-CN"/>
          <w14:textFill>
            <w14:solidFill>
              <w14:schemeClr w14:val="tx1"/>
            </w14:solidFill>
          </w14:textFill>
        </w:rPr>
        <w:t>2022年教育质量提升工程</w:t>
      </w:r>
      <w:r>
        <w:rPr>
          <w:rFonts w:hint="eastAsia" w:ascii="宋体" w:hAnsi="宋体" w:cs="宋体"/>
          <w:b/>
          <w:bCs/>
          <w:color w:val="000000" w:themeColor="text1"/>
          <w:sz w:val="30"/>
          <w:szCs w:val="30"/>
          <w:u w:val="single"/>
          <w:lang w:val="zh-CN"/>
          <w14:textFill>
            <w14:solidFill>
              <w14:schemeClr w14:val="tx1"/>
            </w14:solidFill>
          </w14:textFill>
        </w:rPr>
        <w:t xml:space="preserve"> （包一）</w:t>
      </w:r>
      <w:r>
        <w:rPr>
          <w:rFonts w:hint="eastAsia" w:ascii="宋体" w:hAnsi="宋体" w:cs="宋体"/>
          <w:b/>
          <w:bCs/>
          <w:color w:val="000000" w:themeColor="text1"/>
          <w:w w:val="90"/>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hAnsi="宋体" w:cs="宋体"/>
          <w:b/>
          <w:bCs/>
          <w:color w:val="000000" w:themeColor="text1"/>
          <w:sz w:val="30"/>
          <w:szCs w:val="30"/>
          <w:u w:val="single"/>
          <w14:textFill>
            <w14:solidFill>
              <w14:schemeClr w14:val="tx1"/>
            </w14:solidFill>
          </w14:textFill>
        </w:rPr>
      </w:pPr>
      <w:bookmarkStart w:id="358" w:name="_Toc2685_WPSOffice_Level2"/>
      <w:bookmarkStart w:id="359" w:name="_Toc23442_WPSOffice_Level2"/>
      <w:r>
        <w:rPr>
          <w:rFonts w:hint="eastAsia" w:ascii="宋体" w:hAnsi="宋体" w:cs="宋体"/>
          <w:b/>
          <w:bCs/>
          <w:color w:val="000000" w:themeColor="text1"/>
          <w:sz w:val="30"/>
          <w:szCs w:val="30"/>
          <w:lang w:val="zh-CN"/>
          <w14:textFill>
            <w14:solidFill>
              <w14:schemeClr w14:val="tx1"/>
            </w14:solidFill>
          </w14:textFill>
        </w:rPr>
        <w:t>采购合同编号：</w:t>
      </w:r>
      <w:r>
        <w:rPr>
          <w:rFonts w:hint="eastAsia" w:ascii="宋体" w:hAnsi="宋体" w:cs="宋体"/>
          <w:b/>
          <w:bCs/>
          <w:color w:val="000000" w:themeColor="text1"/>
          <w:sz w:val="30"/>
          <w:szCs w:val="30"/>
          <w:u w:val="single"/>
          <w:lang w:val="en-US" w:eastAsia="zh-CN"/>
          <w14:textFill>
            <w14:solidFill>
              <w14:schemeClr w14:val="tx1"/>
            </w14:solidFill>
          </w14:textFill>
        </w:rPr>
        <w:t>DZCCSHW</w:t>
      </w:r>
      <w:r>
        <w:rPr>
          <w:rFonts w:hint="eastAsia" w:ascii="宋体" w:hAnsi="宋体" w:cs="宋体"/>
          <w:b/>
          <w:bCs/>
          <w:color w:val="000000" w:themeColor="text1"/>
          <w:sz w:val="30"/>
          <w:szCs w:val="30"/>
          <w:u w:val="single"/>
          <w14:textFill>
            <w14:solidFill>
              <w14:schemeClr w14:val="tx1"/>
            </w14:solidFill>
          </w14:textFill>
        </w:rPr>
        <w:t xml:space="preserve"> -</w:t>
      </w:r>
      <w:bookmarkEnd w:id="358"/>
      <w:bookmarkEnd w:id="359"/>
      <w:r>
        <w:rPr>
          <w:rFonts w:hint="eastAsia" w:ascii="宋体" w:hAnsi="宋体" w:cs="宋体"/>
          <w:b/>
          <w:bCs/>
          <w:color w:val="000000" w:themeColor="text1"/>
          <w:sz w:val="30"/>
          <w:szCs w:val="30"/>
          <w:u w:val="single"/>
          <w:lang w:val="zh-CN"/>
          <w14:textFill>
            <w14:solidFill>
              <w14:schemeClr w14:val="tx1"/>
            </w14:solidFill>
          </w14:textFill>
        </w:rPr>
        <w:t>2022-0</w:t>
      </w:r>
      <w:r>
        <w:rPr>
          <w:rFonts w:hint="eastAsia" w:ascii="宋体" w:hAnsi="宋体" w:cs="宋体"/>
          <w:b/>
          <w:bCs/>
          <w:color w:val="000000" w:themeColor="text1"/>
          <w:sz w:val="30"/>
          <w:szCs w:val="30"/>
          <w:u w:val="single"/>
          <w:lang w:val="en-US" w:eastAsia="zh-CN"/>
          <w14:textFill>
            <w14:solidFill>
              <w14:schemeClr w14:val="tx1"/>
            </w14:solidFill>
          </w14:textFill>
        </w:rPr>
        <w:t>2</w:t>
      </w:r>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28"/>
          <w:szCs w:val="28"/>
          <w:u w:val="single"/>
          <w:lang w:bidi="ar"/>
          <w14:textFill>
            <w14:solidFill>
              <w14:schemeClr w14:val="tx1"/>
            </w14:solidFill>
          </w14:textFill>
        </w:rPr>
        <w:t>（包</w:t>
      </w:r>
      <w:r>
        <w:rPr>
          <w:rFonts w:hint="eastAsia" w:ascii="宋体" w:hAnsi="宋体" w:cs="宋体"/>
          <w:b/>
          <w:bCs/>
          <w:color w:val="000000" w:themeColor="text1"/>
          <w:sz w:val="28"/>
          <w:szCs w:val="28"/>
          <w:u w:val="single"/>
          <w:lang w:val="en-US" w:eastAsia="zh-CN" w:bidi="ar"/>
          <w14:textFill>
            <w14:solidFill>
              <w14:schemeClr w14:val="tx1"/>
            </w14:solidFill>
          </w14:textFill>
        </w:rPr>
        <w:t>1</w:t>
      </w:r>
      <w:r>
        <w:rPr>
          <w:rFonts w:hint="eastAsia" w:ascii="宋体" w:hAnsi="宋体" w:cs="宋体"/>
          <w:b/>
          <w:bCs/>
          <w:color w:val="000000" w:themeColor="text1"/>
          <w:sz w:val="28"/>
          <w:szCs w:val="28"/>
          <w:u w:val="single"/>
          <w:lang w:bidi="ar"/>
          <w14:textFill>
            <w14:solidFill>
              <w14:schemeClr w14:val="tx1"/>
            </w14:solidFill>
          </w14:textFill>
        </w:rPr>
        <w:t>）</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u w:val="single"/>
          <w14:textFill>
            <w14:solidFill>
              <w14:schemeClr w14:val="tx1"/>
            </w14:solidFill>
          </w14:textFill>
        </w:rPr>
      </w:pPr>
      <w:bookmarkStart w:id="360" w:name="_Toc17337_WPSOffice_Level2"/>
      <w:bookmarkStart w:id="361" w:name="_Toc496_WPSOffice_Level2"/>
      <w:r>
        <w:rPr>
          <w:rFonts w:hint="eastAsia" w:ascii="宋体" w:hAnsi="宋体" w:cs="宋体"/>
          <w:b/>
          <w:bCs/>
          <w:color w:val="000000" w:themeColor="text1"/>
          <w:sz w:val="30"/>
          <w:szCs w:val="30"/>
          <w:lang w:val="zh-CN"/>
          <w14:textFill>
            <w14:solidFill>
              <w14:schemeClr w14:val="tx1"/>
            </w14:solidFill>
          </w14:textFill>
        </w:rPr>
        <w:t>合同金额（人民币）：</w:t>
      </w:r>
      <w:bookmarkEnd w:id="360"/>
      <w:bookmarkEnd w:id="361"/>
      <w:r>
        <w:rPr>
          <w:rFonts w:hint="eastAsia" w:ascii="宋体" w:hAnsi="宋体" w:cs="宋体"/>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14:textFill>
            <w14:solidFill>
              <w14:schemeClr w14:val="tx1"/>
            </w14:solidFill>
          </w14:textFill>
        </w:rPr>
      </w:pPr>
      <w:bookmarkStart w:id="362" w:name="_Toc26458_WPSOffice_Level2"/>
      <w:bookmarkStart w:id="363" w:name="_Toc21384_WPSOffice_Level2"/>
      <w:r>
        <w:rPr>
          <w:rFonts w:hint="eastAsia" w:ascii="宋体" w:hAnsi="宋体" w:cs="宋体"/>
          <w:b/>
          <w:bCs/>
          <w:color w:val="000000" w:themeColor="text1"/>
          <w:sz w:val="30"/>
          <w:szCs w:val="30"/>
          <w:lang w:val="zh-CN"/>
          <w14:textFill>
            <w14:solidFill>
              <w14:schemeClr w14:val="tx1"/>
            </w14:solidFill>
          </w14:textFill>
        </w:rPr>
        <w:t>采购人（甲方）：</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bookmarkEnd w:id="362"/>
      <w:bookmarkEnd w:id="363"/>
      <w:r>
        <w:rPr>
          <w:rFonts w:hint="eastAsia" w:ascii="宋体" w:hAnsi="宋体" w:cs="宋体"/>
          <w:b/>
          <w:bCs/>
          <w:color w:val="000000" w:themeColor="text1"/>
          <w:sz w:val="30"/>
          <w:szCs w:val="30"/>
          <w:u w:val="single"/>
          <w14:textFill>
            <w14:solidFill>
              <w14:schemeClr w14:val="tx1"/>
            </w14:solidFill>
          </w14:textFill>
        </w:rPr>
        <w:t xml:space="preserve">                                      </w:t>
      </w:r>
    </w:p>
    <w:p>
      <w:pPr>
        <w:autoSpaceDE w:val="0"/>
        <w:autoSpaceDN w:val="0"/>
        <w:spacing w:line="240" w:lineRule="auto"/>
        <w:ind w:firstLine="0" w:firstLineChars="0"/>
        <w:rPr>
          <w:rFonts w:ascii="宋体" w:cs="Times New Roman"/>
          <w:b/>
          <w:bCs/>
          <w:color w:val="000000" w:themeColor="text1"/>
          <w:sz w:val="30"/>
          <w:szCs w:val="30"/>
          <w14:textFill>
            <w14:solidFill>
              <w14:schemeClr w14:val="tx1"/>
            </w14:solidFill>
          </w14:textFill>
        </w:rPr>
      </w:pPr>
      <w:bookmarkStart w:id="364" w:name="_Toc6622_WPSOffice_Level2"/>
      <w:bookmarkStart w:id="365" w:name="_Toc17513_WPSOffice_Level2"/>
      <w:r>
        <w:rPr>
          <w:rFonts w:hint="eastAsia" w:ascii="宋体" w:hAnsi="宋体" w:cs="宋体"/>
          <w:b/>
          <w:bCs/>
          <w:color w:val="000000" w:themeColor="text1"/>
          <w:sz w:val="30"/>
          <w:szCs w:val="30"/>
          <w:lang w:val="zh-CN"/>
          <w14:textFill>
            <w14:solidFill>
              <w14:schemeClr w14:val="tx1"/>
            </w14:solidFill>
          </w14:textFill>
        </w:rPr>
        <w:t>供应商（乙方）：</w:t>
      </w:r>
      <w:r>
        <w:rPr>
          <w:rFonts w:hint="eastAsia" w:ascii="宋体" w:hAnsi="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bookmarkEnd w:id="364"/>
      <w:bookmarkEnd w:id="365"/>
      <w:r>
        <w:rPr>
          <w:rFonts w:hint="eastAsia" w:ascii="宋体" w:hAnsi="宋体" w:cs="宋体"/>
          <w:b/>
          <w:bCs/>
          <w:color w:val="000000" w:themeColor="text1"/>
          <w:sz w:val="30"/>
          <w:szCs w:val="30"/>
          <w:u w:val="single"/>
          <w14:textFill>
            <w14:solidFill>
              <w14:schemeClr w14:val="tx1"/>
            </w14:solidFill>
          </w14:textFill>
        </w:rPr>
        <w:t xml:space="preserve">                                      </w:t>
      </w:r>
    </w:p>
    <w:p>
      <w:pPr>
        <w:spacing w:line="360" w:lineRule="auto"/>
        <w:ind w:firstLine="0" w:firstLineChars="0"/>
        <w:rPr>
          <w:rFonts w:ascii="宋体" w:cs="Times New Roman"/>
          <w:color w:val="000000" w:themeColor="text1"/>
          <w:sz w:val="24"/>
          <w:szCs w:val="24"/>
          <w:u w:val="single"/>
          <w14:textFill>
            <w14:solidFill>
              <w14:schemeClr w14:val="tx1"/>
            </w14:solidFill>
          </w14:textFill>
        </w:rPr>
      </w:pPr>
      <w:bookmarkStart w:id="366" w:name="_Toc14832_WPSOffice_Level2"/>
      <w:bookmarkStart w:id="367" w:name="_Toc29590_WPSOffice_Level2"/>
      <w:r>
        <w:rPr>
          <w:rFonts w:hint="eastAsia" w:ascii="宋体" w:hAnsi="宋体" w:cs="宋体"/>
          <w:b/>
          <w:color w:val="000000" w:themeColor="text1"/>
          <w:sz w:val="30"/>
          <w:szCs w:val="30"/>
          <w14:textFill>
            <w14:solidFill>
              <w14:schemeClr w14:val="tx1"/>
            </w14:solidFill>
          </w14:textFill>
        </w:rPr>
        <w:t>磋商日期：</w:t>
      </w:r>
      <w:bookmarkEnd w:id="366"/>
      <w:bookmarkEnd w:id="367"/>
      <w:r>
        <w:rPr>
          <w:rFonts w:hint="eastAsia" w:ascii="宋体" w:hAnsi="宋体" w:cs="宋体"/>
          <w:b/>
          <w:color w:val="000000" w:themeColor="text1"/>
          <w:sz w:val="30"/>
          <w:szCs w:val="30"/>
          <w:u w:val="single"/>
          <w14:textFill>
            <w14:solidFill>
              <w14:schemeClr w14:val="tx1"/>
            </w14:solidFill>
          </w14:textFill>
        </w:rPr>
        <w:t xml:space="preserve">      </w:t>
      </w:r>
      <w:r>
        <w:rPr>
          <w:rFonts w:hint="eastAsia" w:ascii="宋体" w:hAnsi="宋体" w:cs="宋体"/>
          <w:b/>
          <w:color w:val="000000" w:themeColor="text1"/>
          <w:sz w:val="30"/>
          <w:szCs w:val="30"/>
          <w:u w:val="single"/>
          <w:lang w:val="en-US" w:eastAsia="zh-CN"/>
          <w14:textFill>
            <w14:solidFill>
              <w14:schemeClr w14:val="tx1"/>
            </w14:solidFill>
          </w14:textFill>
        </w:rPr>
        <w:t xml:space="preserve">                              </w:t>
      </w:r>
      <w:r>
        <w:rPr>
          <w:rFonts w:hint="eastAsia" w:ascii="宋体" w:hAnsi="宋体" w:cs="宋体"/>
          <w:b/>
          <w:color w:val="000000" w:themeColor="text1"/>
          <w:sz w:val="30"/>
          <w:szCs w:val="30"/>
          <w:u w:val="single"/>
          <w14:textFill>
            <w14:solidFill>
              <w14:schemeClr w14:val="tx1"/>
            </w14:solidFill>
          </w14:textFill>
        </w:rPr>
        <w:t xml:space="preserve">         </w:t>
      </w:r>
    </w:p>
    <w:p>
      <w:pPr>
        <w:pStyle w:val="34"/>
        <w:ind w:firstLine="480"/>
        <w:rPr>
          <w:rFonts w:ascii="宋体" w:cs="Times New Roman"/>
          <w:color w:val="000000" w:themeColor="text1"/>
          <w:sz w:val="24"/>
          <w14:textFill>
            <w14:solidFill>
              <w14:schemeClr w14:val="tx1"/>
            </w14:solidFill>
          </w14:textFill>
        </w:rPr>
      </w:pPr>
    </w:p>
    <w:p>
      <w:pPr>
        <w:pStyle w:val="35"/>
        <w:rPr>
          <w:rFonts w:ascii="宋体" w:cs="Times New Roman"/>
          <w:color w:val="000000" w:themeColor="text1"/>
          <w:sz w:val="24"/>
          <w:szCs w:val="24"/>
          <w14:textFill>
            <w14:solidFill>
              <w14:schemeClr w14:val="tx1"/>
            </w14:solidFill>
          </w14:textFill>
        </w:rPr>
      </w:pPr>
    </w:p>
    <w:p>
      <w:pPr>
        <w:pStyle w:val="37"/>
        <w:ind w:firstLine="480"/>
        <w:rPr>
          <w:rFonts w:cs="Times New Roman"/>
          <w:color w:val="000000" w:themeColor="text1"/>
          <w:sz w:val="24"/>
          <w:szCs w:val="24"/>
          <w14:textFill>
            <w14:solidFill>
              <w14:schemeClr w14:val="tx1"/>
            </w14:solidFill>
          </w14:textFill>
        </w:rPr>
      </w:pPr>
    </w:p>
    <w:p>
      <w:pPr>
        <w:ind w:firstLine="480"/>
        <w:rPr>
          <w:rFonts w:ascii="宋体" w:cs="Times New Roman"/>
          <w:color w:val="000000" w:themeColor="text1"/>
          <w:sz w:val="24"/>
          <w:szCs w:val="24"/>
          <w14:textFill>
            <w14:solidFill>
              <w14:schemeClr w14:val="tx1"/>
            </w14:solidFill>
          </w14:textFill>
        </w:rPr>
      </w:pPr>
    </w:p>
    <w:p>
      <w:pPr>
        <w:pStyle w:val="34"/>
        <w:ind w:firstLine="480"/>
        <w:rPr>
          <w:rFonts w:ascii="宋体" w:cs="Times New Roman"/>
          <w:color w:val="000000" w:themeColor="text1"/>
          <w:sz w:val="24"/>
          <w14:textFill>
            <w14:solidFill>
              <w14:schemeClr w14:val="tx1"/>
            </w14:solidFill>
          </w14:textFill>
        </w:rPr>
      </w:pPr>
    </w:p>
    <w:p>
      <w:pPr>
        <w:pStyle w:val="35"/>
        <w:rPr>
          <w:rFonts w:ascii="宋体" w:cs="Times New Roman"/>
          <w:color w:val="000000" w:themeColor="text1"/>
          <w:sz w:val="24"/>
          <w:szCs w:val="24"/>
          <w14:textFill>
            <w14:solidFill>
              <w14:schemeClr w14:val="tx1"/>
            </w14:solidFill>
          </w14:textFill>
        </w:rPr>
      </w:pPr>
    </w:p>
    <w:p>
      <w:pPr>
        <w:pStyle w:val="37"/>
        <w:ind w:firstLine="480"/>
        <w:rPr>
          <w:rFonts w:cs="Times New Roman"/>
          <w:color w:val="000000" w:themeColor="text1"/>
          <w:sz w:val="24"/>
          <w:szCs w:val="24"/>
          <w14:textFill>
            <w14:solidFill>
              <w14:schemeClr w14:val="tx1"/>
            </w14:solidFill>
          </w14:textFill>
        </w:rPr>
      </w:pPr>
    </w:p>
    <w:p>
      <w:pPr>
        <w:ind w:firstLine="480"/>
        <w:rPr>
          <w:rFonts w:ascii="宋体" w:cs="Times New Roman"/>
          <w:color w:val="000000" w:themeColor="text1"/>
          <w:sz w:val="24"/>
          <w:szCs w:val="24"/>
          <w14:textFill>
            <w14:solidFill>
              <w14:schemeClr w14:val="tx1"/>
            </w14:solidFill>
          </w14:textFill>
        </w:rPr>
      </w:pPr>
    </w:p>
    <w:p>
      <w:pPr>
        <w:pStyle w:val="34"/>
        <w:ind w:firstLine="480"/>
        <w:rPr>
          <w:rFonts w:ascii="宋体" w:cs="Times New Roman"/>
          <w:color w:val="000000" w:themeColor="text1"/>
          <w:sz w:val="24"/>
          <w14:textFill>
            <w14:solidFill>
              <w14:schemeClr w14:val="tx1"/>
            </w14:solidFill>
          </w14:textFill>
        </w:rPr>
      </w:pPr>
    </w:p>
    <w:p>
      <w:pPr>
        <w:pStyle w:val="37"/>
        <w:ind w:firstLine="0" w:firstLineChars="0"/>
        <w:rPr>
          <w:color w:val="000000" w:themeColor="text1"/>
          <w14:textFill>
            <w14:solidFill>
              <w14:schemeClr w14:val="tx1"/>
            </w14:solidFill>
          </w14:textFill>
        </w:rPr>
      </w:pPr>
    </w:p>
    <w:p>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ind w:firstLine="281" w:firstLineChars="100"/>
        <w:rPr>
          <w:rFonts w:ascii="宋体" w:hAnsi="宋体" w:cs="宋体"/>
          <w:b/>
          <w:color w:val="000000" w:themeColor="text1"/>
          <w:sz w:val="28"/>
          <w14:textFill>
            <w14:solidFill>
              <w14:schemeClr w14:val="tx1"/>
            </w14:solidFill>
          </w14:textFill>
        </w:rPr>
      </w:pPr>
      <w:bookmarkStart w:id="368" w:name="_Toc21289_WPSOffice_Level2"/>
      <w:bookmarkStart w:id="369" w:name="_Toc30832_WPSOffice_Level2"/>
      <w:r>
        <w:rPr>
          <w:rFonts w:ascii="宋体" w:hAnsi="宋体" w:cs="宋体"/>
          <w:b/>
          <w:color w:val="000000" w:themeColor="text1"/>
          <w:sz w:val="28"/>
          <w14:textFill>
            <w14:solidFill>
              <w14:schemeClr w14:val="tx1"/>
            </w14:solidFill>
          </w14:textFill>
        </w:rPr>
        <w:t>采购人（以下简称甲方）：</w:t>
      </w:r>
      <w:bookmarkEnd w:id="368"/>
      <w:bookmarkEnd w:id="369"/>
    </w:p>
    <w:p>
      <w:pPr>
        <w:spacing w:line="360" w:lineRule="auto"/>
        <w:ind w:firstLine="281" w:firstLineChars="100"/>
        <w:rPr>
          <w:rFonts w:ascii="宋体" w:hAnsi="宋体" w:cs="宋体"/>
          <w:color w:val="000000" w:themeColor="text1"/>
          <w:sz w:val="28"/>
          <w14:textFill>
            <w14:solidFill>
              <w14:schemeClr w14:val="tx1"/>
            </w14:solidFill>
          </w14:textFill>
        </w:rPr>
      </w:pPr>
      <w:bookmarkStart w:id="370" w:name="_Toc25371_WPSOffice_Level2"/>
      <w:bookmarkStart w:id="371" w:name="_Toc17011_WPSOffice_Level2"/>
      <w:r>
        <w:rPr>
          <w:rFonts w:ascii="宋体" w:hAnsi="宋体" w:cs="宋体"/>
          <w:b/>
          <w:color w:val="000000" w:themeColor="text1"/>
          <w:sz w:val="28"/>
          <w14:textFill>
            <w14:solidFill>
              <w14:schemeClr w14:val="tx1"/>
            </w14:solidFill>
          </w14:textFill>
        </w:rPr>
        <w:t>供应商（以下简称乙方）：</w:t>
      </w:r>
      <w:bookmarkEnd w:id="370"/>
      <w:bookmarkEnd w:id="371"/>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甲、乙双方根据年月日</w:t>
      </w:r>
      <w:r>
        <w:rPr>
          <w:rFonts w:hint="eastAsia" w:ascii="宋体" w:hAnsi="宋体" w:cs="宋体"/>
          <w:color w:val="000000" w:themeColor="text1"/>
          <w:sz w:val="24"/>
          <w:szCs w:val="24"/>
          <w14:textFill>
            <w14:solidFill>
              <w14:schemeClr w14:val="tx1"/>
            </w14:solidFill>
          </w14:textFill>
        </w:rPr>
        <w:t>（项目名称）</w:t>
      </w:r>
      <w:r>
        <w:rPr>
          <w:rFonts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项目编号</w:t>
      </w:r>
      <w:r>
        <w:rPr>
          <w:rFonts w:ascii="宋体" w:hAnsi="宋体" w:cs="宋体"/>
          <w:color w:val="000000" w:themeColor="text1"/>
          <w:sz w:val="24"/>
          <w:szCs w:val="24"/>
          <w:u w:val="single"/>
          <w14:textFill>
            <w14:solidFill>
              <w14:schemeClr w14:val="tx1"/>
            </w14:solidFill>
          </w14:textFill>
        </w:rPr>
        <w:t>）</w:t>
      </w:r>
      <w:r>
        <w:rPr>
          <w:rFonts w:ascii="宋体" w:hAnsi="宋体" w:cs="宋体"/>
          <w:color w:val="000000" w:themeColor="text1"/>
          <w:sz w:val="24"/>
          <w:szCs w:val="24"/>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招标</w:t>
      </w:r>
      <w:r>
        <w:rPr>
          <w:rFonts w:ascii="宋体" w:hAnsi="宋体" w:cs="宋体"/>
          <w:color w:val="000000" w:themeColor="text1"/>
          <w:sz w:val="24"/>
          <w:szCs w:val="24"/>
          <w14:textFill>
            <w14:solidFill>
              <w14:schemeClr w14:val="tx1"/>
            </w14:solidFill>
          </w14:textFill>
        </w:rPr>
        <w:t>文件要求和</w:t>
      </w:r>
      <w:r>
        <w:rPr>
          <w:rFonts w:hint="eastAsia" w:ascii="宋体" w:hAnsi="宋体" w:cs="宋体"/>
          <w:color w:val="000000" w:themeColor="text1"/>
          <w:sz w:val="24"/>
          <w:szCs w:val="24"/>
          <w:lang w:eastAsia="zh-CN"/>
          <w14:textFill>
            <w14:solidFill>
              <w14:schemeClr w14:val="tx1"/>
            </w14:solidFill>
          </w14:textFill>
        </w:rPr>
        <w:t>都兰县政府采购服务中心</w:t>
      </w:r>
      <w:r>
        <w:rPr>
          <w:rFonts w:ascii="宋体" w:hAnsi="宋体" w:cs="宋体"/>
          <w:color w:val="000000" w:themeColor="text1"/>
          <w:sz w:val="24"/>
          <w:szCs w:val="24"/>
          <w14:textFill>
            <w14:solidFill>
              <w14:schemeClr w14:val="tx1"/>
            </w14:solidFill>
          </w14:textFill>
        </w:rPr>
        <w:t>出具的《</w:t>
      </w:r>
      <w:r>
        <w:rPr>
          <w:rFonts w:hint="eastAsia" w:ascii="宋体" w:hAnsi="宋体" w:cs="宋体"/>
          <w:color w:val="000000" w:themeColor="text1"/>
          <w:sz w:val="24"/>
          <w:szCs w:val="24"/>
          <w14:textFill>
            <w14:solidFill>
              <w14:schemeClr w14:val="tx1"/>
            </w14:solidFill>
          </w14:textFill>
        </w:rPr>
        <w:t>成交</w:t>
      </w:r>
      <w:r>
        <w:rPr>
          <w:rFonts w:ascii="宋体" w:hAnsi="宋体" w:cs="宋体"/>
          <w:color w:val="000000" w:themeColor="text1"/>
          <w:sz w:val="24"/>
          <w:szCs w:val="24"/>
          <w14:textFill>
            <w14:solidFill>
              <w14:schemeClr w14:val="tx1"/>
            </w14:solidFill>
          </w14:textFill>
        </w:rPr>
        <w:t>通知书》，并经双方协商一致，签订本合同协议书。</w:t>
      </w:r>
    </w:p>
    <w:p>
      <w:pPr>
        <w:spacing w:line="360" w:lineRule="auto"/>
        <w:ind w:firstLine="480"/>
        <w:rPr>
          <w:rFonts w:ascii="宋体" w:hAnsi="宋体" w:cs="宋体"/>
          <w:color w:val="000000" w:themeColor="text1"/>
          <w:sz w:val="24"/>
          <w:szCs w:val="24"/>
          <w14:textFill>
            <w14:solidFill>
              <w14:schemeClr w14:val="tx1"/>
            </w14:solidFill>
          </w14:textFill>
        </w:rPr>
      </w:pPr>
      <w:bookmarkStart w:id="372" w:name="_Toc2208_WPSOffice_Level2"/>
      <w:bookmarkStart w:id="373" w:name="_Toc27563_WPSOffice_Level2"/>
      <w:r>
        <w:rPr>
          <w:rFonts w:ascii="宋体" w:hAnsi="宋体" w:cs="宋体"/>
          <w:color w:val="000000" w:themeColor="text1"/>
          <w:sz w:val="24"/>
          <w:szCs w:val="24"/>
          <w14:textFill>
            <w14:solidFill>
              <w14:schemeClr w14:val="tx1"/>
            </w14:solidFill>
          </w14:textFill>
        </w:rPr>
        <w:t>一、签订本政府采购合同的依据</w:t>
      </w:r>
      <w:bookmarkEnd w:id="372"/>
      <w:bookmarkEnd w:id="373"/>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本政府采购合同所附下列文件是构成本政府采购合同不可分割的部分：</w:t>
      </w:r>
    </w:p>
    <w:p>
      <w:pPr>
        <w:tabs>
          <w:tab w:val="left" w:pos="3360"/>
        </w:tabs>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w:t>
      </w:r>
      <w:r>
        <w:rPr>
          <w:rFonts w:ascii="宋体" w:hAnsi="宋体" w:cs="宋体"/>
          <w:color w:val="000000" w:themeColor="text1"/>
          <w:sz w:val="24"/>
          <w:szCs w:val="24"/>
          <w14:textFill>
            <w14:solidFill>
              <w14:schemeClr w14:val="tx1"/>
            </w14:solidFill>
          </w14:textFill>
        </w:rPr>
        <w:tab/>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文件的更正、变更公告；</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w:t>
      </w:r>
      <w:r>
        <w:rPr>
          <w:rFonts w:ascii="宋体" w:hAnsi="宋体" w:cs="宋体"/>
          <w:color w:val="000000" w:themeColor="text1"/>
          <w:sz w:val="24"/>
          <w:szCs w:val="24"/>
          <w14:textFill>
            <w14:solidFill>
              <w14:schemeClr w14:val="tx1"/>
            </w14:solidFill>
          </w14:textFill>
        </w:rPr>
        <w:t>提交的</w:t>
      </w:r>
      <w:r>
        <w:rPr>
          <w:rFonts w:hint="eastAsia" w:ascii="宋体" w:hAnsi="宋体" w:cs="宋体"/>
          <w:color w:val="000000" w:themeColor="text1"/>
          <w:sz w:val="24"/>
          <w:szCs w:val="24"/>
          <w14:textFill>
            <w14:solidFill>
              <w14:schemeClr w14:val="tx1"/>
            </w14:solidFill>
          </w14:textFill>
        </w:rPr>
        <w:t>响应</w:t>
      </w:r>
      <w:r>
        <w:rPr>
          <w:rFonts w:ascii="宋体" w:hAnsi="宋体" w:cs="宋体"/>
          <w:color w:val="000000" w:themeColor="text1"/>
          <w:sz w:val="24"/>
          <w:szCs w:val="24"/>
          <w14:textFill>
            <w14:solidFill>
              <w14:schemeClr w14:val="tx1"/>
            </w14:solidFill>
          </w14:textFill>
        </w:rPr>
        <w:t>文件；</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磋商</w:t>
      </w:r>
      <w:r>
        <w:rPr>
          <w:rFonts w:ascii="宋体" w:hAnsi="宋体" w:cs="宋体"/>
          <w:color w:val="000000" w:themeColor="text1"/>
          <w:sz w:val="24"/>
          <w:szCs w:val="24"/>
          <w14:textFill>
            <w14:solidFill>
              <w14:schemeClr w14:val="tx1"/>
            </w14:solidFill>
          </w14:textFill>
        </w:rPr>
        <w:t>文件中规定的政府采购合同通用条款；</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成交</w:t>
      </w:r>
      <w:r>
        <w:rPr>
          <w:rFonts w:ascii="宋体" w:hAnsi="宋体" w:cs="宋体"/>
          <w:color w:val="000000" w:themeColor="text1"/>
          <w:sz w:val="24"/>
          <w:szCs w:val="24"/>
          <w14:textFill>
            <w14:solidFill>
              <w14:schemeClr w14:val="tx1"/>
            </w14:solidFill>
          </w14:textFill>
        </w:rPr>
        <w:t>通知书。</w:t>
      </w:r>
    </w:p>
    <w:p>
      <w:pPr>
        <w:spacing w:line="400" w:lineRule="auto"/>
        <w:ind w:firstLine="480"/>
        <w:rPr>
          <w:rFonts w:ascii="宋体" w:hAnsi="宋体"/>
          <w:b/>
          <w:color w:val="000000" w:themeColor="text1"/>
          <w:sz w:val="24"/>
          <w:szCs w:val="24"/>
          <w14:textFill>
            <w14:solidFill>
              <w14:schemeClr w14:val="tx1"/>
            </w14:solidFill>
          </w14:textFill>
        </w:rPr>
      </w:pPr>
      <w:bookmarkStart w:id="374" w:name="_Toc26476_WPSOffice_Level2"/>
      <w:bookmarkStart w:id="375" w:name="_Toc8048_WPSOffice_Level2"/>
      <w:r>
        <w:rPr>
          <w:rFonts w:ascii="宋体" w:hAnsi="宋体" w:cs="宋体"/>
          <w:color w:val="000000" w:themeColor="text1"/>
          <w:sz w:val="24"/>
          <w:szCs w:val="24"/>
          <w14:textFill>
            <w14:solidFill>
              <w14:schemeClr w14:val="tx1"/>
            </w14:solidFill>
          </w14:textFill>
        </w:rPr>
        <w:t>二、合同标的及金额</w:t>
      </w:r>
      <w:bookmarkEnd w:id="374"/>
      <w:bookmarkEnd w:id="375"/>
    </w:p>
    <w:tbl>
      <w:tblPr>
        <w:tblStyle w:val="24"/>
        <w:tblW w:w="9773" w:type="dxa"/>
        <w:jc w:val="center"/>
        <w:tblLayout w:type="fixed"/>
        <w:tblCellMar>
          <w:top w:w="0" w:type="dxa"/>
          <w:left w:w="108" w:type="dxa"/>
          <w:bottom w:w="0" w:type="dxa"/>
          <w:right w:w="108" w:type="dxa"/>
        </w:tblCellMar>
      </w:tblPr>
      <w:tblGrid>
        <w:gridCol w:w="993"/>
        <w:gridCol w:w="1156"/>
        <w:gridCol w:w="1417"/>
        <w:gridCol w:w="1560"/>
        <w:gridCol w:w="850"/>
        <w:gridCol w:w="992"/>
        <w:gridCol w:w="1134"/>
        <w:gridCol w:w="820"/>
        <w:gridCol w:w="851"/>
      </w:tblGrid>
      <w:tr>
        <w:tblPrEx>
          <w:tblCellMar>
            <w:top w:w="0" w:type="dxa"/>
            <w:left w:w="108" w:type="dxa"/>
            <w:bottom w:w="0" w:type="dxa"/>
            <w:right w:w="108" w:type="dxa"/>
          </w:tblCellMar>
        </w:tblPrEx>
        <w:trPr>
          <w:cantSplit/>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序号</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名称</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生产厂家</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规格型号</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数量</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w:t>
            </w: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0" w:firstLineChars="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jc w:val="center"/>
        </w:trPr>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p>
        </w:tc>
        <w:tc>
          <w:tcPr>
            <w:tcW w:w="1156"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rPr>
                <w:rFonts w:ascii="宋体" w:hAnsi="宋体" w:cs="宋体"/>
                <w:color w:val="000000" w:themeColor="text1"/>
                <w:sz w:val="24"/>
                <w:szCs w:val="24"/>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rPr>
                <w:rFonts w:ascii="宋体" w:hAnsi="宋体" w:cs="宋体"/>
                <w:color w:val="000000" w:themeColor="text1"/>
                <w:sz w:val="24"/>
                <w:szCs w:val="24"/>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tcPr>
          <w:p>
            <w:pPr>
              <w:ind w:firstLine="480"/>
              <w:jc w:val="center"/>
              <w:rPr>
                <w:rFonts w:ascii="宋体" w:hAnsi="宋体" w:cs="宋体"/>
                <w:color w:val="000000" w:themeColor="text1"/>
                <w:sz w:val="24"/>
                <w:szCs w:val="24"/>
                <w14:textFill>
                  <w14:solidFill>
                    <w14:schemeClr w14:val="tx1"/>
                  </w14:solidFill>
                </w14:textFill>
              </w:rPr>
            </w:pPr>
          </w:p>
        </w:tc>
        <w:tc>
          <w:tcPr>
            <w:tcW w:w="820"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tcMar>
              <w:left w:w="56" w:type="dxa"/>
              <w:right w:w="56" w:type="dxa"/>
            </w:tcMar>
            <w:vAlign w:val="center"/>
          </w:tcPr>
          <w:p>
            <w:pPr>
              <w:ind w:firstLine="480"/>
              <w:jc w:val="center"/>
              <w:rPr>
                <w:rFonts w:ascii="宋体" w:hAnsi="宋体" w:cs="宋体"/>
                <w:color w:val="000000" w:themeColor="text1"/>
                <w:sz w:val="24"/>
                <w:szCs w:val="24"/>
                <w14:textFill>
                  <w14:solidFill>
                    <w14:schemeClr w14:val="tx1"/>
                  </w14:solidFill>
                </w14:textFill>
              </w:rPr>
            </w:pPr>
          </w:p>
        </w:tc>
      </w:tr>
    </w:tbl>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根据上述采购合同文件要求，本采购合同的总金额为人民币（大写）元。</w:t>
      </w:r>
    </w:p>
    <w:p>
      <w:pPr>
        <w:autoSpaceDE w:val="0"/>
        <w:autoSpaceDN w:val="0"/>
        <w:adjustRightInd w:val="0"/>
        <w:ind w:firstLine="360" w:firstLineChars="150"/>
        <w:rPr>
          <w:rFonts w:asci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t>本合同以人民币进行结算，合同总价</w:t>
      </w:r>
      <w:r>
        <w:rPr>
          <w:rFonts w:hint="eastAsia" w:ascii="宋体" w:cs="宋体"/>
          <w:color w:val="000000" w:themeColor="text1"/>
          <w:sz w:val="24"/>
          <w:szCs w:val="24"/>
          <w:lang w:val="zh-CN"/>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w:t>
      </w:r>
    </w:p>
    <w:p>
      <w:pPr>
        <w:autoSpaceDE w:val="0"/>
        <w:autoSpaceDN w:val="0"/>
        <w:adjustRightInd w:val="0"/>
        <w:ind w:firstLine="360" w:firstLineChars="15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三、交货时间、地点和要求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交货期：</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p>
    <w:p>
      <w:pPr>
        <w:spacing w:line="360" w:lineRule="auto"/>
        <w:ind w:firstLine="638" w:firstLineChars="266"/>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交货</w:t>
      </w:r>
      <w:r>
        <w:rPr>
          <w:rFonts w:ascii="宋体" w:hAnsi="宋体" w:cs="宋体"/>
          <w:color w:val="000000" w:themeColor="text1"/>
          <w:sz w:val="24"/>
          <w:szCs w:val="24"/>
          <w14:textFill>
            <w14:solidFill>
              <w14:schemeClr w14:val="tx1"/>
            </w14:solidFill>
          </w14:textFill>
        </w:rPr>
        <w:t>地点：</w:t>
      </w:r>
      <w:r>
        <w:rPr>
          <w:rFonts w:hint="eastAsia" w:ascii="宋体" w:hAnsi="宋体" w:cs="宋体"/>
          <w:color w:val="000000" w:themeColor="text1"/>
          <w:sz w:val="24"/>
          <w:szCs w:val="24"/>
          <w:u w:val="single"/>
          <w14:textFill>
            <w14:solidFill>
              <w14:schemeClr w14:val="tx1"/>
            </w14:solidFill>
          </w14:textFill>
        </w:rPr>
        <w:t xml:space="preserve">  按采购人指定地点          </w:t>
      </w:r>
      <w:r>
        <w:rPr>
          <w:rFonts w:ascii="宋体" w:hAnsi="宋体" w:cs="宋体"/>
          <w:color w:val="000000" w:themeColor="text1"/>
          <w:sz w:val="24"/>
          <w:szCs w:val="24"/>
          <w14:textFill>
            <w14:solidFill>
              <w14:schemeClr w14:val="tx1"/>
            </w14:solidFill>
          </w14:textFill>
        </w:rPr>
        <w:t>。</w:t>
      </w:r>
    </w:p>
    <w:p>
      <w:pPr>
        <w:spacing w:line="360" w:lineRule="auto"/>
        <w:ind w:firstLine="600" w:firstLineChars="2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免费</w:t>
      </w:r>
      <w:r>
        <w:rPr>
          <w:rFonts w:ascii="宋体" w:hAnsi="宋体" w:cs="宋体"/>
          <w:color w:val="000000" w:themeColor="text1"/>
          <w:sz w:val="24"/>
          <w:szCs w:val="24"/>
          <w14:textFill>
            <w14:solidFill>
              <w14:schemeClr w14:val="tx1"/>
            </w14:solidFill>
          </w14:textFill>
        </w:rPr>
        <w:t>质保期：</w:t>
      </w:r>
      <w:r>
        <w:rPr>
          <w:rFonts w:ascii="宋体" w:hAnsi="宋体" w:cs="宋体"/>
          <w:color w:val="000000" w:themeColor="text1"/>
          <w:sz w:val="24"/>
          <w:szCs w:val="24"/>
          <w:u w:val="single"/>
          <w14:textFill>
            <w14:solidFill>
              <w14:schemeClr w14:val="tx1"/>
            </w14:solidFill>
          </w14:textFill>
        </w:rPr>
        <w:t>自验收合格后</w:t>
      </w:r>
      <w:r>
        <w:rPr>
          <w:rFonts w:hint="eastAsia" w:ascii="宋体" w:hAnsi="宋体" w:cs="宋体"/>
          <w:color w:val="000000" w:themeColor="text1"/>
          <w:sz w:val="24"/>
          <w:szCs w:val="24"/>
          <w:u w:val="single"/>
          <w:lang w:val="en-US" w:eastAsia="zh-CN"/>
          <w14:textFill>
            <w14:solidFill>
              <w14:schemeClr w14:val="tx1"/>
            </w14:solidFill>
          </w14:textFill>
        </w:rPr>
        <w:t>一</w:t>
      </w:r>
      <w:r>
        <w:rPr>
          <w:rFonts w:ascii="宋体" w:hAnsi="宋体" w:cs="宋体"/>
          <w:color w:val="000000" w:themeColor="text1"/>
          <w:sz w:val="24"/>
          <w:szCs w:val="24"/>
          <w:u w:val="single"/>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2.乙方提供不符合响应文件和本合同规定的产品，甲方有权拒绝接受。</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3.甲方应当在完工后及时进行验收，验收合格后，由甲乙双方签署产品验收单并加盖采购人公章，甲乙双方各执一份。</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4.甲方应提供该项目验收报告交同级财政监管部门，由财政部门按规定程序抽验后办理资金拨付。</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5.甲方在验收过程中发现乙方有违约问题，可按招、响应文件的规定要求乙方及时予以解决。</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6.乙方向甲方提供产品相关完税销售发票。</w:t>
      </w:r>
    </w:p>
    <w:p>
      <w:pPr>
        <w:spacing w:line="360" w:lineRule="auto"/>
        <w:ind w:firstLine="480"/>
        <w:rPr>
          <w:rFonts w:ascii="宋体" w:hAnsi="宋体" w:cs="宋体"/>
          <w:color w:val="000000" w:themeColor="text1"/>
          <w:sz w:val="24"/>
          <w:szCs w:val="24"/>
          <w14:textFill>
            <w14:solidFill>
              <w14:schemeClr w14:val="tx1"/>
            </w14:solidFill>
          </w14:textFill>
        </w:rPr>
      </w:pPr>
      <w:bookmarkStart w:id="376" w:name="_Toc28309_WPSOffice_Level2"/>
      <w:bookmarkStart w:id="377" w:name="_Toc9815_WPSOffice_Level2"/>
      <w:r>
        <w:rPr>
          <w:rFonts w:ascii="宋体" w:hAnsi="宋体" w:cs="宋体"/>
          <w:color w:val="000000" w:themeColor="text1"/>
          <w:sz w:val="24"/>
          <w:szCs w:val="24"/>
          <w14:textFill>
            <w14:solidFill>
              <w14:schemeClr w14:val="tx1"/>
            </w14:solidFill>
          </w14:textFill>
        </w:rPr>
        <w:t>四、质量保证</w:t>
      </w:r>
      <w:bookmarkEnd w:id="376"/>
      <w:bookmarkEnd w:id="377"/>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1、乙方所提供的产品型号、技术规格、技术参数等质量必须与招、投标文件和承诺相一致，提供的节能和环保产品必须与投标文件和澄清承诺书中的产品一致。</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2、乙方所提供的产品必须是全新、未使用的原装产品，且在正常安装、使用和保养条件下，其使用寿命期内各项指标均达到质量要求。</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3、乙方保证其销售软件是自行开发的，开发成果及过程不侵犯第三人的知识产权，如第三方以该产品侵犯知识产权为由提供诉讼，所造成一切后果由开发方承担，并赔偿由此给委托方造成的一切经济损失。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spacing w:line="360" w:lineRule="auto"/>
        <w:ind w:firstLine="480"/>
        <w:rPr>
          <w:rFonts w:ascii="宋体" w:hAnsi="宋体" w:cs="宋体"/>
          <w:color w:val="000000" w:themeColor="text1"/>
          <w:sz w:val="24"/>
          <w:szCs w:val="24"/>
          <w14:textFill>
            <w14:solidFill>
              <w14:schemeClr w14:val="tx1"/>
            </w14:solidFill>
          </w14:textFill>
        </w:rPr>
      </w:pPr>
      <w:bookmarkStart w:id="378" w:name="_Toc2393_WPSOffice_Level2"/>
      <w:bookmarkStart w:id="379" w:name="_Toc18877_WPSOffice_Level2"/>
      <w:r>
        <w:rPr>
          <w:rFonts w:ascii="宋体" w:hAnsi="宋体" w:cs="宋体"/>
          <w:color w:val="000000" w:themeColor="text1"/>
          <w:sz w:val="24"/>
          <w:szCs w:val="24"/>
          <w14:textFill>
            <w14:solidFill>
              <w14:schemeClr w14:val="tx1"/>
            </w14:solidFill>
          </w14:textFill>
        </w:rPr>
        <w:t>五、付款方式</w:t>
      </w:r>
      <w:bookmarkEnd w:id="378"/>
      <w:bookmarkEnd w:id="379"/>
    </w:p>
    <w:p>
      <w:pPr>
        <w:spacing w:line="360" w:lineRule="auto"/>
        <w:ind w:firstLine="480"/>
        <w:rPr>
          <w:rFonts w:ascii="宋体" w:hAnsi="宋体" w:cs="宋体"/>
          <w:color w:val="000000" w:themeColor="text1"/>
          <w:sz w:val="24"/>
          <w:szCs w:val="24"/>
          <w14:textFill>
            <w14:solidFill>
              <w14:schemeClr w14:val="tx1"/>
            </w14:solidFill>
          </w14:textFill>
        </w:rPr>
      </w:pPr>
      <w:bookmarkStart w:id="380" w:name="_Toc6050_WPSOffice_Level2"/>
      <w:bookmarkStart w:id="381" w:name="_Toc6922_WPSOffice_Level2"/>
      <w:r>
        <w:rPr>
          <w:rFonts w:hint="eastAsia" w:ascii="宋体" w:hAnsi="宋体" w:cs="宋体"/>
          <w:color w:val="000000"/>
          <w:sz w:val="24"/>
          <w:szCs w:val="24"/>
        </w:rPr>
        <w:t>1</w:t>
      </w:r>
      <w:r>
        <w:rPr>
          <w:rFonts w:hint="eastAsia" w:ascii="宋体" w:hAnsi="宋体" w:cs="宋体"/>
          <w:color w:val="000000" w:themeColor="text1"/>
          <w:sz w:val="24"/>
          <w:szCs w:val="24"/>
          <w14:textFill>
            <w14:solidFill>
              <w14:schemeClr w14:val="tx1"/>
            </w14:solidFill>
          </w14:textFill>
        </w:rPr>
        <w:t>.签订合同前乙方向甲方支付中标价</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%履约保证金 ，即人民币小写：        （大写：             整），保证项目的正常实施。 </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甲乙双方签订合同后由甲方报同级财政监管部门，申请资金拨付，甲方按合同金额向乙方支付总价款的</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为预付款，</w:t>
      </w:r>
      <w:r>
        <w:rPr>
          <w:rFonts w:hint="eastAsia" w:ascii="宋体" w:hAnsi="宋体" w:cs="宋体"/>
          <w:color w:val="000000" w:themeColor="text1"/>
          <w:sz w:val="24"/>
          <w:szCs w:val="24"/>
          <w14:textFill>
            <w14:solidFill>
              <w14:schemeClr w14:val="tx1"/>
            </w14:solidFill>
          </w14:textFill>
        </w:rPr>
        <w:t>即人民币小写：       （大写：              整）</w:t>
      </w:r>
      <w:r>
        <w:rPr>
          <w:rFonts w:hint="eastAsia" w:ascii="宋体" w:hAnsi="宋体" w:cs="宋体"/>
          <w:color w:val="000000" w:themeColor="text1"/>
          <w:sz w:val="24"/>
          <w:szCs w:val="24"/>
          <w:lang w:eastAsia="zh-CN"/>
          <w14:textFill>
            <w14:solidFill>
              <w14:schemeClr w14:val="tx1"/>
            </w14:solidFill>
          </w14:textFill>
        </w:rPr>
        <w:t>，剩余款项在乙方所交付的产品由甲方</w:t>
      </w:r>
      <w:r>
        <w:rPr>
          <w:rFonts w:hint="eastAsia" w:ascii="宋体" w:hAnsi="宋体" w:cs="宋体"/>
          <w:color w:val="000000" w:themeColor="text1"/>
          <w:sz w:val="24"/>
          <w:szCs w:val="24"/>
          <w14:textFill>
            <w14:solidFill>
              <w14:schemeClr w14:val="tx1"/>
            </w14:solidFill>
          </w14:textFill>
        </w:rPr>
        <w:t xml:space="preserve">验收合格后，15个工作日内甲方向乙方支付合同总价款的 </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%，即人民币小写：       （大写：              整）并将</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%履约保证金转为质量保证金。 </w:t>
      </w:r>
    </w:p>
    <w:p>
      <w:pPr>
        <w:spacing w:line="360" w:lineRule="auto"/>
        <w:ind w:firstLine="480"/>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3.质量保证金待约定的免费质保期满 1（年）且通过甲方验收产品无质量问题后 15 日内，由甲方以转账方式予以拨付，不计利息。</w:t>
      </w:r>
    </w:p>
    <w:p>
      <w:pPr>
        <w:autoSpaceDE w:val="0"/>
        <w:autoSpaceDN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六、合同的变更、终止与转让</w:t>
      </w:r>
      <w:bookmarkEnd w:id="380"/>
      <w:bookmarkEnd w:id="381"/>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1.除《中华人民共和国政府采购法》规定的其他情形外，本合同一经签订，甲乙双方不得擅自变更、中止或终止。</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2.乙方不得擅自转让其应履行的合同义务。</w:t>
      </w:r>
    </w:p>
    <w:p>
      <w:pPr>
        <w:spacing w:line="360" w:lineRule="auto"/>
        <w:ind w:firstLine="480"/>
        <w:rPr>
          <w:rFonts w:ascii="宋体" w:hAnsi="宋体" w:cs="宋体"/>
          <w:color w:val="000000" w:themeColor="text1"/>
          <w:sz w:val="24"/>
          <w:szCs w:val="24"/>
          <w14:textFill>
            <w14:solidFill>
              <w14:schemeClr w14:val="tx1"/>
            </w14:solidFill>
          </w14:textFill>
        </w:rPr>
      </w:pPr>
      <w:bookmarkStart w:id="382" w:name="_Toc11130_WPSOffice_Level2"/>
      <w:bookmarkStart w:id="383" w:name="_Toc8410_WPSOffice_Level2"/>
      <w:r>
        <w:rPr>
          <w:rFonts w:ascii="宋体" w:hAnsi="宋体" w:cs="宋体"/>
          <w:color w:val="000000" w:themeColor="text1"/>
          <w:sz w:val="24"/>
          <w:szCs w:val="24"/>
          <w14:textFill>
            <w14:solidFill>
              <w14:schemeClr w14:val="tx1"/>
            </w14:solidFill>
          </w14:textFill>
        </w:rPr>
        <w:t>七、违约责任</w:t>
      </w:r>
      <w:bookmarkEnd w:id="382"/>
      <w:bookmarkEnd w:id="383"/>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1.乙方所提供的产品规格、技术标准、等不合格的，应及时更换；更换不及时的，按逾期交货处罚；因质量问题甲方不同意接收的，质保金全额扣除，并由乙方赔偿由此引起的甲方的一切经济损失。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2.乙方提供的货物如侵犯了第三方权益而引发纠纷或诉讼的，均由乙方负责交涉并承担全部责任。</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3.因包装、运输引起的货物损坏，按质量不合格处罚。</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4.乙方逾期交货或未按甲方要求完工的，每天应向对方偿付未交货物的货款3‰的违约金，但违约金累计不得超过违约货款的5%，超过</w:t>
      </w:r>
      <w:r>
        <w:rPr>
          <w:rFonts w:ascii="宋体" w:hAnsi="宋体" w:cs="宋体"/>
          <w:color w:val="000000" w:themeColor="text1"/>
          <w:sz w:val="24"/>
          <w:szCs w:val="24"/>
          <w:u w:val="single"/>
          <w14:textFill>
            <w14:solidFill>
              <w14:schemeClr w14:val="tx1"/>
            </w14:solidFill>
          </w14:textFill>
        </w:rPr>
        <w:t>20</w:t>
      </w:r>
      <w:r>
        <w:rPr>
          <w:rFonts w:ascii="宋体" w:hAnsi="宋体" w:cs="宋体"/>
          <w:color w:val="000000" w:themeColor="text1"/>
          <w:sz w:val="24"/>
          <w:szCs w:val="24"/>
          <w14:textFill>
            <w14:solidFill>
              <w14:schemeClr w14:val="tx1"/>
            </w14:solidFill>
          </w14:textFill>
        </w:rPr>
        <w:t>天对方有权解除合同，违约方承担因此给对方造成的经济损失。</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5.乙方未按本合同和响应文件中规定的服务承诺提供售后服务的，乙方应按本合同合计金额的5%向甲方支付违约金。</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6.乙方提供的货物在免费质保期内，因设计、工艺或材料的缺陷和其它质量原因造成的问题，由乙方负责，费用从合同款中扣除，不足另补。</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7.其它违约行为按违约货款额5%收取违约金并赔偿经济损失。</w:t>
      </w:r>
    </w:p>
    <w:p>
      <w:pPr>
        <w:spacing w:line="360" w:lineRule="auto"/>
        <w:ind w:firstLine="480"/>
        <w:rPr>
          <w:rFonts w:ascii="宋体" w:hAnsi="宋体" w:cs="宋体"/>
          <w:color w:val="000000" w:themeColor="text1"/>
          <w:sz w:val="24"/>
          <w:szCs w:val="24"/>
          <w14:textFill>
            <w14:solidFill>
              <w14:schemeClr w14:val="tx1"/>
            </w14:solidFill>
          </w14:textFill>
        </w:rPr>
      </w:pPr>
      <w:bookmarkStart w:id="384" w:name="_Toc23986_WPSOffice_Level2"/>
      <w:bookmarkStart w:id="385" w:name="_Toc25733_WPSOffice_Level2"/>
      <w:r>
        <w:rPr>
          <w:rFonts w:ascii="宋体" w:hAnsi="宋体" w:cs="宋体"/>
          <w:color w:val="000000" w:themeColor="text1"/>
          <w:sz w:val="24"/>
          <w:szCs w:val="24"/>
          <w14:textFill>
            <w14:solidFill>
              <w14:schemeClr w14:val="tx1"/>
            </w14:solidFill>
          </w14:textFill>
        </w:rPr>
        <w:t>八、不可抗力</w:t>
      </w:r>
      <w:bookmarkEnd w:id="384"/>
      <w:bookmarkEnd w:id="385"/>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1.不可抗力使合同的某些内容有变更必要的，双方应通过协商在</w:t>
      </w:r>
      <w:r>
        <w:rPr>
          <w:rFonts w:ascii="宋体" w:hAnsi="宋体" w:cs="宋体"/>
          <w:color w:val="000000" w:themeColor="text1"/>
          <w:sz w:val="24"/>
          <w:szCs w:val="24"/>
          <w:u w:val="single"/>
          <w14:textFill>
            <w14:solidFill>
              <w14:schemeClr w14:val="tx1"/>
            </w14:solidFill>
          </w14:textFill>
        </w:rPr>
        <w:t>15</w:t>
      </w:r>
      <w:r>
        <w:rPr>
          <w:rFonts w:ascii="宋体" w:hAnsi="宋体" w:cs="宋体"/>
          <w:color w:val="000000" w:themeColor="text1"/>
          <w:sz w:val="24"/>
          <w:szCs w:val="24"/>
          <w14:textFill>
            <w14:solidFill>
              <w14:schemeClr w14:val="tx1"/>
            </w14:solidFill>
          </w14:textFill>
        </w:rPr>
        <w:t>天内达成进一步履行合同的协议，因不可抗力致使合同不能履行的，合同终止。</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2.除法律、法规规定的不可抗力情形外，双方约定出现</w:t>
      </w:r>
      <w:r>
        <w:rPr>
          <w:rFonts w:ascii="宋体" w:hAnsi="宋体" w:cs="宋体"/>
          <w:color w:val="000000" w:themeColor="text1"/>
          <w:sz w:val="24"/>
          <w:szCs w:val="24"/>
          <w:u w:val="single"/>
          <w14:textFill>
            <w14:solidFill>
              <w14:schemeClr w14:val="tx1"/>
            </w14:solidFill>
          </w14:textFill>
        </w:rPr>
        <w:t>非人为</w:t>
      </w:r>
      <w:r>
        <w:rPr>
          <w:rFonts w:ascii="宋体" w:hAnsi="宋体" w:cs="宋体"/>
          <w:color w:val="000000" w:themeColor="text1"/>
          <w:sz w:val="24"/>
          <w:szCs w:val="24"/>
          <w14:textFill>
            <w14:solidFill>
              <w14:schemeClr w14:val="tx1"/>
            </w14:solidFill>
          </w14:textFill>
        </w:rPr>
        <w:t>情况亦视为不可抗力。</w:t>
      </w:r>
    </w:p>
    <w:p>
      <w:pPr>
        <w:spacing w:line="360" w:lineRule="auto"/>
        <w:ind w:firstLine="480"/>
        <w:rPr>
          <w:rFonts w:ascii="宋体" w:hAnsi="宋体" w:cs="宋体"/>
          <w:color w:val="000000" w:themeColor="text1"/>
          <w:sz w:val="24"/>
          <w:szCs w:val="24"/>
          <w14:textFill>
            <w14:solidFill>
              <w14:schemeClr w14:val="tx1"/>
            </w14:solidFill>
          </w14:textFill>
        </w:rPr>
      </w:pPr>
      <w:bookmarkStart w:id="386" w:name="_Toc18946_WPSOffice_Level2"/>
      <w:bookmarkStart w:id="387" w:name="_Toc2462_WPSOffice_Level2"/>
      <w:r>
        <w:rPr>
          <w:rFonts w:ascii="宋体" w:hAnsi="宋体" w:cs="宋体"/>
          <w:color w:val="000000" w:themeColor="text1"/>
          <w:sz w:val="24"/>
          <w:szCs w:val="24"/>
          <w14:textFill>
            <w14:solidFill>
              <w14:schemeClr w14:val="tx1"/>
            </w14:solidFill>
          </w14:textFill>
        </w:rPr>
        <w:t>九、知识产权：详见合同通用条款</w:t>
      </w:r>
      <w:bookmarkEnd w:id="386"/>
      <w:bookmarkEnd w:id="387"/>
    </w:p>
    <w:p>
      <w:pPr>
        <w:spacing w:line="360" w:lineRule="auto"/>
        <w:ind w:firstLine="480"/>
        <w:rPr>
          <w:rFonts w:ascii="宋体" w:hAnsi="宋体" w:cs="宋体"/>
          <w:color w:val="000000" w:themeColor="text1"/>
          <w:sz w:val="24"/>
          <w:szCs w:val="24"/>
          <w14:textFill>
            <w14:solidFill>
              <w14:schemeClr w14:val="tx1"/>
            </w14:solidFill>
          </w14:textFill>
        </w:rPr>
      </w:pPr>
      <w:bookmarkStart w:id="388" w:name="_Toc13177_WPSOffice_Level2"/>
      <w:bookmarkStart w:id="389" w:name="_Toc24539_WPSOffice_Level2"/>
      <w:r>
        <w:rPr>
          <w:rFonts w:ascii="宋体" w:hAnsi="宋体" w:cs="宋体"/>
          <w:color w:val="000000" w:themeColor="text1"/>
          <w:sz w:val="24"/>
          <w:szCs w:val="24"/>
          <w14:textFill>
            <w14:solidFill>
              <w14:schemeClr w14:val="tx1"/>
            </w14:solidFill>
          </w14:textFill>
        </w:rPr>
        <w:t>十、合同争议解决</w:t>
      </w:r>
      <w:bookmarkEnd w:id="388"/>
      <w:bookmarkEnd w:id="389"/>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2.因履行本合同引起的或与本合同有关的争议，甲乙双方应首先通过友好协商解决，如果协商不能解决，可向</w:t>
      </w:r>
      <w:r>
        <w:rPr>
          <w:rFonts w:ascii="宋体" w:hAnsi="宋体" w:cs="宋体"/>
          <w:color w:val="000000" w:themeColor="text1"/>
          <w:sz w:val="24"/>
          <w:szCs w:val="24"/>
          <w:u w:val="single"/>
          <w14:textFill>
            <w14:solidFill>
              <w14:schemeClr w14:val="tx1"/>
            </w14:solidFill>
          </w14:textFill>
        </w:rPr>
        <w:t>甲方</w:t>
      </w:r>
      <w:r>
        <w:rPr>
          <w:rFonts w:ascii="宋体" w:hAnsi="宋体" w:cs="宋体"/>
          <w:color w:val="000000" w:themeColor="text1"/>
          <w:sz w:val="24"/>
          <w:szCs w:val="24"/>
          <w14:textFill>
            <w14:solidFill>
              <w14:schemeClr w14:val="tx1"/>
            </w14:solidFill>
          </w14:textFill>
        </w:rPr>
        <w:t>所在地仲裁委员会申请仲裁或向甲方所在地人民法院提起诉讼。</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3.诉讼期间，本合同继续履行。</w:t>
      </w:r>
    </w:p>
    <w:p>
      <w:pPr>
        <w:spacing w:line="360" w:lineRule="auto"/>
        <w:ind w:firstLine="480"/>
        <w:rPr>
          <w:rFonts w:ascii="宋体" w:hAnsi="宋体" w:cs="宋体"/>
          <w:color w:val="000000" w:themeColor="text1"/>
          <w:sz w:val="24"/>
          <w:szCs w:val="24"/>
          <w14:textFill>
            <w14:solidFill>
              <w14:schemeClr w14:val="tx1"/>
            </w14:solidFill>
          </w14:textFill>
        </w:rPr>
      </w:pPr>
      <w:bookmarkStart w:id="390" w:name="_Toc10746_WPSOffice_Level2"/>
      <w:bookmarkStart w:id="391" w:name="_Toc26389_WPSOffice_Level2"/>
      <w:r>
        <w:rPr>
          <w:rFonts w:ascii="宋体" w:hAnsi="宋体" w:cs="宋体"/>
          <w:color w:val="000000" w:themeColor="text1"/>
          <w:sz w:val="24"/>
          <w:szCs w:val="24"/>
          <w14:textFill>
            <w14:solidFill>
              <w14:schemeClr w14:val="tx1"/>
            </w14:solidFill>
          </w14:textFill>
        </w:rPr>
        <w:t>十一、合同生效及其它：</w:t>
      </w:r>
      <w:bookmarkEnd w:id="390"/>
      <w:bookmarkEnd w:id="391"/>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1.本合同一式</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份，经双方签字，并加盖公章即为生效。</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2.本合同未尽事宜，按经济合同法有关规定处理。</w:t>
      </w:r>
    </w:p>
    <w:p>
      <w:p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3.本合同的组成包含《合同通用条款》。</w:t>
      </w:r>
    </w:p>
    <w:p>
      <w:pPr>
        <w:spacing w:line="360" w:lineRule="auto"/>
        <w:ind w:firstLine="480"/>
        <w:rPr>
          <w:rFonts w:ascii="宋体" w:hAnsi="宋体" w:cs="宋体"/>
          <w:color w:val="000000" w:themeColor="text1"/>
          <w:sz w:val="24"/>
          <w:szCs w:val="24"/>
          <w14:textFill>
            <w14:solidFill>
              <w14:schemeClr w14:val="tx1"/>
            </w14:solidFill>
          </w14:textFill>
        </w:rPr>
      </w:pP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甲方（盖章）：                           乙方（盖章）：</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法定代表人或委托代理人：                  法定代表人或委托代理人：</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项目负责人：                              开户银行： </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联系电话：                                账号：</w:t>
      </w: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14:textFill>
            <w14:solidFill>
              <w14:schemeClr w14:val="tx1"/>
            </w14:solidFill>
          </w14:textFill>
        </w:rPr>
        <w:t xml:space="preserve"> </w:t>
      </w:r>
      <w:r>
        <w:rPr>
          <w:rFonts w:ascii="宋体" w:hAnsi="宋体" w:cs="宋体"/>
          <w:b/>
          <w:bCs/>
          <w:color w:val="000000" w:themeColor="text1"/>
          <w:sz w:val="24"/>
          <w:szCs w:val="24"/>
          <w14:textFill>
            <w14:solidFill>
              <w14:schemeClr w14:val="tx1"/>
            </w14:solidFill>
          </w14:textFill>
        </w:rPr>
        <w:t>联系电话：</w:t>
      </w:r>
    </w:p>
    <w:p>
      <w:pPr>
        <w:spacing w:line="360" w:lineRule="auto"/>
        <w:ind w:firstLine="482"/>
        <w:rPr>
          <w:rFonts w:ascii="宋体" w:hAnsi="宋体" w:cs="宋体"/>
          <w:b/>
          <w:bCs/>
          <w:color w:val="000000" w:themeColor="text1"/>
          <w:sz w:val="24"/>
          <w:szCs w:val="24"/>
          <w14:textFill>
            <w14:solidFill>
              <w14:schemeClr w14:val="tx1"/>
            </w14:solidFill>
          </w14:textFill>
        </w:rPr>
      </w:pPr>
    </w:p>
    <w:p>
      <w:pPr>
        <w:spacing w:line="360" w:lineRule="auto"/>
        <w:ind w:firstLine="482"/>
        <w:rPr>
          <w:rFonts w:ascii="宋体" w:hAnsi="宋体" w:cs="宋体"/>
          <w:b/>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 xml:space="preserve">                      签约时间：</w:t>
      </w:r>
      <w:r>
        <w:rPr>
          <w:rFonts w:hint="eastAsia" w:ascii="宋体" w:hAnsi="宋体" w:cs="宋体"/>
          <w:b/>
          <w:bCs/>
          <w:color w:val="000000" w:themeColor="text1"/>
          <w:sz w:val="24"/>
          <w:szCs w:val="24"/>
          <w14:textFill>
            <w14:solidFill>
              <w14:schemeClr w14:val="tx1"/>
            </w14:solidFill>
          </w14:textFill>
        </w:rPr>
        <w:t xml:space="preserve">  </w:t>
      </w:r>
      <w:r>
        <w:rPr>
          <w:rFonts w:ascii="宋体" w:hAnsi="宋体" w:cs="宋体"/>
          <w:b/>
          <w:bCs/>
          <w:color w:val="000000" w:themeColor="text1"/>
          <w:sz w:val="24"/>
          <w:szCs w:val="24"/>
          <w14:textFill>
            <w14:solidFill>
              <w14:schemeClr w14:val="tx1"/>
            </w14:solidFill>
          </w14:textFill>
        </w:rPr>
        <w:t>年   月   日</w:t>
      </w:r>
    </w:p>
    <w:p>
      <w:pPr>
        <w:pStyle w:val="34"/>
        <w:ind w:firstLine="482"/>
        <w:rPr>
          <w:rFonts w:ascii="宋体" w:hAnsi="宋体" w:cs="宋体"/>
          <w:b/>
          <w:bCs/>
          <w:color w:val="000000" w:themeColor="text1"/>
          <w:sz w:val="24"/>
          <w14:textFill>
            <w14:solidFill>
              <w14:schemeClr w14:val="tx1"/>
            </w14:solidFill>
          </w14:textFill>
        </w:rPr>
      </w:pPr>
    </w:p>
    <w:p>
      <w:pPr>
        <w:pStyle w:val="35"/>
        <w:rPr>
          <w:b/>
          <w:bCs/>
          <w:color w:val="000000" w:themeColor="text1"/>
          <w14:textFill>
            <w14:solidFill>
              <w14:schemeClr w14:val="tx1"/>
            </w14:solidFill>
          </w14:textFill>
        </w:rPr>
      </w:pPr>
    </w:p>
    <w:p>
      <w:pPr>
        <w:pStyle w:val="83"/>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合同备案部门：采购代理机构</w:t>
      </w:r>
    </w:p>
    <w:p>
      <w:pPr>
        <w:pStyle w:val="83"/>
        <w:ind w:firstLine="422"/>
        <w:rPr>
          <w:rFonts w:cs="宋体"/>
          <w:b/>
          <w:bCs/>
          <w:color w:val="000000" w:themeColor="text1"/>
          <w14:textFill>
            <w14:solidFill>
              <w14:schemeClr w14:val="tx1"/>
            </w14:solidFill>
          </w14:textFill>
        </w:rPr>
      </w:pPr>
    </w:p>
    <w:p>
      <w:pPr>
        <w:pStyle w:val="83"/>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负责人或经办人：</w:t>
      </w:r>
    </w:p>
    <w:p>
      <w:pPr>
        <w:pStyle w:val="83"/>
        <w:ind w:firstLine="422"/>
        <w:rPr>
          <w:rFonts w:cs="宋体"/>
          <w:b/>
          <w:bCs/>
          <w:color w:val="000000" w:themeColor="text1"/>
          <w14:textFill>
            <w14:solidFill>
              <w14:schemeClr w14:val="tx1"/>
            </w14:solidFill>
          </w14:textFill>
        </w:rPr>
      </w:pPr>
    </w:p>
    <w:p>
      <w:pPr>
        <w:pStyle w:val="83"/>
        <w:ind w:firstLine="422"/>
        <w:rPr>
          <w:rFonts w:cs="宋体"/>
          <w:b/>
          <w:bCs/>
          <w:color w:val="000000" w:themeColor="text1"/>
          <w14:textFill>
            <w14:solidFill>
              <w14:schemeClr w14:val="tx1"/>
            </w14:solidFill>
          </w14:textFill>
        </w:rPr>
      </w:pPr>
    </w:p>
    <w:p>
      <w:pPr>
        <w:spacing w:line="400" w:lineRule="auto"/>
        <w:ind w:firstLine="482"/>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2"/>
          <w:sz w:val="24"/>
          <w:szCs w:val="20"/>
          <w14:textFill>
            <w14:solidFill>
              <w14:schemeClr w14:val="tx1"/>
            </w14:solidFill>
          </w14:textFill>
        </w:rPr>
        <w:t xml:space="preserve">          合同备案时间：  年  月  日</w:t>
      </w:r>
    </w:p>
    <w:p>
      <w:pPr>
        <w:autoSpaceDE w:val="0"/>
        <w:autoSpaceDN w:val="0"/>
        <w:adjustRightInd w:val="0"/>
        <w:spacing w:line="360" w:lineRule="auto"/>
        <w:ind w:firstLine="562"/>
        <w:jc w:val="left"/>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0" w:firstLineChars="0"/>
        <w:jc w:val="left"/>
        <w:rPr>
          <w:rFonts w:ascii="宋体" w:hAnsi="宋体" w:cs="宋体"/>
          <w:b/>
          <w:bCs/>
          <w:color w:val="000000" w:themeColor="text1"/>
          <w:sz w:val="24"/>
          <w:szCs w:val="24"/>
          <w14:textFill>
            <w14:solidFill>
              <w14:schemeClr w14:val="tx1"/>
            </w14:solidFill>
          </w14:textFill>
        </w:rPr>
      </w:pPr>
    </w:p>
    <w:p>
      <w:pPr>
        <w:keepNext/>
        <w:pageBreakBefore/>
        <w:autoSpaceDE w:val="0"/>
        <w:autoSpaceDN w:val="0"/>
        <w:adjustRightInd w:val="0"/>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392" w:name="_Toc19118_WPSOffice_Level2"/>
      <w:bookmarkStart w:id="393" w:name="_Toc19658_WPSOffice_Level2"/>
      <w:r>
        <w:rPr>
          <w:rFonts w:hint="eastAsia" w:ascii="宋体" w:hAnsi="宋体" w:cs="宋体"/>
          <w:b/>
          <w:bCs/>
          <w:color w:val="000000" w:themeColor="text1"/>
          <w:sz w:val="28"/>
          <w:szCs w:val="28"/>
          <w:lang w:val="zh-CN"/>
          <w14:textFill>
            <w14:solidFill>
              <w14:schemeClr w14:val="tx1"/>
            </w14:solidFill>
          </w14:textFill>
        </w:rPr>
        <w:t>合同通用条款</w:t>
      </w:r>
      <w:bookmarkEnd w:id="392"/>
      <w:bookmarkEnd w:id="39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94" w:name="_Toc31050_WPSOffice_Level2"/>
      <w:bookmarkStart w:id="395" w:name="_Toc27073_WPSOffice_Level2"/>
      <w:r>
        <w:rPr>
          <w:rFonts w:ascii="宋体" w:hAnsi="宋体" w:cs="宋体"/>
          <w:b/>
          <w:bCs/>
          <w:color w:val="000000" w:themeColor="text1"/>
          <w:sz w:val="24"/>
          <w:szCs w:val="24"/>
          <w14:textFill>
            <w14:solidFill>
              <w14:schemeClr w14:val="tx1"/>
            </w14:solidFill>
          </w14:textFill>
        </w:rPr>
        <w:t>1.</w:t>
      </w:r>
      <w:r>
        <w:rPr>
          <w:rFonts w:hint="eastAsia" w:ascii="宋体" w:hAnsi="宋体" w:cs="宋体"/>
          <w:b/>
          <w:bCs/>
          <w:color w:val="000000" w:themeColor="text1"/>
          <w:sz w:val="24"/>
          <w:szCs w:val="24"/>
          <w:lang w:val="zh-CN"/>
          <w14:textFill>
            <w14:solidFill>
              <w14:schemeClr w14:val="tx1"/>
            </w14:solidFill>
          </w14:textFill>
        </w:rPr>
        <w:t>定义</w:t>
      </w:r>
      <w:bookmarkEnd w:id="394"/>
      <w:bookmarkEnd w:id="39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本合同中的下列术语应解释为：</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 </w:t>
      </w:r>
      <w:r>
        <w:rPr>
          <w:rFonts w:hint="eastAsia" w:ascii="宋体" w:hAnsi="宋体" w:cs="宋体"/>
          <w:color w:val="000000" w:themeColor="text1"/>
          <w:sz w:val="24"/>
          <w:szCs w:val="24"/>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1.2 </w:t>
      </w:r>
      <w:r>
        <w:rPr>
          <w:rFonts w:hint="eastAsia" w:ascii="宋体" w:hAnsi="宋体" w:cs="宋体"/>
          <w:color w:val="000000" w:themeColor="text1"/>
          <w:sz w:val="24"/>
          <w:szCs w:val="24"/>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 </w:t>
      </w:r>
      <w:r>
        <w:rPr>
          <w:rFonts w:hint="eastAsia" w:ascii="宋体" w:hAnsi="宋体" w:cs="宋体"/>
          <w:color w:val="000000" w:themeColor="text1"/>
          <w:sz w:val="24"/>
          <w:szCs w:val="24"/>
          <w:lang w:val="zh-CN"/>
          <w14:textFill>
            <w14:solidFill>
              <w14:schemeClr w14:val="tx1"/>
            </w14:solidFill>
          </w14:textFill>
        </w:rPr>
        <w:t>“合同条款”指本合同条款。</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1.4 </w:t>
      </w:r>
      <w:r>
        <w:rPr>
          <w:rFonts w:hint="eastAsia" w:ascii="宋体" w:hAnsi="宋体" w:cs="宋体"/>
          <w:color w:val="000000" w:themeColor="text1"/>
          <w:sz w:val="24"/>
          <w:szCs w:val="24"/>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 </w:t>
      </w:r>
      <w:r>
        <w:rPr>
          <w:rFonts w:hint="eastAsia" w:ascii="宋体" w:hAnsi="宋体" w:cs="宋体"/>
          <w:color w:val="000000" w:themeColor="text1"/>
          <w:sz w:val="24"/>
          <w:szCs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1.6 </w:t>
      </w:r>
      <w:r>
        <w:rPr>
          <w:rFonts w:hint="eastAsia" w:ascii="宋体" w:hAnsi="宋体" w:cs="宋体"/>
          <w:color w:val="000000" w:themeColor="text1"/>
          <w:sz w:val="24"/>
          <w:szCs w:val="24"/>
          <w:lang w:val="zh-CN"/>
          <w14:textFill>
            <w14:solidFill>
              <w14:schemeClr w14:val="tx1"/>
            </w14:solidFill>
          </w14:textFill>
        </w:rPr>
        <w:t>“甲方”指购买货物和服务的单位。</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1.7 </w:t>
      </w:r>
      <w:r>
        <w:rPr>
          <w:rFonts w:hint="eastAsia" w:ascii="宋体" w:hAnsi="宋体" w:cs="宋体"/>
          <w:color w:val="000000" w:themeColor="text1"/>
          <w:sz w:val="24"/>
          <w:szCs w:val="24"/>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1.8 </w:t>
      </w:r>
      <w:r>
        <w:rPr>
          <w:rFonts w:hint="eastAsia" w:ascii="宋体" w:hAnsi="宋体" w:cs="宋体"/>
          <w:color w:val="000000" w:themeColor="text1"/>
          <w:sz w:val="24"/>
          <w:szCs w:val="24"/>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1.9 </w:t>
      </w:r>
      <w:r>
        <w:rPr>
          <w:rFonts w:hint="eastAsia" w:ascii="宋体" w:hAnsi="宋体" w:cs="宋体"/>
          <w:color w:val="000000" w:themeColor="text1"/>
          <w:sz w:val="24"/>
          <w:szCs w:val="24"/>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1.10</w:t>
      </w:r>
      <w:r>
        <w:rPr>
          <w:rFonts w:hint="eastAsia" w:ascii="宋体" w:hAnsi="宋体" w:cs="宋体"/>
          <w:color w:val="000000" w:themeColor="text1"/>
          <w:sz w:val="24"/>
          <w:szCs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 </w:t>
      </w:r>
      <w:r>
        <w:rPr>
          <w:rFonts w:hint="eastAsia" w:ascii="宋体" w:hAnsi="宋体" w:cs="宋体"/>
          <w:color w:val="000000" w:themeColor="text1"/>
          <w:sz w:val="24"/>
          <w:szCs w:val="24"/>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lang w:val="zh-CN"/>
          <w14:textFill>
            <w14:solidFill>
              <w14:schemeClr w14:val="tx1"/>
            </w14:solidFill>
          </w14:textFill>
        </w:rPr>
        <w:t>“工作日”指国家法定工作日，“天”指日历天数。</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96" w:name="_Toc10198_WPSOffice_Level2"/>
      <w:bookmarkStart w:id="397" w:name="_Toc9008_WPSOffice_Level2"/>
      <w:r>
        <w:rPr>
          <w:rFonts w:ascii="宋体" w:hAnsi="宋体" w:cs="宋体"/>
          <w:b/>
          <w:bCs/>
          <w:color w:val="000000" w:themeColor="text1"/>
          <w:sz w:val="24"/>
          <w:szCs w:val="24"/>
          <w14:textFill>
            <w14:solidFill>
              <w14:schemeClr w14:val="tx1"/>
            </w14:solidFill>
          </w14:textFill>
        </w:rPr>
        <w:t>2.</w:t>
      </w:r>
      <w:r>
        <w:rPr>
          <w:rFonts w:hint="eastAsia" w:ascii="宋体" w:hAnsi="宋体" w:cs="宋体"/>
          <w:b/>
          <w:bCs/>
          <w:color w:val="000000" w:themeColor="text1"/>
          <w:sz w:val="24"/>
          <w:szCs w:val="24"/>
          <w:lang w:val="zh-CN"/>
          <w14:textFill>
            <w14:solidFill>
              <w14:schemeClr w14:val="tx1"/>
            </w14:solidFill>
          </w14:textFill>
        </w:rPr>
        <w:t>技术规格要求</w:t>
      </w:r>
      <w:bookmarkEnd w:id="396"/>
      <w:bookmarkEnd w:id="39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2.1 </w:t>
      </w:r>
      <w:r>
        <w:rPr>
          <w:rFonts w:hint="eastAsia" w:ascii="宋体" w:hAnsi="宋体" w:cs="宋体"/>
          <w:color w:val="000000" w:themeColor="text1"/>
          <w:sz w:val="24"/>
          <w:szCs w:val="24"/>
          <w:lang w:val="zh-CN"/>
          <w14:textFill>
            <w14:solidFill>
              <w14:schemeClr w14:val="tx1"/>
            </w14:solidFill>
          </w14:textFill>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2.2 </w:t>
      </w:r>
      <w:r>
        <w:rPr>
          <w:rFonts w:hint="eastAsia" w:ascii="宋体" w:hAnsi="宋体" w:cs="宋体"/>
          <w:color w:val="000000" w:themeColor="text1"/>
          <w:sz w:val="24"/>
          <w:szCs w:val="24"/>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2.3 </w:t>
      </w:r>
      <w:r>
        <w:rPr>
          <w:rFonts w:hint="eastAsia" w:ascii="宋体" w:hAnsi="宋体" w:cs="宋体"/>
          <w:color w:val="000000" w:themeColor="text1"/>
          <w:sz w:val="24"/>
          <w:szCs w:val="24"/>
          <w:lang w:val="zh-CN"/>
          <w14:textFill>
            <w14:solidFill>
              <w14:schemeClr w14:val="tx1"/>
            </w14:solidFill>
          </w14:textFill>
        </w:rPr>
        <w:t>除非技术规范中另有规定，计量单位均采用中华人民共和国法定计量单位。</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398" w:name="_Toc32387_WPSOffice_Level2"/>
      <w:bookmarkStart w:id="399" w:name="_Toc32539_WPSOffice_Level2"/>
      <w:r>
        <w:rPr>
          <w:rFonts w:ascii="宋体" w:hAnsi="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zh-CN"/>
          <w14:textFill>
            <w14:solidFill>
              <w14:schemeClr w14:val="tx1"/>
            </w14:solidFill>
          </w14:textFill>
        </w:rPr>
        <w:t>合同范围</w:t>
      </w:r>
      <w:bookmarkEnd w:id="398"/>
      <w:bookmarkEnd w:id="39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3.1 </w:t>
      </w:r>
      <w:r>
        <w:rPr>
          <w:rFonts w:hint="eastAsia" w:ascii="宋体" w:hAnsi="宋体" w:cs="宋体"/>
          <w:color w:val="000000" w:themeColor="text1"/>
          <w:sz w:val="24"/>
          <w:szCs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3.2 </w:t>
      </w:r>
      <w:r>
        <w:rPr>
          <w:rFonts w:hint="eastAsia" w:ascii="宋体" w:hAnsi="宋体" w:cs="宋体"/>
          <w:color w:val="000000" w:themeColor="text1"/>
          <w:sz w:val="24"/>
          <w:szCs w:val="24"/>
          <w:lang w:val="zh-CN"/>
          <w14:textFill>
            <w14:solidFill>
              <w14:schemeClr w14:val="tx1"/>
            </w14:solidFill>
          </w14:textFill>
        </w:rPr>
        <w:t>乙方应负责培训甲方的技术人员。</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3.3 </w:t>
      </w:r>
      <w:r>
        <w:rPr>
          <w:rFonts w:hint="eastAsia" w:ascii="宋体" w:hAnsi="宋体" w:cs="宋体"/>
          <w:color w:val="000000" w:themeColor="text1"/>
          <w:sz w:val="24"/>
          <w:szCs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0" w:name="_Toc13031_WPSOffice_Level2"/>
      <w:bookmarkStart w:id="401" w:name="_Toc4975_WPSOffice_Level2"/>
      <w:r>
        <w:rPr>
          <w:rFonts w:ascii="宋体" w:hAnsi="宋体" w:cs="宋体"/>
          <w:b/>
          <w:bCs/>
          <w:color w:val="000000" w:themeColor="text1"/>
          <w:sz w:val="24"/>
          <w:szCs w:val="24"/>
          <w14:textFill>
            <w14:solidFill>
              <w14:schemeClr w14:val="tx1"/>
            </w14:solidFill>
          </w14:textFill>
        </w:rPr>
        <w:t>4.</w:t>
      </w:r>
      <w:r>
        <w:rPr>
          <w:rFonts w:hint="eastAsia" w:ascii="宋体" w:hAnsi="宋体" w:cs="宋体"/>
          <w:b/>
          <w:bCs/>
          <w:color w:val="000000" w:themeColor="text1"/>
          <w:sz w:val="24"/>
          <w:szCs w:val="24"/>
          <w:lang w:val="zh-CN"/>
          <w14:textFill>
            <w14:solidFill>
              <w14:schemeClr w14:val="tx1"/>
            </w14:solidFill>
          </w14:textFill>
        </w:rPr>
        <w:t>合同文件和资料</w:t>
      </w:r>
      <w:bookmarkEnd w:id="400"/>
      <w:bookmarkEnd w:id="40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4.1</w:t>
      </w:r>
      <w:r>
        <w:rPr>
          <w:rFonts w:hint="eastAsia" w:ascii="宋体" w:hAnsi="宋体" w:cs="宋体"/>
          <w:color w:val="000000" w:themeColor="text1"/>
          <w:sz w:val="24"/>
          <w:szCs w:val="24"/>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4.2</w:t>
      </w:r>
      <w:r>
        <w:rPr>
          <w:rFonts w:hint="eastAsia" w:ascii="宋体" w:hAnsi="宋体" w:cs="宋体"/>
          <w:color w:val="000000" w:themeColor="text1"/>
          <w:sz w:val="24"/>
          <w:szCs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2" w:name="_Toc23542_WPSOffice_Level2"/>
      <w:bookmarkStart w:id="403" w:name="_Toc3663_WPSOffice_Level2"/>
      <w:r>
        <w:rPr>
          <w:rFonts w:ascii="宋体" w:hAnsi="宋体" w:cs="宋体"/>
          <w:b/>
          <w:bCs/>
          <w:color w:val="000000" w:themeColor="text1"/>
          <w:sz w:val="24"/>
          <w:szCs w:val="24"/>
          <w14:textFill>
            <w14:solidFill>
              <w14:schemeClr w14:val="tx1"/>
            </w14:solidFill>
          </w14:textFill>
        </w:rPr>
        <w:t>5.</w:t>
      </w:r>
      <w:r>
        <w:rPr>
          <w:rFonts w:hint="eastAsia" w:ascii="宋体" w:hAnsi="宋体" w:cs="宋体"/>
          <w:b/>
          <w:bCs/>
          <w:color w:val="000000" w:themeColor="text1"/>
          <w:sz w:val="24"/>
          <w:szCs w:val="24"/>
          <w:lang w:val="zh-CN"/>
          <w14:textFill>
            <w14:solidFill>
              <w14:schemeClr w14:val="tx1"/>
            </w14:solidFill>
          </w14:textFill>
        </w:rPr>
        <w:t>知识产权</w:t>
      </w:r>
      <w:bookmarkEnd w:id="402"/>
      <w:bookmarkEnd w:id="40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5.1</w:t>
      </w:r>
      <w:r>
        <w:rPr>
          <w:rFonts w:hint="eastAsia" w:ascii="宋体" w:hAnsi="宋体" w:cs="宋体"/>
          <w:color w:val="000000" w:themeColor="text1"/>
          <w:sz w:val="24"/>
          <w:szCs w:val="24"/>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5.2</w:t>
      </w:r>
      <w:r>
        <w:rPr>
          <w:rFonts w:hint="eastAsia" w:ascii="宋体" w:hAnsi="宋体" w:cs="宋体"/>
          <w:color w:val="000000" w:themeColor="text1"/>
          <w:sz w:val="24"/>
          <w:szCs w:val="24"/>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5.3</w:t>
      </w:r>
      <w:r>
        <w:rPr>
          <w:rFonts w:hint="eastAsia" w:ascii="宋体" w:hAnsi="宋体" w:cs="宋体"/>
          <w:color w:val="000000" w:themeColor="text1"/>
          <w:sz w:val="24"/>
          <w:szCs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5.4</w:t>
      </w:r>
      <w:r>
        <w:rPr>
          <w:rFonts w:hint="eastAsia" w:ascii="宋体" w:hAnsi="宋体" w:cs="宋体"/>
          <w:color w:val="000000" w:themeColor="text1"/>
          <w:sz w:val="24"/>
          <w:szCs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5.5</w:t>
      </w:r>
      <w:r>
        <w:rPr>
          <w:rFonts w:hint="eastAsia" w:ascii="宋体" w:hAnsi="宋体" w:cs="宋体"/>
          <w:color w:val="000000" w:themeColor="text1"/>
          <w:sz w:val="24"/>
          <w:szCs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4" w:name="_Toc13831_WPSOffice_Level2"/>
      <w:bookmarkStart w:id="405" w:name="_Toc28497_WPSOffice_Level2"/>
      <w:r>
        <w:rPr>
          <w:rFonts w:ascii="宋体" w:hAnsi="宋体" w:cs="宋体"/>
          <w:b/>
          <w:bCs/>
          <w:color w:val="000000" w:themeColor="text1"/>
          <w:sz w:val="24"/>
          <w:szCs w:val="24"/>
          <w14:textFill>
            <w14:solidFill>
              <w14:schemeClr w14:val="tx1"/>
            </w14:solidFill>
          </w14:textFill>
        </w:rPr>
        <w:t>6.</w:t>
      </w:r>
      <w:r>
        <w:rPr>
          <w:rFonts w:hint="eastAsia" w:ascii="宋体" w:hAnsi="宋体" w:cs="宋体"/>
          <w:b/>
          <w:bCs/>
          <w:color w:val="000000" w:themeColor="text1"/>
          <w:sz w:val="24"/>
          <w:szCs w:val="24"/>
          <w:lang w:val="zh-CN"/>
          <w14:textFill>
            <w14:solidFill>
              <w14:schemeClr w14:val="tx1"/>
            </w14:solidFill>
          </w14:textFill>
        </w:rPr>
        <w:t>保密</w:t>
      </w:r>
      <w:bookmarkEnd w:id="404"/>
      <w:bookmarkEnd w:id="40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6.1</w:t>
      </w:r>
      <w:r>
        <w:rPr>
          <w:rFonts w:hint="eastAsia" w:ascii="宋体" w:hAnsi="宋体" w:cs="宋体"/>
          <w:color w:val="000000" w:themeColor="text1"/>
          <w:sz w:val="24"/>
          <w:szCs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w:t>
      </w:r>
      <w:r>
        <w:rPr>
          <w:rFonts w:hint="eastAsia" w:ascii="宋体" w:hAnsi="宋体" w:cs="宋体"/>
          <w:color w:val="000000" w:themeColor="text1"/>
          <w:sz w:val="24"/>
          <w:szCs w:val="24"/>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6.2.1</w:t>
      </w:r>
      <w:r>
        <w:rPr>
          <w:rFonts w:hint="eastAsia" w:ascii="宋体" w:hAnsi="宋体" w:cs="宋体"/>
          <w:color w:val="000000" w:themeColor="text1"/>
          <w:sz w:val="24"/>
          <w:szCs w:val="24"/>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6.2.2</w:t>
      </w:r>
      <w:r>
        <w:rPr>
          <w:rFonts w:hint="eastAsia" w:ascii="宋体" w:hAnsi="宋体" w:cs="宋体"/>
          <w:color w:val="000000" w:themeColor="text1"/>
          <w:sz w:val="24"/>
          <w:szCs w:val="24"/>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6.2.3</w:t>
      </w:r>
      <w:r>
        <w:rPr>
          <w:rFonts w:hint="eastAsia" w:ascii="宋体" w:hAnsi="宋体" w:cs="宋体"/>
          <w:color w:val="000000" w:themeColor="text1"/>
          <w:sz w:val="24"/>
          <w:szCs w:val="24"/>
          <w:lang w:val="zh-CN"/>
          <w14:textFill>
            <w14:solidFill>
              <w14:schemeClr w14:val="tx1"/>
            </w14:solidFill>
          </w14:textFill>
        </w:rPr>
        <w:t>任何对方的技术秘密或专有知识、文件、报告、数据、客户软件、流程图、数据库、发明、知识、贸易秘密。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6.3</w:t>
      </w:r>
      <w:r>
        <w:rPr>
          <w:rFonts w:hint="eastAsia" w:ascii="宋体" w:hAnsi="宋体" w:cs="宋体"/>
          <w:color w:val="000000" w:themeColor="text1"/>
          <w:sz w:val="24"/>
          <w:szCs w:val="24"/>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6" w:name="_Toc7121_WPSOffice_Level2"/>
      <w:bookmarkStart w:id="407" w:name="_Toc82_WPSOffice_Level2"/>
      <w:r>
        <w:rPr>
          <w:rFonts w:ascii="宋体" w:hAnsi="宋体" w:cs="宋体"/>
          <w:b/>
          <w:bCs/>
          <w:color w:val="000000" w:themeColor="text1"/>
          <w:sz w:val="24"/>
          <w:szCs w:val="24"/>
          <w14:textFill>
            <w14:solidFill>
              <w14:schemeClr w14:val="tx1"/>
            </w14:solidFill>
          </w14:textFill>
        </w:rPr>
        <w:t xml:space="preserve">7. </w:t>
      </w:r>
      <w:r>
        <w:rPr>
          <w:rFonts w:hint="eastAsia" w:ascii="宋体" w:hAnsi="宋体" w:cs="宋体"/>
          <w:b/>
          <w:bCs/>
          <w:color w:val="000000" w:themeColor="text1"/>
          <w:sz w:val="24"/>
          <w:szCs w:val="24"/>
          <w:lang w:val="zh-CN"/>
          <w14:textFill>
            <w14:solidFill>
              <w14:schemeClr w14:val="tx1"/>
            </w14:solidFill>
          </w14:textFill>
        </w:rPr>
        <w:t>质量保证</w:t>
      </w:r>
      <w:bookmarkEnd w:id="406"/>
      <w:bookmarkEnd w:id="40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w:t>
      </w:r>
      <w:r>
        <w:rPr>
          <w:rFonts w:hint="eastAsia" w:ascii="宋体" w:hAnsi="宋体" w:cs="宋体"/>
          <w:color w:val="000000" w:themeColor="text1"/>
          <w:sz w:val="24"/>
          <w:szCs w:val="24"/>
          <w:lang w:val="zh-CN"/>
          <w14:textFill>
            <w14:solidFill>
              <w14:schemeClr w14:val="tx1"/>
            </w14:solidFill>
          </w14:textFill>
        </w:rPr>
        <w:t>货物质量保证</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7.1.1</w:t>
      </w:r>
      <w:r>
        <w:rPr>
          <w:rFonts w:hint="eastAsia" w:ascii="宋体" w:hAnsi="宋体" w:cs="宋体"/>
          <w:color w:val="000000" w:themeColor="text1"/>
          <w:sz w:val="24"/>
          <w:szCs w:val="24"/>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7.1.2</w:t>
      </w:r>
      <w:r>
        <w:rPr>
          <w:rFonts w:hint="eastAsia" w:ascii="宋体" w:hAnsi="宋体" w:cs="宋体"/>
          <w:color w:val="000000" w:themeColor="text1"/>
          <w:sz w:val="24"/>
          <w:szCs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7.1.3</w:t>
      </w:r>
      <w:r>
        <w:rPr>
          <w:rFonts w:hint="eastAsia" w:ascii="宋体" w:hAnsi="宋体" w:cs="宋体"/>
          <w:color w:val="000000" w:themeColor="text1"/>
          <w:sz w:val="24"/>
          <w:szCs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7.1.4</w:t>
      </w:r>
      <w:r>
        <w:rPr>
          <w:rFonts w:hint="eastAsia" w:ascii="宋体" w:hAnsi="宋体" w:cs="宋体"/>
          <w:color w:val="000000" w:themeColor="text1"/>
          <w:sz w:val="24"/>
          <w:szCs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7.1.5 </w:t>
      </w:r>
      <w:r>
        <w:rPr>
          <w:rFonts w:hint="eastAsia" w:ascii="宋体" w:hAnsi="宋体" w:cs="宋体"/>
          <w:color w:val="000000" w:themeColor="text1"/>
          <w:sz w:val="24"/>
          <w:szCs w:val="24"/>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w:t>
      </w:r>
      <w:r>
        <w:rPr>
          <w:rFonts w:hint="eastAsia" w:ascii="宋体" w:hAnsi="宋体" w:cs="宋体"/>
          <w:color w:val="000000" w:themeColor="text1"/>
          <w:sz w:val="24"/>
          <w:szCs w:val="24"/>
          <w:lang w:val="zh-CN"/>
          <w14:textFill>
            <w14:solidFill>
              <w14:schemeClr w14:val="tx1"/>
            </w14:solidFill>
          </w14:textFill>
        </w:rPr>
        <w:t>辅助服务质量保证</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7.2.1</w:t>
      </w:r>
      <w:r>
        <w:rPr>
          <w:rFonts w:hint="eastAsia" w:ascii="宋体" w:hAnsi="宋体" w:cs="宋体"/>
          <w:color w:val="000000" w:themeColor="text1"/>
          <w:sz w:val="24"/>
          <w:szCs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7.2.2</w:t>
      </w:r>
      <w:r>
        <w:rPr>
          <w:rFonts w:hint="eastAsia" w:ascii="宋体" w:hAnsi="宋体" w:cs="宋体"/>
          <w:color w:val="000000" w:themeColor="text1"/>
          <w:sz w:val="24"/>
          <w:szCs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08" w:name="_Toc27693_WPSOffice_Level2"/>
      <w:bookmarkStart w:id="409" w:name="_Toc32168_WPSOffice_Level2"/>
      <w:r>
        <w:rPr>
          <w:rFonts w:ascii="宋体" w:hAnsi="宋体" w:cs="宋体"/>
          <w:b/>
          <w:bCs/>
          <w:color w:val="000000" w:themeColor="text1"/>
          <w:sz w:val="24"/>
          <w:szCs w:val="24"/>
          <w14:textFill>
            <w14:solidFill>
              <w14:schemeClr w14:val="tx1"/>
            </w14:solidFill>
          </w14:textFill>
        </w:rPr>
        <w:t>8.</w:t>
      </w:r>
      <w:r>
        <w:rPr>
          <w:rFonts w:hint="eastAsia" w:ascii="宋体" w:hAnsi="宋体" w:cs="宋体"/>
          <w:b/>
          <w:bCs/>
          <w:color w:val="000000" w:themeColor="text1"/>
          <w:sz w:val="24"/>
          <w:szCs w:val="24"/>
          <w:lang w:val="zh-CN"/>
          <w14:textFill>
            <w14:solidFill>
              <w14:schemeClr w14:val="tx1"/>
            </w14:solidFill>
          </w14:textFill>
        </w:rPr>
        <w:t>包装要求</w:t>
      </w:r>
      <w:bookmarkEnd w:id="408"/>
      <w:bookmarkEnd w:id="40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8.1 </w:t>
      </w:r>
      <w:r>
        <w:rPr>
          <w:rFonts w:hint="eastAsia" w:ascii="宋体" w:hAnsi="宋体" w:cs="宋体"/>
          <w:color w:val="000000" w:themeColor="text1"/>
          <w:sz w:val="24"/>
          <w:szCs w:val="24"/>
          <w:lang w:val="zh-CN"/>
          <w14:textFill>
            <w14:solidFill>
              <w14:schemeClr w14:val="tx1"/>
            </w14:solidFill>
          </w14:textFill>
        </w:rPr>
        <w:t>除合同另有约定外</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乙方提供的全部货物</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8.2 </w:t>
      </w:r>
      <w:r>
        <w:rPr>
          <w:rFonts w:hint="eastAsia" w:ascii="宋体" w:hAnsi="宋体" w:cs="宋体"/>
          <w:color w:val="000000" w:themeColor="text1"/>
          <w:sz w:val="24"/>
          <w:szCs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乙方应提供货物运至合同规定的最终目的地所需要的包装，以防止货物在转运中损坏或变质。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8.3 </w:t>
      </w:r>
      <w:r>
        <w:rPr>
          <w:rFonts w:hint="eastAsia" w:ascii="宋体" w:hAnsi="宋体" w:cs="宋体"/>
          <w:color w:val="000000" w:themeColor="text1"/>
          <w:sz w:val="24"/>
          <w:szCs w:val="24"/>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8.4 </w:t>
      </w:r>
      <w:r>
        <w:rPr>
          <w:rFonts w:hint="eastAsia" w:ascii="宋体" w:hAnsi="宋体" w:cs="宋体"/>
          <w:color w:val="000000" w:themeColor="text1"/>
          <w:sz w:val="24"/>
          <w:szCs w:val="24"/>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8.5 </w:t>
      </w:r>
      <w:r>
        <w:rPr>
          <w:rFonts w:hint="eastAsia" w:ascii="宋体" w:hAnsi="宋体" w:cs="宋体"/>
          <w:color w:val="000000" w:themeColor="text1"/>
          <w:sz w:val="24"/>
          <w:szCs w:val="24"/>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0" w:name="_Toc27697_WPSOffice_Level2"/>
      <w:bookmarkStart w:id="411" w:name="_Toc32755_WPSOffice_Level2"/>
      <w:r>
        <w:rPr>
          <w:rFonts w:ascii="宋体" w:hAnsi="宋体" w:cs="宋体"/>
          <w:b/>
          <w:bCs/>
          <w:color w:val="000000" w:themeColor="text1"/>
          <w:sz w:val="24"/>
          <w:szCs w:val="24"/>
          <w14:textFill>
            <w14:solidFill>
              <w14:schemeClr w14:val="tx1"/>
            </w14:solidFill>
          </w14:textFill>
        </w:rPr>
        <w:t xml:space="preserve">9. </w:t>
      </w:r>
      <w:r>
        <w:rPr>
          <w:rFonts w:hint="eastAsia" w:ascii="宋体" w:hAnsi="宋体" w:cs="宋体"/>
          <w:b/>
          <w:bCs/>
          <w:color w:val="000000" w:themeColor="text1"/>
          <w:sz w:val="24"/>
          <w:szCs w:val="24"/>
          <w:lang w:val="zh-CN"/>
          <w14:textFill>
            <w14:solidFill>
              <w14:schemeClr w14:val="tx1"/>
            </w14:solidFill>
          </w14:textFill>
        </w:rPr>
        <w:t>价格</w:t>
      </w:r>
      <w:bookmarkEnd w:id="410"/>
      <w:bookmarkEnd w:id="41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9.1 </w:t>
      </w:r>
      <w:r>
        <w:rPr>
          <w:rFonts w:hint="eastAsia" w:ascii="宋体" w:hAnsi="宋体" w:cs="宋体"/>
          <w:color w:val="000000" w:themeColor="text1"/>
          <w:sz w:val="24"/>
          <w:szCs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9.2 </w:t>
      </w:r>
      <w:r>
        <w:rPr>
          <w:rFonts w:hint="eastAsia" w:ascii="宋体" w:hAnsi="宋体" w:cs="宋体"/>
          <w:color w:val="000000" w:themeColor="text1"/>
          <w:sz w:val="24"/>
          <w:szCs w:val="24"/>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9.3</w:t>
      </w:r>
      <w:r>
        <w:rPr>
          <w:rFonts w:hint="eastAsia" w:ascii="宋体" w:hAnsi="宋体" w:cs="宋体"/>
          <w:color w:val="000000" w:themeColor="text1"/>
          <w:sz w:val="24"/>
          <w:szCs w:val="24"/>
          <w:lang w:val="zh-CN"/>
          <w14:textFill>
            <w14:solidFill>
              <w14:schemeClr w14:val="tx1"/>
            </w14:solidFill>
          </w14:textFill>
        </w:rPr>
        <w:t>检验费用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9.3.1 </w:t>
      </w:r>
      <w:r>
        <w:rPr>
          <w:rFonts w:hint="eastAsia" w:ascii="宋体" w:hAnsi="宋体" w:cs="宋体"/>
          <w:color w:val="000000" w:themeColor="text1"/>
          <w:sz w:val="24"/>
          <w:szCs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9.3.2 </w:t>
      </w:r>
      <w:r>
        <w:rPr>
          <w:rFonts w:hint="eastAsia" w:ascii="宋体" w:hAnsi="宋体" w:cs="宋体"/>
          <w:color w:val="000000" w:themeColor="text1"/>
          <w:sz w:val="24"/>
          <w:szCs w:val="24"/>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9.3.3</w:t>
      </w:r>
      <w:r>
        <w:rPr>
          <w:rFonts w:hint="eastAsia" w:ascii="宋体" w:hAnsi="宋体" w:cs="宋体"/>
          <w:color w:val="000000" w:themeColor="text1"/>
          <w:sz w:val="24"/>
          <w:szCs w:val="24"/>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2" w:name="_Toc203_WPSOffice_Level2"/>
      <w:bookmarkStart w:id="413" w:name="_Toc7519_WPSOffice_Level2"/>
      <w:r>
        <w:rPr>
          <w:rFonts w:ascii="宋体" w:hAnsi="宋体" w:cs="宋体"/>
          <w:b/>
          <w:bCs/>
          <w:color w:val="000000" w:themeColor="text1"/>
          <w:sz w:val="24"/>
          <w:szCs w:val="24"/>
          <w14:textFill>
            <w14:solidFill>
              <w14:schemeClr w14:val="tx1"/>
            </w14:solidFill>
          </w14:textFill>
        </w:rPr>
        <w:t>10.</w:t>
      </w:r>
      <w:r>
        <w:rPr>
          <w:rFonts w:hint="eastAsia" w:ascii="宋体" w:hAnsi="宋体" w:cs="宋体"/>
          <w:b/>
          <w:bCs/>
          <w:color w:val="000000" w:themeColor="text1"/>
          <w:sz w:val="24"/>
          <w:szCs w:val="24"/>
          <w:lang w:val="zh-CN"/>
          <w14:textFill>
            <w14:solidFill>
              <w14:schemeClr w14:val="tx1"/>
            </w14:solidFill>
          </w14:textFill>
        </w:rPr>
        <w:t>交货方式及交货日期</w:t>
      </w:r>
      <w:bookmarkEnd w:id="412"/>
      <w:bookmarkEnd w:id="413"/>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交货时间：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交货日期：所有货物运抵现场并经双方开箱验收合格之日。</w:t>
      </w:r>
    </w:p>
    <w:p>
      <w:pPr>
        <w:autoSpaceDE w:val="0"/>
        <w:autoSpaceDN w:val="0"/>
        <w:spacing w:line="360" w:lineRule="auto"/>
        <w:ind w:firstLine="480"/>
        <w:rPr>
          <w:rFonts w:ascii="宋体" w:cs="Times New Roman"/>
          <w:color w:val="000000" w:themeColor="text1"/>
          <w:sz w:val="24"/>
          <w:szCs w:val="24"/>
          <w:lang w:val="zh-CN"/>
          <w14:textFill>
            <w14:solidFill>
              <w14:schemeClr w14:val="tx1"/>
            </w14:solidFill>
          </w14:textFill>
        </w:rPr>
      </w:pPr>
      <w:bookmarkStart w:id="414" w:name="_Toc24223_WPSOffice_Level2"/>
      <w:bookmarkStart w:id="415" w:name="_Toc3392_WPSOffice_Level2"/>
      <w:r>
        <w:rPr>
          <w:rFonts w:ascii="宋体" w:hAnsi="宋体" w:cs="宋体"/>
          <w:color w:val="000000" w:themeColor="text1"/>
          <w:sz w:val="24"/>
          <w:szCs w:val="24"/>
          <w:lang w:val="zh-CN"/>
          <w14:textFill>
            <w14:solidFill>
              <w14:schemeClr w14:val="tx1"/>
            </w14:solidFill>
          </w14:textFill>
        </w:rPr>
        <w:t>11.</w:t>
      </w:r>
      <w:r>
        <w:rPr>
          <w:rFonts w:hint="eastAsia" w:ascii="宋体" w:hAnsi="宋体" w:cs="宋体"/>
          <w:color w:val="000000" w:themeColor="text1"/>
          <w:sz w:val="24"/>
          <w:szCs w:val="24"/>
          <w:lang w:val="zh-CN"/>
          <w14:textFill>
            <w14:solidFill>
              <w14:schemeClr w14:val="tx1"/>
            </w14:solidFill>
          </w14:textFill>
        </w:rPr>
        <w:t>检验和验收</w:t>
      </w:r>
      <w:bookmarkEnd w:id="414"/>
      <w:bookmarkEnd w:id="41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w:t>
      </w:r>
      <w:r>
        <w:rPr>
          <w:rFonts w:hint="eastAsia" w:ascii="宋体" w:hAnsi="宋体" w:cs="宋体"/>
          <w:color w:val="000000" w:themeColor="text1"/>
          <w:sz w:val="24"/>
          <w:szCs w:val="24"/>
          <w:lang w:val="zh-CN"/>
          <w14:textFill>
            <w14:solidFill>
              <w14:schemeClr w14:val="tx1"/>
            </w14:solidFill>
          </w14:textFill>
        </w:rPr>
        <w:t>开箱验收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11.1.1</w:t>
      </w:r>
      <w:r>
        <w:rPr>
          <w:rFonts w:hint="eastAsia" w:ascii="宋体" w:hAnsi="宋体" w:cs="宋体"/>
          <w:color w:val="000000" w:themeColor="text1"/>
          <w:sz w:val="24"/>
          <w:szCs w:val="24"/>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11.1.2 </w:t>
      </w:r>
      <w:r>
        <w:rPr>
          <w:rFonts w:hint="eastAsia" w:ascii="宋体" w:hAnsi="宋体" w:cs="宋体"/>
          <w:color w:val="000000" w:themeColor="text1"/>
          <w:sz w:val="24"/>
          <w:szCs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11.1.3 </w:t>
      </w:r>
      <w:r>
        <w:rPr>
          <w:rFonts w:hint="eastAsia" w:ascii="宋体" w:hAnsi="宋体" w:cs="宋体"/>
          <w:color w:val="000000" w:themeColor="text1"/>
          <w:sz w:val="24"/>
          <w:szCs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  </w:t>
      </w:r>
      <w:r>
        <w:rPr>
          <w:rFonts w:hint="eastAsia" w:ascii="宋体" w:hAnsi="宋体" w:cs="宋体"/>
          <w:color w:val="000000" w:themeColor="text1"/>
          <w:sz w:val="24"/>
          <w:szCs w:val="24"/>
          <w:lang w:val="zh-CN"/>
          <w14:textFill>
            <w14:solidFill>
              <w14:schemeClr w14:val="tx1"/>
            </w14:solidFill>
          </w14:textFill>
        </w:rPr>
        <w:t>检验验收</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11.2.1 </w:t>
      </w:r>
      <w:r>
        <w:rPr>
          <w:rFonts w:hint="eastAsia" w:ascii="宋体" w:hAnsi="宋体" w:cs="宋体"/>
          <w:color w:val="000000" w:themeColor="text1"/>
          <w:sz w:val="24"/>
          <w:szCs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11.2.2 </w:t>
      </w:r>
      <w:r>
        <w:rPr>
          <w:rFonts w:hint="eastAsia" w:ascii="宋体" w:hAnsi="宋体" w:cs="宋体"/>
          <w:color w:val="000000" w:themeColor="text1"/>
          <w:sz w:val="24"/>
          <w:szCs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11.2.3  </w:t>
      </w:r>
      <w:r>
        <w:rPr>
          <w:rFonts w:hint="eastAsia" w:ascii="宋体" w:hAnsi="宋体" w:cs="宋体"/>
          <w:color w:val="000000" w:themeColor="text1"/>
          <w:sz w:val="24"/>
          <w:szCs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11.2.4  </w:t>
      </w:r>
      <w:r>
        <w:rPr>
          <w:rFonts w:hint="eastAsia" w:ascii="宋体" w:hAnsi="宋体" w:cs="宋体"/>
          <w:color w:val="000000" w:themeColor="text1"/>
          <w:sz w:val="24"/>
          <w:szCs w:val="24"/>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a.</w:t>
      </w:r>
      <w:r>
        <w:rPr>
          <w:rFonts w:hint="eastAsia" w:ascii="宋体" w:hAnsi="宋体" w:cs="宋体"/>
          <w:color w:val="000000" w:themeColor="text1"/>
          <w:sz w:val="24"/>
          <w:szCs w:val="24"/>
          <w:lang w:val="zh-CN"/>
          <w14:textFill>
            <w14:solidFill>
              <w14:schemeClr w14:val="tx1"/>
            </w14:solidFill>
          </w14:textFill>
        </w:rPr>
        <w:t>重新测试直至合格为止；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b.</w:t>
      </w:r>
      <w:r>
        <w:rPr>
          <w:rFonts w:hint="eastAsia" w:ascii="宋体" w:hAnsi="宋体" w:cs="宋体"/>
          <w:color w:val="000000" w:themeColor="text1"/>
          <w:sz w:val="24"/>
          <w:szCs w:val="24"/>
          <w:lang w:val="zh-CN"/>
          <w14:textFill>
            <w14:solidFill>
              <w14:schemeClr w14:val="tx1"/>
            </w14:solidFill>
          </w14:textFill>
        </w:rPr>
        <w:t>要求乙方对货物进行免费更换，然后重新测试直至合格为止；</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11.3  </w:t>
      </w:r>
      <w:r>
        <w:rPr>
          <w:rFonts w:hint="eastAsia" w:ascii="宋体" w:hAnsi="宋体" w:cs="宋体"/>
          <w:color w:val="000000" w:themeColor="text1"/>
          <w:sz w:val="24"/>
          <w:szCs w:val="24"/>
          <w:lang w:val="zh-CN"/>
          <w14:textFill>
            <w14:solidFill>
              <w14:schemeClr w14:val="tx1"/>
            </w14:solidFill>
          </w14:textFill>
        </w:rPr>
        <w:t>使用过程检验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11.3.1</w:t>
      </w:r>
      <w:r>
        <w:rPr>
          <w:rFonts w:hint="eastAsia" w:ascii="宋体" w:hAnsi="宋体" w:cs="宋体"/>
          <w:color w:val="000000" w:themeColor="text1"/>
          <w:sz w:val="24"/>
          <w:szCs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11.3.2</w:t>
      </w:r>
      <w:r>
        <w:rPr>
          <w:rFonts w:hint="eastAsia" w:ascii="宋体" w:hAnsi="宋体" w:cs="宋体"/>
          <w:color w:val="000000" w:themeColor="text1"/>
          <w:sz w:val="24"/>
          <w:szCs w:val="24"/>
          <w:lang w:val="zh-CN"/>
          <w14:textFill>
            <w14:solidFill>
              <w14:schemeClr w14:val="tx1"/>
            </w14:solidFill>
          </w14:textFill>
        </w:rPr>
        <w:t>如果合同双方对乙方提供的上述试验结果报告的解释有分歧，双方须于出现分歧后</w:t>
      </w:r>
      <w:r>
        <w:rPr>
          <w:rFonts w:ascii="宋体" w:hAnsi="宋体" w:cs="宋体"/>
          <w:color w:val="000000" w:themeColor="text1"/>
          <w:sz w:val="24"/>
          <w:szCs w:val="24"/>
          <w14:textFill>
            <w14:solidFill>
              <w14:schemeClr w14:val="tx1"/>
            </w14:solidFill>
          </w14:textFill>
        </w:rPr>
        <w:t>10</w:t>
      </w:r>
      <w:r>
        <w:rPr>
          <w:rFonts w:hint="eastAsia" w:ascii="宋体" w:hAnsi="宋体" w:cs="宋体"/>
          <w:color w:val="000000" w:themeColor="text1"/>
          <w:sz w:val="24"/>
          <w:szCs w:val="24"/>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6" w:name="_Toc31493_WPSOffice_Level2"/>
      <w:bookmarkStart w:id="417" w:name="_Toc12424_WPSOffice_Level2"/>
      <w:r>
        <w:rPr>
          <w:rFonts w:ascii="宋体" w:hAnsi="宋体" w:cs="宋体"/>
          <w:b/>
          <w:bCs/>
          <w:color w:val="000000" w:themeColor="text1"/>
          <w:sz w:val="24"/>
          <w:szCs w:val="24"/>
          <w14:textFill>
            <w14:solidFill>
              <w14:schemeClr w14:val="tx1"/>
            </w14:solidFill>
          </w14:textFill>
        </w:rPr>
        <w:t>12.</w:t>
      </w:r>
      <w:r>
        <w:rPr>
          <w:rFonts w:hint="eastAsia" w:ascii="宋体" w:hAnsi="宋体" w:cs="宋体"/>
          <w:b/>
          <w:bCs/>
          <w:color w:val="000000" w:themeColor="text1"/>
          <w:sz w:val="24"/>
          <w:szCs w:val="24"/>
          <w:lang w:val="zh-CN"/>
          <w14:textFill>
            <w14:solidFill>
              <w14:schemeClr w14:val="tx1"/>
            </w14:solidFill>
          </w14:textFill>
        </w:rPr>
        <w:t>付款条件</w:t>
      </w:r>
      <w:bookmarkEnd w:id="416"/>
      <w:bookmarkEnd w:id="41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本合同条款下的付款方法和条件在“青海省政府采购合同书”中具体规定。</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18" w:name="_Toc16210_WPSOffice_Level2"/>
      <w:bookmarkStart w:id="419" w:name="_Toc13931_WPSOffice_Level2"/>
      <w:r>
        <w:rPr>
          <w:rFonts w:ascii="宋体" w:hAnsi="宋体" w:cs="宋体"/>
          <w:b/>
          <w:bCs/>
          <w:color w:val="000000" w:themeColor="text1"/>
          <w:sz w:val="24"/>
          <w:szCs w:val="24"/>
          <w14:textFill>
            <w14:solidFill>
              <w14:schemeClr w14:val="tx1"/>
            </w14:solidFill>
          </w14:textFill>
        </w:rPr>
        <w:t>13.</w:t>
      </w:r>
      <w:r>
        <w:rPr>
          <w:rFonts w:hint="eastAsia" w:ascii="宋体" w:hAnsi="宋体" w:cs="宋体"/>
          <w:b/>
          <w:bCs/>
          <w:color w:val="000000" w:themeColor="text1"/>
          <w:sz w:val="24"/>
          <w:szCs w:val="24"/>
          <w:lang w:val="zh-CN"/>
          <w14:textFill>
            <w14:solidFill>
              <w14:schemeClr w14:val="tx1"/>
            </w14:solidFill>
          </w14:textFill>
        </w:rPr>
        <w:t>履约保证金</w:t>
      </w:r>
      <w:bookmarkEnd w:id="418"/>
      <w:bookmarkEnd w:id="41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13.1</w:t>
      </w:r>
      <w:r>
        <w:rPr>
          <w:rFonts w:hint="eastAsia" w:ascii="宋体" w:hAnsi="宋体" w:cs="宋体"/>
          <w:color w:val="000000" w:themeColor="text1"/>
          <w:sz w:val="24"/>
          <w:szCs w:val="24"/>
          <w:lang w:val="zh-CN"/>
          <w14:textFill>
            <w14:solidFill>
              <w14:schemeClr w14:val="tx1"/>
            </w14:solidFill>
          </w14:textFill>
        </w:rPr>
        <w:t>乙方应在合同签订前，按磋商文件第三部分“八授予合同”中第</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1</w:t>
      </w:r>
      <w:r>
        <w:rPr>
          <w:rFonts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项的约定提交履约保证金。</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13.2</w:t>
      </w:r>
      <w:r>
        <w:rPr>
          <w:rFonts w:hint="eastAsia" w:ascii="宋体" w:hAnsi="宋体" w:cs="宋体"/>
          <w:color w:val="000000" w:themeColor="text1"/>
          <w:sz w:val="24"/>
          <w:szCs w:val="24"/>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13.3</w:t>
      </w:r>
      <w:r>
        <w:rPr>
          <w:rFonts w:hint="eastAsia" w:ascii="宋体" w:hAnsi="宋体" w:cs="宋体"/>
          <w:color w:val="000000" w:themeColor="text1"/>
          <w:sz w:val="24"/>
          <w:szCs w:val="24"/>
          <w:lang w:val="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13.3.1</w:t>
      </w:r>
      <w:r>
        <w:rPr>
          <w:rFonts w:hint="eastAsia" w:ascii="宋体" w:hAnsi="宋体" w:cs="宋体"/>
          <w:color w:val="000000" w:themeColor="text1"/>
          <w:sz w:val="24"/>
          <w:szCs w:val="24"/>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13.3.2 </w:t>
      </w:r>
      <w:r>
        <w:rPr>
          <w:rFonts w:hint="eastAsia" w:ascii="宋体" w:hAnsi="宋体" w:cs="宋体"/>
          <w:color w:val="000000" w:themeColor="text1"/>
          <w:sz w:val="24"/>
          <w:szCs w:val="24"/>
          <w:lang w:val="zh-CN"/>
          <w14:textFill>
            <w14:solidFill>
              <w14:schemeClr w14:val="tx1"/>
            </w14:solidFill>
          </w14:textFill>
        </w:rPr>
        <w:t>支票或汇票。</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13.4</w:t>
      </w:r>
      <w:r>
        <w:rPr>
          <w:rFonts w:hint="eastAsia" w:ascii="宋体" w:hAnsi="宋体" w:cs="宋体"/>
          <w:color w:val="000000" w:themeColor="text1"/>
          <w:sz w:val="24"/>
          <w:szCs w:val="24"/>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0" w:name="_Toc14366_WPSOffice_Level2"/>
      <w:bookmarkStart w:id="421" w:name="_Toc14462_WPSOffice_Level2"/>
      <w:r>
        <w:rPr>
          <w:rFonts w:ascii="宋体" w:hAnsi="宋体" w:cs="宋体"/>
          <w:b/>
          <w:bCs/>
          <w:color w:val="000000" w:themeColor="text1"/>
          <w:sz w:val="24"/>
          <w:szCs w:val="24"/>
          <w14:textFill>
            <w14:solidFill>
              <w14:schemeClr w14:val="tx1"/>
            </w14:solidFill>
          </w14:textFill>
        </w:rPr>
        <w:t>14.</w:t>
      </w:r>
      <w:r>
        <w:rPr>
          <w:rFonts w:hint="eastAsia" w:ascii="宋体" w:hAnsi="宋体" w:cs="宋体"/>
          <w:b/>
          <w:bCs/>
          <w:color w:val="000000" w:themeColor="text1"/>
          <w:sz w:val="24"/>
          <w:szCs w:val="24"/>
          <w:lang w:val="zh-CN"/>
          <w14:textFill>
            <w14:solidFill>
              <w14:schemeClr w14:val="tx1"/>
            </w14:solidFill>
          </w14:textFill>
        </w:rPr>
        <w:t>索赔</w:t>
      </w:r>
      <w:bookmarkEnd w:id="420"/>
      <w:bookmarkEnd w:id="42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14.1</w:t>
      </w:r>
      <w:r>
        <w:rPr>
          <w:rFonts w:hint="eastAsia" w:ascii="宋体" w:hAnsi="宋体" w:cs="宋体"/>
          <w:color w:val="000000" w:themeColor="text1"/>
          <w:sz w:val="24"/>
          <w:szCs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w:t>
      </w:r>
      <w:r>
        <w:rPr>
          <w:rFonts w:hint="eastAsia" w:ascii="宋体" w:hAnsi="宋体" w:cs="宋体"/>
          <w:color w:val="000000" w:themeColor="text1"/>
          <w:sz w:val="24"/>
          <w:szCs w:val="24"/>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14.2.1</w:t>
      </w:r>
      <w:r>
        <w:rPr>
          <w:rFonts w:hint="eastAsia" w:ascii="宋体" w:hAnsi="宋体" w:cs="宋体"/>
          <w:color w:val="000000" w:themeColor="text1"/>
          <w:sz w:val="24"/>
          <w:szCs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14.2.2</w:t>
      </w:r>
      <w:r>
        <w:rPr>
          <w:rFonts w:hint="eastAsia" w:ascii="宋体" w:hAnsi="宋体" w:cs="宋体"/>
          <w:color w:val="000000" w:themeColor="text1"/>
          <w:sz w:val="24"/>
          <w:szCs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14.2.3</w:t>
      </w:r>
      <w:r>
        <w:rPr>
          <w:rFonts w:hint="eastAsia" w:ascii="宋体" w:hAnsi="宋体" w:cs="宋体"/>
          <w:color w:val="000000" w:themeColor="text1"/>
          <w:sz w:val="24"/>
          <w:szCs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14.3</w:t>
      </w:r>
      <w:r>
        <w:rPr>
          <w:rFonts w:hint="eastAsia" w:ascii="宋体" w:hAnsi="宋体" w:cs="宋体"/>
          <w:color w:val="000000" w:themeColor="text1"/>
          <w:sz w:val="24"/>
          <w:szCs w:val="24"/>
          <w:lang w:val="zh-CN"/>
          <w14:textFill>
            <w14:solidFill>
              <w14:schemeClr w14:val="tx1"/>
            </w14:solidFill>
          </w14:textFill>
        </w:rPr>
        <w:t>乙方收到甲方发出的索赔通知之日起</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2" w:name="_Toc1552_WPSOffice_Level2"/>
      <w:bookmarkStart w:id="423" w:name="_Toc3647_WPSOffice_Level2"/>
      <w:r>
        <w:rPr>
          <w:rFonts w:ascii="宋体" w:hAnsi="宋体" w:cs="宋体"/>
          <w:b/>
          <w:bCs/>
          <w:color w:val="000000" w:themeColor="text1"/>
          <w:sz w:val="24"/>
          <w:szCs w:val="24"/>
          <w14:textFill>
            <w14:solidFill>
              <w14:schemeClr w14:val="tx1"/>
            </w14:solidFill>
          </w14:textFill>
        </w:rPr>
        <w:t>15.</w:t>
      </w:r>
      <w:r>
        <w:rPr>
          <w:rFonts w:hint="eastAsia" w:ascii="宋体" w:hAnsi="宋体" w:cs="宋体"/>
          <w:b/>
          <w:bCs/>
          <w:color w:val="000000" w:themeColor="text1"/>
          <w:sz w:val="24"/>
          <w:szCs w:val="24"/>
          <w:lang w:val="zh-CN"/>
          <w14:textFill>
            <w14:solidFill>
              <w14:schemeClr w14:val="tx1"/>
            </w14:solidFill>
          </w14:textFill>
        </w:rPr>
        <w:t>迟延交货</w:t>
      </w:r>
      <w:bookmarkEnd w:id="422"/>
      <w:bookmarkEnd w:id="42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15.1 </w:t>
      </w:r>
      <w:r>
        <w:rPr>
          <w:rFonts w:hint="eastAsia" w:ascii="宋体" w:hAnsi="宋体" w:cs="宋体"/>
          <w:color w:val="000000" w:themeColor="text1"/>
          <w:sz w:val="24"/>
          <w:szCs w:val="24"/>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15.2 </w:t>
      </w:r>
      <w:r>
        <w:rPr>
          <w:rFonts w:hint="eastAsia" w:ascii="宋体" w:hAnsi="宋体" w:cs="宋体"/>
          <w:color w:val="000000" w:themeColor="text1"/>
          <w:sz w:val="24"/>
          <w:szCs w:val="24"/>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15.3</w:t>
      </w:r>
      <w:r>
        <w:rPr>
          <w:rFonts w:hint="eastAsia" w:ascii="宋体" w:hAnsi="宋体" w:cs="宋体"/>
          <w:color w:val="000000" w:themeColor="text1"/>
          <w:sz w:val="24"/>
          <w:szCs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4" w:name="_Toc29561_WPSOffice_Level2"/>
      <w:bookmarkStart w:id="425" w:name="_Toc5867_WPSOffice_Level2"/>
      <w:r>
        <w:rPr>
          <w:rFonts w:ascii="宋体" w:hAnsi="宋体" w:cs="宋体"/>
          <w:b/>
          <w:bCs/>
          <w:color w:val="000000" w:themeColor="text1"/>
          <w:sz w:val="24"/>
          <w:szCs w:val="24"/>
          <w14:textFill>
            <w14:solidFill>
              <w14:schemeClr w14:val="tx1"/>
            </w14:solidFill>
          </w14:textFill>
        </w:rPr>
        <w:t>16.</w:t>
      </w:r>
      <w:r>
        <w:rPr>
          <w:rFonts w:hint="eastAsia" w:ascii="宋体" w:hAnsi="宋体" w:cs="宋体"/>
          <w:b/>
          <w:bCs/>
          <w:color w:val="000000" w:themeColor="text1"/>
          <w:sz w:val="24"/>
          <w:szCs w:val="24"/>
          <w:lang w:val="zh-CN"/>
          <w14:textFill>
            <w14:solidFill>
              <w14:schemeClr w14:val="tx1"/>
            </w14:solidFill>
          </w14:textFill>
        </w:rPr>
        <w:t>违约赔偿</w:t>
      </w:r>
      <w:bookmarkEnd w:id="424"/>
      <w:bookmarkEnd w:id="42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6" w:name="_Toc24838_WPSOffice_Level2"/>
      <w:bookmarkStart w:id="427" w:name="_Toc18743_WPSOffice_Level2"/>
      <w:r>
        <w:rPr>
          <w:rFonts w:ascii="宋体" w:hAnsi="宋体" w:cs="宋体"/>
          <w:b/>
          <w:bCs/>
          <w:color w:val="000000" w:themeColor="text1"/>
          <w:sz w:val="24"/>
          <w:szCs w:val="24"/>
          <w14:textFill>
            <w14:solidFill>
              <w14:schemeClr w14:val="tx1"/>
            </w14:solidFill>
          </w14:textFill>
        </w:rPr>
        <w:t>17.</w:t>
      </w:r>
      <w:r>
        <w:rPr>
          <w:rFonts w:hint="eastAsia" w:ascii="宋体" w:hAnsi="宋体" w:cs="宋体"/>
          <w:b/>
          <w:bCs/>
          <w:color w:val="000000" w:themeColor="text1"/>
          <w:sz w:val="24"/>
          <w:szCs w:val="24"/>
          <w:lang w:val="zh-CN"/>
          <w14:textFill>
            <w14:solidFill>
              <w14:schemeClr w14:val="tx1"/>
            </w14:solidFill>
          </w14:textFill>
        </w:rPr>
        <w:t>不可抗力</w:t>
      </w:r>
      <w:bookmarkEnd w:id="426"/>
      <w:bookmarkEnd w:id="42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17.1.</w:t>
      </w:r>
      <w:r>
        <w:rPr>
          <w:rFonts w:hint="eastAsia" w:ascii="宋体" w:hAnsi="宋体" w:cs="宋体"/>
          <w:color w:val="000000" w:themeColor="text1"/>
          <w:sz w:val="24"/>
          <w:szCs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17.2</w:t>
      </w:r>
      <w:r>
        <w:rPr>
          <w:rFonts w:hint="eastAsia" w:ascii="宋体" w:hAnsi="宋体" w:cs="宋体"/>
          <w:color w:val="000000" w:themeColor="text1"/>
          <w:sz w:val="24"/>
          <w:szCs w:val="24"/>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17.3</w:t>
      </w:r>
      <w:r>
        <w:rPr>
          <w:rFonts w:hint="eastAsia" w:ascii="宋体" w:hAnsi="宋体" w:cs="宋体"/>
          <w:color w:val="000000" w:themeColor="text1"/>
          <w:sz w:val="24"/>
          <w:szCs w:val="24"/>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28" w:name="_Toc17641_WPSOffice_Level2"/>
      <w:bookmarkStart w:id="429" w:name="_Toc3745_WPSOffice_Level2"/>
      <w:r>
        <w:rPr>
          <w:rFonts w:ascii="宋体" w:hAnsi="宋体" w:cs="宋体"/>
          <w:b/>
          <w:bCs/>
          <w:color w:val="000000" w:themeColor="text1"/>
          <w:sz w:val="24"/>
          <w:szCs w:val="24"/>
          <w14:textFill>
            <w14:solidFill>
              <w14:schemeClr w14:val="tx1"/>
            </w14:solidFill>
          </w14:textFill>
        </w:rPr>
        <w:t>18.</w:t>
      </w:r>
      <w:r>
        <w:rPr>
          <w:rFonts w:hint="eastAsia" w:ascii="宋体" w:hAnsi="宋体" w:cs="宋体"/>
          <w:b/>
          <w:bCs/>
          <w:color w:val="000000" w:themeColor="text1"/>
          <w:sz w:val="24"/>
          <w:szCs w:val="24"/>
          <w:lang w:val="zh-CN"/>
          <w14:textFill>
            <w14:solidFill>
              <w14:schemeClr w14:val="tx1"/>
            </w14:solidFill>
          </w14:textFill>
        </w:rPr>
        <w:t>税费</w:t>
      </w:r>
      <w:bookmarkEnd w:id="428"/>
      <w:bookmarkEnd w:id="42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与本合同有关的一切税费均由乙方承担。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0" w:name="_Toc5766_WPSOffice_Level2"/>
      <w:bookmarkStart w:id="431" w:name="_Toc31039_WPSOffice_Level2"/>
      <w:r>
        <w:rPr>
          <w:rFonts w:ascii="宋体" w:hAnsi="宋体" w:cs="宋体"/>
          <w:b/>
          <w:bCs/>
          <w:color w:val="000000" w:themeColor="text1"/>
          <w:sz w:val="24"/>
          <w:szCs w:val="24"/>
          <w14:textFill>
            <w14:solidFill>
              <w14:schemeClr w14:val="tx1"/>
            </w14:solidFill>
          </w14:textFill>
        </w:rPr>
        <w:t>19.</w:t>
      </w:r>
      <w:r>
        <w:rPr>
          <w:rFonts w:hint="eastAsia" w:ascii="宋体" w:hAnsi="宋体" w:cs="宋体"/>
          <w:b/>
          <w:bCs/>
          <w:color w:val="000000" w:themeColor="text1"/>
          <w:sz w:val="24"/>
          <w:szCs w:val="24"/>
          <w:lang w:val="zh-CN"/>
          <w14:textFill>
            <w14:solidFill>
              <w14:schemeClr w14:val="tx1"/>
            </w14:solidFill>
          </w14:textFill>
        </w:rPr>
        <w:t>合同争议的解决</w:t>
      </w:r>
      <w:bookmarkEnd w:id="430"/>
      <w:bookmarkEnd w:id="43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19.1</w:t>
      </w:r>
      <w:r>
        <w:rPr>
          <w:rFonts w:hint="eastAsia" w:ascii="宋体" w:hAnsi="宋体" w:cs="宋体"/>
          <w:color w:val="000000" w:themeColor="text1"/>
          <w:sz w:val="24"/>
          <w:szCs w:val="24"/>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19.2</w:t>
      </w:r>
      <w:r>
        <w:rPr>
          <w:rFonts w:hint="eastAsia" w:ascii="宋体" w:hAnsi="宋体" w:cs="宋体"/>
          <w:color w:val="000000" w:themeColor="text1"/>
          <w:sz w:val="24"/>
          <w:szCs w:val="24"/>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2" w:name="_Toc7749_WPSOffice_Level2"/>
      <w:bookmarkStart w:id="433" w:name="_Toc7299_WPSOffice_Level2"/>
      <w:r>
        <w:rPr>
          <w:rFonts w:ascii="宋体" w:hAnsi="宋体" w:cs="宋体"/>
          <w:b/>
          <w:bCs/>
          <w:color w:val="000000" w:themeColor="text1"/>
          <w:sz w:val="24"/>
          <w:szCs w:val="24"/>
          <w14:textFill>
            <w14:solidFill>
              <w14:schemeClr w14:val="tx1"/>
            </w14:solidFill>
          </w14:textFill>
        </w:rPr>
        <w:t>20.</w:t>
      </w:r>
      <w:r>
        <w:rPr>
          <w:rFonts w:hint="eastAsia" w:ascii="宋体" w:hAnsi="宋体" w:cs="宋体"/>
          <w:b/>
          <w:bCs/>
          <w:color w:val="000000" w:themeColor="text1"/>
          <w:sz w:val="24"/>
          <w:szCs w:val="24"/>
          <w:lang w:val="zh-CN"/>
          <w14:textFill>
            <w14:solidFill>
              <w14:schemeClr w14:val="tx1"/>
            </w14:solidFill>
          </w14:textFill>
        </w:rPr>
        <w:t>违约解除合同</w:t>
      </w:r>
      <w:bookmarkEnd w:id="432"/>
      <w:bookmarkEnd w:id="43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20.1.1</w:t>
      </w:r>
      <w:r>
        <w:rPr>
          <w:rFonts w:hint="eastAsia" w:ascii="宋体" w:hAnsi="宋体" w:cs="宋体"/>
          <w:color w:val="000000" w:themeColor="text1"/>
          <w:sz w:val="24"/>
          <w:szCs w:val="24"/>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20.1.2</w:t>
      </w:r>
      <w:r>
        <w:rPr>
          <w:rFonts w:hint="eastAsia" w:ascii="宋体" w:hAnsi="宋体" w:cs="宋体"/>
          <w:color w:val="000000" w:themeColor="text1"/>
          <w:sz w:val="24"/>
          <w:szCs w:val="24"/>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20.1.3</w:t>
      </w:r>
      <w:r>
        <w:rPr>
          <w:rFonts w:hint="eastAsia" w:ascii="宋体" w:hAnsi="宋体" w:cs="宋体"/>
          <w:color w:val="000000" w:themeColor="text1"/>
          <w:sz w:val="24"/>
          <w:szCs w:val="24"/>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20.2</w:t>
      </w:r>
      <w:r>
        <w:rPr>
          <w:rFonts w:hint="eastAsia" w:ascii="宋体" w:hAnsi="宋体" w:cs="宋体"/>
          <w:color w:val="000000" w:themeColor="text1"/>
          <w:sz w:val="24"/>
          <w:szCs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4" w:name="_Toc28978_WPSOffice_Level2"/>
      <w:bookmarkStart w:id="435" w:name="_Toc4364_WPSOffice_Level2"/>
      <w:r>
        <w:rPr>
          <w:rFonts w:ascii="宋体" w:hAnsi="宋体" w:cs="宋体"/>
          <w:b/>
          <w:bCs/>
          <w:color w:val="000000" w:themeColor="text1"/>
          <w:sz w:val="24"/>
          <w:szCs w:val="24"/>
          <w14:textFill>
            <w14:solidFill>
              <w14:schemeClr w14:val="tx1"/>
            </w14:solidFill>
          </w14:textFill>
        </w:rPr>
        <w:t>21.</w:t>
      </w:r>
      <w:r>
        <w:rPr>
          <w:rFonts w:hint="eastAsia" w:ascii="宋体" w:hAnsi="宋体" w:cs="宋体"/>
          <w:b/>
          <w:bCs/>
          <w:color w:val="000000" w:themeColor="text1"/>
          <w:sz w:val="24"/>
          <w:szCs w:val="24"/>
          <w:lang w:val="zh-CN"/>
          <w14:textFill>
            <w14:solidFill>
              <w14:schemeClr w14:val="tx1"/>
            </w14:solidFill>
          </w14:textFill>
        </w:rPr>
        <w:t>破产终止合同</w:t>
      </w:r>
      <w:bookmarkEnd w:id="434"/>
      <w:bookmarkEnd w:id="435"/>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6" w:name="_Toc23068_WPSOffice_Level2"/>
      <w:bookmarkStart w:id="437" w:name="_Toc16737_WPSOffice_Level2"/>
      <w:r>
        <w:rPr>
          <w:rFonts w:ascii="宋体" w:hAnsi="宋体" w:cs="宋体"/>
          <w:b/>
          <w:bCs/>
          <w:color w:val="000000" w:themeColor="text1"/>
          <w:sz w:val="24"/>
          <w:szCs w:val="24"/>
          <w14:textFill>
            <w14:solidFill>
              <w14:schemeClr w14:val="tx1"/>
            </w14:solidFill>
          </w14:textFill>
        </w:rPr>
        <w:t>22.</w:t>
      </w:r>
      <w:r>
        <w:rPr>
          <w:rFonts w:hint="eastAsia" w:ascii="宋体" w:hAnsi="宋体" w:cs="宋体"/>
          <w:b/>
          <w:bCs/>
          <w:color w:val="000000" w:themeColor="text1"/>
          <w:sz w:val="24"/>
          <w:szCs w:val="24"/>
          <w:lang w:val="zh-CN"/>
          <w14:textFill>
            <w14:solidFill>
              <w14:schemeClr w14:val="tx1"/>
            </w14:solidFill>
          </w14:textFill>
        </w:rPr>
        <w:t>转让和分包</w:t>
      </w:r>
      <w:bookmarkEnd w:id="436"/>
      <w:bookmarkEnd w:id="437"/>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22.1</w:t>
      </w:r>
      <w:r>
        <w:rPr>
          <w:rFonts w:hint="eastAsia" w:ascii="宋体" w:hAnsi="宋体" w:cs="宋体"/>
          <w:color w:val="000000" w:themeColor="text1"/>
          <w:sz w:val="24"/>
          <w:szCs w:val="24"/>
          <w:lang w:val="zh-CN"/>
          <w14:textFill>
            <w14:solidFill>
              <w14:schemeClr w14:val="tx1"/>
            </w14:solidFill>
          </w14:textFill>
        </w:rPr>
        <w:t>政府采购合同不能转让。</w:t>
      </w:r>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22.2</w:t>
      </w:r>
      <w:r>
        <w:rPr>
          <w:rFonts w:hint="eastAsia" w:ascii="宋体" w:hAnsi="宋体" w:cs="宋体"/>
          <w:color w:val="000000" w:themeColor="text1"/>
          <w:sz w:val="24"/>
          <w:szCs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38" w:name="_Toc19395_WPSOffice_Level2"/>
      <w:bookmarkStart w:id="439" w:name="_Toc22971_WPSOffice_Level2"/>
      <w:r>
        <w:rPr>
          <w:rFonts w:ascii="宋体" w:hAnsi="宋体" w:cs="宋体"/>
          <w:b/>
          <w:bCs/>
          <w:color w:val="000000" w:themeColor="text1"/>
          <w:sz w:val="24"/>
          <w:szCs w:val="24"/>
          <w14:textFill>
            <w14:solidFill>
              <w14:schemeClr w14:val="tx1"/>
            </w14:solidFill>
          </w14:textFill>
        </w:rPr>
        <w:t>23.</w:t>
      </w:r>
      <w:r>
        <w:rPr>
          <w:rFonts w:hint="eastAsia" w:ascii="宋体" w:hAnsi="宋体" w:cs="宋体"/>
          <w:b/>
          <w:bCs/>
          <w:color w:val="000000" w:themeColor="text1"/>
          <w:sz w:val="24"/>
          <w:szCs w:val="24"/>
          <w:lang w:val="zh-CN"/>
          <w14:textFill>
            <w14:solidFill>
              <w14:schemeClr w14:val="tx1"/>
            </w14:solidFill>
          </w14:textFill>
        </w:rPr>
        <w:t>合同修改</w:t>
      </w:r>
      <w:bookmarkEnd w:id="438"/>
      <w:bookmarkEnd w:id="439"/>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40" w:name="_Toc19831_WPSOffice_Level2"/>
      <w:bookmarkStart w:id="441" w:name="_Toc19178_WPSOffice_Level2"/>
      <w:r>
        <w:rPr>
          <w:rFonts w:ascii="宋体" w:hAnsi="宋体" w:cs="宋体"/>
          <w:b/>
          <w:bCs/>
          <w:color w:val="000000" w:themeColor="text1"/>
          <w:sz w:val="24"/>
          <w:szCs w:val="24"/>
          <w14:textFill>
            <w14:solidFill>
              <w14:schemeClr w14:val="tx1"/>
            </w14:solidFill>
          </w14:textFill>
        </w:rPr>
        <w:t>24.</w:t>
      </w:r>
      <w:r>
        <w:rPr>
          <w:rFonts w:hint="eastAsia" w:ascii="宋体" w:hAnsi="宋体" w:cs="宋体"/>
          <w:b/>
          <w:bCs/>
          <w:color w:val="000000" w:themeColor="text1"/>
          <w:sz w:val="24"/>
          <w:szCs w:val="24"/>
          <w:lang w:val="zh-CN"/>
          <w14:textFill>
            <w14:solidFill>
              <w14:schemeClr w14:val="tx1"/>
            </w14:solidFill>
          </w14:textFill>
        </w:rPr>
        <w:t>通知</w:t>
      </w:r>
      <w:bookmarkEnd w:id="440"/>
      <w:bookmarkEnd w:id="441"/>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42" w:name="_Toc30055_WPSOffice_Level2"/>
      <w:bookmarkStart w:id="443" w:name="_Toc24896_WPSOffice_Level2"/>
      <w:r>
        <w:rPr>
          <w:rFonts w:ascii="宋体" w:hAnsi="宋体" w:cs="宋体"/>
          <w:b/>
          <w:bCs/>
          <w:color w:val="000000" w:themeColor="text1"/>
          <w:sz w:val="24"/>
          <w:szCs w:val="24"/>
          <w14:textFill>
            <w14:solidFill>
              <w14:schemeClr w14:val="tx1"/>
            </w14:solidFill>
          </w14:textFill>
        </w:rPr>
        <w:t>25.</w:t>
      </w:r>
      <w:r>
        <w:rPr>
          <w:rFonts w:hint="eastAsia" w:ascii="宋体" w:hAnsi="宋体" w:cs="宋体"/>
          <w:b/>
          <w:bCs/>
          <w:color w:val="000000" w:themeColor="text1"/>
          <w:sz w:val="24"/>
          <w:szCs w:val="24"/>
          <w:lang w:val="zh-CN"/>
          <w14:textFill>
            <w14:solidFill>
              <w14:schemeClr w14:val="tx1"/>
            </w14:solidFill>
          </w14:textFill>
        </w:rPr>
        <w:t>计量单位</w:t>
      </w:r>
      <w:bookmarkEnd w:id="442"/>
      <w:bookmarkEnd w:id="443"/>
    </w:p>
    <w:p>
      <w:pPr>
        <w:autoSpaceDE w:val="0"/>
        <w:autoSpaceDN w:val="0"/>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除技术规范中另有规定外</w:t>
      </w:r>
      <w:r>
        <w:rPr>
          <w:rFonts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计量单位均使用国家法定计量单位。</w:t>
      </w:r>
    </w:p>
    <w:p>
      <w:pPr>
        <w:autoSpaceDE w:val="0"/>
        <w:autoSpaceDN w:val="0"/>
        <w:spacing w:line="360" w:lineRule="auto"/>
        <w:ind w:firstLine="482"/>
        <w:rPr>
          <w:rFonts w:ascii="宋体" w:cs="Times New Roman"/>
          <w:b/>
          <w:bCs/>
          <w:color w:val="000000" w:themeColor="text1"/>
          <w:sz w:val="24"/>
          <w:szCs w:val="24"/>
          <w14:textFill>
            <w14:solidFill>
              <w14:schemeClr w14:val="tx1"/>
            </w14:solidFill>
          </w14:textFill>
        </w:rPr>
      </w:pPr>
      <w:bookmarkStart w:id="444" w:name="_Toc9057_WPSOffice_Level2"/>
      <w:bookmarkStart w:id="445" w:name="_Toc22219_WPSOffice_Level2"/>
      <w:r>
        <w:rPr>
          <w:rFonts w:ascii="宋体" w:hAnsi="宋体" w:cs="宋体"/>
          <w:b/>
          <w:bCs/>
          <w:color w:val="000000" w:themeColor="text1"/>
          <w:sz w:val="24"/>
          <w:szCs w:val="24"/>
          <w14:textFill>
            <w14:solidFill>
              <w14:schemeClr w14:val="tx1"/>
            </w14:solidFill>
          </w14:textFill>
        </w:rPr>
        <w:t>26.</w:t>
      </w:r>
      <w:r>
        <w:rPr>
          <w:rFonts w:hint="eastAsia" w:ascii="宋体" w:hAnsi="宋体" w:cs="宋体"/>
          <w:b/>
          <w:bCs/>
          <w:color w:val="000000" w:themeColor="text1"/>
          <w:sz w:val="24"/>
          <w:szCs w:val="24"/>
          <w:lang w:val="zh-CN"/>
          <w14:textFill>
            <w14:solidFill>
              <w14:schemeClr w14:val="tx1"/>
            </w14:solidFill>
          </w14:textFill>
        </w:rPr>
        <w:t>适用法律</w:t>
      </w:r>
      <w:bookmarkEnd w:id="444"/>
      <w:bookmarkEnd w:id="445"/>
    </w:p>
    <w:p>
      <w:pPr>
        <w:wordWrap w:val="0"/>
        <w:spacing w:line="360" w:lineRule="auto"/>
        <w:ind w:firstLine="480"/>
        <w:rPr>
          <w:rFonts w:ascii="宋体" w:cs="Times New Roman"/>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本合同按照中华人民共和国的相关法律进行解释。</w:t>
      </w:r>
    </w:p>
    <w:p>
      <w:pPr>
        <w:wordWrap w:val="0"/>
        <w:spacing w:line="360" w:lineRule="auto"/>
        <w:ind w:firstLine="480"/>
        <w:rPr>
          <w:rFonts w:ascii="宋体" w:cs="Times New Roman"/>
          <w:color w:val="000000" w:themeColor="text1"/>
          <w:sz w:val="24"/>
          <w:szCs w:val="24"/>
          <w:lang w:val="zh-CN"/>
          <w14:textFill>
            <w14:solidFill>
              <w14:schemeClr w14:val="tx1"/>
            </w14:solidFill>
          </w14:textFill>
        </w:rPr>
      </w:pPr>
      <w:r>
        <w:rPr>
          <w:rFonts w:ascii="宋体" w:cs="Times New Roman"/>
          <w:color w:val="000000" w:themeColor="text1"/>
          <w:sz w:val="24"/>
          <w:szCs w:val="24"/>
          <w:lang w:val="zh-CN"/>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cs="Times New Roman"/>
          <w:b/>
          <w:bCs/>
          <w:color w:val="000000" w:themeColor="text1"/>
          <w:kern w:val="28"/>
          <w:sz w:val="36"/>
          <w:szCs w:val="36"/>
          <w14:textFill>
            <w14:solidFill>
              <w14:schemeClr w14:val="tx1"/>
            </w14:solidFill>
          </w14:textFill>
        </w:rPr>
      </w:pPr>
      <w:bookmarkStart w:id="446" w:name="_Toc19709"/>
      <w:bookmarkStart w:id="447" w:name="_Toc13220"/>
      <w:bookmarkStart w:id="448" w:name="_Toc464136646"/>
      <w:bookmarkStart w:id="449" w:name="_Toc27170_WPSOffice_Level1"/>
      <w:bookmarkStart w:id="450" w:name="_Toc25563_WPSOffice_Level1"/>
      <w:r>
        <w:rPr>
          <w:rFonts w:hint="eastAsia" w:ascii="宋体" w:hAnsi="宋体" w:cs="宋体"/>
          <w:b/>
          <w:bCs/>
          <w:color w:val="000000" w:themeColor="text1"/>
          <w:kern w:val="28"/>
          <w:sz w:val="36"/>
          <w:szCs w:val="36"/>
          <w14:textFill>
            <w14:solidFill>
              <w14:schemeClr w14:val="tx1"/>
            </w14:solidFill>
          </w14:textFill>
        </w:rPr>
        <w:t>第五部分响应文件格式</w:t>
      </w:r>
      <w:bookmarkEnd w:id="446"/>
      <w:bookmarkEnd w:id="447"/>
      <w:bookmarkEnd w:id="448"/>
      <w:bookmarkEnd w:id="449"/>
      <w:bookmarkEnd w:id="450"/>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451" w:name="_Toc20121"/>
      <w:bookmarkStart w:id="452" w:name="_Toc32746"/>
      <w:bookmarkStart w:id="453" w:name="_Toc30605"/>
      <w:bookmarkStart w:id="454" w:name="_Toc23172_WPSOffice_Level2"/>
      <w:bookmarkStart w:id="455" w:name="_Toc464136647"/>
      <w:bookmarkStart w:id="456" w:name="_Toc16431"/>
      <w:bookmarkStart w:id="457" w:name="_Toc9848"/>
      <w:bookmarkStart w:id="458" w:name="_Toc12470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：响应文件封面</w:t>
      </w:r>
      <w:bookmarkEnd w:id="451"/>
      <w:bookmarkEnd w:id="452"/>
      <w:bookmarkEnd w:id="453"/>
      <w:bookmarkEnd w:id="454"/>
      <w:bookmarkEnd w:id="455"/>
      <w:bookmarkEnd w:id="456"/>
      <w:bookmarkEnd w:id="457"/>
      <w:bookmarkEnd w:id="458"/>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6"/>
          <w:szCs w:val="36"/>
          <w14:textFill>
            <w14:solidFill>
              <w14:schemeClr w14:val="tx1"/>
            </w14:solidFill>
          </w14:textFill>
        </w:rPr>
      </w:pPr>
    </w:p>
    <w:p>
      <w:pPr>
        <w:spacing w:line="360" w:lineRule="auto"/>
        <w:ind w:firstLine="2364" w:firstLineChars="327"/>
        <w:rPr>
          <w:rFonts w:ascii="宋体" w:cs="Times New Roman"/>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响应文件</w:t>
      </w:r>
    </w:p>
    <w:p>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pPr>
        <w:adjustRightInd w:val="0"/>
        <w:spacing w:line="480" w:lineRule="auto"/>
        <w:ind w:firstLine="0" w:firstLineChars="0"/>
        <w:textAlignment w:val="baseline"/>
        <w:rPr>
          <w:rFonts w:ascii="宋体" w:hAnsi="宋体" w:cs="宋体"/>
          <w:b/>
          <w:bCs/>
          <w:color w:val="000000" w:themeColor="text1"/>
          <w:sz w:val="40"/>
          <w:szCs w:val="40"/>
          <w14:textFill>
            <w14:solidFill>
              <w14:schemeClr w14:val="tx1"/>
            </w14:solidFill>
          </w14:textFill>
        </w:rPr>
      </w:pPr>
    </w:p>
    <w:p>
      <w:pPr>
        <w:adjustRightInd w:val="0"/>
        <w:spacing w:line="360" w:lineRule="auto"/>
        <w:ind w:left="0" w:leftChars="0" w:firstLine="0" w:firstLineChars="0"/>
        <w:textAlignment w:val="baseline"/>
        <w:rPr>
          <w:rFonts w:hint="eastAsia" w:ascii="宋体" w:hAnsi="宋体"/>
          <w:b/>
          <w:sz w:val="36"/>
          <w:szCs w:val="36"/>
        </w:rPr>
      </w:pPr>
      <w:r>
        <w:rPr>
          <w:rFonts w:hint="eastAsia" w:ascii="宋体" w:hAnsi="宋体" w:cs="宋体"/>
          <w:b/>
          <w:bCs/>
          <w:color w:val="000000" w:themeColor="text1"/>
          <w:sz w:val="32"/>
          <w:szCs w:val="32"/>
          <w14:textFill>
            <w14:solidFill>
              <w14:schemeClr w14:val="tx1"/>
            </w14:solidFill>
          </w14:textFill>
        </w:rPr>
        <w:t>采购项目编号：</w:t>
      </w:r>
      <w:r>
        <w:rPr>
          <w:rFonts w:hint="eastAsia" w:ascii="宋体" w:hAnsi="宋体"/>
          <w:b/>
          <w:sz w:val="36"/>
          <w:szCs w:val="36"/>
          <w:lang w:eastAsia="zh-CN"/>
        </w:rPr>
        <w:t>都</w:t>
      </w:r>
      <w:r>
        <w:rPr>
          <w:rFonts w:hint="eastAsia" w:ascii="宋体" w:hAnsi="宋体"/>
          <w:b/>
          <w:sz w:val="36"/>
          <w:szCs w:val="36"/>
        </w:rPr>
        <w:t>政采磋商（货物）2022-</w:t>
      </w:r>
      <w:r>
        <w:rPr>
          <w:rFonts w:hint="eastAsia" w:ascii="宋体" w:hAnsi="宋体"/>
          <w:b/>
          <w:sz w:val="36"/>
          <w:szCs w:val="36"/>
          <w:lang w:val="en-US" w:eastAsia="zh-CN"/>
        </w:rPr>
        <w:t>02</w:t>
      </w:r>
      <w:r>
        <w:rPr>
          <w:rFonts w:hint="eastAsia" w:ascii="宋体" w:hAnsi="宋体"/>
          <w:b/>
          <w:sz w:val="36"/>
          <w:szCs w:val="36"/>
        </w:rPr>
        <w:t>号</w:t>
      </w:r>
    </w:p>
    <w:p>
      <w:pPr>
        <w:adjustRightInd w:val="0"/>
        <w:spacing w:line="360" w:lineRule="auto"/>
        <w:ind w:left="0" w:leftChars="0" w:right="-248" w:rightChars="-118" w:firstLine="0" w:firstLineChars="0"/>
        <w:textAlignment w:val="baseline"/>
        <w:rPr>
          <w:rFonts w:hint="default" w:ascii="宋体" w:hAnsi="宋体" w:eastAsia="宋体"/>
          <w:b/>
          <w:sz w:val="36"/>
          <w:szCs w:val="36"/>
          <w:lang w:val="en-US" w:eastAsia="zh-CN"/>
        </w:rPr>
      </w:pPr>
      <w:r>
        <w:rPr>
          <w:rFonts w:hint="eastAsia" w:ascii="宋体" w:hAnsi="宋体" w:cs="宋体"/>
          <w:b/>
          <w:bCs/>
          <w:color w:val="000000" w:themeColor="text1"/>
          <w:sz w:val="32"/>
          <w:szCs w:val="32"/>
          <w14:textFill>
            <w14:solidFill>
              <w14:schemeClr w14:val="tx1"/>
            </w14:solidFill>
          </w14:textFill>
        </w:rPr>
        <w:t>采购项目名称</w:t>
      </w:r>
      <w:r>
        <w:rPr>
          <w:rFonts w:hint="eastAsia" w:ascii="宋体" w:hAnsi="宋体" w:cs="宋体"/>
          <w:b/>
          <w:bCs/>
          <w:color w:val="000000" w:themeColor="text1"/>
          <w:sz w:val="36"/>
          <w:szCs w:val="36"/>
          <w14:textFill>
            <w14:solidFill>
              <w14:schemeClr w14:val="tx1"/>
            </w14:solidFill>
          </w14:textFill>
        </w:rPr>
        <w:t>：</w:t>
      </w:r>
      <w:r>
        <w:rPr>
          <w:rFonts w:hint="eastAsia" w:ascii="宋体" w:hAnsi="宋体"/>
          <w:b/>
          <w:sz w:val="36"/>
          <w:szCs w:val="36"/>
          <w:lang w:eastAsia="zh-CN"/>
        </w:rPr>
        <w:t>都兰县</w:t>
      </w:r>
      <w:r>
        <w:rPr>
          <w:rFonts w:hint="eastAsia" w:ascii="宋体" w:hAnsi="宋体"/>
          <w:b/>
          <w:sz w:val="36"/>
          <w:szCs w:val="36"/>
          <w:lang w:val="en-US" w:eastAsia="zh-CN"/>
        </w:rPr>
        <w:t>2022年教育质量提升工程（包1）</w:t>
      </w:r>
    </w:p>
    <w:p>
      <w:pPr>
        <w:pStyle w:val="34"/>
        <w:spacing w:line="480" w:lineRule="auto"/>
        <w:ind w:firstLine="0" w:firstLineChars="0"/>
        <w:rPr>
          <w:color w:val="000000" w:themeColor="text1"/>
          <w:u w:val="single"/>
          <w14:textFill>
            <w14:solidFill>
              <w14:schemeClr w14:val="tx1"/>
            </w14:solidFill>
          </w14:textFill>
        </w:rPr>
      </w:pPr>
      <w:r>
        <w:rPr>
          <w:rFonts w:hint="eastAsia" w:ascii="宋体" w:hAnsi="宋体" w:cs="宋体"/>
          <w:b/>
          <w:bCs/>
          <w:color w:val="000000" w:themeColor="text1"/>
          <w:w w:val="90"/>
          <w:sz w:val="32"/>
          <w:szCs w:val="32"/>
          <w14:textFill>
            <w14:solidFill>
              <w14:schemeClr w14:val="tx1"/>
            </w14:solidFill>
          </w14:textFill>
        </w:rPr>
        <w:t>供应商名称：</w:t>
      </w:r>
    </w:p>
    <w:p>
      <w:pPr>
        <w:adjustRightInd w:val="0"/>
        <w:spacing w:line="360" w:lineRule="auto"/>
        <w:ind w:left="2249" w:hanging="2249" w:hangingChars="700"/>
        <w:textAlignment w:val="baseline"/>
        <w:rPr>
          <w:rFonts w:hint="eastAsia" w:ascii="宋体" w:hAnsi="宋体" w:cs="宋体"/>
          <w:b/>
          <w:bCs/>
          <w:color w:val="000000" w:themeColor="text1"/>
          <w:sz w:val="32"/>
          <w:szCs w:val="32"/>
          <w14:textFill>
            <w14:solidFill>
              <w14:schemeClr w14:val="tx1"/>
            </w14:solidFill>
          </w14:textFill>
        </w:rPr>
      </w:pPr>
    </w:p>
    <w:p>
      <w:pPr>
        <w:pStyle w:val="8"/>
        <w:ind w:firstLine="420"/>
        <w:rPr>
          <w:color w:val="000000" w:themeColor="text1"/>
          <w14:textFill>
            <w14:solidFill>
              <w14:schemeClr w14:val="tx1"/>
            </w14:solidFill>
          </w14:textFill>
        </w:rPr>
      </w:pPr>
    </w:p>
    <w:p>
      <w:pPr>
        <w:adjustRightInd w:val="0"/>
        <w:spacing w:line="360" w:lineRule="auto"/>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宋体" w:cs="Times New Roman"/>
          <w:b/>
          <w:bCs/>
          <w:color w:val="000000" w:themeColor="text1"/>
          <w:sz w:val="36"/>
          <w:szCs w:val="36"/>
          <w14:textFill>
            <w14:solidFill>
              <w14:schemeClr w14:val="tx1"/>
            </w14:solidFill>
          </w14:textFill>
        </w:rPr>
      </w:pPr>
    </w:p>
    <w:p>
      <w:pPr>
        <w:spacing w:line="360" w:lineRule="auto"/>
        <w:ind w:firstLine="0" w:firstLineChars="0"/>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供应商：                               （公章）</w:t>
      </w:r>
    </w:p>
    <w:p>
      <w:pPr>
        <w:spacing w:line="360" w:lineRule="auto"/>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法定代表人或委托代理人：              （签字或盖章）</w:t>
      </w:r>
    </w:p>
    <w:p>
      <w:pPr>
        <w:spacing w:line="360" w:lineRule="auto"/>
        <w:ind w:firstLine="0" w:firstLineChars="0"/>
        <w:rPr>
          <w:rFonts w:ascii="宋体" w:hAnsi="宋体" w:cs="宋体"/>
          <w:b/>
          <w:bCs/>
          <w:color w:val="000000" w:themeColor="text1"/>
          <w:sz w:val="32"/>
          <w:szCs w:val="32"/>
          <w14:textFill>
            <w14:solidFill>
              <w14:schemeClr w14:val="tx1"/>
            </w14:solidFill>
          </w14:textFill>
        </w:rPr>
      </w:pPr>
    </w:p>
    <w:p>
      <w:pPr>
        <w:spacing w:line="360" w:lineRule="auto"/>
        <w:ind w:firstLine="0" w:firstLineChars="0"/>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年  月  日</w:t>
      </w:r>
    </w:p>
    <w:p>
      <w:pPr>
        <w:pStyle w:val="21"/>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14:textFill>
            <w14:solidFill>
              <w14:schemeClr w14:val="tx1"/>
            </w14:solidFill>
          </w14:textFill>
        </w:rPr>
        <w:br w:type="page"/>
      </w:r>
      <w:bookmarkStart w:id="459" w:name="_Toc24741"/>
      <w:bookmarkStart w:id="460" w:name="_Toc476125034"/>
      <w:bookmarkStart w:id="461" w:name="_Toc23864"/>
      <w:bookmarkStart w:id="462" w:name="_Toc1723_WPSOffice_Level2"/>
      <w:bookmarkStart w:id="463" w:name="_Toc6803_WPSOffice_Level2"/>
      <w:bookmarkStart w:id="464" w:name="_Toc23457"/>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：响应文件目录</w:t>
      </w:r>
      <w:bookmarkEnd w:id="459"/>
      <w:bookmarkEnd w:id="460"/>
      <w:bookmarkEnd w:id="461"/>
      <w:bookmarkEnd w:id="462"/>
      <w:bookmarkEnd w:id="463"/>
      <w:bookmarkEnd w:id="464"/>
    </w:p>
    <w:p>
      <w:pPr>
        <w:ind w:firstLine="420"/>
        <w:rPr>
          <w:color w:val="000000" w:themeColor="text1"/>
          <w14:textFill>
            <w14:solidFill>
              <w14:schemeClr w14:val="tx1"/>
            </w14:solidFill>
          </w14:textFill>
        </w:rPr>
      </w:pPr>
    </w:p>
    <w:p>
      <w:pPr>
        <w:ind w:firstLine="560"/>
        <w:jc w:val="center"/>
        <w:rPr>
          <w:color w:val="000000" w:themeColor="text1"/>
          <w:sz w:val="28"/>
          <w:szCs w:val="28"/>
          <w:lang w:val="zh-CN"/>
          <w14:textFill>
            <w14:solidFill>
              <w14:schemeClr w14:val="tx1"/>
            </w14:solidFill>
          </w14:textFill>
        </w:rPr>
      </w:pPr>
      <w:r>
        <w:rPr>
          <w:rFonts w:hint="eastAsia"/>
          <w:color w:val="000000" w:themeColor="text1"/>
          <w:sz w:val="28"/>
          <w:szCs w:val="28"/>
          <w:lang w:val="zh-CN"/>
          <w14:textFill>
            <w14:solidFill>
              <w14:schemeClr w14:val="tx1"/>
            </w14:solidFill>
          </w14:textFill>
        </w:rPr>
        <w:t>目录</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（1）磋商函……………………………………………………………所在页码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（2）报价一览表………………………………………………………所在页码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（3）分项报价表………………………………………………………所在页码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（4）技术规格响应表…………………………………………………所在页码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（5）法定代表人证明书………………………………………………所在页码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（6）法定代表人授权书………………………………………………所在页码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7</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供应商承诺函</w:t>
      </w:r>
      <w:r>
        <w:rPr>
          <w:rFonts w:hint="eastAsia" w:ascii="宋体" w:hAnsi="Cambria" w:cs="宋体"/>
          <w:color w:val="000000" w:themeColor="text1"/>
          <w:sz w:val="24"/>
          <w:lang w:val="zh-CN"/>
          <w14:textFill>
            <w14:solidFill>
              <w14:schemeClr w14:val="tx1"/>
            </w14:solidFill>
          </w14:textFill>
        </w:rPr>
        <w:t>……………………………………………………所在页码</w:t>
      </w:r>
    </w:p>
    <w:p>
      <w:pPr>
        <w:tabs>
          <w:tab w:val="left" w:pos="709"/>
        </w:tabs>
        <w:wordWrap w:val="0"/>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）供应商诚信承诺书………………………………………………所在页码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9</w:t>
      </w:r>
      <w:r>
        <w:rPr>
          <w:rFonts w:hint="eastAsia" w:ascii="宋体" w:hAnsi="Cambria" w:cs="宋体"/>
          <w:color w:val="000000" w:themeColor="text1"/>
          <w:sz w:val="24"/>
          <w:lang w:val="zh-CN"/>
          <w14:textFill>
            <w14:solidFill>
              <w14:schemeClr w14:val="tx1"/>
            </w14:solidFill>
          </w14:textFill>
        </w:rPr>
        <w:t>）资格证明材料……………………………………………………所在页码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10</w:t>
      </w:r>
      <w:r>
        <w:rPr>
          <w:rFonts w:hint="eastAsia" w:ascii="宋体" w:hAnsi="Cambria" w:cs="宋体"/>
          <w:color w:val="000000" w:themeColor="text1"/>
          <w:sz w:val="24"/>
          <w:lang w:val="zh-CN"/>
          <w14:textFill>
            <w14:solidFill>
              <w14:schemeClr w14:val="tx1"/>
            </w14:solidFill>
          </w14:textFill>
        </w:rPr>
        <w:t>）财务状况、缴纳税收和社会保障资金证明……………………所在页码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11</w:t>
      </w:r>
      <w:r>
        <w:rPr>
          <w:rFonts w:hint="eastAsia" w:ascii="宋体" w:hAnsi="Cambria" w:cs="宋体"/>
          <w:color w:val="000000" w:themeColor="text1"/>
          <w:sz w:val="24"/>
          <w:lang w:val="zh-CN"/>
          <w14:textFill>
            <w14:solidFill>
              <w14:schemeClr w14:val="tx1"/>
            </w14:solidFill>
          </w14:textFill>
        </w:rPr>
        <w:t>）具备履行合同所必须的设施和专业技术能力的证明…………所在页码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12</w:t>
      </w:r>
      <w:r>
        <w:rPr>
          <w:rFonts w:hint="eastAsia" w:ascii="宋体" w:hAnsi="Cambria" w:cs="宋体"/>
          <w:color w:val="000000" w:themeColor="text1"/>
          <w:sz w:val="24"/>
          <w:lang w:val="zh-CN"/>
          <w14:textFill>
            <w14:solidFill>
              <w14:schemeClr w14:val="tx1"/>
            </w14:solidFill>
          </w14:textFill>
        </w:rPr>
        <w:t>）无重大违法记录声明……………………………………………所在页码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13</w:t>
      </w:r>
      <w:r>
        <w:rPr>
          <w:rFonts w:hint="eastAsia" w:ascii="宋体" w:hAnsi="Cambria" w:cs="宋体"/>
          <w:color w:val="000000" w:themeColor="text1"/>
          <w:sz w:val="24"/>
          <w:lang w:val="zh-CN"/>
          <w14:textFill>
            <w14:solidFill>
              <w14:schemeClr w14:val="tx1"/>
            </w14:solidFill>
          </w14:textFill>
        </w:rPr>
        <w:t>）磋商保证金证明格式……………………………………………所在页码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4</w:t>
      </w:r>
      <w:r>
        <w:rPr>
          <w:rFonts w:hint="eastAsia" w:ascii="宋体" w:hAnsi="Cambria" w:cs="宋体"/>
          <w:color w:val="000000" w:themeColor="text1"/>
          <w:sz w:val="24"/>
          <w:lang w:val="zh-CN"/>
          <w14:textFill>
            <w14:solidFill>
              <w14:schemeClr w14:val="tx1"/>
            </w14:solidFill>
          </w14:textFill>
        </w:rPr>
        <w:t>）供应商类似业绩证明材料………………………………………所在页码</w:t>
      </w:r>
    </w:p>
    <w:p>
      <w:pPr>
        <w:pStyle w:val="34"/>
        <w:spacing w:after="0" w:line="240" w:lineRule="auto"/>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15</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最终报价表</w:t>
      </w:r>
      <w:r>
        <w:rPr>
          <w:rFonts w:hint="eastAsia" w:ascii="宋体" w:hAnsi="Cambria" w:cs="宋体"/>
          <w:color w:val="000000" w:themeColor="text1"/>
          <w:sz w:val="24"/>
          <w:lang w:val="zh-CN"/>
          <w14:textFill>
            <w14:solidFill>
              <w14:schemeClr w14:val="tx1"/>
            </w14:solidFill>
          </w14:textFill>
        </w:rPr>
        <w:t>………………………………………………………所在页码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6</w:t>
      </w:r>
      <w:r>
        <w:rPr>
          <w:rFonts w:hint="eastAsia" w:ascii="宋体" w:hAnsi="Cambria" w:cs="宋体"/>
          <w:color w:val="000000" w:themeColor="text1"/>
          <w:sz w:val="24"/>
          <w:lang w:val="zh-CN"/>
          <w14:textFill>
            <w14:solidFill>
              <w14:schemeClr w14:val="tx1"/>
            </w14:solidFill>
          </w14:textFill>
        </w:rPr>
        <w:t>）制造厂商小型、微型企业声明函………………………………所在页码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7</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从业人员声明函</w:t>
      </w:r>
      <w:r>
        <w:rPr>
          <w:rFonts w:hint="eastAsia" w:ascii="宋体" w:hAnsi="Cambria" w:cs="宋体"/>
          <w:color w:val="000000" w:themeColor="text1"/>
          <w:sz w:val="24"/>
          <w:lang w:val="zh-CN"/>
          <w14:textFill>
            <w14:solidFill>
              <w14:schemeClr w14:val="tx1"/>
            </w14:solidFill>
          </w14:textFill>
        </w:rPr>
        <w:t>…………………………………………………所在页码</w:t>
      </w:r>
    </w:p>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8</w:t>
      </w:r>
      <w:r>
        <w:rPr>
          <w:rFonts w:hint="eastAsia" w:ascii="宋体" w:hAnsi="Cambria" w:cs="宋体"/>
          <w:color w:val="000000" w:themeColor="text1"/>
          <w:sz w:val="24"/>
          <w:lang w:val="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残疾人福利性单位声明函</w:t>
      </w:r>
      <w:r>
        <w:rPr>
          <w:rFonts w:hint="eastAsia" w:ascii="宋体" w:hAnsi="Cambria" w:cs="宋体"/>
          <w:color w:val="000000" w:themeColor="text1"/>
          <w:sz w:val="24"/>
          <w:lang w:val="zh-CN"/>
          <w14:textFill>
            <w14:solidFill>
              <w14:schemeClr w14:val="tx1"/>
            </w14:solidFill>
          </w14:textFill>
        </w:rPr>
        <w:t>………………………………………所在页码</w:t>
      </w:r>
    </w:p>
    <w:p>
      <w:pPr>
        <w:pStyle w:val="34"/>
        <w:spacing w:after="0" w:line="240" w:lineRule="auto"/>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w:t>
      </w:r>
      <w:r>
        <w:rPr>
          <w:rFonts w:hint="eastAsia" w:ascii="宋体" w:hAnsi="Cambria" w:cs="宋体"/>
          <w:color w:val="000000" w:themeColor="text1"/>
          <w:sz w:val="24"/>
          <w14:textFill>
            <w14:solidFill>
              <w14:schemeClr w14:val="tx1"/>
            </w14:solidFill>
          </w14:textFill>
        </w:rPr>
        <w:t>19</w:t>
      </w:r>
      <w:r>
        <w:rPr>
          <w:rFonts w:hint="eastAsia" w:ascii="宋体" w:hAnsi="Cambria" w:cs="宋体"/>
          <w:color w:val="000000" w:themeColor="text1"/>
          <w:sz w:val="24"/>
          <w:lang w:val="zh-CN"/>
          <w14:textFill>
            <w14:solidFill>
              <w14:schemeClr w14:val="tx1"/>
            </w14:solidFill>
          </w14:textFill>
        </w:rPr>
        <w:t>）供应商认为在其他方面有必要说明的事项……………………所在页码</w:t>
      </w:r>
    </w:p>
    <w:p>
      <w:pPr>
        <w:ind w:firstLine="420"/>
        <w:rPr>
          <w:color w:val="000000" w:themeColor="text1"/>
          <w:lang w:val="zh-CN"/>
          <w14:textFill>
            <w14:solidFill>
              <w14:schemeClr w14:val="tx1"/>
            </w14:solidFill>
          </w14:textFill>
        </w:rPr>
      </w:pPr>
    </w:p>
    <w:p>
      <w:pPr>
        <w:ind w:firstLine="422"/>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注：此目录根据实际情况编写</w:t>
      </w:r>
    </w:p>
    <w:p>
      <w:pPr>
        <w:pStyle w:val="21"/>
        <w:ind w:firstLine="0" w:firstLineChars="0"/>
        <w:jc w:val="left"/>
        <w:rPr>
          <w:rFonts w:ascii="宋体" w:hAnsi="宋体" w:cs="宋体"/>
          <w:color w:val="000000" w:themeColor="text1"/>
          <w:sz w:val="24"/>
          <w:szCs w:val="24"/>
          <w14:textFill>
            <w14:solidFill>
              <w14:schemeClr w14:val="tx1"/>
            </w14:solidFill>
          </w14:textFill>
        </w:rPr>
      </w:pPr>
      <w:r>
        <w:rPr>
          <w:rFonts w:ascii="宋体"/>
          <w:b w:val="0"/>
          <w:bCs w:val="0"/>
          <w:color w:val="000000" w:themeColor="text1"/>
          <w14:textFill>
            <w14:solidFill>
              <w14:schemeClr w14:val="tx1"/>
            </w14:solidFill>
          </w14:textFill>
        </w:rPr>
        <w:br w:type="page"/>
      </w:r>
      <w:bookmarkStart w:id="465" w:name="_Toc32000"/>
      <w:bookmarkStart w:id="466" w:name="_Toc17145"/>
      <w:bookmarkStart w:id="467" w:name="_Toc24332_WPSOffice_Level2"/>
      <w:bookmarkStart w:id="468" w:name="_Toc12882"/>
      <w:bookmarkStart w:id="469" w:name="_Toc28652_WPSOffice_Level2"/>
      <w:bookmarkStart w:id="470" w:name="_Toc30269"/>
      <w:bookmarkStart w:id="471" w:name="_Toc17238"/>
      <w:bookmarkStart w:id="472" w:name="_Toc464136648"/>
      <w:r>
        <w:rPr>
          <w:rFonts w:hint="eastAsia" w:ascii="宋体" w:hAnsi="宋体" w:cs="宋体"/>
          <w:color w:val="000000" w:themeColor="text1"/>
          <w:sz w:val="24"/>
          <w:szCs w:val="24"/>
          <w14:textFill>
            <w14:solidFill>
              <w14:schemeClr w14:val="tx1"/>
            </w14:solidFill>
          </w14:textFill>
        </w:rPr>
        <w:t>附件</w:t>
      </w:r>
      <w:bookmarkStart w:id="473" w:name="_Toc376936768"/>
      <w:bookmarkStart w:id="474" w:name="_Toc325726037"/>
      <w:r>
        <w:rPr>
          <w:rFonts w:hint="eastAsia" w:ascii="宋体" w:hAnsi="宋体" w:cs="宋体"/>
          <w:color w:val="000000" w:themeColor="text1"/>
          <w:sz w:val="24"/>
          <w:szCs w:val="24"/>
          <w14:textFill>
            <w14:solidFill>
              <w14:schemeClr w14:val="tx1"/>
            </w14:solidFill>
          </w14:textFill>
        </w:rPr>
        <w:t>3：磋商函</w:t>
      </w:r>
      <w:bookmarkEnd w:id="465"/>
      <w:bookmarkEnd w:id="466"/>
      <w:bookmarkEnd w:id="467"/>
      <w:bookmarkEnd w:id="468"/>
      <w:bookmarkEnd w:id="469"/>
      <w:bookmarkEnd w:id="470"/>
      <w:bookmarkEnd w:id="471"/>
      <w:bookmarkEnd w:id="472"/>
      <w:bookmarkEnd w:id="473"/>
      <w:bookmarkEnd w:id="474"/>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475" w:name="_Toc7554_WPSOffice_Level2"/>
      <w:bookmarkStart w:id="476" w:name="_Toc30188_WPSOffice_Level2"/>
      <w:r>
        <w:rPr>
          <w:rFonts w:hint="eastAsia" w:ascii="宋体" w:hAnsi="宋体" w:cs="宋体"/>
          <w:b/>
          <w:bCs/>
          <w:color w:val="000000" w:themeColor="text1"/>
          <w:sz w:val="28"/>
          <w:szCs w:val="28"/>
          <w14:textFill>
            <w14:solidFill>
              <w14:schemeClr w14:val="tx1"/>
            </w14:solidFill>
          </w14:textFill>
        </w:rPr>
        <w:t>磋商函</w:t>
      </w:r>
      <w:bookmarkEnd w:id="475"/>
      <w:bookmarkEnd w:id="476"/>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bookmarkStart w:id="477" w:name="_Toc340_WPSOffice_Level2"/>
      <w:bookmarkStart w:id="478" w:name="_Toc1282_WPSOffice_Level2"/>
      <w:r>
        <w:rPr>
          <w:rFonts w:hint="eastAsia" w:ascii="宋体" w:hAnsi="宋体" w:cs="宋体"/>
          <w:b/>
          <w:bCs/>
          <w:color w:val="000000" w:themeColor="text1"/>
          <w:sz w:val="28"/>
          <w:szCs w:val="28"/>
          <w14:textFill>
            <w14:solidFill>
              <w14:schemeClr w14:val="tx1"/>
            </w14:solidFill>
          </w14:textFill>
        </w:rPr>
        <w:t>致：</w:t>
      </w:r>
      <w:bookmarkEnd w:id="477"/>
      <w:bookmarkEnd w:id="478"/>
      <w:r>
        <w:rPr>
          <w:rFonts w:hint="eastAsia" w:ascii="宋体" w:hAnsi="宋体"/>
          <w:b/>
          <w:sz w:val="32"/>
          <w:szCs w:val="32"/>
          <w:lang w:eastAsia="zh-CN"/>
        </w:rPr>
        <w:t>都兰县政府采购服务中心</w:t>
      </w:r>
    </w:p>
    <w:p>
      <w:pPr>
        <w:spacing w:line="360" w:lineRule="auto"/>
        <w:ind w:firstLine="48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我们收到</w:t>
      </w:r>
      <w:r>
        <w:rPr>
          <w:rFonts w:hint="eastAsia" w:ascii="宋体" w:hAnsi="宋体" w:cs="宋体"/>
          <w:color w:val="000000" w:themeColor="text1"/>
          <w:sz w:val="24"/>
          <w:szCs w:val="24"/>
          <w:u w:val="single"/>
          <w14:textFill>
            <w14:solidFill>
              <w14:schemeClr w14:val="tx1"/>
            </w14:solidFill>
          </w14:textFill>
        </w:rPr>
        <w:t>采购项目名称（项目编号）</w:t>
      </w:r>
      <w:r>
        <w:rPr>
          <w:rFonts w:hint="eastAsia" w:ascii="宋体" w:hAnsi="宋体" w:cs="宋体"/>
          <w:color w:val="000000" w:themeColor="text1"/>
          <w:sz w:val="24"/>
          <w:szCs w:val="24"/>
          <w14:textFill>
            <w14:solidFill>
              <w14:schemeClr w14:val="tx1"/>
            </w14:solidFill>
          </w14:textFill>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据此函，签字代表宣布同意如下：</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、我方已详阅磋商文件的全部内容，包括澄清、修改条款等有关附件，承诺对其完全理解并接受。</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、磋商有效期自响应之日起</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日历日内有效。如果在规定的磋商时间后，我方在磋商有效期内撤回投标（响应）或成交后不签约的，磋商保证金将被贵方没收。</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、我方同意按照贵方要求提供与磋商有关的一切数据或资料，理解并接受贵方制定的评审办法。</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、与本磋商有关的一切正式往来通讯请寄：</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r>
        <w:rPr>
          <w:rFonts w:ascii="宋体" w:hAnsi="宋体" w:cs="宋体"/>
          <w:color w:val="000000" w:themeColor="text1"/>
          <w:sz w:val="24"/>
          <w:szCs w:val="24"/>
          <w14:textFill>
            <w14:solidFill>
              <w14:schemeClr w14:val="tx1"/>
            </w14:solidFill>
          </w14:textFill>
        </w:rPr>
        <w:t xml:space="preserve">_______________        </w:t>
      </w:r>
      <w:r>
        <w:rPr>
          <w:rFonts w:hint="eastAsia" w:ascii="宋体" w:hAnsi="宋体" w:cs="宋体"/>
          <w:color w:val="000000" w:themeColor="text1"/>
          <w:sz w:val="24"/>
          <w:szCs w:val="24"/>
          <w14:textFill>
            <w14:solidFill>
              <w14:schemeClr w14:val="tx1"/>
            </w14:solidFill>
          </w14:textFill>
        </w:rPr>
        <w:t>邮编：</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r>
        <w:rPr>
          <w:rFonts w:ascii="宋体" w:hAnsi="宋体" w:cs="宋体"/>
          <w:color w:val="000000" w:themeColor="text1"/>
          <w:sz w:val="24"/>
          <w:szCs w:val="24"/>
          <w14:textFill>
            <w14:solidFill>
              <w14:schemeClr w14:val="tx1"/>
            </w14:solidFill>
          </w14:textFill>
        </w:rPr>
        <w:t xml:space="preserve">_______________        </w:t>
      </w:r>
      <w:r>
        <w:rPr>
          <w:rFonts w:hint="eastAsia" w:ascii="宋体" w:hAnsi="宋体" w:cs="宋体"/>
          <w:color w:val="000000" w:themeColor="text1"/>
          <w:sz w:val="24"/>
          <w:szCs w:val="24"/>
          <w14:textFill>
            <w14:solidFill>
              <w14:schemeClr w14:val="tx1"/>
            </w14:solidFill>
          </w14:textFill>
        </w:rPr>
        <w:t>传真：</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法定代表人姓名：</w:t>
      </w:r>
      <w:r>
        <w:rPr>
          <w:rFonts w:ascii="宋体" w:hAnsi="宋体" w:cs="宋体"/>
          <w:color w:val="000000" w:themeColor="text1"/>
          <w:sz w:val="24"/>
          <w:szCs w:val="24"/>
          <w14:textFill>
            <w14:solidFill>
              <w14:schemeClr w14:val="tx1"/>
            </w14:solidFill>
          </w14:textFill>
        </w:rPr>
        <w:t xml:space="preserve"> ___________ </w:t>
      </w:r>
      <w:r>
        <w:rPr>
          <w:rFonts w:hint="eastAsia" w:ascii="宋体" w:hAnsi="宋体" w:cs="宋体"/>
          <w:color w:val="000000" w:themeColor="text1"/>
          <w:sz w:val="24"/>
          <w:szCs w:val="24"/>
          <w14:textFill>
            <w14:solidFill>
              <w14:schemeClr w14:val="tx1"/>
            </w14:solidFill>
          </w14:textFill>
        </w:rPr>
        <w:t>职务：</w:t>
      </w:r>
      <w:r>
        <w:rPr>
          <w:rFonts w:ascii="宋体" w:hAnsi="宋体" w:cs="宋体"/>
          <w:color w:val="000000" w:themeColor="text1"/>
          <w:sz w:val="24"/>
          <w:szCs w:val="24"/>
          <w14:textFill>
            <w14:solidFill>
              <w14:schemeClr w14:val="tx1"/>
            </w14:solidFill>
          </w14:textFill>
        </w:rPr>
        <w:t>____________</w:t>
      </w:r>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79" w:name="_Toc28624_WPSOffice_Level2"/>
      <w:bookmarkStart w:id="480" w:name="_Toc780_WPSOffice_Level2"/>
      <w:r>
        <w:rPr>
          <w:rFonts w:hint="eastAsia" w:ascii="宋体" w:hAnsi="宋体" w:cs="宋体"/>
          <w:b/>
          <w:bCs/>
          <w:color w:val="000000" w:themeColor="text1"/>
          <w:sz w:val="24"/>
          <w:szCs w:val="24"/>
          <w14:textFill>
            <w14:solidFill>
              <w14:schemeClr w14:val="tx1"/>
            </w14:solidFill>
          </w14:textFill>
        </w:rPr>
        <w:t>供应商：                   （公章）</w:t>
      </w:r>
      <w:bookmarkEnd w:id="479"/>
      <w:bookmarkEnd w:id="480"/>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81" w:name="_Toc21435_WPSOffice_Level2"/>
      <w:bookmarkStart w:id="482" w:name="_Toc30578_WPSOffice_Level2"/>
      <w:r>
        <w:rPr>
          <w:rFonts w:hint="eastAsia" w:ascii="宋体" w:hAnsi="宋体" w:cs="宋体"/>
          <w:b/>
          <w:bCs/>
          <w:color w:val="000000" w:themeColor="text1"/>
          <w:sz w:val="24"/>
          <w:szCs w:val="24"/>
          <w14:textFill>
            <w14:solidFill>
              <w14:schemeClr w14:val="tx1"/>
            </w14:solidFill>
          </w14:textFill>
        </w:rPr>
        <w:t>法定代表人或委托代理人：   （签字或盖章）</w:t>
      </w:r>
      <w:bookmarkEnd w:id="481"/>
      <w:bookmarkEnd w:id="482"/>
    </w:p>
    <w:p>
      <w:pPr>
        <w:wordWrap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xml:space="preserve">                                        </w:t>
      </w:r>
      <w:bookmarkStart w:id="483" w:name="_Toc23351_WPSOffice_Level2"/>
      <w:bookmarkStart w:id="484" w:name="_Toc23042_WPSOffice_Level2"/>
      <w:r>
        <w:rPr>
          <w:rFonts w:hint="eastAsia" w:ascii="宋体" w:hAnsi="宋体" w:cs="宋体"/>
          <w:b/>
          <w:bCs/>
          <w:color w:val="000000" w:themeColor="text1"/>
          <w:sz w:val="24"/>
          <w:szCs w:val="24"/>
          <w14:textFill>
            <w14:solidFill>
              <w14:schemeClr w14:val="tx1"/>
            </w14:solidFill>
          </w14:textFill>
        </w:rPr>
        <w:t>年     月     日</w:t>
      </w:r>
      <w:bookmarkEnd w:id="483"/>
      <w:bookmarkEnd w:id="484"/>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485" w:name="_Toc31069"/>
      <w:bookmarkStart w:id="486" w:name="_Toc26950"/>
      <w:bookmarkStart w:id="487" w:name="_Toc464136649"/>
      <w:r>
        <w:rPr>
          <w:rFonts w:ascii="宋体" w:hAnsi="宋体" w:cs="宋体"/>
          <w:b w:val="0"/>
          <w:bCs w:val="0"/>
          <w:color w:val="000000" w:themeColor="text1"/>
          <w:sz w:val="24"/>
          <w:szCs w:val="24"/>
          <w14:textFill>
            <w14:solidFill>
              <w14:schemeClr w14:val="tx1"/>
            </w14:solidFill>
          </w14:textFill>
        </w:rPr>
        <w:br w:type="page"/>
      </w:r>
      <w:bookmarkStart w:id="488" w:name="_Toc2654_WPSOffice_Level2"/>
      <w:bookmarkStart w:id="489" w:name="_Toc3374"/>
      <w:bookmarkStart w:id="490" w:name="_Toc21535"/>
      <w:bookmarkStart w:id="491" w:name="_Toc14568"/>
      <w:bookmarkStart w:id="492" w:name="_Toc27192_WPSOffice_Level2"/>
      <w:r>
        <w:rPr>
          <w:rFonts w:hint="eastAsia" w:ascii="宋体" w:hAnsi="宋体" w:cs="宋体"/>
          <w:color w:val="000000" w:themeColor="text1"/>
          <w:sz w:val="24"/>
          <w:szCs w:val="24"/>
          <w14:textFill>
            <w14:solidFill>
              <w14:schemeClr w14:val="tx1"/>
            </w14:solidFill>
          </w14:textFill>
        </w:rPr>
        <w:t>附件4：磋商报价一览表</w:t>
      </w:r>
      <w:bookmarkEnd w:id="485"/>
      <w:bookmarkEnd w:id="486"/>
      <w:bookmarkEnd w:id="487"/>
      <w:bookmarkEnd w:id="488"/>
      <w:bookmarkEnd w:id="489"/>
      <w:bookmarkEnd w:id="490"/>
      <w:bookmarkEnd w:id="491"/>
      <w:bookmarkEnd w:id="492"/>
    </w:p>
    <w:p>
      <w:pPr>
        <w:spacing w:line="360" w:lineRule="auto"/>
        <w:ind w:firstLine="0" w:firstLineChars="0"/>
        <w:textAlignment w:val="baseline"/>
        <w:rPr>
          <w:rFonts w:ascii="宋体" w:cs="Times New Roman"/>
          <w:color w:val="000000" w:themeColor="text1"/>
          <w:sz w:val="24"/>
          <w:szCs w:val="24"/>
          <w14:textFill>
            <w14:solidFill>
              <w14:schemeClr w14:val="tx1"/>
            </w14:solidFill>
          </w14:textFill>
        </w:rPr>
      </w:pPr>
    </w:p>
    <w:p>
      <w:pPr>
        <w:ind w:firstLine="0" w:firstLineChars="0"/>
        <w:jc w:val="center"/>
        <w:rPr>
          <w:rFonts w:ascii="宋体" w:hAnsi="宋体" w:cs="宋体"/>
          <w:b/>
          <w:color w:val="000000" w:themeColor="text1"/>
          <w:sz w:val="32"/>
          <w:szCs w:val="30"/>
          <w:lang w:val="zh-CN"/>
          <w14:textFill>
            <w14:solidFill>
              <w14:schemeClr w14:val="tx1"/>
            </w14:solidFill>
          </w14:textFill>
        </w:rPr>
      </w:pPr>
      <w:r>
        <w:rPr>
          <w:rFonts w:hint="eastAsia" w:ascii="宋体" w:hAnsi="宋体" w:cs="宋体"/>
          <w:b/>
          <w:color w:val="000000" w:themeColor="text1"/>
          <w:sz w:val="32"/>
          <w:szCs w:val="30"/>
          <w:lang w:val="zh-CN"/>
          <w14:textFill>
            <w14:solidFill>
              <w14:schemeClr w14:val="tx1"/>
            </w14:solidFill>
          </w14:textFill>
        </w:rPr>
        <w:t>竞争性磋商首次报价表</w:t>
      </w:r>
    </w:p>
    <w:p>
      <w:pPr>
        <w:ind w:firstLine="2711" w:firstLineChars="750"/>
        <w:rPr>
          <w:rFonts w:ascii="宋体" w:hAnsi="宋体" w:cs="宋体"/>
          <w:b/>
          <w:color w:val="000000" w:themeColor="text1"/>
          <w:sz w:val="36"/>
          <w:szCs w:val="36"/>
          <w14:textFill>
            <w14:solidFill>
              <w14:schemeClr w14:val="tx1"/>
            </w14:solidFill>
          </w14:textFill>
        </w:rPr>
      </w:pPr>
    </w:p>
    <w:p>
      <w:pPr>
        <w:ind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供应商名称：                    </w:t>
      </w:r>
      <w:r>
        <w:rPr>
          <w:rFonts w:hint="eastAsia" w:ascii="宋体" w:hAnsi="宋体" w:cs="宋体"/>
          <w:bCs/>
          <w:color w:val="000000" w:themeColor="text1"/>
          <w:sz w:val="24"/>
          <w:szCs w:val="24"/>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 xml:space="preserve">单位：人民币(元)     </w:t>
      </w:r>
    </w:p>
    <w:tbl>
      <w:tblPr>
        <w:tblStyle w:val="2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4188"/>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073" w:type="dxa"/>
            <w:vAlign w:val="center"/>
          </w:tcPr>
          <w:p>
            <w:pPr>
              <w:adjustRightInd w:val="0"/>
              <w:ind w:firstLine="482"/>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4188" w:type="dxa"/>
            <w:vAlign w:val="center"/>
          </w:tcPr>
          <w:p>
            <w:pPr>
              <w:adjustRightInd w:val="0"/>
              <w:ind w:firstLine="482"/>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竞争性磋商首次报价（元）</w:t>
            </w:r>
          </w:p>
        </w:tc>
        <w:tc>
          <w:tcPr>
            <w:tcW w:w="1972" w:type="dxa"/>
            <w:vAlign w:val="center"/>
          </w:tcPr>
          <w:p>
            <w:pPr>
              <w:adjustRightInd w:val="0"/>
              <w:ind w:left="275" w:leftChars="16" w:hanging="241" w:hangingChars="10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交货期</w:t>
            </w:r>
          </w:p>
        </w:tc>
        <w:tc>
          <w:tcPr>
            <w:tcW w:w="1972" w:type="dxa"/>
            <w:vAlign w:val="center"/>
          </w:tcPr>
          <w:p>
            <w:pPr>
              <w:adjustRightInd w:val="0"/>
              <w:ind w:left="275" w:leftChars="16" w:hanging="241" w:hangingChars="10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2073" w:type="dxa"/>
            <w:vMerge w:val="restart"/>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188" w:type="dxa"/>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大写：</w:t>
            </w:r>
          </w:p>
        </w:tc>
        <w:tc>
          <w:tcPr>
            <w:tcW w:w="1972" w:type="dxa"/>
            <w:vMerge w:val="restart"/>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972" w:type="dxa"/>
            <w:vMerge w:val="restart"/>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073" w:type="dxa"/>
            <w:vMerge w:val="continue"/>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188" w:type="dxa"/>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小写：</w:t>
            </w:r>
          </w:p>
        </w:tc>
        <w:tc>
          <w:tcPr>
            <w:tcW w:w="1972"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972"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8233" w:type="dxa"/>
            <w:gridSpan w:val="3"/>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其他承诺及需要说明的事项：</w:t>
            </w:r>
          </w:p>
        </w:tc>
        <w:tc>
          <w:tcPr>
            <w:tcW w:w="1972" w:type="dxa"/>
            <w:vMerge w:val="continue"/>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bl>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注：</w:t>
      </w:r>
      <w:r>
        <w:rPr>
          <w:rFonts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填写此表时不得改变表格形式。</w:t>
      </w:r>
    </w:p>
    <w:p>
      <w:pPr>
        <w:autoSpaceDE w:val="0"/>
        <w:autoSpaceDN w:val="0"/>
        <w:adjustRightInd w:val="0"/>
        <w:ind w:left="991" w:hanging="991" w:hangingChars="413"/>
        <w:rPr>
          <w:rFonts w:ascii="宋体"/>
          <w:color w:val="000000" w:themeColor="text1"/>
          <w:sz w:val="24"/>
          <w:szCs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r>
        <w:rPr>
          <w:rFonts w:ascii="宋体" w:hAnsi="Cambria" w:cs="宋体"/>
          <w:color w:val="000000" w:themeColor="text1"/>
          <w:sz w:val="24"/>
          <w:lang w:val="zh-CN"/>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“响应报价”为磋商总价。</w:t>
      </w:r>
      <w:r>
        <w:rPr>
          <w:rFonts w:hint="eastAsia" w:ascii="宋体"/>
          <w:color w:val="000000" w:themeColor="text1"/>
          <w:sz w:val="24"/>
          <w:szCs w:val="24"/>
          <w:lang w:val="zh-CN"/>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ascii="宋体"/>
          <w:color w:val="000000" w:themeColor="text1"/>
          <w:sz w:val="24"/>
          <w:szCs w:val="24"/>
          <w:lang w:val="zh-CN"/>
          <w14:textFill>
            <w14:solidFill>
              <w14:schemeClr w14:val="tx1"/>
            </w14:solidFill>
          </w14:textFill>
        </w:rPr>
        <w:t>。</w:t>
      </w:r>
    </w:p>
    <w:p>
      <w:pPr>
        <w:autoSpaceDE w:val="0"/>
        <w:autoSpaceDN w:val="0"/>
        <w:adjustRightInd w:val="0"/>
        <w:ind w:firstLine="0" w:firstLineChars="0"/>
        <w:rPr>
          <w:rFonts w:ascii="宋体" w:hAnsi="Cambria" w:cs="宋体"/>
          <w:color w:val="000000" w:themeColor="text1"/>
          <w:sz w:val="24"/>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r>
        <w:rPr>
          <w:rFonts w:ascii="宋体" w:hAnsi="Cambria" w:cs="宋体"/>
          <w:color w:val="000000" w:themeColor="text1"/>
          <w:sz w:val="24"/>
          <w:lang w:val="zh-CN"/>
          <w14:textFill>
            <w14:solidFill>
              <w14:schemeClr w14:val="tx1"/>
            </w14:solidFill>
          </w14:textFill>
        </w:rPr>
        <w:t>3.</w:t>
      </w:r>
      <w:r>
        <w:rPr>
          <w:rFonts w:hint="eastAsia" w:ascii="宋体" w:hAnsi="Cambria" w:cs="宋体"/>
          <w:color w:val="000000" w:themeColor="text1"/>
          <w:sz w:val="24"/>
          <w:lang w:val="zh-CN"/>
          <w14:textFill>
            <w14:solidFill>
              <w14:schemeClr w14:val="tx1"/>
            </w14:solidFill>
          </w14:textFill>
        </w:rPr>
        <w:t>“交货期”是指项目能够交付使用的具体时间。</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4</w:t>
      </w:r>
      <w:r>
        <w:rPr>
          <w:rFonts w:ascii="宋体" w:hAnsi="Cambria" w:cs="宋体"/>
          <w:color w:val="000000" w:themeColor="text1"/>
          <w:sz w:val="24"/>
          <w:lang w:val="zh-CN"/>
          <w14:textFill>
            <w14:solidFill>
              <w14:schemeClr w14:val="tx1"/>
            </w14:solidFill>
          </w14:textFill>
        </w:rPr>
        <w:t xml:space="preserve">. </w:t>
      </w:r>
      <w:r>
        <w:rPr>
          <w:rFonts w:hint="eastAsia" w:ascii="宋体" w:hAnsi="Cambria" w:cs="宋体"/>
          <w:color w:val="000000" w:themeColor="text1"/>
          <w:sz w:val="24"/>
          <w:lang w:val="zh-CN"/>
          <w14:textFill>
            <w14:solidFill>
              <w14:schemeClr w14:val="tx1"/>
            </w14:solidFill>
          </w14:textFill>
        </w:rPr>
        <w:t>响应报价不能有两个或两个以上的报价方案。</w:t>
      </w: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14:textFill>
            <w14:solidFill>
              <w14:schemeClr w14:val="tx1"/>
            </w14:solidFill>
          </w14:textFill>
        </w:rPr>
      </w:pP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供应商：                    （公章）</w:t>
      </w: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法定代表人或委托代理人：</w:t>
      </w:r>
      <w:r>
        <w:rPr>
          <w:rFonts w:hint="eastAsia" w:ascii="宋体" w:hAnsi="Cambria" w:cs="宋体"/>
          <w:b/>
          <w:bCs/>
          <w:color w:val="000000" w:themeColor="text1"/>
          <w:sz w:val="24"/>
          <w14:textFill>
            <w14:solidFill>
              <w14:schemeClr w14:val="tx1"/>
            </w14:solidFill>
          </w14:textFill>
        </w:rPr>
        <w:t xml:space="preserve">     （签字或盖章）</w:t>
      </w:r>
    </w:p>
    <w:p>
      <w:pPr>
        <w:autoSpaceDE w:val="0"/>
        <w:autoSpaceDN w:val="0"/>
        <w:adjustRightInd w:val="0"/>
        <w:ind w:right="480"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年   月    日</w:t>
      </w:r>
    </w:p>
    <w:p>
      <w:pPr>
        <w:ind w:firstLine="480"/>
        <w:rPr>
          <w:rFonts w:ascii="宋体" w:hAnsi="宋体" w:cs="宋体"/>
          <w:color w:val="000000" w:themeColor="text1"/>
          <w:sz w:val="24"/>
          <w:szCs w:val="24"/>
          <w14:textFill>
            <w14:solidFill>
              <w14:schemeClr w14:val="tx1"/>
            </w14:solidFill>
          </w14:textFill>
        </w:rPr>
      </w:pPr>
      <w:bookmarkStart w:id="493" w:name="_Toc22199"/>
      <w:bookmarkStart w:id="494" w:name="_Toc12585"/>
      <w:bookmarkStart w:id="495" w:name="_Toc457926643"/>
      <w:bookmarkStart w:id="496" w:name="_Toc26580_WPSOffice_Level2"/>
      <w:bookmarkStart w:id="497" w:name="_Toc11752_WPSOffice_Level2"/>
      <w:bookmarkStart w:id="498" w:name="_Toc478656841"/>
      <w:bookmarkStart w:id="499" w:name="_Toc480995482"/>
      <w:bookmarkStart w:id="500" w:name="_Toc413856975"/>
      <w:r>
        <w:rPr>
          <w:rFonts w:hint="eastAsia" w:ascii="宋体" w:hAnsi="宋体" w:cs="宋体"/>
          <w:color w:val="000000" w:themeColor="text1"/>
          <w:sz w:val="24"/>
          <w:szCs w:val="24"/>
          <w14:textFill>
            <w14:solidFill>
              <w14:schemeClr w14:val="tx1"/>
            </w14:solidFill>
          </w14:textFill>
        </w:rPr>
        <w:br w:type="page"/>
      </w: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501" w:name="_Toc16630"/>
      <w:r>
        <w:rPr>
          <w:rFonts w:hint="eastAsia" w:ascii="宋体" w:hAnsi="宋体" w:cs="宋体"/>
          <w:color w:val="000000" w:themeColor="text1"/>
          <w:sz w:val="24"/>
          <w:szCs w:val="24"/>
          <w14:textFill>
            <w14:solidFill>
              <w14:schemeClr w14:val="tx1"/>
            </w14:solidFill>
          </w14:textFill>
        </w:rPr>
        <w:t>附件5：分项报价表</w:t>
      </w:r>
      <w:bookmarkEnd w:id="493"/>
      <w:bookmarkEnd w:id="494"/>
      <w:bookmarkEnd w:id="495"/>
      <w:bookmarkEnd w:id="496"/>
      <w:bookmarkEnd w:id="497"/>
      <w:bookmarkEnd w:id="498"/>
      <w:bookmarkEnd w:id="499"/>
      <w:bookmarkEnd w:id="501"/>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502" w:name="_Toc27687_WPSOffice_Level2"/>
      <w:bookmarkStart w:id="503" w:name="_Toc26316_WPSOffice_Level2"/>
      <w:r>
        <w:rPr>
          <w:rFonts w:hint="eastAsia" w:ascii="宋体" w:hAnsi="宋体" w:cs="宋体"/>
          <w:b/>
          <w:bCs/>
          <w:color w:val="000000" w:themeColor="text1"/>
          <w:sz w:val="28"/>
          <w:szCs w:val="28"/>
          <w:lang w:val="zh-CN"/>
          <w14:textFill>
            <w14:solidFill>
              <w14:schemeClr w14:val="tx1"/>
            </w14:solidFill>
          </w14:textFill>
        </w:rPr>
        <w:t>分项报价表</w:t>
      </w:r>
      <w:bookmarkEnd w:id="502"/>
      <w:bookmarkEnd w:id="503"/>
    </w:p>
    <w:p>
      <w:pPr>
        <w:autoSpaceDE w:val="0"/>
        <w:autoSpaceDN w:val="0"/>
        <w:spacing w:line="360" w:lineRule="auto"/>
        <w:ind w:firstLine="562"/>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422"/>
        <w:rPr>
          <w:rFonts w:ascii="宋体" w:hAnsi="宋体" w:cs="宋体"/>
          <w:color w:val="000000" w:themeColor="text1"/>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项目名称</w:t>
      </w:r>
      <w:r>
        <w:rPr>
          <w:rFonts w:hint="eastAsia" w:ascii="宋体" w:hAnsi="宋体" w:cs="宋体"/>
          <w:b/>
          <w:bCs/>
          <w:color w:val="000000" w:themeColor="text1"/>
          <w14:textFill>
            <w14:solidFill>
              <w14:schemeClr w14:val="tx1"/>
            </w14:solidFill>
          </w14:textFill>
        </w:rPr>
        <w:t xml:space="preserve">：                                                  </w:t>
      </w:r>
    </w:p>
    <w:tbl>
      <w:tblPr>
        <w:tblStyle w:val="24"/>
        <w:tblW w:w="10116" w:type="dxa"/>
        <w:jc w:val="center"/>
        <w:tblLayout w:type="fixed"/>
        <w:tblCellMar>
          <w:top w:w="0" w:type="dxa"/>
          <w:left w:w="28" w:type="dxa"/>
          <w:bottom w:w="0" w:type="dxa"/>
          <w:right w:w="28" w:type="dxa"/>
        </w:tblCellMar>
      </w:tblPr>
      <w:tblGrid>
        <w:gridCol w:w="1135"/>
        <w:gridCol w:w="1984"/>
        <w:gridCol w:w="1843"/>
        <w:gridCol w:w="1464"/>
        <w:gridCol w:w="1324"/>
        <w:gridCol w:w="706"/>
        <w:gridCol w:w="831"/>
        <w:gridCol w:w="829"/>
      </w:tblGrid>
      <w:tr>
        <w:tblPrEx>
          <w:tblCellMar>
            <w:top w:w="0" w:type="dxa"/>
            <w:left w:w="28" w:type="dxa"/>
            <w:bottom w:w="0" w:type="dxa"/>
            <w:right w:w="28" w:type="dxa"/>
          </w:tblCellMar>
        </w:tblPrEx>
        <w:trPr>
          <w:trHeight w:val="23" w:hRule="atLeast"/>
          <w:jc w:val="center"/>
        </w:trPr>
        <w:tc>
          <w:tcPr>
            <w:tcW w:w="1135"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98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名称</w:t>
            </w:r>
          </w:p>
        </w:tc>
        <w:tc>
          <w:tcPr>
            <w:tcW w:w="184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42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146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210" w:firstLineChars="1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32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3</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199" w:firstLineChars="95"/>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4</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1135"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9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4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13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311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420"/>
              <w:jc w:val="center"/>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磋商(响应)总价</w:t>
            </w:r>
          </w:p>
        </w:tc>
        <w:tc>
          <w:tcPr>
            <w:tcW w:w="1843" w:type="dxa"/>
            <w:tcBorders>
              <w:top w:val="single" w:color="000000" w:sz="6" w:space="0"/>
              <w:left w:val="single" w:color="000000" w:sz="6" w:space="0"/>
              <w:bottom w:val="single" w:color="000000" w:sz="8" w:space="0"/>
              <w:right w:val="single" w:color="000000" w:sz="6" w:space="0"/>
            </w:tcBorders>
          </w:tcPr>
          <w:p>
            <w:pPr>
              <w:autoSpaceDE w:val="0"/>
              <w:autoSpaceDN w:val="0"/>
              <w:spacing w:line="360" w:lineRule="auto"/>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小写：</w:t>
            </w:r>
          </w:p>
        </w:tc>
        <w:tc>
          <w:tcPr>
            <w:tcW w:w="5154" w:type="dxa"/>
            <w:gridSpan w:val="5"/>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42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tc>
      </w:tr>
    </w:tbl>
    <w:p>
      <w:pPr>
        <w:autoSpaceDE w:val="0"/>
        <w:autoSpaceDN w:val="0"/>
        <w:adjustRightInd w:val="0"/>
        <w:ind w:firstLine="0" w:firstLineChars="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注：1.本表应依照采购一览表中的采购内容序号按顺序逐项填写，不得遗漏，否则投标(响应)无效。</w:t>
      </w:r>
    </w:p>
    <w:p>
      <w:pPr>
        <w:autoSpaceDE w:val="0"/>
        <w:autoSpaceDN w:val="0"/>
        <w:adjustRightInd w:val="0"/>
        <w:ind w:firstLine="0" w:firstLineChars="0"/>
        <w:rPr>
          <w:color w:val="000000" w:themeColor="text1"/>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 xml:space="preserve">    </w:t>
      </w:r>
      <w:bookmarkStart w:id="504" w:name="_Toc15463_WPSOffice_Level2"/>
      <w:bookmarkStart w:id="505" w:name="_Toc28832_WPSOffice_Level2"/>
      <w:r>
        <w:rPr>
          <w:rFonts w:hint="eastAsia" w:ascii="宋体" w:hAnsi="Cambria" w:cs="宋体"/>
          <w:color w:val="000000" w:themeColor="text1"/>
          <w:sz w:val="24"/>
          <w:lang w:val="zh-CN"/>
          <w14:textFill>
            <w14:solidFill>
              <w14:schemeClr w14:val="tx1"/>
            </w14:solidFill>
          </w14:textFill>
        </w:rPr>
        <w:t>2.磋商报价不能有两个或两个以上的报价方案。</w:t>
      </w:r>
      <w:bookmarkEnd w:id="504"/>
      <w:bookmarkEnd w:id="505"/>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autoSpaceDE w:val="0"/>
        <w:autoSpaceDN w:val="0"/>
        <w:adjustRightInd w:val="0"/>
        <w:ind w:firstLine="420"/>
        <w:jc w:val="right"/>
        <w:rPr>
          <w:rFonts w:ascii="宋体" w:hAnsi="Cambria" w:cs="宋体"/>
          <w:b/>
          <w:bCs/>
          <w:color w:val="000000" w:themeColor="text1"/>
          <w:sz w:val="24"/>
          <w:lang w:val="zh-CN"/>
          <w14:textFill>
            <w14:solidFill>
              <w14:schemeClr w14:val="tx1"/>
            </w14:solidFill>
          </w14:textFill>
        </w:rPr>
      </w:pPr>
      <w:r>
        <w:rPr>
          <w:color w:val="000000" w:themeColor="text1"/>
          <w:lang w:val="zh-CN"/>
          <w14:textFill>
            <w14:solidFill>
              <w14:schemeClr w14:val="tx1"/>
            </w14:solidFill>
          </w14:textFill>
        </w:rPr>
        <w:tab/>
      </w:r>
      <w:r>
        <w:rPr>
          <w:rFonts w:hint="eastAsia" w:ascii="宋体" w:hAnsi="Cambria" w:cs="宋体"/>
          <w:b/>
          <w:bCs/>
          <w:color w:val="000000" w:themeColor="text1"/>
          <w:sz w:val="24"/>
          <w:lang w:val="zh-CN"/>
          <w14:textFill>
            <w14:solidFill>
              <w14:schemeClr w14:val="tx1"/>
            </w14:solidFill>
          </w14:textFill>
        </w:rPr>
        <w:t>供应商：                    （公章）</w:t>
      </w:r>
    </w:p>
    <w:p>
      <w:pPr>
        <w:autoSpaceDE w:val="0"/>
        <w:autoSpaceDN w:val="0"/>
        <w:adjustRightInd w:val="0"/>
        <w:ind w:firstLine="482"/>
        <w:jc w:val="right"/>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法定代表人或委托代理人：</w:t>
      </w:r>
      <w:r>
        <w:rPr>
          <w:rFonts w:hint="eastAsia" w:ascii="宋体" w:hAnsi="Cambria" w:cs="宋体"/>
          <w:b/>
          <w:bCs/>
          <w:color w:val="000000" w:themeColor="text1"/>
          <w:sz w:val="24"/>
          <w14:textFill>
            <w14:solidFill>
              <w14:schemeClr w14:val="tx1"/>
            </w14:solidFill>
          </w14:textFill>
        </w:rPr>
        <w:t xml:space="preserve">     （签字或盖章）</w:t>
      </w:r>
    </w:p>
    <w:p>
      <w:pPr>
        <w:autoSpaceDE w:val="0"/>
        <w:autoSpaceDN w:val="0"/>
        <w:adjustRightInd w:val="0"/>
        <w:ind w:right="480"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年   月    日</w:t>
      </w:r>
    </w:p>
    <w:p>
      <w:pPr>
        <w:pStyle w:val="21"/>
        <w:ind w:firstLine="0" w:firstLineChars="0"/>
        <w:jc w:val="left"/>
        <w:rPr>
          <w:rFonts w:ascii="宋体" w:hAnsi="宋体" w:cs="宋体"/>
          <w:color w:val="000000" w:themeColor="text1"/>
          <w14:textFill>
            <w14:solidFill>
              <w14:schemeClr w14:val="tx1"/>
            </w14:solidFill>
          </w14:textFill>
        </w:rPr>
      </w:pPr>
      <w:r>
        <w:rPr>
          <w:color w:val="000000" w:themeColor="text1"/>
          <w:lang w:val="zh-CN"/>
          <w14:textFill>
            <w14:solidFill>
              <w14:schemeClr w14:val="tx1"/>
            </w14:solidFill>
          </w14:textFill>
        </w:rPr>
        <w:br w:type="page"/>
      </w:r>
      <w:bookmarkStart w:id="506" w:name="_Toc32232"/>
      <w:bookmarkStart w:id="507" w:name="_Toc18208_WPSOffice_Level2"/>
      <w:bookmarkStart w:id="508" w:name="_Toc3303"/>
      <w:bookmarkStart w:id="509" w:name="_Toc18188"/>
      <w:bookmarkStart w:id="510" w:name="_Toc502225163"/>
      <w:bookmarkStart w:id="511" w:name="_Toc497467604"/>
      <w:bookmarkStart w:id="512" w:name="_Toc26076_WPSOffice_Level2"/>
      <w:bookmarkStart w:id="513" w:name="_Toc464136650"/>
      <w:bookmarkStart w:id="514" w:name="_Toc14675"/>
      <w:bookmarkStart w:id="515" w:name="_Toc13693"/>
      <w:r>
        <w:rPr>
          <w:rFonts w:hint="eastAsia" w:ascii="宋体" w:hAnsi="宋体" w:cs="宋体"/>
          <w:color w:val="000000" w:themeColor="text1"/>
          <w:sz w:val="24"/>
          <w:szCs w:val="24"/>
          <w14:textFill>
            <w14:solidFill>
              <w14:schemeClr w14:val="tx1"/>
            </w14:solidFill>
          </w14:textFill>
        </w:rPr>
        <w:t>附件6.技术规格响应表</w:t>
      </w:r>
      <w:bookmarkEnd w:id="506"/>
      <w:bookmarkEnd w:id="507"/>
      <w:bookmarkEnd w:id="508"/>
      <w:bookmarkEnd w:id="509"/>
      <w:bookmarkEnd w:id="510"/>
      <w:bookmarkEnd w:id="511"/>
      <w:bookmarkEnd w:id="512"/>
    </w:p>
    <w:p>
      <w:pPr>
        <w:autoSpaceDE w:val="0"/>
        <w:autoSpaceDN w:val="0"/>
        <w:spacing w:line="360" w:lineRule="auto"/>
        <w:ind w:firstLine="560"/>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516" w:name="_Toc7990_WPSOffice_Level2"/>
      <w:bookmarkStart w:id="517" w:name="_Toc6445_WPSOffice_Level2"/>
      <w:r>
        <w:rPr>
          <w:rFonts w:hint="eastAsia" w:ascii="宋体" w:hAnsi="宋体" w:cs="宋体"/>
          <w:b/>
          <w:bCs/>
          <w:color w:val="000000" w:themeColor="text1"/>
          <w:sz w:val="28"/>
          <w:szCs w:val="28"/>
          <w:lang w:val="zh-CN"/>
          <w14:textFill>
            <w14:solidFill>
              <w14:schemeClr w14:val="tx1"/>
            </w14:solidFill>
          </w14:textFill>
        </w:rPr>
        <w:t>技术规格响应表</w:t>
      </w:r>
      <w:bookmarkEnd w:id="516"/>
      <w:bookmarkEnd w:id="517"/>
    </w:p>
    <w:p>
      <w:pPr>
        <w:autoSpaceDE w:val="0"/>
        <w:autoSpaceDN w:val="0"/>
        <w:spacing w:line="360" w:lineRule="auto"/>
        <w:ind w:firstLine="226" w:firstLineChars="94"/>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项目名称</w:t>
      </w:r>
      <w:r>
        <w:rPr>
          <w:rFonts w:hint="eastAsia" w:ascii="宋体" w:hAnsi="宋体" w:cs="宋体"/>
          <w:b/>
          <w:bCs/>
          <w:color w:val="000000" w:themeColor="text1"/>
          <w:sz w:val="24"/>
          <w:szCs w:val="24"/>
          <w14:textFill>
            <w14:solidFill>
              <w14:schemeClr w14:val="tx1"/>
            </w14:solidFill>
          </w14:textFill>
        </w:rPr>
        <w:t xml:space="preserve">：                                                 </w:t>
      </w:r>
    </w:p>
    <w:tbl>
      <w:tblPr>
        <w:tblStyle w:val="24"/>
        <w:tblW w:w="9477" w:type="dxa"/>
        <w:jc w:val="center"/>
        <w:tblLayout w:type="fixed"/>
        <w:tblCellMar>
          <w:top w:w="0" w:type="dxa"/>
          <w:left w:w="28" w:type="dxa"/>
          <w:bottom w:w="0" w:type="dxa"/>
          <w:right w:w="28" w:type="dxa"/>
        </w:tblCellMar>
      </w:tblPr>
      <w:tblGrid>
        <w:gridCol w:w="868"/>
        <w:gridCol w:w="1233"/>
        <w:gridCol w:w="2378"/>
        <w:gridCol w:w="1247"/>
        <w:gridCol w:w="2467"/>
        <w:gridCol w:w="1284"/>
      </w:tblGrid>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响应产品技术参数、指标</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技术参数及配置</w:t>
            </w: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8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c>
          <w:tcPr>
            <w:tcW w:w="128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480"/>
              <w:jc w:val="center"/>
              <w:rPr>
                <w:rFonts w:ascii="宋体" w:hAnsi="宋体" w:cs="宋体"/>
                <w:color w:val="000000" w:themeColor="text1"/>
                <w:sz w:val="24"/>
                <w:szCs w:val="24"/>
                <w:lang w:val="zh-CN"/>
                <w14:textFill>
                  <w14:solidFill>
                    <w14:schemeClr w14:val="tx1"/>
                  </w14:solidFill>
                </w14:textFill>
              </w:rPr>
            </w:pPr>
          </w:p>
        </w:tc>
      </w:tr>
    </w:tbl>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注：1.本表应按照 “项目概况及技术参数”中产品序号的指标逐项填写，不得遗漏。</w:t>
      </w:r>
    </w:p>
    <w:p>
      <w:pPr>
        <w:numPr>
          <w:ilvl w:val="0"/>
          <w:numId w:val="2"/>
        </w:numPr>
        <w:autoSpaceDE w:val="0"/>
        <w:autoSpaceDN w:val="0"/>
        <w:spacing w:line="360" w:lineRule="auto"/>
        <w:ind w:firstLine="48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响应产品技术参数、指标”必须与磋商文件中提供的产品检测报告或彩页等证明材料的实质性响应情况相一致。若在磋商环节发现该项与磋商文件中提供的产品检测报告或彩页（或厂家公开发布的资料参数）等证明材料的实质性响应情况不一致或直接复制磋商文件“采购需求技术参数、指标”内容的，按无效报价处理。</w:t>
      </w:r>
    </w:p>
    <w:p>
      <w:pPr>
        <w:numPr>
          <w:ilvl w:val="0"/>
          <w:numId w:val="2"/>
        </w:numPr>
        <w:autoSpaceDE w:val="0"/>
        <w:autoSpaceDN w:val="0"/>
        <w:spacing w:line="360" w:lineRule="auto"/>
        <w:ind w:firstLine="48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填写此表时以磋商项目参数要求为基本投标（磋商）要求，满足磋商项目参数要求的指标需列出“</w:t>
      </w: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zh-CN"/>
          <w14:textFill>
            <w14:solidFill>
              <w14:schemeClr w14:val="tx1"/>
            </w14:solidFill>
          </w14:textFill>
        </w:rPr>
        <w:t>”；超出、不满足磋商项目参数要求的指标需列出“+”、“-”偏差，并做出详细说明；如果只注明“+”、“-”或未填写，将视为该项指标不响应。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br w:type="page"/>
      </w: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518" w:name="_Toc10886"/>
      <w:bookmarkStart w:id="519" w:name="_Toc11813_WPSOffice_Level2"/>
      <w:bookmarkStart w:id="520" w:name="_Toc9371_WPSOffice_Level2"/>
      <w:bookmarkStart w:id="521" w:name="_Toc7596"/>
      <w:bookmarkStart w:id="522" w:name="_Toc22456"/>
      <w:r>
        <w:rPr>
          <w:rFonts w:hint="eastAsia" w:ascii="宋体" w:hAnsi="宋体" w:cs="宋体"/>
          <w:color w:val="000000" w:themeColor="text1"/>
          <w:sz w:val="24"/>
          <w:szCs w:val="24"/>
          <w14:textFill>
            <w14:solidFill>
              <w14:schemeClr w14:val="tx1"/>
            </w14:solidFill>
          </w14:textFill>
        </w:rPr>
        <w:t>附件</w:t>
      </w:r>
      <w:bookmarkStart w:id="523" w:name="_Toc325726043"/>
      <w:bookmarkStart w:id="524" w:name="_Toc376936774"/>
      <w:r>
        <w:rPr>
          <w:rFonts w:hint="eastAsia" w:ascii="宋体" w:hAnsi="宋体" w:cs="宋体"/>
          <w:color w:val="000000" w:themeColor="text1"/>
          <w:sz w:val="24"/>
          <w:szCs w:val="24"/>
          <w14:textFill>
            <w14:solidFill>
              <w14:schemeClr w14:val="tx1"/>
            </w14:solidFill>
          </w14:textFill>
        </w:rPr>
        <w:t>7：法定代表人证明书</w:t>
      </w:r>
      <w:bookmarkEnd w:id="513"/>
      <w:bookmarkEnd w:id="514"/>
      <w:bookmarkEnd w:id="515"/>
      <w:bookmarkEnd w:id="518"/>
      <w:bookmarkEnd w:id="519"/>
      <w:bookmarkEnd w:id="520"/>
      <w:bookmarkEnd w:id="521"/>
      <w:bookmarkEnd w:id="522"/>
      <w:bookmarkEnd w:id="523"/>
      <w:bookmarkEnd w:id="524"/>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bookmarkEnd w:id="500"/>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525" w:name="_Toc14045_WPSOffice_Level2"/>
      <w:bookmarkStart w:id="526" w:name="_Toc31731_WPSOffice_Level2"/>
      <w:bookmarkStart w:id="527" w:name="_Toc201287639"/>
      <w:bookmarkStart w:id="528" w:name="_Toc324756736"/>
      <w:bookmarkStart w:id="529" w:name="_Toc464136651"/>
      <w:bookmarkStart w:id="530" w:name="_Toc29201"/>
      <w:bookmarkStart w:id="531" w:name="_Toc31614"/>
      <w:r>
        <w:rPr>
          <w:rFonts w:hint="eastAsia" w:ascii="宋体" w:hAnsi="宋体" w:cs="宋体"/>
          <w:b/>
          <w:bCs/>
          <w:color w:val="000000" w:themeColor="text1"/>
          <w:sz w:val="28"/>
          <w:szCs w:val="28"/>
          <w:lang w:val="zh-CN"/>
          <w14:textFill>
            <w14:solidFill>
              <w14:schemeClr w14:val="tx1"/>
            </w14:solidFill>
          </w14:textFill>
        </w:rPr>
        <w:t>法定代表人证明书</w:t>
      </w:r>
      <w:bookmarkEnd w:id="525"/>
      <w:bookmarkEnd w:id="526"/>
    </w:p>
    <w:p>
      <w:pPr>
        <w:autoSpaceDE w:val="0"/>
        <w:autoSpaceDN w:val="0"/>
        <w:spacing w:line="360" w:lineRule="auto"/>
        <w:ind w:firstLine="562"/>
        <w:rPr>
          <w:rFonts w:ascii="宋体" w:hAnsi="宋体" w:cs="宋体"/>
          <w:b/>
          <w:bCs/>
          <w:color w:val="000000" w:themeColor="text1"/>
          <w:sz w:val="28"/>
          <w:szCs w:val="28"/>
          <w:lang w:val="zh-CN"/>
          <w14:textFill>
            <w14:solidFill>
              <w14:schemeClr w14:val="tx1"/>
            </w14:solidFill>
          </w14:textFill>
        </w:rPr>
      </w:pPr>
    </w:p>
    <w:p>
      <w:pPr>
        <w:autoSpaceDE w:val="0"/>
        <w:autoSpaceDN w:val="0"/>
        <w:spacing w:line="360" w:lineRule="auto"/>
        <w:ind w:firstLine="482"/>
        <w:rPr>
          <w:rFonts w:ascii="宋体" w:hAnsi="宋体" w:cs="宋体"/>
          <w:color w:val="000000" w:themeColor="text1"/>
          <w:sz w:val="22"/>
          <w:szCs w:val="22"/>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（法定代表人姓名）</w:t>
      </w:r>
      <w:r>
        <w:rPr>
          <w:rFonts w:hint="eastAsia" w:ascii="宋体" w:hAnsi="宋体" w:cs="宋体"/>
          <w:color w:val="000000" w:themeColor="text1"/>
          <w:sz w:val="24"/>
          <w:szCs w:val="24"/>
          <w:lang w:val="zh-CN"/>
          <w14:textFill>
            <w14:solidFill>
              <w14:schemeClr w14:val="tx1"/>
            </w14:solidFill>
          </w14:textFill>
        </w:rPr>
        <w:t>现任我单位职务，为法定代表人，特此证明。</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法定代表人基本情况：</w:t>
      </w:r>
    </w:p>
    <w:p>
      <w:pPr>
        <w:autoSpaceDE w:val="0"/>
        <w:autoSpaceDN w:val="0"/>
        <w:spacing w:line="360" w:lineRule="auto"/>
        <w:ind w:firstLine="48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性别：年龄： 民族：</w:t>
      </w:r>
    </w:p>
    <w:p>
      <w:pPr>
        <w:autoSpaceDE w:val="0"/>
        <w:autoSpaceDN w:val="0"/>
        <w:spacing w:line="360" w:lineRule="auto"/>
        <w:ind w:firstLine="48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地址：</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身份证号码：</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附法定代表人第二代身份证双面扫描（或复印）件</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32" w:name="_Toc13411_WPSOffice_Level2"/>
      <w:bookmarkStart w:id="533" w:name="_Toc8748_WPSOffice_Level2"/>
      <w:r>
        <w:rPr>
          <w:rFonts w:hint="eastAsia" w:ascii="宋体" w:hAnsi="宋体" w:cs="宋体"/>
          <w:b/>
          <w:bCs/>
          <w:color w:val="000000" w:themeColor="text1"/>
          <w:sz w:val="24"/>
          <w:szCs w:val="24"/>
          <w:lang w:val="zh-CN"/>
          <w14:textFill>
            <w14:solidFill>
              <w14:schemeClr w14:val="tx1"/>
            </w14:solidFill>
          </w14:textFill>
        </w:rPr>
        <w:t>供应商：           （公章）</w:t>
      </w:r>
      <w:bookmarkEnd w:id="532"/>
      <w:bookmarkEnd w:id="533"/>
    </w:p>
    <w:p>
      <w:pPr>
        <w:autoSpaceDE w:val="0"/>
        <w:autoSpaceDN w:val="0"/>
        <w:spacing w:line="360" w:lineRule="auto"/>
        <w:ind w:firstLine="482"/>
        <w:jc w:val="center"/>
        <w:rPr>
          <w:rFonts w:ascii="宋体" w:hAnsi="宋体" w:cs="宋体"/>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34" w:name="_Toc16962_WPSOffice_Level2"/>
      <w:bookmarkStart w:id="535" w:name="_Toc26907_WPSOffice_Level2"/>
      <w:r>
        <w:rPr>
          <w:rFonts w:hint="eastAsia" w:ascii="宋体" w:hAnsi="宋体" w:cs="宋体"/>
          <w:b/>
          <w:bCs/>
          <w:color w:val="000000" w:themeColor="text1"/>
          <w:sz w:val="24"/>
          <w:szCs w:val="24"/>
          <w:lang w:val="zh-CN"/>
          <w14:textFill>
            <w14:solidFill>
              <w14:schemeClr w14:val="tx1"/>
            </w14:solidFill>
          </w14:textFill>
        </w:rPr>
        <w:t>年   月   日</w:t>
      </w:r>
      <w:bookmarkEnd w:id="534"/>
      <w:bookmarkEnd w:id="535"/>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br w:type="page"/>
      </w:r>
      <w:bookmarkStart w:id="536" w:name="_Toc6798"/>
      <w:bookmarkStart w:id="537" w:name="_Toc9353_WPSOffice_Level2"/>
      <w:bookmarkStart w:id="538" w:name="_Toc28878"/>
      <w:bookmarkStart w:id="539" w:name="_Toc9387_WPSOffice_Level2"/>
      <w:bookmarkStart w:id="540" w:name="_Toc14244"/>
      <w:r>
        <w:rPr>
          <w:rFonts w:hint="eastAsia" w:ascii="宋体" w:hAnsi="宋体" w:cs="宋体"/>
          <w:color w:val="000000" w:themeColor="text1"/>
          <w:sz w:val="24"/>
          <w:szCs w:val="24"/>
          <w14:textFill>
            <w14:solidFill>
              <w14:schemeClr w14:val="tx1"/>
            </w14:solidFill>
          </w14:textFill>
        </w:rPr>
        <w:t>附件</w:t>
      </w:r>
      <w:bookmarkEnd w:id="527"/>
      <w:bookmarkEnd w:id="528"/>
      <w:r>
        <w:rPr>
          <w:rFonts w:hint="eastAsia" w:ascii="宋体" w:hAnsi="宋体" w:cs="宋体"/>
          <w:color w:val="000000" w:themeColor="text1"/>
          <w:sz w:val="24"/>
          <w:szCs w:val="24"/>
          <w14:textFill>
            <w14:solidFill>
              <w14:schemeClr w14:val="tx1"/>
            </w14:solidFill>
          </w14:textFill>
        </w:rPr>
        <w:t>8：法定代表人授权书</w:t>
      </w:r>
      <w:bookmarkEnd w:id="529"/>
      <w:bookmarkEnd w:id="530"/>
      <w:bookmarkEnd w:id="531"/>
      <w:bookmarkEnd w:id="536"/>
      <w:bookmarkEnd w:id="537"/>
      <w:bookmarkEnd w:id="538"/>
      <w:bookmarkEnd w:id="539"/>
      <w:bookmarkEnd w:id="540"/>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41" w:name="_Toc309_WPSOffice_Level2"/>
      <w:bookmarkStart w:id="542" w:name="_Toc1186_WPSOffice_Level2"/>
      <w:r>
        <w:rPr>
          <w:rFonts w:hint="eastAsia" w:ascii="宋体" w:hAnsi="宋体" w:cs="宋体"/>
          <w:b/>
          <w:bCs/>
          <w:color w:val="000000" w:themeColor="text1"/>
          <w:sz w:val="28"/>
          <w:szCs w:val="28"/>
          <w14:textFill>
            <w14:solidFill>
              <w14:schemeClr w14:val="tx1"/>
            </w14:solidFill>
          </w14:textFill>
        </w:rPr>
        <w:t>法定代表人授权书</w:t>
      </w:r>
      <w:bookmarkEnd w:id="541"/>
      <w:bookmarkEnd w:id="542"/>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autoSpaceDE w:val="0"/>
        <w:autoSpaceDN w:val="0"/>
        <w:spacing w:line="360" w:lineRule="auto"/>
        <w:ind w:firstLine="482"/>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（供应商名称）</w:t>
      </w:r>
      <w:r>
        <w:rPr>
          <w:rFonts w:hint="eastAsia" w:ascii="宋体" w:hAnsi="宋体" w:cs="宋体"/>
          <w:color w:val="000000" w:themeColor="text1"/>
          <w:sz w:val="24"/>
          <w:szCs w:val="24"/>
          <w:lang w:val="zh-CN"/>
          <w14:textFill>
            <w14:solidFill>
              <w14:schemeClr w14:val="tx1"/>
            </w14:solidFill>
          </w14:textFill>
        </w:rPr>
        <w:t>系中华人民共和国合法企业，法定地址</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u w:val="single"/>
          <w:lang w:val="zh-CN"/>
          <w14:textFill>
            <w14:solidFill>
              <w14:schemeClr w14:val="tx1"/>
            </w14:solidFill>
          </w14:textFill>
        </w:rPr>
        <w:t>（法定代表人姓名）</w:t>
      </w:r>
      <w:r>
        <w:rPr>
          <w:rFonts w:hint="eastAsia" w:ascii="宋体" w:hAnsi="宋体" w:cs="宋体"/>
          <w:color w:val="000000" w:themeColor="text1"/>
          <w:sz w:val="24"/>
          <w:szCs w:val="24"/>
          <w:lang w:val="zh-CN"/>
          <w14:textFill>
            <w14:solidFill>
              <w14:schemeClr w14:val="tx1"/>
            </w14:solidFill>
          </w14:textFill>
        </w:rPr>
        <w:t>特授权</w:t>
      </w:r>
      <w:r>
        <w:rPr>
          <w:rFonts w:hint="eastAsia" w:ascii="宋体" w:hAnsi="宋体" w:cs="宋体"/>
          <w:color w:val="000000" w:themeColor="text1"/>
          <w:sz w:val="24"/>
          <w:szCs w:val="24"/>
          <w:u w:val="single"/>
          <w:lang w:val="zh-CN"/>
          <w14:textFill>
            <w14:solidFill>
              <w14:schemeClr w14:val="tx1"/>
            </w14:solidFill>
          </w14:textFill>
        </w:rPr>
        <w:t>（委托代理人姓名）</w:t>
      </w:r>
      <w:r>
        <w:rPr>
          <w:rFonts w:hint="eastAsia" w:ascii="宋体" w:hAnsi="宋体" w:cs="宋体"/>
          <w:color w:val="000000" w:themeColor="text1"/>
          <w:sz w:val="24"/>
          <w:szCs w:val="24"/>
          <w:lang w:val="zh-CN"/>
          <w14:textFill>
            <w14:solidFill>
              <w14:schemeClr w14:val="tx1"/>
            </w14:solidFill>
          </w14:textFill>
        </w:rPr>
        <w:t>代表我单位全权办理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项目的磋商、答疑等具体工作，并签署全部有关的文件、资料。</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我单位对被授权人的签名负全部责任。</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被授权人联系电话：</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120" w:firstLineChars="50"/>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被授权人（委托代理人）签字：</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授权人（法定代表人）签字：</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p>
    <w:p>
      <w:pPr>
        <w:autoSpaceDE w:val="0"/>
        <w:autoSpaceDN w:val="0"/>
        <w:spacing w:line="360" w:lineRule="auto"/>
        <w:ind w:firstLine="199" w:firstLineChars="83"/>
        <w:rPr>
          <w:rFonts w:ascii="宋体" w:hAnsi="宋体" w:cs="宋体"/>
          <w:color w:val="000000" w:themeColor="text1"/>
          <w:sz w:val="24"/>
          <w:szCs w:val="24"/>
          <w:u w:val="single"/>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职务：</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zh-CN"/>
          <w14:textFill>
            <w14:solidFill>
              <w14:schemeClr w14:val="tx1"/>
            </w14:solidFill>
          </w14:textFill>
        </w:rPr>
        <w:t>职务：</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zh-CN"/>
          <w14:textFill>
            <w14:solidFill>
              <w14:schemeClr w14:val="tx1"/>
            </w14:solidFill>
          </w14:textFill>
        </w:rPr>
        <w:t xml:space="preserve">                </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附被授权人第二代身份证双面扫描（或复印）件</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43" w:name="_Toc8600_WPSOffice_Level2"/>
      <w:bookmarkStart w:id="544" w:name="_Toc11068_WPSOffice_Level2"/>
      <w:r>
        <w:rPr>
          <w:rFonts w:hint="eastAsia" w:ascii="宋体" w:hAnsi="宋体" w:cs="宋体"/>
          <w:b/>
          <w:bCs/>
          <w:color w:val="000000" w:themeColor="text1"/>
          <w:sz w:val="24"/>
          <w:szCs w:val="24"/>
          <w:lang w:val="zh-CN"/>
          <w14:textFill>
            <w14:solidFill>
              <w14:schemeClr w14:val="tx1"/>
            </w14:solidFill>
          </w14:textFill>
        </w:rPr>
        <w:t>供应商：             （公章）</w:t>
      </w:r>
      <w:bookmarkEnd w:id="543"/>
      <w:bookmarkEnd w:id="544"/>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545" w:name="_Toc23766_WPSOffice_Level2"/>
      <w:bookmarkStart w:id="546" w:name="_Toc26162_WPSOffice_Level2"/>
      <w:r>
        <w:rPr>
          <w:rFonts w:hint="eastAsia" w:ascii="宋体" w:hAnsi="宋体" w:cs="宋体"/>
          <w:b/>
          <w:bCs/>
          <w:color w:val="000000" w:themeColor="text1"/>
          <w:sz w:val="24"/>
          <w:szCs w:val="24"/>
          <w:lang w:val="zh-CN"/>
          <w14:textFill>
            <w14:solidFill>
              <w14:schemeClr w14:val="tx1"/>
            </w14:solidFill>
          </w14:textFill>
        </w:rPr>
        <w:t>年   月   日</w:t>
      </w:r>
      <w:bookmarkEnd w:id="545"/>
      <w:bookmarkEnd w:id="546"/>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547" w:name="_Toc30284"/>
      <w:bookmarkStart w:id="548" w:name="_Toc25884"/>
      <w:bookmarkStart w:id="549" w:name="_Toc464136652"/>
      <w:r>
        <w:rPr>
          <w:rFonts w:ascii="宋体" w:hAnsi="宋体" w:cs="宋体"/>
          <w:b w:val="0"/>
          <w:bCs w:val="0"/>
          <w:color w:val="000000" w:themeColor="text1"/>
          <w:sz w:val="24"/>
          <w:szCs w:val="24"/>
          <w14:textFill>
            <w14:solidFill>
              <w14:schemeClr w14:val="tx1"/>
            </w14:solidFill>
          </w14:textFill>
        </w:rPr>
        <w:br w:type="page"/>
      </w:r>
      <w:bookmarkStart w:id="550" w:name="_Toc27517"/>
      <w:bookmarkStart w:id="551" w:name="_Toc6814"/>
      <w:bookmarkStart w:id="552" w:name="_Toc4643"/>
      <w:bookmarkStart w:id="553" w:name="_Toc24224_WPSOffice_Level2"/>
      <w:bookmarkStart w:id="554" w:name="_Toc23210_WPSOffice_Level2"/>
      <w:r>
        <w:rPr>
          <w:rFonts w:hint="eastAsia" w:ascii="宋体" w:hAnsi="宋体" w:cs="宋体"/>
          <w:color w:val="000000" w:themeColor="text1"/>
          <w:sz w:val="24"/>
          <w:szCs w:val="24"/>
          <w14:textFill>
            <w14:solidFill>
              <w14:schemeClr w14:val="tx1"/>
            </w14:solidFill>
          </w14:textFill>
        </w:rPr>
        <w:t>附件9：供应商承诺函</w:t>
      </w:r>
      <w:bookmarkEnd w:id="547"/>
      <w:bookmarkEnd w:id="548"/>
      <w:bookmarkEnd w:id="549"/>
      <w:bookmarkEnd w:id="550"/>
      <w:bookmarkEnd w:id="551"/>
      <w:bookmarkEnd w:id="552"/>
      <w:bookmarkEnd w:id="553"/>
      <w:bookmarkEnd w:id="554"/>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555" w:name="_Toc15380_WPSOffice_Level2"/>
      <w:bookmarkStart w:id="556" w:name="_Toc24758_WPSOffice_Level2"/>
      <w:r>
        <w:rPr>
          <w:rFonts w:hint="eastAsia" w:ascii="宋体" w:hAnsi="宋体" w:cs="宋体"/>
          <w:b/>
          <w:bCs/>
          <w:color w:val="000000" w:themeColor="text1"/>
          <w:sz w:val="28"/>
          <w:szCs w:val="28"/>
          <w14:textFill>
            <w14:solidFill>
              <w14:schemeClr w14:val="tx1"/>
            </w14:solidFill>
          </w14:textFill>
        </w:rPr>
        <w:t>供应商承诺函</w:t>
      </w:r>
      <w:bookmarkEnd w:id="555"/>
      <w:bookmarkEnd w:id="556"/>
    </w:p>
    <w:p>
      <w:pPr>
        <w:autoSpaceDE w:val="0"/>
        <w:autoSpaceDN w:val="0"/>
        <w:spacing w:line="360" w:lineRule="auto"/>
        <w:ind w:firstLine="482"/>
        <w:rPr>
          <w:rFonts w:ascii="宋体" w:hAnsi="宋体" w:cs="宋体"/>
          <w:b/>
          <w:color w:val="000000" w:themeColor="text1"/>
          <w:sz w:val="22"/>
          <w:szCs w:val="22"/>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关于贵方20</w:t>
      </w:r>
      <w:r>
        <w:rPr>
          <w:rFonts w:hint="eastAsia"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lang w:val="zh-CN"/>
          <w14:textFill>
            <w14:solidFill>
              <w14:schemeClr w14:val="tx1"/>
            </w14:solidFill>
          </w14:textFill>
        </w:rPr>
        <w:t>年   月   日          (项目名称)采购项目，本签字人愿意参加磋商，提供采购一览表中要求的产品，并证实提交的所有资料是准确的和真实的。同时，我代表（</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lang w:val="zh-CN"/>
          <w14:textFill>
            <w14:solidFill>
              <w14:schemeClr w14:val="tx1"/>
            </w14:solidFill>
          </w14:textFill>
        </w:rPr>
        <w:t>名称），在此作如下承诺：</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 xml:space="preserve"> 1.完全理解和接受磋商文件的一切规定和要求；</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2.若</w:t>
      </w:r>
      <w:r>
        <w:rPr>
          <w:rFonts w:hint="eastAsia" w:ascii="宋体" w:hAnsi="宋体" w:cs="宋体"/>
          <w:color w:val="000000" w:themeColor="text1"/>
          <w:sz w:val="24"/>
          <w:szCs w:val="24"/>
          <w14:textFill>
            <w14:solidFill>
              <w14:schemeClr w14:val="tx1"/>
            </w14:solidFill>
          </w14:textFill>
        </w:rPr>
        <w:t>成交</w:t>
      </w:r>
      <w:r>
        <w:rPr>
          <w:rFonts w:hint="eastAsia" w:ascii="宋体" w:hAnsi="宋体" w:cs="宋体"/>
          <w:color w:val="000000" w:themeColor="text1"/>
          <w:sz w:val="24"/>
          <w:szCs w:val="24"/>
          <w:lang w:val="zh-CN"/>
          <w14:textFill>
            <w14:solidFill>
              <w14:schemeClr w14:val="tx1"/>
            </w14:solidFill>
          </w14:textFill>
        </w:rPr>
        <w:t>，我方将按照磋商文件的具体规定与采购人签订采购合同，并且严格履行合同义务，按时交货，提供优质的产品和服务。如果在合同执行过程中，发现问题，我方一定尽快更换或补退货，并承担相应的经济责任；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、在整个磋商过程中我方若有违规行为，贵方可按磋商文件之规定给予处罚，我方完全接受。</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val="zh-CN"/>
          <w14:textFill>
            <w14:solidFill>
              <w14:schemeClr w14:val="tx1"/>
            </w14:solidFill>
          </w14:textFill>
        </w:rPr>
        <w:t>、若</w:t>
      </w:r>
      <w:r>
        <w:rPr>
          <w:rFonts w:hint="eastAsia" w:ascii="宋体" w:hAnsi="宋体" w:cs="宋体"/>
          <w:color w:val="000000" w:themeColor="text1"/>
          <w:sz w:val="24"/>
          <w:szCs w:val="24"/>
          <w14:textFill>
            <w14:solidFill>
              <w14:schemeClr w14:val="tx1"/>
            </w14:solidFill>
          </w14:textFill>
        </w:rPr>
        <w:t>成交</w:t>
      </w:r>
      <w:r>
        <w:rPr>
          <w:rFonts w:hint="eastAsia" w:ascii="宋体" w:hAnsi="宋体" w:cs="宋体"/>
          <w:color w:val="000000" w:themeColor="text1"/>
          <w:sz w:val="24"/>
          <w:szCs w:val="24"/>
          <w:lang w:val="zh-CN"/>
          <w14:textFill>
            <w14:solidFill>
              <w14:schemeClr w14:val="tx1"/>
            </w14:solidFill>
          </w14:textFill>
        </w:rPr>
        <w:t>，本承诺将成为合同不可分割的一部分，与合同具有同等的法律效力。</w:t>
      </w:r>
    </w:p>
    <w:p>
      <w:pPr>
        <w:ind w:firstLine="420"/>
        <w:rPr>
          <w:color w:val="000000" w:themeColor="text1"/>
          <w:lang w:val="zh-CN"/>
          <w14:textFill>
            <w14:solidFill>
              <w14:schemeClr w14:val="tx1"/>
            </w14:solidFill>
          </w14:textFill>
        </w:rPr>
      </w:pPr>
    </w:p>
    <w:p>
      <w:pPr>
        <w:ind w:firstLine="420"/>
        <w:rPr>
          <w:color w:val="000000" w:themeColor="text1"/>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wordWrap w:val="0"/>
        <w:spacing w:line="360" w:lineRule="auto"/>
        <w:ind w:firstLine="0" w:firstLineChars="0"/>
        <w:rPr>
          <w:rFonts w:ascii="宋体" w:cs="Times New Roman"/>
          <w:b/>
          <w:bCs/>
          <w:color w:val="000000" w:themeColor="text1"/>
          <w:sz w:val="24"/>
          <w:szCs w:val="24"/>
          <w14:textFill>
            <w14:solidFill>
              <w14:schemeClr w14:val="tx1"/>
            </w14:solidFill>
          </w14:textFill>
        </w:rPr>
      </w:pP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bookmarkStart w:id="557" w:name="_Toc11349"/>
      <w:bookmarkStart w:id="558" w:name="_Toc464136653"/>
      <w:bookmarkStart w:id="559" w:name="_Toc11173"/>
      <w:r>
        <w:rPr>
          <w:rFonts w:ascii="宋体" w:hAnsi="宋体" w:cs="宋体"/>
          <w:b w:val="0"/>
          <w:bCs w:val="0"/>
          <w:color w:val="000000" w:themeColor="text1"/>
          <w:sz w:val="24"/>
          <w:szCs w:val="24"/>
          <w14:textFill>
            <w14:solidFill>
              <w14:schemeClr w14:val="tx1"/>
            </w14:solidFill>
          </w14:textFill>
        </w:rPr>
        <w:br w:type="page"/>
      </w:r>
      <w:bookmarkStart w:id="560" w:name="_Toc18288_WPSOffice_Level2"/>
      <w:bookmarkStart w:id="561" w:name="_Toc17308"/>
      <w:bookmarkStart w:id="562" w:name="_Toc26984"/>
      <w:bookmarkStart w:id="563" w:name="_Toc25966_WPSOffice_Level2"/>
      <w:bookmarkStart w:id="564" w:name="_Toc15632"/>
      <w:r>
        <w:rPr>
          <w:rFonts w:hint="eastAsia" w:ascii="宋体" w:hAnsi="宋体" w:cs="宋体"/>
          <w:color w:val="000000" w:themeColor="text1"/>
          <w:sz w:val="24"/>
          <w:szCs w:val="24"/>
          <w14:textFill>
            <w14:solidFill>
              <w14:schemeClr w14:val="tx1"/>
            </w14:solidFill>
          </w14:textFill>
        </w:rPr>
        <w:t>附件</w:t>
      </w:r>
      <w:bookmarkStart w:id="565" w:name="_Toc376936779"/>
      <w:bookmarkStart w:id="566" w:name="_Toc365019584"/>
      <w:bookmarkStart w:id="567" w:name="_Toc351475542"/>
      <w:r>
        <w:rPr>
          <w:rFonts w:hint="eastAsia" w:ascii="宋体" w:hAnsi="宋体" w:cs="宋体"/>
          <w:color w:val="000000" w:themeColor="text1"/>
          <w:sz w:val="24"/>
          <w:szCs w:val="24"/>
          <w14:textFill>
            <w14:solidFill>
              <w14:schemeClr w14:val="tx1"/>
            </w14:solidFill>
          </w14:textFill>
        </w:rPr>
        <w:t>10：供应商诚信承诺书</w:t>
      </w:r>
      <w:bookmarkEnd w:id="557"/>
      <w:bookmarkEnd w:id="558"/>
      <w:bookmarkEnd w:id="559"/>
      <w:bookmarkEnd w:id="560"/>
      <w:bookmarkEnd w:id="561"/>
      <w:bookmarkEnd w:id="562"/>
      <w:bookmarkEnd w:id="563"/>
      <w:bookmarkEnd w:id="564"/>
      <w:bookmarkEnd w:id="565"/>
      <w:bookmarkEnd w:id="566"/>
      <w:bookmarkEnd w:id="567"/>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68" w:name="_Toc4704_WPSOffice_Level2"/>
      <w:bookmarkStart w:id="569" w:name="_Toc4707_WPSOffice_Level2"/>
      <w:bookmarkStart w:id="570" w:name="_Toc25993"/>
      <w:bookmarkStart w:id="571" w:name="_Toc7486"/>
      <w:bookmarkStart w:id="572" w:name="_Toc464136654"/>
      <w:r>
        <w:rPr>
          <w:rFonts w:hint="eastAsia" w:ascii="宋体" w:hAnsi="宋体" w:cs="宋体"/>
          <w:b/>
          <w:bCs/>
          <w:color w:val="000000" w:themeColor="text1"/>
          <w:sz w:val="28"/>
          <w:szCs w:val="28"/>
          <w14:textFill>
            <w14:solidFill>
              <w14:schemeClr w14:val="tx1"/>
            </w14:solidFill>
          </w14:textFill>
        </w:rPr>
        <w:t>供应商诚信承诺书</w:t>
      </w:r>
      <w:bookmarkEnd w:id="568"/>
      <w:bookmarkEnd w:id="569"/>
    </w:p>
    <w:p>
      <w:pPr>
        <w:autoSpaceDE w:val="0"/>
        <w:autoSpaceDN w:val="0"/>
        <w:spacing w:line="360" w:lineRule="auto"/>
        <w:ind w:left="0" w:leftChars="0" w:firstLine="482" w:firstLineChars="200"/>
        <w:rPr>
          <w:rFonts w:ascii="宋体" w:hAnsi="宋体" w:cs="宋体"/>
          <w:color w:val="000000" w:themeColor="text1"/>
          <w:sz w:val="22"/>
          <w:szCs w:val="22"/>
          <w:u w:val="none"/>
          <w:lang w:val="zh-CN"/>
          <w14:textFill>
            <w14:solidFill>
              <w14:schemeClr w14:val="tx1"/>
            </w14:solidFill>
          </w14:textFill>
        </w:rPr>
      </w:pPr>
      <w:r>
        <w:rPr>
          <w:rFonts w:hint="eastAsia" w:ascii="宋体" w:hAnsi="宋体" w:cs="宋体"/>
          <w:b/>
          <w:bCs/>
          <w:color w:val="000000" w:themeColor="text1"/>
          <w:sz w:val="24"/>
          <w:szCs w:val="24"/>
          <w:u w:val="none"/>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为了诚实、客观、有序地参与青海省政府采购活动，愿就以下内容作出承诺：</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若本企业（单位）发生有悖于上述承诺的行为，愿意接受《中华人民共和国政府采购法》和《政府采购法实施条例》中对供应商的相关处理。</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本承诺是采购项目磋商文件的组成部分。</w:t>
      </w:r>
    </w:p>
    <w:p>
      <w:pPr>
        <w:ind w:firstLine="422"/>
        <w:rPr>
          <w:b/>
          <w:color w:val="000000" w:themeColor="text1"/>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1"/>
        <w:ind w:firstLine="0" w:firstLineChars="0"/>
        <w:jc w:val="left"/>
        <w:rPr>
          <w:rFonts w:ascii="宋体" w:hAnsi="宋体" w:cs="宋体"/>
          <w:b w:val="0"/>
          <w:bCs w:val="0"/>
          <w:color w:val="000000" w:themeColor="text1"/>
          <w:sz w:val="24"/>
          <w:szCs w:val="24"/>
          <w14:textFill>
            <w14:solidFill>
              <w14:schemeClr w14:val="tx1"/>
            </w14:solidFill>
          </w14:textFill>
        </w:rPr>
      </w:pPr>
      <w:r>
        <w:rPr>
          <w:rFonts w:ascii="宋体" w:hAnsi="宋体" w:cs="宋体"/>
          <w:b w:val="0"/>
          <w:bCs w:val="0"/>
          <w:color w:val="000000" w:themeColor="text1"/>
          <w:sz w:val="24"/>
          <w:szCs w:val="24"/>
          <w14:textFill>
            <w14:solidFill>
              <w14:schemeClr w14:val="tx1"/>
            </w14:solidFill>
          </w14:textFill>
        </w:rPr>
        <w:br w:type="page"/>
      </w:r>
      <w:bookmarkStart w:id="573" w:name="_Toc22031"/>
      <w:bookmarkStart w:id="574" w:name="_Toc8676_WPSOffice_Level2"/>
      <w:bookmarkStart w:id="575" w:name="_Toc32194"/>
      <w:bookmarkStart w:id="576" w:name="_Toc6953_WPSOffice_Level2"/>
      <w:bookmarkStart w:id="577" w:name="_Toc17633"/>
      <w:r>
        <w:rPr>
          <w:rFonts w:hint="eastAsia" w:ascii="宋体" w:hAnsi="宋体" w:cs="宋体"/>
          <w:color w:val="000000" w:themeColor="text1"/>
          <w:sz w:val="24"/>
          <w:szCs w:val="24"/>
          <w14:textFill>
            <w14:solidFill>
              <w14:schemeClr w14:val="tx1"/>
            </w14:solidFill>
          </w14:textFill>
        </w:rPr>
        <w:t>附件11：资格证明材料</w:t>
      </w:r>
      <w:bookmarkEnd w:id="570"/>
      <w:bookmarkEnd w:id="571"/>
      <w:bookmarkEnd w:id="572"/>
      <w:bookmarkEnd w:id="573"/>
      <w:bookmarkEnd w:id="574"/>
      <w:bookmarkEnd w:id="575"/>
      <w:bookmarkEnd w:id="576"/>
      <w:bookmarkEnd w:id="577"/>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578" w:name="_Toc15360_WPSOffice_Level2"/>
      <w:bookmarkStart w:id="579" w:name="_Toc20260_WPSOffice_Level2"/>
      <w:r>
        <w:rPr>
          <w:rFonts w:hint="eastAsia" w:ascii="宋体" w:hAnsi="宋体" w:cs="宋体"/>
          <w:b/>
          <w:bCs/>
          <w:color w:val="000000" w:themeColor="text1"/>
          <w:sz w:val="28"/>
          <w:szCs w:val="28"/>
          <w14:textFill>
            <w14:solidFill>
              <w14:schemeClr w14:val="tx1"/>
            </w14:solidFill>
          </w14:textFill>
        </w:rPr>
        <w:t>资格证明材料</w:t>
      </w:r>
      <w:bookmarkEnd w:id="578"/>
      <w:bookmarkEnd w:id="579"/>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资格证明材料包括：</w:t>
      </w:r>
    </w:p>
    <w:p>
      <w:pPr>
        <w:numPr>
          <w:ilvl w:val="0"/>
          <w:numId w:val="3"/>
        </w:numPr>
        <w:wordWrap w:val="0"/>
        <w:spacing w:line="360" w:lineRule="auto"/>
        <w:ind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（2）磋商文件规定的有关资格证书、许可证书、认证等；</w:t>
      </w: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r>
        <w:rPr>
          <w:rFonts w:hint="eastAsia" w:ascii="宋体" w:cs="Times New Roman"/>
          <w:color w:val="000000" w:themeColor="text1"/>
          <w:sz w:val="24"/>
          <w:szCs w:val="24"/>
          <w14:textFill>
            <w14:solidFill>
              <w14:schemeClr w14:val="tx1"/>
            </w14:solidFill>
          </w14:textFill>
        </w:rPr>
        <w:t>（3）供应商认为有必要提供的其他资格证明文件。</w:t>
      </w:r>
      <w:bookmarkStart w:id="580" w:name="_Toc32130"/>
      <w:bookmarkStart w:id="581" w:name="_Toc464136655"/>
      <w:bookmarkStart w:id="582" w:name="_Toc19128"/>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rPr>
          <w:rFonts w:ascii="宋体" w:cs="Times New Roman"/>
          <w:color w:val="000000" w:themeColor="text1"/>
          <w:sz w:val="24"/>
          <w:szCs w:val="24"/>
          <w14:textFill>
            <w14:solidFill>
              <w14:schemeClr w14:val="tx1"/>
            </w14:solidFill>
          </w14:textFill>
        </w:rPr>
      </w:pPr>
    </w:p>
    <w:p>
      <w:pPr>
        <w:wordWrap w:val="0"/>
        <w:spacing w:line="360" w:lineRule="auto"/>
        <w:ind w:firstLine="0" w:firstLineChars="0"/>
        <w:outlineLvl w:val="0"/>
        <w:rPr>
          <w:rFonts w:ascii="宋体" w:hAnsi="宋体" w:cs="宋体"/>
          <w:b/>
          <w:bCs/>
          <w:color w:val="000000" w:themeColor="text1"/>
          <w:sz w:val="24"/>
          <w:szCs w:val="24"/>
          <w14:textFill>
            <w14:solidFill>
              <w14:schemeClr w14:val="tx1"/>
            </w14:solidFill>
          </w14:textFill>
        </w:rPr>
      </w:pPr>
      <w:bookmarkStart w:id="583" w:name="_Toc4254_WPSOffice_Level2"/>
      <w:bookmarkStart w:id="584" w:name="_Toc1724_WPSOffice_Level2"/>
      <w:bookmarkStart w:id="585" w:name="_Toc29495"/>
      <w:r>
        <w:rPr>
          <w:rFonts w:hint="eastAsia" w:ascii="宋体" w:hAnsi="宋体" w:cs="宋体"/>
          <w:b/>
          <w:bCs/>
          <w:color w:val="000000" w:themeColor="text1"/>
          <w:sz w:val="24"/>
          <w:szCs w:val="24"/>
          <w14:textFill>
            <w14:solidFill>
              <w14:schemeClr w14:val="tx1"/>
            </w14:solidFill>
          </w14:textFill>
        </w:rPr>
        <w:t>附件12：</w:t>
      </w:r>
      <w:bookmarkEnd w:id="580"/>
      <w:bookmarkEnd w:id="581"/>
      <w:bookmarkEnd w:id="582"/>
      <w:r>
        <w:rPr>
          <w:rFonts w:ascii="宋体" w:hAnsi="宋体" w:cs="宋体"/>
          <w:b/>
          <w:bCs/>
          <w:color w:val="000000" w:themeColor="text1"/>
          <w:sz w:val="24"/>
          <w:szCs w:val="24"/>
          <w14:textFill>
            <w14:solidFill>
              <w14:schemeClr w14:val="tx1"/>
            </w14:solidFill>
          </w14:textFill>
        </w:rPr>
        <w:t>财务状况、缴纳税收和社会保障资金证明</w:t>
      </w:r>
      <w:bookmarkEnd w:id="583"/>
      <w:bookmarkEnd w:id="584"/>
      <w:bookmarkEnd w:id="585"/>
    </w:p>
    <w:p>
      <w:pPr>
        <w:autoSpaceDE w:val="0"/>
        <w:autoSpaceDN w:val="0"/>
        <w:adjustRightInd w:val="0"/>
        <w:spacing w:line="360" w:lineRule="auto"/>
        <w:ind w:firstLine="482"/>
        <w:jc w:val="center"/>
        <w:rPr>
          <w:rFonts w:ascii="宋体" w:hAnsi="宋体" w:cs="宋体"/>
          <w:b/>
          <w:bCs/>
          <w:color w:val="000000" w:themeColor="text1"/>
          <w:sz w:val="24"/>
          <w:szCs w:val="24"/>
          <w14:textFill>
            <w14:solidFill>
              <w14:schemeClr w14:val="tx1"/>
            </w14:solidFill>
          </w14:textFill>
        </w:rPr>
      </w:pPr>
      <w:bookmarkStart w:id="586" w:name="_Toc6818_WPSOffice_Level2"/>
      <w:bookmarkStart w:id="587" w:name="_Toc17033_WPSOffice_Level2"/>
      <w:r>
        <w:rPr>
          <w:rFonts w:ascii="宋体" w:hAnsi="宋体" w:cs="宋体"/>
          <w:b/>
          <w:bCs/>
          <w:color w:val="000000" w:themeColor="text1"/>
          <w:sz w:val="24"/>
          <w:szCs w:val="24"/>
          <w14:textFill>
            <w14:solidFill>
              <w14:schemeClr w14:val="tx1"/>
            </w14:solidFill>
          </w14:textFill>
        </w:rPr>
        <w:t>财务状况、缴纳税收和社会保障资金证明</w:t>
      </w:r>
      <w:bookmarkEnd w:id="586"/>
      <w:bookmarkEnd w:id="587"/>
    </w:p>
    <w:p>
      <w:pPr>
        <w:autoSpaceDE w:val="0"/>
        <w:autoSpaceDN w:val="0"/>
        <w:spacing w:line="360" w:lineRule="auto"/>
        <w:ind w:firstLine="482"/>
        <w:rPr>
          <w:rFonts w:ascii="宋体" w:hAnsi="宋体" w:cs="宋体"/>
          <w:b/>
          <w:bCs/>
          <w:color w:val="000000" w:themeColor="text1"/>
          <w:sz w:val="24"/>
          <w:szCs w:val="24"/>
          <w14:textFill>
            <w14:solidFill>
              <w14:schemeClr w14:val="tx1"/>
            </w14:solidFill>
          </w14:textFill>
        </w:rPr>
      </w:pPr>
    </w:p>
    <w:p>
      <w:pPr>
        <w:spacing w:line="360" w:lineRule="auto"/>
        <w:ind w:firstLine="480"/>
        <w:rPr>
          <w:rFonts w:ascii="宋体" w:hAnsi="宋体" w:cs="宋体"/>
          <w:color w:val="000000" w:themeColor="text1"/>
          <w:sz w:val="24"/>
          <w:szCs w:val="24"/>
          <w:lang w:val="zh-CN"/>
          <w14:textFill>
            <w14:solidFill>
              <w14:schemeClr w14:val="tx1"/>
            </w14:solidFill>
          </w14:textFill>
        </w:rPr>
      </w:pPr>
      <w:r>
        <w:rPr>
          <w:rFonts w:ascii="宋体" w:hAnsi="宋体" w:cs="宋体"/>
          <w:color w:val="000000" w:themeColor="text1"/>
          <w:sz w:val="24"/>
          <w:szCs w:val="24"/>
          <w:lang w:val="zh-CN"/>
          <w14:textFill>
            <w14:solidFill>
              <w14:schemeClr w14:val="tx1"/>
            </w14:solidFill>
          </w14:textFill>
        </w:rPr>
        <w:t>按照磋商文件中规定提供以下相关材料。</w:t>
      </w:r>
    </w:p>
    <w:p>
      <w:pPr>
        <w:numPr>
          <w:ilvl w:val="0"/>
          <w:numId w:val="0"/>
        </w:numPr>
        <w:autoSpaceDE w:val="0"/>
        <w:autoSpaceDN w:val="0"/>
        <w:adjustRightIn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有良好的企业信誉和健全的财务会计制度（提供投标企业经第三方出具的202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zh-CN"/>
          <w14:textFill>
            <w14:solidFill>
              <w14:schemeClr w14:val="tx1"/>
            </w14:solidFill>
          </w14:textFill>
        </w:rPr>
        <w:t>年度财务状况审计报告或基本开户银行近三个月内出具的资信证明）。</w:t>
      </w:r>
    </w:p>
    <w:p>
      <w:pPr>
        <w:autoSpaceDE w:val="0"/>
        <w:autoSpaceDN w:val="0"/>
        <w:adjustRightInd w:val="0"/>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2.提供近半年内的任意3个月的纳税和社保缴纳凭证；依法免税或不需要缴纳社会保障资金的供应商需提供相应文件证明其依法免税或不需要缴纳社会保障资金。</w:t>
      </w:r>
    </w:p>
    <w:p>
      <w:pPr>
        <w:pStyle w:val="75"/>
        <w:spacing w:line="360" w:lineRule="auto"/>
        <w:ind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3.扫描（或复印）件应全面、完整、清晰并加盖供应商公章。</w:t>
      </w:r>
    </w:p>
    <w:p>
      <w:pPr>
        <w:pStyle w:val="75"/>
        <w:spacing w:line="360" w:lineRule="auto"/>
        <w:ind w:firstLine="480"/>
        <w:rPr>
          <w:rFonts w:ascii="宋体" w:hAnsi="宋体" w:cs="宋体"/>
          <w:color w:val="000000" w:themeColor="text1"/>
          <w14:textFill>
            <w14:solidFill>
              <w14:schemeClr w14:val="tx1"/>
            </w14:solidFill>
          </w14:textFill>
        </w:rPr>
      </w:pPr>
      <w:bookmarkStart w:id="588" w:name="_Toc17812_WPSOffice_Level2"/>
      <w:bookmarkStart w:id="589" w:name="_Toc28497"/>
      <w:bookmarkStart w:id="590" w:name="_Toc13181"/>
      <w:bookmarkStart w:id="591" w:name="_Toc7471_WPSOffice_Level2"/>
      <w:bookmarkStart w:id="592" w:name="_Toc23114"/>
      <w:bookmarkStart w:id="593" w:name="_Toc27149"/>
      <w:r>
        <w:rPr>
          <w:rFonts w:hint="eastAsia" w:ascii="宋体" w:hAnsi="宋体" w:cs="宋体"/>
          <w:color w:val="000000" w:themeColor="text1"/>
          <w:sz w:val="24"/>
          <w14:textFill>
            <w14:solidFill>
              <w14:schemeClr w14:val="tx1"/>
            </w14:solidFill>
          </w14:textFill>
        </w:rPr>
        <w:br w:type="page"/>
      </w:r>
    </w:p>
    <w:p>
      <w:pPr>
        <w:ind w:firstLine="480"/>
        <w:rPr>
          <w:rFonts w:ascii="宋体" w:hAnsi="宋体" w:cs="宋体"/>
          <w:color w:val="000000" w:themeColor="text1"/>
          <w:sz w:val="24"/>
          <w:szCs w:val="24"/>
          <w14:textFill>
            <w14:solidFill>
              <w14:schemeClr w14:val="tx1"/>
            </w14:solidFill>
          </w14:textFill>
        </w:rPr>
      </w:pPr>
    </w:p>
    <w:p>
      <w:pPr>
        <w:pStyle w:val="21"/>
        <w:ind w:firstLine="0" w:firstLineChars="0"/>
        <w:jc w:val="left"/>
        <w:rPr>
          <w:rFonts w:ascii="宋体" w:hAnsi="宋体" w:cs="宋体"/>
          <w:color w:val="000000" w:themeColor="text1"/>
          <w:sz w:val="24"/>
          <w:szCs w:val="24"/>
          <w14:textFill>
            <w14:solidFill>
              <w14:schemeClr w14:val="tx1"/>
            </w14:solidFill>
          </w14:textFill>
        </w:rPr>
      </w:pPr>
      <w:bookmarkStart w:id="594" w:name="_Toc26580"/>
      <w:r>
        <w:rPr>
          <w:rFonts w:hint="eastAsia" w:ascii="宋体" w:hAnsi="宋体" w:cs="宋体"/>
          <w:color w:val="000000" w:themeColor="text1"/>
          <w:sz w:val="24"/>
          <w:szCs w:val="24"/>
          <w14:textFill>
            <w14:solidFill>
              <w14:schemeClr w14:val="tx1"/>
            </w14:solidFill>
          </w14:textFill>
        </w:rPr>
        <w:t>附件13：具备履行合同所必须的设备和专业技术能力证明</w:t>
      </w:r>
      <w:bookmarkEnd w:id="588"/>
      <w:bookmarkEnd w:id="589"/>
      <w:bookmarkEnd w:id="590"/>
      <w:bookmarkEnd w:id="591"/>
      <w:bookmarkEnd w:id="594"/>
    </w:p>
    <w:p>
      <w:pPr>
        <w:autoSpaceDE w:val="0"/>
        <w:autoSpaceDN w:val="0"/>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595" w:name="_Toc20458_WPSOffice_Level2"/>
      <w:bookmarkStart w:id="596" w:name="_Toc14799_WPSOffice_Level2"/>
      <w:r>
        <w:rPr>
          <w:rFonts w:hint="eastAsia" w:ascii="宋体" w:hAnsi="宋体" w:cs="宋体"/>
          <w:b/>
          <w:bCs/>
          <w:color w:val="000000" w:themeColor="text1"/>
          <w:sz w:val="24"/>
          <w:szCs w:val="24"/>
          <w14:textFill>
            <w14:solidFill>
              <w14:schemeClr w14:val="tx1"/>
            </w14:solidFill>
          </w14:textFill>
        </w:rPr>
        <w:t>具备履行合同所必须的设备和专业技术能力证明</w:t>
      </w:r>
      <w:bookmarkEnd w:id="595"/>
      <w:bookmarkEnd w:id="596"/>
    </w:p>
    <w:p>
      <w:pPr>
        <w:autoSpaceDE w:val="0"/>
        <w:autoSpaceDN w:val="0"/>
        <w:spacing w:line="360" w:lineRule="auto"/>
        <w:ind w:firstLine="482"/>
        <w:rPr>
          <w:rFonts w:ascii="宋体" w:cs="Times New Roman"/>
          <w:b/>
          <w:bCs/>
          <w:color w:val="000000" w:themeColor="text1"/>
          <w:sz w:val="24"/>
          <w:szCs w:val="24"/>
          <w:lang w:val="zh-CN"/>
          <w14:textFill>
            <w14:solidFill>
              <w14:schemeClr w14:val="tx1"/>
            </w14:solidFill>
          </w14:textFill>
        </w:rPr>
      </w:pPr>
    </w:p>
    <w:p>
      <w:pPr>
        <w:ind w:firstLine="480"/>
        <w:rPr>
          <w:rFonts w:ascii="宋体" w:hAnsi="宋体" w:cs="宋体"/>
          <w:color w:val="000000" w:themeColor="text1"/>
          <w:sz w:val="24"/>
          <w:szCs w:val="24"/>
          <w:lang w:val="zh-CN"/>
          <w14:textFill>
            <w14:solidFill>
              <w14:schemeClr w14:val="tx1"/>
            </w14:solidFill>
          </w14:textFill>
        </w:rPr>
      </w:pPr>
      <w:bookmarkStart w:id="597" w:name="_Toc502930648"/>
      <w:bookmarkStart w:id="598" w:name="_Toc464136656"/>
      <w:r>
        <w:rPr>
          <w:rFonts w:hint="eastAsia" w:ascii="宋体" w:hAnsi="宋体" w:cs="宋体"/>
          <w:color w:val="000000" w:themeColor="text1"/>
          <w:sz w:val="24"/>
          <w:szCs w:val="24"/>
          <w:lang w:val="zh-CN"/>
          <w14:textFill>
            <w14:solidFill>
              <w14:schemeClr w14:val="tx1"/>
            </w14:solidFill>
          </w14:textFill>
        </w:rPr>
        <w:t>为保证本项目合同的顺利履行，供应商必须具备履行合同的设备和专业技术能力，须提供必须具备履行合同的设备或专业技术能力的承诺函（格式自拟）或提供相关设备或相关人员的职称证书或用工合同等证明材料。</w:t>
      </w:r>
    </w:p>
    <w:p>
      <w:pPr>
        <w:pStyle w:val="21"/>
        <w:ind w:firstLine="0" w:firstLineChars="0"/>
        <w:jc w:val="left"/>
        <w:rPr>
          <w:color w:val="000000" w:themeColor="text1"/>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bookmarkEnd w:id="597"/>
      <w:bookmarkStart w:id="599" w:name="_Toc376936781"/>
      <w:bookmarkStart w:id="600" w:name="_Toc325726049"/>
      <w:bookmarkStart w:id="601" w:name="_Toc29693_WPSOffice_Level2"/>
      <w:bookmarkStart w:id="602" w:name="_Toc17138_WPSOffice_Level2"/>
      <w:bookmarkStart w:id="603" w:name="_Toc22415"/>
      <w:bookmarkStart w:id="604" w:name="_Toc8814"/>
      <w:bookmarkStart w:id="605" w:name="_Toc1393"/>
      <w:r>
        <w:rPr>
          <w:rFonts w:hint="eastAsia" w:ascii="宋体" w:hAnsi="宋体" w:cs="宋体"/>
          <w:color w:val="000000" w:themeColor="text1"/>
          <w:sz w:val="24"/>
          <w:szCs w:val="24"/>
          <w14:textFill>
            <w14:solidFill>
              <w14:schemeClr w14:val="tx1"/>
            </w14:solidFill>
          </w14:textFill>
        </w:rPr>
        <w:t>附件14：</w:t>
      </w:r>
      <w:bookmarkEnd w:id="599"/>
      <w:bookmarkEnd w:id="600"/>
      <w:r>
        <w:rPr>
          <w:rFonts w:hint="eastAsia" w:ascii="宋体" w:hAnsi="宋体" w:cs="宋体"/>
          <w:color w:val="000000" w:themeColor="text1"/>
          <w:sz w:val="24"/>
          <w:szCs w:val="24"/>
          <w14:textFill>
            <w14:solidFill>
              <w14:schemeClr w14:val="tx1"/>
            </w14:solidFill>
          </w14:textFill>
        </w:rPr>
        <w:t>无重大违法记录声明</w:t>
      </w:r>
      <w:bookmarkEnd w:id="592"/>
      <w:bookmarkEnd w:id="593"/>
      <w:bookmarkEnd w:id="598"/>
      <w:bookmarkEnd w:id="601"/>
      <w:bookmarkEnd w:id="602"/>
      <w:bookmarkEnd w:id="603"/>
      <w:bookmarkEnd w:id="604"/>
      <w:bookmarkEnd w:id="605"/>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4"/>
          <w:szCs w:val="24"/>
          <w14:textFill>
            <w14:solidFill>
              <w14:schemeClr w14:val="tx1"/>
            </w14:solidFill>
          </w14:textFill>
        </w:rPr>
      </w:pPr>
      <w:bookmarkStart w:id="606" w:name="_Toc20650_WPSOffice_Level2"/>
      <w:bookmarkStart w:id="607" w:name="_Toc7230_WPSOffice_Level2"/>
      <w:r>
        <w:rPr>
          <w:rFonts w:hint="eastAsia" w:ascii="宋体" w:hAnsi="宋体" w:cs="宋体"/>
          <w:b/>
          <w:bCs/>
          <w:color w:val="000000" w:themeColor="text1"/>
          <w:sz w:val="24"/>
          <w:szCs w:val="24"/>
          <w14:textFill>
            <w14:solidFill>
              <w14:schemeClr w14:val="tx1"/>
            </w14:solidFill>
          </w14:textFill>
        </w:rPr>
        <w:t>无重大违法记录声明</w:t>
      </w:r>
      <w:bookmarkEnd w:id="606"/>
      <w:bookmarkEnd w:id="607"/>
    </w:p>
    <w:p>
      <w:pPr>
        <w:spacing w:line="360" w:lineRule="auto"/>
        <w:ind w:firstLine="482"/>
        <w:rPr>
          <w:rFonts w:ascii="宋体" w:cs="Times New Roman"/>
          <w:b/>
          <w:bCs/>
          <w:color w:val="000000" w:themeColor="text1"/>
          <w:sz w:val="22"/>
          <w:szCs w:val="22"/>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致：</w:t>
      </w:r>
      <w:r>
        <w:rPr>
          <w:rFonts w:hint="eastAsia" w:ascii="宋体" w:hAnsi="宋体"/>
          <w:b/>
          <w:sz w:val="28"/>
          <w:szCs w:val="28"/>
          <w:lang w:eastAsia="zh-CN"/>
        </w:rPr>
        <w:t>都兰县政府采购服务中心</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特此声明。</w:t>
      </w: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pStyle w:val="14"/>
        <w:ind w:firstLine="360"/>
        <w:rPr>
          <w:color w:val="000000" w:themeColor="text1"/>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spacing w:line="360" w:lineRule="auto"/>
        <w:ind w:firstLine="480"/>
        <w:rPr>
          <w:rFonts w:ascii="宋体" w:cs="Times New Roman"/>
          <w:color w:val="000000" w:themeColor="text1"/>
          <w:sz w:val="24"/>
          <w:szCs w:val="24"/>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1"/>
        <w:ind w:firstLine="0" w:firstLineChars="0"/>
        <w:jc w:val="left"/>
        <w:rPr>
          <w:rFonts w:ascii="宋体" w:hAnsi="宋体" w:cs="宋体"/>
          <w:color w:val="000000" w:themeColor="text1"/>
          <w:sz w:val="24"/>
          <w:szCs w:val="24"/>
          <w14:textFill>
            <w14:solidFill>
              <w14:schemeClr w14:val="tx1"/>
            </w14:solidFill>
          </w14:textFill>
        </w:rPr>
      </w:pPr>
      <w:r>
        <w:rPr>
          <w:rFonts w:ascii="宋体"/>
          <w:b w:val="0"/>
          <w:bCs w:val="0"/>
          <w:color w:val="000000" w:themeColor="text1"/>
          <w:sz w:val="24"/>
          <w:szCs w:val="24"/>
          <w14:textFill>
            <w14:solidFill>
              <w14:schemeClr w14:val="tx1"/>
            </w14:solidFill>
          </w14:textFill>
        </w:rPr>
        <w:br w:type="page"/>
      </w:r>
      <w:bookmarkStart w:id="608" w:name="_Toc32382"/>
      <w:bookmarkStart w:id="609" w:name="_Toc20811"/>
      <w:bookmarkStart w:id="610" w:name="_Toc464136657"/>
      <w:bookmarkStart w:id="611" w:name="_Toc23344"/>
      <w:bookmarkStart w:id="612" w:name="_Toc24531"/>
      <w:bookmarkStart w:id="613" w:name="_Toc32686_WPSOffice_Level2"/>
      <w:bookmarkStart w:id="614" w:name="_Toc22957"/>
      <w:bookmarkStart w:id="615" w:name="_Toc9956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5：磋商保证金</w:t>
      </w:r>
      <w:bookmarkEnd w:id="608"/>
      <w:bookmarkEnd w:id="609"/>
      <w:bookmarkEnd w:id="610"/>
      <w:bookmarkEnd w:id="611"/>
      <w:bookmarkEnd w:id="612"/>
      <w:bookmarkEnd w:id="613"/>
      <w:bookmarkEnd w:id="614"/>
      <w:bookmarkEnd w:id="615"/>
    </w:p>
    <w:p>
      <w:pPr>
        <w:spacing w:line="360" w:lineRule="auto"/>
        <w:ind w:firstLine="0" w:firstLineChars="0"/>
        <w:rPr>
          <w:rFonts w:ascii="宋体" w:cs="Times New Roman"/>
          <w:color w:val="000000" w:themeColor="text1"/>
          <w:sz w:val="24"/>
          <w:szCs w:val="24"/>
          <w14:textFill>
            <w14:solidFill>
              <w14:schemeClr w14:val="tx1"/>
            </w14:solidFill>
          </w14:textFill>
        </w:rPr>
      </w:pPr>
    </w:p>
    <w:p>
      <w:pPr>
        <w:spacing w:line="360" w:lineRule="auto"/>
        <w:ind w:firstLine="0" w:firstLineChars="0"/>
        <w:jc w:val="center"/>
        <w:rPr>
          <w:rFonts w:ascii="宋体" w:cs="Times New Roman"/>
          <w:b/>
          <w:bCs/>
          <w:color w:val="000000" w:themeColor="text1"/>
          <w:sz w:val="28"/>
          <w:szCs w:val="28"/>
          <w14:textFill>
            <w14:solidFill>
              <w14:schemeClr w14:val="tx1"/>
            </w14:solidFill>
          </w14:textFill>
        </w:rPr>
      </w:pPr>
      <w:bookmarkStart w:id="616" w:name="_Toc24344_WPSOffice_Level2"/>
      <w:bookmarkStart w:id="617" w:name="_Toc19108_WPSOffice_Level2"/>
      <w:r>
        <w:rPr>
          <w:rFonts w:hint="eastAsia" w:ascii="宋体" w:hAnsi="宋体" w:cs="宋体"/>
          <w:b/>
          <w:bCs/>
          <w:color w:val="000000" w:themeColor="text1"/>
          <w:sz w:val="28"/>
          <w:szCs w:val="28"/>
          <w14:textFill>
            <w14:solidFill>
              <w14:schemeClr w14:val="tx1"/>
            </w14:solidFill>
          </w14:textFill>
        </w:rPr>
        <w:t>磋商保证金</w:t>
      </w:r>
      <w:bookmarkEnd w:id="616"/>
      <w:bookmarkEnd w:id="617"/>
    </w:p>
    <w:p>
      <w:pPr>
        <w:spacing w:line="360" w:lineRule="auto"/>
        <w:ind w:firstLine="0" w:firstLineChars="0"/>
        <w:rPr>
          <w:rFonts w:ascii="宋体" w:cs="Times New Roman"/>
          <w:b/>
          <w:bCs/>
          <w:color w:val="000000" w:themeColor="text1"/>
          <w:sz w:val="24"/>
          <w:szCs w:val="24"/>
          <w14:textFill>
            <w14:solidFill>
              <w14:schemeClr w14:val="tx1"/>
            </w14:solidFill>
          </w14:textFill>
        </w:rPr>
      </w:pPr>
    </w:p>
    <w:p>
      <w:pPr>
        <w:autoSpaceDE w:val="0"/>
        <w:autoSpaceDN w:val="0"/>
        <w:spacing w:line="360" w:lineRule="auto"/>
        <w:ind w:firstLine="482"/>
        <w:rPr>
          <w:rFonts w:ascii="宋体" w:hAnsi="宋体" w:cs="宋体"/>
          <w:b/>
          <w:bCs/>
          <w:color w:val="000000" w:themeColor="text1"/>
          <w:sz w:val="21"/>
          <w:szCs w:val="21"/>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我方为（采购项目名称）项目（采购项目编号为：        ）递交保证金人民币       （大写：人民币        元）已于     年    月    日以其户转账方式汇入你方账户。</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附件：保证金交款证明复印件（加盖公章）</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户    名：</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开户银行：</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开户帐号：</w:t>
      </w:r>
    </w:p>
    <w:p>
      <w:pPr>
        <w:autoSpaceDE w:val="0"/>
        <w:autoSpaceDN w:val="0"/>
        <w:spacing w:line="360" w:lineRule="auto"/>
        <w:ind w:firstLine="0" w:firstLineChars="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注：通过银行转账的，必须由供应商从其账户汇（转）入</w:t>
      </w:r>
      <w:r>
        <w:rPr>
          <w:rFonts w:hint="eastAsia" w:ascii="宋体" w:hAnsi="宋体" w:cs="宋体"/>
          <w:color w:val="000000" w:themeColor="text1"/>
          <w:sz w:val="24"/>
          <w:szCs w:val="24"/>
          <w14:textFill>
            <w14:solidFill>
              <w14:schemeClr w14:val="tx1"/>
            </w14:solidFill>
          </w14:textFill>
        </w:rPr>
        <w:t>9.1条规定的账户</w:t>
      </w:r>
      <w:r>
        <w:rPr>
          <w:rFonts w:hint="eastAsia" w:ascii="宋体" w:hAnsi="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adjustRightInd w:val="0"/>
        <w:ind w:firstLine="482"/>
        <w:rPr>
          <w:rFonts w:ascii="宋体" w:hAnsi="Cambria" w:cs="宋体"/>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供应商：         （公章）</w:t>
      </w:r>
    </w:p>
    <w:p>
      <w:pPr>
        <w:autoSpaceDE w:val="0"/>
        <w:autoSpaceDN w:val="0"/>
        <w:adjustRightInd w:val="0"/>
        <w:ind w:firstLine="482"/>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 xml:space="preserve">                             法定代表人或委托代理人：（签字或盖章）</w:t>
      </w:r>
    </w:p>
    <w:p>
      <w:pPr>
        <w:autoSpaceDE w:val="0"/>
        <w:autoSpaceDN w:val="0"/>
        <w:adjustRightInd w:val="0"/>
        <w:ind w:firstLine="5513" w:firstLineChars="2288"/>
        <w:rPr>
          <w:rFonts w:ascii="宋体" w:hAnsi="Cambria" w:cs="宋体"/>
          <w:b/>
          <w:bCs/>
          <w:color w:val="000000" w:themeColor="text1"/>
          <w:sz w:val="24"/>
          <w:lang w:val="zh-CN"/>
          <w14:textFill>
            <w14:solidFill>
              <w14:schemeClr w14:val="tx1"/>
            </w14:solidFill>
          </w14:textFill>
        </w:rPr>
      </w:pPr>
      <w:r>
        <w:rPr>
          <w:rFonts w:hint="eastAsia" w:ascii="宋体" w:hAnsi="Cambria" w:cs="宋体"/>
          <w:b/>
          <w:bCs/>
          <w:color w:val="000000" w:themeColor="text1"/>
          <w:sz w:val="24"/>
          <w:lang w:val="zh-CN"/>
          <w14:textFill>
            <w14:solidFill>
              <w14:schemeClr w14:val="tx1"/>
            </w14:solidFill>
          </w14:textFill>
        </w:rPr>
        <w:t>年  月  日</w:t>
      </w:r>
    </w:p>
    <w:p>
      <w:pPr>
        <w:pStyle w:val="21"/>
        <w:ind w:firstLine="0" w:firstLineChars="0"/>
        <w:jc w:val="left"/>
        <w:rPr>
          <w:rFonts w:ascii="宋体" w:cs="宋体"/>
          <w:color w:val="000000" w:themeColor="text1"/>
          <w:sz w:val="24"/>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bookmarkStart w:id="618" w:name="_Toc9238"/>
      <w:bookmarkStart w:id="619" w:name="_Toc20771"/>
      <w:bookmarkStart w:id="620" w:name="_Toc11105"/>
      <w:bookmarkStart w:id="621" w:name="_Toc27277_WPSOffice_Level2"/>
      <w:bookmarkStart w:id="622" w:name="_Toc23709_WPSOffice_Level2"/>
      <w:r>
        <w:rPr>
          <w:rFonts w:hint="eastAsia" w:ascii="宋体" w:hAnsi="宋体" w:cs="宋体"/>
          <w:color w:val="000000" w:themeColor="text1"/>
          <w:sz w:val="24"/>
          <w:szCs w:val="24"/>
          <w14:textFill>
            <w14:solidFill>
              <w14:schemeClr w14:val="tx1"/>
            </w14:solidFill>
          </w14:textFill>
        </w:rPr>
        <w:t>附件</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6：供应商的类似业绩证明材料</w:t>
      </w:r>
      <w:bookmarkEnd w:id="618"/>
      <w:bookmarkEnd w:id="619"/>
      <w:bookmarkEnd w:id="620"/>
      <w:bookmarkEnd w:id="621"/>
      <w:bookmarkEnd w:id="622"/>
    </w:p>
    <w:p>
      <w:pPr>
        <w:pStyle w:val="21"/>
        <w:ind w:firstLine="580" w:firstLineChars="242"/>
        <w:jc w:val="left"/>
        <w:rPr>
          <w:rFonts w:cs="宋体"/>
          <w:color w:val="000000" w:themeColor="text1"/>
          <w14:textFill>
            <w14:solidFill>
              <w14:schemeClr w14:val="tx1"/>
            </w14:solidFill>
          </w14:textFill>
        </w:rPr>
      </w:pPr>
      <w:bookmarkStart w:id="623" w:name="_Toc28400"/>
      <w:bookmarkStart w:id="624" w:name="_Toc29843"/>
      <w:bookmarkStart w:id="625" w:name="_Toc10402"/>
      <w:bookmarkStart w:id="626" w:name="_Toc15651"/>
      <w:bookmarkStart w:id="627" w:name="_Toc24580"/>
      <w:r>
        <w:rPr>
          <w:rFonts w:hint="eastAsia" w:ascii="宋体" w:hAnsi="宋体" w:cs="宋体"/>
          <w:b w:val="0"/>
          <w:color w:val="000000" w:themeColor="text1"/>
          <w:sz w:val="24"/>
          <w:szCs w:val="24"/>
          <w14:textFill>
            <w14:solidFill>
              <w14:schemeClr w14:val="tx1"/>
            </w14:solidFill>
          </w14:textFill>
        </w:rPr>
        <w:t>提供自2019年以来类似业绩证明材料，类似业绩是指与采购项目在产品类型、使用功能等方面相同或相似的项目（需提供完整的合同或中标通知书复印件为准）。</w:t>
      </w:r>
      <w:r>
        <w:rPr>
          <w:rFonts w:cs="宋体"/>
          <w:color w:val="000000" w:themeColor="text1"/>
          <w14:textFill>
            <w14:solidFill>
              <w14:schemeClr w14:val="tx1"/>
            </w14:solidFill>
          </w14:textFill>
        </w:rPr>
        <w:br w:type="page"/>
      </w:r>
      <w:bookmarkStart w:id="628" w:name="_Toc430937689"/>
      <w:r>
        <w:rPr>
          <w:rFonts w:hint="eastAsia" w:ascii="宋体" w:hAnsi="宋体" w:cs="宋体"/>
          <w:color w:val="000000" w:themeColor="text1"/>
          <w:sz w:val="24"/>
          <w:szCs w:val="24"/>
          <w14:textFill>
            <w14:solidFill>
              <w14:schemeClr w14:val="tx1"/>
            </w14:solidFill>
          </w14:textFill>
        </w:rPr>
        <w:t>附件17：最终报价表</w:t>
      </w:r>
      <w:bookmarkEnd w:id="623"/>
      <w:bookmarkEnd w:id="624"/>
      <w:bookmarkEnd w:id="625"/>
      <w:bookmarkEnd w:id="626"/>
      <w:bookmarkEnd w:id="627"/>
    </w:p>
    <w:p>
      <w:pPr>
        <w:ind w:firstLine="0" w:firstLineChars="0"/>
        <w:jc w:val="center"/>
        <w:rPr>
          <w:rFonts w:ascii="宋体" w:hAnsi="宋体" w:cs="宋体"/>
          <w:b/>
          <w:color w:val="000000" w:themeColor="text1"/>
          <w:sz w:val="32"/>
          <w:szCs w:val="30"/>
          <w:lang w:val="zh-CN"/>
          <w14:textFill>
            <w14:solidFill>
              <w14:schemeClr w14:val="tx1"/>
            </w14:solidFill>
          </w14:textFill>
        </w:rPr>
      </w:pPr>
      <w:r>
        <w:rPr>
          <w:rFonts w:hint="eastAsia" w:ascii="宋体" w:hAnsi="宋体" w:cs="宋体"/>
          <w:b/>
          <w:color w:val="000000" w:themeColor="text1"/>
          <w:sz w:val="32"/>
          <w:szCs w:val="30"/>
          <w:lang w:val="zh-CN"/>
          <w14:textFill>
            <w14:solidFill>
              <w14:schemeClr w14:val="tx1"/>
            </w14:solidFill>
          </w14:textFill>
        </w:rPr>
        <w:t>最后磋商报价表</w:t>
      </w:r>
    </w:p>
    <w:p>
      <w:pPr>
        <w:spacing w:line="240" w:lineRule="atLeast"/>
        <w:ind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供应商名称：                           单位：元                包号：</w:t>
      </w:r>
    </w:p>
    <w:tbl>
      <w:tblPr>
        <w:tblStyle w:val="24"/>
        <w:tblpPr w:leftFromText="180" w:rightFromText="180" w:vertAnchor="text" w:horzAnchor="margin" w:tblpXSpec="center" w:tblpY="147"/>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4365"/>
        <w:gridCol w:w="185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521" w:type="dxa"/>
            <w:vAlign w:val="center"/>
          </w:tcPr>
          <w:p>
            <w:pPr>
              <w:adjustRightInd w:val="0"/>
              <w:ind w:firstLine="198" w:firstLineChars="82"/>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项目名称</w:t>
            </w:r>
          </w:p>
        </w:tc>
        <w:tc>
          <w:tcPr>
            <w:tcW w:w="4365" w:type="dxa"/>
            <w:vAlign w:val="center"/>
          </w:tcPr>
          <w:p>
            <w:pPr>
              <w:adjustRightInd w:val="0"/>
              <w:ind w:firstLine="482"/>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最后磋商报价（元）</w:t>
            </w:r>
          </w:p>
        </w:tc>
        <w:tc>
          <w:tcPr>
            <w:tcW w:w="1854" w:type="dxa"/>
            <w:vAlign w:val="center"/>
          </w:tcPr>
          <w:p>
            <w:pPr>
              <w:adjustRightInd w:val="0"/>
              <w:ind w:firstLine="0" w:firstLineChars="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交货期</w:t>
            </w:r>
          </w:p>
        </w:tc>
        <w:tc>
          <w:tcPr>
            <w:tcW w:w="1588" w:type="dxa"/>
            <w:vAlign w:val="center"/>
          </w:tcPr>
          <w:p>
            <w:pPr>
              <w:adjustRightInd w:val="0"/>
              <w:ind w:firstLine="0" w:firstLineChars="0"/>
              <w:jc w:val="center"/>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521" w:type="dxa"/>
            <w:vMerge w:val="restart"/>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365" w:type="dxa"/>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大写：</w:t>
            </w:r>
          </w:p>
        </w:tc>
        <w:tc>
          <w:tcPr>
            <w:tcW w:w="1854" w:type="dxa"/>
            <w:vMerge w:val="restart"/>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588" w:type="dxa"/>
            <w:vMerge w:val="restart"/>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521" w:type="dxa"/>
            <w:vMerge w:val="continue"/>
            <w:vAlign w:val="center"/>
          </w:tcPr>
          <w:p>
            <w:pPr>
              <w:adjustRightInd w:val="0"/>
              <w:ind w:firstLine="482"/>
              <w:textAlignment w:val="baseline"/>
              <w:rPr>
                <w:rFonts w:ascii="宋体" w:hAnsi="宋体" w:cs="宋体"/>
                <w:b/>
                <w:bCs/>
                <w:color w:val="000000" w:themeColor="text1"/>
                <w:sz w:val="24"/>
                <w:szCs w:val="24"/>
                <w14:textFill>
                  <w14:solidFill>
                    <w14:schemeClr w14:val="tx1"/>
                  </w14:solidFill>
                </w14:textFill>
              </w:rPr>
            </w:pPr>
          </w:p>
        </w:tc>
        <w:tc>
          <w:tcPr>
            <w:tcW w:w="4365" w:type="dxa"/>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小写：</w:t>
            </w:r>
          </w:p>
        </w:tc>
        <w:tc>
          <w:tcPr>
            <w:tcW w:w="1854"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c>
          <w:tcPr>
            <w:tcW w:w="1588" w:type="dxa"/>
            <w:vMerge w:val="continue"/>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9328" w:type="dxa"/>
            <w:gridSpan w:val="4"/>
            <w:vAlign w:val="center"/>
          </w:tcPr>
          <w:p>
            <w:pPr>
              <w:adjustRightInd w:val="0"/>
              <w:ind w:firstLine="0" w:firstLineChars="0"/>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最终确定的质量保证及服务承诺：</w:t>
            </w:r>
          </w:p>
        </w:tc>
      </w:tr>
    </w:tbl>
    <w:p>
      <w:pPr>
        <w:spacing w:line="240" w:lineRule="atLeast"/>
        <w:ind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ind w:firstLine="352" w:firstLineChars="147"/>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b/>
          <w:color w:val="000000" w:themeColor="text1"/>
          <w:sz w:val="24"/>
          <w:szCs w:val="24"/>
          <w14:textFill>
            <w14:solidFill>
              <w14:schemeClr w14:val="tx1"/>
            </w14:solidFill>
          </w14:textFill>
        </w:rPr>
        <w:t>此表不需装订在磋商响应文件中，供应商事先须盖章、签字。在磋商期间，由磋商小组确定合格的供应商按要求现场填写。</w:t>
      </w:r>
    </w:p>
    <w:p>
      <w:pPr>
        <w:ind w:firstLine="352" w:firstLineChars="147"/>
        <w:jc w:val="left"/>
        <w:rPr>
          <w:rFonts w:ascii="宋体" w:hAnsi="宋体" w:cs="宋体"/>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tabs>
          <w:tab w:val="left" w:pos="168"/>
        </w:tabs>
        <w:adjustRightInd w:val="0"/>
        <w:spacing w:line="240" w:lineRule="auto"/>
        <w:ind w:firstLine="0" w:firstLineChars="0"/>
        <w:textAlignment w:val="baseline"/>
        <w:rPr>
          <w:rFonts w:ascii="宋体" w:hAnsi="宋体" w:cs="宋体"/>
          <w:b/>
          <w:bCs/>
          <w:color w:val="000000" w:themeColor="text1"/>
          <w:sz w:val="24"/>
          <w:szCs w:val="24"/>
          <w14:textFill>
            <w14:solidFill>
              <w14:schemeClr w14:val="tx1"/>
            </w14:solidFill>
          </w14:textFill>
        </w:rPr>
      </w:pPr>
    </w:p>
    <w:p>
      <w:pPr>
        <w:spacing w:line="240" w:lineRule="auto"/>
        <w:ind w:firstLine="3012" w:firstLineChars="125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供应商：</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（公章）</w:t>
      </w:r>
    </w:p>
    <w:p>
      <w:pPr>
        <w:spacing w:line="240" w:lineRule="auto"/>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法定代表人或委托代理人：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14:textFill>
            <w14:solidFill>
              <w14:schemeClr w14:val="tx1"/>
            </w14:solidFill>
          </w14:textFill>
        </w:rPr>
        <w:t>（签字或盖章）</w:t>
      </w:r>
    </w:p>
    <w:p>
      <w:pPr>
        <w:spacing w:line="240" w:lineRule="auto"/>
        <w:ind w:firstLine="482"/>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年   月  日</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4"/>
        <w:ind w:firstLine="420"/>
        <w:rPr>
          <w:color w:val="000000" w:themeColor="text1"/>
          <w14:textFill>
            <w14:solidFill>
              <w14:schemeClr w14:val="tx1"/>
            </w14:solidFill>
          </w14:textFill>
        </w:rPr>
      </w:pPr>
    </w:p>
    <w:p>
      <w:pPr>
        <w:pStyle w:val="21"/>
        <w:ind w:firstLine="0" w:firstLineChars="0"/>
        <w:jc w:val="left"/>
        <w:rPr>
          <w:rFonts w:ascii="宋体" w:hAnsi="宋体" w:cs="宋体"/>
          <w:color w:val="000000" w:themeColor="text1"/>
          <w:sz w:val="30"/>
          <w:szCs w:val="30"/>
          <w14:textFill>
            <w14:solidFill>
              <w14:schemeClr w14:val="tx1"/>
            </w14:solidFill>
          </w14:textFill>
        </w:rPr>
      </w:pPr>
      <w:bookmarkStart w:id="629" w:name="_Toc457893334"/>
      <w:bookmarkStart w:id="630" w:name="_Toc457926656"/>
      <w:bookmarkStart w:id="631" w:name="_Toc1201_WPSOffice_Level2"/>
      <w:bookmarkStart w:id="632" w:name="_Toc480995495"/>
      <w:bookmarkStart w:id="633" w:name="_Toc20109"/>
      <w:bookmarkStart w:id="634" w:name="_Toc4847"/>
      <w:bookmarkStart w:id="635" w:name="_Toc24184"/>
      <w:bookmarkStart w:id="636" w:name="_Toc478656854"/>
      <w:bookmarkStart w:id="637" w:name="_Toc27635_WPSOffice_Level2"/>
      <w:r>
        <w:rPr>
          <w:rFonts w:hint="eastAsia" w:ascii="宋体" w:hAnsi="宋体" w:cs="宋体"/>
          <w:color w:val="000000" w:themeColor="text1"/>
          <w:sz w:val="30"/>
          <w:szCs w:val="30"/>
          <w14:textFill>
            <w14:solidFill>
              <w14:schemeClr w14:val="tx1"/>
            </w14:solidFill>
          </w14:textFill>
        </w:rPr>
        <w:t>附件18：制造（生产）企业小型、微型企业声明函</w:t>
      </w:r>
      <w:bookmarkEnd w:id="629"/>
      <w:bookmarkEnd w:id="630"/>
      <w:bookmarkEnd w:id="631"/>
      <w:bookmarkEnd w:id="632"/>
      <w:bookmarkEnd w:id="633"/>
      <w:bookmarkEnd w:id="634"/>
      <w:bookmarkEnd w:id="635"/>
      <w:bookmarkEnd w:id="636"/>
      <w:bookmarkEnd w:id="637"/>
    </w:p>
    <w:p>
      <w:pPr>
        <w:ind w:firstLine="420"/>
        <w:rPr>
          <w:color w:val="000000" w:themeColor="text1"/>
          <w:lang w:val="zh-CN"/>
          <w14:textFill>
            <w14:solidFill>
              <w14:schemeClr w14:val="tx1"/>
            </w14:solidFill>
          </w14:textFill>
        </w:rPr>
      </w:pPr>
    </w:p>
    <w:p>
      <w:pPr>
        <w:autoSpaceDE w:val="0"/>
        <w:autoSpaceDN w:val="0"/>
        <w:spacing w:line="360" w:lineRule="auto"/>
        <w:ind w:firstLine="562"/>
        <w:jc w:val="center"/>
        <w:rPr>
          <w:rFonts w:ascii="宋体" w:hAnsi="宋体" w:cs="宋体"/>
          <w:b/>
          <w:bCs/>
          <w:color w:val="000000" w:themeColor="text1"/>
          <w:sz w:val="36"/>
          <w:szCs w:val="36"/>
          <w:lang w:val="zh-CN"/>
          <w14:textFill>
            <w14:solidFill>
              <w14:schemeClr w14:val="tx1"/>
            </w14:solidFill>
          </w14:textFill>
        </w:rPr>
      </w:pPr>
      <w:bookmarkStart w:id="638" w:name="_Toc858_WPSOffice_Level2"/>
      <w:bookmarkStart w:id="639" w:name="_Toc30439_WPSOffice_Level2"/>
      <w:r>
        <w:rPr>
          <w:rFonts w:hint="eastAsia" w:ascii="宋体" w:hAnsi="宋体" w:cs="宋体"/>
          <w:b/>
          <w:bCs/>
          <w:color w:val="000000" w:themeColor="text1"/>
          <w:sz w:val="28"/>
          <w:szCs w:val="28"/>
          <w14:textFill>
            <w14:solidFill>
              <w14:schemeClr w14:val="tx1"/>
            </w14:solidFill>
          </w14:textFill>
        </w:rPr>
        <w:t>制造（生产）企业</w:t>
      </w:r>
      <w:r>
        <w:rPr>
          <w:rFonts w:hint="eastAsia" w:ascii="宋体" w:hAnsi="宋体" w:cs="宋体"/>
          <w:b/>
          <w:bCs/>
          <w:color w:val="000000" w:themeColor="text1"/>
          <w:sz w:val="28"/>
          <w:szCs w:val="28"/>
          <w:lang w:val="zh-CN"/>
          <w14:textFill>
            <w14:solidFill>
              <w14:schemeClr w14:val="tx1"/>
            </w14:solidFill>
          </w14:textFill>
        </w:rPr>
        <w:t>小型、微型企业声明函</w:t>
      </w:r>
      <w:bookmarkEnd w:id="638"/>
      <w:bookmarkEnd w:id="639"/>
    </w:p>
    <w:p>
      <w:pPr>
        <w:autoSpaceDE w:val="0"/>
        <w:autoSpaceDN w:val="0"/>
        <w:spacing w:line="360" w:lineRule="auto"/>
        <w:ind w:firstLine="560"/>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ind w:firstLine="482"/>
        <w:rPr>
          <w:rFonts w:hint="eastAsia" w:ascii="宋体" w:hAnsi="宋体" w:eastAsia="宋体" w:cs="宋体"/>
          <w:b/>
          <w:bCs/>
          <w:color w:val="000000" w:themeColor="text1"/>
          <w:sz w:val="24"/>
          <w:szCs w:val="24"/>
          <w:u w:val="single"/>
          <w:lang w:eastAsia="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致：</w:t>
      </w:r>
      <w:r>
        <w:rPr>
          <w:rFonts w:hint="eastAsia" w:ascii="宋体" w:hAnsi="宋体" w:cs="宋体"/>
          <w:b/>
          <w:bCs/>
          <w:color w:val="000000" w:themeColor="text1"/>
          <w:sz w:val="24"/>
          <w:szCs w:val="24"/>
          <w:u w:val="single"/>
          <w:lang w:eastAsia="zh-CN"/>
          <w14:textFill>
            <w14:solidFill>
              <w14:schemeClr w14:val="tx1"/>
            </w14:solidFill>
          </w14:textFill>
        </w:rPr>
        <w:t>都兰县政府采购服务中心</w:t>
      </w:r>
    </w:p>
    <w:p>
      <w:pPr>
        <w:autoSpaceDE w:val="0"/>
        <w:autoSpaceDN w:val="0"/>
        <w:spacing w:line="360" w:lineRule="auto"/>
        <w:ind w:firstLine="588" w:firstLineChars="245"/>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本公司对上述声明的真实性负责。如有虚假，将依法承担相应责任。</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注：1.此函须由投标（响应）产品的制造（生产）企业提供并声明，同时附相关证明材料；</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.此函若出现多家制造（生产）企业的货物（产品）投标（响应）时，可按制造（生产）企业分别声明，一家制造（生产）企业填写一张。</w:t>
      </w: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sz w:val="24"/>
          <w:szCs w:val="24"/>
          <w:lang w:val="zh-CN"/>
          <w14:textFill>
            <w14:solidFill>
              <w14:schemeClr w14:val="tx1"/>
            </w14:solidFill>
          </w14:textFill>
        </w:rPr>
      </w:pPr>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640" w:name="_Toc19199_WPSOffice_Level2"/>
      <w:bookmarkStart w:id="641" w:name="_Toc30948_WPSOffice_Level2"/>
      <w:r>
        <w:rPr>
          <w:rFonts w:hint="eastAsia" w:ascii="宋体" w:hAnsi="宋体" w:cs="宋体"/>
          <w:b/>
          <w:bCs/>
          <w:color w:val="000000" w:themeColor="text1"/>
          <w:sz w:val="24"/>
          <w:szCs w:val="24"/>
          <w:lang w:val="zh-CN"/>
          <w14:textFill>
            <w14:solidFill>
              <w14:schemeClr w14:val="tx1"/>
            </w14:solidFill>
          </w14:textFill>
        </w:rPr>
        <w:t>制造（生产）企业名称：       （公章）</w:t>
      </w:r>
      <w:bookmarkEnd w:id="640"/>
      <w:bookmarkEnd w:id="641"/>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642" w:name="_Toc7488_WPSOffice_Level2"/>
      <w:bookmarkStart w:id="643" w:name="_Toc1584_WPSOffice_Level2"/>
      <w:r>
        <w:rPr>
          <w:rFonts w:hint="eastAsia" w:ascii="宋体" w:hAnsi="宋体" w:cs="宋体"/>
          <w:b/>
          <w:bCs/>
          <w:color w:val="000000" w:themeColor="text1"/>
          <w:sz w:val="24"/>
          <w:szCs w:val="24"/>
          <w:lang w:val="zh-CN"/>
          <w14:textFill>
            <w14:solidFill>
              <w14:schemeClr w14:val="tx1"/>
            </w14:solidFill>
          </w14:textFill>
        </w:rPr>
        <w:t>制造（生产）企业法定代表人：       （签字）</w:t>
      </w:r>
      <w:bookmarkEnd w:id="642"/>
      <w:bookmarkEnd w:id="643"/>
    </w:p>
    <w:p>
      <w:pPr>
        <w:autoSpaceDE w:val="0"/>
        <w:autoSpaceDN w:val="0"/>
        <w:spacing w:line="360" w:lineRule="auto"/>
        <w:ind w:firstLine="482"/>
        <w:jc w:val="center"/>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 xml:space="preserve">                       </w:t>
      </w:r>
      <w:bookmarkStart w:id="644" w:name="_Toc11058_WPSOffice_Level2"/>
      <w:bookmarkStart w:id="645" w:name="_Toc21670_WPSOffice_Level2"/>
      <w:r>
        <w:rPr>
          <w:rFonts w:hint="eastAsia" w:ascii="宋体" w:hAnsi="宋体" w:cs="宋体"/>
          <w:b/>
          <w:bCs/>
          <w:color w:val="000000" w:themeColor="text1"/>
          <w:sz w:val="24"/>
          <w:szCs w:val="24"/>
          <w:lang w:val="zh-CN"/>
          <w14:textFill>
            <w14:solidFill>
              <w14:schemeClr w14:val="tx1"/>
            </w14:solidFill>
          </w14:textFill>
        </w:rPr>
        <w:t>年   月  日</w:t>
      </w:r>
      <w:bookmarkEnd w:id="644"/>
      <w:bookmarkEnd w:id="645"/>
    </w:p>
    <w:p>
      <w:pPr>
        <w:ind w:firstLine="480"/>
        <w:rPr>
          <w:color w:val="000000" w:themeColor="text1"/>
          <w:sz w:val="24"/>
          <w:szCs w:val="24"/>
          <w14:textFill>
            <w14:solidFill>
              <w14:schemeClr w14:val="tx1"/>
            </w14:solidFill>
          </w14:textFill>
        </w:rPr>
      </w:pPr>
    </w:p>
    <w:p>
      <w:pPr>
        <w:pStyle w:val="21"/>
        <w:ind w:firstLine="0" w:firstLineChars="0"/>
        <w:jc w:val="left"/>
        <w:rPr>
          <w:b w:val="0"/>
          <w:bCs w:val="0"/>
          <w:color w:val="000000" w:themeColor="text1"/>
          <w:lang w:val="zh-CN"/>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bookmarkStart w:id="646" w:name="_Toc5813_WPSOffice_Level2"/>
      <w:bookmarkStart w:id="647" w:name="_Toc20893_WPSOffice_Level2"/>
      <w:bookmarkStart w:id="648" w:name="_Toc517169726"/>
      <w:bookmarkStart w:id="649" w:name="_Toc9319"/>
      <w:bookmarkStart w:id="650" w:name="_Toc7368"/>
      <w:bookmarkStart w:id="651" w:name="_Toc4780"/>
      <w:r>
        <w:rPr>
          <w:rFonts w:hint="eastAsia" w:ascii="宋体" w:hAnsi="宋体" w:cs="宋体"/>
          <w:color w:val="000000" w:themeColor="text1"/>
          <w:sz w:val="30"/>
          <w:szCs w:val="30"/>
          <w14:textFill>
            <w14:solidFill>
              <w14:schemeClr w14:val="tx1"/>
            </w14:solidFill>
          </w14:textFill>
        </w:rPr>
        <w:t>附件19：从业人员声明函</w:t>
      </w:r>
      <w:bookmarkEnd w:id="646"/>
      <w:bookmarkEnd w:id="647"/>
      <w:bookmarkEnd w:id="648"/>
      <w:bookmarkEnd w:id="649"/>
      <w:bookmarkEnd w:id="650"/>
      <w:bookmarkEnd w:id="651"/>
    </w:p>
    <w:p>
      <w:pPr>
        <w:ind w:firstLine="422"/>
        <w:rPr>
          <w:b/>
          <w:bCs/>
          <w:color w:val="000000" w:themeColor="text1"/>
          <w:lang w:val="zh-CN"/>
          <w14:textFill>
            <w14:solidFill>
              <w14:schemeClr w14:val="tx1"/>
            </w14:solidFill>
          </w14:textFill>
        </w:rPr>
      </w:pPr>
    </w:p>
    <w:p>
      <w:pPr>
        <w:ind w:firstLine="3176" w:firstLineChars="1318"/>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从业人员声明函</w:t>
      </w:r>
    </w:p>
    <w:p>
      <w:pPr>
        <w:ind w:firstLine="482"/>
        <w:rPr>
          <w:rFonts w:ascii="宋体" w:hAnsi="宋体"/>
          <w:b/>
          <w:bCs/>
          <w:color w:val="000000" w:themeColor="text1"/>
          <w:sz w:val="24"/>
          <w:szCs w:val="24"/>
          <w:lang w:val="zh-CN"/>
          <w14:textFill>
            <w14:solidFill>
              <w14:schemeClr w14:val="tx1"/>
            </w14:solidFill>
          </w14:textFill>
        </w:rPr>
      </w:pPr>
    </w:p>
    <w:p>
      <w:pPr>
        <w:ind w:firstLine="482"/>
        <w:rPr>
          <w:rFonts w:ascii="宋体" w:hAnsi="宋体"/>
          <w:color w:val="000000" w:themeColor="text1"/>
          <w:sz w:val="22"/>
          <w:szCs w:val="22"/>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致：</w:t>
      </w:r>
      <w:r>
        <w:rPr>
          <w:rFonts w:hint="eastAsia" w:ascii="宋体" w:hAnsi="宋体"/>
          <w:b/>
          <w:sz w:val="28"/>
          <w:szCs w:val="28"/>
          <w:lang w:eastAsia="zh-CN"/>
        </w:rPr>
        <w:t>都兰县政府采购服务中心</w:t>
      </w:r>
    </w:p>
    <w:p>
      <w:pPr>
        <w:ind w:firstLine="480"/>
        <w:rPr>
          <w:rFonts w:ascii="宋体" w:hAnsi="宋体"/>
          <w:color w:val="000000" w:themeColor="text1"/>
          <w:sz w:val="24"/>
          <w:szCs w:val="24"/>
          <w14:textFill>
            <w14:solidFill>
              <w14:schemeClr w14:val="tx1"/>
            </w14:solidFill>
          </w14:textFill>
        </w:rPr>
      </w:pP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本公司对上述声明的真实性负责，如有虚假，将依法承担相应责任。</w:t>
      </w:r>
    </w:p>
    <w:p>
      <w:pPr>
        <w:ind w:firstLine="482"/>
        <w:rPr>
          <w:rFonts w:ascii="宋体" w:hAnsi="宋体"/>
          <w:b/>
          <w:bCs/>
          <w:color w:val="000000" w:themeColor="text1"/>
          <w:sz w:val="24"/>
          <w:szCs w:val="24"/>
          <w:lang w:val="zh-CN"/>
          <w14:textFill>
            <w14:solidFill>
              <w14:schemeClr w14:val="tx1"/>
            </w14:solidFill>
          </w14:textFill>
        </w:rPr>
      </w:pPr>
    </w:p>
    <w:p>
      <w:pPr>
        <w:ind w:firstLine="482"/>
        <w:rPr>
          <w:rFonts w:ascii="宋体" w:hAnsi="宋体"/>
          <w:b/>
          <w:bCs/>
          <w:color w:val="000000" w:themeColor="text1"/>
          <w:sz w:val="24"/>
          <w:szCs w:val="24"/>
          <w:lang w:val="zh-CN"/>
          <w14:textFill>
            <w14:solidFill>
              <w14:schemeClr w14:val="tx1"/>
            </w14:solidFill>
          </w14:textFill>
        </w:rPr>
      </w:pPr>
    </w:p>
    <w:p>
      <w:pPr>
        <w:ind w:firstLine="482"/>
        <w:rPr>
          <w:rFonts w:ascii="宋体" w:hAnsi="宋体"/>
          <w:b/>
          <w:bCs/>
          <w:color w:val="000000" w:themeColor="text1"/>
          <w:sz w:val="24"/>
          <w:szCs w:val="24"/>
          <w:lang w:val="zh-CN"/>
          <w14:textFill>
            <w14:solidFill>
              <w14:schemeClr w14:val="tx1"/>
            </w14:solidFill>
          </w14:textFill>
        </w:rPr>
      </w:pP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 xml:space="preserve"> 制造（生产）企业名称：       （公章）</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制造（生产）企业法定代表人：       （签字）</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年   月  日</w:t>
      </w:r>
    </w:p>
    <w:p>
      <w:pPr>
        <w:pStyle w:val="21"/>
        <w:ind w:firstLine="0" w:firstLineChars="0"/>
        <w:jc w:val="left"/>
        <w:rPr>
          <w:rFonts w:ascii="宋体"/>
          <w:b w:val="0"/>
          <w:color w:val="000000" w:themeColor="text1"/>
          <w:sz w:val="28"/>
          <w:szCs w:val="28"/>
          <w14:textFill>
            <w14:solidFill>
              <w14:schemeClr w14:val="tx1"/>
            </w14:solidFill>
          </w14:textFill>
        </w:rPr>
      </w:pPr>
      <w:r>
        <w:rPr>
          <w:color w:val="000000" w:themeColor="text1"/>
          <w:lang w:val="zh-CN"/>
          <w14:textFill>
            <w14:solidFill>
              <w14:schemeClr w14:val="tx1"/>
            </w14:solidFill>
          </w14:textFill>
        </w:rPr>
        <w:br w:type="page"/>
      </w:r>
      <w:bookmarkStart w:id="652" w:name="_Toc5713"/>
      <w:bookmarkStart w:id="653" w:name="_Toc26386"/>
      <w:bookmarkStart w:id="654" w:name="_Toc4726_WPSOffice_Level2"/>
      <w:bookmarkStart w:id="655" w:name="_Toc5349"/>
      <w:bookmarkStart w:id="656" w:name="_Toc22193_WPSOffice_Level2"/>
      <w:r>
        <w:rPr>
          <w:rFonts w:hint="eastAsia" w:ascii="宋体" w:hAnsi="宋体" w:cs="宋体"/>
          <w:color w:val="000000" w:themeColor="text1"/>
          <w:sz w:val="30"/>
          <w:szCs w:val="30"/>
          <w14:textFill>
            <w14:solidFill>
              <w14:schemeClr w14:val="tx1"/>
            </w14:solidFill>
          </w14:textFill>
        </w:rPr>
        <w:t>附件20：残疾人福利性单位声明函</w:t>
      </w:r>
      <w:bookmarkEnd w:id="652"/>
      <w:bookmarkEnd w:id="653"/>
      <w:bookmarkEnd w:id="654"/>
      <w:bookmarkEnd w:id="655"/>
      <w:bookmarkEnd w:id="656"/>
    </w:p>
    <w:p>
      <w:pPr>
        <w:ind w:firstLine="723"/>
        <w:jc w:val="center"/>
        <w:rPr>
          <w:rFonts w:ascii="宋体" w:hAnsi="宋体"/>
          <w:b/>
          <w:color w:val="000000" w:themeColor="text1"/>
          <w:sz w:val="36"/>
          <w:szCs w:val="36"/>
          <w14:textFill>
            <w14:solidFill>
              <w14:schemeClr w14:val="tx1"/>
            </w14:solidFill>
          </w14:textFill>
        </w:rPr>
      </w:pPr>
      <w:bookmarkStart w:id="657" w:name="OLE_LINK14"/>
      <w:bookmarkStart w:id="658" w:name="OLE_LINK13"/>
    </w:p>
    <w:p>
      <w:pPr>
        <w:ind w:firstLine="482"/>
        <w:jc w:val="center"/>
        <w:rPr>
          <w:rFonts w:ascii="宋体" w:hAnsi="宋体"/>
          <w:b/>
          <w:color w:val="000000" w:themeColor="text1"/>
          <w:sz w:val="24"/>
          <w:szCs w:val="24"/>
          <w14:textFill>
            <w14:solidFill>
              <w14:schemeClr w14:val="tx1"/>
            </w14:solidFill>
          </w14:textFill>
        </w:rPr>
      </w:pPr>
      <w:bookmarkStart w:id="659" w:name="_Toc1912_WPSOffice_Level2"/>
      <w:bookmarkStart w:id="660" w:name="_Toc5711_WPSOffice_Level2"/>
      <w:r>
        <w:rPr>
          <w:rFonts w:hint="eastAsia" w:ascii="宋体" w:hAnsi="宋体"/>
          <w:b/>
          <w:color w:val="000000" w:themeColor="text1"/>
          <w:sz w:val="24"/>
          <w:szCs w:val="24"/>
          <w14:textFill>
            <w14:solidFill>
              <w14:schemeClr w14:val="tx1"/>
            </w14:solidFill>
          </w14:textFill>
        </w:rPr>
        <w:t>残疾人福利性单位声明函</w:t>
      </w:r>
      <w:bookmarkEnd w:id="659"/>
      <w:bookmarkEnd w:id="660"/>
    </w:p>
    <w:bookmarkEnd w:id="657"/>
    <w:bookmarkEnd w:id="658"/>
    <w:p>
      <w:pPr>
        <w:spacing w:after="156" w:afterLines="50"/>
        <w:ind w:firstLine="480"/>
        <w:rPr>
          <w:rFonts w:ascii="宋体" w:hAnsi="宋体"/>
          <w:bCs/>
          <w:color w:val="000000" w:themeColor="text1"/>
          <w:sz w:val="24"/>
          <w:szCs w:val="24"/>
          <w14:textFill>
            <w14:solidFill>
              <w14:schemeClr w14:val="tx1"/>
            </w14:solidFill>
          </w14:textFill>
        </w:rPr>
      </w:pPr>
    </w:p>
    <w:p>
      <w:pPr>
        <w:spacing w:after="156" w:afterLines="50"/>
        <w:ind w:firstLine="482"/>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致：</w:t>
      </w:r>
      <w:r>
        <w:rPr>
          <w:rFonts w:hint="eastAsia" w:ascii="宋体" w:hAnsi="宋体"/>
          <w:b/>
          <w:sz w:val="28"/>
          <w:szCs w:val="28"/>
          <w:lang w:eastAsia="zh-CN"/>
        </w:rPr>
        <w:t>都兰县政府采购服务中心</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注：若无此项内容，可不提供此函。</w:t>
      </w: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spacing w:line="360" w:lineRule="auto"/>
        <w:ind w:firstLine="480"/>
        <w:rPr>
          <w:rFonts w:ascii="宋体" w:hAnsi="宋体"/>
          <w:color w:val="000000" w:themeColor="text1"/>
          <w:sz w:val="24"/>
          <w:szCs w:val="24"/>
          <w14:textFill>
            <w14:solidFill>
              <w14:schemeClr w14:val="tx1"/>
            </w14:solidFill>
          </w14:textFill>
        </w:rPr>
      </w:pPr>
    </w:p>
    <w:p>
      <w:pPr>
        <w:ind w:firstLine="482"/>
        <w:jc w:val="right"/>
        <w:rPr>
          <w:rFonts w:ascii="宋体" w:hAnsi="宋体"/>
          <w:b/>
          <w:bCs/>
          <w:color w:val="000000" w:themeColor="text1"/>
          <w:sz w:val="24"/>
          <w:szCs w:val="24"/>
          <w:lang w:val="zh-CN"/>
          <w14:textFill>
            <w14:solidFill>
              <w14:schemeClr w14:val="tx1"/>
            </w14:solidFill>
          </w14:textFill>
        </w:rPr>
      </w:pPr>
      <w:bookmarkStart w:id="661" w:name="_Toc18252"/>
      <w:bookmarkStart w:id="662" w:name="_Toc15206"/>
      <w:bookmarkStart w:id="663" w:name="_Toc20357_WPSOffice_Level2"/>
      <w:bookmarkStart w:id="664" w:name="_Toc13489"/>
      <w:bookmarkStart w:id="665" w:name="_Toc22881_WPSOffice_Level2"/>
      <w:r>
        <w:rPr>
          <w:rFonts w:hint="eastAsia" w:ascii="宋体" w:hAnsi="宋体"/>
          <w:b/>
          <w:bCs/>
          <w:color w:val="000000" w:themeColor="text1"/>
          <w:sz w:val="24"/>
          <w:szCs w:val="24"/>
          <w:lang w:val="zh-CN"/>
          <w14:textFill>
            <w14:solidFill>
              <w14:schemeClr w14:val="tx1"/>
            </w14:solidFill>
          </w14:textFill>
        </w:rPr>
        <w:t xml:space="preserve"> 制造（生产）企业名称：       （公章）</w:t>
      </w:r>
    </w:p>
    <w:p>
      <w:pPr>
        <w:ind w:firstLine="482"/>
        <w:jc w:val="right"/>
        <w:rPr>
          <w:rFonts w:ascii="宋体" w:hAnsi="宋体"/>
          <w:b/>
          <w:bCs/>
          <w:color w:val="000000" w:themeColor="text1"/>
          <w:sz w:val="24"/>
          <w:szCs w:val="24"/>
          <w:lang w:val="zh-CN"/>
          <w14:textFill>
            <w14:solidFill>
              <w14:schemeClr w14:val="tx1"/>
            </w14:solidFill>
          </w14:textFill>
        </w:rPr>
      </w:pPr>
      <w:r>
        <w:rPr>
          <w:rFonts w:hint="eastAsia" w:ascii="宋体" w:hAnsi="宋体"/>
          <w:b/>
          <w:bCs/>
          <w:color w:val="000000" w:themeColor="text1"/>
          <w:sz w:val="24"/>
          <w:szCs w:val="24"/>
          <w:lang w:val="zh-CN"/>
          <w14:textFill>
            <w14:solidFill>
              <w14:schemeClr w14:val="tx1"/>
            </w14:solidFill>
          </w14:textFill>
        </w:rPr>
        <w:t>制造（生产）企业法定代表人：       （签字）</w:t>
      </w:r>
    </w:p>
    <w:p>
      <w:pPr>
        <w:pStyle w:val="21"/>
        <w:ind w:firstLine="5301" w:firstLineChars="2200"/>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年   月  日</w:t>
      </w:r>
    </w:p>
    <w:p>
      <w:pPr>
        <w:pStyle w:val="21"/>
        <w:ind w:firstLine="0" w:firstLineChars="0"/>
        <w:jc w:val="left"/>
        <w:rPr>
          <w:rFonts w:ascii="宋体" w:hAnsi="宋体"/>
          <w:color w:val="000000" w:themeColor="text1"/>
          <w:sz w:val="24"/>
          <w:szCs w:val="24"/>
          <w:lang w:val="zh-CN"/>
          <w14:textFill>
            <w14:solidFill>
              <w14:schemeClr w14:val="tx1"/>
            </w14:solidFill>
          </w14:textFill>
        </w:rPr>
      </w:pPr>
    </w:p>
    <w:p>
      <w:pPr>
        <w:pStyle w:val="21"/>
        <w:ind w:firstLine="0" w:firstLineChars="0"/>
        <w:jc w:val="left"/>
        <w:rPr>
          <w:rFonts w:ascii="宋体" w:hAnsi="宋体"/>
          <w:color w:val="000000" w:themeColor="text1"/>
          <w:sz w:val="24"/>
          <w:szCs w:val="24"/>
          <w:lang w:val="zh-CN"/>
          <w14:textFill>
            <w14:solidFill>
              <w14:schemeClr w14:val="tx1"/>
            </w14:solidFill>
          </w14:textFill>
        </w:rPr>
      </w:pPr>
    </w:p>
    <w:p>
      <w:pPr>
        <w:pStyle w:val="21"/>
        <w:ind w:firstLine="0" w:firstLineChars="0"/>
        <w:jc w:val="left"/>
        <w:rPr>
          <w:rFonts w:ascii="宋体" w:hAnsi="宋体"/>
          <w:color w:val="000000" w:themeColor="text1"/>
          <w:sz w:val="24"/>
          <w:szCs w:val="24"/>
          <w:lang w:val="zh-CN"/>
          <w14:textFill>
            <w14:solidFill>
              <w14:schemeClr w14:val="tx1"/>
            </w14:solidFill>
          </w14:textFill>
        </w:rPr>
      </w:pPr>
    </w:p>
    <w:p>
      <w:pPr>
        <w:pStyle w:val="21"/>
        <w:ind w:firstLine="0" w:firstLineChars="0"/>
        <w:jc w:val="left"/>
        <w:rPr>
          <w:color w:val="000000" w:themeColor="text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附件21：供应商认为在其他方面有必要说明的事项</w:t>
      </w:r>
      <w:bookmarkEnd w:id="661"/>
      <w:bookmarkEnd w:id="662"/>
      <w:bookmarkEnd w:id="663"/>
      <w:bookmarkEnd w:id="664"/>
      <w:bookmarkEnd w:id="665"/>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p>
    <w:p>
      <w:pPr>
        <w:autoSpaceDE w:val="0"/>
        <w:autoSpaceDN w:val="0"/>
        <w:adjustRightInd w:val="0"/>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供应商在参加本项目磋商中根据磋商文件的要求认为需要说明的事项，但不做为评标依据。如没有说明事项，此项可忽略。（格式可自定）</w:t>
      </w:r>
    </w:p>
    <w:p>
      <w:pPr>
        <w:pStyle w:val="21"/>
        <w:ind w:firstLine="643"/>
        <w:rPr>
          <w:rFonts w:ascii="Calibri"/>
          <w:color w:val="000000" w:themeColor="text1"/>
          <w14:textFill>
            <w14:solidFill>
              <w14:schemeClr w14:val="tx1"/>
            </w14:solidFill>
          </w14:textFill>
        </w:rPr>
      </w:pPr>
      <w:bookmarkStart w:id="666" w:name="_Toc464136659"/>
      <w:r>
        <w:rPr>
          <w:rFonts w:cs="宋体"/>
          <w:color w:val="000000" w:themeColor="text1"/>
          <w:lang w:val="zh-CN"/>
          <w14:textFill>
            <w14:solidFill>
              <w14:schemeClr w14:val="tx1"/>
            </w14:solidFill>
          </w14:textFill>
        </w:rPr>
        <w:br w:type="page"/>
      </w:r>
      <w:bookmarkStart w:id="667" w:name="_Toc6261_WPSOffice_Level1"/>
      <w:bookmarkStart w:id="668" w:name="_Toc29477"/>
      <w:bookmarkStart w:id="669" w:name="_Toc9234"/>
      <w:bookmarkStart w:id="670" w:name="_Toc9244_WPSOffice_Level1"/>
      <w:r>
        <w:rPr>
          <w:rFonts w:hint="eastAsia" w:cs="宋体"/>
          <w:color w:val="000000" w:themeColor="text1"/>
          <w:lang w:val="zh-CN"/>
          <w14:textFill>
            <w14:solidFill>
              <w14:schemeClr w14:val="tx1"/>
            </w14:solidFill>
          </w14:textFill>
        </w:rPr>
        <w:t>第六部分采购项目要求及技术参数</w:t>
      </w:r>
      <w:bookmarkEnd w:id="628"/>
      <w:bookmarkEnd w:id="666"/>
      <w:bookmarkEnd w:id="667"/>
      <w:bookmarkEnd w:id="668"/>
      <w:bookmarkEnd w:id="669"/>
      <w:bookmarkEnd w:id="670"/>
    </w:p>
    <w:p>
      <w:pPr>
        <w:pStyle w:val="21"/>
        <w:ind w:firstLine="643"/>
        <w:rPr>
          <w:rFonts w:ascii="Calibri"/>
          <w:color w:val="000000" w:themeColor="text1"/>
          <w14:textFill>
            <w14:solidFill>
              <w14:schemeClr w14:val="tx1"/>
            </w14:solidFill>
          </w14:textFill>
        </w:rPr>
      </w:pPr>
      <w:bookmarkStart w:id="671" w:name="_Toc19079"/>
      <w:bookmarkStart w:id="672" w:name="_Toc21399_WPSOffice_Level2"/>
      <w:bookmarkStart w:id="673" w:name="_Toc28800"/>
      <w:bookmarkStart w:id="674" w:name="_Toc29735"/>
      <w:bookmarkStart w:id="675" w:name="_Toc19922_WPSOffice_Level2"/>
      <w:bookmarkStart w:id="676" w:name="_Toc31344"/>
      <w:bookmarkStart w:id="677" w:name="_Toc464136664"/>
      <w:r>
        <w:rPr>
          <w:rFonts w:hint="eastAsia" w:cs="宋体"/>
          <w:color w:val="000000" w:themeColor="text1"/>
          <w:lang w:val="zh-CN"/>
          <w14:textFill>
            <w14:solidFill>
              <w14:schemeClr w14:val="tx1"/>
            </w14:solidFill>
          </w14:textFill>
        </w:rPr>
        <w:t>（一）采购项目要求</w:t>
      </w:r>
      <w:bookmarkEnd w:id="671"/>
      <w:bookmarkEnd w:id="672"/>
      <w:bookmarkEnd w:id="673"/>
      <w:bookmarkEnd w:id="674"/>
      <w:bookmarkEnd w:id="675"/>
      <w:bookmarkEnd w:id="676"/>
      <w:bookmarkEnd w:id="677"/>
    </w:p>
    <w:p>
      <w:pPr>
        <w:pStyle w:val="21"/>
        <w:spacing w:line="360" w:lineRule="auto"/>
        <w:ind w:firstLine="199" w:firstLineChars="62"/>
        <w:jc w:val="both"/>
        <w:rPr>
          <w:rFonts w:ascii="Calibri"/>
          <w:color w:val="000000" w:themeColor="text1"/>
          <w14:textFill>
            <w14:solidFill>
              <w14:schemeClr w14:val="tx1"/>
            </w14:solidFill>
          </w14:textFill>
        </w:rPr>
      </w:pPr>
      <w:bookmarkStart w:id="678" w:name="_Toc20488"/>
      <w:bookmarkStart w:id="679" w:name="_Toc464136665"/>
      <w:bookmarkStart w:id="680" w:name="_Toc29804"/>
      <w:bookmarkStart w:id="681" w:name="_Toc30195"/>
      <w:bookmarkStart w:id="682" w:name="_Toc11896"/>
      <w:r>
        <w:rPr>
          <w:rFonts w:ascii="宋体" w:hAnsi="宋体" w:cs="宋体"/>
          <w:color w:val="000000" w:themeColor="text1"/>
          <w:lang w:val="zh-CN"/>
          <w14:textFill>
            <w14:solidFill>
              <w14:schemeClr w14:val="tx1"/>
            </w14:solidFill>
          </w14:textFill>
        </w:rPr>
        <w:t>1.</w:t>
      </w:r>
      <w:r>
        <w:rPr>
          <w:rFonts w:hint="eastAsia" w:ascii="宋体" w:hAnsi="宋体" w:cs="宋体"/>
          <w:color w:val="000000" w:themeColor="text1"/>
          <w14:textFill>
            <w14:solidFill>
              <w14:schemeClr w14:val="tx1"/>
            </w14:solidFill>
          </w14:textFill>
        </w:rPr>
        <w:t>投标</w:t>
      </w:r>
      <w:r>
        <w:rPr>
          <w:rFonts w:hint="eastAsia" w:ascii="宋体" w:hAnsi="宋体" w:cs="宋体"/>
          <w:color w:val="000000" w:themeColor="text1"/>
          <w:lang w:val="zh-CN"/>
          <w14:textFill>
            <w14:solidFill>
              <w14:schemeClr w14:val="tx1"/>
            </w14:solidFill>
          </w14:textFill>
        </w:rPr>
        <w:t>说明</w:t>
      </w:r>
      <w:bookmarkEnd w:id="678"/>
      <w:bookmarkEnd w:id="679"/>
      <w:bookmarkEnd w:id="680"/>
      <w:bookmarkEnd w:id="681"/>
      <w:bookmarkEnd w:id="682"/>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bookmarkStart w:id="683" w:name="_Toc464136666"/>
      <w:bookmarkStart w:id="684" w:name="_Toc430937692"/>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1</w:t>
      </w:r>
      <w:r>
        <w:rPr>
          <w:rFonts w:hint="eastAsia" w:ascii="宋体" w:hAnsi="Cambria" w:cs="宋体"/>
          <w:color w:val="000000" w:themeColor="text1"/>
          <w:sz w:val="24"/>
          <w:lang w:val="zh-CN"/>
          <w14:textFill>
            <w14:solidFill>
              <w14:schemeClr w14:val="tx1"/>
            </w14:solidFill>
          </w14:textFill>
        </w:rPr>
        <w:t>.磋商(响应)报价应</w:t>
      </w:r>
      <w:r>
        <w:rPr>
          <w:rFonts w:hint="eastAsia" w:ascii="宋体" w:hAnsi="Cambria" w:cs="宋体"/>
          <w:color w:val="000000" w:themeColor="text1"/>
          <w:sz w:val="24"/>
          <w14:textFill>
            <w14:solidFill>
              <w14:schemeClr w14:val="tx1"/>
            </w14:solidFill>
          </w14:textFill>
        </w:rPr>
        <w:t>包括：</w:t>
      </w:r>
      <w:r>
        <w:rPr>
          <w:rFonts w:hint="eastAsia" w:cs="宋体"/>
          <w:color w:val="000000" w:themeColor="text1"/>
          <w:sz w:val="24"/>
          <w:szCs w:val="24"/>
          <w:lang w:val="zh-CN"/>
          <w14:textFill>
            <w14:solidFill>
              <w14:schemeClr w14:val="tx1"/>
            </w14:solidFill>
          </w14:textFill>
        </w:rPr>
        <w:t>产品费、验收费、手续费、包装费、运输费、保险费、施工安装费、调试费、培训费、售后服务费、招标代理费及不可预见费等全部费用</w:t>
      </w:r>
      <w:r>
        <w:rPr>
          <w:rFonts w:hint="eastAsia" w:cs="宋体"/>
          <w:color w:val="000000" w:themeColor="text1"/>
          <w:sz w:val="24"/>
          <w:szCs w:val="24"/>
          <w14:textFill>
            <w14:solidFill>
              <w14:schemeClr w14:val="tx1"/>
            </w14:solidFill>
          </w14:textFill>
        </w:rPr>
        <w:t>需含在投标报价中。</w:t>
      </w:r>
      <w:r>
        <w:rPr>
          <w:rFonts w:hint="eastAsia" w:ascii="宋体" w:hAnsi="Cambria" w:cs="宋体"/>
          <w:color w:val="000000" w:themeColor="text1"/>
          <w:sz w:val="24"/>
          <w:lang w:val="zh-CN"/>
          <w14:textFill>
            <w14:solidFill>
              <w14:schemeClr w14:val="tx1"/>
            </w14:solidFill>
          </w14:textFill>
        </w:rPr>
        <w:t>若磋商报价不能完全包括上述内容，该响应将被认为非实质性响应。</w:t>
      </w:r>
    </w:p>
    <w:p>
      <w:pPr>
        <w:autoSpaceDE w:val="0"/>
        <w:autoSpaceDN w:val="0"/>
        <w:adjustRightInd w:val="0"/>
        <w:spacing w:line="360" w:lineRule="auto"/>
        <w:ind w:firstLine="480"/>
        <w:rPr>
          <w:rFonts w:ascii="宋体" w:hAnsi="Cambria" w:cs="宋体"/>
          <w:color w:val="000000" w:themeColor="text1"/>
          <w:sz w:val="24"/>
          <w:lang w:val="zh-CN"/>
          <w14:textFill>
            <w14:solidFill>
              <w14:schemeClr w14:val="tx1"/>
            </w14:solidFill>
          </w14:textFill>
        </w:rPr>
      </w:pPr>
      <w:r>
        <w:rPr>
          <w:rFonts w:hint="eastAsia" w:ascii="宋体" w:hAnsi="Cambria" w:cs="宋体"/>
          <w:color w:val="000000" w:themeColor="text1"/>
          <w:sz w:val="24"/>
          <w:lang w:val="zh-CN"/>
          <w14:textFill>
            <w14:solidFill>
              <w14:schemeClr w14:val="tx1"/>
            </w14:solidFill>
          </w14:textFill>
        </w:rPr>
        <w:t>1.</w:t>
      </w:r>
      <w:r>
        <w:rPr>
          <w:rFonts w:hint="eastAsia" w:ascii="宋体" w:hAnsi="Cambria" w:cs="宋体"/>
          <w:color w:val="000000" w:themeColor="text1"/>
          <w:sz w:val="24"/>
          <w14:textFill>
            <w14:solidFill>
              <w14:schemeClr w14:val="tx1"/>
            </w14:solidFill>
          </w14:textFill>
        </w:rPr>
        <w:t>2</w:t>
      </w:r>
      <w:r>
        <w:rPr>
          <w:rFonts w:hint="eastAsia" w:ascii="宋体" w:hAnsi="Cambria" w:cs="宋体"/>
          <w:color w:val="000000" w:themeColor="text1"/>
          <w:sz w:val="24"/>
          <w:lang w:val="zh-CN"/>
          <w14:textFill>
            <w14:solidFill>
              <w14:schemeClr w14:val="tx1"/>
            </w14:solidFill>
          </w14:textFill>
        </w:rPr>
        <w:t>.供应商必须如实填写“技术规格响应表”，在“响应产品技术参数、指标”栏中列出采购产品的具体规格型号和具体技术参数、指标；以采购人需求为最低指标要求，供应商对超出或不满足最低指标要求的指标需列出“＋、-”偏差。</w:t>
      </w:r>
    </w:p>
    <w:p>
      <w:pPr>
        <w:autoSpaceDE w:val="0"/>
        <w:autoSpaceDN w:val="0"/>
        <w:adjustRightInd w:val="0"/>
        <w:spacing w:line="360" w:lineRule="auto"/>
        <w:ind w:firstLine="0" w:firstLineChars="0"/>
        <w:rPr>
          <w:rFonts w:ascii="宋体" w:hAnsi="Cambria" w:cs="宋体"/>
          <w:color w:val="000000" w:themeColor="text1"/>
          <w:sz w:val="24"/>
          <w14:textFill>
            <w14:solidFill>
              <w14:schemeClr w14:val="tx1"/>
            </w14:solidFill>
          </w14:textFill>
        </w:rPr>
      </w:pPr>
      <w:r>
        <w:rPr>
          <w:rFonts w:hint="eastAsia" w:ascii="宋体" w:hAnsi="Cambria" w:cs="宋体"/>
          <w:color w:val="000000" w:themeColor="text1"/>
          <w:sz w:val="24"/>
          <w14:textFill>
            <w14:solidFill>
              <w14:schemeClr w14:val="tx1"/>
            </w14:solidFill>
          </w14:textFill>
        </w:rPr>
        <w:t xml:space="preserve">  1.3.</w:t>
      </w:r>
      <w:r>
        <w:rPr>
          <w:rFonts w:hint="eastAsia" w:ascii="宋体" w:hAnsi="Cambria" w:cs="宋体"/>
          <w:color w:val="000000" w:themeColor="text1"/>
          <w:sz w:val="24"/>
          <w:lang w:val="zh-CN"/>
          <w14:textFill>
            <w14:solidFill>
              <w14:schemeClr w14:val="tx1"/>
            </w14:solidFill>
          </w14:textFill>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pStyle w:val="21"/>
        <w:spacing w:line="360" w:lineRule="auto"/>
        <w:ind w:firstLine="0" w:firstLineChars="0"/>
        <w:jc w:val="left"/>
        <w:rPr>
          <w:rFonts w:ascii="宋体"/>
          <w:color w:val="000000" w:themeColor="text1"/>
          <w14:textFill>
            <w14:solidFill>
              <w14:schemeClr w14:val="tx1"/>
            </w14:solidFill>
          </w14:textFill>
        </w:rPr>
      </w:pPr>
      <w:bookmarkStart w:id="685" w:name="_Toc126"/>
      <w:bookmarkStart w:id="686" w:name="_Toc22235"/>
      <w:bookmarkStart w:id="687" w:name="_Toc13654"/>
      <w:bookmarkStart w:id="688" w:name="_Toc20091"/>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报价说明</w:t>
      </w:r>
      <w:bookmarkEnd w:id="683"/>
      <w:bookmarkEnd w:id="684"/>
      <w:bookmarkEnd w:id="685"/>
      <w:bookmarkEnd w:id="686"/>
      <w:bookmarkEnd w:id="687"/>
      <w:bookmarkEnd w:id="688"/>
    </w:p>
    <w:p>
      <w:pPr>
        <w:autoSpaceDE w:val="0"/>
        <w:autoSpaceDN w:val="0"/>
        <w:adjustRightInd w:val="0"/>
        <w:spacing w:line="360" w:lineRule="auto"/>
        <w:ind w:firstLine="480"/>
        <w:rPr>
          <w:rFonts w:ascii="宋体" w:cs="Times New Roman"/>
          <w:color w:val="000000" w:themeColor="text1"/>
          <w:sz w:val="24"/>
          <w:szCs w:val="24"/>
          <w:lang w:val="zh-CN"/>
          <w14:textFill>
            <w14:solidFill>
              <w14:schemeClr w14:val="tx1"/>
            </w14:solidFill>
          </w14:textFill>
        </w:rPr>
      </w:pPr>
      <w:bookmarkStart w:id="689" w:name="_Toc430937694"/>
      <w:bookmarkStart w:id="690" w:name="_Toc464136667"/>
      <w:r>
        <w:rPr>
          <w:rFonts w:hint="eastAsia" w:ascii="宋体" w:cs="宋体"/>
          <w:color w:val="000000" w:themeColor="text1"/>
          <w:sz w:val="24"/>
          <w:szCs w:val="24"/>
          <w:lang w:val="zh-CN"/>
          <w14:textFill>
            <w14:solidFill>
              <w14:schemeClr w14:val="tx1"/>
            </w14:solidFill>
          </w14:textFill>
        </w:rPr>
        <w:t>本次磋商文件中规定的磋商最高限价，供应商的磋商(响应)报价不得超出此额度。否则响应无效。</w:t>
      </w:r>
    </w:p>
    <w:p>
      <w:pPr>
        <w:pStyle w:val="21"/>
        <w:spacing w:line="360" w:lineRule="auto"/>
        <w:ind w:firstLine="157" w:firstLineChars="49"/>
        <w:jc w:val="left"/>
        <w:rPr>
          <w:rFonts w:ascii="宋体" w:hAnsi="宋体" w:cs="宋体"/>
          <w:color w:val="000000" w:themeColor="text1"/>
          <w:lang w:val="zh-CN"/>
          <w14:textFill>
            <w14:solidFill>
              <w14:schemeClr w14:val="tx1"/>
            </w14:solidFill>
          </w14:textFill>
        </w:rPr>
      </w:pPr>
      <w:bookmarkStart w:id="691" w:name="_Toc30153"/>
      <w:bookmarkStart w:id="692" w:name="_Toc22260"/>
      <w:bookmarkStart w:id="693" w:name="_Toc7045"/>
      <w:bookmarkStart w:id="694" w:name="_Toc23123"/>
      <w:r>
        <w:rPr>
          <w:rFonts w:hint="eastAsia" w:ascii="宋体" w:hAnsi="宋体" w:cs="宋体"/>
          <w:color w:val="000000" w:themeColor="text1"/>
          <w:lang w:val="zh-CN"/>
          <w14:textFill>
            <w14:solidFill>
              <w14:schemeClr w14:val="tx1"/>
            </w14:solidFill>
          </w14:textFill>
        </w:rPr>
        <w:t>3</w:t>
      </w:r>
      <w:r>
        <w:rPr>
          <w:rFonts w:ascii="宋体" w:hAnsi="宋体" w:cs="宋体"/>
          <w:color w:val="000000" w:themeColor="text1"/>
          <w:lang w:val="zh-CN"/>
          <w14:textFill>
            <w14:solidFill>
              <w14:schemeClr w14:val="tx1"/>
            </w14:solidFill>
          </w14:textFill>
        </w:rPr>
        <w:t>.</w:t>
      </w:r>
      <w:bookmarkEnd w:id="689"/>
      <w:bookmarkEnd w:id="690"/>
      <w:r>
        <w:rPr>
          <w:rFonts w:hint="eastAsia" w:ascii="宋体" w:hAnsi="宋体" w:cs="宋体"/>
          <w:color w:val="000000" w:themeColor="text1"/>
          <w:lang w:val="zh-CN"/>
          <w14:textFill>
            <w14:solidFill>
              <w14:schemeClr w14:val="tx1"/>
            </w14:solidFill>
          </w14:textFill>
        </w:rPr>
        <w:t>重要指标</w:t>
      </w:r>
      <w:bookmarkEnd w:id="691"/>
      <w:bookmarkEnd w:id="692"/>
      <w:bookmarkEnd w:id="693"/>
      <w:bookmarkEnd w:id="694"/>
    </w:p>
    <w:p>
      <w:pPr>
        <w:spacing w:line="360" w:lineRule="auto"/>
        <w:ind w:firstLine="480"/>
        <w:textAlignment w:val="baseline"/>
        <w:rPr>
          <w:rStyle w:val="78"/>
          <w:rFonts w:ascii="宋体" w:hAnsi="宋体"/>
          <w:color w:val="000000" w:themeColor="text1"/>
          <w:sz w:val="24"/>
          <w:szCs w:val="24"/>
          <w:lang w:val="zh-CN"/>
          <w14:textFill>
            <w14:solidFill>
              <w14:schemeClr w14:val="tx1"/>
            </w14:solidFill>
          </w14:textFill>
        </w:rPr>
      </w:pPr>
      <w:bookmarkStart w:id="695" w:name="_Toc485391676"/>
      <w:bookmarkStart w:id="696" w:name="_Toc15227"/>
      <w:bookmarkStart w:id="697" w:name="_Toc6821"/>
      <w:bookmarkStart w:id="698" w:name="_Toc5032"/>
      <w:r>
        <w:rPr>
          <w:rStyle w:val="78"/>
          <w:rFonts w:hint="eastAsia" w:ascii="宋体" w:hAnsi="宋体"/>
          <w:color w:val="000000" w:themeColor="text1"/>
          <w:sz w:val="24"/>
          <w:szCs w:val="24"/>
          <w:lang w:val="zh-CN"/>
          <w14:textFill>
            <w14:solidFill>
              <w14:schemeClr w14:val="tx1"/>
            </w14:solidFill>
          </w14:textFill>
        </w:rPr>
        <w:t>3.</w:t>
      </w:r>
      <w:r>
        <w:rPr>
          <w:rStyle w:val="78"/>
          <w:rFonts w:hint="eastAsia" w:ascii="宋体" w:hAnsi="宋体"/>
          <w:color w:val="000000" w:themeColor="text1"/>
          <w:sz w:val="24"/>
          <w:szCs w:val="24"/>
          <w14:textFill>
            <w14:solidFill>
              <w14:schemeClr w14:val="tx1"/>
            </w14:solidFill>
          </w14:textFill>
        </w:rPr>
        <w:t>1</w:t>
      </w:r>
      <w:r>
        <w:rPr>
          <w:rStyle w:val="78"/>
          <w:rFonts w:hint="eastAsia" w:ascii="宋体" w:hAnsi="宋体"/>
          <w:color w:val="000000" w:themeColor="text1"/>
          <w:sz w:val="24"/>
          <w:szCs w:val="24"/>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pPr>
        <w:spacing w:line="360" w:lineRule="auto"/>
        <w:ind w:firstLine="480"/>
        <w:textAlignment w:val="baseline"/>
        <w:rPr>
          <w:rStyle w:val="78"/>
          <w:rFonts w:ascii="宋体" w:hAnsi="宋体"/>
          <w:color w:val="000000" w:themeColor="text1"/>
          <w:sz w:val="24"/>
          <w:szCs w:val="24"/>
          <w14:textFill>
            <w14:solidFill>
              <w14:schemeClr w14:val="tx1"/>
            </w14:solidFill>
          </w14:textFill>
        </w:rPr>
      </w:pPr>
      <w:r>
        <w:rPr>
          <w:rStyle w:val="78"/>
          <w:rFonts w:hint="eastAsia" w:ascii="宋体" w:hAnsi="宋体"/>
          <w:color w:val="000000" w:themeColor="text1"/>
          <w:sz w:val="24"/>
          <w:szCs w:val="24"/>
          <w:lang w:val="zh-CN"/>
          <w14:textFill>
            <w14:solidFill>
              <w14:schemeClr w14:val="tx1"/>
            </w14:solidFill>
          </w14:textFill>
        </w:rPr>
        <w:t>3.</w:t>
      </w:r>
      <w:r>
        <w:rPr>
          <w:rStyle w:val="78"/>
          <w:rFonts w:hint="eastAsia" w:ascii="宋体" w:hAnsi="宋体"/>
          <w:color w:val="000000" w:themeColor="text1"/>
          <w:sz w:val="24"/>
          <w:szCs w:val="24"/>
          <w14:textFill>
            <w14:solidFill>
              <w14:schemeClr w14:val="tx1"/>
            </w14:solidFill>
          </w14:textFill>
        </w:rPr>
        <w:t>2</w:t>
      </w:r>
      <w:r>
        <w:rPr>
          <w:rStyle w:val="78"/>
          <w:rFonts w:hint="eastAsia" w:ascii="宋体" w:hAnsi="宋体"/>
          <w:color w:val="000000" w:themeColor="text1"/>
          <w:sz w:val="24"/>
          <w:szCs w:val="24"/>
          <w:lang w:val="zh-CN"/>
          <w14:textFill>
            <w14:solidFill>
              <w14:schemeClr w14:val="tx1"/>
            </w14:solidFill>
          </w14:textFill>
        </w:rPr>
        <w:t>技术参数中除注明签订合同时提供</w:t>
      </w:r>
      <w:r>
        <w:rPr>
          <w:rStyle w:val="78"/>
          <w:rFonts w:hint="eastAsia" w:ascii="宋体" w:hAnsi="宋体"/>
          <w:color w:val="000000" w:themeColor="text1"/>
          <w:sz w:val="24"/>
          <w:szCs w:val="24"/>
          <w14:textFill>
            <w14:solidFill>
              <w14:schemeClr w14:val="tx1"/>
            </w14:solidFill>
          </w14:textFill>
        </w:rPr>
        <w:t>的相关授权、服务承诺等资料以外，其余相关资料在投标时必须附在响应文件中。</w:t>
      </w:r>
    </w:p>
    <w:p>
      <w:pPr>
        <w:pStyle w:val="21"/>
        <w:spacing w:line="360" w:lineRule="auto"/>
        <w:ind w:firstLine="157" w:firstLineChars="49"/>
        <w:jc w:val="left"/>
        <w:rPr>
          <w:rFonts w:ascii="宋体" w:hAnsi="宋体" w:cs="宋体"/>
          <w:color w:val="000000" w:themeColor="text1"/>
          <w:lang w:val="zh-CN"/>
          <w14:textFill>
            <w14:solidFill>
              <w14:schemeClr w14:val="tx1"/>
            </w14:solidFill>
          </w14:textFill>
        </w:rPr>
      </w:pPr>
      <w:bookmarkStart w:id="699" w:name="_Toc9377"/>
      <w:r>
        <w:rPr>
          <w:rFonts w:hint="eastAsia" w:ascii="宋体" w:hAnsi="宋体" w:cs="宋体"/>
          <w:color w:val="000000" w:themeColor="text1"/>
          <w:lang w:val="zh-CN"/>
          <w14:textFill>
            <w14:solidFill>
              <w14:schemeClr w14:val="tx1"/>
            </w14:solidFill>
          </w14:textFill>
        </w:rPr>
        <w:t>4</w:t>
      </w:r>
      <w:bookmarkStart w:id="700" w:name="_Toc427748115"/>
      <w:r>
        <w:rPr>
          <w:rFonts w:hint="eastAsia" w:ascii="宋体" w:hAnsi="宋体" w:cs="宋体"/>
          <w:color w:val="000000" w:themeColor="text1"/>
          <w:lang w:val="zh-CN"/>
          <w14:textFill>
            <w14:solidFill>
              <w14:schemeClr w14:val="tx1"/>
            </w14:solidFill>
          </w14:textFill>
        </w:rPr>
        <w:t>.</w:t>
      </w:r>
      <w:bookmarkEnd w:id="695"/>
      <w:bookmarkEnd w:id="700"/>
      <w:r>
        <w:rPr>
          <w:rFonts w:hint="eastAsia" w:ascii="宋体" w:hAnsi="宋体" w:cs="宋体"/>
          <w:color w:val="000000" w:themeColor="text1"/>
          <w:lang w:val="zh-CN"/>
          <w14:textFill>
            <w14:solidFill>
              <w14:schemeClr w14:val="tx1"/>
            </w14:solidFill>
          </w14:textFill>
        </w:rPr>
        <w:t>商务要求</w:t>
      </w:r>
      <w:bookmarkEnd w:id="696"/>
      <w:bookmarkEnd w:id="697"/>
      <w:bookmarkEnd w:id="698"/>
      <w:bookmarkEnd w:id="699"/>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1、交货时间：合同签订后</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0日历天</w:t>
      </w:r>
      <w:r>
        <w:rPr>
          <w:rFonts w:hint="eastAsia" w:ascii="宋体" w:hAnsi="宋体" w:cs="宋体"/>
          <w:color w:val="000000" w:themeColor="text1"/>
          <w:sz w:val="24"/>
          <w:szCs w:val="24"/>
          <w14:textFill>
            <w14:solidFill>
              <w14:schemeClr w14:val="tx1"/>
            </w14:solidFill>
          </w14:textFill>
        </w:rPr>
        <w:t>，</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2、交货地点：按采购人指定地点；</w:t>
      </w:r>
    </w:p>
    <w:p>
      <w:pPr>
        <w:spacing w:line="360" w:lineRule="auto"/>
        <w:ind w:firstLine="480"/>
        <w:rPr>
          <w:rFonts w:asci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3、免费质保</w:t>
      </w:r>
      <w:r>
        <w:rPr>
          <w:rFonts w:hint="eastAsia"/>
          <w:color w:val="000000" w:themeColor="text1"/>
          <w:sz w:val="24"/>
          <w:szCs w:val="24"/>
          <w14:textFill>
            <w14:solidFill>
              <w14:schemeClr w14:val="tx1"/>
            </w14:solidFill>
          </w14:textFill>
        </w:rPr>
        <w:t>期：</w:t>
      </w:r>
      <w:r>
        <w:rPr>
          <w:rFonts w:hint="eastAsia" w:ascii="宋体" w:cs="宋体"/>
          <w:color w:val="000000" w:themeColor="text1"/>
          <w:sz w:val="24"/>
          <w14:textFill>
            <w14:solidFill>
              <w14:schemeClr w14:val="tx1"/>
            </w14:solidFill>
          </w14:textFill>
        </w:rPr>
        <w:t>一年</w:t>
      </w:r>
      <w:r>
        <w:rPr>
          <w:rFonts w:hint="eastAsia" w:ascii="宋体" w:cs="宋体"/>
          <w:color w:val="000000" w:themeColor="text1"/>
          <w:sz w:val="24"/>
          <w:lang w:val="zh-CN"/>
          <w14:textFill>
            <w14:solidFill>
              <w14:schemeClr w14:val="tx1"/>
            </w14:solidFill>
          </w14:textFill>
        </w:rPr>
        <w:t>。</w:t>
      </w:r>
    </w:p>
    <w:p>
      <w:pPr>
        <w:ind w:firstLine="420"/>
        <w:rPr>
          <w:rFonts w:cs="宋体"/>
          <w:b/>
          <w:color w:val="000000" w:themeColor="text1"/>
          <w:sz w:val="28"/>
          <w:szCs w:val="28"/>
          <w:lang w:val="zh-CN"/>
          <w14:textFill>
            <w14:solidFill>
              <w14:schemeClr w14:val="tx1"/>
            </w14:solidFill>
          </w14:textFill>
        </w:rPr>
      </w:pPr>
      <w:r>
        <w:rPr>
          <w:rFonts w:hint="eastAsia"/>
          <w:color w:val="000000" w:themeColor="text1"/>
          <w:lang w:val="zh-CN"/>
          <w14:textFill>
            <w14:solidFill>
              <w14:schemeClr w14:val="tx1"/>
            </w14:solidFill>
          </w14:textFill>
        </w:rPr>
        <w:br w:type="page"/>
      </w:r>
      <w:bookmarkStart w:id="701" w:name="_Toc11406_WPSOffice_Level2"/>
      <w:bookmarkStart w:id="702" w:name="_Toc32530_WPSOffice_Level2"/>
      <w:r>
        <w:rPr>
          <w:rFonts w:hint="eastAsia" w:cs="宋体"/>
          <w:b/>
          <w:color w:val="000000" w:themeColor="text1"/>
          <w:sz w:val="28"/>
          <w:szCs w:val="28"/>
          <w:lang w:val="zh-CN"/>
          <w14:textFill>
            <w14:solidFill>
              <w14:schemeClr w14:val="tx1"/>
            </w14:solidFill>
          </w14:textFill>
        </w:rPr>
        <w:t>（</w:t>
      </w:r>
      <w:r>
        <w:rPr>
          <w:rFonts w:hint="eastAsia" w:cs="宋体"/>
          <w:b/>
          <w:color w:val="000000" w:themeColor="text1"/>
          <w:sz w:val="28"/>
          <w:szCs w:val="28"/>
          <w14:textFill>
            <w14:solidFill>
              <w14:schemeClr w14:val="tx1"/>
            </w14:solidFill>
          </w14:textFill>
        </w:rPr>
        <w:t>二</w:t>
      </w:r>
      <w:r>
        <w:rPr>
          <w:rFonts w:hint="eastAsia" w:cs="宋体"/>
          <w:b/>
          <w:color w:val="000000" w:themeColor="text1"/>
          <w:sz w:val="28"/>
          <w:szCs w:val="28"/>
          <w:lang w:val="zh-CN"/>
          <w14:textFill>
            <w14:solidFill>
              <w14:schemeClr w14:val="tx1"/>
            </w14:solidFill>
          </w14:textFill>
        </w:rPr>
        <w:t>）项目概况及技术参数</w:t>
      </w:r>
      <w:bookmarkEnd w:id="701"/>
      <w:bookmarkEnd w:id="702"/>
    </w:p>
    <w:tbl>
      <w:tblPr>
        <w:tblStyle w:val="24"/>
        <w:tblW w:w="5307" w:type="pct"/>
        <w:tblInd w:w="-283" w:type="dxa"/>
        <w:tblLayout w:type="fixed"/>
        <w:tblCellMar>
          <w:top w:w="0" w:type="dxa"/>
          <w:left w:w="108" w:type="dxa"/>
          <w:bottom w:w="0" w:type="dxa"/>
          <w:right w:w="108" w:type="dxa"/>
        </w:tblCellMar>
      </w:tblPr>
      <w:tblGrid>
        <w:gridCol w:w="322"/>
        <w:gridCol w:w="531"/>
        <w:gridCol w:w="232"/>
        <w:gridCol w:w="649"/>
        <w:gridCol w:w="287"/>
        <w:gridCol w:w="5739"/>
        <w:gridCol w:w="551"/>
        <w:gridCol w:w="61"/>
        <w:gridCol w:w="257"/>
        <w:gridCol w:w="423"/>
      </w:tblGrid>
      <w:tr>
        <w:tblPrEx>
          <w:tblCellMar>
            <w:top w:w="0" w:type="dxa"/>
            <w:left w:w="108" w:type="dxa"/>
            <w:bottom w:w="0" w:type="dxa"/>
            <w:right w:w="108" w:type="dxa"/>
          </w:tblCellMar>
        </w:tblPrEx>
        <w:trPr>
          <w:gridAfter w:val="1"/>
          <w:wAfter w:w="233" w:type="pct"/>
          <w:trHeight w:val="375" w:hRule="atLeast"/>
        </w:trPr>
        <w:tc>
          <w:tcPr>
            <w:tcW w:w="4766" w:type="pct"/>
            <w:gridSpan w:val="9"/>
            <w:tcBorders>
              <w:top w:val="nil"/>
              <w:left w:val="nil"/>
              <w:bottom w:val="single" w:color="000000" w:sz="4" w:space="0"/>
              <w:right w:val="nil"/>
            </w:tcBorders>
            <w:noWrap w:val="0"/>
            <w:vAlign w:val="center"/>
          </w:tcPr>
          <w:p>
            <w:pPr>
              <w:widowControl/>
              <w:ind w:firstLine="482"/>
              <w:jc w:val="center"/>
              <w:textAlignment w:val="center"/>
              <w:rPr>
                <w:rFonts w:hint="default" w:ascii="宋体" w:hAnsi="宋体" w:cs="宋体"/>
                <w:b/>
                <w:bCs/>
                <w:color w:val="000000"/>
                <w:lang w:val="en-US"/>
              </w:rPr>
            </w:pPr>
            <w:r>
              <w:rPr>
                <w:rFonts w:hint="eastAsia" w:ascii="宋体" w:hAnsi="宋体" w:cs="宋体"/>
                <w:b/>
                <w:bCs/>
                <w:color w:val="000000"/>
                <w:kern w:val="0"/>
                <w:lang w:eastAsia="zh-CN" w:bidi="ar"/>
              </w:rPr>
              <w:t>都兰县</w:t>
            </w:r>
            <w:r>
              <w:rPr>
                <w:rFonts w:hint="eastAsia" w:ascii="宋体" w:hAnsi="宋体" w:cs="宋体"/>
                <w:b/>
                <w:bCs/>
                <w:color w:val="000000"/>
                <w:kern w:val="0"/>
                <w:lang w:val="en-US" w:eastAsia="zh-CN" w:bidi="ar"/>
              </w:rPr>
              <w:t xml:space="preserve">2022年教育质量提升工程参数（包一）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820"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设备名称</w:t>
            </w:r>
          </w:p>
        </w:tc>
        <w:tc>
          <w:tcPr>
            <w:tcW w:w="3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详细技术指标及配(附)件</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高清视频巡查系统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SIP转发管理三合一服务器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1.符合《国家教育考试网上巡查系统视频标准技术规范（2017版）》相关技术规范；2.具备实时操作系统Linux-CentOS7.3，本身具有抗病毒和抗攻击能力。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3.支持标准SIP2.0；4.支持支持网上巡查系统的平台及前端设备管理，实现统一管理、统一控制、统一解码上墙；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5.SIP URI统一命名规则、分级命名、联合定位；6.SIP URI组、用户、树形列表管理；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7.SIP URI地址解析；8.系统管理员用户分组，可对平台设置多个管理员，对每个管理员赋予不同的管理权限，如添加删除设备、帐号权限，查看权限、设置权限等；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9.支持多转发分布式部署协同工作，满足大路数高清视频流的转发需求；10.支持根据网络情况和使用需求，动态调整视频分辨率；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11.系统基本参数的设置，如是否跨级管理、上级SIP参数、本级SIP参数、转发参数、端口等设置；12.能实现核心数据库的备份；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13.采用基于B/S架构的管理模式；14.查看系统内设备的在线信息；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15.支持多码流选取；16.远程云台/镜头控制；17.支持SIP向上级的主动注册与多级注册管理；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18.支持IP、UDP、RTP、RTCP、SIP、TCP/IP、DHCP、PPPOE等网络协议；19.媒体流分发；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支持点播、组播、广播；21.支持转发干线传输协议：在巡查系统中转发服务器与转发服务器之间建立一个双向视频传输通道，实现最底层巡查系统（学校级巡查系统）不需要外网IP(或NAT映射)就可实现和上级巡查系统的对接；22.支持网络拥塞控制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23.支持视频多路复用；24.视频路由控制；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25.视频传输优先级控制；26.音/视频数据压缩及封装；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27.客户端远程登录实现实时图像预览、历史数据回放下载设置；28.支持下级设备数据同步到上级机构；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29.支持学校机构考前准备，包括考试计划接收、一键参数设置、考场绑定、一键设备巡检及巡检结果查看；30.支持学校机构考后收尾，包括OSD恢复、录像锁定检查；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31.支持上级机构考前准备，包括考试计划制定及自动收发、一键考点巡检及巡检结果查看；32.支持考试工作报表；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33.支持图形化机构拓扑呈现、设备拓扑呈现；34.支持图形化操作入口；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35.生成和打印设备清单报表；36.基本信息维护，如用户的密码、单位、联系方式等；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37.投标产品为嵌入式，具备实时操作系统，支持Linux系统、微软嵌入式系统（该条参数需提供第三方检测报告证明）；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38.支持对数据库进行测试，验证数据库配置正确性与连通状态，支持远维连接（该条参数需提供第三方检测报告证明）；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39.支持SIP信令直传控制功能，支持SIP连接、认证状态实时追踪（该条参数需提供第三方检测报告证明）。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40.支持对上级平台、域名、端口、注册状态检测及诊断，支持系统内添加智能小工具，对所处网络进行网络测试（该条参数需提供第三方检测报告证明）；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41.支持客户端与前端摄像机进行实时语音，云台控制（包含云台旋转、步长设置）及色彩参数设置（该条参数需提供第三方检测报告证明）；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42.支持对SIP连接、认证状态实时追踪，支持SIP向上级的主动注册及同时向多个上级同时注册管理（该条参数需提供第三方检测报告证明）；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43.★保证能与青海省级国家考试综合管理平台、考试中心指挥平台标考高清中心巡查系统管理、注册、转发三合一管理平台无缝连接。</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70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标考网络流媒体存储平台</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1.符合《国家教育考试网上巡查系统视频标准技术规范（2017版）》相关技术规范；2.支持嵌入式Linux系统，工业级嵌入式微控制器；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3.支持WEB、本地GUI界面操作；4.支持最大64路网络视频接入，网络性能接入384Mbps，储存384Mbps，转发384Mbps；5.支持12M/4K/5M/3M/1080P/UXGA/1.3M/720P IPC分辨率接入；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6.支持2×12M/4×4K/6×5M/8×4M/11×3M/16×1080P/32×720P解码；7.最大支持16路视频回放；8.支持1路VGA输出，2路HDMI输出，支持VGA和HDMI1同源输出，双HDMI 4K分辨率异源输出；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4K分屏功能，支持单通道的全屏、1+3和1+5预览分屏模式，Web端支持4K分屏回放；10.支持普通IPC场景变更侦测，区域入侵侦测，绊线入侵侦测，物品看护，音频检测，人脸检测，人流统计，热度图等多种智能侦测接入与联动；11.支持所有IPC实现后智能，支持在存储平台配置绊线入侵、区域入侵、物品看护等多种智能分析，当检测到异常时，进行告警上报并进行联动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12.支持人脸侦测，实现人脸抠图和人脸所在全景图，进行告警上报并进行联动处理，并支持人脸检测录像回放；13.支持自定义分隔，用户可以根据需求设置显示分隔数；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14.支持预览图像与回放图像的电子放大，以及通过鼠标控制云台转动、放大、定位等操作；15.支持按事件查询、回放、备份录像文件，支持图片本地回放与查询；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16.支持标签自定义功能，以及对标签进行归档，以便后续查看；17.支持即时回放，在预览画面下回放指定通道的录像；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18.支持切片回放功能，将录像切片等分成若干段视频进行多路同时回放;19.支持支持设备操作日志、报警日志、系统日志的记录与查询功能；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20.支持智能检索，按图像的来源、记录时间、报警事件类别等多种方式对存储的图像数据进行检索；21.支持数字水印，防篡改；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支持根据考试计划自动锁定录像功能，即可以按年、月、日的方式进行考试计划设置，到处于考试时间内时，存储设备在录像时将自动对考试计划时间内的录像进行锁定，对锁定的图像不进行覆盖；23.支持断点续传，前端摄像机装有存储卡时，在摄像机断网恢复后，存储设备能自动连接到摄像机，并对断网时间内的图像进行自动下载，补齐缺失录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24.支持考试录像本机同步双备份，通过存储设备的ESATA接口外接硬盘对考试期间的视频图像进行同步备份，考试结束后可以直接将外接硬盘上交，上交的硬盘可直接在PC电脑上进行图像回放查看；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25.支持16个SATA接口，1个eSATA接口，1个miniSAS接口；26.支持独立的eSATA扩展，支持录像和备份；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27.支持本机硬盘、网络等存储方式，支持硬盘、外接USB存储设备备份方式；28.支持ISCSI扩展存储，以及支持iSCSI方式对接IPSAN设备，实现扩容存储；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29.支持盘组管理、录像定向存储；30.4个RJ45 10/100/1000Mbps自适应以太网口，支持容错、负载均衡和双网分离，可用作前端接入；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31.2个千兆光口，支持容错、负载均衡和双网分离，可用作远程传输；32.支持对前端IPC管理和远程批量升级，以及远程对IPC的编码配置等操作；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支持N+M集群管理功能，当主机发生故障时，备机可替换故障主机继续录像，故障恢复后，备机可将存储的录像回传至故障主机；34.支持远程零通道预览功能，可将接入的多路视频图像多画面显示在一路视频图像上；35.支持16个SATA接口（可热插拔），单盘容量支持6TB，支持Raid0、Raid1、Raid5、Raid6、Raid10、JBOD等多种数据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36.支持IPC复合音频1路输入，支持语音对讲1路输出，支持PC通过存储平台与网络摄像机进行语音对讲；37.支持16路报警输入、8路报警输出，支持开关量输入输出模式；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38.支持IPv4、IPv6、HTTP、UPnP、NTP、SNMP、PPPOE、DNS、FTP、SIP、RTP、RTCP；39.支持走廊模式功能，支持IPC画面旋转90°或270°，成9:16走廊模式；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40.支持鱼眼矫正功能，本地和web端在预览和回放模式下，支持对接入鱼眼视频以拼接的方式进行矫正功能；41.支持鱼球联动功能，支持鱼眼摄像机和球机（可支持3个球机）的全景和细节联动；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支持视频浓缩播放，根据人脸、通用行为分析，在选定时间段内提炼成对象化的视频；43.支持视频质量诊断（条纹干扰、视频偏色、视频噪声、视频虚焦、视频过曝）当检测到视频质量异常时，进行告警上报并进行联动处理；44.可自适应接入H.265、H.264、MPEG4视频编码格式的网络视频并解码（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799"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硬盘</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监控专用硬盘，SATA 硬盘，支持7*24小时工作、4T容量</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82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大屏中控管理平台</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2.嵌入式设备，具备实时操作系统，本身具有抗病毒和抗攻击能力；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3.通过配置电视墙布局及视频源连接关系，实现所见即所得，即屏幕上的布局和控制可完美的与电视墙的显示同步；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4.提供鹰眼地图对电视墙局部显示进行放大、缩小或全局查看，可查看每个窗口、通道图像的状态信息；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5.支持GIS地图信息查看；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6.支持双屏扩展显示；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7.支持灵活的屏幕、窗口控制特性；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8.支持输出屏幕的自由绑定、自由开窗、窗口放缩融合拼接以及漫游等功能；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9.支持远程控制解码矩阵和电视墙管理平台对音视频图像以及编码图像的上墙解码和管理；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10.分屏方式：支持控制电视墙1分屏、4分屏、6分屏、8分屏、9分屏、16分屏多种模式；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11.画面轮巡：支持设置多种自定义的轮巡设置；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12.轮巡模式：独立轮巡和组合轮巡，同步轮巡和异步轮巡，定点轮巡和定长轮巡；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13.状态展示：支持显示当前受控设备的状态，包括：当前屏幕的布局信息、窗口获取的图像信息、窗口全屏、码流信息、音频开启标志等；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14.方案控制：支持设置，计划，载入与保存方案等功能，并支持多种不同方案，包括屏幕布局方案、窗口图像轮巡方案、预置场景方案及时间计划方案；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15.云台控制：支持云台设置方向、焦距、步长、自由旋转、左右边界以及预置点和3D快速定位等多种模式；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16.大屏融合：支持屏幕的拼接融合；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报警功能：具有接收视频丢失、遮挡、动检、报警器报警、系统资源过高报警、视频质量诊断报警、人脸检测报警、音频检测报警、区域入侵报警等智能报警，系统自诊断和网络中断报警等，并可及时控制其报警图像上墙以及弹窗或者蜂鸣提示；并支持报警联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18.常规列表：非考试期间查看所有监控点列表信息，考试期间自动切换到对应考试列表；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19.关注列表：查看上级行政机构关注列表信息；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20.预选列表：根据平台巡检预选列表信息一键查看；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21.考务列表：支持与考务平台对接获取考务列表进行上墙显示；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22.订制列表：支持手动自定义巡查列表，启用该列表可以进行获取轮巡上墙操作；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23.搜索功能：对其展开的节点列表或导入的历史节点列表可以进行模糊搜索、精确定位；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24.视频预览功能：支持本地窗口滚动预览实时图像；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25.智能传输：根据前端与后端网络情况，智能选择最佳网络路径进行拉流传输；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26.根据网络使用环境及解码性能，可自动切换为相应码率的音视频图像；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27.本级中心可根据网络带宽条件，可主动选择调取主辅码流的音视频图像；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28.分屏窗口数量大于9时，可自动切换为低码率的视频，支持同时对多个设备进行远程控制，并可随意切换控制设备（该条参数需提供第三方检测报告证明）；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29.可将巡查系统实时图像进行快速上墙，可对上墙图像进行图像冻结、暂停播放、恢复播放等操作（该条参数需提供第三方检测报告证明）。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8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智能视频监考软件</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支持面向考试计划的管理，场所启用与通道关联，列表分类管理与面向业务排序，支持监巡考权限统一管理，支持对通道相关信息的搜索，提供智能推荐列表监考更有针对性</w:t>
            </w:r>
            <w:r>
              <w:rPr>
                <w:rFonts w:hint="eastAsia" w:ascii="宋体" w:hAnsi="宋体" w:cs="宋体"/>
                <w:i w:val="0"/>
                <w:iCs w:val="0"/>
                <w:color w:val="000000"/>
                <w:kern w:val="0"/>
                <w:sz w:val="16"/>
                <w:szCs w:val="16"/>
                <w:u w:val="none"/>
                <w:lang w:val="en-US" w:eastAsia="zh-CN" w:bidi="ar"/>
              </w:rPr>
              <w:t>和综合考务对接</w:t>
            </w:r>
            <w:r>
              <w:rPr>
                <w:rFonts w:hint="eastAsia" w:ascii="宋体" w:hAnsi="宋体" w:eastAsia="宋体" w:cs="宋体"/>
                <w:i w:val="0"/>
                <w:iCs w:val="0"/>
                <w:color w:val="000000"/>
                <w:kern w:val="0"/>
                <w:sz w:val="16"/>
                <w:szCs w:val="16"/>
                <w:u w:val="none"/>
                <w:lang w:val="en-US" w:eastAsia="zh-CN" w:bidi="ar"/>
              </w:rPr>
              <w:t>，支持3D定位可显示考场、考生、考务人员相关数据，提供对现场监考员行为的监督和上报，提供摄像机状态管理，提供考生、现场监考员违规的上报，支持指令推送与处理。</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巡查指挥终端（一体式）</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4"/>
              </w:numPr>
              <w:suppressLineNumbers w:val="0"/>
              <w:jc w:val="left"/>
              <w:textAlignment w:val="center"/>
              <w:rPr>
                <w:rFonts w:hint="eastAsia"/>
                <w:sz w:val="16"/>
                <w:szCs w:val="16"/>
                <w:lang w:val="en-US" w:eastAsia="zh-CN"/>
              </w:rPr>
            </w:pPr>
            <w:r>
              <w:rPr>
                <w:rFonts w:hint="eastAsia"/>
                <w:sz w:val="16"/>
                <w:szCs w:val="16"/>
                <w:lang w:val="en-US" w:eastAsia="zh-CN"/>
              </w:rPr>
              <w:t>整机采用嵌入式操作系统及嵌入式DSP硬件设计（非PC架构及非工控机架构），具有极强的稳定性和抗病毒攻击能力，该设备包含高清会议摄像机；</w:t>
            </w:r>
            <w:r>
              <w:rPr>
                <w:rFonts w:hint="eastAsia"/>
                <w:sz w:val="16"/>
                <w:szCs w:val="16"/>
                <w:lang w:val="en-US" w:eastAsia="zh-CN"/>
              </w:rPr>
              <w:br w:type="textWrapping"/>
            </w:r>
            <w:r>
              <w:rPr>
                <w:rFonts w:hint="eastAsia"/>
                <w:sz w:val="16"/>
                <w:szCs w:val="16"/>
                <w:lang w:val="en-US" w:eastAsia="zh-CN"/>
              </w:rPr>
              <w:t>2.视频显示能力具备4K分辨率图像解码显示输出，能够提供更突出的图像效果；</w:t>
            </w:r>
            <w:r>
              <w:rPr>
                <w:rFonts w:hint="eastAsia"/>
                <w:sz w:val="16"/>
                <w:szCs w:val="16"/>
                <w:lang w:val="en-US" w:eastAsia="zh-CN"/>
              </w:rPr>
              <w:br w:type="textWrapping"/>
            </w:r>
            <w:r>
              <w:rPr>
                <w:rFonts w:hint="eastAsia"/>
                <w:sz w:val="16"/>
                <w:szCs w:val="16"/>
                <w:lang w:val="en-US" w:eastAsia="zh-CN"/>
              </w:rPr>
              <w:t>3.设备支持双流1080 60fps图像传输；</w:t>
            </w:r>
            <w:r>
              <w:rPr>
                <w:rFonts w:hint="eastAsia"/>
                <w:sz w:val="16"/>
                <w:szCs w:val="16"/>
                <w:lang w:val="en-US" w:eastAsia="zh-CN"/>
              </w:rPr>
              <w:br w:type="textWrapping"/>
            </w:r>
            <w:r>
              <w:rPr>
                <w:rFonts w:hint="eastAsia"/>
                <w:sz w:val="16"/>
                <w:szCs w:val="16"/>
                <w:lang w:val="en-US" w:eastAsia="zh-CN"/>
              </w:rPr>
              <w:t>4.设备具备前置LED显示屏，可显示IP地址等信息；</w:t>
            </w:r>
            <w:r>
              <w:rPr>
                <w:rFonts w:hint="eastAsia"/>
                <w:sz w:val="16"/>
                <w:szCs w:val="16"/>
                <w:lang w:val="en-US" w:eastAsia="zh-CN"/>
              </w:rPr>
              <w:br w:type="textWrapping"/>
            </w:r>
            <w:r>
              <w:rPr>
                <w:rFonts w:hint="eastAsia"/>
                <w:sz w:val="16"/>
                <w:szCs w:val="16"/>
                <w:lang w:val="en-US" w:eastAsia="zh-CN"/>
              </w:rPr>
              <w:t>5.视频编解码协议满足H.265、H.264HP、H.264SVC、H.264 MP等主流视频编解码协议；</w:t>
            </w:r>
            <w:r>
              <w:rPr>
                <w:rFonts w:hint="eastAsia"/>
                <w:sz w:val="16"/>
                <w:szCs w:val="16"/>
                <w:lang w:val="en-US" w:eastAsia="zh-CN"/>
              </w:rPr>
              <w:br w:type="textWrapping"/>
            </w:r>
            <w:r>
              <w:rPr>
                <w:rFonts w:hint="eastAsia"/>
                <w:sz w:val="16"/>
                <w:szCs w:val="16"/>
                <w:lang w:val="en-US" w:eastAsia="zh-CN"/>
              </w:rPr>
              <w:t>6.音频支持Opus、G.711、AAC-LD、AAC-LC、G.719、G.722、G.729A、G.722.1等音频编解码协议,满足达到20KHz以上的宽频语音效果；</w:t>
            </w:r>
            <w:r>
              <w:rPr>
                <w:rFonts w:hint="eastAsia"/>
                <w:sz w:val="16"/>
                <w:szCs w:val="16"/>
                <w:lang w:val="en-US" w:eastAsia="zh-CN"/>
              </w:rPr>
              <w:br w:type="textWrapping"/>
            </w:r>
            <w:r>
              <w:rPr>
                <w:rFonts w:hint="eastAsia"/>
                <w:sz w:val="16"/>
                <w:szCs w:val="16"/>
                <w:lang w:val="en-US" w:eastAsia="zh-CN"/>
              </w:rPr>
              <w:t>7.硬件终端支持提供直接接入鼠标、键盘进行方便快捷的控制，方便用户在不同场景灵活使用；</w:t>
            </w:r>
            <w:r>
              <w:rPr>
                <w:rFonts w:hint="eastAsia"/>
                <w:sz w:val="16"/>
                <w:szCs w:val="16"/>
                <w:lang w:val="en-US" w:eastAsia="zh-CN"/>
              </w:rPr>
              <w:br w:type="textWrapping"/>
            </w:r>
            <w:r>
              <w:rPr>
                <w:rFonts w:hint="eastAsia"/>
                <w:sz w:val="16"/>
                <w:szCs w:val="16"/>
                <w:lang w:val="en-US" w:eastAsia="zh-CN"/>
              </w:rPr>
              <w:t>8.支持1080p50/60fps、1080p25/30fps、720p50/60fps、720p 25/30fps高清图像格式，并向下兼容4CIF、CIF标清图像格式；</w:t>
            </w:r>
            <w:r>
              <w:rPr>
                <w:rFonts w:hint="eastAsia"/>
                <w:sz w:val="16"/>
                <w:szCs w:val="16"/>
                <w:lang w:val="en-US" w:eastAsia="zh-CN"/>
              </w:rPr>
              <w:br w:type="textWrapping"/>
            </w:r>
            <w:r>
              <w:rPr>
                <w:rFonts w:hint="eastAsia"/>
                <w:sz w:val="16"/>
                <w:szCs w:val="16"/>
                <w:lang w:val="en-US" w:eastAsia="zh-CN"/>
              </w:rPr>
              <w:t>9.自带高清摄像头支持1080P60fps视频图像采集，支持12倍光学变焦。</w:t>
            </w:r>
            <w:r>
              <w:rPr>
                <w:rFonts w:hint="eastAsia"/>
                <w:sz w:val="16"/>
                <w:szCs w:val="16"/>
                <w:lang w:val="en-US" w:eastAsia="zh-CN"/>
              </w:rPr>
              <w:br w:type="textWrapping"/>
            </w:r>
            <w:r>
              <w:rPr>
                <w:rFonts w:hint="eastAsia"/>
                <w:sz w:val="16"/>
                <w:szCs w:val="16"/>
                <w:highlight w:val="none"/>
                <w:lang w:val="en-US" w:eastAsia="zh-CN"/>
              </w:rPr>
              <w:t>10.</w:t>
            </w:r>
            <w:r>
              <w:rPr>
                <w:rFonts w:hint="eastAsia" w:ascii="宋体" w:hAnsi="宋体" w:eastAsia="宋体" w:cs="宋体"/>
                <w:i w:val="0"/>
                <w:iCs w:val="0"/>
                <w:color w:val="000000"/>
                <w:kern w:val="0"/>
                <w:sz w:val="16"/>
                <w:szCs w:val="16"/>
                <w:u w:val="none"/>
                <w:lang w:val="en-US" w:eastAsia="zh-CN" w:bidi="ar"/>
              </w:rPr>
              <w:t>★</w:t>
            </w:r>
            <w:r>
              <w:rPr>
                <w:rFonts w:hint="eastAsia"/>
                <w:sz w:val="16"/>
                <w:szCs w:val="16"/>
                <w:highlight w:val="none"/>
                <w:lang w:val="en-US" w:eastAsia="zh-CN"/>
              </w:rPr>
              <w:t>能与海西州国家教育考试中心MCU对接；</w:t>
            </w:r>
          </w:p>
          <w:p>
            <w:pPr>
              <w:pStyle w:val="2"/>
              <w:numPr>
                <w:ilvl w:val="0"/>
                <w:numId w:val="0"/>
              </w:numPr>
              <w:jc w:val="both"/>
              <w:rPr>
                <w:rFonts w:hint="default" w:eastAsia="宋体"/>
                <w:lang w:val="en-US" w:eastAsia="zh-CN"/>
              </w:rPr>
            </w:pPr>
            <w:r>
              <w:rPr>
                <w:rFonts w:hint="eastAsia"/>
                <w:b w:val="0"/>
                <w:bCs/>
                <w:sz w:val="16"/>
                <w:szCs w:val="16"/>
                <w:lang w:val="en-US" w:eastAsia="zh-CN"/>
              </w:rPr>
              <w:t>11.含终端会议音箱及话筒</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0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视音频线缆</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HDMI 高清视频缆,20m,黑色；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端子镀金，耐氧化，阻抗小，信号传输更稳定；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环保加厚外被，耐磨不易破裂，经久耐用。</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4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网络视频解码器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2.支持≥4路本地信号采集（最大支持4K音视频采集），提供≥9路HDMI解码输出接口；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3.本地采集信号和网络信号在融合屏上墙，整体图像完整，无错位；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4.输出接口支持3840x2160,2560x1600，1920x1080,1280x1024,1280x720,1024x768等多种显示分辨率，其中不少于6个输出接口最大支持3840x2160；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5.支持H.265/ H.264/ MPEG4/ MPEG2 /MJPEG/SVAC标准网络视频流解码，支持各种码流混合解码显示，H.265解码性能与H.264相同；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6.支持≥144个通道同时解码，支持通道任意开窗、漫游、图层叠加功能，支持预案轮巡；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7.支持1/4/9/16画面分割，支持2*2，2*3，3*2，3*3等电视墙拼接；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8.支持主动解码模式，支持远程录像文件的解码输出；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9.支持通过串口控制屏幕开关，亮度，饱和度，对比度调节，支持底色选择；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10.支持跨浏览器的WEB 3.0，同时对WEB上的配置进行调整；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11.支持≥2个10M/100M/1000M自适应以太网接口；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12.采用标准网络协议和标准压缩算法，在各种平台上轻松实现互联互通；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标准1.5U机箱，19英寸机架设计。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13.支持web端解码信息显示，包含每个通道的通道状态、分辨率、帧率、数据和解码流量；（该条参数需提供第三方检测报告证明）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14.任意一路信号可在整屏的任意位置上与其他信号源拼接漫游缩放叠加显示，图层≥18层。（该条参数需提供第三方检测报告证明）</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支持远程回放功能，能通过网络获取存储设备的音视频数据并解码输出。（该条参数需提供第三方检测报告证明）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监视器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1.面板尺寸：55英寸；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2.亮度：380cd/m²；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3.亮度等级：不低于11级；漏光应≤0.2cd/㎡；《需提供第三方权威检测机构出具的检测报告》；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4.可视角度水平状态需大于160°，垂直状态应大于160°；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5.图像质量主观评价应达到《民用闭路监视电视系统工程技术规范》（GB 50198-2011）规定的五级损伤评分等级4级以上的要求；《需提供第三方权威检测机构出具的检测报告》；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6.画面自适应功能：显示终端支持自适应，4:3；16:9、全景显示等多种显示比例；《需提供第三方权威检测机构出具的检测报告》；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7.信号输出标配：Coaxial×1、Earphone×1、内置喇叭×2；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8.信号输入标配：HDMI 2.0×3、USB 2.0×1、AV×1、Component×1；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9.支持的分辨率：3840×2160。</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6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红外高清半球摄像机</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1.符合《国家教育考试网上巡查系统视频标准技术规范（2017版）》相关技术规范；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2.采用高性能两百万像素1/2.8英寸CMOS图像传感器，低照度效果好，图像清晰度高；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3.可输出200万（1920×1080）@25fps；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4.支持H.265编码，压缩比高，超低码流；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5.最大红外监控距离30米；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6.支持走廊模式，宽动态，3D降噪，强光抑制，背光补偿，数字水印，适用不同监控环境；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7.支持ROI，SMART H.264/H.265，灵活编码，适用不同带宽和存储环境；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w:t>
            </w:r>
            <w:r>
              <w:rPr>
                <w:rFonts w:hint="eastAsia" w:ascii="宋体" w:hAnsi="宋体" w:eastAsia="宋体" w:cs="宋体"/>
                <w:b/>
                <w:bCs/>
                <w:i w:val="0"/>
                <w:iCs w:val="0"/>
                <w:color w:val="000000"/>
                <w:kern w:val="0"/>
                <w:sz w:val="16"/>
                <w:szCs w:val="16"/>
                <w:u w:val="none"/>
                <w:lang w:val="en-US" w:eastAsia="zh-CN" w:bidi="ar"/>
              </w:rPr>
              <w:t>支持多种异常检测，</w:t>
            </w:r>
            <w:r>
              <w:rPr>
                <w:rFonts w:hint="eastAsia" w:ascii="宋体" w:hAnsi="宋体" w:eastAsia="宋体" w:cs="宋体"/>
                <w:i w:val="0"/>
                <w:iCs w:val="0"/>
                <w:color w:val="000000"/>
                <w:kern w:val="0"/>
                <w:sz w:val="16"/>
                <w:szCs w:val="16"/>
                <w:u w:val="none"/>
                <w:lang w:val="en-US" w:eastAsia="zh-CN" w:bidi="ar"/>
              </w:rPr>
              <w:t>无SD卡；SD卡空间不足；SD卡出错；网络断开；IP冲突；移动检测；视频遮挡；区域入侵；绊线入侵；场景变更；音频异常侦测；非法访问；电压检测；安全异常；外部报警；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9.支持报警3进2出，音频1进1出，128G SD卡；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10.支持DC12V/POE供电方式，支持DC12V电源返送，最大电流165mA，电压值12V方便工程安装；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11.支持IP67，IK10防护等级；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12.★支持人脸区域自动曝光，根据场景和光照自动调节曝光参数，支持人脸增强功能（该条参数需提供第三方检测报告证明）。</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全向拾音器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拾音范围：5-100平方米；音频传输距离：3000米；灵敏度：-33dB；指向特性：全指向性；麦克风：震膜防潮电容咪头；</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电源适配器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输出电压 ：12V；输出电流 ：2A；输入电压 ：100-240V AC；12V/2A电源适配器</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20"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作弊防控系统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作弊防控管理平台</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1.作弊信号查看：可对考点作弊信号信息进行查看和回放；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2.作弊信号展示：可统计本次考试作弊信号频点分布情况并进行展示；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3.设备状态查看：可对系统设备的运行状态、开关状态、网络情况等信息进行查看；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4.日志查询：可记录和管理关键日志，提供日志查询、浏览等管理功能；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6.黑白名单同步：各级管理平台之间和黑白名单能够进行同步；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8.考试计划同步：考试计划能够集中管理，各级管理平台之间考试计划能够进行同步；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9.系统自检：可检测当前所辖设备的工作状态并输出自检结果信息；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10.设备升级：可通过平台对侦测服务器、高科技屏蔽终端和作弊防控管理平台相关软件进行集中升级；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12.集中控制：支持对系统设备进行集中调试、查看和管理；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13.远程控制：支持对高科技屏蔽终端进行远程开关工作模块等操作。支持集中、分组、单台等多种方式对高科技屏蔽终端进行远程控制；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14.与上级对接：可根据上级管理平台（如省级管理平台）的要求，开发数据接口，自动下载考试计划、黑白名单等，并上传作弊信号信息结果；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15.数据接口：RJ-45接口，支持与侦测服务器及高科技屏蔽终端组网；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16.可靠性：MTBF≥3000小时；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17.登录安全机制：设置密码输入错误次数上限，达到上限后将短时间内禁止登录；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18.系统备份：支持对系统关键信息进行备份。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19.保证能与省级教育考试中心作弊防控系统和综合考务平台无缝连接。</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考点级作弊侦测服务器</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1.侦测频率范围：无缝覆盖30MHz-3000MHz；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2.侦测引导阻断频率范围：50MHz-1800MHz；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3.扩展升级：支持频段扩展，应对将来新型无线电作弊信号；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4.工作模式：支持无人值守式侦测引导阻断工作模式，可完成无线电信号实时侦测、可疑信号自动采集还原和自动引导阻断；支持自动保存捕获信号文件和还原内容生成；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5.双通道：采用双通道技术，侦测扫描/引导阻断和作弊信号还原并行工作,互不影响；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6.语音信号还原能力：支持对语音类作弊信号的内容还原，包含广播电台、对讲机信号和语音作弊信号等；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7.数传信号还原能力：支持对数传类作弊信号的内容还原，包含采用FSK、LoRa等调制方式的数传作弊信号；（提供检测报告）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8.实时监听：在持续开展频谱扫描和侦测引导阻断的同时能对语音作弊信号进行实时监听；（提供检测报告）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9.背景学习：系统自动进行无线电频谱背景采集分析，并可存储多个无线电频谱背景模板供作弊信号分析使用；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10.频谱显示：可实时显示侦测频率范围内的频谱图，支持频谱显示放大缩小、测量频率与强度等操作；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11.安全加密：作弊信号答案文件存储和传输时均经过加密处理，文件脱离本系统后采用通用播放工具无法正确播放，保证涉密数据安全；（提供检测报告）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13.考试计划：可设置考试计划，在考试计划时间开始时系统自动进入工作状态，考试计划时间结束时系统自动停止工作，提供考前、考中及考后自动工作模式，实现无人值守式管理；也可支持手动操作；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14.故障检测：支持运行过程中故障自动检测并实时反馈至考点级管理平台；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15.数据上报：支持与考点级管理平台连接，支持对可疑作弊信号频点信息的平台上传及管理；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16.远程管理：支持平台远程管理，查看工作状态等；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17.数据接口：RJ-45接口，支持与考点级管理平台及高科技屏蔽终端组网；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18.可靠性：MTBF≥3000小时。（提供检测报告）</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5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屏蔽终端</w:t>
            </w:r>
          </w:p>
        </w:tc>
        <w:tc>
          <w:tcPr>
            <w:tcW w:w="317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1.阻断工作频率范围：50MHz-5850MHz；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2.侦测引导阻断频率范围：无缝覆盖50MHz-1800MHz（支持扩展）；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3.手机信号屏蔽：能够屏蔽电信、移动、联通的2G/3G/4G/5G手机信号(视当地环境手机基站＞300米时，可有效屏蔽)；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4.蓝牙/WIFI信号屏蔽：能够屏蔽2400MHz-2483.5MHz（2.4G）蓝牙信号以及2400MHz-2483.5MHz（2.4G）、5725MHz-5850MHz（5.8G）WIFI信号；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5.阻断方式：对侦测引导阻断频率范围内的专业作弊信号，采用侦测引导阻断方式，对专业作弊信号实现点对点的精准阻断；对2G/3G/4G各种制式的手机信号和蓝牙/WIFI信号采用直接阻断方式；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7.并发阻断：专业作弊信号（手机信号/WIFI/蓝牙信号通道除外）支持不少于22路并发阻断；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8.点频阻断：支持对专业作弊信号采用瞄准式点频精准阻断方式，阻断信号3dB带宽≤200KHz；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9.预设频点模式：无需侦测引导，可预置至少22路专业作弊干扰频点（手机信号/WIFI/蓝牙信号除外）进行实时阻断；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10.欺骗式干扰：具备数传作弊设备接收答案的远程清除功能；（提供检测报告）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11.批量升级：支持通过考点级管理平台对高科技屏蔽终端软件进行一键式集中批量升级；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13.温度监控：支持远程对设备的工作温度进行监控；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14.远程管理：支持通过考点级管理平台实现远程集中控制，可根据需要实现分组、单台设备的远程开关控制；可远程对工作模块进行开关控制；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15.状态上报：可向考点级管理平台上报设备工作状态、故障状态等信息；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16.扩展机制：设备具备扩展模块插槽，通过扩展模块可对系统功能和性能进行扩展升级；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17.安全设计：绝缘外壳，无金属部件裸露，避免触电、烫伤等风险；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18.一体化设计：天线和电源内置，避免触电、烫伤等风险；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19.状态显示：前面板有工作指示灯，可直观指示设备上电、模块开关、网络连通等状态；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20.隐藏式接口设计：设备开关、电源接口、网络接口均采用隐蔽式设计，设备安装完成后可视表面无任何接口、开关，避免学生误动设备对系统造成影响；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21.数据接口：RJ-45接口，支持与考点级管理平台及侦测服务器组网；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22.可靠性：MTBF≥3000小时；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23.符合国家《电磁环境控制限值(GB8702-2014)》标准；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24.符合国家《声环境质量标准（GB3096-2008）》中的零类标准。</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00"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数字化广播系统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7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控制主机</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1.采用工业级工控机机箱设计，具有≥17英寸LED液晶显示屏，支持触摸控制屏，支持1920×1080分辨率；服务器要求运载windows server 2008操作系统。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2、具备抽拉式键盘设计，以便操作；支持1路短路触发开机接口，用于实现定时驱动开机运行。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3、支持≥8×USB接口、≥1×PS/2接口、 ≥6×串口接口、≥1路HDMI和1路VGA视频输出接口、≥2路网口。 （提供接口图证明，并盖生产厂商公章）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4、配置不低于双核/四线程/2.5GHz处理器，内存配置不低于8G DDR3，采用固态硬盘容量不低于256G。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5、系统音频信号标准输入电平：LINE：300mV； MIC：5mV；系统音频信号标准输出电平：0dBV。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6、支持录音存储功能，可在后台自定义设置录音文件保存路径。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7.支持通过听学系统手机APP进行随时随地对IP广播音箱/终端进行播控功能，可实现单条内容推送、音箱音量控制与暂停/播放、播放进度条拖拉等功能。（提供功能界面截图证明，并盖生产厂商公章）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8.支持音频文件智能推送的功能，可选10分钟、30分钟、60分钟、2小时，在规定的时间内IP广播音箱/终端会自动智能推送内容开始播放。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9.支持录音信息推送、输入文本内容转语音推送、常用语信息推送到对应的单个或多个IP广播音箱/终端，支持即时推送、定时推送功能，并且可调整推送音量大小和播放次数。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10.支持通过手机APP可实时查看音箱的空闲状态、离线状态、音量大小，远程控制音箱播放内容、音量大小、进度等功能。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11.支持对IP广播音箱/终端进行播放与北京师范大学、人民教育出版社等单位合作对应版权的学科资源内容。（提供功能界面截图证明，并盖生产厂商公章）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支持对IP广播音箱/终端进行播放与语文教材同步的内容，包括：“课文朗读”6个版本，含读课文+学习园地；“字词听写”4个版本；“语文专题”含：漫步唐诗2个系列、读中学写5个系列、必背篇章6个年级、名言佳句3个系列、成语故事3个系列的内容。（提供功能界面截图证明，并盖生产厂商公章）为保证产品品质，厂家提供认证范围含音视频系统产品（许可范围内）的研发、生产、销售、上述过程相关采购的知识产权管理体系认证证书。</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326"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数字化IP网络广播客户端管理软件</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6.支持终端短路输入联动触发，可任意设置联动触发方案和触发终端数量，触发方案包括短路输出、音乐播放、巡更警报等。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8.支持多套定时打铃方案同时启用，每套定时打铃方案支持多套任务同时进行，支持一键启用/停用所有方案。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9.支持定时打铃功能，支持打铃方案克隆，任务执行与停止控制、定时任务禁用与启用功能。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10.支持定时巡更功能，支持自定义巡更任务的执行时间及重复周期，可自定义指示灯闪烁间隔时间0-30s。（提供配置界面截图，并盖设备生产厂商公章）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11.支持今日任务列表查看，轻松管理今日执行的所有定时任务信息和执行状态。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12.日志记录系统运行状态，实时记录系统运行及终端工作状态，每次呼叫、通话和广播操作均有记录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13.支持对8路功率分区终端进行功率控制分区设置，通过web页面后台或分控客户端均可设置分区。（提供功能界面截图佐证）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14.支持对终端设置时间显示配置，可设置0-6级别亮度值，可设置离线后不显示时间等模式。（提供功能界面截图佐证）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15.支持对终端设置不同的灯光模式，可分别自定义设置红灯亮、红灯灭、绿灯/蓝灯亮、绿灯/蓝灯灭时间0.1S-10S。（提供功能界面截图佐证）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16.支持配置终端冻结时间，在终端被冻结期间禁止终端执行任务，适用于考试或休息等场景。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17.支持广播、对讲、实时采集、终端监听进行录音；支持文本广播功能，可实现将文本转成语音，支持后台调整语速。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18.支持后台换肤功能，可根据喜好自由切换皮肤主题。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19.支持终端明细导出功能，支持通过表格方式导出当前系统终端的配置详情。支持批量修改定时任务的时间、执行终端。</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5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控制器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1.设备采用机柜式设计，自动实现卫星自动校时，使用地球同步卫星作为校时基准，与格林威治时间误差小于0.1秒。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2.液晶显示屏可显示时间。（需提供第三方检测结构出具的检验报告，并盖生产厂商公章）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3.支持与公共广播系统对接作为校时系统。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1.网络接口：RJ45*1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2.网络速率：100Mbps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3.网络协议：TCP/IP,UDP,IGMP(组播),IETF,SIP</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4.工作电源：市电220V(土10%)/50Hz-60Hz，电源适配器：直流电24V/1A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5.耗电量：20W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6.功率：小于3W（在不工作的情况下)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7.使用环境(温度)：从零上5℃到40℃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8.使用环境(相对湿度)：从20%到80%，不能出现露水；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9.设备尺寸:≤484mm*310mm*44mm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2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CD播放器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1.吸入式机芯；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2.自动播放控制，全数码伺服；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3.可播放：CD/VCD/MP3/DVD碟片；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4.内置宽频监听扬声器；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5.内置MP3播放器，可读USB和SD卡；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6.可通过面板按键或红外遥控器控制操作。</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1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话筒</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1.换能方式：驻极体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2.钟声提示：带钟声提示功能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3.线材配备：10米（卡农母头转6.35音频线）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4.咪杆长度 ：420mm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5.具备有灯环提示功能</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11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前置放大器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1具有≥5路话筒（MIC）输入，≥3路标准信号线路（AUX）输入，≥2路紧急线路（EMC）输入；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2.MIC 5具有最高优先、强行切入优先功能；MIC 5和EMC最高优先权限功能可通过拔动开关交替选择；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3.紧急输入线路具有二级优先，强行切入优先功能；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5.具有默音深度调节旋钮和EMC输入增益调节旋钮。</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2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IP音频采集器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1.采集设备支持将模拟音频采集编码成数字音频，具有1路RJ45网络接口，支持定时采播任务、临时采播任务功能。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2.具有≥2组RCA音频输入接口，支持音量调节功能。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3.采播任务支持3种采集音质可选，支持普通、中级、高级音质选择模式。（提供设置3种采集音质界面图佐证，并盖生产厂商公章）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1.网络接口：RJ45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2.支持协议：TCP/IP，UDP，IGMP(组播)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3.音频格式：MP3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4.传输速率：100Mbps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5.输入频率：80Hz～14KHz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6.谐波失真：≤0.3%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7.信噪比：≥68dB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8.环境温度：5℃～40℃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9.环境湿度：20%～80%相对湿度，无结露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10.功耗：≤10W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11.输入电源：DC12V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12.尺寸：≤165x156x33mm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2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寻呼话筒</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2.内置1路网络硬件音频解码模块，具有1路RJ45网络接口，100Mbps传输速率。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3.支持监听任意终端功能，内置2W全频扬声器，实现双向通话和网络监听。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4.</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支持1路音频线路输入，支持采集播放功能；具有1路音频线路输出，可外接功率放大器。（提供设备线路输入与输出接口佐证图，并盖生产厂商公章</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5.支持直接操作呼叫或对讲任意终端，支持通过话筒广播呼叫功能，广播延时低于100毫秒。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7.具有1个3.5耳机接口、1路3.5话筒输入接口。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8.具有1路短路输出接口、1路短路输入接口。（提供设备短路输入与输出接口佐证图，并盖生产厂商公章）</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2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产品用途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IP网络解码壁挂一体式音箱，适用于学校，办公楼，酒店，别墅，车站休息室等场所。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1.设备自带1路RJ45网络接口，传输速率可达100Mbps，支持TCP/IP、UDP协议；支持MP3音频格式，可实现网络化传输16位CD音质的音频信号，音频输出总谐波失真仅为1%，频率响应80Hz～16KHz；信噪比65dB。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2.内置1通道解码模块实时播放网络音频信号及系统单向呼叫功能。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3.采用嵌入式高速语音DSP处理芯片设计并结合箱体采用声音共振的原理，有效提高了声音还原的真实度。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4.自带2×20W（MAX）功率输出，可外接喇叭，并具备网络音量调节功能。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5.自带多级任务优先级配置，网络消防报警信号为最高优先等级，其次是本地的AUX为二级，最后一级是网络背景音乐。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6.当网络断开的时候可进行本地寻呼，支持没音强度调节，支持背景伴奏预设置。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7.全数字化技术，兼容多种网络结构，比如路由器、交换机、网桥网关、Modem、Internet、2G、3G、4G等设施。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8.自带1路线路输入接口，可连接本地多媒体电脑进行扩声，并且可通过音量旋钮独立调节音量大小。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9.支持依托原有网络进行部署，不需要从新单独组网。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10.支持远程维护，可在管理后台远程升级设备固件，无需返厂升级。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1.采样率：8K～48KHz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2.AUX输入灵敏度：350mV  (非平衡）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3.功率：2 x 20W（MAX）</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4.整机功耗：≤50W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5.保护电路：过载、短路保护电路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6.工作环境温度：5℃～40℃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7.工作环境湿度：20%～80%相对湿度，无结露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8.工作电源：～190V-240V 50Hz-60Hz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9.尺寸：≤190 x 180 x 280mm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54"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网络节目定时器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产品特点：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1.机柜式设计，设有十路可编辑定时控制电源，最大用电量2500W。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highlight w:val="none"/>
                <w:u w:val="none"/>
                <w:lang w:val="en-US" w:eastAsia="zh-CN" w:bidi="ar"/>
              </w:rPr>
              <w:t>2.</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highlight w:val="none"/>
                <w:u w:val="none"/>
                <w:lang w:val="en-US" w:eastAsia="zh-CN" w:bidi="ar"/>
              </w:rPr>
              <w:t>大屏幕液晶显示屏，图形化界面。可显示10路电源状态指示、日期、星期、时间、下一步程序的信息等。（提供界面截图佐证此功能，并盖生产厂商公章）</w:t>
            </w:r>
            <w:r>
              <w:rPr>
                <w:rFonts w:hint="eastAsia" w:ascii="宋体" w:hAnsi="宋体" w:eastAsia="宋体" w:cs="宋体"/>
                <w:i w:val="0"/>
                <w:iCs w:val="0"/>
                <w:color w:val="000000"/>
                <w:kern w:val="0"/>
                <w:sz w:val="16"/>
                <w:szCs w:val="16"/>
                <w:highlight w:val="red"/>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3.具备≥1路钟声输出接口，≥1路报警短路信号输入接口。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4.具备≥1路触发控制短路信号输出接口，可触发报警器等设备。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5.设有短路触发输出接口，可控制十六位电源时序器开关，扩展定时电源插座。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6.支持将一星期内某一天的程序拷贝到其它的某一天或某几天。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7.断电程序不丢失，来电自动恢复运行。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8.可进行多步编程定时控制电源。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1.工作电源：～220V/50Hz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2.工作电源功耗：45W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3.设备尺寸：≤484 x 328 x 88mm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6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IP网络音箱</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1.内置≥1路网络硬件音频解码模块,具有≥1路RJ45网络接口，100Mbps传输速率。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2.支持≥1路音频线路输入接口，具有独立的音量调节功能。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3.设备集成有数字功放，功率≥2×20W，具有1个主音箱和1个副音箱。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设备内置有主备切换检测模块，在断网或断电的故障情况下，实现自动切换到100V定压备份通道，主备切换过程无卡顿、不掉字；在通网或通电情况下，恢复主通道。（提供功能演示视频供评标查证，要求终端设备断电或断网情况下主备切换过程声音无停顿、不掉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5.设备内置2.4G无线音频模块，配备头戴式话筒，支持音量调节。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信噪比：＞65dB</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整机功耗：≤50W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 100V定压输入备份：有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 保护电路：过载、短路保护电路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 工作环境温度：5℃～40℃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 工作环境湿度：20%～80%相对湿度，无结露</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00" w:type="pct"/>
            <w:gridSpan w:val="7"/>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考场设备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320" w:leftChars="0" w:hanging="320" w:hangingChars="20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试卷保密柜</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外形尺寸：≥1850H*430D*900W；柜体板材：加厚冷轧钢板。门锁：指纹密码锁；开锁方式：指纹+钥匙、密码+钥匙、指纹+密码+钥匙；喷涂工艺：环保喷塑，静电喷涂；不易掉漆，防腐性好。产品外观：上下对开门或通体对开门。隔板数量：上一下一隔板。隔板承重：≥54KG；柜体受到敲击震动，启动噪声报警；</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134"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手持金属探测器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1.直板手持式；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2.探测方式：支持接近方式与掠过方式探测；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3.报警方式：声光同步报警，支持震动报警，在静音或嘈杂的环境中均可使用。其中声音报警为70--80dB,报警显示在光照25--100001x的环境下均可见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4.报警状态恢复：离开报警后测试物规定距离后，立即停止报警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5.灵敏度调整：支持人工线性连续调整灵敏度，可根据实际应用需求调整；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6.产品复位：具有极强抗干扰的复位键功能；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7.低电压工作：电池电压降至80%左右时，探测距离不变；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8.工作时长：使用标准电量新电池≥60小时，即每天连续工作8小时可持续使用时间≥3天;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外壳防护等级应符合GB/T4208-2017中IP31的相关技术要求；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电源内置，采用常见型号电池供电，供电电压小于或等于15V；至少能连续正常稳定工作24h而无需更换电池或重新充电；具有欠压指示功能；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探测能力：探测距离25mm（测试物：37mm*10mm*0.08mm精炼不锈钢），以1m/s的速度在测试平面上方0.5m处沿Z轴向下运动，直至接触到测试平面或贴在测试平面上，从距Z轴0.5m处开始，沿Y轴平行方向运动，报警功能均正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运动速度：0.4-1.5m/s；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报警指示：声光同步报警，支持震动报警；距探测器0.8m处声音报警大于或等于80dB；报警显示在光照25-100001x的环境下均可见，报警显示与非报警显示有区别。离开测试物规定距离后，报警指示立即停止；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通过2小时高温（40℃）、低温（0℃）试验和48小时恒定温热试验；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通过正弦振动试验，正弦波10-55Hz,速率1oct/min,振幅0.35mm,X、Y、Z三个轴向各30min；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 通过冲击试验，加速度150m/s²，六个面每个面三次冲击；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 距离大金属物大于或等于0.5m运动时，不应产生报警信号；靠近大金属物体的探测器，在离开大金属物以后1min内应能自动恢复其探测性能。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 正常工作时的可触及部位如果受到静电放电骚扰，骚扰停止后探测器能自行恢复正常工作。试验等级应不低于GB/T17626.2-2006表1中4级的要求；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 正常工作时的探测器如果受到一定场强的射频电磁场辐射骚扰，骚扰停止后探测器能自行恢复正常工作。试验等级应不低于GB/T17626.3-2016表1中2级的要求。</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349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安检门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一、功能及特点介绍: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（1）探测区内无盲区，探测区内各点探测均匀性好；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（2）精确定位：六个平均分布的独立探测区域划分，探测到目标物时，声光同时报 警，当某一区位有金属时,控制面板上的LED矩阵灯板相应位置发光,精确而直观显示目标物的位置。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（3）模块化设计：采用模块化设计，安装方便，故障易于排除。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（4）微处理器技术：控制更加灵活，通过控制面板可对全部参数进行编程预设，以满足用户的各种使用要求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（5）复合电路设计，红外装置，电脑自动识别，可有效降低误报和漏报，并能自动统计报警次数、通过人数。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（6）具有DSP信号处理数字过滤系统，有极佳的抗电磁干扰能力和较强的耐触摸和碰 撞能力，可在人多拥挤情况下正常运行。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（7）灵敏度可调节器：每个探测区们有１００个灵敏度级别，可根据探测要求调节到适当灵敏度．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（8）具有连续工作性能，任何时候不可能逃脱探测。能够自动测量和显示周围环境的干扰情况，有助于选择安装场地。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（9）密码保护设置：具有密码保护功能，只有输入正确的密码才能修改参数，非操  作人员无法改变安检门参数设置，便于管理。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（10）符合当前所采用的国际安全标准，采用弱磁声发射技术，对心脏起搏本事者，孕妇，软盘，录像带等无损害．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二、技术标准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（1）企业通过ISO9001:2008质量管理体系认证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（2）产品通过欧盟CE认证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（3）严格执行《GB 15210-1994. 通过式金属探测门通用技术条件》国家标准。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（4）基本安全：满足GB4793要求。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（5）人身安全：满足NILECJ-0601标准。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（6）辐射参照EN50081-1标准执行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三、技术参数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（1）探测程序：100级灵敏度调节，可分别满足不同场合需要。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（2）人员通过率：大于40人次／每分钟。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（3）电源：220V AC，50/60Hz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（4）功耗: 35W。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（5）工作环境：-10℃~45℃，≤95%RH。</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（6）通道尺寸：≥200（高）*68（宽）*56（深）CM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(7)外形尺寸：≥222（高）*80（宽）*67（深）CM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(8)包装尺寸：门板：230*72*25CM（2块/箱）主机箱：78*47*28CM（1个/箱）．</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400" w:type="pct"/>
            <w:gridSpan w:val="7"/>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822" w:type="pct"/>
            <w:gridSpan w:val="9"/>
            <w:tcBorders>
              <w:top w:val="single" w:color="000000" w:sz="4" w:space="0"/>
              <w:left w:val="single" w:color="000000" w:sz="4" w:space="0"/>
              <w:bottom w:val="single" w:color="000000" w:sz="4" w:space="0"/>
              <w:right w:val="nil"/>
            </w:tcBorders>
            <w:shd w:val="clear" w:color="auto" w:fill="BFBFB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KVM共享器</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1.整合19寸LCD、超薄键盘、触摸鼠标板；</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22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机柜</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1.整体机柜采用良好的配置与设计，拼接式框架，结构稳固，更利于设备安装；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2.可根据客户需求定制隔板或者导轨，隔板可上下自由调整、顶部、底部有可关闭走线槽；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3.可拆卸的前后门及左右侧门，方便安装和维修；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4.前后网孔门，方便用户观察机器设备的运行状态；高级旋转门把锁，齐全的可选配件。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5.颜色：黑色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6.尺寸：≥600mm*1000mm*2000mm.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材料和表面防护处理：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1.全部采用优质冷轧钢板制作；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2.立柱1.5mm,门板1.0mm,底盘1.0mm；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3.所有部件都经过脱脂、酸洗、防锈磷化、纯水清洗静电喷塑。</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16"/>
                <w:szCs w:val="16"/>
                <w:u w:val="none"/>
              </w:rPr>
            </w:pPr>
            <w:r>
              <w:rPr>
                <w:rFonts w:hint="eastAsia" w:ascii="新宋体" w:hAnsi="新宋体" w:eastAsia="新宋体" w:cs="新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交换机</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交换容量88Gbps；包转发率65.7Mpps；24个千兆电口，2个万兆电口 </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光模块</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光纤模式：单模；速率：GE；中心波长：1310nm；接头类型：LC；传输距离：10km</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0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单模光纤</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8芯室外单模光纤</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8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六类双绞线</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六类分屏蔽双绞线</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箱</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RVV3*2.5电源线；200m/卷。</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电源线</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RVV3*1.5电源线；200m/卷。</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0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配电箱</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规格：300mm*250mm*200mm；含两个64A 2P空气开关</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46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PVC线槽管</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#80*40规格，抗阻燃PVC线槽</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40"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PVC线槽管</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#39*18规格，抗阻燃PVC线槽</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582"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辅材</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螺丝、胶带、接线盒、插座、插线板、PVC扣件、光纤熔接材料、RJ45头等；</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77" w:type="pct"/>
          <w:trHeight w:val="619" w:hRule="atLeast"/>
        </w:trPr>
        <w:tc>
          <w:tcPr>
            <w:tcW w:w="4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5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系统集成费</w:t>
            </w:r>
          </w:p>
        </w:tc>
        <w:tc>
          <w:tcPr>
            <w:tcW w:w="3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完成上述相关硬件设备的运输、安装、调试及现场使用培训，提供现场安装调试所需的所有辅材。</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37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3"/>
          <w:wBefore w:w="177" w:type="pct"/>
          <w:wAfter w:w="409" w:type="pct"/>
          <w:trHeight w:val="480" w:hRule="atLeast"/>
        </w:trPr>
        <w:tc>
          <w:tcPr>
            <w:tcW w:w="4412" w:type="pct"/>
            <w:gridSpan w:val="6"/>
            <w:tcBorders>
              <w:top w:val="nil"/>
              <w:left w:val="nil"/>
              <w:bottom w:val="nil"/>
              <w:right w:val="nil"/>
            </w:tcBorders>
            <w:shd w:val="clear" w:color="FFFFFF" w:fill="FFFFFF"/>
            <w:vAlign w:val="center"/>
          </w:tcPr>
          <w:p>
            <w:pPr>
              <w:ind w:firstLine="0" w:firstLineChars="0"/>
              <w:rPr>
                <w:rFonts w:hint="eastAsia" w:ascii="宋体" w:hAnsi="宋体" w:cs="宋体"/>
                <w:color w:val="auto"/>
              </w:rPr>
            </w:pPr>
            <w:r>
              <w:rPr>
                <w:rFonts w:hint="eastAsia" w:ascii="宋体" w:hAnsi="宋体"/>
                <w:b/>
                <w:sz w:val="28"/>
                <w:szCs w:val="28"/>
              </w:rPr>
              <w:t>注：</w:t>
            </w:r>
            <w:r>
              <w:rPr>
                <w:rFonts w:hint="eastAsia" w:ascii="宋体" w:hAnsi="宋体" w:cs="宋体"/>
                <w:highlight w:val="red"/>
              </w:rPr>
              <w:t>★1、</w:t>
            </w:r>
            <w:r>
              <w:rPr>
                <w:rFonts w:hint="eastAsia" w:ascii="宋体" w:hAnsi="宋体" w:cs="宋体"/>
                <w:color w:val="auto"/>
                <w:highlight w:val="red"/>
                <w:lang w:eastAsia="zh-CN"/>
              </w:rPr>
              <w:t>竞争性磋商</w:t>
            </w:r>
            <w:r>
              <w:rPr>
                <w:rFonts w:hint="eastAsia" w:ascii="宋体" w:hAnsi="宋体" w:cs="宋体"/>
                <w:color w:val="auto"/>
                <w:highlight w:val="red"/>
              </w:rPr>
              <w:t>时需要提供谈判产品代理授权或制造厂家授权书原件,及售后服务承诺函；</w:t>
            </w:r>
            <w:bookmarkStart w:id="703" w:name="_GoBack"/>
            <w:bookmarkEnd w:id="703"/>
          </w:p>
          <w:p>
            <w:pPr>
              <w:spacing w:line="240" w:lineRule="auto"/>
              <w:ind w:firstLine="480"/>
              <w:rPr>
                <w:rFonts w:hint="eastAsia" w:ascii="宋体" w:hAnsi="宋体" w:cs="宋体"/>
                <w:color w:val="auto"/>
              </w:rPr>
            </w:pPr>
            <w:r>
              <w:rPr>
                <w:rFonts w:hint="eastAsia" w:ascii="宋体" w:hAnsi="宋体" w:cs="宋体"/>
                <w:color w:val="auto"/>
              </w:rPr>
              <w:t>2、中标单位需提供上门安装服务(</w:t>
            </w:r>
            <w:r>
              <w:rPr>
                <w:rFonts w:hint="eastAsia" w:ascii="宋体" w:hAnsi="宋体" w:cs="宋体"/>
                <w:color w:val="auto"/>
                <w:lang w:eastAsia="zh-CN"/>
              </w:rPr>
              <w:t>采购人指定地点</w:t>
            </w:r>
            <w:r>
              <w:rPr>
                <w:rFonts w:hint="eastAsia" w:ascii="宋体" w:hAnsi="宋体" w:cs="宋体"/>
                <w:color w:val="auto"/>
              </w:rPr>
              <w:t>)。</w:t>
            </w:r>
          </w:p>
          <w:p>
            <w:pPr>
              <w:spacing w:line="240" w:lineRule="auto"/>
              <w:ind w:firstLine="480"/>
              <w:rPr>
                <w:rFonts w:ascii="宋体" w:hAnsi="宋体" w:cs="宋体"/>
                <w:color w:val="auto"/>
              </w:rPr>
            </w:pPr>
            <w:r>
              <w:rPr>
                <w:rFonts w:hint="eastAsia" w:ascii="宋体" w:hAnsi="宋体" w:cs="宋体"/>
                <w:color w:val="auto"/>
              </w:rPr>
              <w:t>3、交货期：合同签订之日起</w:t>
            </w:r>
            <w:r>
              <w:rPr>
                <w:rFonts w:hint="eastAsia" w:ascii="宋体" w:hAnsi="宋体" w:cs="宋体"/>
                <w:color w:val="auto"/>
                <w:lang w:val="en-US" w:eastAsia="zh-CN"/>
              </w:rPr>
              <w:t>30</w:t>
            </w:r>
            <w:r>
              <w:rPr>
                <w:rFonts w:hint="eastAsia" w:ascii="宋体" w:hAnsi="宋体" w:cs="宋体"/>
                <w:color w:val="auto"/>
              </w:rPr>
              <w:t>日历日。</w:t>
            </w:r>
          </w:p>
          <w:p>
            <w:pPr>
              <w:ind w:firstLine="0" w:firstLineChars="0"/>
              <w:rPr>
                <w:rFonts w:hint="eastAsia" w:ascii="宋体" w:hAnsi="宋体"/>
                <w:b/>
                <w:color w:val="FF0000"/>
                <w:sz w:val="28"/>
                <w:szCs w:val="28"/>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pStyle w:val="2"/>
              <w:rPr>
                <w:rFonts w:hint="eastAsia" w:ascii="宋体" w:hAnsi="宋体" w:eastAsia="宋体" w:cs="宋体"/>
                <w:i w:val="0"/>
                <w:iCs w:val="0"/>
                <w:color w:val="000000"/>
                <w:kern w:val="0"/>
                <w:sz w:val="18"/>
                <w:szCs w:val="18"/>
                <w:u w:val="none"/>
                <w:lang w:val="en-US" w:eastAsia="zh-CN" w:bidi="ar"/>
              </w:rPr>
            </w:pPr>
          </w:p>
          <w:p>
            <w:pPr>
              <w:rPr>
                <w:rFonts w:hint="eastAsia" w:ascii="宋体" w:hAnsi="宋体" w:eastAsia="宋体" w:cs="宋体"/>
                <w:i w:val="0"/>
                <w:iCs w:val="0"/>
                <w:color w:val="000000"/>
                <w:kern w:val="0"/>
                <w:sz w:val="18"/>
                <w:szCs w:val="18"/>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ind w:right="420" w:firstLine="0" w:firstLineChars="0"/>
        <w:jc w:val="left"/>
        <w:rPr>
          <w:rFonts w:ascii="仿宋" w:hAnsi="仿宋" w:eastAsia="仿宋" w:cs="Times New Roman"/>
          <w:color w:val="000000" w:themeColor="text1"/>
          <w:sz w:val="24"/>
          <w:szCs w:val="24"/>
          <w14:textFill>
            <w14:solidFill>
              <w14:schemeClr w14:val="tx1"/>
            </w14:solidFill>
          </w14:textFill>
        </w:rPr>
      </w:pPr>
    </w:p>
    <w:sectPr>
      <w:footerReference r:id="rId11" w:type="default"/>
      <w:pgSz w:w="11906" w:h="16838"/>
      <w:pgMar w:top="1247"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FZLTXHKM-Identity-H">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8305" cy="2603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40</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5pt;width:32.15pt;mso-position-horizontal:center;mso-position-horizontal-relative:margin;mso-wrap-style:none;z-index:251659264;mso-width-relative:page;mso-height-relative:page;" filled="f" stroked="f" coordsize="21600,21600" o:gfxdata="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1KA4jSAAAAAwEAAA8AAAAAAAAAAQAgAAAAIgAAAGRycy9kb3ducmV2LnhtbFBLAQIUABQA&#10;AAAIAIdO4kD4loMoLwIAAFMEAAAOAAAAAAAAAAEAIAAAACEBAABkcnMvZTJvRG9jLnhtbFBLBQYA&#10;AAAABgAGAFkBAADCBQAAAAA=&#10;">
              <v:fill on="f" focussize="0,0"/>
              <v:stroke on="f" weight="0.5pt"/>
              <v:imagedata o:title=""/>
              <o:lock v:ext="edit" aspectratio="f"/>
              <v:textbox inset="0mm,0mm,0mm,0mm" style="mso-fit-shape-to-text:t;">
                <w:txbxContent>
                  <w:p>
                    <w:pPr>
                      <w:pStyle w:val="14"/>
                      <w:ind w:firstLine="42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40</w:t>
                    </w:r>
                    <w:r>
                      <w:rPr>
                        <w:rFonts w:hint="eastAsia"/>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ind w:firstLine="360"/>
      <w:jc w:val="both"/>
      <w:rPr>
        <w:rFonts w:ascii="宋体" w:hAnsi="宋体" w:cs="宋体"/>
        <w:sz w:val="15"/>
        <w:szCs w:val="15"/>
      </w:rPr>
    </w:pPr>
    <w:r>
      <w:rPr>
        <w:rFonts w:hint="eastAsia"/>
      </w:rPr>
      <w:t xml:space="preserve">                                                                  </w:t>
    </w:r>
  </w:p>
  <w:p>
    <w:pPr>
      <w:pStyle w:val="15"/>
      <w:pBdr>
        <w:bottom w:val="none" w:color="auto" w:sz="0" w:space="1"/>
      </w:pBdr>
      <w:spacing w:line="240" w:lineRule="auto"/>
      <w:ind w:firstLine="300"/>
      <w:jc w:val="both"/>
      <w:rPr>
        <w:rFonts w:ascii="宋体" w:hAnsi="宋体" w:cs="宋体"/>
        <w:sz w:val="15"/>
        <w:szCs w:val="15"/>
        <w:u w:val="single"/>
      </w:rPr>
    </w:pPr>
    <w:r>
      <w:rPr>
        <w:rFonts w:hint="eastAsia" w:ascii="宋体" w:hAnsi="宋体" w:cs="宋体"/>
        <w:sz w:val="15"/>
        <w:szCs w:val="15"/>
      </w:rPr>
      <w:t xml:space="preserve">      </w:t>
    </w:r>
  </w:p>
  <w:p>
    <w:pPr>
      <w:pStyle w:val="15"/>
      <w:pBdr>
        <w:bottom w:val="none" w:color="auto" w:sz="0" w:space="0"/>
      </w:pBdr>
      <w:spacing w:line="240" w:lineRule="auto"/>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08172"/>
    <w:multiLevelType w:val="singleLevel"/>
    <w:tmpl w:val="9B508172"/>
    <w:lvl w:ilvl="0" w:tentative="0">
      <w:start w:val="1"/>
      <w:numFmt w:val="decimal"/>
      <w:lvlText w:val="%1."/>
      <w:lvlJc w:val="left"/>
      <w:pPr>
        <w:tabs>
          <w:tab w:val="left" w:pos="312"/>
        </w:tabs>
      </w:pPr>
    </w:lvl>
  </w:abstractNum>
  <w:abstractNum w:abstractNumId="1">
    <w:nsid w:val="A5C1FF1F"/>
    <w:multiLevelType w:val="singleLevel"/>
    <w:tmpl w:val="A5C1FF1F"/>
    <w:lvl w:ilvl="0" w:tentative="0">
      <w:start w:val="1"/>
      <w:numFmt w:val="chineseCounting"/>
      <w:suff w:val="space"/>
      <w:lvlText w:val="第%1部分"/>
      <w:lvlJc w:val="left"/>
      <w:pPr>
        <w:ind w:left="1680"/>
      </w:pPr>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NWIwMzkwZTExZTZjODNiOTA5MmQzMjMwZmVkNzEifQ=="/>
  </w:docVars>
  <w:rsids>
    <w:rsidRoot w:val="6F3A01D0"/>
    <w:rsid w:val="000010AE"/>
    <w:rsid w:val="000010D2"/>
    <w:rsid w:val="00001793"/>
    <w:rsid w:val="000018A1"/>
    <w:rsid w:val="00001A28"/>
    <w:rsid w:val="00004411"/>
    <w:rsid w:val="00006063"/>
    <w:rsid w:val="00006AAA"/>
    <w:rsid w:val="00010881"/>
    <w:rsid w:val="000112F3"/>
    <w:rsid w:val="000114D4"/>
    <w:rsid w:val="0001197C"/>
    <w:rsid w:val="00013A3F"/>
    <w:rsid w:val="000143BF"/>
    <w:rsid w:val="00016F6D"/>
    <w:rsid w:val="00017497"/>
    <w:rsid w:val="00017954"/>
    <w:rsid w:val="000228AF"/>
    <w:rsid w:val="0002371A"/>
    <w:rsid w:val="00024D3C"/>
    <w:rsid w:val="0002526A"/>
    <w:rsid w:val="00026AAA"/>
    <w:rsid w:val="00030D3D"/>
    <w:rsid w:val="00031C07"/>
    <w:rsid w:val="00031EA2"/>
    <w:rsid w:val="0003270B"/>
    <w:rsid w:val="000339B6"/>
    <w:rsid w:val="00034B31"/>
    <w:rsid w:val="00040ED8"/>
    <w:rsid w:val="0004199F"/>
    <w:rsid w:val="00041C33"/>
    <w:rsid w:val="000437E2"/>
    <w:rsid w:val="00045CCE"/>
    <w:rsid w:val="00046248"/>
    <w:rsid w:val="000472CE"/>
    <w:rsid w:val="000500F1"/>
    <w:rsid w:val="00053078"/>
    <w:rsid w:val="000539BE"/>
    <w:rsid w:val="000558DB"/>
    <w:rsid w:val="000560F8"/>
    <w:rsid w:val="000576A2"/>
    <w:rsid w:val="000612E3"/>
    <w:rsid w:val="00062DA2"/>
    <w:rsid w:val="000639E8"/>
    <w:rsid w:val="0006766B"/>
    <w:rsid w:val="00070441"/>
    <w:rsid w:val="00070CC1"/>
    <w:rsid w:val="00071304"/>
    <w:rsid w:val="00071306"/>
    <w:rsid w:val="00072576"/>
    <w:rsid w:val="0007349C"/>
    <w:rsid w:val="0007491A"/>
    <w:rsid w:val="00076527"/>
    <w:rsid w:val="00076B79"/>
    <w:rsid w:val="00077347"/>
    <w:rsid w:val="000858E9"/>
    <w:rsid w:val="00085C2F"/>
    <w:rsid w:val="00085EBD"/>
    <w:rsid w:val="0009171A"/>
    <w:rsid w:val="000920A8"/>
    <w:rsid w:val="00095FFA"/>
    <w:rsid w:val="000961F6"/>
    <w:rsid w:val="00096AF3"/>
    <w:rsid w:val="00096B73"/>
    <w:rsid w:val="00097BB8"/>
    <w:rsid w:val="000A0ED3"/>
    <w:rsid w:val="000A275C"/>
    <w:rsid w:val="000A2BDC"/>
    <w:rsid w:val="000A559F"/>
    <w:rsid w:val="000A75A3"/>
    <w:rsid w:val="000B0970"/>
    <w:rsid w:val="000B0A8D"/>
    <w:rsid w:val="000B1339"/>
    <w:rsid w:val="000B2DE4"/>
    <w:rsid w:val="000B3C0A"/>
    <w:rsid w:val="000B5001"/>
    <w:rsid w:val="000C0345"/>
    <w:rsid w:val="000C1BBE"/>
    <w:rsid w:val="000C23DD"/>
    <w:rsid w:val="000C2795"/>
    <w:rsid w:val="000C3372"/>
    <w:rsid w:val="000C3470"/>
    <w:rsid w:val="000C6156"/>
    <w:rsid w:val="000C7BD1"/>
    <w:rsid w:val="000C7CAD"/>
    <w:rsid w:val="000D0F78"/>
    <w:rsid w:val="000D1874"/>
    <w:rsid w:val="000D290E"/>
    <w:rsid w:val="000D294E"/>
    <w:rsid w:val="000D6399"/>
    <w:rsid w:val="000D783A"/>
    <w:rsid w:val="000E0883"/>
    <w:rsid w:val="000E1BBF"/>
    <w:rsid w:val="000E39A6"/>
    <w:rsid w:val="000E3C38"/>
    <w:rsid w:val="000E4BA1"/>
    <w:rsid w:val="000F0271"/>
    <w:rsid w:val="000F075A"/>
    <w:rsid w:val="000F119B"/>
    <w:rsid w:val="000F1A81"/>
    <w:rsid w:val="000F2AC3"/>
    <w:rsid w:val="000F344E"/>
    <w:rsid w:val="000F43EE"/>
    <w:rsid w:val="000F4455"/>
    <w:rsid w:val="000F622A"/>
    <w:rsid w:val="000F7436"/>
    <w:rsid w:val="0010158E"/>
    <w:rsid w:val="001016DB"/>
    <w:rsid w:val="00101D30"/>
    <w:rsid w:val="001022E0"/>
    <w:rsid w:val="001026E4"/>
    <w:rsid w:val="00103379"/>
    <w:rsid w:val="001038B4"/>
    <w:rsid w:val="00103B35"/>
    <w:rsid w:val="00104A9C"/>
    <w:rsid w:val="0010500C"/>
    <w:rsid w:val="001077A5"/>
    <w:rsid w:val="001106A2"/>
    <w:rsid w:val="001131E0"/>
    <w:rsid w:val="0011384B"/>
    <w:rsid w:val="00114076"/>
    <w:rsid w:val="001160B9"/>
    <w:rsid w:val="00116632"/>
    <w:rsid w:val="00116DD9"/>
    <w:rsid w:val="0011729F"/>
    <w:rsid w:val="00120506"/>
    <w:rsid w:val="001223C3"/>
    <w:rsid w:val="001230CB"/>
    <w:rsid w:val="00123494"/>
    <w:rsid w:val="001235CF"/>
    <w:rsid w:val="001242FB"/>
    <w:rsid w:val="00124D12"/>
    <w:rsid w:val="00124E54"/>
    <w:rsid w:val="0012538F"/>
    <w:rsid w:val="001305DD"/>
    <w:rsid w:val="00130FAF"/>
    <w:rsid w:val="00132878"/>
    <w:rsid w:val="001330E1"/>
    <w:rsid w:val="00134238"/>
    <w:rsid w:val="001357A4"/>
    <w:rsid w:val="00141184"/>
    <w:rsid w:val="00144360"/>
    <w:rsid w:val="00144C79"/>
    <w:rsid w:val="0014635F"/>
    <w:rsid w:val="0014667B"/>
    <w:rsid w:val="00146BF9"/>
    <w:rsid w:val="001514EA"/>
    <w:rsid w:val="00151FAF"/>
    <w:rsid w:val="001546E0"/>
    <w:rsid w:val="00154CE8"/>
    <w:rsid w:val="001552A9"/>
    <w:rsid w:val="001554D3"/>
    <w:rsid w:val="00157BFB"/>
    <w:rsid w:val="00157F4F"/>
    <w:rsid w:val="00157FC7"/>
    <w:rsid w:val="00160A98"/>
    <w:rsid w:val="0016107C"/>
    <w:rsid w:val="00166ACA"/>
    <w:rsid w:val="001705A4"/>
    <w:rsid w:val="00172A5F"/>
    <w:rsid w:val="00176415"/>
    <w:rsid w:val="001776B6"/>
    <w:rsid w:val="00177972"/>
    <w:rsid w:val="001806D4"/>
    <w:rsid w:val="001817CC"/>
    <w:rsid w:val="00182711"/>
    <w:rsid w:val="00182DFE"/>
    <w:rsid w:val="00182EA1"/>
    <w:rsid w:val="00184392"/>
    <w:rsid w:val="001846C5"/>
    <w:rsid w:val="0019058B"/>
    <w:rsid w:val="001915B6"/>
    <w:rsid w:val="00192C4B"/>
    <w:rsid w:val="001937F6"/>
    <w:rsid w:val="00194673"/>
    <w:rsid w:val="001959D4"/>
    <w:rsid w:val="00195F79"/>
    <w:rsid w:val="001965A5"/>
    <w:rsid w:val="00196657"/>
    <w:rsid w:val="001A0BE3"/>
    <w:rsid w:val="001A1970"/>
    <w:rsid w:val="001A264A"/>
    <w:rsid w:val="001A3F79"/>
    <w:rsid w:val="001A46F8"/>
    <w:rsid w:val="001A6298"/>
    <w:rsid w:val="001A7235"/>
    <w:rsid w:val="001A72B4"/>
    <w:rsid w:val="001A74D8"/>
    <w:rsid w:val="001B084C"/>
    <w:rsid w:val="001B1AB9"/>
    <w:rsid w:val="001B262E"/>
    <w:rsid w:val="001B37D9"/>
    <w:rsid w:val="001B49C8"/>
    <w:rsid w:val="001B4DAF"/>
    <w:rsid w:val="001B57F3"/>
    <w:rsid w:val="001B6287"/>
    <w:rsid w:val="001B7ABA"/>
    <w:rsid w:val="001C0111"/>
    <w:rsid w:val="001C15A1"/>
    <w:rsid w:val="001C257B"/>
    <w:rsid w:val="001C2647"/>
    <w:rsid w:val="001C316E"/>
    <w:rsid w:val="001C5B3A"/>
    <w:rsid w:val="001C7549"/>
    <w:rsid w:val="001D02B5"/>
    <w:rsid w:val="001D0342"/>
    <w:rsid w:val="001D321F"/>
    <w:rsid w:val="001D32CF"/>
    <w:rsid w:val="001D4889"/>
    <w:rsid w:val="001D6A6B"/>
    <w:rsid w:val="001D785A"/>
    <w:rsid w:val="001E15A5"/>
    <w:rsid w:val="001E1860"/>
    <w:rsid w:val="001E20FB"/>
    <w:rsid w:val="001E287B"/>
    <w:rsid w:val="001E3358"/>
    <w:rsid w:val="001E35B5"/>
    <w:rsid w:val="001E6198"/>
    <w:rsid w:val="001F0374"/>
    <w:rsid w:val="001F1219"/>
    <w:rsid w:val="001F45E6"/>
    <w:rsid w:val="001F4F26"/>
    <w:rsid w:val="001F573A"/>
    <w:rsid w:val="001F6B1C"/>
    <w:rsid w:val="00200FC3"/>
    <w:rsid w:val="002017D5"/>
    <w:rsid w:val="00203DE6"/>
    <w:rsid w:val="0020603E"/>
    <w:rsid w:val="002069C0"/>
    <w:rsid w:val="00206F86"/>
    <w:rsid w:val="00207390"/>
    <w:rsid w:val="00210144"/>
    <w:rsid w:val="00211267"/>
    <w:rsid w:val="00211E42"/>
    <w:rsid w:val="0021268C"/>
    <w:rsid w:val="00212DCF"/>
    <w:rsid w:val="00213BF8"/>
    <w:rsid w:val="00214153"/>
    <w:rsid w:val="0021447D"/>
    <w:rsid w:val="00215A89"/>
    <w:rsid w:val="00216390"/>
    <w:rsid w:val="00220852"/>
    <w:rsid w:val="00224DB6"/>
    <w:rsid w:val="002260DE"/>
    <w:rsid w:val="0022754C"/>
    <w:rsid w:val="00227ECE"/>
    <w:rsid w:val="0023054E"/>
    <w:rsid w:val="002326A9"/>
    <w:rsid w:val="00232AAD"/>
    <w:rsid w:val="00234134"/>
    <w:rsid w:val="00234A01"/>
    <w:rsid w:val="0024056C"/>
    <w:rsid w:val="00240A60"/>
    <w:rsid w:val="00240B0C"/>
    <w:rsid w:val="00240FD4"/>
    <w:rsid w:val="00242819"/>
    <w:rsid w:val="0024550E"/>
    <w:rsid w:val="00245514"/>
    <w:rsid w:val="002457E2"/>
    <w:rsid w:val="0024631D"/>
    <w:rsid w:val="00247063"/>
    <w:rsid w:val="0025053E"/>
    <w:rsid w:val="00253F37"/>
    <w:rsid w:val="00256EF3"/>
    <w:rsid w:val="002601E0"/>
    <w:rsid w:val="002608BD"/>
    <w:rsid w:val="00261C32"/>
    <w:rsid w:val="0026262A"/>
    <w:rsid w:val="00262784"/>
    <w:rsid w:val="00262891"/>
    <w:rsid w:val="002634B7"/>
    <w:rsid w:val="00265B91"/>
    <w:rsid w:val="002666BE"/>
    <w:rsid w:val="002668F1"/>
    <w:rsid w:val="00266FA2"/>
    <w:rsid w:val="002672D0"/>
    <w:rsid w:val="002705AB"/>
    <w:rsid w:val="00270A28"/>
    <w:rsid w:val="00270F1E"/>
    <w:rsid w:val="00273C35"/>
    <w:rsid w:val="00283DB9"/>
    <w:rsid w:val="00283E6C"/>
    <w:rsid w:val="002875AC"/>
    <w:rsid w:val="00287A2A"/>
    <w:rsid w:val="00290049"/>
    <w:rsid w:val="00294006"/>
    <w:rsid w:val="002970C9"/>
    <w:rsid w:val="002A00C1"/>
    <w:rsid w:val="002A136D"/>
    <w:rsid w:val="002A1B4E"/>
    <w:rsid w:val="002A581A"/>
    <w:rsid w:val="002A6A50"/>
    <w:rsid w:val="002A7445"/>
    <w:rsid w:val="002A7842"/>
    <w:rsid w:val="002B30A4"/>
    <w:rsid w:val="002B4EA2"/>
    <w:rsid w:val="002B56A7"/>
    <w:rsid w:val="002B5B67"/>
    <w:rsid w:val="002B74B7"/>
    <w:rsid w:val="002B789E"/>
    <w:rsid w:val="002C3A20"/>
    <w:rsid w:val="002C5D0F"/>
    <w:rsid w:val="002C673D"/>
    <w:rsid w:val="002C71E7"/>
    <w:rsid w:val="002C758D"/>
    <w:rsid w:val="002C78FC"/>
    <w:rsid w:val="002D15C6"/>
    <w:rsid w:val="002D1CE1"/>
    <w:rsid w:val="002D2A68"/>
    <w:rsid w:val="002D2D6D"/>
    <w:rsid w:val="002D39B2"/>
    <w:rsid w:val="002D6DAB"/>
    <w:rsid w:val="002D6DCC"/>
    <w:rsid w:val="002E06F4"/>
    <w:rsid w:val="002E0E9D"/>
    <w:rsid w:val="002E12AC"/>
    <w:rsid w:val="002E1A72"/>
    <w:rsid w:val="002E1F9E"/>
    <w:rsid w:val="002E2AB5"/>
    <w:rsid w:val="002E6660"/>
    <w:rsid w:val="002E6C3B"/>
    <w:rsid w:val="002F021D"/>
    <w:rsid w:val="002F1EC1"/>
    <w:rsid w:val="002F2A42"/>
    <w:rsid w:val="002F4972"/>
    <w:rsid w:val="002F7C6B"/>
    <w:rsid w:val="00301EAA"/>
    <w:rsid w:val="003038A3"/>
    <w:rsid w:val="0030518E"/>
    <w:rsid w:val="0030605D"/>
    <w:rsid w:val="0031136B"/>
    <w:rsid w:val="00311C7A"/>
    <w:rsid w:val="00312C60"/>
    <w:rsid w:val="00312E29"/>
    <w:rsid w:val="00314825"/>
    <w:rsid w:val="0032212C"/>
    <w:rsid w:val="00324913"/>
    <w:rsid w:val="00326F85"/>
    <w:rsid w:val="00330682"/>
    <w:rsid w:val="00333BF4"/>
    <w:rsid w:val="00337533"/>
    <w:rsid w:val="00340776"/>
    <w:rsid w:val="003422E4"/>
    <w:rsid w:val="00345BB0"/>
    <w:rsid w:val="00346A16"/>
    <w:rsid w:val="00347259"/>
    <w:rsid w:val="0034737A"/>
    <w:rsid w:val="00350363"/>
    <w:rsid w:val="00350B4E"/>
    <w:rsid w:val="0035127C"/>
    <w:rsid w:val="0035427A"/>
    <w:rsid w:val="003552A4"/>
    <w:rsid w:val="00360412"/>
    <w:rsid w:val="003608B9"/>
    <w:rsid w:val="00361C92"/>
    <w:rsid w:val="00363301"/>
    <w:rsid w:val="00367987"/>
    <w:rsid w:val="00371372"/>
    <w:rsid w:val="0037163E"/>
    <w:rsid w:val="003727B3"/>
    <w:rsid w:val="00372989"/>
    <w:rsid w:val="0037333C"/>
    <w:rsid w:val="00373435"/>
    <w:rsid w:val="003739C8"/>
    <w:rsid w:val="003751CD"/>
    <w:rsid w:val="0037648D"/>
    <w:rsid w:val="00377AD4"/>
    <w:rsid w:val="0038230A"/>
    <w:rsid w:val="00382414"/>
    <w:rsid w:val="00383965"/>
    <w:rsid w:val="00384589"/>
    <w:rsid w:val="00384F44"/>
    <w:rsid w:val="00386A2E"/>
    <w:rsid w:val="003873A3"/>
    <w:rsid w:val="003874DF"/>
    <w:rsid w:val="003878C8"/>
    <w:rsid w:val="003908C3"/>
    <w:rsid w:val="00390945"/>
    <w:rsid w:val="00391E6A"/>
    <w:rsid w:val="00394266"/>
    <w:rsid w:val="00395203"/>
    <w:rsid w:val="003959C0"/>
    <w:rsid w:val="00395FB2"/>
    <w:rsid w:val="003A0FFF"/>
    <w:rsid w:val="003A1800"/>
    <w:rsid w:val="003A1E10"/>
    <w:rsid w:val="003A2515"/>
    <w:rsid w:val="003A31AC"/>
    <w:rsid w:val="003A436E"/>
    <w:rsid w:val="003A76BB"/>
    <w:rsid w:val="003B0208"/>
    <w:rsid w:val="003B1C46"/>
    <w:rsid w:val="003B2DF5"/>
    <w:rsid w:val="003B6BD4"/>
    <w:rsid w:val="003B739D"/>
    <w:rsid w:val="003B779F"/>
    <w:rsid w:val="003C018C"/>
    <w:rsid w:val="003C1664"/>
    <w:rsid w:val="003C343F"/>
    <w:rsid w:val="003C4228"/>
    <w:rsid w:val="003C43BD"/>
    <w:rsid w:val="003C5823"/>
    <w:rsid w:val="003C5892"/>
    <w:rsid w:val="003C75CD"/>
    <w:rsid w:val="003C7EBB"/>
    <w:rsid w:val="003D0A55"/>
    <w:rsid w:val="003D10CB"/>
    <w:rsid w:val="003D114E"/>
    <w:rsid w:val="003D1754"/>
    <w:rsid w:val="003D206D"/>
    <w:rsid w:val="003D31C6"/>
    <w:rsid w:val="003D40FD"/>
    <w:rsid w:val="003D4542"/>
    <w:rsid w:val="003D476E"/>
    <w:rsid w:val="003D5291"/>
    <w:rsid w:val="003D55B7"/>
    <w:rsid w:val="003D5AB3"/>
    <w:rsid w:val="003D5DF0"/>
    <w:rsid w:val="003D6E50"/>
    <w:rsid w:val="003D6F1E"/>
    <w:rsid w:val="003D7754"/>
    <w:rsid w:val="003E1ECF"/>
    <w:rsid w:val="003E3885"/>
    <w:rsid w:val="003E4ECD"/>
    <w:rsid w:val="003E6B92"/>
    <w:rsid w:val="003F0BE8"/>
    <w:rsid w:val="003F23C3"/>
    <w:rsid w:val="003F4EBF"/>
    <w:rsid w:val="003F551A"/>
    <w:rsid w:val="003F5582"/>
    <w:rsid w:val="003F5700"/>
    <w:rsid w:val="004012D0"/>
    <w:rsid w:val="004028A5"/>
    <w:rsid w:val="00404C1F"/>
    <w:rsid w:val="004078B7"/>
    <w:rsid w:val="00410959"/>
    <w:rsid w:val="00411537"/>
    <w:rsid w:val="00413172"/>
    <w:rsid w:val="004140C3"/>
    <w:rsid w:val="00416B63"/>
    <w:rsid w:val="00417ABE"/>
    <w:rsid w:val="0042431D"/>
    <w:rsid w:val="004267C1"/>
    <w:rsid w:val="00426E0C"/>
    <w:rsid w:val="004272DD"/>
    <w:rsid w:val="00427436"/>
    <w:rsid w:val="00427810"/>
    <w:rsid w:val="00427C03"/>
    <w:rsid w:val="00427D4C"/>
    <w:rsid w:val="00430CE1"/>
    <w:rsid w:val="00432876"/>
    <w:rsid w:val="00432C68"/>
    <w:rsid w:val="00434446"/>
    <w:rsid w:val="0043539C"/>
    <w:rsid w:val="00441D71"/>
    <w:rsid w:val="0044220B"/>
    <w:rsid w:val="004435AA"/>
    <w:rsid w:val="004458D6"/>
    <w:rsid w:val="0044679C"/>
    <w:rsid w:val="00446A9B"/>
    <w:rsid w:val="00447EBB"/>
    <w:rsid w:val="00451C94"/>
    <w:rsid w:val="00451EC9"/>
    <w:rsid w:val="00453997"/>
    <w:rsid w:val="0045634F"/>
    <w:rsid w:val="0045648F"/>
    <w:rsid w:val="00456DC7"/>
    <w:rsid w:val="00460226"/>
    <w:rsid w:val="004604C9"/>
    <w:rsid w:val="004611A8"/>
    <w:rsid w:val="00461A5A"/>
    <w:rsid w:val="00463225"/>
    <w:rsid w:val="00463695"/>
    <w:rsid w:val="0046388D"/>
    <w:rsid w:val="0046546B"/>
    <w:rsid w:val="004708D4"/>
    <w:rsid w:val="004724D2"/>
    <w:rsid w:val="0047290F"/>
    <w:rsid w:val="0047373B"/>
    <w:rsid w:val="00475031"/>
    <w:rsid w:val="00476B6B"/>
    <w:rsid w:val="00477CF6"/>
    <w:rsid w:val="00482823"/>
    <w:rsid w:val="00483213"/>
    <w:rsid w:val="00484ADF"/>
    <w:rsid w:val="00486243"/>
    <w:rsid w:val="00487643"/>
    <w:rsid w:val="00487F17"/>
    <w:rsid w:val="00490347"/>
    <w:rsid w:val="0049056C"/>
    <w:rsid w:val="00490DCF"/>
    <w:rsid w:val="004923EE"/>
    <w:rsid w:val="0049304B"/>
    <w:rsid w:val="00493E72"/>
    <w:rsid w:val="00495681"/>
    <w:rsid w:val="0049659C"/>
    <w:rsid w:val="004A034C"/>
    <w:rsid w:val="004A055B"/>
    <w:rsid w:val="004A0D64"/>
    <w:rsid w:val="004A135C"/>
    <w:rsid w:val="004A2234"/>
    <w:rsid w:val="004A35C4"/>
    <w:rsid w:val="004A3C84"/>
    <w:rsid w:val="004A3D9F"/>
    <w:rsid w:val="004A6921"/>
    <w:rsid w:val="004A6F57"/>
    <w:rsid w:val="004A718E"/>
    <w:rsid w:val="004A79F5"/>
    <w:rsid w:val="004B0FBB"/>
    <w:rsid w:val="004B402E"/>
    <w:rsid w:val="004B5826"/>
    <w:rsid w:val="004B6FFB"/>
    <w:rsid w:val="004B7905"/>
    <w:rsid w:val="004C3198"/>
    <w:rsid w:val="004C3561"/>
    <w:rsid w:val="004C4A58"/>
    <w:rsid w:val="004C5A48"/>
    <w:rsid w:val="004C6627"/>
    <w:rsid w:val="004C669F"/>
    <w:rsid w:val="004C6B81"/>
    <w:rsid w:val="004C6F29"/>
    <w:rsid w:val="004C734B"/>
    <w:rsid w:val="004C79FA"/>
    <w:rsid w:val="004D076C"/>
    <w:rsid w:val="004D1F08"/>
    <w:rsid w:val="004D2BB3"/>
    <w:rsid w:val="004D2F81"/>
    <w:rsid w:val="004D3D0F"/>
    <w:rsid w:val="004D47AE"/>
    <w:rsid w:val="004D5D81"/>
    <w:rsid w:val="004D6416"/>
    <w:rsid w:val="004D70B4"/>
    <w:rsid w:val="004D7EF9"/>
    <w:rsid w:val="004E0BAB"/>
    <w:rsid w:val="004E2627"/>
    <w:rsid w:val="004E4289"/>
    <w:rsid w:val="004F03CA"/>
    <w:rsid w:val="004F0E46"/>
    <w:rsid w:val="004F259A"/>
    <w:rsid w:val="004F3810"/>
    <w:rsid w:val="004F3A71"/>
    <w:rsid w:val="004F4551"/>
    <w:rsid w:val="004F4D5E"/>
    <w:rsid w:val="004F6363"/>
    <w:rsid w:val="004F7AE8"/>
    <w:rsid w:val="005009F0"/>
    <w:rsid w:val="00500C1C"/>
    <w:rsid w:val="00500FD4"/>
    <w:rsid w:val="00501F30"/>
    <w:rsid w:val="005022EF"/>
    <w:rsid w:val="00502F6A"/>
    <w:rsid w:val="005054EC"/>
    <w:rsid w:val="0050794E"/>
    <w:rsid w:val="0051137A"/>
    <w:rsid w:val="0051171B"/>
    <w:rsid w:val="0051181B"/>
    <w:rsid w:val="00511AC1"/>
    <w:rsid w:val="00513CFF"/>
    <w:rsid w:val="005140E0"/>
    <w:rsid w:val="00515CA8"/>
    <w:rsid w:val="0051628C"/>
    <w:rsid w:val="005173D5"/>
    <w:rsid w:val="0051760B"/>
    <w:rsid w:val="00517A51"/>
    <w:rsid w:val="00522DAF"/>
    <w:rsid w:val="00524058"/>
    <w:rsid w:val="005256F0"/>
    <w:rsid w:val="00527343"/>
    <w:rsid w:val="0053106B"/>
    <w:rsid w:val="0053197A"/>
    <w:rsid w:val="00532190"/>
    <w:rsid w:val="005335C2"/>
    <w:rsid w:val="0053367E"/>
    <w:rsid w:val="00534A51"/>
    <w:rsid w:val="005351FC"/>
    <w:rsid w:val="00535E3E"/>
    <w:rsid w:val="00540A4B"/>
    <w:rsid w:val="005412AC"/>
    <w:rsid w:val="00541AB3"/>
    <w:rsid w:val="00541CC1"/>
    <w:rsid w:val="00541DE4"/>
    <w:rsid w:val="00547098"/>
    <w:rsid w:val="00550D55"/>
    <w:rsid w:val="005513FC"/>
    <w:rsid w:val="00553025"/>
    <w:rsid w:val="00553E4C"/>
    <w:rsid w:val="005542E6"/>
    <w:rsid w:val="00555BF9"/>
    <w:rsid w:val="00560D0B"/>
    <w:rsid w:val="00563748"/>
    <w:rsid w:val="00563B8B"/>
    <w:rsid w:val="00563EA2"/>
    <w:rsid w:val="00565530"/>
    <w:rsid w:val="00566387"/>
    <w:rsid w:val="00567F3C"/>
    <w:rsid w:val="00570557"/>
    <w:rsid w:val="0057065E"/>
    <w:rsid w:val="00572284"/>
    <w:rsid w:val="00572311"/>
    <w:rsid w:val="00572B34"/>
    <w:rsid w:val="00572CF3"/>
    <w:rsid w:val="00573B6D"/>
    <w:rsid w:val="00575BE8"/>
    <w:rsid w:val="00575DCD"/>
    <w:rsid w:val="00576D1A"/>
    <w:rsid w:val="00577AF7"/>
    <w:rsid w:val="00577DF9"/>
    <w:rsid w:val="00580D55"/>
    <w:rsid w:val="005831B1"/>
    <w:rsid w:val="00583E70"/>
    <w:rsid w:val="00584A8F"/>
    <w:rsid w:val="00584C01"/>
    <w:rsid w:val="00585598"/>
    <w:rsid w:val="00586F0F"/>
    <w:rsid w:val="00590544"/>
    <w:rsid w:val="005907B6"/>
    <w:rsid w:val="00591111"/>
    <w:rsid w:val="00591260"/>
    <w:rsid w:val="0059209F"/>
    <w:rsid w:val="00594786"/>
    <w:rsid w:val="005956AD"/>
    <w:rsid w:val="00595E96"/>
    <w:rsid w:val="0059695D"/>
    <w:rsid w:val="005A00DD"/>
    <w:rsid w:val="005A0E0E"/>
    <w:rsid w:val="005A250A"/>
    <w:rsid w:val="005A3A00"/>
    <w:rsid w:val="005A3A3B"/>
    <w:rsid w:val="005B042C"/>
    <w:rsid w:val="005B1CCA"/>
    <w:rsid w:val="005B1EB7"/>
    <w:rsid w:val="005B1EBD"/>
    <w:rsid w:val="005B3BB3"/>
    <w:rsid w:val="005B3DE3"/>
    <w:rsid w:val="005B450D"/>
    <w:rsid w:val="005B5362"/>
    <w:rsid w:val="005B5368"/>
    <w:rsid w:val="005B54A3"/>
    <w:rsid w:val="005B7228"/>
    <w:rsid w:val="005B7D91"/>
    <w:rsid w:val="005C1050"/>
    <w:rsid w:val="005C4F3D"/>
    <w:rsid w:val="005C54C6"/>
    <w:rsid w:val="005C6433"/>
    <w:rsid w:val="005C6B39"/>
    <w:rsid w:val="005D0467"/>
    <w:rsid w:val="005D20B4"/>
    <w:rsid w:val="005D2C82"/>
    <w:rsid w:val="005D39D7"/>
    <w:rsid w:val="005D44A3"/>
    <w:rsid w:val="005D588B"/>
    <w:rsid w:val="005D655F"/>
    <w:rsid w:val="005D77AE"/>
    <w:rsid w:val="005D7DBF"/>
    <w:rsid w:val="005E134E"/>
    <w:rsid w:val="005E2A82"/>
    <w:rsid w:val="005E323F"/>
    <w:rsid w:val="005E5B40"/>
    <w:rsid w:val="005F04C7"/>
    <w:rsid w:val="005F148A"/>
    <w:rsid w:val="005F20A2"/>
    <w:rsid w:val="005F244C"/>
    <w:rsid w:val="005F519F"/>
    <w:rsid w:val="005F6130"/>
    <w:rsid w:val="00601A46"/>
    <w:rsid w:val="006067E1"/>
    <w:rsid w:val="006067FF"/>
    <w:rsid w:val="00607816"/>
    <w:rsid w:val="00613E66"/>
    <w:rsid w:val="00613FE5"/>
    <w:rsid w:val="00614292"/>
    <w:rsid w:val="00614E2B"/>
    <w:rsid w:val="0061523D"/>
    <w:rsid w:val="0061790E"/>
    <w:rsid w:val="00620626"/>
    <w:rsid w:val="00620771"/>
    <w:rsid w:val="006210CA"/>
    <w:rsid w:val="00623201"/>
    <w:rsid w:val="00624094"/>
    <w:rsid w:val="00624187"/>
    <w:rsid w:val="0062490B"/>
    <w:rsid w:val="00624D18"/>
    <w:rsid w:val="00625244"/>
    <w:rsid w:val="00625E7F"/>
    <w:rsid w:val="006262B2"/>
    <w:rsid w:val="00626878"/>
    <w:rsid w:val="00632C75"/>
    <w:rsid w:val="00632F7A"/>
    <w:rsid w:val="00634D7C"/>
    <w:rsid w:val="00640719"/>
    <w:rsid w:val="00640D66"/>
    <w:rsid w:val="00650D9D"/>
    <w:rsid w:val="00650E68"/>
    <w:rsid w:val="00651674"/>
    <w:rsid w:val="00651F55"/>
    <w:rsid w:val="00653A0F"/>
    <w:rsid w:val="00653C29"/>
    <w:rsid w:val="00660422"/>
    <w:rsid w:val="00661E68"/>
    <w:rsid w:val="00662F72"/>
    <w:rsid w:val="00667A6E"/>
    <w:rsid w:val="00670E56"/>
    <w:rsid w:val="00671BFF"/>
    <w:rsid w:val="006724DA"/>
    <w:rsid w:val="0068145F"/>
    <w:rsid w:val="00681F0D"/>
    <w:rsid w:val="0068423C"/>
    <w:rsid w:val="00684C34"/>
    <w:rsid w:val="00686C16"/>
    <w:rsid w:val="00686C84"/>
    <w:rsid w:val="00687B1C"/>
    <w:rsid w:val="006933E6"/>
    <w:rsid w:val="00694261"/>
    <w:rsid w:val="006959CE"/>
    <w:rsid w:val="00695CE5"/>
    <w:rsid w:val="006A174D"/>
    <w:rsid w:val="006A2628"/>
    <w:rsid w:val="006A4827"/>
    <w:rsid w:val="006A5635"/>
    <w:rsid w:val="006A5E7C"/>
    <w:rsid w:val="006A71A9"/>
    <w:rsid w:val="006A73F3"/>
    <w:rsid w:val="006A75F9"/>
    <w:rsid w:val="006A7864"/>
    <w:rsid w:val="006B070D"/>
    <w:rsid w:val="006B0B8B"/>
    <w:rsid w:val="006B0F5A"/>
    <w:rsid w:val="006B174E"/>
    <w:rsid w:val="006B1913"/>
    <w:rsid w:val="006B1FEF"/>
    <w:rsid w:val="006B42BD"/>
    <w:rsid w:val="006B7ABE"/>
    <w:rsid w:val="006B7FFC"/>
    <w:rsid w:val="006C20BB"/>
    <w:rsid w:val="006C337E"/>
    <w:rsid w:val="006C4DDD"/>
    <w:rsid w:val="006C5B8E"/>
    <w:rsid w:val="006D4628"/>
    <w:rsid w:val="006D47CD"/>
    <w:rsid w:val="006D4CE5"/>
    <w:rsid w:val="006D5153"/>
    <w:rsid w:val="006D6CB0"/>
    <w:rsid w:val="006E053C"/>
    <w:rsid w:val="006E083F"/>
    <w:rsid w:val="006E1363"/>
    <w:rsid w:val="006E19B4"/>
    <w:rsid w:val="006E1D48"/>
    <w:rsid w:val="006E276D"/>
    <w:rsid w:val="006E29CB"/>
    <w:rsid w:val="006E3483"/>
    <w:rsid w:val="006E3EBE"/>
    <w:rsid w:val="006E6592"/>
    <w:rsid w:val="006E793A"/>
    <w:rsid w:val="006E7B66"/>
    <w:rsid w:val="006F00B0"/>
    <w:rsid w:val="006F1430"/>
    <w:rsid w:val="006F20CE"/>
    <w:rsid w:val="006F250C"/>
    <w:rsid w:val="006F2555"/>
    <w:rsid w:val="006F258A"/>
    <w:rsid w:val="006F4481"/>
    <w:rsid w:val="006F74C0"/>
    <w:rsid w:val="006F74C9"/>
    <w:rsid w:val="006F7AC4"/>
    <w:rsid w:val="0070115F"/>
    <w:rsid w:val="00706EAD"/>
    <w:rsid w:val="0071274D"/>
    <w:rsid w:val="00715A28"/>
    <w:rsid w:val="0071640D"/>
    <w:rsid w:val="007167C0"/>
    <w:rsid w:val="00717522"/>
    <w:rsid w:val="007209FB"/>
    <w:rsid w:val="0072102B"/>
    <w:rsid w:val="007213BD"/>
    <w:rsid w:val="00724A78"/>
    <w:rsid w:val="00724D2B"/>
    <w:rsid w:val="00726D60"/>
    <w:rsid w:val="00731EF1"/>
    <w:rsid w:val="00732003"/>
    <w:rsid w:val="007328ED"/>
    <w:rsid w:val="00734FC4"/>
    <w:rsid w:val="007365C7"/>
    <w:rsid w:val="00740483"/>
    <w:rsid w:val="007422A2"/>
    <w:rsid w:val="007439CB"/>
    <w:rsid w:val="00743A32"/>
    <w:rsid w:val="00744529"/>
    <w:rsid w:val="00744BF5"/>
    <w:rsid w:val="00746058"/>
    <w:rsid w:val="00750B2B"/>
    <w:rsid w:val="0075138B"/>
    <w:rsid w:val="00751E70"/>
    <w:rsid w:val="00751FA1"/>
    <w:rsid w:val="0075517B"/>
    <w:rsid w:val="0075530D"/>
    <w:rsid w:val="0075610C"/>
    <w:rsid w:val="00760241"/>
    <w:rsid w:val="007602F4"/>
    <w:rsid w:val="007608B5"/>
    <w:rsid w:val="0076250B"/>
    <w:rsid w:val="00764665"/>
    <w:rsid w:val="00765F13"/>
    <w:rsid w:val="007716DB"/>
    <w:rsid w:val="00771EF0"/>
    <w:rsid w:val="00775F7D"/>
    <w:rsid w:val="00777613"/>
    <w:rsid w:val="00781894"/>
    <w:rsid w:val="00783F10"/>
    <w:rsid w:val="0078613D"/>
    <w:rsid w:val="00786621"/>
    <w:rsid w:val="00786C41"/>
    <w:rsid w:val="00787979"/>
    <w:rsid w:val="00790768"/>
    <w:rsid w:val="007910CB"/>
    <w:rsid w:val="007912C2"/>
    <w:rsid w:val="00791C8A"/>
    <w:rsid w:val="00792E1A"/>
    <w:rsid w:val="00796C94"/>
    <w:rsid w:val="00797A73"/>
    <w:rsid w:val="007A0098"/>
    <w:rsid w:val="007A07E9"/>
    <w:rsid w:val="007A17B0"/>
    <w:rsid w:val="007A1B47"/>
    <w:rsid w:val="007A5332"/>
    <w:rsid w:val="007A732C"/>
    <w:rsid w:val="007A7BF5"/>
    <w:rsid w:val="007B0AB8"/>
    <w:rsid w:val="007B27D2"/>
    <w:rsid w:val="007B28B0"/>
    <w:rsid w:val="007B3162"/>
    <w:rsid w:val="007B53FD"/>
    <w:rsid w:val="007B5EFC"/>
    <w:rsid w:val="007B6598"/>
    <w:rsid w:val="007B6CDF"/>
    <w:rsid w:val="007B72B4"/>
    <w:rsid w:val="007B7D6C"/>
    <w:rsid w:val="007C1542"/>
    <w:rsid w:val="007C2610"/>
    <w:rsid w:val="007C623B"/>
    <w:rsid w:val="007C7A3C"/>
    <w:rsid w:val="007C7E04"/>
    <w:rsid w:val="007C7E1C"/>
    <w:rsid w:val="007D03EA"/>
    <w:rsid w:val="007D1A6F"/>
    <w:rsid w:val="007D3828"/>
    <w:rsid w:val="007D4146"/>
    <w:rsid w:val="007D4E93"/>
    <w:rsid w:val="007D70B3"/>
    <w:rsid w:val="007D7320"/>
    <w:rsid w:val="007E0926"/>
    <w:rsid w:val="007E1040"/>
    <w:rsid w:val="007E2D76"/>
    <w:rsid w:val="007E76B4"/>
    <w:rsid w:val="007F07B8"/>
    <w:rsid w:val="007F0F18"/>
    <w:rsid w:val="007F1389"/>
    <w:rsid w:val="007F1A96"/>
    <w:rsid w:val="007F2585"/>
    <w:rsid w:val="007F38B3"/>
    <w:rsid w:val="007F62E2"/>
    <w:rsid w:val="007F6DE6"/>
    <w:rsid w:val="007F7B63"/>
    <w:rsid w:val="00800146"/>
    <w:rsid w:val="00800BF1"/>
    <w:rsid w:val="00804C5D"/>
    <w:rsid w:val="008066E1"/>
    <w:rsid w:val="0081024A"/>
    <w:rsid w:val="0081052C"/>
    <w:rsid w:val="00813E07"/>
    <w:rsid w:val="00816F81"/>
    <w:rsid w:val="008237C5"/>
    <w:rsid w:val="0082487C"/>
    <w:rsid w:val="00824D75"/>
    <w:rsid w:val="0082767C"/>
    <w:rsid w:val="00831174"/>
    <w:rsid w:val="00833660"/>
    <w:rsid w:val="008355C4"/>
    <w:rsid w:val="00835D34"/>
    <w:rsid w:val="00837320"/>
    <w:rsid w:val="00841D04"/>
    <w:rsid w:val="0084274E"/>
    <w:rsid w:val="00844962"/>
    <w:rsid w:val="008449A2"/>
    <w:rsid w:val="00844BED"/>
    <w:rsid w:val="00844D71"/>
    <w:rsid w:val="00845675"/>
    <w:rsid w:val="00845F95"/>
    <w:rsid w:val="00850E7C"/>
    <w:rsid w:val="00851866"/>
    <w:rsid w:val="0085215C"/>
    <w:rsid w:val="0085219B"/>
    <w:rsid w:val="00852485"/>
    <w:rsid w:val="008531D1"/>
    <w:rsid w:val="00854402"/>
    <w:rsid w:val="00856676"/>
    <w:rsid w:val="008572DC"/>
    <w:rsid w:val="00857965"/>
    <w:rsid w:val="00860A53"/>
    <w:rsid w:val="00862284"/>
    <w:rsid w:val="00862B27"/>
    <w:rsid w:val="00862BC8"/>
    <w:rsid w:val="00863FA1"/>
    <w:rsid w:val="0086407C"/>
    <w:rsid w:val="008676D4"/>
    <w:rsid w:val="00873261"/>
    <w:rsid w:val="00873295"/>
    <w:rsid w:val="00873914"/>
    <w:rsid w:val="00873B1A"/>
    <w:rsid w:val="00873D53"/>
    <w:rsid w:val="0087537E"/>
    <w:rsid w:val="008770FA"/>
    <w:rsid w:val="008800FA"/>
    <w:rsid w:val="0088155D"/>
    <w:rsid w:val="00881960"/>
    <w:rsid w:val="0088339E"/>
    <w:rsid w:val="00884896"/>
    <w:rsid w:val="00885CA3"/>
    <w:rsid w:val="00887176"/>
    <w:rsid w:val="00887CE0"/>
    <w:rsid w:val="00892785"/>
    <w:rsid w:val="00893730"/>
    <w:rsid w:val="0089790D"/>
    <w:rsid w:val="00897AEB"/>
    <w:rsid w:val="00897B5F"/>
    <w:rsid w:val="008A069F"/>
    <w:rsid w:val="008A17D1"/>
    <w:rsid w:val="008A1D55"/>
    <w:rsid w:val="008A2380"/>
    <w:rsid w:val="008A2712"/>
    <w:rsid w:val="008A4D53"/>
    <w:rsid w:val="008A64AC"/>
    <w:rsid w:val="008A6E59"/>
    <w:rsid w:val="008A7054"/>
    <w:rsid w:val="008B2F76"/>
    <w:rsid w:val="008B403A"/>
    <w:rsid w:val="008B44A2"/>
    <w:rsid w:val="008B556D"/>
    <w:rsid w:val="008B688A"/>
    <w:rsid w:val="008B6AA8"/>
    <w:rsid w:val="008B6EAA"/>
    <w:rsid w:val="008B79AB"/>
    <w:rsid w:val="008C3301"/>
    <w:rsid w:val="008C5047"/>
    <w:rsid w:val="008C7E81"/>
    <w:rsid w:val="008D07E5"/>
    <w:rsid w:val="008D0ACD"/>
    <w:rsid w:val="008D22FA"/>
    <w:rsid w:val="008D3654"/>
    <w:rsid w:val="008D3C6F"/>
    <w:rsid w:val="008D5038"/>
    <w:rsid w:val="008D73F0"/>
    <w:rsid w:val="008E0479"/>
    <w:rsid w:val="008E3CD4"/>
    <w:rsid w:val="008E4EA9"/>
    <w:rsid w:val="008E6990"/>
    <w:rsid w:val="008E7ECB"/>
    <w:rsid w:val="008E7F5B"/>
    <w:rsid w:val="008F287A"/>
    <w:rsid w:val="008F3B5B"/>
    <w:rsid w:val="008F4529"/>
    <w:rsid w:val="008F539E"/>
    <w:rsid w:val="008F7A15"/>
    <w:rsid w:val="009017DA"/>
    <w:rsid w:val="00902B9D"/>
    <w:rsid w:val="009035E0"/>
    <w:rsid w:val="009059DE"/>
    <w:rsid w:val="009073E1"/>
    <w:rsid w:val="009102BD"/>
    <w:rsid w:val="00910B77"/>
    <w:rsid w:val="00913170"/>
    <w:rsid w:val="00914E56"/>
    <w:rsid w:val="00915220"/>
    <w:rsid w:val="00915B01"/>
    <w:rsid w:val="00915D93"/>
    <w:rsid w:val="00917FF8"/>
    <w:rsid w:val="009253D7"/>
    <w:rsid w:val="009268EA"/>
    <w:rsid w:val="00927F3B"/>
    <w:rsid w:val="009315FC"/>
    <w:rsid w:val="0093287A"/>
    <w:rsid w:val="009339B2"/>
    <w:rsid w:val="00937733"/>
    <w:rsid w:val="00940B8C"/>
    <w:rsid w:val="00942855"/>
    <w:rsid w:val="00943F4F"/>
    <w:rsid w:val="009470DA"/>
    <w:rsid w:val="00947291"/>
    <w:rsid w:val="00951397"/>
    <w:rsid w:val="0095482E"/>
    <w:rsid w:val="00955AE0"/>
    <w:rsid w:val="00960BA9"/>
    <w:rsid w:val="00960E0D"/>
    <w:rsid w:val="009631F9"/>
    <w:rsid w:val="0096428D"/>
    <w:rsid w:val="0097243D"/>
    <w:rsid w:val="009748A9"/>
    <w:rsid w:val="00976482"/>
    <w:rsid w:val="009768CD"/>
    <w:rsid w:val="009817D7"/>
    <w:rsid w:val="0098298A"/>
    <w:rsid w:val="00983756"/>
    <w:rsid w:val="009867EF"/>
    <w:rsid w:val="00987102"/>
    <w:rsid w:val="0098734A"/>
    <w:rsid w:val="00990239"/>
    <w:rsid w:val="00990818"/>
    <w:rsid w:val="00991A55"/>
    <w:rsid w:val="00992309"/>
    <w:rsid w:val="0099638A"/>
    <w:rsid w:val="00997A45"/>
    <w:rsid w:val="009A516F"/>
    <w:rsid w:val="009A5F16"/>
    <w:rsid w:val="009A6BCE"/>
    <w:rsid w:val="009B060A"/>
    <w:rsid w:val="009B1835"/>
    <w:rsid w:val="009B280B"/>
    <w:rsid w:val="009B3578"/>
    <w:rsid w:val="009B3F0A"/>
    <w:rsid w:val="009B533E"/>
    <w:rsid w:val="009B6DAA"/>
    <w:rsid w:val="009B6F50"/>
    <w:rsid w:val="009B6FDF"/>
    <w:rsid w:val="009B7812"/>
    <w:rsid w:val="009C1317"/>
    <w:rsid w:val="009C2A61"/>
    <w:rsid w:val="009C310D"/>
    <w:rsid w:val="009C5855"/>
    <w:rsid w:val="009D14B6"/>
    <w:rsid w:val="009D3102"/>
    <w:rsid w:val="009D48BD"/>
    <w:rsid w:val="009D4EF9"/>
    <w:rsid w:val="009D6385"/>
    <w:rsid w:val="009D6B4E"/>
    <w:rsid w:val="009E0284"/>
    <w:rsid w:val="009E02DC"/>
    <w:rsid w:val="009E0474"/>
    <w:rsid w:val="009E3F69"/>
    <w:rsid w:val="009E64EC"/>
    <w:rsid w:val="009E7CC3"/>
    <w:rsid w:val="009E7F11"/>
    <w:rsid w:val="009F0A4F"/>
    <w:rsid w:val="009F1A30"/>
    <w:rsid w:val="009F36C2"/>
    <w:rsid w:val="009F3847"/>
    <w:rsid w:val="009F42D0"/>
    <w:rsid w:val="009F4C3F"/>
    <w:rsid w:val="009F5C1B"/>
    <w:rsid w:val="009F5E2D"/>
    <w:rsid w:val="00A016FA"/>
    <w:rsid w:val="00A02646"/>
    <w:rsid w:val="00A032C5"/>
    <w:rsid w:val="00A04C20"/>
    <w:rsid w:val="00A06F5C"/>
    <w:rsid w:val="00A07239"/>
    <w:rsid w:val="00A078A5"/>
    <w:rsid w:val="00A07CF1"/>
    <w:rsid w:val="00A110EB"/>
    <w:rsid w:val="00A1387C"/>
    <w:rsid w:val="00A141E8"/>
    <w:rsid w:val="00A15612"/>
    <w:rsid w:val="00A158B6"/>
    <w:rsid w:val="00A165F4"/>
    <w:rsid w:val="00A16A9B"/>
    <w:rsid w:val="00A1732A"/>
    <w:rsid w:val="00A17B48"/>
    <w:rsid w:val="00A20055"/>
    <w:rsid w:val="00A2103F"/>
    <w:rsid w:val="00A21D7E"/>
    <w:rsid w:val="00A22215"/>
    <w:rsid w:val="00A22D1A"/>
    <w:rsid w:val="00A2307D"/>
    <w:rsid w:val="00A23595"/>
    <w:rsid w:val="00A2468A"/>
    <w:rsid w:val="00A25128"/>
    <w:rsid w:val="00A256A1"/>
    <w:rsid w:val="00A31C0C"/>
    <w:rsid w:val="00A3254F"/>
    <w:rsid w:val="00A33D3E"/>
    <w:rsid w:val="00A34210"/>
    <w:rsid w:val="00A34E11"/>
    <w:rsid w:val="00A36A9E"/>
    <w:rsid w:val="00A40C21"/>
    <w:rsid w:val="00A42676"/>
    <w:rsid w:val="00A439A5"/>
    <w:rsid w:val="00A44144"/>
    <w:rsid w:val="00A460E2"/>
    <w:rsid w:val="00A51567"/>
    <w:rsid w:val="00A51B56"/>
    <w:rsid w:val="00A52823"/>
    <w:rsid w:val="00A52F75"/>
    <w:rsid w:val="00A534C9"/>
    <w:rsid w:val="00A55787"/>
    <w:rsid w:val="00A55871"/>
    <w:rsid w:val="00A55A6C"/>
    <w:rsid w:val="00A63501"/>
    <w:rsid w:val="00A63A38"/>
    <w:rsid w:val="00A66E3B"/>
    <w:rsid w:val="00A677C9"/>
    <w:rsid w:val="00A77596"/>
    <w:rsid w:val="00A84CE6"/>
    <w:rsid w:val="00A85FF0"/>
    <w:rsid w:val="00A91A4E"/>
    <w:rsid w:val="00A91E97"/>
    <w:rsid w:val="00A92CE0"/>
    <w:rsid w:val="00AA1E60"/>
    <w:rsid w:val="00AA3D3A"/>
    <w:rsid w:val="00AA3F72"/>
    <w:rsid w:val="00AA43D5"/>
    <w:rsid w:val="00AA6C07"/>
    <w:rsid w:val="00AB07AF"/>
    <w:rsid w:val="00AB08BC"/>
    <w:rsid w:val="00AB347C"/>
    <w:rsid w:val="00AB6600"/>
    <w:rsid w:val="00AB70BE"/>
    <w:rsid w:val="00AB72AC"/>
    <w:rsid w:val="00AC1259"/>
    <w:rsid w:val="00AC14CF"/>
    <w:rsid w:val="00AC3E09"/>
    <w:rsid w:val="00AC3FE6"/>
    <w:rsid w:val="00AC47A5"/>
    <w:rsid w:val="00AC59B3"/>
    <w:rsid w:val="00AC5CD2"/>
    <w:rsid w:val="00AD015B"/>
    <w:rsid w:val="00AD54A6"/>
    <w:rsid w:val="00AD5FBA"/>
    <w:rsid w:val="00AD63DE"/>
    <w:rsid w:val="00AD73EF"/>
    <w:rsid w:val="00AE089D"/>
    <w:rsid w:val="00AE0A76"/>
    <w:rsid w:val="00AE0D63"/>
    <w:rsid w:val="00AE1D7F"/>
    <w:rsid w:val="00AE26ED"/>
    <w:rsid w:val="00AE35A2"/>
    <w:rsid w:val="00AE5309"/>
    <w:rsid w:val="00AE5521"/>
    <w:rsid w:val="00AE5567"/>
    <w:rsid w:val="00AE5A2B"/>
    <w:rsid w:val="00AE60C6"/>
    <w:rsid w:val="00AF15DA"/>
    <w:rsid w:val="00AF2D1E"/>
    <w:rsid w:val="00AF6F6D"/>
    <w:rsid w:val="00AF7C4C"/>
    <w:rsid w:val="00B01066"/>
    <w:rsid w:val="00B019C7"/>
    <w:rsid w:val="00B02DFC"/>
    <w:rsid w:val="00B0352D"/>
    <w:rsid w:val="00B049DA"/>
    <w:rsid w:val="00B072C2"/>
    <w:rsid w:val="00B10FC2"/>
    <w:rsid w:val="00B149C2"/>
    <w:rsid w:val="00B1596F"/>
    <w:rsid w:val="00B21EA3"/>
    <w:rsid w:val="00B22284"/>
    <w:rsid w:val="00B22959"/>
    <w:rsid w:val="00B24214"/>
    <w:rsid w:val="00B258B7"/>
    <w:rsid w:val="00B25991"/>
    <w:rsid w:val="00B26B53"/>
    <w:rsid w:val="00B26BDF"/>
    <w:rsid w:val="00B272B0"/>
    <w:rsid w:val="00B300CB"/>
    <w:rsid w:val="00B31659"/>
    <w:rsid w:val="00B31E5A"/>
    <w:rsid w:val="00B32F61"/>
    <w:rsid w:val="00B339C2"/>
    <w:rsid w:val="00B33C22"/>
    <w:rsid w:val="00B34368"/>
    <w:rsid w:val="00B34B25"/>
    <w:rsid w:val="00B34C72"/>
    <w:rsid w:val="00B34C8E"/>
    <w:rsid w:val="00B34F7E"/>
    <w:rsid w:val="00B3664B"/>
    <w:rsid w:val="00B37883"/>
    <w:rsid w:val="00B37C6E"/>
    <w:rsid w:val="00B40547"/>
    <w:rsid w:val="00B40CED"/>
    <w:rsid w:val="00B430B5"/>
    <w:rsid w:val="00B434C8"/>
    <w:rsid w:val="00B43879"/>
    <w:rsid w:val="00B45CB8"/>
    <w:rsid w:val="00B4778A"/>
    <w:rsid w:val="00B51B05"/>
    <w:rsid w:val="00B53D10"/>
    <w:rsid w:val="00B53D23"/>
    <w:rsid w:val="00B55ACD"/>
    <w:rsid w:val="00B56C7D"/>
    <w:rsid w:val="00B623F9"/>
    <w:rsid w:val="00B66128"/>
    <w:rsid w:val="00B6622E"/>
    <w:rsid w:val="00B6625F"/>
    <w:rsid w:val="00B66D95"/>
    <w:rsid w:val="00B67F36"/>
    <w:rsid w:val="00B70539"/>
    <w:rsid w:val="00B75336"/>
    <w:rsid w:val="00B76960"/>
    <w:rsid w:val="00B80A84"/>
    <w:rsid w:val="00B81676"/>
    <w:rsid w:val="00B81C0A"/>
    <w:rsid w:val="00B81FA2"/>
    <w:rsid w:val="00B83825"/>
    <w:rsid w:val="00B845F3"/>
    <w:rsid w:val="00B928E3"/>
    <w:rsid w:val="00B94FD8"/>
    <w:rsid w:val="00B9561F"/>
    <w:rsid w:val="00B9711E"/>
    <w:rsid w:val="00B971CA"/>
    <w:rsid w:val="00B972A5"/>
    <w:rsid w:val="00BA0C58"/>
    <w:rsid w:val="00BA24A8"/>
    <w:rsid w:val="00BA308F"/>
    <w:rsid w:val="00BA38B8"/>
    <w:rsid w:val="00BA48F3"/>
    <w:rsid w:val="00BB1B34"/>
    <w:rsid w:val="00BB1B92"/>
    <w:rsid w:val="00BB20AE"/>
    <w:rsid w:val="00BB32D1"/>
    <w:rsid w:val="00BB532B"/>
    <w:rsid w:val="00BB669C"/>
    <w:rsid w:val="00BB6AE4"/>
    <w:rsid w:val="00BB7233"/>
    <w:rsid w:val="00BB74B9"/>
    <w:rsid w:val="00BB7620"/>
    <w:rsid w:val="00BB7877"/>
    <w:rsid w:val="00BC07E8"/>
    <w:rsid w:val="00BC2A1B"/>
    <w:rsid w:val="00BC2F75"/>
    <w:rsid w:val="00BC3133"/>
    <w:rsid w:val="00BC34F9"/>
    <w:rsid w:val="00BC7A3B"/>
    <w:rsid w:val="00BD12D0"/>
    <w:rsid w:val="00BD15E4"/>
    <w:rsid w:val="00BD39B5"/>
    <w:rsid w:val="00BD3ABD"/>
    <w:rsid w:val="00BD4035"/>
    <w:rsid w:val="00BD41F1"/>
    <w:rsid w:val="00BD5F94"/>
    <w:rsid w:val="00BE174A"/>
    <w:rsid w:val="00BE2C02"/>
    <w:rsid w:val="00BE3A3C"/>
    <w:rsid w:val="00BE48F4"/>
    <w:rsid w:val="00BE5150"/>
    <w:rsid w:val="00BE74C6"/>
    <w:rsid w:val="00BE7DE5"/>
    <w:rsid w:val="00BF1E7E"/>
    <w:rsid w:val="00BF4406"/>
    <w:rsid w:val="00BF4E42"/>
    <w:rsid w:val="00BF5068"/>
    <w:rsid w:val="00C01B6C"/>
    <w:rsid w:val="00C02140"/>
    <w:rsid w:val="00C02896"/>
    <w:rsid w:val="00C03C2A"/>
    <w:rsid w:val="00C0487D"/>
    <w:rsid w:val="00C050B2"/>
    <w:rsid w:val="00C07BBA"/>
    <w:rsid w:val="00C12D69"/>
    <w:rsid w:val="00C13223"/>
    <w:rsid w:val="00C15260"/>
    <w:rsid w:val="00C15394"/>
    <w:rsid w:val="00C1552B"/>
    <w:rsid w:val="00C15DE7"/>
    <w:rsid w:val="00C17E1A"/>
    <w:rsid w:val="00C206FB"/>
    <w:rsid w:val="00C20CFF"/>
    <w:rsid w:val="00C20E36"/>
    <w:rsid w:val="00C22CFD"/>
    <w:rsid w:val="00C239F6"/>
    <w:rsid w:val="00C23C90"/>
    <w:rsid w:val="00C23F0C"/>
    <w:rsid w:val="00C243FD"/>
    <w:rsid w:val="00C26B5E"/>
    <w:rsid w:val="00C279E5"/>
    <w:rsid w:val="00C30478"/>
    <w:rsid w:val="00C31607"/>
    <w:rsid w:val="00C32EF1"/>
    <w:rsid w:val="00C34C5E"/>
    <w:rsid w:val="00C3521F"/>
    <w:rsid w:val="00C36467"/>
    <w:rsid w:val="00C36ADE"/>
    <w:rsid w:val="00C377A2"/>
    <w:rsid w:val="00C37B05"/>
    <w:rsid w:val="00C4188C"/>
    <w:rsid w:val="00C42391"/>
    <w:rsid w:val="00C42A42"/>
    <w:rsid w:val="00C443D6"/>
    <w:rsid w:val="00C454AD"/>
    <w:rsid w:val="00C51468"/>
    <w:rsid w:val="00C51C97"/>
    <w:rsid w:val="00C51D5A"/>
    <w:rsid w:val="00C53BF2"/>
    <w:rsid w:val="00C5451D"/>
    <w:rsid w:val="00C57EC5"/>
    <w:rsid w:val="00C6453A"/>
    <w:rsid w:val="00C6486F"/>
    <w:rsid w:val="00C66E62"/>
    <w:rsid w:val="00C70377"/>
    <w:rsid w:val="00C70AE6"/>
    <w:rsid w:val="00C72659"/>
    <w:rsid w:val="00C75121"/>
    <w:rsid w:val="00C76513"/>
    <w:rsid w:val="00C8045B"/>
    <w:rsid w:val="00C80B5B"/>
    <w:rsid w:val="00C80D88"/>
    <w:rsid w:val="00C83327"/>
    <w:rsid w:val="00C83A34"/>
    <w:rsid w:val="00C8424C"/>
    <w:rsid w:val="00C84F9C"/>
    <w:rsid w:val="00C8698A"/>
    <w:rsid w:val="00C93932"/>
    <w:rsid w:val="00C95681"/>
    <w:rsid w:val="00C960EF"/>
    <w:rsid w:val="00C97701"/>
    <w:rsid w:val="00CA01DF"/>
    <w:rsid w:val="00CA26B3"/>
    <w:rsid w:val="00CA2D57"/>
    <w:rsid w:val="00CA34E8"/>
    <w:rsid w:val="00CA3E12"/>
    <w:rsid w:val="00CA60EF"/>
    <w:rsid w:val="00CA62A1"/>
    <w:rsid w:val="00CA68F2"/>
    <w:rsid w:val="00CA6ED5"/>
    <w:rsid w:val="00CA7D56"/>
    <w:rsid w:val="00CB12EE"/>
    <w:rsid w:val="00CB35D1"/>
    <w:rsid w:val="00CB49C1"/>
    <w:rsid w:val="00CB5FE0"/>
    <w:rsid w:val="00CC0DF1"/>
    <w:rsid w:val="00CC19C4"/>
    <w:rsid w:val="00CC3D1C"/>
    <w:rsid w:val="00CC7ECF"/>
    <w:rsid w:val="00CD0192"/>
    <w:rsid w:val="00CD213A"/>
    <w:rsid w:val="00CD21F0"/>
    <w:rsid w:val="00CD2657"/>
    <w:rsid w:val="00CD3F78"/>
    <w:rsid w:val="00CD4BF9"/>
    <w:rsid w:val="00CD5643"/>
    <w:rsid w:val="00CD6E6D"/>
    <w:rsid w:val="00CE22F1"/>
    <w:rsid w:val="00CE4179"/>
    <w:rsid w:val="00CE41B8"/>
    <w:rsid w:val="00CE7580"/>
    <w:rsid w:val="00CF0324"/>
    <w:rsid w:val="00CF1883"/>
    <w:rsid w:val="00CF21E4"/>
    <w:rsid w:val="00CF3621"/>
    <w:rsid w:val="00CF469C"/>
    <w:rsid w:val="00CF55EA"/>
    <w:rsid w:val="00CF63F8"/>
    <w:rsid w:val="00CF6560"/>
    <w:rsid w:val="00CF6680"/>
    <w:rsid w:val="00CF67E1"/>
    <w:rsid w:val="00CF79A3"/>
    <w:rsid w:val="00D00208"/>
    <w:rsid w:val="00D00AB0"/>
    <w:rsid w:val="00D01659"/>
    <w:rsid w:val="00D01AA5"/>
    <w:rsid w:val="00D02032"/>
    <w:rsid w:val="00D02F41"/>
    <w:rsid w:val="00D03E44"/>
    <w:rsid w:val="00D11565"/>
    <w:rsid w:val="00D11A46"/>
    <w:rsid w:val="00D12971"/>
    <w:rsid w:val="00D131EF"/>
    <w:rsid w:val="00D132E9"/>
    <w:rsid w:val="00D155E3"/>
    <w:rsid w:val="00D16C8F"/>
    <w:rsid w:val="00D20222"/>
    <w:rsid w:val="00D20CBE"/>
    <w:rsid w:val="00D20E28"/>
    <w:rsid w:val="00D21EDF"/>
    <w:rsid w:val="00D21FF2"/>
    <w:rsid w:val="00D22EC1"/>
    <w:rsid w:val="00D23248"/>
    <w:rsid w:val="00D24876"/>
    <w:rsid w:val="00D27C5A"/>
    <w:rsid w:val="00D3016F"/>
    <w:rsid w:val="00D303C8"/>
    <w:rsid w:val="00D308B9"/>
    <w:rsid w:val="00D3167C"/>
    <w:rsid w:val="00D31F8D"/>
    <w:rsid w:val="00D3235B"/>
    <w:rsid w:val="00D359FA"/>
    <w:rsid w:val="00D364EA"/>
    <w:rsid w:val="00D40A49"/>
    <w:rsid w:val="00D41650"/>
    <w:rsid w:val="00D41712"/>
    <w:rsid w:val="00D41928"/>
    <w:rsid w:val="00D41E92"/>
    <w:rsid w:val="00D42FF6"/>
    <w:rsid w:val="00D4639B"/>
    <w:rsid w:val="00D46659"/>
    <w:rsid w:val="00D47568"/>
    <w:rsid w:val="00D475C2"/>
    <w:rsid w:val="00D5168E"/>
    <w:rsid w:val="00D52903"/>
    <w:rsid w:val="00D54CB1"/>
    <w:rsid w:val="00D5544F"/>
    <w:rsid w:val="00D615C8"/>
    <w:rsid w:val="00D6167E"/>
    <w:rsid w:val="00D6289F"/>
    <w:rsid w:val="00D66A8A"/>
    <w:rsid w:val="00D67402"/>
    <w:rsid w:val="00D6763A"/>
    <w:rsid w:val="00D676B0"/>
    <w:rsid w:val="00D67B88"/>
    <w:rsid w:val="00D703C3"/>
    <w:rsid w:val="00D71374"/>
    <w:rsid w:val="00D736D0"/>
    <w:rsid w:val="00D751C0"/>
    <w:rsid w:val="00D77CA6"/>
    <w:rsid w:val="00D81602"/>
    <w:rsid w:val="00D82919"/>
    <w:rsid w:val="00D839CA"/>
    <w:rsid w:val="00D84F82"/>
    <w:rsid w:val="00D85619"/>
    <w:rsid w:val="00D909E9"/>
    <w:rsid w:val="00D922EA"/>
    <w:rsid w:val="00D97851"/>
    <w:rsid w:val="00D97FF4"/>
    <w:rsid w:val="00DA1CE0"/>
    <w:rsid w:val="00DA344E"/>
    <w:rsid w:val="00DA6030"/>
    <w:rsid w:val="00DB37B5"/>
    <w:rsid w:val="00DB5161"/>
    <w:rsid w:val="00DB57DC"/>
    <w:rsid w:val="00DC0404"/>
    <w:rsid w:val="00DC213C"/>
    <w:rsid w:val="00DC2E21"/>
    <w:rsid w:val="00DD06E8"/>
    <w:rsid w:val="00DD0827"/>
    <w:rsid w:val="00DD137D"/>
    <w:rsid w:val="00DD160A"/>
    <w:rsid w:val="00DD2446"/>
    <w:rsid w:val="00DD3B1F"/>
    <w:rsid w:val="00DD4468"/>
    <w:rsid w:val="00DD4D97"/>
    <w:rsid w:val="00DD6A2F"/>
    <w:rsid w:val="00DE08AD"/>
    <w:rsid w:val="00DE2F40"/>
    <w:rsid w:val="00DE488A"/>
    <w:rsid w:val="00DE4940"/>
    <w:rsid w:val="00DE5536"/>
    <w:rsid w:val="00DE591E"/>
    <w:rsid w:val="00DE6531"/>
    <w:rsid w:val="00DE67A1"/>
    <w:rsid w:val="00DE6A93"/>
    <w:rsid w:val="00DE77D3"/>
    <w:rsid w:val="00DE796F"/>
    <w:rsid w:val="00DF0E8D"/>
    <w:rsid w:val="00DF11C6"/>
    <w:rsid w:val="00DF1B8A"/>
    <w:rsid w:val="00DF38B9"/>
    <w:rsid w:val="00DF4069"/>
    <w:rsid w:val="00E00199"/>
    <w:rsid w:val="00E0114A"/>
    <w:rsid w:val="00E027FE"/>
    <w:rsid w:val="00E029AD"/>
    <w:rsid w:val="00E0405F"/>
    <w:rsid w:val="00E05348"/>
    <w:rsid w:val="00E12699"/>
    <w:rsid w:val="00E142A9"/>
    <w:rsid w:val="00E14EFA"/>
    <w:rsid w:val="00E16C98"/>
    <w:rsid w:val="00E1794D"/>
    <w:rsid w:val="00E17D61"/>
    <w:rsid w:val="00E20BCD"/>
    <w:rsid w:val="00E22C49"/>
    <w:rsid w:val="00E24720"/>
    <w:rsid w:val="00E272D3"/>
    <w:rsid w:val="00E30ECE"/>
    <w:rsid w:val="00E324BD"/>
    <w:rsid w:val="00E32A86"/>
    <w:rsid w:val="00E33459"/>
    <w:rsid w:val="00E3375B"/>
    <w:rsid w:val="00E3587D"/>
    <w:rsid w:val="00E36A22"/>
    <w:rsid w:val="00E415DD"/>
    <w:rsid w:val="00E43103"/>
    <w:rsid w:val="00E44E84"/>
    <w:rsid w:val="00E460A8"/>
    <w:rsid w:val="00E47525"/>
    <w:rsid w:val="00E5335A"/>
    <w:rsid w:val="00E540CB"/>
    <w:rsid w:val="00E54FAC"/>
    <w:rsid w:val="00E5692F"/>
    <w:rsid w:val="00E56B90"/>
    <w:rsid w:val="00E61296"/>
    <w:rsid w:val="00E61AA9"/>
    <w:rsid w:val="00E63275"/>
    <w:rsid w:val="00E63499"/>
    <w:rsid w:val="00E657AA"/>
    <w:rsid w:val="00E658C0"/>
    <w:rsid w:val="00E671CE"/>
    <w:rsid w:val="00E71329"/>
    <w:rsid w:val="00E73FBB"/>
    <w:rsid w:val="00E744CC"/>
    <w:rsid w:val="00E75256"/>
    <w:rsid w:val="00E75282"/>
    <w:rsid w:val="00E77DDD"/>
    <w:rsid w:val="00E819C4"/>
    <w:rsid w:val="00E81AAA"/>
    <w:rsid w:val="00E82C3F"/>
    <w:rsid w:val="00E837A7"/>
    <w:rsid w:val="00E84E7D"/>
    <w:rsid w:val="00E85A1A"/>
    <w:rsid w:val="00E875F9"/>
    <w:rsid w:val="00E90222"/>
    <w:rsid w:val="00E91D80"/>
    <w:rsid w:val="00E92E36"/>
    <w:rsid w:val="00E9682F"/>
    <w:rsid w:val="00E96D8D"/>
    <w:rsid w:val="00EA0A3D"/>
    <w:rsid w:val="00EA11E6"/>
    <w:rsid w:val="00EA14A0"/>
    <w:rsid w:val="00EA28EA"/>
    <w:rsid w:val="00EA3088"/>
    <w:rsid w:val="00EA361B"/>
    <w:rsid w:val="00EA3898"/>
    <w:rsid w:val="00EA4E8C"/>
    <w:rsid w:val="00EA5038"/>
    <w:rsid w:val="00EA5746"/>
    <w:rsid w:val="00EA5F1B"/>
    <w:rsid w:val="00EA6460"/>
    <w:rsid w:val="00EA64E0"/>
    <w:rsid w:val="00EA729E"/>
    <w:rsid w:val="00EB0F04"/>
    <w:rsid w:val="00EB25B4"/>
    <w:rsid w:val="00EB36EC"/>
    <w:rsid w:val="00EB36F5"/>
    <w:rsid w:val="00EB5352"/>
    <w:rsid w:val="00EB6ECA"/>
    <w:rsid w:val="00EC1311"/>
    <w:rsid w:val="00EC1A46"/>
    <w:rsid w:val="00EC1E1D"/>
    <w:rsid w:val="00EC2085"/>
    <w:rsid w:val="00EC2B77"/>
    <w:rsid w:val="00EC4546"/>
    <w:rsid w:val="00EC482B"/>
    <w:rsid w:val="00EC50AA"/>
    <w:rsid w:val="00EC5C35"/>
    <w:rsid w:val="00EC6E9D"/>
    <w:rsid w:val="00ED0C94"/>
    <w:rsid w:val="00ED1596"/>
    <w:rsid w:val="00ED1DD1"/>
    <w:rsid w:val="00ED1E6F"/>
    <w:rsid w:val="00ED2CCD"/>
    <w:rsid w:val="00ED3C6A"/>
    <w:rsid w:val="00ED5CA8"/>
    <w:rsid w:val="00ED659F"/>
    <w:rsid w:val="00ED76BD"/>
    <w:rsid w:val="00EE0BD7"/>
    <w:rsid w:val="00EE0CBC"/>
    <w:rsid w:val="00EE1A54"/>
    <w:rsid w:val="00EE207C"/>
    <w:rsid w:val="00EE2E01"/>
    <w:rsid w:val="00EE3796"/>
    <w:rsid w:val="00EE48EC"/>
    <w:rsid w:val="00EE5961"/>
    <w:rsid w:val="00EE66CD"/>
    <w:rsid w:val="00EE66D6"/>
    <w:rsid w:val="00EE7DE7"/>
    <w:rsid w:val="00EF0C12"/>
    <w:rsid w:val="00EF0E6B"/>
    <w:rsid w:val="00EF1B03"/>
    <w:rsid w:val="00EF1D1A"/>
    <w:rsid w:val="00EF1F66"/>
    <w:rsid w:val="00EF2CD7"/>
    <w:rsid w:val="00EF3B8C"/>
    <w:rsid w:val="00EF5556"/>
    <w:rsid w:val="00EF69F1"/>
    <w:rsid w:val="00F01E1B"/>
    <w:rsid w:val="00F02665"/>
    <w:rsid w:val="00F04A38"/>
    <w:rsid w:val="00F06A09"/>
    <w:rsid w:val="00F1071D"/>
    <w:rsid w:val="00F12A03"/>
    <w:rsid w:val="00F13323"/>
    <w:rsid w:val="00F139ED"/>
    <w:rsid w:val="00F14FCF"/>
    <w:rsid w:val="00F154F4"/>
    <w:rsid w:val="00F15502"/>
    <w:rsid w:val="00F20F51"/>
    <w:rsid w:val="00F22B40"/>
    <w:rsid w:val="00F240EA"/>
    <w:rsid w:val="00F25CF4"/>
    <w:rsid w:val="00F26363"/>
    <w:rsid w:val="00F267BC"/>
    <w:rsid w:val="00F27B66"/>
    <w:rsid w:val="00F3088F"/>
    <w:rsid w:val="00F31016"/>
    <w:rsid w:val="00F31C6D"/>
    <w:rsid w:val="00F32A0A"/>
    <w:rsid w:val="00F344AD"/>
    <w:rsid w:val="00F34878"/>
    <w:rsid w:val="00F364E9"/>
    <w:rsid w:val="00F36FB8"/>
    <w:rsid w:val="00F374F9"/>
    <w:rsid w:val="00F377F5"/>
    <w:rsid w:val="00F402E4"/>
    <w:rsid w:val="00F4180F"/>
    <w:rsid w:val="00F45500"/>
    <w:rsid w:val="00F464F7"/>
    <w:rsid w:val="00F46D15"/>
    <w:rsid w:val="00F515F5"/>
    <w:rsid w:val="00F52D10"/>
    <w:rsid w:val="00F52DAC"/>
    <w:rsid w:val="00F52DDB"/>
    <w:rsid w:val="00F545F6"/>
    <w:rsid w:val="00F57574"/>
    <w:rsid w:val="00F57889"/>
    <w:rsid w:val="00F57AFD"/>
    <w:rsid w:val="00F64195"/>
    <w:rsid w:val="00F64756"/>
    <w:rsid w:val="00F64909"/>
    <w:rsid w:val="00F65C5D"/>
    <w:rsid w:val="00F675C7"/>
    <w:rsid w:val="00F72AC5"/>
    <w:rsid w:val="00F72B5F"/>
    <w:rsid w:val="00F7379C"/>
    <w:rsid w:val="00F741EB"/>
    <w:rsid w:val="00F756EA"/>
    <w:rsid w:val="00F80056"/>
    <w:rsid w:val="00F837EF"/>
    <w:rsid w:val="00F85A85"/>
    <w:rsid w:val="00F90922"/>
    <w:rsid w:val="00F91144"/>
    <w:rsid w:val="00F919B8"/>
    <w:rsid w:val="00F942B2"/>
    <w:rsid w:val="00F943F5"/>
    <w:rsid w:val="00F94704"/>
    <w:rsid w:val="00F953EC"/>
    <w:rsid w:val="00F956C8"/>
    <w:rsid w:val="00FA12FD"/>
    <w:rsid w:val="00FA2016"/>
    <w:rsid w:val="00FA3F1D"/>
    <w:rsid w:val="00FA7844"/>
    <w:rsid w:val="00FB049E"/>
    <w:rsid w:val="00FB0C60"/>
    <w:rsid w:val="00FB1565"/>
    <w:rsid w:val="00FB1651"/>
    <w:rsid w:val="00FB3EBF"/>
    <w:rsid w:val="00FB4340"/>
    <w:rsid w:val="00FB5D6E"/>
    <w:rsid w:val="00FB6230"/>
    <w:rsid w:val="00FB73E2"/>
    <w:rsid w:val="00FB7D2D"/>
    <w:rsid w:val="00FC0BA5"/>
    <w:rsid w:val="00FC0D8E"/>
    <w:rsid w:val="00FC1B37"/>
    <w:rsid w:val="00FC230A"/>
    <w:rsid w:val="00FC2C26"/>
    <w:rsid w:val="00FC2FCF"/>
    <w:rsid w:val="00FC3231"/>
    <w:rsid w:val="00FC3949"/>
    <w:rsid w:val="00FC49C4"/>
    <w:rsid w:val="00FC4CDE"/>
    <w:rsid w:val="00FC4CEB"/>
    <w:rsid w:val="00FC58A0"/>
    <w:rsid w:val="00FC5A42"/>
    <w:rsid w:val="00FC6811"/>
    <w:rsid w:val="00FC6DE7"/>
    <w:rsid w:val="00FC72EC"/>
    <w:rsid w:val="00FC7B71"/>
    <w:rsid w:val="00FC7D3D"/>
    <w:rsid w:val="00FD0ACD"/>
    <w:rsid w:val="00FD1216"/>
    <w:rsid w:val="00FD1A2D"/>
    <w:rsid w:val="00FD2181"/>
    <w:rsid w:val="00FD224A"/>
    <w:rsid w:val="00FD238E"/>
    <w:rsid w:val="00FD4548"/>
    <w:rsid w:val="00FD4868"/>
    <w:rsid w:val="00FD5CD4"/>
    <w:rsid w:val="00FD639E"/>
    <w:rsid w:val="00FD68CD"/>
    <w:rsid w:val="00FE1F58"/>
    <w:rsid w:val="00FE20FF"/>
    <w:rsid w:val="00FE29EB"/>
    <w:rsid w:val="00FE3109"/>
    <w:rsid w:val="00FE510F"/>
    <w:rsid w:val="00FE5DD3"/>
    <w:rsid w:val="00FE796F"/>
    <w:rsid w:val="00FF0B44"/>
    <w:rsid w:val="00FF0D1B"/>
    <w:rsid w:val="00FF1367"/>
    <w:rsid w:val="00FF313C"/>
    <w:rsid w:val="00FF5122"/>
    <w:rsid w:val="00FF586D"/>
    <w:rsid w:val="00FF6EC1"/>
    <w:rsid w:val="00FF719C"/>
    <w:rsid w:val="010C0DAF"/>
    <w:rsid w:val="011E0238"/>
    <w:rsid w:val="014927D5"/>
    <w:rsid w:val="015177E5"/>
    <w:rsid w:val="015C718E"/>
    <w:rsid w:val="0185469B"/>
    <w:rsid w:val="019B7D09"/>
    <w:rsid w:val="019D700F"/>
    <w:rsid w:val="01A30075"/>
    <w:rsid w:val="01D17CC9"/>
    <w:rsid w:val="01D97577"/>
    <w:rsid w:val="01DB129E"/>
    <w:rsid w:val="01FD0AA1"/>
    <w:rsid w:val="021766FA"/>
    <w:rsid w:val="0233386D"/>
    <w:rsid w:val="023547D0"/>
    <w:rsid w:val="024209D5"/>
    <w:rsid w:val="024314E3"/>
    <w:rsid w:val="026753BC"/>
    <w:rsid w:val="0270693D"/>
    <w:rsid w:val="02B00021"/>
    <w:rsid w:val="02CF4117"/>
    <w:rsid w:val="02E035B7"/>
    <w:rsid w:val="02EE42CB"/>
    <w:rsid w:val="02EF6567"/>
    <w:rsid w:val="030045EB"/>
    <w:rsid w:val="030167FB"/>
    <w:rsid w:val="0306109E"/>
    <w:rsid w:val="0311173F"/>
    <w:rsid w:val="03231C7D"/>
    <w:rsid w:val="0341645D"/>
    <w:rsid w:val="03434399"/>
    <w:rsid w:val="03B5212E"/>
    <w:rsid w:val="03BC017A"/>
    <w:rsid w:val="03C50E3C"/>
    <w:rsid w:val="03CF6E7B"/>
    <w:rsid w:val="04196D10"/>
    <w:rsid w:val="0432329B"/>
    <w:rsid w:val="04394B49"/>
    <w:rsid w:val="044F72D7"/>
    <w:rsid w:val="04655DDB"/>
    <w:rsid w:val="04722D72"/>
    <w:rsid w:val="047231B0"/>
    <w:rsid w:val="047D34C5"/>
    <w:rsid w:val="04961E60"/>
    <w:rsid w:val="0499172D"/>
    <w:rsid w:val="049E2EA8"/>
    <w:rsid w:val="04D035F5"/>
    <w:rsid w:val="04DF5F2E"/>
    <w:rsid w:val="04FF3EDA"/>
    <w:rsid w:val="050C13CE"/>
    <w:rsid w:val="05382A85"/>
    <w:rsid w:val="05436106"/>
    <w:rsid w:val="055D6488"/>
    <w:rsid w:val="05681A70"/>
    <w:rsid w:val="05734751"/>
    <w:rsid w:val="057E5639"/>
    <w:rsid w:val="05834F62"/>
    <w:rsid w:val="059543AC"/>
    <w:rsid w:val="05B179F1"/>
    <w:rsid w:val="05B9052D"/>
    <w:rsid w:val="05E2437C"/>
    <w:rsid w:val="05E2590C"/>
    <w:rsid w:val="05FA1B59"/>
    <w:rsid w:val="061E2248"/>
    <w:rsid w:val="062831F7"/>
    <w:rsid w:val="06623C1C"/>
    <w:rsid w:val="067C748D"/>
    <w:rsid w:val="067D4433"/>
    <w:rsid w:val="0690072E"/>
    <w:rsid w:val="06AA27B0"/>
    <w:rsid w:val="06AD40C1"/>
    <w:rsid w:val="06B75368"/>
    <w:rsid w:val="06B82A21"/>
    <w:rsid w:val="06F36E31"/>
    <w:rsid w:val="07217E3E"/>
    <w:rsid w:val="072D2B10"/>
    <w:rsid w:val="073E7D1D"/>
    <w:rsid w:val="07437C08"/>
    <w:rsid w:val="07591F6E"/>
    <w:rsid w:val="077F5090"/>
    <w:rsid w:val="078D0293"/>
    <w:rsid w:val="07A31495"/>
    <w:rsid w:val="07A549E1"/>
    <w:rsid w:val="07BD2E25"/>
    <w:rsid w:val="080A2DC2"/>
    <w:rsid w:val="081965FA"/>
    <w:rsid w:val="082F30B8"/>
    <w:rsid w:val="08910B1C"/>
    <w:rsid w:val="08A474F7"/>
    <w:rsid w:val="08AF6CE2"/>
    <w:rsid w:val="08E02386"/>
    <w:rsid w:val="08ED12AB"/>
    <w:rsid w:val="09062538"/>
    <w:rsid w:val="094C7EFA"/>
    <w:rsid w:val="096058AD"/>
    <w:rsid w:val="09842233"/>
    <w:rsid w:val="098B6253"/>
    <w:rsid w:val="099077F7"/>
    <w:rsid w:val="0A200CC2"/>
    <w:rsid w:val="0A332FA6"/>
    <w:rsid w:val="0A6557E9"/>
    <w:rsid w:val="0A7B2255"/>
    <w:rsid w:val="0A935152"/>
    <w:rsid w:val="0AEA210D"/>
    <w:rsid w:val="0B093C4C"/>
    <w:rsid w:val="0B0C0D5E"/>
    <w:rsid w:val="0B2E111A"/>
    <w:rsid w:val="0B305B33"/>
    <w:rsid w:val="0B357CE8"/>
    <w:rsid w:val="0B472137"/>
    <w:rsid w:val="0B5C118D"/>
    <w:rsid w:val="0B7F3F31"/>
    <w:rsid w:val="0BA00F3A"/>
    <w:rsid w:val="0BA91F95"/>
    <w:rsid w:val="0BE73659"/>
    <w:rsid w:val="0BEC3D6E"/>
    <w:rsid w:val="0C12580C"/>
    <w:rsid w:val="0C175B1D"/>
    <w:rsid w:val="0C22663B"/>
    <w:rsid w:val="0C484827"/>
    <w:rsid w:val="0C5B47DB"/>
    <w:rsid w:val="0C6D3BE9"/>
    <w:rsid w:val="0C6E1B64"/>
    <w:rsid w:val="0CB05271"/>
    <w:rsid w:val="0CD15ABC"/>
    <w:rsid w:val="0CE52F90"/>
    <w:rsid w:val="0CEC5227"/>
    <w:rsid w:val="0CF936BD"/>
    <w:rsid w:val="0D1C45C3"/>
    <w:rsid w:val="0D2D079F"/>
    <w:rsid w:val="0D33784E"/>
    <w:rsid w:val="0D3954CF"/>
    <w:rsid w:val="0D811601"/>
    <w:rsid w:val="0D9E414B"/>
    <w:rsid w:val="0DA74142"/>
    <w:rsid w:val="0DC6586A"/>
    <w:rsid w:val="0DC916B9"/>
    <w:rsid w:val="0E264255"/>
    <w:rsid w:val="0E87741A"/>
    <w:rsid w:val="0E8C5C15"/>
    <w:rsid w:val="0E8E57F9"/>
    <w:rsid w:val="0E8F611B"/>
    <w:rsid w:val="0E902C6F"/>
    <w:rsid w:val="0EBD5D1D"/>
    <w:rsid w:val="0EBF67A2"/>
    <w:rsid w:val="0EC53684"/>
    <w:rsid w:val="0ECB7BD9"/>
    <w:rsid w:val="0ED46EBF"/>
    <w:rsid w:val="0EE376DD"/>
    <w:rsid w:val="0EFC1210"/>
    <w:rsid w:val="0F017FE5"/>
    <w:rsid w:val="0F256C33"/>
    <w:rsid w:val="0F4D1FCC"/>
    <w:rsid w:val="0F507B65"/>
    <w:rsid w:val="0F7B7746"/>
    <w:rsid w:val="0F86133A"/>
    <w:rsid w:val="0F931C3B"/>
    <w:rsid w:val="0F9C284E"/>
    <w:rsid w:val="0FAC2E04"/>
    <w:rsid w:val="0FDE62FA"/>
    <w:rsid w:val="0FF808E4"/>
    <w:rsid w:val="1024350A"/>
    <w:rsid w:val="10245006"/>
    <w:rsid w:val="104B5ACF"/>
    <w:rsid w:val="106C748E"/>
    <w:rsid w:val="10A71125"/>
    <w:rsid w:val="10B818EE"/>
    <w:rsid w:val="10C73898"/>
    <w:rsid w:val="10EC34EA"/>
    <w:rsid w:val="10FB38F9"/>
    <w:rsid w:val="110203B6"/>
    <w:rsid w:val="111231A7"/>
    <w:rsid w:val="113265BF"/>
    <w:rsid w:val="11381552"/>
    <w:rsid w:val="115F2F69"/>
    <w:rsid w:val="116B49B1"/>
    <w:rsid w:val="11973BED"/>
    <w:rsid w:val="11BE55A4"/>
    <w:rsid w:val="11F272A1"/>
    <w:rsid w:val="12310276"/>
    <w:rsid w:val="12353631"/>
    <w:rsid w:val="124179EB"/>
    <w:rsid w:val="127401A5"/>
    <w:rsid w:val="127609D5"/>
    <w:rsid w:val="12952652"/>
    <w:rsid w:val="12987028"/>
    <w:rsid w:val="12A84AF2"/>
    <w:rsid w:val="12AA29F7"/>
    <w:rsid w:val="12B13674"/>
    <w:rsid w:val="12BA3E4B"/>
    <w:rsid w:val="12CD0BF7"/>
    <w:rsid w:val="12D6271E"/>
    <w:rsid w:val="12D778B8"/>
    <w:rsid w:val="12EF5BAF"/>
    <w:rsid w:val="12FA2558"/>
    <w:rsid w:val="1316248D"/>
    <w:rsid w:val="132C07A4"/>
    <w:rsid w:val="1340385A"/>
    <w:rsid w:val="134B2449"/>
    <w:rsid w:val="13903278"/>
    <w:rsid w:val="13932E42"/>
    <w:rsid w:val="139A721D"/>
    <w:rsid w:val="13C9209F"/>
    <w:rsid w:val="13F83D6E"/>
    <w:rsid w:val="13FB6D23"/>
    <w:rsid w:val="1413041F"/>
    <w:rsid w:val="14494E61"/>
    <w:rsid w:val="146A24D1"/>
    <w:rsid w:val="14867C65"/>
    <w:rsid w:val="14914B1D"/>
    <w:rsid w:val="14B24AC5"/>
    <w:rsid w:val="14B43D76"/>
    <w:rsid w:val="14EF05AD"/>
    <w:rsid w:val="150A38E2"/>
    <w:rsid w:val="15211E68"/>
    <w:rsid w:val="15276FFD"/>
    <w:rsid w:val="152A7A63"/>
    <w:rsid w:val="155107A4"/>
    <w:rsid w:val="1563469A"/>
    <w:rsid w:val="156C56A7"/>
    <w:rsid w:val="157B6B82"/>
    <w:rsid w:val="15A12C67"/>
    <w:rsid w:val="16231905"/>
    <w:rsid w:val="164D07E3"/>
    <w:rsid w:val="16847E36"/>
    <w:rsid w:val="16A40277"/>
    <w:rsid w:val="16CB59CA"/>
    <w:rsid w:val="16D20387"/>
    <w:rsid w:val="170A49EE"/>
    <w:rsid w:val="172405DD"/>
    <w:rsid w:val="1735396E"/>
    <w:rsid w:val="174E29BC"/>
    <w:rsid w:val="179B1A01"/>
    <w:rsid w:val="17AD4DB8"/>
    <w:rsid w:val="17BB6E1C"/>
    <w:rsid w:val="17CB35B6"/>
    <w:rsid w:val="17D94D2D"/>
    <w:rsid w:val="17E15DC5"/>
    <w:rsid w:val="17E44E02"/>
    <w:rsid w:val="18054C7A"/>
    <w:rsid w:val="18061D6F"/>
    <w:rsid w:val="181635BD"/>
    <w:rsid w:val="1825400E"/>
    <w:rsid w:val="1838509E"/>
    <w:rsid w:val="184C674F"/>
    <w:rsid w:val="18686970"/>
    <w:rsid w:val="186C3428"/>
    <w:rsid w:val="187D363C"/>
    <w:rsid w:val="18A31554"/>
    <w:rsid w:val="18AF7114"/>
    <w:rsid w:val="18BC4478"/>
    <w:rsid w:val="18F15FA8"/>
    <w:rsid w:val="19016810"/>
    <w:rsid w:val="190C08F9"/>
    <w:rsid w:val="193013E3"/>
    <w:rsid w:val="19350FB1"/>
    <w:rsid w:val="195B518C"/>
    <w:rsid w:val="196141DF"/>
    <w:rsid w:val="196F3AE0"/>
    <w:rsid w:val="197C4BF6"/>
    <w:rsid w:val="197E58BE"/>
    <w:rsid w:val="19805192"/>
    <w:rsid w:val="19830E16"/>
    <w:rsid w:val="199A742E"/>
    <w:rsid w:val="19B7492C"/>
    <w:rsid w:val="19C5147F"/>
    <w:rsid w:val="19CD4CEB"/>
    <w:rsid w:val="1A044CDE"/>
    <w:rsid w:val="1A094EE8"/>
    <w:rsid w:val="1A1550FD"/>
    <w:rsid w:val="1A280D6A"/>
    <w:rsid w:val="1A327E22"/>
    <w:rsid w:val="1A370FE5"/>
    <w:rsid w:val="1A5B2805"/>
    <w:rsid w:val="1A714D3D"/>
    <w:rsid w:val="1AAD1E09"/>
    <w:rsid w:val="1ADF4D34"/>
    <w:rsid w:val="1AEA3F31"/>
    <w:rsid w:val="1AF91E54"/>
    <w:rsid w:val="1B0246AC"/>
    <w:rsid w:val="1B184416"/>
    <w:rsid w:val="1B4706CA"/>
    <w:rsid w:val="1B69341D"/>
    <w:rsid w:val="1BA446EE"/>
    <w:rsid w:val="1BA90750"/>
    <w:rsid w:val="1BB170A1"/>
    <w:rsid w:val="1BB41EB7"/>
    <w:rsid w:val="1BCF05FE"/>
    <w:rsid w:val="1BD01CD5"/>
    <w:rsid w:val="1BD17F27"/>
    <w:rsid w:val="1BD64F4F"/>
    <w:rsid w:val="1C0265D4"/>
    <w:rsid w:val="1C0E5C50"/>
    <w:rsid w:val="1C107E6A"/>
    <w:rsid w:val="1C223828"/>
    <w:rsid w:val="1C8208B1"/>
    <w:rsid w:val="1C8C3AC7"/>
    <w:rsid w:val="1C992329"/>
    <w:rsid w:val="1CA116DF"/>
    <w:rsid w:val="1CA32541"/>
    <w:rsid w:val="1CFC3A22"/>
    <w:rsid w:val="1CFF467E"/>
    <w:rsid w:val="1D1756E9"/>
    <w:rsid w:val="1D4504C5"/>
    <w:rsid w:val="1D513113"/>
    <w:rsid w:val="1D591D08"/>
    <w:rsid w:val="1DA75CAC"/>
    <w:rsid w:val="1DAE262E"/>
    <w:rsid w:val="1DBF5C45"/>
    <w:rsid w:val="1DC41F2E"/>
    <w:rsid w:val="1DE26456"/>
    <w:rsid w:val="1DE64446"/>
    <w:rsid w:val="1DEC0533"/>
    <w:rsid w:val="1DF31696"/>
    <w:rsid w:val="1E0379CB"/>
    <w:rsid w:val="1E150B79"/>
    <w:rsid w:val="1E1C7453"/>
    <w:rsid w:val="1E840540"/>
    <w:rsid w:val="1E951B2E"/>
    <w:rsid w:val="1EA508E0"/>
    <w:rsid w:val="1EC27DB2"/>
    <w:rsid w:val="1EC94DA5"/>
    <w:rsid w:val="1F2F13E8"/>
    <w:rsid w:val="1FA21F71"/>
    <w:rsid w:val="1FB042F7"/>
    <w:rsid w:val="1FCC60A6"/>
    <w:rsid w:val="1FD64B4F"/>
    <w:rsid w:val="1FE34501"/>
    <w:rsid w:val="20016601"/>
    <w:rsid w:val="203C1140"/>
    <w:rsid w:val="20BD316F"/>
    <w:rsid w:val="20DD743B"/>
    <w:rsid w:val="21020C44"/>
    <w:rsid w:val="2103018E"/>
    <w:rsid w:val="210B3996"/>
    <w:rsid w:val="210E434B"/>
    <w:rsid w:val="21240868"/>
    <w:rsid w:val="21260956"/>
    <w:rsid w:val="212F7E4B"/>
    <w:rsid w:val="21315A3D"/>
    <w:rsid w:val="213A0CF6"/>
    <w:rsid w:val="214F2134"/>
    <w:rsid w:val="21610E47"/>
    <w:rsid w:val="21800895"/>
    <w:rsid w:val="219663B1"/>
    <w:rsid w:val="21AA42BF"/>
    <w:rsid w:val="21BC7A75"/>
    <w:rsid w:val="21C44BEE"/>
    <w:rsid w:val="21DF7EE9"/>
    <w:rsid w:val="220666F6"/>
    <w:rsid w:val="2208305B"/>
    <w:rsid w:val="220F32A2"/>
    <w:rsid w:val="223034CD"/>
    <w:rsid w:val="225715D0"/>
    <w:rsid w:val="22783F81"/>
    <w:rsid w:val="22980DD8"/>
    <w:rsid w:val="22AA3FF4"/>
    <w:rsid w:val="22BD5F70"/>
    <w:rsid w:val="22C519AF"/>
    <w:rsid w:val="22E3286D"/>
    <w:rsid w:val="22F3286D"/>
    <w:rsid w:val="2308655B"/>
    <w:rsid w:val="230A7819"/>
    <w:rsid w:val="232B46E9"/>
    <w:rsid w:val="2341729B"/>
    <w:rsid w:val="23475059"/>
    <w:rsid w:val="23612C7D"/>
    <w:rsid w:val="237C21FC"/>
    <w:rsid w:val="238A3E61"/>
    <w:rsid w:val="23994432"/>
    <w:rsid w:val="239B588D"/>
    <w:rsid w:val="23A70C82"/>
    <w:rsid w:val="23D11866"/>
    <w:rsid w:val="24335819"/>
    <w:rsid w:val="244A7406"/>
    <w:rsid w:val="246D7E59"/>
    <w:rsid w:val="247E789E"/>
    <w:rsid w:val="24952962"/>
    <w:rsid w:val="24B2282F"/>
    <w:rsid w:val="24DC2A81"/>
    <w:rsid w:val="25010EDD"/>
    <w:rsid w:val="250B7534"/>
    <w:rsid w:val="25390311"/>
    <w:rsid w:val="254F040B"/>
    <w:rsid w:val="254F5DC1"/>
    <w:rsid w:val="2555500E"/>
    <w:rsid w:val="25585215"/>
    <w:rsid w:val="255C30E8"/>
    <w:rsid w:val="257047BE"/>
    <w:rsid w:val="2593624D"/>
    <w:rsid w:val="25C53162"/>
    <w:rsid w:val="25D31B02"/>
    <w:rsid w:val="25DA6A91"/>
    <w:rsid w:val="25E104AF"/>
    <w:rsid w:val="260C2A20"/>
    <w:rsid w:val="261B3A72"/>
    <w:rsid w:val="26243349"/>
    <w:rsid w:val="262470E2"/>
    <w:rsid w:val="262D1444"/>
    <w:rsid w:val="262D4531"/>
    <w:rsid w:val="264C3505"/>
    <w:rsid w:val="26854985"/>
    <w:rsid w:val="26860565"/>
    <w:rsid w:val="26A16E16"/>
    <w:rsid w:val="26B36DB4"/>
    <w:rsid w:val="26DE0DB7"/>
    <w:rsid w:val="2702290D"/>
    <w:rsid w:val="270F023A"/>
    <w:rsid w:val="27124F8E"/>
    <w:rsid w:val="272D7BD4"/>
    <w:rsid w:val="273873D5"/>
    <w:rsid w:val="273D38EF"/>
    <w:rsid w:val="27453952"/>
    <w:rsid w:val="27586295"/>
    <w:rsid w:val="27710A46"/>
    <w:rsid w:val="27992CF1"/>
    <w:rsid w:val="27A42015"/>
    <w:rsid w:val="27C71DAA"/>
    <w:rsid w:val="27DC3F0A"/>
    <w:rsid w:val="28122215"/>
    <w:rsid w:val="2829179D"/>
    <w:rsid w:val="2833617A"/>
    <w:rsid w:val="28453701"/>
    <w:rsid w:val="28805BBA"/>
    <w:rsid w:val="288D0ABB"/>
    <w:rsid w:val="28981AE6"/>
    <w:rsid w:val="28DA5E8C"/>
    <w:rsid w:val="28F32139"/>
    <w:rsid w:val="291D65FB"/>
    <w:rsid w:val="292518B2"/>
    <w:rsid w:val="292C2C40"/>
    <w:rsid w:val="2939710B"/>
    <w:rsid w:val="29666381"/>
    <w:rsid w:val="296A5F6C"/>
    <w:rsid w:val="29736C6E"/>
    <w:rsid w:val="298172B5"/>
    <w:rsid w:val="29940171"/>
    <w:rsid w:val="29DB3E94"/>
    <w:rsid w:val="29E10664"/>
    <w:rsid w:val="29FD4568"/>
    <w:rsid w:val="2A067935"/>
    <w:rsid w:val="2A0D2667"/>
    <w:rsid w:val="2A102E2B"/>
    <w:rsid w:val="2A176950"/>
    <w:rsid w:val="2A233A66"/>
    <w:rsid w:val="2A510485"/>
    <w:rsid w:val="2A5529FA"/>
    <w:rsid w:val="2A57693D"/>
    <w:rsid w:val="2A5E32AB"/>
    <w:rsid w:val="2A647B55"/>
    <w:rsid w:val="2AA016B4"/>
    <w:rsid w:val="2B4803DF"/>
    <w:rsid w:val="2B676CBC"/>
    <w:rsid w:val="2B683608"/>
    <w:rsid w:val="2B717030"/>
    <w:rsid w:val="2B8863D7"/>
    <w:rsid w:val="2B913B24"/>
    <w:rsid w:val="2BAA633E"/>
    <w:rsid w:val="2BBD0F0F"/>
    <w:rsid w:val="2BC01D66"/>
    <w:rsid w:val="2BC0711A"/>
    <w:rsid w:val="2BC35781"/>
    <w:rsid w:val="2BDA6178"/>
    <w:rsid w:val="2BE51BB2"/>
    <w:rsid w:val="2BFA7F93"/>
    <w:rsid w:val="2BFB728C"/>
    <w:rsid w:val="2C0641C9"/>
    <w:rsid w:val="2C217575"/>
    <w:rsid w:val="2C271C7D"/>
    <w:rsid w:val="2C686297"/>
    <w:rsid w:val="2C733F13"/>
    <w:rsid w:val="2C891ED6"/>
    <w:rsid w:val="2C957B4C"/>
    <w:rsid w:val="2CA03122"/>
    <w:rsid w:val="2CA57561"/>
    <w:rsid w:val="2CDB0F18"/>
    <w:rsid w:val="2CE15055"/>
    <w:rsid w:val="2CF24E1A"/>
    <w:rsid w:val="2D184EBC"/>
    <w:rsid w:val="2D316461"/>
    <w:rsid w:val="2D357584"/>
    <w:rsid w:val="2D3E73E6"/>
    <w:rsid w:val="2D5B2D5B"/>
    <w:rsid w:val="2D650961"/>
    <w:rsid w:val="2DA5341F"/>
    <w:rsid w:val="2DAF1AC5"/>
    <w:rsid w:val="2DC34676"/>
    <w:rsid w:val="2DC670B6"/>
    <w:rsid w:val="2DCC315A"/>
    <w:rsid w:val="2E5215C6"/>
    <w:rsid w:val="2E676665"/>
    <w:rsid w:val="2E74131F"/>
    <w:rsid w:val="2E9201A1"/>
    <w:rsid w:val="2EAE2714"/>
    <w:rsid w:val="2EB82948"/>
    <w:rsid w:val="2EBA2DB3"/>
    <w:rsid w:val="2F2E7EEB"/>
    <w:rsid w:val="2F643CBE"/>
    <w:rsid w:val="2F677E5F"/>
    <w:rsid w:val="2F7A4BD3"/>
    <w:rsid w:val="2F8D6F52"/>
    <w:rsid w:val="2FA224B8"/>
    <w:rsid w:val="2FC71915"/>
    <w:rsid w:val="2FCA4CB6"/>
    <w:rsid w:val="2FCE366A"/>
    <w:rsid w:val="2FD14974"/>
    <w:rsid w:val="2FE44244"/>
    <w:rsid w:val="2FF83235"/>
    <w:rsid w:val="2FFD173F"/>
    <w:rsid w:val="300273FA"/>
    <w:rsid w:val="30057B80"/>
    <w:rsid w:val="302B0B0B"/>
    <w:rsid w:val="302C0E82"/>
    <w:rsid w:val="3032341C"/>
    <w:rsid w:val="304317B8"/>
    <w:rsid w:val="30636578"/>
    <w:rsid w:val="30744ECD"/>
    <w:rsid w:val="30774A1D"/>
    <w:rsid w:val="307D2098"/>
    <w:rsid w:val="30827CB2"/>
    <w:rsid w:val="30862187"/>
    <w:rsid w:val="30C419B0"/>
    <w:rsid w:val="30CA0DF1"/>
    <w:rsid w:val="312B5ED3"/>
    <w:rsid w:val="31327EC2"/>
    <w:rsid w:val="31497332"/>
    <w:rsid w:val="31A12270"/>
    <w:rsid w:val="31A57987"/>
    <w:rsid w:val="31A62D84"/>
    <w:rsid w:val="31B12BE7"/>
    <w:rsid w:val="31BB468E"/>
    <w:rsid w:val="31CE4E9F"/>
    <w:rsid w:val="31D00D31"/>
    <w:rsid w:val="31DE2C54"/>
    <w:rsid w:val="31FE7D85"/>
    <w:rsid w:val="3265210C"/>
    <w:rsid w:val="326A082D"/>
    <w:rsid w:val="32927B4F"/>
    <w:rsid w:val="329E47BA"/>
    <w:rsid w:val="32BD6FFF"/>
    <w:rsid w:val="32D10383"/>
    <w:rsid w:val="330A2A0A"/>
    <w:rsid w:val="331908F2"/>
    <w:rsid w:val="331E1146"/>
    <w:rsid w:val="333049B9"/>
    <w:rsid w:val="33305CBC"/>
    <w:rsid w:val="33323D23"/>
    <w:rsid w:val="3335539D"/>
    <w:rsid w:val="335E1D31"/>
    <w:rsid w:val="335F00E0"/>
    <w:rsid w:val="336B148C"/>
    <w:rsid w:val="337B469D"/>
    <w:rsid w:val="337E582A"/>
    <w:rsid w:val="33A63E1A"/>
    <w:rsid w:val="33B95D01"/>
    <w:rsid w:val="33C108EE"/>
    <w:rsid w:val="33E31660"/>
    <w:rsid w:val="33E46BED"/>
    <w:rsid w:val="33E76902"/>
    <w:rsid w:val="33F24DC0"/>
    <w:rsid w:val="3401009C"/>
    <w:rsid w:val="3403290B"/>
    <w:rsid w:val="342015F4"/>
    <w:rsid w:val="34537FE8"/>
    <w:rsid w:val="34647A9E"/>
    <w:rsid w:val="34CB1876"/>
    <w:rsid w:val="34E5722F"/>
    <w:rsid w:val="34E66D8D"/>
    <w:rsid w:val="34F434CA"/>
    <w:rsid w:val="350403BD"/>
    <w:rsid w:val="3508344B"/>
    <w:rsid w:val="35143EBF"/>
    <w:rsid w:val="35496682"/>
    <w:rsid w:val="35571615"/>
    <w:rsid w:val="356C4DC6"/>
    <w:rsid w:val="35735A24"/>
    <w:rsid w:val="35866B24"/>
    <w:rsid w:val="35980BD9"/>
    <w:rsid w:val="35CE22E4"/>
    <w:rsid w:val="35CF7E93"/>
    <w:rsid w:val="35DC3305"/>
    <w:rsid w:val="35E55F93"/>
    <w:rsid w:val="35ED7D93"/>
    <w:rsid w:val="35F2555B"/>
    <w:rsid w:val="360808CD"/>
    <w:rsid w:val="36085EC1"/>
    <w:rsid w:val="36237179"/>
    <w:rsid w:val="36300F9B"/>
    <w:rsid w:val="36307738"/>
    <w:rsid w:val="363812DD"/>
    <w:rsid w:val="364C2016"/>
    <w:rsid w:val="364E35D0"/>
    <w:rsid w:val="365A502A"/>
    <w:rsid w:val="365E44E6"/>
    <w:rsid w:val="3687636A"/>
    <w:rsid w:val="36ED52C6"/>
    <w:rsid w:val="370934BB"/>
    <w:rsid w:val="370F6B19"/>
    <w:rsid w:val="372D291C"/>
    <w:rsid w:val="374F15BA"/>
    <w:rsid w:val="376219CE"/>
    <w:rsid w:val="37663443"/>
    <w:rsid w:val="37C20955"/>
    <w:rsid w:val="37C239D4"/>
    <w:rsid w:val="37E02224"/>
    <w:rsid w:val="380F3AB3"/>
    <w:rsid w:val="381D0E02"/>
    <w:rsid w:val="38237F7C"/>
    <w:rsid w:val="382A1EE9"/>
    <w:rsid w:val="38572C39"/>
    <w:rsid w:val="38591D4D"/>
    <w:rsid w:val="38692D6A"/>
    <w:rsid w:val="386B5A27"/>
    <w:rsid w:val="38756490"/>
    <w:rsid w:val="388B2F05"/>
    <w:rsid w:val="389E186B"/>
    <w:rsid w:val="38A50F9A"/>
    <w:rsid w:val="38AD5420"/>
    <w:rsid w:val="38BB6B68"/>
    <w:rsid w:val="392C31D6"/>
    <w:rsid w:val="393617B4"/>
    <w:rsid w:val="39431537"/>
    <w:rsid w:val="39554C2A"/>
    <w:rsid w:val="39BA3684"/>
    <w:rsid w:val="39C6737D"/>
    <w:rsid w:val="39D548A2"/>
    <w:rsid w:val="3A053C64"/>
    <w:rsid w:val="3A105E9F"/>
    <w:rsid w:val="3A26158B"/>
    <w:rsid w:val="3A372BFA"/>
    <w:rsid w:val="3A5057D0"/>
    <w:rsid w:val="3A854941"/>
    <w:rsid w:val="3A9C7A28"/>
    <w:rsid w:val="3AA40D3D"/>
    <w:rsid w:val="3AB42FBD"/>
    <w:rsid w:val="3AE04A17"/>
    <w:rsid w:val="3AF4483A"/>
    <w:rsid w:val="3AFC3B23"/>
    <w:rsid w:val="3AFC66B4"/>
    <w:rsid w:val="3B1C7DB2"/>
    <w:rsid w:val="3B256F10"/>
    <w:rsid w:val="3B3D0010"/>
    <w:rsid w:val="3B672386"/>
    <w:rsid w:val="3BCF1717"/>
    <w:rsid w:val="3BDC792A"/>
    <w:rsid w:val="3C0A0517"/>
    <w:rsid w:val="3C177EEA"/>
    <w:rsid w:val="3C2A30F3"/>
    <w:rsid w:val="3C2B6636"/>
    <w:rsid w:val="3C4167F0"/>
    <w:rsid w:val="3C50616F"/>
    <w:rsid w:val="3C875B16"/>
    <w:rsid w:val="3C9C4BE6"/>
    <w:rsid w:val="3CB74F7C"/>
    <w:rsid w:val="3CC5134A"/>
    <w:rsid w:val="3CCE770A"/>
    <w:rsid w:val="3CD24D15"/>
    <w:rsid w:val="3CF071E9"/>
    <w:rsid w:val="3D207CFE"/>
    <w:rsid w:val="3D3437FC"/>
    <w:rsid w:val="3D5F3CBC"/>
    <w:rsid w:val="3D7A0AD0"/>
    <w:rsid w:val="3D813D78"/>
    <w:rsid w:val="3DD34002"/>
    <w:rsid w:val="3DE530D4"/>
    <w:rsid w:val="3E0E088E"/>
    <w:rsid w:val="3E1D40B2"/>
    <w:rsid w:val="3E2058A0"/>
    <w:rsid w:val="3E47191F"/>
    <w:rsid w:val="3E5410FD"/>
    <w:rsid w:val="3E7B53AF"/>
    <w:rsid w:val="3ED30010"/>
    <w:rsid w:val="3ED818A0"/>
    <w:rsid w:val="3F082449"/>
    <w:rsid w:val="3F2977C5"/>
    <w:rsid w:val="3F3018B2"/>
    <w:rsid w:val="3F32552E"/>
    <w:rsid w:val="3F3D2360"/>
    <w:rsid w:val="3F680E06"/>
    <w:rsid w:val="3F7124AE"/>
    <w:rsid w:val="3F722166"/>
    <w:rsid w:val="3FB02E1E"/>
    <w:rsid w:val="3FC464FE"/>
    <w:rsid w:val="3FD37A6D"/>
    <w:rsid w:val="3FE07E9A"/>
    <w:rsid w:val="3FF81676"/>
    <w:rsid w:val="401B1666"/>
    <w:rsid w:val="403409B2"/>
    <w:rsid w:val="40644B33"/>
    <w:rsid w:val="406823B9"/>
    <w:rsid w:val="40A95606"/>
    <w:rsid w:val="40AB0DA1"/>
    <w:rsid w:val="40B25C98"/>
    <w:rsid w:val="40D01C3B"/>
    <w:rsid w:val="40D45C40"/>
    <w:rsid w:val="40EC6DDC"/>
    <w:rsid w:val="40F80707"/>
    <w:rsid w:val="410B7759"/>
    <w:rsid w:val="410D0227"/>
    <w:rsid w:val="41196A78"/>
    <w:rsid w:val="41210272"/>
    <w:rsid w:val="41294FC1"/>
    <w:rsid w:val="41430845"/>
    <w:rsid w:val="41654AEA"/>
    <w:rsid w:val="41C73D0F"/>
    <w:rsid w:val="41CF474F"/>
    <w:rsid w:val="41E71B19"/>
    <w:rsid w:val="41EA0A7F"/>
    <w:rsid w:val="41F0671D"/>
    <w:rsid w:val="42223C93"/>
    <w:rsid w:val="422B0598"/>
    <w:rsid w:val="4233597F"/>
    <w:rsid w:val="424C742D"/>
    <w:rsid w:val="42683E5B"/>
    <w:rsid w:val="429F49BA"/>
    <w:rsid w:val="42A66CAB"/>
    <w:rsid w:val="42BC7AEC"/>
    <w:rsid w:val="42BD4483"/>
    <w:rsid w:val="42E4049A"/>
    <w:rsid w:val="43041130"/>
    <w:rsid w:val="43132214"/>
    <w:rsid w:val="432C60D3"/>
    <w:rsid w:val="43370D4C"/>
    <w:rsid w:val="43632096"/>
    <w:rsid w:val="43651B8B"/>
    <w:rsid w:val="436E01A5"/>
    <w:rsid w:val="43802347"/>
    <w:rsid w:val="43A13942"/>
    <w:rsid w:val="43A53233"/>
    <w:rsid w:val="43B3706F"/>
    <w:rsid w:val="43BB58DD"/>
    <w:rsid w:val="43BD1A19"/>
    <w:rsid w:val="43C11142"/>
    <w:rsid w:val="43D04346"/>
    <w:rsid w:val="43D42CB3"/>
    <w:rsid w:val="43D83751"/>
    <w:rsid w:val="43F8135B"/>
    <w:rsid w:val="44235D76"/>
    <w:rsid w:val="442E12D3"/>
    <w:rsid w:val="44383CC6"/>
    <w:rsid w:val="443B342B"/>
    <w:rsid w:val="443C1B79"/>
    <w:rsid w:val="44504808"/>
    <w:rsid w:val="44783925"/>
    <w:rsid w:val="4486062D"/>
    <w:rsid w:val="448940B4"/>
    <w:rsid w:val="448F18BF"/>
    <w:rsid w:val="44906D05"/>
    <w:rsid w:val="44B27F70"/>
    <w:rsid w:val="44C44C1B"/>
    <w:rsid w:val="44C701F9"/>
    <w:rsid w:val="44C81BF7"/>
    <w:rsid w:val="44D954F0"/>
    <w:rsid w:val="44F35314"/>
    <w:rsid w:val="44F407BD"/>
    <w:rsid w:val="44F46F86"/>
    <w:rsid w:val="45152EC8"/>
    <w:rsid w:val="45191BF7"/>
    <w:rsid w:val="452B263D"/>
    <w:rsid w:val="45381508"/>
    <w:rsid w:val="45423081"/>
    <w:rsid w:val="457446AF"/>
    <w:rsid w:val="458B1D97"/>
    <w:rsid w:val="45984FD7"/>
    <w:rsid w:val="459C2D68"/>
    <w:rsid w:val="45A07013"/>
    <w:rsid w:val="45A61368"/>
    <w:rsid w:val="45A95526"/>
    <w:rsid w:val="45B2089C"/>
    <w:rsid w:val="45B956C5"/>
    <w:rsid w:val="45C308F8"/>
    <w:rsid w:val="45FF1A71"/>
    <w:rsid w:val="461045E2"/>
    <w:rsid w:val="462148A8"/>
    <w:rsid w:val="462C6948"/>
    <w:rsid w:val="46405A7F"/>
    <w:rsid w:val="466F6913"/>
    <w:rsid w:val="46723F3E"/>
    <w:rsid w:val="467740B8"/>
    <w:rsid w:val="468D0CD2"/>
    <w:rsid w:val="4700359B"/>
    <w:rsid w:val="47174DB3"/>
    <w:rsid w:val="471A36AC"/>
    <w:rsid w:val="472D4E5E"/>
    <w:rsid w:val="47357966"/>
    <w:rsid w:val="473862B4"/>
    <w:rsid w:val="474358CD"/>
    <w:rsid w:val="477631D8"/>
    <w:rsid w:val="478C4ED8"/>
    <w:rsid w:val="47982D10"/>
    <w:rsid w:val="47AD21D3"/>
    <w:rsid w:val="47D06BC3"/>
    <w:rsid w:val="47E15C0C"/>
    <w:rsid w:val="47E36768"/>
    <w:rsid w:val="481374C8"/>
    <w:rsid w:val="48191029"/>
    <w:rsid w:val="48271F66"/>
    <w:rsid w:val="483A359D"/>
    <w:rsid w:val="48592C2E"/>
    <w:rsid w:val="485F32FE"/>
    <w:rsid w:val="487A6DEB"/>
    <w:rsid w:val="489937E1"/>
    <w:rsid w:val="48BB5E93"/>
    <w:rsid w:val="48C77ECA"/>
    <w:rsid w:val="491B701B"/>
    <w:rsid w:val="491F570A"/>
    <w:rsid w:val="49233622"/>
    <w:rsid w:val="49297E7E"/>
    <w:rsid w:val="4942763A"/>
    <w:rsid w:val="49470238"/>
    <w:rsid w:val="494B45B9"/>
    <w:rsid w:val="4950242A"/>
    <w:rsid w:val="497149EC"/>
    <w:rsid w:val="49A863B8"/>
    <w:rsid w:val="49A9461A"/>
    <w:rsid w:val="49C609FF"/>
    <w:rsid w:val="49CA6D8D"/>
    <w:rsid w:val="49F03550"/>
    <w:rsid w:val="49FD1B68"/>
    <w:rsid w:val="4A223342"/>
    <w:rsid w:val="4A224533"/>
    <w:rsid w:val="4A2D63C1"/>
    <w:rsid w:val="4A371704"/>
    <w:rsid w:val="4A444FF7"/>
    <w:rsid w:val="4A4D6F6B"/>
    <w:rsid w:val="4A616A40"/>
    <w:rsid w:val="4AA23B4F"/>
    <w:rsid w:val="4AA70E7C"/>
    <w:rsid w:val="4AAB7E1A"/>
    <w:rsid w:val="4AB46027"/>
    <w:rsid w:val="4AC710F7"/>
    <w:rsid w:val="4AD91935"/>
    <w:rsid w:val="4AD9505C"/>
    <w:rsid w:val="4B294E54"/>
    <w:rsid w:val="4B324676"/>
    <w:rsid w:val="4B3D6568"/>
    <w:rsid w:val="4B4579C5"/>
    <w:rsid w:val="4B667E31"/>
    <w:rsid w:val="4B6D418B"/>
    <w:rsid w:val="4B6E26A2"/>
    <w:rsid w:val="4B6F6A06"/>
    <w:rsid w:val="4B952139"/>
    <w:rsid w:val="4BB47A19"/>
    <w:rsid w:val="4BC54C8B"/>
    <w:rsid w:val="4BE00DD3"/>
    <w:rsid w:val="4BF363E8"/>
    <w:rsid w:val="4BFE5C25"/>
    <w:rsid w:val="4C237148"/>
    <w:rsid w:val="4C7F6D30"/>
    <w:rsid w:val="4C940784"/>
    <w:rsid w:val="4C9F4BDD"/>
    <w:rsid w:val="4CC16D67"/>
    <w:rsid w:val="4CCF446F"/>
    <w:rsid w:val="4D6C7E43"/>
    <w:rsid w:val="4D7C2113"/>
    <w:rsid w:val="4DAF18ED"/>
    <w:rsid w:val="4DB81C93"/>
    <w:rsid w:val="4DB939F6"/>
    <w:rsid w:val="4DC64B62"/>
    <w:rsid w:val="4E3F2F13"/>
    <w:rsid w:val="4E4C3715"/>
    <w:rsid w:val="4E5A40F3"/>
    <w:rsid w:val="4E866A84"/>
    <w:rsid w:val="4EA56E6D"/>
    <w:rsid w:val="4EA750BD"/>
    <w:rsid w:val="4F46562C"/>
    <w:rsid w:val="4F626B34"/>
    <w:rsid w:val="4F746B47"/>
    <w:rsid w:val="4F762D13"/>
    <w:rsid w:val="4F775FDE"/>
    <w:rsid w:val="4FB82BD0"/>
    <w:rsid w:val="4FBA4253"/>
    <w:rsid w:val="4FC010DC"/>
    <w:rsid w:val="4FE535DF"/>
    <w:rsid w:val="500062E6"/>
    <w:rsid w:val="500D4BFD"/>
    <w:rsid w:val="501E285E"/>
    <w:rsid w:val="5024289C"/>
    <w:rsid w:val="502E3A00"/>
    <w:rsid w:val="503E0E60"/>
    <w:rsid w:val="5060059A"/>
    <w:rsid w:val="50681E4C"/>
    <w:rsid w:val="50831069"/>
    <w:rsid w:val="50BC333C"/>
    <w:rsid w:val="50E26CB6"/>
    <w:rsid w:val="50FD6463"/>
    <w:rsid w:val="510A1427"/>
    <w:rsid w:val="510E0CFA"/>
    <w:rsid w:val="511E20DE"/>
    <w:rsid w:val="51234743"/>
    <w:rsid w:val="512543C2"/>
    <w:rsid w:val="5125663C"/>
    <w:rsid w:val="516114E2"/>
    <w:rsid w:val="517C6039"/>
    <w:rsid w:val="51824063"/>
    <w:rsid w:val="518A5AF1"/>
    <w:rsid w:val="518C330E"/>
    <w:rsid w:val="519F3669"/>
    <w:rsid w:val="51B60F1B"/>
    <w:rsid w:val="51BC6E88"/>
    <w:rsid w:val="51CB1AFB"/>
    <w:rsid w:val="51EB74E5"/>
    <w:rsid w:val="52020BD2"/>
    <w:rsid w:val="526934DA"/>
    <w:rsid w:val="52766775"/>
    <w:rsid w:val="528F0DC9"/>
    <w:rsid w:val="5292511B"/>
    <w:rsid w:val="52AD1675"/>
    <w:rsid w:val="52C9502E"/>
    <w:rsid w:val="52DB0171"/>
    <w:rsid w:val="52EC3EE0"/>
    <w:rsid w:val="52FD590D"/>
    <w:rsid w:val="530674A8"/>
    <w:rsid w:val="530F6B7A"/>
    <w:rsid w:val="5355169B"/>
    <w:rsid w:val="5364679C"/>
    <w:rsid w:val="53654E1D"/>
    <w:rsid w:val="536D4107"/>
    <w:rsid w:val="536F696D"/>
    <w:rsid w:val="53753D2F"/>
    <w:rsid w:val="5387341B"/>
    <w:rsid w:val="538C17D7"/>
    <w:rsid w:val="53B42000"/>
    <w:rsid w:val="53CF278C"/>
    <w:rsid w:val="540B5B03"/>
    <w:rsid w:val="540F674D"/>
    <w:rsid w:val="543E1E31"/>
    <w:rsid w:val="546A32F2"/>
    <w:rsid w:val="546F76DE"/>
    <w:rsid w:val="54B731AF"/>
    <w:rsid w:val="54C02128"/>
    <w:rsid w:val="54D86DEB"/>
    <w:rsid w:val="54E425AA"/>
    <w:rsid w:val="55064074"/>
    <w:rsid w:val="554047AA"/>
    <w:rsid w:val="555903D1"/>
    <w:rsid w:val="55723098"/>
    <w:rsid w:val="557D01FC"/>
    <w:rsid w:val="559B2D78"/>
    <w:rsid w:val="55A5607B"/>
    <w:rsid w:val="55C71816"/>
    <w:rsid w:val="55E00113"/>
    <w:rsid w:val="55FF3C9F"/>
    <w:rsid w:val="56453B96"/>
    <w:rsid w:val="56744A11"/>
    <w:rsid w:val="567D6431"/>
    <w:rsid w:val="567F09C5"/>
    <w:rsid w:val="56A60D14"/>
    <w:rsid w:val="56B1542F"/>
    <w:rsid w:val="56B54E3B"/>
    <w:rsid w:val="57161D7C"/>
    <w:rsid w:val="57184854"/>
    <w:rsid w:val="573621DE"/>
    <w:rsid w:val="573D73AB"/>
    <w:rsid w:val="575D71E8"/>
    <w:rsid w:val="57723F69"/>
    <w:rsid w:val="57740505"/>
    <w:rsid w:val="5780680A"/>
    <w:rsid w:val="57871F75"/>
    <w:rsid w:val="57946970"/>
    <w:rsid w:val="57B952B1"/>
    <w:rsid w:val="57CB115A"/>
    <w:rsid w:val="57DC4496"/>
    <w:rsid w:val="58077AF3"/>
    <w:rsid w:val="580F5357"/>
    <w:rsid w:val="58194AB7"/>
    <w:rsid w:val="58216F28"/>
    <w:rsid w:val="583A2477"/>
    <w:rsid w:val="58501EAA"/>
    <w:rsid w:val="588C35A0"/>
    <w:rsid w:val="589862CC"/>
    <w:rsid w:val="58A505CC"/>
    <w:rsid w:val="58A87D4B"/>
    <w:rsid w:val="58AE1D0D"/>
    <w:rsid w:val="58B32A1A"/>
    <w:rsid w:val="58BD79DA"/>
    <w:rsid w:val="58C507FC"/>
    <w:rsid w:val="58C804C6"/>
    <w:rsid w:val="59101387"/>
    <w:rsid w:val="59145778"/>
    <w:rsid w:val="593F7F95"/>
    <w:rsid w:val="595F3309"/>
    <w:rsid w:val="5998796E"/>
    <w:rsid w:val="59C400F9"/>
    <w:rsid w:val="59D0397F"/>
    <w:rsid w:val="59EF4A69"/>
    <w:rsid w:val="5A463DDF"/>
    <w:rsid w:val="5A525467"/>
    <w:rsid w:val="5A541020"/>
    <w:rsid w:val="5A7149D3"/>
    <w:rsid w:val="5A76216A"/>
    <w:rsid w:val="5A883978"/>
    <w:rsid w:val="5A8C7845"/>
    <w:rsid w:val="5A923F1F"/>
    <w:rsid w:val="5AB16242"/>
    <w:rsid w:val="5AB44E8B"/>
    <w:rsid w:val="5ABF1785"/>
    <w:rsid w:val="5AC11CCF"/>
    <w:rsid w:val="5AC67BC9"/>
    <w:rsid w:val="5B0F703C"/>
    <w:rsid w:val="5B123195"/>
    <w:rsid w:val="5B215E0E"/>
    <w:rsid w:val="5B2C01EB"/>
    <w:rsid w:val="5B5F6070"/>
    <w:rsid w:val="5B764A8E"/>
    <w:rsid w:val="5B8C005D"/>
    <w:rsid w:val="5B8F444A"/>
    <w:rsid w:val="5BCF1595"/>
    <w:rsid w:val="5BE924E2"/>
    <w:rsid w:val="5BF10BE8"/>
    <w:rsid w:val="5C182909"/>
    <w:rsid w:val="5C1B369F"/>
    <w:rsid w:val="5C485358"/>
    <w:rsid w:val="5C930647"/>
    <w:rsid w:val="5CB97967"/>
    <w:rsid w:val="5D045B54"/>
    <w:rsid w:val="5D04612E"/>
    <w:rsid w:val="5D076A16"/>
    <w:rsid w:val="5D0E2A0B"/>
    <w:rsid w:val="5D2E442E"/>
    <w:rsid w:val="5D347D3A"/>
    <w:rsid w:val="5D6255E7"/>
    <w:rsid w:val="5D7553D2"/>
    <w:rsid w:val="5DB51429"/>
    <w:rsid w:val="5DBF419E"/>
    <w:rsid w:val="5DC33975"/>
    <w:rsid w:val="5DCF2131"/>
    <w:rsid w:val="5DEA0AAE"/>
    <w:rsid w:val="5E0C766A"/>
    <w:rsid w:val="5E1122C6"/>
    <w:rsid w:val="5E1C3E11"/>
    <w:rsid w:val="5E2A04BC"/>
    <w:rsid w:val="5E513B9E"/>
    <w:rsid w:val="5E9128E9"/>
    <w:rsid w:val="5EA60B7B"/>
    <w:rsid w:val="5EBD3D5F"/>
    <w:rsid w:val="5EC74AF0"/>
    <w:rsid w:val="5ECF2145"/>
    <w:rsid w:val="5EE45A14"/>
    <w:rsid w:val="5EF231CD"/>
    <w:rsid w:val="5EFB62D5"/>
    <w:rsid w:val="5F002A90"/>
    <w:rsid w:val="5F0C3AFD"/>
    <w:rsid w:val="5F1C6D82"/>
    <w:rsid w:val="5F1F3D26"/>
    <w:rsid w:val="5F291E52"/>
    <w:rsid w:val="5F2B6CD7"/>
    <w:rsid w:val="5F696BC4"/>
    <w:rsid w:val="5F760973"/>
    <w:rsid w:val="5F7B28B3"/>
    <w:rsid w:val="5F864CEB"/>
    <w:rsid w:val="5FA236B4"/>
    <w:rsid w:val="5FE17A98"/>
    <w:rsid w:val="5FFB2AE5"/>
    <w:rsid w:val="600721F4"/>
    <w:rsid w:val="608C0004"/>
    <w:rsid w:val="608D429F"/>
    <w:rsid w:val="609324E5"/>
    <w:rsid w:val="609C2FBE"/>
    <w:rsid w:val="60B601DF"/>
    <w:rsid w:val="60C55936"/>
    <w:rsid w:val="60CF79E2"/>
    <w:rsid w:val="60D93B5A"/>
    <w:rsid w:val="610D4DCE"/>
    <w:rsid w:val="613B56E8"/>
    <w:rsid w:val="61530879"/>
    <w:rsid w:val="61543183"/>
    <w:rsid w:val="615F10FE"/>
    <w:rsid w:val="616B0FA2"/>
    <w:rsid w:val="61842912"/>
    <w:rsid w:val="618C0520"/>
    <w:rsid w:val="61A9098D"/>
    <w:rsid w:val="61C25B6C"/>
    <w:rsid w:val="61C4762D"/>
    <w:rsid w:val="61E97811"/>
    <w:rsid w:val="62371799"/>
    <w:rsid w:val="62910A5C"/>
    <w:rsid w:val="629155D6"/>
    <w:rsid w:val="62BD2580"/>
    <w:rsid w:val="62F648EE"/>
    <w:rsid w:val="630E596E"/>
    <w:rsid w:val="633B195C"/>
    <w:rsid w:val="63442EF0"/>
    <w:rsid w:val="6352470F"/>
    <w:rsid w:val="636A4263"/>
    <w:rsid w:val="636B5240"/>
    <w:rsid w:val="63AD3FA4"/>
    <w:rsid w:val="63B055AF"/>
    <w:rsid w:val="63BD1E52"/>
    <w:rsid w:val="63D01F6B"/>
    <w:rsid w:val="64075638"/>
    <w:rsid w:val="641500A2"/>
    <w:rsid w:val="64172825"/>
    <w:rsid w:val="641F2D9E"/>
    <w:rsid w:val="64202DC6"/>
    <w:rsid w:val="64207FB0"/>
    <w:rsid w:val="642739C0"/>
    <w:rsid w:val="64361941"/>
    <w:rsid w:val="643E43E0"/>
    <w:rsid w:val="645144EE"/>
    <w:rsid w:val="645667E8"/>
    <w:rsid w:val="64597D96"/>
    <w:rsid w:val="64717849"/>
    <w:rsid w:val="64A00420"/>
    <w:rsid w:val="64AA7EF3"/>
    <w:rsid w:val="64B60B2F"/>
    <w:rsid w:val="64F90CB1"/>
    <w:rsid w:val="65212235"/>
    <w:rsid w:val="6566142D"/>
    <w:rsid w:val="656E5C67"/>
    <w:rsid w:val="65785B97"/>
    <w:rsid w:val="659728AA"/>
    <w:rsid w:val="65AB004C"/>
    <w:rsid w:val="65B0017A"/>
    <w:rsid w:val="65C31E6C"/>
    <w:rsid w:val="65C93EAF"/>
    <w:rsid w:val="65D9419B"/>
    <w:rsid w:val="66052824"/>
    <w:rsid w:val="661F68BC"/>
    <w:rsid w:val="66247397"/>
    <w:rsid w:val="66341F85"/>
    <w:rsid w:val="6646277B"/>
    <w:rsid w:val="66624B45"/>
    <w:rsid w:val="66800E70"/>
    <w:rsid w:val="6696430E"/>
    <w:rsid w:val="66AE6C69"/>
    <w:rsid w:val="66D000CD"/>
    <w:rsid w:val="66DE779D"/>
    <w:rsid w:val="66E7729F"/>
    <w:rsid w:val="66EF2F88"/>
    <w:rsid w:val="66F62D95"/>
    <w:rsid w:val="676C3778"/>
    <w:rsid w:val="676F1D70"/>
    <w:rsid w:val="678F4084"/>
    <w:rsid w:val="67984197"/>
    <w:rsid w:val="67A7745E"/>
    <w:rsid w:val="67C8682C"/>
    <w:rsid w:val="67FE2A02"/>
    <w:rsid w:val="67FF050D"/>
    <w:rsid w:val="68255E06"/>
    <w:rsid w:val="68290650"/>
    <w:rsid w:val="68347887"/>
    <w:rsid w:val="686139AD"/>
    <w:rsid w:val="689A7AD2"/>
    <w:rsid w:val="68CA50AF"/>
    <w:rsid w:val="68EE6AED"/>
    <w:rsid w:val="68F351BA"/>
    <w:rsid w:val="69317A80"/>
    <w:rsid w:val="69330F71"/>
    <w:rsid w:val="69482A27"/>
    <w:rsid w:val="69513A74"/>
    <w:rsid w:val="695218D5"/>
    <w:rsid w:val="696D4097"/>
    <w:rsid w:val="697F58F9"/>
    <w:rsid w:val="69870636"/>
    <w:rsid w:val="69923A11"/>
    <w:rsid w:val="69C51D1A"/>
    <w:rsid w:val="69CE7B43"/>
    <w:rsid w:val="69D63F27"/>
    <w:rsid w:val="69FC2CB8"/>
    <w:rsid w:val="6A4B791D"/>
    <w:rsid w:val="6A5F2713"/>
    <w:rsid w:val="6A972B8F"/>
    <w:rsid w:val="6AA578C7"/>
    <w:rsid w:val="6ABA624C"/>
    <w:rsid w:val="6AC868F4"/>
    <w:rsid w:val="6AFF17C7"/>
    <w:rsid w:val="6B295089"/>
    <w:rsid w:val="6BAD7F92"/>
    <w:rsid w:val="6BC57D12"/>
    <w:rsid w:val="6BE82C8F"/>
    <w:rsid w:val="6BFB3E1B"/>
    <w:rsid w:val="6C0C459D"/>
    <w:rsid w:val="6C155823"/>
    <w:rsid w:val="6C1825D5"/>
    <w:rsid w:val="6C313825"/>
    <w:rsid w:val="6C3719E4"/>
    <w:rsid w:val="6CA36EC6"/>
    <w:rsid w:val="6CA5322A"/>
    <w:rsid w:val="6CB519DF"/>
    <w:rsid w:val="6CBF3ED6"/>
    <w:rsid w:val="6CC02984"/>
    <w:rsid w:val="6CE6439E"/>
    <w:rsid w:val="6CF74B19"/>
    <w:rsid w:val="6D024D0B"/>
    <w:rsid w:val="6D095DCD"/>
    <w:rsid w:val="6D7D5CF9"/>
    <w:rsid w:val="6D843BEF"/>
    <w:rsid w:val="6D86010E"/>
    <w:rsid w:val="6D8E36D3"/>
    <w:rsid w:val="6DE1768F"/>
    <w:rsid w:val="6DEF2708"/>
    <w:rsid w:val="6E3851B0"/>
    <w:rsid w:val="6E406336"/>
    <w:rsid w:val="6E461F37"/>
    <w:rsid w:val="6E4B7A20"/>
    <w:rsid w:val="6ED21161"/>
    <w:rsid w:val="6ED25A55"/>
    <w:rsid w:val="6ED74517"/>
    <w:rsid w:val="6EE23992"/>
    <w:rsid w:val="6F3A01D0"/>
    <w:rsid w:val="6F6249A3"/>
    <w:rsid w:val="6FA37741"/>
    <w:rsid w:val="6FB71E85"/>
    <w:rsid w:val="6FEC0000"/>
    <w:rsid w:val="70021316"/>
    <w:rsid w:val="70251764"/>
    <w:rsid w:val="704532AB"/>
    <w:rsid w:val="70547772"/>
    <w:rsid w:val="705A60AB"/>
    <w:rsid w:val="705B1F93"/>
    <w:rsid w:val="70787A1E"/>
    <w:rsid w:val="70A02177"/>
    <w:rsid w:val="70E94785"/>
    <w:rsid w:val="71164E68"/>
    <w:rsid w:val="712405E4"/>
    <w:rsid w:val="712941D2"/>
    <w:rsid w:val="713F23B2"/>
    <w:rsid w:val="7149287F"/>
    <w:rsid w:val="714D6A1F"/>
    <w:rsid w:val="714F0255"/>
    <w:rsid w:val="716E7F3B"/>
    <w:rsid w:val="719533EC"/>
    <w:rsid w:val="71E852C4"/>
    <w:rsid w:val="71F633B8"/>
    <w:rsid w:val="71F96EF3"/>
    <w:rsid w:val="72015D4C"/>
    <w:rsid w:val="7247063D"/>
    <w:rsid w:val="72637D1A"/>
    <w:rsid w:val="72817A23"/>
    <w:rsid w:val="729861E6"/>
    <w:rsid w:val="72D65DE4"/>
    <w:rsid w:val="72E33A5C"/>
    <w:rsid w:val="732C6925"/>
    <w:rsid w:val="73425E81"/>
    <w:rsid w:val="73443D4D"/>
    <w:rsid w:val="7380756C"/>
    <w:rsid w:val="739209B3"/>
    <w:rsid w:val="73A04021"/>
    <w:rsid w:val="73B3499D"/>
    <w:rsid w:val="73EE6B7F"/>
    <w:rsid w:val="7413634E"/>
    <w:rsid w:val="742E78B2"/>
    <w:rsid w:val="742F4960"/>
    <w:rsid w:val="745C7301"/>
    <w:rsid w:val="747D1B6F"/>
    <w:rsid w:val="74804F03"/>
    <w:rsid w:val="7493320B"/>
    <w:rsid w:val="74A64CA4"/>
    <w:rsid w:val="74AD55BF"/>
    <w:rsid w:val="74B60EE3"/>
    <w:rsid w:val="74C11D0D"/>
    <w:rsid w:val="74CA1872"/>
    <w:rsid w:val="74DD4A15"/>
    <w:rsid w:val="74E05E84"/>
    <w:rsid w:val="751E712D"/>
    <w:rsid w:val="75342496"/>
    <w:rsid w:val="75474DE8"/>
    <w:rsid w:val="75476597"/>
    <w:rsid w:val="754D7793"/>
    <w:rsid w:val="755D3847"/>
    <w:rsid w:val="757471F0"/>
    <w:rsid w:val="75796397"/>
    <w:rsid w:val="757B1DDD"/>
    <w:rsid w:val="75B97E87"/>
    <w:rsid w:val="75C4532B"/>
    <w:rsid w:val="75C61ADC"/>
    <w:rsid w:val="75CE551C"/>
    <w:rsid w:val="75E43F46"/>
    <w:rsid w:val="75F545E9"/>
    <w:rsid w:val="75FC0905"/>
    <w:rsid w:val="75FE45EA"/>
    <w:rsid w:val="76042FCE"/>
    <w:rsid w:val="7614051C"/>
    <w:rsid w:val="762558B3"/>
    <w:rsid w:val="76255EF7"/>
    <w:rsid w:val="76355E8A"/>
    <w:rsid w:val="763639CF"/>
    <w:rsid w:val="766A5D19"/>
    <w:rsid w:val="767A5A9F"/>
    <w:rsid w:val="76916515"/>
    <w:rsid w:val="76C55334"/>
    <w:rsid w:val="76E237AB"/>
    <w:rsid w:val="77137713"/>
    <w:rsid w:val="77271BFD"/>
    <w:rsid w:val="77510AE5"/>
    <w:rsid w:val="77522CD5"/>
    <w:rsid w:val="77831996"/>
    <w:rsid w:val="77931B15"/>
    <w:rsid w:val="77AA2348"/>
    <w:rsid w:val="77D231AF"/>
    <w:rsid w:val="77DE46D3"/>
    <w:rsid w:val="780F6DA3"/>
    <w:rsid w:val="78337C0B"/>
    <w:rsid w:val="78341F10"/>
    <w:rsid w:val="78350936"/>
    <w:rsid w:val="7839552E"/>
    <w:rsid w:val="78566BC8"/>
    <w:rsid w:val="785E5813"/>
    <w:rsid w:val="786D067F"/>
    <w:rsid w:val="786D7F30"/>
    <w:rsid w:val="788A03B6"/>
    <w:rsid w:val="788D2776"/>
    <w:rsid w:val="78AF2279"/>
    <w:rsid w:val="78B61206"/>
    <w:rsid w:val="78BC4D91"/>
    <w:rsid w:val="78F21A44"/>
    <w:rsid w:val="790F7007"/>
    <w:rsid w:val="791C6BD4"/>
    <w:rsid w:val="79207D46"/>
    <w:rsid w:val="793F5E6E"/>
    <w:rsid w:val="7946500C"/>
    <w:rsid w:val="79482E70"/>
    <w:rsid w:val="796035E0"/>
    <w:rsid w:val="796C3F60"/>
    <w:rsid w:val="796D3C59"/>
    <w:rsid w:val="797B1E31"/>
    <w:rsid w:val="797F0137"/>
    <w:rsid w:val="79B764D6"/>
    <w:rsid w:val="79CC49FF"/>
    <w:rsid w:val="79EB483D"/>
    <w:rsid w:val="7A0D4386"/>
    <w:rsid w:val="7A30384E"/>
    <w:rsid w:val="7A3C4925"/>
    <w:rsid w:val="7A437EA7"/>
    <w:rsid w:val="7A46090E"/>
    <w:rsid w:val="7A476315"/>
    <w:rsid w:val="7A6A0E96"/>
    <w:rsid w:val="7A7254EE"/>
    <w:rsid w:val="7A852FBF"/>
    <w:rsid w:val="7AAB1AE6"/>
    <w:rsid w:val="7ABC6FAF"/>
    <w:rsid w:val="7AC84515"/>
    <w:rsid w:val="7ADE4171"/>
    <w:rsid w:val="7AE2097E"/>
    <w:rsid w:val="7B1C1D68"/>
    <w:rsid w:val="7B5D3A6A"/>
    <w:rsid w:val="7B65685C"/>
    <w:rsid w:val="7B751C22"/>
    <w:rsid w:val="7B98053C"/>
    <w:rsid w:val="7BB85D35"/>
    <w:rsid w:val="7BCB75DF"/>
    <w:rsid w:val="7BD50503"/>
    <w:rsid w:val="7BDF310F"/>
    <w:rsid w:val="7C1341B5"/>
    <w:rsid w:val="7C182ED8"/>
    <w:rsid w:val="7C382575"/>
    <w:rsid w:val="7C51625D"/>
    <w:rsid w:val="7C6453C2"/>
    <w:rsid w:val="7C6A63F8"/>
    <w:rsid w:val="7C6B49A3"/>
    <w:rsid w:val="7C74368C"/>
    <w:rsid w:val="7CC71482"/>
    <w:rsid w:val="7CD36DB7"/>
    <w:rsid w:val="7D035BB6"/>
    <w:rsid w:val="7D137CD6"/>
    <w:rsid w:val="7D190E2A"/>
    <w:rsid w:val="7D332E73"/>
    <w:rsid w:val="7D4032F1"/>
    <w:rsid w:val="7D786351"/>
    <w:rsid w:val="7D890306"/>
    <w:rsid w:val="7D935DE6"/>
    <w:rsid w:val="7D9B4FEB"/>
    <w:rsid w:val="7DA712FB"/>
    <w:rsid w:val="7DAF3065"/>
    <w:rsid w:val="7DB12889"/>
    <w:rsid w:val="7DCB3F62"/>
    <w:rsid w:val="7DE94935"/>
    <w:rsid w:val="7E424211"/>
    <w:rsid w:val="7E723DC7"/>
    <w:rsid w:val="7E7271F2"/>
    <w:rsid w:val="7E7B4722"/>
    <w:rsid w:val="7E953D75"/>
    <w:rsid w:val="7E9F4859"/>
    <w:rsid w:val="7E9F58CF"/>
    <w:rsid w:val="7EA20697"/>
    <w:rsid w:val="7EA5419C"/>
    <w:rsid w:val="7EAC287C"/>
    <w:rsid w:val="7EC15CA3"/>
    <w:rsid w:val="7EF671F9"/>
    <w:rsid w:val="7F205267"/>
    <w:rsid w:val="7F231E22"/>
    <w:rsid w:val="7F460DAF"/>
    <w:rsid w:val="7F563AB9"/>
    <w:rsid w:val="7F567244"/>
    <w:rsid w:val="7F6322AE"/>
    <w:rsid w:val="7F820039"/>
    <w:rsid w:val="7FB016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link w:val="51"/>
    <w:qFormat/>
    <w:uiPriority w:val="0"/>
    <w:pPr>
      <w:keepNext/>
      <w:keepLines/>
      <w:spacing w:before="340" w:after="330" w:line="578" w:lineRule="atLeast"/>
      <w:outlineLvl w:val="0"/>
    </w:pPr>
    <w:rPr>
      <w:b/>
      <w:bCs/>
      <w:kern w:val="44"/>
      <w:sz w:val="44"/>
      <w:szCs w:val="44"/>
    </w:rPr>
  </w:style>
  <w:style w:type="paragraph" w:styleId="2">
    <w:name w:val="heading 2"/>
    <w:basedOn w:val="1"/>
    <w:next w:val="1"/>
    <w:link w:val="53"/>
    <w:unhideWhenUsed/>
    <w:qFormat/>
    <w:uiPriority w:val="0"/>
    <w:pPr>
      <w:keepNext/>
      <w:keepLines/>
      <w:spacing w:before="260" w:after="260" w:line="416" w:lineRule="atLeast"/>
      <w:outlineLvl w:val="1"/>
    </w:pPr>
    <w:rPr>
      <w:rFonts w:ascii="Cambria" w:hAnsi="Cambria" w:cs="Times New Roman"/>
      <w:b/>
      <w:bCs/>
      <w:sz w:val="32"/>
      <w:szCs w:val="32"/>
    </w:rPr>
  </w:style>
  <w:style w:type="paragraph" w:styleId="4">
    <w:name w:val="heading 3"/>
    <w:basedOn w:val="1"/>
    <w:next w:val="1"/>
    <w:link w:val="57"/>
    <w:qFormat/>
    <w:uiPriority w:val="99"/>
    <w:pPr>
      <w:keepNext/>
      <w:keepLines/>
      <w:spacing w:before="260" w:after="260" w:line="416" w:lineRule="auto"/>
      <w:ind w:firstLine="0" w:firstLineChars="0"/>
      <w:outlineLvl w:val="2"/>
    </w:pPr>
    <w:rPr>
      <w:rFonts w:ascii="Times New Roman" w:hAnsi="Times New Roman" w:cs="Times New Roman"/>
      <w:b/>
      <w:bCs/>
      <w:kern w:val="2"/>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5"/>
    <w:qFormat/>
    <w:uiPriority w:val="0"/>
    <w:pPr>
      <w:ind w:firstLine="420"/>
    </w:pPr>
    <w:rPr>
      <w:rFonts w:cs="Times New Roman"/>
    </w:rPr>
  </w:style>
  <w:style w:type="paragraph" w:styleId="6">
    <w:name w:val="Document Map"/>
    <w:basedOn w:val="1"/>
    <w:link w:val="66"/>
    <w:semiHidden/>
    <w:unhideWhenUsed/>
    <w:qFormat/>
    <w:locked/>
    <w:uiPriority w:val="99"/>
    <w:rPr>
      <w:rFonts w:ascii="宋体"/>
      <w:sz w:val="18"/>
      <w:szCs w:val="18"/>
    </w:rPr>
  </w:style>
  <w:style w:type="paragraph" w:styleId="7">
    <w:name w:val="annotation text"/>
    <w:basedOn w:val="1"/>
    <w:link w:val="67"/>
    <w:qFormat/>
    <w:locked/>
    <w:uiPriority w:val="0"/>
    <w:pPr>
      <w:spacing w:line="240" w:lineRule="auto"/>
      <w:ind w:firstLine="0" w:firstLineChars="0"/>
      <w:jc w:val="left"/>
    </w:pPr>
    <w:rPr>
      <w:rFonts w:ascii="宋体" w:hAnsi="Times New Roman" w:cs="Times New Roman"/>
      <w:sz w:val="24"/>
      <w:szCs w:val="22"/>
    </w:rPr>
  </w:style>
  <w:style w:type="paragraph" w:styleId="8">
    <w:name w:val="Body Text"/>
    <w:basedOn w:val="1"/>
    <w:next w:val="9"/>
    <w:link w:val="39"/>
    <w:qFormat/>
    <w:uiPriority w:val="99"/>
    <w:pPr>
      <w:spacing w:line="360" w:lineRule="exact"/>
    </w:pPr>
  </w:style>
  <w:style w:type="paragraph" w:styleId="9">
    <w:name w:val="Body Text Indent"/>
    <w:basedOn w:val="1"/>
    <w:next w:val="1"/>
    <w:link w:val="40"/>
    <w:qFormat/>
    <w:uiPriority w:val="99"/>
    <w:pPr>
      <w:spacing w:after="120"/>
      <w:ind w:left="420" w:leftChars="200"/>
    </w:pPr>
  </w:style>
  <w:style w:type="paragraph" w:styleId="1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11">
    <w:name w:val="Plain Text"/>
    <w:basedOn w:val="1"/>
    <w:link w:val="41"/>
    <w:qFormat/>
    <w:uiPriority w:val="99"/>
    <w:rPr>
      <w:rFonts w:ascii="宋体" w:hAnsi="Courier New" w:cs="宋体"/>
    </w:rPr>
  </w:style>
  <w:style w:type="paragraph" w:styleId="12">
    <w:name w:val="Body Text Indent 2"/>
    <w:basedOn w:val="1"/>
    <w:qFormat/>
    <w:locked/>
    <w:uiPriority w:val="0"/>
    <w:pPr>
      <w:tabs>
        <w:tab w:val="left" w:pos="1140"/>
      </w:tabs>
      <w:ind w:firstLine="560"/>
    </w:pPr>
    <w:rPr>
      <w:rFonts w:ascii="Arial" w:hAnsi="Arial"/>
      <w:color w:val="000000"/>
      <w:sz w:val="28"/>
    </w:rPr>
  </w:style>
  <w:style w:type="paragraph" w:styleId="13">
    <w:name w:val="Balloon Text"/>
    <w:basedOn w:val="1"/>
    <w:link w:val="42"/>
    <w:semiHidden/>
    <w:qFormat/>
    <w:uiPriority w:val="99"/>
    <w:pPr>
      <w:spacing w:line="240" w:lineRule="auto"/>
    </w:pPr>
    <w:rPr>
      <w:rFonts w:ascii="Times New Roman" w:hAnsi="Times New Roman" w:cs="Times New Roman"/>
      <w:sz w:val="18"/>
      <w:szCs w:val="18"/>
    </w:rPr>
  </w:style>
  <w:style w:type="paragraph" w:styleId="14">
    <w:name w:val="footer"/>
    <w:basedOn w:val="1"/>
    <w:link w:val="43"/>
    <w:qFormat/>
    <w:uiPriority w:val="99"/>
    <w:pPr>
      <w:tabs>
        <w:tab w:val="center" w:pos="4153"/>
        <w:tab w:val="right" w:pos="8306"/>
      </w:tabs>
      <w:snapToGrid w:val="0"/>
      <w:jc w:val="left"/>
    </w:pPr>
    <w:rPr>
      <w:sz w:val="18"/>
      <w:szCs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8">
    <w:name w:val="Body Text Indent 3"/>
    <w:basedOn w:val="1"/>
    <w:qFormat/>
    <w:locked/>
    <w:uiPriority w:val="0"/>
    <w:pPr>
      <w:ind w:left="420" w:leftChars="200"/>
    </w:pPr>
    <w:rPr>
      <w:sz w:val="16"/>
    </w:rPr>
  </w:style>
  <w:style w:type="paragraph" w:styleId="19">
    <w:name w:val="toc 2"/>
    <w:basedOn w:val="1"/>
    <w:next w:val="1"/>
    <w:qFormat/>
    <w:uiPriority w:val="39"/>
    <w:pPr>
      <w:tabs>
        <w:tab w:val="right" w:leader="dot" w:pos="8302"/>
      </w:tabs>
      <w:ind w:firstLine="0" w:firstLineChars="0"/>
      <w:jc w:val="left"/>
    </w:pPr>
  </w:style>
  <w:style w:type="paragraph" w:styleId="20">
    <w:name w:val="Normal (Web)"/>
    <w:basedOn w:val="1"/>
    <w:qFormat/>
    <w:uiPriority w:val="99"/>
    <w:pPr>
      <w:widowControl/>
      <w:spacing w:before="100" w:beforeAutospacing="1" w:after="119"/>
      <w:jc w:val="left"/>
    </w:pPr>
    <w:rPr>
      <w:rFonts w:ascii="宋体" w:hAnsi="宋体" w:cs="宋体"/>
      <w:sz w:val="24"/>
      <w:szCs w:val="24"/>
    </w:rPr>
  </w:style>
  <w:style w:type="paragraph" w:styleId="21">
    <w:name w:val="Title"/>
    <w:basedOn w:val="1"/>
    <w:next w:val="1"/>
    <w:link w:val="49"/>
    <w:qFormat/>
    <w:uiPriority w:val="0"/>
    <w:pPr>
      <w:spacing w:before="240" w:after="60"/>
      <w:jc w:val="center"/>
      <w:outlineLvl w:val="0"/>
    </w:pPr>
    <w:rPr>
      <w:rFonts w:ascii="Cambria" w:hAnsi="Cambria" w:cs="Times New Roman"/>
      <w:b/>
      <w:bCs/>
      <w:sz w:val="32"/>
      <w:szCs w:val="32"/>
    </w:rPr>
  </w:style>
  <w:style w:type="paragraph" w:styleId="22">
    <w:name w:val="annotation subject"/>
    <w:basedOn w:val="7"/>
    <w:next w:val="7"/>
    <w:link w:val="68"/>
    <w:semiHidden/>
    <w:unhideWhenUsed/>
    <w:qFormat/>
    <w:locked/>
    <w:uiPriority w:val="99"/>
    <w:pPr>
      <w:spacing w:line="400" w:lineRule="exact"/>
      <w:ind w:firstLine="200" w:firstLineChars="200"/>
    </w:pPr>
    <w:rPr>
      <w:rFonts w:ascii="Calibri" w:hAnsi="Calibri" w:cs="Calibri"/>
      <w:b/>
      <w:bCs/>
      <w:sz w:val="21"/>
      <w:szCs w:val="21"/>
    </w:rPr>
  </w:style>
  <w:style w:type="paragraph" w:styleId="23">
    <w:name w:val="Body Text First Indent 2"/>
    <w:basedOn w:val="9"/>
    <w:qFormat/>
    <w:locked/>
    <w:uiPriority w:val="0"/>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qFormat/>
    <w:uiPriority w:val="0"/>
    <w:rPr>
      <w:rFonts w:cs="Times New Roman"/>
      <w:b/>
    </w:rPr>
  </w:style>
  <w:style w:type="character" w:styleId="28">
    <w:name w:val="page number"/>
    <w:basedOn w:val="26"/>
    <w:qFormat/>
    <w:uiPriority w:val="99"/>
  </w:style>
  <w:style w:type="character" w:styleId="29">
    <w:name w:val="Hyperlink"/>
    <w:qFormat/>
    <w:uiPriority w:val="99"/>
    <w:rPr>
      <w:color w:val="auto"/>
      <w:u w:val="none"/>
    </w:rPr>
  </w:style>
  <w:style w:type="character" w:styleId="30">
    <w:name w:val="annotation reference"/>
    <w:unhideWhenUsed/>
    <w:qFormat/>
    <w:locked/>
    <w:uiPriority w:val="0"/>
    <w:rPr>
      <w:sz w:val="21"/>
      <w:szCs w:val="21"/>
    </w:rPr>
  </w:style>
  <w:style w:type="paragraph" w:customStyle="1" w:styleId="31">
    <w:name w:val="一级条标题"/>
    <w:basedOn w:val="32"/>
    <w:next w:val="33"/>
    <w:qFormat/>
    <w:uiPriority w:val="99"/>
    <w:pPr>
      <w:spacing w:line="240" w:lineRule="auto"/>
      <w:ind w:left="420"/>
      <w:outlineLvl w:val="2"/>
    </w:pPr>
  </w:style>
  <w:style w:type="paragraph" w:customStyle="1" w:styleId="3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3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4">
    <w:name w:val="BodyText"/>
    <w:basedOn w:val="1"/>
    <w:next w:val="35"/>
    <w:qFormat/>
    <w:uiPriority w:val="0"/>
    <w:pPr>
      <w:spacing w:after="120"/>
      <w:textAlignment w:val="baseline"/>
    </w:pPr>
    <w:rPr>
      <w:kern w:val="2"/>
      <w:szCs w:val="24"/>
    </w:rPr>
  </w:style>
  <w:style w:type="paragraph" w:customStyle="1" w:styleId="35">
    <w:name w:val="UserStyle_28"/>
    <w:basedOn w:val="36"/>
    <w:next w:val="37"/>
    <w:qFormat/>
    <w:uiPriority w:val="0"/>
    <w:pPr>
      <w:spacing w:line="240" w:lineRule="auto"/>
      <w:ind w:left="420"/>
    </w:pPr>
  </w:style>
  <w:style w:type="paragraph" w:customStyle="1" w:styleId="36">
    <w:name w:val="UserStyle_33"/>
    <w:next w:val="1"/>
    <w:qFormat/>
    <w:uiPriority w:val="0"/>
    <w:pPr>
      <w:spacing w:line="360" w:lineRule="auto"/>
      <w:jc w:val="both"/>
      <w:textAlignment w:val="baseline"/>
    </w:pPr>
    <w:rPr>
      <w:rFonts w:ascii="黑体" w:hAnsi="Times New Roman" w:eastAsia="黑体" w:cstheme="minorBidi"/>
      <w:sz w:val="21"/>
      <w:szCs w:val="21"/>
      <w:lang w:val="en-US" w:eastAsia="zh-CN" w:bidi="ar-SA"/>
    </w:rPr>
  </w:style>
  <w:style w:type="paragraph" w:customStyle="1" w:styleId="37">
    <w:name w:val="UserStyle_30"/>
    <w:next w:val="1"/>
    <w:qFormat/>
    <w:uiPriority w:val="0"/>
    <w:pPr>
      <w:ind w:firstLine="200" w:firstLineChars="200"/>
      <w:jc w:val="both"/>
      <w:textAlignment w:val="baseline"/>
    </w:pPr>
    <w:rPr>
      <w:rFonts w:ascii="宋体" w:hAnsi="Times New Roman" w:eastAsia="宋体" w:cstheme="minorBidi"/>
      <w:sz w:val="21"/>
      <w:szCs w:val="21"/>
      <w:lang w:val="en-US" w:eastAsia="zh-CN" w:bidi="ar-SA"/>
    </w:rPr>
  </w:style>
  <w:style w:type="paragraph" w:customStyle="1" w:styleId="38">
    <w:name w:val="样式 标题 3 + 首行缩进:  2 字符"/>
    <w:basedOn w:val="4"/>
    <w:qFormat/>
    <w:uiPriority w:val="0"/>
    <w:pPr>
      <w:spacing w:before="0" w:after="0" w:line="480" w:lineRule="exact"/>
      <w:jc w:val="left"/>
    </w:pPr>
    <w:rPr>
      <w:sz w:val="28"/>
      <w:szCs w:val="28"/>
      <w:lang w:bidi="ar-DZ"/>
    </w:rPr>
  </w:style>
  <w:style w:type="character" w:customStyle="1" w:styleId="39">
    <w:name w:val="正文文本 Char"/>
    <w:link w:val="8"/>
    <w:semiHidden/>
    <w:qFormat/>
    <w:locked/>
    <w:uiPriority w:val="99"/>
    <w:rPr>
      <w:rFonts w:ascii="Calibri" w:hAnsi="Calibri" w:cs="Calibri"/>
      <w:kern w:val="0"/>
      <w:sz w:val="21"/>
      <w:szCs w:val="21"/>
    </w:rPr>
  </w:style>
  <w:style w:type="character" w:customStyle="1" w:styleId="40">
    <w:name w:val="正文文本缩进 Char"/>
    <w:link w:val="9"/>
    <w:semiHidden/>
    <w:qFormat/>
    <w:locked/>
    <w:uiPriority w:val="99"/>
    <w:rPr>
      <w:rFonts w:ascii="Calibri" w:hAnsi="Calibri" w:cs="Calibri"/>
      <w:kern w:val="0"/>
      <w:sz w:val="21"/>
      <w:szCs w:val="21"/>
    </w:rPr>
  </w:style>
  <w:style w:type="character" w:customStyle="1" w:styleId="41">
    <w:name w:val="纯文本 Char"/>
    <w:link w:val="11"/>
    <w:semiHidden/>
    <w:qFormat/>
    <w:locked/>
    <w:uiPriority w:val="99"/>
    <w:rPr>
      <w:rFonts w:ascii="宋体" w:hAnsi="Courier New" w:cs="宋体"/>
      <w:kern w:val="0"/>
      <w:sz w:val="21"/>
      <w:szCs w:val="21"/>
    </w:rPr>
  </w:style>
  <w:style w:type="character" w:customStyle="1" w:styleId="42">
    <w:name w:val="批注框文本 Char"/>
    <w:link w:val="13"/>
    <w:qFormat/>
    <w:locked/>
    <w:uiPriority w:val="99"/>
    <w:rPr>
      <w:sz w:val="18"/>
      <w:szCs w:val="18"/>
    </w:rPr>
  </w:style>
  <w:style w:type="character" w:customStyle="1" w:styleId="43">
    <w:name w:val="页脚 Char"/>
    <w:link w:val="14"/>
    <w:qFormat/>
    <w:locked/>
    <w:uiPriority w:val="99"/>
    <w:rPr>
      <w:rFonts w:ascii="Calibri" w:hAnsi="Calibri" w:cs="Calibri"/>
      <w:kern w:val="0"/>
      <w:sz w:val="18"/>
      <w:szCs w:val="18"/>
    </w:rPr>
  </w:style>
  <w:style w:type="character" w:customStyle="1" w:styleId="44">
    <w:name w:val="页眉 Char"/>
    <w:link w:val="15"/>
    <w:qFormat/>
    <w:locked/>
    <w:uiPriority w:val="99"/>
    <w:rPr>
      <w:rFonts w:ascii="Calibri" w:hAnsi="Calibri" w:cs="Calibri"/>
      <w:kern w:val="0"/>
      <w:sz w:val="18"/>
      <w:szCs w:val="18"/>
    </w:rPr>
  </w:style>
  <w:style w:type="character" w:customStyle="1" w:styleId="45">
    <w:name w:val="Title Char"/>
    <w:qFormat/>
    <w:locked/>
    <w:uiPriority w:val="99"/>
    <w:rPr>
      <w:rFonts w:ascii="Cambria" w:hAnsi="Cambria" w:cs="Cambria"/>
      <w:b/>
      <w:bCs/>
      <w:kern w:val="0"/>
      <w:sz w:val="32"/>
      <w:szCs w:val="32"/>
    </w:rPr>
  </w:style>
  <w:style w:type="paragraph" w:customStyle="1" w:styleId="46">
    <w:name w:val="列出段落1"/>
    <w:basedOn w:val="1"/>
    <w:qFormat/>
    <w:uiPriority w:val="99"/>
    <w:pPr>
      <w:ind w:firstLine="420"/>
    </w:pPr>
  </w:style>
  <w:style w:type="paragraph" w:customStyle="1" w:styleId="47">
    <w:name w:val="Char Char4"/>
    <w:basedOn w:val="1"/>
    <w:qFormat/>
    <w:uiPriority w:val="99"/>
    <w:pPr>
      <w:spacing w:line="240" w:lineRule="auto"/>
      <w:ind w:firstLine="0" w:firstLineChars="0"/>
    </w:pPr>
    <w:rPr>
      <w:rFonts w:ascii="Tahoma" w:hAnsi="Tahoma" w:cs="Tahoma"/>
      <w:kern w:val="2"/>
      <w:sz w:val="24"/>
      <w:szCs w:val="24"/>
    </w:rPr>
  </w:style>
  <w:style w:type="paragraph" w:customStyle="1" w:styleId="48">
    <w:name w:val="默认段落字体 Para Char"/>
    <w:basedOn w:val="1"/>
    <w:qFormat/>
    <w:uiPriority w:val="99"/>
    <w:pPr>
      <w:spacing w:line="360" w:lineRule="auto"/>
    </w:pPr>
    <w:rPr>
      <w:rFonts w:ascii="宋体" w:hAnsi="宋体" w:cs="宋体"/>
      <w:kern w:val="2"/>
      <w:sz w:val="24"/>
      <w:szCs w:val="24"/>
    </w:rPr>
  </w:style>
  <w:style w:type="character" w:customStyle="1" w:styleId="49">
    <w:name w:val="标题 Char"/>
    <w:link w:val="21"/>
    <w:qFormat/>
    <w:locked/>
    <w:uiPriority w:val="0"/>
    <w:rPr>
      <w:rFonts w:ascii="Cambria" w:hAnsi="Cambria"/>
      <w:b/>
      <w:bCs/>
      <w:sz w:val="32"/>
      <w:szCs w:val="32"/>
    </w:rPr>
  </w:style>
  <w:style w:type="character" w:customStyle="1" w:styleId="50">
    <w:name w:val="Char Char"/>
    <w:qFormat/>
    <w:uiPriority w:val="99"/>
    <w:rPr>
      <w:rFonts w:ascii="Cambria" w:hAnsi="Cambria" w:cs="Cambria"/>
      <w:b/>
      <w:bCs/>
      <w:kern w:val="2"/>
      <w:sz w:val="32"/>
      <w:szCs w:val="32"/>
    </w:rPr>
  </w:style>
  <w:style w:type="character" w:customStyle="1" w:styleId="51">
    <w:name w:val="标题 1 Char"/>
    <w:link w:val="3"/>
    <w:qFormat/>
    <w:uiPriority w:val="0"/>
    <w:rPr>
      <w:rFonts w:ascii="Calibri" w:hAnsi="Calibri" w:cs="Calibri"/>
      <w:b/>
      <w:bCs/>
      <w:kern w:val="44"/>
      <w:sz w:val="44"/>
      <w:szCs w:val="44"/>
    </w:rPr>
  </w:style>
  <w:style w:type="paragraph" w:customStyle="1" w:styleId="52">
    <w:name w:val="TOC 标题1"/>
    <w:basedOn w:val="3"/>
    <w:next w:val="1"/>
    <w:unhideWhenUsed/>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character" w:customStyle="1" w:styleId="53">
    <w:name w:val="标题 2 Char"/>
    <w:link w:val="2"/>
    <w:semiHidden/>
    <w:qFormat/>
    <w:uiPriority w:val="0"/>
    <w:rPr>
      <w:rFonts w:ascii="Cambria" w:hAnsi="Cambria" w:eastAsia="宋体" w:cs="Times New Roman"/>
      <w:b/>
      <w:bCs/>
      <w:sz w:val="32"/>
      <w:szCs w:val="32"/>
    </w:rPr>
  </w:style>
  <w:style w:type="character" w:customStyle="1" w:styleId="54">
    <w:name w:val="apple-style-span"/>
    <w:basedOn w:val="26"/>
    <w:qFormat/>
    <w:uiPriority w:val="0"/>
  </w:style>
  <w:style w:type="character" w:customStyle="1" w:styleId="55">
    <w:name w:val="正文缩进 Char"/>
    <w:link w:val="5"/>
    <w:qFormat/>
    <w:uiPriority w:val="0"/>
    <w:rPr>
      <w:rFonts w:ascii="Calibri" w:hAnsi="Calibri" w:cs="Calibri"/>
      <w:sz w:val="21"/>
      <w:szCs w:val="21"/>
    </w:rPr>
  </w:style>
  <w:style w:type="paragraph" w:customStyle="1" w:styleId="56">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57">
    <w:name w:val="标题 3 Char"/>
    <w:link w:val="4"/>
    <w:qFormat/>
    <w:uiPriority w:val="99"/>
    <w:rPr>
      <w:b/>
      <w:bCs/>
      <w:kern w:val="2"/>
      <w:sz w:val="32"/>
      <w:szCs w:val="32"/>
    </w:rPr>
  </w:style>
  <w:style w:type="paragraph" w:customStyle="1" w:styleId="58">
    <w:name w:val="正文 New New New New"/>
    <w:qFormat/>
    <w:uiPriority w:val="99"/>
    <w:pPr>
      <w:widowControl w:val="0"/>
      <w:jc w:val="both"/>
    </w:pPr>
    <w:rPr>
      <w:rFonts w:ascii="Times New Roman" w:hAnsi="Times New Roman" w:eastAsia="宋体" w:cs="Times New Roman"/>
      <w:szCs w:val="24"/>
      <w:lang w:val="en-US" w:eastAsia="zh-CN" w:bidi="ar-SA"/>
    </w:rPr>
  </w:style>
  <w:style w:type="paragraph" w:customStyle="1" w:styleId="59">
    <w:name w:val="图表中 居中加粗"/>
    <w:basedOn w:val="1"/>
    <w:link w:val="60"/>
    <w:qFormat/>
    <w:uiPriority w:val="99"/>
    <w:pPr>
      <w:spacing w:line="360" w:lineRule="auto"/>
      <w:ind w:firstLine="0" w:firstLineChars="0"/>
      <w:jc w:val="center"/>
    </w:pPr>
    <w:rPr>
      <w:rFonts w:ascii="Times New Roman" w:hAnsi="Times New Roman" w:cs="Times New Roman"/>
      <w:b/>
      <w:bCs/>
      <w:sz w:val="18"/>
      <w:szCs w:val="18"/>
    </w:rPr>
  </w:style>
  <w:style w:type="character" w:customStyle="1" w:styleId="60">
    <w:name w:val="图表中 居中加粗 Char"/>
    <w:link w:val="59"/>
    <w:qFormat/>
    <w:locked/>
    <w:uiPriority w:val="99"/>
    <w:rPr>
      <w:b/>
      <w:bCs/>
      <w:sz w:val="18"/>
      <w:szCs w:val="18"/>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2">
    <w:name w:val="列出段落2"/>
    <w:basedOn w:val="1"/>
    <w:qFormat/>
    <w:uiPriority w:val="34"/>
    <w:pPr>
      <w:spacing w:line="240" w:lineRule="auto"/>
      <w:ind w:firstLine="420"/>
    </w:pPr>
    <w:rPr>
      <w:rFonts w:ascii="Times New Roman" w:hAnsi="Times New Roman" w:cs="Times New Roman"/>
      <w:kern w:val="2"/>
      <w:szCs w:val="20"/>
    </w:rPr>
  </w:style>
  <w:style w:type="paragraph" w:styleId="63">
    <w:name w:val="List Paragraph"/>
    <w:basedOn w:val="1"/>
    <w:qFormat/>
    <w:uiPriority w:val="34"/>
    <w:pPr>
      <w:spacing w:line="360" w:lineRule="auto"/>
      <w:ind w:firstLine="420"/>
    </w:pPr>
    <w:rPr>
      <w:rFonts w:cs="Times New Roman"/>
      <w:kern w:val="2"/>
      <w:sz w:val="24"/>
      <w:szCs w:val="22"/>
    </w:rPr>
  </w:style>
  <w:style w:type="character" w:customStyle="1" w:styleId="64">
    <w:name w:val="bg02"/>
    <w:basedOn w:val="26"/>
    <w:qFormat/>
    <w:uiPriority w:val="0"/>
  </w:style>
  <w:style w:type="character" w:customStyle="1" w:styleId="65">
    <w:name w:val="font11"/>
    <w:qFormat/>
    <w:uiPriority w:val="0"/>
    <w:rPr>
      <w:rFonts w:hint="eastAsia" w:ascii="宋体" w:hAnsi="宋体" w:eastAsia="宋体" w:cs="宋体"/>
      <w:color w:val="000000"/>
      <w:sz w:val="24"/>
      <w:szCs w:val="24"/>
      <w:u w:val="none"/>
    </w:rPr>
  </w:style>
  <w:style w:type="character" w:customStyle="1" w:styleId="66">
    <w:name w:val="文档结构图 Char"/>
    <w:link w:val="6"/>
    <w:semiHidden/>
    <w:qFormat/>
    <w:uiPriority w:val="99"/>
    <w:rPr>
      <w:rFonts w:ascii="宋体" w:hAnsi="Calibri" w:cs="Calibri"/>
      <w:sz w:val="18"/>
      <w:szCs w:val="18"/>
    </w:rPr>
  </w:style>
  <w:style w:type="character" w:customStyle="1" w:styleId="67">
    <w:name w:val="批注文字 Char"/>
    <w:link w:val="7"/>
    <w:qFormat/>
    <w:uiPriority w:val="0"/>
    <w:rPr>
      <w:rFonts w:ascii="宋体"/>
      <w:sz w:val="24"/>
      <w:szCs w:val="22"/>
    </w:rPr>
  </w:style>
  <w:style w:type="character" w:customStyle="1" w:styleId="68">
    <w:name w:val="批注主题 Char"/>
    <w:link w:val="22"/>
    <w:qFormat/>
    <w:uiPriority w:val="0"/>
    <w:rPr>
      <w:rFonts w:ascii="宋体"/>
      <w:sz w:val="24"/>
      <w:szCs w:val="22"/>
    </w:rPr>
  </w:style>
  <w:style w:type="character" w:customStyle="1" w:styleId="69">
    <w:name w:val="fontstyle01"/>
    <w:qFormat/>
    <w:uiPriority w:val="0"/>
    <w:rPr>
      <w:rFonts w:hint="default" w:ascii="FZLTXHKM-Identity-H" w:hAnsi="FZLTXHKM-Identity-H"/>
      <w:color w:val="231F20"/>
      <w:sz w:val="18"/>
      <w:szCs w:val="18"/>
    </w:rPr>
  </w:style>
  <w:style w:type="paragraph" w:styleId="7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71">
    <w:name w:val="_Style 32"/>
    <w:qFormat/>
    <w:uiPriority w:val="1"/>
    <w:pPr>
      <w:widowControl w:val="0"/>
      <w:jc w:val="both"/>
    </w:pPr>
    <w:rPr>
      <w:rFonts w:ascii="Calibri" w:hAnsi="Calibri" w:eastAsia="宋体" w:cs="Times New Roman"/>
      <w:kern w:val="2"/>
      <w:sz w:val="21"/>
      <w:szCs w:val="24"/>
      <w:lang w:val="en-US" w:eastAsia="zh-CN" w:bidi="ar-SA"/>
    </w:rPr>
  </w:style>
  <w:style w:type="paragraph" w:customStyle="1" w:styleId="72">
    <w:name w:val="2"/>
    <w:qFormat/>
    <w:uiPriority w:val="1"/>
    <w:pPr>
      <w:widowControl w:val="0"/>
      <w:jc w:val="both"/>
    </w:pPr>
    <w:rPr>
      <w:rFonts w:ascii="Calibri" w:hAnsi="Calibri" w:eastAsia="宋体" w:cs="Times New Roman"/>
      <w:kern w:val="2"/>
      <w:sz w:val="21"/>
      <w:szCs w:val="24"/>
      <w:lang w:val="en-US" w:eastAsia="zh-CN" w:bidi="ar-SA"/>
    </w:rPr>
  </w:style>
  <w:style w:type="paragraph" w:customStyle="1" w:styleId="73">
    <w:name w:val="Char"/>
    <w:basedOn w:val="1"/>
    <w:qFormat/>
    <w:uiPriority w:val="0"/>
    <w:pPr>
      <w:widowControl/>
      <w:spacing w:after="160" w:line="240" w:lineRule="exact"/>
      <w:jc w:val="left"/>
    </w:pPr>
    <w:rPr>
      <w:rFonts w:ascii="Verdana" w:hAnsi="Verdana"/>
      <w:szCs w:val="20"/>
      <w:lang w:eastAsia="en-US"/>
    </w:rPr>
  </w:style>
  <w:style w:type="paragraph" w:customStyle="1" w:styleId="74">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75">
    <w:name w:val="_Style 29"/>
    <w:basedOn w:val="1"/>
    <w:qFormat/>
    <w:uiPriority w:val="34"/>
    <w:pPr>
      <w:spacing w:line="240" w:lineRule="auto"/>
      <w:ind w:firstLine="420"/>
    </w:pPr>
    <w:rPr>
      <w:rFonts w:cs="Times New Roman"/>
      <w:kern w:val="2"/>
      <w:szCs w:val="24"/>
    </w:rPr>
  </w:style>
  <w:style w:type="paragraph" w:customStyle="1" w:styleId="76">
    <w:name w:val="WPSOffice手动目录 1"/>
    <w:qFormat/>
    <w:uiPriority w:val="0"/>
    <w:rPr>
      <w:rFonts w:ascii="Calibri" w:hAnsi="Calibri" w:eastAsia="宋体" w:cs="Times New Roman"/>
      <w:lang w:val="en-US" w:eastAsia="zh-CN" w:bidi="ar-SA"/>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character" w:customStyle="1" w:styleId="78">
    <w:name w:val="NormalCharacter"/>
    <w:semiHidden/>
    <w:qFormat/>
    <w:uiPriority w:val="0"/>
    <w:rPr>
      <w:rFonts w:ascii="Calibri" w:hAnsi="Calibri" w:eastAsia="宋体" w:cs="Calibri"/>
      <w:sz w:val="21"/>
      <w:szCs w:val="21"/>
      <w:lang w:val="en-US" w:eastAsia="zh-CN" w:bidi="ar-SA"/>
    </w:rPr>
  </w:style>
  <w:style w:type="character" w:customStyle="1" w:styleId="79">
    <w:name w:val="font41"/>
    <w:basedOn w:val="26"/>
    <w:qFormat/>
    <w:uiPriority w:val="0"/>
    <w:rPr>
      <w:rFonts w:ascii="Calibri" w:hAnsi="Calibri" w:cs="Calibri"/>
      <w:color w:val="000000"/>
      <w:sz w:val="24"/>
      <w:szCs w:val="24"/>
      <w:u w:val="none"/>
    </w:rPr>
  </w:style>
  <w:style w:type="character" w:customStyle="1" w:styleId="80">
    <w:name w:val="font21"/>
    <w:basedOn w:val="26"/>
    <w:qFormat/>
    <w:uiPriority w:val="0"/>
    <w:rPr>
      <w:rFonts w:hint="eastAsia" w:ascii="宋体" w:hAnsi="宋体" w:eastAsia="宋体" w:cs="宋体"/>
      <w:color w:val="000000"/>
      <w:sz w:val="24"/>
      <w:szCs w:val="24"/>
      <w:u w:val="none"/>
    </w:rPr>
  </w:style>
  <w:style w:type="paragraph" w:customStyle="1" w:styleId="81">
    <w:name w:val="正文文本缩进 21"/>
    <w:basedOn w:val="1"/>
    <w:qFormat/>
    <w:uiPriority w:val="0"/>
    <w:pPr>
      <w:spacing w:after="120" w:line="480" w:lineRule="auto"/>
      <w:ind w:left="200" w:leftChars="200"/>
    </w:pPr>
  </w:style>
  <w:style w:type="paragraph" w:customStyle="1" w:styleId="82">
    <w:name w:val="Table Paragraph"/>
    <w:basedOn w:val="1"/>
    <w:qFormat/>
    <w:uiPriority w:val="6"/>
    <w:rPr>
      <w:rFonts w:ascii="宋体" w:hAnsi="宋体" w:cs="宋体"/>
      <w:lang w:val="zh-CN" w:bidi="zh-CN"/>
    </w:rPr>
  </w:style>
  <w:style w:type="paragraph" w:customStyle="1" w:styleId="83">
    <w:name w:val="纯文本1"/>
    <w:basedOn w:val="1"/>
    <w:qFormat/>
    <w:uiPriority w:val="0"/>
    <w:rPr>
      <w:rFonts w:ascii="宋体" w:hAnsi="宋体" w:cs="Courier New"/>
      <w:szCs w:val="20"/>
    </w:rPr>
  </w:style>
  <w:style w:type="paragraph" w:customStyle="1" w:styleId="84">
    <w:name w:val="文章正文"/>
    <w:basedOn w:val="1"/>
    <w:qFormat/>
    <w:uiPriority w:val="0"/>
    <w:pPr>
      <w:spacing w:line="240" w:lineRule="auto"/>
      <w:ind w:firstLine="560"/>
    </w:pPr>
    <w:rPr>
      <w:rFonts w:ascii="仿宋_GB2312" w:hAnsi="仿宋_GB2312" w:eastAsia="仿宋_GB2312" w:cs="宋体"/>
      <w:color w:val="00000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53934-481B-4DA8-B833-524AC9779FA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79</Pages>
  <Words>40677</Words>
  <Characters>44467</Characters>
  <Lines>357</Lines>
  <Paragraphs>100</Paragraphs>
  <TotalTime>211</TotalTime>
  <ScaleCrop>false</ScaleCrop>
  <LinksUpToDate>false</LinksUpToDate>
  <CharactersWithSpaces>47074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2021-10-03T02:55:00Z</dcterms:created>
  <dc:creator>Administrator</dc:creator>
  <cp:lastModifiedBy>Administrator</cp:lastModifiedBy>
  <cp:lastPrinted>2022-02-17T01:10:00Z</cp:lastPrinted>
  <dcterms:modified xsi:type="dcterms:W3CDTF">2022-07-06T01:15:25Z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9535CB680A834B4DAC155E5AF63610AC</vt:lpwstr>
  </property>
</Properties>
</file>