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eastAsia="zh-CN"/>
        </w:rPr>
        <w:t>青海省林业有害生物国家级中心测报点能力提升建设项目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89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6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格政采询价（货物）2019-009号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青海省林业有害生物国家级中心测报点能力提升建设项目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询价招标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人民币45.50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人民币36.50万元整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2019年7月8日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2019/07/12  10:30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2019/07/12  13:00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具体要求详见《询价采购文件》内容。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成交内容：青海省林业有害生物国家级中心测报点能力提升建设项目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成交金额：36.50万元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交货日期：合同签订后30个日历日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成交供应商：深圳市名高科技有限公司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第二名：青海海洋电子科技有限公司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第三名：青海树星商贸有限公司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宋其胜、郑有为、李小萍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格尔木市林业工作站  </w:t>
            </w:r>
            <w:bookmarkStart w:id="0" w:name="_GoBack"/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0979-8491371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联系电话：0979-8418247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2019年7月12日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E5C4B"/>
    <w:rsid w:val="25E752C0"/>
    <w:rsid w:val="2E947955"/>
    <w:rsid w:val="39426A54"/>
    <w:rsid w:val="419365DA"/>
    <w:rsid w:val="466867D3"/>
    <w:rsid w:val="4C916BC5"/>
    <w:rsid w:val="53776244"/>
    <w:rsid w:val="547B2316"/>
    <w:rsid w:val="59406BEE"/>
    <w:rsid w:val="64F84BF6"/>
    <w:rsid w:val="674C21D6"/>
    <w:rsid w:val="6B944453"/>
    <w:rsid w:val="70DE05A7"/>
    <w:rsid w:val="765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2019-07-12T07:38:02Z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