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0"/>
        <w:rPr>
          <w:rFonts w:ascii="Times New Roman"/>
          <w:sz w:val="6"/>
        </w:rPr>
      </w:pPr>
    </w:p>
    <w:p>
      <w:pPr>
        <w:pStyle w:val="8"/>
        <w:ind w:left="756"/>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6"/>
        </w:rPr>
      </w:pPr>
    </w:p>
    <w:p>
      <w:pPr>
        <w:pStyle w:val="20"/>
      </w:pPr>
      <w:r>
        <w:t>竞争性磋商文件</w:t>
      </w:r>
    </w:p>
    <w:p>
      <w:pPr>
        <w:pStyle w:val="8"/>
        <w:rPr>
          <w:sz w:val="84"/>
        </w:rPr>
      </w:pPr>
    </w:p>
    <w:p>
      <w:pPr>
        <w:pStyle w:val="8"/>
        <w:rPr>
          <w:sz w:val="84"/>
        </w:rPr>
      </w:pPr>
    </w:p>
    <w:p>
      <w:pPr>
        <w:pStyle w:val="2"/>
        <w:spacing w:before="630"/>
        <w:ind w:left="100" w:right="0"/>
        <w:jc w:val="left"/>
        <w:rPr>
          <w:rFonts w:hint="eastAsia" w:eastAsia="宋体"/>
          <w:lang w:val="en-US" w:eastAsia="zh-CN"/>
        </w:rPr>
      </w:pPr>
      <w:bookmarkStart w:id="0" w:name="_Toc18996"/>
      <w:r>
        <w:t>采购项目编号：</w:t>
      </w:r>
      <w:r>
        <w:rPr>
          <w:rFonts w:hint="eastAsia"/>
        </w:rPr>
        <w:t>果政采</w:t>
      </w:r>
      <w:r>
        <w:t>竞磋（服务）2021-</w:t>
      </w:r>
      <w:r>
        <w:rPr>
          <w:rFonts w:hint="eastAsia"/>
        </w:rPr>
        <w:t>0</w:t>
      </w:r>
      <w:r>
        <w:rPr>
          <w:rFonts w:hint="eastAsia"/>
          <w:lang w:val="en-US" w:eastAsia="zh-CN"/>
        </w:rPr>
        <w:t>2</w:t>
      </w:r>
      <w:bookmarkEnd w:id="0"/>
    </w:p>
    <w:p>
      <w:pPr>
        <w:pStyle w:val="8"/>
        <w:spacing w:before="11"/>
        <w:rPr>
          <w:sz w:val="36"/>
        </w:rPr>
      </w:pPr>
    </w:p>
    <w:p>
      <w:pPr>
        <w:tabs>
          <w:tab w:val="left" w:pos="1002"/>
          <w:tab w:val="left" w:pos="1907"/>
        </w:tabs>
        <w:spacing w:line="484" w:lineRule="auto"/>
        <w:ind w:left="2619" w:leftChars="45" w:right="1563" w:hanging="2520" w:hangingChars="700"/>
        <w:rPr>
          <w:rFonts w:hint="eastAsia"/>
          <w:sz w:val="36"/>
          <w:lang w:val="en-US" w:eastAsia="zh-CN"/>
        </w:rPr>
      </w:pPr>
      <w:r>
        <w:rPr>
          <w:sz w:val="36"/>
        </w:rPr>
        <w:t>采购项目名称：</w:t>
      </w:r>
      <w:r>
        <w:rPr>
          <w:rFonts w:hint="eastAsia"/>
          <w:sz w:val="36"/>
        </w:rPr>
        <w:t>果洛州</w:t>
      </w:r>
      <w:r>
        <w:rPr>
          <w:rFonts w:hint="eastAsia"/>
          <w:sz w:val="36"/>
          <w:lang w:val="en-US" w:eastAsia="zh-CN"/>
        </w:rPr>
        <w:t>公安局购置执法执勤、专业技术用车项目</w:t>
      </w:r>
    </w:p>
    <w:p>
      <w:pPr>
        <w:tabs>
          <w:tab w:val="left" w:pos="1002"/>
          <w:tab w:val="left" w:pos="1907"/>
        </w:tabs>
        <w:spacing w:line="484" w:lineRule="auto"/>
        <w:ind w:left="100" w:right="1563"/>
        <w:rPr>
          <w:rFonts w:hint="eastAsia" w:eastAsia="宋体"/>
          <w:sz w:val="36"/>
          <w:lang w:val="en-US" w:eastAsia="zh-CN"/>
        </w:rPr>
      </w:pPr>
      <w:r>
        <w:rPr>
          <w:rFonts w:hint="eastAsia"/>
          <w:spacing w:val="85"/>
          <w:sz w:val="36"/>
        </w:rPr>
        <w:t>项目</w:t>
      </w:r>
      <w:r>
        <w:rPr>
          <w:spacing w:val="85"/>
          <w:sz w:val="36"/>
        </w:rPr>
        <w:t>采购人</w:t>
      </w:r>
      <w:r>
        <w:rPr>
          <w:sz w:val="36"/>
        </w:rPr>
        <w:t>：</w:t>
      </w:r>
      <w:r>
        <w:rPr>
          <w:rFonts w:hint="eastAsia"/>
          <w:sz w:val="36"/>
        </w:rPr>
        <w:t>果洛州</w:t>
      </w:r>
      <w:r>
        <w:rPr>
          <w:rFonts w:hint="eastAsia"/>
          <w:sz w:val="36"/>
          <w:lang w:val="en-US" w:eastAsia="zh-CN"/>
        </w:rPr>
        <w:t>公安局</w:t>
      </w:r>
    </w:p>
    <w:p>
      <w:pPr>
        <w:pStyle w:val="2"/>
        <w:spacing w:before="4"/>
        <w:ind w:left="100" w:right="0"/>
        <w:jc w:val="left"/>
      </w:pPr>
      <w:bookmarkStart w:id="1" w:name="_Toc13390"/>
      <w:r>
        <w:t>采购代理机构：</w:t>
      </w:r>
      <w:r>
        <w:rPr>
          <w:rFonts w:hint="eastAsia"/>
        </w:rPr>
        <w:t>果洛州政府采购服务中心</w:t>
      </w:r>
      <w:bookmarkEnd w:id="1"/>
    </w:p>
    <w:p>
      <w:pPr>
        <w:pStyle w:val="8"/>
        <w:spacing w:before="11"/>
        <w:rPr>
          <w:sz w:val="36"/>
        </w:rPr>
      </w:pPr>
    </w:p>
    <w:p>
      <w:pPr>
        <w:ind w:left="2015" w:right="2491"/>
        <w:jc w:val="center"/>
        <w:rPr>
          <w:sz w:val="36"/>
        </w:rPr>
      </w:pPr>
      <w:r>
        <w:rPr>
          <w:sz w:val="36"/>
        </w:rPr>
        <w:t>2021</w:t>
      </w:r>
      <w:r>
        <w:rPr>
          <w:spacing w:val="-59"/>
          <w:sz w:val="36"/>
        </w:rPr>
        <w:t xml:space="preserve"> 年 </w:t>
      </w:r>
      <w:r>
        <w:rPr>
          <w:rFonts w:hint="eastAsia"/>
          <w:spacing w:val="-59"/>
          <w:sz w:val="36"/>
          <w:lang w:val="en-US" w:eastAsia="zh-CN"/>
        </w:rPr>
        <w:t xml:space="preserve"> 11  </w:t>
      </w:r>
      <w:r>
        <w:rPr>
          <w:spacing w:val="-44"/>
          <w:sz w:val="36"/>
        </w:rPr>
        <w:t>月</w:t>
      </w:r>
    </w:p>
    <w:p>
      <w:pPr>
        <w:jc w:val="center"/>
        <w:rPr>
          <w:sz w:val="36"/>
        </w:rPr>
        <w:sectPr>
          <w:headerReference r:id="rId3" w:type="default"/>
          <w:type w:val="continuous"/>
          <w:pgSz w:w="11910" w:h="16840"/>
          <w:pgMar w:top="1420" w:right="500" w:bottom="280" w:left="980" w:header="1137" w:footer="720" w:gutter="0"/>
          <w:pgNumType w:fmt="decimal" w:start="1"/>
          <w:cols w:space="720" w:num="1"/>
        </w:sectPr>
      </w:pPr>
    </w:p>
    <w:p>
      <w:pPr>
        <w:spacing w:before="14"/>
        <w:ind w:left="2015" w:right="2491"/>
        <w:jc w:val="center"/>
        <w:rPr>
          <w:sz w:val="40"/>
        </w:rPr>
      </w:pPr>
      <w:bookmarkStart w:id="2" w:name="目__录"/>
      <w:bookmarkEnd w:id="2"/>
      <w:r>
        <w:rPr>
          <w:spacing w:val="67"/>
          <w:sz w:val="40"/>
        </w:rPr>
        <w:t>目 录</w:t>
      </w:r>
    </w:p>
    <w:sdt>
      <w:sdtPr>
        <w:rPr>
          <w:rFonts w:ascii="宋体" w:hAnsi="宋体" w:eastAsia="宋体" w:cs="宋体"/>
          <w:sz w:val="21"/>
          <w:szCs w:val="22"/>
          <w:lang w:val="en-US" w:eastAsia="zh-CN" w:bidi="ar-SA"/>
        </w:rPr>
        <w:id w:val="147463320"/>
        <w15:color w:val="DBDBDB"/>
        <w:docPartObj>
          <w:docPartGallery w:val="Table of Contents"/>
          <w:docPartUnique/>
        </w:docPartObj>
      </w:sdtPr>
      <w:sdtEndPr>
        <w:rPr>
          <w:rFonts w:ascii="宋体" w:hAnsi="宋体" w:eastAsia="宋体" w:cs="宋体"/>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37"/>
            <w:tabs>
              <w:tab w:val="right" w:leader="dot" w:pos="10500"/>
            </w:tabs>
            <w:ind w:left="0" w:leftChars="0" w:firstLine="0" w:firstLineChars="0"/>
            <w:jc w:val="both"/>
            <w:rPr>
              <w:rFonts w:hint="eastAsia" w:ascii="宋体" w:hAnsi="宋体" w:eastAsia="宋体" w:cs="宋体"/>
              <w:sz w:val="24"/>
              <w:szCs w:val="24"/>
            </w:rPr>
          </w:pPr>
          <w:r>
            <w:fldChar w:fldCharType="begin"/>
          </w:r>
          <w:r>
            <w:instrText xml:space="preserve">TOC \o "1-3" \h \u </w:instrText>
          </w:r>
          <w: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_Toc18996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第一部分 竞争性磋商公告</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pPr>
            <w:pStyle w:val="38"/>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_Toc25584 </w:instrText>
          </w:r>
          <w:r>
            <w:rPr>
              <w:rFonts w:hint="eastAsia" w:ascii="宋体" w:hAnsi="宋体" w:eastAsia="宋体" w:cs="宋体"/>
              <w:sz w:val="24"/>
              <w:szCs w:val="24"/>
            </w:rPr>
            <w:fldChar w:fldCharType="separate"/>
          </w:r>
          <w:r>
            <w:rPr>
              <w:rFonts w:hint="eastAsia" w:ascii="宋体" w:hAnsi="宋体" w:eastAsia="宋体" w:cs="宋体"/>
              <w:spacing w:val="10"/>
              <w:sz w:val="24"/>
              <w:szCs w:val="24"/>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_Toc25584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_Toc19245 </w:instrText>
          </w:r>
          <w:r>
            <w:rPr>
              <w:rFonts w:hint="eastAsia" w:ascii="宋体" w:hAnsi="宋体" w:eastAsia="宋体" w:cs="宋体"/>
              <w:sz w:val="24"/>
              <w:szCs w:val="24"/>
            </w:rPr>
            <w:fldChar w:fldCharType="separate"/>
          </w:r>
          <w:r>
            <w:rPr>
              <w:rFonts w:hint="eastAsia" w:ascii="宋体" w:hAnsi="宋体" w:eastAsia="宋体" w:cs="宋体"/>
              <w:spacing w:val="17"/>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_Toc19245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_Toc13118 </w:instrText>
          </w:r>
          <w:r>
            <w:rPr>
              <w:rFonts w:hint="eastAsia" w:ascii="宋体" w:hAnsi="宋体" w:eastAsia="宋体" w:cs="宋体"/>
              <w:sz w:val="24"/>
              <w:szCs w:val="24"/>
            </w:rPr>
            <w:fldChar w:fldCharType="separate"/>
          </w:r>
          <w:r>
            <w:rPr>
              <w:rFonts w:hint="eastAsia" w:ascii="宋体" w:hAnsi="宋体" w:eastAsia="宋体" w:cs="宋体"/>
              <w:spacing w:val="32"/>
              <w:sz w:val="24"/>
              <w:szCs w:val="24"/>
            </w:rPr>
            <w:t>一、说 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_Toc13118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_Toc24863 </w:instrText>
          </w:r>
          <w:r>
            <w:rPr>
              <w:rFonts w:hint="eastAsia" w:ascii="宋体" w:hAnsi="宋体" w:eastAsia="宋体" w:cs="宋体"/>
              <w:sz w:val="24"/>
              <w:szCs w:val="24"/>
            </w:rPr>
            <w:fldChar w:fldCharType="separate"/>
          </w:r>
          <w:r>
            <w:rPr>
              <w:rFonts w:hint="eastAsia" w:ascii="宋体" w:hAnsi="宋体" w:eastAsia="宋体" w:cs="宋体"/>
              <w:spacing w:val="-2"/>
              <w:w w:val="100"/>
              <w:sz w:val="24"/>
              <w:szCs w:val="24"/>
              <w:lang w:val="en-US" w:eastAsia="zh-CN" w:bidi="ar-SA"/>
            </w:rPr>
            <w:t xml:space="preserve">1. </w:t>
          </w:r>
          <w:r>
            <w:rPr>
              <w:rFonts w:hint="eastAsia" w:ascii="宋体" w:hAnsi="宋体" w:eastAsia="宋体" w:cs="宋体"/>
              <w:sz w:val="24"/>
              <w:szCs w:val="24"/>
            </w:rPr>
            <w:t>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_Toc24863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_Toc9966 </w:instrText>
          </w:r>
          <w:r>
            <w:rPr>
              <w:rFonts w:hint="eastAsia" w:ascii="宋体" w:hAnsi="宋体" w:eastAsia="宋体" w:cs="宋体"/>
              <w:sz w:val="24"/>
              <w:szCs w:val="24"/>
            </w:rPr>
            <w:fldChar w:fldCharType="separate"/>
          </w:r>
          <w:r>
            <w:rPr>
              <w:rFonts w:hint="eastAsia" w:ascii="宋体" w:hAnsi="宋体" w:eastAsia="宋体" w:cs="宋体"/>
              <w:spacing w:val="-2"/>
              <w:w w:val="100"/>
              <w:sz w:val="24"/>
              <w:szCs w:val="24"/>
              <w:lang w:val="en-US" w:eastAsia="zh-CN" w:bidi="ar-SA"/>
            </w:rPr>
            <w:t xml:space="preserve">2. </w:t>
          </w:r>
          <w:r>
            <w:rPr>
              <w:rFonts w:hint="eastAsia" w:ascii="宋体" w:hAnsi="宋体" w:eastAsia="宋体" w:cs="宋体"/>
              <w:sz w:val="24"/>
              <w:szCs w:val="24"/>
            </w:rPr>
            <w:t>采购方式、合格的供应商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_Toc9966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_Toc8730 </w:instrText>
          </w:r>
          <w:r>
            <w:rPr>
              <w:rFonts w:hint="eastAsia" w:ascii="宋体" w:hAnsi="宋体" w:eastAsia="宋体" w:cs="宋体"/>
              <w:sz w:val="24"/>
              <w:szCs w:val="24"/>
            </w:rPr>
            <w:fldChar w:fldCharType="separate"/>
          </w:r>
          <w:r>
            <w:rPr>
              <w:rFonts w:hint="eastAsia" w:ascii="宋体" w:hAnsi="宋体" w:eastAsia="宋体" w:cs="宋体"/>
              <w:spacing w:val="-2"/>
              <w:w w:val="100"/>
              <w:sz w:val="24"/>
              <w:szCs w:val="24"/>
              <w:lang w:val="en-US" w:eastAsia="zh-CN" w:bidi="ar-SA"/>
            </w:rPr>
            <w:t xml:space="preserve">3. </w:t>
          </w:r>
          <w:r>
            <w:rPr>
              <w:rFonts w:hint="eastAsia" w:ascii="宋体" w:hAnsi="宋体" w:eastAsia="宋体" w:cs="宋体"/>
              <w:sz w:val="24"/>
              <w:szCs w:val="24"/>
            </w:rPr>
            <w:t>投标费用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_Toc8730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_Toc23033 </w:instrText>
          </w:r>
          <w:r>
            <w:rPr>
              <w:rFonts w:hint="eastAsia" w:ascii="宋体" w:hAnsi="宋体" w:eastAsia="宋体" w:cs="宋体"/>
              <w:sz w:val="24"/>
              <w:szCs w:val="24"/>
            </w:rPr>
            <w:fldChar w:fldCharType="separate"/>
          </w:r>
          <w:r>
            <w:rPr>
              <w:rFonts w:hint="eastAsia" w:ascii="宋体" w:hAnsi="宋体" w:eastAsia="宋体" w:cs="宋体"/>
              <w:sz w:val="24"/>
              <w:szCs w:val="24"/>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_Toc23033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_Toc18600 </w:instrText>
          </w:r>
          <w:r>
            <w:rPr>
              <w:rFonts w:hint="eastAsia" w:ascii="宋体" w:hAnsi="宋体" w:eastAsia="宋体" w:cs="宋体"/>
              <w:sz w:val="24"/>
              <w:szCs w:val="24"/>
            </w:rPr>
            <w:fldChar w:fldCharType="separate"/>
          </w:r>
          <w:r>
            <w:rPr>
              <w:rFonts w:hint="eastAsia" w:ascii="宋体" w:hAnsi="宋体" w:eastAsia="宋体" w:cs="宋体"/>
              <w:sz w:val="24"/>
              <w:szCs w:val="24"/>
            </w:rPr>
            <w:t>三、响应文件的编制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_Toc18600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_Toc17003 </w:instrText>
          </w:r>
          <w:r>
            <w:rPr>
              <w:rFonts w:hint="eastAsia" w:ascii="宋体" w:hAnsi="宋体" w:eastAsia="宋体" w:cs="宋体"/>
              <w:sz w:val="24"/>
              <w:szCs w:val="24"/>
            </w:rPr>
            <w:fldChar w:fldCharType="separate"/>
          </w:r>
          <w:r>
            <w:rPr>
              <w:rFonts w:hint="eastAsia" w:ascii="宋体" w:hAnsi="宋体" w:eastAsia="宋体" w:cs="宋体"/>
              <w:sz w:val="24"/>
              <w:szCs w:val="24"/>
            </w:rPr>
            <w:t>四、响应文件的递交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_Toc17003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_Toc10657 </w:instrText>
          </w:r>
          <w:r>
            <w:rPr>
              <w:rFonts w:hint="eastAsia" w:ascii="宋体" w:hAnsi="宋体" w:eastAsia="宋体" w:cs="宋体"/>
              <w:sz w:val="24"/>
              <w:szCs w:val="24"/>
            </w:rPr>
            <w:fldChar w:fldCharType="separate"/>
          </w:r>
          <w:r>
            <w:rPr>
              <w:rFonts w:hint="eastAsia" w:ascii="宋体" w:hAnsi="宋体" w:eastAsia="宋体" w:cs="宋体"/>
              <w:sz w:val="24"/>
              <w:szCs w:val="24"/>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_Toc10657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_Toc17589 </w:instrText>
          </w:r>
          <w:r>
            <w:rPr>
              <w:rFonts w:hint="eastAsia" w:ascii="宋体" w:hAnsi="宋体" w:eastAsia="宋体" w:cs="宋体"/>
              <w:sz w:val="24"/>
              <w:szCs w:val="24"/>
            </w:rPr>
            <w:fldChar w:fldCharType="separate"/>
          </w:r>
          <w:r>
            <w:rPr>
              <w:rFonts w:hint="eastAsia" w:ascii="宋体" w:hAnsi="宋体" w:eastAsia="宋体" w:cs="宋体"/>
              <w:sz w:val="24"/>
              <w:szCs w:val="24"/>
            </w:rPr>
            <w:t>六、磋商程序及方法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_Toc17589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_Toc22212 </w:instrText>
          </w:r>
          <w:r>
            <w:rPr>
              <w:rFonts w:hint="eastAsia" w:ascii="宋体" w:hAnsi="宋体" w:eastAsia="宋体" w:cs="宋体"/>
              <w:sz w:val="24"/>
              <w:szCs w:val="24"/>
            </w:rPr>
            <w:fldChar w:fldCharType="separate"/>
          </w:r>
          <w:r>
            <w:rPr>
              <w:rFonts w:hint="eastAsia" w:ascii="宋体" w:hAnsi="宋体" w:eastAsia="宋体" w:cs="宋体"/>
              <w:sz w:val="24"/>
              <w:szCs w:val="24"/>
            </w:rPr>
            <w:t>七、确定成交供应商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_Toc22212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_Toc13921 </w:instrText>
          </w:r>
          <w:r>
            <w:rPr>
              <w:rFonts w:hint="eastAsia" w:ascii="宋体" w:hAnsi="宋体" w:eastAsia="宋体" w:cs="宋体"/>
              <w:sz w:val="24"/>
              <w:szCs w:val="24"/>
            </w:rPr>
            <w:fldChar w:fldCharType="separate"/>
          </w:r>
          <w:r>
            <w:rPr>
              <w:rFonts w:hint="eastAsia" w:ascii="宋体" w:hAnsi="宋体" w:eastAsia="宋体" w:cs="宋体"/>
              <w:sz w:val="24"/>
              <w:szCs w:val="24"/>
            </w:rPr>
            <w:t>八、授予合同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_Toc13921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_Toc22297 </w:instrText>
          </w:r>
          <w:r>
            <w:rPr>
              <w:rFonts w:hint="eastAsia" w:ascii="宋体" w:hAnsi="宋体" w:eastAsia="宋体" w:cs="宋体"/>
              <w:sz w:val="24"/>
              <w:szCs w:val="24"/>
            </w:rPr>
            <w:fldChar w:fldCharType="separate"/>
          </w:r>
          <w:r>
            <w:rPr>
              <w:rFonts w:hint="eastAsia" w:ascii="宋体" w:hAnsi="宋体" w:eastAsia="宋体" w:cs="宋体"/>
              <w:sz w:val="24"/>
              <w:szCs w:val="24"/>
            </w:rPr>
            <w:t>九、磋商活动终止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_Toc22297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_Toc29561 </w:instrText>
          </w:r>
          <w:r>
            <w:rPr>
              <w:rFonts w:hint="eastAsia" w:ascii="宋体" w:hAnsi="宋体" w:eastAsia="宋体" w:cs="宋体"/>
              <w:sz w:val="24"/>
              <w:szCs w:val="24"/>
            </w:rPr>
            <w:fldChar w:fldCharType="separate"/>
          </w:r>
          <w:r>
            <w:rPr>
              <w:rFonts w:hint="eastAsia" w:ascii="宋体" w:hAnsi="宋体" w:eastAsia="宋体" w:cs="宋体"/>
              <w:sz w:val="24"/>
              <w:szCs w:val="24"/>
            </w:rPr>
            <w:t>十、处罚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_Toc29561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_Toc11059 </w:instrText>
          </w:r>
          <w:r>
            <w:rPr>
              <w:rFonts w:hint="eastAsia" w:ascii="宋体" w:hAnsi="宋体" w:eastAsia="宋体" w:cs="宋体"/>
              <w:sz w:val="24"/>
              <w:szCs w:val="24"/>
            </w:rPr>
            <w:fldChar w:fldCharType="separate"/>
          </w:r>
          <w:r>
            <w:rPr>
              <w:rFonts w:hint="eastAsia" w:ascii="宋体" w:hAnsi="宋体" w:eastAsia="宋体" w:cs="宋体"/>
              <w:sz w:val="24"/>
              <w:szCs w:val="24"/>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_Toc11059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sz w:val="24"/>
              <w:szCs w:val="24"/>
            </w:rPr>
            <w:t>第四部分 果洛州政府采购项目合同书范本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tabs>
              <w:tab w:val="right" w:leader="dot" w:pos="10500"/>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_Toc17625 </w:instrText>
          </w:r>
          <w:r>
            <w:rPr>
              <w:rFonts w:hint="eastAsia" w:ascii="宋体" w:hAnsi="宋体" w:eastAsia="宋体" w:cs="宋体"/>
              <w:sz w:val="24"/>
              <w:szCs w:val="24"/>
            </w:rPr>
            <w:fldChar w:fldCharType="separate"/>
          </w:r>
          <w:r>
            <w:rPr>
              <w:rFonts w:hint="eastAsia" w:ascii="宋体" w:hAnsi="宋体" w:eastAsia="宋体" w:cs="宋体"/>
              <w:sz w:val="24"/>
              <w:szCs w:val="24"/>
            </w:rPr>
            <w:t>果洛州政府采购项目合同书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_Toc17625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_Toc31826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_Toc31826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_Toc5275 </w:instrText>
          </w:r>
          <w:r>
            <w:rPr>
              <w:rFonts w:hint="eastAsia" w:ascii="宋体" w:hAnsi="宋体" w:eastAsia="宋体" w:cs="宋体"/>
              <w:sz w:val="24"/>
              <w:szCs w:val="24"/>
            </w:rPr>
            <w:fldChar w:fldCharType="separate"/>
          </w:r>
          <w:r>
            <w:rPr>
              <w:rFonts w:hint="eastAsia" w:ascii="宋体" w:hAnsi="宋体" w:eastAsia="宋体" w:cs="宋体"/>
              <w:spacing w:val="28"/>
              <w:w w:val="95"/>
              <w:sz w:val="24"/>
              <w:szCs w:val="24"/>
            </w:rPr>
            <w:t xml:space="preserve">格式 </w:t>
          </w:r>
          <w:r>
            <w:rPr>
              <w:rFonts w:hint="eastAsia" w:ascii="宋体" w:hAnsi="宋体" w:eastAsia="宋体" w:cs="宋体"/>
              <w:w w:val="95"/>
              <w:sz w:val="24"/>
              <w:szCs w:val="24"/>
            </w:rPr>
            <w:t>1：响应文件封面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_Toc5275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_Toc30814 </w:instrText>
          </w:r>
          <w:r>
            <w:rPr>
              <w:rFonts w:hint="eastAsia" w:ascii="宋体" w:hAnsi="宋体" w:eastAsia="宋体" w:cs="宋体"/>
              <w:sz w:val="24"/>
              <w:szCs w:val="24"/>
            </w:rPr>
            <w:fldChar w:fldCharType="separate"/>
          </w:r>
          <w:r>
            <w:rPr>
              <w:rFonts w:hint="eastAsia" w:ascii="宋体" w:hAnsi="宋体" w:eastAsia="宋体" w:cs="宋体"/>
              <w:spacing w:val="-23"/>
              <w:sz w:val="24"/>
              <w:szCs w:val="24"/>
            </w:rPr>
            <w:t xml:space="preserve">格式 </w:t>
          </w:r>
          <w:r>
            <w:rPr>
              <w:rFonts w:hint="eastAsia" w:ascii="宋体" w:hAnsi="宋体" w:eastAsia="宋体" w:cs="宋体"/>
              <w:sz w:val="24"/>
              <w:szCs w:val="24"/>
            </w:rPr>
            <w:t>2：磋商函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_Toc30814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_Toc27208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_Toc27208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_Toc32087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3：报价一览表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_Toc32087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_Toc22191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报价一览表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_Toc22191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_Toc27722 </w:instrText>
          </w:r>
          <w:r>
            <w:rPr>
              <w:rFonts w:hint="eastAsia" w:ascii="宋体" w:hAnsi="宋体" w:eastAsia="宋体" w:cs="宋体"/>
              <w:sz w:val="24"/>
              <w:szCs w:val="24"/>
            </w:rPr>
            <w:fldChar w:fldCharType="separate"/>
          </w:r>
          <w:r>
            <w:rPr>
              <w:rFonts w:hint="eastAsia" w:ascii="宋体" w:hAnsi="宋体" w:eastAsia="宋体" w:cs="宋体"/>
              <w:spacing w:val="-23"/>
              <w:sz w:val="24"/>
              <w:szCs w:val="24"/>
            </w:rPr>
            <w:t xml:space="preserve">格式 </w:t>
          </w:r>
          <w:r>
            <w:rPr>
              <w:rFonts w:hint="eastAsia" w:ascii="宋体" w:hAnsi="宋体" w:eastAsia="宋体" w:cs="宋体"/>
              <w:sz w:val="24"/>
              <w:szCs w:val="24"/>
            </w:rPr>
            <w:t>4：分项报价表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_Toc27722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_Toc31491 </w:instrText>
          </w:r>
          <w:r>
            <w:rPr>
              <w:rFonts w:hint="eastAsia" w:ascii="宋体" w:hAnsi="宋体" w:eastAsia="宋体" w:cs="宋体"/>
              <w:sz w:val="24"/>
              <w:szCs w:val="24"/>
            </w:rPr>
            <w:fldChar w:fldCharType="separate"/>
          </w:r>
          <w:r>
            <w:rPr>
              <w:rFonts w:hint="eastAsia" w:ascii="宋体" w:hAnsi="宋体" w:eastAsia="宋体" w:cs="宋体"/>
              <w:w w:val="95"/>
              <w:sz w:val="24"/>
              <w:szCs w:val="24"/>
              <w:lang w:val="en-US" w:eastAsia="zh-CN" w:bidi="ar-SA"/>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_Toc31491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_Toc16422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5：技术规格响应表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_Toc16422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_Toc31847 </w:instrText>
          </w:r>
          <w:r>
            <w:rPr>
              <w:rFonts w:hint="eastAsia" w:ascii="宋体" w:hAnsi="宋体" w:eastAsia="宋体" w:cs="宋体"/>
              <w:sz w:val="24"/>
              <w:szCs w:val="24"/>
            </w:rPr>
            <w:fldChar w:fldCharType="separate"/>
          </w:r>
          <w:r>
            <w:rPr>
              <w:rFonts w:hint="eastAsia" w:ascii="宋体" w:hAnsi="宋体" w:eastAsia="宋体" w:cs="宋体"/>
              <w:sz w:val="24"/>
              <w:szCs w:val="24"/>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_Toc31847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_Toc5076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6：法定代表人证明书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_Toc5076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_Toc1179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_Toc3069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7：法定代表人授权书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_Toc9893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_Toc9893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_Toc12549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8：供应商承诺函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_Toc12549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_Toc16115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供应商承诺函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_Toc16115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_Toc26981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9：供应商诚信承诺书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_Toc26981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_Toc25229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供应商诚信承诺书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_Toc25229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_Toc28174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10：资格证明材料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_Toc28174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_Toc1363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_Toc1363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_Toc30234 </w:instrText>
          </w:r>
          <w:r>
            <w:rPr>
              <w:rFonts w:hint="eastAsia" w:ascii="宋体" w:hAnsi="宋体" w:eastAsia="宋体" w:cs="宋体"/>
              <w:sz w:val="24"/>
              <w:szCs w:val="24"/>
            </w:rPr>
            <w:fldChar w:fldCharType="separate"/>
          </w:r>
          <w:r>
            <w:rPr>
              <w:rFonts w:hint="eastAsia" w:ascii="宋体" w:hAnsi="宋体" w:eastAsia="宋体" w:cs="宋体"/>
              <w:spacing w:val="-20"/>
              <w:sz w:val="24"/>
              <w:szCs w:val="24"/>
            </w:rPr>
            <w:t xml:space="preserve">格式 </w:t>
          </w:r>
          <w:r>
            <w:rPr>
              <w:rFonts w:hint="eastAsia" w:ascii="宋体" w:hAnsi="宋体" w:eastAsia="宋体" w:cs="宋体"/>
              <w:sz w:val="24"/>
              <w:szCs w:val="24"/>
            </w:rPr>
            <w:t>11：财务状况、缴纳税收和社会保障资金的相关证明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_Toc30234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_Toc5166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财务状况、缴纳税收和社会保障资金的相关证明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_Toc5166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_Toc27685 </w:instrText>
          </w:r>
          <w:r>
            <w:rPr>
              <w:rFonts w:hint="eastAsia" w:ascii="宋体" w:hAnsi="宋体" w:eastAsia="宋体" w:cs="宋体"/>
              <w:sz w:val="24"/>
              <w:szCs w:val="24"/>
            </w:rPr>
            <w:fldChar w:fldCharType="separate"/>
          </w:r>
          <w:r>
            <w:rPr>
              <w:rFonts w:hint="eastAsia" w:ascii="宋体" w:hAnsi="宋体" w:eastAsia="宋体" w:cs="宋体"/>
              <w:spacing w:val="-20"/>
              <w:sz w:val="24"/>
              <w:szCs w:val="24"/>
            </w:rPr>
            <w:t xml:space="preserve">格式 </w:t>
          </w:r>
          <w:r>
            <w:rPr>
              <w:rFonts w:hint="eastAsia" w:ascii="宋体" w:hAnsi="宋体" w:eastAsia="宋体" w:cs="宋体"/>
              <w:sz w:val="24"/>
              <w:szCs w:val="24"/>
            </w:rPr>
            <w:t>12：具备履行合同所必需的设备和专业技术能力证明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_Toc27685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_Toc860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具备履行合同所必需的设备和专业技术能力证明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_Toc860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_Toc32598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13：无重大违法记录声明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_Toc32598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_Toc10682 </w:instrText>
          </w:r>
          <w:r>
            <w:rPr>
              <w:rFonts w:hint="eastAsia" w:ascii="宋体" w:hAnsi="宋体" w:eastAsia="宋体" w:cs="宋体"/>
              <w:sz w:val="24"/>
              <w:szCs w:val="24"/>
            </w:rPr>
            <w:fldChar w:fldCharType="separate"/>
          </w:r>
          <w:r>
            <w:rPr>
              <w:rFonts w:hint="eastAsia" w:ascii="宋体" w:hAnsi="宋体" w:eastAsia="宋体" w:cs="宋体"/>
              <w:w w:val="95"/>
              <w:sz w:val="24"/>
              <w:szCs w:val="24"/>
            </w:rPr>
            <w:t>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_Toc10682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_Toc26118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14：磋商保证金证明格式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_Toc26118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_Toc31595 </w:instrText>
          </w:r>
          <w:r>
            <w:rPr>
              <w:rFonts w:hint="eastAsia" w:ascii="宋体" w:hAnsi="宋体" w:eastAsia="宋体" w:cs="宋体"/>
              <w:sz w:val="24"/>
              <w:szCs w:val="24"/>
            </w:rPr>
            <w:fldChar w:fldCharType="separate"/>
          </w:r>
          <w:r>
            <w:rPr>
              <w:rFonts w:hint="eastAsia" w:ascii="宋体" w:hAnsi="宋体" w:eastAsia="宋体" w:cs="宋体"/>
              <w:sz w:val="24"/>
              <w:szCs w:val="24"/>
            </w:rPr>
            <w:t>磋商保证金证明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_Toc31595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_Toc18076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格式 15：</w:t>
          </w:r>
          <w:r>
            <w:rPr>
              <w:rFonts w:hint="eastAsia" w:ascii="宋体" w:hAnsi="宋体" w:eastAsia="宋体" w:cs="宋体"/>
              <w:spacing w:val="-22"/>
              <w:sz w:val="24"/>
              <w:szCs w:val="24"/>
              <w:lang w:val="en-US" w:eastAsia="zh-CN"/>
            </w:rPr>
            <w:t>中小企业声明函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_Toc18076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_Toc7228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eastAsia="zh-CN" w:bidi="ar-SA"/>
            </w:rPr>
            <w:t>中小企业声明函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_Toc7228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_Toc4198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格式 1</w:t>
          </w:r>
          <w:r>
            <w:rPr>
              <w:rFonts w:hint="eastAsia" w:ascii="宋体" w:hAnsi="宋体" w:eastAsia="宋体" w:cs="宋体"/>
              <w:spacing w:val="-22"/>
              <w:sz w:val="24"/>
              <w:szCs w:val="24"/>
              <w:lang w:val="en-US" w:eastAsia="zh-CN"/>
            </w:rPr>
            <w:t>6</w:t>
          </w:r>
          <w:r>
            <w:rPr>
              <w:rFonts w:hint="eastAsia" w:ascii="宋体" w:hAnsi="宋体" w:eastAsia="宋体" w:cs="宋体"/>
              <w:spacing w:val="-22"/>
              <w:sz w:val="24"/>
              <w:szCs w:val="24"/>
            </w:rPr>
            <w:t>：</w:t>
          </w:r>
          <w:r>
            <w:rPr>
              <w:rFonts w:hint="eastAsia" w:ascii="宋体" w:hAnsi="宋体" w:eastAsia="宋体" w:cs="宋体"/>
              <w:spacing w:val="-22"/>
              <w:sz w:val="24"/>
              <w:szCs w:val="24"/>
              <w:lang w:val="zh-CN"/>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_Toc4198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_Toc10724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格式 1</w:t>
          </w:r>
          <w:r>
            <w:rPr>
              <w:rFonts w:hint="eastAsia" w:ascii="宋体" w:hAnsi="宋体" w:eastAsia="宋体" w:cs="宋体"/>
              <w:spacing w:val="-22"/>
              <w:sz w:val="24"/>
              <w:szCs w:val="24"/>
              <w:lang w:val="en-US" w:eastAsia="zh-CN"/>
            </w:rPr>
            <w:t>7：</w:t>
          </w:r>
          <w:r>
            <w:rPr>
              <w:rFonts w:hint="eastAsia" w:ascii="宋体" w:hAnsi="宋体" w:eastAsia="宋体" w:cs="宋体"/>
              <w:sz w:val="24"/>
              <w:szCs w:val="24"/>
            </w:rPr>
            <w:t>供应商的类似业绩证明材料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_Toc10724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_Toc7845 </w:instrText>
          </w:r>
          <w:r>
            <w:rPr>
              <w:rFonts w:hint="eastAsia" w:ascii="宋体" w:hAnsi="宋体" w:eastAsia="宋体" w:cs="宋体"/>
              <w:sz w:val="24"/>
              <w:szCs w:val="24"/>
            </w:rPr>
            <w:fldChar w:fldCharType="separate"/>
          </w:r>
          <w:r>
            <w:rPr>
              <w:rFonts w:hint="eastAsia" w:ascii="宋体" w:hAnsi="宋体" w:eastAsia="宋体" w:cs="宋体"/>
              <w:sz w:val="24"/>
              <w:szCs w:val="24"/>
            </w:rPr>
            <w:t>供应商的类似业绩证明材料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_Toc7845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_Toc27810 </w:instrText>
          </w:r>
          <w:r>
            <w:rPr>
              <w:rFonts w:hint="eastAsia" w:ascii="宋体" w:hAnsi="宋体" w:eastAsia="宋体" w:cs="宋体"/>
              <w:sz w:val="24"/>
              <w:szCs w:val="24"/>
            </w:rPr>
            <w:fldChar w:fldCharType="separate"/>
          </w:r>
          <w:r>
            <w:rPr>
              <w:rFonts w:hint="eastAsia" w:ascii="宋体" w:hAnsi="宋体" w:eastAsia="宋体" w:cs="宋体"/>
              <w:spacing w:val="-22"/>
              <w:sz w:val="24"/>
              <w:szCs w:val="24"/>
            </w:rPr>
            <w:t xml:space="preserve">格式 </w:t>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：供应商最终报价表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_Toc27810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_Toc28193 </w:instrText>
          </w:r>
          <w:r>
            <w:rPr>
              <w:rFonts w:hint="eastAsia" w:ascii="宋体" w:hAnsi="宋体" w:eastAsia="宋体" w:cs="宋体"/>
              <w:sz w:val="24"/>
              <w:szCs w:val="24"/>
            </w:rPr>
            <w:fldChar w:fldCharType="separate"/>
          </w:r>
          <w:r>
            <w:rPr>
              <w:rFonts w:hint="eastAsia" w:ascii="宋体" w:hAnsi="宋体" w:eastAsia="宋体" w:cs="宋体"/>
              <w:spacing w:val="-21"/>
              <w:sz w:val="24"/>
              <w:szCs w:val="24"/>
            </w:rPr>
            <w:t xml:space="preserve">格式 </w:t>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：供应商认为在其他方面有必要说明的事项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_Toc28193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_Toc5813 </w:instrText>
          </w:r>
          <w:r>
            <w:rPr>
              <w:rFonts w:hint="eastAsia" w:ascii="宋体" w:hAnsi="宋体" w:eastAsia="宋体" w:cs="宋体"/>
              <w:sz w:val="24"/>
              <w:szCs w:val="24"/>
            </w:rPr>
            <w:fldChar w:fldCharType="separate"/>
          </w:r>
          <w:r>
            <w:rPr>
              <w:rFonts w:hint="eastAsia" w:ascii="宋体" w:hAnsi="宋体" w:eastAsia="宋体" w:cs="宋体"/>
              <w:spacing w:val="9"/>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_Toc5813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_Toc1910 </w:instrText>
          </w:r>
          <w:r>
            <w:rPr>
              <w:rFonts w:hint="eastAsia" w:ascii="宋体" w:hAnsi="宋体" w:eastAsia="宋体" w:cs="宋体"/>
              <w:sz w:val="24"/>
              <w:szCs w:val="24"/>
            </w:rPr>
            <w:fldChar w:fldCharType="separate"/>
          </w:r>
          <w:r>
            <w:rPr>
              <w:rFonts w:hint="eastAsia" w:ascii="宋体" w:hAnsi="宋体" w:eastAsia="宋体" w:cs="宋体"/>
              <w:sz w:val="24"/>
              <w:szCs w:val="24"/>
            </w:rPr>
            <w:t>（一）投标要求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_Toc1910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_Toc24744 </w:instrText>
          </w:r>
          <w:r>
            <w:rPr>
              <w:rFonts w:hint="eastAsia" w:ascii="宋体" w:hAnsi="宋体" w:eastAsia="宋体" w:cs="宋体"/>
              <w:sz w:val="24"/>
              <w:szCs w:val="24"/>
            </w:rPr>
            <w:fldChar w:fldCharType="separate"/>
          </w:r>
          <w:r>
            <w:rPr>
              <w:rFonts w:hint="eastAsia" w:ascii="宋体" w:hAnsi="宋体" w:eastAsia="宋体" w:cs="宋体"/>
              <w:spacing w:val="-2"/>
              <w:w w:val="100"/>
              <w:sz w:val="24"/>
              <w:szCs w:val="24"/>
              <w:lang w:val="en-US" w:eastAsia="zh-CN" w:bidi="ar-SA"/>
            </w:rPr>
            <w:t xml:space="preserve">1. </w:t>
          </w:r>
          <w:r>
            <w:rPr>
              <w:rFonts w:hint="eastAsia" w:ascii="宋体" w:hAnsi="宋体" w:eastAsia="宋体" w:cs="宋体"/>
              <w:sz w:val="24"/>
              <w:szCs w:val="24"/>
            </w:rPr>
            <w:t>投标说明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_Toc24744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_Toc20960 </w:instrText>
          </w:r>
          <w:r>
            <w:rPr>
              <w:rFonts w:hint="eastAsia" w:ascii="宋体" w:hAnsi="宋体" w:eastAsia="宋体" w:cs="宋体"/>
              <w:sz w:val="24"/>
              <w:szCs w:val="24"/>
            </w:rPr>
            <w:fldChar w:fldCharType="separate"/>
          </w:r>
          <w:r>
            <w:rPr>
              <w:rFonts w:hint="eastAsia" w:ascii="宋体" w:hAnsi="宋体" w:eastAsia="宋体" w:cs="宋体"/>
              <w:spacing w:val="-2"/>
              <w:w w:val="100"/>
              <w:sz w:val="24"/>
              <w:szCs w:val="24"/>
              <w:lang w:val="en-US" w:eastAsia="zh-CN" w:bidi="ar-SA"/>
            </w:rPr>
            <w:t xml:space="preserve">2. </w:t>
          </w:r>
          <w:r>
            <w:rPr>
              <w:rFonts w:hint="eastAsia" w:ascii="宋体" w:hAnsi="宋体" w:eastAsia="宋体" w:cs="宋体"/>
              <w:sz w:val="24"/>
              <w:szCs w:val="24"/>
            </w:rPr>
            <w:t>报价说明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_Toc20960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_Toc19005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bidi="ar-SA"/>
            </w:rPr>
            <w:t>3、重要指标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_Toc19005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_Toc30148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（二） </w:t>
          </w:r>
          <w:r>
            <w:rPr>
              <w:rFonts w:hint="eastAsia" w:ascii="宋体" w:hAnsi="宋体" w:eastAsia="宋体" w:cs="宋体"/>
              <w:sz w:val="24"/>
              <w:szCs w:val="24"/>
            </w:rPr>
            <w:t>项目概况及</w:t>
          </w:r>
          <w:r>
            <w:rPr>
              <w:rFonts w:hint="eastAsia" w:ascii="宋体" w:hAnsi="宋体" w:eastAsia="宋体" w:cs="宋体"/>
              <w:sz w:val="24"/>
              <w:szCs w:val="24"/>
              <w:lang w:val="en-US" w:eastAsia="zh-CN"/>
            </w:rPr>
            <w:t>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_Toc30148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bidi="ar-SA"/>
            </w:rPr>
            <w:t>1、项目概况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_Toc2889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_Toc16540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bidi="ar-SA"/>
            </w:rPr>
            <w:t>2、产品交付说明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_Toc16540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_Toc17517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bidi="ar-SA"/>
            </w:rPr>
            <w:t>3、产品验收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_Toc17517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_Toc32079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bidi="ar-SA"/>
            </w:rPr>
            <w:t>4、安装、调试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_Toc32079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_Toc13971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bidi="ar-SA"/>
            </w:rPr>
            <w:t>5、维护服务和技术支持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_Toc13971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bidi="ar-SA"/>
            </w:rPr>
            <w:t>6、其他要求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_Toc3131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1050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_Toc16216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bidi="ar-SA"/>
            </w:rPr>
            <w:t>采购一览表及技术参数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_Toc16216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7"/>
            <w:tabs>
              <w:tab w:val="right" w:leader="dot" w:pos="10500"/>
            </w:tabs>
          </w:pPr>
        </w:p>
        <w:p>
          <w:r>
            <w:fldChar w:fldCharType="end"/>
          </w:r>
        </w:p>
      </w:sdtContent>
    </w:sdt>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
      <w:pPr>
        <w:pStyle w:val="5"/>
        <w:spacing w:before="55"/>
        <w:ind w:right="100"/>
        <w:jc w:val="center"/>
      </w:pPr>
      <w:r>
        <w:pict>
          <v:rect id="_x0000_s1026" o:spid="_x0000_s1026" o:spt="1" style="position:absolute;left:0pt;margin-left:54pt;margin-top:0.95pt;height:0.95pt;width:504pt;mso-position-horizontal-relative:page;z-index:251685888;mso-width-relative:page;mso-height-relative:page;" fillcolor="#000000" filled="t" stroked="f" coordsize="21600,21600">
            <v:path/>
            <v:fill on="t" focussize="0,0"/>
            <v:stroke on="f"/>
            <v:imagedata o:title=""/>
            <o:lock v:ext="edit"/>
          </v:rect>
        </w:pict>
      </w:r>
      <w:r>
        <w:t>第一部分 竞争性磋商公告</w:t>
      </w:r>
    </w:p>
    <w:p>
      <w:pPr>
        <w:pStyle w:val="8"/>
        <w:spacing w:before="527" w:line="364" w:lineRule="auto"/>
        <w:ind w:left="160" w:right="259" w:firstLine="480"/>
        <w:jc w:val="both"/>
      </w:pPr>
      <w:r>
        <w:rPr>
          <w:rFonts w:hint="eastAsia"/>
          <w:spacing w:val="-2"/>
        </w:rPr>
        <w:t>果洛州政府采购服务中心</w:t>
      </w:r>
      <w:r>
        <w:rPr>
          <w:spacing w:val="-2"/>
        </w:rPr>
        <w:t>受</w:t>
      </w:r>
      <w:r>
        <w:rPr>
          <w:rFonts w:hint="eastAsia"/>
          <w:spacing w:val="-2"/>
          <w:u w:val="single"/>
        </w:rPr>
        <w:t>果洛州</w:t>
      </w:r>
      <w:r>
        <w:rPr>
          <w:rFonts w:hint="eastAsia"/>
          <w:spacing w:val="-2"/>
          <w:u w:val="single"/>
          <w:lang w:val="en-US" w:eastAsia="zh-CN"/>
        </w:rPr>
        <w:t>公安局</w:t>
      </w:r>
      <w:r>
        <w:rPr>
          <w:spacing w:val="-2"/>
        </w:rPr>
        <w:t>委托，拟对</w:t>
      </w:r>
      <w:r>
        <w:rPr>
          <w:rFonts w:hint="eastAsia"/>
          <w:spacing w:val="-10"/>
          <w:u w:val="single"/>
        </w:rPr>
        <w:t>果洛州</w:t>
      </w:r>
      <w:r>
        <w:rPr>
          <w:rFonts w:hint="eastAsia"/>
          <w:spacing w:val="-10"/>
          <w:u w:val="single"/>
          <w:lang w:val="en-US" w:eastAsia="zh-CN"/>
        </w:rPr>
        <w:t>公安局购置执法执勤、专业技术用车项目</w:t>
      </w:r>
      <w:r>
        <w:t>进行国内竞争性磋商采购，现予以公告，欢迎符合条件的投标供应商前来参加投标。</w:t>
      </w:r>
    </w:p>
    <w:tbl>
      <w:tblPr>
        <w:tblStyle w:val="23"/>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8"/>
        <w:gridCol w:w="7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68" w:type="dxa"/>
          </w:tcPr>
          <w:p>
            <w:pPr>
              <w:pStyle w:val="31"/>
              <w:spacing w:before="81"/>
              <w:ind w:left="106"/>
              <w:rPr>
                <w:sz w:val="24"/>
              </w:rPr>
            </w:pPr>
            <w:r>
              <w:rPr>
                <w:sz w:val="24"/>
              </w:rPr>
              <w:t>采购项目名称</w:t>
            </w:r>
          </w:p>
        </w:tc>
        <w:tc>
          <w:tcPr>
            <w:tcW w:w="7461" w:type="dxa"/>
          </w:tcPr>
          <w:p>
            <w:pPr>
              <w:pStyle w:val="31"/>
              <w:spacing w:before="81"/>
              <w:ind w:left="108"/>
              <w:jc w:val="left"/>
              <w:rPr>
                <w:spacing w:val="-11"/>
                <w:sz w:val="24"/>
                <w:u w:val="none"/>
              </w:rPr>
            </w:pPr>
            <w:r>
              <w:rPr>
                <w:rFonts w:hint="eastAsia"/>
                <w:sz w:val="24"/>
              </w:rPr>
              <w:t>果洛州</w:t>
            </w:r>
            <w:r>
              <w:rPr>
                <w:rFonts w:hint="eastAsia"/>
                <w:sz w:val="24"/>
                <w:lang w:val="en-US" w:eastAsia="zh-CN"/>
              </w:rPr>
              <w:t>公安局购置执法执勤、专业技术用车项目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768" w:type="dxa"/>
          </w:tcPr>
          <w:p>
            <w:pPr>
              <w:pStyle w:val="31"/>
              <w:spacing w:before="87"/>
              <w:ind w:left="106"/>
              <w:rPr>
                <w:sz w:val="24"/>
              </w:rPr>
            </w:pPr>
            <w:r>
              <w:rPr>
                <w:sz w:val="24"/>
              </w:rPr>
              <w:t>采购项目编号</w:t>
            </w:r>
          </w:p>
        </w:tc>
        <w:tc>
          <w:tcPr>
            <w:tcW w:w="7461" w:type="dxa"/>
          </w:tcPr>
          <w:p>
            <w:pPr>
              <w:pStyle w:val="31"/>
              <w:spacing w:before="87"/>
              <w:ind w:left="108"/>
              <w:rPr>
                <w:rFonts w:hint="eastAsia" w:eastAsia="宋体"/>
                <w:sz w:val="24"/>
                <w:lang w:val="en-US" w:eastAsia="zh-CN"/>
              </w:rPr>
            </w:pPr>
            <w:r>
              <w:rPr>
                <w:rFonts w:hint="eastAsia"/>
                <w:sz w:val="24"/>
              </w:rPr>
              <w:t>果政采竞磋（服务）2021-0</w:t>
            </w:r>
            <w:r>
              <w:rPr>
                <w:rFonts w:hint="eastAsia"/>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768" w:type="dxa"/>
          </w:tcPr>
          <w:p>
            <w:pPr>
              <w:pStyle w:val="31"/>
              <w:spacing w:before="82"/>
              <w:ind w:left="106"/>
              <w:rPr>
                <w:sz w:val="24"/>
              </w:rPr>
            </w:pPr>
            <w:r>
              <w:rPr>
                <w:sz w:val="24"/>
              </w:rPr>
              <w:t>采购方式</w:t>
            </w:r>
          </w:p>
        </w:tc>
        <w:tc>
          <w:tcPr>
            <w:tcW w:w="7461" w:type="dxa"/>
          </w:tcPr>
          <w:p>
            <w:pPr>
              <w:pStyle w:val="31"/>
              <w:spacing w:before="82"/>
              <w:ind w:left="108"/>
              <w:rPr>
                <w:sz w:val="24"/>
              </w:rPr>
            </w:pPr>
            <w:r>
              <w:rPr>
                <w:sz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68" w:type="dxa"/>
          </w:tcPr>
          <w:p>
            <w:pPr>
              <w:pStyle w:val="31"/>
              <w:spacing w:before="80"/>
              <w:ind w:left="106"/>
              <w:rPr>
                <w:sz w:val="24"/>
              </w:rPr>
            </w:pPr>
            <w:r>
              <w:rPr>
                <w:sz w:val="24"/>
              </w:rPr>
              <w:t>采购预算控制额度</w:t>
            </w:r>
          </w:p>
        </w:tc>
        <w:tc>
          <w:tcPr>
            <w:tcW w:w="7461" w:type="dxa"/>
          </w:tcPr>
          <w:p>
            <w:pPr>
              <w:pStyle w:val="31"/>
              <w:spacing w:before="80"/>
              <w:ind w:left="108"/>
              <w:rPr>
                <w:sz w:val="24"/>
              </w:rPr>
            </w:pPr>
            <w:r>
              <w:rPr>
                <w:rFonts w:hint="eastAsia"/>
                <w:spacing w:val="-20"/>
                <w:sz w:val="24"/>
                <w:lang w:val="en-US" w:eastAsia="zh-CN"/>
              </w:rPr>
              <w:t>160</w:t>
            </w:r>
            <w:r>
              <w:rPr>
                <w:spacing w:val="-2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68" w:type="dxa"/>
          </w:tcPr>
          <w:p>
            <w:pPr>
              <w:pStyle w:val="31"/>
              <w:spacing w:before="73"/>
              <w:ind w:left="106"/>
              <w:rPr>
                <w:sz w:val="24"/>
              </w:rPr>
            </w:pPr>
            <w:r>
              <w:rPr>
                <w:sz w:val="24"/>
              </w:rPr>
              <w:t>采购最高限价</w:t>
            </w:r>
          </w:p>
        </w:tc>
        <w:tc>
          <w:tcPr>
            <w:tcW w:w="7461" w:type="dxa"/>
          </w:tcPr>
          <w:p>
            <w:pPr>
              <w:pStyle w:val="31"/>
              <w:spacing w:before="73"/>
              <w:ind w:left="108"/>
              <w:rPr>
                <w:sz w:val="24"/>
              </w:rPr>
            </w:pPr>
            <w:r>
              <w:rPr>
                <w:rFonts w:hint="eastAsia"/>
                <w:spacing w:val="-20"/>
                <w:sz w:val="24"/>
                <w:lang w:val="en-US" w:eastAsia="zh-CN"/>
              </w:rPr>
              <w:t>160</w:t>
            </w:r>
            <w:r>
              <w:rPr>
                <w:spacing w:val="-2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768" w:type="dxa"/>
          </w:tcPr>
          <w:p>
            <w:pPr>
              <w:pStyle w:val="31"/>
              <w:spacing w:before="67"/>
              <w:ind w:left="106"/>
              <w:rPr>
                <w:sz w:val="24"/>
              </w:rPr>
            </w:pPr>
            <w:r>
              <w:rPr>
                <w:sz w:val="24"/>
              </w:rPr>
              <w:t>项目分包个数</w:t>
            </w:r>
          </w:p>
        </w:tc>
        <w:tc>
          <w:tcPr>
            <w:tcW w:w="7461" w:type="dxa"/>
          </w:tcPr>
          <w:p>
            <w:pPr>
              <w:pStyle w:val="31"/>
              <w:spacing w:before="67"/>
              <w:ind w:left="108"/>
              <w:rPr>
                <w:sz w:val="24"/>
              </w:rPr>
            </w:pPr>
            <w:r>
              <w:rPr>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2768" w:type="dxa"/>
          </w:tcPr>
          <w:p>
            <w:pPr>
              <w:pStyle w:val="31"/>
              <w:spacing w:before="90"/>
              <w:ind w:left="106"/>
              <w:rPr>
                <w:sz w:val="24"/>
              </w:rPr>
            </w:pPr>
            <w:r>
              <w:rPr>
                <w:sz w:val="24"/>
              </w:rPr>
              <w:t>采购要求</w:t>
            </w:r>
          </w:p>
        </w:tc>
        <w:tc>
          <w:tcPr>
            <w:tcW w:w="7461" w:type="dxa"/>
          </w:tcPr>
          <w:p>
            <w:pPr>
              <w:pStyle w:val="31"/>
              <w:spacing w:before="90"/>
              <w:ind w:left="108"/>
              <w:rPr>
                <w:sz w:val="24"/>
              </w:rPr>
            </w:pPr>
            <w:r>
              <w:rPr>
                <w:sz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8" w:hRule="atLeast"/>
        </w:trPr>
        <w:tc>
          <w:tcPr>
            <w:tcW w:w="2768" w:type="dxa"/>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7"/>
              <w:rPr>
                <w:sz w:val="26"/>
              </w:rPr>
            </w:pPr>
          </w:p>
          <w:p>
            <w:pPr>
              <w:pStyle w:val="31"/>
              <w:ind w:left="106"/>
              <w:rPr>
                <w:sz w:val="24"/>
              </w:rPr>
            </w:pPr>
            <w:r>
              <w:rPr>
                <w:sz w:val="24"/>
              </w:rPr>
              <w:t>供应商资格条件</w:t>
            </w:r>
          </w:p>
        </w:tc>
        <w:tc>
          <w:tcPr>
            <w:tcW w:w="7461" w:type="dxa"/>
          </w:tcPr>
          <w:p>
            <w:pPr>
              <w:pStyle w:val="31"/>
              <w:spacing w:line="307" w:lineRule="exact"/>
              <w:ind w:left="108"/>
              <w:rPr>
                <w:sz w:val="24"/>
              </w:rPr>
            </w:pPr>
            <w:r>
              <w:rPr>
                <w:sz w:val="24"/>
              </w:rPr>
              <w:t>1.符合《政府采购法》第22条条件，并提供下列材料：</w:t>
            </w:r>
          </w:p>
          <w:p>
            <w:pPr>
              <w:pStyle w:val="31"/>
              <w:numPr>
                <w:ilvl w:val="0"/>
                <w:numId w:val="1"/>
              </w:numPr>
              <w:tabs>
                <w:tab w:val="left" w:pos="710"/>
              </w:tabs>
              <w:spacing w:before="158"/>
              <w:ind w:hanging="602"/>
              <w:rPr>
                <w:sz w:val="24"/>
              </w:rPr>
            </w:pPr>
            <w:r>
              <w:rPr>
                <w:sz w:val="24"/>
              </w:rPr>
              <w:t>供应商的营业执照等证明文件，自然人的身份证明。</w:t>
            </w:r>
          </w:p>
          <w:p>
            <w:pPr>
              <w:pStyle w:val="31"/>
              <w:numPr>
                <w:ilvl w:val="0"/>
                <w:numId w:val="1"/>
              </w:numPr>
              <w:tabs>
                <w:tab w:val="left" w:pos="710"/>
              </w:tabs>
              <w:spacing w:before="160"/>
              <w:ind w:hanging="602"/>
              <w:rPr>
                <w:sz w:val="24"/>
              </w:rPr>
            </w:pPr>
            <w:r>
              <w:rPr>
                <w:sz w:val="24"/>
              </w:rPr>
              <w:t>财务状况报告，依法缴纳税收和社会保障资金的相关材料。</w:t>
            </w:r>
          </w:p>
          <w:p>
            <w:pPr>
              <w:pStyle w:val="31"/>
              <w:numPr>
                <w:ilvl w:val="0"/>
                <w:numId w:val="1"/>
              </w:numPr>
              <w:tabs>
                <w:tab w:val="left" w:pos="710"/>
              </w:tabs>
              <w:spacing w:before="158"/>
              <w:ind w:hanging="602"/>
              <w:rPr>
                <w:sz w:val="24"/>
              </w:rPr>
            </w:pPr>
            <w:r>
              <w:rPr>
                <w:sz w:val="24"/>
              </w:rPr>
              <w:t>具备履行合同所必需的设备和专业技术能力的证明材料。</w:t>
            </w:r>
          </w:p>
          <w:p>
            <w:pPr>
              <w:pStyle w:val="31"/>
              <w:numPr>
                <w:ilvl w:val="0"/>
                <w:numId w:val="1"/>
              </w:numPr>
              <w:tabs>
                <w:tab w:val="left" w:pos="712"/>
              </w:tabs>
              <w:spacing w:before="161" w:line="362" w:lineRule="auto"/>
              <w:ind w:left="108" w:right="95" w:firstLine="0"/>
              <w:rPr>
                <w:sz w:val="24"/>
              </w:rPr>
            </w:pPr>
            <w:r>
              <w:rPr>
                <w:sz w:val="24"/>
              </w:rPr>
              <w:t>参加政府采购活动前3年内在经营活动中没有重大违法记录的书面声明。</w:t>
            </w:r>
          </w:p>
          <w:p>
            <w:pPr>
              <w:pStyle w:val="31"/>
              <w:numPr>
                <w:ilvl w:val="0"/>
                <w:numId w:val="1"/>
              </w:numPr>
              <w:tabs>
                <w:tab w:val="left" w:pos="710"/>
              </w:tabs>
              <w:spacing w:before="5"/>
              <w:ind w:hanging="602"/>
              <w:rPr>
                <w:sz w:val="24"/>
              </w:rPr>
            </w:pPr>
            <w:r>
              <w:rPr>
                <w:sz w:val="24"/>
              </w:rPr>
              <w:t>具备法律、行政法规规定的其他条件的证明材料。</w:t>
            </w:r>
          </w:p>
          <w:p>
            <w:pPr>
              <w:pStyle w:val="31"/>
              <w:numPr>
                <w:ilvl w:val="0"/>
                <w:numId w:val="2"/>
              </w:numPr>
              <w:tabs>
                <w:tab w:val="left" w:pos="350"/>
              </w:tabs>
              <w:spacing w:before="160" w:line="362" w:lineRule="auto"/>
              <w:ind w:right="-29" w:firstLine="0"/>
              <w:rPr>
                <w:sz w:val="24"/>
              </w:rPr>
            </w:pPr>
            <w:r>
              <w:rPr>
                <w:sz w:val="24"/>
              </w:rPr>
              <w:t>单位负责人为同一人或者存在直接控股、管理关系的不同磋商供应</w:t>
            </w:r>
            <w:r>
              <w:rPr>
                <w:spacing w:val="-3"/>
                <w:sz w:val="24"/>
              </w:rPr>
              <w:t>商，不得参加同一合同项下的政府采购活动。否则，皆取消磋商资格。</w:t>
            </w:r>
          </w:p>
          <w:p>
            <w:pPr>
              <w:pStyle w:val="31"/>
              <w:numPr>
                <w:ilvl w:val="0"/>
                <w:numId w:val="2"/>
              </w:numPr>
              <w:tabs>
                <w:tab w:val="left" w:pos="394"/>
              </w:tabs>
              <w:spacing w:before="3"/>
              <w:ind w:left="393" w:hanging="286"/>
              <w:rPr>
                <w:sz w:val="24"/>
              </w:rPr>
            </w:pPr>
            <w:r>
              <w:rPr>
                <w:spacing w:val="48"/>
                <w:w w:val="95"/>
                <w:sz w:val="24"/>
              </w:rPr>
              <w:t>经信用中国</w:t>
            </w:r>
            <w:r>
              <w:rPr>
                <w:w w:val="95"/>
                <w:sz w:val="24"/>
              </w:rPr>
              <w:t>（</w:t>
            </w:r>
            <w:r>
              <w:rPr>
                <w:spacing w:val="-8"/>
                <w:w w:val="95"/>
                <w:sz w:val="24"/>
              </w:rPr>
              <w:t xml:space="preserve"> </w:t>
            </w:r>
            <w:r>
              <w:fldChar w:fldCharType="begin"/>
            </w:r>
            <w:r>
              <w:instrText xml:space="preserve"> HYPERLINK "http://www.creditchina.gov.cn/" \h </w:instrText>
            </w:r>
            <w:r>
              <w:fldChar w:fldCharType="separate"/>
            </w:r>
            <w:r>
              <w:rPr>
                <w:w w:val="95"/>
                <w:sz w:val="24"/>
              </w:rPr>
              <w:t>www.creditchina.gov.cn</w:t>
            </w:r>
            <w:r>
              <w:rPr>
                <w:spacing w:val="-8"/>
                <w:w w:val="95"/>
                <w:sz w:val="24"/>
              </w:rPr>
              <w:t xml:space="preserve"> </w:t>
            </w:r>
            <w:r>
              <w:rPr>
                <w:spacing w:val="-8"/>
                <w:w w:val="95"/>
                <w:sz w:val="24"/>
              </w:rPr>
              <w:fldChar w:fldCharType="end"/>
            </w:r>
            <w:r>
              <w:rPr>
                <w:w w:val="95"/>
                <w:sz w:val="24"/>
              </w:rPr>
              <w:t>）</w:t>
            </w:r>
            <w:r>
              <w:rPr>
                <w:spacing w:val="25"/>
                <w:w w:val="95"/>
                <w:sz w:val="24"/>
              </w:rPr>
              <w:t xml:space="preserve"> 、 中国政府采购网</w:t>
            </w:r>
          </w:p>
          <w:p>
            <w:pPr>
              <w:pStyle w:val="31"/>
              <w:spacing w:before="160"/>
              <w:ind w:left="108"/>
              <w:rPr>
                <w:sz w:val="24"/>
              </w:rPr>
            </w:pPr>
            <w:r>
              <w:rPr>
                <w:spacing w:val="-3"/>
                <w:sz w:val="24"/>
              </w:rPr>
              <w:t>（</w:t>
            </w:r>
            <w:r>
              <w:fldChar w:fldCharType="begin"/>
            </w:r>
            <w:r>
              <w:instrText xml:space="preserve"> HYPERLINK "http://www.ccgp.gov.cn/" \h </w:instrText>
            </w:r>
            <w:r>
              <w:fldChar w:fldCharType="separate"/>
            </w:r>
            <w:r>
              <w:rPr>
                <w:spacing w:val="-3"/>
                <w:sz w:val="24"/>
              </w:rPr>
              <w:t>www.ccgp.gov.cn</w:t>
            </w:r>
            <w:r>
              <w:rPr>
                <w:spacing w:val="-3"/>
                <w:sz w:val="24"/>
              </w:rPr>
              <w:fldChar w:fldCharType="end"/>
            </w:r>
            <w:r>
              <w:rPr>
                <w:spacing w:val="-3"/>
                <w:sz w:val="24"/>
              </w:rPr>
              <w:t>）</w:t>
            </w:r>
            <w:r>
              <w:rPr>
                <w:spacing w:val="-2"/>
                <w:sz w:val="24"/>
              </w:rPr>
              <w:t>等渠道查询后，列入失信被执行人、重大税收违</w:t>
            </w:r>
          </w:p>
          <w:p>
            <w:pPr>
              <w:pStyle w:val="31"/>
              <w:spacing w:before="8" w:line="460" w:lineRule="atLeast"/>
              <w:ind w:left="108" w:right="95"/>
              <w:rPr>
                <w:sz w:val="24"/>
              </w:rPr>
            </w:pPr>
            <w:r>
              <w:rPr>
                <w:sz w:val="24"/>
              </w:rPr>
              <w:t>法案件当事人名单、政府采购严重违法失信行为记录名单的，取消磋商资格（提供“信用中国”网站的查询截图，查询时间为投标截止时</w:t>
            </w:r>
          </w:p>
        </w:tc>
      </w:tr>
    </w:tbl>
    <w:p>
      <w:pPr>
        <w:spacing w:line="460" w:lineRule="atLeast"/>
        <w:rPr>
          <w:sz w:val="24"/>
        </w:rPr>
        <w:sectPr>
          <w:headerReference r:id="rId4" w:type="default"/>
          <w:footerReference r:id="rId5" w:type="default"/>
          <w:pgSz w:w="12240" w:h="15840"/>
          <w:pgMar w:top="1400" w:right="820" w:bottom="280" w:left="920" w:header="1153" w:footer="0" w:gutter="0"/>
          <w:pgNumType w:fmt="decimal"/>
          <w:cols w:space="720" w:num="1"/>
        </w:sectPr>
      </w:pPr>
    </w:p>
    <w:tbl>
      <w:tblPr>
        <w:tblStyle w:val="23"/>
        <w:tblW w:w="0" w:type="auto"/>
        <w:tblInd w:w="166" w:type="dxa"/>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Layout w:type="fixed"/>
        <w:tblCellMar>
          <w:top w:w="0" w:type="dxa"/>
          <w:left w:w="0" w:type="dxa"/>
          <w:bottom w:w="0" w:type="dxa"/>
          <w:right w:w="0" w:type="dxa"/>
        </w:tblCellMar>
      </w:tblPr>
      <w:tblGrid>
        <w:gridCol w:w="2768"/>
        <w:gridCol w:w="7461"/>
      </w:tblGrid>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35" w:hRule="atLeast"/>
        </w:trPr>
        <w:tc>
          <w:tcPr>
            <w:tcW w:w="2768" w:type="dxa"/>
            <w:tcBorders>
              <w:left w:val="single" w:color="000000" w:sz="4" w:space="0"/>
              <w:bottom w:val="single" w:color="000000" w:sz="4" w:space="0"/>
              <w:right w:val="single" w:color="000000" w:sz="4" w:space="0"/>
            </w:tcBorders>
          </w:tcPr>
          <w:p>
            <w:pPr>
              <w:pStyle w:val="31"/>
              <w:rPr>
                <w:rFonts w:ascii="Times New Roman"/>
              </w:rPr>
            </w:pPr>
          </w:p>
        </w:tc>
        <w:tc>
          <w:tcPr>
            <w:tcW w:w="7461" w:type="dxa"/>
            <w:tcBorders>
              <w:left w:val="single" w:color="000000" w:sz="4" w:space="0"/>
              <w:bottom w:val="single" w:color="000000" w:sz="4" w:space="0"/>
              <w:right w:val="single" w:color="000000" w:sz="4" w:space="0"/>
            </w:tcBorders>
          </w:tcPr>
          <w:p>
            <w:pPr>
              <w:pStyle w:val="31"/>
              <w:spacing w:before="2"/>
              <w:ind w:left="108"/>
              <w:rPr>
                <w:sz w:val="24"/>
              </w:rPr>
            </w:pPr>
            <w:r>
              <w:rPr>
                <w:sz w:val="24"/>
              </w:rPr>
              <w:t>间前10天内）。</w:t>
            </w:r>
          </w:p>
          <w:p>
            <w:pPr>
              <w:pStyle w:val="31"/>
              <w:numPr>
                <w:ilvl w:val="0"/>
                <w:numId w:val="2"/>
              </w:numPr>
              <w:spacing w:before="160"/>
              <w:ind w:left="393" w:leftChars="0" w:hanging="286" w:firstLineChars="0"/>
              <w:rPr>
                <w:sz w:val="24"/>
              </w:rPr>
            </w:pPr>
            <w:r>
              <w:rPr>
                <w:sz w:val="24"/>
              </w:rPr>
              <w:t>本项目不接受供应商以联合体方式进行磋商。</w:t>
            </w:r>
          </w:p>
          <w:p>
            <w:pPr>
              <w:pStyle w:val="31"/>
              <w:numPr>
                <w:ilvl w:val="0"/>
                <w:numId w:val="2"/>
              </w:numPr>
              <w:spacing w:before="160"/>
              <w:ind w:left="393" w:leftChars="0" w:hanging="286" w:firstLineChars="0"/>
              <w:rPr>
                <w:sz w:val="24"/>
              </w:rPr>
            </w:pPr>
            <w:r>
              <w:rPr>
                <w:rFonts w:hint="eastAsia"/>
                <w:sz w:val="24"/>
                <w:lang w:val="en-US" w:eastAsia="zh-CN"/>
              </w:rPr>
              <w:t>投标人须具备车辆生产销售（经营）资格。</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704"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120"/>
              <w:ind w:left="106"/>
              <w:rPr>
                <w:color w:val="000000" w:themeColor="text1"/>
                <w:sz w:val="24"/>
                <w14:textFill>
                  <w14:solidFill>
                    <w14:schemeClr w14:val="tx1"/>
                  </w14:solidFill>
                </w14:textFill>
              </w:rPr>
            </w:pPr>
            <w:r>
              <w:rPr>
                <w:color w:val="000000" w:themeColor="text1"/>
                <w:sz w:val="24"/>
                <w14:textFill>
                  <w14:solidFill>
                    <w14:schemeClr w14:val="tx1"/>
                  </w14:solidFill>
                </w14:textFill>
              </w:rPr>
              <w:t>公告发布时间</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20"/>
              <w:ind w:left="108"/>
              <w:rPr>
                <w:rFonts w:hint="eastAsia" w:ascii="宋体" w:hAnsi="宋体" w:eastAsia="宋体" w:cs="宋体"/>
                <w:color w:val="000000" w:themeColor="text1"/>
                <w:spacing w:val="-1"/>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val="en-US" w:eastAsia="zh-CN" w:bidi="ar-SA"/>
                <w14:textFill>
                  <w14:solidFill>
                    <w14:schemeClr w14:val="tx1"/>
                  </w14:solidFill>
                </w14:textFill>
              </w:rPr>
              <w:t>2021年</w:t>
            </w:r>
            <w:r>
              <w:rPr>
                <w:rFonts w:hint="eastAsia" w:cs="宋体"/>
                <w:color w:val="000000" w:themeColor="text1"/>
                <w:spacing w:val="-1"/>
                <w:sz w:val="24"/>
                <w:szCs w:val="24"/>
                <w:lang w:val="en-US" w:eastAsia="zh-CN" w:bidi="ar-SA"/>
                <w14:textFill>
                  <w14:solidFill>
                    <w14:schemeClr w14:val="tx1"/>
                  </w14:solidFill>
                </w14:textFill>
              </w:rPr>
              <w:t>11</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月</w:t>
            </w:r>
            <w:r>
              <w:rPr>
                <w:rFonts w:hint="eastAsia" w:cs="宋体"/>
                <w:color w:val="000000" w:themeColor="text1"/>
                <w:spacing w:val="-1"/>
                <w:sz w:val="24"/>
                <w:szCs w:val="24"/>
                <w:lang w:val="en-US" w:eastAsia="zh-CN" w:bidi="ar-SA"/>
                <w14:textFill>
                  <w14:solidFill>
                    <w14:schemeClr w14:val="tx1"/>
                  </w14:solidFill>
                </w14:textFill>
              </w:rPr>
              <w:t>24</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日（北京时间）</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0" w:hRule="atLeast"/>
        </w:trPr>
        <w:tc>
          <w:tcPr>
            <w:tcW w:w="2768" w:type="dxa"/>
            <w:tcBorders>
              <w:top w:val="single" w:color="000000" w:sz="4" w:space="0"/>
              <w:left w:val="single" w:color="000000" w:sz="4" w:space="0"/>
              <w:bottom w:val="single" w:color="000000" w:sz="4" w:space="0"/>
              <w:right w:val="single" w:color="000000" w:sz="4" w:space="0"/>
            </w:tcBorders>
          </w:tcPr>
          <w:p>
            <w:pPr>
              <w:pStyle w:val="31"/>
              <w:rPr>
                <w:color w:val="000000" w:themeColor="text1"/>
                <w:sz w:val="24"/>
                <w14:textFill>
                  <w14:solidFill>
                    <w14:schemeClr w14:val="tx1"/>
                  </w14:solidFill>
                </w14:textFill>
              </w:rPr>
            </w:pPr>
          </w:p>
          <w:p>
            <w:pPr>
              <w:pStyle w:val="31"/>
              <w:spacing w:before="2"/>
              <w:rPr>
                <w:color w:val="000000" w:themeColor="text1"/>
                <w:sz w:val="34"/>
                <w14:textFill>
                  <w14:solidFill>
                    <w14:schemeClr w14:val="tx1"/>
                  </w14:solidFill>
                </w14:textFill>
              </w:rPr>
            </w:pPr>
          </w:p>
          <w:p>
            <w:pPr>
              <w:pStyle w:val="31"/>
              <w:spacing w:line="362" w:lineRule="auto"/>
              <w:ind w:left="106" w:right="95"/>
              <w:rPr>
                <w:color w:val="000000" w:themeColor="text1"/>
                <w:sz w:val="24"/>
                <w14:textFill>
                  <w14:solidFill>
                    <w14:schemeClr w14:val="tx1"/>
                  </w14:solidFill>
                </w14:textFill>
              </w:rPr>
            </w:pPr>
            <w:r>
              <w:rPr>
                <w:color w:val="000000" w:themeColor="text1"/>
                <w:spacing w:val="-10"/>
                <w:sz w:val="24"/>
                <w14:textFill>
                  <w14:solidFill>
                    <w14:schemeClr w14:val="tx1"/>
                  </w14:solidFill>
                </w14:textFill>
              </w:rPr>
              <w:t>报名、磋商文件发售起</w:t>
            </w:r>
            <w:r>
              <w:rPr>
                <w:rFonts w:hint="eastAsia"/>
                <w:color w:val="000000" w:themeColor="text1"/>
                <w:spacing w:val="-10"/>
                <w:sz w:val="24"/>
                <w:lang w:val="en-US" w:eastAsia="zh-CN"/>
                <w14:textFill>
                  <w14:solidFill>
                    <w14:schemeClr w14:val="tx1"/>
                  </w14:solidFill>
                </w14:textFill>
              </w:rPr>
              <w:t>止</w:t>
            </w:r>
            <w:r>
              <w:rPr>
                <w:color w:val="000000" w:themeColor="text1"/>
                <w:sz w:val="24"/>
                <w14:textFill>
                  <w14:solidFill>
                    <w14:schemeClr w14:val="tx1"/>
                  </w14:solidFill>
                </w14:textFill>
              </w:rPr>
              <w:t>时间、地址</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44"/>
              <w:ind w:left="108"/>
              <w:rPr>
                <w:rFonts w:hint="eastAsia" w:ascii="宋体" w:hAnsi="宋体" w:eastAsia="宋体" w:cs="宋体"/>
                <w:color w:val="000000" w:themeColor="text1"/>
                <w:spacing w:val="-1"/>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val="en-US" w:eastAsia="zh-CN" w:bidi="ar-SA"/>
                <w14:textFill>
                  <w14:solidFill>
                    <w14:schemeClr w14:val="tx1"/>
                  </w14:solidFill>
                </w14:textFill>
              </w:rPr>
              <w:t>2021年</w:t>
            </w:r>
            <w:r>
              <w:rPr>
                <w:rFonts w:hint="eastAsia" w:cs="宋体"/>
                <w:color w:val="000000" w:themeColor="text1"/>
                <w:spacing w:val="-1"/>
                <w:sz w:val="24"/>
                <w:szCs w:val="24"/>
                <w:lang w:val="en-US" w:eastAsia="zh-CN" w:bidi="ar-SA"/>
                <w14:textFill>
                  <w14:solidFill>
                    <w14:schemeClr w14:val="tx1"/>
                  </w14:solidFill>
                </w14:textFill>
              </w:rPr>
              <w:t>11</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月</w:t>
            </w:r>
            <w:r>
              <w:rPr>
                <w:rFonts w:hint="eastAsia" w:cs="宋体"/>
                <w:color w:val="000000" w:themeColor="text1"/>
                <w:spacing w:val="-1"/>
                <w:sz w:val="24"/>
                <w:szCs w:val="24"/>
                <w:lang w:val="en-US" w:eastAsia="zh-CN" w:bidi="ar-SA"/>
                <w14:textFill>
                  <w14:solidFill>
                    <w14:schemeClr w14:val="tx1"/>
                  </w14:solidFill>
                </w14:textFill>
              </w:rPr>
              <w:t>25</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日至</w:t>
            </w:r>
            <w:r>
              <w:rPr>
                <w:rFonts w:hint="eastAsia" w:cs="宋体"/>
                <w:color w:val="000000" w:themeColor="text1"/>
                <w:spacing w:val="-1"/>
                <w:sz w:val="24"/>
                <w:szCs w:val="24"/>
                <w:lang w:val="en-US" w:eastAsia="zh-CN" w:bidi="ar-SA"/>
                <w14:textFill>
                  <w14:solidFill>
                    <w14:schemeClr w14:val="tx1"/>
                  </w14:solidFill>
                </w14:textFill>
              </w:rPr>
              <w:t>2021</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年</w:t>
            </w:r>
            <w:r>
              <w:rPr>
                <w:rFonts w:hint="eastAsia" w:cs="宋体"/>
                <w:color w:val="000000" w:themeColor="text1"/>
                <w:spacing w:val="-1"/>
                <w:sz w:val="24"/>
                <w:szCs w:val="24"/>
                <w:lang w:val="en-US" w:eastAsia="zh-CN" w:bidi="ar-SA"/>
                <w14:textFill>
                  <w14:solidFill>
                    <w14:schemeClr w14:val="tx1"/>
                  </w14:solidFill>
                </w14:textFill>
              </w:rPr>
              <w:t>12</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月</w:t>
            </w:r>
            <w:r>
              <w:rPr>
                <w:rFonts w:hint="eastAsia" w:cs="宋体"/>
                <w:color w:val="000000" w:themeColor="text1"/>
                <w:spacing w:val="-1"/>
                <w:sz w:val="24"/>
                <w:szCs w:val="24"/>
                <w:lang w:val="en-US" w:eastAsia="zh-CN" w:bidi="ar-SA"/>
                <w14:textFill>
                  <w14:solidFill>
                    <w14:schemeClr w14:val="tx1"/>
                  </w14:solidFill>
                </w14:textFill>
              </w:rPr>
              <w:t>1</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日，</w:t>
            </w:r>
            <w:r>
              <w:rPr>
                <w:rFonts w:hint="eastAsia" w:cs="宋体"/>
                <w:color w:val="000000" w:themeColor="text1"/>
                <w:spacing w:val="-1"/>
                <w:sz w:val="24"/>
                <w:szCs w:val="24"/>
                <w:lang w:val="en-US" w:eastAsia="zh-CN" w:bidi="ar-SA"/>
                <w14:textFill>
                  <w14:solidFill>
                    <w14:schemeClr w14:val="tx1"/>
                  </w14:solidFill>
                </w14:textFill>
              </w:rPr>
              <w:t>每天上午</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09：00—12：00，</w:t>
            </w:r>
            <w:r>
              <w:rPr>
                <w:rFonts w:hint="eastAsia" w:cs="宋体"/>
                <w:color w:val="000000" w:themeColor="text1"/>
                <w:spacing w:val="-1"/>
                <w:sz w:val="24"/>
                <w:szCs w:val="24"/>
                <w:lang w:val="en-US" w:eastAsia="zh-CN" w:bidi="ar-SA"/>
                <w14:textFill>
                  <w14:solidFill>
                    <w14:schemeClr w14:val="tx1"/>
                  </w14:solidFill>
                </w14:textFill>
              </w:rPr>
              <w:t>下午</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1</w:t>
            </w:r>
            <w:r>
              <w:rPr>
                <w:rFonts w:hint="eastAsia" w:cs="宋体"/>
                <w:color w:val="000000" w:themeColor="text1"/>
                <w:spacing w:val="-1"/>
                <w:sz w:val="24"/>
                <w:szCs w:val="24"/>
                <w:lang w:val="en-US" w:eastAsia="zh-CN" w:bidi="ar-SA"/>
                <w14:textFill>
                  <w14:solidFill>
                    <w14:schemeClr w14:val="tx1"/>
                  </w14:solidFill>
                </w14:textFill>
              </w:rPr>
              <w:t>4</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w:t>
            </w:r>
            <w:r>
              <w:rPr>
                <w:rFonts w:hint="eastAsia" w:cs="宋体"/>
                <w:color w:val="000000" w:themeColor="text1"/>
                <w:spacing w:val="-1"/>
                <w:sz w:val="24"/>
                <w:szCs w:val="24"/>
                <w:lang w:val="en-US" w:eastAsia="zh-CN" w:bidi="ar-SA"/>
                <w14:textFill>
                  <w14:solidFill>
                    <w14:schemeClr w14:val="tx1"/>
                  </w14:solidFill>
                </w14:textFill>
              </w:rPr>
              <w:t>3</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0--1</w:t>
            </w:r>
            <w:r>
              <w:rPr>
                <w:rFonts w:hint="eastAsia" w:cs="宋体"/>
                <w:color w:val="000000" w:themeColor="text1"/>
                <w:spacing w:val="-1"/>
                <w:sz w:val="24"/>
                <w:szCs w:val="24"/>
                <w:lang w:val="en-US" w:eastAsia="zh-CN" w:bidi="ar-SA"/>
                <w14:textFill>
                  <w14:solidFill>
                    <w14:schemeClr w14:val="tx1"/>
                  </w14:solidFill>
                </w14:textFill>
              </w:rPr>
              <w:t>7</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w:t>
            </w:r>
            <w:r>
              <w:rPr>
                <w:rFonts w:hint="eastAsia" w:cs="宋体"/>
                <w:color w:val="000000" w:themeColor="text1"/>
                <w:spacing w:val="-1"/>
                <w:sz w:val="24"/>
                <w:szCs w:val="24"/>
                <w:lang w:val="en-US" w:eastAsia="zh-CN" w:bidi="ar-SA"/>
                <w14:textFill>
                  <w14:solidFill>
                    <w14:schemeClr w14:val="tx1"/>
                  </w14:solidFill>
                </w14:textFill>
              </w:rPr>
              <w:t>30</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（北京时间，法定节假日除外）</w:t>
            </w:r>
          </w:p>
          <w:p>
            <w:pPr>
              <w:pStyle w:val="31"/>
              <w:spacing w:before="44"/>
              <w:ind w:left="108"/>
              <w:rPr>
                <w:rFonts w:hint="eastAsia" w:ascii="宋体" w:hAnsi="宋体" w:eastAsia="宋体" w:cs="宋体"/>
                <w:color w:val="000000" w:themeColor="text1"/>
                <w:spacing w:val="-1"/>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val="en-US" w:eastAsia="zh-CN" w:bidi="ar-SA"/>
                <w14:textFill>
                  <w14:solidFill>
                    <w14:schemeClr w14:val="tx1"/>
                  </w14:solidFill>
                </w14:textFill>
              </w:rPr>
              <w:t xml:space="preserve">地点：西宁市海湖新区万达SOHO2号楼（星巴克咖啡旁）号楼23楼12306室  </w:t>
            </w:r>
          </w:p>
          <w:p>
            <w:pPr>
              <w:pStyle w:val="31"/>
              <w:spacing w:before="44"/>
              <w:ind w:left="108"/>
              <w:rPr>
                <w:rFonts w:hint="default" w:ascii="宋体" w:hAnsi="宋体" w:eastAsia="宋体" w:cs="宋体"/>
                <w:color w:val="000000" w:themeColor="text1"/>
                <w:spacing w:val="-1"/>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val="en-US" w:eastAsia="zh-CN" w:bidi="ar-SA"/>
                <w14:textFill>
                  <w14:solidFill>
                    <w14:schemeClr w14:val="tx1"/>
                  </w14:solidFill>
                </w14:textFill>
              </w:rPr>
              <w:t>标书购买联系人：</w:t>
            </w:r>
            <w:r>
              <w:rPr>
                <w:rFonts w:hint="eastAsia" w:cs="宋体"/>
                <w:color w:val="000000" w:themeColor="text1"/>
                <w:spacing w:val="-1"/>
                <w:sz w:val="24"/>
                <w:szCs w:val="24"/>
                <w:lang w:val="en-US" w:eastAsia="zh-CN" w:bidi="ar-SA"/>
                <w14:textFill>
                  <w14:solidFill>
                    <w14:schemeClr w14:val="tx1"/>
                  </w14:solidFill>
                </w14:textFill>
              </w:rPr>
              <w:t>刘主任</w:t>
            </w:r>
          </w:p>
          <w:p>
            <w:pPr>
              <w:pStyle w:val="31"/>
              <w:spacing w:before="44"/>
              <w:ind w:left="108"/>
              <w:rPr>
                <w:rFonts w:hint="default" w:ascii="宋体" w:hAnsi="宋体" w:eastAsia="宋体" w:cs="宋体"/>
                <w:color w:val="000000" w:themeColor="text1"/>
                <w:spacing w:val="-1"/>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val="en-US" w:eastAsia="zh-CN" w:bidi="ar-SA"/>
                <w14:textFill>
                  <w14:solidFill>
                    <w14:schemeClr w14:val="tx1"/>
                  </w14:solidFill>
                </w14:textFill>
              </w:rPr>
              <w:t>联系方式：</w:t>
            </w:r>
            <w:r>
              <w:rPr>
                <w:rFonts w:hint="eastAsia" w:cs="宋体"/>
                <w:color w:val="000000" w:themeColor="text1"/>
                <w:spacing w:val="-1"/>
                <w:sz w:val="24"/>
                <w:szCs w:val="24"/>
                <w:lang w:val="en-US" w:eastAsia="zh-CN" w:bidi="ar-SA"/>
                <w14:textFill>
                  <w14:solidFill>
                    <w14:schemeClr w14:val="tx1"/>
                  </w14:solidFill>
                </w14:textFill>
              </w:rPr>
              <w:t>0971-5312867</w:t>
            </w:r>
            <w:bookmarkStart w:id="174" w:name="_GoBack"/>
            <w:bookmarkEnd w:id="174"/>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1399"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3"/>
              <w:rPr>
                <w:sz w:val="18"/>
              </w:rPr>
            </w:pPr>
          </w:p>
          <w:p>
            <w:pPr>
              <w:pStyle w:val="31"/>
              <w:spacing w:line="362" w:lineRule="auto"/>
              <w:ind w:left="106" w:right="249"/>
              <w:rPr>
                <w:sz w:val="24"/>
              </w:rPr>
            </w:pPr>
            <w:r>
              <w:rPr>
                <w:spacing w:val="-1"/>
                <w:sz w:val="24"/>
              </w:rPr>
              <w:t>购买磋商文件时应提供</w:t>
            </w:r>
            <w:r>
              <w:rPr>
                <w:sz w:val="24"/>
              </w:rPr>
              <w:t>材料</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
              <w:ind w:left="108"/>
              <w:rPr>
                <w:sz w:val="24"/>
              </w:rPr>
            </w:pPr>
            <w:r>
              <w:rPr>
                <w:sz w:val="24"/>
              </w:rPr>
              <w:t>1、营业执照副本复印件（加盖单位公章）</w:t>
            </w:r>
          </w:p>
          <w:p>
            <w:pPr>
              <w:pStyle w:val="31"/>
              <w:spacing w:before="158"/>
              <w:ind w:left="108"/>
              <w:rPr>
                <w:sz w:val="24"/>
              </w:rPr>
            </w:pPr>
            <w:r>
              <w:rPr>
                <w:sz w:val="24"/>
              </w:rPr>
              <w:t>2、法定代表人授权委托书或介绍信（原件）</w:t>
            </w:r>
          </w:p>
          <w:p>
            <w:pPr>
              <w:pStyle w:val="31"/>
              <w:spacing w:before="160"/>
              <w:ind w:left="108"/>
              <w:rPr>
                <w:sz w:val="24"/>
              </w:rPr>
            </w:pPr>
            <w:r>
              <w:rPr>
                <w:sz w:val="24"/>
              </w:rPr>
              <w:t>3、法人身份证复印件、被授权人身份证复印件（加盖单位公章）</w:t>
            </w:r>
          </w:p>
          <w:p>
            <w:pPr>
              <w:pStyle w:val="31"/>
              <w:spacing w:before="160"/>
              <w:ind w:left="108"/>
              <w:rPr>
                <w:rFonts w:hint="default" w:eastAsia="宋体"/>
                <w:sz w:val="24"/>
                <w:lang w:val="en-US" w:eastAsia="zh-CN"/>
              </w:rPr>
            </w:pPr>
            <w:r>
              <w:rPr>
                <w:rFonts w:hint="eastAsia"/>
                <w:sz w:val="24"/>
                <w:lang w:val="en-US" w:eastAsia="zh-CN"/>
              </w:rPr>
              <w:t>4、开户许可证</w:t>
            </w:r>
            <w:r>
              <w:rPr>
                <w:sz w:val="24"/>
              </w:rPr>
              <w:t>复印件（加盖单位公章）</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660"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98"/>
              <w:ind w:left="106"/>
              <w:rPr>
                <w:sz w:val="24"/>
              </w:rPr>
            </w:pPr>
            <w:r>
              <w:rPr>
                <w:sz w:val="24"/>
              </w:rPr>
              <w:t>磋商文件发售方式</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98"/>
              <w:rPr>
                <w:sz w:val="24"/>
              </w:rPr>
            </w:pPr>
            <w:r>
              <w:rPr>
                <w:rFonts w:hint="eastAsia"/>
                <w:sz w:val="24"/>
              </w:rPr>
              <w:t>现场购买或</w:t>
            </w:r>
            <w:r>
              <w:rPr>
                <w:sz w:val="24"/>
              </w:rPr>
              <w:t>线</w:t>
            </w:r>
            <w:r>
              <w:rPr>
                <w:rFonts w:hint="eastAsia"/>
                <w:sz w:val="24"/>
              </w:rPr>
              <w:t>上</w:t>
            </w:r>
            <w:r>
              <w:rPr>
                <w:sz w:val="24"/>
              </w:rPr>
              <w:t>获取</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713"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124"/>
              <w:ind w:left="106"/>
              <w:rPr>
                <w:sz w:val="24"/>
              </w:rPr>
            </w:pPr>
            <w:r>
              <w:rPr>
                <w:sz w:val="24"/>
              </w:rPr>
              <w:t>磋商文件售价</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24"/>
              <w:ind w:left="108"/>
              <w:rPr>
                <w:sz w:val="24"/>
              </w:rPr>
            </w:pPr>
            <w:r>
              <w:rPr>
                <w:rFonts w:hint="eastAsia"/>
                <w:sz w:val="24"/>
              </w:rPr>
              <w:t>无</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33"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2"/>
              <w:ind w:left="106"/>
              <w:rPr>
                <w:sz w:val="24"/>
              </w:rPr>
            </w:pPr>
            <w:r>
              <w:rPr>
                <w:sz w:val="24"/>
              </w:rPr>
              <w:t>递交磋商响应文件截止</w:t>
            </w:r>
          </w:p>
          <w:p>
            <w:pPr>
              <w:pStyle w:val="31"/>
              <w:spacing w:before="158"/>
              <w:ind w:left="106"/>
              <w:rPr>
                <w:sz w:val="24"/>
              </w:rPr>
            </w:pPr>
            <w:r>
              <w:rPr>
                <w:sz w:val="24"/>
              </w:rPr>
              <w:t>时间</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4"/>
              <w:rPr>
                <w:rFonts w:hint="eastAsia" w:ascii="宋体" w:hAnsi="宋体" w:eastAsia="宋体" w:cs="宋体"/>
                <w:color w:val="000000" w:themeColor="text1"/>
                <w:spacing w:val="-1"/>
                <w:sz w:val="24"/>
                <w:szCs w:val="24"/>
                <w:lang w:val="en-US" w:eastAsia="zh-CN" w:bidi="ar-SA"/>
                <w14:textFill>
                  <w14:solidFill>
                    <w14:schemeClr w14:val="tx1"/>
                  </w14:solidFill>
                </w14:textFill>
              </w:rPr>
            </w:pPr>
          </w:p>
          <w:p>
            <w:pPr>
              <w:pStyle w:val="31"/>
              <w:ind w:left="108"/>
              <w:rPr>
                <w:rFonts w:hint="eastAsia" w:ascii="宋体" w:hAnsi="宋体" w:eastAsia="宋体" w:cs="宋体"/>
                <w:color w:val="000000" w:themeColor="text1"/>
                <w:spacing w:val="-1"/>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val="en-US" w:eastAsia="zh-CN" w:bidi="ar-SA"/>
                <w14:textFill>
                  <w14:solidFill>
                    <w14:schemeClr w14:val="tx1"/>
                  </w14:solidFill>
                </w14:textFill>
              </w:rPr>
              <w:t>2021年</w:t>
            </w:r>
            <w:r>
              <w:rPr>
                <w:rFonts w:hint="eastAsia" w:cs="宋体"/>
                <w:color w:val="000000" w:themeColor="text1"/>
                <w:spacing w:val="-1"/>
                <w:sz w:val="24"/>
                <w:szCs w:val="24"/>
                <w:lang w:val="en-US" w:eastAsia="zh-CN" w:bidi="ar-SA"/>
                <w14:textFill>
                  <w14:solidFill>
                    <w14:schemeClr w14:val="tx1"/>
                  </w14:solidFill>
                </w14:textFill>
              </w:rPr>
              <w:t>12</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月</w:t>
            </w:r>
            <w:r>
              <w:rPr>
                <w:rFonts w:hint="eastAsia" w:cs="宋体"/>
                <w:color w:val="000000" w:themeColor="text1"/>
                <w:spacing w:val="-1"/>
                <w:sz w:val="24"/>
                <w:szCs w:val="24"/>
                <w:lang w:val="en-US" w:eastAsia="zh-CN" w:bidi="ar-SA"/>
                <w14:textFill>
                  <w14:solidFill>
                    <w14:schemeClr w14:val="tx1"/>
                  </w14:solidFill>
                </w14:textFill>
              </w:rPr>
              <w:t>7</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日上午 09:00（北京时间）</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560"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47"/>
              <w:ind w:left="106"/>
              <w:rPr>
                <w:sz w:val="24"/>
              </w:rPr>
            </w:pPr>
            <w:r>
              <w:rPr>
                <w:sz w:val="24"/>
              </w:rPr>
              <w:t>磋商时间</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47"/>
              <w:ind w:left="108"/>
              <w:rPr>
                <w:rFonts w:hint="eastAsia" w:ascii="宋体" w:hAnsi="宋体" w:eastAsia="宋体" w:cs="宋体"/>
                <w:color w:val="000000" w:themeColor="text1"/>
                <w:spacing w:val="-1"/>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val="en-US" w:eastAsia="zh-CN" w:bidi="ar-SA"/>
                <w14:textFill>
                  <w14:solidFill>
                    <w14:schemeClr w14:val="tx1"/>
                  </w14:solidFill>
                </w14:textFill>
              </w:rPr>
              <w:t>2021年</w:t>
            </w:r>
            <w:r>
              <w:rPr>
                <w:rFonts w:hint="eastAsia" w:cs="宋体"/>
                <w:color w:val="000000" w:themeColor="text1"/>
                <w:spacing w:val="-1"/>
                <w:sz w:val="24"/>
                <w:szCs w:val="24"/>
                <w:lang w:val="en-US" w:eastAsia="zh-CN" w:bidi="ar-SA"/>
                <w14:textFill>
                  <w14:solidFill>
                    <w14:schemeClr w14:val="tx1"/>
                  </w14:solidFill>
                </w14:textFill>
              </w:rPr>
              <w:t>12</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月</w:t>
            </w:r>
            <w:r>
              <w:rPr>
                <w:rFonts w:hint="eastAsia" w:cs="宋体"/>
                <w:color w:val="000000" w:themeColor="text1"/>
                <w:spacing w:val="-1"/>
                <w:sz w:val="24"/>
                <w:szCs w:val="24"/>
                <w:lang w:val="en-US" w:eastAsia="zh-CN" w:bidi="ar-SA"/>
                <w14:textFill>
                  <w14:solidFill>
                    <w14:schemeClr w14:val="tx1"/>
                  </w14:solidFill>
                </w14:textFill>
              </w:rPr>
              <w:t>7</w:t>
            </w:r>
            <w:r>
              <w:rPr>
                <w:rFonts w:hint="eastAsia" w:ascii="宋体" w:hAnsi="宋体" w:eastAsia="宋体" w:cs="宋体"/>
                <w:color w:val="000000" w:themeColor="text1"/>
                <w:spacing w:val="-1"/>
                <w:sz w:val="24"/>
                <w:szCs w:val="24"/>
                <w:lang w:val="en-US" w:eastAsia="zh-CN" w:bidi="ar-SA"/>
                <w14:textFill>
                  <w14:solidFill>
                    <w14:schemeClr w14:val="tx1"/>
                  </w14:solidFill>
                </w14:textFill>
              </w:rPr>
              <w:t>日上午 09:00（北京时间）</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33"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3"/>
              <w:ind w:left="106"/>
              <w:rPr>
                <w:sz w:val="24"/>
              </w:rPr>
            </w:pPr>
            <w:r>
              <w:rPr>
                <w:sz w:val="24"/>
              </w:rPr>
              <w:t>递交磋商响应文件及磋</w:t>
            </w:r>
          </w:p>
          <w:p>
            <w:pPr>
              <w:pStyle w:val="31"/>
              <w:spacing w:before="158"/>
              <w:ind w:left="106"/>
              <w:rPr>
                <w:sz w:val="24"/>
              </w:rPr>
            </w:pPr>
            <w:r>
              <w:rPr>
                <w:sz w:val="24"/>
              </w:rPr>
              <w:t>商地点</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58"/>
              <w:ind w:left="108"/>
              <w:rPr>
                <w:sz w:val="24"/>
              </w:rPr>
            </w:pPr>
            <w:r>
              <w:rPr>
                <w:rFonts w:hint="eastAsia" w:ascii="宋体" w:hAnsi="宋体" w:eastAsia="宋体" w:cs="宋体"/>
                <w:spacing w:val="-1"/>
                <w:sz w:val="24"/>
                <w:szCs w:val="24"/>
                <w:lang w:val="en-US" w:eastAsia="zh-CN" w:bidi="ar-SA"/>
              </w:rPr>
              <w:t xml:space="preserve">西宁市海湖新区万达SOHO2号楼（星巴克咖啡旁）号楼23楼12306室 </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1867" w:hRule="atLeast"/>
        </w:trPr>
        <w:tc>
          <w:tcPr>
            <w:tcW w:w="2768" w:type="dxa"/>
            <w:tcBorders>
              <w:top w:val="single" w:color="000000" w:sz="4" w:space="0"/>
              <w:left w:val="single" w:color="000000" w:sz="4" w:space="0"/>
              <w:bottom w:val="single" w:color="000000" w:sz="4" w:space="0"/>
              <w:right w:val="single" w:color="000000" w:sz="4" w:space="0"/>
            </w:tcBorders>
          </w:tcPr>
          <w:p>
            <w:pPr>
              <w:pStyle w:val="31"/>
              <w:rPr>
                <w:sz w:val="24"/>
              </w:rPr>
            </w:pPr>
          </w:p>
          <w:p>
            <w:pPr>
              <w:pStyle w:val="31"/>
              <w:spacing w:before="8"/>
              <w:rPr>
                <w:sz w:val="30"/>
              </w:rPr>
            </w:pPr>
          </w:p>
          <w:p>
            <w:pPr>
              <w:pStyle w:val="31"/>
              <w:ind w:left="106"/>
              <w:rPr>
                <w:sz w:val="24"/>
              </w:rPr>
            </w:pPr>
            <w:r>
              <w:rPr>
                <w:sz w:val="24"/>
              </w:rPr>
              <w:t>采购单位及联系人</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58"/>
              <w:ind w:left="108"/>
              <w:rPr>
                <w:rFonts w:hint="default"/>
                <w:sz w:val="24"/>
                <w:lang w:val="en-US" w:eastAsia="zh-CN"/>
              </w:rPr>
            </w:pPr>
            <w:r>
              <w:rPr>
                <w:spacing w:val="-1"/>
                <w:sz w:val="24"/>
              </w:rPr>
              <w:t>采购单位：</w:t>
            </w:r>
            <w:r>
              <w:rPr>
                <w:rFonts w:hint="eastAsia"/>
                <w:sz w:val="24"/>
              </w:rPr>
              <w:t>果洛</w:t>
            </w:r>
            <w:r>
              <w:rPr>
                <w:rFonts w:hint="eastAsia"/>
                <w:sz w:val="24"/>
                <w:lang w:val="en-US" w:eastAsia="zh-CN"/>
              </w:rPr>
              <w:t>州公安局</w:t>
            </w:r>
          </w:p>
          <w:p>
            <w:pPr>
              <w:pStyle w:val="31"/>
              <w:spacing w:before="158"/>
              <w:ind w:left="108"/>
              <w:rPr>
                <w:rFonts w:hint="default"/>
                <w:sz w:val="24"/>
                <w:lang w:val="en-US" w:eastAsia="zh-CN"/>
              </w:rPr>
            </w:pPr>
            <w:r>
              <w:rPr>
                <w:sz w:val="24"/>
              </w:rPr>
              <w:t>联系人：</w:t>
            </w:r>
            <w:r>
              <w:rPr>
                <w:rFonts w:hint="eastAsia"/>
                <w:sz w:val="24"/>
                <w:lang w:val="en-US" w:eastAsia="zh-CN"/>
              </w:rPr>
              <w:t>桓鑫</w:t>
            </w:r>
          </w:p>
          <w:p>
            <w:pPr>
              <w:pStyle w:val="31"/>
              <w:spacing w:before="158"/>
              <w:ind w:left="108"/>
              <w:rPr>
                <w:rFonts w:hint="default"/>
                <w:sz w:val="24"/>
                <w:lang w:val="en-US" w:eastAsia="zh-CN"/>
              </w:rPr>
            </w:pPr>
            <w:r>
              <w:rPr>
                <w:sz w:val="24"/>
              </w:rPr>
              <w:t>联系电话：</w:t>
            </w:r>
            <w:r>
              <w:rPr>
                <w:rFonts w:hint="eastAsia"/>
                <w:sz w:val="24"/>
                <w:lang w:val="en-US" w:eastAsia="zh-CN"/>
              </w:rPr>
              <w:t>17800756789</w:t>
            </w:r>
          </w:p>
          <w:p>
            <w:pPr>
              <w:pStyle w:val="31"/>
              <w:spacing w:before="158"/>
              <w:ind w:left="108"/>
              <w:rPr>
                <w:rFonts w:hint="default" w:eastAsia="宋体"/>
                <w:sz w:val="24"/>
                <w:lang w:val="en-US" w:eastAsia="zh-CN"/>
              </w:rPr>
            </w:pPr>
            <w:r>
              <w:rPr>
                <w:sz w:val="24"/>
              </w:rPr>
              <w:t>联系地址</w:t>
            </w:r>
            <w:r>
              <w:rPr>
                <w:rFonts w:hint="eastAsia"/>
                <w:sz w:val="24"/>
                <w:lang w:eastAsia="zh-CN"/>
              </w:rPr>
              <w:t>：</w:t>
            </w:r>
            <w:r>
              <w:rPr>
                <w:sz w:val="24"/>
              </w:rPr>
              <w:t>果洛藏族自治州玛沁县大武镇团结路212号</w:t>
            </w:r>
            <w:r>
              <w:rPr>
                <w:rFonts w:hint="eastAsia"/>
                <w:sz w:val="24"/>
                <w:lang w:val="en-US" w:eastAsia="zh-CN"/>
              </w:rPr>
              <w:t>果洛州公安局</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1399" w:hRule="atLeast"/>
        </w:trPr>
        <w:tc>
          <w:tcPr>
            <w:tcW w:w="2768" w:type="dxa"/>
            <w:tcBorders>
              <w:top w:val="single" w:color="000000" w:sz="4" w:space="0"/>
              <w:left w:val="single" w:color="000000" w:sz="4" w:space="0"/>
              <w:bottom w:val="single" w:color="000000" w:sz="4" w:space="0"/>
              <w:right w:val="single" w:color="000000" w:sz="4" w:space="0"/>
            </w:tcBorders>
          </w:tcPr>
          <w:p>
            <w:pPr>
              <w:pStyle w:val="31"/>
              <w:rPr>
                <w:sz w:val="24"/>
              </w:rPr>
            </w:pPr>
          </w:p>
          <w:p>
            <w:pPr>
              <w:pStyle w:val="31"/>
              <w:spacing w:before="160"/>
              <w:ind w:left="106"/>
              <w:rPr>
                <w:sz w:val="24"/>
              </w:rPr>
            </w:pPr>
            <w:r>
              <w:rPr>
                <w:sz w:val="24"/>
              </w:rPr>
              <w:t>采购代理机构及联系人</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2" w:line="362" w:lineRule="auto"/>
              <w:ind w:left="108" w:right="2780"/>
              <w:rPr>
                <w:spacing w:val="-1"/>
                <w:sz w:val="24"/>
              </w:rPr>
            </w:pPr>
            <w:r>
              <w:rPr>
                <w:spacing w:val="-1"/>
                <w:sz w:val="24"/>
              </w:rPr>
              <w:t>采购代理机构：</w:t>
            </w:r>
            <w:r>
              <w:rPr>
                <w:rFonts w:hint="eastAsia"/>
                <w:spacing w:val="-1"/>
                <w:sz w:val="24"/>
              </w:rPr>
              <w:t>果洛州政府采购服务中心</w:t>
            </w:r>
          </w:p>
          <w:p>
            <w:pPr>
              <w:pStyle w:val="31"/>
              <w:spacing w:before="2" w:line="362" w:lineRule="auto"/>
              <w:ind w:left="108" w:right="2780"/>
              <w:rPr>
                <w:sz w:val="24"/>
              </w:rPr>
            </w:pPr>
            <w:r>
              <w:rPr>
                <w:sz w:val="24"/>
              </w:rPr>
              <w:t>联系人：</w:t>
            </w:r>
            <w:r>
              <w:rPr>
                <w:rFonts w:hint="eastAsia"/>
                <w:sz w:val="24"/>
              </w:rPr>
              <w:t>赵老师</w:t>
            </w:r>
          </w:p>
          <w:p>
            <w:pPr>
              <w:pStyle w:val="31"/>
              <w:spacing w:before="5"/>
              <w:ind w:left="108"/>
              <w:rPr>
                <w:sz w:val="24"/>
              </w:rPr>
            </w:pPr>
            <w:r>
              <w:rPr>
                <w:sz w:val="24"/>
              </w:rPr>
              <w:t>联系电话：09</w:t>
            </w:r>
            <w:r>
              <w:rPr>
                <w:rFonts w:hint="eastAsia"/>
                <w:sz w:val="24"/>
              </w:rPr>
              <w:t>75-8387612</w:t>
            </w:r>
          </w:p>
        </w:tc>
      </w:tr>
    </w:tbl>
    <w:p>
      <w:pPr>
        <w:rPr>
          <w:sz w:val="24"/>
        </w:rPr>
        <w:sectPr>
          <w:headerReference r:id="rId6" w:type="default"/>
          <w:footerReference r:id="rId7" w:type="default"/>
          <w:pgSz w:w="12240" w:h="15840"/>
          <w:pgMar w:top="1420" w:right="820" w:bottom="900" w:left="920" w:header="1153" w:footer="708" w:gutter="0"/>
          <w:pgNumType w:fmt="decimal" w:start="5"/>
          <w:cols w:space="720" w:num="1"/>
        </w:sectPr>
      </w:pPr>
    </w:p>
    <w:p>
      <w:pPr>
        <w:pStyle w:val="8"/>
        <w:rPr>
          <w:sz w:val="2"/>
        </w:rPr>
      </w:pPr>
    </w:p>
    <w:tbl>
      <w:tblPr>
        <w:tblStyle w:val="23"/>
        <w:tblW w:w="0" w:type="auto"/>
        <w:tblInd w:w="166" w:type="dxa"/>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Layout w:type="fixed"/>
        <w:tblCellMar>
          <w:top w:w="0" w:type="dxa"/>
          <w:left w:w="0" w:type="dxa"/>
          <w:bottom w:w="0" w:type="dxa"/>
          <w:right w:w="0" w:type="dxa"/>
        </w:tblCellMar>
      </w:tblPr>
      <w:tblGrid>
        <w:gridCol w:w="2768"/>
        <w:gridCol w:w="7461"/>
      </w:tblGrid>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456" w:hRule="atLeast"/>
        </w:trPr>
        <w:tc>
          <w:tcPr>
            <w:tcW w:w="2768" w:type="dxa"/>
            <w:tcBorders>
              <w:left w:val="single" w:color="000000" w:sz="4" w:space="0"/>
              <w:bottom w:val="single" w:color="000000" w:sz="4" w:space="0"/>
              <w:right w:val="single" w:color="000000" w:sz="4" w:space="0"/>
            </w:tcBorders>
          </w:tcPr>
          <w:p>
            <w:pPr>
              <w:pStyle w:val="31"/>
              <w:rPr>
                <w:rFonts w:ascii="Times New Roman"/>
              </w:rPr>
            </w:pPr>
          </w:p>
        </w:tc>
        <w:tc>
          <w:tcPr>
            <w:tcW w:w="7461" w:type="dxa"/>
            <w:tcBorders>
              <w:left w:val="single" w:color="000000" w:sz="4" w:space="0"/>
              <w:bottom w:val="single" w:color="000000" w:sz="4" w:space="0"/>
              <w:right w:val="single" w:color="000000" w:sz="4" w:space="0"/>
            </w:tcBorders>
          </w:tcPr>
          <w:p>
            <w:pPr>
              <w:pStyle w:val="31"/>
              <w:spacing w:before="2"/>
              <w:ind w:left="108"/>
              <w:rPr>
                <w:sz w:val="24"/>
              </w:rPr>
            </w:pPr>
            <w:r>
              <w:rPr>
                <w:sz w:val="24"/>
              </w:rPr>
              <w:t>联系地址：</w:t>
            </w:r>
            <w:r>
              <w:rPr>
                <w:rFonts w:hint="eastAsia"/>
                <w:spacing w:val="-1"/>
                <w:sz w:val="24"/>
              </w:rPr>
              <w:t>果洛藏族自治州政务服务监督管理局三楼政府采购办公室</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762"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149"/>
              <w:ind w:left="106"/>
              <w:rPr>
                <w:sz w:val="24"/>
              </w:rPr>
            </w:pPr>
            <w:r>
              <w:rPr>
                <w:sz w:val="24"/>
              </w:rPr>
              <w:t>采购代理机构开户银行</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49"/>
              <w:ind w:left="106"/>
              <w:rPr>
                <w:sz w:val="24"/>
              </w:rPr>
            </w:pPr>
            <w:r>
              <w:rPr>
                <w:rFonts w:hint="eastAsia"/>
                <w:sz w:val="24"/>
              </w:rPr>
              <w:t>中国农业银行股份有限公司玛沁县支行</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660"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97"/>
              <w:ind w:left="106"/>
              <w:rPr>
                <w:sz w:val="24"/>
              </w:rPr>
            </w:pPr>
            <w:r>
              <w:rPr>
                <w:sz w:val="24"/>
              </w:rPr>
              <w:t>收款人</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49"/>
              <w:ind w:left="106"/>
              <w:rPr>
                <w:sz w:val="24"/>
              </w:rPr>
            </w:pPr>
            <w:r>
              <w:rPr>
                <w:rFonts w:hint="eastAsia"/>
                <w:sz w:val="24"/>
              </w:rPr>
              <w:t>果洛州公共资源交易服务中心</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735"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135"/>
              <w:ind w:left="106"/>
              <w:rPr>
                <w:sz w:val="24"/>
              </w:rPr>
            </w:pPr>
            <w:r>
              <w:rPr>
                <w:sz w:val="24"/>
              </w:rPr>
              <w:t>银行账号</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49"/>
              <w:ind w:left="106"/>
              <w:rPr>
                <w:sz w:val="24"/>
              </w:rPr>
            </w:pPr>
            <w:r>
              <w:rPr>
                <w:rFonts w:hint="eastAsia"/>
                <w:sz w:val="24"/>
              </w:rPr>
              <w:t>28800001040014755</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1400" w:hRule="atLeast"/>
        </w:trPr>
        <w:tc>
          <w:tcPr>
            <w:tcW w:w="2768" w:type="dxa"/>
            <w:tcBorders>
              <w:top w:val="single" w:color="000000" w:sz="4" w:space="0"/>
              <w:left w:val="single" w:color="000000" w:sz="4" w:space="0"/>
              <w:bottom w:val="single" w:color="000000" w:sz="4" w:space="0"/>
              <w:right w:val="single" w:color="000000" w:sz="4" w:space="0"/>
            </w:tcBorders>
          </w:tcPr>
          <w:p>
            <w:pPr>
              <w:pStyle w:val="31"/>
              <w:rPr>
                <w:sz w:val="24"/>
              </w:rPr>
            </w:pPr>
          </w:p>
          <w:p>
            <w:pPr>
              <w:pStyle w:val="31"/>
              <w:spacing w:before="160"/>
              <w:ind w:left="106"/>
              <w:rPr>
                <w:sz w:val="24"/>
              </w:rPr>
            </w:pPr>
            <w:r>
              <w:rPr>
                <w:sz w:val="24"/>
              </w:rPr>
              <w:t>其他事项</w:t>
            </w:r>
          </w:p>
        </w:tc>
        <w:tc>
          <w:tcPr>
            <w:tcW w:w="7461" w:type="dxa"/>
            <w:tcBorders>
              <w:top w:val="single" w:color="000000" w:sz="4" w:space="0"/>
              <w:left w:val="single" w:color="000000" w:sz="4" w:space="0"/>
              <w:bottom w:val="single" w:color="000000" w:sz="4" w:space="0"/>
              <w:right w:val="single" w:color="000000" w:sz="4" w:space="0"/>
            </w:tcBorders>
          </w:tcPr>
          <w:p>
            <w:pPr>
              <w:pStyle w:val="30"/>
              <w:numPr>
                <w:ilvl w:val="0"/>
                <w:numId w:val="3"/>
              </w:numPr>
              <w:adjustRightInd w:val="0"/>
              <w:spacing w:line="276" w:lineRule="auto"/>
              <w:rPr>
                <w:spacing w:val="-1"/>
                <w:sz w:val="24"/>
                <w:lang w:val="zh-CN"/>
              </w:rPr>
            </w:pPr>
            <w:r>
              <w:rPr>
                <w:rFonts w:hint="eastAsia"/>
                <w:spacing w:val="-1"/>
                <w:sz w:val="24"/>
                <w:lang w:val="zh-CN"/>
              </w:rPr>
              <w:t>投标人所投项目必须完全响应磋商文件所列内容。</w:t>
            </w:r>
          </w:p>
          <w:p>
            <w:pPr>
              <w:pStyle w:val="30"/>
              <w:numPr>
                <w:ilvl w:val="0"/>
                <w:numId w:val="3"/>
              </w:numPr>
              <w:adjustRightInd w:val="0"/>
              <w:spacing w:line="276" w:lineRule="auto"/>
              <w:rPr>
                <w:spacing w:val="-1"/>
                <w:sz w:val="24"/>
                <w:lang w:val="zh-CN"/>
              </w:rPr>
            </w:pPr>
            <w:r>
              <w:rPr>
                <w:rFonts w:hint="eastAsia"/>
                <w:spacing w:val="-1"/>
                <w:sz w:val="24"/>
                <w:lang w:val="zh-CN"/>
              </w:rPr>
              <w:t>服务范围及所应达到的要求，以磋商文件中商务相应要求为准。</w:t>
            </w:r>
          </w:p>
          <w:p>
            <w:pPr>
              <w:pStyle w:val="30"/>
              <w:numPr>
                <w:ilvl w:val="0"/>
                <w:numId w:val="3"/>
              </w:numPr>
              <w:adjustRightInd w:val="0"/>
              <w:spacing w:line="276" w:lineRule="auto"/>
              <w:rPr>
                <w:spacing w:val="-1"/>
                <w:sz w:val="24"/>
                <w:lang w:val="zh-CN"/>
              </w:rPr>
            </w:pPr>
            <w:r>
              <w:rPr>
                <w:rFonts w:hint="eastAsia"/>
                <w:spacing w:val="-1"/>
                <w:sz w:val="24"/>
                <w:lang w:val="zh-CN"/>
              </w:rPr>
              <w:t>磋商内容如有变动，以磋商文件及澄清文件为准。</w:t>
            </w:r>
          </w:p>
          <w:p>
            <w:pPr>
              <w:pStyle w:val="31"/>
              <w:spacing w:before="2"/>
              <w:rPr>
                <w:sz w:val="24"/>
              </w:rPr>
            </w:pPr>
            <w:r>
              <w:rPr>
                <w:rFonts w:hint="eastAsia"/>
                <w:spacing w:val="-1"/>
                <w:sz w:val="24"/>
              </w:rPr>
              <w:t>4、</w:t>
            </w:r>
            <w:r>
              <w:rPr>
                <w:rFonts w:hint="eastAsia"/>
                <w:spacing w:val="-1"/>
                <w:sz w:val="24"/>
                <w:lang w:val="zh-CN"/>
              </w:rPr>
              <w:t>本项目磋商公告在《青海政府采购网》、《</w:t>
            </w:r>
            <w:r>
              <w:rPr>
                <w:rFonts w:hint="eastAsia"/>
                <w:spacing w:val="-1"/>
                <w:sz w:val="24"/>
                <w:lang w:val="en-US" w:eastAsia="zh-CN"/>
              </w:rPr>
              <w:t>青海省公共资源交易网</w:t>
            </w:r>
            <w:r>
              <w:rPr>
                <w:rFonts w:hint="eastAsia"/>
                <w:spacing w:val="-1"/>
                <w:sz w:val="24"/>
                <w:lang w:val="zh-CN"/>
              </w:rPr>
              <w:t>》上发布。</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33"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5"/>
              <w:rPr>
                <w:sz w:val="18"/>
              </w:rPr>
            </w:pPr>
          </w:p>
          <w:p>
            <w:pPr>
              <w:pStyle w:val="31"/>
              <w:ind w:left="106"/>
              <w:rPr>
                <w:sz w:val="24"/>
              </w:rPr>
            </w:pPr>
            <w:r>
              <w:rPr>
                <w:sz w:val="24"/>
              </w:rPr>
              <w:t>财政监管部门及电话</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3"/>
              <w:ind w:left="108"/>
              <w:rPr>
                <w:sz w:val="24"/>
              </w:rPr>
            </w:pPr>
            <w:r>
              <w:rPr>
                <w:sz w:val="24"/>
              </w:rPr>
              <w:t>单位名称：</w:t>
            </w:r>
            <w:r>
              <w:rPr>
                <w:rFonts w:hint="eastAsia"/>
                <w:sz w:val="24"/>
              </w:rPr>
              <w:t>果洛州</w:t>
            </w:r>
            <w:r>
              <w:rPr>
                <w:sz w:val="24"/>
              </w:rPr>
              <w:t>财政局</w:t>
            </w:r>
          </w:p>
          <w:p>
            <w:pPr>
              <w:pStyle w:val="31"/>
              <w:spacing w:before="158"/>
              <w:ind w:left="108"/>
              <w:rPr>
                <w:sz w:val="24"/>
              </w:rPr>
            </w:pPr>
            <w:r>
              <w:rPr>
                <w:sz w:val="24"/>
              </w:rPr>
              <w:t>联系电话：</w:t>
            </w:r>
            <w:r>
              <w:rPr>
                <w:rFonts w:hint="eastAsia"/>
                <w:sz w:val="24"/>
              </w:rPr>
              <w:t>0975-8382774</w:t>
            </w:r>
          </w:p>
        </w:tc>
      </w:tr>
    </w:tbl>
    <w:p>
      <w:pPr>
        <w:pStyle w:val="8"/>
        <w:rPr>
          <w:sz w:val="20"/>
        </w:rPr>
      </w:pPr>
    </w:p>
    <w:p>
      <w:pPr>
        <w:pStyle w:val="8"/>
        <w:spacing w:before="212" w:line="364" w:lineRule="auto"/>
        <w:ind w:left="5916" w:leftChars="2503" w:right="1819" w:hanging="409" w:hangingChars="172"/>
        <w:rPr>
          <w:rFonts w:hint="eastAsia"/>
          <w:spacing w:val="-1"/>
        </w:rPr>
      </w:pPr>
      <w:bookmarkStart w:id="3" w:name="第二部分__供应商须知前附表"/>
      <w:bookmarkEnd w:id="3"/>
      <w:r>
        <w:rPr>
          <w:rFonts w:hint="eastAsia"/>
          <w:spacing w:val="-1"/>
        </w:rPr>
        <w:t>果洛州政府采购服务中心</w:t>
      </w:r>
    </w:p>
    <w:p>
      <w:pPr>
        <w:pStyle w:val="8"/>
        <w:spacing w:before="212" w:line="364" w:lineRule="auto"/>
        <w:ind w:left="5917" w:leftChars="2612" w:right="1819" w:hanging="171" w:hangingChars="72"/>
        <w:rPr>
          <w:rFonts w:hint="eastAsia"/>
          <w:spacing w:val="-1"/>
        </w:rPr>
      </w:pPr>
      <w:r>
        <w:rPr>
          <w:rFonts w:hint="eastAsia"/>
          <w:spacing w:val="-1"/>
        </w:rPr>
        <w:t>2021 年</w:t>
      </w:r>
      <w:r>
        <w:rPr>
          <w:rFonts w:hint="eastAsia"/>
          <w:spacing w:val="-1"/>
          <w:lang w:val="en-US" w:eastAsia="zh-CN"/>
        </w:rPr>
        <w:t>11</w:t>
      </w:r>
      <w:r>
        <w:rPr>
          <w:rFonts w:hint="eastAsia"/>
          <w:spacing w:val="-1"/>
        </w:rPr>
        <w:t>月</w:t>
      </w:r>
      <w:r>
        <w:rPr>
          <w:rFonts w:hint="eastAsia"/>
          <w:spacing w:val="-1"/>
          <w:lang w:val="en-US" w:eastAsia="zh-CN"/>
        </w:rPr>
        <w:t>24</w:t>
      </w:r>
      <w:r>
        <w:rPr>
          <w:rFonts w:hint="eastAsia"/>
          <w:spacing w:val="-1"/>
        </w:rPr>
        <w:t>日</w:t>
      </w:r>
    </w:p>
    <w:p>
      <w:pPr>
        <w:spacing w:line="364" w:lineRule="auto"/>
        <w:rPr>
          <w:color w:val="FF0000"/>
        </w:rPr>
        <w:sectPr>
          <w:pgSz w:w="12240" w:h="15840"/>
          <w:pgMar w:top="1400" w:right="820" w:bottom="900" w:left="920" w:header="1153" w:footer="708" w:gutter="0"/>
          <w:pgNumType w:fmt="decimal"/>
          <w:cols w:space="720" w:num="1"/>
        </w:sectPr>
      </w:pPr>
    </w:p>
    <w:p>
      <w:pPr>
        <w:pStyle w:val="8"/>
        <w:spacing w:before="10"/>
        <w:rPr>
          <w:sz w:val="14"/>
        </w:rPr>
      </w:pPr>
    </w:p>
    <w:p>
      <w:pPr>
        <w:pStyle w:val="5"/>
        <w:spacing w:before="58"/>
        <w:ind w:right="98"/>
        <w:outlineLvl w:val="0"/>
      </w:pPr>
      <w:bookmarkStart w:id="4" w:name="_Toc25584"/>
      <w:r>
        <w:rPr>
          <w:spacing w:val="10"/>
        </w:rPr>
        <w:t>第二部分 供应商须知前附表</w:t>
      </w:r>
      <w:bookmarkEnd w:id="4"/>
    </w:p>
    <w:p>
      <w:pPr>
        <w:pStyle w:val="8"/>
        <w:rPr>
          <w:sz w:val="26"/>
        </w:rPr>
      </w:pPr>
    </w:p>
    <w:tbl>
      <w:tblPr>
        <w:tblStyle w:val="23"/>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95" w:type="dxa"/>
          </w:tcPr>
          <w:p>
            <w:pPr>
              <w:pStyle w:val="31"/>
              <w:spacing w:before="48"/>
              <w:ind w:left="185" w:right="174"/>
              <w:jc w:val="center"/>
              <w:rPr>
                <w:sz w:val="24"/>
              </w:rPr>
            </w:pPr>
            <w:r>
              <w:rPr>
                <w:sz w:val="24"/>
              </w:rPr>
              <w:t>序号</w:t>
            </w:r>
          </w:p>
        </w:tc>
        <w:tc>
          <w:tcPr>
            <w:tcW w:w="8963" w:type="dxa"/>
            <w:gridSpan w:val="2"/>
          </w:tcPr>
          <w:p>
            <w:pPr>
              <w:pStyle w:val="31"/>
              <w:spacing w:before="48"/>
              <w:ind w:left="4220" w:right="4208"/>
              <w:jc w:val="center"/>
              <w:rPr>
                <w:sz w:val="24"/>
              </w:rPr>
            </w:pPr>
            <w:r>
              <w:rPr>
                <w:sz w:val="24"/>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pPr>
              <w:pStyle w:val="31"/>
              <w:spacing w:before="63"/>
              <w:ind w:left="11"/>
              <w:jc w:val="center"/>
              <w:rPr>
                <w:sz w:val="24"/>
              </w:rPr>
            </w:pPr>
            <w:r>
              <w:rPr>
                <w:sz w:val="24"/>
              </w:rPr>
              <w:t>1</w:t>
            </w:r>
          </w:p>
        </w:tc>
        <w:tc>
          <w:tcPr>
            <w:tcW w:w="2061" w:type="dxa"/>
          </w:tcPr>
          <w:p>
            <w:pPr>
              <w:pStyle w:val="31"/>
              <w:spacing w:before="63"/>
              <w:ind w:left="107"/>
              <w:rPr>
                <w:sz w:val="24"/>
              </w:rPr>
            </w:pPr>
            <w:r>
              <w:rPr>
                <w:sz w:val="24"/>
              </w:rPr>
              <w:t>采购项目名称</w:t>
            </w:r>
          </w:p>
        </w:tc>
        <w:tc>
          <w:tcPr>
            <w:tcW w:w="6902" w:type="dxa"/>
          </w:tcPr>
          <w:p>
            <w:pPr>
              <w:pStyle w:val="31"/>
              <w:spacing w:before="63"/>
              <w:ind w:left="107"/>
              <w:rPr>
                <w:sz w:val="24"/>
              </w:rPr>
            </w:pPr>
            <w:r>
              <w:rPr>
                <w:rFonts w:hint="eastAsia"/>
                <w:sz w:val="24"/>
              </w:rPr>
              <w:t>果洛州</w:t>
            </w:r>
            <w:r>
              <w:rPr>
                <w:rFonts w:hint="eastAsia"/>
                <w:sz w:val="24"/>
                <w:lang w:val="en-US" w:eastAsia="zh-CN"/>
              </w:rPr>
              <w:t>公安局购置执法执勤、专业技术用车项目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895" w:type="dxa"/>
          </w:tcPr>
          <w:p>
            <w:pPr>
              <w:pStyle w:val="31"/>
              <w:spacing w:before="42"/>
              <w:ind w:left="11"/>
              <w:jc w:val="center"/>
              <w:rPr>
                <w:sz w:val="24"/>
              </w:rPr>
            </w:pPr>
            <w:r>
              <w:rPr>
                <w:sz w:val="24"/>
              </w:rPr>
              <w:t>2</w:t>
            </w:r>
          </w:p>
        </w:tc>
        <w:tc>
          <w:tcPr>
            <w:tcW w:w="2061" w:type="dxa"/>
          </w:tcPr>
          <w:p>
            <w:pPr>
              <w:pStyle w:val="31"/>
              <w:spacing w:before="42"/>
              <w:ind w:left="107"/>
              <w:rPr>
                <w:sz w:val="24"/>
              </w:rPr>
            </w:pPr>
            <w:r>
              <w:rPr>
                <w:sz w:val="24"/>
              </w:rPr>
              <w:t>采购项目编号</w:t>
            </w:r>
          </w:p>
        </w:tc>
        <w:tc>
          <w:tcPr>
            <w:tcW w:w="6902" w:type="dxa"/>
          </w:tcPr>
          <w:p>
            <w:pPr>
              <w:pStyle w:val="31"/>
              <w:spacing w:before="42"/>
              <w:ind w:left="107"/>
              <w:rPr>
                <w:rFonts w:hint="eastAsia" w:eastAsia="宋体"/>
                <w:sz w:val="24"/>
                <w:lang w:val="en-US" w:eastAsia="zh-CN"/>
              </w:rPr>
            </w:pPr>
            <w:r>
              <w:rPr>
                <w:rFonts w:hint="eastAsia"/>
                <w:sz w:val="24"/>
              </w:rPr>
              <w:t>果政采竞磋（服务）2021-0</w:t>
            </w:r>
            <w:r>
              <w:rPr>
                <w:rFonts w:hint="eastAsia"/>
                <w:sz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pPr>
              <w:pStyle w:val="31"/>
              <w:spacing w:before="62"/>
              <w:ind w:left="11"/>
              <w:jc w:val="center"/>
              <w:rPr>
                <w:sz w:val="24"/>
              </w:rPr>
            </w:pPr>
            <w:r>
              <w:rPr>
                <w:sz w:val="24"/>
              </w:rPr>
              <w:t>3</w:t>
            </w:r>
          </w:p>
        </w:tc>
        <w:tc>
          <w:tcPr>
            <w:tcW w:w="2061" w:type="dxa"/>
          </w:tcPr>
          <w:p>
            <w:pPr>
              <w:pStyle w:val="31"/>
              <w:spacing w:before="62"/>
              <w:ind w:left="107"/>
              <w:rPr>
                <w:sz w:val="24"/>
              </w:rPr>
            </w:pPr>
            <w:r>
              <w:rPr>
                <w:sz w:val="24"/>
              </w:rPr>
              <w:t>采购人</w:t>
            </w:r>
          </w:p>
        </w:tc>
        <w:tc>
          <w:tcPr>
            <w:tcW w:w="6902" w:type="dxa"/>
          </w:tcPr>
          <w:p>
            <w:pPr>
              <w:pStyle w:val="31"/>
              <w:spacing w:before="62"/>
              <w:ind w:left="107"/>
              <w:rPr>
                <w:rFonts w:hint="eastAsia" w:eastAsia="宋体"/>
                <w:sz w:val="24"/>
                <w:lang w:val="en-US" w:eastAsia="zh-CN"/>
              </w:rPr>
            </w:pPr>
            <w:r>
              <w:rPr>
                <w:rFonts w:hint="eastAsia"/>
                <w:sz w:val="24"/>
              </w:rPr>
              <w:t>果洛州</w:t>
            </w:r>
            <w:r>
              <w:rPr>
                <w:rFonts w:hint="eastAsia"/>
                <w:sz w:val="24"/>
                <w:lang w:val="en-US" w:eastAsia="zh-CN"/>
              </w:rPr>
              <w:t>公安局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95" w:type="dxa"/>
          </w:tcPr>
          <w:p>
            <w:pPr>
              <w:pStyle w:val="31"/>
              <w:spacing w:before="49"/>
              <w:ind w:left="11"/>
              <w:jc w:val="center"/>
              <w:rPr>
                <w:sz w:val="24"/>
              </w:rPr>
            </w:pPr>
            <w:r>
              <w:rPr>
                <w:sz w:val="24"/>
              </w:rPr>
              <w:t>4</w:t>
            </w:r>
          </w:p>
        </w:tc>
        <w:tc>
          <w:tcPr>
            <w:tcW w:w="2061" w:type="dxa"/>
          </w:tcPr>
          <w:p>
            <w:pPr>
              <w:pStyle w:val="31"/>
              <w:spacing w:before="49"/>
              <w:ind w:left="107"/>
              <w:rPr>
                <w:sz w:val="24"/>
              </w:rPr>
            </w:pPr>
            <w:r>
              <w:rPr>
                <w:sz w:val="24"/>
              </w:rPr>
              <w:t>采购代理机构</w:t>
            </w:r>
          </w:p>
        </w:tc>
        <w:tc>
          <w:tcPr>
            <w:tcW w:w="6902" w:type="dxa"/>
          </w:tcPr>
          <w:p>
            <w:pPr>
              <w:pStyle w:val="31"/>
              <w:spacing w:before="49"/>
              <w:ind w:left="107"/>
              <w:rPr>
                <w:sz w:val="24"/>
              </w:rPr>
            </w:pPr>
            <w:r>
              <w:rPr>
                <w:rFonts w:hint="eastAsia"/>
                <w:sz w:val="24"/>
              </w:rPr>
              <w:t>果洛州政府采购服务中心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pPr>
              <w:pStyle w:val="31"/>
              <w:spacing w:before="69"/>
              <w:ind w:left="11"/>
              <w:jc w:val="center"/>
              <w:rPr>
                <w:sz w:val="24"/>
              </w:rPr>
            </w:pPr>
            <w:r>
              <w:rPr>
                <w:sz w:val="24"/>
              </w:rPr>
              <w:t>5</w:t>
            </w:r>
          </w:p>
        </w:tc>
        <w:tc>
          <w:tcPr>
            <w:tcW w:w="2061" w:type="dxa"/>
          </w:tcPr>
          <w:p>
            <w:pPr>
              <w:pStyle w:val="31"/>
              <w:spacing w:before="69"/>
              <w:ind w:left="107"/>
              <w:rPr>
                <w:sz w:val="24"/>
              </w:rPr>
            </w:pPr>
            <w:r>
              <w:rPr>
                <w:sz w:val="24"/>
              </w:rPr>
              <w:t>采购方式</w:t>
            </w:r>
          </w:p>
        </w:tc>
        <w:tc>
          <w:tcPr>
            <w:tcW w:w="6902" w:type="dxa"/>
          </w:tcPr>
          <w:p>
            <w:pPr>
              <w:pStyle w:val="31"/>
              <w:spacing w:before="2"/>
              <w:ind w:left="107"/>
              <w:rPr>
                <w:sz w:val="24"/>
              </w:rPr>
            </w:pPr>
            <w:r>
              <w:rPr>
                <w:sz w:val="24"/>
              </w:rPr>
              <w:t>竞争性磋商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pPr>
              <w:pStyle w:val="31"/>
              <w:spacing w:before="70"/>
              <w:ind w:left="11"/>
              <w:jc w:val="center"/>
              <w:rPr>
                <w:sz w:val="24"/>
              </w:rPr>
            </w:pPr>
            <w:r>
              <w:rPr>
                <w:sz w:val="24"/>
              </w:rPr>
              <w:t>6</w:t>
            </w:r>
          </w:p>
        </w:tc>
        <w:tc>
          <w:tcPr>
            <w:tcW w:w="2061" w:type="dxa"/>
          </w:tcPr>
          <w:p>
            <w:pPr>
              <w:pStyle w:val="31"/>
              <w:spacing w:before="70"/>
              <w:ind w:left="107"/>
              <w:rPr>
                <w:sz w:val="24"/>
              </w:rPr>
            </w:pPr>
            <w:r>
              <w:rPr>
                <w:sz w:val="24"/>
              </w:rPr>
              <w:t>评分办法</w:t>
            </w:r>
          </w:p>
        </w:tc>
        <w:tc>
          <w:tcPr>
            <w:tcW w:w="6902" w:type="dxa"/>
          </w:tcPr>
          <w:p>
            <w:pPr>
              <w:pStyle w:val="31"/>
              <w:spacing w:before="3"/>
              <w:ind w:left="107"/>
              <w:rPr>
                <w:sz w:val="24"/>
              </w:rPr>
            </w:pPr>
            <w:r>
              <w:rPr>
                <w:sz w:val="24"/>
              </w:rPr>
              <w:t>综合评分法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95" w:type="dxa"/>
          </w:tcPr>
          <w:p>
            <w:pPr>
              <w:pStyle w:val="31"/>
              <w:spacing w:before="68"/>
              <w:ind w:left="11"/>
              <w:jc w:val="center"/>
              <w:rPr>
                <w:sz w:val="24"/>
              </w:rPr>
            </w:pPr>
            <w:r>
              <w:rPr>
                <w:sz w:val="24"/>
              </w:rPr>
              <w:t>7</w:t>
            </w:r>
          </w:p>
        </w:tc>
        <w:tc>
          <w:tcPr>
            <w:tcW w:w="2061" w:type="dxa"/>
          </w:tcPr>
          <w:p>
            <w:pPr>
              <w:pStyle w:val="31"/>
              <w:spacing w:before="68"/>
              <w:ind w:left="107"/>
              <w:rPr>
                <w:sz w:val="24"/>
              </w:rPr>
            </w:pPr>
            <w:r>
              <w:rPr>
                <w:sz w:val="24"/>
              </w:rPr>
              <w:t>采购预算额度</w:t>
            </w:r>
          </w:p>
        </w:tc>
        <w:tc>
          <w:tcPr>
            <w:tcW w:w="6902" w:type="dxa"/>
          </w:tcPr>
          <w:p>
            <w:pPr>
              <w:pStyle w:val="31"/>
              <w:spacing w:before="1"/>
              <w:ind w:left="107"/>
              <w:rPr>
                <w:sz w:val="24"/>
              </w:rPr>
            </w:pPr>
            <w:r>
              <w:rPr>
                <w:rFonts w:hint="eastAsia"/>
                <w:sz w:val="24"/>
                <w:lang w:val="en-US" w:eastAsia="zh-CN"/>
              </w:rPr>
              <w:t>160</w:t>
            </w:r>
            <w:r>
              <w:rPr>
                <w:sz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95" w:type="dxa"/>
          </w:tcPr>
          <w:p>
            <w:pPr>
              <w:pStyle w:val="31"/>
              <w:spacing w:before="36"/>
              <w:ind w:left="11"/>
              <w:jc w:val="center"/>
              <w:rPr>
                <w:sz w:val="24"/>
              </w:rPr>
            </w:pPr>
            <w:r>
              <w:rPr>
                <w:sz w:val="24"/>
              </w:rPr>
              <w:t>8</w:t>
            </w:r>
          </w:p>
        </w:tc>
        <w:tc>
          <w:tcPr>
            <w:tcW w:w="2061" w:type="dxa"/>
          </w:tcPr>
          <w:p>
            <w:pPr>
              <w:pStyle w:val="31"/>
              <w:spacing w:before="36"/>
              <w:ind w:left="107"/>
              <w:rPr>
                <w:sz w:val="24"/>
              </w:rPr>
            </w:pPr>
            <w:r>
              <w:rPr>
                <w:sz w:val="24"/>
              </w:rPr>
              <w:t>最高限价</w:t>
            </w:r>
          </w:p>
        </w:tc>
        <w:tc>
          <w:tcPr>
            <w:tcW w:w="6902" w:type="dxa"/>
          </w:tcPr>
          <w:p>
            <w:pPr>
              <w:pStyle w:val="31"/>
              <w:spacing w:before="2"/>
              <w:ind w:left="107"/>
              <w:rPr>
                <w:sz w:val="24"/>
              </w:rPr>
            </w:pPr>
            <w:r>
              <w:rPr>
                <w:rFonts w:hint="eastAsia"/>
                <w:sz w:val="24"/>
                <w:lang w:val="en-US" w:eastAsia="zh-CN"/>
              </w:rPr>
              <w:t>160</w:t>
            </w:r>
            <w:r>
              <w:rPr>
                <w:sz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pPr>
              <w:pStyle w:val="31"/>
              <w:spacing w:before="68"/>
              <w:ind w:left="11"/>
              <w:jc w:val="center"/>
              <w:rPr>
                <w:sz w:val="24"/>
              </w:rPr>
            </w:pPr>
            <w:r>
              <w:rPr>
                <w:sz w:val="24"/>
              </w:rPr>
              <w:t>9</w:t>
            </w:r>
          </w:p>
        </w:tc>
        <w:tc>
          <w:tcPr>
            <w:tcW w:w="2061" w:type="dxa"/>
          </w:tcPr>
          <w:p>
            <w:pPr>
              <w:pStyle w:val="31"/>
              <w:spacing w:before="68"/>
              <w:ind w:left="107"/>
              <w:rPr>
                <w:sz w:val="24"/>
              </w:rPr>
            </w:pPr>
            <w:r>
              <w:rPr>
                <w:sz w:val="24"/>
              </w:rPr>
              <w:t>项目分包个数</w:t>
            </w:r>
          </w:p>
        </w:tc>
        <w:tc>
          <w:tcPr>
            <w:tcW w:w="6902" w:type="dxa"/>
          </w:tcPr>
          <w:p>
            <w:pPr>
              <w:pStyle w:val="31"/>
              <w:spacing w:before="1"/>
              <w:ind w:left="107"/>
              <w:rPr>
                <w:sz w:val="24"/>
              </w:rPr>
            </w:pPr>
            <w:r>
              <w:rPr>
                <w:sz w:val="24"/>
              </w:rPr>
              <w:t>无分包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95" w:type="dxa"/>
          </w:tcPr>
          <w:p>
            <w:pPr>
              <w:pStyle w:val="31"/>
              <w:spacing w:before="62"/>
              <w:ind w:left="185" w:right="174"/>
              <w:jc w:val="center"/>
              <w:rPr>
                <w:sz w:val="24"/>
              </w:rPr>
            </w:pPr>
            <w:r>
              <w:rPr>
                <w:sz w:val="24"/>
              </w:rPr>
              <w:t>10</w:t>
            </w:r>
          </w:p>
        </w:tc>
        <w:tc>
          <w:tcPr>
            <w:tcW w:w="2061" w:type="dxa"/>
          </w:tcPr>
          <w:p>
            <w:pPr>
              <w:pStyle w:val="31"/>
              <w:spacing w:before="62"/>
              <w:ind w:left="107"/>
              <w:rPr>
                <w:sz w:val="24"/>
              </w:rPr>
            </w:pPr>
            <w:r>
              <w:rPr>
                <w:sz w:val="24"/>
              </w:rPr>
              <w:t>采购要求</w:t>
            </w:r>
          </w:p>
        </w:tc>
        <w:tc>
          <w:tcPr>
            <w:tcW w:w="6902" w:type="dxa"/>
          </w:tcPr>
          <w:p>
            <w:pPr>
              <w:pStyle w:val="31"/>
              <w:spacing w:before="62"/>
              <w:ind w:left="107"/>
              <w:rPr>
                <w:sz w:val="24"/>
              </w:rPr>
            </w:pPr>
            <w:r>
              <w:rPr>
                <w:sz w:val="24"/>
              </w:rPr>
              <w:t>详见磋商文件第六部分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4" w:hRule="atLeast"/>
        </w:trPr>
        <w:tc>
          <w:tcPr>
            <w:tcW w:w="895" w:type="dxa"/>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183"/>
              <w:ind w:left="185" w:right="174"/>
              <w:jc w:val="center"/>
              <w:rPr>
                <w:sz w:val="24"/>
              </w:rPr>
            </w:pPr>
            <w:r>
              <w:rPr>
                <w:sz w:val="24"/>
              </w:rPr>
              <w:t>11</w:t>
            </w:r>
          </w:p>
        </w:tc>
        <w:tc>
          <w:tcPr>
            <w:tcW w:w="2061" w:type="dxa"/>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183"/>
              <w:ind w:left="188"/>
              <w:rPr>
                <w:sz w:val="24"/>
              </w:rPr>
            </w:pPr>
            <w:r>
              <w:rPr>
                <w:sz w:val="24"/>
              </w:rPr>
              <w:t>供应商资格条件</w:t>
            </w:r>
          </w:p>
        </w:tc>
        <w:tc>
          <w:tcPr>
            <w:tcW w:w="6902" w:type="dxa"/>
          </w:tcPr>
          <w:p>
            <w:pPr>
              <w:pStyle w:val="31"/>
              <w:spacing w:before="2"/>
              <w:ind w:left="107"/>
              <w:rPr>
                <w:sz w:val="24"/>
              </w:rPr>
            </w:pPr>
            <w:r>
              <w:rPr>
                <w:sz w:val="24"/>
              </w:rPr>
              <w:t>1.符合《政府采购法》第22条条件，并提供下列材料：</w:t>
            </w:r>
          </w:p>
          <w:p>
            <w:pPr>
              <w:pStyle w:val="31"/>
              <w:numPr>
                <w:ilvl w:val="0"/>
                <w:numId w:val="4"/>
              </w:numPr>
              <w:tabs>
                <w:tab w:val="left" w:pos="709"/>
              </w:tabs>
              <w:spacing w:before="158"/>
              <w:ind w:hanging="602"/>
              <w:rPr>
                <w:sz w:val="24"/>
              </w:rPr>
            </w:pPr>
            <w:r>
              <w:rPr>
                <w:sz w:val="24"/>
              </w:rPr>
              <w:t>供应商的营业执照等证明文件，自然人的身份证明。</w:t>
            </w:r>
          </w:p>
          <w:p>
            <w:pPr>
              <w:pStyle w:val="31"/>
              <w:numPr>
                <w:ilvl w:val="0"/>
                <w:numId w:val="4"/>
              </w:numPr>
              <w:tabs>
                <w:tab w:val="left" w:pos="709"/>
              </w:tabs>
              <w:spacing w:before="161"/>
              <w:ind w:right="-29" w:hanging="602"/>
              <w:rPr>
                <w:sz w:val="24"/>
              </w:rPr>
            </w:pPr>
            <w:r>
              <w:rPr>
                <w:spacing w:val="-2"/>
                <w:sz w:val="24"/>
              </w:rPr>
              <w:t>财务状况报告，依法缴纳税收和社会保障资金的相关材料。</w:t>
            </w:r>
          </w:p>
          <w:p>
            <w:pPr>
              <w:pStyle w:val="31"/>
              <w:numPr>
                <w:ilvl w:val="0"/>
                <w:numId w:val="4"/>
              </w:numPr>
              <w:tabs>
                <w:tab w:val="left" w:pos="709"/>
              </w:tabs>
              <w:spacing w:before="158"/>
              <w:ind w:hanging="602"/>
              <w:rPr>
                <w:sz w:val="24"/>
              </w:rPr>
            </w:pPr>
            <w:r>
              <w:rPr>
                <w:sz w:val="24"/>
              </w:rPr>
              <w:t>具备履行合同所必需的设备和专业技术能力的证明材料。</w:t>
            </w:r>
          </w:p>
          <w:p>
            <w:pPr>
              <w:pStyle w:val="31"/>
              <w:numPr>
                <w:ilvl w:val="0"/>
                <w:numId w:val="4"/>
              </w:numPr>
              <w:tabs>
                <w:tab w:val="left" w:pos="709"/>
              </w:tabs>
              <w:spacing w:before="161" w:line="362" w:lineRule="auto"/>
              <w:ind w:left="107" w:right="90" w:firstLine="0"/>
              <w:rPr>
                <w:sz w:val="24"/>
              </w:rPr>
            </w:pPr>
            <w:r>
              <w:rPr>
                <w:sz w:val="24"/>
              </w:rPr>
              <w:t>参加政府采购活动前3年内在经营活动中没有重大违法记录的书面声明。</w:t>
            </w:r>
          </w:p>
          <w:p>
            <w:pPr>
              <w:pStyle w:val="31"/>
              <w:numPr>
                <w:ilvl w:val="0"/>
                <w:numId w:val="4"/>
              </w:numPr>
              <w:tabs>
                <w:tab w:val="left" w:pos="709"/>
              </w:tabs>
              <w:spacing w:before="5"/>
              <w:ind w:hanging="602"/>
              <w:rPr>
                <w:sz w:val="24"/>
              </w:rPr>
            </w:pPr>
            <w:r>
              <w:rPr>
                <w:sz w:val="24"/>
              </w:rPr>
              <w:t>具备法律、行政法规规定的其他条件的证明材料。</w:t>
            </w:r>
          </w:p>
          <w:p>
            <w:pPr>
              <w:pStyle w:val="31"/>
              <w:numPr>
                <w:ilvl w:val="0"/>
                <w:numId w:val="5"/>
              </w:numPr>
              <w:tabs>
                <w:tab w:val="left" w:pos="349"/>
              </w:tabs>
              <w:spacing w:before="158" w:line="364" w:lineRule="auto"/>
              <w:ind w:right="90" w:firstLine="0"/>
              <w:jc w:val="both"/>
              <w:rPr>
                <w:sz w:val="24"/>
              </w:rPr>
            </w:pPr>
            <w:r>
              <w:rPr>
                <w:spacing w:val="-2"/>
                <w:sz w:val="24"/>
              </w:rPr>
              <w:t>单位负责人为同一人或者存在直接控股、管理关系的不同磋商供应商，不得参加同一合同项下的政府采购活动。否则，皆取消</w:t>
            </w:r>
            <w:r>
              <w:rPr>
                <w:sz w:val="24"/>
              </w:rPr>
              <w:t>磋商资格。</w:t>
            </w:r>
          </w:p>
          <w:p>
            <w:pPr>
              <w:pStyle w:val="31"/>
              <w:numPr>
                <w:ilvl w:val="0"/>
                <w:numId w:val="5"/>
              </w:numPr>
              <w:tabs>
                <w:tab w:val="left" w:pos="360"/>
              </w:tabs>
              <w:spacing w:line="307" w:lineRule="exact"/>
              <w:ind w:left="359" w:hanging="253"/>
              <w:rPr>
                <w:sz w:val="24"/>
              </w:rPr>
            </w:pPr>
            <w:r>
              <w:rPr>
                <w:spacing w:val="12"/>
                <w:sz w:val="24"/>
              </w:rPr>
              <w:t>经信用中国</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10"/>
                <w:sz w:val="24"/>
              </w:rPr>
              <w:t>、中国政府采购网</w:t>
            </w:r>
          </w:p>
        </w:tc>
      </w:tr>
    </w:tbl>
    <w:p>
      <w:pPr>
        <w:spacing w:line="307" w:lineRule="exact"/>
        <w:rPr>
          <w:sz w:val="24"/>
        </w:rPr>
        <w:sectPr>
          <w:headerReference r:id="rId8" w:type="default"/>
          <w:footerReference r:id="rId9" w:type="default"/>
          <w:pgSz w:w="12240" w:h="15840"/>
          <w:pgMar w:top="1440" w:right="820" w:bottom="900" w:left="920" w:header="1153" w:footer="708" w:gutter="0"/>
          <w:pgNumType w:fmt="decimal"/>
          <w:cols w:space="720" w:num="1"/>
        </w:sectPr>
      </w:pPr>
    </w:p>
    <w:tbl>
      <w:tblPr>
        <w:tblStyle w:val="23"/>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5" w:hRule="atLeast"/>
        </w:trPr>
        <w:tc>
          <w:tcPr>
            <w:tcW w:w="895" w:type="dxa"/>
          </w:tcPr>
          <w:p>
            <w:pPr>
              <w:pStyle w:val="31"/>
              <w:rPr>
                <w:rFonts w:ascii="Times New Roman"/>
              </w:rPr>
            </w:pPr>
          </w:p>
        </w:tc>
        <w:tc>
          <w:tcPr>
            <w:tcW w:w="2061" w:type="dxa"/>
          </w:tcPr>
          <w:p>
            <w:pPr>
              <w:pStyle w:val="31"/>
              <w:rPr>
                <w:rFonts w:ascii="Times New Roman"/>
              </w:rPr>
            </w:pPr>
          </w:p>
        </w:tc>
        <w:tc>
          <w:tcPr>
            <w:tcW w:w="6902" w:type="dxa"/>
          </w:tcPr>
          <w:p>
            <w:pPr>
              <w:pStyle w:val="31"/>
              <w:spacing w:before="14" w:line="364" w:lineRule="auto"/>
              <w:ind w:left="107" w:right="90"/>
              <w:jc w:val="both"/>
              <w:rPr>
                <w:sz w:val="24"/>
              </w:rPr>
            </w:pP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）等渠道查询后，列入失信被执行人、重大</w:t>
            </w:r>
            <w:r>
              <w:rPr>
                <w:spacing w:val="-2"/>
                <w:sz w:val="24"/>
              </w:rPr>
              <w:t>税收违法案件当事人名单、政府采购严重违法失信行为记录名单的，取消磋商资格（</w:t>
            </w:r>
            <w:r>
              <w:rPr>
                <w:spacing w:val="-1"/>
                <w:sz w:val="24"/>
              </w:rPr>
              <w:t>提供“信用中国”网站的查询截图，查询时</w:t>
            </w:r>
            <w:r>
              <w:rPr>
                <w:sz w:val="24"/>
              </w:rPr>
              <w:t>间为投标截止时间前 10天内）。</w:t>
            </w:r>
          </w:p>
          <w:p>
            <w:pPr>
              <w:pStyle w:val="31"/>
              <w:numPr>
                <w:ilvl w:val="0"/>
                <w:numId w:val="5"/>
              </w:numPr>
              <w:spacing w:line="303" w:lineRule="exact"/>
              <w:ind w:left="359" w:leftChars="0" w:hanging="253" w:firstLineChars="0"/>
              <w:rPr>
                <w:sz w:val="24"/>
              </w:rPr>
            </w:pPr>
            <w:r>
              <w:rPr>
                <w:sz w:val="24"/>
              </w:rPr>
              <w:t>本项目不接受供应商以联合体方式进行投标。</w:t>
            </w:r>
          </w:p>
          <w:p>
            <w:pPr>
              <w:pStyle w:val="31"/>
              <w:numPr>
                <w:ilvl w:val="0"/>
                <w:numId w:val="5"/>
              </w:numPr>
              <w:spacing w:line="303" w:lineRule="exact"/>
              <w:ind w:left="359" w:leftChars="0" w:hanging="253" w:firstLineChars="0"/>
              <w:rPr>
                <w:sz w:val="24"/>
              </w:rPr>
            </w:pPr>
            <w:r>
              <w:rPr>
                <w:rFonts w:hint="eastAsia"/>
                <w:sz w:val="24"/>
                <w:lang w:val="en-US" w:eastAsia="zh-CN"/>
              </w:rPr>
              <w:t>投标人须具备车辆生产销售（经营）资格。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5" w:hRule="atLeast"/>
        </w:trPr>
        <w:tc>
          <w:tcPr>
            <w:tcW w:w="895" w:type="dxa"/>
          </w:tcPr>
          <w:p>
            <w:pPr>
              <w:pStyle w:val="31"/>
              <w:rPr>
                <w:sz w:val="24"/>
              </w:rPr>
            </w:pPr>
          </w:p>
          <w:p>
            <w:pPr>
              <w:pStyle w:val="31"/>
              <w:rPr>
                <w:sz w:val="24"/>
              </w:rPr>
            </w:pPr>
          </w:p>
          <w:p>
            <w:pPr>
              <w:pStyle w:val="31"/>
              <w:spacing w:before="12"/>
              <w:rPr>
                <w:sz w:val="24"/>
              </w:rPr>
            </w:pPr>
          </w:p>
          <w:p>
            <w:pPr>
              <w:pStyle w:val="31"/>
              <w:ind w:left="185" w:right="174"/>
              <w:jc w:val="center"/>
              <w:rPr>
                <w:sz w:val="24"/>
              </w:rPr>
            </w:pPr>
            <w:r>
              <w:rPr>
                <w:sz w:val="24"/>
              </w:rPr>
              <w:t>12</w:t>
            </w:r>
          </w:p>
        </w:tc>
        <w:tc>
          <w:tcPr>
            <w:tcW w:w="2061" w:type="dxa"/>
          </w:tcPr>
          <w:p>
            <w:pPr>
              <w:pStyle w:val="31"/>
              <w:rPr>
                <w:sz w:val="24"/>
              </w:rPr>
            </w:pPr>
          </w:p>
          <w:p>
            <w:pPr>
              <w:pStyle w:val="31"/>
              <w:rPr>
                <w:sz w:val="24"/>
              </w:rPr>
            </w:pPr>
          </w:p>
          <w:p>
            <w:pPr>
              <w:pStyle w:val="31"/>
              <w:spacing w:before="12"/>
              <w:rPr>
                <w:sz w:val="24"/>
              </w:rPr>
            </w:pPr>
          </w:p>
          <w:p>
            <w:pPr>
              <w:pStyle w:val="31"/>
              <w:ind w:left="107"/>
              <w:rPr>
                <w:sz w:val="24"/>
              </w:rPr>
            </w:pPr>
            <w:r>
              <w:rPr>
                <w:sz w:val="24"/>
              </w:rPr>
              <w:t>磋商保证金</w:t>
            </w:r>
          </w:p>
        </w:tc>
        <w:tc>
          <w:tcPr>
            <w:tcW w:w="6902" w:type="dxa"/>
          </w:tcPr>
          <w:p>
            <w:pPr>
              <w:pStyle w:val="31"/>
              <w:spacing w:before="14" w:line="364" w:lineRule="auto"/>
              <w:ind w:left="107" w:right="90"/>
              <w:jc w:val="both"/>
              <w:rPr>
                <w:sz w:val="24"/>
              </w:rPr>
            </w:pPr>
            <w:r>
              <w:rPr>
                <w:spacing w:val="-1"/>
                <w:sz w:val="24"/>
              </w:rPr>
              <w:t>磋商保证金：</w:t>
            </w:r>
            <w:r>
              <w:rPr>
                <w:color w:val="FF0000"/>
                <w:spacing w:val="-1"/>
                <w:sz w:val="24"/>
              </w:rPr>
              <w:t>人民币</w:t>
            </w:r>
            <w:r>
              <w:rPr>
                <w:rFonts w:hint="eastAsia"/>
                <w:color w:val="FF0000"/>
                <w:spacing w:val="-1"/>
                <w:sz w:val="24"/>
                <w:lang w:val="en-US" w:eastAsia="zh-CN"/>
              </w:rPr>
              <w:t>叁万</w:t>
            </w:r>
            <w:r>
              <w:rPr>
                <w:color w:val="FF0000"/>
                <w:spacing w:val="-1"/>
                <w:sz w:val="24"/>
              </w:rPr>
              <w:t>元整</w:t>
            </w:r>
            <w:r>
              <w:rPr>
                <w:color w:val="FF0000"/>
                <w:sz w:val="24"/>
              </w:rPr>
              <w:t>（¥</w:t>
            </w:r>
            <w:r>
              <w:rPr>
                <w:rFonts w:hint="eastAsia"/>
                <w:color w:val="FF0000"/>
                <w:sz w:val="24"/>
                <w:lang w:val="en-US" w:eastAsia="zh-CN"/>
              </w:rPr>
              <w:t>30000</w:t>
            </w:r>
            <w:r>
              <w:rPr>
                <w:color w:val="FF0000"/>
                <w:sz w:val="24"/>
              </w:rPr>
              <w:t>.00元）；</w:t>
            </w:r>
          </w:p>
          <w:p>
            <w:pPr>
              <w:pStyle w:val="31"/>
              <w:spacing w:before="14" w:line="364" w:lineRule="auto"/>
              <w:ind w:left="107" w:right="90"/>
              <w:jc w:val="both"/>
              <w:rPr>
                <w:spacing w:val="-2"/>
                <w:sz w:val="24"/>
              </w:rPr>
            </w:pPr>
            <w:r>
              <w:rPr>
                <w:color w:val="FF0000"/>
                <w:spacing w:val="-117"/>
                <w:sz w:val="24"/>
              </w:rPr>
              <w:t xml:space="preserve"> </w:t>
            </w:r>
            <w:r>
              <w:rPr>
                <w:spacing w:val="-2"/>
                <w:sz w:val="24"/>
              </w:rPr>
              <w:t>开户银行：</w:t>
            </w:r>
            <w:r>
              <w:rPr>
                <w:rFonts w:hint="eastAsia"/>
                <w:spacing w:val="-2"/>
                <w:sz w:val="24"/>
              </w:rPr>
              <w:t>中国农业银行股份有限公司玛沁县支行</w:t>
            </w:r>
          </w:p>
          <w:p>
            <w:pPr>
              <w:pStyle w:val="31"/>
              <w:spacing w:before="14" w:line="364" w:lineRule="auto"/>
              <w:ind w:left="107" w:right="90"/>
              <w:jc w:val="both"/>
              <w:rPr>
                <w:spacing w:val="-2"/>
                <w:sz w:val="24"/>
              </w:rPr>
            </w:pPr>
            <w:r>
              <w:rPr>
                <w:spacing w:val="-2"/>
                <w:sz w:val="24"/>
              </w:rPr>
              <w:t>开户名称：</w:t>
            </w:r>
            <w:r>
              <w:rPr>
                <w:rFonts w:hint="eastAsia"/>
                <w:spacing w:val="-2"/>
                <w:sz w:val="24"/>
              </w:rPr>
              <w:t>果洛州公共资源交易服务中心</w:t>
            </w:r>
          </w:p>
          <w:p>
            <w:pPr>
              <w:pStyle w:val="31"/>
              <w:spacing w:before="14" w:line="364" w:lineRule="auto"/>
              <w:ind w:left="107" w:right="90"/>
              <w:jc w:val="both"/>
              <w:rPr>
                <w:spacing w:val="-2"/>
                <w:sz w:val="24"/>
              </w:rPr>
            </w:pPr>
            <w:r>
              <w:rPr>
                <w:spacing w:val="-2"/>
                <w:sz w:val="24"/>
              </w:rPr>
              <w:t>银行账号：【</w:t>
            </w:r>
            <w:r>
              <w:rPr>
                <w:rFonts w:hint="eastAsia"/>
                <w:spacing w:val="-2"/>
                <w:sz w:val="24"/>
              </w:rPr>
              <w:t xml:space="preserve">28800001040014755 </w:t>
            </w:r>
            <w:r>
              <w:rPr>
                <w:spacing w:val="-2"/>
                <w:sz w:val="24"/>
              </w:rPr>
              <w:t>】</w:t>
            </w:r>
          </w:p>
          <w:p>
            <w:pPr>
              <w:pStyle w:val="31"/>
              <w:spacing w:line="306" w:lineRule="exact"/>
              <w:ind w:left="107"/>
              <w:rPr>
                <w:sz w:val="24"/>
              </w:rPr>
            </w:pPr>
            <w:r>
              <w:rPr>
                <w:sz w:val="24"/>
              </w:rPr>
              <w:t>供应商在递交响应文件截止时间前，以银行到账时间为准。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4" w:hRule="atLeast"/>
        </w:trPr>
        <w:tc>
          <w:tcPr>
            <w:tcW w:w="895" w:type="dxa"/>
          </w:tcPr>
          <w:p>
            <w:pPr>
              <w:pStyle w:val="31"/>
              <w:rPr>
                <w:sz w:val="24"/>
              </w:rPr>
            </w:pPr>
          </w:p>
          <w:p>
            <w:pPr>
              <w:pStyle w:val="31"/>
              <w:rPr>
                <w:sz w:val="24"/>
              </w:rPr>
            </w:pPr>
          </w:p>
          <w:p>
            <w:pPr>
              <w:pStyle w:val="31"/>
              <w:spacing w:before="12"/>
              <w:rPr>
                <w:sz w:val="24"/>
              </w:rPr>
            </w:pPr>
          </w:p>
          <w:p>
            <w:pPr>
              <w:pStyle w:val="31"/>
              <w:ind w:left="185" w:right="174"/>
              <w:jc w:val="center"/>
              <w:rPr>
                <w:sz w:val="24"/>
              </w:rPr>
            </w:pPr>
            <w:r>
              <w:rPr>
                <w:sz w:val="24"/>
              </w:rPr>
              <w:t>13</w:t>
            </w:r>
          </w:p>
        </w:tc>
        <w:tc>
          <w:tcPr>
            <w:tcW w:w="2061" w:type="dxa"/>
          </w:tcPr>
          <w:p>
            <w:pPr>
              <w:pStyle w:val="31"/>
              <w:rPr>
                <w:sz w:val="24"/>
              </w:rPr>
            </w:pPr>
          </w:p>
          <w:p>
            <w:pPr>
              <w:pStyle w:val="31"/>
              <w:rPr>
                <w:sz w:val="24"/>
              </w:rPr>
            </w:pPr>
          </w:p>
          <w:p>
            <w:pPr>
              <w:pStyle w:val="31"/>
              <w:spacing w:before="12"/>
              <w:rPr>
                <w:sz w:val="24"/>
              </w:rPr>
            </w:pPr>
          </w:p>
          <w:p>
            <w:pPr>
              <w:pStyle w:val="31"/>
              <w:ind w:left="107"/>
              <w:rPr>
                <w:sz w:val="24"/>
              </w:rPr>
            </w:pPr>
            <w:r>
              <w:rPr>
                <w:sz w:val="24"/>
              </w:rPr>
              <w:t>缴费方式</w:t>
            </w:r>
          </w:p>
        </w:tc>
        <w:tc>
          <w:tcPr>
            <w:tcW w:w="6902" w:type="dxa"/>
          </w:tcPr>
          <w:p>
            <w:pPr>
              <w:pStyle w:val="31"/>
              <w:spacing w:before="1" w:line="364" w:lineRule="auto"/>
              <w:ind w:left="107" w:right="90"/>
              <w:jc w:val="both"/>
              <w:rPr>
                <w:sz w:val="24"/>
              </w:rPr>
            </w:pPr>
            <w:r>
              <w:rPr>
                <w:spacing w:val="-2"/>
                <w:sz w:val="24"/>
              </w:rPr>
              <w:t>缴费方式：磋商保证金应当以电汇、银行转账、支票、汇票、本票或者金融机构、担保机构出具的保函等非现金形式提交。通过银行转账的，必须由供应商从其基本账户汇</w:t>
            </w:r>
            <w:r>
              <w:rPr>
                <w:spacing w:val="-1"/>
                <w:sz w:val="24"/>
              </w:rPr>
              <w:t>（转）入采购代理机</w:t>
            </w:r>
            <w:r>
              <w:rPr>
                <w:sz w:val="24"/>
              </w:rPr>
              <w:t>构指定账户。</w:t>
            </w:r>
          </w:p>
          <w:p>
            <w:pPr>
              <w:pStyle w:val="31"/>
              <w:spacing w:line="305" w:lineRule="exact"/>
              <w:ind w:left="107"/>
              <w:rPr>
                <w:sz w:val="24"/>
              </w:rPr>
            </w:pPr>
            <w:r>
              <w:rPr>
                <w:sz w:val="24"/>
              </w:rPr>
              <w:t>供应商未按照磋商文件要求提交磋商保证金的，投标无效。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tcPr>
          <w:p>
            <w:pPr>
              <w:pStyle w:val="31"/>
              <w:rPr>
                <w:sz w:val="24"/>
              </w:rPr>
            </w:pPr>
          </w:p>
          <w:p>
            <w:pPr>
              <w:pStyle w:val="31"/>
              <w:spacing w:before="160"/>
              <w:ind w:left="185" w:right="174"/>
              <w:jc w:val="center"/>
              <w:rPr>
                <w:sz w:val="24"/>
              </w:rPr>
            </w:pPr>
            <w:r>
              <w:rPr>
                <w:sz w:val="24"/>
              </w:rPr>
              <w:t>14</w:t>
            </w:r>
          </w:p>
        </w:tc>
        <w:tc>
          <w:tcPr>
            <w:tcW w:w="2061" w:type="dxa"/>
          </w:tcPr>
          <w:p>
            <w:pPr>
              <w:pStyle w:val="31"/>
              <w:rPr>
                <w:sz w:val="24"/>
              </w:rPr>
            </w:pPr>
          </w:p>
          <w:p>
            <w:pPr>
              <w:pStyle w:val="31"/>
              <w:spacing w:before="160"/>
              <w:ind w:left="107"/>
              <w:rPr>
                <w:sz w:val="24"/>
              </w:rPr>
            </w:pPr>
            <w:r>
              <w:rPr>
                <w:sz w:val="24"/>
              </w:rPr>
              <w:t>磋商保证金退还</w:t>
            </w:r>
          </w:p>
        </w:tc>
        <w:tc>
          <w:tcPr>
            <w:tcW w:w="6902" w:type="dxa"/>
          </w:tcPr>
          <w:p>
            <w:pPr>
              <w:pStyle w:val="31"/>
              <w:spacing w:before="1" w:line="364" w:lineRule="auto"/>
              <w:ind w:left="107" w:right="90"/>
              <w:jc w:val="both"/>
              <w:rPr>
                <w:sz w:val="24"/>
              </w:rPr>
            </w:pPr>
            <w:r>
              <w:rPr>
                <w:spacing w:val="2"/>
                <w:w w:val="95"/>
                <w:sz w:val="24"/>
              </w:rPr>
              <w:t>未</w:t>
            </w:r>
            <w:r>
              <w:rPr>
                <w:spacing w:val="-2"/>
                <w:sz w:val="24"/>
              </w:rPr>
              <w:t>中标人的磋商保证金自中标通知书发出之日起 5 个工作日内退还（不退现金）；中标人的磋商保证金，自政府采购合同签订之日起 5 个工作日内退还（不退现金）。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9" w:hRule="atLeast"/>
        </w:trPr>
        <w:tc>
          <w:tcPr>
            <w:tcW w:w="895" w:type="dxa"/>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11"/>
              <w:rPr>
                <w:sz w:val="25"/>
              </w:rPr>
            </w:pPr>
          </w:p>
          <w:p>
            <w:pPr>
              <w:pStyle w:val="31"/>
              <w:ind w:left="185" w:right="174"/>
              <w:jc w:val="center"/>
              <w:rPr>
                <w:sz w:val="24"/>
              </w:rPr>
            </w:pPr>
            <w:r>
              <w:rPr>
                <w:sz w:val="24"/>
              </w:rPr>
              <w:t>15</w:t>
            </w:r>
          </w:p>
        </w:tc>
        <w:tc>
          <w:tcPr>
            <w:tcW w:w="2061" w:type="dxa"/>
          </w:tcPr>
          <w:p>
            <w:pPr>
              <w:pStyle w:val="31"/>
              <w:rPr>
                <w:sz w:val="24"/>
              </w:rPr>
            </w:pPr>
          </w:p>
          <w:p>
            <w:pPr>
              <w:pStyle w:val="31"/>
              <w:rPr>
                <w:sz w:val="24"/>
              </w:rPr>
            </w:pPr>
          </w:p>
          <w:p>
            <w:pPr>
              <w:pStyle w:val="31"/>
              <w:rPr>
                <w:sz w:val="24"/>
              </w:rPr>
            </w:pPr>
          </w:p>
          <w:p>
            <w:pPr>
              <w:pStyle w:val="31"/>
              <w:rPr>
                <w:sz w:val="24"/>
              </w:rPr>
            </w:pPr>
          </w:p>
          <w:p>
            <w:pPr>
              <w:pStyle w:val="31"/>
              <w:spacing w:before="6"/>
              <w:rPr>
                <w:sz w:val="31"/>
              </w:rPr>
            </w:pPr>
          </w:p>
          <w:p>
            <w:pPr>
              <w:pStyle w:val="31"/>
              <w:spacing w:line="362" w:lineRule="auto"/>
              <w:ind w:left="107" w:right="256"/>
              <w:rPr>
                <w:sz w:val="24"/>
              </w:rPr>
            </w:pPr>
            <w:r>
              <w:rPr>
                <w:spacing w:val="-1"/>
                <w:sz w:val="24"/>
              </w:rPr>
              <w:t>响应文件编制要</w:t>
            </w:r>
            <w:r>
              <w:rPr>
                <w:sz w:val="24"/>
              </w:rPr>
              <w:t>求</w:t>
            </w:r>
          </w:p>
        </w:tc>
        <w:tc>
          <w:tcPr>
            <w:tcW w:w="6902" w:type="dxa"/>
          </w:tcPr>
          <w:p>
            <w:pPr>
              <w:pStyle w:val="31"/>
              <w:spacing w:before="1" w:line="364" w:lineRule="auto"/>
              <w:ind w:left="107" w:right="57"/>
              <w:rPr>
                <w:sz w:val="24"/>
              </w:rPr>
            </w:pPr>
            <w:r>
              <w:rPr>
                <w:sz w:val="24"/>
              </w:rPr>
              <w:t>1、供应商须提交一式</w:t>
            </w:r>
            <w:r>
              <w:rPr>
                <w:rFonts w:hint="eastAsia"/>
                <w:sz w:val="24"/>
              </w:rPr>
              <w:t>三</w:t>
            </w:r>
            <w:r>
              <w:rPr>
                <w:sz w:val="24"/>
              </w:rPr>
              <w:t>份响应文件（一份正本、</w:t>
            </w:r>
            <w:r>
              <w:rPr>
                <w:rFonts w:hint="eastAsia"/>
                <w:sz w:val="24"/>
              </w:rPr>
              <w:t>二</w:t>
            </w:r>
            <w:r>
              <w:rPr>
                <w:sz w:val="24"/>
              </w:rPr>
              <w:t>份副本），</w:t>
            </w:r>
            <w:r>
              <w:rPr>
                <w:spacing w:val="1"/>
                <w:sz w:val="24"/>
              </w:rPr>
              <w:t xml:space="preserve"> </w:t>
            </w:r>
            <w:r>
              <w:rPr>
                <w:spacing w:val="-1"/>
                <w:sz w:val="24"/>
              </w:rPr>
              <w:t>每份响应文件须清楚地标明“正本”或“副本”字样。若发生正本和副本不符，以正本为准。响应文件用</w:t>
            </w:r>
            <w:r>
              <w:rPr>
                <w:sz w:val="24"/>
              </w:rPr>
              <w:t>A4纸打印或复印，正、</w:t>
            </w:r>
            <w:r>
              <w:rPr>
                <w:spacing w:val="-1"/>
                <w:sz w:val="24"/>
              </w:rPr>
              <w:t>副本分别胶装成册，编制目录、页码，并加盖骑缝章。如有彩页</w:t>
            </w:r>
            <w:r>
              <w:rPr>
                <w:sz w:val="24"/>
              </w:rPr>
              <w:t>须装订在文件内，不得单独成册。</w:t>
            </w:r>
          </w:p>
          <w:p>
            <w:pPr>
              <w:pStyle w:val="31"/>
              <w:spacing w:line="364" w:lineRule="auto"/>
              <w:ind w:left="107" w:right="177"/>
              <w:rPr>
                <w:sz w:val="24"/>
              </w:rPr>
            </w:pPr>
            <w:r>
              <w:rPr>
                <w:spacing w:val="-1"/>
                <w:sz w:val="24"/>
              </w:rPr>
              <w:t>2、磋商文件要求签字、盖章的地方必须由供应商的法定代表人</w:t>
            </w:r>
            <w:r>
              <w:rPr>
                <w:sz w:val="24"/>
              </w:rPr>
              <w:t>或委托代理人按要求签字和盖章。</w:t>
            </w:r>
          </w:p>
          <w:p>
            <w:pPr>
              <w:pStyle w:val="31"/>
              <w:spacing w:line="306" w:lineRule="exact"/>
              <w:ind w:left="107"/>
              <w:rPr>
                <w:sz w:val="24"/>
              </w:rPr>
            </w:pPr>
            <w:r>
              <w:rPr>
                <w:sz w:val="24"/>
              </w:rPr>
              <w:t>3、响应文件中不得行间插字、涂改或增删，如有修改错漏处，</w:t>
            </w:r>
          </w:p>
          <w:p>
            <w:pPr>
              <w:pStyle w:val="31"/>
              <w:spacing w:before="157"/>
              <w:ind w:left="107"/>
              <w:rPr>
                <w:sz w:val="24"/>
              </w:rPr>
            </w:pPr>
            <w:r>
              <w:rPr>
                <w:sz w:val="24"/>
              </w:rPr>
              <w:t>须由供应商法定代表人或其委托代理人签字和盖章。</w:t>
            </w:r>
          </w:p>
        </w:tc>
      </w:tr>
    </w:tbl>
    <w:p>
      <w:pPr>
        <w:rPr>
          <w:sz w:val="24"/>
        </w:rPr>
        <w:sectPr>
          <w:pgSz w:w="12240" w:h="15840"/>
          <w:pgMar w:top="1420" w:right="820" w:bottom="900" w:left="920" w:header="1153" w:footer="708" w:gutter="0"/>
          <w:pgNumType w:fmt="decimal"/>
          <w:cols w:space="720" w:num="1"/>
        </w:sectPr>
      </w:pPr>
    </w:p>
    <w:tbl>
      <w:tblPr>
        <w:tblStyle w:val="23"/>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895" w:type="dxa"/>
          </w:tcPr>
          <w:p>
            <w:pPr>
              <w:pStyle w:val="31"/>
              <w:rPr>
                <w:rFonts w:ascii="Times New Roman"/>
              </w:rPr>
            </w:pPr>
          </w:p>
        </w:tc>
        <w:tc>
          <w:tcPr>
            <w:tcW w:w="2061" w:type="dxa"/>
          </w:tcPr>
          <w:p>
            <w:pPr>
              <w:pStyle w:val="31"/>
              <w:rPr>
                <w:rFonts w:ascii="Times New Roman"/>
              </w:rPr>
            </w:pPr>
          </w:p>
        </w:tc>
        <w:tc>
          <w:tcPr>
            <w:tcW w:w="6902" w:type="dxa"/>
          </w:tcPr>
          <w:p>
            <w:pPr>
              <w:pStyle w:val="31"/>
              <w:spacing w:before="14"/>
              <w:ind w:left="107"/>
              <w:rPr>
                <w:sz w:val="24"/>
              </w:rPr>
            </w:pPr>
            <w:r>
              <w:rPr>
                <w:sz w:val="24"/>
              </w:rPr>
              <w:t>4、电子档（U盘或光盘）一份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4" w:hRule="atLeast"/>
        </w:trPr>
        <w:tc>
          <w:tcPr>
            <w:tcW w:w="895" w:type="dxa"/>
          </w:tcPr>
          <w:p>
            <w:pPr>
              <w:pStyle w:val="31"/>
              <w:rPr>
                <w:sz w:val="24"/>
              </w:rPr>
            </w:pPr>
          </w:p>
          <w:p>
            <w:pPr>
              <w:pStyle w:val="31"/>
              <w:rPr>
                <w:sz w:val="24"/>
              </w:rPr>
            </w:pPr>
          </w:p>
          <w:p>
            <w:pPr>
              <w:pStyle w:val="31"/>
              <w:spacing w:before="12"/>
              <w:rPr>
                <w:sz w:val="24"/>
              </w:rPr>
            </w:pPr>
          </w:p>
          <w:p>
            <w:pPr>
              <w:pStyle w:val="31"/>
              <w:ind w:left="185" w:right="174"/>
              <w:jc w:val="center"/>
              <w:rPr>
                <w:sz w:val="24"/>
              </w:rPr>
            </w:pPr>
            <w:r>
              <w:rPr>
                <w:sz w:val="24"/>
              </w:rPr>
              <w:t>16</w:t>
            </w:r>
          </w:p>
        </w:tc>
        <w:tc>
          <w:tcPr>
            <w:tcW w:w="2061" w:type="dxa"/>
          </w:tcPr>
          <w:p>
            <w:pPr>
              <w:pStyle w:val="31"/>
              <w:rPr>
                <w:sz w:val="24"/>
              </w:rPr>
            </w:pPr>
          </w:p>
          <w:p>
            <w:pPr>
              <w:pStyle w:val="31"/>
              <w:rPr>
                <w:sz w:val="24"/>
              </w:rPr>
            </w:pPr>
          </w:p>
          <w:p>
            <w:pPr>
              <w:pStyle w:val="31"/>
              <w:spacing w:before="12"/>
              <w:rPr>
                <w:sz w:val="24"/>
              </w:rPr>
            </w:pPr>
          </w:p>
          <w:p>
            <w:pPr>
              <w:pStyle w:val="31"/>
              <w:ind w:left="107"/>
              <w:rPr>
                <w:sz w:val="24"/>
              </w:rPr>
            </w:pPr>
            <w:r>
              <w:rPr>
                <w:sz w:val="24"/>
              </w:rPr>
              <w:t>响应文件的密封</w:t>
            </w:r>
          </w:p>
        </w:tc>
        <w:tc>
          <w:tcPr>
            <w:tcW w:w="6902" w:type="dxa"/>
          </w:tcPr>
          <w:p>
            <w:pPr>
              <w:pStyle w:val="31"/>
              <w:spacing w:before="1" w:line="362" w:lineRule="auto"/>
              <w:ind w:left="107" w:right="3657"/>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响应文件外层密封袋的标注：</w:t>
            </w:r>
            <w:r>
              <w:rPr>
                <w:color w:val="000000" w:themeColor="text1"/>
                <w:spacing w:val="-117"/>
                <w:sz w:val="24"/>
                <w14:textFill>
                  <w14:solidFill>
                    <w14:schemeClr w14:val="tx1"/>
                  </w14:solidFill>
                </w14:textFill>
              </w:rPr>
              <w:t xml:space="preserve"> </w:t>
            </w:r>
            <w:r>
              <w:rPr>
                <w:color w:val="000000" w:themeColor="text1"/>
                <w:sz w:val="24"/>
                <w14:textFill>
                  <w14:solidFill>
                    <w14:schemeClr w14:val="tx1"/>
                  </w14:solidFill>
                </w14:textFill>
              </w:rPr>
              <w:t>采购项目名称：</w:t>
            </w:r>
          </w:p>
          <w:p>
            <w:pPr>
              <w:pStyle w:val="31"/>
              <w:spacing w:before="5"/>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采购项目编号：</w:t>
            </w:r>
          </w:p>
          <w:p>
            <w:pPr>
              <w:pStyle w:val="31"/>
              <w:spacing w:before="24" w:line="468" w:lineRule="exact"/>
              <w:ind w:left="107" w:right="177"/>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供应商名称、年月日以及“</w:t>
            </w:r>
            <w:r>
              <w:rPr>
                <w:color w:val="000000" w:themeColor="text1"/>
                <w:sz w:val="24"/>
                <w14:textFill>
                  <w14:solidFill>
                    <w14:schemeClr w14:val="tx1"/>
                  </w14:solidFill>
                </w14:textFill>
              </w:rPr>
              <w:t>于2021年</w:t>
            </w:r>
            <w:r>
              <w:rPr>
                <w:rFonts w:hint="eastAsia"/>
                <w:color w:val="000000" w:themeColor="text1"/>
                <w:sz w:val="24"/>
                <w:lang w:val="en-US" w:eastAsia="zh-CN"/>
                <w14:textFill>
                  <w14:solidFill>
                    <w14:schemeClr w14:val="tx1"/>
                  </w14:solidFill>
                </w14:textFill>
              </w:rPr>
              <w:t>12</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日上午09：00时之前不准启封”字样。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895" w:type="dxa"/>
          </w:tcPr>
          <w:p>
            <w:pPr>
              <w:pStyle w:val="31"/>
              <w:spacing w:before="4"/>
              <w:rPr>
                <w:sz w:val="18"/>
              </w:rPr>
            </w:pPr>
          </w:p>
          <w:p>
            <w:pPr>
              <w:pStyle w:val="31"/>
              <w:ind w:left="185" w:right="174"/>
              <w:jc w:val="center"/>
              <w:rPr>
                <w:sz w:val="24"/>
              </w:rPr>
            </w:pPr>
            <w:r>
              <w:rPr>
                <w:sz w:val="24"/>
              </w:rPr>
              <w:t>17</w:t>
            </w:r>
          </w:p>
        </w:tc>
        <w:tc>
          <w:tcPr>
            <w:tcW w:w="2061" w:type="dxa"/>
          </w:tcPr>
          <w:p>
            <w:pPr>
              <w:pStyle w:val="31"/>
              <w:spacing w:before="2"/>
              <w:ind w:left="107"/>
              <w:rPr>
                <w:sz w:val="24"/>
              </w:rPr>
            </w:pPr>
            <w:r>
              <w:rPr>
                <w:sz w:val="24"/>
              </w:rPr>
              <w:t>递交响应文件方</w:t>
            </w:r>
          </w:p>
          <w:p>
            <w:pPr>
              <w:pStyle w:val="31"/>
              <w:spacing w:before="158"/>
              <w:ind w:left="107"/>
              <w:rPr>
                <w:sz w:val="24"/>
              </w:rPr>
            </w:pPr>
            <w:r>
              <w:rPr>
                <w:sz w:val="24"/>
              </w:rPr>
              <w:t>式</w:t>
            </w:r>
          </w:p>
        </w:tc>
        <w:tc>
          <w:tcPr>
            <w:tcW w:w="6902" w:type="dxa"/>
          </w:tcPr>
          <w:p>
            <w:pPr>
              <w:pStyle w:val="31"/>
              <w:spacing w:before="4"/>
              <w:rPr>
                <w:color w:val="000000" w:themeColor="text1"/>
                <w:sz w:val="18"/>
                <w14:textFill>
                  <w14:solidFill>
                    <w14:schemeClr w14:val="tx1"/>
                  </w14:solidFill>
                </w14:textFill>
              </w:rPr>
            </w:pPr>
          </w:p>
          <w:p>
            <w:pPr>
              <w:pStyle w:val="31"/>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现场递交，不接受邮寄投标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95" w:type="dxa"/>
          </w:tcPr>
          <w:p>
            <w:pPr>
              <w:pStyle w:val="31"/>
              <w:spacing w:before="5"/>
              <w:rPr>
                <w:sz w:val="18"/>
              </w:rPr>
            </w:pPr>
          </w:p>
          <w:p>
            <w:pPr>
              <w:pStyle w:val="31"/>
              <w:ind w:left="185" w:right="174"/>
              <w:jc w:val="center"/>
              <w:rPr>
                <w:sz w:val="24"/>
              </w:rPr>
            </w:pPr>
            <w:r>
              <w:rPr>
                <w:sz w:val="24"/>
              </w:rPr>
              <w:t>18</w:t>
            </w:r>
          </w:p>
        </w:tc>
        <w:tc>
          <w:tcPr>
            <w:tcW w:w="2061" w:type="dxa"/>
          </w:tcPr>
          <w:p>
            <w:pPr>
              <w:pStyle w:val="31"/>
              <w:spacing w:before="3"/>
              <w:ind w:left="107"/>
              <w:rPr>
                <w:sz w:val="24"/>
              </w:rPr>
            </w:pPr>
            <w:r>
              <w:rPr>
                <w:sz w:val="24"/>
              </w:rPr>
              <w:t>响应文件递交截</w:t>
            </w:r>
          </w:p>
          <w:p>
            <w:pPr>
              <w:pStyle w:val="31"/>
              <w:spacing w:before="158"/>
              <w:ind w:left="107"/>
              <w:rPr>
                <w:sz w:val="24"/>
              </w:rPr>
            </w:pPr>
            <w:r>
              <w:rPr>
                <w:sz w:val="24"/>
              </w:rPr>
              <w:t>止时间</w:t>
            </w:r>
          </w:p>
        </w:tc>
        <w:tc>
          <w:tcPr>
            <w:tcW w:w="6902" w:type="dxa"/>
          </w:tcPr>
          <w:p>
            <w:pPr>
              <w:pStyle w:val="31"/>
              <w:spacing w:before="5"/>
              <w:rPr>
                <w:color w:val="000000" w:themeColor="text1"/>
                <w:sz w:val="18"/>
                <w14:textFill>
                  <w14:solidFill>
                    <w14:schemeClr w14:val="tx1"/>
                  </w14:solidFill>
                </w14:textFill>
              </w:rPr>
            </w:pPr>
          </w:p>
          <w:p>
            <w:pPr>
              <w:pStyle w:val="31"/>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2021年</w:t>
            </w:r>
            <w:r>
              <w:rPr>
                <w:rFonts w:hint="eastAsia"/>
                <w:color w:val="000000" w:themeColor="text1"/>
                <w:sz w:val="24"/>
                <w:lang w:val="en-US" w:eastAsia="zh-CN"/>
                <w14:textFill>
                  <w14:solidFill>
                    <w14:schemeClr w14:val="tx1"/>
                  </w14:solidFill>
                </w14:textFill>
              </w:rPr>
              <w:t>12</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日 上午：09时00分（北京时间）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pPr>
              <w:pStyle w:val="31"/>
              <w:spacing w:before="62"/>
              <w:ind w:left="185" w:right="174"/>
              <w:jc w:val="center"/>
              <w:rPr>
                <w:sz w:val="24"/>
              </w:rPr>
            </w:pPr>
            <w:r>
              <w:rPr>
                <w:sz w:val="24"/>
              </w:rPr>
              <w:t>19</w:t>
            </w:r>
          </w:p>
        </w:tc>
        <w:tc>
          <w:tcPr>
            <w:tcW w:w="2061" w:type="dxa"/>
          </w:tcPr>
          <w:p>
            <w:pPr>
              <w:pStyle w:val="31"/>
              <w:spacing w:before="62"/>
              <w:ind w:left="107"/>
              <w:rPr>
                <w:sz w:val="24"/>
              </w:rPr>
            </w:pPr>
            <w:r>
              <w:rPr>
                <w:sz w:val="24"/>
              </w:rPr>
              <w:t>磋商时间</w:t>
            </w:r>
          </w:p>
        </w:tc>
        <w:tc>
          <w:tcPr>
            <w:tcW w:w="6902" w:type="dxa"/>
          </w:tcPr>
          <w:p>
            <w:pPr>
              <w:pStyle w:val="31"/>
              <w:spacing w:before="62"/>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2021年</w:t>
            </w:r>
            <w:r>
              <w:rPr>
                <w:rFonts w:hint="eastAsia"/>
                <w:color w:val="000000" w:themeColor="text1"/>
                <w:sz w:val="24"/>
                <w:lang w:val="en-US" w:eastAsia="zh-CN"/>
                <w14:textFill>
                  <w14:solidFill>
                    <w14:schemeClr w14:val="tx1"/>
                  </w14:solidFill>
                </w14:textFill>
              </w:rPr>
              <w:t>12</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日 上午：09时00分（北京时间）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95" w:type="dxa"/>
          </w:tcPr>
          <w:p>
            <w:pPr>
              <w:pStyle w:val="31"/>
              <w:spacing w:before="3"/>
              <w:rPr>
                <w:sz w:val="18"/>
              </w:rPr>
            </w:pPr>
          </w:p>
          <w:p>
            <w:pPr>
              <w:pStyle w:val="31"/>
              <w:spacing w:before="1"/>
              <w:ind w:left="185" w:right="174"/>
              <w:jc w:val="center"/>
              <w:rPr>
                <w:sz w:val="24"/>
              </w:rPr>
            </w:pPr>
            <w:r>
              <w:rPr>
                <w:sz w:val="24"/>
              </w:rPr>
              <w:t>20</w:t>
            </w:r>
          </w:p>
        </w:tc>
        <w:tc>
          <w:tcPr>
            <w:tcW w:w="2061" w:type="dxa"/>
          </w:tcPr>
          <w:p>
            <w:pPr>
              <w:pStyle w:val="31"/>
              <w:spacing w:before="3"/>
              <w:rPr>
                <w:sz w:val="18"/>
              </w:rPr>
            </w:pPr>
          </w:p>
          <w:p>
            <w:pPr>
              <w:pStyle w:val="31"/>
              <w:spacing w:before="1"/>
              <w:ind w:left="107"/>
              <w:rPr>
                <w:sz w:val="24"/>
              </w:rPr>
            </w:pPr>
            <w:r>
              <w:rPr>
                <w:sz w:val="24"/>
              </w:rPr>
              <w:t>磋商地点</w:t>
            </w:r>
          </w:p>
        </w:tc>
        <w:tc>
          <w:tcPr>
            <w:tcW w:w="6902" w:type="dxa"/>
          </w:tcPr>
          <w:p>
            <w:pPr>
              <w:pStyle w:val="31"/>
              <w:spacing w:before="158"/>
              <w:ind w:left="107"/>
              <w:rPr>
                <w:sz w:val="24"/>
              </w:rPr>
            </w:pPr>
            <w:r>
              <w:rPr>
                <w:rFonts w:hint="eastAsia" w:ascii="宋体" w:hAnsi="宋体" w:eastAsia="宋体" w:cs="宋体"/>
                <w:spacing w:val="-1"/>
                <w:sz w:val="24"/>
                <w:szCs w:val="24"/>
                <w:lang w:val="en-US" w:eastAsia="zh-CN" w:bidi="ar-SA"/>
              </w:rPr>
              <w:t xml:space="preserve">西宁市海湖新区万达SOHO2号楼（星巴克咖啡旁）号楼23楼12306室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895" w:type="dxa"/>
          </w:tcPr>
          <w:p>
            <w:pPr>
              <w:pStyle w:val="31"/>
              <w:rPr>
                <w:sz w:val="24"/>
              </w:rPr>
            </w:pPr>
          </w:p>
          <w:p>
            <w:pPr>
              <w:pStyle w:val="31"/>
              <w:spacing w:before="159"/>
              <w:ind w:left="185" w:right="174"/>
              <w:jc w:val="center"/>
              <w:rPr>
                <w:sz w:val="24"/>
              </w:rPr>
            </w:pPr>
            <w:r>
              <w:rPr>
                <w:sz w:val="24"/>
              </w:rPr>
              <w:t>21</w:t>
            </w:r>
          </w:p>
        </w:tc>
        <w:tc>
          <w:tcPr>
            <w:tcW w:w="2061" w:type="dxa"/>
          </w:tcPr>
          <w:p>
            <w:pPr>
              <w:pStyle w:val="31"/>
              <w:rPr>
                <w:sz w:val="24"/>
              </w:rPr>
            </w:pPr>
          </w:p>
          <w:p>
            <w:pPr>
              <w:pStyle w:val="31"/>
              <w:spacing w:before="159"/>
              <w:ind w:left="107"/>
              <w:rPr>
                <w:sz w:val="24"/>
              </w:rPr>
            </w:pPr>
            <w:r>
              <w:rPr>
                <w:sz w:val="24"/>
              </w:rPr>
              <w:t>答疑澄清方式</w:t>
            </w:r>
          </w:p>
        </w:tc>
        <w:tc>
          <w:tcPr>
            <w:tcW w:w="6902" w:type="dxa"/>
          </w:tcPr>
          <w:p>
            <w:pPr>
              <w:pStyle w:val="31"/>
              <w:spacing w:line="362" w:lineRule="auto"/>
              <w:ind w:left="107" w:right="90"/>
              <w:rPr>
                <w:sz w:val="24"/>
              </w:rPr>
            </w:pPr>
            <w:r>
              <w:rPr>
                <w:sz w:val="24"/>
              </w:rPr>
              <w:t>采用现场答疑。供应商须提供准确的联系方式（手机和固定电</w:t>
            </w:r>
            <w:r>
              <w:rPr>
                <w:spacing w:val="-2"/>
                <w:sz w:val="24"/>
              </w:rPr>
              <w:t>话），应在规定的时间内到达评审现场进行答疑澄清，如在规定</w:t>
            </w:r>
          </w:p>
          <w:p>
            <w:pPr>
              <w:pStyle w:val="31"/>
              <w:spacing w:before="5"/>
              <w:ind w:left="107"/>
              <w:rPr>
                <w:sz w:val="24"/>
              </w:rPr>
            </w:pPr>
            <w:r>
              <w:rPr>
                <w:sz w:val="24"/>
              </w:rPr>
              <w:t>的时间内联系无果或未按时到达的，视同放弃答疑。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895" w:type="dxa"/>
          </w:tcPr>
          <w:p>
            <w:pPr>
              <w:pStyle w:val="31"/>
              <w:rPr>
                <w:sz w:val="24"/>
              </w:rPr>
            </w:pPr>
          </w:p>
          <w:p>
            <w:pPr>
              <w:pStyle w:val="31"/>
              <w:spacing w:before="160"/>
              <w:ind w:left="185" w:right="174"/>
              <w:jc w:val="center"/>
              <w:rPr>
                <w:sz w:val="24"/>
              </w:rPr>
            </w:pPr>
            <w:r>
              <w:rPr>
                <w:sz w:val="24"/>
              </w:rPr>
              <w:t>22</w:t>
            </w:r>
          </w:p>
        </w:tc>
        <w:tc>
          <w:tcPr>
            <w:tcW w:w="2061" w:type="dxa"/>
          </w:tcPr>
          <w:p>
            <w:pPr>
              <w:pStyle w:val="31"/>
              <w:spacing w:before="3"/>
              <w:rPr>
                <w:sz w:val="18"/>
              </w:rPr>
            </w:pPr>
          </w:p>
          <w:p>
            <w:pPr>
              <w:pStyle w:val="31"/>
              <w:spacing w:before="1" w:line="362" w:lineRule="auto"/>
              <w:ind w:left="107" w:right="256"/>
              <w:rPr>
                <w:sz w:val="24"/>
              </w:rPr>
            </w:pPr>
            <w:r>
              <w:rPr>
                <w:spacing w:val="-1"/>
                <w:sz w:val="24"/>
              </w:rPr>
              <w:t>代理服务费收取</w:t>
            </w:r>
            <w:r>
              <w:rPr>
                <w:sz w:val="24"/>
              </w:rPr>
              <w:t>及收费标准</w:t>
            </w:r>
          </w:p>
        </w:tc>
        <w:tc>
          <w:tcPr>
            <w:tcW w:w="6902" w:type="dxa"/>
          </w:tcPr>
          <w:p>
            <w:pPr>
              <w:pStyle w:val="31"/>
              <w:spacing w:before="24" w:line="468" w:lineRule="exact"/>
              <w:ind w:left="107" w:right="93"/>
              <w:rPr>
                <w:sz w:val="24"/>
              </w:rPr>
            </w:pPr>
            <w:r>
              <w:rPr>
                <w:rFonts w:hint="eastAsia"/>
                <w:sz w:val="24"/>
              </w:rPr>
              <w:t>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pPr>
              <w:pStyle w:val="31"/>
              <w:spacing w:before="69"/>
              <w:ind w:left="185" w:right="174"/>
              <w:jc w:val="center"/>
              <w:rPr>
                <w:sz w:val="24"/>
              </w:rPr>
            </w:pPr>
            <w:r>
              <w:rPr>
                <w:sz w:val="24"/>
              </w:rPr>
              <w:t>23</w:t>
            </w:r>
          </w:p>
        </w:tc>
        <w:tc>
          <w:tcPr>
            <w:tcW w:w="2061" w:type="dxa"/>
          </w:tcPr>
          <w:p>
            <w:pPr>
              <w:pStyle w:val="31"/>
              <w:spacing w:before="69"/>
              <w:ind w:left="107"/>
              <w:rPr>
                <w:sz w:val="24"/>
              </w:rPr>
            </w:pPr>
            <w:r>
              <w:rPr>
                <w:sz w:val="24"/>
              </w:rPr>
              <w:t>合同签订有效期</w:t>
            </w:r>
          </w:p>
        </w:tc>
        <w:tc>
          <w:tcPr>
            <w:tcW w:w="6902" w:type="dxa"/>
          </w:tcPr>
          <w:p>
            <w:pPr>
              <w:pStyle w:val="31"/>
              <w:spacing w:before="1"/>
              <w:ind w:left="107"/>
              <w:rPr>
                <w:sz w:val="24"/>
              </w:rPr>
            </w:pPr>
            <w:r>
              <w:rPr>
                <w:sz w:val="24"/>
              </w:rPr>
              <w:t>自中标通知书发出之日起30日内与采购人签订合同。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95" w:type="dxa"/>
          </w:tcPr>
          <w:p>
            <w:pPr>
              <w:pStyle w:val="31"/>
              <w:spacing w:before="4"/>
              <w:rPr>
                <w:sz w:val="18"/>
              </w:rPr>
            </w:pPr>
          </w:p>
          <w:p>
            <w:pPr>
              <w:pStyle w:val="31"/>
              <w:ind w:left="185" w:right="174"/>
              <w:jc w:val="center"/>
              <w:rPr>
                <w:sz w:val="24"/>
              </w:rPr>
            </w:pPr>
            <w:r>
              <w:rPr>
                <w:sz w:val="24"/>
              </w:rPr>
              <w:t>24</w:t>
            </w:r>
          </w:p>
        </w:tc>
        <w:tc>
          <w:tcPr>
            <w:tcW w:w="2061" w:type="dxa"/>
          </w:tcPr>
          <w:p>
            <w:pPr>
              <w:pStyle w:val="31"/>
              <w:ind w:left="107"/>
              <w:rPr>
                <w:sz w:val="24"/>
              </w:rPr>
            </w:pPr>
            <w:r>
              <w:rPr>
                <w:sz w:val="24"/>
              </w:rPr>
              <w:t>政府采购合同备</w:t>
            </w:r>
          </w:p>
          <w:p>
            <w:pPr>
              <w:pStyle w:val="31"/>
              <w:spacing w:before="160"/>
              <w:ind w:left="107"/>
              <w:rPr>
                <w:sz w:val="24"/>
              </w:rPr>
            </w:pPr>
            <w:r>
              <w:rPr>
                <w:sz w:val="24"/>
              </w:rPr>
              <w:t>案</w:t>
            </w:r>
          </w:p>
        </w:tc>
        <w:tc>
          <w:tcPr>
            <w:tcW w:w="6902" w:type="dxa"/>
          </w:tcPr>
          <w:p>
            <w:pPr>
              <w:pStyle w:val="31"/>
              <w:ind w:left="107"/>
              <w:rPr>
                <w:sz w:val="24"/>
              </w:rPr>
            </w:pPr>
            <w:r>
              <w:rPr>
                <w:sz w:val="24"/>
              </w:rPr>
              <w:t>采购合同全数返回采购代理机构鉴证，盖章。</w:t>
            </w:r>
          </w:p>
          <w:p>
            <w:pPr>
              <w:pStyle w:val="31"/>
              <w:spacing w:before="160"/>
              <w:ind w:left="107"/>
              <w:rPr>
                <w:sz w:val="24"/>
              </w:rPr>
            </w:pPr>
            <w:r>
              <w:rPr>
                <w:sz w:val="24"/>
              </w:rPr>
              <w:t>采购代理机构留存两份原件备案。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895" w:type="dxa"/>
          </w:tcPr>
          <w:p>
            <w:pPr>
              <w:pStyle w:val="31"/>
              <w:rPr>
                <w:sz w:val="24"/>
              </w:rPr>
            </w:pPr>
          </w:p>
          <w:p>
            <w:pPr>
              <w:pStyle w:val="31"/>
              <w:spacing w:before="159"/>
              <w:ind w:left="185" w:right="174"/>
              <w:jc w:val="center"/>
              <w:rPr>
                <w:sz w:val="24"/>
              </w:rPr>
            </w:pPr>
            <w:r>
              <w:rPr>
                <w:sz w:val="24"/>
              </w:rPr>
              <w:t>2</w:t>
            </w:r>
            <w:r>
              <w:rPr>
                <w:rFonts w:hint="eastAsia"/>
                <w:sz w:val="24"/>
              </w:rPr>
              <w:t>5</w:t>
            </w:r>
          </w:p>
        </w:tc>
        <w:tc>
          <w:tcPr>
            <w:tcW w:w="2061" w:type="dxa"/>
          </w:tcPr>
          <w:p>
            <w:pPr>
              <w:pStyle w:val="31"/>
              <w:rPr>
                <w:sz w:val="24"/>
              </w:rPr>
            </w:pPr>
          </w:p>
          <w:p>
            <w:pPr>
              <w:pStyle w:val="31"/>
              <w:spacing w:before="159"/>
              <w:ind w:right="757"/>
              <w:jc w:val="both"/>
              <w:rPr>
                <w:rFonts w:hint="eastAsia" w:eastAsia="宋体"/>
                <w:sz w:val="24"/>
                <w:lang w:val="en-US" w:eastAsia="zh-CN"/>
              </w:rPr>
            </w:pPr>
            <w:r>
              <w:rPr>
                <w:sz w:val="24"/>
              </w:rPr>
              <w:t>其他</w:t>
            </w:r>
            <w:r>
              <w:rPr>
                <w:rFonts w:hint="eastAsia"/>
                <w:sz w:val="24"/>
                <w:lang w:val="en-US" w:eastAsia="zh-CN"/>
              </w:rPr>
              <w:t>事项</w:t>
            </w:r>
          </w:p>
        </w:tc>
        <w:tc>
          <w:tcPr>
            <w:tcW w:w="6902" w:type="dxa"/>
          </w:tcPr>
          <w:p>
            <w:pPr>
              <w:pStyle w:val="30"/>
              <w:adjustRightInd w:val="0"/>
              <w:spacing w:line="276" w:lineRule="auto"/>
              <w:ind w:left="0" w:firstLine="0"/>
              <w:rPr>
                <w:spacing w:val="-1"/>
                <w:sz w:val="24"/>
                <w:lang w:val="zh-CN"/>
              </w:rPr>
            </w:pPr>
            <w:r>
              <w:rPr>
                <w:rFonts w:hint="eastAsia"/>
                <w:spacing w:val="-1"/>
                <w:sz w:val="24"/>
              </w:rPr>
              <w:t>1、</w:t>
            </w:r>
            <w:r>
              <w:rPr>
                <w:rFonts w:hint="eastAsia"/>
                <w:spacing w:val="-1"/>
                <w:sz w:val="24"/>
                <w:lang w:val="zh-CN"/>
              </w:rPr>
              <w:t>投标人所投项目必须完全响应磋商文件所列内容。</w:t>
            </w:r>
          </w:p>
          <w:p>
            <w:pPr>
              <w:pStyle w:val="30"/>
              <w:adjustRightInd w:val="0"/>
              <w:spacing w:line="276" w:lineRule="auto"/>
              <w:ind w:left="0" w:firstLine="0"/>
              <w:rPr>
                <w:spacing w:val="-1"/>
                <w:sz w:val="24"/>
                <w:lang w:val="zh-CN"/>
              </w:rPr>
            </w:pPr>
            <w:r>
              <w:rPr>
                <w:rFonts w:hint="eastAsia"/>
                <w:spacing w:val="-1"/>
                <w:sz w:val="24"/>
              </w:rPr>
              <w:t>2、</w:t>
            </w:r>
            <w:r>
              <w:rPr>
                <w:rFonts w:hint="eastAsia"/>
                <w:sz w:val="24"/>
                <w:lang w:val="zh-CN"/>
              </w:rPr>
              <w:t>服务范围及所应达到的要求，以磋商文件中商务相应要求为准。</w:t>
            </w:r>
          </w:p>
          <w:p>
            <w:pPr>
              <w:pStyle w:val="30"/>
              <w:adjustRightInd w:val="0"/>
              <w:spacing w:line="276" w:lineRule="auto"/>
              <w:ind w:left="0" w:firstLine="0"/>
              <w:rPr>
                <w:spacing w:val="-1"/>
                <w:sz w:val="24"/>
                <w:lang w:val="zh-CN"/>
              </w:rPr>
            </w:pPr>
            <w:r>
              <w:rPr>
                <w:rFonts w:hint="eastAsia"/>
                <w:spacing w:val="-1"/>
                <w:sz w:val="24"/>
              </w:rPr>
              <w:t>3、</w:t>
            </w:r>
            <w:r>
              <w:rPr>
                <w:rFonts w:hint="eastAsia"/>
                <w:spacing w:val="-1"/>
                <w:sz w:val="24"/>
                <w:lang w:val="zh-CN"/>
              </w:rPr>
              <w:t>磋商内容如有变动，以磋商文件及澄清文件为准。</w:t>
            </w:r>
          </w:p>
          <w:p>
            <w:pPr>
              <w:pStyle w:val="30"/>
              <w:adjustRightInd w:val="0"/>
              <w:spacing w:line="276" w:lineRule="auto"/>
              <w:ind w:left="0" w:firstLine="0"/>
              <w:rPr>
                <w:sz w:val="24"/>
              </w:rPr>
            </w:pPr>
            <w:r>
              <w:rPr>
                <w:rFonts w:hint="eastAsia"/>
                <w:spacing w:val="-1"/>
                <w:sz w:val="24"/>
              </w:rPr>
              <w:t>4、</w:t>
            </w:r>
            <w:r>
              <w:rPr>
                <w:rFonts w:hint="eastAsia"/>
                <w:spacing w:val="-1"/>
                <w:sz w:val="24"/>
                <w:lang w:val="zh-CN"/>
              </w:rPr>
              <w:t>本项目磋商公告在 《青海政府采购网》、《</w:t>
            </w:r>
            <w:r>
              <w:rPr>
                <w:rFonts w:hint="eastAsia"/>
                <w:spacing w:val="-1"/>
                <w:sz w:val="24"/>
                <w:lang w:val="en-US" w:eastAsia="zh-CN"/>
              </w:rPr>
              <w:t>青海省公共资源交易网</w:t>
            </w:r>
            <w:r>
              <w:rPr>
                <w:rFonts w:hint="eastAsia"/>
                <w:spacing w:val="-1"/>
                <w:sz w:val="24"/>
                <w:lang w:val="zh-CN"/>
              </w:rPr>
              <w:t>》上发布。</w:t>
            </w:r>
          </w:p>
        </w:tc>
      </w:tr>
    </w:tbl>
    <w:p>
      <w:pPr>
        <w:spacing w:line="468" w:lineRule="exact"/>
        <w:rPr>
          <w:sz w:val="24"/>
        </w:rPr>
        <w:sectPr>
          <w:pgSz w:w="12240" w:h="15840"/>
          <w:pgMar w:top="1420" w:right="820" w:bottom="900" w:left="920" w:header="1153" w:footer="708" w:gutter="0"/>
          <w:pgNumType w:fmt="decimal"/>
          <w:cols w:space="720" w:num="1"/>
        </w:sectPr>
      </w:pPr>
    </w:p>
    <w:p>
      <w:pPr>
        <w:pStyle w:val="2"/>
        <w:spacing w:before="4"/>
        <w:ind w:right="95"/>
        <w:outlineLvl w:val="0"/>
      </w:pPr>
      <w:bookmarkStart w:id="5" w:name="第三部分__供应商须知"/>
      <w:bookmarkEnd w:id="5"/>
      <w:bookmarkStart w:id="6" w:name="_Toc19245"/>
      <w:r>
        <w:rPr>
          <w:spacing w:val="17"/>
        </w:rPr>
        <w:t>第三部分 供应商须知</w:t>
      </w:r>
      <w:bookmarkEnd w:id="6"/>
    </w:p>
    <w:p>
      <w:pPr>
        <w:pStyle w:val="4"/>
        <w:spacing w:before="246"/>
        <w:outlineLvl w:val="1"/>
      </w:pPr>
      <w:bookmarkStart w:id="7" w:name="一、说__明"/>
      <w:bookmarkEnd w:id="7"/>
      <w:bookmarkStart w:id="8" w:name="_Toc13118"/>
      <w:r>
        <w:rPr>
          <w:spacing w:val="32"/>
        </w:rPr>
        <w:t>一、说 明</w:t>
      </w:r>
      <w:bookmarkEnd w:id="8"/>
    </w:p>
    <w:p>
      <w:pPr>
        <w:pStyle w:val="8"/>
        <w:spacing w:before="4"/>
        <w:rPr>
          <w:sz w:val="14"/>
        </w:rPr>
      </w:pPr>
    </w:p>
    <w:p>
      <w:pPr>
        <w:pStyle w:val="6"/>
        <w:numPr>
          <w:ilvl w:val="0"/>
          <w:numId w:val="6"/>
        </w:numPr>
        <w:tabs>
          <w:tab w:val="left" w:pos="444"/>
        </w:tabs>
        <w:spacing w:before="61"/>
        <w:outlineLvl w:val="2"/>
      </w:pPr>
      <w:bookmarkStart w:id="9" w:name="1.适用范围"/>
      <w:bookmarkEnd w:id="9"/>
      <w:bookmarkStart w:id="10" w:name="_Toc24863"/>
      <w:r>
        <w:t>适用范围</w:t>
      </w:r>
      <w:bookmarkEnd w:id="10"/>
    </w:p>
    <w:p>
      <w:pPr>
        <w:pStyle w:val="30"/>
        <w:numPr>
          <w:ilvl w:val="1"/>
          <w:numId w:val="6"/>
        </w:numPr>
        <w:tabs>
          <w:tab w:val="left" w:pos="881"/>
        </w:tabs>
        <w:spacing w:before="246"/>
        <w:rPr>
          <w:sz w:val="24"/>
        </w:rPr>
      </w:pPr>
      <w:r>
        <w:rPr>
          <w:sz w:val="24"/>
        </w:rPr>
        <w:t>本次招标依据采购人的采购计划，仅适用于本磋商中所叙述的项目。</w:t>
      </w:r>
    </w:p>
    <w:p>
      <w:pPr>
        <w:pStyle w:val="8"/>
        <w:spacing w:before="3"/>
        <w:rPr>
          <w:sz w:val="31"/>
        </w:rPr>
      </w:pPr>
    </w:p>
    <w:p>
      <w:pPr>
        <w:pStyle w:val="6"/>
        <w:numPr>
          <w:ilvl w:val="0"/>
          <w:numId w:val="6"/>
        </w:numPr>
        <w:tabs>
          <w:tab w:val="left" w:pos="444"/>
        </w:tabs>
        <w:spacing w:before="1"/>
        <w:outlineLvl w:val="2"/>
      </w:pPr>
      <w:bookmarkStart w:id="11" w:name="2.采购方式、合格的供应商"/>
      <w:bookmarkEnd w:id="11"/>
      <w:bookmarkStart w:id="12" w:name="_Toc9966"/>
      <w:r>
        <w:t>采购方式、合格的供应商</w:t>
      </w:r>
      <w:bookmarkEnd w:id="12"/>
    </w:p>
    <w:p>
      <w:pPr>
        <w:pStyle w:val="30"/>
        <w:numPr>
          <w:ilvl w:val="1"/>
          <w:numId w:val="6"/>
        </w:numPr>
        <w:tabs>
          <w:tab w:val="left" w:pos="1001"/>
        </w:tabs>
        <w:spacing w:before="245"/>
        <w:ind w:left="1001"/>
        <w:rPr>
          <w:sz w:val="24"/>
        </w:rPr>
      </w:pPr>
      <w:r>
        <w:rPr>
          <w:sz w:val="24"/>
        </w:rPr>
        <w:t>本次招标采取竞争性磋商方式。</w:t>
      </w:r>
    </w:p>
    <w:p>
      <w:pPr>
        <w:pStyle w:val="30"/>
        <w:numPr>
          <w:ilvl w:val="1"/>
          <w:numId w:val="6"/>
        </w:numPr>
        <w:tabs>
          <w:tab w:val="left" w:pos="1001"/>
        </w:tabs>
        <w:spacing w:before="160"/>
        <w:ind w:left="1001"/>
        <w:rPr>
          <w:sz w:val="24"/>
        </w:rPr>
      </w:pPr>
      <w:r>
        <w:rPr>
          <w:sz w:val="24"/>
        </w:rPr>
        <w:t>合格的供应商：详见第二部分供应商须知前附表“供应商资格要求”。</w:t>
      </w:r>
    </w:p>
    <w:p>
      <w:pPr>
        <w:pStyle w:val="8"/>
        <w:spacing w:before="2"/>
        <w:rPr>
          <w:sz w:val="31"/>
        </w:rPr>
      </w:pPr>
    </w:p>
    <w:p>
      <w:pPr>
        <w:pStyle w:val="6"/>
        <w:numPr>
          <w:ilvl w:val="0"/>
          <w:numId w:val="6"/>
        </w:numPr>
        <w:tabs>
          <w:tab w:val="left" w:pos="444"/>
        </w:tabs>
        <w:spacing w:before="0"/>
        <w:outlineLvl w:val="2"/>
      </w:pPr>
      <w:bookmarkStart w:id="13" w:name="3.投标费用"/>
      <w:bookmarkEnd w:id="13"/>
      <w:bookmarkStart w:id="14" w:name="_Toc8730"/>
      <w:r>
        <w:t>投标费用</w:t>
      </w:r>
      <w:bookmarkEnd w:id="14"/>
    </w:p>
    <w:p>
      <w:pPr>
        <w:pStyle w:val="8"/>
        <w:spacing w:before="245" w:line="364" w:lineRule="auto"/>
        <w:ind w:left="160" w:right="259" w:firstLine="480"/>
      </w:pPr>
      <w:r>
        <w:rPr>
          <w:spacing w:val="-1"/>
        </w:rPr>
        <w:t>供应商应自愿承担与参加本次投标有关的费用。采购代理机构对供应商发生的费用不承担任</w:t>
      </w:r>
      <w:r>
        <w:t>何责任。</w:t>
      </w:r>
    </w:p>
    <w:p>
      <w:pPr>
        <w:pStyle w:val="8"/>
        <w:spacing w:before="8"/>
        <w:rPr>
          <w:sz w:val="18"/>
        </w:rPr>
      </w:pPr>
    </w:p>
    <w:p>
      <w:pPr>
        <w:pStyle w:val="2"/>
        <w:spacing w:before="1"/>
      </w:pPr>
      <w:bookmarkStart w:id="15" w:name="二、磋商文件说明"/>
      <w:bookmarkEnd w:id="15"/>
      <w:bookmarkStart w:id="16" w:name="_Toc23033"/>
      <w:r>
        <w:t>二、磋商文件说明</w:t>
      </w:r>
      <w:bookmarkEnd w:id="16"/>
    </w:p>
    <w:p>
      <w:pPr>
        <w:pStyle w:val="8"/>
        <w:spacing w:before="6"/>
        <w:rPr>
          <w:sz w:val="37"/>
        </w:rPr>
      </w:pPr>
    </w:p>
    <w:p>
      <w:pPr>
        <w:pStyle w:val="6"/>
        <w:numPr>
          <w:ilvl w:val="0"/>
          <w:numId w:val="6"/>
        </w:numPr>
        <w:tabs>
          <w:tab w:val="left" w:pos="444"/>
        </w:tabs>
        <w:spacing w:before="0"/>
      </w:pPr>
      <w:bookmarkStart w:id="17" w:name="4.磋商文件的构成"/>
      <w:bookmarkEnd w:id="17"/>
      <w:r>
        <w:t>磋商文件的构成</w:t>
      </w:r>
    </w:p>
    <w:p>
      <w:pPr>
        <w:pStyle w:val="30"/>
        <w:numPr>
          <w:ilvl w:val="1"/>
          <w:numId w:val="6"/>
        </w:numPr>
        <w:tabs>
          <w:tab w:val="left" w:pos="881"/>
        </w:tabs>
        <w:spacing w:before="245"/>
        <w:rPr>
          <w:sz w:val="24"/>
        </w:rPr>
      </w:pPr>
      <w:r>
        <w:rPr>
          <w:sz w:val="24"/>
        </w:rPr>
        <w:t>磋商文件包括：</w:t>
      </w:r>
    </w:p>
    <w:p>
      <w:pPr>
        <w:pStyle w:val="30"/>
        <w:numPr>
          <w:ilvl w:val="2"/>
          <w:numId w:val="6"/>
        </w:numPr>
        <w:tabs>
          <w:tab w:val="left" w:pos="1241"/>
        </w:tabs>
        <w:spacing w:before="158"/>
        <w:rPr>
          <w:sz w:val="24"/>
        </w:rPr>
      </w:pPr>
      <w:r>
        <w:rPr>
          <w:sz w:val="24"/>
        </w:rPr>
        <w:t>竞争性磋商邀请</w:t>
      </w:r>
    </w:p>
    <w:p>
      <w:pPr>
        <w:pStyle w:val="30"/>
        <w:numPr>
          <w:ilvl w:val="2"/>
          <w:numId w:val="6"/>
        </w:numPr>
        <w:tabs>
          <w:tab w:val="left" w:pos="1241"/>
        </w:tabs>
        <w:spacing w:before="161"/>
        <w:rPr>
          <w:sz w:val="24"/>
        </w:rPr>
      </w:pPr>
      <w:r>
        <w:rPr>
          <w:sz w:val="24"/>
        </w:rPr>
        <w:t>供应商须知前附表</w:t>
      </w:r>
    </w:p>
    <w:p>
      <w:pPr>
        <w:pStyle w:val="30"/>
        <w:numPr>
          <w:ilvl w:val="2"/>
          <w:numId w:val="6"/>
        </w:numPr>
        <w:tabs>
          <w:tab w:val="left" w:pos="1241"/>
        </w:tabs>
        <w:spacing w:before="158"/>
        <w:rPr>
          <w:sz w:val="24"/>
        </w:rPr>
      </w:pPr>
      <w:r>
        <w:rPr>
          <w:sz w:val="24"/>
        </w:rPr>
        <w:t>供应商须知</w:t>
      </w:r>
    </w:p>
    <w:p>
      <w:pPr>
        <w:pStyle w:val="30"/>
        <w:numPr>
          <w:ilvl w:val="2"/>
          <w:numId w:val="6"/>
        </w:numPr>
        <w:tabs>
          <w:tab w:val="left" w:pos="1241"/>
        </w:tabs>
        <w:spacing w:before="160"/>
        <w:rPr>
          <w:sz w:val="24"/>
        </w:rPr>
      </w:pPr>
      <w:r>
        <w:rPr>
          <w:sz w:val="24"/>
        </w:rPr>
        <w:t>合同范本</w:t>
      </w:r>
    </w:p>
    <w:p>
      <w:pPr>
        <w:pStyle w:val="30"/>
        <w:numPr>
          <w:ilvl w:val="2"/>
          <w:numId w:val="6"/>
        </w:numPr>
        <w:tabs>
          <w:tab w:val="left" w:pos="1241"/>
        </w:tabs>
        <w:spacing w:before="158"/>
        <w:rPr>
          <w:sz w:val="24"/>
        </w:rPr>
      </w:pPr>
      <w:r>
        <w:rPr>
          <w:sz w:val="24"/>
        </w:rPr>
        <w:t>响应文件格式</w:t>
      </w:r>
    </w:p>
    <w:p>
      <w:pPr>
        <w:pStyle w:val="30"/>
        <w:numPr>
          <w:ilvl w:val="2"/>
          <w:numId w:val="6"/>
        </w:numPr>
        <w:tabs>
          <w:tab w:val="left" w:pos="1241"/>
        </w:tabs>
        <w:spacing w:before="161"/>
        <w:rPr>
          <w:sz w:val="24"/>
        </w:rPr>
      </w:pPr>
      <w:r>
        <w:rPr>
          <w:sz w:val="24"/>
        </w:rPr>
        <w:t>采购项目技术要求及技术参数</w:t>
      </w:r>
    </w:p>
    <w:p>
      <w:pPr>
        <w:pStyle w:val="30"/>
        <w:numPr>
          <w:ilvl w:val="2"/>
          <w:numId w:val="6"/>
        </w:numPr>
        <w:tabs>
          <w:tab w:val="left" w:pos="1241"/>
        </w:tabs>
        <w:spacing w:before="160"/>
        <w:rPr>
          <w:sz w:val="24"/>
        </w:rPr>
      </w:pPr>
      <w:r>
        <w:rPr>
          <w:sz w:val="24"/>
        </w:rPr>
        <w:t>采购过程中发生的澄清、变更和补充文件</w:t>
      </w:r>
    </w:p>
    <w:p>
      <w:pPr>
        <w:pStyle w:val="30"/>
        <w:numPr>
          <w:ilvl w:val="1"/>
          <w:numId w:val="6"/>
        </w:numPr>
        <w:tabs>
          <w:tab w:val="left" w:pos="1120"/>
        </w:tabs>
        <w:spacing w:before="158" w:line="364" w:lineRule="auto"/>
        <w:ind w:left="160" w:right="259" w:firstLine="480"/>
        <w:jc w:val="both"/>
        <w:rPr>
          <w:sz w:val="24"/>
        </w:rPr>
      </w:pPr>
      <w:r>
        <w:rPr>
          <w:spacing w:val="-1"/>
          <w:sz w:val="24"/>
        </w:rPr>
        <w:t>供应商应认真阅读磋商文件中列示的事项、格式、条款和要求等内容。如果供应商未按磋商文件要求提交全部资料，或者对磋商文件未作出实质性响应的，根据相关法规要求，此类投</w:t>
      </w:r>
      <w:r>
        <w:rPr>
          <w:sz w:val="24"/>
        </w:rPr>
        <w:t>标将被拒绝（视为无效投标）。</w:t>
      </w:r>
    </w:p>
    <w:p>
      <w:pPr>
        <w:spacing w:line="364" w:lineRule="auto"/>
        <w:jc w:val="both"/>
        <w:rPr>
          <w:sz w:val="24"/>
        </w:rPr>
        <w:sectPr>
          <w:headerReference r:id="rId10" w:type="default"/>
          <w:footerReference r:id="rId11" w:type="default"/>
          <w:pgSz w:w="12240" w:h="15840"/>
          <w:pgMar w:top="1440" w:right="820" w:bottom="900" w:left="920" w:header="1153" w:footer="708" w:gutter="0"/>
          <w:pgNumType w:fmt="decimal"/>
          <w:cols w:space="720" w:num="1"/>
        </w:sectPr>
      </w:pPr>
    </w:p>
    <w:p>
      <w:pPr>
        <w:pStyle w:val="6"/>
        <w:numPr>
          <w:ilvl w:val="0"/>
          <w:numId w:val="6"/>
        </w:numPr>
        <w:tabs>
          <w:tab w:val="left" w:pos="444"/>
        </w:tabs>
      </w:pPr>
      <w:bookmarkStart w:id="18" w:name="5.磋商文件、采购活动和成交结果的质疑"/>
      <w:bookmarkEnd w:id="18"/>
      <w:r>
        <w:t>磋商文件、采购活动和成交结果的质疑</w:t>
      </w:r>
    </w:p>
    <w:p>
      <w:pPr>
        <w:pStyle w:val="8"/>
        <w:spacing w:before="245" w:line="364" w:lineRule="auto"/>
        <w:ind w:left="160" w:right="259" w:firstLine="480"/>
        <w:jc w:val="both"/>
      </w:pPr>
      <w:r>
        <w:rPr>
          <w:spacing w:val="-1"/>
        </w:rPr>
        <w:t>参加投标的供应商认为磋商文件、招标活动和中标、成交结果使自己的权益受到损害的，可</w:t>
      </w:r>
      <w:r>
        <w:t>以在知道或者应知其权益受到损害之日起7</w:t>
      </w:r>
      <w:r>
        <w:rPr>
          <w:spacing w:val="-5"/>
        </w:rPr>
        <w:t>个工作日内以书面形式</w:t>
      </w:r>
      <w:r>
        <w:t>（</w:t>
      </w:r>
      <w:r>
        <w:rPr>
          <w:spacing w:val="-6"/>
        </w:rPr>
        <w:t>如信件、传真等</w:t>
      </w:r>
      <w:r>
        <w:rPr>
          <w:spacing w:val="-41"/>
        </w:rPr>
        <w:t>）</w:t>
      </w:r>
      <w:r>
        <w:rPr>
          <w:spacing w:val="-4"/>
        </w:rPr>
        <w:t>向采购人或</w:t>
      </w:r>
      <w:r>
        <w:rPr>
          <w:spacing w:val="-9"/>
        </w:rPr>
        <w:t>者采购代理机构提出质疑，不接受匿名质疑。采购人或采购代理机构在收到供应商的书面质疑后</w:t>
      </w:r>
      <w:r>
        <w:t>7</w:t>
      </w:r>
      <w:r>
        <w:rPr>
          <w:spacing w:val="-118"/>
        </w:rPr>
        <w:t xml:space="preserve"> </w:t>
      </w:r>
      <w:r>
        <w:rPr>
          <w:spacing w:val="-1"/>
        </w:rPr>
        <w:t>个工作日内予以答复，并将答复事宜在青海政府采购信息网上发布公告，告知本项目的所有潜在</w:t>
      </w:r>
      <w:r>
        <w:t>供应商。</w:t>
      </w:r>
    </w:p>
    <w:p>
      <w:pPr>
        <w:pStyle w:val="8"/>
        <w:spacing w:line="306" w:lineRule="exact"/>
        <w:ind w:left="640"/>
      </w:pPr>
      <w:r>
        <w:t>质疑时效期间的计算：</w:t>
      </w:r>
    </w:p>
    <w:p>
      <w:pPr>
        <w:pStyle w:val="30"/>
        <w:numPr>
          <w:ilvl w:val="0"/>
          <w:numId w:val="7"/>
        </w:numPr>
        <w:tabs>
          <w:tab w:val="left" w:pos="1241"/>
        </w:tabs>
        <w:spacing w:before="158"/>
        <w:rPr>
          <w:sz w:val="24"/>
        </w:rPr>
      </w:pPr>
      <w:r>
        <w:rPr>
          <w:spacing w:val="-8"/>
          <w:sz w:val="24"/>
        </w:rPr>
        <w:t>对可以质疑的磋商文件提出质疑的，为收到磋商文件之日或磋商文件公告期限届满之日；</w:t>
      </w:r>
    </w:p>
    <w:p>
      <w:pPr>
        <w:pStyle w:val="30"/>
        <w:numPr>
          <w:ilvl w:val="0"/>
          <w:numId w:val="7"/>
        </w:numPr>
        <w:tabs>
          <w:tab w:val="left" w:pos="1241"/>
        </w:tabs>
        <w:spacing w:before="161"/>
        <w:rPr>
          <w:sz w:val="24"/>
        </w:rPr>
      </w:pPr>
      <w:r>
        <w:rPr>
          <w:sz w:val="24"/>
        </w:rPr>
        <w:t>对招标过程提出质疑的，为招标程序各环节结束之日；</w:t>
      </w:r>
    </w:p>
    <w:p>
      <w:pPr>
        <w:pStyle w:val="30"/>
        <w:numPr>
          <w:ilvl w:val="0"/>
          <w:numId w:val="7"/>
        </w:numPr>
        <w:tabs>
          <w:tab w:val="left" w:pos="1241"/>
        </w:tabs>
        <w:spacing w:before="158"/>
        <w:rPr>
          <w:sz w:val="24"/>
        </w:rPr>
      </w:pPr>
      <w:r>
        <w:rPr>
          <w:sz w:val="24"/>
        </w:rPr>
        <w:t>对中标结果提出质疑的，为中标公告期限届满之日。</w:t>
      </w:r>
    </w:p>
    <w:p>
      <w:pPr>
        <w:pStyle w:val="8"/>
        <w:spacing w:before="4"/>
        <w:rPr>
          <w:sz w:val="31"/>
        </w:rPr>
      </w:pPr>
    </w:p>
    <w:p>
      <w:pPr>
        <w:pStyle w:val="6"/>
        <w:numPr>
          <w:ilvl w:val="0"/>
          <w:numId w:val="6"/>
        </w:numPr>
        <w:tabs>
          <w:tab w:val="left" w:pos="444"/>
        </w:tabs>
        <w:spacing w:before="0"/>
      </w:pPr>
      <w:bookmarkStart w:id="19" w:name="6.磋商文件的修改"/>
      <w:bookmarkEnd w:id="19"/>
      <w:r>
        <w:t>磋商文件的修改</w:t>
      </w:r>
    </w:p>
    <w:p>
      <w:pPr>
        <w:pStyle w:val="30"/>
        <w:numPr>
          <w:ilvl w:val="1"/>
          <w:numId w:val="6"/>
        </w:numPr>
        <w:tabs>
          <w:tab w:val="left" w:pos="1001"/>
        </w:tabs>
        <w:spacing w:before="245" w:line="364" w:lineRule="auto"/>
        <w:ind w:left="160" w:right="259" w:firstLine="480"/>
        <w:jc w:val="both"/>
        <w:rPr>
          <w:sz w:val="24"/>
        </w:rPr>
      </w:pPr>
      <w:r>
        <w:rPr>
          <w:spacing w:val="-10"/>
          <w:sz w:val="24"/>
        </w:rPr>
        <w:t>提交首次响应文件截止之日前，采购代理机构可以对已发出的磋商文件进行必要的澄清或</w:t>
      </w:r>
      <w:r>
        <w:rPr>
          <w:spacing w:val="-1"/>
          <w:sz w:val="24"/>
        </w:rPr>
        <w:t>者修改，澄清或者修改的内容作为磋商文件的组成部分。澄清或者修改的内容可能影响响应文件</w:t>
      </w:r>
      <w:r>
        <w:rPr>
          <w:spacing w:val="-8"/>
          <w:sz w:val="24"/>
        </w:rPr>
        <w:t>编制的，采购代理机构应在提交首次响应文件截止时间至少</w:t>
      </w:r>
      <w:r>
        <w:rPr>
          <w:sz w:val="24"/>
        </w:rPr>
        <w:t>5</w:t>
      </w:r>
      <w:r>
        <w:rPr>
          <w:spacing w:val="-8"/>
          <w:sz w:val="24"/>
        </w:rPr>
        <w:t>日前，以书面形式通知所有获取磋商</w:t>
      </w:r>
      <w:r>
        <w:rPr>
          <w:sz w:val="24"/>
        </w:rPr>
        <w:t>文件的供应商；不足5日的，采购代理机构应当顺延提交首次响应文件截止时间。</w:t>
      </w:r>
    </w:p>
    <w:p>
      <w:pPr>
        <w:pStyle w:val="30"/>
        <w:numPr>
          <w:ilvl w:val="1"/>
          <w:numId w:val="6"/>
        </w:numPr>
        <w:tabs>
          <w:tab w:val="left" w:pos="1001"/>
        </w:tabs>
        <w:spacing w:line="364" w:lineRule="auto"/>
        <w:ind w:left="160" w:right="259" w:firstLine="480"/>
        <w:jc w:val="both"/>
        <w:rPr>
          <w:sz w:val="24"/>
        </w:rPr>
      </w:pPr>
      <w:r>
        <w:rPr>
          <w:spacing w:val="-8"/>
          <w:sz w:val="24"/>
        </w:rPr>
        <w:t>在提交响应文件截止时间前，采购代理机构可以视采购具体情况，延长提交响应文件截止时间和开启时间，并在磋商文件中要求的提交响应文件截止时间和开启时间的</w:t>
      </w:r>
      <w:r>
        <w:rPr>
          <w:sz w:val="24"/>
        </w:rPr>
        <w:t>3</w:t>
      </w:r>
      <w:r>
        <w:rPr>
          <w:spacing w:val="-8"/>
          <w:sz w:val="24"/>
        </w:rPr>
        <w:t>日前，将变更公告</w:t>
      </w:r>
      <w:r>
        <w:rPr>
          <w:sz w:val="24"/>
        </w:rPr>
        <w:t>发布在</w:t>
      </w:r>
      <w:r>
        <w:rPr>
          <w:rFonts w:hint="eastAsia"/>
          <w:sz w:val="24"/>
        </w:rPr>
        <w:t>青海省政府采购网</w:t>
      </w:r>
      <w:r>
        <w:rPr>
          <w:sz w:val="24"/>
        </w:rPr>
        <w:t>上。</w:t>
      </w:r>
    </w:p>
    <w:p>
      <w:pPr>
        <w:pStyle w:val="8"/>
        <w:spacing w:before="7"/>
        <w:rPr>
          <w:sz w:val="18"/>
        </w:rPr>
      </w:pPr>
    </w:p>
    <w:p>
      <w:pPr>
        <w:pStyle w:val="2"/>
        <w:ind w:right="95"/>
      </w:pPr>
      <w:bookmarkStart w:id="20" w:name="三、响应文件的编制"/>
      <w:bookmarkEnd w:id="20"/>
      <w:bookmarkStart w:id="21" w:name="_Toc18600"/>
      <w:r>
        <w:t>三、响应文件的编制</w:t>
      </w:r>
      <w:bookmarkEnd w:id="21"/>
    </w:p>
    <w:p>
      <w:pPr>
        <w:pStyle w:val="8"/>
        <w:spacing w:before="3"/>
        <w:rPr>
          <w:sz w:val="37"/>
        </w:rPr>
      </w:pPr>
    </w:p>
    <w:p>
      <w:pPr>
        <w:pStyle w:val="6"/>
        <w:numPr>
          <w:ilvl w:val="0"/>
          <w:numId w:val="6"/>
        </w:numPr>
        <w:tabs>
          <w:tab w:val="left" w:pos="444"/>
        </w:tabs>
        <w:spacing w:before="1"/>
      </w:pPr>
      <w:bookmarkStart w:id="22" w:name="7.响应文件的语言及度量衡单位"/>
      <w:bookmarkEnd w:id="22"/>
      <w:r>
        <w:t>响应文件的语言及度量衡单位</w:t>
      </w:r>
    </w:p>
    <w:p>
      <w:pPr>
        <w:pStyle w:val="30"/>
        <w:numPr>
          <w:ilvl w:val="1"/>
          <w:numId w:val="6"/>
        </w:numPr>
        <w:tabs>
          <w:tab w:val="left" w:pos="1003"/>
        </w:tabs>
        <w:spacing w:before="245" w:line="364" w:lineRule="auto"/>
        <w:ind w:left="160" w:right="258" w:firstLine="480"/>
        <w:rPr>
          <w:sz w:val="24"/>
        </w:rPr>
      </w:pPr>
      <w:r>
        <w:rPr>
          <w:sz w:val="24"/>
        </w:rPr>
        <w:t>供应商提交的响应文件以及供应商与采购代理机构就此投标发生的所有来往函电均应使用简体中文。</w:t>
      </w:r>
    </w:p>
    <w:p>
      <w:pPr>
        <w:pStyle w:val="30"/>
        <w:numPr>
          <w:ilvl w:val="1"/>
          <w:numId w:val="6"/>
        </w:numPr>
        <w:tabs>
          <w:tab w:val="left" w:pos="1120"/>
        </w:tabs>
        <w:spacing w:line="306" w:lineRule="exact"/>
        <w:ind w:left="1120" w:hanging="480"/>
        <w:rPr>
          <w:sz w:val="24"/>
        </w:rPr>
      </w:pPr>
      <w:r>
        <w:rPr>
          <w:spacing w:val="-8"/>
          <w:sz w:val="24"/>
        </w:rPr>
        <w:t>除磋商文件中另有规定外，响应文件所使用的度量衡单位，均须采用国家法定计量单位。</w:t>
      </w:r>
    </w:p>
    <w:p>
      <w:pPr>
        <w:pStyle w:val="30"/>
        <w:numPr>
          <w:ilvl w:val="1"/>
          <w:numId w:val="6"/>
        </w:numPr>
        <w:tabs>
          <w:tab w:val="left" w:pos="1120"/>
        </w:tabs>
        <w:spacing w:before="160" w:line="362" w:lineRule="auto"/>
        <w:ind w:left="160" w:right="259" w:firstLine="480"/>
        <w:rPr>
          <w:sz w:val="24"/>
        </w:rPr>
      </w:pPr>
      <w:r>
        <w:rPr>
          <w:spacing w:val="-1"/>
          <w:sz w:val="24"/>
        </w:rPr>
        <w:t>附有外文资料的须翻译成中文，并加盖供应商公章，如果翻译的中文资料与外文资料出</w:t>
      </w:r>
      <w:r>
        <w:rPr>
          <w:sz w:val="24"/>
        </w:rPr>
        <w:t>现差异与矛盾时，以中文为准，其准确性由供应商负责。</w:t>
      </w:r>
    </w:p>
    <w:p>
      <w:pPr>
        <w:spacing w:line="362" w:lineRule="auto"/>
        <w:rPr>
          <w:sz w:val="24"/>
        </w:rPr>
        <w:sectPr>
          <w:pgSz w:w="12240" w:h="15840"/>
          <w:pgMar w:top="1440" w:right="820" w:bottom="900" w:left="920" w:header="1153" w:footer="708" w:gutter="0"/>
          <w:pgNumType w:fmt="decimal"/>
          <w:cols w:space="720" w:num="1"/>
        </w:sectPr>
      </w:pPr>
    </w:p>
    <w:p>
      <w:pPr>
        <w:pStyle w:val="6"/>
        <w:numPr>
          <w:ilvl w:val="0"/>
          <w:numId w:val="6"/>
        </w:numPr>
        <w:tabs>
          <w:tab w:val="left" w:pos="444"/>
        </w:tabs>
      </w:pPr>
      <w:bookmarkStart w:id="23" w:name="8.磋商保证金"/>
      <w:bookmarkEnd w:id="23"/>
      <w:r>
        <w:t>磋商保证金</w:t>
      </w:r>
    </w:p>
    <w:p>
      <w:pPr>
        <w:pStyle w:val="30"/>
        <w:numPr>
          <w:ilvl w:val="1"/>
          <w:numId w:val="6"/>
        </w:numPr>
        <w:tabs>
          <w:tab w:val="left" w:pos="1120"/>
        </w:tabs>
        <w:spacing w:before="245" w:line="364" w:lineRule="auto"/>
        <w:ind w:left="160" w:right="259" w:firstLine="480"/>
        <w:rPr>
          <w:sz w:val="24"/>
        </w:rPr>
      </w:pPr>
      <w:r>
        <w:rPr>
          <w:spacing w:val="-1"/>
          <w:sz w:val="24"/>
        </w:rPr>
        <w:t>供应商须在磋商文件开启时间前缴纳磋商保证金；未成交供应商的磋商保证金在成交通</w:t>
      </w:r>
      <w:r>
        <w:rPr>
          <w:sz w:val="24"/>
        </w:rPr>
        <w:t>知书发出后5个工作日内退还，成交供应商的磋商保证金在采购合同签订后5个工作日内退还。</w:t>
      </w:r>
    </w:p>
    <w:p>
      <w:pPr>
        <w:pStyle w:val="30"/>
        <w:numPr>
          <w:ilvl w:val="1"/>
          <w:numId w:val="6"/>
        </w:numPr>
        <w:tabs>
          <w:tab w:val="left" w:pos="1120"/>
        </w:tabs>
        <w:spacing w:line="306" w:lineRule="exact"/>
        <w:ind w:left="1120" w:hanging="480"/>
        <w:rPr>
          <w:sz w:val="24"/>
        </w:rPr>
      </w:pPr>
      <w:r>
        <w:rPr>
          <w:sz w:val="24"/>
        </w:rPr>
        <w:t>磋商保证金由供应商以转款方式直接缴入指定账户。</w:t>
      </w:r>
    </w:p>
    <w:p>
      <w:pPr>
        <w:pStyle w:val="30"/>
        <w:numPr>
          <w:ilvl w:val="1"/>
          <w:numId w:val="6"/>
        </w:numPr>
        <w:tabs>
          <w:tab w:val="left" w:pos="1120"/>
        </w:tabs>
        <w:spacing w:before="161"/>
        <w:ind w:left="1120" w:hanging="480"/>
        <w:rPr>
          <w:sz w:val="24"/>
        </w:rPr>
      </w:pPr>
      <w:r>
        <w:rPr>
          <w:sz w:val="24"/>
        </w:rPr>
        <w:t>有下列情形之一的，磋商保证金不予退还：</w:t>
      </w:r>
    </w:p>
    <w:p>
      <w:pPr>
        <w:pStyle w:val="30"/>
        <w:numPr>
          <w:ilvl w:val="0"/>
          <w:numId w:val="8"/>
        </w:numPr>
        <w:tabs>
          <w:tab w:val="left" w:pos="1241"/>
        </w:tabs>
        <w:spacing w:before="158"/>
        <w:rPr>
          <w:sz w:val="24"/>
        </w:rPr>
      </w:pPr>
      <w:r>
        <w:rPr>
          <w:sz w:val="24"/>
        </w:rPr>
        <w:t>供应商在提交响应文件截止时间后撤回响应文件的；</w:t>
      </w:r>
    </w:p>
    <w:p>
      <w:pPr>
        <w:pStyle w:val="30"/>
        <w:numPr>
          <w:ilvl w:val="0"/>
          <w:numId w:val="8"/>
        </w:numPr>
        <w:tabs>
          <w:tab w:val="left" w:pos="1241"/>
        </w:tabs>
        <w:spacing w:before="160"/>
        <w:rPr>
          <w:sz w:val="24"/>
        </w:rPr>
      </w:pPr>
      <w:r>
        <w:rPr>
          <w:sz w:val="24"/>
        </w:rPr>
        <w:t>供应商在响应文件中提供虚假材料的；</w:t>
      </w:r>
    </w:p>
    <w:p>
      <w:pPr>
        <w:pStyle w:val="30"/>
        <w:numPr>
          <w:ilvl w:val="0"/>
          <w:numId w:val="8"/>
        </w:numPr>
        <w:tabs>
          <w:tab w:val="left" w:pos="1241"/>
        </w:tabs>
        <w:spacing w:before="159"/>
        <w:rPr>
          <w:sz w:val="24"/>
        </w:rPr>
      </w:pPr>
      <w:r>
        <w:rPr>
          <w:sz w:val="24"/>
        </w:rPr>
        <w:t>除因不可抗力或磋商文件认可的情形以外，成交供应商不与采购人签订合同的；</w:t>
      </w:r>
    </w:p>
    <w:p>
      <w:pPr>
        <w:pStyle w:val="30"/>
        <w:numPr>
          <w:ilvl w:val="0"/>
          <w:numId w:val="8"/>
        </w:numPr>
        <w:tabs>
          <w:tab w:val="left" w:pos="1241"/>
        </w:tabs>
        <w:spacing w:before="160"/>
        <w:rPr>
          <w:sz w:val="24"/>
        </w:rPr>
      </w:pPr>
      <w:r>
        <w:rPr>
          <w:sz w:val="24"/>
        </w:rPr>
        <w:t>供应商与采购人、其他供应商或者采购代理机构恶意串通的；</w:t>
      </w:r>
    </w:p>
    <w:p>
      <w:pPr>
        <w:pStyle w:val="30"/>
        <w:numPr>
          <w:ilvl w:val="0"/>
          <w:numId w:val="8"/>
        </w:numPr>
        <w:tabs>
          <w:tab w:val="left" w:pos="1241"/>
        </w:tabs>
        <w:spacing w:before="158"/>
        <w:rPr>
          <w:sz w:val="24"/>
        </w:rPr>
      </w:pPr>
      <w:r>
        <w:rPr>
          <w:sz w:val="24"/>
        </w:rPr>
        <w:t>磋商文件规定的其他情形。</w:t>
      </w:r>
    </w:p>
    <w:p>
      <w:pPr>
        <w:pStyle w:val="8"/>
        <w:spacing w:before="4"/>
        <w:rPr>
          <w:sz w:val="31"/>
        </w:rPr>
      </w:pPr>
    </w:p>
    <w:p>
      <w:pPr>
        <w:pStyle w:val="6"/>
        <w:numPr>
          <w:ilvl w:val="0"/>
          <w:numId w:val="6"/>
        </w:numPr>
        <w:tabs>
          <w:tab w:val="left" w:pos="444"/>
        </w:tabs>
        <w:spacing w:before="0"/>
      </w:pPr>
      <w:bookmarkStart w:id="24" w:name="9.投标有效期"/>
      <w:bookmarkEnd w:id="24"/>
      <w:r>
        <w:t>投标有效期</w:t>
      </w:r>
    </w:p>
    <w:p>
      <w:pPr>
        <w:pStyle w:val="8"/>
        <w:spacing w:before="245"/>
        <w:ind w:left="640"/>
      </w:pPr>
      <w:r>
        <w:t>投标有效期为自磋商开始之日起不少于60日历天。</w:t>
      </w:r>
    </w:p>
    <w:p>
      <w:pPr>
        <w:pStyle w:val="8"/>
        <w:spacing w:before="4"/>
        <w:rPr>
          <w:sz w:val="31"/>
        </w:rPr>
      </w:pPr>
    </w:p>
    <w:p>
      <w:pPr>
        <w:pStyle w:val="6"/>
        <w:numPr>
          <w:ilvl w:val="0"/>
          <w:numId w:val="6"/>
        </w:numPr>
        <w:tabs>
          <w:tab w:val="left" w:pos="585"/>
        </w:tabs>
        <w:spacing w:before="1"/>
        <w:ind w:left="584" w:hanging="425"/>
      </w:pPr>
      <w:bookmarkStart w:id="25" w:name="10.响应文件构成"/>
      <w:bookmarkEnd w:id="25"/>
      <w:r>
        <w:t>响应文件构成</w:t>
      </w:r>
    </w:p>
    <w:p>
      <w:pPr>
        <w:pStyle w:val="30"/>
        <w:numPr>
          <w:ilvl w:val="1"/>
          <w:numId w:val="6"/>
        </w:numPr>
        <w:tabs>
          <w:tab w:val="left" w:pos="1121"/>
        </w:tabs>
        <w:spacing w:before="242" w:line="364" w:lineRule="auto"/>
        <w:ind w:left="160" w:right="259" w:firstLine="480"/>
        <w:rPr>
          <w:sz w:val="24"/>
        </w:rPr>
      </w:pPr>
      <w:r>
        <w:rPr>
          <w:spacing w:val="-1"/>
          <w:sz w:val="24"/>
        </w:rPr>
        <w:t>供应商应提交相关证明材料，作为其参加投标和成交后有能力履行合同的证明。编写的</w:t>
      </w:r>
      <w:r>
        <w:rPr>
          <w:sz w:val="24"/>
        </w:rPr>
        <w:t>响应文件须包括以下内容（格式详见磋商文件第五部分内容）：</w:t>
      </w:r>
    </w:p>
    <w:p>
      <w:pPr>
        <w:pStyle w:val="30"/>
        <w:numPr>
          <w:ilvl w:val="0"/>
          <w:numId w:val="9"/>
        </w:numPr>
        <w:tabs>
          <w:tab w:val="left" w:pos="1241"/>
        </w:tabs>
        <w:spacing w:line="306" w:lineRule="exact"/>
        <w:rPr>
          <w:sz w:val="24"/>
        </w:rPr>
      </w:pPr>
      <w:r>
        <w:rPr>
          <w:sz w:val="24"/>
        </w:rPr>
        <w:t>响应文件封面</w:t>
      </w:r>
    </w:p>
    <w:p>
      <w:pPr>
        <w:pStyle w:val="30"/>
        <w:numPr>
          <w:ilvl w:val="0"/>
          <w:numId w:val="9"/>
        </w:numPr>
        <w:tabs>
          <w:tab w:val="left" w:pos="1241"/>
        </w:tabs>
        <w:spacing w:before="161"/>
        <w:rPr>
          <w:sz w:val="24"/>
        </w:rPr>
      </w:pPr>
      <w:r>
        <w:rPr>
          <w:sz w:val="24"/>
        </w:rPr>
        <w:t>磋商函</w:t>
      </w:r>
    </w:p>
    <w:p>
      <w:pPr>
        <w:pStyle w:val="30"/>
        <w:numPr>
          <w:ilvl w:val="0"/>
          <w:numId w:val="9"/>
        </w:numPr>
        <w:tabs>
          <w:tab w:val="left" w:pos="1241"/>
        </w:tabs>
        <w:spacing w:before="158"/>
        <w:rPr>
          <w:sz w:val="24"/>
        </w:rPr>
      </w:pPr>
      <w:r>
        <w:rPr>
          <w:sz w:val="24"/>
        </w:rPr>
        <w:t>报价一览表</w:t>
      </w:r>
    </w:p>
    <w:p>
      <w:pPr>
        <w:pStyle w:val="30"/>
        <w:numPr>
          <w:ilvl w:val="0"/>
          <w:numId w:val="9"/>
        </w:numPr>
        <w:tabs>
          <w:tab w:val="left" w:pos="1241"/>
        </w:tabs>
        <w:spacing w:before="161"/>
        <w:rPr>
          <w:sz w:val="24"/>
        </w:rPr>
      </w:pPr>
      <w:r>
        <w:fldChar w:fldCharType="begin"/>
      </w:r>
      <w:r>
        <w:instrText xml:space="preserve"> HYPERLINK \l "_bookmark42" </w:instrText>
      </w:r>
      <w:r>
        <w:fldChar w:fldCharType="separate"/>
      </w:r>
      <w:r>
        <w:rPr>
          <w:sz w:val="24"/>
        </w:rPr>
        <w:t>分项报价表</w:t>
      </w:r>
      <w:r>
        <w:rPr>
          <w:sz w:val="24"/>
        </w:rPr>
        <w:fldChar w:fldCharType="end"/>
      </w:r>
    </w:p>
    <w:p>
      <w:pPr>
        <w:pStyle w:val="30"/>
        <w:numPr>
          <w:ilvl w:val="0"/>
          <w:numId w:val="9"/>
        </w:numPr>
        <w:tabs>
          <w:tab w:val="left" w:pos="1241"/>
        </w:tabs>
        <w:spacing w:before="160"/>
        <w:rPr>
          <w:sz w:val="24"/>
        </w:rPr>
      </w:pPr>
      <w:r>
        <w:rPr>
          <w:sz w:val="24"/>
        </w:rPr>
        <w:t>技术规格响应表</w:t>
      </w:r>
    </w:p>
    <w:p>
      <w:pPr>
        <w:pStyle w:val="30"/>
        <w:numPr>
          <w:ilvl w:val="0"/>
          <w:numId w:val="9"/>
        </w:numPr>
        <w:tabs>
          <w:tab w:val="left" w:pos="1241"/>
        </w:tabs>
        <w:spacing w:before="158"/>
        <w:rPr>
          <w:sz w:val="24"/>
        </w:rPr>
      </w:pPr>
      <w:r>
        <w:rPr>
          <w:sz w:val="24"/>
        </w:rPr>
        <w:t>法定代表人证明书</w:t>
      </w:r>
    </w:p>
    <w:p>
      <w:pPr>
        <w:pStyle w:val="30"/>
        <w:numPr>
          <w:ilvl w:val="0"/>
          <w:numId w:val="9"/>
        </w:numPr>
        <w:tabs>
          <w:tab w:val="left" w:pos="1241"/>
        </w:tabs>
        <w:spacing w:before="158"/>
        <w:rPr>
          <w:sz w:val="24"/>
        </w:rPr>
      </w:pPr>
      <w:r>
        <w:rPr>
          <w:sz w:val="24"/>
        </w:rPr>
        <w:t>法定代表人授权书</w:t>
      </w:r>
    </w:p>
    <w:p>
      <w:pPr>
        <w:pStyle w:val="30"/>
        <w:numPr>
          <w:ilvl w:val="0"/>
          <w:numId w:val="9"/>
        </w:numPr>
        <w:tabs>
          <w:tab w:val="left" w:pos="1241"/>
        </w:tabs>
        <w:spacing w:before="161"/>
        <w:rPr>
          <w:sz w:val="24"/>
        </w:rPr>
      </w:pPr>
      <w:r>
        <w:rPr>
          <w:sz w:val="24"/>
        </w:rPr>
        <w:t>供应商承诺函</w:t>
      </w:r>
    </w:p>
    <w:p>
      <w:pPr>
        <w:pStyle w:val="30"/>
        <w:numPr>
          <w:ilvl w:val="0"/>
          <w:numId w:val="9"/>
        </w:numPr>
        <w:tabs>
          <w:tab w:val="left" w:pos="1241"/>
        </w:tabs>
        <w:spacing w:before="160"/>
        <w:rPr>
          <w:sz w:val="24"/>
        </w:rPr>
      </w:pPr>
      <w:r>
        <w:rPr>
          <w:sz w:val="24"/>
        </w:rPr>
        <w:t>供应商诚信承诺书</w:t>
      </w:r>
    </w:p>
    <w:p>
      <w:pPr>
        <w:pStyle w:val="30"/>
        <w:numPr>
          <w:ilvl w:val="0"/>
          <w:numId w:val="9"/>
        </w:numPr>
        <w:tabs>
          <w:tab w:val="left" w:pos="1361"/>
        </w:tabs>
        <w:spacing w:before="158"/>
        <w:ind w:left="1361" w:hanging="721"/>
        <w:rPr>
          <w:sz w:val="24"/>
        </w:rPr>
      </w:pPr>
      <w:r>
        <w:rPr>
          <w:sz w:val="24"/>
        </w:rPr>
        <w:t>资格证明材料</w:t>
      </w:r>
    </w:p>
    <w:p>
      <w:pPr>
        <w:pStyle w:val="30"/>
        <w:numPr>
          <w:ilvl w:val="0"/>
          <w:numId w:val="9"/>
        </w:numPr>
        <w:tabs>
          <w:tab w:val="left" w:pos="1361"/>
        </w:tabs>
        <w:spacing w:before="161"/>
        <w:ind w:left="1361" w:hanging="721"/>
        <w:rPr>
          <w:sz w:val="24"/>
        </w:rPr>
      </w:pPr>
      <w:r>
        <w:rPr>
          <w:sz w:val="24"/>
        </w:rPr>
        <w:t>财务状况、缴纳税收和社会保障资金证明的相关证明</w:t>
      </w:r>
    </w:p>
    <w:p>
      <w:pPr>
        <w:rPr>
          <w:sz w:val="24"/>
        </w:rPr>
        <w:sectPr>
          <w:pgSz w:w="12240" w:h="15840"/>
          <w:pgMar w:top="1440" w:right="820" w:bottom="900" w:left="920" w:header="1153" w:footer="708" w:gutter="0"/>
          <w:pgNumType w:fmt="decimal"/>
          <w:cols w:space="720" w:num="1"/>
        </w:sectPr>
      </w:pPr>
    </w:p>
    <w:p>
      <w:pPr>
        <w:pStyle w:val="8"/>
        <w:spacing w:line="20" w:lineRule="exact"/>
        <w:ind w:left="160"/>
        <w:rPr>
          <w:sz w:val="2"/>
        </w:rPr>
      </w:pPr>
      <w:r>
        <w:rPr>
          <w:sz w:val="2"/>
        </w:rPr>
        <w:pict>
          <v:group id="_x0000_s1027" o:spid="_x0000_s1027" o:spt="203" style="height:1pt;width:504pt;" coordsize="10080,20">
            <o:lock v:ext="edit"/>
            <v:rect id="_x0000_s1028" o:spid="_x0000_s1028" o:spt="1" style="position:absolute;left:0;top:0;height:20;width:10080;" fillcolor="#000000" filled="t" stroked="f" coordsize="21600,21600">
              <v:path/>
              <v:fill on="t" focussize="0,0"/>
              <v:stroke on="f"/>
              <v:imagedata o:title=""/>
              <o:lock v:ext="edit"/>
            </v:rect>
            <w10:wrap type="none"/>
            <w10:anchorlock/>
          </v:group>
        </w:pict>
      </w:r>
    </w:p>
    <w:p>
      <w:pPr>
        <w:pStyle w:val="30"/>
        <w:numPr>
          <w:ilvl w:val="0"/>
          <w:numId w:val="9"/>
        </w:numPr>
        <w:tabs>
          <w:tab w:val="left" w:pos="1361"/>
        </w:tabs>
        <w:spacing w:before="23"/>
        <w:ind w:left="1361" w:hanging="721"/>
        <w:rPr>
          <w:sz w:val="24"/>
        </w:rPr>
      </w:pPr>
      <w:r>
        <w:rPr>
          <w:sz w:val="24"/>
        </w:rPr>
        <w:t>具备履行合同所必需的设备和专业技术能力证明</w:t>
      </w:r>
    </w:p>
    <w:p>
      <w:pPr>
        <w:pStyle w:val="30"/>
        <w:numPr>
          <w:ilvl w:val="0"/>
          <w:numId w:val="9"/>
        </w:numPr>
        <w:tabs>
          <w:tab w:val="left" w:pos="1361"/>
        </w:tabs>
        <w:spacing w:before="158"/>
        <w:ind w:left="1361" w:hanging="721"/>
        <w:rPr>
          <w:sz w:val="24"/>
        </w:rPr>
      </w:pPr>
      <w:r>
        <w:rPr>
          <w:sz w:val="24"/>
        </w:rPr>
        <w:t>无重大违法记录声明</w:t>
      </w:r>
    </w:p>
    <w:p>
      <w:pPr>
        <w:pStyle w:val="30"/>
        <w:numPr>
          <w:ilvl w:val="0"/>
          <w:numId w:val="9"/>
        </w:numPr>
        <w:tabs>
          <w:tab w:val="left" w:pos="1361"/>
        </w:tabs>
        <w:spacing w:before="160"/>
        <w:ind w:left="1361" w:hanging="721"/>
        <w:rPr>
          <w:sz w:val="24"/>
        </w:rPr>
      </w:pPr>
      <w:r>
        <w:rPr>
          <w:sz w:val="24"/>
        </w:rPr>
        <w:t>磋商保证金证明格式</w:t>
      </w:r>
    </w:p>
    <w:p>
      <w:pPr>
        <w:pStyle w:val="30"/>
        <w:numPr>
          <w:ilvl w:val="0"/>
          <w:numId w:val="9"/>
        </w:numPr>
        <w:tabs>
          <w:tab w:val="left" w:pos="1361"/>
        </w:tabs>
        <w:spacing w:before="161"/>
        <w:ind w:left="1361" w:hanging="721"/>
        <w:rPr>
          <w:sz w:val="24"/>
        </w:rPr>
      </w:pPr>
      <w:r>
        <w:rPr>
          <w:rFonts w:hint="eastAsia"/>
          <w:sz w:val="24"/>
          <w:lang w:val="en-US" w:eastAsia="zh-CN"/>
        </w:rPr>
        <w:t>中小</w:t>
      </w:r>
      <w:r>
        <w:rPr>
          <w:sz w:val="24"/>
        </w:rPr>
        <w:t>企业声明函</w:t>
      </w:r>
    </w:p>
    <w:p>
      <w:pPr>
        <w:pStyle w:val="30"/>
        <w:numPr>
          <w:ilvl w:val="0"/>
          <w:numId w:val="9"/>
        </w:numPr>
        <w:tabs>
          <w:tab w:val="left" w:pos="1361"/>
        </w:tabs>
        <w:spacing w:before="160"/>
        <w:ind w:left="1361" w:hanging="721"/>
        <w:rPr>
          <w:sz w:val="24"/>
        </w:rPr>
      </w:pPr>
      <w:r>
        <w:rPr>
          <w:rFonts w:hint="eastAsia"/>
          <w:sz w:val="24"/>
          <w:lang w:val="zh-CN"/>
        </w:rPr>
        <w:t>残疾人福利性单位声明函</w:t>
      </w:r>
    </w:p>
    <w:p>
      <w:pPr>
        <w:pStyle w:val="30"/>
        <w:numPr>
          <w:ilvl w:val="0"/>
          <w:numId w:val="9"/>
        </w:numPr>
        <w:tabs>
          <w:tab w:val="left" w:pos="1361"/>
        </w:tabs>
        <w:spacing w:before="160"/>
        <w:ind w:left="1361" w:hanging="721"/>
        <w:rPr>
          <w:sz w:val="24"/>
        </w:rPr>
      </w:pPr>
      <w:r>
        <w:rPr>
          <w:sz w:val="24"/>
        </w:rPr>
        <w:t>供应商的类似业绩证明材料</w:t>
      </w:r>
    </w:p>
    <w:p>
      <w:pPr>
        <w:pStyle w:val="30"/>
        <w:numPr>
          <w:ilvl w:val="0"/>
          <w:numId w:val="9"/>
        </w:numPr>
        <w:tabs>
          <w:tab w:val="left" w:pos="1361"/>
        </w:tabs>
        <w:spacing w:before="159"/>
        <w:ind w:left="1361" w:hanging="721"/>
        <w:rPr>
          <w:sz w:val="24"/>
        </w:rPr>
      </w:pPr>
      <w:r>
        <w:rPr>
          <w:sz w:val="24"/>
        </w:rPr>
        <w:t>供应商最终报价</w:t>
      </w:r>
    </w:p>
    <w:p>
      <w:pPr>
        <w:pStyle w:val="30"/>
        <w:numPr>
          <w:ilvl w:val="0"/>
          <w:numId w:val="9"/>
        </w:numPr>
        <w:tabs>
          <w:tab w:val="left" w:pos="1361"/>
        </w:tabs>
        <w:spacing w:before="160"/>
        <w:ind w:left="1361" w:hanging="721"/>
        <w:rPr>
          <w:sz w:val="24"/>
        </w:rPr>
      </w:pPr>
      <w:r>
        <w:rPr>
          <w:sz w:val="24"/>
        </w:rPr>
        <w:t>供应商认为在其他方面有必要说明的事项</w:t>
      </w:r>
    </w:p>
    <w:p>
      <w:pPr>
        <w:pStyle w:val="8"/>
        <w:spacing w:before="161" w:line="362" w:lineRule="auto"/>
        <w:ind w:left="160" w:right="259" w:firstLine="480"/>
        <w:jc w:val="both"/>
      </w:pPr>
      <w:r>
        <w:rPr>
          <w:spacing w:val="-1"/>
        </w:rPr>
        <w:t>注：磋商文件要求签字、盖章的地方必须由供应商的法定代表人或委托代理人按要求签字或盖章；供应商提供的扫描</w:t>
      </w:r>
      <w:r>
        <w:t>（或复印）件均需加盖公章。供应商须按上述内容、顺序和格式编制响应文件，并按要求编制目录、页码。</w:t>
      </w:r>
    </w:p>
    <w:p>
      <w:pPr>
        <w:pStyle w:val="8"/>
        <w:spacing w:before="3"/>
        <w:rPr>
          <w:sz w:val="19"/>
        </w:rPr>
      </w:pPr>
    </w:p>
    <w:p>
      <w:pPr>
        <w:pStyle w:val="6"/>
        <w:numPr>
          <w:ilvl w:val="0"/>
          <w:numId w:val="6"/>
        </w:numPr>
        <w:tabs>
          <w:tab w:val="left" w:pos="724"/>
        </w:tabs>
        <w:spacing w:before="0"/>
        <w:ind w:left="724" w:hanging="564"/>
      </w:pPr>
      <w:bookmarkStart w:id="26" w:name="11._响应文件的编制要求"/>
      <w:bookmarkEnd w:id="26"/>
      <w:r>
        <w:t>响应文件的编制要求</w:t>
      </w:r>
    </w:p>
    <w:p>
      <w:pPr>
        <w:pStyle w:val="30"/>
        <w:numPr>
          <w:ilvl w:val="1"/>
          <w:numId w:val="6"/>
        </w:numPr>
        <w:tabs>
          <w:tab w:val="left" w:pos="1121"/>
        </w:tabs>
        <w:spacing w:before="245" w:line="364" w:lineRule="auto"/>
        <w:ind w:left="160" w:right="259" w:firstLine="480"/>
        <w:rPr>
          <w:sz w:val="24"/>
        </w:rPr>
      </w:pPr>
      <w:r>
        <w:rPr>
          <w:spacing w:val="-1"/>
          <w:sz w:val="24"/>
        </w:rPr>
        <w:t>供应商应按照磋商文件所提供的响应文件格式，分别填写磋商文件第五部分的内容，并</w:t>
      </w:r>
      <w:r>
        <w:rPr>
          <w:sz w:val="24"/>
        </w:rPr>
        <w:t>由法定代表人或委托代理人按要求签字或盖章、加盖公章。</w:t>
      </w:r>
    </w:p>
    <w:p>
      <w:pPr>
        <w:pStyle w:val="30"/>
        <w:numPr>
          <w:ilvl w:val="1"/>
          <w:numId w:val="6"/>
        </w:numPr>
        <w:tabs>
          <w:tab w:val="left" w:pos="1121"/>
        </w:tabs>
        <w:spacing w:line="364" w:lineRule="auto"/>
        <w:ind w:left="160" w:right="259" w:firstLine="480"/>
        <w:jc w:val="both"/>
        <w:rPr>
          <w:sz w:val="24"/>
        </w:rPr>
      </w:pPr>
      <w:r>
        <w:rPr>
          <w:spacing w:val="-3"/>
          <w:sz w:val="24"/>
        </w:rPr>
        <w:t>供应商应按磋商文件要求准备响应文件</w:t>
      </w:r>
      <w:r>
        <w:rPr>
          <w:sz w:val="24"/>
        </w:rPr>
        <w:t>（1</w:t>
      </w:r>
      <w:r>
        <w:rPr>
          <w:spacing w:val="-10"/>
          <w:sz w:val="24"/>
        </w:rPr>
        <w:t>份正本、</w:t>
      </w:r>
      <w:r>
        <w:rPr>
          <w:rFonts w:hint="eastAsia"/>
          <w:sz w:val="24"/>
        </w:rPr>
        <w:t>2</w:t>
      </w:r>
      <w:r>
        <w:rPr>
          <w:sz w:val="24"/>
        </w:rPr>
        <w:t>份副本和电子文档1</w:t>
      </w:r>
      <w:r>
        <w:rPr>
          <w:spacing w:val="-10"/>
          <w:sz w:val="24"/>
        </w:rPr>
        <w:t>份，电子版与纸</w:t>
      </w:r>
      <w:r>
        <w:rPr>
          <w:spacing w:val="-1"/>
          <w:sz w:val="24"/>
        </w:rPr>
        <w:t>质版一致，包括签字盖章等</w:t>
      </w:r>
      <w:r>
        <w:rPr>
          <w:sz w:val="24"/>
        </w:rPr>
        <w:t>）。每份响应文件都必须清楚地标明“正本”或“副本”字样。若发</w:t>
      </w:r>
      <w:r>
        <w:rPr>
          <w:spacing w:val="-1"/>
          <w:sz w:val="24"/>
        </w:rPr>
        <w:t>生正本和副本不符，以正本响应文件为准。响应文件统一使用</w:t>
      </w:r>
      <w:r>
        <w:rPr>
          <w:sz w:val="24"/>
        </w:rPr>
        <w:t>A4幅面的纸张印制，必须胶装成册并编码，其他方式装订的响应文件一概不予接受。</w:t>
      </w:r>
    </w:p>
    <w:p>
      <w:pPr>
        <w:pStyle w:val="30"/>
        <w:numPr>
          <w:ilvl w:val="1"/>
          <w:numId w:val="6"/>
        </w:numPr>
        <w:tabs>
          <w:tab w:val="left" w:pos="1121"/>
        </w:tabs>
        <w:spacing w:line="364" w:lineRule="auto"/>
        <w:ind w:left="160" w:right="259" w:firstLine="480"/>
        <w:jc w:val="both"/>
        <w:rPr>
          <w:sz w:val="24"/>
        </w:rPr>
      </w:pPr>
      <w:r>
        <w:rPr>
          <w:spacing w:val="-1"/>
          <w:sz w:val="24"/>
        </w:rPr>
        <w:t>响应文件的正本和副本均需打印或用不褪色、不变质的墨水书写，并由供应商的法定代表人或其委托代理人在规定签章处签字或盖章，电子文档采用光盘或</w:t>
      </w:r>
      <w:r>
        <w:rPr>
          <w:sz w:val="24"/>
        </w:rPr>
        <w:t>U盘制作（U盘制作的电子文档为不可修改文档，如：PDF格式）。</w:t>
      </w:r>
    </w:p>
    <w:p>
      <w:pPr>
        <w:pStyle w:val="30"/>
        <w:numPr>
          <w:ilvl w:val="1"/>
          <w:numId w:val="6"/>
        </w:numPr>
        <w:tabs>
          <w:tab w:val="left" w:pos="1121"/>
        </w:tabs>
        <w:spacing w:line="362" w:lineRule="auto"/>
        <w:ind w:left="160" w:right="259" w:firstLine="480"/>
        <w:rPr>
          <w:sz w:val="24"/>
        </w:rPr>
      </w:pPr>
      <w:r>
        <w:rPr>
          <w:spacing w:val="-1"/>
          <w:sz w:val="24"/>
        </w:rPr>
        <w:t>响应文件中不得行间插字、涂改或增删，如有修改错漏处，须由供应商法人或其委托代</w:t>
      </w:r>
      <w:r>
        <w:rPr>
          <w:sz w:val="24"/>
        </w:rPr>
        <w:t>理人签字或加盖公章。</w:t>
      </w:r>
    </w:p>
    <w:p>
      <w:pPr>
        <w:pStyle w:val="8"/>
        <w:spacing w:before="10"/>
        <w:rPr>
          <w:sz w:val="18"/>
        </w:rPr>
      </w:pPr>
    </w:p>
    <w:p>
      <w:pPr>
        <w:pStyle w:val="2"/>
        <w:ind w:right="95"/>
      </w:pPr>
      <w:bookmarkStart w:id="27" w:name="四、响应文件的递交"/>
      <w:bookmarkEnd w:id="27"/>
      <w:bookmarkStart w:id="28" w:name="_Toc17003"/>
      <w:r>
        <w:t>四、响应文件的递交</w:t>
      </w:r>
      <w:bookmarkEnd w:id="28"/>
    </w:p>
    <w:p>
      <w:pPr>
        <w:pStyle w:val="8"/>
        <w:spacing w:before="7"/>
        <w:rPr>
          <w:sz w:val="37"/>
        </w:rPr>
      </w:pPr>
    </w:p>
    <w:p>
      <w:pPr>
        <w:pStyle w:val="6"/>
        <w:numPr>
          <w:ilvl w:val="0"/>
          <w:numId w:val="6"/>
        </w:numPr>
        <w:tabs>
          <w:tab w:val="left" w:pos="724"/>
        </w:tabs>
        <w:spacing w:before="0"/>
        <w:ind w:left="724" w:hanging="564"/>
      </w:pPr>
      <w:bookmarkStart w:id="29" w:name="12._响应文件的密封和标记"/>
      <w:bookmarkEnd w:id="29"/>
      <w:r>
        <w:t>响应文件的密封和标记</w:t>
      </w:r>
    </w:p>
    <w:p>
      <w:pPr>
        <w:sectPr>
          <w:headerReference r:id="rId12" w:type="default"/>
          <w:footerReference r:id="rId13" w:type="default"/>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29" o:spid="_x0000_s1029" o:spt="203" style="height:1pt;width:504pt;" coordsize="10080,20">
            <o:lock v:ext="edit"/>
            <v:rect id="_x0000_s1030" o:spid="_x0000_s1030" o:spt="1" style="position:absolute;left:0;top:0;height:20;width:10080;" fillcolor="#000000" filled="t" stroked="f" coordsize="21600,21600">
              <v:path/>
              <v:fill on="t" focussize="0,0"/>
              <v:stroke on="f"/>
              <v:imagedata o:title=""/>
              <o:lock v:ext="edit"/>
            </v:rect>
            <w10:wrap type="none"/>
            <w10:anchorlock/>
          </v:group>
        </w:pict>
      </w:r>
    </w:p>
    <w:p>
      <w:pPr>
        <w:pStyle w:val="30"/>
        <w:numPr>
          <w:ilvl w:val="1"/>
          <w:numId w:val="6"/>
        </w:numPr>
        <w:tabs>
          <w:tab w:val="left" w:pos="1121"/>
        </w:tabs>
        <w:spacing w:before="23" w:line="364" w:lineRule="auto"/>
        <w:ind w:left="160" w:right="259" w:firstLine="480"/>
        <w:jc w:val="both"/>
        <w:rPr>
          <w:sz w:val="24"/>
        </w:rPr>
      </w:pPr>
      <w:r>
        <w:rPr>
          <w:spacing w:val="-1"/>
          <w:sz w:val="24"/>
        </w:rPr>
        <w:t>响应文件正本、所有副本、电子版，应分别封装于不同的密封袋内，密封袋上应分别标上“正本”、“副本”、“电子版”字样，并注明供应商名称、采购项目编号、采购项目名称及</w:t>
      </w:r>
      <w:r>
        <w:rPr>
          <w:sz w:val="24"/>
        </w:rPr>
        <w:t>分包号（如有分包）。</w:t>
      </w:r>
    </w:p>
    <w:p>
      <w:pPr>
        <w:pStyle w:val="30"/>
        <w:numPr>
          <w:ilvl w:val="1"/>
          <w:numId w:val="6"/>
        </w:numPr>
        <w:tabs>
          <w:tab w:val="left" w:pos="1121"/>
        </w:tabs>
        <w:spacing w:line="307" w:lineRule="exact"/>
        <w:ind w:left="1121" w:hanging="481"/>
        <w:rPr>
          <w:sz w:val="24"/>
        </w:rPr>
      </w:pPr>
      <w:r>
        <w:rPr>
          <w:sz w:val="24"/>
        </w:rPr>
        <w:t>密封后的响应文件均应：</w:t>
      </w:r>
    </w:p>
    <w:p>
      <w:pPr>
        <w:pStyle w:val="8"/>
        <w:spacing w:before="158"/>
        <w:ind w:left="640"/>
      </w:pPr>
      <w:r>
        <w:t>(1）按“供应商投标前须知”注明的时间、地址送达；</w:t>
      </w:r>
    </w:p>
    <w:p>
      <w:pPr>
        <w:pStyle w:val="8"/>
        <w:spacing w:before="160" w:line="362" w:lineRule="auto"/>
        <w:ind w:left="160" w:right="259" w:firstLine="480"/>
      </w:pPr>
      <w:r>
        <w:rPr>
          <w:spacing w:val="-1"/>
        </w:rPr>
        <w:t>(2）响应文件密封袋用“于</w:t>
      </w:r>
      <w:r>
        <w:t>XX年XX月XX日上午XX时XX分（北京时间）之前不准启封”的标签密封。</w:t>
      </w:r>
    </w:p>
    <w:p>
      <w:pPr>
        <w:pStyle w:val="30"/>
        <w:numPr>
          <w:ilvl w:val="1"/>
          <w:numId w:val="6"/>
        </w:numPr>
        <w:tabs>
          <w:tab w:val="left" w:pos="1121"/>
        </w:tabs>
        <w:spacing w:before="5" w:line="364" w:lineRule="auto"/>
        <w:ind w:left="160" w:right="259" w:firstLine="480"/>
        <w:jc w:val="both"/>
        <w:rPr>
          <w:sz w:val="24"/>
        </w:rPr>
      </w:pPr>
      <w:r>
        <w:rPr>
          <w:sz w:val="24"/>
        </w:rPr>
        <w:t>如果供应商未按第11.1-</w:t>
      </w:r>
      <w:r>
        <w:rPr>
          <w:spacing w:val="-17"/>
          <w:sz w:val="24"/>
        </w:rPr>
        <w:t xml:space="preserve"> </w:t>
      </w:r>
      <w:r>
        <w:rPr>
          <w:sz w:val="24"/>
        </w:rPr>
        <w:t>11.4条要求将响应文件密封或在密封袋上加写标记，采购代理</w:t>
      </w:r>
      <w:r>
        <w:rPr>
          <w:spacing w:val="-1"/>
          <w:sz w:val="24"/>
        </w:rPr>
        <w:t>机构对误投或过早启封概不负责。由此造成提前启封的响应文件，采购代理机构予以拒绝，并退</w:t>
      </w:r>
      <w:r>
        <w:rPr>
          <w:sz w:val="24"/>
        </w:rPr>
        <w:t>回供应商。</w:t>
      </w:r>
    </w:p>
    <w:p>
      <w:pPr>
        <w:pStyle w:val="30"/>
        <w:numPr>
          <w:ilvl w:val="1"/>
          <w:numId w:val="6"/>
        </w:numPr>
        <w:tabs>
          <w:tab w:val="left" w:pos="1121"/>
        </w:tabs>
        <w:spacing w:line="304" w:lineRule="exact"/>
        <w:ind w:left="1121" w:hanging="481"/>
        <w:rPr>
          <w:sz w:val="24"/>
        </w:rPr>
      </w:pPr>
      <w:r>
        <w:rPr>
          <w:sz w:val="24"/>
        </w:rPr>
        <w:t>供应商以电报、电话、传真形式投标的，采购代理机构概不接受。</w:t>
      </w:r>
    </w:p>
    <w:p>
      <w:pPr>
        <w:pStyle w:val="8"/>
        <w:spacing w:before="4"/>
        <w:rPr>
          <w:sz w:val="31"/>
        </w:rPr>
      </w:pPr>
    </w:p>
    <w:p>
      <w:pPr>
        <w:pStyle w:val="6"/>
        <w:numPr>
          <w:ilvl w:val="0"/>
          <w:numId w:val="6"/>
        </w:numPr>
        <w:tabs>
          <w:tab w:val="left" w:pos="724"/>
        </w:tabs>
        <w:spacing w:before="0"/>
        <w:ind w:left="724" w:hanging="564"/>
      </w:pPr>
      <w:bookmarkStart w:id="30" w:name="13._递送响应文件的地点、截止日期"/>
      <w:bookmarkEnd w:id="30"/>
      <w:r>
        <w:t>递送响应文件的地点、截止日期</w:t>
      </w:r>
    </w:p>
    <w:p>
      <w:pPr>
        <w:pStyle w:val="30"/>
        <w:numPr>
          <w:ilvl w:val="1"/>
          <w:numId w:val="6"/>
        </w:numPr>
        <w:tabs>
          <w:tab w:val="left" w:pos="1121"/>
        </w:tabs>
        <w:spacing w:before="246"/>
        <w:ind w:left="1121" w:hanging="481"/>
        <w:rPr>
          <w:sz w:val="24"/>
        </w:rPr>
      </w:pPr>
      <w:r>
        <w:rPr>
          <w:sz w:val="24"/>
        </w:rPr>
        <w:t>所有响应文件都必须按磋商文件规定的投标截止时间之前送达规定地点。</w:t>
      </w:r>
    </w:p>
    <w:p>
      <w:pPr>
        <w:pStyle w:val="30"/>
        <w:numPr>
          <w:ilvl w:val="1"/>
          <w:numId w:val="6"/>
        </w:numPr>
        <w:tabs>
          <w:tab w:val="left" w:pos="1121"/>
        </w:tabs>
        <w:spacing w:before="160"/>
        <w:ind w:left="1121" w:hanging="481"/>
        <w:rPr>
          <w:sz w:val="24"/>
        </w:rPr>
      </w:pPr>
      <w:r>
        <w:rPr>
          <w:sz w:val="24"/>
        </w:rPr>
        <w:t>采购代理机构将拒绝接受在投标截止时间之后送达的响应文件。</w:t>
      </w:r>
    </w:p>
    <w:p>
      <w:pPr>
        <w:pStyle w:val="30"/>
        <w:numPr>
          <w:ilvl w:val="1"/>
          <w:numId w:val="6"/>
        </w:numPr>
        <w:tabs>
          <w:tab w:val="left" w:pos="1121"/>
        </w:tabs>
        <w:spacing w:before="158" w:line="364" w:lineRule="auto"/>
        <w:ind w:left="160" w:right="259" w:firstLine="480"/>
        <w:jc w:val="both"/>
        <w:rPr>
          <w:sz w:val="24"/>
        </w:rPr>
      </w:pPr>
      <w:r>
        <w:rPr>
          <w:spacing w:val="-1"/>
          <w:sz w:val="24"/>
        </w:rPr>
        <w:t>采购人和采购代理机构可以按照第</w:t>
      </w:r>
      <w:r>
        <w:rPr>
          <w:sz w:val="24"/>
        </w:rPr>
        <w:t>6</w:t>
      </w:r>
      <w:r>
        <w:rPr>
          <w:spacing w:val="-12"/>
          <w:sz w:val="24"/>
        </w:rPr>
        <w:t>条规定，通过修改磋商文件自行决定酌情延长投标截</w:t>
      </w:r>
      <w:r>
        <w:rPr>
          <w:spacing w:val="-1"/>
          <w:sz w:val="24"/>
        </w:rPr>
        <w:t>止期，在此情况下，采购人与采购代理机构和供应商受投标截止时间制约的所有权利和义务均延</w:t>
      </w:r>
      <w:r>
        <w:rPr>
          <w:sz w:val="24"/>
        </w:rPr>
        <w:t>长至新的截止日期。</w:t>
      </w:r>
    </w:p>
    <w:p>
      <w:pPr>
        <w:pStyle w:val="8"/>
        <w:spacing w:before="10"/>
        <w:rPr>
          <w:sz w:val="18"/>
        </w:rPr>
      </w:pPr>
    </w:p>
    <w:p>
      <w:pPr>
        <w:pStyle w:val="6"/>
        <w:numPr>
          <w:ilvl w:val="0"/>
          <w:numId w:val="6"/>
        </w:numPr>
        <w:tabs>
          <w:tab w:val="left" w:pos="724"/>
        </w:tabs>
        <w:spacing w:before="0"/>
        <w:ind w:left="724" w:hanging="564"/>
      </w:pPr>
      <w:bookmarkStart w:id="31" w:name="14._响应文件的撤回和修改"/>
      <w:bookmarkEnd w:id="31"/>
      <w:r>
        <w:t>响应文件的撤回和修改</w:t>
      </w:r>
    </w:p>
    <w:p>
      <w:pPr>
        <w:pStyle w:val="30"/>
        <w:numPr>
          <w:ilvl w:val="1"/>
          <w:numId w:val="6"/>
        </w:numPr>
        <w:tabs>
          <w:tab w:val="left" w:pos="1121"/>
        </w:tabs>
        <w:spacing w:before="245" w:line="362" w:lineRule="auto"/>
        <w:ind w:left="160" w:right="259" w:firstLine="480"/>
        <w:rPr>
          <w:sz w:val="24"/>
        </w:rPr>
      </w:pPr>
      <w:r>
        <w:rPr>
          <w:spacing w:val="-1"/>
          <w:sz w:val="24"/>
        </w:rPr>
        <w:t>允许供应商在投标截止期前撤回其投标</w:t>
      </w:r>
      <w:r>
        <w:rPr>
          <w:sz w:val="24"/>
        </w:rPr>
        <w:t>（须以书面形式通知采购代理机构），投标截止期后不得撤回其投标。否则，其磋商保证金将不予退还，上缴同级财政部门。</w:t>
      </w:r>
    </w:p>
    <w:p>
      <w:pPr>
        <w:pStyle w:val="8"/>
        <w:spacing w:before="1"/>
        <w:rPr>
          <w:sz w:val="19"/>
        </w:rPr>
      </w:pPr>
    </w:p>
    <w:p>
      <w:pPr>
        <w:pStyle w:val="2"/>
        <w:spacing w:before="1"/>
        <w:ind w:right="95"/>
      </w:pPr>
      <w:bookmarkStart w:id="32" w:name="五、磋商过程"/>
      <w:bookmarkEnd w:id="32"/>
      <w:bookmarkStart w:id="33" w:name="_Toc10657"/>
      <w:r>
        <w:t>五、磋商过程</w:t>
      </w:r>
      <w:bookmarkEnd w:id="33"/>
    </w:p>
    <w:p>
      <w:pPr>
        <w:pStyle w:val="8"/>
        <w:spacing w:before="3"/>
        <w:rPr>
          <w:sz w:val="37"/>
        </w:rPr>
      </w:pPr>
    </w:p>
    <w:p>
      <w:pPr>
        <w:pStyle w:val="6"/>
        <w:numPr>
          <w:ilvl w:val="0"/>
          <w:numId w:val="6"/>
        </w:numPr>
        <w:tabs>
          <w:tab w:val="left" w:pos="585"/>
        </w:tabs>
        <w:spacing w:before="0"/>
        <w:ind w:left="584" w:hanging="425"/>
      </w:pPr>
      <w:bookmarkStart w:id="34" w:name="15.磋商过程"/>
      <w:bookmarkEnd w:id="34"/>
      <w:r>
        <w:t>磋商过程</w:t>
      </w:r>
    </w:p>
    <w:p>
      <w:pPr>
        <w:pStyle w:val="30"/>
        <w:numPr>
          <w:ilvl w:val="1"/>
          <w:numId w:val="6"/>
        </w:numPr>
        <w:tabs>
          <w:tab w:val="left" w:pos="1121"/>
        </w:tabs>
        <w:spacing w:before="246" w:line="364" w:lineRule="auto"/>
        <w:ind w:left="160" w:right="259" w:firstLine="480"/>
        <w:rPr>
          <w:sz w:val="24"/>
        </w:rPr>
      </w:pPr>
      <w:r>
        <w:rPr>
          <w:spacing w:val="-1"/>
          <w:sz w:val="24"/>
        </w:rPr>
        <w:t>采购代理机构按本磋商文件中确定的时间和地点组织本项目的磋商活动。供应商应由其</w:t>
      </w:r>
      <w:r>
        <w:rPr>
          <w:sz w:val="24"/>
        </w:rPr>
        <w:t>法定代表人或委托代理人参加。</w:t>
      </w:r>
    </w:p>
    <w:p>
      <w:pPr>
        <w:spacing w:line="364" w:lineRule="auto"/>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31" o:spid="_x0000_s1031" o:spt="203" style="height:1pt;width:504pt;" coordsize="10080,20">
            <o:lock v:ext="edit"/>
            <v:rect id="_x0000_s1032" o:spid="_x0000_s1032" o:spt="1" style="position:absolute;left:0;top:0;height:20;width:10080;" fillcolor="#000000" filled="t" stroked="f" coordsize="21600,21600">
              <v:path/>
              <v:fill on="t" focussize="0,0"/>
              <v:stroke on="f"/>
              <v:imagedata o:title=""/>
              <o:lock v:ext="edit"/>
            </v:rect>
            <w10:wrap type="none"/>
            <w10:anchorlock/>
          </v:group>
        </w:pict>
      </w:r>
    </w:p>
    <w:p>
      <w:pPr>
        <w:pStyle w:val="30"/>
        <w:numPr>
          <w:ilvl w:val="1"/>
          <w:numId w:val="6"/>
        </w:numPr>
        <w:tabs>
          <w:tab w:val="left" w:pos="1121"/>
        </w:tabs>
        <w:spacing w:before="23"/>
        <w:ind w:left="1121" w:hanging="481"/>
        <w:rPr>
          <w:sz w:val="24"/>
        </w:rPr>
      </w:pPr>
      <w:r>
        <w:rPr>
          <w:sz w:val="24"/>
        </w:rPr>
        <w:t>磋商时，对不同文字文本响应文件的解释发生异议的，以正本为准。</w:t>
      </w:r>
    </w:p>
    <w:p>
      <w:pPr>
        <w:pStyle w:val="30"/>
        <w:numPr>
          <w:ilvl w:val="1"/>
          <w:numId w:val="6"/>
        </w:numPr>
        <w:tabs>
          <w:tab w:val="left" w:pos="1121"/>
        </w:tabs>
        <w:spacing w:before="158" w:line="364" w:lineRule="auto"/>
        <w:ind w:left="160" w:right="259" w:firstLine="480"/>
        <w:rPr>
          <w:sz w:val="24"/>
        </w:rPr>
      </w:pPr>
      <w:r>
        <w:rPr>
          <w:spacing w:val="-1"/>
          <w:sz w:val="24"/>
        </w:rPr>
        <w:t>磋商工作由采购代理机构组织，采购人、采购监管、纪检监察等有关方面代表可根据采</w:t>
      </w:r>
      <w:r>
        <w:rPr>
          <w:sz w:val="24"/>
        </w:rPr>
        <w:t>购项目的具体情况列席。</w:t>
      </w:r>
    </w:p>
    <w:p>
      <w:pPr>
        <w:pStyle w:val="30"/>
        <w:numPr>
          <w:ilvl w:val="1"/>
          <w:numId w:val="6"/>
        </w:numPr>
        <w:tabs>
          <w:tab w:val="left" w:pos="1121"/>
        </w:tabs>
        <w:spacing w:before="1"/>
        <w:ind w:left="1121" w:hanging="481"/>
        <w:rPr>
          <w:sz w:val="24"/>
        </w:rPr>
      </w:pPr>
      <w:r>
        <w:rPr>
          <w:sz w:val="24"/>
        </w:rPr>
        <w:t>磋商过程有专人记录，并存档备查。</w:t>
      </w:r>
    </w:p>
    <w:p>
      <w:pPr>
        <w:pStyle w:val="8"/>
        <w:spacing w:before="1"/>
        <w:rPr>
          <w:sz w:val="31"/>
        </w:rPr>
      </w:pPr>
    </w:p>
    <w:p>
      <w:pPr>
        <w:pStyle w:val="2"/>
        <w:ind w:right="95"/>
      </w:pPr>
      <w:bookmarkStart w:id="35" w:name="六、磋商程序及方法"/>
      <w:bookmarkEnd w:id="35"/>
      <w:bookmarkStart w:id="36" w:name="_Toc17589"/>
      <w:r>
        <w:t>六、磋商程序及方法</w:t>
      </w:r>
      <w:bookmarkEnd w:id="36"/>
    </w:p>
    <w:p>
      <w:pPr>
        <w:pStyle w:val="8"/>
        <w:spacing w:before="6"/>
        <w:rPr>
          <w:sz w:val="37"/>
        </w:rPr>
      </w:pPr>
    </w:p>
    <w:p>
      <w:pPr>
        <w:pStyle w:val="6"/>
        <w:numPr>
          <w:ilvl w:val="0"/>
          <w:numId w:val="6"/>
        </w:numPr>
        <w:tabs>
          <w:tab w:val="left" w:pos="585"/>
        </w:tabs>
        <w:spacing w:before="0"/>
        <w:ind w:left="584" w:hanging="425"/>
      </w:pPr>
      <w:bookmarkStart w:id="37" w:name="16.磋商小组"/>
      <w:bookmarkEnd w:id="37"/>
      <w:r>
        <w:t>磋商小组</w:t>
      </w:r>
    </w:p>
    <w:p>
      <w:pPr>
        <w:pStyle w:val="30"/>
        <w:numPr>
          <w:ilvl w:val="1"/>
          <w:numId w:val="6"/>
        </w:numPr>
        <w:tabs>
          <w:tab w:val="left" w:pos="1240"/>
        </w:tabs>
        <w:spacing w:before="245" w:line="364" w:lineRule="auto"/>
        <w:ind w:left="160" w:right="259" w:firstLine="480"/>
        <w:jc w:val="both"/>
        <w:rPr>
          <w:sz w:val="24"/>
        </w:rPr>
      </w:pPr>
      <w:r>
        <w:rPr>
          <w:sz w:val="24"/>
        </w:rPr>
        <w:t>采购代理机构将根据采购项目的特点依法组建磋商小组，其成员由具有一定专业水平的技术、经济</w:t>
      </w:r>
      <w:r>
        <w:rPr>
          <w:spacing w:val="-1"/>
          <w:sz w:val="24"/>
        </w:rPr>
        <w:t>等方面的专家和采购人代表等三人以上单数组成。其中技术、经济等方面的专家不少</w:t>
      </w:r>
      <w:r>
        <w:rPr>
          <w:sz w:val="24"/>
        </w:rPr>
        <w:t>于成员总数的三分之二。</w:t>
      </w:r>
    </w:p>
    <w:p>
      <w:pPr>
        <w:pStyle w:val="30"/>
        <w:numPr>
          <w:ilvl w:val="1"/>
          <w:numId w:val="6"/>
        </w:numPr>
        <w:tabs>
          <w:tab w:val="left" w:pos="1121"/>
        </w:tabs>
        <w:spacing w:line="362" w:lineRule="auto"/>
        <w:ind w:left="160" w:right="259" w:firstLine="480"/>
        <w:rPr>
          <w:sz w:val="24"/>
        </w:rPr>
      </w:pPr>
      <w:r>
        <w:rPr>
          <w:rFonts w:hint="eastAsia"/>
          <w:spacing w:val="-1"/>
          <w:sz w:val="24"/>
          <w:lang w:val="en-US" w:eastAsia="zh-CN"/>
        </w:rPr>
        <w:t xml:space="preserve"> </w:t>
      </w:r>
      <w:r>
        <w:rPr>
          <w:spacing w:val="-1"/>
          <w:sz w:val="24"/>
        </w:rPr>
        <w:t>磋商由采购代理机构负责组织，具体磋商事务由依法组建的磋商小组负责，并独立履行</w:t>
      </w:r>
      <w:r>
        <w:rPr>
          <w:sz w:val="24"/>
        </w:rPr>
        <w:t>下列职责：</w:t>
      </w:r>
    </w:p>
    <w:p>
      <w:pPr>
        <w:pStyle w:val="30"/>
        <w:numPr>
          <w:ilvl w:val="0"/>
          <w:numId w:val="10"/>
        </w:numPr>
        <w:tabs>
          <w:tab w:val="left" w:pos="1241"/>
        </w:tabs>
        <w:spacing w:before="2"/>
        <w:rPr>
          <w:sz w:val="24"/>
        </w:rPr>
      </w:pPr>
      <w:r>
        <w:rPr>
          <w:sz w:val="24"/>
        </w:rPr>
        <w:t>审查响应文件是否符合磋商文件要求，并作出评价；</w:t>
      </w:r>
    </w:p>
    <w:p>
      <w:pPr>
        <w:pStyle w:val="30"/>
        <w:numPr>
          <w:ilvl w:val="0"/>
          <w:numId w:val="10"/>
        </w:numPr>
        <w:tabs>
          <w:tab w:val="left" w:pos="1241"/>
        </w:tabs>
        <w:spacing w:before="161"/>
        <w:rPr>
          <w:sz w:val="24"/>
        </w:rPr>
      </w:pPr>
      <w:r>
        <w:rPr>
          <w:sz w:val="24"/>
        </w:rPr>
        <w:t>要求供应商对响应文件有关事项作出解释或澄清；</w:t>
      </w:r>
    </w:p>
    <w:p>
      <w:pPr>
        <w:pStyle w:val="30"/>
        <w:numPr>
          <w:ilvl w:val="0"/>
          <w:numId w:val="10"/>
        </w:numPr>
        <w:tabs>
          <w:tab w:val="left" w:pos="1241"/>
        </w:tabs>
        <w:spacing w:before="160"/>
        <w:rPr>
          <w:sz w:val="24"/>
        </w:rPr>
      </w:pPr>
      <w:r>
        <w:rPr>
          <w:sz w:val="24"/>
        </w:rPr>
        <w:t>推荐预成交候选供应商；</w:t>
      </w:r>
    </w:p>
    <w:p>
      <w:pPr>
        <w:pStyle w:val="30"/>
        <w:numPr>
          <w:ilvl w:val="0"/>
          <w:numId w:val="10"/>
        </w:numPr>
        <w:tabs>
          <w:tab w:val="left" w:pos="1241"/>
        </w:tabs>
        <w:spacing w:before="158" w:line="364" w:lineRule="auto"/>
        <w:ind w:left="640" w:right="3739" w:firstLine="0"/>
        <w:rPr>
          <w:sz w:val="24"/>
        </w:rPr>
      </w:pPr>
      <w:r>
        <w:rPr>
          <w:spacing w:val="-1"/>
          <w:sz w:val="24"/>
        </w:rPr>
        <w:t>对非法干预评标工作的人员和机构进行举报或投诉。</w:t>
      </w:r>
      <w:r>
        <w:rPr>
          <w:sz w:val="24"/>
        </w:rPr>
        <w:t>16.3</w:t>
      </w:r>
      <w:r>
        <w:rPr>
          <w:rFonts w:hint="eastAsia"/>
          <w:sz w:val="24"/>
          <w:lang w:val="en-US" w:eastAsia="zh-CN"/>
        </w:rPr>
        <w:t xml:space="preserve"> </w:t>
      </w:r>
      <w:r>
        <w:rPr>
          <w:sz w:val="24"/>
        </w:rPr>
        <w:t>磋商小组应遵守并履行下列义务：</w:t>
      </w:r>
    </w:p>
    <w:p>
      <w:pPr>
        <w:pStyle w:val="30"/>
        <w:numPr>
          <w:ilvl w:val="0"/>
          <w:numId w:val="11"/>
        </w:numPr>
        <w:tabs>
          <w:tab w:val="left" w:pos="1241"/>
        </w:tabs>
        <w:spacing w:line="306" w:lineRule="exact"/>
        <w:rPr>
          <w:sz w:val="24"/>
        </w:rPr>
      </w:pPr>
      <w:r>
        <w:rPr>
          <w:sz w:val="24"/>
        </w:rPr>
        <w:t>遵纪守法，客观、公正、廉洁地履行职责；</w:t>
      </w:r>
    </w:p>
    <w:p>
      <w:pPr>
        <w:pStyle w:val="30"/>
        <w:numPr>
          <w:ilvl w:val="0"/>
          <w:numId w:val="11"/>
        </w:numPr>
        <w:tabs>
          <w:tab w:val="left" w:pos="1241"/>
        </w:tabs>
        <w:spacing w:before="161"/>
        <w:rPr>
          <w:sz w:val="24"/>
        </w:rPr>
      </w:pPr>
      <w:r>
        <w:rPr>
          <w:spacing w:val="-6"/>
          <w:sz w:val="24"/>
        </w:rPr>
        <w:t>按照磋商文件规定的评审方法和评审标准进行评审，对评审意见承担磋商小组成员责任；</w:t>
      </w:r>
    </w:p>
    <w:p>
      <w:pPr>
        <w:pStyle w:val="30"/>
        <w:numPr>
          <w:ilvl w:val="0"/>
          <w:numId w:val="11"/>
        </w:numPr>
        <w:tabs>
          <w:tab w:val="left" w:pos="1241"/>
        </w:tabs>
        <w:spacing w:before="160"/>
        <w:rPr>
          <w:sz w:val="24"/>
        </w:rPr>
      </w:pPr>
      <w:r>
        <w:rPr>
          <w:sz w:val="24"/>
        </w:rPr>
        <w:t>对响应文件、磋商情况和磋商中获悉的商业秘密保密；</w:t>
      </w:r>
    </w:p>
    <w:p>
      <w:pPr>
        <w:pStyle w:val="30"/>
        <w:numPr>
          <w:ilvl w:val="0"/>
          <w:numId w:val="11"/>
        </w:numPr>
        <w:tabs>
          <w:tab w:val="left" w:pos="1241"/>
        </w:tabs>
        <w:spacing w:before="159"/>
        <w:rPr>
          <w:sz w:val="24"/>
        </w:rPr>
      </w:pPr>
      <w:r>
        <w:rPr>
          <w:sz w:val="24"/>
        </w:rPr>
        <w:t>参与磋商报告的起草；</w:t>
      </w:r>
    </w:p>
    <w:p>
      <w:pPr>
        <w:pStyle w:val="30"/>
        <w:numPr>
          <w:ilvl w:val="0"/>
          <w:numId w:val="11"/>
        </w:numPr>
        <w:tabs>
          <w:tab w:val="left" w:pos="1241"/>
        </w:tabs>
        <w:spacing w:before="158"/>
        <w:rPr>
          <w:sz w:val="24"/>
        </w:rPr>
      </w:pPr>
      <w:r>
        <w:rPr>
          <w:sz w:val="24"/>
        </w:rPr>
        <w:t>解答供应商及有关方面的质疑；</w:t>
      </w:r>
    </w:p>
    <w:p>
      <w:pPr>
        <w:pStyle w:val="30"/>
        <w:numPr>
          <w:ilvl w:val="0"/>
          <w:numId w:val="11"/>
        </w:numPr>
        <w:tabs>
          <w:tab w:val="left" w:pos="1241"/>
        </w:tabs>
        <w:spacing w:before="160"/>
        <w:rPr>
          <w:sz w:val="24"/>
        </w:rPr>
      </w:pPr>
      <w:r>
        <w:rPr>
          <w:sz w:val="24"/>
        </w:rPr>
        <w:t>配合纪检部门进行投诉处理工作。</w:t>
      </w:r>
    </w:p>
    <w:p>
      <w:pPr>
        <w:pStyle w:val="30"/>
        <w:numPr>
          <w:ilvl w:val="1"/>
          <w:numId w:val="12"/>
        </w:numPr>
        <w:tabs>
          <w:tab w:val="left" w:pos="1121"/>
        </w:tabs>
        <w:spacing w:before="158" w:line="364" w:lineRule="auto"/>
        <w:ind w:right="259" w:firstLine="480"/>
        <w:rPr>
          <w:sz w:val="24"/>
        </w:rPr>
      </w:pPr>
      <w:r>
        <w:rPr>
          <w:rFonts w:hint="eastAsia"/>
          <w:spacing w:val="-1"/>
          <w:sz w:val="24"/>
          <w:lang w:val="en-US" w:eastAsia="zh-CN"/>
        </w:rPr>
        <w:t xml:space="preserve"> </w:t>
      </w:r>
      <w:r>
        <w:rPr>
          <w:spacing w:val="-1"/>
          <w:sz w:val="24"/>
        </w:rPr>
        <w:t>磋商小组所有成员应当集中与单一供应商分别进行磋商，并给予所有参加磋商的供应商</w:t>
      </w:r>
      <w:r>
        <w:rPr>
          <w:sz w:val="24"/>
        </w:rPr>
        <w:t>平等的磋商机会。</w:t>
      </w:r>
    </w:p>
    <w:p>
      <w:pPr>
        <w:pStyle w:val="30"/>
        <w:numPr>
          <w:ilvl w:val="1"/>
          <w:numId w:val="12"/>
        </w:numPr>
        <w:tabs>
          <w:tab w:val="left" w:pos="1121"/>
        </w:tabs>
        <w:spacing w:before="1" w:line="362" w:lineRule="auto"/>
        <w:ind w:right="259" w:firstLine="480"/>
        <w:rPr>
          <w:sz w:val="24"/>
        </w:rPr>
      </w:pPr>
      <w:r>
        <w:rPr>
          <w:rFonts w:hint="eastAsia"/>
          <w:spacing w:val="-1"/>
          <w:sz w:val="24"/>
          <w:lang w:val="en-US" w:eastAsia="zh-CN"/>
        </w:rPr>
        <w:t xml:space="preserve"> </w:t>
      </w:r>
      <w:r>
        <w:rPr>
          <w:spacing w:val="-1"/>
          <w:sz w:val="24"/>
        </w:rPr>
        <w:t>磋商工作在有关部门的监督和严格保密的情况下依法开展，任何单位和个人不得非法干</w:t>
      </w:r>
      <w:r>
        <w:rPr>
          <w:sz w:val="24"/>
        </w:rPr>
        <w:t>预、影响磋商工作和磋商结果。</w:t>
      </w:r>
    </w:p>
    <w:p>
      <w:pPr>
        <w:spacing w:line="362" w:lineRule="auto"/>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33" o:spid="_x0000_s1033" o:spt="203" style="height:1pt;width:504pt;" coordsize="10080,20">
            <o:lock v:ext="edit"/>
            <v:rect id="_x0000_s1034" o:spid="_x0000_s1034" o:spt="1" style="position:absolute;left:0;top:0;height:20;width:10080;" fillcolor="#000000" filled="t" stroked="f" coordsize="21600,21600">
              <v:path/>
              <v:fill on="t" focussize="0,0"/>
              <v:stroke on="f"/>
              <v:imagedata o:title=""/>
              <o:lock v:ext="edit"/>
            </v:rect>
            <w10:wrap type="none"/>
            <w10:anchorlock/>
          </v:group>
        </w:pict>
      </w:r>
    </w:p>
    <w:p>
      <w:pPr>
        <w:pStyle w:val="6"/>
        <w:numPr>
          <w:ilvl w:val="0"/>
          <w:numId w:val="6"/>
        </w:numPr>
        <w:tabs>
          <w:tab w:val="left" w:pos="585"/>
        </w:tabs>
        <w:spacing w:before="24"/>
        <w:ind w:left="584" w:hanging="425"/>
      </w:pPr>
      <w:bookmarkStart w:id="38" w:name="17.磋商程序"/>
      <w:bookmarkEnd w:id="38"/>
      <w:r>
        <w:t>磋商程序</w:t>
      </w:r>
    </w:p>
    <w:p>
      <w:pPr>
        <w:pStyle w:val="30"/>
        <w:numPr>
          <w:ilvl w:val="1"/>
          <w:numId w:val="6"/>
        </w:numPr>
        <w:tabs>
          <w:tab w:val="left" w:pos="1121"/>
        </w:tabs>
        <w:spacing w:before="245" w:line="364" w:lineRule="auto"/>
        <w:ind w:left="160" w:right="259" w:firstLine="480"/>
        <w:jc w:val="both"/>
        <w:rPr>
          <w:sz w:val="24"/>
        </w:rPr>
      </w:pPr>
      <w:r>
        <w:rPr>
          <w:spacing w:val="-1"/>
          <w:sz w:val="24"/>
        </w:rPr>
        <w:t>进入磋商阶段后，磋商小组成员按照客观、公正、审慎的原则，根据磋商文件规定的评审程序、评审方法和评审标准进行独立开展评审工作，负责审议所有响应文件，并按先初审、后</w:t>
      </w:r>
      <w:r>
        <w:rPr>
          <w:sz w:val="24"/>
        </w:rPr>
        <w:t>详审的程序对响应文件进行评审、评分。</w:t>
      </w:r>
    </w:p>
    <w:p>
      <w:pPr>
        <w:pStyle w:val="30"/>
        <w:numPr>
          <w:ilvl w:val="1"/>
          <w:numId w:val="6"/>
        </w:numPr>
        <w:tabs>
          <w:tab w:val="left" w:pos="1121"/>
        </w:tabs>
        <w:spacing w:line="362" w:lineRule="auto"/>
        <w:ind w:left="160" w:right="259" w:firstLine="480"/>
        <w:rPr>
          <w:sz w:val="24"/>
        </w:rPr>
      </w:pPr>
      <w:r>
        <w:rPr>
          <w:spacing w:val="-1"/>
          <w:sz w:val="24"/>
        </w:rPr>
        <w:t>初审阶段为资格性审查和符合性审查。响应文件在响应磋商文件要求方面出现的偏离，</w:t>
      </w:r>
      <w:r>
        <w:rPr>
          <w:spacing w:val="-117"/>
          <w:sz w:val="24"/>
        </w:rPr>
        <w:t xml:space="preserve"> </w:t>
      </w:r>
      <w:r>
        <w:rPr>
          <w:sz w:val="24"/>
        </w:rPr>
        <w:t>分为实质性偏离和非实质性偏离。</w:t>
      </w:r>
    </w:p>
    <w:p>
      <w:pPr>
        <w:pStyle w:val="30"/>
        <w:numPr>
          <w:ilvl w:val="2"/>
          <w:numId w:val="13"/>
        </w:numPr>
        <w:tabs>
          <w:tab w:val="left" w:pos="1361"/>
        </w:tabs>
        <w:spacing w:before="4" w:line="362" w:lineRule="auto"/>
        <w:ind w:right="139" w:firstLine="480"/>
        <w:rPr>
          <w:sz w:val="24"/>
        </w:rPr>
      </w:pPr>
      <w:r>
        <w:rPr>
          <w:spacing w:val="-6"/>
          <w:sz w:val="24"/>
        </w:rPr>
        <w:t>实质性偏离是指响应文件未能实质性响应磋商文件的要求。以下情况属于实质性偏离，</w:t>
      </w:r>
      <w:r>
        <w:rPr>
          <w:spacing w:val="-117"/>
          <w:sz w:val="24"/>
        </w:rPr>
        <w:t xml:space="preserve"> </w:t>
      </w:r>
      <w:r>
        <w:rPr>
          <w:sz w:val="24"/>
        </w:rPr>
        <w:t>响应文件有下列情况之一的，按无效文件处理。</w:t>
      </w:r>
    </w:p>
    <w:p>
      <w:pPr>
        <w:pStyle w:val="30"/>
        <w:numPr>
          <w:ilvl w:val="0"/>
          <w:numId w:val="14"/>
        </w:numPr>
        <w:tabs>
          <w:tab w:val="left" w:pos="1241"/>
        </w:tabs>
        <w:spacing w:before="5"/>
        <w:rPr>
          <w:sz w:val="24"/>
        </w:rPr>
      </w:pPr>
      <w:r>
        <w:rPr>
          <w:sz w:val="24"/>
        </w:rPr>
        <w:t>不符合第2.2款“合格的供应商”之规定的；</w:t>
      </w:r>
    </w:p>
    <w:p>
      <w:pPr>
        <w:pStyle w:val="30"/>
        <w:numPr>
          <w:ilvl w:val="0"/>
          <w:numId w:val="14"/>
        </w:numPr>
        <w:tabs>
          <w:tab w:val="left" w:pos="1241"/>
        </w:tabs>
        <w:spacing w:before="158"/>
        <w:rPr>
          <w:sz w:val="24"/>
        </w:rPr>
      </w:pPr>
      <w:r>
        <w:rPr>
          <w:sz w:val="24"/>
        </w:rPr>
        <w:t>未按磋商文件要求交纳或未足额交纳磋商保证金的；</w:t>
      </w:r>
    </w:p>
    <w:p>
      <w:pPr>
        <w:pStyle w:val="30"/>
        <w:numPr>
          <w:ilvl w:val="0"/>
          <w:numId w:val="14"/>
        </w:numPr>
        <w:tabs>
          <w:tab w:val="left" w:pos="1241"/>
        </w:tabs>
        <w:spacing w:before="161"/>
        <w:rPr>
          <w:sz w:val="24"/>
        </w:rPr>
      </w:pPr>
      <w:r>
        <w:rPr>
          <w:sz w:val="24"/>
        </w:rPr>
        <w:t>未按第10.1（1）-（12）款要求提供相关资料的；</w:t>
      </w:r>
    </w:p>
    <w:p>
      <w:pPr>
        <w:pStyle w:val="30"/>
        <w:numPr>
          <w:ilvl w:val="0"/>
          <w:numId w:val="14"/>
        </w:numPr>
        <w:tabs>
          <w:tab w:val="left" w:pos="1241"/>
        </w:tabs>
        <w:spacing w:before="158"/>
        <w:rPr>
          <w:sz w:val="24"/>
        </w:rPr>
      </w:pPr>
      <w:r>
        <w:rPr>
          <w:sz w:val="24"/>
        </w:rPr>
        <w:t>响应文件内容没有按磋商文件规定和要求签字、盖章的；</w:t>
      </w:r>
    </w:p>
    <w:p>
      <w:pPr>
        <w:pStyle w:val="30"/>
        <w:numPr>
          <w:ilvl w:val="0"/>
          <w:numId w:val="14"/>
        </w:numPr>
        <w:tabs>
          <w:tab w:val="left" w:pos="1241"/>
        </w:tabs>
        <w:spacing w:before="160"/>
        <w:rPr>
          <w:sz w:val="24"/>
        </w:rPr>
      </w:pPr>
      <w:r>
        <w:rPr>
          <w:sz w:val="24"/>
        </w:rPr>
        <w:t>响应文件编排混乱，且擅自修改磋商文件规定的格式内容的；</w:t>
      </w:r>
    </w:p>
    <w:p>
      <w:pPr>
        <w:pStyle w:val="30"/>
        <w:numPr>
          <w:ilvl w:val="0"/>
          <w:numId w:val="14"/>
        </w:numPr>
        <w:tabs>
          <w:tab w:val="left" w:pos="1241"/>
        </w:tabs>
        <w:spacing w:before="161"/>
        <w:rPr>
          <w:sz w:val="24"/>
        </w:rPr>
      </w:pPr>
      <w:r>
        <w:rPr>
          <w:sz w:val="24"/>
        </w:rPr>
        <w:t>服务期限、磋商有效期、法定代表人授权期限不能满足磋商文件要求的；</w:t>
      </w:r>
    </w:p>
    <w:p>
      <w:pPr>
        <w:pStyle w:val="30"/>
        <w:numPr>
          <w:ilvl w:val="0"/>
          <w:numId w:val="14"/>
        </w:numPr>
        <w:tabs>
          <w:tab w:val="left" w:pos="1241"/>
        </w:tabs>
        <w:spacing w:before="158"/>
        <w:rPr>
          <w:sz w:val="24"/>
        </w:rPr>
      </w:pPr>
      <w:r>
        <w:rPr>
          <w:sz w:val="24"/>
        </w:rPr>
        <w:t>技术标准明显不符合采购项目要求的；</w:t>
      </w:r>
    </w:p>
    <w:p>
      <w:pPr>
        <w:pStyle w:val="30"/>
        <w:numPr>
          <w:ilvl w:val="0"/>
          <w:numId w:val="14"/>
        </w:numPr>
        <w:tabs>
          <w:tab w:val="left" w:pos="1241"/>
        </w:tabs>
        <w:spacing w:before="158"/>
        <w:rPr>
          <w:sz w:val="24"/>
        </w:rPr>
      </w:pPr>
      <w:r>
        <w:rPr>
          <w:sz w:val="24"/>
        </w:rPr>
        <w:t>响应文件中附有采购人不能接受的条件的；</w:t>
      </w:r>
    </w:p>
    <w:p>
      <w:pPr>
        <w:pStyle w:val="30"/>
        <w:numPr>
          <w:ilvl w:val="0"/>
          <w:numId w:val="14"/>
        </w:numPr>
        <w:tabs>
          <w:tab w:val="left" w:pos="1241"/>
        </w:tabs>
        <w:spacing w:before="160"/>
        <w:rPr>
          <w:sz w:val="24"/>
        </w:rPr>
      </w:pPr>
      <w:r>
        <w:rPr>
          <w:sz w:val="24"/>
        </w:rPr>
        <w:t>磋商小组认为应按无效响应处理的其他情况；</w:t>
      </w:r>
    </w:p>
    <w:p>
      <w:pPr>
        <w:pStyle w:val="30"/>
        <w:numPr>
          <w:ilvl w:val="0"/>
          <w:numId w:val="14"/>
        </w:numPr>
        <w:tabs>
          <w:tab w:val="left" w:pos="1361"/>
        </w:tabs>
        <w:spacing w:before="159"/>
        <w:ind w:left="1361" w:hanging="721"/>
        <w:rPr>
          <w:sz w:val="24"/>
        </w:rPr>
      </w:pPr>
      <w:r>
        <w:rPr>
          <w:sz w:val="24"/>
        </w:rPr>
        <w:t>法律、法规规定的其他情形。</w:t>
      </w:r>
    </w:p>
    <w:p>
      <w:pPr>
        <w:pStyle w:val="30"/>
        <w:numPr>
          <w:ilvl w:val="2"/>
          <w:numId w:val="13"/>
        </w:numPr>
        <w:tabs>
          <w:tab w:val="left" w:pos="1361"/>
        </w:tabs>
        <w:spacing w:before="160" w:line="364" w:lineRule="auto"/>
        <w:ind w:right="259" w:firstLine="480"/>
        <w:jc w:val="both"/>
        <w:rPr>
          <w:sz w:val="24"/>
        </w:rPr>
      </w:pPr>
      <w:r>
        <w:rPr>
          <w:spacing w:val="-1"/>
          <w:sz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w:t>
      </w:r>
      <w:r>
        <w:rPr>
          <w:sz w:val="24"/>
        </w:rPr>
        <w:t>改变响应文件的实质性内容。</w:t>
      </w:r>
    </w:p>
    <w:p>
      <w:pPr>
        <w:pStyle w:val="8"/>
        <w:spacing w:line="364" w:lineRule="auto"/>
        <w:ind w:left="160" w:right="259" w:firstLine="480"/>
        <w:jc w:val="both"/>
      </w:pPr>
      <w:r>
        <w:rPr>
          <w:spacing w:val="-1"/>
        </w:rPr>
        <w:t>磋商小组要求供应商澄清、说明或者更正响应文件应当以书面形式作出。供应商的澄清、说明或者更正应当由法定代表人或其授权代表签字或者加盖公章。由授权代表签字的，应当附法定</w:t>
      </w:r>
      <w:r>
        <w:t>代表人授权书。</w:t>
      </w:r>
    </w:p>
    <w:p>
      <w:pPr>
        <w:pStyle w:val="30"/>
        <w:numPr>
          <w:ilvl w:val="2"/>
          <w:numId w:val="13"/>
        </w:numPr>
        <w:tabs>
          <w:tab w:val="left" w:pos="1480"/>
        </w:tabs>
        <w:spacing w:line="362" w:lineRule="auto"/>
        <w:ind w:right="259" w:firstLine="480"/>
        <w:jc w:val="both"/>
        <w:rPr>
          <w:sz w:val="24"/>
        </w:rPr>
      </w:pPr>
      <w:r>
        <w:rPr>
          <w:spacing w:val="-11"/>
          <w:sz w:val="24"/>
        </w:rPr>
        <w:t>在响应文件初审、详审过程中，如果磋商小组成员出现对评审结果有不同意见的，应</w:t>
      </w:r>
      <w:r>
        <w:rPr>
          <w:spacing w:val="-1"/>
          <w:sz w:val="24"/>
        </w:rPr>
        <w:t>当以书面形式反映，磋商报告中应注明该不同意见。磋商小组成员拒绝在磋商报告中签字又不书</w:t>
      </w:r>
    </w:p>
    <w:p>
      <w:pPr>
        <w:spacing w:line="362" w:lineRule="auto"/>
        <w:jc w:val="both"/>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35" o:spid="_x0000_s1035" o:spt="203" style="height:1pt;width:504pt;" coordsize="10080,20">
            <o:lock v:ext="edit"/>
            <v:rect id="_x0000_s1036" o:spid="_x0000_s1036" o:spt="1" style="position:absolute;left:0;top:0;height:20;width:10080;" fillcolor="#000000" filled="t" stroked="f" coordsize="21600,21600">
              <v:path/>
              <v:fill on="t" focussize="0,0"/>
              <v:stroke on="f"/>
              <v:imagedata o:title=""/>
              <o:lock v:ext="edit"/>
            </v:rect>
            <w10:wrap type="none"/>
            <w10:anchorlock/>
          </v:group>
        </w:pict>
      </w:r>
    </w:p>
    <w:p>
      <w:pPr>
        <w:pStyle w:val="8"/>
        <w:spacing w:before="23"/>
        <w:ind w:left="160"/>
      </w:pPr>
      <w:r>
        <w:t>面说明其不同意见和理由的，视为同意磋商结果。</w:t>
      </w:r>
    </w:p>
    <w:p>
      <w:pPr>
        <w:pStyle w:val="30"/>
        <w:numPr>
          <w:ilvl w:val="1"/>
          <w:numId w:val="6"/>
        </w:numPr>
        <w:tabs>
          <w:tab w:val="left" w:pos="1240"/>
        </w:tabs>
        <w:spacing w:before="158" w:line="364" w:lineRule="auto"/>
        <w:ind w:left="160" w:right="139" w:firstLine="480"/>
        <w:rPr>
          <w:sz w:val="24"/>
        </w:rPr>
      </w:pPr>
      <w:r>
        <w:rPr>
          <w:spacing w:val="-1"/>
          <w:sz w:val="24"/>
        </w:rPr>
        <w:t>在磋商过程中，磋商小组可以根据磋商文件和磋商情况实质性变动采购需求中的技术、</w:t>
      </w:r>
      <w:r>
        <w:rPr>
          <w:sz w:val="24"/>
        </w:rPr>
        <w:t>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pStyle w:val="30"/>
        <w:numPr>
          <w:ilvl w:val="1"/>
          <w:numId w:val="6"/>
        </w:numPr>
        <w:tabs>
          <w:tab w:val="left" w:pos="1240"/>
        </w:tabs>
        <w:spacing w:line="364" w:lineRule="auto"/>
        <w:ind w:left="160" w:right="259" w:firstLine="480"/>
        <w:jc w:val="both"/>
        <w:rPr>
          <w:sz w:val="24"/>
        </w:rPr>
      </w:pPr>
      <w:r>
        <w:rPr>
          <w:spacing w:val="-6"/>
          <w:sz w:val="24"/>
        </w:rPr>
        <w:t>经磋商确定最终采购需求和提交最后报价的供应商后，由磋商小组采用综合评分法对提</w:t>
      </w:r>
      <w:r>
        <w:rPr>
          <w:spacing w:val="-1"/>
          <w:sz w:val="24"/>
        </w:rPr>
        <w:t>交最后报价的供应商的响应文件和最后报价进行综合评分。综合评分法，是指响应文件满足磋商文件全部实质性要求且按评审因素的量化指标评审得分最高的供应商为成交候选供应商的评审方</w:t>
      </w:r>
      <w:r>
        <w:rPr>
          <w:sz w:val="24"/>
        </w:rPr>
        <w:t>法。</w:t>
      </w:r>
    </w:p>
    <w:p>
      <w:pPr>
        <w:pStyle w:val="8"/>
        <w:spacing w:line="364" w:lineRule="auto"/>
        <w:ind w:left="160" w:right="259" w:firstLine="480"/>
      </w:pPr>
      <w:r>
        <w:rPr>
          <w:spacing w:val="-1"/>
        </w:rPr>
        <w:t>综合评分法中的价格分统一采用低价优先法计算，即满足磋商文件要求且最后报价最低的供</w:t>
      </w:r>
      <w:r>
        <w:t>应商的价格为磋商基准价，其价格为满分。其他供应商的价格分统一按照下列公式计算：</w:t>
      </w:r>
    </w:p>
    <w:p>
      <w:pPr>
        <w:pStyle w:val="8"/>
        <w:spacing w:line="306" w:lineRule="exact"/>
        <w:ind w:left="640"/>
      </w:pPr>
      <w:r>
        <w:t>磋商报价得分=（磋商基准价/最后磋商报价）×价格权值×100</w:t>
      </w:r>
    </w:p>
    <w:p>
      <w:pPr>
        <w:pStyle w:val="9"/>
        <w:outlineLvl w:val="9"/>
      </w:pPr>
    </w:p>
    <w:p>
      <w:pPr>
        <w:pStyle w:val="6"/>
        <w:numPr>
          <w:ilvl w:val="0"/>
          <w:numId w:val="6"/>
        </w:numPr>
        <w:tabs>
          <w:tab w:val="left" w:pos="585"/>
        </w:tabs>
        <w:spacing w:before="24"/>
        <w:ind w:left="584" w:hanging="425"/>
      </w:pPr>
      <w:bookmarkStart w:id="39" w:name="18.评审办法"/>
      <w:bookmarkEnd w:id="39"/>
      <w:r>
        <w:t>评审办法</w:t>
      </w:r>
    </w:p>
    <w:p/>
    <w:p>
      <w:pPr>
        <w:pStyle w:val="30"/>
        <w:numPr>
          <w:ilvl w:val="1"/>
          <w:numId w:val="6"/>
        </w:numPr>
        <w:tabs>
          <w:tab w:val="left" w:pos="1240"/>
        </w:tabs>
        <w:spacing w:line="364" w:lineRule="auto"/>
        <w:ind w:left="160" w:right="259" w:firstLine="480"/>
        <w:jc w:val="both"/>
        <w:rPr>
          <w:spacing w:val="-6"/>
          <w:sz w:val="24"/>
          <w:lang w:val="zh-CN"/>
        </w:rPr>
      </w:pPr>
      <w:r>
        <w:rPr>
          <w:rFonts w:hint="eastAsia"/>
          <w:spacing w:val="-6"/>
          <w:sz w:val="24"/>
        </w:rPr>
        <w:t>评标委员会应当按照招标文件中规定的评标方法和标准，对资格性和符合性审查合格的投标文件进行商务和技术评估，综合比较与评价。</w:t>
      </w:r>
    </w:p>
    <w:p>
      <w:pPr>
        <w:pStyle w:val="30"/>
        <w:numPr>
          <w:ilvl w:val="1"/>
          <w:numId w:val="6"/>
        </w:numPr>
        <w:tabs>
          <w:tab w:val="left" w:pos="1240"/>
        </w:tabs>
        <w:spacing w:line="364" w:lineRule="auto"/>
        <w:ind w:left="160" w:right="259" w:firstLine="480"/>
        <w:jc w:val="both"/>
        <w:rPr>
          <w:spacing w:val="-6"/>
          <w:sz w:val="24"/>
        </w:rPr>
      </w:pPr>
      <w:r>
        <w:rPr>
          <w:rFonts w:hint="eastAsia"/>
          <w:spacing w:val="-6"/>
          <w:sz w:val="24"/>
        </w:rPr>
        <w:t>评标委员会认为投标人的报价明显低于其他通过资格性和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numPr>
          <w:ilvl w:val="1"/>
          <w:numId w:val="6"/>
        </w:numPr>
        <w:tabs>
          <w:tab w:val="left" w:pos="1240"/>
        </w:tabs>
        <w:spacing w:line="364" w:lineRule="auto"/>
        <w:ind w:left="160" w:right="259" w:firstLine="480"/>
        <w:jc w:val="both"/>
        <w:rPr>
          <w:spacing w:val="-6"/>
          <w:sz w:val="24"/>
        </w:rPr>
      </w:pPr>
      <w:r>
        <w:rPr>
          <w:rFonts w:hint="eastAsia"/>
          <w:spacing w:val="-6"/>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30"/>
        <w:numPr>
          <w:ilvl w:val="1"/>
          <w:numId w:val="6"/>
        </w:numPr>
        <w:tabs>
          <w:tab w:val="left" w:pos="1240"/>
        </w:tabs>
        <w:spacing w:line="364" w:lineRule="auto"/>
        <w:ind w:left="160" w:right="259" w:firstLine="480"/>
        <w:jc w:val="both"/>
        <w:rPr>
          <w:spacing w:val="-6"/>
          <w:sz w:val="24"/>
          <w:lang w:val="zh-CN"/>
        </w:rPr>
      </w:pPr>
      <w:r>
        <w:rPr>
          <w:rFonts w:hint="eastAsia"/>
          <w:spacing w:val="-6"/>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30"/>
        <w:numPr>
          <w:ilvl w:val="1"/>
          <w:numId w:val="6"/>
        </w:numPr>
        <w:tabs>
          <w:tab w:val="left" w:pos="1240"/>
        </w:tabs>
        <w:spacing w:line="364" w:lineRule="auto"/>
        <w:ind w:left="160" w:right="259" w:firstLine="480"/>
        <w:jc w:val="both"/>
        <w:rPr>
          <w:spacing w:val="-6"/>
          <w:sz w:val="24"/>
          <w:lang w:val="zh-CN"/>
        </w:rPr>
      </w:pPr>
      <w:r>
        <w:rPr>
          <w:rFonts w:hint="eastAsia"/>
          <w:spacing w:val="-6"/>
          <w:sz w:val="24"/>
          <w:lang w:val="zh-CN"/>
        </w:rPr>
        <w:t>根据《政府采购促进中小企业发展</w:t>
      </w:r>
      <w:r>
        <w:rPr>
          <w:rFonts w:hint="eastAsia"/>
          <w:spacing w:val="-6"/>
          <w:sz w:val="24"/>
          <w:lang w:val="en-US" w:eastAsia="zh-CN"/>
        </w:rPr>
        <w:t>管理</w:t>
      </w:r>
      <w:r>
        <w:rPr>
          <w:rFonts w:hint="eastAsia"/>
          <w:spacing w:val="-6"/>
          <w:sz w:val="24"/>
          <w:lang w:val="zh-CN"/>
        </w:rPr>
        <w:t>办法》（财库【2020】46号），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pStyle w:val="30"/>
        <w:numPr>
          <w:ilvl w:val="1"/>
          <w:numId w:val="6"/>
        </w:numPr>
        <w:tabs>
          <w:tab w:val="left" w:pos="1240"/>
        </w:tabs>
        <w:spacing w:line="364" w:lineRule="auto"/>
        <w:ind w:left="160" w:right="259" w:firstLine="480"/>
        <w:jc w:val="both"/>
        <w:rPr>
          <w:spacing w:val="-6"/>
          <w:sz w:val="24"/>
        </w:rPr>
      </w:pPr>
      <w:r>
        <w:rPr>
          <w:rFonts w:hint="eastAsia"/>
          <w:spacing w:val="-6"/>
          <w:sz w:val="24"/>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pStyle w:val="30"/>
        <w:numPr>
          <w:ilvl w:val="1"/>
          <w:numId w:val="6"/>
        </w:numPr>
        <w:tabs>
          <w:tab w:val="left" w:pos="1240"/>
        </w:tabs>
        <w:spacing w:line="364" w:lineRule="auto"/>
        <w:ind w:left="160" w:right="259" w:firstLine="480"/>
        <w:jc w:val="both"/>
        <w:rPr>
          <w:spacing w:val="-6"/>
          <w:sz w:val="24"/>
        </w:rPr>
      </w:pPr>
      <w:r>
        <w:rPr>
          <w:rFonts w:hint="eastAsia"/>
          <w:spacing w:val="-6"/>
          <w:sz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w:t>
      </w:r>
    </w:p>
    <w:p>
      <w:pPr>
        <w:pStyle w:val="30"/>
        <w:numPr>
          <w:ilvl w:val="1"/>
          <w:numId w:val="6"/>
        </w:numPr>
        <w:tabs>
          <w:tab w:val="left" w:pos="1240"/>
        </w:tabs>
        <w:spacing w:line="364" w:lineRule="auto"/>
        <w:ind w:left="160" w:right="259" w:firstLine="480"/>
        <w:jc w:val="both"/>
        <w:rPr>
          <w:rFonts w:hint="eastAsia"/>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评审标准和分值分配：</w:t>
      </w:r>
    </w:p>
    <w:tbl>
      <w:tblPr>
        <w:tblStyle w:val="23"/>
        <w:tblW w:w="91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9"/>
        <w:gridCol w:w="6139"/>
        <w:gridCol w:w="18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adjustRightInd w:val="0"/>
              <w:rPr>
                <w:color w:val="000000"/>
                <w:lang w:val="zh-CN"/>
              </w:rPr>
            </w:pPr>
            <w:r>
              <w:rPr>
                <w:rFonts w:hint="eastAsia"/>
                <w:color w:val="000000"/>
                <w:lang w:val="zh-CN"/>
              </w:rPr>
              <w:t>序号</w:t>
            </w:r>
          </w:p>
        </w:tc>
        <w:tc>
          <w:tcPr>
            <w:tcW w:w="6139"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lang w:val="zh-CN"/>
              </w:rPr>
            </w:pPr>
            <w:r>
              <w:rPr>
                <w:rFonts w:hint="eastAsia"/>
                <w:color w:val="000000"/>
                <w:lang w:val="zh-CN"/>
              </w:rPr>
              <w:t>评审项目</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lang w:val="zh-CN"/>
              </w:rPr>
            </w:pPr>
            <w:r>
              <w:rPr>
                <w:rFonts w:hint="eastAsia"/>
                <w:color w:val="000000"/>
                <w:lang w:val="zh-CN"/>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lang w:val="zh-CN"/>
              </w:rPr>
            </w:pPr>
            <w:r>
              <w:rPr>
                <w:rFonts w:hint="eastAsia"/>
                <w:color w:val="000000"/>
              </w:rPr>
              <w:t>1</w:t>
            </w:r>
          </w:p>
        </w:tc>
        <w:tc>
          <w:tcPr>
            <w:tcW w:w="6139" w:type="dxa"/>
            <w:tcBorders>
              <w:top w:val="single" w:color="auto" w:sz="4" w:space="0"/>
              <w:left w:val="single" w:color="auto" w:sz="4" w:space="0"/>
              <w:right w:val="single" w:color="auto" w:sz="4" w:space="0"/>
            </w:tcBorders>
            <w:vAlign w:val="center"/>
          </w:tcPr>
          <w:p>
            <w:pPr>
              <w:adjustRightInd w:val="0"/>
              <w:ind w:firstLine="480"/>
              <w:rPr>
                <w:color w:val="000000"/>
                <w:lang w:val="zh-CN"/>
              </w:rPr>
            </w:pPr>
            <w:r>
              <w:rPr>
                <w:rFonts w:hint="eastAsia"/>
                <w:color w:val="000000"/>
                <w:lang w:val="en-US" w:eastAsia="zh-CN"/>
              </w:rPr>
              <w:t>投标</w:t>
            </w:r>
            <w:r>
              <w:rPr>
                <w:rFonts w:hint="eastAsia"/>
                <w:color w:val="000000"/>
                <w:lang w:val="zh-CN"/>
              </w:rPr>
              <w:t>报价</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ind w:firstLine="480"/>
              <w:jc w:val="center"/>
              <w:rPr>
                <w:rFonts w:hint="default" w:eastAsia="宋体"/>
                <w:color w:val="000000"/>
                <w:lang w:val="en-US" w:eastAsia="zh-CN"/>
              </w:rPr>
            </w:pPr>
            <w:r>
              <w:rPr>
                <w:rFonts w:hint="eastAsia"/>
                <w:color w:val="000000"/>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rPr>
            </w:pPr>
            <w:r>
              <w:rPr>
                <w:rFonts w:hint="eastAsia"/>
                <w:color w:val="000000"/>
              </w:rPr>
              <w:t>2</w:t>
            </w:r>
          </w:p>
        </w:tc>
        <w:tc>
          <w:tcPr>
            <w:tcW w:w="6139" w:type="dxa"/>
            <w:tcBorders>
              <w:top w:val="single" w:color="auto" w:sz="4" w:space="0"/>
              <w:left w:val="single" w:color="auto" w:sz="4" w:space="0"/>
              <w:right w:val="single" w:color="auto" w:sz="4" w:space="0"/>
            </w:tcBorders>
            <w:vAlign w:val="center"/>
          </w:tcPr>
          <w:p>
            <w:pPr>
              <w:adjustRightInd w:val="0"/>
              <w:ind w:firstLine="480"/>
              <w:rPr>
                <w:rFonts w:hint="eastAsia" w:eastAsia="宋体"/>
                <w:color w:val="000000"/>
                <w:lang w:val="en-US" w:eastAsia="zh-CN"/>
              </w:rPr>
            </w:pPr>
            <w:r>
              <w:rPr>
                <w:rFonts w:hint="eastAsia"/>
                <w:color w:val="000000"/>
                <w:lang w:val="zh-CN"/>
              </w:rPr>
              <w:t>技术</w:t>
            </w:r>
            <w:r>
              <w:rPr>
                <w:rFonts w:hint="eastAsia"/>
                <w:color w:val="000000"/>
                <w:lang w:val="en-US" w:eastAsia="zh-CN"/>
              </w:rPr>
              <w:t>部分</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ind w:firstLine="480"/>
              <w:jc w:val="center"/>
              <w:rPr>
                <w:rFonts w:hint="default" w:eastAsia="宋体"/>
                <w:color w:val="000000"/>
                <w:lang w:val="en-US" w:eastAsia="zh-CN"/>
              </w:rPr>
            </w:pPr>
            <w:r>
              <w:rPr>
                <w:rFonts w:hint="eastAsia"/>
                <w:color w:val="000000"/>
                <w:lang w:val="en-US" w:eastAsia="zh-CN"/>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adjustRightInd w:val="0"/>
              <w:ind w:firstLine="480"/>
              <w:rPr>
                <w:rFonts w:hint="eastAsia" w:eastAsia="宋体"/>
                <w:color w:val="000000"/>
                <w:lang w:val="en-US" w:eastAsia="zh-CN"/>
              </w:rPr>
            </w:pPr>
            <w:r>
              <w:rPr>
                <w:rFonts w:hint="eastAsia"/>
                <w:color w:val="000000"/>
                <w:lang w:val="en-US" w:eastAsia="zh-CN"/>
              </w:rPr>
              <w:t>3</w:t>
            </w:r>
          </w:p>
        </w:tc>
        <w:tc>
          <w:tcPr>
            <w:tcW w:w="6139"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lang w:val="zh-CN"/>
              </w:rPr>
            </w:pPr>
            <w:r>
              <w:rPr>
                <w:rFonts w:hint="eastAsia" w:ascii="宋体" w:hAnsi="宋体"/>
                <w:sz w:val="21"/>
                <w:szCs w:val="21"/>
              </w:rPr>
              <w:t>履约及售后服务能力</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ind w:firstLine="480"/>
              <w:jc w:val="center"/>
              <w:rPr>
                <w:rFonts w:hint="default" w:eastAsia="宋体"/>
                <w:color w:val="000000"/>
                <w:lang w:val="en-US" w:eastAsia="zh-CN"/>
              </w:rPr>
            </w:pPr>
            <w:r>
              <w:rPr>
                <w:rFonts w:hint="eastAsia"/>
                <w:color w:val="000000"/>
                <w:lang w:val="en-US" w:eastAsia="zh-CN"/>
              </w:rPr>
              <w:t>15</w:t>
            </w:r>
          </w:p>
        </w:tc>
      </w:tr>
    </w:tbl>
    <w:p>
      <w:pPr>
        <w:adjustRightInd w:val="0"/>
        <w:ind w:firstLine="220" w:firstLineChars="100"/>
        <w:rPr>
          <w:rFonts w:hint="eastAsia"/>
          <w:color w:val="FF0000"/>
        </w:rPr>
      </w:pPr>
      <w:r>
        <w:rPr>
          <w:rFonts w:hint="eastAsia"/>
          <w:color w:val="000000"/>
          <w:lang w:val="zh-CN"/>
        </w:rPr>
        <w:br w:type="page"/>
      </w:r>
      <w:r>
        <w:rPr>
          <w:rFonts w:hint="eastAsia"/>
          <w:color w:val="000000" w:themeColor="text1"/>
          <w:lang w:val="en-US" w:eastAsia="zh-CN"/>
          <w14:textFill>
            <w14:solidFill>
              <w14:schemeClr w14:val="tx1"/>
            </w14:solidFill>
          </w14:textFill>
        </w:rPr>
        <w:t xml:space="preserve">    </w:t>
      </w:r>
      <w:r>
        <w:rPr>
          <w:rFonts w:hint="eastAsia"/>
          <w:color w:val="000000" w:themeColor="text1"/>
          <w:lang w:val="zh-CN"/>
          <w14:textFill>
            <w14:solidFill>
              <w14:schemeClr w14:val="tx1"/>
            </w14:solidFill>
          </w14:textFill>
        </w:rPr>
        <w:t>具体项目及评分细则</w:t>
      </w:r>
      <w:r>
        <w:rPr>
          <w:rFonts w:hint="eastAsia"/>
          <w:color w:val="000000" w:themeColor="text1"/>
          <w14:textFill>
            <w14:solidFill>
              <w14:schemeClr w14:val="tx1"/>
            </w14:solidFill>
          </w14:textFill>
        </w:rPr>
        <w:t>：</w:t>
      </w:r>
    </w:p>
    <w:tbl>
      <w:tblPr>
        <w:tblStyle w:val="23"/>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1134"/>
        <w:gridCol w:w="708"/>
        <w:gridCol w:w="6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评审项目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sz w:val="21"/>
                <w:szCs w:val="21"/>
              </w:rPr>
            </w:pPr>
            <w:r>
              <w:rPr>
                <w:rFonts w:hint="eastAsia" w:ascii="宋体" w:hAnsi="宋体"/>
                <w:sz w:val="21"/>
                <w:szCs w:val="21"/>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磋商报价</w:t>
            </w:r>
            <w:r>
              <w:rPr>
                <w:rFonts w:hint="eastAsia" w:ascii="宋体" w:hAnsi="宋体"/>
                <w:sz w:val="21"/>
                <w:szCs w:val="21"/>
                <w:lang w:val="en-US" w:eastAsia="zh-CN"/>
              </w:rPr>
              <w:t>40</w:t>
            </w:r>
            <w:r>
              <w:rPr>
                <w:rFonts w:hint="eastAsia" w:ascii="宋体" w:hAnsi="宋体"/>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sz w:val="21"/>
                <w:szCs w:val="21"/>
                <w:lang w:val="en-US"/>
              </w:rPr>
            </w:pPr>
            <w:r>
              <w:rPr>
                <w:rFonts w:hint="eastAsia" w:ascii="宋体" w:hAnsi="宋体"/>
                <w:sz w:val="21"/>
                <w:szCs w:val="21"/>
                <w:lang w:val="en-US" w:eastAsia="zh-CN"/>
              </w:rPr>
              <w:t>40</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磋商基准值=满足磋商文件要求且最后磋商报价最低的供应商的价格为磋商基准价。</w:t>
            </w:r>
          </w:p>
          <w:p>
            <w:pPr>
              <w:ind w:firstLine="0" w:firstLineChars="0"/>
              <w:rPr>
                <w:rFonts w:hint="eastAsia" w:ascii="宋体" w:hAnsi="宋体"/>
                <w:sz w:val="21"/>
                <w:szCs w:val="21"/>
              </w:rPr>
            </w:pPr>
            <w:r>
              <w:rPr>
                <w:rFonts w:hint="eastAsia" w:ascii="宋体" w:hAnsi="宋体"/>
                <w:sz w:val="21"/>
                <w:szCs w:val="21"/>
              </w:rPr>
              <w:t>磋商报价得分=（磋商基准价/最后磋商报价）×价格权值（</w:t>
            </w:r>
            <w:r>
              <w:rPr>
                <w:rFonts w:hint="eastAsia" w:ascii="宋体" w:hAnsi="宋体"/>
                <w:sz w:val="21"/>
                <w:szCs w:val="21"/>
                <w:lang w:val="en-US" w:eastAsia="zh-CN"/>
              </w:rPr>
              <w:t>40</w:t>
            </w:r>
            <w:r>
              <w:rPr>
                <w:rFonts w:hint="eastAsia" w:ascii="宋体" w:hAnsi="宋体"/>
                <w:sz w:val="21"/>
                <w:szCs w:val="21"/>
              </w:rPr>
              <w:t>%）×100（四舍五入后保留小数点后两位）。</w:t>
            </w:r>
          </w:p>
          <w:p>
            <w:pPr>
              <w:ind w:firstLine="0" w:firstLineChars="0"/>
              <w:rPr>
                <w:rFonts w:hint="eastAsia" w:ascii="宋体" w:hAnsi="宋体"/>
                <w:sz w:val="21"/>
                <w:szCs w:val="21"/>
              </w:rPr>
            </w:pPr>
            <w:r>
              <w:rPr>
                <w:rFonts w:hint="eastAsia" w:ascii="宋体" w:hAnsi="宋体"/>
                <w:sz w:val="21"/>
                <w:szCs w:val="21"/>
              </w:rPr>
              <w:t>注：根据《政府采购促进中小企业发展管理办法》、《关于促进残疾人就业政府采购政策的通知》的相关规定，对残疾人福利性单位、小型和微型企业制造（生产）产品的价格给予6%的扣除，用扣除后的价格参与评标。</w:t>
            </w:r>
          </w:p>
          <w:p>
            <w:pPr>
              <w:ind w:firstLine="0" w:firstLineChars="0"/>
              <w:rPr>
                <w:rFonts w:hint="eastAsia" w:ascii="宋体" w:hAnsi="宋体"/>
                <w:sz w:val="21"/>
                <w:szCs w:val="21"/>
              </w:rPr>
            </w:pPr>
            <w:r>
              <w:rPr>
                <w:rFonts w:hint="eastAsia" w:ascii="宋体" w:hAnsi="宋体"/>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技术质量方面45分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40</w:t>
            </w:r>
          </w:p>
        </w:tc>
        <w:tc>
          <w:tcPr>
            <w:tcW w:w="615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sz w:val="21"/>
                <w:szCs w:val="21"/>
                <w:lang w:eastAsia="zh-CN"/>
              </w:rPr>
            </w:pPr>
            <w:r>
              <w:rPr>
                <w:rFonts w:hint="eastAsia" w:ascii="宋体" w:hAnsi="宋体"/>
                <w:sz w:val="21"/>
                <w:szCs w:val="21"/>
              </w:rPr>
              <w:t>投标产品技术参数和配置完全满足或高于磋商文件要求的，得40分；每有一项负偏离扣5分，扣完为止。</w:t>
            </w:r>
            <w:r>
              <w:rPr>
                <w:rFonts w:hint="eastAsia" w:ascii="宋体" w:hAnsi="宋体"/>
                <w:sz w:val="21"/>
                <w:szCs w:val="21"/>
                <w:lang w:eastAsia="zh-CN"/>
              </w:rPr>
              <w:t>（</w:t>
            </w:r>
            <w:r>
              <w:rPr>
                <w:rFonts w:ascii="宋体" w:hAnsi="宋体"/>
                <w:sz w:val="21"/>
                <w:szCs w:val="21"/>
              </w:rPr>
              <w:t>必须提供支撑材料，如彩页、技术白皮书等证明材料）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continue"/>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3</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自主创新产品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sz w:val="21"/>
                <w:szCs w:val="21"/>
              </w:rPr>
            </w:pPr>
            <w:r>
              <w:rPr>
                <w:rFonts w:hint="eastAsia" w:ascii="宋体" w:hAnsi="宋体"/>
                <w:sz w:val="21"/>
                <w:szCs w:val="21"/>
              </w:rPr>
              <w:t>2</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投标产品属自主知识产权的，得 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9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履约及售后服务能力15分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rPr>
                <w:rFonts w:hint="eastAsia" w:ascii="宋体" w:hAnsi="宋体"/>
                <w:sz w:val="21"/>
                <w:szCs w:val="21"/>
              </w:rPr>
            </w:pPr>
            <w:r>
              <w:rPr>
                <w:rFonts w:hint="eastAsia" w:ascii="宋体" w:hAnsi="宋体"/>
                <w:sz w:val="21"/>
                <w:szCs w:val="21"/>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sz w:val="21"/>
                <w:szCs w:val="21"/>
                <w:lang w:eastAsia="zh-CN"/>
              </w:rPr>
            </w:pPr>
            <w:r>
              <w:rPr>
                <w:rFonts w:hint="eastAsia" w:ascii="宋体" w:hAnsi="宋体"/>
                <w:sz w:val="21"/>
                <w:szCs w:val="21"/>
              </w:rPr>
              <w:t>提供自2018年以来的类似业绩证明材料。提供5项以上（含5项）的，得5分；提供5项以下的，每提供1项得1分；不提供不得分。</w:t>
            </w:r>
            <w:r>
              <w:rPr>
                <w:rFonts w:hint="eastAsia" w:ascii="宋体" w:hAnsi="宋体"/>
                <w:sz w:val="21"/>
                <w:szCs w:val="21"/>
                <w:lang w:eastAsia="zh-CN"/>
              </w:rPr>
              <w:t>（</w:t>
            </w:r>
            <w:r>
              <w:rPr>
                <w:rFonts w:hint="eastAsia" w:ascii="宋体" w:hAnsi="宋体"/>
                <w:sz w:val="21"/>
                <w:szCs w:val="21"/>
                <w:lang w:val="en-US" w:eastAsia="zh-CN"/>
              </w:rPr>
              <w:t>以合同复印件为准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 w:hRule="atLeast"/>
          <w:jc w:val="center"/>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售后服务及相关承诺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ind w:firstLine="0" w:firstLineChars="0"/>
              <w:rPr>
                <w:rFonts w:hint="eastAsia" w:ascii="宋体" w:hAnsi="宋体"/>
                <w:sz w:val="21"/>
                <w:szCs w:val="21"/>
              </w:rPr>
            </w:pPr>
            <w:r>
              <w:rPr>
                <w:rFonts w:hint="eastAsia" w:ascii="宋体" w:hAnsi="宋体"/>
                <w:sz w:val="21"/>
                <w:szCs w:val="21"/>
              </w:rPr>
              <w:t>2、提供售后服务相关承诺的，得1分；未提供不得分。</w:t>
            </w:r>
          </w:p>
        </w:tc>
      </w:tr>
    </w:tbl>
    <w:p>
      <w:pPr>
        <w:pStyle w:val="8"/>
      </w:pPr>
    </w:p>
    <w:p>
      <w:pPr>
        <w:pStyle w:val="30"/>
        <w:numPr>
          <w:ilvl w:val="1"/>
          <w:numId w:val="6"/>
        </w:numPr>
        <w:tabs>
          <w:tab w:val="left" w:pos="1240"/>
        </w:tabs>
        <w:spacing w:line="364" w:lineRule="auto"/>
        <w:ind w:left="160" w:right="259" w:firstLine="480"/>
        <w:jc w:val="both"/>
        <w:rPr>
          <w:rFonts w:hint="default" w:ascii="宋体" w:hAnsi="宋体" w:eastAsia="宋体" w:cs="宋体"/>
          <w:spacing w:val="-6"/>
          <w:sz w:val="24"/>
          <w:lang w:val="zh-CN" w:eastAsia="zh-CN"/>
        </w:rPr>
      </w:pPr>
      <w:r>
        <w:rPr>
          <w:rFonts w:hint="eastAsia" w:ascii="宋体" w:hAnsi="宋体" w:eastAsia="宋体" w:cs="宋体"/>
          <w:spacing w:val="-6"/>
          <w:sz w:val="24"/>
          <w:lang w:val="zh-CN" w:eastAsia="zh-CN"/>
        </w:rPr>
        <w:t>磋商过程中，有下列情形之一的，磋商失败：</w:t>
      </w:r>
    </w:p>
    <w:p>
      <w:pPr>
        <w:pStyle w:val="30"/>
        <w:numPr>
          <w:ilvl w:val="0"/>
          <w:numId w:val="0"/>
        </w:numPr>
        <w:tabs>
          <w:tab w:val="left" w:pos="1240"/>
        </w:tabs>
        <w:spacing w:line="364" w:lineRule="auto"/>
        <w:ind w:left="640" w:leftChars="0" w:right="259" w:rightChars="0" w:firstLine="456" w:firstLineChars="200"/>
        <w:jc w:val="both"/>
        <w:rPr>
          <w:rFonts w:hint="default" w:ascii="宋体" w:hAnsi="宋体" w:eastAsia="宋体" w:cs="宋体"/>
          <w:spacing w:val="-6"/>
          <w:sz w:val="24"/>
          <w:lang w:val="zh-CN" w:eastAsia="zh-CN"/>
        </w:rPr>
      </w:pPr>
      <w:r>
        <w:rPr>
          <w:rFonts w:hint="eastAsia" w:cs="宋体"/>
          <w:spacing w:val="-6"/>
          <w:sz w:val="24"/>
          <w:lang w:val="en-US" w:eastAsia="zh-CN"/>
        </w:rPr>
        <w:t>1、</w:t>
      </w:r>
      <w:r>
        <w:rPr>
          <w:rFonts w:hint="eastAsia" w:ascii="宋体" w:hAnsi="宋体" w:eastAsia="宋体" w:cs="宋体"/>
          <w:spacing w:val="-6"/>
          <w:sz w:val="24"/>
          <w:lang w:val="zh-CN" w:eastAsia="zh-CN"/>
        </w:rPr>
        <w:t>通过资格审查的供应商不足两家的；</w:t>
      </w:r>
    </w:p>
    <w:p>
      <w:pPr>
        <w:pStyle w:val="30"/>
        <w:numPr>
          <w:ilvl w:val="0"/>
          <w:numId w:val="0"/>
        </w:numPr>
        <w:tabs>
          <w:tab w:val="left" w:pos="1240"/>
        </w:tabs>
        <w:spacing w:line="364" w:lineRule="auto"/>
        <w:ind w:left="640" w:leftChars="0" w:right="259" w:rightChars="0" w:firstLine="456" w:firstLineChars="200"/>
        <w:jc w:val="both"/>
        <w:rPr>
          <w:rFonts w:hint="default" w:ascii="宋体" w:hAnsi="宋体" w:eastAsia="宋体" w:cs="宋体"/>
          <w:spacing w:val="-6"/>
          <w:sz w:val="24"/>
          <w:lang w:val="zh-CN" w:eastAsia="zh-CN"/>
        </w:rPr>
      </w:pPr>
      <w:r>
        <w:rPr>
          <w:rFonts w:hint="eastAsia" w:cs="宋体"/>
          <w:spacing w:val="-6"/>
          <w:sz w:val="24"/>
          <w:lang w:val="en-US" w:eastAsia="zh-CN"/>
        </w:rPr>
        <w:t>2、</w:t>
      </w:r>
      <w:r>
        <w:rPr>
          <w:rFonts w:hint="eastAsia" w:ascii="宋体" w:hAnsi="宋体" w:eastAsia="宋体" w:cs="宋体"/>
          <w:spacing w:val="-6"/>
          <w:sz w:val="24"/>
          <w:lang w:val="zh-CN" w:eastAsia="zh-CN"/>
        </w:rPr>
        <w:t>参加磋商的供应商被淘汰，最后报价的供应商不足两家的；</w:t>
      </w:r>
    </w:p>
    <w:p>
      <w:pPr>
        <w:pStyle w:val="30"/>
        <w:numPr>
          <w:ilvl w:val="0"/>
          <w:numId w:val="0"/>
        </w:numPr>
        <w:tabs>
          <w:tab w:val="left" w:pos="1240"/>
        </w:tabs>
        <w:spacing w:line="364" w:lineRule="auto"/>
        <w:ind w:left="640" w:leftChars="0" w:right="259" w:rightChars="0" w:firstLine="456" w:firstLineChars="200"/>
        <w:jc w:val="both"/>
        <w:rPr>
          <w:rFonts w:hint="default" w:ascii="宋体" w:hAnsi="宋体" w:eastAsia="宋体" w:cs="宋体"/>
          <w:spacing w:val="-6"/>
          <w:sz w:val="24"/>
          <w:lang w:val="zh-CN" w:eastAsia="zh-CN"/>
        </w:rPr>
      </w:pPr>
      <w:r>
        <w:rPr>
          <w:rFonts w:hint="eastAsia" w:cs="宋体"/>
          <w:spacing w:val="-6"/>
          <w:sz w:val="24"/>
          <w:lang w:val="en-US" w:eastAsia="zh-CN"/>
        </w:rPr>
        <w:t>3、</w:t>
      </w:r>
      <w:r>
        <w:rPr>
          <w:rFonts w:hint="eastAsia" w:ascii="宋体" w:hAnsi="宋体" w:eastAsia="宋体" w:cs="宋体"/>
          <w:spacing w:val="-6"/>
          <w:sz w:val="24"/>
          <w:lang w:val="zh-CN" w:eastAsia="zh-CN"/>
        </w:rPr>
        <w:t>其他无法继续开展磋商或者无法成交的情形。</w:t>
      </w:r>
    </w:p>
    <w:p>
      <w:pPr>
        <w:pStyle w:val="13"/>
        <w:snapToGrid w:val="0"/>
        <w:spacing w:line="300" w:lineRule="auto"/>
        <w:ind w:firstLine="480" w:firstLineChars="200"/>
        <w:rPr>
          <w:rFonts w:hAnsi="宋体"/>
          <w:sz w:val="24"/>
          <w:szCs w:val="24"/>
        </w:rPr>
      </w:pPr>
    </w:p>
    <w:p>
      <w:pPr>
        <w:pStyle w:val="30"/>
        <w:tabs>
          <w:tab w:val="left" w:pos="1240"/>
        </w:tabs>
        <w:spacing w:line="304" w:lineRule="exact"/>
        <w:ind w:left="0" w:firstLine="0"/>
        <w:jc w:val="both"/>
        <w:rPr>
          <w:rFonts w:hint="eastAsia"/>
          <w:spacing w:val="-1"/>
          <w:sz w:val="21"/>
          <w:szCs w:val="21"/>
        </w:rPr>
      </w:pPr>
    </w:p>
    <w:p>
      <w:pPr>
        <w:pStyle w:val="2"/>
        <w:spacing w:before="50"/>
        <w:ind w:left="160" w:right="0"/>
        <w:jc w:val="left"/>
        <w:outlineLvl w:val="9"/>
      </w:pPr>
      <w:bookmarkStart w:id="40" w:name="七、确定成交供应商"/>
      <w:bookmarkEnd w:id="40"/>
    </w:p>
    <w:p>
      <w:pPr>
        <w:pStyle w:val="2"/>
        <w:spacing w:before="50"/>
        <w:ind w:left="160" w:right="0"/>
        <w:jc w:val="left"/>
        <w:outlineLvl w:val="9"/>
      </w:pPr>
    </w:p>
    <w:p>
      <w:pPr>
        <w:pStyle w:val="2"/>
        <w:spacing w:before="50"/>
        <w:ind w:left="160" w:right="0"/>
        <w:jc w:val="left"/>
      </w:pPr>
      <w:bookmarkStart w:id="41" w:name="_Toc22212"/>
      <w:r>
        <w:t>七、确定成交供应商</w:t>
      </w:r>
      <w:bookmarkEnd w:id="41"/>
    </w:p>
    <w:p>
      <w:pPr>
        <w:pStyle w:val="8"/>
        <w:spacing w:before="6"/>
        <w:rPr>
          <w:sz w:val="37"/>
        </w:rPr>
      </w:pPr>
    </w:p>
    <w:p>
      <w:pPr>
        <w:pStyle w:val="6"/>
        <w:numPr>
          <w:ilvl w:val="0"/>
          <w:numId w:val="6"/>
        </w:numPr>
        <w:tabs>
          <w:tab w:val="left" w:pos="585"/>
        </w:tabs>
        <w:spacing w:before="0"/>
        <w:ind w:left="584" w:hanging="425"/>
      </w:pPr>
      <w:bookmarkStart w:id="42" w:name="19.推荐并确定成交供应商"/>
      <w:bookmarkEnd w:id="42"/>
      <w:r>
        <w:t>推荐并确定成交供应商</w:t>
      </w:r>
    </w:p>
    <w:p>
      <w:pPr>
        <w:pStyle w:val="8"/>
        <w:spacing w:before="245" w:line="364" w:lineRule="auto"/>
        <w:ind w:left="160" w:right="259" w:firstLine="480"/>
        <w:jc w:val="both"/>
      </w:pPr>
      <w:r>
        <w:rPr>
          <w:spacing w:val="-1"/>
        </w:rPr>
        <w:t>采购代理机构应当在评审结束后</w:t>
      </w:r>
      <w:r>
        <w:t>2</w:t>
      </w:r>
      <w:r>
        <w:rPr>
          <w:spacing w:val="-8"/>
        </w:rPr>
        <w:t>个工作日内将评审报告送采购人确认。采购人应当在收到评</w:t>
      </w:r>
      <w:r>
        <w:rPr>
          <w:spacing w:val="-1"/>
        </w:rPr>
        <w:t>审报告后5</w:t>
      </w:r>
      <w:r>
        <w:rPr>
          <w:spacing w:val="-11"/>
        </w:rPr>
        <w:t>个工作日内，从评审报告提出的成交候选供应商中，按照排序由高到低的原则确定成交</w:t>
      </w:r>
      <w:r>
        <w:rPr>
          <w:spacing w:val="-1"/>
        </w:rPr>
        <w:t>供应商，也可以书面授权磋商小组直接确定成交供应商。采购人逾期未确定成交供应商且不提出</w:t>
      </w:r>
      <w:r>
        <w:t>异议的，视为确定评审报告提出的排序第一的供应商为成交供应商。</w:t>
      </w:r>
    </w:p>
    <w:p>
      <w:pPr>
        <w:pStyle w:val="8"/>
        <w:spacing w:line="20" w:lineRule="exact"/>
        <w:ind w:left="160"/>
        <w:rPr>
          <w:sz w:val="2"/>
        </w:rPr>
      </w:pPr>
    </w:p>
    <w:p>
      <w:pPr>
        <w:pStyle w:val="6"/>
        <w:numPr>
          <w:ilvl w:val="0"/>
          <w:numId w:val="6"/>
        </w:numPr>
        <w:tabs>
          <w:tab w:val="left" w:pos="585"/>
        </w:tabs>
        <w:spacing w:before="24"/>
        <w:ind w:left="584" w:hanging="425"/>
      </w:pPr>
      <w:bookmarkStart w:id="43" w:name="20.成交通知"/>
      <w:bookmarkEnd w:id="43"/>
      <w:r>
        <w:t>成交通知</w:t>
      </w:r>
    </w:p>
    <w:p>
      <w:pPr>
        <w:pStyle w:val="30"/>
        <w:numPr>
          <w:ilvl w:val="1"/>
          <w:numId w:val="6"/>
        </w:numPr>
        <w:tabs>
          <w:tab w:val="left" w:pos="1121"/>
        </w:tabs>
        <w:spacing w:before="245" w:line="364" w:lineRule="auto"/>
        <w:ind w:left="160" w:right="259" w:firstLine="480"/>
        <w:jc w:val="both"/>
        <w:rPr>
          <w:sz w:val="24"/>
        </w:rPr>
      </w:pPr>
      <w:r>
        <w:rPr>
          <w:spacing w:val="-1"/>
          <w:sz w:val="24"/>
        </w:rPr>
        <w:t>采购人或者采购代理机构应当在成交供应商确定后</w:t>
      </w:r>
      <w:r>
        <w:rPr>
          <w:sz w:val="24"/>
        </w:rPr>
        <w:t>2</w:t>
      </w:r>
      <w:r>
        <w:rPr>
          <w:spacing w:val="-12"/>
          <w:sz w:val="24"/>
        </w:rPr>
        <w:t>个工作日内，在青海政府采购网、</w:t>
      </w:r>
      <w:r>
        <w:rPr>
          <w:rFonts w:hint="eastAsia"/>
          <w:spacing w:val="-12"/>
          <w:sz w:val="24"/>
          <w:lang w:val="en-US" w:eastAsia="zh-CN"/>
        </w:rPr>
        <w:t>青海省公共资源交易</w:t>
      </w:r>
      <w:r>
        <w:rPr>
          <w:spacing w:val="-1"/>
          <w:sz w:val="24"/>
        </w:rPr>
        <w:t>网上公告成交结果，同时向成交供应商发出</w:t>
      </w:r>
      <w:r>
        <w:rPr>
          <w:sz w:val="24"/>
        </w:rPr>
        <w:t>成交通知书。</w:t>
      </w:r>
    </w:p>
    <w:p>
      <w:pPr>
        <w:pStyle w:val="30"/>
        <w:numPr>
          <w:ilvl w:val="1"/>
          <w:numId w:val="6"/>
        </w:numPr>
        <w:tabs>
          <w:tab w:val="left" w:pos="1121"/>
        </w:tabs>
        <w:spacing w:line="362" w:lineRule="auto"/>
        <w:ind w:left="160" w:right="259" w:firstLine="480"/>
        <w:rPr>
          <w:sz w:val="24"/>
        </w:rPr>
      </w:pPr>
      <w:r>
        <w:rPr>
          <w:spacing w:val="-1"/>
          <w:sz w:val="24"/>
        </w:rPr>
        <w:t>《成交通知书》发出后，采购人改变成交结果的，或者成交供应商无正当理由放弃成交</w:t>
      </w:r>
      <w:r>
        <w:rPr>
          <w:sz w:val="24"/>
        </w:rPr>
        <w:t>项目的，依法承担法律责任。</w:t>
      </w:r>
    </w:p>
    <w:p>
      <w:pPr>
        <w:pStyle w:val="8"/>
        <w:rPr>
          <w:sz w:val="19"/>
        </w:rPr>
      </w:pPr>
    </w:p>
    <w:p>
      <w:pPr>
        <w:pStyle w:val="2"/>
        <w:spacing w:before="1"/>
        <w:ind w:right="95"/>
      </w:pPr>
      <w:bookmarkStart w:id="44" w:name="八、授予合同"/>
      <w:bookmarkEnd w:id="44"/>
      <w:bookmarkStart w:id="45" w:name="_Toc13921"/>
      <w:r>
        <w:t>八、授予合同</w:t>
      </w:r>
      <w:bookmarkEnd w:id="45"/>
    </w:p>
    <w:p>
      <w:pPr>
        <w:pStyle w:val="8"/>
        <w:spacing w:before="6"/>
        <w:rPr>
          <w:sz w:val="37"/>
        </w:rPr>
      </w:pPr>
    </w:p>
    <w:p>
      <w:pPr>
        <w:pStyle w:val="6"/>
        <w:numPr>
          <w:ilvl w:val="0"/>
          <w:numId w:val="6"/>
        </w:numPr>
        <w:tabs>
          <w:tab w:val="left" w:pos="585"/>
        </w:tabs>
        <w:spacing w:before="0"/>
        <w:ind w:left="584" w:hanging="425"/>
      </w:pPr>
      <w:bookmarkStart w:id="46" w:name="21.签订合同"/>
      <w:bookmarkEnd w:id="46"/>
      <w:r>
        <w:t>签订合同</w:t>
      </w:r>
    </w:p>
    <w:p>
      <w:pPr>
        <w:pStyle w:val="30"/>
        <w:numPr>
          <w:ilvl w:val="1"/>
          <w:numId w:val="6"/>
        </w:numPr>
        <w:tabs>
          <w:tab w:val="left" w:pos="1121"/>
        </w:tabs>
        <w:spacing w:before="245" w:line="362" w:lineRule="auto"/>
        <w:ind w:left="160" w:right="259" w:firstLine="480"/>
        <w:jc w:val="right"/>
        <w:rPr>
          <w:sz w:val="24"/>
        </w:rPr>
      </w:pPr>
      <w:r>
        <w:rPr>
          <w:spacing w:val="-1"/>
          <w:sz w:val="24"/>
        </w:rPr>
        <w:t>采购人与成交供应商应当在成交通知书发出之日起</w:t>
      </w:r>
      <w:r>
        <w:rPr>
          <w:sz w:val="24"/>
        </w:rPr>
        <w:t>30日内，按照磋商文件确定的合同文</w:t>
      </w:r>
      <w:r>
        <w:rPr>
          <w:spacing w:val="-1"/>
          <w:sz w:val="24"/>
        </w:rPr>
        <w:t>本以及采购标的、规格型号、采购金额、采购数量、技术和服务要求等事项签订政府采购合同。</w:t>
      </w:r>
      <w:r>
        <w:rPr>
          <w:sz w:val="24"/>
        </w:rPr>
        <w:t>21.2采购人不得向成交供应商提出超出磋商文件以外的任何要求作为签订合同的条件，不得</w:t>
      </w:r>
    </w:p>
    <w:p>
      <w:pPr>
        <w:pStyle w:val="8"/>
        <w:spacing w:before="6" w:line="364" w:lineRule="auto"/>
        <w:ind w:left="160" w:right="139"/>
      </w:pPr>
      <w:r>
        <w:rPr>
          <w:spacing w:val="-6"/>
        </w:rPr>
        <w:t>与成交供应商订立背离磋商文件确定的合同文本以及采购标的、规格型号、采购金额、采购数量、</w:t>
      </w:r>
      <w:r>
        <w:t>技术和服务要求等实质性内容的协议。</w:t>
      </w:r>
    </w:p>
    <w:p>
      <w:pPr>
        <w:pStyle w:val="8"/>
        <w:spacing w:line="364" w:lineRule="auto"/>
        <w:ind w:left="160" w:right="259" w:firstLine="480"/>
        <w:jc w:val="both"/>
      </w:pPr>
      <w:r>
        <w:rPr>
          <w:spacing w:val="-1"/>
        </w:rPr>
        <w:t>21.3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w:t>
      </w:r>
      <w:r>
        <w:t>的采购活动。</w:t>
      </w:r>
    </w:p>
    <w:p>
      <w:pPr>
        <w:pStyle w:val="8"/>
        <w:spacing w:before="6"/>
        <w:rPr>
          <w:sz w:val="18"/>
        </w:rPr>
      </w:pPr>
    </w:p>
    <w:p>
      <w:pPr>
        <w:pStyle w:val="2"/>
      </w:pPr>
      <w:bookmarkStart w:id="47" w:name="九、磋商活动终止"/>
      <w:bookmarkEnd w:id="47"/>
      <w:bookmarkStart w:id="48" w:name="_Toc22297"/>
      <w:r>
        <w:t>九、磋商活动终止</w:t>
      </w:r>
      <w:bookmarkEnd w:id="48"/>
    </w:p>
    <w:p>
      <w:pPr>
        <w:pStyle w:val="8"/>
        <w:spacing w:before="6"/>
        <w:rPr>
          <w:sz w:val="37"/>
        </w:rPr>
      </w:pPr>
    </w:p>
    <w:p>
      <w:pPr>
        <w:pStyle w:val="6"/>
        <w:numPr>
          <w:ilvl w:val="0"/>
          <w:numId w:val="6"/>
        </w:numPr>
        <w:tabs>
          <w:tab w:val="left" w:pos="585"/>
        </w:tabs>
        <w:spacing w:before="0"/>
        <w:ind w:left="584" w:hanging="425"/>
      </w:pPr>
      <w:bookmarkStart w:id="49" w:name="22.终止情形"/>
      <w:bookmarkEnd w:id="49"/>
      <w:r>
        <w:t>终止情形</w:t>
      </w:r>
    </w:p>
    <w:p>
      <w:pPr>
        <w:pStyle w:val="30"/>
        <w:numPr>
          <w:ilvl w:val="1"/>
          <w:numId w:val="6"/>
        </w:numPr>
        <w:tabs>
          <w:tab w:val="left" w:pos="1121"/>
        </w:tabs>
        <w:spacing w:before="246" w:line="362" w:lineRule="auto"/>
        <w:ind w:left="160" w:right="259" w:firstLine="480"/>
        <w:rPr>
          <w:sz w:val="24"/>
        </w:rPr>
      </w:pPr>
      <w:r>
        <w:rPr>
          <w:spacing w:val="-1"/>
          <w:sz w:val="24"/>
        </w:rPr>
        <w:t>出现下列情形之一的，采购代理机构应当终止竞争性磋商采购活动，发布项目终止公告</w:t>
      </w:r>
      <w:r>
        <w:rPr>
          <w:sz w:val="24"/>
        </w:rPr>
        <w:t>并说明原因，重新开展采购活动：</w:t>
      </w:r>
    </w:p>
    <w:p>
      <w:pPr>
        <w:pStyle w:val="30"/>
        <w:numPr>
          <w:ilvl w:val="0"/>
          <w:numId w:val="15"/>
        </w:numPr>
        <w:tabs>
          <w:tab w:val="left" w:pos="1241"/>
        </w:tabs>
        <w:spacing w:before="5"/>
        <w:rPr>
          <w:sz w:val="24"/>
        </w:rPr>
      </w:pPr>
      <w:r>
        <w:rPr>
          <w:sz w:val="24"/>
        </w:rPr>
        <w:t>因情况变化，不再符合规定的竞争性磋商采购方式适用情形的；</w:t>
      </w:r>
    </w:p>
    <w:p>
      <w:pPr>
        <w:pStyle w:val="30"/>
        <w:numPr>
          <w:ilvl w:val="0"/>
          <w:numId w:val="15"/>
        </w:numPr>
        <w:tabs>
          <w:tab w:val="left" w:pos="1241"/>
        </w:tabs>
        <w:spacing w:before="160"/>
        <w:rPr>
          <w:sz w:val="24"/>
        </w:rPr>
      </w:pPr>
      <w:r>
        <w:rPr>
          <w:sz w:val="24"/>
        </w:rPr>
        <w:t>出现影响采购公正的违法、违规行为的；</w:t>
      </w:r>
    </w:p>
    <w:p>
      <w:pPr>
        <w:pStyle w:val="30"/>
        <w:numPr>
          <w:ilvl w:val="0"/>
          <w:numId w:val="15"/>
        </w:numPr>
        <w:tabs>
          <w:tab w:val="left" w:pos="1241"/>
        </w:tabs>
        <w:spacing w:before="158"/>
        <w:rPr>
          <w:sz w:val="2"/>
        </w:rPr>
      </w:pPr>
      <w:r>
        <w:rPr>
          <w:spacing w:val="-1"/>
          <w:sz w:val="24"/>
        </w:rPr>
        <w:t>除《政府采购竞争性磋商采购方式管理暂行办法》第二十一条第三款规定的情形外，在</w:t>
      </w:r>
    </w:p>
    <w:p>
      <w:pPr>
        <w:pStyle w:val="8"/>
        <w:spacing w:before="23" w:line="362" w:lineRule="auto"/>
        <w:ind w:left="640" w:right="2299" w:hanging="480"/>
      </w:pPr>
      <w:r>
        <w:rPr>
          <w:spacing w:val="-1"/>
        </w:rPr>
        <w:t>采购过程中符合要求的供应商或者报价未超过采购预算的供应商不足</w:t>
      </w:r>
      <w:r>
        <w:t>3家的。22.2终止磋商活动后，由</w:t>
      </w:r>
      <w:r>
        <w:rPr>
          <w:rFonts w:hint="eastAsia"/>
          <w:lang w:val="en-US" w:eastAsia="zh-CN"/>
        </w:rPr>
        <w:t>集中采购机构</w:t>
      </w:r>
      <w:r>
        <w:t>发布终止公告并说明原因。</w:t>
      </w:r>
    </w:p>
    <w:p>
      <w:pPr>
        <w:pStyle w:val="8"/>
        <w:spacing w:before="1"/>
        <w:rPr>
          <w:sz w:val="19"/>
        </w:rPr>
      </w:pPr>
    </w:p>
    <w:p>
      <w:pPr>
        <w:pStyle w:val="2"/>
      </w:pPr>
      <w:bookmarkStart w:id="50" w:name="十、处罚"/>
      <w:bookmarkEnd w:id="50"/>
      <w:bookmarkStart w:id="51" w:name="_Toc29561"/>
      <w:r>
        <w:t>十、处罚</w:t>
      </w:r>
      <w:bookmarkEnd w:id="51"/>
    </w:p>
    <w:p>
      <w:pPr>
        <w:pStyle w:val="8"/>
        <w:spacing w:before="6"/>
        <w:rPr>
          <w:sz w:val="37"/>
        </w:rPr>
      </w:pPr>
    </w:p>
    <w:p>
      <w:pPr>
        <w:pStyle w:val="6"/>
        <w:numPr>
          <w:ilvl w:val="0"/>
          <w:numId w:val="6"/>
        </w:numPr>
        <w:tabs>
          <w:tab w:val="left" w:pos="585"/>
        </w:tabs>
        <w:spacing w:before="0"/>
        <w:ind w:left="584" w:hanging="425"/>
      </w:pPr>
      <w:bookmarkStart w:id="52" w:name="23.处罚情形"/>
      <w:bookmarkEnd w:id="52"/>
      <w:r>
        <w:t>处罚情形</w:t>
      </w:r>
    </w:p>
    <w:p>
      <w:pPr>
        <w:pStyle w:val="8"/>
        <w:spacing w:before="246" w:line="362" w:lineRule="auto"/>
        <w:ind w:left="160" w:right="259" w:firstLine="480"/>
      </w:pPr>
      <w:r>
        <w:rPr>
          <w:spacing w:val="-1"/>
        </w:rPr>
        <w:t>中标人有下列情形之一的，中标无效，磋商保证金不予退还。情节严重的，报同级财政部门</w:t>
      </w:r>
      <w:r>
        <w:t>依法进行处理：</w:t>
      </w:r>
    </w:p>
    <w:p>
      <w:pPr>
        <w:pStyle w:val="30"/>
        <w:numPr>
          <w:ilvl w:val="0"/>
          <w:numId w:val="16"/>
        </w:numPr>
        <w:tabs>
          <w:tab w:val="left" w:pos="1241"/>
        </w:tabs>
        <w:spacing w:before="5"/>
        <w:rPr>
          <w:sz w:val="24"/>
        </w:rPr>
      </w:pPr>
      <w:r>
        <w:rPr>
          <w:sz w:val="24"/>
        </w:rPr>
        <w:t>提供虚假材料谋取中标、成交的；</w:t>
      </w:r>
    </w:p>
    <w:p>
      <w:pPr>
        <w:pStyle w:val="30"/>
        <w:numPr>
          <w:ilvl w:val="0"/>
          <w:numId w:val="16"/>
        </w:numPr>
        <w:tabs>
          <w:tab w:val="left" w:pos="1241"/>
        </w:tabs>
        <w:spacing w:before="160"/>
        <w:rPr>
          <w:sz w:val="24"/>
        </w:rPr>
      </w:pPr>
      <w:r>
        <w:rPr>
          <w:sz w:val="24"/>
        </w:rPr>
        <w:t>采取不正当手段诋毁、排挤其他供应商的；</w:t>
      </w:r>
    </w:p>
    <w:p>
      <w:pPr>
        <w:pStyle w:val="30"/>
        <w:numPr>
          <w:ilvl w:val="0"/>
          <w:numId w:val="16"/>
        </w:numPr>
        <w:tabs>
          <w:tab w:val="left" w:pos="1241"/>
        </w:tabs>
        <w:spacing w:before="158"/>
        <w:rPr>
          <w:sz w:val="24"/>
        </w:rPr>
      </w:pPr>
      <w:r>
        <w:rPr>
          <w:sz w:val="24"/>
        </w:rPr>
        <w:t>与采购人、其他供应商或者采购代理机构恶意串通的；</w:t>
      </w:r>
    </w:p>
    <w:p>
      <w:pPr>
        <w:pStyle w:val="30"/>
        <w:numPr>
          <w:ilvl w:val="0"/>
          <w:numId w:val="16"/>
        </w:numPr>
        <w:tabs>
          <w:tab w:val="left" w:pos="1241"/>
        </w:tabs>
        <w:spacing w:before="161"/>
        <w:rPr>
          <w:sz w:val="24"/>
        </w:rPr>
      </w:pPr>
      <w:r>
        <w:rPr>
          <w:sz w:val="24"/>
        </w:rPr>
        <w:t>向采购人、采购代理机构行贿或者提供其他不正当利益的；</w:t>
      </w:r>
    </w:p>
    <w:p>
      <w:pPr>
        <w:pStyle w:val="30"/>
        <w:numPr>
          <w:ilvl w:val="0"/>
          <w:numId w:val="16"/>
        </w:numPr>
        <w:tabs>
          <w:tab w:val="left" w:pos="1241"/>
        </w:tabs>
        <w:spacing w:before="158"/>
        <w:rPr>
          <w:sz w:val="24"/>
        </w:rPr>
      </w:pPr>
      <w:r>
        <w:rPr>
          <w:sz w:val="24"/>
        </w:rPr>
        <w:t>在招标采购过程中与采购人进行协商谈判的；</w:t>
      </w:r>
    </w:p>
    <w:p>
      <w:pPr>
        <w:pStyle w:val="30"/>
        <w:numPr>
          <w:ilvl w:val="0"/>
          <w:numId w:val="16"/>
        </w:numPr>
        <w:tabs>
          <w:tab w:val="left" w:pos="1241"/>
        </w:tabs>
        <w:spacing w:before="158"/>
        <w:rPr>
          <w:sz w:val="24"/>
        </w:rPr>
      </w:pPr>
      <w:r>
        <w:rPr>
          <w:sz w:val="24"/>
        </w:rPr>
        <w:t>向磋商小组行贿或者提供其他不正当利益。</w:t>
      </w:r>
    </w:p>
    <w:p>
      <w:pPr>
        <w:pStyle w:val="8"/>
        <w:spacing w:before="3"/>
        <w:rPr>
          <w:sz w:val="31"/>
        </w:rPr>
      </w:pPr>
    </w:p>
    <w:p>
      <w:pPr>
        <w:pStyle w:val="2"/>
      </w:pPr>
      <w:bookmarkStart w:id="53" w:name="十一、其他"/>
      <w:bookmarkEnd w:id="53"/>
      <w:bookmarkStart w:id="54" w:name="_Toc11059"/>
      <w:r>
        <w:t>十一、其他</w:t>
      </w:r>
      <w:bookmarkEnd w:id="54"/>
    </w:p>
    <w:p>
      <w:pPr>
        <w:pStyle w:val="8"/>
        <w:spacing w:before="300" w:line="364" w:lineRule="auto"/>
        <w:ind w:left="160" w:right="259" w:firstLine="480"/>
        <w:jc w:val="both"/>
      </w:pPr>
      <w:r>
        <w:rPr>
          <w:spacing w:val="-1"/>
        </w:rPr>
        <w:t>其他未尽事宜，按照《中华人民共和国政府采购法》、《中华人民共和国</w:t>
      </w:r>
      <w:r>
        <w:rPr>
          <w:rFonts w:hint="eastAsia"/>
          <w:spacing w:val="-1"/>
          <w:lang w:val="en-US" w:eastAsia="zh-CN"/>
        </w:rPr>
        <w:t>民法典</w:t>
      </w:r>
      <w:r>
        <w:rPr>
          <w:spacing w:val="-1"/>
        </w:rPr>
        <w:t>》、《中华人民共和国政府采购法实施条例》、《政府采购竞争性磋商采购方式管理暂行办法》等法律法规</w:t>
      </w:r>
      <w:r>
        <w:t>的有关条款执行。</w:t>
      </w:r>
    </w:p>
    <w:p>
      <w:pPr>
        <w:spacing w:line="364" w:lineRule="auto"/>
        <w:jc w:val="both"/>
        <w:sectPr>
          <w:pgSz w:w="12240" w:h="15840"/>
          <w:pgMar w:top="1400" w:right="820" w:bottom="900" w:left="920" w:header="1153" w:footer="708" w:gutter="0"/>
          <w:pgNumType w:fmt="decimal"/>
          <w:cols w:space="720" w:num="1"/>
        </w:sectPr>
      </w:pPr>
    </w:p>
    <w:p>
      <w:pPr>
        <w:pStyle w:val="8"/>
        <w:rPr>
          <w:sz w:val="20"/>
        </w:rPr>
      </w:pPr>
    </w:p>
    <w:p>
      <w:pPr>
        <w:pStyle w:val="8"/>
        <w:rPr>
          <w:sz w:val="20"/>
        </w:rPr>
      </w:pPr>
    </w:p>
    <w:p>
      <w:pPr>
        <w:pStyle w:val="5"/>
        <w:spacing w:before="233"/>
        <w:ind w:right="98"/>
        <w:outlineLvl w:val="0"/>
      </w:pPr>
      <w:bookmarkStart w:id="55" w:name="第四部分_青海省政府采购项目合同书范本"/>
      <w:bookmarkEnd w:id="55"/>
      <w:bookmarkStart w:id="56" w:name="_Toc1061"/>
      <w:r>
        <w:t xml:space="preserve">第四部分 </w:t>
      </w:r>
      <w:r>
        <w:rPr>
          <w:rFonts w:hint="eastAsia"/>
        </w:rPr>
        <w:t>果洛州</w:t>
      </w:r>
      <w:r>
        <w:t>政府采购项目合同书范本</w:t>
      </w:r>
      <w:bookmarkEnd w:id="56"/>
    </w:p>
    <w:p>
      <w:pPr>
        <w:pStyle w:val="8"/>
        <w:rPr>
          <w:sz w:val="30"/>
        </w:rPr>
      </w:pPr>
    </w:p>
    <w:p>
      <w:pPr>
        <w:pStyle w:val="8"/>
        <w:rPr>
          <w:sz w:val="30"/>
        </w:rPr>
      </w:pPr>
    </w:p>
    <w:p>
      <w:pPr>
        <w:pStyle w:val="8"/>
        <w:rPr>
          <w:sz w:val="30"/>
        </w:rPr>
      </w:pPr>
    </w:p>
    <w:p>
      <w:pPr>
        <w:pStyle w:val="8"/>
        <w:spacing w:before="4"/>
        <w:rPr>
          <w:sz w:val="21"/>
        </w:rPr>
      </w:pPr>
    </w:p>
    <w:p>
      <w:pPr>
        <w:ind w:right="97"/>
        <w:jc w:val="center"/>
        <w:rPr>
          <w:sz w:val="28"/>
        </w:rPr>
      </w:pPr>
      <w:r>
        <w:rPr>
          <w:sz w:val="28"/>
        </w:rPr>
        <w:t>（可根据项目实际情况自行拟定合同）</w:t>
      </w:r>
    </w:p>
    <w:p>
      <w:pPr>
        <w:pStyle w:val="3"/>
        <w:spacing w:before="189"/>
        <w:ind w:right="117"/>
      </w:pPr>
      <w:bookmarkStart w:id="57" w:name="_Toc17625"/>
      <w:r>
        <w:rPr>
          <w:rFonts w:hint="eastAsia"/>
        </w:rPr>
        <w:t>果洛州</w:t>
      </w:r>
      <w:r>
        <w:t>政府采购项目合同书</w:t>
      </w:r>
      <w:bookmarkEnd w:id="57"/>
    </w:p>
    <w:p>
      <w:pPr>
        <w:pStyle w:val="8"/>
        <w:rPr>
          <w:sz w:val="52"/>
        </w:rPr>
      </w:pPr>
    </w:p>
    <w:p>
      <w:pPr>
        <w:pStyle w:val="8"/>
        <w:rPr>
          <w:sz w:val="52"/>
        </w:rPr>
      </w:pPr>
    </w:p>
    <w:p>
      <w:pPr>
        <w:pStyle w:val="8"/>
        <w:rPr>
          <w:sz w:val="52"/>
        </w:rPr>
      </w:pPr>
    </w:p>
    <w:p>
      <w:pPr>
        <w:pStyle w:val="8"/>
        <w:spacing w:before="12"/>
        <w:rPr>
          <w:sz w:val="74"/>
        </w:rPr>
      </w:pPr>
    </w:p>
    <w:p>
      <w:pPr>
        <w:tabs>
          <w:tab w:val="left" w:pos="8665"/>
          <w:tab w:val="left" w:pos="9785"/>
          <w:tab w:val="left" w:pos="9856"/>
        </w:tabs>
        <w:spacing w:line="367" w:lineRule="auto"/>
        <w:ind w:left="980" w:right="630"/>
        <w:jc w:val="both"/>
        <w:rPr>
          <w:rFonts w:ascii="Times New Roman" w:eastAsia="Times New Roman"/>
          <w:b/>
          <w:sz w:val="30"/>
        </w:rPr>
      </w:pPr>
      <w:r>
        <w:rPr>
          <w:w w:val="90"/>
          <w:sz w:val="30"/>
        </w:rPr>
        <w:t>采购项目名称：</w:t>
      </w:r>
      <w:r>
        <w:rPr>
          <w:rFonts w:ascii="Times New Roman" w:eastAsia="Times New Roman"/>
          <w:w w:val="90"/>
          <w:sz w:val="30"/>
          <w:u w:val="thick"/>
        </w:rPr>
        <w:tab/>
      </w:r>
      <w:r>
        <w:rPr>
          <w:rFonts w:ascii="Times New Roman" w:eastAsia="Times New Roman"/>
          <w:w w:val="90"/>
          <w:sz w:val="30"/>
          <w:u w:val="thick"/>
        </w:rPr>
        <w:tab/>
      </w:r>
      <w:r>
        <w:rPr>
          <w:rFonts w:ascii="Times New Roman" w:eastAsia="Times New Roman"/>
          <w:w w:val="90"/>
          <w:sz w:val="30"/>
          <w:u w:val="thick"/>
        </w:rPr>
        <w:tab/>
      </w:r>
      <w:r>
        <w:rPr>
          <w:w w:val="90"/>
          <w:sz w:val="30"/>
          <w:u w:val="thick"/>
        </w:rPr>
        <w:t xml:space="preserve">                                                 </w:t>
      </w:r>
      <w:r>
        <w:rPr>
          <w:w w:val="90"/>
          <w:sz w:val="30"/>
        </w:rPr>
        <w:t>采购项目编号</w:t>
      </w:r>
      <w:r>
        <w:rPr>
          <w:w w:val="90"/>
          <w:sz w:val="30"/>
          <w:u w:val="thick"/>
        </w:rPr>
        <w:t>：</w:t>
      </w:r>
      <w:r>
        <w:rPr>
          <w:rFonts w:hint="eastAsia"/>
          <w:w w:val="90"/>
          <w:sz w:val="30"/>
          <w:u w:val="thick"/>
        </w:rPr>
        <w:t>果政采</w:t>
      </w:r>
      <w:r>
        <w:rPr>
          <w:w w:val="90"/>
          <w:sz w:val="30"/>
          <w:u w:val="thick"/>
        </w:rPr>
        <w:t>竞磋（服务）2021-</w:t>
      </w:r>
      <w:r>
        <w:rPr>
          <w:rFonts w:hint="eastAsia"/>
          <w:w w:val="90"/>
          <w:sz w:val="30"/>
          <w:u w:val="thick"/>
        </w:rPr>
        <w:t>0</w:t>
      </w:r>
      <w:r>
        <w:rPr>
          <w:rFonts w:hint="eastAsia"/>
          <w:w w:val="90"/>
          <w:sz w:val="30"/>
          <w:u w:val="thick"/>
          <w:lang w:val="en-US" w:eastAsia="zh-CN"/>
        </w:rPr>
        <w:t>2</w:t>
      </w:r>
      <w:r>
        <w:rPr>
          <w:rFonts w:ascii="Times New Roman" w:eastAsia="Times New Roman"/>
          <w:w w:val="90"/>
          <w:sz w:val="30"/>
          <w:u w:val="thick"/>
        </w:rPr>
        <w:tab/>
      </w:r>
      <w:r>
        <w:rPr>
          <w:rFonts w:ascii="Times New Roman" w:eastAsia="Times New Roman"/>
          <w:w w:val="90"/>
          <w:sz w:val="30"/>
          <w:u w:val="thick"/>
        </w:rPr>
        <w:tab/>
      </w:r>
      <w:r>
        <w:rPr>
          <w:rFonts w:ascii="Times New Roman" w:eastAsia="Times New Roman"/>
          <w:w w:val="90"/>
          <w:sz w:val="30"/>
          <w:u w:val="thick"/>
        </w:rPr>
        <w:tab/>
      </w:r>
      <w:r>
        <w:rPr>
          <w:w w:val="90"/>
          <w:sz w:val="30"/>
          <w:u w:val="thick"/>
        </w:rPr>
        <w:t xml:space="preserve">                                                 </w:t>
      </w:r>
      <w:r>
        <w:rPr>
          <w:w w:val="90"/>
          <w:sz w:val="30"/>
        </w:rPr>
        <w:t>采购合同编号：</w:t>
      </w:r>
      <w:r>
        <w:rPr>
          <w:rFonts w:ascii="Times New Roman" w:eastAsia="Times New Roman"/>
          <w:b/>
          <w:w w:val="90"/>
          <w:sz w:val="30"/>
          <w:u w:val="thick"/>
        </w:rPr>
        <w:t>2021</w:t>
      </w:r>
      <w:r>
        <w:rPr>
          <w:rFonts w:hint="eastAsia" w:ascii="Times New Roman"/>
          <w:b/>
          <w:w w:val="90"/>
          <w:sz w:val="30"/>
          <w:u w:val="thick"/>
        </w:rPr>
        <w:t>-(GZC)</w:t>
      </w:r>
      <w:r>
        <w:rPr>
          <w:rFonts w:ascii="Times New Roman" w:eastAsia="Times New Roman"/>
          <w:b/>
          <w:w w:val="90"/>
          <w:sz w:val="30"/>
          <w:u w:val="thick"/>
        </w:rPr>
        <w:t>--0</w:t>
      </w:r>
      <w:r>
        <w:rPr>
          <w:rFonts w:hint="eastAsia" w:ascii="Times New Roman" w:eastAsia="宋体"/>
          <w:b/>
          <w:w w:val="90"/>
          <w:sz w:val="30"/>
          <w:u w:val="thick"/>
          <w:lang w:val="en-US" w:eastAsia="zh-CN"/>
        </w:rPr>
        <w:t>2</w:t>
      </w:r>
      <w:r>
        <w:rPr>
          <w:rFonts w:ascii="Times New Roman" w:eastAsia="Times New Roman"/>
          <w:b/>
          <w:w w:val="90"/>
          <w:sz w:val="30"/>
          <w:u w:val="thick"/>
        </w:rPr>
        <w:tab/>
      </w:r>
      <w:r>
        <w:rPr>
          <w:rFonts w:ascii="Times New Roman" w:eastAsia="Times New Roman"/>
          <w:b/>
          <w:w w:val="90"/>
          <w:sz w:val="30"/>
          <w:u w:val="thick"/>
        </w:rPr>
        <w:tab/>
      </w:r>
      <w:r>
        <w:rPr>
          <w:b/>
          <w:sz w:val="30"/>
          <w:u w:val="thick"/>
        </w:rPr>
        <w:t xml:space="preserve"> </w:t>
      </w:r>
      <w:r>
        <w:rPr>
          <w:sz w:val="30"/>
        </w:rPr>
        <w:t>合同金额（人民币）：</w:t>
      </w:r>
      <w:r>
        <w:rPr>
          <w:rFonts w:ascii="Times New Roman" w:eastAsia="Times New Roman"/>
          <w:sz w:val="30"/>
          <w:u w:val="thick"/>
        </w:rPr>
        <w:tab/>
      </w:r>
      <w:r>
        <w:rPr>
          <w:rFonts w:ascii="Times New Roman" w:eastAsia="Times New Roman"/>
          <w:sz w:val="30"/>
          <w:u w:val="thick"/>
        </w:rPr>
        <w:tab/>
      </w:r>
      <w:r>
        <w:rPr>
          <w:rFonts w:ascii="Times New Roman" w:eastAsia="Times New Roman"/>
          <w:sz w:val="30"/>
          <w:u w:val="thick"/>
        </w:rPr>
        <w:tab/>
      </w:r>
      <w:r>
        <w:rPr>
          <w:sz w:val="30"/>
          <w:u w:val="thick"/>
        </w:rPr>
        <w:t xml:space="preserve"> </w:t>
      </w:r>
      <w:r>
        <w:rPr>
          <w:sz w:val="30"/>
        </w:rPr>
        <w:t>采购单位（委托方）：</w:t>
      </w:r>
      <w:r>
        <w:rPr>
          <w:rFonts w:ascii="Times New Roman" w:eastAsia="Times New Roman"/>
          <w:sz w:val="30"/>
          <w:u w:val="thick"/>
        </w:rPr>
        <w:tab/>
      </w:r>
      <w:r>
        <w:rPr>
          <w:spacing w:val="-1"/>
          <w:sz w:val="30"/>
        </w:rPr>
        <w:t>（盖</w:t>
      </w:r>
      <w:r>
        <w:rPr>
          <w:sz w:val="30"/>
        </w:rPr>
        <w:t>章）</w:t>
      </w:r>
      <w:r>
        <w:rPr>
          <w:spacing w:val="-148"/>
          <w:sz w:val="30"/>
        </w:rPr>
        <w:t xml:space="preserve"> </w:t>
      </w:r>
      <w:r>
        <w:rPr>
          <w:sz w:val="30"/>
        </w:rPr>
        <w:t>成交供应商（受托方）：</w:t>
      </w:r>
      <w:r>
        <w:rPr>
          <w:rFonts w:ascii="Times New Roman" w:eastAsia="Times New Roman"/>
          <w:sz w:val="30"/>
          <w:u w:val="thick"/>
        </w:rPr>
        <w:tab/>
      </w:r>
      <w:r>
        <w:rPr>
          <w:spacing w:val="-1"/>
          <w:sz w:val="30"/>
        </w:rPr>
        <w:t>（盖</w:t>
      </w:r>
      <w:r>
        <w:rPr>
          <w:sz w:val="30"/>
        </w:rPr>
        <w:t>章）</w:t>
      </w:r>
      <w:r>
        <w:rPr>
          <w:spacing w:val="-148"/>
          <w:sz w:val="30"/>
        </w:rPr>
        <w:t xml:space="preserve"> </w:t>
      </w:r>
      <w:r>
        <w:rPr>
          <w:w w:val="90"/>
          <w:sz w:val="30"/>
        </w:rPr>
        <w:t>签订日期：</w:t>
      </w:r>
      <w:r>
        <w:rPr>
          <w:rFonts w:ascii="Times New Roman" w:eastAsia="Times New Roman"/>
          <w:b/>
          <w:w w:val="90"/>
          <w:sz w:val="30"/>
          <w:u w:val="thick"/>
        </w:rPr>
        <w:t xml:space="preserve"> </w:t>
      </w:r>
      <w:r>
        <w:rPr>
          <w:rFonts w:ascii="Times New Roman" w:eastAsia="Times New Roman"/>
          <w:b/>
          <w:sz w:val="30"/>
          <w:u w:val="thick"/>
        </w:rPr>
        <w:tab/>
      </w:r>
      <w:r>
        <w:rPr>
          <w:rFonts w:ascii="Times New Roman" w:eastAsia="Times New Roman"/>
          <w:b/>
          <w:sz w:val="30"/>
          <w:u w:val="thick"/>
        </w:rPr>
        <w:tab/>
      </w:r>
      <w:r>
        <w:rPr>
          <w:rFonts w:ascii="Times New Roman" w:eastAsia="Times New Roman"/>
          <w:b/>
          <w:sz w:val="30"/>
          <w:u w:val="thick"/>
        </w:rPr>
        <w:tab/>
      </w:r>
    </w:p>
    <w:p>
      <w:pPr>
        <w:spacing w:line="367" w:lineRule="auto"/>
        <w:jc w:val="both"/>
        <w:rPr>
          <w:rFonts w:ascii="Times New Roman" w:eastAsia="Times New Roman"/>
          <w:sz w:val="30"/>
        </w:rPr>
        <w:sectPr>
          <w:headerReference r:id="rId14" w:type="default"/>
          <w:footerReference r:id="rId15" w:type="default"/>
          <w:pgSz w:w="12240" w:h="15840"/>
          <w:pgMar w:top="1440" w:right="820" w:bottom="900" w:left="920" w:header="1153" w:footer="708" w:gutter="0"/>
          <w:pgNumType w:fmt="decimal"/>
          <w:cols w:space="720" w:num="1"/>
        </w:sectPr>
      </w:pPr>
    </w:p>
    <w:p>
      <w:pPr>
        <w:spacing w:before="4"/>
        <w:ind w:right="98"/>
        <w:jc w:val="center"/>
        <w:rPr>
          <w:sz w:val="36"/>
        </w:rPr>
      </w:pPr>
      <w:r>
        <w:rPr>
          <w:sz w:val="36"/>
        </w:rPr>
        <w:t>合同书范本</w:t>
      </w:r>
    </w:p>
    <w:p>
      <w:pPr>
        <w:pStyle w:val="6"/>
        <w:spacing w:before="241" w:line="364" w:lineRule="auto"/>
        <w:ind w:right="3197" w:firstLine="2940"/>
      </w:pPr>
      <w:r>
        <w:rPr>
          <w:spacing w:val="-1"/>
        </w:rPr>
        <w:t>（具体合同以双方签订内容为准</w:t>
      </w:r>
      <w:r>
        <w:t>）</w:t>
      </w:r>
      <w:r>
        <w:rPr>
          <w:spacing w:val="-137"/>
        </w:rPr>
        <w:t xml:space="preserve"> </w:t>
      </w:r>
      <w:r>
        <w:rPr>
          <w:spacing w:val="-1"/>
        </w:rPr>
        <w:t>采 购 人</w:t>
      </w:r>
      <w:r>
        <w:t>（以下简称甲方）：</w:t>
      </w:r>
    </w:p>
    <w:p>
      <w:pPr>
        <w:spacing w:line="383" w:lineRule="exact"/>
        <w:ind w:left="160"/>
        <w:rPr>
          <w:sz w:val="28"/>
        </w:rPr>
      </w:pPr>
      <w:r>
        <w:rPr>
          <w:sz w:val="30"/>
        </w:rPr>
        <w:t>中 标 人</w:t>
      </w:r>
      <w:r>
        <w:rPr>
          <w:sz w:val="28"/>
        </w:rPr>
        <w:t>（以下简称乙方）：</w:t>
      </w:r>
    </w:p>
    <w:p>
      <w:pPr>
        <w:pStyle w:val="8"/>
        <w:spacing w:before="198" w:line="364" w:lineRule="auto"/>
        <w:ind w:left="160" w:right="259" w:firstLine="480"/>
      </w:pPr>
      <w:r>
        <w:rPr>
          <w:spacing w:val="-12"/>
        </w:rPr>
        <w:t xml:space="preserve">甲、乙双方根据 </w:t>
      </w:r>
      <w:r>
        <w:t>XXXX</w:t>
      </w:r>
      <w:r>
        <w:rPr>
          <w:spacing w:val="-40"/>
        </w:rPr>
        <w:t xml:space="preserve"> 年 </w:t>
      </w:r>
      <w:r>
        <w:t>XX</w:t>
      </w:r>
      <w:r>
        <w:rPr>
          <w:spacing w:val="-40"/>
        </w:rPr>
        <w:t xml:space="preserve"> 月 </w:t>
      </w:r>
      <w:r>
        <w:t>XX</w:t>
      </w:r>
      <w:r>
        <w:rPr>
          <w:spacing w:val="-42"/>
        </w:rPr>
        <w:t xml:space="preserve"> 日</w:t>
      </w:r>
      <w:r>
        <w:t>（</w:t>
      </w:r>
      <w:r>
        <w:rPr>
          <w:u w:val="single"/>
        </w:rPr>
        <w:t>采购项目名称</w:t>
      </w:r>
      <w:r>
        <w:rPr>
          <w:spacing w:val="-24"/>
          <w:u w:val="single"/>
        </w:rPr>
        <w:t>）</w:t>
      </w:r>
      <w:r>
        <w:rPr>
          <w:spacing w:val="-6"/>
        </w:rPr>
        <w:t>采购项目</w:t>
      </w:r>
      <w:r>
        <w:t>（</w:t>
      </w:r>
      <w:r>
        <w:rPr>
          <w:u w:val="single"/>
        </w:rPr>
        <w:t>采购项目编号</w:t>
      </w:r>
      <w:r>
        <w:rPr>
          <w:spacing w:val="-24"/>
        </w:rPr>
        <w:t>）</w:t>
      </w:r>
      <w:r>
        <w:rPr>
          <w:spacing w:val="-4"/>
        </w:rPr>
        <w:t>的招标文件</w:t>
      </w:r>
      <w:r>
        <w:t>要求和采购代理机构出具的《中标通知书》，并经双方协商一致，签订本合同协议书。</w:t>
      </w:r>
    </w:p>
    <w:p>
      <w:pPr>
        <w:pStyle w:val="8"/>
        <w:spacing w:line="306" w:lineRule="exact"/>
        <w:ind w:firstLine="480" w:firstLineChars="200"/>
      </w:pPr>
      <w:r>
        <w:t>一、签订本政府采购合同的依据</w:t>
      </w:r>
    </w:p>
    <w:p>
      <w:pPr>
        <w:pStyle w:val="8"/>
        <w:spacing w:before="159" w:line="364" w:lineRule="auto"/>
        <w:ind w:left="640" w:right="2299"/>
        <w:rPr>
          <w:spacing w:val="-1"/>
        </w:rPr>
      </w:pPr>
      <w:r>
        <w:rPr>
          <w:spacing w:val="-1"/>
        </w:rPr>
        <w:t>本政府采购合同所附下列文件是构成本政府采购合同不可分割的部分：</w:t>
      </w:r>
    </w:p>
    <w:p>
      <w:pPr>
        <w:pStyle w:val="8"/>
        <w:spacing w:before="159" w:line="364" w:lineRule="auto"/>
        <w:ind w:left="640" w:right="2299"/>
      </w:pPr>
      <w:r>
        <w:rPr>
          <w:spacing w:val="-117"/>
        </w:rPr>
        <w:t xml:space="preserve"> </w:t>
      </w:r>
      <w:r>
        <w:t>1.招标文件；</w:t>
      </w:r>
    </w:p>
    <w:p>
      <w:pPr>
        <w:pStyle w:val="30"/>
        <w:numPr>
          <w:ilvl w:val="0"/>
          <w:numId w:val="17"/>
        </w:numPr>
        <w:tabs>
          <w:tab w:val="left" w:pos="881"/>
        </w:tabs>
        <w:spacing w:before="1"/>
        <w:rPr>
          <w:sz w:val="24"/>
        </w:rPr>
      </w:pPr>
      <w:r>
        <w:rPr>
          <w:sz w:val="24"/>
        </w:rPr>
        <w:t>招标文件的澄清、变更公告；</w:t>
      </w:r>
    </w:p>
    <w:p>
      <w:pPr>
        <w:pStyle w:val="30"/>
        <w:numPr>
          <w:ilvl w:val="0"/>
          <w:numId w:val="17"/>
        </w:numPr>
        <w:tabs>
          <w:tab w:val="left" w:pos="881"/>
        </w:tabs>
        <w:spacing w:before="158"/>
        <w:rPr>
          <w:sz w:val="24"/>
        </w:rPr>
      </w:pPr>
      <w:r>
        <w:rPr>
          <w:sz w:val="24"/>
        </w:rPr>
        <w:t>中标人提交的投标文件；</w:t>
      </w:r>
    </w:p>
    <w:p>
      <w:pPr>
        <w:pStyle w:val="30"/>
        <w:numPr>
          <w:ilvl w:val="0"/>
          <w:numId w:val="17"/>
        </w:numPr>
        <w:tabs>
          <w:tab w:val="left" w:pos="881"/>
        </w:tabs>
        <w:spacing w:before="160"/>
        <w:rPr>
          <w:sz w:val="24"/>
        </w:rPr>
      </w:pPr>
      <w:r>
        <w:rPr>
          <w:sz w:val="24"/>
        </w:rPr>
        <w:t>招标文件中规定的政府采购合同通用条款；</w:t>
      </w:r>
    </w:p>
    <w:p>
      <w:pPr>
        <w:pStyle w:val="30"/>
        <w:numPr>
          <w:ilvl w:val="0"/>
          <w:numId w:val="17"/>
        </w:numPr>
        <w:tabs>
          <w:tab w:val="left" w:pos="881"/>
        </w:tabs>
        <w:spacing w:before="158"/>
        <w:rPr>
          <w:sz w:val="24"/>
        </w:rPr>
      </w:pPr>
      <w:r>
        <w:rPr>
          <w:sz w:val="24"/>
        </w:rPr>
        <w:t>中标通知书；</w:t>
      </w:r>
    </w:p>
    <w:p>
      <w:pPr>
        <w:pStyle w:val="8"/>
        <w:numPr>
          <w:ilvl w:val="0"/>
          <w:numId w:val="0"/>
        </w:numPr>
        <w:tabs>
          <w:tab w:val="left" w:pos="5199"/>
        </w:tabs>
        <w:spacing w:before="74" w:line="271" w:lineRule="auto"/>
        <w:ind w:left="640" w:leftChars="0" w:right="4938" w:rightChars="0"/>
        <w:rPr>
          <w:spacing w:val="-1"/>
          <w:sz w:val="24"/>
        </w:rPr>
      </w:pPr>
      <w:r>
        <w:rPr>
          <w:rFonts w:hint="eastAsia"/>
          <w:spacing w:val="-1"/>
          <w:sz w:val="24"/>
          <w:lang w:val="en-US" w:eastAsia="zh-CN"/>
        </w:rPr>
        <w:t>6.</w:t>
      </w:r>
      <w:r>
        <w:rPr>
          <w:spacing w:val="-1"/>
          <w:sz w:val="24"/>
        </w:rPr>
        <w:t>履约保证金缴费证明。</w:t>
      </w:r>
    </w:p>
    <w:p>
      <w:pPr>
        <w:keepNext w:val="0"/>
        <w:keepLines w:val="0"/>
        <w:widowControl/>
        <w:suppressLineNumbers w:val="0"/>
        <w:ind w:firstLine="480" w:firstLineChars="200"/>
        <w:jc w:val="left"/>
      </w:pPr>
      <w:r>
        <w:rPr>
          <w:sz w:val="24"/>
        </w:rPr>
        <w:t>二、</w:t>
      </w:r>
      <w:r>
        <w:rPr>
          <w:rFonts w:hint="eastAsia" w:ascii="宋体" w:hAnsi="宋体" w:eastAsia="宋体" w:cs="宋体"/>
          <w:color w:val="000000"/>
          <w:kern w:val="0"/>
          <w:sz w:val="24"/>
          <w:szCs w:val="24"/>
          <w:lang w:val="en-US" w:eastAsia="zh-CN" w:bidi="ar"/>
        </w:rPr>
        <w:t xml:space="preserve">合同标的及金额                                              单位：元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339"/>
        <w:gridCol w:w="1339"/>
        <w:gridCol w:w="1339"/>
        <w:gridCol w:w="1339"/>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包号</w:t>
            </w:r>
          </w:p>
        </w:tc>
        <w:tc>
          <w:tcPr>
            <w:tcW w:w="1339"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标的名称</w:t>
            </w:r>
          </w:p>
        </w:tc>
        <w:tc>
          <w:tcPr>
            <w:tcW w:w="1339" w:type="dxa"/>
          </w:tcPr>
          <w:p>
            <w:pPr>
              <w:keepNext w:val="0"/>
              <w:keepLines w:val="0"/>
              <w:widowControl/>
              <w:suppressLineNumbers w:val="0"/>
              <w:tabs>
                <w:tab w:val="left" w:pos="551"/>
              </w:tabs>
              <w:jc w:val="center"/>
              <w:rPr>
                <w:rFonts w:hint="default" w:ascii="宋体" w:hAnsi="宋体" w:eastAsia="宋体" w:cs="宋体"/>
                <w:color w:val="000000"/>
                <w:kern w:val="0"/>
                <w:sz w:val="24"/>
                <w:szCs w:val="24"/>
                <w:vertAlign w:val="baseline"/>
                <w:lang w:val="en-US" w:eastAsia="zh-CN" w:bidi="ar"/>
              </w:rPr>
            </w:pPr>
            <w:r>
              <w:rPr>
                <w:rFonts w:hint="eastAsia" w:cs="宋体"/>
                <w:color w:val="000000"/>
                <w:kern w:val="0"/>
                <w:sz w:val="24"/>
                <w:szCs w:val="24"/>
                <w:vertAlign w:val="baseline"/>
                <w:lang w:val="en-US" w:eastAsia="zh-CN" w:bidi="ar"/>
              </w:rPr>
              <w:t>品牌</w:t>
            </w:r>
          </w:p>
        </w:tc>
        <w:tc>
          <w:tcPr>
            <w:tcW w:w="1339"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规格型号</w:t>
            </w:r>
          </w:p>
        </w:tc>
        <w:tc>
          <w:tcPr>
            <w:tcW w:w="1339"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数量</w:t>
            </w:r>
          </w:p>
        </w:tc>
        <w:tc>
          <w:tcPr>
            <w:tcW w:w="1339"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单价</w:t>
            </w:r>
          </w:p>
        </w:tc>
        <w:tc>
          <w:tcPr>
            <w:tcW w:w="1339"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总价</w:t>
            </w:r>
          </w:p>
        </w:tc>
        <w:tc>
          <w:tcPr>
            <w:tcW w:w="1339"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38"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33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根据上述政府采购合同文件要求，本政府采购合同的总金额为人民币 </w:t>
      </w:r>
    </w:p>
    <w:p>
      <w:pPr>
        <w:keepNext w:val="0"/>
        <w:keepLines w:val="0"/>
        <w:pageBreakBefore w:val="0"/>
        <w:widowControl/>
        <w:suppressLineNumbers w:val="0"/>
        <w:tabs>
          <w:tab w:val="left" w:pos="3467"/>
        </w:tabs>
        <w:kinsoku/>
        <w:wordWrap/>
        <w:overflowPunct/>
        <w:topLinePunct w:val="0"/>
        <w:autoSpaceDE w:val="0"/>
        <w:autoSpaceDN w:val="0"/>
        <w:bidi w:val="0"/>
        <w:adjustRightInd/>
        <w:snapToGrid/>
        <w:spacing w:line="360" w:lineRule="auto"/>
        <w:jc w:val="left"/>
        <w:textAlignment w:val="auto"/>
        <w:rPr>
          <w:rFonts w:hint="default"/>
          <w:lang w:val="en-US"/>
        </w:rPr>
      </w:pPr>
      <w:r>
        <w:rPr>
          <w:sz w:val="24"/>
        </w:rPr>
        <mc:AlternateContent>
          <mc:Choice Requires="wps">
            <w:drawing>
              <wp:anchor distT="0" distB="0" distL="114300" distR="114300" simplePos="0" relativeHeight="251697152" behindDoc="0" locked="0" layoutInCell="1" allowOverlap="1">
                <wp:simplePos x="0" y="0"/>
                <wp:positionH relativeFrom="column">
                  <wp:posOffset>546100</wp:posOffset>
                </wp:positionH>
                <wp:positionV relativeFrom="paragraph">
                  <wp:posOffset>167005</wp:posOffset>
                </wp:positionV>
                <wp:extent cx="1560195" cy="12065"/>
                <wp:effectExtent l="0" t="4445" r="1905" b="12065"/>
                <wp:wrapNone/>
                <wp:docPr id="3" name="直接连接符 3"/>
                <wp:cNvGraphicFramePr/>
                <a:graphic xmlns:a="http://schemas.openxmlformats.org/drawingml/2006/main">
                  <a:graphicData uri="http://schemas.microsoft.com/office/word/2010/wordprocessingShape">
                    <wps:wsp>
                      <wps:cNvCnPr/>
                      <wps:spPr>
                        <a:xfrm>
                          <a:off x="1130300" y="6874510"/>
                          <a:ext cx="1560195"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pt;margin-top:13.15pt;height:0.95pt;width:122.85pt;z-index:251697152;mso-width-relative:page;mso-height-relative:page;" filled="f" stroked="t" coordsize="21600,21600" o:gfxdata="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MGJU1gAA&#10;AAgBAAAPAAAAAAAAAAEAIAAAACIAAABkcnMvZG93bnJldi54bWxQSwECFAAUAAAACACHTuJAYBnW&#10;9+cBAACqAwAADgAAAAAAAAABACAAAAAlAQAAZHJzL2Uyb0RvYy54bWxQSwUGAAAAAAYABgBZAQAA&#10;fgUAAAAA&#10;">
                <v:fill on="f" focussize="0,0"/>
                <v:stroke color="#000000 [3213]" joinstyle="round"/>
                <v:imagedata o:title=""/>
                <o:lock v:ext="edit" aspectratio="f"/>
              </v:line>
            </w:pict>
          </mc:Fallback>
        </mc:AlternateContent>
      </w:r>
      <w:r>
        <w:rPr>
          <w:rFonts w:hint="eastAsia" w:ascii="宋体" w:hAnsi="宋体" w:eastAsia="宋体" w:cs="宋体"/>
          <w:color w:val="000000"/>
          <w:kern w:val="0"/>
          <w:sz w:val="24"/>
          <w:szCs w:val="24"/>
          <w:lang w:val="en-US" w:eastAsia="zh-CN" w:bidi="ar"/>
        </w:rPr>
        <w:t>（大写）                   元。</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ascii="宋体" w:hAnsi="宋体" w:eastAsia="宋体" w:cs="宋体"/>
          <w:sz w:val="24"/>
          <w:szCs w:val="22"/>
          <w:lang w:val="en-US" w:eastAsia="zh-CN" w:bidi="ar-SA"/>
        </w:rPr>
      </w:pPr>
      <w:r>
        <w:rPr>
          <w:rFonts w:hint="eastAsia" w:ascii="宋体" w:hAnsi="宋体" w:eastAsia="宋体" w:cs="宋体"/>
          <w:sz w:val="24"/>
          <w:szCs w:val="22"/>
          <w:lang w:val="en-US" w:eastAsia="zh-CN" w:bidi="ar-SA"/>
        </w:rPr>
        <w:t>本合同以人民币进行结算，合同总价包括：产品费、验收费、手续费、包装费、 运输费、保险费、安装费、调试费、培训费、售前、售中、售后服务费、招标代理费、税金及不可预见费等全部费用。</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40" w:firstLineChars="200"/>
        <w:jc w:val="left"/>
        <w:textAlignment w:val="auto"/>
        <w:rPr>
          <w:color w:val="000000" w:themeColor="text1"/>
          <w14:textFill>
            <w14:solidFill>
              <w14:schemeClr w14:val="tx1"/>
            </w14:solidFill>
          </w14:textFill>
        </w:rPr>
      </w:pPr>
      <w:r>
        <w:rPr>
          <w:color w:val="000000" w:themeColor="text1"/>
          <w14:textFill>
            <w14:solidFill>
              <w14:schemeClr w14:val="tx1"/>
            </w14:solidFill>
          </w14:textFill>
        </w:rPr>
        <w:t>三、</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交付时间、地点和要求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1.交货时间：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交货地点：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2.乙方提供不符合招投标文件和本合同规定的产品，甲方有权拒绝接受。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3.乙方应将提供产品的装箱清单、用户手册、原厂保修卡、随机资料、工具和备品、备件等交付给甲方，如有缺失应及时补齐，否则视为逾期交货。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4.甲方应当在到货（安装、调试完）后个工作日内进行验收，逾期不验收的，乙方可视为验收合格。验收合格后，由甲乙双方签署产品验收单并加盖采购人公章，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甲乙双方各执一份。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5.甲方应提供该项目验收报告交同级财政监管部门，由财政部门按规定程序抽验后办理资金拨付。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6.甲方在验收过程中发现乙方有违约问题，可按招、投标文件的规定要求乙方及时予以解决。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7.乙方向甲方提供产品相关完税销售发票。</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40" w:firstLineChars="200"/>
        <w:jc w:val="left"/>
        <w:textAlignment w:val="auto"/>
        <w:rPr>
          <w:color w:val="000000" w:themeColor="text1"/>
          <w14:textFill>
            <w14:solidFill>
              <w14:schemeClr w14:val="tx1"/>
            </w14:solidFill>
          </w14:textFill>
        </w:rPr>
      </w:pP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乙方职责</w:t>
      </w:r>
    </w:p>
    <w:p>
      <w:pPr>
        <w:pStyle w:val="8"/>
        <w:spacing w:before="1" w:line="424" w:lineRule="auto"/>
        <w:ind w:left="160" w:right="6739" w:firstLine="480"/>
        <w:rPr>
          <w:color w:val="000000" w:themeColor="text1"/>
          <w:spacing w:val="-117"/>
          <w14:textFill>
            <w14:solidFill>
              <w14:schemeClr w14:val="tx1"/>
            </w14:solidFill>
          </w14:textFill>
        </w:rPr>
      </w:pPr>
      <w:r>
        <w:rPr>
          <w:color w:val="000000" w:themeColor="text1"/>
          <w:spacing w:val="-1"/>
          <w14:textFill>
            <w14:solidFill>
              <w14:schemeClr w14:val="tx1"/>
            </w14:solidFill>
          </w14:textFill>
        </w:rPr>
        <w:t>（以具体双方供需要求为准</w:t>
      </w:r>
      <w:r>
        <w:rPr>
          <w:color w:val="000000" w:themeColor="text1"/>
          <w14:textFill>
            <w14:solidFill>
              <w14:schemeClr w14:val="tx1"/>
            </w14:solidFill>
          </w14:textFill>
        </w:rPr>
        <w:t>）</w:t>
      </w:r>
      <w:r>
        <w:rPr>
          <w:color w:val="000000" w:themeColor="text1"/>
          <w:spacing w:val="-117"/>
          <w14:textFill>
            <w14:solidFill>
              <w14:schemeClr w14:val="tx1"/>
            </w14:solidFill>
          </w14:textFill>
        </w:rPr>
        <w:t xml:space="preserve"> </w:t>
      </w:r>
    </w:p>
    <w:p>
      <w:pPr>
        <w:pStyle w:val="8"/>
        <w:spacing w:before="1" w:line="424" w:lineRule="auto"/>
        <w:ind w:right="6739"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服务费及支付方式</w:t>
      </w:r>
    </w:p>
    <w:p>
      <w:pPr>
        <w:pStyle w:val="8"/>
        <w:spacing w:before="1"/>
        <w:ind w:left="640"/>
        <w:rPr>
          <w:color w:val="000000" w:themeColor="text1"/>
          <w14:textFill>
            <w14:solidFill>
              <w14:schemeClr w14:val="tx1"/>
            </w14:solidFill>
          </w14:textFill>
        </w:rPr>
      </w:pPr>
      <w:r>
        <w:rPr>
          <w:color w:val="000000" w:themeColor="text1"/>
          <w14:textFill>
            <w14:solidFill>
              <w14:schemeClr w14:val="tx1"/>
            </w14:solidFill>
          </w14:textFill>
        </w:rPr>
        <w:t>项目整个服务期限为一年，本次采购预算为一年的服务费预算。</w:t>
      </w:r>
    </w:p>
    <w:p>
      <w:pPr>
        <w:pStyle w:val="9"/>
        <w:outlineLvl w:val="9"/>
        <w:rPr>
          <w:color w:val="000000" w:themeColor="text1"/>
          <w14:textFill>
            <w14:solidFill>
              <w14:schemeClr w14:val="tx1"/>
            </w14:solidFill>
          </w14:textFill>
        </w:rPr>
      </w:pPr>
    </w:p>
    <w:p>
      <w:pPr>
        <w:pStyle w:val="8"/>
        <w:spacing w:before="23"/>
        <w:ind w:firstLine="720" w:firstLineChars="300"/>
        <w:rPr>
          <w:color w:val="000000" w:themeColor="text1"/>
          <w14:textFill>
            <w14:solidFill>
              <w14:schemeClr w14:val="tx1"/>
            </w14:solidFill>
          </w14:textFill>
        </w:rPr>
      </w:pPr>
      <w:r>
        <w:rPr>
          <w:color w:val="000000" w:themeColor="text1"/>
          <w14:textFill>
            <w14:solidFill>
              <w14:schemeClr w14:val="tx1"/>
            </w14:solidFill>
          </w14:textFill>
        </w:rPr>
        <w:t>每年甲方根据服务项目实施进展情况，可采用以下支付方式向乙方拨付服务价款：</w:t>
      </w:r>
    </w:p>
    <w:p>
      <w:pPr>
        <w:pStyle w:val="8"/>
        <w:spacing w:before="1" w:after="1"/>
        <w:rPr>
          <w:color w:val="000000" w:themeColor="text1"/>
          <w:sz w:val="21"/>
          <w14:textFill>
            <w14:solidFill>
              <w14:schemeClr w14:val="tx1"/>
            </w14:solidFill>
          </w14:textFill>
        </w:rPr>
      </w:pPr>
    </w:p>
    <w:tbl>
      <w:tblPr>
        <w:tblStyle w:val="23"/>
        <w:tblW w:w="0" w:type="auto"/>
        <w:tblInd w:w="527" w:type="dxa"/>
        <w:tblLayout w:type="fixed"/>
        <w:tblCellMar>
          <w:top w:w="0" w:type="dxa"/>
          <w:left w:w="0" w:type="dxa"/>
          <w:bottom w:w="0" w:type="dxa"/>
          <w:right w:w="0" w:type="dxa"/>
        </w:tblCellMar>
      </w:tblPr>
      <w:tblGrid>
        <w:gridCol w:w="120"/>
        <w:gridCol w:w="2820"/>
        <w:gridCol w:w="2520"/>
        <w:gridCol w:w="1140"/>
      </w:tblGrid>
      <w:tr>
        <w:tblPrEx>
          <w:tblCellMar>
            <w:top w:w="0" w:type="dxa"/>
            <w:left w:w="0" w:type="dxa"/>
            <w:bottom w:w="0" w:type="dxa"/>
            <w:right w:w="0" w:type="dxa"/>
          </w:tblCellMar>
        </w:tblPrEx>
        <w:trPr>
          <w:trHeight w:val="777" w:hRule="atLeast"/>
        </w:trPr>
        <w:tc>
          <w:tcPr>
            <w:tcW w:w="120" w:type="dxa"/>
          </w:tcPr>
          <w:p>
            <w:pPr>
              <w:pStyle w:val="31"/>
              <w:rPr>
                <w:rFonts w:ascii="Times New Roman"/>
                <w:color w:val="000000" w:themeColor="text1"/>
                <w14:textFill>
                  <w14:solidFill>
                    <w14:schemeClr w14:val="tx1"/>
                  </w14:solidFill>
                </w14:textFill>
              </w:rPr>
            </w:pPr>
          </w:p>
        </w:tc>
        <w:tc>
          <w:tcPr>
            <w:tcW w:w="2820" w:type="dxa"/>
            <w:tcBorders>
              <w:bottom w:val="single" w:color="000000" w:sz="6" w:space="0"/>
            </w:tcBorders>
          </w:tcPr>
          <w:p>
            <w:pPr>
              <w:pStyle w:val="31"/>
              <w:spacing w:line="274" w:lineRule="exact"/>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拨付时间</w:t>
            </w:r>
          </w:p>
          <w:p>
            <w:pPr>
              <w:pStyle w:val="31"/>
              <w:spacing w:before="6"/>
              <w:rPr>
                <w:color w:val="000000" w:themeColor="text1"/>
                <w:sz w:val="18"/>
                <w14:textFill>
                  <w14:solidFill>
                    <w14:schemeClr w14:val="tx1"/>
                  </w14:solidFill>
                </w14:textFill>
              </w:rPr>
            </w:pPr>
          </w:p>
          <w:p>
            <w:pPr>
              <w:pStyle w:val="31"/>
              <w:spacing w:line="243"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第一次支付时间：</w:t>
            </w:r>
          </w:p>
        </w:tc>
        <w:tc>
          <w:tcPr>
            <w:tcW w:w="2520" w:type="dxa"/>
            <w:tcBorders>
              <w:bottom w:val="single" w:color="000000" w:sz="6" w:space="0"/>
            </w:tcBorders>
          </w:tcPr>
          <w:p>
            <w:pPr>
              <w:pStyle w:val="31"/>
              <w:rPr>
                <w:color w:val="000000" w:themeColor="text1"/>
                <w:sz w:val="24"/>
                <w14:textFill>
                  <w14:solidFill>
                    <w14:schemeClr w14:val="tx1"/>
                  </w14:solidFill>
                </w14:textFill>
              </w:rPr>
            </w:pPr>
          </w:p>
          <w:p>
            <w:pPr>
              <w:pStyle w:val="31"/>
              <w:spacing w:before="203" w:line="243" w:lineRule="exact"/>
              <w:ind w:right="77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；金 额</w:t>
            </w:r>
          </w:p>
        </w:tc>
        <w:tc>
          <w:tcPr>
            <w:tcW w:w="1140" w:type="dxa"/>
            <w:tcBorders>
              <w:bottom w:val="single" w:color="000000" w:sz="6" w:space="0"/>
            </w:tcBorders>
          </w:tcPr>
          <w:p>
            <w:pPr>
              <w:pStyle w:val="31"/>
              <w:rPr>
                <w:color w:val="000000" w:themeColor="text1"/>
                <w:sz w:val="24"/>
                <w14:textFill>
                  <w14:solidFill>
                    <w14:schemeClr w14:val="tx1"/>
                  </w14:solidFill>
                </w14:textFill>
              </w:rPr>
            </w:pPr>
          </w:p>
          <w:p>
            <w:pPr>
              <w:pStyle w:val="31"/>
              <w:spacing w:before="203" w:line="243" w:lineRule="exact"/>
              <w:ind w:right="11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525" w:hRule="atLeast"/>
        </w:trPr>
        <w:tc>
          <w:tcPr>
            <w:tcW w:w="120" w:type="dxa"/>
            <w:tcBorders>
              <w:bottom w:val="single" w:color="000000" w:sz="6" w:space="0"/>
            </w:tcBorders>
          </w:tcPr>
          <w:p>
            <w:pPr>
              <w:pStyle w:val="31"/>
              <w:rPr>
                <w:rFonts w:ascii="Times New Roman"/>
                <w:color w:val="000000" w:themeColor="text1"/>
                <w14:textFill>
                  <w14:solidFill>
                    <w14:schemeClr w14:val="tx1"/>
                  </w14:solidFill>
                </w14:textFill>
              </w:rPr>
            </w:pPr>
          </w:p>
        </w:tc>
        <w:tc>
          <w:tcPr>
            <w:tcW w:w="2820" w:type="dxa"/>
            <w:tcBorders>
              <w:top w:val="single" w:color="000000" w:sz="6" w:space="0"/>
              <w:bottom w:val="single" w:color="000000" w:sz="6" w:space="0"/>
            </w:tcBorders>
          </w:tcPr>
          <w:p>
            <w:pPr>
              <w:pStyle w:val="31"/>
              <w:spacing w:before="10"/>
              <w:rPr>
                <w:color w:val="000000" w:themeColor="text1"/>
                <w:sz w:val="20"/>
                <w14:textFill>
                  <w14:solidFill>
                    <w14:schemeClr w14:val="tx1"/>
                  </w14:solidFill>
                </w14:textFill>
              </w:rPr>
            </w:pPr>
          </w:p>
          <w:p>
            <w:pPr>
              <w:pStyle w:val="31"/>
              <w:spacing w:before="1" w:line="242"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第二次支付时间：</w:t>
            </w:r>
          </w:p>
        </w:tc>
        <w:tc>
          <w:tcPr>
            <w:tcW w:w="2520" w:type="dxa"/>
            <w:tcBorders>
              <w:top w:val="single" w:color="000000" w:sz="6" w:space="0"/>
              <w:bottom w:val="single" w:color="000000" w:sz="6" w:space="0"/>
            </w:tcBorders>
          </w:tcPr>
          <w:p>
            <w:pPr>
              <w:pStyle w:val="31"/>
              <w:spacing w:before="10"/>
              <w:rPr>
                <w:color w:val="000000" w:themeColor="text1"/>
                <w:sz w:val="20"/>
                <w14:textFill>
                  <w14:solidFill>
                    <w14:schemeClr w14:val="tx1"/>
                  </w14:solidFill>
                </w14:textFill>
              </w:rPr>
            </w:pPr>
          </w:p>
          <w:p>
            <w:pPr>
              <w:pStyle w:val="31"/>
              <w:spacing w:before="1" w:line="242" w:lineRule="exact"/>
              <w:ind w:right="77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；金 额</w:t>
            </w:r>
          </w:p>
        </w:tc>
        <w:tc>
          <w:tcPr>
            <w:tcW w:w="1140" w:type="dxa"/>
            <w:tcBorders>
              <w:top w:val="single" w:color="000000" w:sz="6" w:space="0"/>
              <w:bottom w:val="single" w:color="000000" w:sz="6" w:space="0"/>
            </w:tcBorders>
          </w:tcPr>
          <w:p>
            <w:pPr>
              <w:pStyle w:val="31"/>
              <w:spacing w:before="10"/>
              <w:rPr>
                <w:color w:val="000000" w:themeColor="text1"/>
                <w:sz w:val="20"/>
                <w14:textFill>
                  <w14:solidFill>
                    <w14:schemeClr w14:val="tx1"/>
                  </w14:solidFill>
                </w14:textFill>
              </w:rPr>
            </w:pPr>
          </w:p>
          <w:p>
            <w:pPr>
              <w:pStyle w:val="31"/>
              <w:spacing w:before="1" w:line="242" w:lineRule="exact"/>
              <w:ind w:right="11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bl>
    <w:p>
      <w:pPr>
        <w:pStyle w:val="8"/>
        <w:spacing w:before="7"/>
        <w:rPr>
          <w:color w:val="000000" w:themeColor="text1"/>
          <w:sz w:val="20"/>
          <w14:textFill>
            <w14:solidFill>
              <w14:schemeClr w14:val="tx1"/>
            </w14:solidFill>
          </w14:textFill>
        </w:rPr>
      </w:pPr>
    </w:p>
    <w:p>
      <w:pPr>
        <w:pStyle w:val="8"/>
        <w:ind w:left="640"/>
        <w:rPr>
          <w:color w:val="000000" w:themeColor="text1"/>
          <w14:textFill>
            <w14:solidFill>
              <w14:schemeClr w14:val="tx1"/>
            </w14:solidFill>
          </w14:textFill>
        </w:rPr>
      </w:pPr>
      <w:r>
        <w:rPr>
          <w:color w:val="000000" w:themeColor="text1"/>
          <w:w w:val="95"/>
          <w:u w:val="single"/>
          <w14:textFill>
            <w14:solidFill>
              <w14:schemeClr w14:val="tx1"/>
            </w14:solidFill>
          </w14:textFill>
        </w:rPr>
        <w:t>签订合同时，供应商应当以支票、汇票、本票等非现金形式缴纳中标金额5%的履约保证金到</w:t>
      </w:r>
    </w:p>
    <w:p>
      <w:pPr>
        <w:pStyle w:val="8"/>
        <w:spacing w:before="4"/>
        <w:rPr>
          <w:color w:val="000000" w:themeColor="text1"/>
          <w:sz w:val="13"/>
          <w14:textFill>
            <w14:solidFill>
              <w14:schemeClr w14:val="tx1"/>
            </w14:solidFill>
          </w14:textFill>
        </w:rPr>
      </w:pPr>
    </w:p>
    <w:p>
      <w:pPr>
        <w:pStyle w:val="8"/>
        <w:spacing w:before="67"/>
        <w:ind w:left="160"/>
        <w:rPr>
          <w:color w:val="000000" w:themeColor="text1"/>
          <w14:textFill>
            <w14:solidFill>
              <w14:schemeClr w14:val="tx1"/>
            </w14:solidFill>
          </w14:textFill>
        </w:rPr>
      </w:pPr>
      <w:r>
        <w:rPr>
          <w:color w:val="000000" w:themeColor="text1"/>
          <w:u w:val="single"/>
          <w14:textFill>
            <w14:solidFill>
              <w14:schemeClr w14:val="tx1"/>
            </w14:solidFill>
          </w14:textFill>
        </w:rPr>
        <w:t>采购人指定的账户。（履约保证金可转为质保金）。</w:t>
      </w:r>
    </w:p>
    <w:p>
      <w:pPr>
        <w:rPr>
          <w:color w:val="000000" w:themeColor="text1"/>
          <w14:textFill>
            <w14:solidFill>
              <w14:schemeClr w14:val="tx1"/>
            </w14:solidFill>
          </w14:textFill>
        </w:rPr>
      </w:pPr>
    </w:p>
    <w:p>
      <w:pPr>
        <w:pStyle w:val="8"/>
        <w:spacing w:before="66"/>
        <w:ind w:left="16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六、合同期限</w:t>
      </w:r>
    </w:p>
    <w:p>
      <w:pPr>
        <w:pStyle w:val="8"/>
        <w:spacing w:before="7"/>
        <w:rPr>
          <w:color w:val="000000" w:themeColor="text1"/>
          <w:sz w:val="18"/>
          <w14:textFill>
            <w14:solidFill>
              <w14:schemeClr w14:val="tx1"/>
            </w14:solidFill>
          </w14:textFill>
        </w:rPr>
      </w:pPr>
    </w:p>
    <w:p>
      <w:pPr>
        <w:pStyle w:val="8"/>
        <w:ind w:left="640"/>
        <w:rPr>
          <w:color w:val="000000" w:themeColor="text1"/>
          <w14:textFill>
            <w14:solidFill>
              <w14:schemeClr w14:val="tx1"/>
            </w14:solidFill>
          </w14:textFill>
        </w:rPr>
      </w:pPr>
      <w:r>
        <w:rPr>
          <w:color w:val="000000" w:themeColor="text1"/>
          <w14:textFill>
            <w14:solidFill>
              <w14:schemeClr w14:val="tx1"/>
            </w14:solidFill>
          </w14:textFill>
        </w:rPr>
        <w:t>本合同期限：</w:t>
      </w:r>
    </w:p>
    <w:p>
      <w:pPr>
        <w:pStyle w:val="8"/>
        <w:spacing w:before="6"/>
        <w:rPr>
          <w:color w:val="000000" w:themeColor="text1"/>
          <w:sz w:val="18"/>
          <w14:textFill>
            <w14:solidFill>
              <w14:schemeClr w14:val="tx1"/>
            </w14:solidFill>
          </w14:textFill>
        </w:rPr>
      </w:pPr>
    </w:p>
    <w:p>
      <w:pPr>
        <w:pStyle w:val="8"/>
        <w:spacing w:before="1"/>
        <w:ind w:left="16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七、合同的变更、终止与转让</w:t>
      </w:r>
    </w:p>
    <w:p>
      <w:pPr>
        <w:pStyle w:val="8"/>
        <w:spacing w:before="6"/>
        <w:rPr>
          <w:color w:val="000000" w:themeColor="text1"/>
          <w:sz w:val="18"/>
          <w14:textFill>
            <w14:solidFill>
              <w14:schemeClr w14:val="tx1"/>
            </w14:solidFill>
          </w14:textFill>
        </w:rPr>
      </w:pPr>
    </w:p>
    <w:p>
      <w:pPr>
        <w:pStyle w:val="8"/>
        <w:spacing w:line="422" w:lineRule="auto"/>
        <w:ind w:left="160" w:right="259" w:firstLine="480"/>
        <w:rPr>
          <w:color w:val="000000" w:themeColor="text1"/>
          <w14:textFill>
            <w14:solidFill>
              <w14:schemeClr w14:val="tx1"/>
            </w14:solidFill>
          </w14:textFill>
        </w:rPr>
      </w:pPr>
      <w:r>
        <w:rPr>
          <w:color w:val="000000" w:themeColor="text1"/>
          <w:spacing w:val="-1"/>
          <w14:textFill>
            <w14:solidFill>
              <w14:schemeClr w14:val="tx1"/>
            </w14:solidFill>
          </w14:textFill>
        </w:rPr>
        <w:t>1</w:t>
      </w:r>
      <w:r>
        <w:rPr>
          <w:color w:val="000000" w:themeColor="text1"/>
          <w:spacing w:val="-5"/>
          <w14:textFill>
            <w14:solidFill>
              <w14:schemeClr w14:val="tx1"/>
            </w14:solidFill>
          </w14:textFill>
        </w:rPr>
        <w:t xml:space="preserve">、除《中华人民共和国政府采购法》第 </w:t>
      </w:r>
      <w:r>
        <w:rPr>
          <w:color w:val="000000" w:themeColor="text1"/>
          <w:spacing w:val="-1"/>
          <w14:textFill>
            <w14:solidFill>
              <w14:schemeClr w14:val="tx1"/>
            </w14:solidFill>
          </w14:textFill>
        </w:rPr>
        <w:t>50</w:t>
      </w:r>
      <w:r>
        <w:rPr>
          <w:color w:val="000000" w:themeColor="text1"/>
          <w:spacing w:val="-8"/>
          <w14:textFill>
            <w14:solidFill>
              <w14:schemeClr w14:val="tx1"/>
            </w14:solidFill>
          </w14:textFill>
        </w:rPr>
        <w:t xml:space="preserve"> 条规定的情形外，本合同一经签订，甲乙双方不</w:t>
      </w:r>
      <w:r>
        <w:rPr>
          <w:color w:val="000000" w:themeColor="text1"/>
          <w14:textFill>
            <w14:solidFill>
              <w14:schemeClr w14:val="tx1"/>
            </w14:solidFill>
          </w14:textFill>
        </w:rPr>
        <w:t>得擅自变更、中止或终止。</w:t>
      </w:r>
    </w:p>
    <w:p>
      <w:pPr>
        <w:pStyle w:val="2"/>
        <w:outlineLvl w:val="9"/>
        <w:rPr>
          <w:color w:val="000000" w:themeColor="text1"/>
          <w14:textFill>
            <w14:solidFill>
              <w14:schemeClr w14:val="tx1"/>
            </w14:solidFill>
          </w14:textFill>
        </w:rPr>
        <w:sectPr>
          <w:pgSz w:w="12240" w:h="15840"/>
          <w:pgMar w:top="1440" w:right="820" w:bottom="900" w:left="920" w:header="1153" w:footer="708" w:gutter="0"/>
          <w:pgNumType w:fmt="decimal"/>
          <w:cols w:space="720" w:num="1"/>
        </w:sectPr>
      </w:pPr>
    </w:p>
    <w:p>
      <w:pPr>
        <w:pStyle w:val="8"/>
        <w:spacing w:line="20" w:lineRule="exact"/>
        <w:ind w:left="160"/>
        <w:rPr>
          <w:color w:val="000000" w:themeColor="text1"/>
          <w:sz w:val="2"/>
          <w14:textFill>
            <w14:solidFill>
              <w14:schemeClr w14:val="tx1"/>
            </w14:solidFill>
          </w14:textFill>
        </w:rPr>
      </w:pPr>
      <w:r>
        <w:rPr>
          <w:color w:val="000000" w:themeColor="text1"/>
          <w:sz w:val="2"/>
          <w14:textFill>
            <w14:solidFill>
              <w14:schemeClr w14:val="tx1"/>
            </w14:solidFill>
          </w14:textFill>
        </w:rPr>
        <w:pict>
          <v:group id="_x0000_s1041" o:spid="_x0000_s1041" o:spt="203" style="height:1pt;width:504pt;" coordsize="10080,20">
            <o:lock v:ext="edit"/>
            <v:rect id="_x0000_s1042" o:spid="_x0000_s1042" o:spt="1" style="position:absolute;left:0;top:0;height:20;width:10080;" fillcolor="#000000" filled="t" stroked="f" coordsize="21600,21600">
              <v:path/>
              <v:fill on="t" focussize="0,0"/>
              <v:stroke on="f"/>
              <v:imagedata o:title=""/>
              <o:lock v:ext="edit"/>
            </v:rect>
            <w10:wrap type="none"/>
            <w10:anchorlock/>
          </v:group>
        </w:pict>
      </w:r>
    </w:p>
    <w:p>
      <w:pPr>
        <w:pStyle w:val="8"/>
        <w:spacing w:before="4"/>
        <w:rPr>
          <w:color w:val="000000" w:themeColor="text1"/>
          <w:sz w:val="13"/>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425" w:lineRule="auto"/>
        <w:ind w:left="420" w:leftChars="0" w:right="0" w:rightChars="0" w:firstLine="238" w:firstLineChars="100"/>
        <w:textAlignment w:val="auto"/>
        <w:rPr>
          <w:color w:val="000000" w:themeColor="text1"/>
          <w:spacing w:val="-1"/>
          <w14:textFill>
            <w14:solidFill>
              <w14:schemeClr w14:val="tx1"/>
            </w14:solidFill>
          </w14:textFill>
        </w:rPr>
      </w:pPr>
      <w:r>
        <w:rPr>
          <w:rFonts w:hint="eastAsia"/>
          <w:color w:val="000000" w:themeColor="text1"/>
          <w:spacing w:val="-1"/>
          <w:lang w:val="en-US" w:eastAsia="zh-CN"/>
          <w14:textFill>
            <w14:solidFill>
              <w14:schemeClr w14:val="tx1"/>
            </w14:solidFill>
          </w14:textFill>
        </w:rPr>
        <w:t>2、</w:t>
      </w:r>
      <w:r>
        <w:rPr>
          <w:color w:val="000000" w:themeColor="text1"/>
          <w:spacing w:val="-1"/>
          <w14:textFill>
            <w14:solidFill>
              <w14:schemeClr w14:val="tx1"/>
            </w14:solidFill>
          </w14:textFill>
        </w:rPr>
        <w:t>乙方不得擅自转让其应履行的合同义务。</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425" w:lineRule="auto"/>
        <w:ind w:right="0" w:rightChars="0"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八、违约责任</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1.乙方所提供的产品规格、技术标准、材料等质量不合格的，应及时更换；更换不及时的，按逾期交货处罚；因质量问题甲方不同意接收的，质保金全额扣除，并由乙方赔偿由此引起的甲方的一切经济损失。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themeColor="text1"/>
          <w:kern w:val="0"/>
          <w:sz w:val="24"/>
          <w:szCs w:val="24"/>
          <w:lang w:val="en-US" w:eastAsia="zh-CN" w:bidi="ar"/>
          <w14:textFill>
            <w14:solidFill>
              <w14:schemeClr w14:val="tx1"/>
            </w14:solidFill>
          </w14:textFill>
        </w:rPr>
        <w:t>2.乙方提供的货物如侵犯了第</w:t>
      </w:r>
      <w:r>
        <w:rPr>
          <w:rFonts w:hint="eastAsia" w:ascii="宋体" w:hAnsi="宋体" w:eastAsia="宋体" w:cs="宋体"/>
          <w:color w:val="000000"/>
          <w:kern w:val="0"/>
          <w:sz w:val="24"/>
          <w:szCs w:val="24"/>
          <w:lang w:val="en-US" w:eastAsia="zh-CN" w:bidi="ar"/>
        </w:rPr>
        <w:t xml:space="preserve">三方权益而引发纠纷或诉讼的，均由乙方负责交涉并承担全部责任。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3.因包装、运输引起的货物损坏，按质量不合格处罚。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4.甲方无故延期接受货物和乙方逾期交货的，每天应向对方偿付未交货物的货款3‰的违约金，但违约金累计不得超过违约货款的5%，超过天对方有权解除合同，违约方承担因此给对方造成的经济损失。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5.乙方未按本合同和投标文件中规定的服务承诺提供售后服务的，乙方应按本合同合计金额的5%向甲方支付违约金。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6.乙方提供的货物在质量保证期内，因设计、工艺或材料的缺陷和其它质量原因造成的问题，由乙方负责，费用从履约保证金中扣除，不足另补。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7.其它违约行为按违约货款额5%收取违约金并赔偿经济损失。</w:t>
      </w:r>
    </w:p>
    <w:p>
      <w:pPr>
        <w:pStyle w:val="8"/>
        <w:spacing w:line="422" w:lineRule="auto"/>
        <w:ind w:right="259" w:firstLine="476" w:firstLineChars="200"/>
        <w:rPr>
          <w:spacing w:val="-1"/>
        </w:rPr>
      </w:pPr>
      <w:r>
        <w:rPr>
          <w:spacing w:val="-1"/>
        </w:rPr>
        <w:t>九、合同的解除：</w:t>
      </w:r>
    </w:p>
    <w:p>
      <w:pPr>
        <w:pStyle w:val="8"/>
        <w:spacing w:line="422" w:lineRule="auto"/>
        <w:ind w:left="160" w:right="259" w:firstLine="480"/>
        <w:rPr>
          <w:spacing w:val="-1"/>
        </w:rPr>
      </w:pPr>
      <w:r>
        <w:rPr>
          <w:rFonts w:hint="eastAsia"/>
          <w:spacing w:val="-1"/>
          <w:lang w:val="en-US" w:eastAsia="zh-CN"/>
        </w:rPr>
        <w:t>1、</w:t>
      </w:r>
      <w:r>
        <w:rPr>
          <w:spacing w:val="-1"/>
        </w:rPr>
        <w:t>在任何情况下，乙方不得以任何理由中途停止服务保障，否则甲方有权解除与乙方的合同，并扣除保证金。</w:t>
      </w:r>
    </w:p>
    <w:p>
      <w:pPr>
        <w:pStyle w:val="8"/>
        <w:spacing w:line="422" w:lineRule="auto"/>
        <w:ind w:left="160" w:right="259" w:firstLine="480"/>
        <w:rPr>
          <w:rFonts w:hint="default" w:eastAsia="宋体"/>
          <w:spacing w:val="-1"/>
          <w:lang w:val="en-US" w:eastAsia="zh-CN"/>
        </w:rPr>
      </w:pPr>
      <w:r>
        <w:rPr>
          <w:rFonts w:hint="eastAsia"/>
          <w:spacing w:val="-1"/>
          <w:lang w:val="en-US" w:eastAsia="zh-CN"/>
        </w:rPr>
        <w:t>2、</w:t>
      </w:r>
      <w:r>
        <w:rPr>
          <w:spacing w:val="-1"/>
        </w:rPr>
        <w:t>乙方在签订合同的同时缴纳履约保证金，若逾期缴纳，甲方有权解除合同另行发包并要求</w:t>
      </w:r>
      <w:r>
        <w:rPr>
          <w:rFonts w:hint="eastAsia"/>
          <w:spacing w:val="-1"/>
          <w:lang w:val="en-US" w:eastAsia="zh-CN"/>
        </w:rPr>
        <w:t>乙方赔偿损失。</w:t>
      </w:r>
    </w:p>
    <w:p>
      <w:pPr>
        <w:pStyle w:val="8"/>
        <w:spacing w:line="422" w:lineRule="auto"/>
        <w:ind w:left="160" w:right="259" w:firstLine="480"/>
        <w:rPr>
          <w:spacing w:val="-1"/>
        </w:rPr>
      </w:pPr>
      <w:r>
        <w:rPr>
          <w:rFonts w:hint="eastAsia"/>
          <w:spacing w:val="-1"/>
          <w:lang w:val="en-US" w:eastAsia="zh-CN"/>
        </w:rPr>
        <w:t>3、</w:t>
      </w:r>
      <w:r>
        <w:rPr>
          <w:spacing w:val="-1"/>
        </w:rPr>
        <w:t>合同解除，按甲方书面通知为准，合同解除后，乙方应在 48 小时内向甲方进行财产交接并离校。逾期离校得乙方在校内的财产甲方有权处理。</w:t>
      </w:r>
    </w:p>
    <w:p>
      <w:pPr>
        <w:pStyle w:val="8"/>
        <w:spacing w:line="422" w:lineRule="auto"/>
        <w:ind w:right="259" w:firstLine="476" w:firstLineChars="200"/>
        <w:rPr>
          <w:spacing w:val="-1"/>
        </w:rPr>
      </w:pPr>
      <w:r>
        <w:rPr>
          <w:spacing w:val="-1"/>
        </w:rPr>
        <w:t>十、若因甲方上级主管部门政策性调整，或自然灾害等不可抗力因素致使合同无法履行时，甲乙双方可协商变更或解除合同。</w:t>
      </w:r>
    </w:p>
    <w:p>
      <w:pPr>
        <w:pStyle w:val="8"/>
        <w:spacing w:before="1" w:line="424" w:lineRule="auto"/>
        <w:ind w:right="139" w:firstLine="432" w:firstLineChars="200"/>
        <w:rPr>
          <w:spacing w:val="-12"/>
        </w:rPr>
      </w:pPr>
      <w:r>
        <w:rPr>
          <w:spacing w:val="-12"/>
        </w:rPr>
        <w:t>十一、合同在履行过程中若发生纠纷，甲乙双方应友好协商解决，协商不成可诉至人民法院解决。</w:t>
      </w:r>
    </w:p>
    <w:p>
      <w:pPr>
        <w:pStyle w:val="8"/>
        <w:spacing w:before="1" w:line="424" w:lineRule="auto"/>
        <w:ind w:left="160" w:right="139" w:firstLine="480" w:firstLineChars="200"/>
      </w:pPr>
      <w:r>
        <w:t>十二、本参数未尽事宜，甲乙双方可另行补充，补充条款与本参数具有同等效力。</w:t>
      </w:r>
    </w:p>
    <w:p>
      <w:pPr>
        <w:pStyle w:val="8"/>
        <w:spacing w:before="2" w:line="424" w:lineRule="auto"/>
        <w:ind w:left="160" w:right="4819" w:firstLine="476" w:firstLineChars="200"/>
        <w:rPr>
          <w:spacing w:val="-1"/>
        </w:rPr>
      </w:pPr>
      <w:r>
        <w:rPr>
          <w:spacing w:val="-1"/>
        </w:rPr>
        <w:t>十三、本方案中法律、法规、条例在相关网站查询。</w:t>
      </w:r>
    </w:p>
    <w:p>
      <w:pPr>
        <w:pStyle w:val="8"/>
        <w:spacing w:before="2" w:line="424" w:lineRule="auto"/>
        <w:ind w:left="160" w:right="4819" w:firstLine="480" w:firstLineChars="200"/>
      </w:pPr>
      <w:r>
        <w:t>十四、签订本合同依据</w:t>
      </w:r>
    </w:p>
    <w:p>
      <w:pPr>
        <w:pStyle w:val="8"/>
        <w:spacing w:before="1"/>
        <w:ind w:left="640"/>
      </w:pPr>
      <w:r>
        <w:t>1、政府采购招标文件；</w:t>
      </w:r>
    </w:p>
    <w:p>
      <w:pPr>
        <w:pStyle w:val="8"/>
        <w:spacing w:before="4"/>
        <w:rPr>
          <w:sz w:val="18"/>
        </w:rPr>
      </w:pPr>
    </w:p>
    <w:p>
      <w:pPr>
        <w:pStyle w:val="8"/>
        <w:ind w:left="640"/>
      </w:pPr>
      <w:r>
        <w:t>2、乙方提供的投标文件；</w:t>
      </w:r>
    </w:p>
    <w:p>
      <w:pPr>
        <w:pStyle w:val="8"/>
        <w:spacing w:before="9"/>
        <w:rPr>
          <w:sz w:val="18"/>
        </w:rPr>
      </w:pPr>
    </w:p>
    <w:p>
      <w:pPr>
        <w:pStyle w:val="8"/>
        <w:ind w:left="640"/>
      </w:pPr>
      <w:r>
        <w:t>3、投标承诺书；</w:t>
      </w:r>
    </w:p>
    <w:p>
      <w:pPr>
        <w:pStyle w:val="8"/>
        <w:spacing w:before="6"/>
        <w:rPr>
          <w:sz w:val="18"/>
        </w:rPr>
      </w:pPr>
    </w:p>
    <w:p>
      <w:pPr>
        <w:pStyle w:val="8"/>
        <w:spacing w:before="1"/>
        <w:ind w:left="640"/>
      </w:pPr>
      <w:r>
        <w:t>4、中标通知；</w:t>
      </w:r>
    </w:p>
    <w:p>
      <w:pPr>
        <w:pStyle w:val="8"/>
        <w:spacing w:before="4"/>
        <w:rPr>
          <w:sz w:val="18"/>
        </w:rPr>
      </w:pPr>
    </w:p>
    <w:p>
      <w:pPr>
        <w:pStyle w:val="8"/>
        <w:spacing w:line="424" w:lineRule="auto"/>
        <w:ind w:left="638" w:leftChars="290" w:right="7099" w:firstLine="40" w:firstLineChars="17"/>
      </w:pPr>
      <w:r>
        <w:rPr>
          <w:spacing w:val="-1"/>
        </w:rPr>
        <w:t>5、履约保证金交款证明</w:t>
      </w:r>
      <w:r>
        <w:t>十五、其他补充条款：</w:t>
      </w:r>
    </w:p>
    <w:p>
      <w:pPr>
        <w:pStyle w:val="8"/>
        <w:tabs>
          <w:tab w:val="left" w:pos="4359"/>
        </w:tabs>
        <w:spacing w:before="1"/>
        <w:ind w:left="640"/>
      </w:pPr>
      <w:r>
        <w:rPr>
          <w:u w:val="single"/>
        </w:rPr>
        <w:t>1、</w:t>
      </w:r>
      <w:r>
        <w:rPr>
          <w:u w:val="single"/>
        </w:rPr>
        <w:tab/>
      </w:r>
      <w:r>
        <w:rPr>
          <w:u w:val="single"/>
        </w:rPr>
        <w:t xml:space="preserve">； </w:t>
      </w:r>
    </w:p>
    <w:p>
      <w:pPr>
        <w:pStyle w:val="8"/>
        <w:tabs>
          <w:tab w:val="left" w:pos="4359"/>
        </w:tabs>
        <w:spacing w:before="160"/>
        <w:ind w:left="640"/>
      </w:pPr>
      <w:r>
        <w:rPr>
          <w:u w:val="single"/>
        </w:rPr>
        <w:t>2、</w:t>
      </w:r>
      <w:r>
        <w:rPr>
          <w:u w:val="single"/>
        </w:rPr>
        <w:tab/>
      </w:r>
      <w:r>
        <w:rPr>
          <w:u w:val="single"/>
        </w:rPr>
        <w:t xml:space="preserve">； </w:t>
      </w:r>
    </w:p>
    <w:p>
      <w:pPr>
        <w:pStyle w:val="8"/>
        <w:spacing w:before="161"/>
        <w:ind w:left="640"/>
      </w:pPr>
      <w:r>
        <w:t>……</w:t>
      </w:r>
    </w:p>
    <w:p>
      <w:pPr>
        <w:pStyle w:val="8"/>
        <w:spacing w:before="4"/>
        <w:rPr>
          <w:sz w:val="18"/>
        </w:rPr>
      </w:pPr>
    </w:p>
    <w:p>
      <w:pPr>
        <w:pStyle w:val="8"/>
        <w:spacing w:line="424" w:lineRule="auto"/>
        <w:ind w:left="398" w:leftChars="181" w:right="5779" w:firstLine="280" w:firstLineChars="118"/>
        <w:rPr>
          <w:spacing w:val="-1"/>
        </w:rPr>
      </w:pPr>
      <w:r>
        <w:rPr>
          <w:spacing w:val="-1"/>
        </w:rPr>
        <w:t>以上依据均为本合同不可分割的部分</w:t>
      </w:r>
    </w:p>
    <w:p>
      <w:pPr>
        <w:pStyle w:val="8"/>
        <w:spacing w:line="424" w:lineRule="auto"/>
        <w:ind w:left="398" w:leftChars="181" w:right="5779" w:firstLine="283" w:firstLineChars="118"/>
      </w:pPr>
      <w:r>
        <w:t>十六、合同生效及其它：</w:t>
      </w:r>
    </w:p>
    <w:p>
      <w:pPr>
        <w:pStyle w:val="8"/>
        <w:tabs>
          <w:tab w:val="left" w:pos="2559"/>
        </w:tabs>
        <w:spacing w:before="1"/>
        <w:ind w:left="640"/>
      </w:pPr>
      <w:r>
        <w:t>1、本合同一式</w:t>
      </w:r>
      <w:r>
        <w:rPr>
          <w:rFonts w:ascii="Times New Roman" w:eastAsia="Times New Roman"/>
          <w:u w:val="single"/>
        </w:rPr>
        <w:tab/>
      </w:r>
      <w:r>
        <w:t>份，经双方签字，并加盖公章即为生效。</w:t>
      </w:r>
    </w:p>
    <w:p>
      <w:pPr>
        <w:pStyle w:val="8"/>
        <w:spacing w:before="7"/>
        <w:rPr>
          <w:sz w:val="18"/>
        </w:rPr>
      </w:pPr>
    </w:p>
    <w:p>
      <w:pPr>
        <w:pStyle w:val="8"/>
        <w:ind w:left="640"/>
      </w:pPr>
      <w:r>
        <w:t>2、本合同未尽事宜，按经济合同法有关规定处理。</w:t>
      </w:r>
    </w:p>
    <w:p>
      <w:pPr>
        <w:pStyle w:val="8"/>
        <w:spacing w:before="6"/>
        <w:rPr>
          <w:sz w:val="18"/>
        </w:rPr>
      </w:pPr>
    </w:p>
    <w:p>
      <w:pPr>
        <w:pStyle w:val="8"/>
        <w:spacing w:before="1"/>
        <w:ind w:left="640"/>
      </w:pPr>
      <w:r>
        <w:t>3、本合同的组成包含《合同通用条款》。</w:t>
      </w:r>
    </w:p>
    <w:p>
      <w:pPr>
        <w:pStyle w:val="8"/>
        <w:spacing w:before="160"/>
        <w:ind w:left="640"/>
      </w:pPr>
      <w:r>
        <w:t>4、未尽事宜，经甲、乙双方协商签订补充协议，具有与本合同同等的法律效力。</w:t>
      </w:r>
    </w:p>
    <w:p>
      <w:pPr>
        <w:sectPr>
          <w:headerReference r:id="rId16" w:type="default"/>
          <w:footerReference r:id="rId17" w:type="default"/>
          <w:pgSz w:w="12240" w:h="15840"/>
          <w:pgMar w:top="1400" w:right="820" w:bottom="900" w:left="920" w:header="1153" w:footer="708" w:gutter="0"/>
          <w:pgNumType w:fmt="decimal"/>
          <w:cols w:space="720" w:num="1"/>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9"/>
        <w:rPr>
          <w:sz w:val="28"/>
        </w:rPr>
      </w:pPr>
    </w:p>
    <w:tbl>
      <w:tblPr>
        <w:tblStyle w:val="23"/>
        <w:tblW w:w="0" w:type="auto"/>
        <w:tblInd w:w="117" w:type="dxa"/>
        <w:tblLayout w:type="fixed"/>
        <w:tblCellMar>
          <w:top w:w="0" w:type="dxa"/>
          <w:left w:w="0" w:type="dxa"/>
          <w:bottom w:w="0" w:type="dxa"/>
          <w:right w:w="0" w:type="dxa"/>
        </w:tblCellMar>
      </w:tblPr>
      <w:tblGrid>
        <w:gridCol w:w="2990"/>
        <w:gridCol w:w="540"/>
        <w:gridCol w:w="720"/>
        <w:gridCol w:w="3410"/>
      </w:tblGrid>
      <w:tr>
        <w:tblPrEx>
          <w:tblCellMar>
            <w:top w:w="0" w:type="dxa"/>
            <w:left w:w="0" w:type="dxa"/>
            <w:bottom w:w="0" w:type="dxa"/>
            <w:right w:w="0" w:type="dxa"/>
          </w:tblCellMar>
        </w:tblPrEx>
        <w:trPr>
          <w:trHeight w:val="354" w:hRule="atLeast"/>
        </w:trPr>
        <w:tc>
          <w:tcPr>
            <w:tcW w:w="2990" w:type="dxa"/>
          </w:tcPr>
          <w:p>
            <w:pPr>
              <w:pStyle w:val="31"/>
              <w:spacing w:line="274" w:lineRule="exact"/>
              <w:ind w:left="50"/>
              <w:rPr>
                <w:sz w:val="24"/>
              </w:rPr>
            </w:pPr>
            <w:r>
              <w:rPr>
                <w:sz w:val="24"/>
              </w:rPr>
              <w:t>（本页无正文）</w:t>
            </w:r>
          </w:p>
        </w:tc>
        <w:tc>
          <w:tcPr>
            <w:tcW w:w="4670" w:type="dxa"/>
            <w:gridSpan w:val="3"/>
          </w:tcPr>
          <w:p>
            <w:pPr>
              <w:pStyle w:val="31"/>
              <w:rPr>
                <w:rFonts w:ascii="Times New Roman"/>
              </w:rPr>
            </w:pPr>
          </w:p>
        </w:tc>
      </w:tr>
      <w:tr>
        <w:tblPrEx>
          <w:tblCellMar>
            <w:top w:w="0" w:type="dxa"/>
            <w:left w:w="0" w:type="dxa"/>
            <w:bottom w:w="0" w:type="dxa"/>
            <w:right w:w="0" w:type="dxa"/>
          </w:tblCellMar>
        </w:tblPrEx>
        <w:trPr>
          <w:trHeight w:val="466" w:hRule="atLeast"/>
        </w:trPr>
        <w:tc>
          <w:tcPr>
            <w:tcW w:w="2990" w:type="dxa"/>
          </w:tcPr>
          <w:p>
            <w:pPr>
              <w:pStyle w:val="31"/>
              <w:spacing w:before="80"/>
              <w:ind w:left="50"/>
              <w:rPr>
                <w:sz w:val="24"/>
              </w:rPr>
            </w:pPr>
            <w:r>
              <w:rPr>
                <w:sz w:val="24"/>
              </w:rPr>
              <w:t>甲方（盖章）：</w:t>
            </w: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80"/>
              <w:ind w:left="480"/>
              <w:rPr>
                <w:sz w:val="24"/>
              </w:rPr>
            </w:pPr>
            <w:r>
              <w:rPr>
                <w:sz w:val="24"/>
              </w:rPr>
              <w:t>乙方（盖章）：</w:t>
            </w:r>
          </w:p>
        </w:tc>
      </w:tr>
      <w:tr>
        <w:tblPrEx>
          <w:tblCellMar>
            <w:top w:w="0" w:type="dxa"/>
            <w:left w:w="0" w:type="dxa"/>
            <w:bottom w:w="0" w:type="dxa"/>
            <w:right w:w="0" w:type="dxa"/>
          </w:tblCellMar>
        </w:tblPrEx>
        <w:trPr>
          <w:trHeight w:val="466" w:hRule="atLeast"/>
        </w:trPr>
        <w:tc>
          <w:tcPr>
            <w:tcW w:w="2990" w:type="dxa"/>
          </w:tcPr>
          <w:p>
            <w:pPr>
              <w:pStyle w:val="31"/>
              <w:spacing w:before="79"/>
              <w:ind w:left="50"/>
              <w:rPr>
                <w:sz w:val="24"/>
              </w:rPr>
            </w:pPr>
            <w:r>
              <w:rPr>
                <w:sz w:val="24"/>
              </w:rPr>
              <w:t>法定代表人或委托代理人：</w:t>
            </w: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79"/>
              <w:ind w:left="480"/>
              <w:rPr>
                <w:sz w:val="24"/>
              </w:rPr>
            </w:pPr>
            <w:r>
              <w:rPr>
                <w:sz w:val="24"/>
              </w:rPr>
              <w:t>法定代表人或委托代理人：</w:t>
            </w:r>
          </w:p>
        </w:tc>
      </w:tr>
      <w:tr>
        <w:tblPrEx>
          <w:tblCellMar>
            <w:top w:w="0" w:type="dxa"/>
            <w:left w:w="0" w:type="dxa"/>
            <w:bottom w:w="0" w:type="dxa"/>
            <w:right w:w="0" w:type="dxa"/>
          </w:tblCellMar>
        </w:tblPrEx>
        <w:trPr>
          <w:trHeight w:val="467" w:hRule="atLeast"/>
        </w:trPr>
        <w:tc>
          <w:tcPr>
            <w:tcW w:w="2990" w:type="dxa"/>
          </w:tcPr>
          <w:p>
            <w:pPr>
              <w:pStyle w:val="31"/>
              <w:rPr>
                <w:rFonts w:ascii="Times New Roman"/>
              </w:rPr>
            </w:pP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80"/>
              <w:ind w:left="480"/>
              <w:rPr>
                <w:sz w:val="24"/>
              </w:rPr>
            </w:pPr>
            <w:r>
              <w:rPr>
                <w:sz w:val="24"/>
              </w:rPr>
              <w:t>开户银行：</w:t>
            </w:r>
          </w:p>
        </w:tc>
      </w:tr>
      <w:tr>
        <w:tblPrEx>
          <w:tblCellMar>
            <w:top w:w="0" w:type="dxa"/>
            <w:left w:w="0" w:type="dxa"/>
            <w:bottom w:w="0" w:type="dxa"/>
            <w:right w:w="0" w:type="dxa"/>
          </w:tblCellMar>
        </w:tblPrEx>
        <w:trPr>
          <w:trHeight w:val="466" w:hRule="atLeast"/>
        </w:trPr>
        <w:tc>
          <w:tcPr>
            <w:tcW w:w="2990" w:type="dxa"/>
          </w:tcPr>
          <w:p>
            <w:pPr>
              <w:pStyle w:val="31"/>
              <w:rPr>
                <w:rFonts w:ascii="Times New Roman"/>
              </w:rPr>
            </w:pP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80"/>
              <w:ind w:left="480"/>
              <w:rPr>
                <w:sz w:val="24"/>
              </w:rPr>
            </w:pPr>
            <w:r>
              <w:rPr>
                <w:sz w:val="24"/>
              </w:rPr>
              <w:t>账号：</w:t>
            </w:r>
          </w:p>
        </w:tc>
      </w:tr>
      <w:tr>
        <w:tblPrEx>
          <w:tblCellMar>
            <w:top w:w="0" w:type="dxa"/>
            <w:left w:w="0" w:type="dxa"/>
            <w:bottom w:w="0" w:type="dxa"/>
            <w:right w:w="0" w:type="dxa"/>
          </w:tblCellMar>
        </w:tblPrEx>
        <w:trPr>
          <w:trHeight w:val="465" w:hRule="atLeast"/>
        </w:trPr>
        <w:tc>
          <w:tcPr>
            <w:tcW w:w="2990" w:type="dxa"/>
          </w:tcPr>
          <w:p>
            <w:pPr>
              <w:pStyle w:val="31"/>
              <w:spacing w:before="79"/>
              <w:ind w:left="50"/>
              <w:rPr>
                <w:sz w:val="24"/>
              </w:rPr>
            </w:pPr>
            <w:r>
              <w:rPr>
                <w:sz w:val="24"/>
              </w:rPr>
              <w:t>地址：</w:t>
            </w: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79"/>
              <w:ind w:left="480"/>
              <w:rPr>
                <w:sz w:val="24"/>
              </w:rPr>
            </w:pPr>
            <w:r>
              <w:rPr>
                <w:sz w:val="24"/>
              </w:rPr>
              <w:t>地址：</w:t>
            </w:r>
          </w:p>
        </w:tc>
      </w:tr>
      <w:tr>
        <w:tblPrEx>
          <w:tblCellMar>
            <w:top w:w="0" w:type="dxa"/>
            <w:left w:w="0" w:type="dxa"/>
            <w:bottom w:w="0" w:type="dxa"/>
            <w:right w:w="0" w:type="dxa"/>
          </w:tblCellMar>
        </w:tblPrEx>
        <w:trPr>
          <w:trHeight w:val="466" w:hRule="atLeast"/>
        </w:trPr>
        <w:tc>
          <w:tcPr>
            <w:tcW w:w="2990" w:type="dxa"/>
          </w:tcPr>
          <w:p>
            <w:pPr>
              <w:pStyle w:val="31"/>
              <w:spacing w:before="79"/>
              <w:ind w:left="50"/>
              <w:rPr>
                <w:sz w:val="24"/>
              </w:rPr>
            </w:pPr>
            <w:r>
              <w:rPr>
                <w:sz w:val="24"/>
              </w:rPr>
              <w:t>联系电话：</w:t>
            </w: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79"/>
              <w:ind w:left="480"/>
              <w:rPr>
                <w:sz w:val="24"/>
              </w:rPr>
            </w:pPr>
            <w:r>
              <w:rPr>
                <w:sz w:val="24"/>
              </w:rPr>
              <w:t>联系电话：</w:t>
            </w:r>
          </w:p>
        </w:tc>
      </w:tr>
      <w:tr>
        <w:tblPrEx>
          <w:tblCellMar>
            <w:top w:w="0" w:type="dxa"/>
            <w:left w:w="0" w:type="dxa"/>
            <w:bottom w:w="0" w:type="dxa"/>
            <w:right w:w="0" w:type="dxa"/>
          </w:tblCellMar>
        </w:tblPrEx>
        <w:trPr>
          <w:trHeight w:val="354" w:hRule="atLeast"/>
        </w:trPr>
        <w:tc>
          <w:tcPr>
            <w:tcW w:w="2990" w:type="dxa"/>
          </w:tcPr>
          <w:p>
            <w:pPr>
              <w:pStyle w:val="31"/>
              <w:spacing w:before="80" w:line="254" w:lineRule="exact"/>
              <w:ind w:left="1370"/>
              <w:rPr>
                <w:sz w:val="24"/>
              </w:rPr>
            </w:pPr>
            <w:r>
              <w:rPr>
                <w:sz w:val="24"/>
              </w:rPr>
              <w:t>签约时间：</w:t>
            </w:r>
          </w:p>
        </w:tc>
        <w:tc>
          <w:tcPr>
            <w:tcW w:w="540" w:type="dxa"/>
          </w:tcPr>
          <w:p>
            <w:pPr>
              <w:pStyle w:val="31"/>
              <w:spacing w:before="80" w:line="254" w:lineRule="exact"/>
              <w:ind w:left="60"/>
              <w:rPr>
                <w:sz w:val="24"/>
              </w:rPr>
            </w:pPr>
            <w:r>
              <w:rPr>
                <w:sz w:val="24"/>
              </w:rPr>
              <w:t>年</w:t>
            </w:r>
          </w:p>
        </w:tc>
        <w:tc>
          <w:tcPr>
            <w:tcW w:w="720" w:type="dxa"/>
          </w:tcPr>
          <w:p>
            <w:pPr>
              <w:pStyle w:val="31"/>
              <w:spacing w:before="80" w:line="254" w:lineRule="exact"/>
              <w:ind w:left="240"/>
              <w:rPr>
                <w:sz w:val="24"/>
              </w:rPr>
            </w:pPr>
            <w:r>
              <w:rPr>
                <w:sz w:val="24"/>
              </w:rPr>
              <w:t>月</w:t>
            </w:r>
          </w:p>
        </w:tc>
        <w:tc>
          <w:tcPr>
            <w:tcW w:w="3410" w:type="dxa"/>
          </w:tcPr>
          <w:p>
            <w:pPr>
              <w:pStyle w:val="31"/>
              <w:spacing w:before="80" w:line="254" w:lineRule="exact"/>
              <w:ind w:left="240"/>
              <w:rPr>
                <w:sz w:val="24"/>
              </w:rPr>
            </w:pPr>
            <w:r>
              <w:rPr>
                <w:sz w:val="24"/>
              </w:rPr>
              <w:t>日</w:t>
            </w:r>
          </w:p>
        </w:tc>
      </w:tr>
    </w:tbl>
    <w:p>
      <w:pPr>
        <w:pStyle w:val="8"/>
        <w:rPr>
          <w:sz w:val="20"/>
        </w:rPr>
      </w:pPr>
    </w:p>
    <w:p>
      <w:pPr>
        <w:pStyle w:val="8"/>
        <w:spacing w:before="4"/>
        <w:rPr>
          <w:sz w:val="26"/>
        </w:rPr>
      </w:pPr>
    </w:p>
    <w:p>
      <w:pPr>
        <w:pStyle w:val="8"/>
        <w:spacing w:before="66" w:line="364" w:lineRule="auto"/>
        <w:ind w:left="160" w:right="8419"/>
      </w:pPr>
      <w:r>
        <w:t>采购代理机构：</w:t>
      </w:r>
      <w:r>
        <w:rPr>
          <w:spacing w:val="1"/>
        </w:rPr>
        <w:t xml:space="preserve"> </w:t>
      </w:r>
      <w:r>
        <w:rPr>
          <w:spacing w:val="-1"/>
        </w:rPr>
        <w:t>负责人或经办人：</w:t>
      </w:r>
    </w:p>
    <w:p>
      <w:pPr>
        <w:pStyle w:val="8"/>
        <w:tabs>
          <w:tab w:val="left" w:pos="1839"/>
          <w:tab w:val="left" w:pos="2559"/>
          <w:tab w:val="left" w:pos="3279"/>
        </w:tabs>
        <w:spacing w:line="306" w:lineRule="exact"/>
        <w:ind w:left="640"/>
      </w:pPr>
      <w:r>
        <w:t>时间：</w:t>
      </w:r>
      <w:r>
        <w:tab/>
      </w:r>
      <w:r>
        <w:t>年</w:t>
      </w:r>
      <w:r>
        <w:tab/>
      </w:r>
      <w:r>
        <w:t>月</w:t>
      </w:r>
      <w:r>
        <w:tab/>
      </w:r>
      <w:r>
        <w:t>日</w:t>
      </w:r>
    </w:p>
    <w:p>
      <w:pPr>
        <w:spacing w:line="306" w:lineRule="exact"/>
        <w:sectPr>
          <w:headerReference r:id="rId18" w:type="default"/>
          <w:footerReference r:id="rId19" w:type="default"/>
          <w:pgSz w:w="12240" w:h="15840"/>
          <w:pgMar w:top="1440" w:right="820" w:bottom="900" w:left="920" w:header="1153" w:footer="708" w:gutter="0"/>
          <w:pgNumType w:fmt="decimal"/>
          <w:cols w:space="720" w:num="1"/>
        </w:sectPr>
      </w:pPr>
    </w:p>
    <w:p>
      <w:pPr>
        <w:pStyle w:val="6"/>
        <w:ind w:left="0" w:right="95"/>
        <w:jc w:val="center"/>
      </w:pPr>
      <w:r>
        <w:t>合同通用条款</w:t>
      </w:r>
    </w:p>
    <w:p>
      <w:pPr>
        <w:pStyle w:val="8"/>
        <w:spacing w:before="185" w:line="364" w:lineRule="auto"/>
        <w:ind w:left="160" w:right="259" w:firstLine="480"/>
        <w:jc w:val="both"/>
      </w:pPr>
      <w:r>
        <w:rPr>
          <w:spacing w:val="-1"/>
        </w:rPr>
        <w:t>根据《中华人民共和国合同法》、《中华人民共和国政府采购法》的规定，合同双方经协商达成一致，自愿订立本合同，遵循公平原则明确双方的权利、义务，确保双方诚实守信地履行合</w:t>
      </w:r>
      <w:r>
        <w:t>同。</w:t>
      </w:r>
    </w:p>
    <w:p>
      <w:pPr>
        <w:pStyle w:val="30"/>
        <w:numPr>
          <w:ilvl w:val="0"/>
          <w:numId w:val="18"/>
        </w:numPr>
        <w:tabs>
          <w:tab w:val="left" w:pos="886"/>
        </w:tabs>
        <w:rPr>
          <w:sz w:val="24"/>
        </w:rPr>
      </w:pPr>
      <w:r>
        <w:rPr>
          <w:sz w:val="24"/>
        </w:rPr>
        <w:t>定义</w:t>
      </w:r>
    </w:p>
    <w:p>
      <w:pPr>
        <w:pStyle w:val="8"/>
        <w:spacing w:before="158"/>
        <w:ind w:left="640"/>
      </w:pPr>
      <w:r>
        <w:t>本合同中的下列术语应解释为：</w:t>
      </w:r>
    </w:p>
    <w:p>
      <w:pPr>
        <w:pStyle w:val="30"/>
        <w:numPr>
          <w:ilvl w:val="1"/>
          <w:numId w:val="18"/>
        </w:numPr>
        <w:tabs>
          <w:tab w:val="left" w:pos="1120"/>
        </w:tabs>
        <w:spacing w:before="160" w:line="362" w:lineRule="auto"/>
        <w:ind w:right="259" w:firstLine="480"/>
        <w:rPr>
          <w:sz w:val="24"/>
        </w:rPr>
      </w:pPr>
      <w:r>
        <w:rPr>
          <w:spacing w:val="-1"/>
          <w:sz w:val="24"/>
        </w:rPr>
        <w:t>“合同”指甲乙双方签署的、载明的甲乙双方权利义务的协议，包括所有的附件、附录</w:t>
      </w:r>
      <w:r>
        <w:rPr>
          <w:sz w:val="24"/>
        </w:rPr>
        <w:t>和上述文件所提到的构成合同的所有文件。</w:t>
      </w:r>
    </w:p>
    <w:p>
      <w:pPr>
        <w:pStyle w:val="30"/>
        <w:numPr>
          <w:ilvl w:val="1"/>
          <w:numId w:val="18"/>
        </w:numPr>
        <w:tabs>
          <w:tab w:val="left" w:pos="1120"/>
        </w:tabs>
        <w:spacing w:before="5" w:line="362" w:lineRule="auto"/>
        <w:ind w:right="259" w:firstLine="480"/>
        <w:rPr>
          <w:sz w:val="24"/>
        </w:rPr>
      </w:pPr>
      <w:r>
        <w:rPr>
          <w:spacing w:val="-1"/>
          <w:sz w:val="24"/>
        </w:rPr>
        <w:t>“合同金额”指根据合同规定，乙方在正确地完全履行合同义务后甲方应付给乙方的价</w:t>
      </w:r>
      <w:r>
        <w:rPr>
          <w:sz w:val="24"/>
        </w:rPr>
        <w:t>款。</w:t>
      </w:r>
    </w:p>
    <w:p>
      <w:pPr>
        <w:pStyle w:val="30"/>
        <w:numPr>
          <w:ilvl w:val="1"/>
          <w:numId w:val="18"/>
        </w:numPr>
        <w:tabs>
          <w:tab w:val="left" w:pos="1120"/>
        </w:tabs>
        <w:spacing w:before="5"/>
        <w:ind w:left="1120"/>
        <w:rPr>
          <w:sz w:val="24"/>
        </w:rPr>
      </w:pPr>
      <w:r>
        <w:rPr>
          <w:sz w:val="24"/>
        </w:rPr>
        <w:t>“合同条款”指本合同条款。</w:t>
      </w:r>
    </w:p>
    <w:p>
      <w:pPr>
        <w:pStyle w:val="30"/>
        <w:numPr>
          <w:ilvl w:val="1"/>
          <w:numId w:val="18"/>
        </w:numPr>
        <w:tabs>
          <w:tab w:val="left" w:pos="1120"/>
        </w:tabs>
        <w:spacing w:before="158" w:line="364" w:lineRule="auto"/>
        <w:ind w:right="259" w:firstLine="480"/>
        <w:rPr>
          <w:sz w:val="24"/>
        </w:rPr>
      </w:pPr>
      <w:r>
        <w:rPr>
          <w:spacing w:val="-1"/>
          <w:sz w:val="24"/>
        </w:rPr>
        <w:t>“货物”指乙方根据合同约定须向甲方提供的一切产品、设备、机械、仪表、备件等，</w:t>
      </w:r>
      <w:r>
        <w:rPr>
          <w:spacing w:val="-117"/>
          <w:sz w:val="24"/>
        </w:rPr>
        <w:t xml:space="preserve"> </w:t>
      </w:r>
      <w:r>
        <w:rPr>
          <w:sz w:val="24"/>
        </w:rPr>
        <w:t>包括辅助工具、使用手册等相关资料。</w:t>
      </w:r>
    </w:p>
    <w:p>
      <w:pPr>
        <w:pStyle w:val="30"/>
        <w:numPr>
          <w:ilvl w:val="1"/>
          <w:numId w:val="18"/>
        </w:numPr>
        <w:tabs>
          <w:tab w:val="left" w:pos="1120"/>
        </w:tabs>
        <w:spacing w:before="2" w:line="362" w:lineRule="auto"/>
        <w:ind w:right="259" w:firstLine="480"/>
        <w:rPr>
          <w:sz w:val="24"/>
        </w:rPr>
      </w:pPr>
      <w:r>
        <w:rPr>
          <w:spacing w:val="-1"/>
          <w:sz w:val="24"/>
        </w:rPr>
        <w:t>“服务”指根据本合同规定乙方承担与供货有关的辅助服务，如运输、保险及安装、调</w:t>
      </w:r>
      <w:r>
        <w:rPr>
          <w:sz w:val="24"/>
        </w:rPr>
        <w:t>试、提供技术援助、培训和合同中规定乙方应承担的其它义务。</w:t>
      </w:r>
    </w:p>
    <w:p>
      <w:pPr>
        <w:pStyle w:val="30"/>
        <w:numPr>
          <w:ilvl w:val="1"/>
          <w:numId w:val="18"/>
        </w:numPr>
        <w:tabs>
          <w:tab w:val="left" w:pos="1120"/>
        </w:tabs>
        <w:spacing w:before="2"/>
        <w:ind w:left="1120"/>
        <w:rPr>
          <w:sz w:val="24"/>
        </w:rPr>
      </w:pPr>
      <w:r>
        <w:rPr>
          <w:sz w:val="24"/>
        </w:rPr>
        <w:t>“甲方”指购买货物和服务的单位。</w:t>
      </w:r>
    </w:p>
    <w:p>
      <w:pPr>
        <w:pStyle w:val="30"/>
        <w:numPr>
          <w:ilvl w:val="1"/>
          <w:numId w:val="18"/>
        </w:numPr>
        <w:tabs>
          <w:tab w:val="left" w:pos="1120"/>
        </w:tabs>
        <w:spacing w:before="161"/>
        <w:ind w:left="1120"/>
        <w:rPr>
          <w:sz w:val="24"/>
        </w:rPr>
      </w:pPr>
      <w:r>
        <w:rPr>
          <w:sz w:val="24"/>
        </w:rPr>
        <w:t>“乙方”指提供本合同条款下货物和服务的公司或其他实体。</w:t>
      </w:r>
    </w:p>
    <w:p>
      <w:pPr>
        <w:pStyle w:val="30"/>
        <w:numPr>
          <w:ilvl w:val="1"/>
          <w:numId w:val="18"/>
        </w:numPr>
        <w:tabs>
          <w:tab w:val="left" w:pos="1120"/>
        </w:tabs>
        <w:spacing w:before="158"/>
        <w:ind w:left="1120"/>
        <w:rPr>
          <w:sz w:val="24"/>
        </w:rPr>
      </w:pPr>
      <w:r>
        <w:rPr>
          <w:sz w:val="24"/>
        </w:rPr>
        <w:t>“现场”指合同规定货物将要运至和安装的地点。</w:t>
      </w:r>
    </w:p>
    <w:p>
      <w:pPr>
        <w:pStyle w:val="30"/>
        <w:numPr>
          <w:ilvl w:val="1"/>
          <w:numId w:val="18"/>
        </w:numPr>
        <w:tabs>
          <w:tab w:val="left" w:pos="1120"/>
        </w:tabs>
        <w:spacing w:before="160" w:line="364" w:lineRule="auto"/>
        <w:ind w:right="259" w:firstLine="480"/>
        <w:rPr>
          <w:sz w:val="24"/>
        </w:rPr>
      </w:pPr>
      <w:r>
        <w:rPr>
          <w:spacing w:val="-1"/>
          <w:sz w:val="24"/>
        </w:rPr>
        <w:t>“验收”指合同双方依据强制性的国家技术质量规范和合同约定，确认合同条款下的货</w:t>
      </w:r>
      <w:r>
        <w:rPr>
          <w:sz w:val="24"/>
        </w:rPr>
        <w:t>物符合合同规定的活动。</w:t>
      </w:r>
    </w:p>
    <w:p>
      <w:pPr>
        <w:pStyle w:val="30"/>
        <w:numPr>
          <w:ilvl w:val="1"/>
          <w:numId w:val="18"/>
        </w:numPr>
        <w:tabs>
          <w:tab w:val="left" w:pos="1121"/>
        </w:tabs>
        <w:spacing w:line="364" w:lineRule="auto"/>
        <w:ind w:right="259" w:firstLine="480"/>
        <w:rPr>
          <w:sz w:val="24"/>
        </w:rPr>
      </w:pPr>
      <w:r>
        <w:rPr>
          <w:spacing w:val="-1"/>
          <w:sz w:val="24"/>
        </w:rPr>
        <w:t>原厂商：产品制造商或其在中国境内设立的办事或技术服务机构。除另有说明外，本合</w:t>
      </w:r>
      <w:r>
        <w:rPr>
          <w:sz w:val="24"/>
        </w:rPr>
        <w:t>同文件所述的制造商、产品制造商、制造厂家、产品制造厂家均为原厂商。</w:t>
      </w:r>
    </w:p>
    <w:p>
      <w:pPr>
        <w:pStyle w:val="30"/>
        <w:numPr>
          <w:ilvl w:val="1"/>
          <w:numId w:val="18"/>
        </w:numPr>
        <w:tabs>
          <w:tab w:val="left" w:pos="1240"/>
        </w:tabs>
        <w:spacing w:line="306" w:lineRule="exact"/>
        <w:ind w:left="1240" w:hanging="600"/>
        <w:rPr>
          <w:sz w:val="24"/>
        </w:rPr>
      </w:pPr>
      <w:r>
        <w:rPr>
          <w:sz w:val="24"/>
        </w:rPr>
        <w:t>原产地：指产品的生产地，或提供服务的来源地。</w:t>
      </w:r>
    </w:p>
    <w:p>
      <w:pPr>
        <w:pStyle w:val="30"/>
        <w:numPr>
          <w:ilvl w:val="1"/>
          <w:numId w:val="18"/>
        </w:numPr>
        <w:tabs>
          <w:tab w:val="left" w:pos="1240"/>
        </w:tabs>
        <w:spacing w:before="159" w:line="362" w:lineRule="auto"/>
        <w:ind w:left="642" w:right="3739" w:hanging="3"/>
        <w:rPr>
          <w:sz w:val="24"/>
        </w:rPr>
      </w:pPr>
      <w:r>
        <w:rPr>
          <w:spacing w:val="-1"/>
          <w:sz w:val="24"/>
        </w:rPr>
        <w:t>“工作日”指国家法定工作日，“天”指日历天数。</w:t>
      </w:r>
      <w:r>
        <w:rPr>
          <w:sz w:val="24"/>
        </w:rPr>
        <w:t>2.技术规格要求</w:t>
      </w:r>
    </w:p>
    <w:p>
      <w:pPr>
        <w:pStyle w:val="30"/>
        <w:numPr>
          <w:ilvl w:val="1"/>
          <w:numId w:val="19"/>
        </w:numPr>
        <w:tabs>
          <w:tab w:val="left" w:pos="1120"/>
        </w:tabs>
        <w:spacing w:before="5" w:line="362" w:lineRule="auto"/>
        <w:ind w:right="259" w:firstLine="480"/>
        <w:rPr>
          <w:sz w:val="24"/>
        </w:rPr>
      </w:pPr>
      <w:r>
        <w:rPr>
          <w:spacing w:val="-1"/>
          <w:sz w:val="24"/>
        </w:rPr>
        <w:t>本合同条款下提交货物的技术规格要求应等于或优于招响应文件技术规格要求。若技术</w:t>
      </w:r>
      <w:r>
        <w:rPr>
          <w:sz w:val="24"/>
        </w:rPr>
        <w:t>规格要求中无相应规定，则应符合相应的国家有关部门最新颁布的相应正式标准。</w:t>
      </w:r>
    </w:p>
    <w:p>
      <w:pPr>
        <w:spacing w:line="362" w:lineRule="auto"/>
        <w:rPr>
          <w:sz w:val="24"/>
        </w:rPr>
        <w:sectPr>
          <w:pgSz w:w="12240" w:h="15840"/>
          <w:pgMar w:top="1440" w:right="820" w:bottom="900" w:left="920" w:header="1153" w:footer="708" w:gutter="0"/>
          <w:pgNumType w:fmt="decimal"/>
          <w:cols w:space="720" w:num="1"/>
        </w:sectPr>
      </w:pPr>
    </w:p>
    <w:p>
      <w:pPr>
        <w:pStyle w:val="8"/>
        <w:spacing w:line="20" w:lineRule="exact"/>
        <w:ind w:left="160"/>
        <w:rPr>
          <w:sz w:val="2"/>
        </w:rPr>
      </w:pPr>
      <w:r>
        <w:rPr>
          <w:sz w:val="2"/>
        </w:rPr>
        <w:pict>
          <v:group id="_x0000_s1045" o:spid="_x0000_s1045" o:spt="203" style="height:1pt;width:504pt;" coordsize="10080,20">
            <o:lock v:ext="edit"/>
            <v:rect id="_x0000_s1046" o:spid="_x0000_s1046" o:spt="1" style="position:absolute;left:0;top:0;height:20;width:10080;" fillcolor="#000000" filled="t" stroked="f" coordsize="21600,21600">
              <v:path/>
              <v:fill on="t" focussize="0,0"/>
              <v:stroke on="f"/>
              <v:imagedata o:title=""/>
              <o:lock v:ext="edit"/>
            </v:rect>
            <w10:wrap type="none"/>
            <w10:anchorlock/>
          </v:group>
        </w:pict>
      </w:r>
    </w:p>
    <w:p>
      <w:pPr>
        <w:pStyle w:val="30"/>
        <w:numPr>
          <w:ilvl w:val="1"/>
          <w:numId w:val="19"/>
        </w:numPr>
        <w:tabs>
          <w:tab w:val="left" w:pos="1120"/>
        </w:tabs>
        <w:spacing w:before="23"/>
        <w:ind w:left="1120"/>
        <w:jc w:val="both"/>
        <w:rPr>
          <w:sz w:val="24"/>
        </w:rPr>
      </w:pPr>
      <w:r>
        <w:rPr>
          <w:sz w:val="24"/>
        </w:rPr>
        <w:t>乙方应向甲方提供货物及服务有关的标准的中文文本。</w:t>
      </w:r>
    </w:p>
    <w:p>
      <w:pPr>
        <w:pStyle w:val="30"/>
        <w:numPr>
          <w:ilvl w:val="1"/>
          <w:numId w:val="19"/>
        </w:numPr>
        <w:tabs>
          <w:tab w:val="left" w:pos="1120"/>
        </w:tabs>
        <w:spacing w:before="158" w:line="364" w:lineRule="auto"/>
        <w:ind w:left="642" w:right="1459" w:hanging="3"/>
        <w:jc w:val="both"/>
        <w:rPr>
          <w:sz w:val="24"/>
        </w:rPr>
      </w:pPr>
      <w:r>
        <w:rPr>
          <w:spacing w:val="-1"/>
          <w:sz w:val="24"/>
        </w:rPr>
        <w:t>除非技术规范中另有规定，计量单位均采用中华人民共和国法定计量单位。</w:t>
      </w:r>
      <w:r>
        <w:rPr>
          <w:sz w:val="24"/>
        </w:rPr>
        <w:t>3.合同范围</w:t>
      </w:r>
    </w:p>
    <w:p>
      <w:pPr>
        <w:pStyle w:val="30"/>
        <w:numPr>
          <w:ilvl w:val="1"/>
          <w:numId w:val="20"/>
        </w:numPr>
        <w:tabs>
          <w:tab w:val="left" w:pos="1120"/>
        </w:tabs>
        <w:spacing w:before="1" w:line="364" w:lineRule="auto"/>
        <w:ind w:right="259" w:firstLine="480"/>
        <w:jc w:val="both"/>
        <w:rPr>
          <w:sz w:val="24"/>
        </w:rPr>
      </w:pPr>
      <w:r>
        <w:rPr>
          <w:spacing w:val="-1"/>
          <w:sz w:val="24"/>
        </w:rPr>
        <w:t>甲方同意从乙方处购买且乙方同意向甲方提供的货物及其附属货物，消耗性材料、专用工具等，包括各项技术服务、技术培训及满足合同货物组装、检验、培训、技术服务、安装调试</w:t>
      </w:r>
      <w:r>
        <w:rPr>
          <w:sz w:val="24"/>
        </w:rPr>
        <w:t>指导、性能测试、正常运行及维修所必需的技术文件。</w:t>
      </w:r>
    </w:p>
    <w:p>
      <w:pPr>
        <w:pStyle w:val="30"/>
        <w:numPr>
          <w:ilvl w:val="1"/>
          <w:numId w:val="20"/>
        </w:numPr>
        <w:tabs>
          <w:tab w:val="left" w:pos="1120"/>
        </w:tabs>
        <w:spacing w:line="305" w:lineRule="exact"/>
        <w:ind w:left="1120"/>
        <w:jc w:val="both"/>
        <w:rPr>
          <w:sz w:val="24"/>
        </w:rPr>
      </w:pPr>
      <w:r>
        <w:rPr>
          <w:sz w:val="24"/>
        </w:rPr>
        <w:t>乙方应负责培训甲方的技术人员。</w:t>
      </w:r>
    </w:p>
    <w:p>
      <w:pPr>
        <w:pStyle w:val="30"/>
        <w:numPr>
          <w:ilvl w:val="1"/>
          <w:numId w:val="20"/>
        </w:numPr>
        <w:tabs>
          <w:tab w:val="left" w:pos="1120"/>
        </w:tabs>
        <w:spacing w:before="160" w:line="364" w:lineRule="auto"/>
        <w:ind w:right="259" w:firstLine="480"/>
        <w:jc w:val="both"/>
        <w:rPr>
          <w:sz w:val="24"/>
        </w:rPr>
      </w:pPr>
      <w:r>
        <w:rPr>
          <w:spacing w:val="-1"/>
          <w:sz w:val="24"/>
        </w:rPr>
        <w:t>按照甲方的要求，乙方应在合同规定的质量保证期和免费保修期内，免费负责修理或更换有缺陷的零部件或整机，对软件产品进行免费升级，同时在合同规定的质量保证期和免费保修</w:t>
      </w:r>
      <w:r>
        <w:rPr>
          <w:sz w:val="24"/>
        </w:rPr>
        <w:t>期满后，以最优惠的价格，向买方提供合同货物大修和维护所需的配件及服务。</w:t>
      </w:r>
    </w:p>
    <w:p>
      <w:pPr>
        <w:pStyle w:val="30"/>
        <w:numPr>
          <w:ilvl w:val="0"/>
          <w:numId w:val="21"/>
        </w:numPr>
        <w:tabs>
          <w:tab w:val="left" w:pos="886"/>
        </w:tabs>
        <w:spacing w:line="304" w:lineRule="exact"/>
        <w:rPr>
          <w:sz w:val="24"/>
        </w:rPr>
      </w:pPr>
      <w:r>
        <w:rPr>
          <w:sz w:val="24"/>
        </w:rPr>
        <w:t>合同文件和资料</w:t>
      </w:r>
    </w:p>
    <w:p>
      <w:pPr>
        <w:pStyle w:val="30"/>
        <w:numPr>
          <w:ilvl w:val="1"/>
          <w:numId w:val="21"/>
        </w:numPr>
        <w:tabs>
          <w:tab w:val="left" w:pos="1001"/>
        </w:tabs>
        <w:spacing w:before="161" w:line="362" w:lineRule="auto"/>
        <w:ind w:right="139" w:firstLine="480"/>
        <w:rPr>
          <w:sz w:val="24"/>
        </w:rPr>
      </w:pPr>
      <w:r>
        <w:rPr>
          <w:spacing w:val="-11"/>
          <w:sz w:val="24"/>
        </w:rPr>
        <w:t>乙方在提供仪器设备时应同时提供中文版相关的技术资料，如目录索引、图纸、操作手册、</w:t>
      </w:r>
      <w:r>
        <w:rPr>
          <w:sz w:val="24"/>
        </w:rPr>
        <w:t>使用指南、维修指南、服务手册等。</w:t>
      </w:r>
    </w:p>
    <w:p>
      <w:pPr>
        <w:pStyle w:val="30"/>
        <w:numPr>
          <w:ilvl w:val="1"/>
          <w:numId w:val="21"/>
        </w:numPr>
        <w:tabs>
          <w:tab w:val="left" w:pos="1003"/>
        </w:tabs>
        <w:spacing w:before="5" w:line="364" w:lineRule="auto"/>
        <w:ind w:right="259" w:firstLine="480"/>
        <w:jc w:val="both"/>
        <w:rPr>
          <w:sz w:val="24"/>
        </w:rPr>
      </w:pPr>
      <w:r>
        <w:rPr>
          <w:sz w:val="24"/>
        </w:rPr>
        <w:t>未经甲方事先的书面同意，乙方不得将由甲方或代表甲方提供的有关合同或任何合同条</w:t>
      </w:r>
      <w:r>
        <w:rPr>
          <w:spacing w:val="-1"/>
          <w:sz w:val="24"/>
        </w:rPr>
        <w:t>文、规格、计划或资料提供给与履行本合同无关的任何其他人，如向与履行本合同有关的人员提</w:t>
      </w:r>
      <w:r>
        <w:rPr>
          <w:sz w:val="24"/>
        </w:rPr>
        <w:t>供，则应严格保密并限于履行本合同所必须的范围。</w:t>
      </w:r>
    </w:p>
    <w:p>
      <w:pPr>
        <w:pStyle w:val="30"/>
        <w:numPr>
          <w:ilvl w:val="0"/>
          <w:numId w:val="21"/>
        </w:numPr>
        <w:tabs>
          <w:tab w:val="left" w:pos="886"/>
        </w:tabs>
        <w:spacing w:line="307" w:lineRule="exact"/>
        <w:rPr>
          <w:sz w:val="24"/>
        </w:rPr>
      </w:pPr>
      <w:r>
        <w:rPr>
          <w:sz w:val="24"/>
        </w:rPr>
        <w:t>知识产权</w:t>
      </w:r>
    </w:p>
    <w:p>
      <w:pPr>
        <w:pStyle w:val="30"/>
        <w:numPr>
          <w:ilvl w:val="1"/>
          <w:numId w:val="21"/>
        </w:numPr>
        <w:tabs>
          <w:tab w:val="left" w:pos="1001"/>
        </w:tabs>
        <w:spacing w:before="158" w:line="364" w:lineRule="auto"/>
        <w:ind w:right="139" w:firstLine="480"/>
        <w:rPr>
          <w:sz w:val="24"/>
        </w:rPr>
      </w:pPr>
      <w:r>
        <w:rPr>
          <w:spacing w:val="-1"/>
          <w:sz w:val="24"/>
        </w:rPr>
        <w:t>乙方应保证甲方在使用该货物或其任何一部分时不受第三方提出的侵犯专利权、著作权、</w:t>
      </w:r>
      <w:r>
        <w:rPr>
          <w:sz w:val="24"/>
        </w:rPr>
        <w:t>商标权和工业设计权等的起诉。</w:t>
      </w:r>
    </w:p>
    <w:p>
      <w:pPr>
        <w:pStyle w:val="30"/>
        <w:numPr>
          <w:ilvl w:val="1"/>
          <w:numId w:val="21"/>
        </w:numPr>
        <w:tabs>
          <w:tab w:val="left" w:pos="1001"/>
        </w:tabs>
        <w:spacing w:line="364" w:lineRule="auto"/>
        <w:ind w:right="259" w:firstLine="480"/>
        <w:rPr>
          <w:sz w:val="24"/>
        </w:rPr>
      </w:pPr>
      <w:r>
        <w:rPr>
          <w:spacing w:val="-8"/>
          <w:sz w:val="24"/>
        </w:rPr>
        <w:t>任何第三方提出侵权指控，乙方须与第三方交涉并承担由此产生的一切责任、费用和经济</w:t>
      </w:r>
      <w:r>
        <w:rPr>
          <w:sz w:val="24"/>
        </w:rPr>
        <w:t>赔偿。</w:t>
      </w:r>
    </w:p>
    <w:p>
      <w:pPr>
        <w:pStyle w:val="30"/>
        <w:numPr>
          <w:ilvl w:val="1"/>
          <w:numId w:val="21"/>
        </w:numPr>
        <w:tabs>
          <w:tab w:val="left" w:pos="1001"/>
        </w:tabs>
        <w:spacing w:line="364" w:lineRule="auto"/>
        <w:ind w:right="259" w:firstLine="480"/>
        <w:jc w:val="both"/>
        <w:rPr>
          <w:sz w:val="24"/>
        </w:rPr>
      </w:pPr>
      <w:r>
        <w:rPr>
          <w:spacing w:val="-9"/>
          <w:sz w:val="24"/>
        </w:rPr>
        <w:t>双方应共同遵守国家有关版权、专利、商标等知识产权方面的法律规定，相互尊重对方的</w:t>
      </w:r>
      <w:r>
        <w:rPr>
          <w:spacing w:val="-1"/>
          <w:sz w:val="24"/>
        </w:rPr>
        <w:t>知识产权，对本合同内容、对方的技术秘密和商业秘密负有保密责任。如有违反，违约方负相关</w:t>
      </w:r>
      <w:r>
        <w:rPr>
          <w:sz w:val="24"/>
        </w:rPr>
        <w:t>法律责任。</w:t>
      </w:r>
    </w:p>
    <w:p>
      <w:pPr>
        <w:pStyle w:val="30"/>
        <w:numPr>
          <w:ilvl w:val="1"/>
          <w:numId w:val="21"/>
        </w:numPr>
        <w:tabs>
          <w:tab w:val="left" w:pos="1001"/>
        </w:tabs>
        <w:spacing w:line="362" w:lineRule="auto"/>
        <w:ind w:right="139" w:firstLine="480"/>
        <w:rPr>
          <w:sz w:val="24"/>
        </w:rPr>
      </w:pPr>
      <w:r>
        <w:rPr>
          <w:spacing w:val="-1"/>
          <w:sz w:val="24"/>
        </w:rPr>
        <w:t>在本合同生效时已经存在并为各方合法拥有或使用的所有技术、资料和信息的知识产权，</w:t>
      </w:r>
      <w:r>
        <w:rPr>
          <w:spacing w:val="-117"/>
          <w:sz w:val="24"/>
        </w:rPr>
        <w:t xml:space="preserve"> </w:t>
      </w:r>
      <w:r>
        <w:rPr>
          <w:sz w:val="24"/>
        </w:rPr>
        <w:t>仍应属于其各自的原权利人所有或享有，另有约定的除外。</w:t>
      </w:r>
    </w:p>
    <w:p>
      <w:pPr>
        <w:pStyle w:val="30"/>
        <w:numPr>
          <w:ilvl w:val="1"/>
          <w:numId w:val="21"/>
        </w:numPr>
        <w:tabs>
          <w:tab w:val="left" w:pos="1001"/>
        </w:tabs>
        <w:spacing w:before="2" w:line="362" w:lineRule="auto"/>
        <w:ind w:right="259" w:firstLine="480"/>
        <w:rPr>
          <w:sz w:val="24"/>
        </w:rPr>
      </w:pPr>
      <w:r>
        <w:rPr>
          <w:spacing w:val="-6"/>
          <w:sz w:val="24"/>
        </w:rPr>
        <w:t>乙方保证拥有由其提供给甲方的所有软件的合法使用权，并且已获得进行许可的正当授权</w:t>
      </w:r>
      <w:r>
        <w:rPr>
          <w:spacing w:val="-1"/>
          <w:sz w:val="24"/>
        </w:rPr>
        <w:t>及其有权将软件许可及其相关材料授权或转让给甲方。甲方可独立对本合同条款下软件产品进行</w:t>
      </w:r>
    </w:p>
    <w:p>
      <w:pPr>
        <w:spacing w:line="362" w:lineRule="auto"/>
        <w:rPr>
          <w:sz w:val="24"/>
        </w:rPr>
        <w:sectPr>
          <w:headerReference r:id="rId20" w:type="default"/>
          <w:footerReference r:id="rId21" w:type="default"/>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47" o:spid="_x0000_s1047" o:spt="203" style="height:1pt;width:504pt;" coordsize="10080,20">
            <o:lock v:ext="edit"/>
            <v:rect id="_x0000_s1048" o:spid="_x0000_s1048" o:spt="1" style="position:absolute;left:0;top:0;height:20;width:10080;" fillcolor="#000000" filled="t" stroked="f" coordsize="21600,21600">
              <v:path/>
              <v:fill on="t" focussize="0,0"/>
              <v:stroke on="f"/>
              <v:imagedata o:title=""/>
              <o:lock v:ext="edit"/>
            </v:rect>
            <w10:wrap type="none"/>
            <w10:anchorlock/>
          </v:group>
        </w:pict>
      </w:r>
    </w:p>
    <w:p>
      <w:pPr>
        <w:pStyle w:val="8"/>
        <w:spacing w:before="23" w:line="362" w:lineRule="auto"/>
        <w:ind w:left="160" w:right="259"/>
      </w:pPr>
      <w:r>
        <w:rPr>
          <w:spacing w:val="-1"/>
        </w:rPr>
        <w:t>后续开发，不受版权限制。乙方承诺并保证甲方除本协议的付款义务外无需支付任何其它的许可</w:t>
      </w:r>
      <w:r>
        <w:t>使用费，以非独家的、永久的、全球的、不可撤销的方式使用本合同条款下软件产品。</w:t>
      </w:r>
    </w:p>
    <w:p>
      <w:pPr>
        <w:pStyle w:val="30"/>
        <w:numPr>
          <w:ilvl w:val="0"/>
          <w:numId w:val="21"/>
        </w:numPr>
        <w:tabs>
          <w:tab w:val="left" w:pos="886"/>
        </w:tabs>
        <w:spacing w:before="5"/>
        <w:rPr>
          <w:sz w:val="24"/>
        </w:rPr>
      </w:pPr>
      <w:r>
        <w:rPr>
          <w:sz w:val="24"/>
        </w:rPr>
        <w:t>保密</w:t>
      </w:r>
    </w:p>
    <w:p>
      <w:pPr>
        <w:pStyle w:val="30"/>
        <w:numPr>
          <w:ilvl w:val="1"/>
          <w:numId w:val="21"/>
        </w:numPr>
        <w:tabs>
          <w:tab w:val="left" w:pos="1001"/>
        </w:tabs>
        <w:spacing w:before="160" w:line="364" w:lineRule="auto"/>
        <w:ind w:right="259" w:firstLine="480"/>
        <w:jc w:val="both"/>
        <w:rPr>
          <w:sz w:val="24"/>
        </w:rPr>
      </w:pPr>
      <w:r>
        <w:rPr>
          <w:spacing w:val="-7"/>
          <w:sz w:val="24"/>
        </w:rPr>
        <w:t>在本合同履行期间及履行完毕后的任何时候，任何一方均应对因履行本合同从对方获取或</w:t>
      </w:r>
      <w:r>
        <w:rPr>
          <w:spacing w:val="-1"/>
          <w:sz w:val="24"/>
        </w:rPr>
        <w:t>知悉的保密信息承担保密责任，未经对方书面同意不得向第三方透露，否则应赔偿由此给对方造</w:t>
      </w:r>
      <w:r>
        <w:rPr>
          <w:sz w:val="24"/>
        </w:rPr>
        <w:t>成的全部损失。</w:t>
      </w:r>
    </w:p>
    <w:p>
      <w:pPr>
        <w:pStyle w:val="30"/>
        <w:numPr>
          <w:ilvl w:val="1"/>
          <w:numId w:val="21"/>
        </w:numPr>
        <w:tabs>
          <w:tab w:val="left" w:pos="1001"/>
        </w:tabs>
        <w:spacing w:line="364" w:lineRule="auto"/>
        <w:ind w:right="259" w:firstLine="480"/>
        <w:rPr>
          <w:sz w:val="24"/>
        </w:rPr>
      </w:pPr>
      <w:r>
        <w:rPr>
          <w:spacing w:val="-6"/>
          <w:sz w:val="24"/>
        </w:rPr>
        <w:t>保密信息指任何一方因履行本合同所知悉的任何以口头、书面、图表或电子形式存在的对</w:t>
      </w:r>
      <w:r>
        <w:rPr>
          <w:sz w:val="24"/>
        </w:rPr>
        <w:t>方信息，具体包括：</w:t>
      </w:r>
    </w:p>
    <w:p>
      <w:pPr>
        <w:pStyle w:val="30"/>
        <w:numPr>
          <w:ilvl w:val="2"/>
          <w:numId w:val="21"/>
        </w:numPr>
        <w:tabs>
          <w:tab w:val="left" w:pos="1241"/>
        </w:tabs>
        <w:spacing w:line="362" w:lineRule="auto"/>
        <w:ind w:right="259" w:firstLine="480"/>
        <w:rPr>
          <w:sz w:val="24"/>
        </w:rPr>
      </w:pPr>
      <w:r>
        <w:rPr>
          <w:spacing w:val="-9"/>
          <w:sz w:val="24"/>
        </w:rPr>
        <w:t>任何涉及对方过去、现在或将来的商业计划、规章制度、操作规程、处理手段、财务信</w:t>
      </w:r>
      <w:r>
        <w:rPr>
          <w:sz w:val="24"/>
        </w:rPr>
        <w:t>息；</w:t>
      </w:r>
    </w:p>
    <w:p>
      <w:pPr>
        <w:pStyle w:val="30"/>
        <w:numPr>
          <w:ilvl w:val="2"/>
          <w:numId w:val="21"/>
        </w:numPr>
        <w:tabs>
          <w:tab w:val="left" w:pos="1241"/>
        </w:tabs>
        <w:spacing w:before="1" w:line="364" w:lineRule="auto"/>
        <w:ind w:right="259" w:firstLine="480"/>
        <w:rPr>
          <w:sz w:val="24"/>
        </w:rPr>
      </w:pPr>
      <w:r>
        <w:rPr>
          <w:spacing w:val="-9"/>
          <w:sz w:val="24"/>
        </w:rPr>
        <w:t>任何对方的技术措施、技术方案、软件应用及开发，硬件设备的品种、质量、数量、品</w:t>
      </w:r>
      <w:r>
        <w:rPr>
          <w:sz w:val="24"/>
        </w:rPr>
        <w:t>牌等；</w:t>
      </w:r>
    </w:p>
    <w:p>
      <w:pPr>
        <w:pStyle w:val="30"/>
        <w:numPr>
          <w:ilvl w:val="2"/>
          <w:numId w:val="21"/>
        </w:numPr>
        <w:tabs>
          <w:tab w:val="left" w:pos="1241"/>
        </w:tabs>
        <w:spacing w:line="364" w:lineRule="auto"/>
        <w:ind w:right="253" w:firstLine="480"/>
        <w:rPr>
          <w:sz w:val="24"/>
        </w:rPr>
      </w:pPr>
      <w:r>
        <w:rPr>
          <w:spacing w:val="-9"/>
          <w:sz w:val="24"/>
        </w:rPr>
        <w:t>任何对方的技术秘密或专有知识、文件、报告、数据、客户软件、流程图、数据库、发</w:t>
      </w:r>
      <w:r>
        <w:rPr>
          <w:sz w:val="24"/>
        </w:rPr>
        <w:t>明、知识、贸易秘密。</w:t>
      </w:r>
    </w:p>
    <w:p>
      <w:pPr>
        <w:pStyle w:val="30"/>
        <w:numPr>
          <w:ilvl w:val="1"/>
          <w:numId w:val="21"/>
        </w:numPr>
        <w:tabs>
          <w:tab w:val="left" w:pos="1001"/>
        </w:tabs>
        <w:spacing w:line="362" w:lineRule="auto"/>
        <w:ind w:right="259" w:firstLine="480"/>
        <w:rPr>
          <w:sz w:val="24"/>
        </w:rPr>
      </w:pPr>
      <w:r>
        <w:rPr>
          <w:spacing w:val="-6"/>
          <w:sz w:val="24"/>
        </w:rPr>
        <w:t>乙方应根据甲方的要求签署相应的保密协议，保密协议与本条款存在不一致的，以保密协</w:t>
      </w:r>
      <w:r>
        <w:rPr>
          <w:sz w:val="24"/>
        </w:rPr>
        <w:t>议为准。</w:t>
      </w:r>
    </w:p>
    <w:p>
      <w:pPr>
        <w:pStyle w:val="30"/>
        <w:numPr>
          <w:ilvl w:val="0"/>
          <w:numId w:val="21"/>
        </w:numPr>
        <w:tabs>
          <w:tab w:val="left" w:pos="1005"/>
        </w:tabs>
        <w:spacing w:before="5" w:line="362" w:lineRule="auto"/>
        <w:ind w:left="640" w:right="8059" w:firstLine="2"/>
        <w:rPr>
          <w:sz w:val="24"/>
        </w:rPr>
      </w:pPr>
      <w:r>
        <w:rPr>
          <w:sz w:val="24"/>
        </w:rPr>
        <w:t>质量保证</w:t>
      </w:r>
      <w:r>
        <w:rPr>
          <w:spacing w:val="1"/>
          <w:sz w:val="24"/>
        </w:rPr>
        <w:t xml:space="preserve"> </w:t>
      </w:r>
      <w:r>
        <w:rPr>
          <w:spacing w:val="-1"/>
          <w:sz w:val="24"/>
        </w:rPr>
        <w:t>7.1货物质量保证</w:t>
      </w:r>
    </w:p>
    <w:p>
      <w:pPr>
        <w:pStyle w:val="30"/>
        <w:numPr>
          <w:ilvl w:val="2"/>
          <w:numId w:val="22"/>
        </w:numPr>
        <w:tabs>
          <w:tab w:val="left" w:pos="1241"/>
        </w:tabs>
        <w:spacing w:before="5" w:line="362" w:lineRule="auto"/>
        <w:ind w:right="259" w:firstLine="480"/>
        <w:rPr>
          <w:sz w:val="24"/>
        </w:rPr>
      </w:pPr>
      <w:r>
        <w:rPr>
          <w:spacing w:val="-9"/>
          <w:sz w:val="24"/>
        </w:rPr>
        <w:t>乙方必须保证货物是全新、未使用过的，并完全符合强制性的国家技术质量规范和合同</w:t>
      </w:r>
      <w:r>
        <w:rPr>
          <w:sz w:val="24"/>
        </w:rPr>
        <w:t>规定的质量、规格、性能和技术规范等的要求。</w:t>
      </w:r>
    </w:p>
    <w:p>
      <w:pPr>
        <w:pStyle w:val="30"/>
        <w:numPr>
          <w:ilvl w:val="2"/>
          <w:numId w:val="22"/>
        </w:numPr>
        <w:tabs>
          <w:tab w:val="left" w:pos="1241"/>
        </w:tabs>
        <w:spacing w:before="5" w:line="364" w:lineRule="auto"/>
        <w:ind w:right="259" w:firstLine="480"/>
        <w:jc w:val="both"/>
        <w:rPr>
          <w:sz w:val="24"/>
        </w:rPr>
      </w:pPr>
      <w:r>
        <w:rPr>
          <w:spacing w:val="-8"/>
          <w:sz w:val="24"/>
        </w:rPr>
        <w:t>乙方须保证所提供的货物经正确安装、正常运转和保养，在其使用寿命期内须具有符合</w:t>
      </w:r>
      <w:r>
        <w:rPr>
          <w:spacing w:val="-1"/>
          <w:sz w:val="24"/>
        </w:rPr>
        <w:t>质量要求和产品说明书的性能。在货物质量保证期之内，乙方须对由于设计、工艺或材料的缺陷</w:t>
      </w:r>
      <w:r>
        <w:rPr>
          <w:sz w:val="24"/>
        </w:rPr>
        <w:t>而发生的任何不足或故障负责，并免费予以改进或更换。</w:t>
      </w:r>
    </w:p>
    <w:p>
      <w:pPr>
        <w:pStyle w:val="30"/>
        <w:numPr>
          <w:ilvl w:val="2"/>
          <w:numId w:val="22"/>
        </w:numPr>
        <w:tabs>
          <w:tab w:val="left" w:pos="1241"/>
        </w:tabs>
        <w:spacing w:line="364" w:lineRule="auto"/>
        <w:ind w:right="259" w:firstLine="480"/>
        <w:jc w:val="both"/>
        <w:rPr>
          <w:sz w:val="24"/>
        </w:rPr>
      </w:pPr>
      <w:r>
        <w:rPr>
          <w:spacing w:val="-5"/>
          <w:sz w:val="24"/>
        </w:rPr>
        <w:t>根据乙方按检验标准自己检验结果或委托有资质的相关质检机构的检验结果，发现货物</w:t>
      </w:r>
      <w:r>
        <w:rPr>
          <w:spacing w:val="-1"/>
          <w:sz w:val="24"/>
        </w:rPr>
        <w:t>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w:t>
      </w:r>
      <w:r>
        <w:rPr>
          <w:sz w:val="24"/>
        </w:rPr>
        <w:t>被乙方接受。</w:t>
      </w:r>
    </w:p>
    <w:p>
      <w:pPr>
        <w:spacing w:line="364" w:lineRule="auto"/>
        <w:jc w:val="both"/>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49" o:spid="_x0000_s1049" o:spt="203" style="height:1pt;width:504pt;" coordsize="10080,20">
            <o:lock v:ext="edit"/>
            <v:rect id="_x0000_s1050" o:spid="_x0000_s1050" o:spt="1" style="position:absolute;left:0;top:0;height:20;width:10080;" fillcolor="#000000" filled="t" stroked="f" coordsize="21600,21600">
              <v:path/>
              <v:fill on="t" focussize="0,0"/>
              <v:stroke on="f"/>
              <v:imagedata o:title=""/>
              <o:lock v:ext="edit"/>
            </v:rect>
            <w10:wrap type="none"/>
            <w10:anchorlock/>
          </v:group>
        </w:pict>
      </w:r>
    </w:p>
    <w:p>
      <w:pPr>
        <w:pStyle w:val="30"/>
        <w:numPr>
          <w:ilvl w:val="2"/>
          <w:numId w:val="22"/>
        </w:numPr>
        <w:tabs>
          <w:tab w:val="left" w:pos="1241"/>
        </w:tabs>
        <w:spacing w:before="23" w:line="364" w:lineRule="auto"/>
        <w:ind w:right="259" w:firstLine="480"/>
        <w:jc w:val="both"/>
        <w:rPr>
          <w:sz w:val="24"/>
        </w:rPr>
      </w:pPr>
      <w:r>
        <w:rPr>
          <w:spacing w:val="-9"/>
          <w:sz w:val="24"/>
        </w:rPr>
        <w:t>乙方在收到通知后虽答复，但没有弥补缺陷，甲方可采取必要的补救措施，但由此引发</w:t>
      </w:r>
      <w:r>
        <w:rPr>
          <w:spacing w:val="-1"/>
          <w:sz w:val="24"/>
        </w:rPr>
        <w:t>的风险和费用将由乙方承担。甲方可从合同款或乙方提交的履约保证金中扣款，不足部分，甲方</w:t>
      </w:r>
      <w:r>
        <w:rPr>
          <w:sz w:val="24"/>
        </w:rPr>
        <w:t>有权要求乙方赔偿。甲方根据合同规定对卖方行使的其他权力不受影响。</w:t>
      </w:r>
    </w:p>
    <w:p>
      <w:pPr>
        <w:pStyle w:val="30"/>
        <w:numPr>
          <w:ilvl w:val="2"/>
          <w:numId w:val="22"/>
        </w:numPr>
        <w:tabs>
          <w:tab w:val="left" w:pos="1360"/>
        </w:tabs>
        <w:spacing w:line="362" w:lineRule="auto"/>
        <w:ind w:left="640" w:right="979" w:firstLine="0"/>
        <w:jc w:val="both"/>
        <w:rPr>
          <w:sz w:val="24"/>
        </w:rPr>
      </w:pPr>
      <w:r>
        <w:rPr>
          <w:spacing w:val="-1"/>
          <w:sz w:val="24"/>
        </w:rPr>
        <w:t>合同条款下货物的质量保证期自货物通过最终验收起算，合同另行规定除外。</w:t>
      </w:r>
      <w:r>
        <w:rPr>
          <w:sz w:val="24"/>
        </w:rPr>
        <w:t>7.2辅助服务质量保证</w:t>
      </w:r>
    </w:p>
    <w:p>
      <w:pPr>
        <w:pStyle w:val="30"/>
        <w:numPr>
          <w:ilvl w:val="2"/>
          <w:numId w:val="23"/>
        </w:numPr>
        <w:tabs>
          <w:tab w:val="left" w:pos="1243"/>
        </w:tabs>
        <w:spacing w:before="4" w:line="364" w:lineRule="auto"/>
        <w:ind w:right="139" w:firstLine="480"/>
        <w:rPr>
          <w:sz w:val="24"/>
        </w:rPr>
      </w:pPr>
      <w:r>
        <w:rPr>
          <w:sz w:val="24"/>
        </w:rPr>
        <w:t>乙方保证免费提供合同条款下的软件产品原厂商至少一年软件全部功能及其换代产品</w:t>
      </w:r>
      <w:r>
        <w:rPr>
          <w:spacing w:val="-4"/>
          <w:sz w:val="24"/>
        </w:rPr>
        <w:t>的升级与技术支持服务</w:t>
      </w:r>
      <w:r>
        <w:rPr>
          <w:sz w:val="24"/>
        </w:rPr>
        <w:t>（</w:t>
      </w:r>
      <w:r>
        <w:rPr>
          <w:spacing w:val="-8"/>
          <w:sz w:val="24"/>
        </w:rPr>
        <w:t>包含任何版本升级、产品换代、更新及在原有产品基础上的拆解、完善、</w:t>
      </w:r>
      <w:r>
        <w:rPr>
          <w:sz w:val="24"/>
        </w:rPr>
        <w:t>合并所产生的新产品，提供升级产品介质及授权，要求原厂商承诺，并加盖原厂商公章），不得出现因货物停售、转产而无法提供上述支持服务。</w:t>
      </w:r>
    </w:p>
    <w:p>
      <w:pPr>
        <w:pStyle w:val="30"/>
        <w:numPr>
          <w:ilvl w:val="2"/>
          <w:numId w:val="23"/>
        </w:numPr>
        <w:tabs>
          <w:tab w:val="left" w:pos="1241"/>
        </w:tabs>
        <w:spacing w:line="362" w:lineRule="auto"/>
        <w:ind w:right="259" w:firstLine="480"/>
        <w:rPr>
          <w:sz w:val="24"/>
        </w:rPr>
      </w:pPr>
      <w:r>
        <w:rPr>
          <w:spacing w:val="-7"/>
          <w:sz w:val="24"/>
        </w:rPr>
        <w:t>乙方应保证合同条款下所提供的服务包括培训、安装指导、单机调试、系统联调和试验</w:t>
      </w:r>
      <w:r>
        <w:rPr>
          <w:sz w:val="24"/>
        </w:rPr>
        <w:t>等，按合同规定方式进行，并保证不存在因乙方工作人员的过失、错误或疏忽而产生的缺陷。</w:t>
      </w:r>
    </w:p>
    <w:p>
      <w:pPr>
        <w:pStyle w:val="30"/>
        <w:numPr>
          <w:ilvl w:val="0"/>
          <w:numId w:val="21"/>
        </w:numPr>
        <w:tabs>
          <w:tab w:val="left" w:pos="886"/>
        </w:tabs>
        <w:spacing w:before="3"/>
        <w:rPr>
          <w:sz w:val="24"/>
        </w:rPr>
      </w:pPr>
      <w:r>
        <w:rPr>
          <w:sz w:val="24"/>
        </w:rPr>
        <w:t>包装要求</w:t>
      </w:r>
    </w:p>
    <w:p>
      <w:pPr>
        <w:pStyle w:val="30"/>
        <w:numPr>
          <w:ilvl w:val="1"/>
          <w:numId w:val="21"/>
        </w:numPr>
        <w:tabs>
          <w:tab w:val="left" w:pos="1120"/>
        </w:tabs>
        <w:spacing w:before="158" w:line="364" w:lineRule="auto"/>
        <w:ind w:right="259" w:firstLine="480"/>
        <w:rPr>
          <w:sz w:val="24"/>
        </w:rPr>
      </w:pPr>
      <w:r>
        <w:rPr>
          <w:spacing w:val="-1"/>
          <w:sz w:val="24"/>
        </w:rPr>
        <w:t>除合同另有约定外，乙方提供的全部货物，均应采用本行业通用的方式进行包装，且该</w:t>
      </w:r>
      <w:r>
        <w:rPr>
          <w:sz w:val="24"/>
        </w:rPr>
        <w:t>包装应符合国家有关包装的法律、法规的规定。</w:t>
      </w:r>
    </w:p>
    <w:p>
      <w:pPr>
        <w:pStyle w:val="30"/>
        <w:numPr>
          <w:ilvl w:val="1"/>
          <w:numId w:val="21"/>
        </w:numPr>
        <w:tabs>
          <w:tab w:val="left" w:pos="1120"/>
        </w:tabs>
        <w:spacing w:before="1" w:line="362" w:lineRule="auto"/>
        <w:ind w:right="259" w:firstLine="480"/>
        <w:rPr>
          <w:sz w:val="24"/>
        </w:rPr>
      </w:pPr>
      <w:r>
        <w:rPr>
          <w:spacing w:val="-1"/>
          <w:sz w:val="24"/>
        </w:rPr>
        <w:t>包装应适应于远距离运输，并有良好的防潮、防震、防锈和防粗暴装卸等保护措施，以</w:t>
      </w:r>
      <w:r>
        <w:rPr>
          <w:sz w:val="24"/>
        </w:rPr>
        <w:t>确保货物安全运抵现场。由于包装不善所引起的货物锈蚀、损坏和损失均由乙方承担。</w:t>
      </w:r>
    </w:p>
    <w:p>
      <w:pPr>
        <w:pStyle w:val="8"/>
        <w:spacing w:before="5"/>
        <w:ind w:left="640"/>
      </w:pPr>
      <w:r>
        <w:rPr>
          <w:spacing w:val="-5"/>
        </w:rPr>
        <w:t>乙方应提供货物运至合同规定的最终目的地所需要的包装，以防止货物在转运中损坏或变质。</w:t>
      </w:r>
    </w:p>
    <w:p>
      <w:pPr>
        <w:pStyle w:val="30"/>
        <w:numPr>
          <w:ilvl w:val="1"/>
          <w:numId w:val="21"/>
        </w:numPr>
        <w:tabs>
          <w:tab w:val="left" w:pos="1120"/>
        </w:tabs>
        <w:spacing w:before="158"/>
        <w:ind w:left="1120" w:hanging="480"/>
        <w:rPr>
          <w:sz w:val="24"/>
        </w:rPr>
      </w:pPr>
      <w:r>
        <w:rPr>
          <w:sz w:val="24"/>
        </w:rPr>
        <w:t>乙方所提供的货物包装均为出厂时原包装。</w:t>
      </w:r>
    </w:p>
    <w:p>
      <w:pPr>
        <w:pStyle w:val="30"/>
        <w:numPr>
          <w:ilvl w:val="1"/>
          <w:numId w:val="21"/>
        </w:numPr>
        <w:tabs>
          <w:tab w:val="left" w:pos="1120"/>
        </w:tabs>
        <w:spacing w:before="160" w:line="362" w:lineRule="auto"/>
        <w:ind w:right="259" w:firstLine="480"/>
        <w:rPr>
          <w:sz w:val="24"/>
        </w:rPr>
      </w:pPr>
      <w:r>
        <w:rPr>
          <w:spacing w:val="-1"/>
          <w:sz w:val="24"/>
        </w:rPr>
        <w:t>乙方所提供货物必须附有质量合格证，装箱清单，主机、附件、各种零部件和消耗品，</w:t>
      </w:r>
      <w:r>
        <w:rPr>
          <w:spacing w:val="-117"/>
          <w:sz w:val="24"/>
        </w:rPr>
        <w:t xml:space="preserve"> </w:t>
      </w:r>
      <w:r>
        <w:rPr>
          <w:sz w:val="24"/>
        </w:rPr>
        <w:t>有清楚的与装箱单相对应的名称和编号。</w:t>
      </w:r>
    </w:p>
    <w:p>
      <w:pPr>
        <w:pStyle w:val="30"/>
        <w:numPr>
          <w:ilvl w:val="1"/>
          <w:numId w:val="21"/>
        </w:numPr>
        <w:tabs>
          <w:tab w:val="left" w:pos="1120"/>
        </w:tabs>
        <w:spacing w:before="5" w:line="362" w:lineRule="auto"/>
        <w:ind w:right="259" w:firstLine="480"/>
        <w:rPr>
          <w:sz w:val="24"/>
        </w:rPr>
      </w:pPr>
      <w:r>
        <w:rPr>
          <w:spacing w:val="-1"/>
          <w:sz w:val="24"/>
        </w:rPr>
        <w:t>货物运输中的运输费用和保险费用均由乙方承担。运输过程中的一切损失、损坏均由乙</w:t>
      </w:r>
      <w:r>
        <w:rPr>
          <w:sz w:val="24"/>
        </w:rPr>
        <w:t>方负责。</w:t>
      </w:r>
    </w:p>
    <w:p>
      <w:pPr>
        <w:pStyle w:val="30"/>
        <w:numPr>
          <w:ilvl w:val="0"/>
          <w:numId w:val="21"/>
        </w:numPr>
        <w:tabs>
          <w:tab w:val="left" w:pos="1005"/>
        </w:tabs>
        <w:spacing w:before="5"/>
        <w:ind w:left="1004" w:hanging="363"/>
        <w:rPr>
          <w:sz w:val="24"/>
        </w:rPr>
      </w:pPr>
      <w:r>
        <w:rPr>
          <w:sz w:val="24"/>
        </w:rPr>
        <w:t>价格</w:t>
      </w:r>
    </w:p>
    <w:p>
      <w:pPr>
        <w:pStyle w:val="30"/>
        <w:numPr>
          <w:ilvl w:val="1"/>
          <w:numId w:val="21"/>
        </w:numPr>
        <w:tabs>
          <w:tab w:val="left" w:pos="1120"/>
        </w:tabs>
        <w:spacing w:before="158" w:line="364" w:lineRule="auto"/>
        <w:ind w:right="139" w:firstLine="480"/>
        <w:rPr>
          <w:sz w:val="24"/>
        </w:rPr>
      </w:pPr>
      <w:r>
        <w:rPr>
          <w:spacing w:val="-7"/>
          <w:sz w:val="24"/>
        </w:rPr>
        <w:t>乙方履行合同所必须的所有费用，包括但不限于货物及部件的设计、检测与试验、制造、</w:t>
      </w:r>
      <w:r>
        <w:rPr>
          <w:sz w:val="24"/>
        </w:rPr>
        <w:t>运输、装卸、保险、单机调试、安装调试指导、技术资料、培训、交通、人员、差旅、质量保证期服务费、其他管理费用、所有的检验、测试、调试、验收、试运行费用等均已包括在合同价格中。</w:t>
      </w:r>
    </w:p>
    <w:p>
      <w:pPr>
        <w:pStyle w:val="30"/>
        <w:numPr>
          <w:ilvl w:val="1"/>
          <w:numId w:val="21"/>
        </w:numPr>
        <w:tabs>
          <w:tab w:val="left" w:pos="1120"/>
        </w:tabs>
        <w:spacing w:line="305" w:lineRule="exact"/>
        <w:ind w:left="1120" w:hanging="480"/>
        <w:rPr>
          <w:sz w:val="24"/>
        </w:rPr>
      </w:pPr>
      <w:r>
        <w:rPr>
          <w:sz w:val="24"/>
        </w:rPr>
        <w:t>本合同价格为固定价格，包括了乙方履行合同全过程产生的所有成本和费用以及乙方应</w:t>
      </w:r>
    </w:p>
    <w:p>
      <w:pPr>
        <w:spacing w:line="305" w:lineRule="exact"/>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51" o:spid="_x0000_s1051" o:spt="203" style="height:1pt;width:504pt;" coordsize="10080,20">
            <o:lock v:ext="edit"/>
            <v:rect id="_x0000_s1052" o:spid="_x0000_s1052" o:spt="1" style="position:absolute;left:0;top:0;height:20;width:10080;" fillcolor="#000000" filled="t" stroked="f" coordsize="21600,21600">
              <v:path/>
              <v:fill on="t" focussize="0,0"/>
              <v:stroke on="f"/>
              <v:imagedata o:title=""/>
              <o:lock v:ext="edit"/>
            </v:rect>
            <w10:wrap type="none"/>
            <w10:anchorlock/>
          </v:group>
        </w:pict>
      </w:r>
    </w:p>
    <w:p>
      <w:pPr>
        <w:pStyle w:val="8"/>
        <w:spacing w:before="23" w:line="362" w:lineRule="auto"/>
        <w:ind w:left="640" w:right="8419" w:hanging="480"/>
      </w:pPr>
      <w:r>
        <w:rPr>
          <w:spacing w:val="-1"/>
        </w:rPr>
        <w:t>承担的一切税费。</w:t>
      </w:r>
      <w:r>
        <w:t>9.3检验费用</w:t>
      </w:r>
    </w:p>
    <w:p>
      <w:pPr>
        <w:pStyle w:val="30"/>
        <w:numPr>
          <w:ilvl w:val="2"/>
          <w:numId w:val="24"/>
        </w:numPr>
        <w:tabs>
          <w:tab w:val="left" w:pos="1360"/>
        </w:tabs>
        <w:spacing w:before="5" w:line="364" w:lineRule="auto"/>
        <w:ind w:right="139" w:firstLine="480"/>
        <w:rPr>
          <w:sz w:val="24"/>
        </w:rPr>
      </w:pPr>
      <w:r>
        <w:rPr>
          <w:spacing w:val="-8"/>
          <w:sz w:val="24"/>
        </w:rPr>
        <w:t>乙方必须负担本条款下属于乙方负责的检验、测试、调试、试运行和验收的所有费用，</w:t>
      </w:r>
      <w:r>
        <w:rPr>
          <w:spacing w:val="-117"/>
          <w:sz w:val="24"/>
        </w:rPr>
        <w:t xml:space="preserve"> </w:t>
      </w:r>
      <w:r>
        <w:rPr>
          <w:sz w:val="24"/>
        </w:rPr>
        <w:t>并负责乙方派往买方组织的检验、测试和验收人员的所有费用。</w:t>
      </w:r>
    </w:p>
    <w:p>
      <w:pPr>
        <w:pStyle w:val="30"/>
        <w:numPr>
          <w:ilvl w:val="2"/>
          <w:numId w:val="24"/>
        </w:numPr>
        <w:tabs>
          <w:tab w:val="left" w:pos="1360"/>
        </w:tabs>
        <w:spacing w:line="364" w:lineRule="auto"/>
        <w:ind w:right="259" w:firstLine="480"/>
        <w:rPr>
          <w:sz w:val="24"/>
        </w:rPr>
      </w:pPr>
      <w:r>
        <w:rPr>
          <w:spacing w:val="-1"/>
          <w:sz w:val="24"/>
        </w:rPr>
        <w:t>甲方按合同计划参加在乙方工厂所在地检验、测试和验收的费用全部由乙方负责并已</w:t>
      </w:r>
      <w:r>
        <w:rPr>
          <w:sz w:val="24"/>
        </w:rPr>
        <w:t>包含在合同总价中。</w:t>
      </w:r>
    </w:p>
    <w:p>
      <w:pPr>
        <w:pStyle w:val="30"/>
        <w:numPr>
          <w:ilvl w:val="2"/>
          <w:numId w:val="24"/>
        </w:numPr>
        <w:tabs>
          <w:tab w:val="left" w:pos="1241"/>
        </w:tabs>
        <w:spacing w:line="364" w:lineRule="auto"/>
        <w:ind w:right="139" w:firstLine="480"/>
        <w:rPr>
          <w:sz w:val="24"/>
        </w:rPr>
      </w:pPr>
      <w:r>
        <w:rPr>
          <w:spacing w:val="-15"/>
          <w:sz w:val="24"/>
        </w:rPr>
        <w:t>甲方检验人员已到卖方所在地，测试无法依照合同进行，而引起甲方人员延长逗留时间，</w:t>
      </w:r>
      <w:r>
        <w:rPr>
          <w:spacing w:val="-117"/>
          <w:sz w:val="24"/>
        </w:rPr>
        <w:t xml:space="preserve"> </w:t>
      </w:r>
      <w:r>
        <w:rPr>
          <w:sz w:val="24"/>
        </w:rPr>
        <w:t>所有由此产生的包括甲方人员在内的直接费用及成本由乙方承担。</w:t>
      </w:r>
    </w:p>
    <w:p>
      <w:pPr>
        <w:pStyle w:val="30"/>
        <w:numPr>
          <w:ilvl w:val="0"/>
          <w:numId w:val="21"/>
        </w:numPr>
        <w:tabs>
          <w:tab w:val="left" w:pos="1006"/>
        </w:tabs>
        <w:ind w:left="1005" w:hanging="364"/>
        <w:rPr>
          <w:sz w:val="24"/>
        </w:rPr>
      </w:pPr>
      <w:r>
        <w:rPr>
          <w:sz w:val="24"/>
        </w:rPr>
        <w:t>交货方式及交货日期</w:t>
      </w:r>
    </w:p>
    <w:p>
      <w:pPr>
        <w:pStyle w:val="8"/>
        <w:spacing w:before="157"/>
        <w:ind w:left="640"/>
      </w:pPr>
      <w:r>
        <w:t>交货方式：现场交货，乙方负责办理运输和保险，将货物运抵现场。</w:t>
      </w:r>
    </w:p>
    <w:p>
      <w:pPr>
        <w:pStyle w:val="8"/>
        <w:spacing w:before="158" w:line="364" w:lineRule="auto"/>
        <w:ind w:left="160" w:right="139" w:firstLine="480"/>
      </w:pPr>
      <w:r>
        <w:rPr>
          <w:spacing w:val="-5"/>
        </w:rPr>
        <w:t>交货时间应根据产品的特点实事求是填写，进口产品</w:t>
      </w:r>
      <w:r>
        <w:t>90</w:t>
      </w:r>
      <w:r>
        <w:rPr>
          <w:spacing w:val="-8"/>
        </w:rPr>
        <w:t>个工作日内，国产产品</w:t>
      </w:r>
      <w:r>
        <w:t>60个工作日内。特殊产品交货时间需说明。</w:t>
      </w:r>
    </w:p>
    <w:p>
      <w:pPr>
        <w:pStyle w:val="8"/>
        <w:spacing w:line="364" w:lineRule="auto"/>
        <w:ind w:left="640" w:right="3619"/>
      </w:pPr>
      <w:r>
        <w:rPr>
          <w:spacing w:val="-1"/>
        </w:rPr>
        <w:t>交货日期：所有货物运抵现场并经双方开箱验收合格之日。</w:t>
      </w:r>
      <w:r>
        <w:t>11.检验和验收</w:t>
      </w:r>
    </w:p>
    <w:p>
      <w:pPr>
        <w:pStyle w:val="30"/>
        <w:numPr>
          <w:ilvl w:val="1"/>
          <w:numId w:val="25"/>
        </w:numPr>
        <w:tabs>
          <w:tab w:val="left" w:pos="1121"/>
        </w:tabs>
        <w:rPr>
          <w:sz w:val="24"/>
        </w:rPr>
      </w:pPr>
      <w:r>
        <w:rPr>
          <w:sz w:val="24"/>
        </w:rPr>
        <w:t>开箱验收</w:t>
      </w:r>
    </w:p>
    <w:p>
      <w:pPr>
        <w:pStyle w:val="30"/>
        <w:numPr>
          <w:ilvl w:val="2"/>
          <w:numId w:val="25"/>
        </w:numPr>
        <w:tabs>
          <w:tab w:val="left" w:pos="1361"/>
        </w:tabs>
        <w:spacing w:before="158" w:line="364" w:lineRule="auto"/>
        <w:ind w:right="259" w:firstLine="480"/>
        <w:rPr>
          <w:sz w:val="24"/>
        </w:rPr>
      </w:pPr>
      <w:r>
        <w:rPr>
          <w:spacing w:val="-1"/>
          <w:sz w:val="24"/>
        </w:rPr>
        <w:t>货物运抵现场后，双方应及时开箱验收，并制作验收记录，以确认与本合同约定的数</w:t>
      </w:r>
      <w:r>
        <w:rPr>
          <w:sz w:val="24"/>
        </w:rPr>
        <w:t>量、型号等是否一致。</w:t>
      </w:r>
    </w:p>
    <w:p>
      <w:pPr>
        <w:pStyle w:val="30"/>
        <w:numPr>
          <w:ilvl w:val="2"/>
          <w:numId w:val="25"/>
        </w:numPr>
        <w:tabs>
          <w:tab w:val="left" w:pos="1480"/>
        </w:tabs>
        <w:spacing w:line="364" w:lineRule="auto"/>
        <w:ind w:right="259" w:firstLine="480"/>
        <w:jc w:val="both"/>
        <w:rPr>
          <w:sz w:val="24"/>
        </w:rPr>
      </w:pPr>
      <w:r>
        <w:rPr>
          <w:spacing w:val="-9"/>
          <w:sz w:val="24"/>
        </w:rPr>
        <w:t>乙方应在交货前对货物的质量、规格、数量等进行详细而全面的检验，并出具证明货</w:t>
      </w:r>
      <w:r>
        <w:rPr>
          <w:spacing w:val="-1"/>
          <w:sz w:val="24"/>
        </w:rPr>
        <w:t>物符合合同规定的文件。该文件将作为申请付款单据的一部分，但有关质量、规格、数量的检验</w:t>
      </w:r>
      <w:r>
        <w:rPr>
          <w:sz w:val="24"/>
        </w:rPr>
        <w:t>不应视为最终检验。</w:t>
      </w:r>
    </w:p>
    <w:p>
      <w:pPr>
        <w:pStyle w:val="30"/>
        <w:numPr>
          <w:ilvl w:val="2"/>
          <w:numId w:val="25"/>
        </w:numPr>
        <w:tabs>
          <w:tab w:val="left" w:pos="1480"/>
        </w:tabs>
        <w:spacing w:line="364" w:lineRule="auto"/>
        <w:ind w:right="259" w:firstLine="480"/>
        <w:jc w:val="both"/>
        <w:rPr>
          <w:sz w:val="24"/>
        </w:rPr>
      </w:pPr>
      <w:r>
        <w:rPr>
          <w:spacing w:val="-8"/>
          <w:sz w:val="24"/>
        </w:rPr>
        <w:t>开箱验收中如发现货物的数量、规格与合同约定不符，甲方有权拒收货物，乙方应及</w:t>
      </w:r>
      <w:r>
        <w:rPr>
          <w:spacing w:val="-1"/>
          <w:sz w:val="24"/>
        </w:rPr>
        <w:t>时按甲方要求免费对拒收货物采取更换或其他必要的补救措施，直至开箱验收合格，方视为乙方</w:t>
      </w:r>
      <w:r>
        <w:rPr>
          <w:sz w:val="24"/>
        </w:rPr>
        <w:t>完成交货。</w:t>
      </w:r>
    </w:p>
    <w:p>
      <w:pPr>
        <w:pStyle w:val="30"/>
        <w:numPr>
          <w:ilvl w:val="1"/>
          <w:numId w:val="25"/>
        </w:numPr>
        <w:tabs>
          <w:tab w:val="left" w:pos="1360"/>
        </w:tabs>
        <w:spacing w:line="304" w:lineRule="exact"/>
        <w:ind w:left="1360" w:hanging="720"/>
        <w:jc w:val="both"/>
        <w:rPr>
          <w:sz w:val="24"/>
        </w:rPr>
      </w:pPr>
      <w:r>
        <w:rPr>
          <w:sz w:val="24"/>
        </w:rPr>
        <w:t>检验验收</w:t>
      </w:r>
    </w:p>
    <w:p>
      <w:pPr>
        <w:pStyle w:val="30"/>
        <w:numPr>
          <w:ilvl w:val="2"/>
          <w:numId w:val="25"/>
        </w:numPr>
        <w:tabs>
          <w:tab w:val="left" w:pos="1480"/>
        </w:tabs>
        <w:spacing w:before="158" w:line="362" w:lineRule="auto"/>
        <w:ind w:right="259" w:firstLine="480"/>
        <w:jc w:val="both"/>
        <w:rPr>
          <w:sz w:val="24"/>
        </w:rPr>
      </w:pPr>
      <w:r>
        <w:rPr>
          <w:spacing w:val="-12"/>
          <w:sz w:val="24"/>
        </w:rPr>
        <w:t>交货完成后，乙方应及时组装、调试、试运行，按照合同专用条款规定的试运行完成</w:t>
      </w:r>
      <w:r>
        <w:rPr>
          <w:sz w:val="24"/>
        </w:rPr>
        <w:t>后，双方及时组织对货物检验验收。合同双方均须派人参加合同要求双方参加的试验、检验。</w:t>
      </w:r>
    </w:p>
    <w:p>
      <w:pPr>
        <w:pStyle w:val="30"/>
        <w:numPr>
          <w:ilvl w:val="2"/>
          <w:numId w:val="25"/>
        </w:numPr>
        <w:tabs>
          <w:tab w:val="left" w:pos="1480"/>
        </w:tabs>
        <w:spacing w:before="5" w:line="362" w:lineRule="auto"/>
        <w:ind w:right="259" w:firstLine="480"/>
        <w:jc w:val="both"/>
        <w:rPr>
          <w:sz w:val="24"/>
        </w:rPr>
      </w:pPr>
      <w:r>
        <w:rPr>
          <w:spacing w:val="-7"/>
          <w:sz w:val="24"/>
        </w:rPr>
        <w:t>在具体实施合同规定的检验验收之前，乙方需提前提交相应的测试计划</w:t>
      </w:r>
      <w:r>
        <w:rPr>
          <w:sz w:val="24"/>
        </w:rPr>
        <w:t>（包括测试程序、测试内容和检验标准、试验时间安排等）供甲方确认。</w:t>
      </w:r>
    </w:p>
    <w:p>
      <w:pPr>
        <w:spacing w:line="362" w:lineRule="auto"/>
        <w:jc w:val="both"/>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53" o:spid="_x0000_s1053" o:spt="203" style="height:1pt;width:504pt;" coordsize="10080,20">
            <o:lock v:ext="edit"/>
            <v:rect id="_x0000_s1054" o:spid="_x0000_s1054" o:spt="1" style="position:absolute;left:0;top:0;height:20;width:10080;" fillcolor="#000000" filled="t" stroked="f" coordsize="21600,21600">
              <v:path/>
              <v:fill on="t" focussize="0,0"/>
              <v:stroke on="f"/>
              <v:imagedata o:title=""/>
              <o:lock v:ext="edit"/>
            </v:rect>
            <w10:wrap type="none"/>
            <w10:anchorlock/>
          </v:group>
        </w:pict>
      </w:r>
    </w:p>
    <w:p>
      <w:pPr>
        <w:pStyle w:val="30"/>
        <w:numPr>
          <w:ilvl w:val="2"/>
          <w:numId w:val="25"/>
        </w:numPr>
        <w:tabs>
          <w:tab w:val="left" w:pos="1599"/>
          <w:tab w:val="left" w:pos="1600"/>
        </w:tabs>
        <w:spacing w:before="23" w:line="362" w:lineRule="auto"/>
        <w:ind w:right="259" w:firstLine="480"/>
        <w:rPr>
          <w:sz w:val="24"/>
        </w:rPr>
      </w:pPr>
      <w:r>
        <w:rPr>
          <w:spacing w:val="-1"/>
          <w:sz w:val="24"/>
        </w:rPr>
        <w:t>除需甲方确认的试验验收外，乙方还应对所有检验验收测试的结果、步骤、原始数</w:t>
      </w:r>
      <w:r>
        <w:rPr>
          <w:sz w:val="24"/>
        </w:rPr>
        <w:t>据等作妥善记录。如甲方要求，乙方应提供这些记录给买方。</w:t>
      </w:r>
    </w:p>
    <w:p>
      <w:pPr>
        <w:pStyle w:val="30"/>
        <w:numPr>
          <w:ilvl w:val="2"/>
          <w:numId w:val="25"/>
        </w:numPr>
        <w:tabs>
          <w:tab w:val="left" w:pos="1599"/>
          <w:tab w:val="left" w:pos="1600"/>
        </w:tabs>
        <w:spacing w:before="5" w:line="364" w:lineRule="auto"/>
        <w:ind w:right="259" w:firstLine="480"/>
        <w:rPr>
          <w:sz w:val="24"/>
        </w:rPr>
      </w:pPr>
      <w:r>
        <w:rPr>
          <w:spacing w:val="-1"/>
          <w:sz w:val="24"/>
        </w:rPr>
        <w:t>检验测试出现全部或部分未达到本合同所约定的技术指标，甲方有权选择下列任一</w:t>
      </w:r>
      <w:r>
        <w:rPr>
          <w:sz w:val="24"/>
        </w:rPr>
        <w:t>处理方式：</w:t>
      </w:r>
    </w:p>
    <w:p>
      <w:pPr>
        <w:pStyle w:val="30"/>
        <w:numPr>
          <w:ilvl w:val="0"/>
          <w:numId w:val="26"/>
        </w:numPr>
        <w:tabs>
          <w:tab w:val="left" w:pos="881"/>
        </w:tabs>
        <w:spacing w:line="306" w:lineRule="exact"/>
        <w:rPr>
          <w:sz w:val="24"/>
        </w:rPr>
      </w:pPr>
      <w:r>
        <w:rPr>
          <w:sz w:val="24"/>
        </w:rPr>
        <w:t>重新测试直至合格为止；</w:t>
      </w:r>
    </w:p>
    <w:p>
      <w:pPr>
        <w:pStyle w:val="30"/>
        <w:numPr>
          <w:ilvl w:val="0"/>
          <w:numId w:val="26"/>
        </w:numPr>
        <w:tabs>
          <w:tab w:val="left" w:pos="881"/>
        </w:tabs>
        <w:spacing w:before="160"/>
        <w:rPr>
          <w:sz w:val="24"/>
        </w:rPr>
      </w:pPr>
      <w:r>
        <w:rPr>
          <w:sz w:val="24"/>
        </w:rPr>
        <w:t>要求乙方对货物进行免费更换，然后重新测试直至合格为止；</w:t>
      </w:r>
    </w:p>
    <w:p>
      <w:pPr>
        <w:pStyle w:val="8"/>
        <w:spacing w:before="158"/>
        <w:ind w:left="640"/>
      </w:pPr>
      <w:r>
        <w:t>无论选择何种方式，甲方因此而发生的因卖方原因引起的所有费用均由乙方负担。</w:t>
      </w:r>
    </w:p>
    <w:p>
      <w:pPr>
        <w:pStyle w:val="30"/>
        <w:numPr>
          <w:ilvl w:val="1"/>
          <w:numId w:val="25"/>
        </w:numPr>
        <w:tabs>
          <w:tab w:val="left" w:pos="1359"/>
          <w:tab w:val="left" w:pos="1360"/>
        </w:tabs>
        <w:spacing w:before="161"/>
        <w:ind w:left="1360" w:hanging="720"/>
        <w:rPr>
          <w:sz w:val="24"/>
        </w:rPr>
      </w:pPr>
      <w:r>
        <w:rPr>
          <w:sz w:val="24"/>
        </w:rPr>
        <w:t>使用过程检验</w:t>
      </w:r>
    </w:p>
    <w:p>
      <w:pPr>
        <w:pStyle w:val="30"/>
        <w:numPr>
          <w:ilvl w:val="2"/>
          <w:numId w:val="25"/>
        </w:numPr>
        <w:tabs>
          <w:tab w:val="left" w:pos="1361"/>
        </w:tabs>
        <w:spacing w:before="160" w:line="362" w:lineRule="auto"/>
        <w:ind w:right="139" w:firstLine="480"/>
        <w:rPr>
          <w:sz w:val="24"/>
        </w:rPr>
      </w:pPr>
      <w:r>
        <w:rPr>
          <w:sz w:val="24"/>
        </w:rPr>
        <w:t>在合同规定的质量保证期内，发现货物的质量或规格与合同规定不符，或证明货物有</w:t>
      </w:r>
      <w:r>
        <w:rPr>
          <w:spacing w:val="-9"/>
          <w:sz w:val="24"/>
        </w:rPr>
        <w:t>缺陷，包括潜在的缺陷或使用不合适的原材料等，由甲方组织质检</w:t>
      </w:r>
      <w:r>
        <w:rPr>
          <w:sz w:val="24"/>
        </w:rPr>
        <w:t>（相关检测费用由卖方承担</w:t>
      </w:r>
      <w:r>
        <w:rPr>
          <w:spacing w:val="-23"/>
          <w:sz w:val="24"/>
        </w:rPr>
        <w:t>），</w:t>
      </w:r>
      <w:r>
        <w:rPr>
          <w:spacing w:val="-117"/>
          <w:sz w:val="24"/>
        </w:rPr>
        <w:t xml:space="preserve"> </w:t>
      </w:r>
      <w:r>
        <w:rPr>
          <w:sz w:val="24"/>
        </w:rPr>
        <w:t>据质检报告及质量保证条款向卖方提出索赔，此索赔并不免除乙方应承担的合同义务。</w:t>
      </w:r>
    </w:p>
    <w:p>
      <w:pPr>
        <w:pStyle w:val="30"/>
        <w:numPr>
          <w:ilvl w:val="2"/>
          <w:numId w:val="25"/>
        </w:numPr>
        <w:tabs>
          <w:tab w:val="left" w:pos="1361"/>
        </w:tabs>
        <w:spacing w:before="6" w:line="362" w:lineRule="auto"/>
        <w:ind w:right="259" w:firstLine="480"/>
        <w:rPr>
          <w:sz w:val="24"/>
        </w:rPr>
      </w:pPr>
      <w:r>
        <w:rPr>
          <w:spacing w:val="-1"/>
          <w:sz w:val="24"/>
        </w:rPr>
        <w:t>如果合同双方对乙方提供的上述试验结果报告的解释有分歧，双方须于出现分歧后</w:t>
      </w:r>
      <w:r>
        <w:rPr>
          <w:sz w:val="24"/>
        </w:rPr>
        <w:t>10</w:t>
      </w:r>
      <w:r>
        <w:rPr>
          <w:spacing w:val="-117"/>
          <w:sz w:val="24"/>
        </w:rPr>
        <w:t xml:space="preserve"> </w:t>
      </w:r>
      <w:r>
        <w:rPr>
          <w:sz w:val="24"/>
        </w:rPr>
        <w:t>天内给对方声明，以陈述己方的观点。声明须附有关证据。分歧应通过协商解决。</w:t>
      </w:r>
    </w:p>
    <w:p>
      <w:pPr>
        <w:pStyle w:val="8"/>
        <w:spacing w:before="5"/>
        <w:ind w:left="642"/>
      </w:pPr>
      <w:r>
        <w:t>12.付款条件</w:t>
      </w:r>
    </w:p>
    <w:p>
      <w:pPr>
        <w:pStyle w:val="8"/>
        <w:spacing w:before="161" w:line="362" w:lineRule="auto"/>
        <w:ind w:left="642" w:right="1939" w:hanging="3"/>
      </w:pPr>
      <w:r>
        <w:rPr>
          <w:spacing w:val="-1"/>
        </w:rPr>
        <w:t>本合同条款下的付款方法和条件在“</w:t>
      </w:r>
      <w:r>
        <w:rPr>
          <w:rFonts w:hint="eastAsia"/>
          <w:spacing w:val="-1"/>
        </w:rPr>
        <w:t>果洛州</w:t>
      </w:r>
      <w:r>
        <w:rPr>
          <w:spacing w:val="-1"/>
        </w:rPr>
        <w:t>政府采购合同书”中具体规定。</w:t>
      </w:r>
      <w:r>
        <w:t>13.履约保证金</w:t>
      </w:r>
    </w:p>
    <w:p>
      <w:pPr>
        <w:pStyle w:val="30"/>
        <w:numPr>
          <w:ilvl w:val="1"/>
          <w:numId w:val="27"/>
        </w:numPr>
        <w:tabs>
          <w:tab w:val="left" w:pos="1121"/>
        </w:tabs>
        <w:spacing w:before="5" w:line="362" w:lineRule="auto"/>
        <w:ind w:right="259" w:firstLine="480"/>
        <w:rPr>
          <w:sz w:val="24"/>
        </w:rPr>
      </w:pPr>
      <w:r>
        <w:rPr>
          <w:spacing w:val="-1"/>
          <w:sz w:val="24"/>
        </w:rPr>
        <w:t>乙方应在合同签订前，按磋商文件第三部分“八授予合同”中第</w:t>
      </w:r>
      <w:r>
        <w:rPr>
          <w:sz w:val="24"/>
        </w:rPr>
        <w:t>21.2项的约定提交履约保证金。</w:t>
      </w:r>
    </w:p>
    <w:p>
      <w:pPr>
        <w:pStyle w:val="30"/>
        <w:numPr>
          <w:ilvl w:val="1"/>
          <w:numId w:val="27"/>
        </w:numPr>
        <w:tabs>
          <w:tab w:val="left" w:pos="1121"/>
        </w:tabs>
        <w:spacing w:before="5"/>
        <w:ind w:left="1121"/>
        <w:rPr>
          <w:sz w:val="24"/>
        </w:rPr>
      </w:pPr>
      <w:r>
        <w:rPr>
          <w:sz w:val="24"/>
        </w:rPr>
        <w:t>履约保证金用于补偿甲方因乙方不能履行其合同义务而蒙受的损失。</w:t>
      </w:r>
    </w:p>
    <w:p>
      <w:pPr>
        <w:pStyle w:val="30"/>
        <w:numPr>
          <w:ilvl w:val="1"/>
          <w:numId w:val="27"/>
        </w:numPr>
        <w:tabs>
          <w:tab w:val="left" w:pos="1121"/>
        </w:tabs>
        <w:spacing w:before="158"/>
        <w:ind w:left="1121"/>
        <w:rPr>
          <w:sz w:val="24"/>
        </w:rPr>
      </w:pPr>
      <w:r>
        <w:rPr>
          <w:sz w:val="24"/>
        </w:rPr>
        <w:t>履约保证金应使用本合同货币，按下述方式之一提交（磋商文件中另有约定的除外）：</w:t>
      </w:r>
    </w:p>
    <w:p>
      <w:pPr>
        <w:pStyle w:val="30"/>
        <w:numPr>
          <w:ilvl w:val="2"/>
          <w:numId w:val="27"/>
        </w:numPr>
        <w:tabs>
          <w:tab w:val="left" w:pos="1361"/>
        </w:tabs>
        <w:spacing w:before="160"/>
        <w:rPr>
          <w:sz w:val="24"/>
        </w:rPr>
      </w:pPr>
      <w:r>
        <w:rPr>
          <w:sz w:val="24"/>
        </w:rPr>
        <w:t>甲方可接受的在中华人民共和国注册和营业的银行出具的履约保函；</w:t>
      </w:r>
    </w:p>
    <w:p>
      <w:pPr>
        <w:pStyle w:val="30"/>
        <w:numPr>
          <w:ilvl w:val="2"/>
          <w:numId w:val="27"/>
        </w:numPr>
        <w:tabs>
          <w:tab w:val="left" w:pos="1480"/>
        </w:tabs>
        <w:spacing w:before="159"/>
        <w:ind w:left="1480" w:hanging="840"/>
        <w:rPr>
          <w:sz w:val="24"/>
        </w:rPr>
      </w:pPr>
      <w:r>
        <w:rPr>
          <w:sz w:val="24"/>
        </w:rPr>
        <w:t>支票或汇票。</w:t>
      </w:r>
    </w:p>
    <w:p>
      <w:pPr>
        <w:pStyle w:val="30"/>
        <w:numPr>
          <w:ilvl w:val="1"/>
          <w:numId w:val="27"/>
        </w:numPr>
        <w:tabs>
          <w:tab w:val="left" w:pos="1121"/>
        </w:tabs>
        <w:spacing w:before="160" w:line="362" w:lineRule="auto"/>
        <w:ind w:right="139" w:firstLine="480"/>
        <w:rPr>
          <w:sz w:val="24"/>
        </w:rPr>
      </w:pPr>
      <w:r>
        <w:rPr>
          <w:spacing w:val="-7"/>
          <w:sz w:val="24"/>
        </w:rPr>
        <w:t>乙方未能按合同规定履行其义务，甲方有权从履约保证金中取得补偿。货物验收合格后，</w:t>
      </w:r>
      <w:r>
        <w:rPr>
          <w:spacing w:val="-117"/>
          <w:sz w:val="24"/>
        </w:rPr>
        <w:t xml:space="preserve"> </w:t>
      </w:r>
      <w:r>
        <w:rPr>
          <w:sz w:val="24"/>
        </w:rPr>
        <w:t>甲方将履约保证金退还乙方或转为质量保证金。</w:t>
      </w:r>
    </w:p>
    <w:p>
      <w:pPr>
        <w:pStyle w:val="30"/>
        <w:numPr>
          <w:ilvl w:val="0"/>
          <w:numId w:val="28"/>
        </w:numPr>
        <w:tabs>
          <w:tab w:val="left" w:pos="1006"/>
        </w:tabs>
        <w:spacing w:before="5"/>
        <w:rPr>
          <w:sz w:val="24"/>
        </w:rPr>
      </w:pPr>
      <w:r>
        <w:rPr>
          <w:sz w:val="24"/>
        </w:rPr>
        <w:t>索赔</w:t>
      </w:r>
    </w:p>
    <w:p>
      <w:pPr>
        <w:pStyle w:val="30"/>
        <w:numPr>
          <w:ilvl w:val="1"/>
          <w:numId w:val="28"/>
        </w:numPr>
        <w:tabs>
          <w:tab w:val="left" w:pos="1121"/>
        </w:tabs>
        <w:spacing w:before="158" w:line="364" w:lineRule="auto"/>
        <w:ind w:right="259" w:firstLine="480"/>
        <w:jc w:val="both"/>
        <w:rPr>
          <w:sz w:val="24"/>
        </w:rPr>
      </w:pPr>
      <w:r>
        <w:rPr>
          <w:spacing w:val="-1"/>
          <w:sz w:val="24"/>
        </w:rPr>
        <w:t>货物的质量、规格、数量、性能等与合同约定不符，或在质量保证期内证实货物存有缺陷，包括潜在的缺陷或使用不符合要求的材料等，甲方有权根据有资质的权威质检机构的检验结</w:t>
      </w:r>
      <w:r>
        <w:rPr>
          <w:sz w:val="24"/>
        </w:rPr>
        <w:t>果向乙方提出索赔（但责任应由保险公司或运输部门承担的除外）。</w:t>
      </w:r>
    </w:p>
    <w:p>
      <w:pPr>
        <w:spacing w:line="364" w:lineRule="auto"/>
        <w:jc w:val="both"/>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55" o:spid="_x0000_s1055" o:spt="203" style="height:1pt;width:504pt;" coordsize="10080,20">
            <o:lock v:ext="edit"/>
            <v:rect id="_x0000_s1056" o:spid="_x0000_s1056" o:spt="1" style="position:absolute;left:0;top:0;height:20;width:10080;" fillcolor="#000000" filled="t" stroked="f" coordsize="21600,21600">
              <v:path/>
              <v:fill on="t" focussize="0,0"/>
              <v:stroke on="f"/>
              <v:imagedata o:title=""/>
              <o:lock v:ext="edit"/>
            </v:rect>
            <w10:wrap type="none"/>
            <w10:anchorlock/>
          </v:group>
        </w:pict>
      </w:r>
    </w:p>
    <w:p>
      <w:pPr>
        <w:pStyle w:val="30"/>
        <w:numPr>
          <w:ilvl w:val="1"/>
          <w:numId w:val="28"/>
        </w:numPr>
        <w:tabs>
          <w:tab w:val="left" w:pos="1121"/>
        </w:tabs>
        <w:spacing w:before="23" w:line="362" w:lineRule="auto"/>
        <w:ind w:right="259" w:firstLine="480"/>
        <w:rPr>
          <w:sz w:val="24"/>
        </w:rPr>
      </w:pPr>
      <w:r>
        <w:rPr>
          <w:spacing w:val="-1"/>
          <w:sz w:val="24"/>
        </w:rPr>
        <w:t>在履约保证期和检验期内，乙方对甲方提出的索赔负有责任，乙方应按照甲方同意的下</w:t>
      </w:r>
      <w:r>
        <w:rPr>
          <w:sz w:val="24"/>
        </w:rPr>
        <w:t>列一种或多种方式解决索赔事宜：</w:t>
      </w:r>
    </w:p>
    <w:p>
      <w:pPr>
        <w:pStyle w:val="30"/>
        <w:numPr>
          <w:ilvl w:val="2"/>
          <w:numId w:val="28"/>
        </w:numPr>
        <w:tabs>
          <w:tab w:val="left" w:pos="1361"/>
        </w:tabs>
        <w:spacing w:before="5" w:line="364" w:lineRule="auto"/>
        <w:ind w:right="259" w:firstLine="480"/>
        <w:jc w:val="both"/>
        <w:rPr>
          <w:sz w:val="24"/>
        </w:rPr>
      </w:pPr>
      <w:r>
        <w:rPr>
          <w:spacing w:val="-1"/>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w:t>
      </w:r>
      <w:r>
        <w:rPr>
          <w:sz w:val="24"/>
        </w:rPr>
        <w:t>商处理。</w:t>
      </w:r>
    </w:p>
    <w:p>
      <w:pPr>
        <w:pStyle w:val="30"/>
        <w:numPr>
          <w:ilvl w:val="2"/>
          <w:numId w:val="28"/>
        </w:numPr>
        <w:tabs>
          <w:tab w:val="left" w:pos="1361"/>
        </w:tabs>
        <w:spacing w:line="364" w:lineRule="auto"/>
        <w:ind w:right="259" w:firstLine="480"/>
        <w:rPr>
          <w:sz w:val="24"/>
        </w:rPr>
      </w:pPr>
      <w:r>
        <w:rPr>
          <w:spacing w:val="-1"/>
          <w:sz w:val="24"/>
        </w:rPr>
        <w:t>根据货物低劣程度、损坏程度以及甲方所遭受损失的数额，经甲乙双方商定降低货物</w:t>
      </w:r>
      <w:r>
        <w:rPr>
          <w:sz w:val="24"/>
        </w:rPr>
        <w:t>的价格，或由有资质的中介机构评估，以降低后的价格或评估价格为准。</w:t>
      </w:r>
    </w:p>
    <w:p>
      <w:pPr>
        <w:pStyle w:val="30"/>
        <w:numPr>
          <w:ilvl w:val="2"/>
          <w:numId w:val="28"/>
        </w:numPr>
        <w:tabs>
          <w:tab w:val="left" w:pos="1361"/>
        </w:tabs>
        <w:spacing w:line="362" w:lineRule="auto"/>
        <w:ind w:right="259" w:firstLine="480"/>
        <w:jc w:val="both"/>
        <w:rPr>
          <w:sz w:val="24"/>
        </w:rPr>
      </w:pPr>
      <w:r>
        <w:rPr>
          <w:spacing w:val="-1"/>
          <w:sz w:val="24"/>
        </w:rPr>
        <w:t>用符合规格、质量和性能要求的新零件、部件或货物来更换有缺陷的部分或修补缺陷部分，乙方应承担一切费用和风险，并负担甲方所发生的一切直接费用。同时，乙方应相应延长</w:t>
      </w:r>
      <w:r>
        <w:rPr>
          <w:sz w:val="24"/>
        </w:rPr>
        <w:t>修补或更换件的履约保证期。</w:t>
      </w:r>
    </w:p>
    <w:p>
      <w:pPr>
        <w:pStyle w:val="30"/>
        <w:numPr>
          <w:ilvl w:val="1"/>
          <w:numId w:val="28"/>
        </w:numPr>
        <w:tabs>
          <w:tab w:val="left" w:pos="1121"/>
        </w:tabs>
        <w:spacing w:before="5" w:line="362" w:lineRule="auto"/>
        <w:ind w:right="259" w:firstLine="480"/>
        <w:rPr>
          <w:sz w:val="24"/>
        </w:rPr>
      </w:pPr>
      <w:r>
        <w:rPr>
          <w:spacing w:val="-1"/>
          <w:sz w:val="24"/>
        </w:rPr>
        <w:t>乙方收到甲方发出的索赔通知之日起</w:t>
      </w:r>
      <w:r>
        <w:rPr>
          <w:sz w:val="24"/>
        </w:rPr>
        <w:t>5</w:t>
      </w:r>
      <w:r>
        <w:rPr>
          <w:spacing w:val="-11"/>
          <w:sz w:val="24"/>
        </w:rPr>
        <w:t>个工作日内未作答复的，甲方可从合同款或履约保</w:t>
      </w:r>
      <w:r>
        <w:rPr>
          <w:sz w:val="24"/>
        </w:rPr>
        <w:t>证金中扣回索赔金额，如金额不足以补偿索赔金额，乙方应补足差额部分。</w:t>
      </w:r>
    </w:p>
    <w:p>
      <w:pPr>
        <w:pStyle w:val="30"/>
        <w:numPr>
          <w:ilvl w:val="0"/>
          <w:numId w:val="28"/>
        </w:numPr>
        <w:tabs>
          <w:tab w:val="left" w:pos="1006"/>
        </w:tabs>
        <w:spacing w:before="5"/>
        <w:rPr>
          <w:sz w:val="24"/>
        </w:rPr>
      </w:pPr>
      <w:r>
        <w:rPr>
          <w:sz w:val="24"/>
        </w:rPr>
        <w:t>迟延交货</w:t>
      </w:r>
    </w:p>
    <w:p>
      <w:pPr>
        <w:pStyle w:val="30"/>
        <w:numPr>
          <w:ilvl w:val="1"/>
          <w:numId w:val="28"/>
        </w:numPr>
        <w:tabs>
          <w:tab w:val="left" w:pos="1240"/>
        </w:tabs>
        <w:spacing w:before="160"/>
        <w:ind w:left="1240" w:hanging="600"/>
        <w:jc w:val="both"/>
        <w:rPr>
          <w:sz w:val="24"/>
        </w:rPr>
      </w:pPr>
      <w:r>
        <w:rPr>
          <w:sz w:val="24"/>
        </w:rPr>
        <w:t>乙方应按照合同约定的时间交货和提供服务。</w:t>
      </w:r>
    </w:p>
    <w:p>
      <w:pPr>
        <w:pStyle w:val="30"/>
        <w:numPr>
          <w:ilvl w:val="1"/>
          <w:numId w:val="28"/>
        </w:numPr>
        <w:tabs>
          <w:tab w:val="left" w:pos="1240"/>
        </w:tabs>
        <w:spacing w:before="158"/>
        <w:ind w:left="1240" w:hanging="600"/>
        <w:jc w:val="both"/>
        <w:rPr>
          <w:sz w:val="24"/>
        </w:rPr>
      </w:pPr>
      <w:r>
        <w:rPr>
          <w:sz w:val="24"/>
        </w:rPr>
        <w:t>除不可抗力因素外，乙方迟延交货，甲方有权提出违约损失赔偿或解除合同。</w:t>
      </w:r>
    </w:p>
    <w:p>
      <w:pPr>
        <w:pStyle w:val="30"/>
        <w:numPr>
          <w:ilvl w:val="1"/>
          <w:numId w:val="28"/>
        </w:numPr>
        <w:tabs>
          <w:tab w:val="left" w:pos="1121"/>
        </w:tabs>
        <w:spacing w:before="161" w:line="364" w:lineRule="auto"/>
        <w:ind w:right="259" w:firstLine="480"/>
        <w:jc w:val="both"/>
        <w:rPr>
          <w:sz w:val="24"/>
        </w:rPr>
      </w:pPr>
      <w:r>
        <w:rPr>
          <w:spacing w:val="-1"/>
          <w:sz w:val="24"/>
        </w:rPr>
        <w:t>在履行合同过程中，乙方遇到不能按时交货和提供服务的情况，应及时以书面形式将不能按时交货的理由、预期延误时间通知甲方。甲方收到乙方通知后，认为其理由正当的，可酌情</w:t>
      </w:r>
      <w:r>
        <w:rPr>
          <w:sz w:val="24"/>
        </w:rPr>
        <w:t>延长交货时间。</w:t>
      </w:r>
    </w:p>
    <w:p>
      <w:pPr>
        <w:pStyle w:val="30"/>
        <w:numPr>
          <w:ilvl w:val="0"/>
          <w:numId w:val="28"/>
        </w:numPr>
        <w:tabs>
          <w:tab w:val="left" w:pos="1006"/>
        </w:tabs>
        <w:spacing w:line="305" w:lineRule="exact"/>
        <w:rPr>
          <w:sz w:val="24"/>
        </w:rPr>
      </w:pPr>
      <w:r>
        <w:rPr>
          <w:sz w:val="24"/>
        </w:rPr>
        <w:t>违约赔偿</w:t>
      </w:r>
    </w:p>
    <w:p>
      <w:pPr>
        <w:pStyle w:val="8"/>
        <w:spacing w:before="160" w:line="362" w:lineRule="auto"/>
        <w:ind w:left="160" w:right="259" w:firstLine="480"/>
      </w:pPr>
      <w:r>
        <w:rPr>
          <w:spacing w:val="-1"/>
        </w:rPr>
        <w:t>除不可抗力因素外，乙方没有按照合同规定的时间交货和提供服务，甲方可要求乙方支付违</w:t>
      </w:r>
      <w:r>
        <w:t>约金。违约金每日按合同总价款的千分之五计收。</w:t>
      </w:r>
    </w:p>
    <w:p>
      <w:pPr>
        <w:pStyle w:val="30"/>
        <w:numPr>
          <w:ilvl w:val="0"/>
          <w:numId w:val="28"/>
        </w:numPr>
        <w:tabs>
          <w:tab w:val="left" w:pos="1006"/>
        </w:tabs>
        <w:spacing w:before="5"/>
        <w:rPr>
          <w:sz w:val="24"/>
        </w:rPr>
      </w:pPr>
      <w:r>
        <w:rPr>
          <w:sz w:val="24"/>
        </w:rPr>
        <w:t>不可抗力</w:t>
      </w:r>
    </w:p>
    <w:p>
      <w:pPr>
        <w:pStyle w:val="8"/>
        <w:spacing w:before="158" w:line="364" w:lineRule="auto"/>
        <w:ind w:left="160" w:right="259" w:firstLine="480"/>
      </w:pPr>
      <w:r>
        <w:rPr>
          <w:spacing w:val="-1"/>
        </w:rPr>
        <w:t>17.1.</w:t>
      </w:r>
      <w:r>
        <w:rPr>
          <w:spacing w:val="-7"/>
        </w:rPr>
        <w:t>双方中任何一方遭遇法律规定的不可抗力，致使合同履行受阻时，履行合同的期限应予</w:t>
      </w:r>
      <w:r>
        <w:t>延长，延长的期限应相当于不可抗力所影响的时间。</w:t>
      </w:r>
    </w:p>
    <w:p>
      <w:pPr>
        <w:pStyle w:val="30"/>
        <w:numPr>
          <w:ilvl w:val="1"/>
          <w:numId w:val="29"/>
        </w:numPr>
        <w:tabs>
          <w:tab w:val="left" w:pos="1121"/>
        </w:tabs>
        <w:spacing w:line="306" w:lineRule="exact"/>
        <w:rPr>
          <w:sz w:val="24"/>
        </w:rPr>
      </w:pPr>
      <w:r>
        <w:rPr>
          <w:sz w:val="24"/>
        </w:rPr>
        <w:t>受事故影响的一方应在不可抗力的事故发生后以书面形式通知另一方。</w:t>
      </w:r>
    </w:p>
    <w:p>
      <w:pPr>
        <w:pStyle w:val="30"/>
        <w:numPr>
          <w:ilvl w:val="1"/>
          <w:numId w:val="29"/>
        </w:numPr>
        <w:tabs>
          <w:tab w:val="left" w:pos="1121"/>
        </w:tabs>
        <w:spacing w:before="161" w:line="362" w:lineRule="auto"/>
        <w:ind w:left="160" w:right="139" w:firstLine="480"/>
        <w:rPr>
          <w:sz w:val="24"/>
        </w:rPr>
      </w:pPr>
      <w:r>
        <w:rPr>
          <w:spacing w:val="-8"/>
          <w:sz w:val="24"/>
        </w:rPr>
        <w:t>不可抗力使合同的某些内容有变更必要的，双方应通过协商达成进一步履行合同的协议，</w:t>
      </w:r>
      <w:r>
        <w:rPr>
          <w:spacing w:val="-117"/>
          <w:sz w:val="24"/>
        </w:rPr>
        <w:t xml:space="preserve"> </w:t>
      </w:r>
      <w:r>
        <w:rPr>
          <w:sz w:val="24"/>
        </w:rPr>
        <w:t>因不可抗力致使合同不能履行的，合同终止。</w:t>
      </w:r>
    </w:p>
    <w:p>
      <w:pPr>
        <w:spacing w:line="362" w:lineRule="auto"/>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57" o:spid="_x0000_s1057" o:spt="203" style="height:1pt;width:504pt;" coordsize="10080,20">
            <o:lock v:ext="edit"/>
            <v:rect id="_x0000_s1058" o:spid="_x0000_s1058" o:spt="1" style="position:absolute;left:0;top:0;height:20;width:10080;" fillcolor="#000000" filled="t" stroked="f" coordsize="21600,21600">
              <v:path/>
              <v:fill on="t" focussize="0,0"/>
              <v:stroke on="f"/>
              <v:imagedata o:title=""/>
              <o:lock v:ext="edit"/>
            </v:rect>
            <w10:wrap type="none"/>
            <w10:anchorlock/>
          </v:group>
        </w:pict>
      </w:r>
    </w:p>
    <w:p>
      <w:pPr>
        <w:pStyle w:val="30"/>
        <w:numPr>
          <w:ilvl w:val="0"/>
          <w:numId w:val="28"/>
        </w:numPr>
        <w:tabs>
          <w:tab w:val="left" w:pos="1006"/>
        </w:tabs>
        <w:spacing w:before="23"/>
        <w:rPr>
          <w:sz w:val="24"/>
        </w:rPr>
      </w:pPr>
      <w:r>
        <w:rPr>
          <w:sz w:val="24"/>
        </w:rPr>
        <w:t>税费</w:t>
      </w:r>
    </w:p>
    <w:p>
      <w:pPr>
        <w:pStyle w:val="8"/>
        <w:spacing w:before="158" w:line="364" w:lineRule="auto"/>
        <w:ind w:left="642" w:right="5539" w:hanging="3"/>
      </w:pPr>
      <w:r>
        <w:rPr>
          <w:spacing w:val="-1"/>
        </w:rPr>
        <w:t>与本合同有关的一切税费均由乙方承担。</w:t>
      </w:r>
      <w:r>
        <w:t>19.合同争议的解决</w:t>
      </w:r>
    </w:p>
    <w:p>
      <w:pPr>
        <w:pStyle w:val="30"/>
        <w:numPr>
          <w:ilvl w:val="1"/>
          <w:numId w:val="30"/>
        </w:numPr>
        <w:tabs>
          <w:tab w:val="left" w:pos="1121"/>
        </w:tabs>
        <w:spacing w:before="1"/>
        <w:rPr>
          <w:sz w:val="24"/>
        </w:rPr>
      </w:pPr>
      <w:r>
        <w:rPr>
          <w:sz w:val="24"/>
        </w:rPr>
        <w:t>甲方和乙方由于本合同的履行而发生任何争议时，双方可先通过协商解决。</w:t>
      </w:r>
    </w:p>
    <w:p>
      <w:pPr>
        <w:pStyle w:val="30"/>
        <w:numPr>
          <w:ilvl w:val="1"/>
          <w:numId w:val="30"/>
        </w:numPr>
        <w:tabs>
          <w:tab w:val="left" w:pos="1121"/>
        </w:tabs>
        <w:spacing w:before="158" w:line="364" w:lineRule="auto"/>
        <w:ind w:left="160" w:right="259" w:firstLine="480"/>
        <w:rPr>
          <w:sz w:val="24"/>
        </w:rPr>
      </w:pPr>
      <w:r>
        <w:rPr>
          <w:spacing w:val="-1"/>
          <w:sz w:val="24"/>
        </w:rPr>
        <w:t>任何一方不愿通过协商或通过协商仍不能解决争议，则双方中任何一方均应向甲方所在</w:t>
      </w:r>
      <w:r>
        <w:rPr>
          <w:sz w:val="24"/>
        </w:rPr>
        <w:t>地人民法院起诉。</w:t>
      </w:r>
    </w:p>
    <w:p>
      <w:pPr>
        <w:pStyle w:val="30"/>
        <w:numPr>
          <w:ilvl w:val="0"/>
          <w:numId w:val="31"/>
        </w:numPr>
        <w:tabs>
          <w:tab w:val="left" w:pos="1006"/>
        </w:tabs>
        <w:spacing w:line="306" w:lineRule="exact"/>
        <w:rPr>
          <w:sz w:val="24"/>
        </w:rPr>
      </w:pPr>
      <w:r>
        <w:rPr>
          <w:sz w:val="24"/>
        </w:rPr>
        <w:t>违约解除合同</w:t>
      </w:r>
    </w:p>
    <w:p>
      <w:pPr>
        <w:pStyle w:val="30"/>
        <w:numPr>
          <w:ilvl w:val="1"/>
          <w:numId w:val="31"/>
        </w:numPr>
        <w:tabs>
          <w:tab w:val="left" w:pos="1121"/>
        </w:tabs>
        <w:spacing w:before="161" w:line="364" w:lineRule="auto"/>
        <w:ind w:right="259" w:firstLine="480"/>
        <w:rPr>
          <w:sz w:val="24"/>
        </w:rPr>
      </w:pPr>
      <w:r>
        <w:rPr>
          <w:spacing w:val="-1"/>
          <w:sz w:val="24"/>
        </w:rPr>
        <w:t>出现下列情形之一的，视为乙方违约。甲方可向乙方发出书面通知，部分或全部终止合</w:t>
      </w:r>
      <w:r>
        <w:rPr>
          <w:sz w:val="24"/>
        </w:rPr>
        <w:t>同，同时保留向乙方索赔的权利。</w:t>
      </w:r>
    </w:p>
    <w:p>
      <w:pPr>
        <w:pStyle w:val="30"/>
        <w:numPr>
          <w:ilvl w:val="2"/>
          <w:numId w:val="31"/>
        </w:numPr>
        <w:tabs>
          <w:tab w:val="left" w:pos="1361"/>
        </w:tabs>
        <w:spacing w:line="306" w:lineRule="exact"/>
        <w:rPr>
          <w:sz w:val="24"/>
        </w:rPr>
      </w:pPr>
      <w:r>
        <w:rPr>
          <w:sz w:val="24"/>
        </w:rPr>
        <w:t>乙方未能在合同规定的限期或甲方同意延长的限期内，提供全部或部分货物的；</w:t>
      </w:r>
    </w:p>
    <w:p>
      <w:pPr>
        <w:pStyle w:val="30"/>
        <w:numPr>
          <w:ilvl w:val="2"/>
          <w:numId w:val="31"/>
        </w:numPr>
        <w:tabs>
          <w:tab w:val="left" w:pos="1361"/>
        </w:tabs>
        <w:spacing w:before="158"/>
        <w:rPr>
          <w:sz w:val="24"/>
        </w:rPr>
      </w:pPr>
      <w:r>
        <w:rPr>
          <w:sz w:val="24"/>
        </w:rPr>
        <w:t>乙方未能履行合同规定的其它主要义务的；</w:t>
      </w:r>
    </w:p>
    <w:p>
      <w:pPr>
        <w:pStyle w:val="30"/>
        <w:numPr>
          <w:ilvl w:val="2"/>
          <w:numId w:val="31"/>
        </w:numPr>
        <w:tabs>
          <w:tab w:val="left" w:pos="1361"/>
        </w:tabs>
        <w:spacing w:before="160"/>
        <w:rPr>
          <w:sz w:val="24"/>
        </w:rPr>
      </w:pPr>
      <w:r>
        <w:rPr>
          <w:sz w:val="24"/>
        </w:rPr>
        <w:t>乙方在本合同履行过程中有欺诈行为的。</w:t>
      </w:r>
    </w:p>
    <w:p>
      <w:pPr>
        <w:pStyle w:val="30"/>
        <w:numPr>
          <w:ilvl w:val="1"/>
          <w:numId w:val="31"/>
        </w:numPr>
        <w:tabs>
          <w:tab w:val="left" w:pos="1121"/>
        </w:tabs>
        <w:spacing w:before="158" w:line="364" w:lineRule="auto"/>
        <w:ind w:right="259" w:firstLine="480"/>
        <w:jc w:val="both"/>
        <w:rPr>
          <w:sz w:val="24"/>
        </w:rPr>
      </w:pPr>
      <w:r>
        <w:rPr>
          <w:spacing w:val="-1"/>
          <w:sz w:val="24"/>
        </w:rPr>
        <w:t>甲方全部或部分解除合同之后，应当遵循诚实信用原则购买与未交付的货物类似的货物或服务，乙方应承担买方购买类似货物或服务而产生的额外支出。部分解除合同的，乙方应继续</w:t>
      </w:r>
      <w:r>
        <w:rPr>
          <w:sz w:val="24"/>
        </w:rPr>
        <w:t>履行合同中未解除的部分。</w:t>
      </w:r>
    </w:p>
    <w:p>
      <w:pPr>
        <w:pStyle w:val="30"/>
        <w:numPr>
          <w:ilvl w:val="0"/>
          <w:numId w:val="31"/>
        </w:numPr>
        <w:tabs>
          <w:tab w:val="left" w:pos="1006"/>
        </w:tabs>
        <w:spacing w:line="307" w:lineRule="exact"/>
        <w:rPr>
          <w:sz w:val="24"/>
        </w:rPr>
      </w:pPr>
      <w:r>
        <w:rPr>
          <w:sz w:val="24"/>
        </w:rPr>
        <w:t>破产终止合同</w:t>
      </w:r>
    </w:p>
    <w:p>
      <w:pPr>
        <w:pStyle w:val="8"/>
        <w:spacing w:before="161" w:line="362" w:lineRule="auto"/>
        <w:ind w:left="160" w:right="259" w:firstLine="480"/>
      </w:pPr>
      <w:r>
        <w:rPr>
          <w:spacing w:val="-1"/>
        </w:rPr>
        <w:t>乙方破产而无法完全履行本合同义务时，甲方可以书面方式通知乙方终止合同而不给予乙方</w:t>
      </w:r>
      <w:r>
        <w:t>补偿。该合同的终止将不损害或不影响甲方已经采取或将要采取任何行动或补救措施的权利。</w:t>
      </w:r>
    </w:p>
    <w:p>
      <w:pPr>
        <w:pStyle w:val="30"/>
        <w:numPr>
          <w:ilvl w:val="0"/>
          <w:numId w:val="31"/>
        </w:numPr>
        <w:tabs>
          <w:tab w:val="left" w:pos="1006"/>
        </w:tabs>
        <w:spacing w:before="5"/>
        <w:rPr>
          <w:sz w:val="24"/>
        </w:rPr>
      </w:pPr>
      <w:r>
        <w:rPr>
          <w:sz w:val="24"/>
        </w:rPr>
        <w:t>转让和分包</w:t>
      </w:r>
    </w:p>
    <w:p>
      <w:pPr>
        <w:pStyle w:val="30"/>
        <w:numPr>
          <w:ilvl w:val="1"/>
          <w:numId w:val="31"/>
        </w:numPr>
        <w:tabs>
          <w:tab w:val="left" w:pos="1121"/>
        </w:tabs>
        <w:spacing w:before="158"/>
        <w:ind w:left="1121"/>
        <w:rPr>
          <w:sz w:val="24"/>
        </w:rPr>
      </w:pPr>
      <w:r>
        <w:rPr>
          <w:sz w:val="24"/>
        </w:rPr>
        <w:t>政府采购合同不能转让。</w:t>
      </w:r>
    </w:p>
    <w:p>
      <w:pPr>
        <w:pStyle w:val="30"/>
        <w:numPr>
          <w:ilvl w:val="1"/>
          <w:numId w:val="31"/>
        </w:numPr>
        <w:tabs>
          <w:tab w:val="left" w:pos="1121"/>
        </w:tabs>
        <w:spacing w:before="160" w:line="364" w:lineRule="auto"/>
        <w:ind w:right="259" w:firstLine="480"/>
        <w:jc w:val="both"/>
        <w:rPr>
          <w:sz w:val="24"/>
        </w:rPr>
      </w:pPr>
      <w:r>
        <w:rPr>
          <w:spacing w:val="-1"/>
          <w:sz w:val="24"/>
        </w:rPr>
        <w:t>经甲方书面同意乙方可以将合同条款下非主体、非关键性工作分包给他人完成。接受分包的人应当具备相应的资格条件，并不得再次分包。分包后不能解除卖方履行本合同的责任和义</w:t>
      </w:r>
      <w:r>
        <w:rPr>
          <w:sz w:val="24"/>
        </w:rPr>
        <w:t>务，接受分包的人与乙方共同对甲方连带承担合同的责任和义务。</w:t>
      </w:r>
    </w:p>
    <w:p>
      <w:pPr>
        <w:pStyle w:val="30"/>
        <w:numPr>
          <w:ilvl w:val="0"/>
          <w:numId w:val="31"/>
        </w:numPr>
        <w:tabs>
          <w:tab w:val="left" w:pos="1006"/>
        </w:tabs>
        <w:spacing w:line="304" w:lineRule="exact"/>
        <w:rPr>
          <w:sz w:val="24"/>
        </w:rPr>
      </w:pPr>
      <w:r>
        <w:rPr>
          <w:sz w:val="24"/>
        </w:rPr>
        <w:t>合同修改</w:t>
      </w:r>
    </w:p>
    <w:p>
      <w:pPr>
        <w:pStyle w:val="8"/>
        <w:spacing w:before="161" w:line="362" w:lineRule="auto"/>
        <w:ind w:left="160" w:right="259" w:firstLine="480"/>
      </w:pPr>
      <w:r>
        <w:rPr>
          <w:spacing w:val="-1"/>
        </w:rPr>
        <w:t>甲方和乙方都不得擅自变更本合同，但合同继续履行将损害国家和社会公共利益的除外。如</w:t>
      </w:r>
      <w:r>
        <w:t>必须对合同条款进行改动时，当事人双方须共同签署书面文件，作为合同的补充。</w:t>
      </w:r>
    </w:p>
    <w:p>
      <w:pPr>
        <w:pStyle w:val="30"/>
        <w:numPr>
          <w:ilvl w:val="0"/>
          <w:numId w:val="31"/>
        </w:numPr>
        <w:tabs>
          <w:tab w:val="left" w:pos="1006"/>
        </w:tabs>
        <w:spacing w:before="5"/>
        <w:rPr>
          <w:sz w:val="24"/>
        </w:rPr>
      </w:pPr>
      <w:r>
        <w:rPr>
          <w:sz w:val="24"/>
        </w:rPr>
        <w:t>通知</w:t>
      </w:r>
    </w:p>
    <w:p>
      <w:pPr>
        <w:pStyle w:val="8"/>
        <w:spacing w:before="158"/>
        <w:ind w:left="640"/>
      </w:pPr>
      <w:r>
        <w:t>本合同任何一方给另一方的通知，都应以书面形式发送，而另一方也应以书面形式确认并发</w:t>
      </w:r>
    </w:p>
    <w:p>
      <w:p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w:pict>
          <v:group id="_x0000_s1059" o:spid="_x0000_s1059" o:spt="203" style="height:1pt;width:504pt;" coordsize="10080,20">
            <o:lock v:ext="edit"/>
            <v:rect id="_x0000_s1060" o:spid="_x0000_s1060" o:spt="1" style="position:absolute;left:0;top:0;height:20;width:10080;" fillcolor="#000000" filled="t" stroked="f" coordsize="21600,21600">
              <v:path/>
              <v:fill on="t" focussize="0,0"/>
              <v:stroke on="f"/>
              <v:imagedata o:title=""/>
              <o:lock v:ext="edit"/>
            </v:rect>
            <w10:wrap type="none"/>
            <w10:anchorlock/>
          </v:group>
        </w:pict>
      </w:r>
    </w:p>
    <w:p>
      <w:pPr>
        <w:pStyle w:val="8"/>
        <w:spacing w:before="23" w:line="362" w:lineRule="auto"/>
        <w:ind w:left="642" w:right="7939" w:hanging="483"/>
      </w:pPr>
      <w:r>
        <w:rPr>
          <w:spacing w:val="-1"/>
        </w:rPr>
        <w:t>送到对方明确的地址。</w:t>
      </w:r>
      <w:r>
        <w:t>25.计量单位</w:t>
      </w:r>
    </w:p>
    <w:p>
      <w:pPr>
        <w:pStyle w:val="8"/>
        <w:spacing w:before="5" w:line="364" w:lineRule="auto"/>
        <w:ind w:left="642" w:right="3139" w:hanging="3"/>
      </w:pPr>
      <w:r>
        <w:rPr>
          <w:spacing w:val="-1"/>
        </w:rPr>
        <w:t>除技术规范中另有规定外，计量单位均使用国家法定计量单位。</w:t>
      </w:r>
      <w:r>
        <w:t>26.适用法律</w:t>
      </w:r>
    </w:p>
    <w:p>
      <w:pPr>
        <w:pStyle w:val="8"/>
        <w:spacing w:line="306" w:lineRule="exact"/>
        <w:ind w:left="640"/>
      </w:pPr>
      <w:r>
        <w:t>本合同按照中华人民共和国的相关法律进行解释。</w:t>
      </w:r>
    </w:p>
    <w:p>
      <w:pPr>
        <w:spacing w:line="306" w:lineRule="exact"/>
        <w:sectPr>
          <w:pgSz w:w="12240" w:h="15840"/>
          <w:pgMar w:top="1400" w:right="820" w:bottom="900" w:left="920" w:header="1153" w:footer="708" w:gutter="0"/>
          <w:pgNumType w:fmt="decimal"/>
          <w:cols w:space="720" w:num="1"/>
        </w:sectPr>
      </w:pPr>
    </w:p>
    <w:p>
      <w:pPr>
        <w:pStyle w:val="5"/>
        <w:spacing w:before="7"/>
        <w:ind w:right="100"/>
        <w:outlineLvl w:val="0"/>
      </w:pPr>
      <w:bookmarkStart w:id="58" w:name="第五部分__响应文件格式"/>
      <w:bookmarkEnd w:id="58"/>
      <w:bookmarkStart w:id="59" w:name="_Toc31826"/>
      <w:r>
        <w:rPr>
          <w:spacing w:val="12"/>
        </w:rPr>
        <w:t>第五部分 响应文件格式</w:t>
      </w:r>
      <w:bookmarkEnd w:id="59"/>
    </w:p>
    <w:p>
      <w:pPr>
        <w:pStyle w:val="8"/>
        <w:rPr>
          <w:sz w:val="30"/>
        </w:rPr>
      </w:pPr>
    </w:p>
    <w:p>
      <w:pPr>
        <w:pStyle w:val="8"/>
        <w:rPr>
          <w:sz w:val="30"/>
        </w:rPr>
      </w:pPr>
    </w:p>
    <w:p>
      <w:pPr>
        <w:spacing w:before="261" w:line="321" w:lineRule="auto"/>
        <w:ind w:left="160" w:right="255" w:firstLine="626"/>
        <w:rPr>
          <w:sz w:val="28"/>
        </w:rPr>
      </w:pPr>
      <w:r>
        <w:rPr>
          <w:spacing w:val="-3"/>
          <w:sz w:val="28"/>
        </w:rPr>
        <w:t>供应商应严格按照本格式要求编制响应文件，胶装成册并编制相应页码，否则</w:t>
      </w:r>
      <w:r>
        <w:rPr>
          <w:sz w:val="28"/>
        </w:rPr>
        <w:t>其响应文件将不予接受。</w:t>
      </w:r>
    </w:p>
    <w:p>
      <w:pPr>
        <w:spacing w:line="321" w:lineRule="auto"/>
        <w:rPr>
          <w:sz w:val="28"/>
        </w:rPr>
        <w:sectPr>
          <w:headerReference r:id="rId22" w:type="default"/>
          <w:footerReference r:id="rId23" w:type="default"/>
          <w:pgSz w:w="12240" w:h="15840"/>
          <w:pgMar w:top="1440" w:right="820" w:bottom="900" w:left="920" w:header="1153" w:footer="708" w:gutter="0"/>
          <w:pgNumType w:fmt="decimal"/>
          <w:cols w:space="720" w:num="1"/>
        </w:sectPr>
      </w:pPr>
    </w:p>
    <w:p>
      <w:pPr>
        <w:spacing w:before="6"/>
        <w:ind w:left="160"/>
        <w:outlineLvl w:val="1"/>
        <w:rPr>
          <w:sz w:val="32"/>
        </w:rPr>
      </w:pPr>
      <w:bookmarkStart w:id="60" w:name="格式1：响应文件封面"/>
      <w:bookmarkEnd w:id="60"/>
      <w:bookmarkStart w:id="61" w:name="_Toc5275"/>
      <w:r>
        <w:rPr>
          <w:spacing w:val="28"/>
          <w:w w:val="95"/>
          <w:sz w:val="32"/>
        </w:rPr>
        <w:t xml:space="preserve">格式 </w:t>
      </w:r>
      <w:r>
        <w:rPr>
          <w:w w:val="95"/>
          <w:sz w:val="32"/>
        </w:rPr>
        <w:t>1：响应文件封面</w:t>
      </w:r>
      <w:bookmarkEnd w:id="61"/>
    </w:p>
    <w:p>
      <w:pPr>
        <w:pStyle w:val="8"/>
        <w:rPr>
          <w:sz w:val="32"/>
        </w:rPr>
      </w:pPr>
    </w:p>
    <w:p>
      <w:pPr>
        <w:pStyle w:val="8"/>
        <w:rPr>
          <w:sz w:val="32"/>
        </w:rPr>
      </w:pPr>
    </w:p>
    <w:p>
      <w:pPr>
        <w:pStyle w:val="8"/>
        <w:rPr>
          <w:sz w:val="32"/>
        </w:rPr>
      </w:pPr>
    </w:p>
    <w:p>
      <w:pPr>
        <w:pStyle w:val="8"/>
        <w:spacing w:before="8"/>
        <w:rPr>
          <w:sz w:val="35"/>
        </w:rPr>
      </w:pPr>
    </w:p>
    <w:p>
      <w:pPr>
        <w:pStyle w:val="3"/>
      </w:pPr>
      <w:bookmarkStart w:id="62" w:name="_Toc19797"/>
      <w:r>
        <w:rPr>
          <w:rFonts w:hint="eastAsia"/>
        </w:rPr>
        <w:t>果洛州</w:t>
      </w:r>
      <w:r>
        <w:t>政府采购项目</w:t>
      </w:r>
      <w:bookmarkEnd w:id="62"/>
    </w:p>
    <w:p>
      <w:pPr>
        <w:pStyle w:val="8"/>
        <w:rPr>
          <w:sz w:val="52"/>
        </w:rPr>
      </w:pPr>
    </w:p>
    <w:p>
      <w:pPr>
        <w:pStyle w:val="8"/>
        <w:rPr>
          <w:sz w:val="52"/>
        </w:rPr>
      </w:pPr>
    </w:p>
    <w:p>
      <w:pPr>
        <w:spacing w:before="338"/>
        <w:ind w:right="100"/>
        <w:jc w:val="center"/>
        <w:outlineLvl w:val="2"/>
        <w:rPr>
          <w:sz w:val="72"/>
        </w:rPr>
      </w:pPr>
      <w:bookmarkStart w:id="63" w:name="_Toc9560"/>
      <w:r>
        <w:rPr>
          <w:sz w:val="72"/>
        </w:rPr>
        <w:t>响 应 文 件</w:t>
      </w:r>
      <w:bookmarkEnd w:id="63"/>
    </w:p>
    <w:p>
      <w:pPr>
        <w:pStyle w:val="8"/>
        <w:rPr>
          <w:sz w:val="72"/>
        </w:rPr>
      </w:pPr>
    </w:p>
    <w:p>
      <w:pPr>
        <w:pStyle w:val="8"/>
        <w:spacing w:before="3"/>
        <w:rPr>
          <w:sz w:val="89"/>
        </w:rPr>
      </w:pPr>
    </w:p>
    <w:p>
      <w:pPr>
        <w:pStyle w:val="5"/>
        <w:ind w:left="160"/>
        <w:jc w:val="left"/>
        <w:rPr>
          <w:rFonts w:hint="eastAsia" w:eastAsia="宋体"/>
          <w:lang w:val="en-US" w:eastAsia="zh-CN"/>
        </w:rPr>
      </w:pPr>
      <w:r>
        <w:t>采购项目编号：</w:t>
      </w:r>
      <w:r>
        <w:rPr>
          <w:rFonts w:hint="eastAsia"/>
        </w:rPr>
        <w:t>果政采竞磋（服务）2021-0</w:t>
      </w:r>
      <w:r>
        <w:rPr>
          <w:rFonts w:hint="eastAsia"/>
          <w:lang w:val="en-US" w:eastAsia="zh-CN"/>
        </w:rPr>
        <w:t>2</w:t>
      </w:r>
    </w:p>
    <w:p>
      <w:pPr>
        <w:spacing w:before="199"/>
        <w:ind w:left="160"/>
        <w:outlineLvl w:val="2"/>
        <w:rPr>
          <w:sz w:val="30"/>
        </w:rPr>
      </w:pPr>
      <w:bookmarkStart w:id="64" w:name="_Toc16875"/>
      <w:r>
        <w:rPr>
          <w:sz w:val="30"/>
        </w:rPr>
        <w:t>采购项目名称：</w:t>
      </w:r>
      <w:r>
        <w:rPr>
          <w:rFonts w:hint="eastAsia"/>
          <w:sz w:val="30"/>
        </w:rPr>
        <w:t>果洛</w:t>
      </w:r>
      <w:r>
        <w:rPr>
          <w:rFonts w:hint="eastAsia"/>
          <w:sz w:val="30"/>
          <w:lang w:val="en-US" w:eastAsia="zh-CN"/>
        </w:rPr>
        <w:t>州公安局购置执法执勤、专业技术用车</w:t>
      </w:r>
      <w:r>
        <w:rPr>
          <w:rFonts w:hint="eastAsia"/>
          <w:sz w:val="30"/>
        </w:rPr>
        <w:t>项目</w:t>
      </w:r>
      <w:bookmarkEnd w:id="64"/>
    </w:p>
    <w:p>
      <w:pPr>
        <w:pStyle w:val="8"/>
        <w:rPr>
          <w:sz w:val="30"/>
        </w:rPr>
      </w:pPr>
    </w:p>
    <w:p>
      <w:pPr>
        <w:pStyle w:val="8"/>
        <w:rPr>
          <w:sz w:val="30"/>
        </w:rPr>
      </w:pPr>
    </w:p>
    <w:p>
      <w:pPr>
        <w:pStyle w:val="8"/>
        <w:rPr>
          <w:sz w:val="30"/>
        </w:rPr>
      </w:pPr>
    </w:p>
    <w:p>
      <w:pPr>
        <w:pStyle w:val="8"/>
        <w:spacing w:before="11"/>
        <w:rPr>
          <w:sz w:val="28"/>
        </w:rPr>
      </w:pPr>
    </w:p>
    <w:p>
      <w:pPr>
        <w:tabs>
          <w:tab w:val="left" w:pos="5619"/>
        </w:tabs>
        <w:ind w:left="160"/>
        <w:outlineLvl w:val="2"/>
        <w:rPr>
          <w:sz w:val="32"/>
        </w:rPr>
      </w:pPr>
      <w:bookmarkStart w:id="65" w:name="_Toc15564"/>
      <w:r>
        <w:rPr>
          <w:sz w:val="32"/>
        </w:rPr>
        <w:t>供应商：</w:t>
      </w:r>
      <w:r>
        <w:rPr>
          <w:rFonts w:ascii="Times New Roman" w:eastAsia="Times New Roman"/>
          <w:sz w:val="32"/>
          <w:u w:val="single"/>
        </w:rPr>
        <w:tab/>
      </w:r>
      <w:r>
        <w:rPr>
          <w:w w:val="95"/>
          <w:sz w:val="32"/>
        </w:rPr>
        <w:t>（公章）</w:t>
      </w:r>
      <w:bookmarkEnd w:id="65"/>
    </w:p>
    <w:p>
      <w:pPr>
        <w:tabs>
          <w:tab w:val="left" w:pos="5379"/>
        </w:tabs>
        <w:spacing w:before="211"/>
        <w:ind w:left="160"/>
        <w:outlineLvl w:val="2"/>
        <w:rPr>
          <w:sz w:val="32"/>
        </w:rPr>
      </w:pPr>
      <w:bookmarkStart w:id="66" w:name="_Toc24331"/>
      <w:r>
        <w:rPr>
          <w:sz w:val="32"/>
        </w:rPr>
        <w:t>法定代表人或委托代理人：</w:t>
      </w:r>
      <w:r>
        <w:rPr>
          <w:rFonts w:ascii="Times New Roman" w:eastAsia="Times New Roman"/>
          <w:sz w:val="32"/>
          <w:u w:val="single"/>
        </w:rPr>
        <w:tab/>
      </w:r>
      <w:r>
        <w:rPr>
          <w:w w:val="95"/>
          <w:sz w:val="32"/>
        </w:rPr>
        <w:t>（签字或盖章）</w:t>
      </w:r>
      <w:bookmarkEnd w:id="66"/>
    </w:p>
    <w:p>
      <w:pPr>
        <w:pStyle w:val="8"/>
        <w:rPr>
          <w:sz w:val="34"/>
        </w:rPr>
      </w:pPr>
    </w:p>
    <w:p>
      <w:pPr>
        <w:pStyle w:val="8"/>
        <w:rPr>
          <w:sz w:val="34"/>
        </w:rPr>
      </w:pPr>
    </w:p>
    <w:p>
      <w:pPr>
        <w:pStyle w:val="8"/>
        <w:spacing w:before="10"/>
        <w:rPr>
          <w:sz w:val="45"/>
        </w:rPr>
      </w:pPr>
    </w:p>
    <w:p>
      <w:pPr>
        <w:pStyle w:val="4"/>
        <w:tabs>
          <w:tab w:val="left" w:pos="3212"/>
        </w:tabs>
        <w:ind w:left="2408" w:right="0" w:firstLine="3840" w:firstLineChars="1200"/>
        <w:jc w:val="left"/>
      </w:pPr>
      <w:bookmarkStart w:id="67" w:name="_Toc29075"/>
      <w:r>
        <w:t>年</w:t>
      </w:r>
      <w:r>
        <w:tab/>
      </w:r>
      <w:r>
        <w:t>月</w:t>
      </w:r>
      <w:r>
        <w:rPr>
          <w:rFonts w:hint="eastAsia"/>
          <w:lang w:val="en-US" w:eastAsia="zh-CN"/>
        </w:rPr>
        <w:t xml:space="preserve"> </w:t>
      </w:r>
      <w:r>
        <w:rPr>
          <w:spacing w:val="159"/>
        </w:rPr>
        <w:t xml:space="preserve"> </w:t>
      </w:r>
      <w:r>
        <w:t>日</w:t>
      </w:r>
      <w:bookmarkEnd w:id="67"/>
    </w:p>
    <w:p>
      <w:pPr>
        <w:sectPr>
          <w:pgSz w:w="12240" w:h="15840"/>
          <w:pgMar w:top="1440" w:right="820" w:bottom="900" w:left="920" w:header="1153" w:footer="708" w:gutter="0"/>
          <w:pgNumType w:fmt="decimal"/>
          <w:cols w:space="720" w:num="1"/>
        </w:sectPr>
      </w:pPr>
    </w:p>
    <w:p>
      <w:pPr>
        <w:pStyle w:val="6"/>
        <w:ind w:left="0" w:right="97"/>
        <w:jc w:val="center"/>
      </w:pPr>
      <w:bookmarkStart w:id="68" w:name="格式2：磋商函"/>
      <w:bookmarkEnd w:id="68"/>
      <w:r>
        <w:t>目录</w:t>
      </w:r>
    </w:p>
    <w:p>
      <w:pPr>
        <w:pStyle w:val="8"/>
        <w:spacing w:before="12"/>
        <w:rPr>
          <w:sz w:val="23"/>
        </w:rPr>
      </w:pPr>
    </w:p>
    <w:p>
      <w:pPr>
        <w:spacing w:before="62"/>
        <w:ind w:left="160"/>
        <w:rPr>
          <w:sz w:val="28"/>
        </w:rPr>
      </w:pPr>
      <w:r>
        <w:rPr>
          <w:sz w:val="28"/>
        </w:rPr>
        <w:t>（格式自定）</w:t>
      </w:r>
    </w:p>
    <w:p>
      <w:pPr>
        <w:rPr>
          <w:sz w:val="28"/>
        </w:rPr>
        <w:sectPr>
          <w:pgSz w:w="12240" w:h="15840"/>
          <w:pgMar w:top="1440" w:right="820" w:bottom="900" w:left="920" w:header="1153" w:footer="708" w:gutter="0"/>
          <w:pgNumType w:fmt="decimal"/>
          <w:cols w:space="720" w:num="1"/>
        </w:sectPr>
      </w:pPr>
    </w:p>
    <w:p>
      <w:pPr>
        <w:pStyle w:val="8"/>
        <w:spacing w:before="4"/>
        <w:rPr>
          <w:sz w:val="14"/>
        </w:rPr>
      </w:pPr>
    </w:p>
    <w:p>
      <w:pPr>
        <w:spacing w:before="62"/>
        <w:ind w:left="160"/>
        <w:outlineLvl w:val="1"/>
        <w:rPr>
          <w:sz w:val="28"/>
        </w:rPr>
      </w:pPr>
      <w:bookmarkStart w:id="69" w:name="_Toc30814"/>
      <w:r>
        <w:rPr>
          <w:spacing w:val="-23"/>
          <w:sz w:val="28"/>
        </w:rPr>
        <w:t xml:space="preserve">格式 </w:t>
      </w:r>
      <w:r>
        <w:rPr>
          <w:sz w:val="28"/>
        </w:rPr>
        <w:t>2：磋商函</w:t>
      </w:r>
      <w:bookmarkEnd w:id="69"/>
    </w:p>
    <w:p>
      <w:pPr>
        <w:pStyle w:val="8"/>
        <w:rPr>
          <w:sz w:val="20"/>
        </w:rPr>
      </w:pPr>
    </w:p>
    <w:p>
      <w:pPr>
        <w:pStyle w:val="4"/>
        <w:spacing w:before="206"/>
        <w:ind w:right="100"/>
      </w:pPr>
      <w:bookmarkStart w:id="70" w:name="_Toc27208"/>
      <w:r>
        <w:rPr>
          <w:w w:val="95"/>
        </w:rPr>
        <w:t>磋商函</w:t>
      </w:r>
      <w:bookmarkEnd w:id="70"/>
    </w:p>
    <w:p>
      <w:pPr>
        <w:pStyle w:val="8"/>
        <w:spacing w:before="8"/>
        <w:rPr>
          <w:sz w:val="30"/>
        </w:rPr>
      </w:pPr>
    </w:p>
    <w:p>
      <w:pPr>
        <w:pStyle w:val="8"/>
        <w:ind w:left="160"/>
      </w:pPr>
      <w:r>
        <w:t>致：</w:t>
      </w:r>
      <w:r>
        <w:rPr>
          <w:rFonts w:hint="eastAsia"/>
          <w:u w:val="single"/>
        </w:rPr>
        <w:t>果洛州政府采购服务中心</w:t>
      </w:r>
    </w:p>
    <w:p>
      <w:pPr>
        <w:pStyle w:val="8"/>
        <w:spacing w:before="158" w:line="362" w:lineRule="auto"/>
        <w:ind w:left="160" w:right="253" w:firstLine="480"/>
      </w:pPr>
      <w:r>
        <w:t>我们收到</w:t>
      </w:r>
      <w:r>
        <w:rPr>
          <w:spacing w:val="-3"/>
          <w:u w:val="single"/>
        </w:rPr>
        <w:t xml:space="preserve"> 采购项目名称</w:t>
      </w:r>
      <w:r>
        <w:rPr>
          <w:u w:val="single"/>
        </w:rPr>
        <w:t>（采购项目编号</w:t>
      </w:r>
      <w:r>
        <w:rPr>
          <w:spacing w:val="-17"/>
          <w:u w:val="single"/>
        </w:rPr>
        <w:t>）</w:t>
      </w:r>
      <w:r>
        <w:rPr>
          <w:spacing w:val="-7"/>
        </w:rPr>
        <w:t>磋商文件，经研究，法定代表人</w:t>
      </w:r>
      <w:r>
        <w:rPr>
          <w:u w:val="single"/>
        </w:rPr>
        <w:t>（</w:t>
      </w:r>
      <w:r>
        <w:rPr>
          <w:spacing w:val="-4"/>
          <w:u w:val="single"/>
        </w:rPr>
        <w:t>姓名、职务</w:t>
      </w:r>
      <w:r>
        <w:rPr>
          <w:spacing w:val="-17"/>
          <w:u w:val="single"/>
        </w:rPr>
        <w:t>）</w:t>
      </w:r>
      <w:r>
        <w:rPr>
          <w:spacing w:val="-16"/>
        </w:rPr>
        <w:t>正</w:t>
      </w:r>
      <w:r>
        <w:t>式授权</w:t>
      </w:r>
      <w:r>
        <w:rPr>
          <w:u w:val="single"/>
        </w:rPr>
        <w:t>（委托代理人姓名、职务）</w:t>
      </w:r>
      <w:r>
        <w:t>代表供应商</w:t>
      </w:r>
      <w:r>
        <w:rPr>
          <w:u w:val="single"/>
        </w:rPr>
        <w:t>（供应商名称、地址）</w:t>
      </w:r>
      <w:r>
        <w:t>提交响应文件。</w:t>
      </w:r>
    </w:p>
    <w:p>
      <w:pPr>
        <w:pStyle w:val="8"/>
        <w:spacing w:before="5"/>
        <w:ind w:left="640"/>
      </w:pPr>
      <w:r>
        <w:t>据此函，签字代表宣布同意如下：</w:t>
      </w:r>
    </w:p>
    <w:p>
      <w:pPr>
        <w:pStyle w:val="30"/>
        <w:numPr>
          <w:ilvl w:val="0"/>
          <w:numId w:val="32"/>
        </w:numPr>
        <w:tabs>
          <w:tab w:val="left" w:pos="881"/>
        </w:tabs>
        <w:spacing w:before="159" w:line="364" w:lineRule="auto"/>
        <w:ind w:right="259" w:firstLine="480"/>
        <w:rPr>
          <w:sz w:val="24"/>
        </w:rPr>
      </w:pPr>
      <w:r>
        <w:rPr>
          <w:spacing w:val="-1"/>
          <w:sz w:val="24"/>
        </w:rPr>
        <w:t>我方已详阅磋商文件的全部内容，包括澄清、修改条款等有关附件，承诺对其完全理解并</w:t>
      </w:r>
      <w:r>
        <w:rPr>
          <w:sz w:val="24"/>
        </w:rPr>
        <w:t>接受。</w:t>
      </w:r>
    </w:p>
    <w:p>
      <w:pPr>
        <w:pStyle w:val="30"/>
        <w:numPr>
          <w:ilvl w:val="0"/>
          <w:numId w:val="32"/>
        </w:numPr>
        <w:tabs>
          <w:tab w:val="left" w:pos="881"/>
          <w:tab w:val="left" w:pos="3999"/>
        </w:tabs>
        <w:spacing w:before="1" w:line="362" w:lineRule="auto"/>
        <w:ind w:right="259" w:firstLine="480"/>
        <w:rPr>
          <w:sz w:val="24"/>
        </w:rPr>
      </w:pPr>
      <w:r>
        <w:rPr>
          <w:sz w:val="24"/>
        </w:rPr>
        <w:t>投标有效期自开标之日起</w:t>
      </w:r>
      <w:r>
        <w:rPr>
          <w:rFonts w:ascii="Times New Roman" w:eastAsia="Times New Roman"/>
          <w:sz w:val="24"/>
          <w:u w:val="single"/>
        </w:rPr>
        <w:tab/>
      </w:r>
      <w:r>
        <w:rPr>
          <w:spacing w:val="-1"/>
          <w:sz w:val="24"/>
        </w:rPr>
        <w:t>个日历日内</w:t>
      </w:r>
      <w:r>
        <w:rPr>
          <w:sz w:val="24"/>
        </w:rPr>
        <w:t>有效。如果在规定的开标时间后，我方在投标有效期内撤回投标或中标后不签约的，磋商保证金将被贵方没收。</w:t>
      </w:r>
    </w:p>
    <w:p>
      <w:pPr>
        <w:pStyle w:val="30"/>
        <w:numPr>
          <w:ilvl w:val="0"/>
          <w:numId w:val="32"/>
        </w:numPr>
        <w:tabs>
          <w:tab w:val="left" w:pos="881"/>
        </w:tabs>
        <w:spacing w:before="5" w:line="362" w:lineRule="auto"/>
        <w:ind w:right="259" w:firstLine="480"/>
        <w:rPr>
          <w:sz w:val="24"/>
        </w:rPr>
      </w:pPr>
      <w:r>
        <w:rPr>
          <w:spacing w:val="-1"/>
          <w:sz w:val="24"/>
        </w:rPr>
        <w:t>我方同意按照贵方要求提供与投标有关的一切数据或资料，理解并接受贵方制定的评标办</w:t>
      </w:r>
      <w:r>
        <w:rPr>
          <w:sz w:val="24"/>
        </w:rPr>
        <w:t>法。</w:t>
      </w:r>
    </w:p>
    <w:p>
      <w:pPr>
        <w:pStyle w:val="30"/>
        <w:numPr>
          <w:ilvl w:val="0"/>
          <w:numId w:val="32"/>
        </w:numPr>
        <w:tabs>
          <w:tab w:val="left" w:pos="881"/>
        </w:tabs>
        <w:spacing w:before="5"/>
        <w:ind w:left="881"/>
        <w:rPr>
          <w:sz w:val="24"/>
        </w:rPr>
      </w:pPr>
      <w:r>
        <w:rPr>
          <w:sz w:val="24"/>
        </w:rPr>
        <w:t>与本投标有关的一切正式往来通讯请寄：</w:t>
      </w:r>
    </w:p>
    <w:p>
      <w:pPr>
        <w:pStyle w:val="8"/>
        <w:rPr>
          <w:sz w:val="20"/>
        </w:rPr>
      </w:pPr>
    </w:p>
    <w:p>
      <w:pPr>
        <w:pStyle w:val="8"/>
        <w:spacing w:before="1"/>
        <w:rPr>
          <w:sz w:val="23"/>
        </w:rPr>
      </w:pPr>
    </w:p>
    <w:p>
      <w:pPr>
        <w:pStyle w:val="8"/>
        <w:tabs>
          <w:tab w:val="left" w:pos="2739"/>
          <w:tab w:val="left" w:pos="3879"/>
          <w:tab w:val="left" w:pos="6339"/>
        </w:tabs>
        <w:spacing w:before="74"/>
        <w:ind w:left="160"/>
        <w:rPr>
          <w:rFonts w:ascii="Times New Roman" w:eastAsia="Times New Roman"/>
        </w:rPr>
      </w:pPr>
      <w:r>
        <w:t>地址：</w:t>
      </w:r>
      <w:r>
        <w:rPr>
          <w:rFonts w:ascii="Times New Roman" w:eastAsia="Times New Roman"/>
          <w:u w:val="single"/>
        </w:rPr>
        <w:tab/>
      </w:r>
      <w:r>
        <w:rPr>
          <w:rFonts w:ascii="Times New Roman" w:eastAsia="Times New Roman"/>
        </w:rPr>
        <w:tab/>
      </w:r>
      <w:r>
        <w:t>邮编：</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8"/>
        </w:rPr>
      </w:pPr>
    </w:p>
    <w:p>
      <w:pPr>
        <w:pStyle w:val="8"/>
        <w:tabs>
          <w:tab w:val="left" w:pos="2739"/>
          <w:tab w:val="left" w:pos="3879"/>
          <w:tab w:val="left" w:pos="6339"/>
        </w:tabs>
        <w:spacing w:before="74"/>
        <w:ind w:left="160"/>
        <w:rPr>
          <w:rFonts w:ascii="Times New Roman" w:eastAsia="Times New Roman"/>
        </w:rPr>
      </w:pPr>
      <w:r>
        <w:t>电话：</w:t>
      </w:r>
      <w:r>
        <w:rPr>
          <w:rFonts w:ascii="Times New Roman" w:eastAsia="Times New Roman"/>
          <w:u w:val="single"/>
        </w:rPr>
        <w:tab/>
      </w:r>
      <w:r>
        <w:rPr>
          <w:rFonts w:ascii="Times New Roman" w:eastAsia="Times New Roman"/>
        </w:rPr>
        <w:tab/>
      </w:r>
      <w:r>
        <w:t>传真：</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8"/>
        </w:rPr>
      </w:pPr>
    </w:p>
    <w:p>
      <w:pPr>
        <w:pStyle w:val="8"/>
        <w:tabs>
          <w:tab w:val="left" w:pos="3579"/>
          <w:tab w:val="left" w:pos="3879"/>
          <w:tab w:val="left" w:pos="6099"/>
        </w:tabs>
        <w:spacing w:before="74"/>
        <w:ind w:left="160"/>
        <w:rPr>
          <w:rFonts w:ascii="Times New Roman" w:eastAsia="Times New Roman"/>
        </w:rPr>
      </w:pPr>
      <w:r>
        <w:t>法定代表人姓名：</w:t>
      </w:r>
      <w:r>
        <w:rPr>
          <w:rFonts w:ascii="Times New Roman" w:eastAsia="Times New Roman"/>
          <w:u w:val="single"/>
        </w:rPr>
        <w:tab/>
      </w:r>
      <w:r>
        <w:rPr>
          <w:rFonts w:ascii="Times New Roman" w:eastAsia="Times New Roman"/>
        </w:rPr>
        <w:tab/>
      </w:r>
      <w:r>
        <w:t>职务：</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9"/>
        </w:rPr>
      </w:pPr>
    </w:p>
    <w:p>
      <w:pPr>
        <w:pStyle w:val="8"/>
        <w:tabs>
          <w:tab w:val="left" w:pos="7251"/>
        </w:tabs>
        <w:spacing w:before="66"/>
        <w:ind w:left="4720"/>
      </w:pPr>
      <w:r>
        <w:t>供应商：</w:t>
      </w:r>
      <w:r>
        <w:rPr>
          <w:rFonts w:ascii="Times New Roman" w:eastAsia="Times New Roman"/>
          <w:u w:val="single"/>
        </w:rPr>
        <w:tab/>
      </w:r>
      <w:r>
        <w:t>（公章）</w:t>
      </w:r>
    </w:p>
    <w:p>
      <w:pPr>
        <w:pStyle w:val="8"/>
        <w:tabs>
          <w:tab w:val="left" w:pos="5701"/>
          <w:tab w:val="left" w:pos="6303"/>
          <w:tab w:val="left" w:pos="7146"/>
        </w:tabs>
        <w:spacing w:before="161" w:line="362" w:lineRule="auto"/>
        <w:ind w:left="5099" w:right="1666" w:hanging="2410"/>
      </w:pPr>
      <w:r>
        <w:t>法定代表人或委托代理人：</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（签字或盖章）</w:t>
      </w:r>
      <w:r>
        <w:rPr>
          <w:spacing w:val="-117"/>
        </w:rPr>
        <w:t xml:space="preserve"> </w:t>
      </w:r>
      <w:r>
        <w:t>年</w:t>
      </w:r>
      <w:r>
        <w:tab/>
      </w:r>
      <w:r>
        <w:t>月</w:t>
      </w:r>
      <w:r>
        <w:tab/>
      </w:r>
      <w:r>
        <w:t>日</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71" w:name="格式4：分项报价表"/>
      <w:bookmarkEnd w:id="71"/>
      <w:bookmarkStart w:id="72" w:name="格式3：报价一览表"/>
      <w:bookmarkEnd w:id="72"/>
      <w:bookmarkStart w:id="73" w:name="_Toc32087"/>
      <w:r>
        <w:rPr>
          <w:spacing w:val="-22"/>
          <w:sz w:val="28"/>
        </w:rPr>
        <w:t xml:space="preserve">格式 </w:t>
      </w:r>
      <w:r>
        <w:rPr>
          <w:sz w:val="28"/>
        </w:rPr>
        <w:t>3：报价一览表</w:t>
      </w:r>
      <w:bookmarkEnd w:id="73"/>
    </w:p>
    <w:p>
      <w:pPr>
        <w:pStyle w:val="8"/>
        <w:spacing w:before="5"/>
        <w:rPr>
          <w:sz w:val="33"/>
        </w:rPr>
      </w:pPr>
      <w:r>
        <w:br w:type="column"/>
      </w:r>
    </w:p>
    <w:p>
      <w:pPr>
        <w:pStyle w:val="4"/>
        <w:ind w:left="160" w:right="0"/>
        <w:jc w:val="left"/>
      </w:pPr>
      <w:bookmarkStart w:id="74" w:name="_Toc22191"/>
      <w:r>
        <w:rPr>
          <w:w w:val="95"/>
        </w:rPr>
        <w:t>报价一览表</w:t>
      </w:r>
      <w:bookmarkEnd w:id="74"/>
    </w:p>
    <w:p>
      <w:pPr>
        <w:sectPr>
          <w:pgSz w:w="12240" w:h="15840"/>
          <w:pgMar w:top="1440" w:right="820" w:bottom="900" w:left="920" w:header="1153" w:footer="708" w:gutter="0"/>
          <w:pgNumType w:fmt="decimal"/>
          <w:cols w:equalWidth="0" w:num="2">
            <w:col w:w="2661" w:space="1575"/>
            <w:col w:w="6264"/>
          </w:cols>
        </w:sectPr>
      </w:pPr>
    </w:p>
    <w:p>
      <w:pPr>
        <w:pStyle w:val="8"/>
        <w:rPr>
          <w:sz w:val="20"/>
        </w:rPr>
      </w:pPr>
    </w:p>
    <w:p>
      <w:pPr>
        <w:pStyle w:val="8"/>
        <w:spacing w:before="11"/>
        <w:rPr>
          <w:sz w:val="18"/>
        </w:rPr>
      </w:pPr>
    </w:p>
    <w:p>
      <w:pPr>
        <w:pStyle w:val="8"/>
        <w:tabs>
          <w:tab w:val="left" w:pos="6423"/>
        </w:tabs>
        <w:spacing w:before="1" w:after="12"/>
        <w:ind w:left="160"/>
      </w:pPr>
      <w:r>
        <w:t>供应商名称：</w:t>
      </w:r>
      <w:r>
        <w:tab/>
      </w:r>
      <w:r>
        <w:t>单位：人民币（元）</w:t>
      </w:r>
    </w:p>
    <w:tbl>
      <w:tblPr>
        <w:tblStyle w:val="23"/>
        <w:tblW w:w="0" w:type="auto"/>
        <w:tblInd w:w="6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55"/>
        <w:gridCol w:w="4108"/>
        <w:gridCol w:w="1302"/>
        <w:gridCol w:w="1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1955" w:type="dxa"/>
          </w:tcPr>
          <w:p>
            <w:pPr>
              <w:pStyle w:val="31"/>
              <w:spacing w:before="205"/>
              <w:ind w:left="589"/>
              <w:rPr>
                <w:sz w:val="24"/>
              </w:rPr>
            </w:pPr>
            <w:r>
              <w:rPr>
                <w:sz w:val="24"/>
              </w:rPr>
              <w:t>项目名称</w:t>
            </w:r>
          </w:p>
        </w:tc>
        <w:tc>
          <w:tcPr>
            <w:tcW w:w="7193" w:type="dxa"/>
            <w:gridSpan w:val="3"/>
          </w:tcPr>
          <w:p>
            <w:pPr>
              <w:pStyle w:val="31"/>
              <w:spacing w:before="205"/>
              <w:ind w:left="3096" w:right="3081"/>
              <w:jc w:val="center"/>
              <w:rPr>
                <w:sz w:val="24"/>
              </w:rPr>
            </w:pPr>
            <w:r>
              <w:rPr>
                <w:sz w:val="24"/>
              </w:rPr>
              <w:t>投标总价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955" w:type="dxa"/>
            <w:vMerge w:val="restart"/>
          </w:tcPr>
          <w:p>
            <w:pPr>
              <w:pStyle w:val="31"/>
              <w:rPr>
                <w:rFonts w:ascii="Times New Roman"/>
              </w:rPr>
            </w:pPr>
          </w:p>
        </w:tc>
        <w:tc>
          <w:tcPr>
            <w:tcW w:w="4108" w:type="dxa"/>
            <w:tcBorders>
              <w:right w:val="single" w:color="000000" w:sz="4" w:space="0"/>
            </w:tcBorders>
          </w:tcPr>
          <w:p>
            <w:pPr>
              <w:pStyle w:val="31"/>
              <w:spacing w:before="134"/>
              <w:ind w:left="305"/>
              <w:rPr>
                <w:sz w:val="24"/>
              </w:rPr>
            </w:pPr>
            <w:r>
              <w:rPr>
                <w:sz w:val="24"/>
              </w:rPr>
              <w:t>大写：</w:t>
            </w:r>
          </w:p>
        </w:tc>
        <w:tc>
          <w:tcPr>
            <w:tcW w:w="1302" w:type="dxa"/>
            <w:vMerge w:val="restart"/>
            <w:tcBorders>
              <w:left w:val="single" w:color="000000" w:sz="4" w:space="0"/>
              <w:right w:val="single" w:color="000000" w:sz="4" w:space="0"/>
            </w:tcBorders>
          </w:tcPr>
          <w:p>
            <w:pPr>
              <w:pStyle w:val="31"/>
              <w:spacing w:before="7"/>
              <w:rPr>
                <w:sz w:val="33"/>
              </w:rPr>
            </w:pPr>
          </w:p>
          <w:p>
            <w:pPr>
              <w:pStyle w:val="31"/>
              <w:ind w:left="110"/>
              <w:rPr>
                <w:sz w:val="24"/>
              </w:rPr>
            </w:pPr>
            <w:r>
              <w:rPr>
                <w:rFonts w:hint="eastAsia"/>
                <w:sz w:val="24"/>
                <w:lang w:val="en-US" w:eastAsia="zh-CN"/>
              </w:rPr>
              <w:t>交货期（工作日）</w:t>
            </w:r>
          </w:p>
        </w:tc>
        <w:tc>
          <w:tcPr>
            <w:tcW w:w="1783" w:type="dxa"/>
            <w:vMerge w:val="restart"/>
            <w:tcBorders>
              <w:left w:val="single" w:color="000000" w:sz="4" w:space="0"/>
              <w:right w:val="single" w:color="000000" w:sz="4" w:space="0"/>
            </w:tcBorders>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955" w:type="dxa"/>
            <w:vMerge w:val="continue"/>
            <w:tcBorders>
              <w:top w:val="nil"/>
            </w:tcBorders>
          </w:tcPr>
          <w:p>
            <w:pPr>
              <w:rPr>
                <w:sz w:val="2"/>
                <w:szCs w:val="2"/>
              </w:rPr>
            </w:pPr>
          </w:p>
        </w:tc>
        <w:tc>
          <w:tcPr>
            <w:tcW w:w="4108" w:type="dxa"/>
            <w:tcBorders>
              <w:right w:val="single" w:color="000000" w:sz="4" w:space="0"/>
            </w:tcBorders>
          </w:tcPr>
          <w:p>
            <w:pPr>
              <w:pStyle w:val="31"/>
              <w:spacing w:before="145"/>
              <w:ind w:left="348"/>
              <w:rPr>
                <w:sz w:val="24"/>
              </w:rPr>
            </w:pPr>
            <w:r>
              <w:rPr>
                <w:sz w:val="24"/>
              </w:rPr>
              <w:t>小写：</w:t>
            </w:r>
          </w:p>
        </w:tc>
        <w:tc>
          <w:tcPr>
            <w:tcW w:w="1302" w:type="dxa"/>
            <w:vMerge w:val="continue"/>
            <w:tcBorders>
              <w:top w:val="nil"/>
              <w:left w:val="single" w:color="000000" w:sz="4" w:space="0"/>
              <w:right w:val="single" w:color="000000" w:sz="4" w:space="0"/>
            </w:tcBorders>
          </w:tcPr>
          <w:p>
            <w:pPr>
              <w:rPr>
                <w:sz w:val="2"/>
                <w:szCs w:val="2"/>
              </w:rPr>
            </w:pPr>
          </w:p>
        </w:tc>
        <w:tc>
          <w:tcPr>
            <w:tcW w:w="1783" w:type="dxa"/>
            <w:vMerge w:val="continue"/>
            <w:tcBorders>
              <w:top w:val="nil"/>
              <w:left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9148" w:type="dxa"/>
            <w:gridSpan w:val="4"/>
          </w:tcPr>
          <w:p>
            <w:pPr>
              <w:pStyle w:val="31"/>
              <w:rPr>
                <w:sz w:val="24"/>
              </w:rPr>
            </w:pPr>
          </w:p>
          <w:p>
            <w:pPr>
              <w:pStyle w:val="31"/>
              <w:spacing w:before="191"/>
              <w:ind w:left="107"/>
              <w:rPr>
                <w:sz w:val="24"/>
              </w:rPr>
            </w:pPr>
            <w:r>
              <w:rPr>
                <w:sz w:val="24"/>
              </w:rPr>
              <w:t>备注：</w:t>
            </w:r>
          </w:p>
        </w:tc>
      </w:tr>
    </w:tbl>
    <w:p>
      <w:pPr>
        <w:pStyle w:val="8"/>
        <w:spacing w:before="3"/>
        <w:ind w:left="160"/>
      </w:pPr>
      <w:r>
        <w:t>注：1、填写此表时不得改变表格形式（可按所响应包号增加行）。</w:t>
      </w:r>
    </w:p>
    <w:p>
      <w:pPr>
        <w:pStyle w:val="8"/>
        <w:spacing w:before="158" w:line="364" w:lineRule="auto"/>
        <w:ind w:left="160" w:right="259" w:firstLine="480"/>
        <w:jc w:val="both"/>
      </w:pPr>
      <w:r>
        <w:t>2</w:t>
      </w:r>
      <w:r>
        <w:rPr>
          <w:spacing w:val="-13"/>
        </w:rPr>
        <w:t>、“投标报价”为总价。包括服务费、人员工资、管理费、验收费、手续费、保险费、培训</w:t>
      </w:r>
      <w:r>
        <w:rPr>
          <w:spacing w:val="-1"/>
        </w:rPr>
        <w:t>费、采购代理服务费、数据迁移费用</w:t>
      </w:r>
      <w:r>
        <w:t>（如涉及数据迁移）、服务过程中包含的不可预见等全部费用。</w:t>
      </w:r>
    </w:p>
    <w:p>
      <w:pPr>
        <w:pStyle w:val="8"/>
        <w:spacing w:line="307" w:lineRule="exact"/>
        <w:ind w:left="640"/>
      </w:pPr>
      <w:r>
        <w:t>3、响应报价不能有两个或两个以上的报价方案。</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9"/>
        <w:rPr>
          <w:sz w:val="17"/>
        </w:rPr>
      </w:pPr>
    </w:p>
    <w:p>
      <w:pPr>
        <w:pStyle w:val="8"/>
        <w:tabs>
          <w:tab w:val="left" w:pos="7136"/>
        </w:tabs>
        <w:ind w:left="4607"/>
      </w:pPr>
      <w:r>
        <w:t>供应商：</w:t>
      </w:r>
      <w:r>
        <w:rPr>
          <w:rFonts w:ascii="Times New Roman" w:eastAsia="Times New Roman"/>
          <w:u w:val="single"/>
        </w:rPr>
        <w:tab/>
      </w:r>
      <w:r>
        <w:t>（公章）</w:t>
      </w:r>
    </w:p>
    <w:p>
      <w:pPr>
        <w:pStyle w:val="8"/>
        <w:tabs>
          <w:tab w:val="left" w:pos="5701"/>
          <w:tab w:val="left" w:pos="6303"/>
          <w:tab w:val="left" w:pos="7146"/>
        </w:tabs>
        <w:spacing w:before="91" w:line="312" w:lineRule="auto"/>
        <w:ind w:left="5099" w:right="1666" w:hanging="2410"/>
      </w:pPr>
      <w:r>
        <w:t>法定代表人或委托代理人：</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（签字或盖章）</w:t>
      </w:r>
      <w:r>
        <w:rPr>
          <w:spacing w:val="-117"/>
        </w:rPr>
        <w:t xml:space="preserve"> </w:t>
      </w:r>
      <w:r>
        <w:t>年</w:t>
      </w:r>
      <w:r>
        <w:tab/>
      </w:r>
      <w:r>
        <w:t>月</w:t>
      </w:r>
      <w:r>
        <w:tab/>
      </w:r>
      <w:r>
        <w:t>日</w:t>
      </w:r>
    </w:p>
    <w:p>
      <w:pPr>
        <w:spacing w:line="312" w:lineRule="auto"/>
        <w:sectPr>
          <w:type w:val="continuous"/>
          <w:pgSz w:w="12240" w:h="15840"/>
          <w:pgMar w:top="1420" w:right="820" w:bottom="280" w:left="920" w:header="720" w:footer="720" w:gutter="0"/>
          <w:pgNumType w:fmt="decimal"/>
          <w:cols w:space="720" w:num="1"/>
        </w:sectPr>
      </w:pPr>
    </w:p>
    <w:p>
      <w:pPr>
        <w:pStyle w:val="6"/>
        <w:outlineLvl w:val="1"/>
      </w:pPr>
      <w:bookmarkStart w:id="75" w:name="格式5：技术规格响应表"/>
      <w:bookmarkEnd w:id="75"/>
      <w:bookmarkStart w:id="76" w:name="_Toc27722"/>
      <w:r>
        <w:rPr>
          <w:spacing w:val="-23"/>
        </w:rPr>
        <w:t xml:space="preserve">格式 </w:t>
      </w:r>
      <w:r>
        <w:t>4：分项报价表</w:t>
      </w:r>
      <w:bookmarkEnd w:id="76"/>
    </w:p>
    <w:p>
      <w:pPr>
        <w:pStyle w:val="8"/>
        <w:rPr>
          <w:sz w:val="20"/>
        </w:rPr>
      </w:pPr>
    </w:p>
    <w:p>
      <w:pPr>
        <w:pStyle w:val="8"/>
        <w:rPr>
          <w:sz w:val="20"/>
        </w:rPr>
      </w:pPr>
    </w:p>
    <w:p>
      <w:pPr>
        <w:spacing w:before="218"/>
        <w:ind w:right="100"/>
        <w:jc w:val="center"/>
        <w:outlineLvl w:val="2"/>
        <w:rPr>
          <w:rFonts w:ascii="宋体" w:hAnsi="宋体" w:eastAsia="宋体" w:cs="宋体"/>
          <w:w w:val="95"/>
          <w:sz w:val="32"/>
          <w:szCs w:val="32"/>
          <w:lang w:val="en-US" w:eastAsia="zh-CN" w:bidi="ar-SA"/>
        </w:rPr>
      </w:pPr>
      <w:bookmarkStart w:id="77" w:name="_Toc31491"/>
      <w:r>
        <w:rPr>
          <w:rFonts w:ascii="宋体" w:hAnsi="宋体" w:eastAsia="宋体" w:cs="宋体"/>
          <w:w w:val="95"/>
          <w:sz w:val="32"/>
          <w:szCs w:val="32"/>
          <w:lang w:val="en-US" w:eastAsia="zh-CN" w:bidi="ar-SA"/>
        </w:rPr>
        <w:t>分项报价表</w:t>
      </w:r>
      <w:bookmarkEnd w:id="77"/>
    </w:p>
    <w:p>
      <w:pPr>
        <w:pStyle w:val="8"/>
        <w:rPr>
          <w:sz w:val="28"/>
        </w:rPr>
      </w:pPr>
    </w:p>
    <w:p>
      <w:pPr>
        <w:pStyle w:val="8"/>
        <w:spacing w:before="12"/>
        <w:rPr>
          <w:sz w:val="28"/>
        </w:rPr>
      </w:pPr>
    </w:p>
    <w:p>
      <w:pPr>
        <w:tabs>
          <w:tab w:val="left" w:pos="6272"/>
        </w:tabs>
        <w:ind w:left="160"/>
        <w:rPr>
          <w:rFonts w:hint="default" w:eastAsia="宋体"/>
          <w:sz w:val="21"/>
          <w:szCs w:val="21"/>
          <w:lang w:val="en-US" w:eastAsia="zh-CN"/>
        </w:rPr>
      </w:pPr>
      <w:r>
        <w:rPr>
          <w:sz w:val="21"/>
        </w:rPr>
        <w:t>供应商名称：</w:t>
      </w:r>
      <w:r>
        <w:rPr>
          <w:sz w:val="21"/>
        </w:rPr>
        <w:tab/>
      </w:r>
      <w:r>
        <w:rPr>
          <w:rFonts w:hint="eastAsia" w:ascii="宋体" w:hAnsi="宋体" w:eastAsia="宋体" w:cs="宋体"/>
          <w:sz w:val="21"/>
          <w:szCs w:val="21"/>
          <w:lang w:val="en-US" w:eastAsia="zh-CN" w:bidi="ar-SA"/>
        </w:rPr>
        <w:t>单位：人民币（元）</w:t>
      </w:r>
    </w:p>
    <w:p>
      <w:pPr>
        <w:pStyle w:val="8"/>
        <w:spacing w:before="10"/>
        <w:rPr>
          <w:sz w:val="21"/>
          <w:szCs w:val="21"/>
        </w:rPr>
      </w:pPr>
    </w:p>
    <w:tbl>
      <w:tblPr>
        <w:tblStyle w:val="23"/>
        <w:tblW w:w="0" w:type="auto"/>
        <w:tblInd w:w="2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8"/>
        <w:gridCol w:w="1305"/>
        <w:gridCol w:w="1155"/>
        <w:gridCol w:w="1455"/>
        <w:gridCol w:w="1380"/>
        <w:gridCol w:w="1230"/>
        <w:gridCol w:w="720"/>
        <w:gridCol w:w="930"/>
        <w:gridCol w:w="8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868" w:type="dxa"/>
            <w:tcBorders>
              <w:bottom w:val="single" w:color="000000" w:sz="6" w:space="0"/>
              <w:right w:val="single" w:color="000000" w:sz="6" w:space="0"/>
            </w:tcBorders>
            <w:vAlign w:val="center"/>
          </w:tcPr>
          <w:p>
            <w:pPr>
              <w:pStyle w:val="31"/>
              <w:spacing w:before="3"/>
              <w:ind w:right="557"/>
              <w:jc w:val="center"/>
              <w:rPr>
                <w:rFonts w:hint="eastAsia" w:eastAsia="宋体"/>
                <w:sz w:val="24"/>
                <w:lang w:val="en-US" w:eastAsia="zh-CN"/>
              </w:rPr>
            </w:pPr>
            <w:r>
              <w:rPr>
                <w:rFonts w:hint="eastAsia"/>
                <w:sz w:val="24"/>
                <w:lang w:val="en-US" w:eastAsia="zh-CN"/>
              </w:rPr>
              <w:t>序号</w:t>
            </w:r>
          </w:p>
        </w:tc>
        <w:tc>
          <w:tcPr>
            <w:tcW w:w="1305" w:type="dxa"/>
            <w:tcBorders>
              <w:left w:val="single" w:color="000000" w:sz="6" w:space="0"/>
              <w:bottom w:val="single" w:color="000000" w:sz="6" w:space="0"/>
              <w:right w:val="single" w:color="000000" w:sz="6" w:space="0"/>
            </w:tcBorders>
            <w:vAlign w:val="center"/>
          </w:tcPr>
          <w:p>
            <w:pPr>
              <w:pStyle w:val="31"/>
              <w:spacing w:before="3"/>
              <w:ind w:right="505"/>
              <w:jc w:val="center"/>
              <w:rPr>
                <w:sz w:val="24"/>
              </w:rPr>
            </w:pPr>
            <w:r>
              <w:rPr>
                <w:sz w:val="24"/>
              </w:rPr>
              <w:t>名称</w:t>
            </w:r>
          </w:p>
        </w:tc>
        <w:tc>
          <w:tcPr>
            <w:tcW w:w="1155" w:type="dxa"/>
            <w:tcBorders>
              <w:left w:val="single" w:color="000000" w:sz="6" w:space="0"/>
              <w:bottom w:val="single" w:color="000000" w:sz="6" w:space="0"/>
              <w:right w:val="single" w:color="000000" w:sz="6" w:space="0"/>
            </w:tcBorders>
            <w:vAlign w:val="center"/>
          </w:tcPr>
          <w:p>
            <w:pPr>
              <w:pStyle w:val="31"/>
              <w:spacing w:before="3"/>
              <w:jc w:val="center"/>
              <w:rPr>
                <w:rFonts w:hint="eastAsia" w:eastAsia="宋体"/>
                <w:sz w:val="24"/>
                <w:lang w:val="en-US" w:eastAsia="zh-CN"/>
              </w:rPr>
            </w:pPr>
            <w:r>
              <w:rPr>
                <w:rFonts w:hint="eastAsia"/>
                <w:sz w:val="24"/>
                <w:lang w:val="en-US" w:eastAsia="zh-CN"/>
              </w:rPr>
              <w:t>品牌</w:t>
            </w:r>
          </w:p>
        </w:tc>
        <w:tc>
          <w:tcPr>
            <w:tcW w:w="1455" w:type="dxa"/>
            <w:tcBorders>
              <w:left w:val="single" w:color="000000" w:sz="6" w:space="0"/>
              <w:bottom w:val="single" w:color="000000" w:sz="6" w:space="0"/>
              <w:right w:val="single" w:color="000000" w:sz="6" w:space="0"/>
            </w:tcBorders>
            <w:vAlign w:val="center"/>
          </w:tcPr>
          <w:p>
            <w:pPr>
              <w:pStyle w:val="31"/>
              <w:spacing w:before="3"/>
              <w:jc w:val="center"/>
              <w:rPr>
                <w:rFonts w:hint="default" w:eastAsia="宋体"/>
                <w:sz w:val="24"/>
                <w:lang w:val="en-US" w:eastAsia="zh-CN"/>
              </w:rPr>
            </w:pPr>
            <w:r>
              <w:rPr>
                <w:rFonts w:hint="eastAsia"/>
                <w:sz w:val="24"/>
                <w:lang w:val="en-US" w:eastAsia="zh-CN"/>
              </w:rPr>
              <w:t>规格或型号</w:t>
            </w:r>
          </w:p>
        </w:tc>
        <w:tc>
          <w:tcPr>
            <w:tcW w:w="1380" w:type="dxa"/>
            <w:tcBorders>
              <w:left w:val="single" w:color="000000" w:sz="6" w:space="0"/>
              <w:bottom w:val="single" w:color="000000" w:sz="6" w:space="0"/>
              <w:right w:val="single" w:color="000000" w:sz="6" w:space="0"/>
            </w:tcBorders>
            <w:vAlign w:val="center"/>
          </w:tcPr>
          <w:p>
            <w:pPr>
              <w:pStyle w:val="31"/>
              <w:spacing w:before="3"/>
              <w:ind w:left="166"/>
              <w:jc w:val="center"/>
              <w:rPr>
                <w:sz w:val="24"/>
              </w:rPr>
            </w:pPr>
            <w:r>
              <w:rPr>
                <w:sz w:val="24"/>
              </w:rPr>
              <w:t>数量及单位</w:t>
            </w:r>
          </w:p>
        </w:tc>
        <w:tc>
          <w:tcPr>
            <w:tcW w:w="1230" w:type="dxa"/>
            <w:tcBorders>
              <w:left w:val="single" w:color="000000" w:sz="6" w:space="0"/>
              <w:bottom w:val="single" w:color="000000" w:sz="6" w:space="0"/>
              <w:right w:val="single" w:color="000000" w:sz="6" w:space="0"/>
            </w:tcBorders>
            <w:vAlign w:val="center"/>
          </w:tcPr>
          <w:p>
            <w:pPr>
              <w:pStyle w:val="31"/>
              <w:spacing w:before="3"/>
              <w:ind w:left="166"/>
              <w:jc w:val="center"/>
              <w:rPr>
                <w:rFonts w:hint="eastAsia" w:eastAsia="宋体"/>
                <w:sz w:val="24"/>
                <w:lang w:val="en-US" w:eastAsia="zh-CN"/>
              </w:rPr>
            </w:pPr>
            <w:r>
              <w:rPr>
                <w:rFonts w:hint="eastAsia"/>
                <w:sz w:val="24"/>
                <w:lang w:val="en-US" w:eastAsia="zh-CN"/>
              </w:rPr>
              <w:t>生产厂家</w:t>
            </w:r>
          </w:p>
        </w:tc>
        <w:tc>
          <w:tcPr>
            <w:tcW w:w="720" w:type="dxa"/>
            <w:tcBorders>
              <w:left w:val="single" w:color="000000" w:sz="6" w:space="0"/>
              <w:bottom w:val="single" w:color="000000" w:sz="6" w:space="0"/>
              <w:right w:val="single" w:color="000000" w:sz="6" w:space="0"/>
            </w:tcBorders>
            <w:vAlign w:val="center"/>
          </w:tcPr>
          <w:p>
            <w:pPr>
              <w:pStyle w:val="31"/>
              <w:spacing w:before="3"/>
              <w:ind w:left="115"/>
              <w:jc w:val="center"/>
              <w:rPr>
                <w:sz w:val="24"/>
              </w:rPr>
            </w:pPr>
            <w:r>
              <w:rPr>
                <w:sz w:val="24"/>
              </w:rPr>
              <w:t>单价</w:t>
            </w:r>
          </w:p>
        </w:tc>
        <w:tc>
          <w:tcPr>
            <w:tcW w:w="930" w:type="dxa"/>
            <w:tcBorders>
              <w:left w:val="single" w:color="000000" w:sz="6" w:space="0"/>
              <w:bottom w:val="single" w:color="000000" w:sz="6" w:space="0"/>
              <w:right w:val="single" w:color="000000" w:sz="6" w:space="0"/>
            </w:tcBorders>
            <w:vAlign w:val="center"/>
          </w:tcPr>
          <w:p>
            <w:pPr>
              <w:pStyle w:val="31"/>
              <w:spacing w:before="3"/>
              <w:ind w:left="177"/>
              <w:jc w:val="center"/>
              <w:rPr>
                <w:sz w:val="24"/>
              </w:rPr>
            </w:pPr>
            <w:r>
              <w:rPr>
                <w:sz w:val="24"/>
              </w:rPr>
              <w:t>合计</w:t>
            </w:r>
          </w:p>
        </w:tc>
        <w:tc>
          <w:tcPr>
            <w:tcW w:w="826" w:type="dxa"/>
            <w:tcBorders>
              <w:left w:val="single" w:color="000000" w:sz="6" w:space="0"/>
              <w:bottom w:val="single" w:color="000000" w:sz="6" w:space="0"/>
            </w:tcBorders>
            <w:vAlign w:val="center"/>
          </w:tcPr>
          <w:p>
            <w:pPr>
              <w:pStyle w:val="31"/>
              <w:spacing w:before="3"/>
              <w:ind w:left="162"/>
              <w:jc w:val="center"/>
              <w:rPr>
                <w:rFonts w:hint="eastAsia" w:eastAsia="宋体"/>
                <w:sz w:val="24"/>
                <w:lang w:eastAsia="zh-CN"/>
              </w:rPr>
            </w:pPr>
            <w:r>
              <w:rPr>
                <w:rFonts w:hint="eastAsia"/>
                <w:sz w:val="24"/>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868" w:type="dxa"/>
            <w:tcBorders>
              <w:top w:val="single" w:color="000000" w:sz="6" w:space="0"/>
              <w:bottom w:val="single" w:color="000000" w:sz="6" w:space="0"/>
              <w:right w:val="single" w:color="000000" w:sz="6" w:space="0"/>
            </w:tcBorders>
            <w:vAlign w:val="center"/>
          </w:tcPr>
          <w:p>
            <w:pPr>
              <w:pStyle w:val="31"/>
              <w:spacing w:before="1"/>
              <w:ind w:left="15"/>
              <w:jc w:val="center"/>
              <w:rPr>
                <w:sz w:val="24"/>
              </w:rPr>
            </w:pPr>
            <w:r>
              <w:rPr>
                <w:sz w:val="24"/>
              </w:rPr>
              <w:t>1</w:t>
            </w: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826" w:type="dxa"/>
            <w:tcBorders>
              <w:top w:val="single" w:color="000000" w:sz="6" w:space="0"/>
              <w:left w:val="single" w:color="000000" w:sz="6" w:space="0"/>
              <w:bottom w:val="single" w:color="000000" w:sz="6" w:space="0"/>
            </w:tcBorders>
            <w:vAlign w:val="center"/>
          </w:tcPr>
          <w:p>
            <w:pPr>
              <w:pStyle w:val="31"/>
              <w:jc w:val="center"/>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868" w:type="dxa"/>
            <w:tcBorders>
              <w:top w:val="single" w:color="000000" w:sz="6" w:space="0"/>
              <w:bottom w:val="single" w:color="000000" w:sz="6" w:space="0"/>
              <w:right w:val="single" w:color="000000" w:sz="6" w:space="0"/>
            </w:tcBorders>
          </w:tcPr>
          <w:p>
            <w:pPr>
              <w:pStyle w:val="31"/>
              <w:spacing w:before="1"/>
              <w:ind w:left="15"/>
              <w:jc w:val="center"/>
              <w:rPr>
                <w:sz w:val="24"/>
              </w:rPr>
            </w:pPr>
            <w:r>
              <w:rPr>
                <w:sz w:val="24"/>
              </w:rPr>
              <w:t>2</w:t>
            </w: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826" w:type="dxa"/>
            <w:tcBorders>
              <w:top w:val="single" w:color="000000" w:sz="6" w:space="0"/>
              <w:left w:val="single" w:color="000000" w:sz="6" w:space="0"/>
              <w:bottom w:val="single" w:color="000000" w:sz="6" w:space="0"/>
            </w:tcBorders>
          </w:tcPr>
          <w:p>
            <w:pPr>
              <w:pStyle w:val="3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868" w:type="dxa"/>
            <w:tcBorders>
              <w:top w:val="single" w:color="000000" w:sz="6" w:space="0"/>
              <w:bottom w:val="single" w:color="000000" w:sz="6" w:space="0"/>
              <w:right w:val="single" w:color="000000" w:sz="6" w:space="0"/>
            </w:tcBorders>
          </w:tcPr>
          <w:p>
            <w:pPr>
              <w:pStyle w:val="31"/>
              <w:spacing w:before="2"/>
              <w:ind w:left="15"/>
              <w:jc w:val="center"/>
              <w:rPr>
                <w:sz w:val="24"/>
              </w:rPr>
            </w:pPr>
            <w:r>
              <w:rPr>
                <w:sz w:val="24"/>
              </w:rPr>
              <w:t>3</w:t>
            </w: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826" w:type="dxa"/>
            <w:tcBorders>
              <w:top w:val="single" w:color="000000" w:sz="6" w:space="0"/>
              <w:left w:val="single" w:color="000000" w:sz="6" w:space="0"/>
              <w:bottom w:val="single" w:color="000000" w:sz="6" w:space="0"/>
            </w:tcBorders>
          </w:tcPr>
          <w:p>
            <w:pPr>
              <w:pStyle w:val="3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868" w:type="dxa"/>
            <w:tcBorders>
              <w:top w:val="single" w:color="000000" w:sz="6" w:space="0"/>
              <w:bottom w:val="single" w:color="000000" w:sz="6" w:space="0"/>
              <w:right w:val="single" w:color="000000" w:sz="6" w:space="0"/>
            </w:tcBorders>
          </w:tcPr>
          <w:p>
            <w:pPr>
              <w:pStyle w:val="31"/>
              <w:ind w:left="15"/>
              <w:jc w:val="center"/>
              <w:rPr>
                <w:sz w:val="24"/>
              </w:rPr>
            </w:pPr>
            <w:r>
              <w:rPr>
                <w:sz w:val="24"/>
              </w:rPr>
              <w:t>4</w:t>
            </w: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826" w:type="dxa"/>
            <w:tcBorders>
              <w:top w:val="single" w:color="000000" w:sz="6" w:space="0"/>
              <w:left w:val="single" w:color="000000" w:sz="6" w:space="0"/>
              <w:bottom w:val="single" w:color="000000" w:sz="6" w:space="0"/>
            </w:tcBorders>
          </w:tcPr>
          <w:p>
            <w:pPr>
              <w:pStyle w:val="3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868" w:type="dxa"/>
            <w:tcBorders>
              <w:top w:val="single" w:color="000000" w:sz="6" w:space="0"/>
              <w:bottom w:val="single" w:color="000000" w:sz="6" w:space="0"/>
              <w:right w:val="single" w:color="000000" w:sz="6" w:space="0"/>
            </w:tcBorders>
          </w:tcPr>
          <w:p>
            <w:pPr>
              <w:pStyle w:val="31"/>
              <w:ind w:left="15"/>
              <w:jc w:val="center"/>
              <w:rPr>
                <w:sz w:val="24"/>
              </w:rPr>
            </w:pPr>
            <w:r>
              <w:rPr>
                <w:sz w:val="24"/>
              </w:rPr>
              <w:t>…</w:t>
            </w: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826" w:type="dxa"/>
            <w:tcBorders>
              <w:top w:val="single" w:color="000000" w:sz="6" w:space="0"/>
              <w:left w:val="single" w:color="000000" w:sz="6" w:space="0"/>
              <w:bottom w:val="single" w:color="000000" w:sz="6" w:space="0"/>
            </w:tcBorders>
          </w:tcPr>
          <w:p>
            <w:pPr>
              <w:pStyle w:val="3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73" w:type="dxa"/>
            <w:gridSpan w:val="2"/>
            <w:tcBorders>
              <w:top w:val="single" w:color="000000" w:sz="6" w:space="0"/>
              <w:right w:val="single" w:color="000000" w:sz="6" w:space="0"/>
            </w:tcBorders>
          </w:tcPr>
          <w:p>
            <w:pPr>
              <w:pStyle w:val="31"/>
              <w:spacing w:before="3"/>
              <w:rPr>
                <w:sz w:val="18"/>
              </w:rPr>
            </w:pPr>
          </w:p>
          <w:p>
            <w:pPr>
              <w:pStyle w:val="31"/>
              <w:ind w:left="1115" w:right="1098"/>
              <w:jc w:val="center"/>
              <w:rPr>
                <w:sz w:val="24"/>
              </w:rPr>
            </w:pPr>
            <w:r>
              <w:rPr>
                <w:sz w:val="24"/>
              </w:rPr>
              <w:t>投标总价</w:t>
            </w:r>
          </w:p>
        </w:tc>
        <w:tc>
          <w:tcPr>
            <w:tcW w:w="7696" w:type="dxa"/>
            <w:gridSpan w:val="7"/>
            <w:tcBorders>
              <w:top w:val="single" w:color="000000" w:sz="6" w:space="0"/>
              <w:left w:val="single" w:color="000000" w:sz="6" w:space="0"/>
            </w:tcBorders>
          </w:tcPr>
          <w:p>
            <w:pPr>
              <w:pStyle w:val="31"/>
              <w:spacing w:before="1"/>
              <w:ind w:left="30"/>
              <w:rPr>
                <w:sz w:val="24"/>
              </w:rPr>
            </w:pPr>
            <w:r>
              <w:rPr>
                <w:sz w:val="24"/>
              </w:rPr>
              <w:t>大写：</w:t>
            </w:r>
          </w:p>
          <w:p>
            <w:pPr>
              <w:pStyle w:val="31"/>
              <w:spacing w:before="158"/>
              <w:ind w:left="30"/>
              <w:rPr>
                <w:sz w:val="24"/>
              </w:rPr>
            </w:pPr>
            <w:r>
              <w:rPr>
                <w:sz w:val="24"/>
              </w:rPr>
              <w:t>小写：</w:t>
            </w:r>
          </w:p>
        </w:tc>
      </w:tr>
    </w:tbl>
    <w:p>
      <w:pPr>
        <w:pStyle w:val="8"/>
        <w:spacing w:before="3" w:line="362" w:lineRule="auto"/>
        <w:ind w:left="160" w:right="259"/>
      </w:pPr>
      <w:r>
        <w:rPr>
          <w:spacing w:val="-1"/>
        </w:rPr>
        <w:t>注：1.本表应依照每包采购一览表中的产品序号按顺序逐项填写，不得遗漏，否则，按无效投标</w:t>
      </w:r>
      <w:r>
        <w:t>处理。</w:t>
      </w:r>
    </w:p>
    <w:p>
      <w:pPr>
        <w:pStyle w:val="8"/>
        <w:spacing w:before="5"/>
        <w:ind w:left="640"/>
      </w:pPr>
      <w:r>
        <w:t>2.投标报价不能有两个或两个以上的报价方案。</w:t>
      </w:r>
    </w:p>
    <w:p>
      <w:pPr>
        <w:pStyle w:val="8"/>
      </w:pPr>
    </w:p>
    <w:p>
      <w:pPr>
        <w:pStyle w:val="8"/>
      </w:pPr>
    </w:p>
    <w:p>
      <w:pPr>
        <w:pStyle w:val="8"/>
      </w:pPr>
    </w:p>
    <w:p>
      <w:pPr>
        <w:pStyle w:val="8"/>
        <w:spacing w:before="2"/>
        <w:rPr>
          <w:sz w:val="32"/>
        </w:rPr>
      </w:pPr>
    </w:p>
    <w:p>
      <w:pPr>
        <w:pStyle w:val="8"/>
        <w:tabs>
          <w:tab w:val="left" w:pos="3854"/>
        </w:tabs>
        <w:ind w:right="81"/>
        <w:jc w:val="center"/>
        <w:outlineLvl w:val="1"/>
      </w:pPr>
      <w:bookmarkStart w:id="78" w:name="_Toc749"/>
      <w:r>
        <w:t>供应商：</w:t>
      </w:r>
      <w:r>
        <w:tab/>
      </w:r>
      <w:r>
        <w:t>（公章）</w:t>
      </w:r>
      <w:bookmarkEnd w:id="78"/>
    </w:p>
    <w:p>
      <w:pPr>
        <w:pStyle w:val="8"/>
        <w:tabs>
          <w:tab w:val="left" w:pos="3162"/>
          <w:tab w:val="left" w:pos="3884"/>
          <w:tab w:val="left" w:pos="6294"/>
        </w:tabs>
        <w:spacing w:before="158" w:line="364" w:lineRule="auto"/>
        <w:ind w:left="2440" w:right="2518"/>
        <w:jc w:val="center"/>
        <w:outlineLvl w:val="1"/>
      </w:pPr>
      <w:bookmarkStart w:id="79" w:name="_Toc9952"/>
      <w:r>
        <w:t>法定代表人或委托代理人：</w:t>
      </w:r>
      <w:r>
        <w:tab/>
      </w:r>
      <w:r>
        <w:t>（签字或盖章）</w:t>
      </w:r>
      <w:r>
        <w:rPr>
          <w:spacing w:val="-117"/>
        </w:rPr>
        <w:t xml:space="preserve"> </w:t>
      </w:r>
      <w:r>
        <w:t>年</w:t>
      </w:r>
      <w:r>
        <w:tab/>
      </w:r>
      <w:r>
        <w:t>月</w:t>
      </w:r>
      <w:r>
        <w:tab/>
      </w:r>
      <w:r>
        <w:t>日</w:t>
      </w:r>
      <w:bookmarkEnd w:id="79"/>
    </w:p>
    <w:p>
      <w:pPr>
        <w:spacing w:line="364" w:lineRule="auto"/>
        <w:jc w:val="center"/>
        <w:sectPr>
          <w:pgSz w:w="12240" w:h="15840"/>
          <w:pgMar w:top="1440" w:right="820" w:bottom="900" w:left="920" w:header="1153" w:footer="708" w:gutter="0"/>
          <w:pgNumType w:fmt="decimal"/>
          <w:cols w:space="720" w:num="1"/>
        </w:sectPr>
      </w:pPr>
    </w:p>
    <w:p>
      <w:pPr>
        <w:pStyle w:val="6"/>
        <w:outlineLvl w:val="1"/>
      </w:pPr>
      <w:bookmarkStart w:id="80" w:name="格式6：法定代表人证明书"/>
      <w:bookmarkEnd w:id="80"/>
      <w:bookmarkStart w:id="81" w:name="_Toc16422"/>
      <w:r>
        <w:rPr>
          <w:spacing w:val="-22"/>
        </w:rPr>
        <w:t xml:space="preserve">格式 </w:t>
      </w:r>
      <w:r>
        <w:t>5：技术规格响应表</w:t>
      </w:r>
      <w:bookmarkEnd w:id="81"/>
    </w:p>
    <w:p>
      <w:pPr>
        <w:pStyle w:val="8"/>
        <w:rPr>
          <w:sz w:val="20"/>
        </w:rPr>
      </w:pPr>
    </w:p>
    <w:p>
      <w:pPr>
        <w:pStyle w:val="8"/>
        <w:rPr>
          <w:sz w:val="20"/>
        </w:rPr>
      </w:pPr>
    </w:p>
    <w:p>
      <w:pPr>
        <w:spacing w:before="218"/>
        <w:ind w:right="97"/>
        <w:jc w:val="center"/>
        <w:outlineLvl w:val="1"/>
        <w:rPr>
          <w:sz w:val="28"/>
        </w:rPr>
      </w:pPr>
      <w:bookmarkStart w:id="82" w:name="_Toc31847"/>
      <w:r>
        <w:rPr>
          <w:sz w:val="28"/>
        </w:rPr>
        <w:t>技术规格响应表</w:t>
      </w:r>
      <w:bookmarkEnd w:id="82"/>
    </w:p>
    <w:p>
      <w:pPr>
        <w:pStyle w:val="8"/>
        <w:spacing w:before="4"/>
        <w:rPr>
          <w:sz w:val="9"/>
        </w:rPr>
      </w:pPr>
    </w:p>
    <w:p>
      <w:pPr>
        <w:pStyle w:val="8"/>
        <w:spacing w:before="66" w:after="3"/>
        <w:ind w:left="642"/>
      </w:pPr>
      <w:r>
        <w:t>供应商名称:</w:t>
      </w:r>
    </w:p>
    <w:tbl>
      <w:tblPr>
        <w:tblStyle w:val="23"/>
        <w:tblW w:w="0" w:type="auto"/>
        <w:tblInd w:w="4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5"/>
        <w:gridCol w:w="1207"/>
        <w:gridCol w:w="2262"/>
        <w:gridCol w:w="4044"/>
        <w:gridCol w:w="1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605" w:type="dxa"/>
          </w:tcPr>
          <w:p>
            <w:pPr>
              <w:pStyle w:val="31"/>
              <w:spacing w:before="8"/>
              <w:rPr>
                <w:sz w:val="25"/>
              </w:rPr>
            </w:pPr>
          </w:p>
          <w:p>
            <w:pPr>
              <w:pStyle w:val="31"/>
              <w:ind w:left="41" w:right="28"/>
              <w:jc w:val="center"/>
              <w:rPr>
                <w:sz w:val="24"/>
              </w:rPr>
            </w:pPr>
            <w:r>
              <w:rPr>
                <w:sz w:val="24"/>
              </w:rPr>
              <w:t>序号</w:t>
            </w:r>
          </w:p>
        </w:tc>
        <w:tc>
          <w:tcPr>
            <w:tcW w:w="1207" w:type="dxa"/>
          </w:tcPr>
          <w:p>
            <w:pPr>
              <w:pStyle w:val="31"/>
              <w:spacing w:before="172" w:line="242" w:lineRule="auto"/>
              <w:ind w:left="241" w:right="108" w:hanging="120"/>
              <w:rPr>
                <w:sz w:val="24"/>
              </w:rPr>
            </w:pPr>
            <w:r>
              <w:rPr>
                <w:spacing w:val="-1"/>
                <w:sz w:val="24"/>
              </w:rPr>
              <w:t>磋商文件</w:t>
            </w:r>
            <w:r>
              <w:rPr>
                <w:sz w:val="24"/>
              </w:rPr>
              <w:t>条目号</w:t>
            </w:r>
          </w:p>
        </w:tc>
        <w:tc>
          <w:tcPr>
            <w:tcW w:w="2262" w:type="dxa"/>
          </w:tcPr>
          <w:p>
            <w:pPr>
              <w:pStyle w:val="31"/>
              <w:spacing w:before="8"/>
              <w:rPr>
                <w:sz w:val="25"/>
              </w:rPr>
            </w:pPr>
          </w:p>
          <w:p>
            <w:pPr>
              <w:pStyle w:val="31"/>
              <w:ind w:left="409"/>
              <w:rPr>
                <w:sz w:val="24"/>
              </w:rPr>
            </w:pPr>
            <w:r>
              <w:rPr>
                <w:sz w:val="24"/>
              </w:rPr>
              <w:t>磋商文件要求</w:t>
            </w:r>
          </w:p>
        </w:tc>
        <w:tc>
          <w:tcPr>
            <w:tcW w:w="4044" w:type="dxa"/>
          </w:tcPr>
          <w:p>
            <w:pPr>
              <w:pStyle w:val="31"/>
              <w:spacing w:before="8"/>
              <w:rPr>
                <w:sz w:val="25"/>
              </w:rPr>
            </w:pPr>
          </w:p>
          <w:p>
            <w:pPr>
              <w:pStyle w:val="31"/>
              <w:ind w:left="869"/>
              <w:rPr>
                <w:sz w:val="24"/>
              </w:rPr>
            </w:pPr>
            <w:r>
              <w:rPr>
                <w:sz w:val="24"/>
              </w:rPr>
              <w:t>磋商响应文件响应说明</w:t>
            </w:r>
          </w:p>
        </w:tc>
        <w:tc>
          <w:tcPr>
            <w:tcW w:w="1448" w:type="dxa"/>
          </w:tcPr>
          <w:p>
            <w:pPr>
              <w:pStyle w:val="31"/>
              <w:spacing w:before="8"/>
              <w:rPr>
                <w:sz w:val="25"/>
              </w:rPr>
            </w:pPr>
          </w:p>
          <w:p>
            <w:pPr>
              <w:pStyle w:val="31"/>
              <w:ind w:left="183"/>
              <w:rPr>
                <w:sz w:val="24"/>
              </w:rPr>
            </w:pPr>
            <w:r>
              <w:rPr>
                <w:sz w:val="24"/>
              </w:rPr>
              <w:t>响应/偏离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trPr>
        <w:tc>
          <w:tcPr>
            <w:tcW w:w="605" w:type="dxa"/>
          </w:tcPr>
          <w:p>
            <w:pPr>
              <w:pStyle w:val="31"/>
              <w:spacing w:before="12"/>
              <w:rPr>
                <w:sz w:val="16"/>
              </w:rPr>
            </w:pPr>
          </w:p>
          <w:p>
            <w:pPr>
              <w:pStyle w:val="31"/>
              <w:ind w:left="13"/>
              <w:jc w:val="center"/>
              <w:rPr>
                <w:sz w:val="24"/>
              </w:rPr>
            </w:pPr>
            <w:r>
              <w:rPr>
                <w:sz w:val="24"/>
              </w:rPr>
              <w:t>1</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605" w:type="dxa"/>
          </w:tcPr>
          <w:p>
            <w:pPr>
              <w:pStyle w:val="31"/>
              <w:spacing w:before="215"/>
              <w:ind w:left="13"/>
              <w:jc w:val="center"/>
              <w:rPr>
                <w:sz w:val="24"/>
              </w:rPr>
            </w:pPr>
            <w:r>
              <w:rPr>
                <w:sz w:val="24"/>
              </w:rPr>
              <w:t>2</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605" w:type="dxa"/>
          </w:tcPr>
          <w:p>
            <w:pPr>
              <w:pStyle w:val="31"/>
              <w:spacing w:before="11"/>
              <w:rPr>
                <w:sz w:val="16"/>
              </w:rPr>
            </w:pPr>
          </w:p>
          <w:p>
            <w:pPr>
              <w:pStyle w:val="31"/>
              <w:spacing w:before="1"/>
              <w:ind w:left="13"/>
              <w:jc w:val="center"/>
              <w:rPr>
                <w:sz w:val="24"/>
              </w:rPr>
            </w:pPr>
            <w:r>
              <w:rPr>
                <w:sz w:val="24"/>
              </w:rPr>
              <w:t>3</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605" w:type="dxa"/>
          </w:tcPr>
          <w:p>
            <w:pPr>
              <w:pStyle w:val="31"/>
              <w:spacing w:before="12"/>
              <w:rPr>
                <w:sz w:val="16"/>
              </w:rPr>
            </w:pPr>
          </w:p>
          <w:p>
            <w:pPr>
              <w:pStyle w:val="31"/>
              <w:ind w:left="13"/>
              <w:jc w:val="center"/>
              <w:rPr>
                <w:sz w:val="24"/>
              </w:rPr>
            </w:pPr>
            <w:r>
              <w:rPr>
                <w:sz w:val="24"/>
              </w:rPr>
              <w:t>4</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3" w:hRule="atLeast"/>
        </w:trPr>
        <w:tc>
          <w:tcPr>
            <w:tcW w:w="605" w:type="dxa"/>
          </w:tcPr>
          <w:p>
            <w:pPr>
              <w:pStyle w:val="31"/>
              <w:spacing w:before="11"/>
              <w:rPr>
                <w:sz w:val="16"/>
              </w:rPr>
            </w:pPr>
          </w:p>
          <w:p>
            <w:pPr>
              <w:pStyle w:val="31"/>
              <w:ind w:left="13"/>
              <w:jc w:val="center"/>
              <w:rPr>
                <w:sz w:val="24"/>
              </w:rPr>
            </w:pPr>
            <w:r>
              <w:rPr>
                <w:sz w:val="24"/>
              </w:rPr>
              <w:t>…</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bl>
    <w:p>
      <w:pPr>
        <w:pStyle w:val="8"/>
        <w:spacing w:before="1"/>
        <w:ind w:left="640"/>
      </w:pPr>
      <w:r>
        <w:t>注：1.本表应按照采购一览表中产品序号的指标逐项填写，不得遗漏。</w:t>
      </w:r>
    </w:p>
    <w:p>
      <w:pPr>
        <w:pStyle w:val="8"/>
        <w:spacing w:before="160" w:line="362" w:lineRule="auto"/>
        <w:ind w:left="160" w:right="259" w:firstLine="480"/>
      </w:pPr>
      <w:r>
        <w:t>2.</w:t>
      </w:r>
      <w:r>
        <w:rPr>
          <w:spacing w:val="-8"/>
        </w:rPr>
        <w:t xml:space="preserve"> 供应商响应采购需求应具体、明确，含糊不清、不确切或伪造、编造证明材料的，按照实</w:t>
      </w:r>
      <w:r>
        <w:t>质性不响应处理。对伪造、编造证明材料的，将报送财政监管部门查处。</w:t>
      </w:r>
    </w:p>
    <w:p>
      <w:pPr>
        <w:pStyle w:val="8"/>
      </w:pPr>
    </w:p>
    <w:p>
      <w:pPr>
        <w:pStyle w:val="8"/>
      </w:pPr>
    </w:p>
    <w:p>
      <w:pPr>
        <w:pStyle w:val="8"/>
      </w:pPr>
    </w:p>
    <w:p>
      <w:pPr>
        <w:pStyle w:val="8"/>
      </w:pPr>
    </w:p>
    <w:p>
      <w:pPr>
        <w:pStyle w:val="8"/>
        <w:spacing w:before="11"/>
        <w:rPr>
          <w:sz w:val="18"/>
        </w:rPr>
      </w:pPr>
    </w:p>
    <w:p>
      <w:pPr>
        <w:pStyle w:val="8"/>
        <w:tabs>
          <w:tab w:val="left" w:pos="3854"/>
        </w:tabs>
        <w:ind w:right="81"/>
        <w:jc w:val="center"/>
        <w:outlineLvl w:val="1"/>
      </w:pPr>
      <w:bookmarkStart w:id="83" w:name="_Toc10522"/>
      <w:r>
        <w:t>供应商：</w:t>
      </w:r>
      <w:r>
        <w:tab/>
      </w:r>
      <w:r>
        <w:t>（公章）</w:t>
      </w:r>
      <w:bookmarkEnd w:id="83"/>
    </w:p>
    <w:p>
      <w:pPr>
        <w:pStyle w:val="8"/>
        <w:tabs>
          <w:tab w:val="left" w:pos="3854"/>
        </w:tabs>
        <w:spacing w:before="160"/>
        <w:ind w:right="78"/>
        <w:jc w:val="center"/>
        <w:outlineLvl w:val="1"/>
      </w:pPr>
      <w:bookmarkStart w:id="84" w:name="_Toc20873"/>
      <w:r>
        <w:t>法定代表人或委托代理人：</w:t>
      </w:r>
      <w:r>
        <w:tab/>
      </w:r>
      <w:r>
        <w:t>（签字或盖章）</w:t>
      </w:r>
      <w:bookmarkEnd w:id="84"/>
    </w:p>
    <w:p>
      <w:pPr>
        <w:pStyle w:val="8"/>
      </w:pPr>
    </w:p>
    <w:p>
      <w:pPr>
        <w:pStyle w:val="8"/>
        <w:spacing w:before="11"/>
      </w:pPr>
    </w:p>
    <w:p>
      <w:pPr>
        <w:pStyle w:val="8"/>
        <w:tabs>
          <w:tab w:val="left" w:pos="4134"/>
          <w:tab w:val="left" w:pos="4856"/>
        </w:tabs>
        <w:spacing w:before="1"/>
        <w:ind w:left="3412"/>
      </w:pPr>
      <w:r>
        <w:t>年</w:t>
      </w:r>
      <w:r>
        <w:tab/>
      </w:r>
      <w:r>
        <w:t>月</w:t>
      </w:r>
      <w:r>
        <w:tab/>
      </w:r>
      <w:r>
        <w:t>日</w:t>
      </w:r>
    </w:p>
    <w:p>
      <w:pPr>
        <w:sectPr>
          <w:pgSz w:w="12240" w:h="15840"/>
          <w:pgMar w:top="1440" w:right="820" w:bottom="900" w:left="920" w:header="1153" w:footer="708" w:gutter="0"/>
          <w:pgNumType w:fmt="decimal"/>
          <w:cols w:space="720" w:num="1"/>
        </w:sectPr>
      </w:pPr>
    </w:p>
    <w:p>
      <w:pPr>
        <w:pStyle w:val="8"/>
        <w:spacing w:before="4"/>
        <w:rPr>
          <w:sz w:val="14"/>
        </w:rPr>
      </w:pPr>
    </w:p>
    <w:p>
      <w:pPr>
        <w:spacing w:before="62"/>
        <w:ind w:left="160"/>
        <w:outlineLvl w:val="1"/>
        <w:rPr>
          <w:sz w:val="28"/>
        </w:rPr>
      </w:pPr>
      <w:bookmarkStart w:id="85" w:name="_Toc5076"/>
      <w:r>
        <w:rPr>
          <w:spacing w:val="-22"/>
          <w:sz w:val="28"/>
        </w:rPr>
        <w:t xml:space="preserve">格式 </w:t>
      </w:r>
      <w:r>
        <w:rPr>
          <w:sz w:val="28"/>
        </w:rPr>
        <w:t>6：法定代表人证明书</w:t>
      </w:r>
      <w:bookmarkEnd w:id="85"/>
    </w:p>
    <w:p>
      <w:pPr>
        <w:pStyle w:val="8"/>
        <w:spacing w:before="12"/>
      </w:pPr>
    </w:p>
    <w:p>
      <w:pPr>
        <w:pStyle w:val="4"/>
        <w:spacing w:before="54"/>
      </w:pPr>
      <w:bookmarkStart w:id="86" w:name="_Toc1179"/>
      <w:r>
        <w:rPr>
          <w:w w:val="95"/>
        </w:rPr>
        <w:t>法定代表人证明书</w:t>
      </w:r>
      <w:bookmarkEnd w:id="86"/>
    </w:p>
    <w:p>
      <w:pPr>
        <w:pStyle w:val="8"/>
        <w:rPr>
          <w:sz w:val="20"/>
        </w:rPr>
      </w:pPr>
    </w:p>
    <w:p>
      <w:pPr>
        <w:pStyle w:val="8"/>
        <w:rPr>
          <w:sz w:val="20"/>
        </w:rPr>
      </w:pPr>
    </w:p>
    <w:p>
      <w:pPr>
        <w:pStyle w:val="8"/>
        <w:spacing w:before="9"/>
        <w:rPr>
          <w:sz w:val="22"/>
        </w:rPr>
      </w:pPr>
    </w:p>
    <w:p>
      <w:pPr>
        <w:pStyle w:val="8"/>
        <w:spacing w:before="67"/>
        <w:ind w:left="160"/>
      </w:pPr>
      <w:r>
        <w:t>致：</w:t>
      </w:r>
      <w:r>
        <w:rPr>
          <w:rFonts w:hint="eastAsia"/>
          <w:u w:val="single"/>
        </w:rPr>
        <w:t>果洛州政府采购服务中心</w:t>
      </w:r>
    </w:p>
    <w:p>
      <w:pPr>
        <w:pStyle w:val="8"/>
        <w:rPr>
          <w:sz w:val="20"/>
        </w:rPr>
      </w:pPr>
    </w:p>
    <w:p>
      <w:pPr>
        <w:pStyle w:val="8"/>
        <w:spacing w:before="5"/>
        <w:rPr>
          <w:sz w:val="18"/>
        </w:rPr>
      </w:pPr>
    </w:p>
    <w:p>
      <w:pPr>
        <w:pStyle w:val="8"/>
        <w:tabs>
          <w:tab w:val="left" w:pos="3039"/>
          <w:tab w:val="left" w:pos="5919"/>
        </w:tabs>
        <w:spacing w:line="626" w:lineRule="auto"/>
        <w:ind w:left="160" w:right="979" w:firstLine="480"/>
      </w:pPr>
      <w:r>
        <w:rPr>
          <w:u w:val="single"/>
        </w:rPr>
        <w:t>（法定代表人姓名）</w:t>
      </w:r>
      <w:r>
        <w:rPr>
          <w:u w:val="single"/>
        </w:rPr>
        <w:tab/>
      </w:r>
      <w:r>
        <w:t>现任我单位</w:t>
      </w:r>
      <w:r>
        <w:rPr>
          <w:rFonts w:ascii="Times New Roman" w:eastAsia="Times New Roman"/>
          <w:u w:val="single"/>
        </w:rPr>
        <w:tab/>
      </w:r>
      <w:r>
        <w:rPr>
          <w:spacing w:val="-1"/>
        </w:rPr>
        <w:t>职务，为法</w:t>
      </w:r>
      <w:r>
        <w:t>定代表人，特此证明。法定代表人基本情况：</w:t>
      </w:r>
    </w:p>
    <w:p>
      <w:pPr>
        <w:pStyle w:val="8"/>
        <w:tabs>
          <w:tab w:val="left" w:pos="2199"/>
          <w:tab w:val="left" w:pos="4299"/>
          <w:tab w:val="left" w:pos="6219"/>
        </w:tabs>
        <w:spacing w:line="303" w:lineRule="exact"/>
        <w:ind w:left="160"/>
        <w:rPr>
          <w:rFonts w:ascii="Times New Roman" w:eastAsia="Times New Roman"/>
        </w:rPr>
      </w:pPr>
      <w:r>
        <w:t>性别：</w:t>
      </w:r>
      <w:r>
        <w:rPr>
          <w:rFonts w:ascii="Times New Roman" w:eastAsia="Times New Roman"/>
          <w:u w:val="single"/>
        </w:rPr>
        <w:tab/>
      </w:r>
      <w:r>
        <w:t>年龄：</w:t>
      </w:r>
      <w:r>
        <w:rPr>
          <w:rFonts w:ascii="Times New Roman" w:eastAsia="Times New Roman"/>
          <w:u w:val="single"/>
        </w:rPr>
        <w:tab/>
      </w:r>
      <w:r>
        <w:t>民族：</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3"/>
        <w:rPr>
          <w:rFonts w:ascii="Times New Roman"/>
          <w:sz w:val="16"/>
        </w:rPr>
      </w:pPr>
    </w:p>
    <w:p>
      <w:pPr>
        <w:pStyle w:val="8"/>
        <w:tabs>
          <w:tab w:val="left" w:pos="6219"/>
        </w:tabs>
        <w:spacing w:before="74"/>
        <w:ind w:left="160"/>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7"/>
        <w:rPr>
          <w:rFonts w:ascii="Times New Roman"/>
          <w:sz w:val="16"/>
        </w:rPr>
      </w:pPr>
    </w:p>
    <w:p>
      <w:pPr>
        <w:pStyle w:val="8"/>
        <w:tabs>
          <w:tab w:val="left" w:pos="6219"/>
        </w:tabs>
        <w:spacing w:before="74"/>
        <w:ind w:left="160"/>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11"/>
        <w:rPr>
          <w:rFonts w:ascii="Times New Roman"/>
          <w:sz w:val="16"/>
        </w:rPr>
      </w:pPr>
    </w:p>
    <w:p>
      <w:pPr>
        <w:pStyle w:val="8"/>
        <w:spacing w:before="66"/>
        <w:ind w:left="160"/>
      </w:pPr>
      <w:r>
        <w:t>附法定代表人第二代身份证复印件</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8"/>
        <w:rPr>
          <w:sz w:val="19"/>
        </w:rPr>
      </w:pPr>
    </w:p>
    <w:p>
      <w:pPr>
        <w:pStyle w:val="8"/>
        <w:tabs>
          <w:tab w:val="left" w:pos="6303"/>
          <w:tab w:val="left" w:pos="6906"/>
          <w:tab w:val="left" w:pos="7117"/>
        </w:tabs>
        <w:spacing w:before="66" w:line="364" w:lineRule="auto"/>
        <w:ind w:left="5701" w:right="2418" w:hanging="872"/>
      </w:pPr>
      <w:r>
        <w:t>供应商：</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spacing w:val="-1"/>
        </w:rPr>
        <w:t>（公</w:t>
      </w:r>
      <w:r>
        <w:t>章）</w:t>
      </w:r>
      <w:r>
        <w:rPr>
          <w:spacing w:val="-117"/>
        </w:rPr>
        <w:t xml:space="preserve"> </w:t>
      </w:r>
      <w:r>
        <w:t>年</w:t>
      </w:r>
      <w:r>
        <w:tab/>
      </w:r>
      <w:r>
        <w:t>月</w:t>
      </w:r>
      <w:r>
        <w:tab/>
      </w:r>
      <w:r>
        <w:t>日</w:t>
      </w:r>
    </w:p>
    <w:p>
      <w:pPr>
        <w:spacing w:line="364"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87" w:name="格式7：法定代表人授权书"/>
      <w:bookmarkEnd w:id="87"/>
      <w:bookmarkStart w:id="88" w:name="_Toc3069"/>
      <w:r>
        <w:rPr>
          <w:spacing w:val="-22"/>
          <w:sz w:val="28"/>
        </w:rPr>
        <w:t xml:space="preserve">格式 </w:t>
      </w:r>
      <w:r>
        <w:rPr>
          <w:sz w:val="28"/>
        </w:rPr>
        <w:t>7：法定代表人授权书</w:t>
      </w:r>
      <w:bookmarkEnd w:id="88"/>
    </w:p>
    <w:p>
      <w:pPr>
        <w:pStyle w:val="8"/>
        <w:rPr>
          <w:sz w:val="20"/>
        </w:rPr>
      </w:pPr>
    </w:p>
    <w:p>
      <w:pPr>
        <w:pStyle w:val="8"/>
        <w:rPr>
          <w:sz w:val="20"/>
        </w:rPr>
      </w:pPr>
    </w:p>
    <w:p>
      <w:pPr>
        <w:pStyle w:val="8"/>
        <w:spacing w:before="4"/>
      </w:pPr>
    </w:p>
    <w:p>
      <w:pPr>
        <w:pStyle w:val="4"/>
        <w:spacing w:before="54"/>
      </w:pPr>
      <w:bookmarkStart w:id="89" w:name="_Toc9893"/>
      <w:r>
        <w:rPr>
          <w:w w:val="95"/>
        </w:rPr>
        <w:t>法定代表人授权书</w:t>
      </w:r>
      <w:bookmarkEnd w:id="89"/>
    </w:p>
    <w:p>
      <w:pPr>
        <w:pStyle w:val="8"/>
        <w:rPr>
          <w:sz w:val="20"/>
        </w:rPr>
      </w:pPr>
    </w:p>
    <w:p>
      <w:pPr>
        <w:pStyle w:val="8"/>
        <w:rPr>
          <w:sz w:val="20"/>
        </w:rPr>
      </w:pPr>
    </w:p>
    <w:p>
      <w:pPr>
        <w:pStyle w:val="8"/>
        <w:spacing w:before="9"/>
        <w:rPr>
          <w:sz w:val="22"/>
        </w:rPr>
      </w:pPr>
    </w:p>
    <w:p>
      <w:pPr>
        <w:pStyle w:val="8"/>
        <w:spacing w:before="67"/>
        <w:ind w:left="160"/>
      </w:pPr>
      <w:r>
        <w:t>致：</w:t>
      </w:r>
      <w:r>
        <w:rPr>
          <w:rFonts w:hint="eastAsia"/>
          <w:u w:val="single"/>
        </w:rPr>
        <w:t>果洛州政府采购服务中心</w:t>
      </w:r>
    </w:p>
    <w:p>
      <w:pPr>
        <w:pStyle w:val="8"/>
        <w:spacing w:before="2"/>
        <w:rPr>
          <w:sz w:val="27"/>
        </w:rPr>
      </w:pPr>
    </w:p>
    <w:p>
      <w:pPr>
        <w:pStyle w:val="8"/>
        <w:tabs>
          <w:tab w:val="left" w:pos="8034"/>
        </w:tabs>
        <w:spacing w:before="74"/>
        <w:ind w:left="594"/>
      </w:pPr>
      <w:r>
        <w:rPr>
          <w:u w:val="single"/>
        </w:rPr>
        <w:t>（供应商名称）</w:t>
      </w:r>
      <w:r>
        <w:t>系中华人民共和国合法企业，法定地址</w:t>
      </w:r>
      <w:r>
        <w:rPr>
          <w:rFonts w:ascii="Times New Roman" w:eastAsia="Times New Roman"/>
          <w:u w:val="single"/>
        </w:rPr>
        <w:tab/>
      </w:r>
      <w:r>
        <w:t>。</w:t>
      </w:r>
    </w:p>
    <w:p>
      <w:pPr>
        <w:pStyle w:val="8"/>
        <w:spacing w:before="158"/>
        <w:ind w:left="640"/>
      </w:pPr>
      <w:r>
        <w:rPr>
          <w:u w:val="single"/>
        </w:rPr>
        <w:t>（法定代表人姓名）</w:t>
      </w:r>
      <w:r>
        <w:t>特授权</w:t>
      </w:r>
      <w:r>
        <w:rPr>
          <w:u w:val="single"/>
        </w:rPr>
        <w:t>（委托代理人姓名）</w:t>
      </w:r>
      <w:r>
        <w:t>代表我单位全权办理</w:t>
      </w:r>
    </w:p>
    <w:p>
      <w:pPr>
        <w:pStyle w:val="8"/>
        <w:tabs>
          <w:tab w:val="left" w:pos="3159"/>
        </w:tabs>
        <w:spacing w:before="161" w:line="364" w:lineRule="auto"/>
        <w:ind w:left="640" w:right="619" w:hanging="480"/>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
        </w:rPr>
        <w:t>项目的投标、答疑等具体工作，并签署全部有关的文件、资料。</w:t>
      </w:r>
      <w:r>
        <w:t>我单位对被授权人的签名负全部责任。</w:t>
      </w:r>
    </w:p>
    <w:p>
      <w:pPr>
        <w:pStyle w:val="8"/>
        <w:tabs>
          <w:tab w:val="left" w:pos="4539"/>
        </w:tabs>
        <w:spacing w:line="306" w:lineRule="exact"/>
        <w:ind w:left="640"/>
        <w:rPr>
          <w:rFonts w:ascii="Times New Roman" w:eastAsia="Times New Roman"/>
        </w:rPr>
      </w:pPr>
      <w:r>
        <w:t>被授权人联系电话：</w:t>
      </w:r>
      <w:r>
        <w:rPr>
          <w:rFonts w:ascii="Times New Roman" w:eastAsia="Times New Roman"/>
          <w:u w:val="single"/>
        </w:rPr>
        <w:t xml:space="preserve"> </w:t>
      </w:r>
      <w:r>
        <w:rPr>
          <w:rFonts w:ascii="Times New Roman" w:eastAsia="Times New Roman"/>
          <w:u w:val="single"/>
        </w:rPr>
        <w:tab/>
      </w:r>
    </w:p>
    <w:p>
      <w:pPr>
        <w:pStyle w:val="8"/>
        <w:tabs>
          <w:tab w:val="left" w:pos="4179"/>
          <w:tab w:val="left" w:pos="4599"/>
          <w:tab w:val="left" w:pos="7779"/>
          <w:tab w:val="left" w:pos="9939"/>
        </w:tabs>
        <w:spacing w:before="160" w:line="362" w:lineRule="auto"/>
        <w:ind w:left="640" w:right="558"/>
        <w:rPr>
          <w:rFonts w:ascii="Times New Roman" w:eastAsia="Times New Roman"/>
        </w:rPr>
      </w:pPr>
      <w:r>
        <w:t>被授权人（委托代理人）签字：</w:t>
      </w:r>
      <w:r>
        <w:rPr>
          <w:rFonts w:ascii="Times New Roman" w:eastAsia="Times New Roman"/>
          <w:u w:val="single"/>
        </w:rPr>
        <w:tab/>
      </w:r>
      <w:r>
        <w:rPr>
          <w:rFonts w:ascii="Times New Roman" w:eastAsia="Times New Roman"/>
          <w:u w:val="single"/>
        </w:rPr>
        <w:tab/>
      </w:r>
      <w:r>
        <w:t>授权人（法定代表人）签字：</w:t>
      </w:r>
      <w:r>
        <w:rPr>
          <w:rFonts w:ascii="Times New Roman" w:eastAsia="Times New Roman"/>
          <w:u w:val="single"/>
        </w:rPr>
        <w:t xml:space="preserve"> </w:t>
      </w:r>
      <w:r>
        <w:rPr>
          <w:rFonts w:ascii="Times New Roman" w:eastAsia="Times New Roman"/>
          <w:u w:val="single"/>
        </w:rPr>
        <w:tab/>
      </w:r>
      <w:r>
        <w:rPr>
          <w:u w:val="single"/>
        </w:rPr>
        <w:t xml:space="preserve"> </w:t>
      </w:r>
      <w:r>
        <w:t>职务：</w:t>
      </w:r>
      <w:r>
        <w:rPr>
          <w:rFonts w:ascii="Times New Roman" w:eastAsia="Times New Roman"/>
          <w:u w:val="single"/>
        </w:rPr>
        <w:tab/>
      </w:r>
      <w:r>
        <w:t>职务：</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10"/>
        <w:rPr>
          <w:rFonts w:ascii="Times New Roman"/>
          <w:sz w:val="20"/>
        </w:rPr>
      </w:pPr>
    </w:p>
    <w:p>
      <w:pPr>
        <w:pStyle w:val="8"/>
        <w:spacing w:before="1"/>
        <w:ind w:left="640"/>
      </w:pPr>
      <w:r>
        <w:t>附被授权人第二代身份证双面复印件</w:t>
      </w:r>
    </w:p>
    <w:p>
      <w:pPr>
        <w:pStyle w:val="8"/>
      </w:pPr>
    </w:p>
    <w:p>
      <w:pPr>
        <w:pStyle w:val="8"/>
      </w:pPr>
    </w:p>
    <w:p>
      <w:pPr>
        <w:pStyle w:val="8"/>
        <w:spacing w:before="2"/>
        <w:rPr>
          <w:sz w:val="28"/>
        </w:rPr>
      </w:pPr>
    </w:p>
    <w:p>
      <w:pPr>
        <w:pStyle w:val="8"/>
        <w:tabs>
          <w:tab w:val="left" w:pos="5879"/>
          <w:tab w:val="left" w:pos="7191"/>
        </w:tabs>
        <w:spacing w:line="364" w:lineRule="auto"/>
        <w:ind w:left="3109" w:right="2343" w:firstLine="225"/>
      </w:pPr>
      <w:r>
        <w:t>供应商：</w:t>
      </w:r>
      <w:r>
        <w:rPr>
          <w:rFonts w:ascii="Times New Roman" w:eastAsia="Times New Roman"/>
          <w:u w:val="single"/>
        </w:rPr>
        <w:tab/>
      </w:r>
      <w:r>
        <w:rPr>
          <w:rFonts w:ascii="Times New Roman" w:eastAsia="Times New Roman"/>
          <w:u w:val="single"/>
        </w:rPr>
        <w:tab/>
      </w:r>
      <w:r>
        <w:rPr>
          <w:spacing w:val="-1"/>
        </w:rPr>
        <w:t>（</w:t>
      </w:r>
      <w:r>
        <w:t>公章）</w:t>
      </w:r>
      <w:r>
        <w:rPr>
          <w:spacing w:val="-117"/>
        </w:rPr>
        <w:t xml:space="preserve"> </w:t>
      </w:r>
      <w:r>
        <w:t>法定代表人：</w:t>
      </w:r>
      <w:r>
        <w:rPr>
          <w:rFonts w:ascii="Times New Roman" w:eastAsia="Times New Roman"/>
          <w:u w:val="single"/>
        </w:rPr>
        <w:tab/>
      </w:r>
      <w:r>
        <w:t>（签字或盖章）</w:t>
      </w:r>
    </w:p>
    <w:p>
      <w:pPr>
        <w:pStyle w:val="8"/>
        <w:tabs>
          <w:tab w:val="left" w:pos="1539"/>
          <w:tab w:val="left" w:pos="2261"/>
        </w:tabs>
        <w:spacing w:line="229" w:lineRule="exact"/>
        <w:ind w:left="816"/>
        <w:jc w:val="center"/>
        <w:outlineLvl w:val="1"/>
      </w:pPr>
      <w:bookmarkStart w:id="90" w:name="_Toc19065"/>
      <w:r>
        <w:t>年</w:t>
      </w:r>
      <w:r>
        <w:tab/>
      </w:r>
      <w:r>
        <w:t>月</w:t>
      </w:r>
      <w:r>
        <w:tab/>
      </w:r>
      <w:r>
        <w:t>日</w:t>
      </w:r>
      <w:bookmarkEnd w:id="90"/>
    </w:p>
    <w:p>
      <w:pPr>
        <w:spacing w:line="229" w:lineRule="exact"/>
        <w:jc w:val="center"/>
        <w:sectPr>
          <w:pgSz w:w="12240" w:h="15840"/>
          <w:pgMar w:top="1440" w:right="820" w:bottom="900" w:left="920" w:header="1153" w:footer="708" w:gutter="0"/>
          <w:pgNumType w:fmt="decimal"/>
          <w:cols w:space="720" w:num="1"/>
        </w:sectPr>
      </w:pPr>
    </w:p>
    <w:p>
      <w:pPr>
        <w:spacing w:before="5"/>
        <w:ind w:left="160"/>
        <w:outlineLvl w:val="1"/>
        <w:rPr>
          <w:sz w:val="28"/>
        </w:rPr>
      </w:pPr>
      <w:bookmarkStart w:id="91" w:name="格式8：供应商承诺函"/>
      <w:bookmarkEnd w:id="91"/>
      <w:bookmarkStart w:id="92" w:name="_Toc12549"/>
      <w:r>
        <w:rPr>
          <w:spacing w:val="-22"/>
          <w:sz w:val="28"/>
        </w:rPr>
        <w:t xml:space="preserve">格式 </w:t>
      </w:r>
      <w:r>
        <w:rPr>
          <w:sz w:val="28"/>
        </w:rPr>
        <w:t>8：供应商承诺函</w:t>
      </w:r>
      <w:bookmarkEnd w:id="92"/>
    </w:p>
    <w:p>
      <w:pPr>
        <w:pStyle w:val="8"/>
        <w:rPr>
          <w:sz w:val="20"/>
        </w:rPr>
      </w:pPr>
    </w:p>
    <w:p>
      <w:pPr>
        <w:pStyle w:val="4"/>
        <w:spacing w:before="207"/>
      </w:pPr>
      <w:bookmarkStart w:id="93" w:name="_Toc16115"/>
      <w:r>
        <w:rPr>
          <w:w w:val="95"/>
        </w:rPr>
        <w:t>供应商承诺函</w:t>
      </w:r>
      <w:bookmarkEnd w:id="93"/>
    </w:p>
    <w:p>
      <w:pPr>
        <w:pStyle w:val="8"/>
        <w:rPr>
          <w:sz w:val="20"/>
        </w:rPr>
      </w:pPr>
    </w:p>
    <w:p>
      <w:pPr>
        <w:pStyle w:val="8"/>
        <w:rPr>
          <w:sz w:val="20"/>
        </w:rPr>
      </w:pPr>
    </w:p>
    <w:p>
      <w:pPr>
        <w:pStyle w:val="8"/>
        <w:spacing w:before="7"/>
        <w:rPr>
          <w:sz w:val="16"/>
        </w:rPr>
      </w:pPr>
    </w:p>
    <w:p>
      <w:pPr>
        <w:pStyle w:val="8"/>
        <w:spacing w:before="66"/>
        <w:ind w:left="160"/>
      </w:pPr>
      <w:r>
        <w:t>致：</w:t>
      </w:r>
      <w:r>
        <w:rPr>
          <w:rFonts w:hint="eastAsia"/>
          <w:u w:val="single"/>
        </w:rPr>
        <w:t>果洛州政府采购服务中心</w:t>
      </w:r>
    </w:p>
    <w:p>
      <w:pPr>
        <w:pStyle w:val="8"/>
        <w:rPr>
          <w:sz w:val="20"/>
        </w:rPr>
      </w:pPr>
    </w:p>
    <w:p>
      <w:pPr>
        <w:pStyle w:val="8"/>
        <w:spacing w:before="1"/>
        <w:rPr>
          <w:sz w:val="23"/>
        </w:rPr>
      </w:pPr>
    </w:p>
    <w:p>
      <w:pPr>
        <w:pStyle w:val="8"/>
        <w:tabs>
          <w:tab w:val="left" w:pos="2199"/>
          <w:tab w:val="left" w:pos="2799"/>
          <w:tab w:val="left" w:pos="3399"/>
          <w:tab w:val="left" w:pos="4808"/>
        </w:tabs>
        <w:spacing w:before="74" w:line="364" w:lineRule="auto"/>
        <w:ind w:left="160" w:right="139" w:firstLine="480"/>
      </w:pPr>
      <w:r>
        <w:t>关于贵方</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r>
        <w:rPr>
          <w:rFonts w:ascii="Times New Roman" w:eastAsia="Times New Roman"/>
          <w:u w:val="single"/>
        </w:rPr>
        <w:tab/>
      </w:r>
      <w:r>
        <w:rPr>
          <w:spacing w:val="-1"/>
          <w:u w:val="single"/>
        </w:rPr>
        <w:t>（项目名称）</w:t>
      </w:r>
      <w:r>
        <w:rPr>
          <w:spacing w:val="-1"/>
        </w:rPr>
        <w:t>采购项</w:t>
      </w:r>
      <w:r>
        <w:t>目，本签字人愿意参加投标，提供技术要求的所有服务</w:t>
      </w:r>
      <w:r>
        <w:rPr>
          <w:spacing w:val="-60"/>
        </w:rPr>
        <w:t>，</w:t>
      </w:r>
      <w:r>
        <w:t>并证实提交的所有资料是准确的和真实的</w:t>
      </w:r>
      <w:r>
        <w:rPr>
          <w:spacing w:val="-60"/>
        </w:rPr>
        <w:t>。</w:t>
      </w:r>
      <w:r>
        <w:t>同时</w:t>
      </w:r>
      <w:r>
        <w:rPr>
          <w:spacing w:val="-60"/>
        </w:rPr>
        <w:t>，</w:t>
      </w:r>
      <w:r>
        <w:t>我代</w:t>
      </w:r>
      <w:r>
        <w:rPr>
          <w:spacing w:val="-60"/>
        </w:rPr>
        <w:t>表</w:t>
      </w:r>
      <w:r>
        <w:t>（供应商名称</w:t>
      </w:r>
      <w:r>
        <w:rPr>
          <w:spacing w:val="-130"/>
        </w:rPr>
        <w:t>）</w:t>
      </w:r>
      <w:r>
        <w:rPr>
          <w:spacing w:val="-10"/>
        </w:rPr>
        <w:t>，</w:t>
      </w:r>
      <w:r>
        <w:t>在此作如下承诺：</w:t>
      </w:r>
    </w:p>
    <w:p>
      <w:pPr>
        <w:pStyle w:val="30"/>
        <w:numPr>
          <w:ilvl w:val="0"/>
          <w:numId w:val="33"/>
        </w:numPr>
        <w:tabs>
          <w:tab w:val="left" w:pos="881"/>
        </w:tabs>
        <w:spacing w:line="307" w:lineRule="exact"/>
        <w:rPr>
          <w:sz w:val="24"/>
        </w:rPr>
      </w:pPr>
      <w:r>
        <w:rPr>
          <w:sz w:val="24"/>
        </w:rPr>
        <w:t>完全理解和接受磋商文件的一切规定和要求；</w:t>
      </w:r>
    </w:p>
    <w:p>
      <w:pPr>
        <w:pStyle w:val="30"/>
        <w:numPr>
          <w:ilvl w:val="0"/>
          <w:numId w:val="33"/>
        </w:numPr>
        <w:tabs>
          <w:tab w:val="left" w:pos="881"/>
        </w:tabs>
        <w:spacing w:before="158" w:line="364" w:lineRule="auto"/>
        <w:ind w:left="160" w:right="139" w:firstLine="480"/>
        <w:rPr>
          <w:sz w:val="24"/>
        </w:rPr>
      </w:pPr>
      <w:r>
        <w:rPr>
          <w:spacing w:val="-10"/>
          <w:sz w:val="24"/>
        </w:rPr>
        <w:t>若中标，我方将按照磋商文件的具体规定与采购人签订采购合同，并且严格履行合同义务，</w:t>
      </w:r>
      <w:r>
        <w:rPr>
          <w:spacing w:val="-117"/>
          <w:sz w:val="24"/>
        </w:rPr>
        <w:t xml:space="preserve"> </w:t>
      </w:r>
      <w:r>
        <w:rPr>
          <w:sz w:val="24"/>
        </w:rPr>
        <w:t>按时提供优质的服务。如果在合同执行过程中，发现质量、数量出现问题，我方一定尽快修改，</w:t>
      </w:r>
      <w:r>
        <w:rPr>
          <w:spacing w:val="1"/>
          <w:sz w:val="24"/>
        </w:rPr>
        <w:t xml:space="preserve"> </w:t>
      </w:r>
      <w:r>
        <w:rPr>
          <w:sz w:val="24"/>
        </w:rPr>
        <w:t>并承担相应的经济责任；</w:t>
      </w:r>
    </w:p>
    <w:p>
      <w:pPr>
        <w:pStyle w:val="8"/>
        <w:spacing w:line="362" w:lineRule="auto"/>
        <w:ind w:left="160" w:right="139" w:firstLine="480"/>
      </w:pPr>
      <w:r>
        <w:rPr>
          <w:spacing w:val="-1"/>
        </w:rPr>
        <w:t>3、我方保证甲方在使用该产品或其任何一部分时，不受第三方提出的侵犯专利权、著作权、</w:t>
      </w:r>
      <w:r>
        <w:t>商标权和工业设计权等知识产权的起诉，若有违反，愿承担相应的一切责任。</w:t>
      </w:r>
    </w:p>
    <w:p>
      <w:pPr>
        <w:pStyle w:val="8"/>
        <w:spacing w:before="5"/>
        <w:ind w:left="640"/>
      </w:pPr>
      <w:r>
        <w:t>4</w:t>
      </w:r>
      <w:r>
        <w:rPr>
          <w:spacing w:val="-16"/>
        </w:rPr>
        <w:t>、我方承诺，所提供的服务成果资料均符合国家强制性标准。若有不实，愿承担相应的责任。</w:t>
      </w:r>
    </w:p>
    <w:p>
      <w:pPr>
        <w:pStyle w:val="8"/>
        <w:spacing w:before="158"/>
        <w:ind w:left="640"/>
      </w:pPr>
      <w:r>
        <w:t>5</w:t>
      </w:r>
      <w:r>
        <w:rPr>
          <w:spacing w:val="-16"/>
        </w:rPr>
        <w:t>、在整个采购过程中我方若有违规行为，贵方可按磋商文件之规定给予处罚，我方完全接受。</w:t>
      </w:r>
    </w:p>
    <w:p>
      <w:pPr>
        <w:pStyle w:val="8"/>
        <w:spacing w:before="160"/>
        <w:ind w:left="640"/>
      </w:pPr>
      <w:r>
        <w:t>6、若中标，本承诺将成为合同不可分割的一部分，与合同具有同等的法律效力。</w:t>
      </w:r>
    </w:p>
    <w:p>
      <w:pPr>
        <w:pStyle w:val="8"/>
      </w:pPr>
    </w:p>
    <w:p>
      <w:pPr>
        <w:pStyle w:val="8"/>
        <w:spacing w:before="11"/>
      </w:pPr>
    </w:p>
    <w:p>
      <w:pPr>
        <w:pStyle w:val="8"/>
        <w:tabs>
          <w:tab w:val="left" w:pos="7124"/>
        </w:tabs>
        <w:ind w:left="4595"/>
      </w:pPr>
      <w:r>
        <w:t>供应商：</w:t>
      </w:r>
      <w:r>
        <w:rPr>
          <w:rFonts w:ascii="Times New Roman" w:eastAsia="Times New Roman"/>
          <w:u w:val="single"/>
        </w:rPr>
        <w:tab/>
      </w:r>
      <w:r>
        <w:t>（公章）</w:t>
      </w:r>
    </w:p>
    <w:p>
      <w:pPr>
        <w:pStyle w:val="8"/>
        <w:tabs>
          <w:tab w:val="left" w:pos="5701"/>
          <w:tab w:val="left" w:pos="6303"/>
          <w:tab w:val="left" w:pos="7146"/>
        </w:tabs>
        <w:spacing w:before="161" w:line="362" w:lineRule="auto"/>
        <w:ind w:left="5099" w:right="1666" w:hanging="2410"/>
      </w:pPr>
      <w:r>
        <w:t>法定代表人或委托代理人：</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（签字或盖章）</w:t>
      </w:r>
      <w:r>
        <w:rPr>
          <w:spacing w:val="-117"/>
        </w:rPr>
        <w:t xml:space="preserve"> </w:t>
      </w:r>
      <w:r>
        <w:t>年</w:t>
      </w:r>
      <w:r>
        <w:tab/>
      </w:r>
      <w:r>
        <w:t>月</w:t>
      </w:r>
      <w:r>
        <w:tab/>
      </w:r>
      <w:r>
        <w:t>日</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94" w:name="格式9：供应商诚信承诺书"/>
      <w:bookmarkEnd w:id="94"/>
      <w:bookmarkStart w:id="95" w:name="_Toc26981"/>
      <w:r>
        <w:rPr>
          <w:spacing w:val="-22"/>
          <w:sz w:val="28"/>
        </w:rPr>
        <w:t xml:space="preserve">格式 </w:t>
      </w:r>
      <w:r>
        <w:rPr>
          <w:sz w:val="28"/>
        </w:rPr>
        <w:t>9：供应商诚信承诺书</w:t>
      </w:r>
      <w:bookmarkEnd w:id="95"/>
    </w:p>
    <w:p>
      <w:pPr>
        <w:pStyle w:val="8"/>
        <w:rPr>
          <w:sz w:val="22"/>
        </w:rPr>
      </w:pPr>
    </w:p>
    <w:p>
      <w:pPr>
        <w:pStyle w:val="4"/>
        <w:spacing w:before="54"/>
      </w:pPr>
      <w:bookmarkStart w:id="96" w:name="_Toc25229"/>
      <w:r>
        <w:rPr>
          <w:w w:val="95"/>
        </w:rPr>
        <w:t>供应商诚信承诺书</w:t>
      </w:r>
      <w:bookmarkEnd w:id="96"/>
    </w:p>
    <w:p>
      <w:pPr>
        <w:pStyle w:val="8"/>
        <w:rPr>
          <w:sz w:val="20"/>
        </w:rPr>
      </w:pPr>
    </w:p>
    <w:p>
      <w:pPr>
        <w:pStyle w:val="8"/>
        <w:rPr>
          <w:sz w:val="20"/>
        </w:rPr>
      </w:pPr>
    </w:p>
    <w:p>
      <w:pPr>
        <w:pStyle w:val="8"/>
        <w:spacing w:before="7"/>
        <w:rPr>
          <w:sz w:val="16"/>
        </w:rPr>
      </w:pPr>
    </w:p>
    <w:p>
      <w:pPr>
        <w:pStyle w:val="8"/>
        <w:spacing w:before="66"/>
        <w:ind w:left="160"/>
      </w:pPr>
      <w:r>
        <w:t>致：</w:t>
      </w:r>
      <w:r>
        <w:rPr>
          <w:rFonts w:hint="eastAsia"/>
          <w:u w:val="single"/>
        </w:rPr>
        <w:t>果洛州政府采购服务中心</w:t>
      </w:r>
    </w:p>
    <w:p>
      <w:pPr>
        <w:pStyle w:val="8"/>
        <w:rPr>
          <w:sz w:val="20"/>
        </w:rPr>
      </w:pPr>
    </w:p>
    <w:p>
      <w:pPr>
        <w:pStyle w:val="8"/>
        <w:spacing w:before="9"/>
        <w:rPr>
          <w:sz w:val="23"/>
        </w:rPr>
      </w:pPr>
    </w:p>
    <w:p>
      <w:pPr>
        <w:pStyle w:val="8"/>
        <w:spacing w:before="66"/>
        <w:ind w:left="640"/>
      </w:pPr>
      <w:r>
        <w:t>为了诚实、客观、有序地参与</w:t>
      </w:r>
      <w:r>
        <w:rPr>
          <w:rFonts w:hint="eastAsia"/>
        </w:rPr>
        <w:t>果洛州</w:t>
      </w:r>
      <w:r>
        <w:t>政府采购活动，愿就以下内容作出承诺：</w:t>
      </w:r>
    </w:p>
    <w:p>
      <w:pPr>
        <w:pStyle w:val="8"/>
        <w:spacing w:before="161" w:line="362" w:lineRule="auto"/>
        <w:ind w:left="160" w:right="259" w:firstLine="480"/>
      </w:pPr>
      <w:r>
        <w:rPr>
          <w:spacing w:val="-1"/>
        </w:rPr>
        <w:t>一、自觉遵守各项法律、法规、规章、制度以及社会公德，维护廉洁环境，与同场竞争的供</w:t>
      </w:r>
      <w:r>
        <w:t>应商平等参加政府采购活动。</w:t>
      </w:r>
    </w:p>
    <w:p>
      <w:pPr>
        <w:pStyle w:val="8"/>
        <w:spacing w:before="2" w:line="364" w:lineRule="auto"/>
        <w:ind w:left="160" w:right="259" w:firstLine="480"/>
      </w:pPr>
      <w:r>
        <w:rPr>
          <w:spacing w:val="-1"/>
        </w:rPr>
        <w:t>二、参加采购代理机构组织的政府采购活动时，严格按照磋商文件的规定和要求提供所需的</w:t>
      </w:r>
      <w:r>
        <w:t>相关材料，并对所提供的各类资料的真实性负责，不虚假应标，不虚列业绩。</w:t>
      </w:r>
    </w:p>
    <w:p>
      <w:pPr>
        <w:pStyle w:val="8"/>
        <w:spacing w:before="2" w:line="362" w:lineRule="auto"/>
        <w:ind w:left="640" w:right="139"/>
      </w:pPr>
      <w:r>
        <w:rPr>
          <w:spacing w:val="-11"/>
        </w:rPr>
        <w:t>三、尊重参与政府采购活动各相关方的合法行为，接受政府采购活动依法形成的意见、结果。</w:t>
      </w:r>
      <w:r>
        <w:t>四、依法参加政府采购活动，不围标、串标，维护市场秩序，不提供“三无”产品、以次充</w:t>
      </w:r>
    </w:p>
    <w:p>
      <w:pPr>
        <w:pStyle w:val="8"/>
        <w:spacing w:before="5"/>
        <w:ind w:left="160"/>
      </w:pPr>
      <w:r>
        <w:t>好。</w:t>
      </w:r>
    </w:p>
    <w:p>
      <w:pPr>
        <w:pStyle w:val="8"/>
        <w:spacing w:before="158"/>
        <w:ind w:left="640"/>
      </w:pPr>
      <w:r>
        <w:t>五、积极推动政府采购活动健康开展，对采购活动有疑问、异议时，按法律规定的程序实名</w:t>
      </w:r>
    </w:p>
    <w:p>
      <w:pPr>
        <w:pStyle w:val="8"/>
        <w:spacing w:before="160" w:line="362" w:lineRule="auto"/>
        <w:ind w:left="160" w:right="259"/>
      </w:pPr>
      <w:r>
        <w:rPr>
          <w:spacing w:val="-1"/>
        </w:rPr>
        <w:t>（加盖单位章和法定代表人签名</w:t>
      </w:r>
      <w:r>
        <w:t>）反映情况，不恶意中伤、无事生非，以和谐、平等的心态参加政府采购活动。</w:t>
      </w:r>
    </w:p>
    <w:p>
      <w:pPr>
        <w:pStyle w:val="8"/>
        <w:spacing w:before="5" w:line="362" w:lineRule="auto"/>
        <w:ind w:left="160" w:right="259" w:firstLine="480"/>
      </w:pPr>
      <w:r>
        <w:rPr>
          <w:spacing w:val="-1"/>
        </w:rPr>
        <w:t>六、认真履行中标人应承担的责任和义务，全面执行采购合同规定的各项内容，保质保量地</w:t>
      </w:r>
      <w:r>
        <w:t>按时提供采购物品。</w:t>
      </w:r>
    </w:p>
    <w:p>
      <w:pPr>
        <w:pStyle w:val="8"/>
        <w:spacing w:before="5"/>
        <w:ind w:left="640"/>
      </w:pPr>
      <w:r>
        <w:t>若本企业（单位）发生有悖于上述承诺的行为，愿意接受《中华人民共和国政府采购法》和</w:t>
      </w:r>
    </w:p>
    <w:p>
      <w:pPr>
        <w:pStyle w:val="8"/>
        <w:spacing w:before="158" w:line="364" w:lineRule="auto"/>
        <w:ind w:left="640" w:right="5059" w:hanging="480"/>
      </w:pPr>
      <w:r>
        <w:rPr>
          <w:spacing w:val="-1"/>
        </w:rPr>
        <w:t>《政府采购法实施条例》中对供应商的相关处理。</w:t>
      </w:r>
      <w:r>
        <w:t>本承诺是采购项目响应文件的组成部分。</w:t>
      </w:r>
    </w:p>
    <w:p>
      <w:pPr>
        <w:pStyle w:val="8"/>
      </w:pPr>
    </w:p>
    <w:p>
      <w:pPr>
        <w:pStyle w:val="8"/>
      </w:pPr>
    </w:p>
    <w:p>
      <w:pPr>
        <w:pStyle w:val="8"/>
        <w:spacing w:before="8"/>
        <w:rPr>
          <w:sz w:val="20"/>
        </w:rPr>
      </w:pPr>
    </w:p>
    <w:p>
      <w:pPr>
        <w:pStyle w:val="8"/>
        <w:tabs>
          <w:tab w:val="left" w:pos="7124"/>
        </w:tabs>
        <w:ind w:left="4595"/>
      </w:pPr>
      <w:r>
        <w:t>供应商：</w:t>
      </w:r>
      <w:r>
        <w:rPr>
          <w:rFonts w:ascii="Times New Roman" w:eastAsia="Times New Roman"/>
          <w:u w:val="single"/>
        </w:rPr>
        <w:tab/>
      </w:r>
      <w:r>
        <w:t>（公章）</w:t>
      </w:r>
    </w:p>
    <w:p>
      <w:pPr>
        <w:pStyle w:val="8"/>
        <w:tabs>
          <w:tab w:val="left" w:pos="5701"/>
          <w:tab w:val="left" w:pos="6303"/>
          <w:tab w:val="left" w:pos="7146"/>
        </w:tabs>
        <w:spacing w:before="91" w:line="312" w:lineRule="auto"/>
        <w:ind w:left="5099" w:right="1666" w:hanging="2410"/>
      </w:pPr>
      <w:r>
        <w:t>法定代表人或委托代理人：</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（签字或盖章）</w:t>
      </w:r>
      <w:r>
        <w:rPr>
          <w:spacing w:val="-117"/>
        </w:rPr>
        <w:t xml:space="preserve"> </w:t>
      </w:r>
      <w:r>
        <w:t>年</w:t>
      </w:r>
      <w:r>
        <w:tab/>
      </w:r>
      <w:r>
        <w:t>月</w:t>
      </w:r>
      <w:r>
        <w:tab/>
      </w:r>
      <w:r>
        <w:t>日</w:t>
      </w:r>
    </w:p>
    <w:p>
      <w:pPr>
        <w:spacing w:line="31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97" w:name="格式10：资格证明材料"/>
      <w:bookmarkEnd w:id="97"/>
      <w:bookmarkStart w:id="98" w:name="_Toc28174"/>
      <w:r>
        <w:rPr>
          <w:spacing w:val="-22"/>
          <w:sz w:val="28"/>
        </w:rPr>
        <w:t xml:space="preserve">格式 </w:t>
      </w:r>
      <w:r>
        <w:rPr>
          <w:sz w:val="28"/>
        </w:rPr>
        <w:t>10：资格证明材料</w:t>
      </w:r>
      <w:bookmarkEnd w:id="98"/>
    </w:p>
    <w:p>
      <w:pPr>
        <w:pStyle w:val="8"/>
        <w:rPr>
          <w:sz w:val="22"/>
        </w:rPr>
      </w:pPr>
    </w:p>
    <w:p>
      <w:pPr>
        <w:pStyle w:val="4"/>
        <w:spacing w:before="54"/>
      </w:pPr>
      <w:bookmarkStart w:id="99" w:name="_Toc1363"/>
      <w:r>
        <w:rPr>
          <w:w w:val="95"/>
        </w:rPr>
        <w:t>资格证明材料</w:t>
      </w:r>
      <w:bookmarkEnd w:id="99"/>
    </w:p>
    <w:p>
      <w:pPr>
        <w:pStyle w:val="8"/>
        <w:rPr>
          <w:sz w:val="32"/>
        </w:rPr>
      </w:pPr>
    </w:p>
    <w:p>
      <w:pPr>
        <w:pStyle w:val="8"/>
        <w:spacing w:before="9"/>
        <w:rPr>
          <w:sz w:val="29"/>
        </w:rPr>
      </w:pPr>
    </w:p>
    <w:p>
      <w:pPr>
        <w:pStyle w:val="8"/>
        <w:ind w:left="640"/>
      </w:pPr>
      <w:r>
        <w:t>资格证明材料包括：</w:t>
      </w:r>
    </w:p>
    <w:p>
      <w:pPr>
        <w:pStyle w:val="30"/>
        <w:numPr>
          <w:ilvl w:val="0"/>
          <w:numId w:val="34"/>
        </w:numPr>
        <w:tabs>
          <w:tab w:val="left" w:pos="1241"/>
        </w:tabs>
        <w:spacing w:before="158"/>
        <w:rPr>
          <w:sz w:val="24"/>
        </w:rPr>
      </w:pPr>
      <w:r>
        <w:rPr>
          <w:sz w:val="24"/>
        </w:rPr>
        <w:t>企业法人营业执照、税务登记证、组织机构代码证、开户许可文件；</w:t>
      </w:r>
    </w:p>
    <w:p>
      <w:pPr>
        <w:pStyle w:val="30"/>
        <w:numPr>
          <w:ilvl w:val="0"/>
          <w:numId w:val="34"/>
        </w:numPr>
        <w:tabs>
          <w:tab w:val="left" w:pos="1241"/>
        </w:tabs>
        <w:spacing w:before="161"/>
        <w:rPr>
          <w:sz w:val="24"/>
        </w:rPr>
      </w:pPr>
      <w:r>
        <w:rPr>
          <w:sz w:val="24"/>
        </w:rPr>
        <w:t>磋商文件规定的有关证明文件；</w:t>
      </w:r>
    </w:p>
    <w:p>
      <w:pPr>
        <w:pStyle w:val="30"/>
        <w:numPr>
          <w:ilvl w:val="0"/>
          <w:numId w:val="34"/>
        </w:numPr>
        <w:tabs>
          <w:tab w:val="left" w:pos="1241"/>
        </w:tabs>
        <w:spacing w:before="160"/>
        <w:rPr>
          <w:sz w:val="24"/>
        </w:rPr>
      </w:pPr>
      <w:r>
        <w:rPr>
          <w:sz w:val="24"/>
        </w:rPr>
        <w:t>磋商企业简介及获得相关证书证明文件；</w:t>
      </w:r>
    </w:p>
    <w:p>
      <w:pPr>
        <w:pStyle w:val="30"/>
        <w:numPr>
          <w:ilvl w:val="0"/>
          <w:numId w:val="34"/>
        </w:numPr>
        <w:tabs>
          <w:tab w:val="left" w:pos="1241"/>
        </w:tabs>
        <w:spacing w:before="158" w:line="362" w:lineRule="auto"/>
        <w:ind w:left="640" w:right="4459" w:firstLine="0"/>
        <w:rPr>
          <w:sz w:val="24"/>
        </w:rPr>
      </w:pPr>
      <w:r>
        <w:rPr>
          <w:spacing w:val="-1"/>
          <w:sz w:val="24"/>
        </w:rPr>
        <w:t>供应商认为有必要提供的其他资格证明文件。</w:t>
      </w:r>
      <w:r>
        <w:rPr>
          <w:sz w:val="24"/>
        </w:rPr>
        <w:t>如果是非法人资格的供应商，须提供身份证明。</w:t>
      </w:r>
    </w:p>
    <w:p>
      <w:pPr>
        <w:spacing w:line="362" w:lineRule="auto"/>
        <w:rPr>
          <w:sz w:val="24"/>
        </w:rPr>
        <w:sectPr>
          <w:pgSz w:w="12240" w:h="15840"/>
          <w:pgMar w:top="1440" w:right="820" w:bottom="900" w:left="920" w:header="1153" w:footer="708" w:gutter="0"/>
          <w:pgNumType w:fmt="decimal"/>
          <w:cols w:space="720" w:num="1"/>
        </w:sectPr>
      </w:pPr>
    </w:p>
    <w:p>
      <w:pPr>
        <w:spacing w:before="5"/>
        <w:ind w:left="160"/>
        <w:outlineLvl w:val="1"/>
        <w:rPr>
          <w:sz w:val="28"/>
        </w:rPr>
      </w:pPr>
      <w:bookmarkStart w:id="100" w:name="格式11：财务状况、缴纳税收和社会保障资金的相关证明"/>
      <w:bookmarkEnd w:id="100"/>
      <w:bookmarkStart w:id="101" w:name="_Toc30234"/>
      <w:r>
        <w:rPr>
          <w:spacing w:val="-20"/>
          <w:sz w:val="28"/>
        </w:rPr>
        <w:t xml:space="preserve">格式 </w:t>
      </w:r>
      <w:r>
        <w:rPr>
          <w:sz w:val="28"/>
        </w:rPr>
        <w:t>11：财务状况、缴纳税收和社会保障资金的相关证明</w:t>
      </w:r>
      <w:bookmarkEnd w:id="101"/>
    </w:p>
    <w:p>
      <w:pPr>
        <w:pStyle w:val="8"/>
        <w:spacing w:before="2"/>
        <w:rPr>
          <w:sz w:val="36"/>
        </w:rPr>
      </w:pPr>
    </w:p>
    <w:p>
      <w:pPr>
        <w:pStyle w:val="4"/>
      </w:pPr>
      <w:bookmarkStart w:id="102" w:name="_Toc5166"/>
      <w:r>
        <w:rPr>
          <w:w w:val="95"/>
        </w:rPr>
        <w:t>财务状况、缴纳税收和社会保障资金的相关证明</w:t>
      </w:r>
      <w:bookmarkEnd w:id="102"/>
    </w:p>
    <w:p>
      <w:pPr>
        <w:pStyle w:val="8"/>
        <w:rPr>
          <w:sz w:val="32"/>
        </w:rPr>
      </w:pPr>
    </w:p>
    <w:p>
      <w:pPr>
        <w:pStyle w:val="8"/>
        <w:spacing w:before="9"/>
        <w:rPr>
          <w:sz w:val="29"/>
        </w:rPr>
      </w:pPr>
    </w:p>
    <w:p>
      <w:pPr>
        <w:pStyle w:val="8"/>
        <w:ind w:left="640"/>
      </w:pPr>
      <w:r>
        <w:rPr>
          <w:spacing w:val="13"/>
          <w:w w:val="95"/>
        </w:rPr>
        <w:t xml:space="preserve">按照磋商文件第 </w:t>
      </w:r>
      <w:r>
        <w:rPr>
          <w:w w:val="95"/>
        </w:rPr>
        <w:t>2.2</w:t>
      </w:r>
      <w:r>
        <w:rPr>
          <w:spacing w:val="55"/>
          <w:w w:val="95"/>
        </w:rPr>
        <w:t xml:space="preserve"> 款</w:t>
      </w:r>
      <w:r>
        <w:rPr>
          <w:w w:val="95"/>
        </w:rPr>
        <w:t>（1）中第&lt;2&gt;条规定提供以下相关材料。</w:t>
      </w:r>
    </w:p>
    <w:p>
      <w:pPr>
        <w:pStyle w:val="8"/>
        <w:spacing w:before="160" w:line="362" w:lineRule="auto"/>
        <w:ind w:left="160" w:right="139" w:firstLine="480"/>
      </w:pPr>
      <w:r>
        <w:t>1</w:t>
      </w:r>
      <w:r>
        <w:rPr>
          <w:spacing w:val="-13"/>
        </w:rPr>
        <w:t>、提供上一年度</w:t>
      </w:r>
      <w:r>
        <w:t>（2020年度</w:t>
      </w:r>
      <w:r>
        <w:rPr>
          <w:spacing w:val="-41"/>
        </w:rPr>
        <w:t>）</w:t>
      </w:r>
      <w:r>
        <w:rPr>
          <w:spacing w:val="-3"/>
        </w:rPr>
        <w:t>经第三方审计的完整的财务报告</w:t>
      </w:r>
      <w:r>
        <w:t>（</w:t>
      </w:r>
      <w:r>
        <w:rPr>
          <w:spacing w:val="-10"/>
        </w:rPr>
        <w:t>复印件应全面、完整、清晰</w:t>
      </w:r>
      <w:r>
        <w:rPr>
          <w:spacing w:val="-17"/>
        </w:rPr>
        <w:t>）</w:t>
      </w:r>
      <w:r>
        <w:rPr>
          <w:spacing w:val="-117"/>
        </w:rPr>
        <w:t xml:space="preserve"> </w:t>
      </w:r>
      <w:r>
        <w:t>或近三个月银行资信证明文件。</w:t>
      </w:r>
    </w:p>
    <w:p>
      <w:pPr>
        <w:pStyle w:val="8"/>
        <w:spacing w:before="5" w:line="362" w:lineRule="auto"/>
        <w:ind w:left="160" w:right="259" w:firstLine="480"/>
      </w:pPr>
      <w:r>
        <w:t>2</w:t>
      </w:r>
      <w:r>
        <w:rPr>
          <w:spacing w:val="-7"/>
        </w:rPr>
        <w:t>、近三个月的依法缴纳税收和社会保障资金记录的证明材料</w:t>
      </w:r>
      <w:r>
        <w:t>（复印件</w:t>
      </w:r>
      <w:r>
        <w:rPr>
          <w:spacing w:val="-31"/>
        </w:rPr>
        <w:t>）</w:t>
      </w:r>
      <w:r>
        <w:rPr>
          <w:spacing w:val="-8"/>
        </w:rPr>
        <w:t>；依法免税或不需要</w:t>
      </w:r>
      <w:r>
        <w:t>缴纳社会保障资金的供应商需提供相应文件证明其依法免税或不需要缴纳社会保障资金。</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103" w:name="格式12：具备履行合同所必需的设备和专业技术能力证明"/>
      <w:bookmarkEnd w:id="103"/>
      <w:bookmarkStart w:id="104" w:name="_Toc27685"/>
      <w:r>
        <w:rPr>
          <w:spacing w:val="-20"/>
          <w:sz w:val="28"/>
        </w:rPr>
        <w:t xml:space="preserve">格式 </w:t>
      </w:r>
      <w:r>
        <w:rPr>
          <w:sz w:val="28"/>
        </w:rPr>
        <w:t>12：具备履行合同所必需的设备和专业技术能力证明</w:t>
      </w:r>
      <w:bookmarkEnd w:id="104"/>
    </w:p>
    <w:p>
      <w:pPr>
        <w:pStyle w:val="8"/>
        <w:spacing w:before="2"/>
        <w:rPr>
          <w:sz w:val="36"/>
        </w:rPr>
      </w:pPr>
    </w:p>
    <w:p>
      <w:pPr>
        <w:pStyle w:val="4"/>
      </w:pPr>
      <w:bookmarkStart w:id="105" w:name="_Toc860"/>
      <w:r>
        <w:rPr>
          <w:w w:val="95"/>
        </w:rPr>
        <w:t>具备履行合同所必需的设备和专业技术能力证明</w:t>
      </w:r>
      <w:bookmarkEnd w:id="105"/>
    </w:p>
    <w:p>
      <w:pPr>
        <w:pStyle w:val="8"/>
        <w:spacing w:before="8"/>
        <w:rPr>
          <w:sz w:val="30"/>
        </w:rPr>
      </w:pPr>
    </w:p>
    <w:p>
      <w:pPr>
        <w:pStyle w:val="8"/>
        <w:spacing w:line="362" w:lineRule="auto"/>
        <w:ind w:left="160" w:right="259" w:firstLine="480"/>
      </w:pPr>
      <w:r>
        <w:rPr>
          <w:spacing w:val="-1"/>
        </w:rPr>
        <w:t>为保证本项目合同的顺利履行，供应商必须具备履行合同的设备和专业技术能力，须提供必</w:t>
      </w:r>
      <w:r>
        <w:t>须具备履行合同的设备和专业技术能力的承诺函（格式自拟）</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106" w:name="格式13：无重大违法记录声明"/>
      <w:bookmarkEnd w:id="106"/>
      <w:bookmarkStart w:id="107" w:name="_Toc32598"/>
      <w:r>
        <w:rPr>
          <w:spacing w:val="-22"/>
          <w:sz w:val="28"/>
        </w:rPr>
        <w:t xml:space="preserve">格式 </w:t>
      </w:r>
      <w:r>
        <w:rPr>
          <w:sz w:val="28"/>
        </w:rPr>
        <w:t>13：无重大违法记录声明</w:t>
      </w:r>
      <w:bookmarkEnd w:id="107"/>
    </w:p>
    <w:p>
      <w:pPr>
        <w:pStyle w:val="8"/>
        <w:spacing w:before="2"/>
        <w:rPr>
          <w:sz w:val="29"/>
        </w:rPr>
      </w:pPr>
    </w:p>
    <w:p>
      <w:pPr>
        <w:pStyle w:val="4"/>
        <w:spacing w:before="1"/>
      </w:pPr>
      <w:bookmarkStart w:id="108" w:name="_Toc10682"/>
      <w:r>
        <w:rPr>
          <w:w w:val="95"/>
        </w:rPr>
        <w:t>无重大违法记录声明</w:t>
      </w:r>
      <w:bookmarkEnd w:id="108"/>
    </w:p>
    <w:p>
      <w:pPr>
        <w:pStyle w:val="8"/>
        <w:spacing w:before="5"/>
        <w:rPr>
          <w:sz w:val="30"/>
        </w:rPr>
      </w:pPr>
    </w:p>
    <w:p>
      <w:pPr>
        <w:pStyle w:val="8"/>
        <w:ind w:left="160"/>
      </w:pPr>
      <w:r>
        <w:t>致：</w:t>
      </w:r>
      <w:r>
        <w:rPr>
          <w:rFonts w:hint="eastAsia"/>
          <w:u w:val="single"/>
        </w:rPr>
        <w:t>果洛州政府采购服务中心</w:t>
      </w:r>
    </w:p>
    <w:p>
      <w:pPr>
        <w:pStyle w:val="8"/>
        <w:rPr>
          <w:sz w:val="20"/>
        </w:rPr>
      </w:pPr>
    </w:p>
    <w:p>
      <w:pPr>
        <w:pStyle w:val="8"/>
        <w:spacing w:before="11"/>
        <w:rPr>
          <w:sz w:val="23"/>
        </w:rPr>
      </w:pPr>
    </w:p>
    <w:p>
      <w:pPr>
        <w:pStyle w:val="8"/>
        <w:spacing w:before="67" w:line="362" w:lineRule="auto"/>
        <w:ind w:left="160" w:right="259" w:firstLine="480"/>
      </w:pPr>
      <w:r>
        <w:rPr>
          <w:spacing w:val="-1"/>
        </w:rPr>
        <w:t>我单位参加本次政府采购项目活动前三年内，在经营活动中无重大违法活动记录，符合《政</w:t>
      </w:r>
      <w:r>
        <w:t>府采购法》规定的供应商资格条件。我方对此声明负全部法律责任。</w:t>
      </w:r>
    </w:p>
    <w:p>
      <w:pPr>
        <w:pStyle w:val="8"/>
        <w:spacing w:before="2"/>
        <w:ind w:left="640"/>
      </w:pPr>
      <w:r>
        <w:t>特此声明。</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tabs>
          <w:tab w:val="left" w:pos="5807"/>
        </w:tabs>
        <w:spacing w:before="194"/>
        <w:ind w:left="3640"/>
      </w:pPr>
      <w:r>
        <w:t>供应商：</w:t>
      </w:r>
      <w:r>
        <w:rPr>
          <w:rFonts w:ascii="Times New Roman" w:eastAsia="Times New Roman"/>
          <w:u w:val="single"/>
        </w:rPr>
        <w:tab/>
      </w:r>
      <w:r>
        <w:t>（加盖公章）</w:t>
      </w:r>
    </w:p>
    <w:p>
      <w:pPr>
        <w:pStyle w:val="8"/>
        <w:tabs>
          <w:tab w:val="left" w:pos="4599"/>
          <w:tab w:val="left" w:pos="6716"/>
        </w:tabs>
        <w:spacing w:before="161" w:line="424" w:lineRule="auto"/>
        <w:ind w:left="4120" w:right="2096" w:hanging="1620"/>
      </w:pPr>
      <w:r>
        <w:t>法定代表人或委托代理人：</w:t>
      </w:r>
      <w:r>
        <w:rPr>
          <w:rFonts w:ascii="Times New Roman" w:eastAsia="Times New Roman"/>
          <w:u w:val="single"/>
        </w:rPr>
        <w:tab/>
      </w:r>
      <w:r>
        <w:t>（签字或盖章）</w:t>
      </w:r>
      <w:r>
        <w:rPr>
          <w:spacing w:val="-117"/>
        </w:rPr>
        <w:t xml:space="preserve"> </w:t>
      </w:r>
      <w:r>
        <w:t>年</w:t>
      </w:r>
      <w:r>
        <w:tab/>
      </w:r>
      <w:r>
        <w:t>月</w:t>
      </w:r>
      <w:r>
        <w:rPr>
          <w:spacing w:val="3"/>
        </w:rPr>
        <w:t xml:space="preserve"> </w:t>
      </w:r>
      <w:r>
        <w:t>日</w:t>
      </w:r>
    </w:p>
    <w:p>
      <w:pPr>
        <w:pStyle w:val="8"/>
      </w:pPr>
    </w:p>
    <w:p>
      <w:pPr>
        <w:pStyle w:val="8"/>
      </w:pPr>
    </w:p>
    <w:p>
      <w:pPr>
        <w:pStyle w:val="8"/>
      </w:pPr>
    </w:p>
    <w:p>
      <w:pPr>
        <w:pStyle w:val="8"/>
      </w:pPr>
    </w:p>
    <w:p>
      <w:pPr>
        <w:pStyle w:val="8"/>
      </w:pPr>
    </w:p>
    <w:p>
      <w:pPr>
        <w:pStyle w:val="8"/>
        <w:spacing w:before="8"/>
        <w:rPr>
          <w:sz w:val="18"/>
        </w:rPr>
      </w:pPr>
    </w:p>
    <w:p>
      <w:pPr>
        <w:pStyle w:val="8"/>
        <w:spacing w:before="1"/>
        <w:ind w:left="640"/>
      </w:pPr>
      <w:r>
        <w:t>附：</w:t>
      </w:r>
    </w:p>
    <w:p>
      <w:pPr>
        <w:pStyle w:val="8"/>
        <w:spacing w:before="160" w:line="362" w:lineRule="auto"/>
        <w:ind w:left="160" w:right="258" w:firstLine="480"/>
      </w:pPr>
      <w:r>
        <w:t>（1）</w:t>
      </w:r>
      <w:r>
        <w:rPr>
          <w:spacing w:val="-4"/>
        </w:rPr>
        <w:t xml:space="preserve"> “信用中国”“中国政府采购网”网站查询截图，时间为递交响应文件截止时间前</w:t>
      </w:r>
      <w:r>
        <w:t>10</w:t>
      </w:r>
      <w:r>
        <w:rPr>
          <w:spacing w:val="-117"/>
        </w:rPr>
        <w:t xml:space="preserve"> </w:t>
      </w:r>
      <w:r>
        <w:t>天内。</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109" w:name="格式14：磋商保证金证明格式"/>
      <w:bookmarkEnd w:id="109"/>
      <w:bookmarkStart w:id="110" w:name="格式15：制造（生产）企业小型、微型企业声明函"/>
      <w:bookmarkEnd w:id="110"/>
      <w:bookmarkStart w:id="111" w:name="_Toc26118"/>
      <w:r>
        <w:rPr>
          <w:spacing w:val="-22"/>
          <w:sz w:val="28"/>
        </w:rPr>
        <w:t xml:space="preserve">格式 </w:t>
      </w:r>
      <w:r>
        <w:rPr>
          <w:sz w:val="28"/>
        </w:rPr>
        <w:t>14：磋商保证金证明格式</w:t>
      </w:r>
      <w:bookmarkEnd w:id="111"/>
    </w:p>
    <w:p>
      <w:pPr>
        <w:pStyle w:val="8"/>
        <w:rPr>
          <w:sz w:val="20"/>
        </w:rPr>
      </w:pPr>
    </w:p>
    <w:p>
      <w:pPr>
        <w:pStyle w:val="8"/>
        <w:spacing w:before="5"/>
        <w:rPr>
          <w:sz w:val="20"/>
        </w:rPr>
      </w:pPr>
    </w:p>
    <w:p>
      <w:pPr>
        <w:spacing w:before="49"/>
        <w:ind w:right="98"/>
        <w:jc w:val="center"/>
        <w:outlineLvl w:val="2"/>
        <w:rPr>
          <w:sz w:val="36"/>
        </w:rPr>
      </w:pPr>
      <w:bookmarkStart w:id="112" w:name="_Toc31595"/>
      <w:r>
        <w:rPr>
          <w:sz w:val="36"/>
        </w:rPr>
        <w:t>磋商保证金证明</w:t>
      </w:r>
      <w:bookmarkEnd w:id="112"/>
    </w:p>
    <w:p>
      <w:pPr>
        <w:pStyle w:val="8"/>
        <w:rPr>
          <w:sz w:val="20"/>
        </w:rPr>
      </w:pPr>
    </w:p>
    <w:p>
      <w:pPr>
        <w:pStyle w:val="8"/>
        <w:rPr>
          <w:sz w:val="20"/>
        </w:rPr>
      </w:pPr>
    </w:p>
    <w:p>
      <w:pPr>
        <w:pStyle w:val="8"/>
        <w:spacing w:before="9"/>
        <w:rPr>
          <w:sz w:val="15"/>
        </w:rPr>
      </w:pPr>
    </w:p>
    <w:p>
      <w:pPr>
        <w:pStyle w:val="8"/>
        <w:spacing w:before="66"/>
        <w:ind w:left="160"/>
      </w:pPr>
      <w:r>
        <w:t>致：</w:t>
      </w:r>
      <w:r>
        <w:rPr>
          <w:rFonts w:hint="eastAsia"/>
          <w:u w:val="single"/>
        </w:rPr>
        <w:t>果洛州政府采购服务中心</w:t>
      </w:r>
    </w:p>
    <w:p>
      <w:pPr>
        <w:pStyle w:val="8"/>
        <w:rPr>
          <w:sz w:val="20"/>
        </w:rPr>
      </w:pPr>
    </w:p>
    <w:p>
      <w:pPr>
        <w:pStyle w:val="8"/>
        <w:spacing w:before="1"/>
        <w:rPr>
          <w:sz w:val="23"/>
        </w:rPr>
      </w:pPr>
    </w:p>
    <w:p>
      <w:pPr>
        <w:pStyle w:val="8"/>
        <w:tabs>
          <w:tab w:val="left" w:pos="1839"/>
          <w:tab w:val="left" w:pos="3399"/>
          <w:tab w:val="left" w:pos="4119"/>
          <w:tab w:val="left" w:pos="4839"/>
          <w:tab w:val="left" w:pos="5879"/>
          <w:tab w:val="left" w:pos="9399"/>
        </w:tabs>
        <w:spacing w:before="74" w:line="364" w:lineRule="auto"/>
        <w:ind w:left="160" w:right="139" w:firstLine="360"/>
      </w:pPr>
      <w:r>
        <w:pict>
          <v:line id="_x0000_s1061" o:spid="_x0000_s1061" o:spt="20" style="position:absolute;left:0pt;margin-left:108pt;margin-top:17pt;height:0pt;width:68pt;mso-position-horizontal-relative:page;z-index:-251620352;mso-width-relative:page;mso-height-relative:page;" coordsize="21600,21600">
            <v:path arrowok="t"/>
            <v:fill focussize="0,0"/>
            <v:stroke weight="0.6pt"/>
            <v:imagedata o:title=""/>
            <o:lock v:ext="edit"/>
          </v:line>
        </w:pict>
      </w:r>
      <w:r>
        <w:rPr>
          <w:spacing w:val="-4"/>
        </w:rPr>
        <w:t>我方</w:t>
      </w:r>
      <w:r>
        <w:rPr>
          <w:spacing w:val="-3"/>
        </w:rPr>
        <w:t>为（项目名称）项目（采购编号为：</w:t>
      </w:r>
      <w:r>
        <w:rPr>
          <w:rFonts w:ascii="Times New Roman" w:eastAsia="Times New Roman"/>
          <w:spacing w:val="-3"/>
          <w:u w:val="single"/>
        </w:rPr>
        <w:tab/>
      </w:r>
      <w:r>
        <w:rPr>
          <w:rFonts w:ascii="Times New Roman" w:eastAsia="Times New Roman"/>
          <w:spacing w:val="-3"/>
          <w:u w:val="single"/>
        </w:rPr>
        <w:tab/>
      </w:r>
      <w:r>
        <w:t>）递交保证金人民币</w:t>
      </w:r>
      <w:r>
        <w:tab/>
      </w:r>
      <w:r>
        <w:rPr>
          <w:spacing w:val="-2"/>
        </w:rPr>
        <w:t>（</w:t>
      </w:r>
      <w:r>
        <w:rPr>
          <w:spacing w:val="-1"/>
        </w:rPr>
        <w:t>大写：</w:t>
      </w:r>
      <w:r>
        <w:rPr>
          <w:spacing w:val="-117"/>
        </w:rPr>
        <w:t xml:space="preserve"> </w:t>
      </w:r>
      <w:r>
        <w:t>人民币</w:t>
      </w:r>
      <w:r>
        <w:rPr>
          <w:rFonts w:ascii="Times New Roman" w:eastAsia="Times New Roman"/>
          <w:u w:val="single"/>
        </w:rPr>
        <w:tab/>
      </w:r>
      <w:r>
        <w:t>元）已于</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日以基本户转账方式汇入你方账户。</w:t>
      </w:r>
    </w:p>
    <w:p>
      <w:pPr>
        <w:pStyle w:val="8"/>
        <w:spacing w:before="6"/>
        <w:rPr>
          <w:sz w:val="36"/>
        </w:rPr>
      </w:pPr>
    </w:p>
    <w:p>
      <w:pPr>
        <w:pStyle w:val="8"/>
        <w:ind w:left="520"/>
      </w:pPr>
      <w:r>
        <w:t>附件：保证金交款证明复印件及开户许可证（加盖公章）</w:t>
      </w:r>
    </w:p>
    <w:p>
      <w:pPr>
        <w:pStyle w:val="8"/>
        <w:spacing w:before="161" w:line="362" w:lineRule="auto"/>
        <w:ind w:left="160" w:right="259" w:firstLine="360"/>
      </w:pPr>
      <w:r>
        <w:rPr>
          <w:spacing w:val="-2"/>
        </w:rPr>
        <w:t>退还保证金时请按以下内容汇入至我方账户</w:t>
      </w:r>
      <w:r>
        <w:t>（同递交保证金账户</w:t>
      </w:r>
      <w:r>
        <w:rPr>
          <w:spacing w:val="-29"/>
        </w:rPr>
        <w:t>）</w:t>
      </w:r>
      <w:r>
        <w:rPr>
          <w:spacing w:val="-10"/>
        </w:rPr>
        <w:t>。若因提供内容不全、错误</w:t>
      </w:r>
      <w:r>
        <w:t>等原因导致该项目保证金未能及时退还或退还过程中发生错误，我方将承担全部责任和损失。</w:t>
      </w:r>
    </w:p>
    <w:p>
      <w:pPr>
        <w:pStyle w:val="8"/>
        <w:tabs>
          <w:tab w:val="left" w:pos="3939"/>
        </w:tabs>
        <w:spacing w:before="2" w:line="364" w:lineRule="auto"/>
        <w:ind w:left="520" w:right="6558"/>
        <w:jc w:val="both"/>
        <w:rPr>
          <w:rFonts w:ascii="Times New Roman" w:eastAsia="Times New Roman"/>
        </w:rPr>
      </w:pPr>
      <w:r>
        <w:t xml:space="preserve">户  </w:t>
      </w:r>
      <w:r>
        <w:rPr>
          <w:spacing w:val="1"/>
        </w:rPr>
        <w:t xml:space="preserve"> </w:t>
      </w:r>
      <w:r>
        <w:t>名：</w:t>
      </w:r>
      <w:r>
        <w:rPr>
          <w:rFonts w:ascii="Times New Roman" w:eastAsia="Times New Roman"/>
          <w:u w:val="single"/>
        </w:rPr>
        <w:t xml:space="preserve"> </w:t>
      </w:r>
      <w:r>
        <w:rPr>
          <w:rFonts w:ascii="Times New Roman" w:eastAsia="Times New Roman"/>
          <w:u w:val="single"/>
        </w:rPr>
        <w:tab/>
      </w:r>
      <w:r>
        <w:rPr>
          <w:u w:val="single"/>
        </w:rPr>
        <w:t xml:space="preserve"> </w:t>
      </w:r>
      <w:r>
        <w:t>开户银行：</w:t>
      </w:r>
      <w:r>
        <w:rPr>
          <w:rFonts w:ascii="Times New Roman" w:eastAsia="Times New Roman"/>
          <w:u w:val="single"/>
        </w:rPr>
        <w:t xml:space="preserve"> </w:t>
      </w:r>
      <w:r>
        <w:rPr>
          <w:rFonts w:ascii="Times New Roman" w:eastAsia="Times New Roman"/>
          <w:u w:val="single"/>
        </w:rPr>
        <w:tab/>
      </w:r>
      <w:r>
        <w:rPr>
          <w:u w:val="single"/>
        </w:rPr>
        <w:t xml:space="preserve"> </w:t>
      </w:r>
      <w:r>
        <w:t>开户账号：</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rPr>
      </w:pPr>
    </w:p>
    <w:p>
      <w:pPr>
        <w:pStyle w:val="8"/>
        <w:tabs>
          <w:tab w:val="left" w:pos="7124"/>
        </w:tabs>
        <w:spacing w:before="74"/>
        <w:ind w:left="4595"/>
      </w:pPr>
      <w:r>
        <w:t>供应商：</w:t>
      </w:r>
      <w:r>
        <w:rPr>
          <w:rFonts w:ascii="Times New Roman" w:eastAsia="Times New Roman"/>
          <w:u w:val="single"/>
        </w:rPr>
        <w:tab/>
      </w:r>
      <w:r>
        <w:t>（公章）</w:t>
      </w:r>
    </w:p>
    <w:p>
      <w:pPr>
        <w:pStyle w:val="8"/>
        <w:tabs>
          <w:tab w:val="left" w:pos="7146"/>
        </w:tabs>
        <w:spacing w:before="93"/>
        <w:ind w:left="2689"/>
      </w:pPr>
      <w:r>
        <w:t>法定代表人或委托代理人：</w:t>
      </w:r>
      <w:r>
        <w:rPr>
          <w:rFonts w:ascii="Times New Roman" w:eastAsia="Times New Roman"/>
          <w:u w:val="single"/>
        </w:rPr>
        <w:tab/>
      </w:r>
      <w:r>
        <w:t>（签字或盖章）</w:t>
      </w:r>
    </w:p>
    <w:p>
      <w:pPr>
        <w:pStyle w:val="8"/>
        <w:spacing w:before="5"/>
        <w:rPr>
          <w:sz w:val="38"/>
        </w:rPr>
      </w:pPr>
    </w:p>
    <w:p>
      <w:pPr>
        <w:pStyle w:val="8"/>
        <w:ind w:left="2440" w:right="1057"/>
        <w:jc w:val="center"/>
        <w:outlineLvl w:val="1"/>
      </w:pPr>
      <w:bookmarkStart w:id="113" w:name="_Toc9806"/>
      <w:r>
        <w:rPr>
          <w:spacing w:val="48"/>
        </w:rPr>
        <w:t>年 月 日</w:t>
      </w:r>
      <w:bookmarkEnd w:id="113"/>
    </w:p>
    <w:p>
      <w:pPr>
        <w:jc w:val="center"/>
        <w:sectPr>
          <w:pgSz w:w="12240" w:h="15840"/>
          <w:pgMar w:top="1440" w:right="820" w:bottom="900" w:left="920" w:header="1153" w:footer="708" w:gutter="0"/>
          <w:pgNumType w:fmt="decimal"/>
          <w:cols w:space="720" w:num="1"/>
        </w:sectPr>
      </w:pPr>
    </w:p>
    <w:p>
      <w:pPr>
        <w:pStyle w:val="8"/>
        <w:spacing w:before="4"/>
        <w:rPr>
          <w:sz w:val="14"/>
        </w:rPr>
      </w:pPr>
    </w:p>
    <w:p>
      <w:pPr>
        <w:autoSpaceDE w:val="0"/>
        <w:autoSpaceDN w:val="0"/>
        <w:adjustRightInd w:val="0"/>
        <w:spacing w:line="400" w:lineRule="exact"/>
        <w:jc w:val="both"/>
        <w:outlineLvl w:val="1"/>
        <w:rPr>
          <w:rFonts w:hint="default" w:eastAsia="宋体"/>
          <w:spacing w:val="-22"/>
          <w:sz w:val="28"/>
          <w:lang w:val="en-US" w:eastAsia="zh-CN"/>
        </w:rPr>
      </w:pPr>
      <w:bookmarkStart w:id="114" w:name="_Toc18076"/>
      <w:r>
        <w:rPr>
          <w:spacing w:val="-22"/>
          <w:sz w:val="28"/>
        </w:rPr>
        <w:t>格式 15：</w:t>
      </w:r>
      <w:bookmarkStart w:id="115" w:name="格式16：残疾人福利性单位声明函"/>
      <w:bookmarkEnd w:id="115"/>
      <w:r>
        <w:rPr>
          <w:rFonts w:hint="eastAsia"/>
          <w:spacing w:val="-22"/>
          <w:sz w:val="28"/>
          <w:lang w:val="en-US" w:eastAsia="zh-CN"/>
        </w:rPr>
        <w:t>中小企业声明函</w:t>
      </w:r>
      <w:bookmarkEnd w:id="114"/>
    </w:p>
    <w:p>
      <w:pPr>
        <w:autoSpaceDE w:val="0"/>
        <w:autoSpaceDN w:val="0"/>
        <w:adjustRightInd w:val="0"/>
        <w:spacing w:line="400" w:lineRule="exact"/>
        <w:jc w:val="center"/>
        <w:outlineLvl w:val="2"/>
        <w:rPr>
          <w:rFonts w:hint="eastAsia" w:ascii="宋体" w:hAnsi="宋体" w:eastAsia="宋体" w:cs="宋体"/>
          <w:sz w:val="36"/>
          <w:szCs w:val="36"/>
          <w:lang w:val="zh-CN" w:eastAsia="zh-CN" w:bidi="ar-SA"/>
        </w:rPr>
      </w:pPr>
      <w:bookmarkStart w:id="116" w:name="_Toc7228"/>
      <w:r>
        <w:rPr>
          <w:rFonts w:hint="eastAsia" w:ascii="宋体" w:hAnsi="宋体" w:eastAsia="宋体" w:cs="宋体"/>
          <w:sz w:val="36"/>
          <w:szCs w:val="36"/>
          <w:lang w:val="zh-CN" w:eastAsia="zh-CN" w:bidi="ar-SA"/>
        </w:rPr>
        <w:t>中小企业声明函</w:t>
      </w:r>
      <w:bookmarkEnd w:id="116"/>
    </w:p>
    <w:p>
      <w:pPr>
        <w:pStyle w:val="8"/>
        <w:rPr>
          <w:lang w:val="en-US"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 xml:space="preserve">本公司郑重声明，根据《政府采购促进中小企业发展管理办法》（财库〔2020〕46 号）或《政府采购支持监狱企业发展有关问题的通知》（财库〔2014〕68号）的规定，本公司（联合体）参加 </w:t>
      </w:r>
      <w:r>
        <w:rPr>
          <w:rFonts w:hint="eastAsia" w:ascii="宋体" w:hAnsi="宋体" w:cs="宋体"/>
          <w:sz w:val="24"/>
          <w:szCs w:val="24"/>
          <w:u w:val="single"/>
        </w:rPr>
        <w:t xml:space="preserve">（单位名称） </w:t>
      </w:r>
      <w:r>
        <w:rPr>
          <w:rFonts w:hint="eastAsia" w:ascii="宋体" w:hAnsi="宋体" w:cs="宋体"/>
          <w:sz w:val="24"/>
          <w:szCs w:val="24"/>
        </w:rPr>
        <w:t xml:space="preserve">的 </w:t>
      </w:r>
      <w:r>
        <w:rPr>
          <w:rFonts w:hint="eastAsia" w:ascii="宋体" w:hAnsi="宋体" w:cs="宋体"/>
          <w:sz w:val="24"/>
          <w:szCs w:val="24"/>
          <w:u w:val="single"/>
        </w:rPr>
        <w:t xml:space="preserve">（项目名称） </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szCs w:val="24"/>
        </w:rPr>
      </w:pPr>
      <w:r>
        <w:rPr>
          <w:rFonts w:hint="eastAsia" w:ascii="宋体" w:hAnsi="宋体" w:cs="宋体"/>
          <w:sz w:val="24"/>
          <w:szCs w:val="24"/>
        </w:rPr>
        <w:t>　　</w:t>
      </w:r>
      <w:bookmarkStart w:id="117" w:name="_Toc387147344"/>
      <w:bookmarkStart w:id="118" w:name="_Toc387658050"/>
      <w:bookmarkStart w:id="119" w:name="_Toc417911732"/>
      <w:bookmarkStart w:id="120" w:name="_Toc413748654"/>
      <w:bookmarkStart w:id="121" w:name="_Toc419811733"/>
      <w:r>
        <w:rPr>
          <w:rFonts w:hint="eastAsia" w:ascii="宋体" w:hAnsi="宋体" w:cs="宋体"/>
          <w:sz w:val="24"/>
          <w:szCs w:val="24"/>
        </w:rPr>
        <w:t xml:space="preserve">1. </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sz w:val="24"/>
          <w:szCs w:val="24"/>
          <w:u w:val="single"/>
        </w:rPr>
        <w:t xml:space="preserve"> （采购文件中明确的所属行业） </w:t>
      </w:r>
      <w:r>
        <w:rPr>
          <w:rFonts w:hint="eastAsia" w:ascii="宋体" w:hAnsi="宋体" w:cs="宋体"/>
          <w:sz w:val="24"/>
          <w:szCs w:val="24"/>
        </w:rPr>
        <w:t>；制造商为</w:t>
      </w:r>
      <w:r>
        <w:rPr>
          <w:rFonts w:hint="eastAsia" w:ascii="宋体" w:hAnsi="宋体" w:cs="宋体"/>
          <w:sz w:val="24"/>
          <w:szCs w:val="24"/>
          <w:u w:val="single"/>
        </w:rPr>
        <w:t xml:space="preserve"> （企业名称）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（中型企业、小型企业、微型企业、监狱企业） </w:t>
      </w:r>
      <w:r>
        <w:rPr>
          <w:rFonts w:hint="eastAsia" w:ascii="宋体" w:hAnsi="宋体" w:cs="宋体"/>
          <w:sz w:val="24"/>
          <w:szCs w:val="24"/>
        </w:rPr>
        <w:t>；</w:t>
      </w:r>
    </w:p>
    <w:p>
      <w:pPr>
        <w:spacing w:line="360" w:lineRule="auto"/>
        <w:ind w:firstLine="600" w:firstLineChars="25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 xml:space="preserve"> （采购文件中明确的所属行业） </w:t>
      </w:r>
      <w:r>
        <w:rPr>
          <w:rFonts w:hint="eastAsia" w:ascii="宋体" w:hAnsi="宋体" w:cs="宋体"/>
          <w:sz w:val="24"/>
          <w:szCs w:val="24"/>
        </w:rPr>
        <w:t>；制造商为</w:t>
      </w:r>
      <w:r>
        <w:rPr>
          <w:rFonts w:hint="eastAsia" w:ascii="宋体" w:hAnsi="宋体" w:cs="宋体"/>
          <w:sz w:val="24"/>
          <w:szCs w:val="24"/>
          <w:u w:val="single"/>
        </w:rPr>
        <w:t xml:space="preserve"> （企业名称）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（中型企业、小型企业、微型企业、监狱企业） </w:t>
      </w:r>
      <w:r>
        <w:rPr>
          <w:rFonts w:hint="eastAsia" w:ascii="宋体" w:hAnsi="宋体" w:cs="宋体"/>
          <w:sz w:val="24"/>
          <w:szCs w:val="24"/>
        </w:rPr>
        <w:t>；</w:t>
      </w:r>
    </w:p>
    <w:p>
      <w:pPr>
        <w:spacing w:line="360" w:lineRule="auto"/>
        <w:ind w:firstLine="600" w:firstLineChars="250"/>
        <w:rPr>
          <w:rFonts w:ascii="宋体" w:hAnsi="宋体" w:cs="宋体"/>
          <w:sz w:val="24"/>
          <w:szCs w:val="24"/>
        </w:rPr>
      </w:pPr>
      <w:r>
        <w:rPr>
          <w:rFonts w:hint="eastAsia" w:ascii="宋体" w:hAnsi="宋体" w:cs="宋体"/>
          <w:sz w:val="24"/>
          <w:szCs w:val="24"/>
        </w:rPr>
        <w:t>……</w:t>
      </w:r>
    </w:p>
    <w:p>
      <w:pPr>
        <w:spacing w:line="360" w:lineRule="auto"/>
        <w:ind w:firstLine="600" w:firstLineChars="25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360" w:lineRule="auto"/>
        <w:ind w:firstLine="600" w:firstLineChars="25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360" w:lineRule="auto"/>
        <w:jc w:val="center"/>
        <w:outlineLvl w:val="1"/>
        <w:rPr>
          <w:rFonts w:ascii="宋体" w:hAnsi="宋体" w:cs="宋体"/>
          <w:sz w:val="24"/>
          <w:szCs w:val="24"/>
        </w:rPr>
      </w:pPr>
      <w:r>
        <w:rPr>
          <w:rFonts w:hint="eastAsia" w:ascii="宋体" w:hAnsi="宋体" w:cs="宋体"/>
          <w:sz w:val="24"/>
          <w:szCs w:val="24"/>
        </w:rPr>
        <w:t xml:space="preserve">                                 </w:t>
      </w:r>
      <w:bookmarkStart w:id="122" w:name="_Toc27505"/>
      <w:r>
        <w:rPr>
          <w:rFonts w:hint="eastAsia" w:ascii="宋体" w:hAnsi="宋体" w:cs="宋体"/>
          <w:sz w:val="24"/>
          <w:szCs w:val="24"/>
        </w:rPr>
        <w:t>企业名称（盖章）：</w:t>
      </w:r>
      <w:bookmarkEnd w:id="122"/>
    </w:p>
    <w:p>
      <w:pPr>
        <w:spacing w:line="360" w:lineRule="auto"/>
        <w:jc w:val="center"/>
        <w:outlineLvl w:val="1"/>
        <w:rPr>
          <w:rFonts w:ascii="宋体" w:hAnsi="宋体" w:cs="宋体"/>
          <w:sz w:val="24"/>
          <w:szCs w:val="24"/>
        </w:rPr>
      </w:pPr>
      <w:r>
        <w:rPr>
          <w:rFonts w:hint="eastAsia" w:ascii="宋体" w:hAnsi="宋体" w:cs="宋体"/>
          <w:sz w:val="24"/>
          <w:szCs w:val="24"/>
        </w:rPr>
        <w:t xml:space="preserve">                        </w:t>
      </w:r>
      <w:bookmarkStart w:id="123" w:name="_Toc29315"/>
      <w:r>
        <w:rPr>
          <w:rFonts w:hint="eastAsia" w:ascii="宋体" w:hAnsi="宋体" w:cs="宋体"/>
          <w:sz w:val="24"/>
          <w:szCs w:val="24"/>
        </w:rPr>
        <w:t>日 期：</w:t>
      </w:r>
      <w:bookmarkEnd w:id="123"/>
    </w:p>
    <w:p>
      <w:pPr>
        <w:spacing w:line="360" w:lineRule="auto"/>
        <w:rPr>
          <w:rFonts w:ascii="宋体" w:hAnsi="宋体" w:cs="宋体"/>
          <w:sz w:val="24"/>
          <w:szCs w:val="24"/>
        </w:rPr>
      </w:pPr>
      <w:r>
        <w:rPr>
          <w:rFonts w:hint="eastAsia" w:ascii="宋体" w:hAnsi="宋体" w:cs="宋体"/>
          <w:sz w:val="24"/>
          <w:szCs w:val="24"/>
        </w:rPr>
        <w:t>注：</w:t>
      </w:r>
    </w:p>
    <w:p>
      <w:pPr>
        <w:spacing w:line="360" w:lineRule="auto"/>
        <w:rPr>
          <w:rFonts w:ascii="宋体" w:hAnsi="宋体" w:cs="宋体"/>
          <w:sz w:val="24"/>
          <w:szCs w:val="24"/>
        </w:rPr>
      </w:pPr>
      <w:r>
        <w:rPr>
          <w:rFonts w:hint="eastAsia" w:ascii="宋体" w:hAnsi="宋体" w:cs="宋体"/>
          <w:sz w:val="24"/>
          <w:szCs w:val="24"/>
        </w:rPr>
        <w:t>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17"/>
      <w:bookmarkEnd w:id="118"/>
      <w:bookmarkEnd w:id="119"/>
      <w:bookmarkEnd w:id="120"/>
      <w:bookmarkEnd w:id="121"/>
    </w:p>
    <w:p>
      <w:pPr>
        <w:spacing w:line="360" w:lineRule="auto"/>
        <w:rPr>
          <w:rFonts w:ascii="宋体" w:hAnsi="宋体" w:cs="宋体"/>
          <w:sz w:val="24"/>
          <w:szCs w:val="24"/>
        </w:rPr>
      </w:pPr>
      <w:r>
        <w:rPr>
          <w:rFonts w:hint="eastAsia" w:ascii="宋体" w:hAnsi="宋体" w:cs="宋体"/>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00" w:lineRule="exact"/>
        <w:rPr>
          <w:rFonts w:ascii="宋体" w:hAnsi="宋体" w:cs="宋体"/>
          <w:sz w:val="24"/>
          <w:szCs w:val="24"/>
        </w:rPr>
      </w:pPr>
      <w:r>
        <w:rPr>
          <w:rFonts w:hint="eastAsia" w:ascii="宋体" w:hAnsi="宋体" w:cs="宋体"/>
          <w:sz w:val="24"/>
          <w:szCs w:val="24"/>
        </w:rPr>
        <w:t>3、从业人员、营业收入、资产总额填报上一年度数据，无上一年度数据的新成立企业及监狱企业可不填报。</w:t>
      </w:r>
    </w:p>
    <w:p>
      <w:pPr>
        <w:pStyle w:val="8"/>
        <w:rPr>
          <w:color w:val="FF0000"/>
          <w:sz w:val="20"/>
        </w:rPr>
      </w:pPr>
    </w:p>
    <w:p>
      <w:pPr>
        <w:pStyle w:val="8"/>
        <w:rPr>
          <w:color w:val="FF0000"/>
          <w:sz w:val="20"/>
        </w:rPr>
      </w:pPr>
    </w:p>
    <w:p>
      <w:pPr>
        <w:pStyle w:val="8"/>
        <w:rPr>
          <w:color w:val="FF0000"/>
          <w:sz w:val="20"/>
        </w:rPr>
      </w:pPr>
    </w:p>
    <w:p>
      <w:pPr>
        <w:pStyle w:val="8"/>
        <w:spacing w:before="6"/>
        <w:rPr>
          <w:color w:val="FF0000"/>
          <w:sz w:val="20"/>
        </w:rPr>
      </w:pPr>
    </w:p>
    <w:p>
      <w:pPr>
        <w:autoSpaceDE w:val="0"/>
        <w:autoSpaceDN w:val="0"/>
        <w:adjustRightInd w:val="0"/>
        <w:spacing w:line="400" w:lineRule="exact"/>
        <w:jc w:val="both"/>
        <w:outlineLvl w:val="1"/>
        <w:rPr>
          <w:spacing w:val="-22"/>
          <w:sz w:val="28"/>
        </w:rPr>
      </w:pPr>
      <w:bookmarkStart w:id="124" w:name="格式17：供应商的类似业绩证明材料"/>
      <w:bookmarkEnd w:id="124"/>
      <w:bookmarkStart w:id="125" w:name="_Toc4198"/>
      <w:r>
        <w:rPr>
          <w:spacing w:val="-22"/>
          <w:sz w:val="28"/>
        </w:rPr>
        <w:t>格式 1</w:t>
      </w:r>
      <w:r>
        <w:rPr>
          <w:rFonts w:hint="eastAsia"/>
          <w:spacing w:val="-22"/>
          <w:sz w:val="28"/>
          <w:lang w:val="en-US" w:eastAsia="zh-CN"/>
        </w:rPr>
        <w:t>6</w:t>
      </w:r>
      <w:r>
        <w:rPr>
          <w:spacing w:val="-22"/>
          <w:sz w:val="28"/>
        </w:rPr>
        <w:t>：</w:t>
      </w:r>
      <w:r>
        <w:rPr>
          <w:rFonts w:hint="eastAsia"/>
          <w:spacing w:val="-22"/>
          <w:sz w:val="28"/>
          <w:lang w:val="zh-CN"/>
        </w:rPr>
        <w:t>残疾人福利性单位声明函</w:t>
      </w:r>
      <w:bookmarkEnd w:id="125"/>
    </w:p>
    <w:p>
      <w:pPr>
        <w:autoSpaceDE w:val="0"/>
        <w:autoSpaceDN w:val="0"/>
        <w:adjustRightInd w:val="0"/>
        <w:spacing w:line="400" w:lineRule="exact"/>
        <w:jc w:val="center"/>
        <w:rPr>
          <w:rFonts w:hAnsi="宋体"/>
          <w:b/>
        </w:rPr>
      </w:pPr>
    </w:p>
    <w:p>
      <w:pPr>
        <w:spacing w:before="49"/>
        <w:ind w:right="98"/>
        <w:jc w:val="center"/>
        <w:rPr>
          <w:sz w:val="36"/>
        </w:rPr>
      </w:pPr>
      <w:r>
        <w:rPr>
          <w:rFonts w:hint="eastAsia"/>
          <w:sz w:val="36"/>
          <w:lang w:val="zh-CN"/>
        </w:rPr>
        <w:t>残疾人福利性单位声明函</w:t>
      </w:r>
    </w:p>
    <w:p>
      <w:pPr>
        <w:autoSpaceDE w:val="0"/>
        <w:autoSpaceDN w:val="0"/>
        <w:adjustRightInd w:val="0"/>
        <w:spacing w:line="400" w:lineRule="exact"/>
        <w:jc w:val="center"/>
        <w:rPr>
          <w:rFonts w:hAnsi="宋体"/>
          <w:b/>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rPr>
          <w:rFonts w:ascii="宋体" w:hAnsi="宋体" w:cs="宋体"/>
          <w:spacing w:val="6"/>
          <w:sz w:val="24"/>
          <w:szCs w:val="24"/>
        </w:rPr>
      </w:pPr>
    </w:p>
    <w:p>
      <w:pPr>
        <w:spacing w:line="588" w:lineRule="exact"/>
        <w:rPr>
          <w:rFonts w:ascii="宋体" w:hAnsi="宋体" w:cs="宋体"/>
          <w:spacing w:val="6"/>
          <w:sz w:val="24"/>
          <w:szCs w:val="24"/>
        </w:rPr>
      </w:pPr>
    </w:p>
    <w:p>
      <w:pPr>
        <w:tabs>
          <w:tab w:val="left" w:pos="4860"/>
        </w:tabs>
        <w:spacing w:line="588" w:lineRule="exact"/>
        <w:ind w:right="1560"/>
        <w:rPr>
          <w:rFonts w:ascii="宋体" w:hAnsi="宋体" w:cs="宋体"/>
          <w:spacing w:val="6"/>
          <w:sz w:val="24"/>
          <w:szCs w:val="24"/>
        </w:rPr>
      </w:pPr>
      <w:r>
        <w:rPr>
          <w:rFonts w:hint="eastAsia" w:ascii="宋体" w:hAnsi="宋体" w:cs="宋体"/>
          <w:spacing w:val="6"/>
          <w:sz w:val="24"/>
          <w:szCs w:val="24"/>
        </w:rPr>
        <w:t>单位名称（盖章）：</w:t>
      </w:r>
    </w:p>
    <w:p>
      <w:pPr>
        <w:rPr>
          <w:rFonts w:ascii="宋体" w:hAnsi="宋体" w:cs="宋体"/>
          <w:spacing w:val="6"/>
          <w:sz w:val="24"/>
          <w:szCs w:val="24"/>
        </w:rPr>
      </w:pPr>
      <w:r>
        <w:rPr>
          <w:rFonts w:hint="eastAsia" w:ascii="宋体" w:hAnsi="宋体" w:cs="宋体"/>
          <w:spacing w:val="6"/>
          <w:sz w:val="24"/>
          <w:szCs w:val="24"/>
        </w:rPr>
        <w:t>日  期：</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注：</w:t>
      </w:r>
    </w:p>
    <w:p>
      <w:pPr>
        <w:widowControl w:val="0"/>
        <w:numPr>
          <w:ilvl w:val="0"/>
          <w:numId w:val="35"/>
        </w:numPr>
        <w:spacing w:line="360" w:lineRule="auto"/>
        <w:jc w:val="both"/>
        <w:rPr>
          <w:rFonts w:ascii="宋体" w:hAnsi="宋体" w:cs="宋体"/>
          <w:sz w:val="24"/>
          <w:szCs w:val="24"/>
        </w:rPr>
      </w:pPr>
      <w:r>
        <w:rPr>
          <w:rFonts w:hint="eastAsia" w:ascii="宋体" w:hAnsi="宋体" w:cs="宋体"/>
          <w:sz w:val="24"/>
          <w:szCs w:val="24"/>
        </w:rPr>
        <w:t>残疾人福利性单位视同小型、微型企业，享受预留份额、评审中价格扣除等促进中小企业发展的政府采购政策。残疾人福利性单位属于小型、微型企业的，不重复享受政策。</w:t>
      </w:r>
    </w:p>
    <w:p>
      <w:pPr>
        <w:widowControl w:val="0"/>
        <w:numPr>
          <w:ilvl w:val="0"/>
          <w:numId w:val="35"/>
        </w:numPr>
        <w:spacing w:line="360" w:lineRule="auto"/>
        <w:jc w:val="both"/>
        <w:rPr>
          <w:rFonts w:ascii="宋体" w:hAnsi="宋体" w:cs="宋体"/>
          <w:sz w:val="24"/>
          <w:szCs w:val="24"/>
        </w:rPr>
      </w:pPr>
      <w:r>
        <w:rPr>
          <w:rFonts w:hint="eastAsia" w:ascii="宋体" w:hAnsi="宋体" w:cs="宋体"/>
          <w:sz w:val="24"/>
          <w:szCs w:val="24"/>
        </w:rPr>
        <w:t>供应商为非残疾人福利性单位的，可不提供此声明。</w:t>
      </w:r>
    </w:p>
    <w:p>
      <w:pPr>
        <w:rPr>
          <w:sz w:val="24"/>
          <w:szCs w:val="24"/>
        </w:rPr>
      </w:pPr>
    </w:p>
    <w:p>
      <w:pPr>
        <w:spacing w:before="5"/>
        <w:ind w:left="160"/>
        <w:rPr>
          <w:sz w:val="24"/>
          <w:szCs w:val="24"/>
        </w:rPr>
      </w:pPr>
    </w:p>
    <w:p>
      <w:pPr>
        <w:spacing w:before="5"/>
        <w:ind w:left="160"/>
        <w:rPr>
          <w:sz w:val="24"/>
          <w:szCs w:val="24"/>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outlineLvl w:val="1"/>
        <w:rPr>
          <w:sz w:val="28"/>
        </w:rPr>
      </w:pPr>
      <w:bookmarkStart w:id="126" w:name="_Toc10724"/>
      <w:r>
        <w:rPr>
          <w:spacing w:val="-22"/>
          <w:sz w:val="28"/>
        </w:rPr>
        <w:t>格式 1</w:t>
      </w:r>
      <w:r>
        <w:rPr>
          <w:rFonts w:hint="eastAsia"/>
          <w:spacing w:val="-22"/>
          <w:sz w:val="28"/>
          <w:lang w:val="en-US" w:eastAsia="zh-CN"/>
        </w:rPr>
        <w:t>7：</w:t>
      </w:r>
      <w:r>
        <w:rPr>
          <w:sz w:val="28"/>
        </w:rPr>
        <w:t>供应商的类似业绩证明材料</w:t>
      </w:r>
      <w:bookmarkEnd w:id="126"/>
    </w:p>
    <w:p>
      <w:pPr>
        <w:pStyle w:val="8"/>
        <w:rPr>
          <w:sz w:val="28"/>
        </w:rPr>
      </w:pPr>
    </w:p>
    <w:p>
      <w:pPr>
        <w:pStyle w:val="8"/>
        <w:spacing w:before="9"/>
        <w:rPr>
          <w:sz w:val="20"/>
        </w:rPr>
      </w:pPr>
    </w:p>
    <w:p>
      <w:pPr>
        <w:pStyle w:val="2"/>
        <w:spacing w:before="1"/>
      </w:pPr>
      <w:bookmarkStart w:id="127" w:name="_Toc7845"/>
      <w:r>
        <w:t>供应商的类似业绩证明材料</w:t>
      </w:r>
      <w:bookmarkEnd w:id="127"/>
    </w:p>
    <w:p>
      <w:pPr>
        <w:pStyle w:val="8"/>
        <w:spacing w:before="11"/>
        <w:rPr>
          <w:sz w:val="35"/>
        </w:rPr>
      </w:pPr>
    </w:p>
    <w:p>
      <w:pPr>
        <w:pStyle w:val="8"/>
        <w:ind w:left="520"/>
      </w:pPr>
      <w:r>
        <w:t>提供2018年1月1日至今类似社会工作服务项目的业绩，业绩需提供中标通知书或合同复印件。</w:t>
      </w:r>
    </w:p>
    <w:p>
      <w:pPr>
        <w:sectPr>
          <w:pgSz w:w="12240" w:h="15840"/>
          <w:pgMar w:top="1440" w:right="820" w:bottom="900" w:left="920" w:header="1153" w:footer="708" w:gutter="0"/>
          <w:pgNumType w:fmt="decimal"/>
          <w:cols w:space="720" w:num="1"/>
        </w:sectPr>
      </w:pPr>
    </w:p>
    <w:p>
      <w:pPr>
        <w:pStyle w:val="6"/>
        <w:outlineLvl w:val="1"/>
      </w:pPr>
      <w:bookmarkStart w:id="128" w:name="_bookmark57"/>
      <w:bookmarkEnd w:id="128"/>
      <w:bookmarkStart w:id="129" w:name="格式18：供应商最终报价表"/>
      <w:bookmarkEnd w:id="129"/>
      <w:bookmarkStart w:id="130" w:name="_Toc27810"/>
      <w:r>
        <w:rPr>
          <w:spacing w:val="-22"/>
        </w:rPr>
        <w:t xml:space="preserve">格式 </w:t>
      </w:r>
      <w:r>
        <w:t>1</w:t>
      </w:r>
      <w:r>
        <w:rPr>
          <w:rFonts w:hint="eastAsia"/>
          <w:lang w:val="en-US" w:eastAsia="zh-CN"/>
        </w:rPr>
        <w:t>8</w:t>
      </w:r>
      <w:r>
        <w:t>：供应商最终报价表</w:t>
      </w:r>
      <w:bookmarkEnd w:id="130"/>
    </w:p>
    <w:p>
      <w:pPr>
        <w:pStyle w:val="8"/>
        <w:rPr>
          <w:sz w:val="20"/>
        </w:rPr>
      </w:pPr>
    </w:p>
    <w:p>
      <w:pPr>
        <w:pStyle w:val="8"/>
        <w:spacing w:before="3"/>
        <w:rPr>
          <w:sz w:val="16"/>
        </w:rPr>
      </w:pPr>
    </w:p>
    <w:p>
      <w:pPr>
        <w:autoSpaceDE w:val="0"/>
        <w:autoSpaceDN w:val="0"/>
        <w:adjustRightInd w:val="0"/>
        <w:spacing w:line="400" w:lineRule="exact"/>
        <w:jc w:val="center"/>
        <w:rPr>
          <w:rFonts w:ascii="宋体" w:hAnsi="宋体" w:eastAsia="宋体" w:cs="宋体"/>
          <w:sz w:val="36"/>
          <w:szCs w:val="36"/>
          <w:lang w:val="en-US" w:eastAsia="zh-CN" w:bidi="ar-SA"/>
        </w:rPr>
      </w:pPr>
      <w:r>
        <w:rPr>
          <w:rFonts w:ascii="宋体" w:hAnsi="宋体" w:eastAsia="宋体" w:cs="宋体"/>
          <w:sz w:val="36"/>
          <w:szCs w:val="36"/>
          <w:lang w:val="en-US" w:eastAsia="zh-CN" w:bidi="ar-SA"/>
        </w:rPr>
        <w:t>供应商最终报价表</w:t>
      </w:r>
    </w:p>
    <w:p>
      <w:pPr>
        <w:pStyle w:val="8"/>
        <w:rPr>
          <w:sz w:val="20"/>
        </w:rPr>
      </w:pPr>
    </w:p>
    <w:p>
      <w:pPr>
        <w:pStyle w:val="8"/>
        <w:spacing w:before="8"/>
        <w:rPr>
          <w:sz w:val="23"/>
        </w:rPr>
      </w:pPr>
    </w:p>
    <w:p>
      <w:pPr>
        <w:pStyle w:val="8"/>
        <w:spacing w:before="67"/>
        <w:ind w:left="160"/>
      </w:pPr>
      <w:r>
        <w:t>项目名称：</w:t>
      </w:r>
    </w:p>
    <w:p>
      <w:pPr>
        <w:pStyle w:val="8"/>
        <w:spacing w:before="4"/>
        <w:rPr>
          <w:sz w:val="12"/>
        </w:rPr>
      </w:pPr>
    </w:p>
    <w:tbl>
      <w:tblPr>
        <w:tblStyle w:val="2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3"/>
        <w:gridCol w:w="1894"/>
        <w:gridCol w:w="2280"/>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3393" w:type="dxa"/>
          </w:tcPr>
          <w:p>
            <w:pPr>
              <w:pStyle w:val="31"/>
              <w:spacing w:before="177"/>
              <w:ind w:left="1196" w:right="1186"/>
              <w:jc w:val="center"/>
              <w:rPr>
                <w:sz w:val="24"/>
              </w:rPr>
            </w:pPr>
            <w:r>
              <w:rPr>
                <w:sz w:val="24"/>
              </w:rPr>
              <w:t>最初报价</w:t>
            </w:r>
          </w:p>
        </w:tc>
        <w:tc>
          <w:tcPr>
            <w:tcW w:w="1894" w:type="dxa"/>
          </w:tcPr>
          <w:p>
            <w:pPr>
              <w:pStyle w:val="31"/>
              <w:spacing w:before="177"/>
              <w:ind w:left="466"/>
              <w:rPr>
                <w:sz w:val="24"/>
              </w:rPr>
            </w:pPr>
            <w:r>
              <w:rPr>
                <w:sz w:val="24"/>
              </w:rPr>
              <w:t>调整因素</w:t>
            </w:r>
          </w:p>
        </w:tc>
        <w:tc>
          <w:tcPr>
            <w:tcW w:w="2280" w:type="dxa"/>
          </w:tcPr>
          <w:p>
            <w:pPr>
              <w:pStyle w:val="31"/>
              <w:spacing w:before="177"/>
              <w:ind w:left="660"/>
              <w:rPr>
                <w:sz w:val="24"/>
              </w:rPr>
            </w:pPr>
            <w:r>
              <w:rPr>
                <w:sz w:val="24"/>
              </w:rPr>
              <w:t>最终报价</w:t>
            </w:r>
          </w:p>
        </w:tc>
        <w:tc>
          <w:tcPr>
            <w:tcW w:w="2042" w:type="dxa"/>
          </w:tcPr>
          <w:p>
            <w:pPr>
              <w:pStyle w:val="31"/>
              <w:spacing w:before="177"/>
              <w:ind w:left="660"/>
              <w:rPr>
                <w:sz w:val="24"/>
              </w:rPr>
            </w:pPr>
            <w:r>
              <w:rPr>
                <w:sz w:val="24"/>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3393" w:type="dxa"/>
          </w:tcPr>
          <w:p>
            <w:pPr>
              <w:pStyle w:val="31"/>
              <w:spacing w:before="1"/>
              <w:rPr>
                <w:sz w:val="25"/>
              </w:rPr>
            </w:pPr>
          </w:p>
          <w:p>
            <w:pPr>
              <w:pStyle w:val="31"/>
              <w:ind w:left="107"/>
              <w:rPr>
                <w:sz w:val="24"/>
              </w:rPr>
            </w:pPr>
            <w:r>
              <w:rPr>
                <w:sz w:val="24"/>
              </w:rPr>
              <w:t>总价小写：</w:t>
            </w:r>
          </w:p>
          <w:p>
            <w:pPr>
              <w:pStyle w:val="31"/>
              <w:rPr>
                <w:sz w:val="24"/>
              </w:rPr>
            </w:pPr>
          </w:p>
          <w:p>
            <w:pPr>
              <w:pStyle w:val="31"/>
              <w:spacing w:before="11"/>
              <w:rPr>
                <w:sz w:val="24"/>
              </w:rPr>
            </w:pPr>
          </w:p>
          <w:p>
            <w:pPr>
              <w:pStyle w:val="31"/>
              <w:ind w:left="107"/>
              <w:rPr>
                <w:sz w:val="24"/>
              </w:rPr>
            </w:pPr>
            <w:r>
              <w:rPr>
                <w:sz w:val="24"/>
              </w:rPr>
              <w:t>总价大写：</w:t>
            </w:r>
          </w:p>
        </w:tc>
        <w:tc>
          <w:tcPr>
            <w:tcW w:w="1894" w:type="dxa"/>
          </w:tcPr>
          <w:p>
            <w:pPr>
              <w:pStyle w:val="31"/>
              <w:rPr>
                <w:rFonts w:ascii="Times New Roman"/>
              </w:rPr>
            </w:pPr>
          </w:p>
        </w:tc>
        <w:tc>
          <w:tcPr>
            <w:tcW w:w="2280" w:type="dxa"/>
          </w:tcPr>
          <w:p>
            <w:pPr>
              <w:pStyle w:val="31"/>
              <w:spacing w:before="1"/>
              <w:rPr>
                <w:sz w:val="25"/>
              </w:rPr>
            </w:pPr>
          </w:p>
          <w:p>
            <w:pPr>
              <w:pStyle w:val="31"/>
              <w:ind w:left="108"/>
              <w:rPr>
                <w:sz w:val="24"/>
              </w:rPr>
            </w:pPr>
            <w:r>
              <w:rPr>
                <w:sz w:val="24"/>
              </w:rPr>
              <w:t>总价小写：</w:t>
            </w:r>
          </w:p>
          <w:p>
            <w:pPr>
              <w:pStyle w:val="31"/>
              <w:rPr>
                <w:sz w:val="24"/>
              </w:rPr>
            </w:pPr>
          </w:p>
          <w:p>
            <w:pPr>
              <w:pStyle w:val="31"/>
              <w:spacing w:before="11"/>
              <w:rPr>
                <w:sz w:val="24"/>
              </w:rPr>
            </w:pPr>
          </w:p>
          <w:p>
            <w:pPr>
              <w:pStyle w:val="31"/>
              <w:ind w:left="108"/>
              <w:rPr>
                <w:sz w:val="24"/>
              </w:rPr>
            </w:pPr>
            <w:r>
              <w:rPr>
                <w:sz w:val="24"/>
              </w:rPr>
              <w:t>总价大写：</w:t>
            </w:r>
          </w:p>
        </w:tc>
        <w:tc>
          <w:tcPr>
            <w:tcW w:w="2042"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9609" w:type="dxa"/>
            <w:gridSpan w:val="4"/>
          </w:tcPr>
          <w:p>
            <w:pPr>
              <w:pStyle w:val="31"/>
              <w:spacing w:before="2"/>
              <w:ind w:left="107"/>
              <w:rPr>
                <w:sz w:val="24"/>
              </w:rPr>
            </w:pPr>
            <w:r>
              <w:rPr>
                <w:sz w:val="24"/>
              </w:rPr>
              <w:t>最终确定的质量保证及服务承诺（优惠条件）</w:t>
            </w:r>
          </w:p>
        </w:tc>
      </w:tr>
    </w:tbl>
    <w:p>
      <w:pPr>
        <w:pStyle w:val="8"/>
        <w:spacing w:line="364" w:lineRule="auto"/>
        <w:ind w:left="160" w:right="259"/>
      </w:pPr>
      <w:r>
        <w:rPr>
          <w:spacing w:val="-1"/>
        </w:rPr>
        <w:t>注：此表无需装订在响应文件中，供应商事先须盖章、签字。在磋商期间，由磋商小组确定合格</w:t>
      </w:r>
      <w:r>
        <w:t>的供应商后提交。</w:t>
      </w:r>
    </w:p>
    <w:p>
      <w:pPr>
        <w:pStyle w:val="8"/>
      </w:pPr>
    </w:p>
    <w:p>
      <w:pPr>
        <w:pStyle w:val="8"/>
      </w:pPr>
    </w:p>
    <w:p>
      <w:pPr>
        <w:pStyle w:val="8"/>
        <w:rPr>
          <w:sz w:val="25"/>
        </w:rPr>
      </w:pPr>
    </w:p>
    <w:p>
      <w:pPr>
        <w:pStyle w:val="8"/>
        <w:tabs>
          <w:tab w:val="left" w:pos="6227"/>
        </w:tabs>
        <w:ind w:left="4424"/>
      </w:pPr>
      <w:r>
        <w:t>供应商：</w:t>
      </w:r>
      <w:r>
        <w:rPr>
          <w:rFonts w:ascii="Times New Roman" w:eastAsia="Times New Roman"/>
          <w:u w:val="single"/>
        </w:rPr>
        <w:tab/>
      </w:r>
      <w:r>
        <w:t>（公章）</w:t>
      </w:r>
    </w:p>
    <w:p>
      <w:pPr>
        <w:pStyle w:val="8"/>
        <w:tabs>
          <w:tab w:val="left" w:pos="5142"/>
          <w:tab w:val="left" w:pos="6231"/>
        </w:tabs>
        <w:spacing w:before="158" w:line="362" w:lineRule="auto"/>
        <w:ind w:left="4540" w:right="2581" w:hanging="2040"/>
      </w:pPr>
      <w:r>
        <w:t>法定代表人或委托代理人：</w:t>
      </w:r>
      <w:r>
        <w:rPr>
          <w:rFonts w:ascii="Times New Roman" w:eastAsia="Times New Roman"/>
          <w:u w:val="single"/>
        </w:rPr>
        <w:tab/>
      </w:r>
      <w:r>
        <w:t>（签字或盖章）</w:t>
      </w:r>
      <w:r>
        <w:rPr>
          <w:spacing w:val="-117"/>
        </w:rPr>
        <w:t xml:space="preserve"> </w:t>
      </w:r>
      <w:r>
        <w:t>年</w:t>
      </w:r>
      <w:r>
        <w:tab/>
      </w:r>
      <w:r>
        <w:t>月</w:t>
      </w:r>
      <w:r>
        <w:rPr>
          <w:spacing w:val="3"/>
        </w:rPr>
        <w:t xml:space="preserve"> </w:t>
      </w:r>
      <w:r>
        <w:t>日</w:t>
      </w:r>
    </w:p>
    <w:p>
      <w:pPr>
        <w:spacing w:line="362" w:lineRule="auto"/>
        <w:sectPr>
          <w:pgSz w:w="12240" w:h="15840"/>
          <w:pgMar w:top="1440" w:right="820" w:bottom="900" w:left="920" w:header="1153" w:footer="708" w:gutter="0"/>
          <w:pgNumType w:fmt="decimal"/>
          <w:cols w:space="720" w:num="1"/>
        </w:sectPr>
      </w:pPr>
    </w:p>
    <w:p>
      <w:pPr>
        <w:pStyle w:val="6"/>
        <w:outlineLvl w:val="1"/>
      </w:pPr>
      <w:bookmarkStart w:id="131" w:name="格式19：供应商认为在其他方面有必要说明的事项"/>
      <w:bookmarkEnd w:id="131"/>
      <w:bookmarkStart w:id="132" w:name="_Toc28193"/>
      <w:r>
        <w:rPr>
          <w:spacing w:val="-21"/>
        </w:rPr>
        <w:t xml:space="preserve">格式 </w:t>
      </w:r>
      <w:r>
        <w:t>1</w:t>
      </w:r>
      <w:r>
        <w:rPr>
          <w:rFonts w:hint="eastAsia"/>
          <w:lang w:val="en-US" w:eastAsia="zh-CN"/>
        </w:rPr>
        <w:t>9</w:t>
      </w:r>
      <w:r>
        <w:t>：供应商认为在其他方面有必要说明的事项</w:t>
      </w:r>
      <w:bookmarkEnd w:id="132"/>
    </w:p>
    <w:p>
      <w:pPr>
        <w:pStyle w:val="8"/>
        <w:spacing w:before="5"/>
        <w:rPr>
          <w:sz w:val="41"/>
        </w:rPr>
      </w:pPr>
    </w:p>
    <w:p>
      <w:pPr>
        <w:pStyle w:val="8"/>
        <w:spacing w:before="1" w:line="362" w:lineRule="auto"/>
        <w:ind w:left="160" w:right="258" w:firstLine="460"/>
      </w:pPr>
      <w:r>
        <w:t>供应商在参加本项目磋商中根据磋商文件的要求认为需要说明的事项，但不作为评审依据。如没有说明事项，此项可忽略。（格式可自定）</w:t>
      </w:r>
    </w:p>
    <w:p>
      <w:pPr>
        <w:spacing w:line="362" w:lineRule="auto"/>
        <w:sectPr>
          <w:pgSz w:w="12240" w:h="15840"/>
          <w:pgMar w:top="1440" w:right="820" w:bottom="900" w:left="920" w:header="1153" w:footer="708" w:gutter="0"/>
          <w:pgNumType w:fmt="decimal"/>
          <w:cols w:space="720" w:num="1"/>
        </w:sectPr>
      </w:pPr>
    </w:p>
    <w:p>
      <w:pPr>
        <w:pStyle w:val="2"/>
        <w:spacing w:before="4"/>
        <w:ind w:right="90"/>
        <w:outlineLvl w:val="0"/>
      </w:pPr>
      <w:bookmarkStart w:id="133" w:name="第六部分__采购项目要求及技术参数"/>
      <w:bookmarkEnd w:id="133"/>
      <w:bookmarkStart w:id="134" w:name="_Toc5813"/>
      <w:r>
        <w:rPr>
          <w:spacing w:val="9"/>
        </w:rPr>
        <w:t>第六部分 采购项目要求及技术参数</w:t>
      </w:r>
      <w:bookmarkEnd w:id="134"/>
    </w:p>
    <w:p>
      <w:pPr>
        <w:spacing w:before="245"/>
        <w:ind w:right="98"/>
        <w:jc w:val="center"/>
        <w:outlineLvl w:val="1"/>
        <w:rPr>
          <w:sz w:val="36"/>
        </w:rPr>
      </w:pPr>
      <w:bookmarkStart w:id="135" w:name="（一）投标要求"/>
      <w:bookmarkEnd w:id="135"/>
      <w:bookmarkStart w:id="136" w:name="_Toc1910"/>
      <w:r>
        <w:rPr>
          <w:sz w:val="36"/>
        </w:rPr>
        <w:t>（一）投标要求</w:t>
      </w:r>
      <w:bookmarkEnd w:id="136"/>
    </w:p>
    <w:p>
      <w:pPr>
        <w:pStyle w:val="8"/>
        <w:spacing w:before="6"/>
        <w:rPr>
          <w:sz w:val="14"/>
        </w:rPr>
      </w:pPr>
    </w:p>
    <w:p>
      <w:pPr>
        <w:pStyle w:val="6"/>
        <w:numPr>
          <w:ilvl w:val="0"/>
          <w:numId w:val="36"/>
        </w:numPr>
        <w:tabs>
          <w:tab w:val="left" w:pos="444"/>
        </w:tabs>
        <w:spacing w:before="62"/>
        <w:outlineLvl w:val="2"/>
      </w:pPr>
      <w:bookmarkStart w:id="137" w:name="1.投标说明"/>
      <w:bookmarkEnd w:id="137"/>
      <w:bookmarkStart w:id="138" w:name="_Toc24744"/>
      <w:r>
        <w:t>投标说明</w:t>
      </w:r>
      <w:bookmarkEnd w:id="138"/>
    </w:p>
    <w:p>
      <w:pPr>
        <w:pStyle w:val="30"/>
        <w:numPr>
          <w:ilvl w:val="1"/>
          <w:numId w:val="36"/>
        </w:numPr>
        <w:tabs>
          <w:tab w:val="left" w:pos="1001"/>
        </w:tabs>
        <w:spacing w:before="245" w:line="364" w:lineRule="auto"/>
        <w:ind w:right="259" w:firstLine="480"/>
        <w:rPr>
          <w:rFonts w:ascii="宋体" w:hAnsi="宋体" w:eastAsia="宋体" w:cs="宋体"/>
          <w:spacing w:val="-7"/>
          <w:sz w:val="24"/>
          <w:szCs w:val="22"/>
          <w:lang w:val="en-US" w:eastAsia="zh-CN" w:bidi="ar-SA"/>
        </w:rPr>
      </w:pPr>
      <w:r>
        <w:rPr>
          <w:spacing w:val="-7"/>
          <w:sz w:val="24"/>
        </w:rPr>
        <w:t>供应商可以按照磋商文件规定的包号选择投标，但必须对所投包号中的所有内容作为一个</w:t>
      </w:r>
      <w:r>
        <w:rPr>
          <w:sz w:val="24"/>
        </w:rPr>
        <w:t>整体进行投标，不能拆分或少报。否则，投标无效。</w:t>
      </w:r>
    </w:p>
    <w:p>
      <w:pPr>
        <w:pStyle w:val="30"/>
        <w:numPr>
          <w:ilvl w:val="1"/>
          <w:numId w:val="36"/>
        </w:numPr>
        <w:tabs>
          <w:tab w:val="left" w:pos="1001"/>
        </w:tabs>
        <w:spacing w:before="245" w:line="364" w:lineRule="auto"/>
        <w:ind w:right="259" w:firstLine="480"/>
        <w:rPr>
          <w:rFonts w:hint="eastAsia" w:ascii="宋体" w:hAnsi="宋体" w:eastAsia="宋体" w:cs="宋体"/>
          <w:spacing w:val="-6"/>
          <w:sz w:val="24"/>
          <w:szCs w:val="24"/>
          <w:lang w:val="en-US" w:eastAsia="zh-CN" w:bidi="ar-SA"/>
        </w:rPr>
      </w:pPr>
      <w:r>
        <w:rPr>
          <w:rFonts w:hint="eastAsia" w:ascii="宋体" w:hAnsi="宋体" w:eastAsia="宋体" w:cs="宋体"/>
          <w:spacing w:val="-6"/>
          <w:sz w:val="24"/>
          <w:szCs w:val="24"/>
          <w:lang w:val="en-US" w:eastAsia="zh-CN" w:bidi="ar-SA"/>
        </w:rPr>
        <w:t>磋商报价为总报价。包括：车辆费、检验费、手续费、运输费、安装调试费及其他不可预见费等全部费用。若投标磋商不能完全包括上述内容，该投标将被认为非实质性响应。</w:t>
      </w:r>
    </w:p>
    <w:p>
      <w:pPr>
        <w:pStyle w:val="30"/>
        <w:numPr>
          <w:ilvl w:val="1"/>
          <w:numId w:val="36"/>
        </w:numPr>
        <w:tabs>
          <w:tab w:val="left" w:pos="1001"/>
        </w:tabs>
        <w:spacing w:before="245" w:line="364" w:lineRule="auto"/>
        <w:ind w:right="259" w:firstLine="480"/>
        <w:rPr>
          <w:rFonts w:hint="eastAsia" w:ascii="宋体" w:hAnsi="宋体" w:eastAsia="宋体" w:cs="宋体"/>
          <w:spacing w:val="-6"/>
          <w:sz w:val="24"/>
          <w:szCs w:val="24"/>
          <w:lang w:val="en-US" w:eastAsia="zh-CN" w:bidi="ar-SA"/>
        </w:rPr>
      </w:pPr>
      <w:r>
        <w:rPr>
          <w:rFonts w:hint="eastAsia" w:ascii="宋体" w:hAnsi="宋体" w:eastAsia="宋体" w:cs="宋体"/>
          <w:spacing w:val="-6"/>
          <w:sz w:val="24"/>
          <w:szCs w:val="24"/>
          <w:lang w:val="en-US" w:eastAsia="zh-CN" w:bidi="ar-SA"/>
        </w:rPr>
        <w:t>本次采购产品均为国产产品，所投产品必须符合国家的强制性标准。</w:t>
      </w:r>
    </w:p>
    <w:p>
      <w:pPr>
        <w:pStyle w:val="30"/>
        <w:numPr>
          <w:ilvl w:val="1"/>
          <w:numId w:val="36"/>
        </w:numPr>
        <w:tabs>
          <w:tab w:val="left" w:pos="1001"/>
        </w:tabs>
        <w:spacing w:before="245" w:line="364" w:lineRule="auto"/>
        <w:ind w:right="259" w:firstLine="480"/>
        <w:rPr>
          <w:rFonts w:hint="eastAsia" w:ascii="宋体" w:hAnsi="宋体" w:eastAsia="宋体" w:cs="宋体"/>
          <w:spacing w:val="-6"/>
          <w:sz w:val="24"/>
          <w:szCs w:val="24"/>
          <w:lang w:val="en-US" w:eastAsia="zh-CN" w:bidi="ar-SA"/>
        </w:rPr>
      </w:pPr>
      <w:r>
        <w:rPr>
          <w:rFonts w:hint="eastAsia" w:ascii="宋体" w:hAnsi="宋体" w:eastAsia="宋体" w:cs="宋体"/>
          <w:spacing w:val="-6"/>
          <w:sz w:val="24"/>
          <w:szCs w:val="24"/>
          <w:lang w:val="en-US" w:eastAsia="zh-CN" w:bidi="ar-SA"/>
        </w:rPr>
        <w:t>所投产品或其任何一部分不得侵犯专利权、著作权、商标权和工业设计权等知识产权。</w:t>
      </w:r>
    </w:p>
    <w:p>
      <w:pPr>
        <w:pStyle w:val="30"/>
        <w:numPr>
          <w:ilvl w:val="1"/>
          <w:numId w:val="36"/>
        </w:numPr>
        <w:tabs>
          <w:tab w:val="left" w:pos="1001"/>
        </w:tabs>
        <w:spacing w:before="245" w:line="364" w:lineRule="auto"/>
        <w:ind w:right="259" w:firstLine="480"/>
        <w:rPr>
          <w:rFonts w:hint="eastAsia" w:ascii="宋体" w:hAnsi="宋体" w:eastAsia="宋体" w:cs="宋体"/>
          <w:spacing w:val="-6"/>
          <w:sz w:val="24"/>
          <w:szCs w:val="24"/>
          <w:lang w:val="en-US" w:eastAsia="zh-CN" w:bidi="ar-SA"/>
        </w:rPr>
      </w:pPr>
      <w:r>
        <w:rPr>
          <w:rFonts w:hint="eastAsia" w:ascii="宋体" w:hAnsi="宋体" w:eastAsia="宋体" w:cs="宋体"/>
          <w:spacing w:val="-6"/>
          <w:sz w:val="24"/>
          <w:szCs w:val="24"/>
          <w:lang w:val="en-US" w:eastAsia="zh-CN" w:bidi="ar-SA"/>
        </w:rPr>
        <w:t>交货时间、地点：按采购人指定的时间、地点交货并安装交付使用。</w:t>
      </w:r>
    </w:p>
    <w:p>
      <w:pPr>
        <w:pStyle w:val="8"/>
        <w:spacing w:before="4"/>
        <w:rPr>
          <w:sz w:val="31"/>
        </w:rPr>
      </w:pPr>
    </w:p>
    <w:p>
      <w:pPr>
        <w:pStyle w:val="6"/>
        <w:numPr>
          <w:ilvl w:val="0"/>
          <w:numId w:val="36"/>
        </w:numPr>
        <w:tabs>
          <w:tab w:val="left" w:pos="444"/>
        </w:tabs>
        <w:spacing w:before="0"/>
        <w:outlineLvl w:val="2"/>
      </w:pPr>
      <w:bookmarkStart w:id="139" w:name="2.报价说明"/>
      <w:bookmarkEnd w:id="139"/>
      <w:bookmarkStart w:id="140" w:name="_Toc20960"/>
      <w:r>
        <w:t>报价说明</w:t>
      </w:r>
      <w:bookmarkEnd w:id="140"/>
    </w:p>
    <w:p>
      <w:pPr>
        <w:pStyle w:val="8"/>
        <w:spacing w:before="245" w:line="364" w:lineRule="auto"/>
        <w:ind w:left="160" w:right="139" w:firstLine="480"/>
      </w:pPr>
      <w:r>
        <w:rPr>
          <w:spacing w:val="-6"/>
        </w:rPr>
        <w:t>本次磋商文件中规定的采购预算额度为最高限价，供应商的磋商报价不得超出此额度。否则，</w:t>
      </w:r>
      <w:r>
        <w:rPr>
          <w:spacing w:val="-117"/>
        </w:rPr>
        <w:t xml:space="preserve"> </w:t>
      </w:r>
      <w:r>
        <w:t>磋商无效。供应商还须提供详细的本单位拟提供本项目服务的分项报价表（附于格式17），分项报价表须包含所有费用，供应商应详细合理测算成本并进行合理报价，费用有漏项的，视为免费</w:t>
      </w:r>
      <w:r>
        <w:rPr>
          <w:spacing w:val="-1"/>
        </w:rPr>
        <w:t>提供，分项报价的最终成交单价=成交总价/最初报价（总价）*最初报价（单价），报价修正按照</w:t>
      </w:r>
    </w:p>
    <w:p>
      <w:pPr>
        <w:pStyle w:val="8"/>
        <w:spacing w:line="305" w:lineRule="exact"/>
        <w:ind w:left="160"/>
      </w:pPr>
      <w:r>
        <w:t>《政府采购货物和服务招标投标管理办法》第五十九条执行。</w:t>
      </w:r>
    </w:p>
    <w:p>
      <w:pPr>
        <w:widowControl/>
        <w:spacing w:before="100" w:beforeAutospacing="1" w:after="100" w:afterAutospacing="1" w:line="240" w:lineRule="auto"/>
        <w:jc w:val="left"/>
        <w:outlineLvl w:val="2"/>
        <w:rPr>
          <w:rFonts w:hint="eastAsia" w:ascii="宋体" w:hAnsi="宋体" w:eastAsia="宋体" w:cs="宋体"/>
          <w:sz w:val="28"/>
          <w:szCs w:val="28"/>
          <w:lang w:val="en-US" w:eastAsia="zh-CN" w:bidi="ar-SA"/>
        </w:rPr>
      </w:pPr>
      <w:bookmarkStart w:id="141" w:name="3.商务要求"/>
      <w:bookmarkEnd w:id="141"/>
      <w:bookmarkStart w:id="142" w:name="_Toc28078213"/>
      <w:bookmarkStart w:id="143" w:name="_Toc19005"/>
      <w:bookmarkStart w:id="144" w:name="_Toc376936786"/>
      <w:r>
        <w:rPr>
          <w:rFonts w:hint="eastAsia" w:ascii="宋体" w:hAnsi="宋体" w:eastAsia="宋体" w:cs="宋体"/>
          <w:sz w:val="28"/>
          <w:szCs w:val="28"/>
          <w:lang w:val="en-US" w:eastAsia="zh-CN" w:bidi="ar-SA"/>
        </w:rPr>
        <w:t>3、重要指标</w:t>
      </w:r>
      <w:bookmarkEnd w:id="142"/>
      <w:bookmarkEnd w:id="143"/>
      <w:bookmarkEnd w:id="144"/>
    </w:p>
    <w:p>
      <w:pPr>
        <w:pStyle w:val="8"/>
        <w:spacing w:before="245" w:line="364" w:lineRule="auto"/>
        <w:ind w:left="160" w:right="139" w:firstLine="480"/>
        <w:rPr>
          <w:rFonts w:hint="eastAsia"/>
        </w:rPr>
      </w:pPr>
      <w:r>
        <w:rPr>
          <w:rFonts w:hint="eastAsia"/>
        </w:rPr>
        <w:t>3.1磋商文件在技术要求中列出了采购人可以接受的最低技术指标，供应商必须对技术参数一览表中各项产品和指标进行实质性响应，所提供的每一项技术指标不能低于所列的各项指标。</w:t>
      </w:r>
    </w:p>
    <w:p>
      <w:pPr>
        <w:pStyle w:val="8"/>
        <w:spacing w:before="9"/>
        <w:rPr>
          <w:sz w:val="21"/>
        </w:rPr>
      </w:pPr>
    </w:p>
    <w:p>
      <w:pPr>
        <w:pStyle w:val="2"/>
        <w:ind w:left="2406" w:right="2087"/>
        <w:outlineLvl w:val="9"/>
      </w:pPr>
    </w:p>
    <w:p>
      <w:pPr>
        <w:pStyle w:val="2"/>
        <w:ind w:left="2406" w:right="2087"/>
        <w:outlineLvl w:val="9"/>
      </w:pPr>
    </w:p>
    <w:p>
      <w:pPr>
        <w:pStyle w:val="2"/>
        <w:ind w:left="2406" w:right="2087"/>
        <w:outlineLvl w:val="9"/>
      </w:pPr>
    </w:p>
    <w:p>
      <w:pPr>
        <w:pStyle w:val="2"/>
        <w:ind w:left="2406" w:right="2087"/>
        <w:outlineLvl w:val="9"/>
      </w:pPr>
    </w:p>
    <w:p>
      <w:pPr>
        <w:pStyle w:val="2"/>
        <w:numPr>
          <w:ilvl w:val="0"/>
          <w:numId w:val="37"/>
        </w:numPr>
        <w:ind w:left="2406" w:right="2087"/>
        <w:rPr>
          <w:rFonts w:hint="default"/>
          <w:lang w:val="en-US" w:eastAsia="zh-CN"/>
        </w:rPr>
      </w:pPr>
      <w:bookmarkStart w:id="145" w:name="_Toc30148"/>
      <w:r>
        <w:t>项目概况及</w:t>
      </w:r>
      <w:r>
        <w:rPr>
          <w:rFonts w:hint="eastAsia"/>
          <w:lang w:val="en-US" w:eastAsia="zh-CN"/>
        </w:rPr>
        <w:t>技术参数</w:t>
      </w:r>
      <w:bookmarkEnd w:id="145"/>
    </w:p>
    <w:p>
      <w:pPr>
        <w:widowControl/>
        <w:spacing w:before="100" w:beforeAutospacing="1" w:after="100" w:afterAutospacing="1" w:line="240" w:lineRule="auto"/>
        <w:ind w:firstLine="542"/>
        <w:jc w:val="left"/>
        <w:outlineLvl w:val="2"/>
        <w:rPr>
          <w:rFonts w:hint="eastAsia" w:ascii="宋体" w:hAnsi="宋体" w:eastAsia="宋体" w:cs="宋体"/>
          <w:sz w:val="28"/>
          <w:szCs w:val="28"/>
          <w:lang w:val="en-US" w:eastAsia="zh-CN" w:bidi="ar-SA"/>
        </w:rPr>
      </w:pPr>
      <w:bookmarkStart w:id="146" w:name="_Toc2889"/>
      <w:bookmarkStart w:id="147" w:name="_Toc28078215"/>
      <w:r>
        <w:rPr>
          <w:rFonts w:hint="eastAsia" w:ascii="宋体" w:hAnsi="宋体" w:eastAsia="宋体" w:cs="宋体"/>
          <w:sz w:val="28"/>
          <w:szCs w:val="28"/>
          <w:lang w:val="en-US" w:eastAsia="zh-CN" w:bidi="ar-SA"/>
        </w:rPr>
        <w:t>1、项目概况</w:t>
      </w:r>
      <w:bookmarkEnd w:id="146"/>
      <w:bookmarkEnd w:id="147"/>
    </w:p>
    <w:p>
      <w:pPr>
        <w:pStyle w:val="8"/>
        <w:spacing w:before="245" w:line="364" w:lineRule="auto"/>
        <w:ind w:left="160" w:right="139" w:firstLine="480"/>
        <w:rPr>
          <w:rFonts w:hint="eastAsia"/>
          <w:spacing w:val="-6"/>
        </w:rPr>
      </w:pPr>
      <w:bookmarkStart w:id="148" w:name="_Toc427748114"/>
      <w:bookmarkStart w:id="149" w:name="_Toc376936789"/>
      <w:r>
        <w:rPr>
          <w:rFonts w:hint="eastAsia"/>
          <w:spacing w:val="-6"/>
          <w:lang w:val="en-US" w:eastAsia="zh-CN"/>
        </w:rPr>
        <w:t>果洛州公安局购置执法执勤、专业技术用车项目</w:t>
      </w:r>
      <w:r>
        <w:rPr>
          <w:rFonts w:hint="eastAsia"/>
          <w:spacing w:val="-6"/>
        </w:rPr>
        <w:t>公务用车采购项目共1个包。主要完成车辆的采购，采购预算额度为</w:t>
      </w:r>
      <w:r>
        <w:rPr>
          <w:rFonts w:hint="eastAsia"/>
          <w:spacing w:val="-6"/>
          <w:lang w:val="en-US" w:eastAsia="zh-CN"/>
        </w:rPr>
        <w:t>160</w:t>
      </w:r>
      <w:r>
        <w:rPr>
          <w:rFonts w:hint="eastAsia"/>
          <w:spacing w:val="-6"/>
        </w:rPr>
        <w:t xml:space="preserve">万元。采购标的经采购人确定属于工业行业。技术参数详见磋商文件《采购一览表及技术参数》内容。   </w:t>
      </w:r>
    </w:p>
    <w:p>
      <w:pPr>
        <w:widowControl/>
        <w:spacing w:before="100" w:beforeAutospacing="1" w:after="100" w:afterAutospacing="1" w:line="240" w:lineRule="auto"/>
        <w:ind w:firstLine="542"/>
        <w:jc w:val="left"/>
        <w:outlineLvl w:val="2"/>
        <w:rPr>
          <w:rFonts w:hint="eastAsia" w:ascii="宋体" w:hAnsi="宋体" w:eastAsia="宋体" w:cs="宋体"/>
          <w:sz w:val="28"/>
          <w:szCs w:val="28"/>
          <w:lang w:val="en-US" w:eastAsia="zh-CN" w:bidi="ar-SA"/>
        </w:rPr>
      </w:pPr>
      <w:bookmarkStart w:id="150" w:name="_Toc28078216"/>
      <w:bookmarkStart w:id="151" w:name="_Toc16540"/>
      <w:r>
        <w:rPr>
          <w:rFonts w:hint="eastAsia" w:ascii="宋体" w:hAnsi="宋体" w:eastAsia="宋体" w:cs="宋体"/>
          <w:sz w:val="28"/>
          <w:szCs w:val="28"/>
          <w:lang w:val="en-US" w:eastAsia="zh-CN" w:bidi="ar-SA"/>
        </w:rPr>
        <w:t>2、</w:t>
      </w:r>
      <w:bookmarkStart w:id="152" w:name="_Toc352076750"/>
      <w:bookmarkStart w:id="153" w:name="_Toc325726055"/>
      <w:r>
        <w:rPr>
          <w:rFonts w:hint="eastAsia" w:ascii="宋体" w:hAnsi="宋体" w:eastAsia="宋体" w:cs="宋体"/>
          <w:sz w:val="28"/>
          <w:szCs w:val="28"/>
          <w:lang w:val="en-US" w:eastAsia="zh-CN" w:bidi="ar-SA"/>
        </w:rPr>
        <w:t>产品交付说明</w:t>
      </w:r>
      <w:bookmarkEnd w:id="148"/>
      <w:bookmarkEnd w:id="149"/>
      <w:bookmarkEnd w:id="150"/>
      <w:bookmarkEnd w:id="151"/>
      <w:bookmarkEnd w:id="152"/>
      <w:bookmarkEnd w:id="153"/>
    </w:p>
    <w:p>
      <w:pPr>
        <w:pStyle w:val="8"/>
        <w:spacing w:before="245" w:line="364" w:lineRule="auto"/>
        <w:ind w:left="160" w:right="139" w:firstLine="480"/>
        <w:rPr>
          <w:rFonts w:hint="eastAsia"/>
          <w:spacing w:val="-6"/>
        </w:rPr>
      </w:pPr>
      <w:r>
        <w:rPr>
          <w:rFonts w:hint="eastAsia"/>
          <w:spacing w:val="-6"/>
        </w:rPr>
        <w:t>供应商所交付的硬件产品，其所有部件必须都是原厂原装部件，而且产品应是交付前最新生产且未被使用过的全新产品，同时必须具有在中国境内的合法使用权。</w:t>
      </w:r>
    </w:p>
    <w:p>
      <w:pPr>
        <w:widowControl/>
        <w:spacing w:before="100" w:beforeAutospacing="1" w:after="100" w:afterAutospacing="1" w:line="240" w:lineRule="auto"/>
        <w:ind w:firstLine="542"/>
        <w:jc w:val="left"/>
        <w:outlineLvl w:val="2"/>
        <w:rPr>
          <w:rFonts w:ascii="宋体" w:hAnsi="宋体" w:eastAsia="宋体" w:cs="宋体"/>
          <w:sz w:val="28"/>
          <w:szCs w:val="28"/>
          <w:lang w:val="en-US" w:eastAsia="zh-CN" w:bidi="ar-SA"/>
        </w:rPr>
      </w:pPr>
      <w:bookmarkStart w:id="154" w:name="_Toc28078217"/>
      <w:bookmarkStart w:id="155" w:name="_Toc427748115"/>
      <w:bookmarkStart w:id="156" w:name="_Toc17517"/>
      <w:r>
        <w:rPr>
          <w:rFonts w:hint="eastAsia" w:ascii="宋体" w:hAnsi="宋体" w:eastAsia="宋体" w:cs="宋体"/>
          <w:sz w:val="28"/>
          <w:szCs w:val="28"/>
          <w:lang w:val="en-US" w:eastAsia="zh-CN" w:bidi="ar-SA"/>
        </w:rPr>
        <w:t>3、产品验收</w:t>
      </w:r>
      <w:bookmarkEnd w:id="154"/>
      <w:bookmarkEnd w:id="155"/>
      <w:bookmarkEnd w:id="156"/>
    </w:p>
    <w:p>
      <w:pPr>
        <w:pStyle w:val="8"/>
        <w:spacing w:before="245" w:line="364" w:lineRule="auto"/>
        <w:ind w:left="160" w:right="139" w:firstLine="480"/>
        <w:rPr>
          <w:rFonts w:hint="eastAsia"/>
          <w:spacing w:val="-6"/>
        </w:rPr>
      </w:pPr>
      <w:r>
        <w:rPr>
          <w:rFonts w:hint="eastAsia"/>
          <w:spacing w:val="-6"/>
        </w:rPr>
        <w:t>开箱检验。供应商成交后，应在磋商文件中规定的供货地点完成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pPr>
        <w:widowControl/>
        <w:spacing w:before="100" w:beforeAutospacing="1" w:after="100" w:afterAutospacing="1" w:line="240" w:lineRule="auto"/>
        <w:ind w:firstLine="542"/>
        <w:jc w:val="left"/>
        <w:outlineLvl w:val="2"/>
        <w:rPr>
          <w:rFonts w:ascii="宋体" w:hAnsi="宋体" w:eastAsia="宋体" w:cs="宋体"/>
          <w:sz w:val="28"/>
          <w:szCs w:val="28"/>
          <w:lang w:val="en-US" w:eastAsia="zh-CN" w:bidi="ar-SA"/>
        </w:rPr>
      </w:pPr>
      <w:bookmarkStart w:id="157" w:name="_Toc376936792"/>
      <w:bookmarkStart w:id="158" w:name="_Toc352076753"/>
      <w:bookmarkStart w:id="159" w:name="_Toc32079"/>
      <w:bookmarkStart w:id="160" w:name="_Toc427748116"/>
      <w:bookmarkStart w:id="161" w:name="_Toc28078218"/>
      <w:r>
        <w:rPr>
          <w:rFonts w:hint="eastAsia" w:ascii="宋体" w:hAnsi="宋体" w:eastAsia="宋体" w:cs="宋体"/>
          <w:sz w:val="28"/>
          <w:szCs w:val="28"/>
          <w:lang w:val="en-US" w:eastAsia="zh-CN" w:bidi="ar-SA"/>
        </w:rPr>
        <w:t>4、</w:t>
      </w:r>
      <w:bookmarkEnd w:id="157"/>
      <w:bookmarkEnd w:id="158"/>
      <w:r>
        <w:rPr>
          <w:rFonts w:hint="eastAsia" w:ascii="宋体" w:hAnsi="宋体" w:eastAsia="宋体" w:cs="宋体"/>
          <w:sz w:val="28"/>
          <w:szCs w:val="28"/>
          <w:lang w:val="en-US" w:eastAsia="zh-CN" w:bidi="ar-SA"/>
        </w:rPr>
        <w:t>安装、调试</w:t>
      </w:r>
      <w:bookmarkEnd w:id="159"/>
      <w:bookmarkEnd w:id="160"/>
      <w:bookmarkEnd w:id="161"/>
    </w:p>
    <w:p>
      <w:pPr>
        <w:pStyle w:val="8"/>
        <w:spacing w:before="245" w:line="364" w:lineRule="auto"/>
        <w:ind w:left="160" w:right="139" w:firstLine="480"/>
        <w:rPr>
          <w:spacing w:val="-6"/>
        </w:rPr>
      </w:pPr>
      <w:r>
        <w:rPr>
          <w:rFonts w:hint="eastAsia"/>
          <w:spacing w:val="-6"/>
        </w:rPr>
        <w:t>4.1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pPr>
        <w:pStyle w:val="8"/>
        <w:spacing w:before="245" w:line="364" w:lineRule="auto"/>
        <w:ind w:left="160" w:right="139" w:firstLine="480"/>
        <w:rPr>
          <w:spacing w:val="-6"/>
        </w:rPr>
      </w:pPr>
      <w:r>
        <w:rPr>
          <w:rFonts w:hint="eastAsia"/>
          <w:spacing w:val="-6"/>
        </w:rPr>
        <w:t>4.2成交供应商应按合同规定的交货期要求，在采购人指定的安装地点（不超过磋商文件规定的供货地）进行产品安装调试。对于有特殊安装场地要求的产品，成交供应商应在安装前</w:t>
      </w:r>
      <w:r>
        <w:rPr>
          <w:spacing w:val="-6"/>
        </w:rPr>
        <w:t>20</w:t>
      </w:r>
      <w:r>
        <w:rPr>
          <w:rFonts w:hint="eastAsia"/>
          <w:spacing w:val="-6"/>
        </w:rPr>
        <w:t>天内以书面形式通知采购人，以便进行场地准备。所提供的所有产品必须在安装后，进行加电测试运行正常，并经有关检测部门检测取得相关合格证。</w:t>
      </w:r>
    </w:p>
    <w:p>
      <w:pPr>
        <w:widowControl/>
        <w:spacing w:before="100" w:beforeAutospacing="1" w:after="100" w:afterAutospacing="1" w:line="240" w:lineRule="auto"/>
        <w:ind w:firstLine="542"/>
        <w:jc w:val="left"/>
        <w:outlineLvl w:val="2"/>
        <w:rPr>
          <w:rFonts w:ascii="宋体" w:hAnsi="宋体" w:eastAsia="宋体" w:cs="宋体"/>
          <w:sz w:val="28"/>
          <w:szCs w:val="28"/>
          <w:lang w:val="en-US" w:eastAsia="zh-CN" w:bidi="ar-SA"/>
        </w:rPr>
      </w:pPr>
      <w:bookmarkStart w:id="162" w:name="_Toc28078219"/>
      <w:bookmarkStart w:id="163" w:name="_Toc376936793"/>
      <w:bookmarkStart w:id="164" w:name="_Toc13971"/>
      <w:bookmarkStart w:id="165" w:name="_Toc352076754"/>
      <w:bookmarkStart w:id="166" w:name="_Toc427748117"/>
      <w:r>
        <w:rPr>
          <w:rFonts w:hint="eastAsia" w:ascii="宋体" w:hAnsi="宋体" w:eastAsia="宋体" w:cs="宋体"/>
          <w:sz w:val="28"/>
          <w:szCs w:val="28"/>
          <w:lang w:val="en-US" w:eastAsia="zh-CN" w:bidi="ar-SA"/>
        </w:rPr>
        <w:t>5、维护服务和技术支持</w:t>
      </w:r>
      <w:bookmarkEnd w:id="162"/>
      <w:bookmarkEnd w:id="163"/>
      <w:bookmarkEnd w:id="164"/>
      <w:bookmarkEnd w:id="165"/>
      <w:bookmarkEnd w:id="166"/>
    </w:p>
    <w:p>
      <w:pPr>
        <w:pStyle w:val="8"/>
        <w:spacing w:before="245" w:line="364" w:lineRule="auto"/>
        <w:ind w:left="160" w:right="139" w:firstLine="480"/>
        <w:rPr>
          <w:rFonts w:hint="eastAsia"/>
          <w:spacing w:val="-6"/>
        </w:rPr>
      </w:pPr>
      <w:r>
        <w:rPr>
          <w:rFonts w:hint="eastAsia"/>
          <w:spacing w:val="-6"/>
        </w:rPr>
        <w:t>5.1自最终采购人验收签字之日起，开始计算免费保修期，免费保修期参照国家及产品参数中的规定。</w:t>
      </w:r>
    </w:p>
    <w:p>
      <w:pPr>
        <w:pStyle w:val="8"/>
        <w:spacing w:before="245" w:line="364" w:lineRule="auto"/>
        <w:ind w:left="160" w:right="139" w:firstLine="480"/>
        <w:rPr>
          <w:rFonts w:hint="eastAsia"/>
          <w:spacing w:val="-6"/>
        </w:rPr>
      </w:pPr>
      <w:r>
        <w:rPr>
          <w:rFonts w:hint="eastAsia"/>
          <w:spacing w:val="-6"/>
        </w:rPr>
        <w:t>5.2在免费保修期内，所有服务不能包含任何费用，包括备件费、差旅费等。</w:t>
      </w:r>
    </w:p>
    <w:p>
      <w:pPr>
        <w:pStyle w:val="8"/>
        <w:spacing w:before="245" w:line="364" w:lineRule="auto"/>
        <w:ind w:left="160" w:right="139" w:firstLine="480"/>
        <w:rPr>
          <w:rFonts w:hint="eastAsia"/>
          <w:spacing w:val="-6"/>
        </w:rPr>
      </w:pPr>
      <w:r>
        <w:rPr>
          <w:rFonts w:hint="eastAsia"/>
          <w:spacing w:val="-6"/>
        </w:rPr>
        <w:t>5.3供应商在保修期内更换的任何零配件，必须是其原产品厂家生产的或是经其认可的。</w:t>
      </w:r>
    </w:p>
    <w:p>
      <w:pPr>
        <w:pStyle w:val="8"/>
        <w:spacing w:before="245" w:line="364" w:lineRule="auto"/>
        <w:ind w:left="160" w:right="139" w:firstLine="480"/>
        <w:rPr>
          <w:rFonts w:hint="eastAsia"/>
          <w:spacing w:val="-6"/>
        </w:rPr>
      </w:pPr>
      <w:r>
        <w:rPr>
          <w:rFonts w:hint="eastAsia"/>
          <w:spacing w:val="-6"/>
        </w:rPr>
        <w:t>5.4紧急故障处理：市区内1小时赶到现场，接到外地故障报告即刻动身实行短时间内抢修服务。</w:t>
      </w:r>
    </w:p>
    <w:p>
      <w:pPr>
        <w:pStyle w:val="8"/>
        <w:spacing w:before="245" w:line="364" w:lineRule="auto"/>
        <w:ind w:left="160" w:right="139" w:firstLine="480"/>
        <w:rPr>
          <w:rFonts w:hint="eastAsia"/>
          <w:spacing w:val="-6"/>
        </w:rPr>
      </w:pPr>
      <w:r>
        <w:rPr>
          <w:rFonts w:hint="eastAsia"/>
          <w:spacing w:val="-6"/>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pStyle w:val="8"/>
        <w:spacing w:before="245" w:line="364" w:lineRule="auto"/>
        <w:ind w:left="160" w:right="139" w:firstLine="480"/>
        <w:rPr>
          <w:rFonts w:hint="eastAsia"/>
          <w:spacing w:val="-6"/>
        </w:rPr>
      </w:pPr>
      <w:r>
        <w:rPr>
          <w:rFonts w:hint="eastAsia"/>
          <w:spacing w:val="-6"/>
        </w:rPr>
        <w:t>5.6组织人员负责提供对使用人员的免费培训工作，直至使用人员能独立管理、操作、维护。免费培训包括：免费提供相应的培训教室、教师授课等费用。</w:t>
      </w:r>
    </w:p>
    <w:p>
      <w:pPr>
        <w:pStyle w:val="8"/>
        <w:spacing w:before="245" w:line="364" w:lineRule="auto"/>
        <w:ind w:left="160" w:right="139" w:firstLine="480"/>
        <w:rPr>
          <w:rFonts w:hint="eastAsia"/>
          <w:spacing w:val="-6"/>
        </w:rPr>
      </w:pPr>
      <w:r>
        <w:rPr>
          <w:rFonts w:hint="eastAsia"/>
          <w:spacing w:val="-6"/>
        </w:rPr>
        <w:t xml:space="preserve">5.7保证365×24小时正常运行，如产品发生故障，成交供应商在接到采购人报修通知后3小时内派专业技术人员到达现场进行维修，并提供免费服务。 </w:t>
      </w:r>
    </w:p>
    <w:p>
      <w:pPr>
        <w:pStyle w:val="8"/>
        <w:spacing w:before="245" w:line="364" w:lineRule="auto"/>
        <w:ind w:left="160" w:right="139" w:firstLine="480"/>
        <w:rPr>
          <w:rFonts w:hint="eastAsia"/>
          <w:spacing w:val="-6"/>
        </w:rPr>
      </w:pPr>
      <w:r>
        <w:rPr>
          <w:rFonts w:hint="eastAsia"/>
          <w:spacing w:val="-6"/>
        </w:rPr>
        <w:t>5.8投标产品选用的基础软件必须是正版软件。</w:t>
      </w:r>
    </w:p>
    <w:p>
      <w:pPr>
        <w:pStyle w:val="8"/>
        <w:spacing w:before="245" w:line="364" w:lineRule="auto"/>
        <w:ind w:left="160" w:right="139" w:firstLine="480"/>
        <w:rPr>
          <w:rFonts w:hint="eastAsia"/>
          <w:spacing w:val="-6"/>
        </w:rPr>
      </w:pPr>
      <w:r>
        <w:rPr>
          <w:rFonts w:hint="eastAsia"/>
          <w:spacing w:val="-6"/>
        </w:rPr>
        <w:t>5.9所有产品的配送、培训、安装、调试等费用均包含在成交价格中。</w:t>
      </w:r>
    </w:p>
    <w:p>
      <w:pPr>
        <w:pStyle w:val="8"/>
        <w:spacing w:before="245" w:line="364" w:lineRule="auto"/>
        <w:ind w:left="160" w:right="139" w:firstLine="480"/>
        <w:rPr>
          <w:rFonts w:hint="eastAsia"/>
          <w:spacing w:val="-6"/>
        </w:rPr>
      </w:pPr>
      <w:r>
        <w:rPr>
          <w:rFonts w:hint="eastAsia"/>
          <w:spacing w:val="-6"/>
        </w:rPr>
        <w:t>5.10其他事项见项目具体要求。</w:t>
      </w:r>
    </w:p>
    <w:p>
      <w:pPr>
        <w:keepNext w:val="0"/>
        <w:keepLines w:val="0"/>
        <w:pageBreakBefore w:val="0"/>
        <w:widowControl/>
        <w:kinsoku/>
        <w:wordWrap/>
        <w:overflowPunct/>
        <w:topLinePunct w:val="0"/>
        <w:autoSpaceDE w:val="0"/>
        <w:autoSpaceDN w:val="0"/>
        <w:bidi w:val="0"/>
        <w:adjustRightInd/>
        <w:snapToGrid/>
        <w:spacing w:before="100" w:beforeAutospacing="1" w:after="100" w:afterAutospacing="1" w:line="365" w:lineRule="auto"/>
        <w:ind w:firstLine="542"/>
        <w:jc w:val="left"/>
        <w:textAlignment w:val="auto"/>
        <w:outlineLvl w:val="2"/>
        <w:rPr>
          <w:rFonts w:hint="eastAsia" w:ascii="宋体" w:hAnsi="宋体" w:eastAsia="宋体" w:cs="宋体"/>
          <w:sz w:val="28"/>
          <w:szCs w:val="28"/>
          <w:lang w:val="en-US" w:eastAsia="zh-CN" w:bidi="ar-SA"/>
        </w:rPr>
      </w:pPr>
      <w:bookmarkStart w:id="167" w:name="_Toc376936794"/>
      <w:bookmarkStart w:id="168" w:name="_Toc352076755"/>
      <w:bookmarkStart w:id="169" w:name="_Toc3131"/>
      <w:bookmarkStart w:id="170" w:name="_Toc427748118"/>
      <w:bookmarkStart w:id="171" w:name="_Toc28078220"/>
      <w:r>
        <w:rPr>
          <w:rFonts w:hint="eastAsia" w:ascii="宋体" w:hAnsi="宋体" w:eastAsia="宋体" w:cs="宋体"/>
          <w:sz w:val="28"/>
          <w:szCs w:val="28"/>
          <w:lang w:val="en-US" w:eastAsia="zh-CN" w:bidi="ar-SA"/>
        </w:rPr>
        <w:t>6、其他要求</w:t>
      </w:r>
      <w:bookmarkEnd w:id="167"/>
      <w:bookmarkEnd w:id="168"/>
      <w:bookmarkEnd w:id="169"/>
      <w:bookmarkEnd w:id="170"/>
      <w:bookmarkEnd w:id="171"/>
    </w:p>
    <w:p>
      <w:pPr>
        <w:pStyle w:val="8"/>
        <w:keepNext w:val="0"/>
        <w:keepLines w:val="0"/>
        <w:pageBreakBefore w:val="0"/>
        <w:kinsoku/>
        <w:wordWrap/>
        <w:overflowPunct/>
        <w:topLinePunct w:val="0"/>
        <w:autoSpaceDE w:val="0"/>
        <w:autoSpaceDN w:val="0"/>
        <w:bidi w:val="0"/>
        <w:adjustRightInd/>
        <w:snapToGrid/>
        <w:spacing w:before="245" w:line="365" w:lineRule="auto"/>
        <w:ind w:left="160" w:right="139" w:firstLine="480"/>
        <w:textAlignment w:val="auto"/>
        <w:rPr>
          <w:spacing w:val="-6"/>
        </w:rPr>
      </w:pPr>
      <w:r>
        <w:rPr>
          <w:rFonts w:hint="eastAsia"/>
          <w:spacing w:val="-6"/>
        </w:rPr>
        <w:t>6.1本次采购活动中，所投产品应优先采用“环境标志产品政府采购清单”中有效期内的产品和“节能产品政府采购清单” 中有效期内的产品以及通过国家强制性产品认证（即国家</w:t>
      </w:r>
      <w:r>
        <w:rPr>
          <w:spacing w:val="-6"/>
        </w:rPr>
        <w:t>CCC</w:t>
      </w:r>
      <w:r>
        <w:rPr>
          <w:rFonts w:hint="eastAsia"/>
          <w:spacing w:val="-6"/>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磋商文件不符，属于产品核心内容的，视为未实质性响应磋商文件，属于产品非核心内容的，生产厂商须对每一项参数出具说明。否则，视为响应磋商文件不足。</w:t>
      </w:r>
    </w:p>
    <w:p>
      <w:pPr>
        <w:pStyle w:val="8"/>
        <w:keepNext w:val="0"/>
        <w:keepLines w:val="0"/>
        <w:pageBreakBefore w:val="0"/>
        <w:kinsoku/>
        <w:wordWrap/>
        <w:overflowPunct/>
        <w:topLinePunct w:val="0"/>
        <w:autoSpaceDE w:val="0"/>
        <w:autoSpaceDN w:val="0"/>
        <w:bidi w:val="0"/>
        <w:adjustRightInd/>
        <w:snapToGrid/>
        <w:spacing w:before="245" w:line="365" w:lineRule="auto"/>
        <w:ind w:left="160" w:right="139" w:firstLine="480"/>
        <w:textAlignment w:val="auto"/>
        <w:rPr>
          <w:rFonts w:hint="eastAsia" w:ascii="宋体" w:hAnsi="宋体"/>
        </w:rPr>
        <w:sectPr>
          <w:footerReference r:id="rId24" w:type="default"/>
          <w:footerReference r:id="rId25" w:type="even"/>
          <w:pgSz w:w="11906" w:h="16838"/>
          <w:pgMar w:top="1560" w:right="1531" w:bottom="568" w:left="1588" w:header="1021" w:footer="866" w:gutter="0"/>
          <w:cols w:space="720" w:num="1"/>
          <w:docGrid w:linePitch="312" w:charSpace="0"/>
        </w:sectPr>
      </w:pPr>
      <w:r>
        <w:rPr>
          <w:rFonts w:hint="eastAsia"/>
          <w:spacing w:val="-6"/>
        </w:rPr>
        <w:t>6.2 技术参数中除注明供货时提供的资料以外，其余相关资料在投标时必须附在磋商响应文件中。</w:t>
      </w:r>
    </w:p>
    <w:p>
      <w:pPr>
        <w:numPr>
          <w:ilvl w:val="0"/>
          <w:numId w:val="0"/>
        </w:numPr>
        <w:rPr>
          <w:rFonts w:hint="eastAsia"/>
          <w:lang w:val="en-US" w:eastAsia="zh-CN"/>
        </w:rPr>
      </w:pPr>
    </w:p>
    <w:p>
      <w:pPr>
        <w:pStyle w:val="8"/>
        <w:jc w:val="center"/>
        <w:outlineLvl w:val="2"/>
        <w:rPr>
          <w:rFonts w:hint="eastAsia" w:cs="宋体"/>
          <w:sz w:val="32"/>
          <w:szCs w:val="32"/>
          <w:lang w:val="en-US" w:eastAsia="zh-CN" w:bidi="ar-SA"/>
        </w:rPr>
      </w:pPr>
      <w:bookmarkStart w:id="172" w:name="_Toc16216"/>
      <w:r>
        <w:rPr>
          <w:rFonts w:hint="eastAsia" w:cs="宋体"/>
          <w:sz w:val="32"/>
          <w:szCs w:val="32"/>
          <w:lang w:val="en-US" w:eastAsia="zh-CN" w:bidi="ar-SA"/>
        </w:rPr>
        <w:t>采购一览表及技术参数</w:t>
      </w:r>
      <w:bookmarkEnd w:id="172"/>
      <w:r>
        <w:rPr>
          <w:rFonts w:hint="eastAsia" w:cs="宋体"/>
          <w:sz w:val="32"/>
          <w:szCs w:val="32"/>
          <w:lang w:val="en-US" w:eastAsia="zh-CN" w:bidi="ar-SA"/>
        </w:rPr>
        <w:t xml:space="preserve">          </w:t>
      </w:r>
    </w:p>
    <w:p>
      <w:pPr>
        <w:pStyle w:val="8"/>
        <w:jc w:val="center"/>
        <w:outlineLvl w:val="1"/>
        <w:rPr>
          <w:rFonts w:hint="eastAsia" w:cs="宋体"/>
          <w:sz w:val="24"/>
          <w:szCs w:val="24"/>
          <w:lang w:val="en-US" w:eastAsia="zh-CN" w:bidi="ar-SA"/>
        </w:rPr>
      </w:pPr>
      <w:r>
        <w:rPr>
          <w:rFonts w:hint="eastAsia" w:cs="宋体"/>
          <w:sz w:val="24"/>
          <w:szCs w:val="24"/>
          <w:lang w:val="en-US" w:eastAsia="zh-CN" w:bidi="ar-SA"/>
        </w:rPr>
        <w:t xml:space="preserve">                                                            </w:t>
      </w:r>
      <w:bookmarkStart w:id="173" w:name="_Toc8304"/>
      <w:r>
        <w:rPr>
          <w:rFonts w:hint="eastAsia" w:cs="宋体"/>
          <w:sz w:val="24"/>
          <w:szCs w:val="24"/>
          <w:lang w:val="en-US" w:eastAsia="zh-CN" w:bidi="ar-SA"/>
        </w:rPr>
        <w:t>采购预算额度：160万元</w:t>
      </w:r>
      <w:bookmarkEnd w:id="173"/>
    </w:p>
    <w:tbl>
      <w:tblPr>
        <w:tblW w:w="10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7"/>
        <w:gridCol w:w="1007"/>
        <w:gridCol w:w="3609"/>
        <w:gridCol w:w="3191"/>
        <w:gridCol w:w="1007"/>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5" w:hRule="atLeast"/>
        </w:trPr>
        <w:tc>
          <w:tcPr>
            <w:tcW w:w="6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序号</w:t>
            </w:r>
          </w:p>
        </w:tc>
        <w:tc>
          <w:tcPr>
            <w:tcW w:w="10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名称</w:t>
            </w:r>
          </w:p>
        </w:tc>
        <w:tc>
          <w:tcPr>
            <w:tcW w:w="68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bdr w:val="none" w:color="auto" w:sz="0" w:space="0"/>
                <w:lang w:val="en-US" w:eastAsia="zh-CN" w:bidi="ar"/>
              </w:rPr>
              <w:t>技术参数</w:t>
            </w:r>
          </w:p>
        </w:tc>
        <w:tc>
          <w:tcPr>
            <w:tcW w:w="10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单位</w:t>
            </w:r>
          </w:p>
        </w:tc>
        <w:tc>
          <w:tcPr>
            <w:tcW w:w="10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车辆</w:t>
            </w: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车身结构</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SUV</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辆</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驱动方式</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前置四驱</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排量(L)</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变速器形式</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手自一体</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最高车速(km/h)</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100公里加速时间(s)</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NEDC综合油耗(L/100km)</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整车整备质量(kg)</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保修里程</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四年或10万公里</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能源类型</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汽油</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排量(mL)</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1989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进气形式</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涡轮增压</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气缸排列形式</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直列</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气缸数(个)</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每缸气门数(个)</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最大马力(Ps)</w:t>
            </w:r>
          </w:p>
        </w:tc>
        <w:tc>
          <w:tcPr>
            <w:tcW w:w="3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最大功率(kW)</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颜色</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两辆均为黑色（民用牌）</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车辆</w:t>
            </w: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"https://baike.pcauto.com.cn/915.html" \o "https://baike.pcauto.com.cn/915.html"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级别</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中型SUV</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辆</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"https://baike.pcauto.com.cn/11.html" \o "https://baike.pcauto.com.cn/11.html"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发动机</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2.5L L4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"https://baike.pcauto.com.cn/694.html" \o "https://baike.pcauto.com.cn/694.html"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最大马力(PS)</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193</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"https://baike.pcauto.com.cn/695.html" \o "https://baike.pcauto.com.cn/695.html"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最大扭矩(N·m)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245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"https://baike.pcauto.com.cn/482.html" \o "https://baike.pcauto.com.cn/482.html"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变速箱</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7挡手自一体</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"https://baike.pcauto.com.cn/109.html" \o "https://baike.pcauto.com.cn/109.html"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车身类型</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5门5座SUV</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"https://baike.pcauto.com.cn/702.html" \o "https://baike.pcauto.com.cn/702.html"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最高车速(km/h)</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165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"https://baike.pcauto.com.cn/924.html" \o "https://baike.pcauto.com.cn/924.html"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实测0-100km/h加速(s)</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11.78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"https://baike.pcauto.com.cn/916.html" \o "https://baike.pcauto.com.cn/916.html"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实测100-0km/h制动(m)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43.07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"https://baike.pcauto.com.cn/923.html" \o "https://baike.pcauto.com.cn/923.html"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工信部综合油耗(L/100km)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9.6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"https://baike.pcauto.com.cn/703.html" \o "https://baike.pcauto.com.cn/703.html"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整车质保</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三年或10万公里</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"https://baike.pcauto.com.cn/512.html" \o "https://baike.pcauto.com.cn/512.html"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前轮距(mm)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1570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"https://baike.pcauto.com.cn/513.html" \o "https://baike.pcauto.com.cn/513.html"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后轮距(mm)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1570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"https://baike.pcauto.com.cn/511.html" \o "https://baike.pcauto.com.cn/511.html"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车重(kg)</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1934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"https://baike.pcauto.com.cn/514.html" \o "https://baike.pcauto.com.cn/514.html"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座位数(个)</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"https://baike.pcauto.com.cn/682.html" \o "https://baike.pcauto.com.cn/682.html"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排量(mL)</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2488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"https://baike.pcauto.com.cn/694.html" \o "https://baike.pcauto.com.cn/694.html"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最大马力(PS)</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193</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"https://baike.pcauto.com.cn/683.html" \o "https://baike.pcauto.com.cn/683.html"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最大功率(kW)</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142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"https://baike.pcauto.com.cn/684.html" \o "https://baike.pcauto.com.cn/684.html"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最大功率转速(rpm)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6000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"https://baike.pcauto.com.cn/906.html" \o "https://baike.pcauto.com.cn/906.html"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气缸数(个)</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"https://baike.pcauto.com.cn/686.html" \o "https://baike.pcauto.com.cn/686.html"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每缸气门数(个)</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"https://baike.pcauto.com.cn/687.html" \o "https://baike.pcauto.com.cn/687.html"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压缩比</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"https://baike.pcauto.com.cn/21.html" \o "https://baike.pcauto.com.cn/21.html"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配气机构</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DOHC</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"https://baike.pcauto.com.cn/670.html" \o "https://baike.pcauto.com.cn/670.html"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发动机特有技术</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C-VTC连续可变气门正时</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"https://baike.pcauto.com.cn/690.html" \o "https://baike.pcauto.com.cn/690.html"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燃料形式</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汽油</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颜色</w:t>
            </w:r>
          </w:p>
        </w:tc>
        <w:tc>
          <w:tcPr>
            <w:tcW w:w="3191"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两辆均为珠光白（一辆为警车）</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发动机</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2.0L涡轮增压</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动力类型</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汽油机</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"https://yp.xcar.com.cn/wiki/74/" \o "https://yp.xcar.com.cn/wiki/74/"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变速箱</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8挡AT</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"https://yp.xcar.com.cn/wiki/detail_577.html" \o "https://yp.xcar.com.cn/wiki/detail_577.html"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车身结构</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5门 5座 SUV</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上市年份</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2020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"https://yp.xcar.com.cn/wiki/detail_580.html" \o "https://yp.xcar.com.cn/wiki/detail_580.html"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工信部油耗(L/100km)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"https://yp.xcar.com.cn/wiki/detail_581.html" \o "https://yp.xcar.com.cn/wiki/detail_581.html"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整车质保政策</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5年或15万公里</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"https://yp.xcar.com.cn/wiki/detail_577.html" \o "https://yp.xcar.com.cn/wiki/detail_577.html"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车身结构</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SUV</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车门数</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座位数</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"https://yp.xcar.com.cn/wiki/detail_584.html" \o "https://yp.xcar.com.cn/wiki/detail_584.html"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油箱容积(L)</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"https://yp.xcar.com.cn/wiki/detail_433.html" \o "https://yp.xcar.com.cn/wiki/detail_433.html"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排量(L)</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"https://yp.xcar.com.cn/wiki/detail_433.html" \o "https://yp.xcar.com.cn/wiki/detail_433.html"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排量(mL)</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1967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"https://yp.xcar.com.cn/wiki/detail_501.html" \o "https://yp.xcar.com.cn/wiki/detail_501.html"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汽缸数</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"https://yp.xcar.com.cn/wiki/detail_510.html" \o "https://yp.xcar.com.cn/wiki/detail_510.html"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每缸气门数(个)</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燃料</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汽油</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"https://yp.xcar.com.cn/wiki/detail_434.html" \o "https://yp.xcar.com.cn/wiki/detail_434.html"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燃油标号</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92号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"https://yp.xcar.com.cn/wiki/detail_400.html" \o "https://yp.xcar.com.cn/wiki/detail_400.html"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挡位个数</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变速箱类型</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AT</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"https://yp.xcar.com.cn/wiki/74/" \o "https://yp.xcar.com.cn/wiki/74/"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变速箱名称</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8挡手自一体变速箱</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"https://yp.xcar.com.cn/wiki/detail_640.html" \o "https://yp.xcar.com.cn/wiki/detail_640.html"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驱动方式</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前置四驱</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"https://yp.xcar.com.cn/wiki/detail_161.html" \o "https://yp.xcar.com.cn/wiki/detail_161.html"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四驱形式</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分时四驱</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颜色</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一辆为黑色、一辆为警车</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发动机</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2.0L涡轮增压</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动力类型</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汽油机</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"https://yp.xcar.com.cn/wiki/74/" \o "https://yp.xcar.com.cn/wiki/74/"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变速箱</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9挡AT</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"https://yp.xcar.com.cn/wiki/detail_577.html" \o "https://yp.xcar.com.cn/wiki/detail_577.html"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车身结构</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5门 7座 MPV</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"https://yp.xcar.com.cn/wiki/detail_578.html" \o "https://yp.xcar.com.cn/wiki/detail_578.html"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最高车速(km/h)</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195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"https://yp.xcar.com.cn/wiki/detail_579.html" \o "https://yp.xcar.com.cn/wiki/detail_579.html"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0-100加速时间(s)</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9.5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"https://yp.xcar.com.cn/wiki/detail_581.html" \o "https://yp.xcar.com.cn/wiki/detail_581.html"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整车质保政策</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3年或10万公里</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"https://yp.xcar.com.cn/wiki/detail_583.html" \o "https://yp.xcar.com.cn/wiki/detail_583.html"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前轮距(mm)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1602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"https://yp.xcar.com.cn/wiki/detail_582.html" \o "https://yp.xcar.com.cn/wiki/detail_582.html"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后轮距(mm)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1605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"https://yp.xcar.com.cn/wiki/detail_584.html" \o "https://yp.xcar.com.cn/wiki/detail_584.html"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油箱容积(L)</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"https://yp.xcar.com.cn/wiki/detail_124.html" \o "https://yp.xcar.com.cn/wiki/detail_124.html"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行李厢最小容积(L)</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475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行李厢最大容积(L)</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1605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"https://yp.xcar.com.cn/wiki/detail_433.html" \o "https://yp.xcar.com.cn/wiki/detail_433.html"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排量(L)</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"https://yp.xcar.com.cn/wiki/detail_433.html" \o "https://yp.xcar.com.cn/wiki/detail_433.html"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排量(mL)</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1998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最大马力(Ps)</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237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"https://yp.xcar.com.cn/wiki/detail_572.html" \o "https://yp.xcar.com.cn/wiki/detail_572.html"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最大功率(kW/rpm)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174/5000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instrText xml:space="preserve"> HYPERLINK "https://yp.xcar.com.cn/wiki/detail_574.html" \o "https://yp.xcar.com.cn/wiki/detail_574.html" </w:instrTex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separate"/>
            </w:r>
            <w:r>
              <w:rPr>
                <w:rStyle w:val="27"/>
                <w:rFonts w:hint="eastAsia" w:ascii="宋体" w:hAnsi="宋体" w:eastAsia="宋体" w:cs="宋体"/>
                <w:i w:val="0"/>
                <w:iCs w:val="0"/>
                <w:color w:val="000000" w:themeColor="text1"/>
                <w:sz w:val="28"/>
                <w:szCs w:val="28"/>
                <w:u w:val="none"/>
                <w:bdr w:val="none" w:color="auto" w:sz="0" w:space="0"/>
                <w14:textFill>
                  <w14:solidFill>
                    <w14:schemeClr w14:val="tx1"/>
                  </w14:solidFill>
                </w14:textFill>
              </w:rPr>
              <w:t>最大扭矩(Nm/rpm)</w:t>
            </w: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fldChar w:fldCharType="end"/>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350/1500-4000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燃料</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8"/>
                <w:szCs w:val="28"/>
                <w:u w:val="none"/>
              </w:rPr>
            </w:pPr>
            <w:r>
              <w:rPr>
                <w:rFonts w:hint="eastAsia" w:ascii="宋体" w:hAnsi="宋体" w:eastAsia="宋体" w:cs="宋体"/>
                <w:i w:val="0"/>
                <w:iCs w:val="0"/>
                <w:color w:val="333333"/>
                <w:kern w:val="0"/>
                <w:sz w:val="28"/>
                <w:szCs w:val="28"/>
                <w:u w:val="none"/>
                <w:bdr w:val="none" w:color="auto" w:sz="0" w:space="0"/>
                <w:lang w:val="en-US" w:eastAsia="zh-CN" w:bidi="ar"/>
              </w:rPr>
              <w:t>汽油</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bdr w:val="none" w:color="auto" w:sz="0" w:space="0"/>
                <w:lang w:val="en-US" w:eastAsia="zh-CN" w:bidi="ar"/>
                <w14:textFill>
                  <w14:solidFill>
                    <w14:schemeClr w14:val="tx1"/>
                  </w14:solidFill>
                </w14:textFill>
              </w:rPr>
              <w:t>颜色</w:t>
            </w:r>
          </w:p>
        </w:tc>
        <w:tc>
          <w:tcPr>
            <w:tcW w:w="3191" w:type="dxa"/>
            <w:tcBorders>
              <w:top w:val="single" w:color="000000" w:sz="4" w:space="0"/>
              <w:left w:val="single" w:color="000000" w:sz="4" w:space="0"/>
              <w:bottom w:val="single" w:color="000000" w:sz="4" w:space="0"/>
              <w:right w:val="single" w:color="000000" w:sz="4" w:space="0"/>
            </w:tcBorders>
            <w:shd w:val="clear" w:color="auto" w:fill="F7F7F7"/>
            <w:vAlign w:val="center"/>
          </w:tcPr>
          <w:p>
            <w:pPr>
              <w:keepNext w:val="0"/>
              <w:keepLines w:val="0"/>
              <w:widowControl/>
              <w:suppressLineNumbers w:val="0"/>
              <w:jc w:val="center"/>
              <w:textAlignment w:val="center"/>
              <w:rPr>
                <w:rFonts w:hint="eastAsia" w:ascii="宋体" w:hAnsi="宋体" w:eastAsia="宋体" w:cs="宋体"/>
                <w:i w:val="0"/>
                <w:iCs w:val="0"/>
                <w:color w:val="444444"/>
                <w:sz w:val="28"/>
                <w:szCs w:val="28"/>
                <w:u w:val="none"/>
              </w:rPr>
            </w:pPr>
            <w:r>
              <w:rPr>
                <w:rFonts w:hint="eastAsia" w:ascii="宋体" w:hAnsi="宋体" w:eastAsia="宋体" w:cs="宋体"/>
                <w:i w:val="0"/>
                <w:iCs w:val="0"/>
                <w:color w:val="444444"/>
                <w:kern w:val="0"/>
                <w:sz w:val="28"/>
                <w:szCs w:val="28"/>
                <w:u w:val="none"/>
                <w:bdr w:val="none" w:color="auto" w:sz="0" w:space="0"/>
                <w:lang w:val="en-US" w:eastAsia="zh-CN" w:bidi="ar"/>
              </w:rPr>
              <w:t>陨铁灰</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bl>
    <w:p>
      <w:pPr>
        <w:pStyle w:val="8"/>
        <w:jc w:val="center"/>
        <w:outlineLvl w:val="1"/>
        <w:rPr>
          <w:rFonts w:hint="default" w:cs="宋体"/>
          <w:sz w:val="24"/>
          <w:szCs w:val="24"/>
          <w:lang w:val="en-US" w:eastAsia="zh-CN" w:bidi="ar-SA"/>
        </w:rPr>
      </w:pPr>
    </w:p>
    <w:p>
      <w:pPr>
        <w:pStyle w:val="8"/>
        <w:jc w:val="both"/>
        <w:rPr>
          <w:rFonts w:hint="default" w:ascii="宋体" w:hAnsi="宋体" w:eastAsia="宋体" w:cs="宋体"/>
          <w:i w:val="0"/>
          <w:iCs w:val="0"/>
          <w:color w:val="000000"/>
          <w:kern w:val="0"/>
          <w:sz w:val="24"/>
          <w:szCs w:val="24"/>
          <w:u w:val="none"/>
          <w:lang w:val="en-US" w:eastAsia="zh-CN" w:bidi="ar"/>
        </w:rPr>
        <w:sectPr>
          <w:pgSz w:w="12240" w:h="15840"/>
          <w:pgMar w:top="1440" w:right="820" w:bottom="900" w:left="920" w:header="1153" w:footer="708" w:gutter="0"/>
          <w:pgNumType w:fmt="decimal"/>
          <w:cols w:space="720" w:num="1"/>
        </w:sectPr>
      </w:pP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sectPr>
      <w:headerReference r:id="rId26" w:type="default"/>
      <w:footerReference r:id="rId27" w:type="default"/>
      <w:pgSz w:w="12240" w:h="15840"/>
      <w:pgMar w:top="540" w:right="900" w:bottom="1320" w:left="1400" w:header="1153" w:footer="70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ind w:left="20"/>
      <w:rPr>
        <w:sz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
                            <w:ind w:left="20"/>
                          </w:pPr>
                          <w:r>
                            <w:rPr>
                              <w:spacing w:val="-1"/>
                              <w:sz w:val="18"/>
                            </w:rPr>
                            <w:t xml:space="preserve">第 </w:t>
                          </w:r>
                          <w:r>
                            <w:fldChar w:fldCharType="begin"/>
                          </w:r>
                          <w:r>
                            <w:rPr>
                              <w:rFonts w:ascii="Times New Roman" w:eastAsia="Times New Roman"/>
                              <w:sz w:val="18"/>
                            </w:rPr>
                            <w:instrText xml:space="preserve"> PAGE </w:instrText>
                          </w:r>
                          <w:r>
                            <w:fldChar w:fldCharType="separate"/>
                          </w:r>
                          <w:r>
                            <w:t>5</w:t>
                          </w:r>
                          <w:r>
                            <w:fldChar w:fldCharType="end"/>
                          </w:r>
                          <w:r>
                            <w:rPr>
                              <w:rFonts w:ascii="Times New Roman" w:eastAsia="Times New Roman"/>
                              <w:spacing w:val="1"/>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pacing w:before="3"/>
                      <w:ind w:left="20"/>
                    </w:pPr>
                    <w:r>
                      <w:rPr>
                        <w:spacing w:val="-1"/>
                        <w:sz w:val="18"/>
                      </w:rPr>
                      <w:t xml:space="preserve">第 </w:t>
                    </w:r>
                    <w:r>
                      <w:fldChar w:fldCharType="begin"/>
                    </w:r>
                    <w:r>
                      <w:rPr>
                        <w:rFonts w:ascii="Times New Roman" w:eastAsia="Times New Roman"/>
                        <w:sz w:val="18"/>
                      </w:rPr>
                      <w:instrText xml:space="preserve"> PAGE </w:instrText>
                    </w:r>
                    <w:r>
                      <w:fldChar w:fldCharType="separate"/>
                    </w:r>
                    <w:r>
                      <w:t>5</w:t>
                    </w:r>
                    <w:r>
                      <w:fldChar w:fldCharType="end"/>
                    </w:r>
                    <w:r>
                      <w:rPr>
                        <w:rFonts w:ascii="Times New Roman" w:eastAsia="Times New Roman"/>
                        <w:spacing w:val="1"/>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v:textbox>
            </v:shape>
          </w:pict>
        </mc:Fallback>
      </mc:AlternateContent>
    </w:r>
  </w:p>
  <w:p>
    <w:pPr>
      <w:pStyle w:val="8"/>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102" o:spid="_x0000_s2102" o:spt="202" type="#_x0000_t202" style="position:absolute;left:0pt;margin-top:0pt;height:12pt;width:81.6pt;mso-position-horizontal:center;mso-position-horizontal-relative:margin;z-index:251708416;mso-width-relative:page;mso-height-relative:page;" filled="f" stroked="f" coordsize="21600,21600">
          <v:path/>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37</w:t>
                </w:r>
                <w:r>
                  <w:fldChar w:fldCharType="end"/>
                </w:r>
                <w:r>
                  <w:rPr>
                    <w:rFonts w:ascii="Times New Roman" w:eastAsia="Times New Roman"/>
                    <w:spacing w:val="42"/>
                    <w:sz w:val="18"/>
                  </w:rPr>
                  <w:t xml:space="preserve"> </w:t>
                </w:r>
                <w:r>
                  <w:rPr>
                    <w:spacing w:val="-1"/>
                    <w:sz w:val="18"/>
                  </w:rPr>
                  <w:t xml:space="preserve">页 共 </w:t>
                </w:r>
                <w:r>
                  <w:rPr>
                    <w:rFonts w:hint="eastAsia"/>
                    <w:spacing w:val="-1"/>
                    <w:sz w:val="18"/>
                    <w:lang w:val="en-US" w:eastAsia="zh-CN"/>
                  </w:rPr>
                  <w:t>61</w:t>
                </w:r>
                <w:r>
                  <w:rPr>
                    <w:sz w:val="18"/>
                  </w:rPr>
                  <w:t>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55</w:t>
    </w:r>
    <w:r>
      <w:rPr>
        <w:rFonts w:ascii="宋体" w:hAnsi="宋体"/>
        <w:b/>
        <w:sz w:val="24"/>
      </w:rPr>
      <w:fldChar w:fldCharType="end"/>
    </w:r>
    <w:r>
      <w:rPr>
        <w:sz w:val="24"/>
        <w:lang w:val="zh-CN"/>
      </w:rPr>
      <w:t xml:space="preserve"> </w:t>
    </w:r>
  </w:p>
  <w:p>
    <w:pPr>
      <w:pStyle w:val="14"/>
      <w:ind w:firstLineChars="111"/>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6"/>
      </w:rPr>
    </w:pPr>
    <w:r>
      <w:fldChar w:fldCharType="begin"/>
    </w:r>
    <w:r>
      <w:rPr>
        <w:rStyle w:val="26"/>
      </w:rPr>
      <w:instrText xml:space="preserve">PAGE  </w:instrText>
    </w:r>
    <w:r>
      <w:fldChar w:fldCharType="separate"/>
    </w:r>
    <w:r>
      <w:rPr>
        <w:rStyle w:val="26"/>
      </w:rPr>
      <w:t>61</w:t>
    </w:r>
    <w:r>
      <w:fldChar w:fldCharType="end"/>
    </w:r>
  </w:p>
  <w:p>
    <w:pPr>
      <w:pStyle w:val="14"/>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106" o:spid="_x0000_s2106" o:spt="202" type="#_x0000_t202" style="position:absolute;left:0pt;margin-top:0pt;height:12pt;width:81.6pt;mso-position-horizontal:center;mso-position-horizontal-relative:margin;z-index:251712512;mso-width-relative:page;mso-height-relative:page;" filled="f" stroked="f" coordsize="21600,21600">
          <v:path/>
          <v:fill on="f" focussize="0,0"/>
          <v:stroke on="f"/>
          <v:imagedata o:title=""/>
          <o:lock v:ext="edit" aspectratio="f"/>
          <v:textbox inset="0mm,0mm,0mm,0mm">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5" o:spid="_x0000_s2065" o:spt="202" type="#_x0000_t202" style="position:absolute;left:0pt;margin-top:0pt;height:12pt;width:77pt;mso-position-horizontal:center;mso-position-horizontal-relative:margin;z-index:251670528;mso-width-relative:page;mso-height-relative:page;" filled="f" stroked="f" coordsize="21600,21600">
          <v:path/>
          <v:fill on="f" focussize="0,0"/>
          <v:stroke on="f"/>
          <v:imagedata o:title=""/>
          <o:lock v:ext="edit" aspectratio="f"/>
          <v:textbox inset="0mm,0mm,0mm,0mm">
            <w:txbxContent>
              <w:p>
                <w:pPr>
                  <w:spacing w:before="3"/>
                  <w:ind w:left="20"/>
                  <w:rPr>
                    <w:sz w:val="18"/>
                  </w:rPr>
                </w:pPr>
                <w:r>
                  <w:rPr>
                    <w:spacing w:val="-1"/>
                    <w:sz w:val="18"/>
                  </w:rPr>
                  <w:t xml:space="preserve">第 </w:t>
                </w:r>
                <w:r>
                  <w:fldChar w:fldCharType="begin"/>
                </w:r>
                <w:r>
                  <w:rPr>
                    <w:rFonts w:ascii="Times New Roman" w:eastAsia="Times New Roman"/>
                    <w:sz w:val="18"/>
                  </w:rPr>
                  <w:instrText xml:space="preserve"> PAGE </w:instrText>
                </w:r>
                <w:r>
                  <w:fldChar w:fldCharType="separate"/>
                </w:r>
                <w:r>
                  <w:t>5</w:t>
                </w:r>
                <w:r>
                  <w:fldChar w:fldCharType="end"/>
                </w:r>
                <w:r>
                  <w:rPr>
                    <w:rFonts w:ascii="Times New Roman" w:eastAsia="Times New Roman"/>
                    <w:spacing w:val="1"/>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0" o:spid="_x0000_s2070" o:spt="202" type="#_x0000_t202" style="position:absolute;left:0pt;margin-top:0pt;height:12pt;width:77pt;mso-position-horizontal:center;mso-position-horizontal-relative:margin;z-index:251675648;mso-width-relative:page;mso-height-relative:page;" filled="f" stroked="f" coordsize="21600,21600">
          <v:path/>
          <v:fill on="f" focussize="0,0"/>
          <v:stroke on="f"/>
          <v:imagedata o:title=""/>
          <o:lock v:ext="edit" aspectratio="f"/>
          <v:textbox inset="0mm,0mm,0mm,0mm">
            <w:txbxContent>
              <w:p>
                <w:pPr>
                  <w:spacing w:before="3"/>
                  <w:ind w:left="20"/>
                  <w:rPr>
                    <w:sz w:val="18"/>
                  </w:rPr>
                </w:pPr>
                <w:r>
                  <w:rPr>
                    <w:spacing w:val="-1"/>
                    <w:sz w:val="18"/>
                  </w:rPr>
                  <w:t xml:space="preserve">第 </w:t>
                </w:r>
                <w:r>
                  <w:fldChar w:fldCharType="begin"/>
                </w:r>
                <w:r>
                  <w:rPr>
                    <w:rFonts w:ascii="Times New Roman" w:eastAsia="Times New Roman"/>
                    <w:sz w:val="18"/>
                  </w:rPr>
                  <w:instrText xml:space="preserve"> PAGE </w:instrText>
                </w:r>
                <w:r>
                  <w:fldChar w:fldCharType="separate"/>
                </w:r>
                <w:r>
                  <w:t>7</w:t>
                </w:r>
                <w:r>
                  <w:fldChar w:fldCharType="end"/>
                </w:r>
                <w:r>
                  <w:rPr>
                    <w:rFonts w:ascii="Times New Roman" w:eastAsia="Times New Roman"/>
                    <w:spacing w:val="1"/>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5" o:spid="_x0000_s2075" o:spt="202" type="#_x0000_t202" style="position:absolute;left:0pt;margin-top:0pt;height:12pt;width:81.6pt;mso-position-horizontal:center;mso-position-horizontal-relative:margin;z-index:251680768;mso-width-relative:page;mso-height-relative:page;" filled="f" stroked="f" coordsize="21600,21600">
          <v:path/>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pacing w:val="42"/>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9" o:spid="_x0000_s2079" o:spt="202" type="#_x0000_t202" style="position:absolute;left:0pt;margin-top:0pt;height:12pt;width:81.6pt;mso-position-horizontal:center;mso-position-horizontal-relative:margin;z-index:251684864;mso-width-relative:page;mso-height-relative:page;" filled="f" stroked="f" coordsize="21600,21600">
          <v:path/>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13</w:t>
                </w:r>
                <w:r>
                  <w:fldChar w:fldCharType="end"/>
                </w:r>
                <w:r>
                  <w:rPr>
                    <w:rFonts w:ascii="Times New Roman" w:eastAsia="Times New Roman"/>
                    <w:spacing w:val="42"/>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84" o:spid="_x0000_s2084" o:spt="202" type="#_x0000_t202" style="position:absolute;left:0pt;margin-top:0pt;height:12pt;width:81.6pt;mso-position-horizontal:center;mso-position-horizontal-relative:margin;z-index:251689984;mso-width-relative:page;mso-height-relative:page;" filled="f" stroked="f" coordsize="21600,21600">
          <v:path/>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23</w:t>
                </w:r>
                <w:r>
                  <w:fldChar w:fldCharType="end"/>
                </w:r>
                <w:r>
                  <w:rPr>
                    <w:rFonts w:ascii="Times New Roman" w:eastAsia="Times New Roman"/>
                    <w:spacing w:val="42"/>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88" o:spid="_x0000_s2088" o:spt="202" type="#_x0000_t202" style="position:absolute;left:0pt;margin-top:0pt;height:12pt;width:81.6pt;mso-position-horizontal:center;mso-position-horizontal-relative:margin;z-index:251694080;mso-width-relative:page;mso-height-relative:page;" filled="f" stroked="f" coordsize="21600,21600">
          <v:path/>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25</w:t>
                </w:r>
                <w:r>
                  <w:fldChar w:fldCharType="end"/>
                </w:r>
                <w:r>
                  <w:rPr>
                    <w:rFonts w:ascii="Times New Roman" w:eastAsia="Times New Roman"/>
                    <w:spacing w:val="42"/>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93" o:spid="_x0000_s2093" o:spt="202" type="#_x0000_t202" style="position:absolute;left:0pt;margin-top:0pt;height:12pt;width:81.6pt;mso-position-horizontal:center;mso-position-horizontal-relative:margin;z-index:251699200;mso-width-relative:page;mso-height-relative:page;" filled="f" stroked="f" coordsize="21600,21600">
          <v:path/>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27</w:t>
                </w:r>
                <w:r>
                  <w:fldChar w:fldCharType="end"/>
                </w:r>
                <w:r>
                  <w:rPr>
                    <w:rFonts w:ascii="Times New Roman" w:eastAsia="Times New Roman"/>
                    <w:spacing w:val="42"/>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97" o:spid="_x0000_s2097" o:spt="202" type="#_x0000_t202" style="position:absolute;left:0pt;margin-top:0pt;height:12pt;width:81.6pt;mso-position-horizontal:center;mso-position-horizontal-relative:margin;z-index:251703296;mso-width-relative:page;mso-height-relative:page;" filled="f" stroked="f" coordsize="21600,21600">
          <v:path/>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29</w:t>
                </w:r>
                <w:r>
                  <w:fldChar w:fldCharType="end"/>
                </w:r>
                <w:r>
                  <w:rPr>
                    <w:rFonts w:ascii="Times New Roman" w:eastAsia="Times New Roman"/>
                    <w:spacing w:val="42"/>
                    <w:sz w:val="18"/>
                  </w:rPr>
                  <w:t xml:space="preserve"> </w:t>
                </w:r>
                <w:r>
                  <w:rPr>
                    <w:spacing w:val="-1"/>
                    <w:sz w:val="18"/>
                  </w:rPr>
                  <w:t xml:space="preserve">页 共 </w:t>
                </w:r>
                <w:r>
                  <w:rPr>
                    <w:rFonts w:hint="eastAsia" w:ascii="Times New Roman" w:eastAsia="宋体"/>
                    <w:sz w:val="18"/>
                    <w:lang w:eastAsia="zh-CN"/>
                  </w:rPr>
                  <w:t>59</w:t>
                </w:r>
                <w:r>
                  <w:rPr>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rFonts w:hint="eastAsia"/>
        <w:sz w:val="18"/>
      </w:rPr>
    </w:pPr>
    <w:r>
      <w:pict>
        <v:shape id="_x0000_s2051" o:spid="_x0000_s2051" o:spt="202" type="#_x0000_t202" style="position:absolute;left:0pt;margin-left:24.7pt;margin-top:110.6pt;height:12pt;width:157.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
                  <w:rPr>
                    <w:sz w:val="18"/>
                  </w:rPr>
                </w:pPr>
              </w:p>
            </w:txbxContent>
          </v:textbox>
        </v:shape>
      </w:pict>
    </w:r>
    <w:r>
      <w:pict>
        <v:rect id="_x0000_s2049" o:spid="_x0000_s2049" o:spt="1" style="position:absolute;left:0pt;margin-left:54pt;margin-top:68.5pt;height:0.95pt;width:487.5pt;mso-position-horizontal-relative:page;mso-position-vertical-relative:page;z-index:-251656192;mso-width-relative:page;mso-height-relative:page;" fillcolor="#000000" filled="t" stroked="f" coordsize="21600,21600">
          <v:path/>
          <v:fill on="t" focussize="0,0"/>
          <v:stroke on="f"/>
          <v:imagedata o:title=""/>
          <o:lock v:ext="edit"/>
        </v:rect>
      </w:pict>
    </w:r>
    <w:r>
      <w:pict>
        <v:rect id="_x0000_s2050" o:spid="_x0000_s2050" o:spt="1" style="position:absolute;left:0pt;margin-left:54pt;margin-top:70.4pt;height:0.95pt;width:487.5pt;mso-position-horizontal-relative:page;mso-position-vertical-relative:page;z-index:-251655168;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474.2pt;margin-top:56.2pt;height:11pt;width:65.2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r>
      <w:rPr>
        <w:rFonts w:hint="eastAsia"/>
        <w:sz w:val="18"/>
      </w:rPr>
      <w:t>心</w:t>
    </w:r>
  </w:p>
  <w:p>
    <w:pPr>
      <w:pStyle w:val="9"/>
      <w:ind w:left="0" w:leftChars="0" w:firstLine="0" w:firstLineChars="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果洛州政府采购服务中</w:t>
    </w:r>
    <w:r>
      <w:rPr>
        <w:rFonts w:hint="eastAsia" w:asciiTheme="majorEastAsia" w:hAnsiTheme="majorEastAsia" w:eastAsiaTheme="majorEastAsia" w:cstheme="majorEastAsia"/>
        <w:sz w:val="18"/>
        <w:szCs w:val="18"/>
        <w:lang w:val="en-US" w:eastAsia="zh-CN"/>
      </w:rPr>
      <w:t>心</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94" o:spid="_x0000_s2094" o:spt="1" style="position:absolute;left:0pt;margin-left:54pt;margin-top:69.3pt;height:0.95pt;width:504pt;mso-position-horizontal-relative:page;mso-position-vertical-relative:page;z-index:-251616256;mso-width-relative:page;mso-height-relative:page;" fillcolor="#000000" filled="t" stroked="f" coordsize="21600,21600">
          <v:path/>
          <v:fill on="t" focussize="0,0"/>
          <v:stroke on="f"/>
          <v:imagedata o:title=""/>
          <o:lock v:ext="edit"/>
        </v:rect>
      </w:pict>
    </w:r>
    <w:r>
      <w:pict>
        <v:shape id="_x0000_s2095" o:spid="_x0000_s2095" o:spt="202" type="#_x0000_t202" style="position:absolute;left:0pt;margin-left:62pt;margin-top:56.65pt;height:12pt;width:157.65pt;mso-position-horizontal-relative:page;mso-position-vertical-relative:page;z-index:-251615232;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果洛州政府采购服务中心</w:t>
                </w:r>
              </w:p>
              <w:p>
                <w:pPr>
                  <w:ind w:left="20"/>
                  <w:rPr>
                    <w:sz w:val="18"/>
                  </w:rPr>
                </w:pPr>
              </w:p>
            </w:txbxContent>
          </v:textbox>
        </v:shape>
      </w:pict>
    </w:r>
    <w:r>
      <w:pict>
        <v:shape id="_x0000_s2096" o:spid="_x0000_s2096" o:spt="202" type="#_x0000_t202" style="position:absolute;left:0pt;margin-left:492.2pt;margin-top:56.95pt;height:11pt;width:65.25pt;mso-position-horizontal-relative:page;mso-position-vertical-relative:page;z-index:-251614208;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98" o:spid="_x0000_s2098" o:spt="1" style="position:absolute;left:0pt;margin-left:54pt;margin-top:69.3pt;height:0.95pt;width:504pt;mso-position-horizontal-relative:page;mso-position-vertical-relative:page;z-index:-251612160;mso-width-relative:page;mso-height-relative:page;" fillcolor="#000000" filled="t" stroked="f" coordsize="21600,21600">
          <v:path/>
          <v:fill on="t" focussize="0,0"/>
          <v:stroke on="f"/>
          <v:imagedata o:title=""/>
          <o:lock v:ext="edit"/>
        </v:rect>
      </w:pict>
    </w:r>
    <w:r>
      <w:pict>
        <v:rect id="_x0000_s2099" o:spid="_x0000_s2099" o:spt="1" style="position:absolute;left:0pt;margin-left:54pt;margin-top:71.2pt;height:0.95pt;width:504pt;mso-position-horizontal-relative:page;mso-position-vertical-relative:page;z-index:-251611136;mso-width-relative:page;mso-height-relative:page;" fillcolor="#000000" filled="t" stroked="f" coordsize="21600,21600">
          <v:path/>
          <v:fill on="t" focussize="0,0"/>
          <v:stroke on="f"/>
          <v:imagedata o:title=""/>
          <o:lock v:ext="edit"/>
        </v:rect>
      </w:pict>
    </w:r>
    <w:r>
      <w:pict>
        <v:shape id="_x0000_s2100" o:spid="_x0000_s2100" o:spt="202" type="#_x0000_t202" style="position:absolute;left:0pt;margin-left:62pt;margin-top:56.65pt;height:12pt;width:157.65pt;mso-position-horizontal-relative:page;mso-position-vertical-relative:page;z-index:-251610112;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果洛州政府采购服务中心</w:t>
                </w:r>
              </w:p>
              <w:p>
                <w:pPr>
                  <w:ind w:left="20"/>
                  <w:rPr>
                    <w:sz w:val="18"/>
                  </w:rPr>
                </w:pPr>
              </w:p>
            </w:txbxContent>
          </v:textbox>
        </v:shape>
      </w:pict>
    </w:r>
    <w:r>
      <w:pict>
        <v:shape id="_x0000_s2101" o:spid="_x0000_s2101" o:spt="202" type="#_x0000_t202" style="position:absolute;left:0pt;margin-left:492.2pt;margin-top:56.95pt;height:11pt;width:65.25pt;mso-position-horizontal-relative:page;mso-position-vertical-relative:page;z-index:-251609088;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104" o:spid="_x0000_s2104" o:spt="202" type="#_x0000_t202" style="position:absolute;left:0pt;margin-left:80pt;margin-top:56.65pt;height:26.25pt;width:219.85pt;mso-position-horizontal-relative:page;mso-position-vertical-relative:page;z-index:-251606016;mso-width-relative:page;mso-height-relative:page;" filled="f" stroked="f" coordsize="21600,21600">
          <v:path/>
          <v:fill on="f" focussize="0,0"/>
          <v:stroke on="f"/>
          <v:imagedata o:title=""/>
          <o:lock v:ext="edit" aspectratio="f"/>
          <v:textbox inset="0mm,0mm,0mm,0mm">
            <w:txbxContent>
              <w:p>
                <w:pPr>
                  <w:ind w:left="20"/>
                  <w:rPr>
                    <w:sz w:val="18"/>
                  </w:rPr>
                </w:pPr>
                <w:r>
                  <w:rPr>
                    <w:rFonts w:hint="eastAsia"/>
                    <w:spacing w:val="-7"/>
                    <w:sz w:val="18"/>
                  </w:rPr>
                  <w:t>果洛州</w:t>
                </w:r>
                <w:r>
                  <w:rPr>
                    <w:rFonts w:hint="eastAsia"/>
                    <w:spacing w:val="-7"/>
                    <w:sz w:val="18"/>
                    <w:lang w:val="en-US" w:eastAsia="zh-CN"/>
                  </w:rPr>
                  <w:t>公安局购置执法执勤、专业技术用车项目</w:t>
                </w:r>
              </w:p>
            </w:txbxContent>
          </v:textbox>
        </v:shape>
      </w:pict>
    </w:r>
    <w:r>
      <w:pict>
        <v:rect id="_x0000_s2103" o:spid="_x0000_s2103" o:spt="1" style="position:absolute;left:0pt;margin-left:72pt;margin-top:69.3pt;height:0.95pt;width:648pt;mso-position-horizontal-relative:page;mso-position-vertical-relative:page;z-index:-251607040;mso-width-relative:page;mso-height-relative:page;" fillcolor="#000000" filled="t" stroked="f" coordsize="21600,21600">
          <v:path/>
          <v:fill on="t" focussize="0,0"/>
          <v:stroke on="f"/>
          <v:imagedata o:title=""/>
          <o:lock v:ext="edit"/>
        </v:rect>
      </w:pict>
    </w:r>
    <w:r>
      <w:pict>
        <v:shape id="_x0000_s2105" o:spid="_x0000_s2105" o:spt="202" type="#_x0000_t202" style="position:absolute;left:0pt;margin-left:510.2pt;margin-top:56.95pt;height:11pt;width:65.25pt;mso-position-horizontal-relative:page;mso-position-vertical-relative:page;z-index:-251604992;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59" o:spid="_x0000_s2059" o:spt="1" style="position:absolute;left:0pt;margin-left:54pt;margin-top:69.3pt;height:0.95pt;width:504pt;mso-position-horizontal-relative:page;mso-position-vertical-relative:page;z-index:-251652096;mso-width-relative:page;mso-height-relative:page;" fillcolor="#000000" filled="t" stroked="f" coordsize="21600,21600">
          <v:path/>
          <v:fill on="t" focussize="0,0"/>
          <v:stroke on="f"/>
          <v:imagedata o:title=""/>
          <o:lock v:ext="edit"/>
        </v:rect>
      </w:pict>
    </w:r>
    <w:r>
      <w:pict>
        <v:shape id="_x0000_s2060" o:spid="_x0000_s2060" o:spt="202" type="#_x0000_t202" style="position:absolute;left:0pt;margin-left:58.6pt;margin-top:56.65pt;height:12pt;width:157.6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ind w:left="20"/>
                  <w:rPr>
                    <w:sz w:val="18"/>
                  </w:rPr>
                </w:pPr>
                <w:r>
                  <w:rPr>
                    <w:rFonts w:hint="eastAsia"/>
                    <w:sz w:val="18"/>
                  </w:rPr>
                  <w:t>果洛州政府采购服务中心</w:t>
                </w:r>
              </w:p>
            </w:txbxContent>
          </v:textbox>
        </v:shape>
      </w:pict>
    </w:r>
    <w:r>
      <w:pict>
        <v:shape id="_x0000_s2061" o:spid="_x0000_s2061" o:spt="202" type="#_x0000_t202" style="position:absolute;left:0pt;margin-left:488.8pt;margin-top:56.95pt;height:11pt;width:65.2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62" o:spid="_x0000_s2062" o:spt="1" style="position:absolute;left:0pt;margin-left:54pt;margin-top:69.3pt;height:0.95pt;width:504pt;mso-position-horizontal-relative:page;mso-position-vertical-relative:page;z-index:-251649024;mso-width-relative:page;mso-height-relative:page;" fillcolor="#000000" filled="t" stroked="f" coordsize="21600,21600">
          <v:path/>
          <v:fill on="t" focussize="0,0"/>
          <v:stroke on="f"/>
          <v:imagedata o:title=""/>
          <o:lock v:ext="edit"/>
        </v:rect>
      </w:pict>
    </w:r>
    <w:r>
      <w:pict>
        <v:shape id="_x0000_s2063" o:spid="_x0000_s2063" o:spt="202" type="#_x0000_t202" style="position:absolute;left:0pt;margin-left:62pt;margin-top:56.65pt;height:12pt;width:157.6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r>
                  <w:rPr>
                    <w:rFonts w:hint="eastAsia"/>
                  </w:rPr>
                  <w:t>果洛州政府采购服务中心</w:t>
                </w:r>
              </w:p>
            </w:txbxContent>
          </v:textbox>
        </v:shape>
      </w:pict>
    </w:r>
    <w:r>
      <w:pict>
        <v:shape id="_x0000_s2064" o:spid="_x0000_s2064" o:spt="202" type="#_x0000_t202" style="position:absolute;left:0pt;margin-left:492.2pt;margin-top:56.95pt;height:11pt;width:65.2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66" o:spid="_x0000_s2066" o:spt="1" style="position:absolute;left:0pt;margin-left:54pt;margin-top:69.3pt;height:0.95pt;width:504pt;mso-position-horizontal-relative:page;mso-position-vertical-relative:page;z-index:-251644928;mso-width-relative:page;mso-height-relative:page;" fillcolor="#000000" filled="t" stroked="f" coordsize="21600,21600">
          <v:path/>
          <v:fill on="t" focussize="0,0"/>
          <v:stroke on="f"/>
          <v:imagedata o:title=""/>
          <o:lock v:ext="edit"/>
        </v:rect>
      </w:pict>
    </w:r>
    <w:r>
      <w:pict>
        <v:rect id="_x0000_s2067" o:spid="_x0000_s2067" o:spt="1" style="position:absolute;left:0pt;margin-left:54pt;margin-top:71.2pt;height:0.95pt;width:504pt;mso-position-horizontal-relative:page;mso-position-vertical-relative:page;z-index:-251643904;mso-width-relative:page;mso-height-relative:page;" fillcolor="#000000" filled="t" stroked="f" coordsize="21600,21600">
          <v:path/>
          <v:fill on="t" focussize="0,0"/>
          <v:stroke on="f"/>
          <v:imagedata o:title=""/>
          <o:lock v:ext="edit"/>
        </v:rect>
      </w:pict>
    </w:r>
    <w:r>
      <w:pict>
        <v:shape id="_x0000_s2068" o:spid="_x0000_s2068" o:spt="202" type="#_x0000_t202" style="position:absolute;left:0pt;margin-left:62pt;margin-top:56.65pt;height:12pt;width:157.6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ind w:left="20"/>
                  <w:rPr>
                    <w:sz w:val="18"/>
                  </w:rPr>
                </w:pPr>
                <w:r>
                  <w:rPr>
                    <w:rFonts w:hint="eastAsia"/>
                    <w:sz w:val="18"/>
                  </w:rPr>
                  <w:t>果洛州政府采购服务中心</w:t>
                </w:r>
              </w:p>
            </w:txbxContent>
          </v:textbox>
        </v:shape>
      </w:pict>
    </w:r>
    <w:r>
      <w:pict>
        <v:shape id="_x0000_s2069" o:spid="_x0000_s2069" o:spt="202" type="#_x0000_t202" style="position:absolute;left:0pt;margin-left:492.2pt;margin-top:56.95pt;height:11pt;width:65.2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71" o:spid="_x0000_s2071" o:spt="1" style="position:absolute;left:0pt;margin-left:54pt;margin-top:69.3pt;height:0.95pt;width:504pt;mso-position-horizontal-relative:page;mso-position-vertical-relative:page;z-index:-251639808;mso-width-relative:page;mso-height-relative:page;" fillcolor="#000000" filled="t" stroked="f" coordsize="21600,21600">
          <v:path/>
          <v:fill on="t" focussize="0,0"/>
          <v:stroke on="f"/>
          <v:imagedata o:title=""/>
          <o:lock v:ext="edit"/>
        </v:rect>
      </w:pict>
    </w:r>
    <w:r>
      <w:pict>
        <v:rect id="_x0000_s2072" o:spid="_x0000_s2072" o:spt="1" style="position:absolute;left:0pt;margin-left:54pt;margin-top:71.2pt;height:0.95pt;width:504pt;mso-position-horizontal-relative:page;mso-position-vertical-relative:page;z-index:-251638784;mso-width-relative:page;mso-height-relative:page;" fillcolor="#000000" filled="t" stroked="f" coordsize="21600,21600">
          <v:path/>
          <v:fill on="t" focussize="0,0"/>
          <v:stroke on="f"/>
          <v:imagedata o:title=""/>
          <o:lock v:ext="edit"/>
        </v:rect>
      </w:pict>
    </w:r>
    <w:r>
      <w:pict>
        <v:shape id="_x0000_s2073" o:spid="_x0000_s2073" o:spt="202" type="#_x0000_t202" style="position:absolute;left:0pt;margin-left:62pt;margin-top:56.65pt;height:12pt;width:157.6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果洛州政府采购服务中心</w:t>
                </w:r>
              </w:p>
            </w:txbxContent>
          </v:textbox>
        </v:shape>
      </w:pict>
    </w:r>
    <w:r>
      <w:pict>
        <v:shape id="_x0000_s2074" o:spid="_x0000_s2074" o:spt="202" type="#_x0000_t202" style="position:absolute;left:0pt;margin-left:492.2pt;margin-top:56.95pt;height:11pt;width:65.25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76" o:spid="_x0000_s2076" o:spt="1" style="position:absolute;left:0pt;margin-left:54pt;margin-top:69.3pt;height:0.95pt;width:504pt;mso-position-horizontal-relative:page;mso-position-vertical-relative:page;z-index:-251634688;mso-width-relative:page;mso-height-relative:page;" fillcolor="#000000" filled="t" stroked="f" coordsize="21600,21600">
          <v:path/>
          <v:fill on="t" focussize="0,0"/>
          <v:stroke on="f"/>
          <v:imagedata o:title=""/>
          <o:lock v:ext="edit"/>
        </v:rect>
      </w:pict>
    </w:r>
    <w:r>
      <w:pict>
        <v:shape id="_x0000_s2077" o:spid="_x0000_s2077" o:spt="202" type="#_x0000_t202" style="position:absolute;left:0pt;margin-left:62pt;margin-top:56.65pt;height:12pt;width:157.6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ind w:left="20"/>
                  <w:rPr>
                    <w:sz w:val="18"/>
                  </w:rPr>
                </w:pPr>
                <w:r>
                  <w:rPr>
                    <w:rFonts w:hint="eastAsia"/>
                    <w:sz w:val="18"/>
                  </w:rPr>
                  <w:t>果洛州政府采购服务中心</w:t>
                </w:r>
              </w:p>
            </w:txbxContent>
          </v:textbox>
        </v:shape>
      </w:pict>
    </w:r>
    <w:r>
      <w:pict>
        <v:shape id="_x0000_s2078" o:spid="_x0000_s2078" o:spt="202" type="#_x0000_t202" style="position:absolute;left:0pt;margin-left:492.2pt;margin-top:56.95pt;height:11pt;width:65.25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80" o:spid="_x0000_s2080" o:spt="1" style="position:absolute;left:0pt;margin-left:54pt;margin-top:69.3pt;height:0.95pt;width:504pt;mso-position-horizontal-relative:page;mso-position-vertical-relative:page;z-index:-251630592;mso-width-relative:page;mso-height-relative:page;" fillcolor="#000000" filled="t" stroked="f" coordsize="21600,21600">
          <v:path/>
          <v:fill on="t" focussize="0,0"/>
          <v:stroke on="f"/>
          <v:imagedata o:title=""/>
          <o:lock v:ext="edit"/>
        </v:rect>
      </w:pict>
    </w:r>
    <w:r>
      <w:pict>
        <v:rect id="_x0000_s2081" o:spid="_x0000_s2081" o:spt="1" style="position:absolute;left:0pt;margin-left:54pt;margin-top:71.2pt;height:0.95pt;width:504pt;mso-position-horizontal-relative:page;mso-position-vertical-relative:page;z-index:-251629568;mso-width-relative:page;mso-height-relative:page;" fillcolor="#000000" filled="t" stroked="f" coordsize="21600,21600">
          <v:path/>
          <v:fill on="t" focussize="0,0"/>
          <v:stroke on="f"/>
          <v:imagedata o:title=""/>
          <o:lock v:ext="edit"/>
        </v:rect>
      </w:pict>
    </w:r>
    <w:r>
      <w:pict>
        <v:shape id="_x0000_s2082" o:spid="_x0000_s2082" o:spt="202" type="#_x0000_t202" style="position:absolute;left:0pt;margin-left:62pt;margin-top:56.65pt;height:12pt;width:157.65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r>
                  <w:rPr>
                    <w:rFonts w:hint="eastAsia"/>
                  </w:rPr>
                  <w:t>果洛州政府采购服务中心</w:t>
                </w:r>
              </w:p>
            </w:txbxContent>
          </v:textbox>
        </v:shape>
      </w:pict>
    </w:r>
    <w:r>
      <w:pict>
        <v:shape id="_x0000_s2083" o:spid="_x0000_s2083" o:spt="202" type="#_x0000_t202" style="position:absolute;left:0pt;margin-left:492.2pt;margin-top:56.95pt;height:11pt;width:65.25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85" o:spid="_x0000_s2085" o:spt="1" style="position:absolute;left:0pt;margin-left:54pt;margin-top:69.3pt;height:0.95pt;width:504pt;mso-position-horizontal-relative:page;mso-position-vertical-relative:page;z-index:-251625472;mso-width-relative:page;mso-height-relative:page;" fillcolor="#000000" filled="t" stroked="f" coordsize="21600,21600">
          <v:path/>
          <v:fill on="t" focussize="0,0"/>
          <v:stroke on="f"/>
          <v:imagedata o:title=""/>
          <o:lock v:ext="edit"/>
        </v:rect>
      </w:pict>
    </w:r>
    <w:r>
      <w:pict>
        <v:shape id="_x0000_s2086" o:spid="_x0000_s2086" o:spt="202" type="#_x0000_t202" style="position:absolute;left:0pt;margin-left:62pt;margin-top:56.65pt;height:12pt;width:157.65pt;mso-position-horizontal-relative:page;mso-position-vertical-relative:page;z-index:-251624448;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果洛州政府采购服务中心</w:t>
                </w:r>
              </w:p>
            </w:txbxContent>
          </v:textbox>
        </v:shape>
      </w:pict>
    </w:r>
    <w:r>
      <w:pict>
        <v:shape id="_x0000_s2087" o:spid="_x0000_s2087" o:spt="202" type="#_x0000_t202" style="position:absolute;left:0pt;margin-left:492.2pt;margin-top:56.95pt;height:11pt;width:65.25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rect id="_x0000_s2089" o:spid="_x0000_s2089" o:spt="1" style="position:absolute;left:0pt;margin-left:54pt;margin-top:69.3pt;height:0.95pt;width:504pt;mso-position-horizontal-relative:page;mso-position-vertical-relative:page;z-index:-251621376;mso-width-relative:page;mso-height-relative:page;" fillcolor="#000000" filled="t" stroked="f" coordsize="21600,21600">
          <v:path/>
          <v:fill on="t" focussize="0,0"/>
          <v:stroke on="f"/>
          <v:imagedata o:title=""/>
          <o:lock v:ext="edit"/>
        </v:rect>
      </w:pict>
    </w:r>
    <w:r>
      <w:pict>
        <v:rect id="_x0000_s2090" o:spid="_x0000_s2090" o:spt="1" style="position:absolute;left:0pt;margin-left:54pt;margin-top:71.2pt;height:0.95pt;width:504pt;mso-position-horizontal-relative:page;mso-position-vertical-relative:page;z-index:-251620352;mso-width-relative:page;mso-height-relative:page;" fillcolor="#000000" filled="t" stroked="f" coordsize="21600,21600">
          <v:path/>
          <v:fill on="t" focussize="0,0"/>
          <v:stroke on="f"/>
          <v:imagedata o:title=""/>
          <o:lock v:ext="edit"/>
        </v:rect>
      </w:pict>
    </w:r>
    <w:r>
      <w:pict>
        <v:shape id="_x0000_s2091" o:spid="_x0000_s2091" o:spt="202" type="#_x0000_t202" style="position:absolute;left:0pt;margin-left:62pt;margin-top:56.65pt;height:12pt;width:157.65pt;mso-position-horizontal-relative:page;mso-position-vertical-relative:page;z-index:-251619328;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果洛州政府采购服务中心</w:t>
                </w:r>
              </w:p>
              <w:p>
                <w:pPr>
                  <w:ind w:left="20"/>
                  <w:rPr>
                    <w:sz w:val="18"/>
                  </w:rPr>
                </w:pPr>
              </w:p>
            </w:txbxContent>
          </v:textbox>
        </v:shape>
      </w:pict>
    </w:r>
    <w:r>
      <w:pict>
        <v:shape id="_x0000_s2092" o:spid="_x0000_s2092" o:spt="202" type="#_x0000_t202" style="position:absolute;left:0pt;margin-left:492.2pt;margin-top:56.95pt;height:11pt;width:65.25pt;mso-position-horizontal-relative:page;mso-position-vertical-relative:page;z-index:-251618304;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竞争性磋商文件</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9"/>
      <w:numFmt w:val="decimal"/>
      <w:lvlText w:val="%1"/>
      <w:lvlJc w:val="left"/>
      <w:pPr>
        <w:ind w:left="1121" w:hanging="481"/>
        <w:jc w:val="left"/>
      </w:pPr>
      <w:rPr>
        <w:rFonts w:hint="default"/>
        <w:lang w:val="en-US" w:eastAsia="zh-CN" w:bidi="ar-SA"/>
      </w:rPr>
    </w:lvl>
    <w:lvl w:ilvl="1" w:tentative="0">
      <w:start w:val="1"/>
      <w:numFmt w:val="decimal"/>
      <w:lvlText w:val="%1.%2"/>
      <w:lvlJc w:val="left"/>
      <w:pPr>
        <w:ind w:left="1121" w:hanging="48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2996" w:hanging="481"/>
      </w:pPr>
      <w:rPr>
        <w:rFonts w:hint="default"/>
        <w:lang w:val="en-US" w:eastAsia="zh-CN" w:bidi="ar-SA"/>
      </w:rPr>
    </w:lvl>
    <w:lvl w:ilvl="3" w:tentative="0">
      <w:start w:val="0"/>
      <w:numFmt w:val="bullet"/>
      <w:lvlText w:val="•"/>
      <w:lvlJc w:val="left"/>
      <w:pPr>
        <w:ind w:left="3934" w:hanging="481"/>
      </w:pPr>
      <w:rPr>
        <w:rFonts w:hint="default"/>
        <w:lang w:val="en-US" w:eastAsia="zh-CN" w:bidi="ar-SA"/>
      </w:rPr>
    </w:lvl>
    <w:lvl w:ilvl="4" w:tentative="0">
      <w:start w:val="0"/>
      <w:numFmt w:val="bullet"/>
      <w:lvlText w:val="•"/>
      <w:lvlJc w:val="left"/>
      <w:pPr>
        <w:ind w:left="4872" w:hanging="481"/>
      </w:pPr>
      <w:rPr>
        <w:rFonts w:hint="default"/>
        <w:lang w:val="en-US" w:eastAsia="zh-CN" w:bidi="ar-SA"/>
      </w:rPr>
    </w:lvl>
    <w:lvl w:ilvl="5" w:tentative="0">
      <w:start w:val="0"/>
      <w:numFmt w:val="bullet"/>
      <w:lvlText w:val="•"/>
      <w:lvlJc w:val="left"/>
      <w:pPr>
        <w:ind w:left="5810" w:hanging="481"/>
      </w:pPr>
      <w:rPr>
        <w:rFonts w:hint="default"/>
        <w:lang w:val="en-US" w:eastAsia="zh-CN" w:bidi="ar-SA"/>
      </w:rPr>
    </w:lvl>
    <w:lvl w:ilvl="6" w:tentative="0">
      <w:start w:val="0"/>
      <w:numFmt w:val="bullet"/>
      <w:lvlText w:val="•"/>
      <w:lvlJc w:val="left"/>
      <w:pPr>
        <w:ind w:left="6748" w:hanging="481"/>
      </w:pPr>
      <w:rPr>
        <w:rFonts w:hint="default"/>
        <w:lang w:val="en-US" w:eastAsia="zh-CN" w:bidi="ar-SA"/>
      </w:rPr>
    </w:lvl>
    <w:lvl w:ilvl="7" w:tentative="0">
      <w:start w:val="0"/>
      <w:numFmt w:val="bullet"/>
      <w:lvlText w:val="•"/>
      <w:lvlJc w:val="left"/>
      <w:pPr>
        <w:ind w:left="7686" w:hanging="481"/>
      </w:pPr>
      <w:rPr>
        <w:rFonts w:hint="default"/>
        <w:lang w:val="en-US" w:eastAsia="zh-CN" w:bidi="ar-SA"/>
      </w:rPr>
    </w:lvl>
    <w:lvl w:ilvl="8" w:tentative="0">
      <w:start w:val="0"/>
      <w:numFmt w:val="bullet"/>
      <w:lvlText w:val="•"/>
      <w:lvlJc w:val="left"/>
      <w:pPr>
        <w:ind w:left="8624" w:hanging="481"/>
      </w:pPr>
      <w:rPr>
        <w:rFonts w:hint="default"/>
        <w:lang w:val="en-US" w:eastAsia="zh-CN" w:bidi="ar-SA"/>
      </w:rPr>
    </w:lvl>
  </w:abstractNum>
  <w:abstractNum w:abstractNumId="1">
    <w:nsid w:val="8461FADE"/>
    <w:multiLevelType w:val="multilevel"/>
    <w:tmpl w:val="8461FADE"/>
    <w:lvl w:ilvl="0" w:tentative="0">
      <w:start w:val="13"/>
      <w:numFmt w:val="decimal"/>
      <w:lvlText w:val="%1"/>
      <w:lvlJc w:val="left"/>
      <w:pPr>
        <w:ind w:left="160" w:hanging="481"/>
        <w:jc w:val="left"/>
      </w:pPr>
      <w:rPr>
        <w:rFonts w:hint="default"/>
        <w:lang w:val="en-US" w:eastAsia="zh-CN" w:bidi="ar-SA"/>
      </w:rPr>
    </w:lvl>
    <w:lvl w:ilvl="1" w:tentative="0">
      <w:start w:val="1"/>
      <w:numFmt w:val="decimal"/>
      <w:lvlText w:val="%1.%2"/>
      <w:lvlJc w:val="left"/>
      <w:pPr>
        <w:ind w:left="160"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1361" w:hanging="72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391" w:hanging="721"/>
      </w:pPr>
      <w:rPr>
        <w:rFonts w:hint="default"/>
        <w:lang w:val="en-US" w:eastAsia="zh-CN" w:bidi="ar-SA"/>
      </w:rPr>
    </w:lvl>
    <w:lvl w:ilvl="4" w:tentative="0">
      <w:start w:val="0"/>
      <w:numFmt w:val="bullet"/>
      <w:lvlText w:val="•"/>
      <w:lvlJc w:val="left"/>
      <w:pPr>
        <w:ind w:left="4406" w:hanging="721"/>
      </w:pPr>
      <w:rPr>
        <w:rFonts w:hint="default"/>
        <w:lang w:val="en-US" w:eastAsia="zh-CN" w:bidi="ar-SA"/>
      </w:rPr>
    </w:lvl>
    <w:lvl w:ilvl="5" w:tentative="0">
      <w:start w:val="0"/>
      <w:numFmt w:val="bullet"/>
      <w:lvlText w:val="•"/>
      <w:lvlJc w:val="left"/>
      <w:pPr>
        <w:ind w:left="5422" w:hanging="721"/>
      </w:pPr>
      <w:rPr>
        <w:rFonts w:hint="default"/>
        <w:lang w:val="en-US" w:eastAsia="zh-CN" w:bidi="ar-SA"/>
      </w:rPr>
    </w:lvl>
    <w:lvl w:ilvl="6" w:tentative="0">
      <w:start w:val="0"/>
      <w:numFmt w:val="bullet"/>
      <w:lvlText w:val="•"/>
      <w:lvlJc w:val="left"/>
      <w:pPr>
        <w:ind w:left="6437" w:hanging="721"/>
      </w:pPr>
      <w:rPr>
        <w:rFonts w:hint="default"/>
        <w:lang w:val="en-US" w:eastAsia="zh-CN" w:bidi="ar-SA"/>
      </w:rPr>
    </w:lvl>
    <w:lvl w:ilvl="7" w:tentative="0">
      <w:start w:val="0"/>
      <w:numFmt w:val="bullet"/>
      <w:lvlText w:val="•"/>
      <w:lvlJc w:val="left"/>
      <w:pPr>
        <w:ind w:left="7453" w:hanging="721"/>
      </w:pPr>
      <w:rPr>
        <w:rFonts w:hint="default"/>
        <w:lang w:val="en-US" w:eastAsia="zh-CN" w:bidi="ar-SA"/>
      </w:rPr>
    </w:lvl>
    <w:lvl w:ilvl="8" w:tentative="0">
      <w:start w:val="0"/>
      <w:numFmt w:val="bullet"/>
      <w:lvlText w:val="•"/>
      <w:lvlJc w:val="left"/>
      <w:pPr>
        <w:ind w:left="8468" w:hanging="721"/>
      </w:pPr>
      <w:rPr>
        <w:rFonts w:hint="default"/>
        <w:lang w:val="en-US" w:eastAsia="zh-CN" w:bidi="ar-SA"/>
      </w:rPr>
    </w:lvl>
  </w:abstractNum>
  <w:abstractNum w:abstractNumId="2">
    <w:nsid w:val="9239341B"/>
    <w:multiLevelType w:val="multilevel"/>
    <w:tmpl w:val="9239341B"/>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3">
    <w:nsid w:val="9288B902"/>
    <w:multiLevelType w:val="multilevel"/>
    <w:tmpl w:val="9288B902"/>
    <w:lvl w:ilvl="0" w:tentative="0">
      <w:start w:val="11"/>
      <w:numFmt w:val="decimal"/>
      <w:lvlText w:val="%1"/>
      <w:lvlJc w:val="left"/>
      <w:pPr>
        <w:ind w:left="1121" w:hanging="481"/>
        <w:jc w:val="left"/>
      </w:pPr>
      <w:rPr>
        <w:rFonts w:hint="default"/>
        <w:lang w:val="en-US" w:eastAsia="zh-CN" w:bidi="ar-SA"/>
      </w:rPr>
    </w:lvl>
    <w:lvl w:ilvl="1" w:tentative="0">
      <w:start w:val="1"/>
      <w:numFmt w:val="decimal"/>
      <w:lvlText w:val="%1.%2"/>
      <w:lvlJc w:val="left"/>
      <w:pPr>
        <w:ind w:left="1121"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160" w:hanging="72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204" w:hanging="721"/>
      </w:pPr>
      <w:rPr>
        <w:rFonts w:hint="default"/>
        <w:lang w:val="en-US" w:eastAsia="zh-CN" w:bidi="ar-SA"/>
      </w:rPr>
    </w:lvl>
    <w:lvl w:ilvl="4" w:tentative="0">
      <w:start w:val="0"/>
      <w:numFmt w:val="bullet"/>
      <w:lvlText w:val="•"/>
      <w:lvlJc w:val="left"/>
      <w:pPr>
        <w:ind w:left="4246" w:hanging="721"/>
      </w:pPr>
      <w:rPr>
        <w:rFonts w:hint="default"/>
        <w:lang w:val="en-US" w:eastAsia="zh-CN" w:bidi="ar-SA"/>
      </w:rPr>
    </w:lvl>
    <w:lvl w:ilvl="5" w:tentative="0">
      <w:start w:val="0"/>
      <w:numFmt w:val="bullet"/>
      <w:lvlText w:val="•"/>
      <w:lvlJc w:val="left"/>
      <w:pPr>
        <w:ind w:left="5288" w:hanging="721"/>
      </w:pPr>
      <w:rPr>
        <w:rFonts w:hint="default"/>
        <w:lang w:val="en-US" w:eastAsia="zh-CN" w:bidi="ar-SA"/>
      </w:rPr>
    </w:lvl>
    <w:lvl w:ilvl="6" w:tentative="0">
      <w:start w:val="0"/>
      <w:numFmt w:val="bullet"/>
      <w:lvlText w:val="•"/>
      <w:lvlJc w:val="left"/>
      <w:pPr>
        <w:ind w:left="6331" w:hanging="721"/>
      </w:pPr>
      <w:rPr>
        <w:rFonts w:hint="default"/>
        <w:lang w:val="en-US" w:eastAsia="zh-CN" w:bidi="ar-SA"/>
      </w:rPr>
    </w:lvl>
    <w:lvl w:ilvl="7" w:tentative="0">
      <w:start w:val="0"/>
      <w:numFmt w:val="bullet"/>
      <w:lvlText w:val="•"/>
      <w:lvlJc w:val="left"/>
      <w:pPr>
        <w:ind w:left="7373" w:hanging="721"/>
      </w:pPr>
      <w:rPr>
        <w:rFonts w:hint="default"/>
        <w:lang w:val="en-US" w:eastAsia="zh-CN" w:bidi="ar-SA"/>
      </w:rPr>
    </w:lvl>
    <w:lvl w:ilvl="8" w:tentative="0">
      <w:start w:val="0"/>
      <w:numFmt w:val="bullet"/>
      <w:lvlText w:val="•"/>
      <w:lvlJc w:val="left"/>
      <w:pPr>
        <w:ind w:left="8415" w:hanging="721"/>
      </w:pPr>
      <w:rPr>
        <w:rFonts w:hint="default"/>
        <w:lang w:val="en-US" w:eastAsia="zh-CN" w:bidi="ar-SA"/>
      </w:rPr>
    </w:lvl>
  </w:abstractNum>
  <w:abstractNum w:abstractNumId="4">
    <w:nsid w:val="9C8AC8EF"/>
    <w:multiLevelType w:val="multilevel"/>
    <w:tmpl w:val="9C8AC8EF"/>
    <w:lvl w:ilvl="0" w:tentative="0">
      <w:start w:val="2"/>
      <w:numFmt w:val="decimal"/>
      <w:lvlText w:val="%1."/>
      <w:lvlJc w:val="left"/>
      <w:pPr>
        <w:ind w:left="88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842" w:hanging="241"/>
      </w:pPr>
      <w:rPr>
        <w:rFonts w:hint="default"/>
        <w:lang w:val="en-US" w:eastAsia="zh-CN" w:bidi="ar-SA"/>
      </w:rPr>
    </w:lvl>
    <w:lvl w:ilvl="2" w:tentative="0">
      <w:start w:val="0"/>
      <w:numFmt w:val="bullet"/>
      <w:lvlText w:val="•"/>
      <w:lvlJc w:val="left"/>
      <w:pPr>
        <w:ind w:left="2804" w:hanging="241"/>
      </w:pPr>
      <w:rPr>
        <w:rFonts w:hint="default"/>
        <w:lang w:val="en-US" w:eastAsia="zh-CN" w:bidi="ar-SA"/>
      </w:rPr>
    </w:lvl>
    <w:lvl w:ilvl="3" w:tentative="0">
      <w:start w:val="0"/>
      <w:numFmt w:val="bullet"/>
      <w:lvlText w:val="•"/>
      <w:lvlJc w:val="left"/>
      <w:pPr>
        <w:ind w:left="3766" w:hanging="241"/>
      </w:pPr>
      <w:rPr>
        <w:rFonts w:hint="default"/>
        <w:lang w:val="en-US" w:eastAsia="zh-CN" w:bidi="ar-SA"/>
      </w:rPr>
    </w:lvl>
    <w:lvl w:ilvl="4" w:tentative="0">
      <w:start w:val="0"/>
      <w:numFmt w:val="bullet"/>
      <w:lvlText w:val="•"/>
      <w:lvlJc w:val="left"/>
      <w:pPr>
        <w:ind w:left="4728" w:hanging="241"/>
      </w:pPr>
      <w:rPr>
        <w:rFonts w:hint="default"/>
        <w:lang w:val="en-US" w:eastAsia="zh-CN" w:bidi="ar-SA"/>
      </w:rPr>
    </w:lvl>
    <w:lvl w:ilvl="5" w:tentative="0">
      <w:start w:val="0"/>
      <w:numFmt w:val="bullet"/>
      <w:lvlText w:val="•"/>
      <w:lvlJc w:val="left"/>
      <w:pPr>
        <w:ind w:left="5690" w:hanging="241"/>
      </w:pPr>
      <w:rPr>
        <w:rFonts w:hint="default"/>
        <w:lang w:val="en-US" w:eastAsia="zh-CN" w:bidi="ar-SA"/>
      </w:rPr>
    </w:lvl>
    <w:lvl w:ilvl="6" w:tentative="0">
      <w:start w:val="0"/>
      <w:numFmt w:val="bullet"/>
      <w:lvlText w:val="•"/>
      <w:lvlJc w:val="left"/>
      <w:pPr>
        <w:ind w:left="6652" w:hanging="241"/>
      </w:pPr>
      <w:rPr>
        <w:rFonts w:hint="default"/>
        <w:lang w:val="en-US" w:eastAsia="zh-CN" w:bidi="ar-SA"/>
      </w:rPr>
    </w:lvl>
    <w:lvl w:ilvl="7" w:tentative="0">
      <w:start w:val="0"/>
      <w:numFmt w:val="bullet"/>
      <w:lvlText w:val="•"/>
      <w:lvlJc w:val="left"/>
      <w:pPr>
        <w:ind w:left="7614" w:hanging="241"/>
      </w:pPr>
      <w:rPr>
        <w:rFonts w:hint="default"/>
        <w:lang w:val="en-US" w:eastAsia="zh-CN" w:bidi="ar-SA"/>
      </w:rPr>
    </w:lvl>
    <w:lvl w:ilvl="8" w:tentative="0">
      <w:start w:val="0"/>
      <w:numFmt w:val="bullet"/>
      <w:lvlText w:val="•"/>
      <w:lvlJc w:val="left"/>
      <w:pPr>
        <w:ind w:left="8576" w:hanging="241"/>
      </w:pPr>
      <w:rPr>
        <w:rFonts w:hint="default"/>
        <w:lang w:val="en-US" w:eastAsia="zh-CN" w:bidi="ar-SA"/>
      </w:rPr>
    </w:lvl>
  </w:abstractNum>
  <w:abstractNum w:abstractNumId="5">
    <w:nsid w:val="B0F1ACD9"/>
    <w:multiLevelType w:val="multilevel"/>
    <w:tmpl w:val="B0F1ACD9"/>
    <w:lvl w:ilvl="0" w:tentative="0">
      <w:start w:val="3"/>
      <w:numFmt w:val="decimal"/>
      <w:lvlText w:val="%1"/>
      <w:lvlJc w:val="left"/>
      <w:pPr>
        <w:ind w:left="160" w:hanging="480"/>
        <w:jc w:val="left"/>
      </w:pPr>
      <w:rPr>
        <w:rFonts w:hint="default"/>
        <w:lang w:val="en-US" w:eastAsia="zh-CN" w:bidi="ar-SA"/>
      </w:rPr>
    </w:lvl>
    <w:lvl w:ilvl="1" w:tentative="0">
      <w:start w:val="1"/>
      <w:numFmt w:val="decimal"/>
      <w:lvlText w:val="%1.%2"/>
      <w:lvlJc w:val="left"/>
      <w:pPr>
        <w:ind w:left="160" w:hanging="480"/>
        <w:jc w:val="left"/>
      </w:pPr>
      <w:rPr>
        <w:rFonts w:hint="default" w:ascii="宋体" w:hAnsi="宋体" w:eastAsia="宋体" w:cs="宋体"/>
        <w:w w:val="100"/>
        <w:sz w:val="24"/>
        <w:szCs w:val="24"/>
        <w:lang w:val="en-US" w:eastAsia="zh-CN" w:bidi="ar-SA"/>
      </w:rPr>
    </w:lvl>
    <w:lvl w:ilvl="2" w:tentative="0">
      <w:start w:val="0"/>
      <w:numFmt w:val="bullet"/>
      <w:lvlText w:val="•"/>
      <w:lvlJc w:val="left"/>
      <w:pPr>
        <w:ind w:left="2228" w:hanging="480"/>
      </w:pPr>
      <w:rPr>
        <w:rFonts w:hint="default"/>
        <w:lang w:val="en-US" w:eastAsia="zh-CN" w:bidi="ar-SA"/>
      </w:rPr>
    </w:lvl>
    <w:lvl w:ilvl="3" w:tentative="0">
      <w:start w:val="0"/>
      <w:numFmt w:val="bullet"/>
      <w:lvlText w:val="•"/>
      <w:lvlJc w:val="left"/>
      <w:pPr>
        <w:ind w:left="3262" w:hanging="480"/>
      </w:pPr>
      <w:rPr>
        <w:rFonts w:hint="default"/>
        <w:lang w:val="en-US" w:eastAsia="zh-CN" w:bidi="ar-SA"/>
      </w:rPr>
    </w:lvl>
    <w:lvl w:ilvl="4" w:tentative="0">
      <w:start w:val="0"/>
      <w:numFmt w:val="bullet"/>
      <w:lvlText w:val="•"/>
      <w:lvlJc w:val="left"/>
      <w:pPr>
        <w:ind w:left="4296" w:hanging="480"/>
      </w:pPr>
      <w:rPr>
        <w:rFonts w:hint="default"/>
        <w:lang w:val="en-US" w:eastAsia="zh-CN" w:bidi="ar-SA"/>
      </w:rPr>
    </w:lvl>
    <w:lvl w:ilvl="5" w:tentative="0">
      <w:start w:val="0"/>
      <w:numFmt w:val="bullet"/>
      <w:lvlText w:val="•"/>
      <w:lvlJc w:val="left"/>
      <w:pPr>
        <w:ind w:left="5330" w:hanging="480"/>
      </w:pPr>
      <w:rPr>
        <w:rFonts w:hint="default"/>
        <w:lang w:val="en-US" w:eastAsia="zh-CN" w:bidi="ar-SA"/>
      </w:rPr>
    </w:lvl>
    <w:lvl w:ilvl="6" w:tentative="0">
      <w:start w:val="0"/>
      <w:numFmt w:val="bullet"/>
      <w:lvlText w:val="•"/>
      <w:lvlJc w:val="left"/>
      <w:pPr>
        <w:ind w:left="6364" w:hanging="480"/>
      </w:pPr>
      <w:rPr>
        <w:rFonts w:hint="default"/>
        <w:lang w:val="en-US" w:eastAsia="zh-CN" w:bidi="ar-SA"/>
      </w:rPr>
    </w:lvl>
    <w:lvl w:ilvl="7" w:tentative="0">
      <w:start w:val="0"/>
      <w:numFmt w:val="bullet"/>
      <w:lvlText w:val="•"/>
      <w:lvlJc w:val="left"/>
      <w:pPr>
        <w:ind w:left="7398" w:hanging="480"/>
      </w:pPr>
      <w:rPr>
        <w:rFonts w:hint="default"/>
        <w:lang w:val="en-US" w:eastAsia="zh-CN" w:bidi="ar-SA"/>
      </w:rPr>
    </w:lvl>
    <w:lvl w:ilvl="8" w:tentative="0">
      <w:start w:val="0"/>
      <w:numFmt w:val="bullet"/>
      <w:lvlText w:val="•"/>
      <w:lvlJc w:val="left"/>
      <w:pPr>
        <w:ind w:left="8432" w:hanging="480"/>
      </w:pPr>
      <w:rPr>
        <w:rFonts w:hint="default"/>
        <w:lang w:val="en-US" w:eastAsia="zh-CN" w:bidi="ar-SA"/>
      </w:rPr>
    </w:lvl>
  </w:abstractNum>
  <w:abstractNum w:abstractNumId="6">
    <w:nsid w:val="B5E306ED"/>
    <w:multiLevelType w:val="multilevel"/>
    <w:tmpl w:val="B5E306ED"/>
    <w:lvl w:ilvl="0" w:tentative="0">
      <w:start w:val="1"/>
      <w:numFmt w:val="decimal"/>
      <w:lvlText w:val="（%1）"/>
      <w:lvlJc w:val="left"/>
      <w:pPr>
        <w:ind w:left="708"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318" w:hanging="601"/>
      </w:pPr>
      <w:rPr>
        <w:rFonts w:hint="default"/>
        <w:lang w:val="en-US" w:eastAsia="zh-CN" w:bidi="ar-SA"/>
      </w:rPr>
    </w:lvl>
    <w:lvl w:ilvl="2" w:tentative="0">
      <w:start w:val="0"/>
      <w:numFmt w:val="bullet"/>
      <w:lvlText w:val="•"/>
      <w:lvlJc w:val="left"/>
      <w:pPr>
        <w:ind w:left="1937" w:hanging="601"/>
      </w:pPr>
      <w:rPr>
        <w:rFonts w:hint="default"/>
        <w:lang w:val="en-US" w:eastAsia="zh-CN" w:bidi="ar-SA"/>
      </w:rPr>
    </w:lvl>
    <w:lvl w:ilvl="3" w:tentative="0">
      <w:start w:val="0"/>
      <w:numFmt w:val="bullet"/>
      <w:lvlText w:val="•"/>
      <w:lvlJc w:val="left"/>
      <w:pPr>
        <w:ind w:left="2556" w:hanging="601"/>
      </w:pPr>
      <w:rPr>
        <w:rFonts w:hint="default"/>
        <w:lang w:val="en-US" w:eastAsia="zh-CN" w:bidi="ar-SA"/>
      </w:rPr>
    </w:lvl>
    <w:lvl w:ilvl="4" w:tentative="0">
      <w:start w:val="0"/>
      <w:numFmt w:val="bullet"/>
      <w:lvlText w:val="•"/>
      <w:lvlJc w:val="left"/>
      <w:pPr>
        <w:ind w:left="3174" w:hanging="601"/>
      </w:pPr>
      <w:rPr>
        <w:rFonts w:hint="default"/>
        <w:lang w:val="en-US" w:eastAsia="zh-CN" w:bidi="ar-SA"/>
      </w:rPr>
    </w:lvl>
    <w:lvl w:ilvl="5" w:tentative="0">
      <w:start w:val="0"/>
      <w:numFmt w:val="bullet"/>
      <w:lvlText w:val="•"/>
      <w:lvlJc w:val="left"/>
      <w:pPr>
        <w:ind w:left="3793" w:hanging="601"/>
      </w:pPr>
      <w:rPr>
        <w:rFonts w:hint="default"/>
        <w:lang w:val="en-US" w:eastAsia="zh-CN" w:bidi="ar-SA"/>
      </w:rPr>
    </w:lvl>
    <w:lvl w:ilvl="6" w:tentative="0">
      <w:start w:val="0"/>
      <w:numFmt w:val="bullet"/>
      <w:lvlText w:val="•"/>
      <w:lvlJc w:val="left"/>
      <w:pPr>
        <w:ind w:left="4412" w:hanging="601"/>
      </w:pPr>
      <w:rPr>
        <w:rFonts w:hint="default"/>
        <w:lang w:val="en-US" w:eastAsia="zh-CN" w:bidi="ar-SA"/>
      </w:rPr>
    </w:lvl>
    <w:lvl w:ilvl="7" w:tentative="0">
      <w:start w:val="0"/>
      <w:numFmt w:val="bullet"/>
      <w:lvlText w:val="•"/>
      <w:lvlJc w:val="left"/>
      <w:pPr>
        <w:ind w:left="5030" w:hanging="601"/>
      </w:pPr>
      <w:rPr>
        <w:rFonts w:hint="default"/>
        <w:lang w:val="en-US" w:eastAsia="zh-CN" w:bidi="ar-SA"/>
      </w:rPr>
    </w:lvl>
    <w:lvl w:ilvl="8" w:tentative="0">
      <w:start w:val="0"/>
      <w:numFmt w:val="bullet"/>
      <w:lvlText w:val="•"/>
      <w:lvlJc w:val="left"/>
      <w:pPr>
        <w:ind w:left="5649" w:hanging="601"/>
      </w:pPr>
      <w:rPr>
        <w:rFonts w:hint="default"/>
        <w:lang w:val="en-US" w:eastAsia="zh-CN" w:bidi="ar-SA"/>
      </w:rPr>
    </w:lvl>
  </w:abstractNum>
  <w:abstractNum w:abstractNumId="7">
    <w:nsid w:val="BE923771"/>
    <w:multiLevelType w:val="multilevel"/>
    <w:tmpl w:val="BE923771"/>
    <w:lvl w:ilvl="0" w:tentative="0">
      <w:start w:val="7"/>
      <w:numFmt w:val="decimal"/>
      <w:lvlText w:val="%1"/>
      <w:lvlJc w:val="left"/>
      <w:pPr>
        <w:ind w:left="160" w:hanging="603"/>
        <w:jc w:val="left"/>
      </w:pPr>
      <w:rPr>
        <w:rFonts w:hint="default"/>
        <w:lang w:val="en-US" w:eastAsia="zh-CN" w:bidi="ar-SA"/>
      </w:rPr>
    </w:lvl>
    <w:lvl w:ilvl="1" w:tentative="0">
      <w:start w:val="2"/>
      <w:numFmt w:val="decimal"/>
      <w:lvlText w:val="%1.%2"/>
      <w:lvlJc w:val="left"/>
      <w:pPr>
        <w:ind w:left="160" w:hanging="603"/>
        <w:jc w:val="left"/>
      </w:pPr>
      <w:rPr>
        <w:rFonts w:hint="default"/>
        <w:lang w:val="en-US" w:eastAsia="zh-CN" w:bidi="ar-SA"/>
      </w:rPr>
    </w:lvl>
    <w:lvl w:ilvl="2" w:tentative="0">
      <w:start w:val="1"/>
      <w:numFmt w:val="decimal"/>
      <w:lvlText w:val="%1.%2.%3"/>
      <w:lvlJc w:val="left"/>
      <w:pPr>
        <w:ind w:left="160" w:hanging="603"/>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262" w:hanging="603"/>
      </w:pPr>
      <w:rPr>
        <w:rFonts w:hint="default"/>
        <w:lang w:val="en-US" w:eastAsia="zh-CN" w:bidi="ar-SA"/>
      </w:rPr>
    </w:lvl>
    <w:lvl w:ilvl="4" w:tentative="0">
      <w:start w:val="0"/>
      <w:numFmt w:val="bullet"/>
      <w:lvlText w:val="•"/>
      <w:lvlJc w:val="left"/>
      <w:pPr>
        <w:ind w:left="4296" w:hanging="603"/>
      </w:pPr>
      <w:rPr>
        <w:rFonts w:hint="default"/>
        <w:lang w:val="en-US" w:eastAsia="zh-CN" w:bidi="ar-SA"/>
      </w:rPr>
    </w:lvl>
    <w:lvl w:ilvl="5" w:tentative="0">
      <w:start w:val="0"/>
      <w:numFmt w:val="bullet"/>
      <w:lvlText w:val="•"/>
      <w:lvlJc w:val="left"/>
      <w:pPr>
        <w:ind w:left="5330" w:hanging="603"/>
      </w:pPr>
      <w:rPr>
        <w:rFonts w:hint="default"/>
        <w:lang w:val="en-US" w:eastAsia="zh-CN" w:bidi="ar-SA"/>
      </w:rPr>
    </w:lvl>
    <w:lvl w:ilvl="6" w:tentative="0">
      <w:start w:val="0"/>
      <w:numFmt w:val="bullet"/>
      <w:lvlText w:val="•"/>
      <w:lvlJc w:val="left"/>
      <w:pPr>
        <w:ind w:left="6364" w:hanging="603"/>
      </w:pPr>
      <w:rPr>
        <w:rFonts w:hint="default"/>
        <w:lang w:val="en-US" w:eastAsia="zh-CN" w:bidi="ar-SA"/>
      </w:rPr>
    </w:lvl>
    <w:lvl w:ilvl="7" w:tentative="0">
      <w:start w:val="0"/>
      <w:numFmt w:val="bullet"/>
      <w:lvlText w:val="•"/>
      <w:lvlJc w:val="left"/>
      <w:pPr>
        <w:ind w:left="7398" w:hanging="603"/>
      </w:pPr>
      <w:rPr>
        <w:rFonts w:hint="default"/>
        <w:lang w:val="en-US" w:eastAsia="zh-CN" w:bidi="ar-SA"/>
      </w:rPr>
    </w:lvl>
    <w:lvl w:ilvl="8" w:tentative="0">
      <w:start w:val="0"/>
      <w:numFmt w:val="bullet"/>
      <w:lvlText w:val="•"/>
      <w:lvlJc w:val="left"/>
      <w:pPr>
        <w:ind w:left="8432" w:hanging="603"/>
      </w:pPr>
      <w:rPr>
        <w:rFonts w:hint="default"/>
        <w:lang w:val="en-US" w:eastAsia="zh-CN" w:bidi="ar-SA"/>
      </w:rPr>
    </w:lvl>
  </w:abstractNum>
  <w:abstractNum w:abstractNumId="8">
    <w:nsid w:val="BF205925"/>
    <w:multiLevelType w:val="multilevel"/>
    <w:tmpl w:val="BF205925"/>
    <w:lvl w:ilvl="0" w:tentative="0">
      <w:start w:val="2"/>
      <w:numFmt w:val="decimal"/>
      <w:lvlText w:val="%1."/>
      <w:lvlJc w:val="left"/>
      <w:pPr>
        <w:ind w:left="108"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835" w:hanging="241"/>
      </w:pPr>
      <w:rPr>
        <w:rFonts w:hint="default"/>
        <w:lang w:val="en-US" w:eastAsia="zh-CN" w:bidi="ar-SA"/>
      </w:rPr>
    </w:lvl>
    <w:lvl w:ilvl="2" w:tentative="0">
      <w:start w:val="0"/>
      <w:numFmt w:val="bullet"/>
      <w:lvlText w:val="•"/>
      <w:lvlJc w:val="left"/>
      <w:pPr>
        <w:ind w:left="1570" w:hanging="241"/>
      </w:pPr>
      <w:rPr>
        <w:rFonts w:hint="default"/>
        <w:lang w:val="en-US" w:eastAsia="zh-CN" w:bidi="ar-SA"/>
      </w:rPr>
    </w:lvl>
    <w:lvl w:ilvl="3" w:tentative="0">
      <w:start w:val="0"/>
      <w:numFmt w:val="bullet"/>
      <w:lvlText w:val="•"/>
      <w:lvlJc w:val="left"/>
      <w:pPr>
        <w:ind w:left="2305" w:hanging="241"/>
      </w:pPr>
      <w:rPr>
        <w:rFonts w:hint="default"/>
        <w:lang w:val="en-US" w:eastAsia="zh-CN" w:bidi="ar-SA"/>
      </w:rPr>
    </w:lvl>
    <w:lvl w:ilvl="4" w:tentative="0">
      <w:start w:val="0"/>
      <w:numFmt w:val="bullet"/>
      <w:lvlText w:val="•"/>
      <w:lvlJc w:val="left"/>
      <w:pPr>
        <w:ind w:left="3040" w:hanging="241"/>
      </w:pPr>
      <w:rPr>
        <w:rFonts w:hint="default"/>
        <w:lang w:val="en-US" w:eastAsia="zh-CN" w:bidi="ar-SA"/>
      </w:rPr>
    </w:lvl>
    <w:lvl w:ilvl="5" w:tentative="0">
      <w:start w:val="0"/>
      <w:numFmt w:val="bullet"/>
      <w:lvlText w:val="•"/>
      <w:lvlJc w:val="left"/>
      <w:pPr>
        <w:ind w:left="3775" w:hanging="241"/>
      </w:pPr>
      <w:rPr>
        <w:rFonts w:hint="default"/>
        <w:lang w:val="en-US" w:eastAsia="zh-CN" w:bidi="ar-SA"/>
      </w:rPr>
    </w:lvl>
    <w:lvl w:ilvl="6" w:tentative="0">
      <w:start w:val="0"/>
      <w:numFmt w:val="bullet"/>
      <w:lvlText w:val="•"/>
      <w:lvlJc w:val="left"/>
      <w:pPr>
        <w:ind w:left="4510" w:hanging="241"/>
      </w:pPr>
      <w:rPr>
        <w:rFonts w:hint="default"/>
        <w:lang w:val="en-US" w:eastAsia="zh-CN" w:bidi="ar-SA"/>
      </w:rPr>
    </w:lvl>
    <w:lvl w:ilvl="7" w:tentative="0">
      <w:start w:val="0"/>
      <w:numFmt w:val="bullet"/>
      <w:lvlText w:val="•"/>
      <w:lvlJc w:val="left"/>
      <w:pPr>
        <w:ind w:left="5245" w:hanging="241"/>
      </w:pPr>
      <w:rPr>
        <w:rFonts w:hint="default"/>
        <w:lang w:val="en-US" w:eastAsia="zh-CN" w:bidi="ar-SA"/>
      </w:rPr>
    </w:lvl>
    <w:lvl w:ilvl="8" w:tentative="0">
      <w:start w:val="0"/>
      <w:numFmt w:val="bullet"/>
      <w:lvlText w:val="•"/>
      <w:lvlJc w:val="left"/>
      <w:pPr>
        <w:ind w:left="5980" w:hanging="241"/>
      </w:pPr>
      <w:rPr>
        <w:rFonts w:hint="default"/>
        <w:lang w:val="en-US" w:eastAsia="zh-CN" w:bidi="ar-SA"/>
      </w:rPr>
    </w:lvl>
  </w:abstractNum>
  <w:abstractNum w:abstractNumId="9">
    <w:nsid w:val="C8879AEF"/>
    <w:multiLevelType w:val="multilevel"/>
    <w:tmpl w:val="C8879AEF"/>
    <w:lvl w:ilvl="0" w:tentative="0">
      <w:start w:val="16"/>
      <w:numFmt w:val="decimal"/>
      <w:lvlText w:val="%1"/>
      <w:lvlJc w:val="left"/>
      <w:pPr>
        <w:ind w:left="160" w:hanging="481"/>
        <w:jc w:val="left"/>
      </w:pPr>
      <w:rPr>
        <w:rFonts w:hint="default"/>
        <w:lang w:val="en-US" w:eastAsia="zh-CN" w:bidi="ar-SA"/>
      </w:rPr>
    </w:lvl>
    <w:lvl w:ilvl="1" w:tentative="0">
      <w:start w:val="4"/>
      <w:numFmt w:val="decimal"/>
      <w:lvlText w:val="%1.%2"/>
      <w:lvlJc w:val="left"/>
      <w:pPr>
        <w:ind w:left="160" w:hanging="48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2228" w:hanging="481"/>
      </w:pPr>
      <w:rPr>
        <w:rFonts w:hint="default"/>
        <w:lang w:val="en-US" w:eastAsia="zh-CN" w:bidi="ar-SA"/>
      </w:rPr>
    </w:lvl>
    <w:lvl w:ilvl="3" w:tentative="0">
      <w:start w:val="0"/>
      <w:numFmt w:val="bullet"/>
      <w:lvlText w:val="•"/>
      <w:lvlJc w:val="left"/>
      <w:pPr>
        <w:ind w:left="3262" w:hanging="481"/>
      </w:pPr>
      <w:rPr>
        <w:rFonts w:hint="default"/>
        <w:lang w:val="en-US" w:eastAsia="zh-CN" w:bidi="ar-SA"/>
      </w:rPr>
    </w:lvl>
    <w:lvl w:ilvl="4" w:tentative="0">
      <w:start w:val="0"/>
      <w:numFmt w:val="bullet"/>
      <w:lvlText w:val="•"/>
      <w:lvlJc w:val="left"/>
      <w:pPr>
        <w:ind w:left="4296" w:hanging="481"/>
      </w:pPr>
      <w:rPr>
        <w:rFonts w:hint="default"/>
        <w:lang w:val="en-US" w:eastAsia="zh-CN" w:bidi="ar-SA"/>
      </w:rPr>
    </w:lvl>
    <w:lvl w:ilvl="5" w:tentative="0">
      <w:start w:val="0"/>
      <w:numFmt w:val="bullet"/>
      <w:lvlText w:val="•"/>
      <w:lvlJc w:val="left"/>
      <w:pPr>
        <w:ind w:left="5330" w:hanging="481"/>
      </w:pPr>
      <w:rPr>
        <w:rFonts w:hint="default"/>
        <w:lang w:val="en-US" w:eastAsia="zh-CN" w:bidi="ar-SA"/>
      </w:rPr>
    </w:lvl>
    <w:lvl w:ilvl="6" w:tentative="0">
      <w:start w:val="0"/>
      <w:numFmt w:val="bullet"/>
      <w:lvlText w:val="•"/>
      <w:lvlJc w:val="left"/>
      <w:pPr>
        <w:ind w:left="6364" w:hanging="481"/>
      </w:pPr>
      <w:rPr>
        <w:rFonts w:hint="default"/>
        <w:lang w:val="en-US" w:eastAsia="zh-CN" w:bidi="ar-SA"/>
      </w:rPr>
    </w:lvl>
    <w:lvl w:ilvl="7" w:tentative="0">
      <w:start w:val="0"/>
      <w:numFmt w:val="bullet"/>
      <w:lvlText w:val="•"/>
      <w:lvlJc w:val="left"/>
      <w:pPr>
        <w:ind w:left="7398" w:hanging="481"/>
      </w:pPr>
      <w:rPr>
        <w:rFonts w:hint="default"/>
        <w:lang w:val="en-US" w:eastAsia="zh-CN" w:bidi="ar-SA"/>
      </w:rPr>
    </w:lvl>
    <w:lvl w:ilvl="8" w:tentative="0">
      <w:start w:val="0"/>
      <w:numFmt w:val="bullet"/>
      <w:lvlText w:val="•"/>
      <w:lvlJc w:val="left"/>
      <w:pPr>
        <w:ind w:left="8432" w:hanging="481"/>
      </w:pPr>
      <w:rPr>
        <w:rFonts w:hint="default"/>
        <w:lang w:val="en-US" w:eastAsia="zh-CN" w:bidi="ar-SA"/>
      </w:rPr>
    </w:lvl>
  </w:abstractNum>
  <w:abstractNum w:abstractNumId="10">
    <w:nsid w:val="D7F9FE59"/>
    <w:multiLevelType w:val="multilevel"/>
    <w:tmpl w:val="D7F9FE59"/>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1">
    <w:nsid w:val="DCBA6B53"/>
    <w:multiLevelType w:val="multilevel"/>
    <w:tmpl w:val="DCBA6B53"/>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2">
    <w:nsid w:val="E093A4B0"/>
    <w:multiLevelType w:val="multilevel"/>
    <w:tmpl w:val="E093A4B0"/>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3">
    <w:nsid w:val="F4B5D9F5"/>
    <w:multiLevelType w:val="multilevel"/>
    <w:tmpl w:val="F4B5D9F5"/>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4">
    <w:nsid w:val="F7735DC9"/>
    <w:multiLevelType w:val="multilevel"/>
    <w:tmpl w:val="F7735DC9"/>
    <w:lvl w:ilvl="0" w:tentative="0">
      <w:start w:val="1"/>
      <w:numFmt w:val="decimal"/>
      <w:lvlText w:val="%1."/>
      <w:lvlJc w:val="left"/>
      <w:pPr>
        <w:ind w:left="88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842" w:hanging="241"/>
      </w:pPr>
      <w:rPr>
        <w:rFonts w:hint="default"/>
        <w:lang w:val="en-US" w:eastAsia="zh-CN" w:bidi="ar-SA"/>
      </w:rPr>
    </w:lvl>
    <w:lvl w:ilvl="2" w:tentative="0">
      <w:start w:val="0"/>
      <w:numFmt w:val="bullet"/>
      <w:lvlText w:val="•"/>
      <w:lvlJc w:val="left"/>
      <w:pPr>
        <w:ind w:left="2804" w:hanging="241"/>
      </w:pPr>
      <w:rPr>
        <w:rFonts w:hint="default"/>
        <w:lang w:val="en-US" w:eastAsia="zh-CN" w:bidi="ar-SA"/>
      </w:rPr>
    </w:lvl>
    <w:lvl w:ilvl="3" w:tentative="0">
      <w:start w:val="0"/>
      <w:numFmt w:val="bullet"/>
      <w:lvlText w:val="•"/>
      <w:lvlJc w:val="left"/>
      <w:pPr>
        <w:ind w:left="3766" w:hanging="241"/>
      </w:pPr>
      <w:rPr>
        <w:rFonts w:hint="default"/>
        <w:lang w:val="en-US" w:eastAsia="zh-CN" w:bidi="ar-SA"/>
      </w:rPr>
    </w:lvl>
    <w:lvl w:ilvl="4" w:tentative="0">
      <w:start w:val="0"/>
      <w:numFmt w:val="bullet"/>
      <w:lvlText w:val="•"/>
      <w:lvlJc w:val="left"/>
      <w:pPr>
        <w:ind w:left="4728" w:hanging="241"/>
      </w:pPr>
      <w:rPr>
        <w:rFonts w:hint="default"/>
        <w:lang w:val="en-US" w:eastAsia="zh-CN" w:bidi="ar-SA"/>
      </w:rPr>
    </w:lvl>
    <w:lvl w:ilvl="5" w:tentative="0">
      <w:start w:val="0"/>
      <w:numFmt w:val="bullet"/>
      <w:lvlText w:val="•"/>
      <w:lvlJc w:val="left"/>
      <w:pPr>
        <w:ind w:left="5690" w:hanging="241"/>
      </w:pPr>
      <w:rPr>
        <w:rFonts w:hint="default"/>
        <w:lang w:val="en-US" w:eastAsia="zh-CN" w:bidi="ar-SA"/>
      </w:rPr>
    </w:lvl>
    <w:lvl w:ilvl="6" w:tentative="0">
      <w:start w:val="0"/>
      <w:numFmt w:val="bullet"/>
      <w:lvlText w:val="•"/>
      <w:lvlJc w:val="left"/>
      <w:pPr>
        <w:ind w:left="6652" w:hanging="241"/>
      </w:pPr>
      <w:rPr>
        <w:rFonts w:hint="default"/>
        <w:lang w:val="en-US" w:eastAsia="zh-CN" w:bidi="ar-SA"/>
      </w:rPr>
    </w:lvl>
    <w:lvl w:ilvl="7" w:tentative="0">
      <w:start w:val="0"/>
      <w:numFmt w:val="bullet"/>
      <w:lvlText w:val="•"/>
      <w:lvlJc w:val="left"/>
      <w:pPr>
        <w:ind w:left="7614" w:hanging="241"/>
      </w:pPr>
      <w:rPr>
        <w:rFonts w:hint="default"/>
        <w:lang w:val="en-US" w:eastAsia="zh-CN" w:bidi="ar-SA"/>
      </w:rPr>
    </w:lvl>
    <w:lvl w:ilvl="8" w:tentative="0">
      <w:start w:val="0"/>
      <w:numFmt w:val="bullet"/>
      <w:lvlText w:val="•"/>
      <w:lvlJc w:val="left"/>
      <w:pPr>
        <w:ind w:left="8576" w:hanging="241"/>
      </w:pPr>
      <w:rPr>
        <w:rFonts w:hint="default"/>
        <w:lang w:val="en-US" w:eastAsia="zh-CN" w:bidi="ar-SA"/>
      </w:rPr>
    </w:lvl>
  </w:abstractNum>
  <w:abstractNum w:abstractNumId="15">
    <w:nsid w:val="0248C179"/>
    <w:multiLevelType w:val="multilevel"/>
    <w:tmpl w:val="0248C179"/>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6">
    <w:nsid w:val="03D62ECE"/>
    <w:multiLevelType w:val="multilevel"/>
    <w:tmpl w:val="03D62ECE"/>
    <w:lvl w:ilvl="0" w:tentative="0">
      <w:start w:val="2"/>
      <w:numFmt w:val="decimal"/>
      <w:lvlText w:val="%1."/>
      <w:lvlJc w:val="left"/>
      <w:pPr>
        <w:ind w:left="107"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778" w:hanging="241"/>
      </w:pPr>
      <w:rPr>
        <w:rFonts w:hint="default"/>
        <w:lang w:val="en-US" w:eastAsia="zh-CN" w:bidi="ar-SA"/>
      </w:rPr>
    </w:lvl>
    <w:lvl w:ilvl="2" w:tentative="0">
      <w:start w:val="0"/>
      <w:numFmt w:val="bullet"/>
      <w:lvlText w:val="•"/>
      <w:lvlJc w:val="left"/>
      <w:pPr>
        <w:ind w:left="1457" w:hanging="241"/>
      </w:pPr>
      <w:rPr>
        <w:rFonts w:hint="default"/>
        <w:lang w:val="en-US" w:eastAsia="zh-CN" w:bidi="ar-SA"/>
      </w:rPr>
    </w:lvl>
    <w:lvl w:ilvl="3" w:tentative="0">
      <w:start w:val="0"/>
      <w:numFmt w:val="bullet"/>
      <w:lvlText w:val="•"/>
      <w:lvlJc w:val="left"/>
      <w:pPr>
        <w:ind w:left="2136" w:hanging="241"/>
      </w:pPr>
      <w:rPr>
        <w:rFonts w:hint="default"/>
        <w:lang w:val="en-US" w:eastAsia="zh-CN" w:bidi="ar-SA"/>
      </w:rPr>
    </w:lvl>
    <w:lvl w:ilvl="4" w:tentative="0">
      <w:start w:val="0"/>
      <w:numFmt w:val="bullet"/>
      <w:lvlText w:val="•"/>
      <w:lvlJc w:val="left"/>
      <w:pPr>
        <w:ind w:left="2814" w:hanging="241"/>
      </w:pPr>
      <w:rPr>
        <w:rFonts w:hint="default"/>
        <w:lang w:val="en-US" w:eastAsia="zh-CN" w:bidi="ar-SA"/>
      </w:rPr>
    </w:lvl>
    <w:lvl w:ilvl="5" w:tentative="0">
      <w:start w:val="0"/>
      <w:numFmt w:val="bullet"/>
      <w:lvlText w:val="•"/>
      <w:lvlJc w:val="left"/>
      <w:pPr>
        <w:ind w:left="3493" w:hanging="241"/>
      </w:pPr>
      <w:rPr>
        <w:rFonts w:hint="default"/>
        <w:lang w:val="en-US" w:eastAsia="zh-CN" w:bidi="ar-SA"/>
      </w:rPr>
    </w:lvl>
    <w:lvl w:ilvl="6" w:tentative="0">
      <w:start w:val="0"/>
      <w:numFmt w:val="bullet"/>
      <w:lvlText w:val="•"/>
      <w:lvlJc w:val="left"/>
      <w:pPr>
        <w:ind w:left="4172" w:hanging="241"/>
      </w:pPr>
      <w:rPr>
        <w:rFonts w:hint="default"/>
        <w:lang w:val="en-US" w:eastAsia="zh-CN" w:bidi="ar-SA"/>
      </w:rPr>
    </w:lvl>
    <w:lvl w:ilvl="7" w:tentative="0">
      <w:start w:val="0"/>
      <w:numFmt w:val="bullet"/>
      <w:lvlText w:val="•"/>
      <w:lvlJc w:val="left"/>
      <w:pPr>
        <w:ind w:left="4850" w:hanging="241"/>
      </w:pPr>
      <w:rPr>
        <w:rFonts w:hint="default"/>
        <w:lang w:val="en-US" w:eastAsia="zh-CN" w:bidi="ar-SA"/>
      </w:rPr>
    </w:lvl>
    <w:lvl w:ilvl="8" w:tentative="0">
      <w:start w:val="0"/>
      <w:numFmt w:val="bullet"/>
      <w:lvlText w:val="•"/>
      <w:lvlJc w:val="left"/>
      <w:pPr>
        <w:ind w:left="5529" w:hanging="241"/>
      </w:pPr>
      <w:rPr>
        <w:rFonts w:hint="default"/>
        <w:lang w:val="en-US" w:eastAsia="zh-CN" w:bidi="ar-SA"/>
      </w:rPr>
    </w:lvl>
  </w:abstractNum>
  <w:abstractNum w:abstractNumId="17">
    <w:nsid w:val="0E640482"/>
    <w:multiLevelType w:val="multilevel"/>
    <w:tmpl w:val="0E640482"/>
    <w:lvl w:ilvl="0" w:tentative="0">
      <w:start w:val="1"/>
      <w:numFmt w:val="decimal"/>
      <w:lvlText w:val="%1."/>
      <w:lvlJc w:val="left"/>
      <w:pPr>
        <w:ind w:left="885" w:hanging="244"/>
        <w:jc w:val="left"/>
      </w:pPr>
      <w:rPr>
        <w:rFonts w:hint="default" w:ascii="宋体" w:hAnsi="宋体" w:eastAsia="宋体" w:cs="宋体"/>
        <w:spacing w:val="-3"/>
        <w:w w:val="100"/>
        <w:sz w:val="22"/>
        <w:szCs w:val="22"/>
        <w:lang w:val="en-US" w:eastAsia="zh-CN" w:bidi="ar-SA"/>
      </w:rPr>
    </w:lvl>
    <w:lvl w:ilvl="1" w:tentative="0">
      <w:start w:val="1"/>
      <w:numFmt w:val="decimal"/>
      <w:lvlText w:val="%1.%2"/>
      <w:lvlJc w:val="left"/>
      <w:pPr>
        <w:ind w:left="160" w:hanging="480"/>
        <w:jc w:val="left"/>
      </w:pPr>
      <w:rPr>
        <w:rFonts w:hint="default" w:ascii="宋体" w:hAnsi="宋体" w:eastAsia="宋体" w:cs="宋体"/>
        <w:w w:val="100"/>
        <w:sz w:val="24"/>
        <w:szCs w:val="24"/>
        <w:lang w:val="en-US" w:eastAsia="zh-CN" w:bidi="ar-SA"/>
      </w:rPr>
    </w:lvl>
    <w:lvl w:ilvl="2" w:tentative="0">
      <w:start w:val="0"/>
      <w:numFmt w:val="bullet"/>
      <w:lvlText w:val="•"/>
      <w:lvlJc w:val="left"/>
      <w:pPr>
        <w:ind w:left="1948" w:hanging="480"/>
      </w:pPr>
      <w:rPr>
        <w:rFonts w:hint="default"/>
        <w:lang w:val="en-US" w:eastAsia="zh-CN" w:bidi="ar-SA"/>
      </w:rPr>
    </w:lvl>
    <w:lvl w:ilvl="3" w:tentative="0">
      <w:start w:val="0"/>
      <w:numFmt w:val="bullet"/>
      <w:lvlText w:val="•"/>
      <w:lvlJc w:val="left"/>
      <w:pPr>
        <w:ind w:left="3017" w:hanging="480"/>
      </w:pPr>
      <w:rPr>
        <w:rFonts w:hint="default"/>
        <w:lang w:val="en-US" w:eastAsia="zh-CN" w:bidi="ar-SA"/>
      </w:rPr>
    </w:lvl>
    <w:lvl w:ilvl="4" w:tentative="0">
      <w:start w:val="0"/>
      <w:numFmt w:val="bullet"/>
      <w:lvlText w:val="•"/>
      <w:lvlJc w:val="left"/>
      <w:pPr>
        <w:ind w:left="4086" w:hanging="480"/>
      </w:pPr>
      <w:rPr>
        <w:rFonts w:hint="default"/>
        <w:lang w:val="en-US" w:eastAsia="zh-CN" w:bidi="ar-SA"/>
      </w:rPr>
    </w:lvl>
    <w:lvl w:ilvl="5" w:tentative="0">
      <w:start w:val="0"/>
      <w:numFmt w:val="bullet"/>
      <w:lvlText w:val="•"/>
      <w:lvlJc w:val="left"/>
      <w:pPr>
        <w:ind w:left="5155" w:hanging="480"/>
      </w:pPr>
      <w:rPr>
        <w:rFonts w:hint="default"/>
        <w:lang w:val="en-US" w:eastAsia="zh-CN" w:bidi="ar-SA"/>
      </w:rPr>
    </w:lvl>
    <w:lvl w:ilvl="6" w:tentative="0">
      <w:start w:val="0"/>
      <w:numFmt w:val="bullet"/>
      <w:lvlText w:val="•"/>
      <w:lvlJc w:val="left"/>
      <w:pPr>
        <w:ind w:left="6224" w:hanging="480"/>
      </w:pPr>
      <w:rPr>
        <w:rFonts w:hint="default"/>
        <w:lang w:val="en-US" w:eastAsia="zh-CN" w:bidi="ar-SA"/>
      </w:rPr>
    </w:lvl>
    <w:lvl w:ilvl="7" w:tentative="0">
      <w:start w:val="0"/>
      <w:numFmt w:val="bullet"/>
      <w:lvlText w:val="•"/>
      <w:lvlJc w:val="left"/>
      <w:pPr>
        <w:ind w:left="7293" w:hanging="480"/>
      </w:pPr>
      <w:rPr>
        <w:rFonts w:hint="default"/>
        <w:lang w:val="en-US" w:eastAsia="zh-CN" w:bidi="ar-SA"/>
      </w:rPr>
    </w:lvl>
    <w:lvl w:ilvl="8" w:tentative="0">
      <w:start w:val="0"/>
      <w:numFmt w:val="bullet"/>
      <w:lvlText w:val="•"/>
      <w:lvlJc w:val="left"/>
      <w:pPr>
        <w:ind w:left="8362" w:hanging="480"/>
      </w:pPr>
      <w:rPr>
        <w:rFonts w:hint="default"/>
        <w:lang w:val="en-US" w:eastAsia="zh-CN" w:bidi="ar-SA"/>
      </w:rPr>
    </w:lvl>
  </w:abstractNum>
  <w:abstractNum w:abstractNumId="18">
    <w:nsid w:val="243FCF68"/>
    <w:multiLevelType w:val="multilevel"/>
    <w:tmpl w:val="243FCF68"/>
    <w:lvl w:ilvl="0" w:tentative="0">
      <w:start w:val="20"/>
      <w:numFmt w:val="decimal"/>
      <w:lvlText w:val="%1."/>
      <w:lvlJc w:val="left"/>
      <w:pPr>
        <w:ind w:left="1005" w:hanging="364"/>
        <w:jc w:val="left"/>
      </w:pPr>
      <w:rPr>
        <w:rFonts w:hint="default" w:ascii="宋体" w:hAnsi="宋体" w:eastAsia="宋体" w:cs="宋体"/>
        <w:spacing w:val="0"/>
        <w:w w:val="100"/>
        <w:sz w:val="22"/>
        <w:szCs w:val="22"/>
        <w:lang w:val="en-US" w:eastAsia="zh-CN" w:bidi="ar-SA"/>
      </w:rPr>
    </w:lvl>
    <w:lvl w:ilvl="1" w:tentative="0">
      <w:start w:val="1"/>
      <w:numFmt w:val="decimal"/>
      <w:lvlText w:val="%1.%2"/>
      <w:lvlJc w:val="left"/>
      <w:pPr>
        <w:ind w:left="160"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1361" w:hanging="72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1360" w:hanging="721"/>
      </w:pPr>
      <w:rPr>
        <w:rFonts w:hint="default"/>
        <w:lang w:val="en-US" w:eastAsia="zh-CN" w:bidi="ar-SA"/>
      </w:rPr>
    </w:lvl>
    <w:lvl w:ilvl="4" w:tentative="0">
      <w:start w:val="0"/>
      <w:numFmt w:val="bullet"/>
      <w:lvlText w:val="•"/>
      <w:lvlJc w:val="left"/>
      <w:pPr>
        <w:ind w:left="2665" w:hanging="721"/>
      </w:pPr>
      <w:rPr>
        <w:rFonts w:hint="default"/>
        <w:lang w:val="en-US" w:eastAsia="zh-CN" w:bidi="ar-SA"/>
      </w:rPr>
    </w:lvl>
    <w:lvl w:ilvl="5" w:tentative="0">
      <w:start w:val="0"/>
      <w:numFmt w:val="bullet"/>
      <w:lvlText w:val="•"/>
      <w:lvlJc w:val="left"/>
      <w:pPr>
        <w:ind w:left="3971" w:hanging="721"/>
      </w:pPr>
      <w:rPr>
        <w:rFonts w:hint="default"/>
        <w:lang w:val="en-US" w:eastAsia="zh-CN" w:bidi="ar-SA"/>
      </w:rPr>
    </w:lvl>
    <w:lvl w:ilvl="6" w:tentative="0">
      <w:start w:val="0"/>
      <w:numFmt w:val="bullet"/>
      <w:lvlText w:val="•"/>
      <w:lvlJc w:val="left"/>
      <w:pPr>
        <w:ind w:left="5277" w:hanging="721"/>
      </w:pPr>
      <w:rPr>
        <w:rFonts w:hint="default"/>
        <w:lang w:val="en-US" w:eastAsia="zh-CN" w:bidi="ar-SA"/>
      </w:rPr>
    </w:lvl>
    <w:lvl w:ilvl="7" w:tentative="0">
      <w:start w:val="0"/>
      <w:numFmt w:val="bullet"/>
      <w:lvlText w:val="•"/>
      <w:lvlJc w:val="left"/>
      <w:pPr>
        <w:ind w:left="6582" w:hanging="721"/>
      </w:pPr>
      <w:rPr>
        <w:rFonts w:hint="default"/>
        <w:lang w:val="en-US" w:eastAsia="zh-CN" w:bidi="ar-SA"/>
      </w:rPr>
    </w:lvl>
    <w:lvl w:ilvl="8" w:tentative="0">
      <w:start w:val="0"/>
      <w:numFmt w:val="bullet"/>
      <w:lvlText w:val="•"/>
      <w:lvlJc w:val="left"/>
      <w:pPr>
        <w:ind w:left="7888" w:hanging="721"/>
      </w:pPr>
      <w:rPr>
        <w:rFonts w:hint="default"/>
        <w:lang w:val="en-US" w:eastAsia="zh-CN" w:bidi="ar-SA"/>
      </w:rPr>
    </w:lvl>
  </w:abstractNum>
  <w:abstractNum w:abstractNumId="19">
    <w:nsid w:val="25B654F3"/>
    <w:multiLevelType w:val="multilevel"/>
    <w:tmpl w:val="25B654F3"/>
    <w:lvl w:ilvl="0" w:tentative="0">
      <w:start w:val="1"/>
      <w:numFmt w:val="decimal"/>
      <w:lvlText w:val="%1."/>
      <w:lvlJc w:val="left"/>
      <w:pPr>
        <w:ind w:left="443" w:hanging="284"/>
        <w:jc w:val="left"/>
      </w:pPr>
      <w:rPr>
        <w:rFonts w:hint="default" w:ascii="宋体" w:hAnsi="宋体" w:eastAsia="宋体" w:cs="宋体"/>
        <w:spacing w:val="-2"/>
        <w:w w:val="100"/>
        <w:sz w:val="26"/>
        <w:szCs w:val="26"/>
        <w:lang w:val="en-US" w:eastAsia="zh-CN" w:bidi="ar-SA"/>
      </w:rPr>
    </w:lvl>
    <w:lvl w:ilvl="1" w:tentative="0">
      <w:start w:val="1"/>
      <w:numFmt w:val="decimal"/>
      <w:lvlText w:val="%1.%2"/>
      <w:lvlJc w:val="left"/>
      <w:pPr>
        <w:ind w:left="881" w:hanging="361"/>
        <w:jc w:val="left"/>
      </w:pPr>
      <w:rPr>
        <w:rFonts w:hint="default" w:ascii="宋体" w:hAnsi="宋体" w:eastAsia="宋体" w:cs="宋体"/>
        <w:w w:val="100"/>
        <w:sz w:val="22"/>
        <w:szCs w:val="22"/>
        <w:lang w:val="en-US" w:eastAsia="zh-CN" w:bidi="ar-SA"/>
      </w:rPr>
    </w:lvl>
    <w:lvl w:ilvl="2" w:tentative="0">
      <w:start w:val="1"/>
      <w:numFmt w:val="decimal"/>
      <w:lvlText w:val="（%3）"/>
      <w:lvlJc w:val="left"/>
      <w:pPr>
        <w:ind w:left="1241"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1000" w:hanging="601"/>
      </w:pPr>
      <w:rPr>
        <w:rFonts w:hint="default"/>
        <w:lang w:val="en-US" w:eastAsia="zh-CN" w:bidi="ar-SA"/>
      </w:rPr>
    </w:lvl>
    <w:lvl w:ilvl="4" w:tentative="0">
      <w:start w:val="0"/>
      <w:numFmt w:val="bullet"/>
      <w:lvlText w:val="•"/>
      <w:lvlJc w:val="left"/>
      <w:pPr>
        <w:ind w:left="1120" w:hanging="601"/>
      </w:pPr>
      <w:rPr>
        <w:rFonts w:hint="default"/>
        <w:lang w:val="en-US" w:eastAsia="zh-CN" w:bidi="ar-SA"/>
      </w:rPr>
    </w:lvl>
    <w:lvl w:ilvl="5" w:tentative="0">
      <w:start w:val="0"/>
      <w:numFmt w:val="bullet"/>
      <w:lvlText w:val="•"/>
      <w:lvlJc w:val="left"/>
      <w:pPr>
        <w:ind w:left="1240" w:hanging="601"/>
      </w:pPr>
      <w:rPr>
        <w:rFonts w:hint="default"/>
        <w:lang w:val="en-US" w:eastAsia="zh-CN" w:bidi="ar-SA"/>
      </w:rPr>
    </w:lvl>
    <w:lvl w:ilvl="6" w:tentative="0">
      <w:start w:val="0"/>
      <w:numFmt w:val="bullet"/>
      <w:lvlText w:val="•"/>
      <w:lvlJc w:val="left"/>
      <w:pPr>
        <w:ind w:left="3092" w:hanging="601"/>
      </w:pPr>
      <w:rPr>
        <w:rFonts w:hint="default"/>
        <w:lang w:val="en-US" w:eastAsia="zh-CN" w:bidi="ar-SA"/>
      </w:rPr>
    </w:lvl>
    <w:lvl w:ilvl="7" w:tentative="0">
      <w:start w:val="0"/>
      <w:numFmt w:val="bullet"/>
      <w:lvlText w:val="•"/>
      <w:lvlJc w:val="left"/>
      <w:pPr>
        <w:ind w:left="4944" w:hanging="601"/>
      </w:pPr>
      <w:rPr>
        <w:rFonts w:hint="default"/>
        <w:lang w:val="en-US" w:eastAsia="zh-CN" w:bidi="ar-SA"/>
      </w:rPr>
    </w:lvl>
    <w:lvl w:ilvl="8" w:tentative="0">
      <w:start w:val="0"/>
      <w:numFmt w:val="bullet"/>
      <w:lvlText w:val="•"/>
      <w:lvlJc w:val="left"/>
      <w:pPr>
        <w:ind w:left="6796" w:hanging="601"/>
      </w:pPr>
      <w:rPr>
        <w:rFonts w:hint="default"/>
        <w:lang w:val="en-US" w:eastAsia="zh-CN" w:bidi="ar-SA"/>
      </w:rPr>
    </w:lvl>
  </w:abstractNum>
  <w:abstractNum w:abstractNumId="20">
    <w:nsid w:val="2A8F537B"/>
    <w:multiLevelType w:val="multilevel"/>
    <w:tmpl w:val="2A8F537B"/>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21">
    <w:nsid w:val="2F020C3A"/>
    <w:multiLevelType w:val="multilevel"/>
    <w:tmpl w:val="2F020C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FEF3122"/>
    <w:multiLevelType w:val="singleLevel"/>
    <w:tmpl w:val="2FEF3122"/>
    <w:lvl w:ilvl="0" w:tentative="0">
      <w:start w:val="2"/>
      <w:numFmt w:val="chineseCounting"/>
      <w:suff w:val="nothing"/>
      <w:lvlText w:val="（%1）"/>
      <w:lvlJc w:val="left"/>
      <w:rPr>
        <w:rFonts w:hint="eastAsia"/>
      </w:rPr>
    </w:lvl>
  </w:abstractNum>
  <w:abstractNum w:abstractNumId="23">
    <w:nsid w:val="30FC5B15"/>
    <w:multiLevelType w:val="multilevel"/>
    <w:tmpl w:val="30FC5B15"/>
    <w:lvl w:ilvl="0" w:tentative="0">
      <w:start w:val="1"/>
      <w:numFmt w:val="decimal"/>
      <w:lvlText w:val="%1."/>
      <w:lvlJc w:val="left"/>
      <w:pPr>
        <w:ind w:left="443" w:hanging="284"/>
        <w:jc w:val="left"/>
      </w:pPr>
      <w:rPr>
        <w:rFonts w:hint="default" w:ascii="宋体" w:hAnsi="宋体" w:eastAsia="宋体" w:cs="宋体"/>
        <w:spacing w:val="-2"/>
        <w:w w:val="100"/>
        <w:sz w:val="26"/>
        <w:szCs w:val="26"/>
        <w:lang w:val="en-US" w:eastAsia="zh-CN" w:bidi="ar-SA"/>
      </w:rPr>
    </w:lvl>
    <w:lvl w:ilvl="1" w:tentative="0">
      <w:start w:val="1"/>
      <w:numFmt w:val="decimal"/>
      <w:lvlText w:val="%1.%2"/>
      <w:lvlJc w:val="left"/>
      <w:pPr>
        <w:ind w:left="160" w:hanging="36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880" w:hanging="361"/>
      </w:pPr>
      <w:rPr>
        <w:rFonts w:hint="default"/>
        <w:lang w:val="en-US" w:eastAsia="zh-CN" w:bidi="ar-SA"/>
      </w:rPr>
    </w:lvl>
    <w:lvl w:ilvl="3" w:tentative="0">
      <w:start w:val="0"/>
      <w:numFmt w:val="bullet"/>
      <w:lvlText w:val="•"/>
      <w:lvlJc w:val="left"/>
      <w:pPr>
        <w:ind w:left="2082" w:hanging="361"/>
      </w:pPr>
      <w:rPr>
        <w:rFonts w:hint="default"/>
        <w:lang w:val="en-US" w:eastAsia="zh-CN" w:bidi="ar-SA"/>
      </w:rPr>
    </w:lvl>
    <w:lvl w:ilvl="4" w:tentative="0">
      <w:start w:val="0"/>
      <w:numFmt w:val="bullet"/>
      <w:lvlText w:val="•"/>
      <w:lvlJc w:val="left"/>
      <w:pPr>
        <w:ind w:left="3285" w:hanging="361"/>
      </w:pPr>
      <w:rPr>
        <w:rFonts w:hint="default"/>
        <w:lang w:val="en-US" w:eastAsia="zh-CN" w:bidi="ar-SA"/>
      </w:rPr>
    </w:lvl>
    <w:lvl w:ilvl="5" w:tentative="0">
      <w:start w:val="0"/>
      <w:numFmt w:val="bullet"/>
      <w:lvlText w:val="•"/>
      <w:lvlJc w:val="left"/>
      <w:pPr>
        <w:ind w:left="4487" w:hanging="361"/>
      </w:pPr>
      <w:rPr>
        <w:rFonts w:hint="default"/>
        <w:lang w:val="en-US" w:eastAsia="zh-CN" w:bidi="ar-SA"/>
      </w:rPr>
    </w:lvl>
    <w:lvl w:ilvl="6" w:tentative="0">
      <w:start w:val="0"/>
      <w:numFmt w:val="bullet"/>
      <w:lvlText w:val="•"/>
      <w:lvlJc w:val="left"/>
      <w:pPr>
        <w:ind w:left="5690" w:hanging="361"/>
      </w:pPr>
      <w:rPr>
        <w:rFonts w:hint="default"/>
        <w:lang w:val="en-US" w:eastAsia="zh-CN" w:bidi="ar-SA"/>
      </w:rPr>
    </w:lvl>
    <w:lvl w:ilvl="7" w:tentative="0">
      <w:start w:val="0"/>
      <w:numFmt w:val="bullet"/>
      <w:lvlText w:val="•"/>
      <w:lvlJc w:val="left"/>
      <w:pPr>
        <w:ind w:left="6892" w:hanging="361"/>
      </w:pPr>
      <w:rPr>
        <w:rFonts w:hint="default"/>
        <w:lang w:val="en-US" w:eastAsia="zh-CN" w:bidi="ar-SA"/>
      </w:rPr>
    </w:lvl>
    <w:lvl w:ilvl="8" w:tentative="0">
      <w:start w:val="0"/>
      <w:numFmt w:val="bullet"/>
      <w:lvlText w:val="•"/>
      <w:lvlJc w:val="left"/>
      <w:pPr>
        <w:ind w:left="8095" w:hanging="361"/>
      </w:pPr>
      <w:rPr>
        <w:rFonts w:hint="default"/>
        <w:lang w:val="en-US" w:eastAsia="zh-CN" w:bidi="ar-SA"/>
      </w:rPr>
    </w:lvl>
  </w:abstractNum>
  <w:abstractNum w:abstractNumId="24">
    <w:nsid w:val="39A0D9AC"/>
    <w:multiLevelType w:val="multilevel"/>
    <w:tmpl w:val="39A0D9AC"/>
    <w:lvl w:ilvl="0" w:tentative="0">
      <w:start w:val="1"/>
      <w:numFmt w:val="lowerLetter"/>
      <w:lvlText w:val="%1."/>
      <w:lvlJc w:val="left"/>
      <w:pPr>
        <w:ind w:left="88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842" w:hanging="241"/>
      </w:pPr>
      <w:rPr>
        <w:rFonts w:hint="default"/>
        <w:lang w:val="en-US" w:eastAsia="zh-CN" w:bidi="ar-SA"/>
      </w:rPr>
    </w:lvl>
    <w:lvl w:ilvl="2" w:tentative="0">
      <w:start w:val="0"/>
      <w:numFmt w:val="bullet"/>
      <w:lvlText w:val="•"/>
      <w:lvlJc w:val="left"/>
      <w:pPr>
        <w:ind w:left="2804" w:hanging="241"/>
      </w:pPr>
      <w:rPr>
        <w:rFonts w:hint="default"/>
        <w:lang w:val="en-US" w:eastAsia="zh-CN" w:bidi="ar-SA"/>
      </w:rPr>
    </w:lvl>
    <w:lvl w:ilvl="3" w:tentative="0">
      <w:start w:val="0"/>
      <w:numFmt w:val="bullet"/>
      <w:lvlText w:val="•"/>
      <w:lvlJc w:val="left"/>
      <w:pPr>
        <w:ind w:left="3766" w:hanging="241"/>
      </w:pPr>
      <w:rPr>
        <w:rFonts w:hint="default"/>
        <w:lang w:val="en-US" w:eastAsia="zh-CN" w:bidi="ar-SA"/>
      </w:rPr>
    </w:lvl>
    <w:lvl w:ilvl="4" w:tentative="0">
      <w:start w:val="0"/>
      <w:numFmt w:val="bullet"/>
      <w:lvlText w:val="•"/>
      <w:lvlJc w:val="left"/>
      <w:pPr>
        <w:ind w:left="4728" w:hanging="241"/>
      </w:pPr>
      <w:rPr>
        <w:rFonts w:hint="default"/>
        <w:lang w:val="en-US" w:eastAsia="zh-CN" w:bidi="ar-SA"/>
      </w:rPr>
    </w:lvl>
    <w:lvl w:ilvl="5" w:tentative="0">
      <w:start w:val="0"/>
      <w:numFmt w:val="bullet"/>
      <w:lvlText w:val="•"/>
      <w:lvlJc w:val="left"/>
      <w:pPr>
        <w:ind w:left="5690" w:hanging="241"/>
      </w:pPr>
      <w:rPr>
        <w:rFonts w:hint="default"/>
        <w:lang w:val="en-US" w:eastAsia="zh-CN" w:bidi="ar-SA"/>
      </w:rPr>
    </w:lvl>
    <w:lvl w:ilvl="6" w:tentative="0">
      <w:start w:val="0"/>
      <w:numFmt w:val="bullet"/>
      <w:lvlText w:val="•"/>
      <w:lvlJc w:val="left"/>
      <w:pPr>
        <w:ind w:left="6652" w:hanging="241"/>
      </w:pPr>
      <w:rPr>
        <w:rFonts w:hint="default"/>
        <w:lang w:val="en-US" w:eastAsia="zh-CN" w:bidi="ar-SA"/>
      </w:rPr>
    </w:lvl>
    <w:lvl w:ilvl="7" w:tentative="0">
      <w:start w:val="0"/>
      <w:numFmt w:val="bullet"/>
      <w:lvlText w:val="•"/>
      <w:lvlJc w:val="left"/>
      <w:pPr>
        <w:ind w:left="7614" w:hanging="241"/>
      </w:pPr>
      <w:rPr>
        <w:rFonts w:hint="default"/>
        <w:lang w:val="en-US" w:eastAsia="zh-CN" w:bidi="ar-SA"/>
      </w:rPr>
    </w:lvl>
    <w:lvl w:ilvl="8" w:tentative="0">
      <w:start w:val="0"/>
      <w:numFmt w:val="bullet"/>
      <w:lvlText w:val="•"/>
      <w:lvlJc w:val="left"/>
      <w:pPr>
        <w:ind w:left="8576" w:hanging="241"/>
      </w:pPr>
      <w:rPr>
        <w:rFonts w:hint="default"/>
        <w:lang w:val="en-US" w:eastAsia="zh-CN" w:bidi="ar-SA"/>
      </w:rPr>
    </w:lvl>
  </w:abstractNum>
  <w:abstractNum w:abstractNumId="25">
    <w:nsid w:val="46A08BB8"/>
    <w:multiLevelType w:val="multilevel"/>
    <w:tmpl w:val="46A08BB8"/>
    <w:lvl w:ilvl="0" w:tentative="0">
      <w:start w:val="2"/>
      <w:numFmt w:val="decimal"/>
      <w:lvlText w:val="%1"/>
      <w:lvlJc w:val="left"/>
      <w:pPr>
        <w:ind w:left="160" w:hanging="480"/>
        <w:jc w:val="left"/>
      </w:pPr>
      <w:rPr>
        <w:rFonts w:hint="default"/>
        <w:lang w:val="en-US" w:eastAsia="zh-CN" w:bidi="ar-SA"/>
      </w:rPr>
    </w:lvl>
    <w:lvl w:ilvl="1" w:tentative="0">
      <w:start w:val="1"/>
      <w:numFmt w:val="decimal"/>
      <w:lvlText w:val="%1.%2"/>
      <w:lvlJc w:val="left"/>
      <w:pPr>
        <w:ind w:left="160" w:hanging="480"/>
        <w:jc w:val="left"/>
      </w:pPr>
      <w:rPr>
        <w:rFonts w:hint="default" w:ascii="宋体" w:hAnsi="宋体" w:eastAsia="宋体" w:cs="宋体"/>
        <w:w w:val="100"/>
        <w:sz w:val="24"/>
        <w:szCs w:val="24"/>
        <w:lang w:val="en-US" w:eastAsia="zh-CN" w:bidi="ar-SA"/>
      </w:rPr>
    </w:lvl>
    <w:lvl w:ilvl="2" w:tentative="0">
      <w:start w:val="0"/>
      <w:numFmt w:val="bullet"/>
      <w:lvlText w:val="•"/>
      <w:lvlJc w:val="left"/>
      <w:pPr>
        <w:ind w:left="2228" w:hanging="480"/>
      </w:pPr>
      <w:rPr>
        <w:rFonts w:hint="default"/>
        <w:lang w:val="en-US" w:eastAsia="zh-CN" w:bidi="ar-SA"/>
      </w:rPr>
    </w:lvl>
    <w:lvl w:ilvl="3" w:tentative="0">
      <w:start w:val="0"/>
      <w:numFmt w:val="bullet"/>
      <w:lvlText w:val="•"/>
      <w:lvlJc w:val="left"/>
      <w:pPr>
        <w:ind w:left="3262" w:hanging="480"/>
      </w:pPr>
      <w:rPr>
        <w:rFonts w:hint="default"/>
        <w:lang w:val="en-US" w:eastAsia="zh-CN" w:bidi="ar-SA"/>
      </w:rPr>
    </w:lvl>
    <w:lvl w:ilvl="4" w:tentative="0">
      <w:start w:val="0"/>
      <w:numFmt w:val="bullet"/>
      <w:lvlText w:val="•"/>
      <w:lvlJc w:val="left"/>
      <w:pPr>
        <w:ind w:left="4296" w:hanging="480"/>
      </w:pPr>
      <w:rPr>
        <w:rFonts w:hint="default"/>
        <w:lang w:val="en-US" w:eastAsia="zh-CN" w:bidi="ar-SA"/>
      </w:rPr>
    </w:lvl>
    <w:lvl w:ilvl="5" w:tentative="0">
      <w:start w:val="0"/>
      <w:numFmt w:val="bullet"/>
      <w:lvlText w:val="•"/>
      <w:lvlJc w:val="left"/>
      <w:pPr>
        <w:ind w:left="5330" w:hanging="480"/>
      </w:pPr>
      <w:rPr>
        <w:rFonts w:hint="default"/>
        <w:lang w:val="en-US" w:eastAsia="zh-CN" w:bidi="ar-SA"/>
      </w:rPr>
    </w:lvl>
    <w:lvl w:ilvl="6" w:tentative="0">
      <w:start w:val="0"/>
      <w:numFmt w:val="bullet"/>
      <w:lvlText w:val="•"/>
      <w:lvlJc w:val="left"/>
      <w:pPr>
        <w:ind w:left="6364" w:hanging="480"/>
      </w:pPr>
      <w:rPr>
        <w:rFonts w:hint="default"/>
        <w:lang w:val="en-US" w:eastAsia="zh-CN" w:bidi="ar-SA"/>
      </w:rPr>
    </w:lvl>
    <w:lvl w:ilvl="7" w:tentative="0">
      <w:start w:val="0"/>
      <w:numFmt w:val="bullet"/>
      <w:lvlText w:val="•"/>
      <w:lvlJc w:val="left"/>
      <w:pPr>
        <w:ind w:left="7398" w:hanging="480"/>
      </w:pPr>
      <w:rPr>
        <w:rFonts w:hint="default"/>
        <w:lang w:val="en-US" w:eastAsia="zh-CN" w:bidi="ar-SA"/>
      </w:rPr>
    </w:lvl>
    <w:lvl w:ilvl="8" w:tentative="0">
      <w:start w:val="0"/>
      <w:numFmt w:val="bullet"/>
      <w:lvlText w:val="•"/>
      <w:lvlJc w:val="left"/>
      <w:pPr>
        <w:ind w:left="8432" w:hanging="480"/>
      </w:pPr>
      <w:rPr>
        <w:rFonts w:hint="default"/>
        <w:lang w:val="en-US" w:eastAsia="zh-CN" w:bidi="ar-SA"/>
      </w:rPr>
    </w:lvl>
  </w:abstractNum>
  <w:abstractNum w:abstractNumId="26">
    <w:nsid w:val="4D4DC07F"/>
    <w:multiLevelType w:val="multilevel"/>
    <w:tmpl w:val="4D4DC07F"/>
    <w:lvl w:ilvl="0" w:tentative="0">
      <w:start w:val="17"/>
      <w:numFmt w:val="decimal"/>
      <w:lvlText w:val="%1"/>
      <w:lvlJc w:val="left"/>
      <w:pPr>
        <w:ind w:left="160" w:hanging="721"/>
        <w:jc w:val="left"/>
      </w:pPr>
      <w:rPr>
        <w:rFonts w:hint="default"/>
        <w:lang w:val="en-US" w:eastAsia="zh-CN" w:bidi="ar-SA"/>
      </w:rPr>
    </w:lvl>
    <w:lvl w:ilvl="1" w:tentative="0">
      <w:start w:val="2"/>
      <w:numFmt w:val="decimal"/>
      <w:lvlText w:val="%1.%2"/>
      <w:lvlJc w:val="left"/>
      <w:pPr>
        <w:ind w:left="160" w:hanging="721"/>
        <w:jc w:val="left"/>
      </w:pPr>
      <w:rPr>
        <w:rFonts w:hint="default"/>
        <w:lang w:val="en-US" w:eastAsia="zh-CN" w:bidi="ar-SA"/>
      </w:rPr>
    </w:lvl>
    <w:lvl w:ilvl="2" w:tentative="0">
      <w:start w:val="1"/>
      <w:numFmt w:val="decimal"/>
      <w:lvlText w:val="%1.%2.%3"/>
      <w:lvlJc w:val="left"/>
      <w:pPr>
        <w:ind w:left="160" w:hanging="72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262" w:hanging="721"/>
      </w:pPr>
      <w:rPr>
        <w:rFonts w:hint="default"/>
        <w:lang w:val="en-US" w:eastAsia="zh-CN" w:bidi="ar-SA"/>
      </w:rPr>
    </w:lvl>
    <w:lvl w:ilvl="4" w:tentative="0">
      <w:start w:val="0"/>
      <w:numFmt w:val="bullet"/>
      <w:lvlText w:val="•"/>
      <w:lvlJc w:val="left"/>
      <w:pPr>
        <w:ind w:left="4296" w:hanging="721"/>
      </w:pPr>
      <w:rPr>
        <w:rFonts w:hint="default"/>
        <w:lang w:val="en-US" w:eastAsia="zh-CN" w:bidi="ar-SA"/>
      </w:rPr>
    </w:lvl>
    <w:lvl w:ilvl="5" w:tentative="0">
      <w:start w:val="0"/>
      <w:numFmt w:val="bullet"/>
      <w:lvlText w:val="•"/>
      <w:lvlJc w:val="left"/>
      <w:pPr>
        <w:ind w:left="5330" w:hanging="721"/>
      </w:pPr>
      <w:rPr>
        <w:rFonts w:hint="default"/>
        <w:lang w:val="en-US" w:eastAsia="zh-CN" w:bidi="ar-SA"/>
      </w:rPr>
    </w:lvl>
    <w:lvl w:ilvl="6" w:tentative="0">
      <w:start w:val="0"/>
      <w:numFmt w:val="bullet"/>
      <w:lvlText w:val="•"/>
      <w:lvlJc w:val="left"/>
      <w:pPr>
        <w:ind w:left="6364" w:hanging="721"/>
      </w:pPr>
      <w:rPr>
        <w:rFonts w:hint="default"/>
        <w:lang w:val="en-US" w:eastAsia="zh-CN" w:bidi="ar-SA"/>
      </w:rPr>
    </w:lvl>
    <w:lvl w:ilvl="7" w:tentative="0">
      <w:start w:val="0"/>
      <w:numFmt w:val="bullet"/>
      <w:lvlText w:val="•"/>
      <w:lvlJc w:val="left"/>
      <w:pPr>
        <w:ind w:left="7398" w:hanging="721"/>
      </w:pPr>
      <w:rPr>
        <w:rFonts w:hint="default"/>
        <w:lang w:val="en-US" w:eastAsia="zh-CN" w:bidi="ar-SA"/>
      </w:rPr>
    </w:lvl>
    <w:lvl w:ilvl="8" w:tentative="0">
      <w:start w:val="0"/>
      <w:numFmt w:val="bullet"/>
      <w:lvlText w:val="•"/>
      <w:lvlJc w:val="left"/>
      <w:pPr>
        <w:ind w:left="8432" w:hanging="721"/>
      </w:pPr>
      <w:rPr>
        <w:rFonts w:hint="default"/>
        <w:lang w:val="en-US" w:eastAsia="zh-CN" w:bidi="ar-SA"/>
      </w:rPr>
    </w:lvl>
  </w:abstractNum>
  <w:abstractNum w:abstractNumId="27">
    <w:nsid w:val="4D94DA66"/>
    <w:multiLevelType w:val="multilevel"/>
    <w:tmpl w:val="4D94DA66"/>
    <w:lvl w:ilvl="0" w:tentative="0">
      <w:start w:val="1"/>
      <w:numFmt w:val="decimal"/>
      <w:lvlText w:val="%1."/>
      <w:lvlJc w:val="left"/>
      <w:pPr>
        <w:ind w:left="160"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194" w:hanging="241"/>
      </w:pPr>
      <w:rPr>
        <w:rFonts w:hint="default"/>
        <w:lang w:val="en-US" w:eastAsia="zh-CN" w:bidi="ar-SA"/>
      </w:rPr>
    </w:lvl>
    <w:lvl w:ilvl="2" w:tentative="0">
      <w:start w:val="0"/>
      <w:numFmt w:val="bullet"/>
      <w:lvlText w:val="•"/>
      <w:lvlJc w:val="left"/>
      <w:pPr>
        <w:ind w:left="2228" w:hanging="241"/>
      </w:pPr>
      <w:rPr>
        <w:rFonts w:hint="default"/>
        <w:lang w:val="en-US" w:eastAsia="zh-CN" w:bidi="ar-SA"/>
      </w:rPr>
    </w:lvl>
    <w:lvl w:ilvl="3" w:tentative="0">
      <w:start w:val="0"/>
      <w:numFmt w:val="bullet"/>
      <w:lvlText w:val="•"/>
      <w:lvlJc w:val="left"/>
      <w:pPr>
        <w:ind w:left="3262" w:hanging="241"/>
      </w:pPr>
      <w:rPr>
        <w:rFonts w:hint="default"/>
        <w:lang w:val="en-US" w:eastAsia="zh-CN" w:bidi="ar-SA"/>
      </w:rPr>
    </w:lvl>
    <w:lvl w:ilvl="4" w:tentative="0">
      <w:start w:val="0"/>
      <w:numFmt w:val="bullet"/>
      <w:lvlText w:val="•"/>
      <w:lvlJc w:val="left"/>
      <w:pPr>
        <w:ind w:left="4296" w:hanging="241"/>
      </w:pPr>
      <w:rPr>
        <w:rFonts w:hint="default"/>
        <w:lang w:val="en-US" w:eastAsia="zh-CN" w:bidi="ar-SA"/>
      </w:rPr>
    </w:lvl>
    <w:lvl w:ilvl="5" w:tentative="0">
      <w:start w:val="0"/>
      <w:numFmt w:val="bullet"/>
      <w:lvlText w:val="•"/>
      <w:lvlJc w:val="left"/>
      <w:pPr>
        <w:ind w:left="5330" w:hanging="241"/>
      </w:pPr>
      <w:rPr>
        <w:rFonts w:hint="default"/>
        <w:lang w:val="en-US" w:eastAsia="zh-CN" w:bidi="ar-SA"/>
      </w:rPr>
    </w:lvl>
    <w:lvl w:ilvl="6" w:tentative="0">
      <w:start w:val="0"/>
      <w:numFmt w:val="bullet"/>
      <w:lvlText w:val="•"/>
      <w:lvlJc w:val="left"/>
      <w:pPr>
        <w:ind w:left="6364" w:hanging="241"/>
      </w:pPr>
      <w:rPr>
        <w:rFonts w:hint="default"/>
        <w:lang w:val="en-US" w:eastAsia="zh-CN" w:bidi="ar-SA"/>
      </w:rPr>
    </w:lvl>
    <w:lvl w:ilvl="7" w:tentative="0">
      <w:start w:val="0"/>
      <w:numFmt w:val="bullet"/>
      <w:lvlText w:val="•"/>
      <w:lvlJc w:val="left"/>
      <w:pPr>
        <w:ind w:left="7398" w:hanging="241"/>
      </w:pPr>
      <w:rPr>
        <w:rFonts w:hint="default"/>
        <w:lang w:val="en-US" w:eastAsia="zh-CN" w:bidi="ar-SA"/>
      </w:rPr>
    </w:lvl>
    <w:lvl w:ilvl="8" w:tentative="0">
      <w:start w:val="0"/>
      <w:numFmt w:val="bullet"/>
      <w:lvlText w:val="•"/>
      <w:lvlJc w:val="left"/>
      <w:pPr>
        <w:ind w:left="8432" w:hanging="241"/>
      </w:pPr>
      <w:rPr>
        <w:rFonts w:hint="default"/>
        <w:lang w:val="en-US" w:eastAsia="zh-CN" w:bidi="ar-SA"/>
      </w:rPr>
    </w:lvl>
  </w:abstractNum>
  <w:abstractNum w:abstractNumId="28">
    <w:nsid w:val="58765686"/>
    <w:multiLevelType w:val="multilevel"/>
    <w:tmpl w:val="58765686"/>
    <w:lvl w:ilvl="0" w:tentative="0">
      <w:start w:val="14"/>
      <w:numFmt w:val="decimal"/>
      <w:lvlText w:val="%1."/>
      <w:lvlJc w:val="left"/>
      <w:pPr>
        <w:ind w:left="1005" w:hanging="364"/>
        <w:jc w:val="left"/>
      </w:pPr>
      <w:rPr>
        <w:rFonts w:hint="default" w:ascii="宋体" w:hAnsi="宋体" w:eastAsia="宋体" w:cs="宋体"/>
        <w:spacing w:val="0"/>
        <w:w w:val="100"/>
        <w:sz w:val="22"/>
        <w:szCs w:val="22"/>
        <w:lang w:val="en-US" w:eastAsia="zh-CN" w:bidi="ar-SA"/>
      </w:rPr>
    </w:lvl>
    <w:lvl w:ilvl="1" w:tentative="0">
      <w:start w:val="1"/>
      <w:numFmt w:val="decimal"/>
      <w:lvlText w:val="%1.%2"/>
      <w:lvlJc w:val="left"/>
      <w:pPr>
        <w:ind w:left="160"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160" w:hanging="72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2397" w:hanging="721"/>
      </w:pPr>
      <w:rPr>
        <w:rFonts w:hint="default"/>
        <w:lang w:val="en-US" w:eastAsia="zh-CN" w:bidi="ar-SA"/>
      </w:rPr>
    </w:lvl>
    <w:lvl w:ilvl="4" w:tentative="0">
      <w:start w:val="0"/>
      <w:numFmt w:val="bullet"/>
      <w:lvlText w:val="•"/>
      <w:lvlJc w:val="left"/>
      <w:pPr>
        <w:ind w:left="3555" w:hanging="721"/>
      </w:pPr>
      <w:rPr>
        <w:rFonts w:hint="default"/>
        <w:lang w:val="en-US" w:eastAsia="zh-CN" w:bidi="ar-SA"/>
      </w:rPr>
    </w:lvl>
    <w:lvl w:ilvl="5" w:tentative="0">
      <w:start w:val="0"/>
      <w:numFmt w:val="bullet"/>
      <w:lvlText w:val="•"/>
      <w:lvlJc w:val="left"/>
      <w:pPr>
        <w:ind w:left="4712" w:hanging="721"/>
      </w:pPr>
      <w:rPr>
        <w:rFonts w:hint="default"/>
        <w:lang w:val="en-US" w:eastAsia="zh-CN" w:bidi="ar-SA"/>
      </w:rPr>
    </w:lvl>
    <w:lvl w:ilvl="6" w:tentative="0">
      <w:start w:val="0"/>
      <w:numFmt w:val="bullet"/>
      <w:lvlText w:val="•"/>
      <w:lvlJc w:val="left"/>
      <w:pPr>
        <w:ind w:left="5870" w:hanging="721"/>
      </w:pPr>
      <w:rPr>
        <w:rFonts w:hint="default"/>
        <w:lang w:val="en-US" w:eastAsia="zh-CN" w:bidi="ar-SA"/>
      </w:rPr>
    </w:lvl>
    <w:lvl w:ilvl="7" w:tentative="0">
      <w:start w:val="0"/>
      <w:numFmt w:val="bullet"/>
      <w:lvlText w:val="•"/>
      <w:lvlJc w:val="left"/>
      <w:pPr>
        <w:ind w:left="7027" w:hanging="721"/>
      </w:pPr>
      <w:rPr>
        <w:rFonts w:hint="default"/>
        <w:lang w:val="en-US" w:eastAsia="zh-CN" w:bidi="ar-SA"/>
      </w:rPr>
    </w:lvl>
    <w:lvl w:ilvl="8" w:tentative="0">
      <w:start w:val="0"/>
      <w:numFmt w:val="bullet"/>
      <w:lvlText w:val="•"/>
      <w:lvlJc w:val="left"/>
      <w:pPr>
        <w:ind w:left="8185" w:hanging="721"/>
      </w:pPr>
      <w:rPr>
        <w:rFonts w:hint="default"/>
        <w:lang w:val="en-US" w:eastAsia="zh-CN" w:bidi="ar-SA"/>
      </w:rPr>
    </w:lvl>
  </w:abstractNum>
  <w:abstractNum w:abstractNumId="29">
    <w:nsid w:val="59ADCABA"/>
    <w:multiLevelType w:val="multilevel"/>
    <w:tmpl w:val="59ADCABA"/>
    <w:lvl w:ilvl="0" w:tentative="0">
      <w:start w:val="1"/>
      <w:numFmt w:val="decimal"/>
      <w:lvlText w:val="（%1）"/>
      <w:lvlJc w:val="left"/>
      <w:pPr>
        <w:ind w:left="709"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375" w:hanging="601"/>
      </w:pPr>
      <w:rPr>
        <w:rFonts w:hint="default"/>
        <w:lang w:val="en-US" w:eastAsia="zh-CN" w:bidi="ar-SA"/>
      </w:rPr>
    </w:lvl>
    <w:lvl w:ilvl="2" w:tentative="0">
      <w:start w:val="0"/>
      <w:numFmt w:val="bullet"/>
      <w:lvlText w:val="•"/>
      <w:lvlJc w:val="left"/>
      <w:pPr>
        <w:ind w:left="2050" w:hanging="601"/>
      </w:pPr>
      <w:rPr>
        <w:rFonts w:hint="default"/>
        <w:lang w:val="en-US" w:eastAsia="zh-CN" w:bidi="ar-SA"/>
      </w:rPr>
    </w:lvl>
    <w:lvl w:ilvl="3" w:tentative="0">
      <w:start w:val="0"/>
      <w:numFmt w:val="bullet"/>
      <w:lvlText w:val="•"/>
      <w:lvlJc w:val="left"/>
      <w:pPr>
        <w:ind w:left="2725" w:hanging="601"/>
      </w:pPr>
      <w:rPr>
        <w:rFonts w:hint="default"/>
        <w:lang w:val="en-US" w:eastAsia="zh-CN" w:bidi="ar-SA"/>
      </w:rPr>
    </w:lvl>
    <w:lvl w:ilvl="4" w:tentative="0">
      <w:start w:val="0"/>
      <w:numFmt w:val="bullet"/>
      <w:lvlText w:val="•"/>
      <w:lvlJc w:val="left"/>
      <w:pPr>
        <w:ind w:left="3400" w:hanging="601"/>
      </w:pPr>
      <w:rPr>
        <w:rFonts w:hint="default"/>
        <w:lang w:val="en-US" w:eastAsia="zh-CN" w:bidi="ar-SA"/>
      </w:rPr>
    </w:lvl>
    <w:lvl w:ilvl="5" w:tentative="0">
      <w:start w:val="0"/>
      <w:numFmt w:val="bullet"/>
      <w:lvlText w:val="•"/>
      <w:lvlJc w:val="left"/>
      <w:pPr>
        <w:ind w:left="4075" w:hanging="601"/>
      </w:pPr>
      <w:rPr>
        <w:rFonts w:hint="default"/>
        <w:lang w:val="en-US" w:eastAsia="zh-CN" w:bidi="ar-SA"/>
      </w:rPr>
    </w:lvl>
    <w:lvl w:ilvl="6" w:tentative="0">
      <w:start w:val="0"/>
      <w:numFmt w:val="bullet"/>
      <w:lvlText w:val="•"/>
      <w:lvlJc w:val="left"/>
      <w:pPr>
        <w:ind w:left="4750" w:hanging="601"/>
      </w:pPr>
      <w:rPr>
        <w:rFonts w:hint="default"/>
        <w:lang w:val="en-US" w:eastAsia="zh-CN" w:bidi="ar-SA"/>
      </w:rPr>
    </w:lvl>
    <w:lvl w:ilvl="7" w:tentative="0">
      <w:start w:val="0"/>
      <w:numFmt w:val="bullet"/>
      <w:lvlText w:val="•"/>
      <w:lvlJc w:val="left"/>
      <w:pPr>
        <w:ind w:left="5425" w:hanging="601"/>
      </w:pPr>
      <w:rPr>
        <w:rFonts w:hint="default"/>
        <w:lang w:val="en-US" w:eastAsia="zh-CN" w:bidi="ar-SA"/>
      </w:rPr>
    </w:lvl>
    <w:lvl w:ilvl="8" w:tentative="0">
      <w:start w:val="0"/>
      <w:numFmt w:val="bullet"/>
      <w:lvlText w:val="•"/>
      <w:lvlJc w:val="left"/>
      <w:pPr>
        <w:ind w:left="6100" w:hanging="601"/>
      </w:pPr>
      <w:rPr>
        <w:rFonts w:hint="default"/>
        <w:lang w:val="en-US" w:eastAsia="zh-CN" w:bidi="ar-SA"/>
      </w:rPr>
    </w:lvl>
  </w:abstractNum>
  <w:abstractNum w:abstractNumId="30">
    <w:nsid w:val="59C07086"/>
    <w:multiLevelType w:val="singleLevel"/>
    <w:tmpl w:val="59C07086"/>
    <w:lvl w:ilvl="0" w:tentative="0">
      <w:start w:val="1"/>
      <w:numFmt w:val="decimal"/>
      <w:suff w:val="nothing"/>
      <w:lvlText w:val="%1、"/>
      <w:lvlJc w:val="left"/>
    </w:lvl>
  </w:abstractNum>
  <w:abstractNum w:abstractNumId="31">
    <w:nsid w:val="5A241D34"/>
    <w:multiLevelType w:val="multilevel"/>
    <w:tmpl w:val="5A241D34"/>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32">
    <w:nsid w:val="629F7852"/>
    <w:multiLevelType w:val="multilevel"/>
    <w:tmpl w:val="629F7852"/>
    <w:lvl w:ilvl="0" w:tentative="0">
      <w:start w:val="9"/>
      <w:numFmt w:val="decimal"/>
      <w:lvlText w:val="%1"/>
      <w:lvlJc w:val="left"/>
      <w:pPr>
        <w:ind w:left="160" w:hanging="720"/>
        <w:jc w:val="left"/>
      </w:pPr>
      <w:rPr>
        <w:rFonts w:hint="default"/>
        <w:lang w:val="en-US" w:eastAsia="zh-CN" w:bidi="ar-SA"/>
      </w:rPr>
    </w:lvl>
    <w:lvl w:ilvl="1" w:tentative="0">
      <w:start w:val="3"/>
      <w:numFmt w:val="decimal"/>
      <w:lvlText w:val="%1.%2"/>
      <w:lvlJc w:val="left"/>
      <w:pPr>
        <w:ind w:left="160" w:hanging="720"/>
        <w:jc w:val="left"/>
      </w:pPr>
      <w:rPr>
        <w:rFonts w:hint="default"/>
        <w:lang w:val="en-US" w:eastAsia="zh-CN" w:bidi="ar-SA"/>
      </w:rPr>
    </w:lvl>
    <w:lvl w:ilvl="2" w:tentative="0">
      <w:start w:val="1"/>
      <w:numFmt w:val="decimal"/>
      <w:lvlText w:val="%1.%2.%3"/>
      <w:lvlJc w:val="left"/>
      <w:pPr>
        <w:ind w:left="160" w:hanging="720"/>
        <w:jc w:val="left"/>
      </w:pPr>
      <w:rPr>
        <w:rFonts w:hint="default" w:ascii="宋体" w:hAnsi="宋体" w:eastAsia="宋体" w:cs="宋体"/>
        <w:w w:val="100"/>
        <w:sz w:val="24"/>
        <w:szCs w:val="24"/>
        <w:lang w:val="en-US" w:eastAsia="zh-CN" w:bidi="ar-SA"/>
      </w:rPr>
    </w:lvl>
    <w:lvl w:ilvl="3" w:tentative="0">
      <w:start w:val="0"/>
      <w:numFmt w:val="bullet"/>
      <w:lvlText w:val="•"/>
      <w:lvlJc w:val="left"/>
      <w:pPr>
        <w:ind w:left="3262" w:hanging="720"/>
      </w:pPr>
      <w:rPr>
        <w:rFonts w:hint="default"/>
        <w:lang w:val="en-US" w:eastAsia="zh-CN" w:bidi="ar-SA"/>
      </w:rPr>
    </w:lvl>
    <w:lvl w:ilvl="4" w:tentative="0">
      <w:start w:val="0"/>
      <w:numFmt w:val="bullet"/>
      <w:lvlText w:val="•"/>
      <w:lvlJc w:val="left"/>
      <w:pPr>
        <w:ind w:left="4296" w:hanging="720"/>
      </w:pPr>
      <w:rPr>
        <w:rFonts w:hint="default"/>
        <w:lang w:val="en-US" w:eastAsia="zh-CN" w:bidi="ar-SA"/>
      </w:rPr>
    </w:lvl>
    <w:lvl w:ilvl="5" w:tentative="0">
      <w:start w:val="0"/>
      <w:numFmt w:val="bullet"/>
      <w:lvlText w:val="•"/>
      <w:lvlJc w:val="left"/>
      <w:pPr>
        <w:ind w:left="5330" w:hanging="720"/>
      </w:pPr>
      <w:rPr>
        <w:rFonts w:hint="default"/>
        <w:lang w:val="en-US" w:eastAsia="zh-CN" w:bidi="ar-SA"/>
      </w:rPr>
    </w:lvl>
    <w:lvl w:ilvl="6" w:tentative="0">
      <w:start w:val="0"/>
      <w:numFmt w:val="bullet"/>
      <w:lvlText w:val="•"/>
      <w:lvlJc w:val="left"/>
      <w:pPr>
        <w:ind w:left="6364" w:hanging="720"/>
      </w:pPr>
      <w:rPr>
        <w:rFonts w:hint="default"/>
        <w:lang w:val="en-US" w:eastAsia="zh-CN" w:bidi="ar-SA"/>
      </w:rPr>
    </w:lvl>
    <w:lvl w:ilvl="7" w:tentative="0">
      <w:start w:val="0"/>
      <w:numFmt w:val="bullet"/>
      <w:lvlText w:val="•"/>
      <w:lvlJc w:val="left"/>
      <w:pPr>
        <w:ind w:left="7398" w:hanging="720"/>
      </w:pPr>
      <w:rPr>
        <w:rFonts w:hint="default"/>
        <w:lang w:val="en-US" w:eastAsia="zh-CN" w:bidi="ar-SA"/>
      </w:rPr>
    </w:lvl>
    <w:lvl w:ilvl="8" w:tentative="0">
      <w:start w:val="0"/>
      <w:numFmt w:val="bullet"/>
      <w:lvlText w:val="•"/>
      <w:lvlJc w:val="left"/>
      <w:pPr>
        <w:ind w:left="8432" w:hanging="720"/>
      </w:pPr>
      <w:rPr>
        <w:rFonts w:hint="default"/>
        <w:lang w:val="en-US" w:eastAsia="zh-CN" w:bidi="ar-SA"/>
      </w:rPr>
    </w:lvl>
  </w:abstractNum>
  <w:abstractNum w:abstractNumId="33">
    <w:nsid w:val="72183CF9"/>
    <w:multiLevelType w:val="multilevel"/>
    <w:tmpl w:val="72183CF9"/>
    <w:lvl w:ilvl="0" w:tentative="0">
      <w:start w:val="1"/>
      <w:numFmt w:val="decimal"/>
      <w:lvlText w:val="（%1）"/>
      <w:lvlJc w:val="left"/>
      <w:pPr>
        <w:ind w:left="1241" w:hanging="601"/>
        <w:jc w:val="left"/>
      </w:pPr>
      <w:rPr>
        <w:rFonts w:hint="default" w:ascii="宋体" w:hAnsi="宋体" w:eastAsia="宋体" w:cs="宋体"/>
        <w:spacing w:val="-120"/>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34">
    <w:nsid w:val="77ECEA79"/>
    <w:multiLevelType w:val="multilevel"/>
    <w:tmpl w:val="77ECEA79"/>
    <w:lvl w:ilvl="0" w:tentative="0">
      <w:start w:val="7"/>
      <w:numFmt w:val="decimal"/>
      <w:lvlText w:val="%1"/>
      <w:lvlJc w:val="left"/>
      <w:pPr>
        <w:ind w:left="160" w:hanging="601"/>
        <w:jc w:val="left"/>
      </w:pPr>
      <w:rPr>
        <w:rFonts w:hint="default"/>
        <w:lang w:val="en-US" w:eastAsia="zh-CN" w:bidi="ar-SA"/>
      </w:rPr>
    </w:lvl>
    <w:lvl w:ilvl="1" w:tentative="0">
      <w:start w:val="1"/>
      <w:numFmt w:val="decimal"/>
      <w:lvlText w:val="%1.%2"/>
      <w:lvlJc w:val="left"/>
      <w:pPr>
        <w:ind w:left="160" w:hanging="601"/>
        <w:jc w:val="left"/>
      </w:pPr>
      <w:rPr>
        <w:rFonts w:hint="default"/>
        <w:lang w:val="en-US" w:eastAsia="zh-CN" w:bidi="ar-SA"/>
      </w:rPr>
    </w:lvl>
    <w:lvl w:ilvl="2" w:tentative="0">
      <w:start w:val="1"/>
      <w:numFmt w:val="decimal"/>
      <w:lvlText w:val="%1.%2.%3"/>
      <w:lvlJc w:val="left"/>
      <w:pPr>
        <w:ind w:left="160"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262" w:hanging="601"/>
      </w:pPr>
      <w:rPr>
        <w:rFonts w:hint="default"/>
        <w:lang w:val="en-US" w:eastAsia="zh-CN" w:bidi="ar-SA"/>
      </w:rPr>
    </w:lvl>
    <w:lvl w:ilvl="4" w:tentative="0">
      <w:start w:val="0"/>
      <w:numFmt w:val="bullet"/>
      <w:lvlText w:val="•"/>
      <w:lvlJc w:val="left"/>
      <w:pPr>
        <w:ind w:left="4296" w:hanging="601"/>
      </w:pPr>
      <w:rPr>
        <w:rFonts w:hint="default"/>
        <w:lang w:val="en-US" w:eastAsia="zh-CN" w:bidi="ar-SA"/>
      </w:rPr>
    </w:lvl>
    <w:lvl w:ilvl="5" w:tentative="0">
      <w:start w:val="0"/>
      <w:numFmt w:val="bullet"/>
      <w:lvlText w:val="•"/>
      <w:lvlJc w:val="left"/>
      <w:pPr>
        <w:ind w:left="5330" w:hanging="601"/>
      </w:pPr>
      <w:rPr>
        <w:rFonts w:hint="default"/>
        <w:lang w:val="en-US" w:eastAsia="zh-CN" w:bidi="ar-SA"/>
      </w:rPr>
    </w:lvl>
    <w:lvl w:ilvl="6" w:tentative="0">
      <w:start w:val="0"/>
      <w:numFmt w:val="bullet"/>
      <w:lvlText w:val="•"/>
      <w:lvlJc w:val="left"/>
      <w:pPr>
        <w:ind w:left="6364" w:hanging="601"/>
      </w:pPr>
      <w:rPr>
        <w:rFonts w:hint="default"/>
        <w:lang w:val="en-US" w:eastAsia="zh-CN" w:bidi="ar-SA"/>
      </w:rPr>
    </w:lvl>
    <w:lvl w:ilvl="7" w:tentative="0">
      <w:start w:val="0"/>
      <w:numFmt w:val="bullet"/>
      <w:lvlText w:val="•"/>
      <w:lvlJc w:val="left"/>
      <w:pPr>
        <w:ind w:left="7398" w:hanging="601"/>
      </w:pPr>
      <w:rPr>
        <w:rFonts w:hint="default"/>
        <w:lang w:val="en-US" w:eastAsia="zh-CN" w:bidi="ar-SA"/>
      </w:rPr>
    </w:lvl>
    <w:lvl w:ilvl="8" w:tentative="0">
      <w:start w:val="0"/>
      <w:numFmt w:val="bullet"/>
      <w:lvlText w:val="•"/>
      <w:lvlJc w:val="left"/>
      <w:pPr>
        <w:ind w:left="8432" w:hanging="601"/>
      </w:pPr>
      <w:rPr>
        <w:rFonts w:hint="default"/>
        <w:lang w:val="en-US" w:eastAsia="zh-CN" w:bidi="ar-SA"/>
      </w:rPr>
    </w:lvl>
  </w:abstractNum>
  <w:abstractNum w:abstractNumId="35">
    <w:nsid w:val="7C246926"/>
    <w:multiLevelType w:val="multilevel"/>
    <w:tmpl w:val="7C246926"/>
    <w:lvl w:ilvl="0" w:tentative="0">
      <w:start w:val="4"/>
      <w:numFmt w:val="decimal"/>
      <w:lvlText w:val="%1."/>
      <w:lvlJc w:val="left"/>
      <w:pPr>
        <w:ind w:left="885" w:hanging="244"/>
        <w:jc w:val="left"/>
      </w:pPr>
      <w:rPr>
        <w:rFonts w:hint="default" w:ascii="宋体" w:hAnsi="宋体" w:eastAsia="宋体" w:cs="宋体"/>
        <w:spacing w:val="-3"/>
        <w:w w:val="100"/>
        <w:sz w:val="22"/>
        <w:szCs w:val="22"/>
        <w:lang w:val="en-US" w:eastAsia="zh-CN" w:bidi="ar-SA"/>
      </w:rPr>
    </w:lvl>
    <w:lvl w:ilvl="1" w:tentative="0">
      <w:start w:val="1"/>
      <w:numFmt w:val="decimal"/>
      <w:lvlText w:val="%1.%2"/>
      <w:lvlJc w:val="left"/>
      <w:pPr>
        <w:ind w:left="160" w:hanging="36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160"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017" w:hanging="601"/>
      </w:pPr>
      <w:rPr>
        <w:rFonts w:hint="default"/>
        <w:lang w:val="en-US" w:eastAsia="zh-CN" w:bidi="ar-SA"/>
      </w:rPr>
    </w:lvl>
    <w:lvl w:ilvl="4" w:tentative="0">
      <w:start w:val="0"/>
      <w:numFmt w:val="bullet"/>
      <w:lvlText w:val="•"/>
      <w:lvlJc w:val="left"/>
      <w:pPr>
        <w:ind w:left="4086" w:hanging="601"/>
      </w:pPr>
      <w:rPr>
        <w:rFonts w:hint="default"/>
        <w:lang w:val="en-US" w:eastAsia="zh-CN" w:bidi="ar-SA"/>
      </w:rPr>
    </w:lvl>
    <w:lvl w:ilvl="5" w:tentative="0">
      <w:start w:val="0"/>
      <w:numFmt w:val="bullet"/>
      <w:lvlText w:val="•"/>
      <w:lvlJc w:val="left"/>
      <w:pPr>
        <w:ind w:left="5155" w:hanging="601"/>
      </w:pPr>
      <w:rPr>
        <w:rFonts w:hint="default"/>
        <w:lang w:val="en-US" w:eastAsia="zh-CN" w:bidi="ar-SA"/>
      </w:rPr>
    </w:lvl>
    <w:lvl w:ilvl="6" w:tentative="0">
      <w:start w:val="0"/>
      <w:numFmt w:val="bullet"/>
      <w:lvlText w:val="•"/>
      <w:lvlJc w:val="left"/>
      <w:pPr>
        <w:ind w:left="6224" w:hanging="601"/>
      </w:pPr>
      <w:rPr>
        <w:rFonts w:hint="default"/>
        <w:lang w:val="en-US" w:eastAsia="zh-CN" w:bidi="ar-SA"/>
      </w:rPr>
    </w:lvl>
    <w:lvl w:ilvl="7" w:tentative="0">
      <w:start w:val="0"/>
      <w:numFmt w:val="bullet"/>
      <w:lvlText w:val="•"/>
      <w:lvlJc w:val="left"/>
      <w:pPr>
        <w:ind w:left="7293" w:hanging="601"/>
      </w:pPr>
      <w:rPr>
        <w:rFonts w:hint="default"/>
        <w:lang w:val="en-US" w:eastAsia="zh-CN" w:bidi="ar-SA"/>
      </w:rPr>
    </w:lvl>
    <w:lvl w:ilvl="8" w:tentative="0">
      <w:start w:val="0"/>
      <w:numFmt w:val="bullet"/>
      <w:lvlText w:val="•"/>
      <w:lvlJc w:val="left"/>
      <w:pPr>
        <w:ind w:left="8362" w:hanging="601"/>
      </w:pPr>
      <w:rPr>
        <w:rFonts w:hint="default"/>
        <w:lang w:val="en-US" w:eastAsia="zh-CN" w:bidi="ar-SA"/>
      </w:rPr>
    </w:lvl>
  </w:abstractNum>
  <w:abstractNum w:abstractNumId="36">
    <w:nsid w:val="7DEC2089"/>
    <w:multiLevelType w:val="multilevel"/>
    <w:tmpl w:val="7DEC2089"/>
    <w:lvl w:ilvl="0" w:tentative="0">
      <w:start w:val="17"/>
      <w:numFmt w:val="decimal"/>
      <w:lvlText w:val="%1"/>
      <w:lvlJc w:val="left"/>
      <w:pPr>
        <w:ind w:left="1121" w:hanging="481"/>
        <w:jc w:val="left"/>
      </w:pPr>
      <w:rPr>
        <w:rFonts w:hint="default"/>
        <w:lang w:val="en-US" w:eastAsia="zh-CN" w:bidi="ar-SA"/>
      </w:rPr>
    </w:lvl>
    <w:lvl w:ilvl="1" w:tentative="0">
      <w:start w:val="2"/>
      <w:numFmt w:val="decimal"/>
      <w:lvlText w:val="%1.%2"/>
      <w:lvlJc w:val="left"/>
      <w:pPr>
        <w:ind w:left="1121" w:hanging="48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2996" w:hanging="481"/>
      </w:pPr>
      <w:rPr>
        <w:rFonts w:hint="default"/>
        <w:lang w:val="en-US" w:eastAsia="zh-CN" w:bidi="ar-SA"/>
      </w:rPr>
    </w:lvl>
    <w:lvl w:ilvl="3" w:tentative="0">
      <w:start w:val="0"/>
      <w:numFmt w:val="bullet"/>
      <w:lvlText w:val="•"/>
      <w:lvlJc w:val="left"/>
      <w:pPr>
        <w:ind w:left="3934" w:hanging="481"/>
      </w:pPr>
      <w:rPr>
        <w:rFonts w:hint="default"/>
        <w:lang w:val="en-US" w:eastAsia="zh-CN" w:bidi="ar-SA"/>
      </w:rPr>
    </w:lvl>
    <w:lvl w:ilvl="4" w:tentative="0">
      <w:start w:val="0"/>
      <w:numFmt w:val="bullet"/>
      <w:lvlText w:val="•"/>
      <w:lvlJc w:val="left"/>
      <w:pPr>
        <w:ind w:left="4872" w:hanging="481"/>
      </w:pPr>
      <w:rPr>
        <w:rFonts w:hint="default"/>
        <w:lang w:val="en-US" w:eastAsia="zh-CN" w:bidi="ar-SA"/>
      </w:rPr>
    </w:lvl>
    <w:lvl w:ilvl="5" w:tentative="0">
      <w:start w:val="0"/>
      <w:numFmt w:val="bullet"/>
      <w:lvlText w:val="•"/>
      <w:lvlJc w:val="left"/>
      <w:pPr>
        <w:ind w:left="5810" w:hanging="481"/>
      </w:pPr>
      <w:rPr>
        <w:rFonts w:hint="default"/>
        <w:lang w:val="en-US" w:eastAsia="zh-CN" w:bidi="ar-SA"/>
      </w:rPr>
    </w:lvl>
    <w:lvl w:ilvl="6" w:tentative="0">
      <w:start w:val="0"/>
      <w:numFmt w:val="bullet"/>
      <w:lvlText w:val="•"/>
      <w:lvlJc w:val="left"/>
      <w:pPr>
        <w:ind w:left="6748" w:hanging="481"/>
      </w:pPr>
      <w:rPr>
        <w:rFonts w:hint="default"/>
        <w:lang w:val="en-US" w:eastAsia="zh-CN" w:bidi="ar-SA"/>
      </w:rPr>
    </w:lvl>
    <w:lvl w:ilvl="7" w:tentative="0">
      <w:start w:val="0"/>
      <w:numFmt w:val="bullet"/>
      <w:lvlText w:val="•"/>
      <w:lvlJc w:val="left"/>
      <w:pPr>
        <w:ind w:left="7686" w:hanging="481"/>
      </w:pPr>
      <w:rPr>
        <w:rFonts w:hint="default"/>
        <w:lang w:val="en-US" w:eastAsia="zh-CN" w:bidi="ar-SA"/>
      </w:rPr>
    </w:lvl>
    <w:lvl w:ilvl="8" w:tentative="0">
      <w:start w:val="0"/>
      <w:numFmt w:val="bullet"/>
      <w:lvlText w:val="•"/>
      <w:lvlJc w:val="left"/>
      <w:pPr>
        <w:ind w:left="8624" w:hanging="481"/>
      </w:pPr>
      <w:rPr>
        <w:rFonts w:hint="default"/>
        <w:lang w:val="en-US" w:eastAsia="zh-CN" w:bidi="ar-SA"/>
      </w:rPr>
    </w:lvl>
  </w:abstractNum>
  <w:num w:numId="1">
    <w:abstractNumId w:val="29"/>
  </w:num>
  <w:num w:numId="2">
    <w:abstractNumId w:val="8"/>
  </w:num>
  <w:num w:numId="3">
    <w:abstractNumId w:val="21"/>
  </w:num>
  <w:num w:numId="4">
    <w:abstractNumId w:val="6"/>
  </w:num>
  <w:num w:numId="5">
    <w:abstractNumId w:val="16"/>
  </w:num>
  <w:num w:numId="6">
    <w:abstractNumId w:val="19"/>
  </w:num>
  <w:num w:numId="7">
    <w:abstractNumId w:val="33"/>
  </w:num>
  <w:num w:numId="8">
    <w:abstractNumId w:val="15"/>
  </w:num>
  <w:num w:numId="9">
    <w:abstractNumId w:val="2"/>
  </w:num>
  <w:num w:numId="10">
    <w:abstractNumId w:val="20"/>
  </w:num>
  <w:num w:numId="11">
    <w:abstractNumId w:val="31"/>
  </w:num>
  <w:num w:numId="12">
    <w:abstractNumId w:val="9"/>
  </w:num>
  <w:num w:numId="13">
    <w:abstractNumId w:val="26"/>
  </w:num>
  <w:num w:numId="14">
    <w:abstractNumId w:val="13"/>
  </w:num>
  <w:num w:numId="15">
    <w:abstractNumId w:val="11"/>
  </w:num>
  <w:num w:numId="16">
    <w:abstractNumId w:val="10"/>
  </w:num>
  <w:num w:numId="17">
    <w:abstractNumId w:val="4"/>
  </w:num>
  <w:num w:numId="18">
    <w:abstractNumId w:val="17"/>
  </w:num>
  <w:num w:numId="19">
    <w:abstractNumId w:val="25"/>
  </w:num>
  <w:num w:numId="20">
    <w:abstractNumId w:val="5"/>
  </w:num>
  <w:num w:numId="21">
    <w:abstractNumId w:val="35"/>
  </w:num>
  <w:num w:numId="22">
    <w:abstractNumId w:val="34"/>
  </w:num>
  <w:num w:numId="23">
    <w:abstractNumId w:val="7"/>
  </w:num>
  <w:num w:numId="24">
    <w:abstractNumId w:val="32"/>
  </w:num>
  <w:num w:numId="25">
    <w:abstractNumId w:val="3"/>
  </w:num>
  <w:num w:numId="26">
    <w:abstractNumId w:val="24"/>
  </w:num>
  <w:num w:numId="27">
    <w:abstractNumId w:val="1"/>
  </w:num>
  <w:num w:numId="28">
    <w:abstractNumId w:val="28"/>
  </w:num>
  <w:num w:numId="29">
    <w:abstractNumId w:val="36"/>
  </w:num>
  <w:num w:numId="30">
    <w:abstractNumId w:val="0"/>
  </w:num>
  <w:num w:numId="31">
    <w:abstractNumId w:val="18"/>
  </w:num>
  <w:num w:numId="32">
    <w:abstractNumId w:val="27"/>
  </w:num>
  <w:num w:numId="33">
    <w:abstractNumId w:val="14"/>
  </w:num>
  <w:num w:numId="34">
    <w:abstractNumId w:val="12"/>
  </w:num>
  <w:num w:numId="35">
    <w:abstractNumId w:val="30"/>
  </w:num>
  <w:num w:numId="36">
    <w:abstractNumId w:val="2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D6762F"/>
    <w:rsid w:val="001F68FF"/>
    <w:rsid w:val="002C08E5"/>
    <w:rsid w:val="00354FEB"/>
    <w:rsid w:val="004F1836"/>
    <w:rsid w:val="00D6762F"/>
    <w:rsid w:val="00EA233A"/>
    <w:rsid w:val="034D5563"/>
    <w:rsid w:val="039661D6"/>
    <w:rsid w:val="03A32C74"/>
    <w:rsid w:val="05D67331"/>
    <w:rsid w:val="07560C82"/>
    <w:rsid w:val="083D5445"/>
    <w:rsid w:val="094C370F"/>
    <w:rsid w:val="09537820"/>
    <w:rsid w:val="0A2F7B26"/>
    <w:rsid w:val="0C215FAD"/>
    <w:rsid w:val="0C8D1E7D"/>
    <w:rsid w:val="0CA54290"/>
    <w:rsid w:val="0CAE24BB"/>
    <w:rsid w:val="0ED31861"/>
    <w:rsid w:val="10F068AE"/>
    <w:rsid w:val="10FD704E"/>
    <w:rsid w:val="117E5D76"/>
    <w:rsid w:val="118F729D"/>
    <w:rsid w:val="12F86B39"/>
    <w:rsid w:val="13F84916"/>
    <w:rsid w:val="150E6633"/>
    <w:rsid w:val="16DC20FF"/>
    <w:rsid w:val="16E81640"/>
    <w:rsid w:val="18AB43C5"/>
    <w:rsid w:val="18E753B1"/>
    <w:rsid w:val="18ED186C"/>
    <w:rsid w:val="191C10A7"/>
    <w:rsid w:val="194B4755"/>
    <w:rsid w:val="1A740F53"/>
    <w:rsid w:val="1B70682A"/>
    <w:rsid w:val="1CA3368D"/>
    <w:rsid w:val="1D352737"/>
    <w:rsid w:val="1DFB5968"/>
    <w:rsid w:val="1EBA1146"/>
    <w:rsid w:val="1F23349F"/>
    <w:rsid w:val="1F8B252B"/>
    <w:rsid w:val="1FCD6F09"/>
    <w:rsid w:val="2142708A"/>
    <w:rsid w:val="228739C1"/>
    <w:rsid w:val="22FB7EA5"/>
    <w:rsid w:val="24EB73A8"/>
    <w:rsid w:val="250550E5"/>
    <w:rsid w:val="258F465B"/>
    <w:rsid w:val="262F1C49"/>
    <w:rsid w:val="263E2E16"/>
    <w:rsid w:val="269062D1"/>
    <w:rsid w:val="27400656"/>
    <w:rsid w:val="27642255"/>
    <w:rsid w:val="2A1918AF"/>
    <w:rsid w:val="2A1A1ECC"/>
    <w:rsid w:val="2A293624"/>
    <w:rsid w:val="2C715DF1"/>
    <w:rsid w:val="2D7043D5"/>
    <w:rsid w:val="2DB80F46"/>
    <w:rsid w:val="2E2B796A"/>
    <w:rsid w:val="2ECD62E7"/>
    <w:rsid w:val="2F961692"/>
    <w:rsid w:val="3004667F"/>
    <w:rsid w:val="30703D5A"/>
    <w:rsid w:val="3139239E"/>
    <w:rsid w:val="315E73FE"/>
    <w:rsid w:val="317A7AE4"/>
    <w:rsid w:val="31AA2C48"/>
    <w:rsid w:val="31E22E8B"/>
    <w:rsid w:val="33653D8D"/>
    <w:rsid w:val="33841DDE"/>
    <w:rsid w:val="339E0BDF"/>
    <w:rsid w:val="3505650B"/>
    <w:rsid w:val="351A06F4"/>
    <w:rsid w:val="35C62CAA"/>
    <w:rsid w:val="36E27034"/>
    <w:rsid w:val="37124CEA"/>
    <w:rsid w:val="37722780"/>
    <w:rsid w:val="37974803"/>
    <w:rsid w:val="37CB2D9B"/>
    <w:rsid w:val="3A126289"/>
    <w:rsid w:val="3A4F0632"/>
    <w:rsid w:val="3A6405AA"/>
    <w:rsid w:val="3B204477"/>
    <w:rsid w:val="3B994143"/>
    <w:rsid w:val="3BEA02BF"/>
    <w:rsid w:val="3CE37E7E"/>
    <w:rsid w:val="3CF11D31"/>
    <w:rsid w:val="3DC96554"/>
    <w:rsid w:val="3DCE267C"/>
    <w:rsid w:val="3EB76903"/>
    <w:rsid w:val="3ED50DA3"/>
    <w:rsid w:val="3F3850FC"/>
    <w:rsid w:val="3F560AF3"/>
    <w:rsid w:val="40153FD6"/>
    <w:rsid w:val="4037219F"/>
    <w:rsid w:val="40504CA7"/>
    <w:rsid w:val="40B33114"/>
    <w:rsid w:val="41636FC4"/>
    <w:rsid w:val="41CD7CEB"/>
    <w:rsid w:val="41E41072"/>
    <w:rsid w:val="42091F93"/>
    <w:rsid w:val="420A0B09"/>
    <w:rsid w:val="429373E2"/>
    <w:rsid w:val="42F54049"/>
    <w:rsid w:val="436155AE"/>
    <w:rsid w:val="436A1129"/>
    <w:rsid w:val="443D71B3"/>
    <w:rsid w:val="451F35FD"/>
    <w:rsid w:val="477E0F7D"/>
    <w:rsid w:val="47BC742D"/>
    <w:rsid w:val="49891591"/>
    <w:rsid w:val="4A596DC1"/>
    <w:rsid w:val="4A9D3647"/>
    <w:rsid w:val="4BCA0F8B"/>
    <w:rsid w:val="4C5D66FB"/>
    <w:rsid w:val="4CB07261"/>
    <w:rsid w:val="4CE74F4D"/>
    <w:rsid w:val="4D0F6C07"/>
    <w:rsid w:val="4FD70FC9"/>
    <w:rsid w:val="506863A4"/>
    <w:rsid w:val="50F166B3"/>
    <w:rsid w:val="516620D0"/>
    <w:rsid w:val="537C7D31"/>
    <w:rsid w:val="552E105B"/>
    <w:rsid w:val="55C67DF5"/>
    <w:rsid w:val="56BA722E"/>
    <w:rsid w:val="581D157C"/>
    <w:rsid w:val="58C31286"/>
    <w:rsid w:val="59741C50"/>
    <w:rsid w:val="598F3727"/>
    <w:rsid w:val="5A1A4CA4"/>
    <w:rsid w:val="5AD36B10"/>
    <w:rsid w:val="5ADD173D"/>
    <w:rsid w:val="5AF0599D"/>
    <w:rsid w:val="5AFB4AAB"/>
    <w:rsid w:val="5BE20F15"/>
    <w:rsid w:val="5C2A31B2"/>
    <w:rsid w:val="5CFF31EA"/>
    <w:rsid w:val="5D477C04"/>
    <w:rsid w:val="5E6410AC"/>
    <w:rsid w:val="5E676185"/>
    <w:rsid w:val="5EAE7678"/>
    <w:rsid w:val="5F201016"/>
    <w:rsid w:val="5F2467F5"/>
    <w:rsid w:val="600A080F"/>
    <w:rsid w:val="603917A0"/>
    <w:rsid w:val="61300818"/>
    <w:rsid w:val="633C2A85"/>
    <w:rsid w:val="635E73EA"/>
    <w:rsid w:val="64273BA1"/>
    <w:rsid w:val="64970BAF"/>
    <w:rsid w:val="65130235"/>
    <w:rsid w:val="65DE4CE7"/>
    <w:rsid w:val="662A2B56"/>
    <w:rsid w:val="666176C6"/>
    <w:rsid w:val="66967370"/>
    <w:rsid w:val="67C34575"/>
    <w:rsid w:val="67D61B29"/>
    <w:rsid w:val="68106CAE"/>
    <w:rsid w:val="68C57872"/>
    <w:rsid w:val="68F64E2A"/>
    <w:rsid w:val="698327C9"/>
    <w:rsid w:val="6A1F0DB6"/>
    <w:rsid w:val="6A266C5C"/>
    <w:rsid w:val="6B601E5D"/>
    <w:rsid w:val="6C172538"/>
    <w:rsid w:val="6CD95BE7"/>
    <w:rsid w:val="6D616F55"/>
    <w:rsid w:val="6D8A0B26"/>
    <w:rsid w:val="6D9914F3"/>
    <w:rsid w:val="6DE408FE"/>
    <w:rsid w:val="6E4F370E"/>
    <w:rsid w:val="6EAF2EE2"/>
    <w:rsid w:val="6EDF04B8"/>
    <w:rsid w:val="6F4903F0"/>
    <w:rsid w:val="70967F6C"/>
    <w:rsid w:val="71D633B1"/>
    <w:rsid w:val="72F83AF4"/>
    <w:rsid w:val="75582220"/>
    <w:rsid w:val="75C56687"/>
    <w:rsid w:val="779E08EC"/>
    <w:rsid w:val="77FF546E"/>
    <w:rsid w:val="782267D7"/>
    <w:rsid w:val="791477D0"/>
    <w:rsid w:val="794B223C"/>
    <w:rsid w:val="7A0C5A7E"/>
    <w:rsid w:val="7A266805"/>
    <w:rsid w:val="7A5956D5"/>
    <w:rsid w:val="7B527202"/>
    <w:rsid w:val="7B5A49B8"/>
    <w:rsid w:val="7CC51BD5"/>
    <w:rsid w:val="7E822B8A"/>
    <w:rsid w:val="7FED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ind w:right="100"/>
      <w:jc w:val="center"/>
      <w:outlineLvl w:val="0"/>
    </w:pPr>
    <w:rPr>
      <w:sz w:val="52"/>
      <w:szCs w:val="52"/>
    </w:rPr>
  </w:style>
  <w:style w:type="paragraph" w:styleId="2">
    <w:name w:val="heading 2"/>
    <w:basedOn w:val="1"/>
    <w:next w:val="1"/>
    <w:qFormat/>
    <w:uiPriority w:val="1"/>
    <w:pPr>
      <w:ind w:right="98"/>
      <w:jc w:val="center"/>
      <w:outlineLvl w:val="1"/>
    </w:pPr>
    <w:rPr>
      <w:sz w:val="36"/>
      <w:szCs w:val="36"/>
    </w:rPr>
  </w:style>
  <w:style w:type="paragraph" w:styleId="4">
    <w:name w:val="heading 3"/>
    <w:basedOn w:val="1"/>
    <w:next w:val="1"/>
    <w:qFormat/>
    <w:uiPriority w:val="1"/>
    <w:pPr>
      <w:ind w:right="98"/>
      <w:jc w:val="center"/>
      <w:outlineLvl w:val="2"/>
    </w:pPr>
    <w:rPr>
      <w:sz w:val="32"/>
      <w:szCs w:val="32"/>
    </w:rPr>
  </w:style>
  <w:style w:type="paragraph" w:styleId="5">
    <w:name w:val="heading 4"/>
    <w:basedOn w:val="1"/>
    <w:next w:val="1"/>
    <w:qFormat/>
    <w:uiPriority w:val="1"/>
    <w:pPr>
      <w:jc w:val="center"/>
      <w:outlineLvl w:val="3"/>
    </w:pPr>
    <w:rPr>
      <w:sz w:val="30"/>
      <w:szCs w:val="30"/>
    </w:rPr>
  </w:style>
  <w:style w:type="paragraph" w:styleId="6">
    <w:name w:val="heading 5"/>
    <w:basedOn w:val="1"/>
    <w:next w:val="1"/>
    <w:qFormat/>
    <w:uiPriority w:val="1"/>
    <w:pPr>
      <w:spacing w:before="5"/>
      <w:ind w:left="160"/>
      <w:outlineLvl w:val="4"/>
    </w:pPr>
    <w:rPr>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2"/>
    <w:qFormat/>
    <w:uiPriority w:val="0"/>
  </w:style>
  <w:style w:type="paragraph" w:styleId="8">
    <w:name w:val="Body Text"/>
    <w:basedOn w:val="1"/>
    <w:next w:val="9"/>
    <w:qFormat/>
    <w:uiPriority w:val="1"/>
    <w:rPr>
      <w:sz w:val="24"/>
      <w:szCs w:val="24"/>
    </w:rPr>
  </w:style>
  <w:style w:type="paragraph" w:customStyle="1" w:styleId="9">
    <w:name w:val="一级条标题"/>
    <w:basedOn w:val="10"/>
    <w:next w:val="11"/>
    <w:qFormat/>
    <w:uiPriority w:val="99"/>
    <w:pPr>
      <w:spacing w:line="240" w:lineRule="auto"/>
      <w:ind w:left="420"/>
      <w:outlineLvl w:val="2"/>
    </w:pPr>
  </w:style>
  <w:style w:type="paragraph" w:customStyle="1" w:styleId="10">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1">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2">
    <w:name w:val="toc 3"/>
    <w:basedOn w:val="1"/>
    <w:next w:val="1"/>
    <w:qFormat/>
    <w:uiPriority w:val="1"/>
    <w:pPr>
      <w:spacing w:before="213"/>
      <w:ind w:left="380"/>
    </w:pPr>
    <w:rPr>
      <w:sz w:val="24"/>
      <w:szCs w:val="24"/>
    </w:rPr>
  </w:style>
  <w:style w:type="paragraph" w:styleId="13">
    <w:name w:val="Plain Text"/>
    <w:basedOn w:val="1"/>
    <w:link w:val="34"/>
    <w:qFormat/>
    <w:uiPriority w:val="0"/>
    <w:pPr>
      <w:adjustRightInd w:val="0"/>
      <w:jc w:val="both"/>
    </w:pPr>
    <w:rPr>
      <w:rFonts w:hint="eastAsia" w:hAnsi="Tms Rmn" w:cs="Times New Roman"/>
      <w:sz w:val="21"/>
      <w:szCs w:val="20"/>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213"/>
      <w:ind w:left="624" w:hanging="245"/>
    </w:pPr>
    <w:rPr>
      <w:sz w:val="24"/>
      <w:szCs w:val="24"/>
    </w:rPr>
  </w:style>
  <w:style w:type="paragraph" w:styleId="17">
    <w:name w:val="toc 4"/>
    <w:basedOn w:val="1"/>
    <w:next w:val="1"/>
    <w:qFormat/>
    <w:uiPriority w:val="1"/>
    <w:pPr>
      <w:spacing w:before="211"/>
      <w:ind w:left="380"/>
    </w:pPr>
    <w:rPr>
      <w:b/>
      <w:bCs/>
      <w:i/>
      <w:iCs/>
    </w:rPr>
  </w:style>
  <w:style w:type="paragraph" w:styleId="18">
    <w:name w:val="toc 2"/>
    <w:basedOn w:val="1"/>
    <w:next w:val="1"/>
    <w:qFormat/>
    <w:uiPriority w:val="1"/>
    <w:pPr>
      <w:spacing w:before="213"/>
      <w:ind w:left="744" w:hanging="365"/>
    </w:pPr>
    <w:rPr>
      <w:b/>
      <w:bCs/>
      <w:i/>
      <w:iCs/>
    </w:rPr>
  </w:style>
  <w:style w:type="paragraph" w:styleId="19">
    <w:name w:val="Normal (Web)"/>
    <w:basedOn w:val="1"/>
    <w:qFormat/>
    <w:uiPriority w:val="0"/>
    <w:pPr>
      <w:spacing w:before="100" w:beforeAutospacing="1" w:after="100" w:afterAutospacing="1"/>
    </w:pPr>
    <w:rPr>
      <w:rFonts w:cs="Times New Roman"/>
      <w:sz w:val="24"/>
    </w:rPr>
  </w:style>
  <w:style w:type="paragraph" w:styleId="20">
    <w:name w:val="Title"/>
    <w:basedOn w:val="1"/>
    <w:qFormat/>
    <w:uiPriority w:val="1"/>
    <w:pPr>
      <w:spacing w:line="1058" w:lineRule="exact"/>
      <w:ind w:left="2015" w:right="2494"/>
      <w:jc w:val="center"/>
    </w:pPr>
    <w:rPr>
      <w:sz w:val="84"/>
      <w:szCs w:val="84"/>
    </w:rPr>
  </w:style>
  <w:style w:type="paragraph" w:styleId="21">
    <w:name w:val="annotation subject"/>
    <w:basedOn w:val="7"/>
    <w:next w:val="7"/>
    <w:link w:val="33"/>
    <w:qFormat/>
    <w:uiPriority w:val="0"/>
    <w:rPr>
      <w:b/>
      <w:bCs/>
    </w:rPr>
  </w:style>
  <w:style w:type="paragraph" w:styleId="22">
    <w:name w:val="Body Text First Indent"/>
    <w:basedOn w:val="8"/>
    <w:next w:val="1"/>
    <w:qFormat/>
    <w:uiPriority w:val="0"/>
    <w:pPr>
      <w:ind w:firstLine="420"/>
    </w:pPr>
    <w:rPr>
      <w:sz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uiPriority w:val="0"/>
    <w:rPr>
      <w:color w:val="0000FF"/>
      <w:u w:val="single"/>
    </w:rPr>
  </w:style>
  <w:style w:type="character" w:styleId="28">
    <w:name w:val="annotation reference"/>
    <w:basedOn w:val="25"/>
    <w:qFormat/>
    <w:uiPriority w:val="0"/>
    <w:rPr>
      <w:sz w:val="21"/>
      <w:szCs w:val="21"/>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160" w:firstLine="480"/>
    </w:pPr>
  </w:style>
  <w:style w:type="paragraph" w:customStyle="1" w:styleId="31">
    <w:name w:val="Table Paragraph"/>
    <w:basedOn w:val="1"/>
    <w:qFormat/>
    <w:uiPriority w:val="1"/>
  </w:style>
  <w:style w:type="character" w:customStyle="1" w:styleId="32">
    <w:name w:val="批注文字 字符"/>
    <w:basedOn w:val="25"/>
    <w:link w:val="7"/>
    <w:qFormat/>
    <w:uiPriority w:val="0"/>
    <w:rPr>
      <w:rFonts w:ascii="宋体" w:hAnsi="宋体" w:cs="宋体"/>
      <w:sz w:val="22"/>
      <w:szCs w:val="22"/>
    </w:rPr>
  </w:style>
  <w:style w:type="character" w:customStyle="1" w:styleId="33">
    <w:name w:val="批注主题 字符"/>
    <w:basedOn w:val="32"/>
    <w:link w:val="21"/>
    <w:qFormat/>
    <w:uiPriority w:val="0"/>
    <w:rPr>
      <w:rFonts w:ascii="宋体" w:hAnsi="宋体" w:cs="宋体"/>
      <w:b/>
      <w:bCs/>
      <w:sz w:val="22"/>
      <w:szCs w:val="22"/>
    </w:rPr>
  </w:style>
  <w:style w:type="character" w:customStyle="1" w:styleId="34">
    <w:name w:val="纯文本 字符"/>
    <w:basedOn w:val="25"/>
    <w:link w:val="13"/>
    <w:qFormat/>
    <w:uiPriority w:val="0"/>
    <w:rPr>
      <w:rFonts w:ascii="宋体" w:hAnsi="Tms Rmn"/>
      <w:sz w:val="21"/>
    </w:rPr>
  </w:style>
  <w:style w:type="character" w:customStyle="1" w:styleId="35">
    <w:name w:val="font31"/>
    <w:basedOn w:val="25"/>
    <w:uiPriority w:val="0"/>
    <w:rPr>
      <w:rFonts w:ascii="仿宋_GB2312" w:eastAsia="仿宋_GB2312" w:cs="仿宋_GB2312"/>
      <w:b/>
      <w:bCs/>
      <w:color w:val="000000"/>
      <w:sz w:val="40"/>
      <w:szCs w:val="40"/>
      <w:u w:val="none"/>
    </w:rPr>
  </w:style>
  <w:style w:type="character" w:customStyle="1" w:styleId="36">
    <w:name w:val="font21"/>
    <w:basedOn w:val="25"/>
    <w:qFormat/>
    <w:uiPriority w:val="0"/>
    <w:rPr>
      <w:rFonts w:ascii="仿宋_GB2312" w:eastAsia="仿宋_GB2312" w:cs="仿宋_GB2312"/>
      <w:b/>
      <w:bCs/>
      <w:color w:val="000000"/>
      <w:sz w:val="36"/>
      <w:szCs w:val="36"/>
      <w:u w:val="none"/>
    </w:rPr>
  </w:style>
  <w:style w:type="paragraph" w:customStyle="1" w:styleId="37">
    <w:name w:val="WPSOffice手动目录 2"/>
    <w:uiPriority w:val="0"/>
    <w:pPr>
      <w:ind w:leftChars="200"/>
    </w:pPr>
    <w:rPr>
      <w:rFonts w:ascii="Times New Roman" w:hAnsi="Times New Roman" w:eastAsia="宋体" w:cs="Times New Roman"/>
      <w:sz w:val="20"/>
      <w:szCs w:val="20"/>
    </w:rPr>
  </w:style>
  <w:style w:type="paragraph" w:customStyle="1" w:styleId="38">
    <w:name w:val="WPSOffice手动目录 1"/>
    <w:uiPriority w:val="0"/>
    <w:pPr>
      <w:ind w:leftChars="0"/>
    </w:pPr>
    <w:rPr>
      <w:rFonts w:ascii="Times New Roman" w:hAnsi="Times New Roman" w:eastAsia="宋体" w:cs="Times New Roman"/>
      <w:sz w:val="20"/>
      <w:szCs w:val="20"/>
    </w:rPr>
  </w:style>
  <w:style w:type="paragraph" w:customStyle="1" w:styleId="39">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49"/>
    <customShpInfo spid="_x0000_s2050"/>
    <customShpInfo spid="_x0000_s2052"/>
    <customShpInfo spid="_x0000_s2059"/>
    <customShpInfo spid="_x0000_s2060"/>
    <customShpInfo spid="_x0000_s2061"/>
    <customShpInfo spid="_x0000_s1026" textRotate="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4"/>
    <customShpInfo spid="_x0000_s2103"/>
    <customShpInfo spid="_x0000_s2105"/>
    <customShpInfo spid="_x0000_s2106"/>
    <customShpInfo spid="_x0000_s1028"/>
    <customShpInfo spid="_x0000_s1027"/>
    <customShpInfo spid="_x0000_s1030"/>
    <customShpInfo spid="_x0000_s1029"/>
    <customShpInfo spid="_x0000_s1032"/>
    <customShpInfo spid="_x0000_s1031"/>
    <customShpInfo spid="_x0000_s1034"/>
    <customShpInfo spid="_x0000_s1033"/>
    <customShpInfo spid="_x0000_s1036"/>
    <customShpInfo spid="_x0000_s1035"/>
    <customShpInfo spid="_x0000_s1042"/>
    <customShpInfo spid="_x0000_s1041"/>
    <customShpInfo spid="_x0000_s1046"/>
    <customShpInfo spid="_x0000_s1045"/>
    <customShpInfo spid="_x0000_s1048"/>
    <customShpInfo spid="_x0000_s1047"/>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7"/>
    <customShpInfo spid="_x0000_s1060"/>
    <customShpInfo spid="_x0000_s1059"/>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4316</Words>
  <Characters>24603</Characters>
  <Lines>205</Lines>
  <Paragraphs>57</Paragraphs>
  <TotalTime>14</TotalTime>
  <ScaleCrop>false</ScaleCrop>
  <LinksUpToDate>false</LinksUpToDate>
  <CharactersWithSpaces>28862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2021-07-12T07:48:00Z</dcterms:created>
  <dc:creator>Administrator</dc:creator>
  <cp:lastModifiedBy>Lenovo</cp:lastModifiedBy>
  <cp:lastPrinted>2021-07-14T09:21:00Z</cp:lastPrinted>
  <dcterms:modified xsi:type="dcterms:W3CDTF">2021-11-24T05:16:33Z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WPS 文字</vt:lpwstr>
  </property>
  <property fmtid="{D5CDD505-2E9C-101B-9397-08002B2CF9AE}" pid="4" name="LastSaved">
    <vt:filetime>2021-07-12T00:00:00Z</vt:filetime>
  </property>
  <property fmtid="{D5CDD505-2E9C-101B-9397-08002B2CF9AE}" pid="5" name="KSOProductBuildVer">
    <vt:lpwstr>2052-11.1.0.11115</vt:lpwstr>
  </property>
  <property fmtid="{D5CDD505-2E9C-101B-9397-08002B2CF9AE}" pid="6" name="ICV">
    <vt:lpwstr>234BE965B9AB465F9884CEE27BD7B103</vt:lpwstr>
  </property>
</Properties>
</file>