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both"/>
        <w:rPr>
          <w:rFonts w:hint="eastAsia" w:ascii="宋体" w:eastAsia="宋体"/>
          <w:b/>
          <w:smallCaps/>
          <w:sz w:val="28"/>
          <w:szCs w:val="28"/>
          <w:lang w:eastAsia="zh-CN"/>
        </w:rPr>
      </w:pPr>
      <w:r>
        <w:rPr>
          <w:rFonts w:hint="eastAsia" w:ascii="宋体"/>
          <w:b/>
          <w:smallCaps/>
          <w:sz w:val="28"/>
          <w:szCs w:val="28"/>
        </w:rPr>
        <w:t>采购项目编号：青海利仁竞磋（</w:t>
      </w:r>
      <w:r>
        <w:rPr>
          <w:rFonts w:hint="eastAsia" w:ascii="宋体"/>
          <w:b/>
          <w:smallCaps/>
          <w:sz w:val="28"/>
          <w:szCs w:val="28"/>
          <w:lang w:val="en-US" w:eastAsia="zh-CN"/>
        </w:rPr>
        <w:t>货物</w:t>
      </w:r>
      <w:r>
        <w:rPr>
          <w:rFonts w:hint="eastAsia" w:ascii="宋体"/>
          <w:b/>
          <w:smallCaps/>
          <w:sz w:val="28"/>
          <w:szCs w:val="28"/>
        </w:rPr>
        <w:t>）2020-00</w:t>
      </w:r>
      <w:r>
        <w:rPr>
          <w:rFonts w:hint="eastAsia" w:ascii="宋体"/>
          <w:b/>
          <w:smallCaps/>
          <w:sz w:val="28"/>
          <w:szCs w:val="28"/>
          <w:lang w:val="en-US" w:eastAsia="zh-CN"/>
        </w:rPr>
        <w:t>7</w:t>
      </w:r>
    </w:p>
    <w:p>
      <w:pPr>
        <w:autoSpaceDE w:val="0"/>
        <w:autoSpaceDN w:val="0"/>
        <w:adjustRightInd w:val="0"/>
        <w:spacing w:line="360" w:lineRule="auto"/>
        <w:ind w:firstLine="806" w:firstLineChars="223"/>
        <w:rPr>
          <w:rFonts w:ascii="宋体"/>
          <w:b/>
          <w:smallCaps/>
          <w:sz w:val="36"/>
          <w:szCs w:val="36"/>
        </w:rPr>
      </w:pPr>
    </w:p>
    <w:p>
      <w:pPr>
        <w:autoSpaceDE w:val="0"/>
        <w:autoSpaceDN w:val="0"/>
        <w:adjustRightInd w:val="0"/>
        <w:spacing w:line="360" w:lineRule="auto"/>
        <w:ind w:firstLine="806" w:firstLineChars="223"/>
        <w:rPr>
          <w:rFonts w:ascii="宋体"/>
          <w:b/>
          <w:smallCaps/>
          <w:sz w:val="36"/>
          <w:szCs w:val="36"/>
        </w:rPr>
      </w:pPr>
    </w:p>
    <w:p>
      <w:pPr>
        <w:autoSpaceDE w:val="0"/>
        <w:autoSpaceDN w:val="0"/>
        <w:adjustRightInd w:val="0"/>
        <w:spacing w:line="360" w:lineRule="auto"/>
        <w:ind w:firstLine="806" w:firstLineChars="223"/>
        <w:rPr>
          <w:rFonts w:ascii="宋体"/>
          <w:b/>
          <w:smallCaps/>
          <w:sz w:val="36"/>
          <w:szCs w:val="36"/>
        </w:rPr>
      </w:pPr>
    </w:p>
    <w:p>
      <w:pPr>
        <w:autoSpaceDE w:val="0"/>
        <w:autoSpaceDN w:val="0"/>
        <w:adjustRightInd w:val="0"/>
        <w:spacing w:line="360" w:lineRule="auto"/>
        <w:ind w:firstLine="806" w:firstLineChars="223"/>
        <w:rPr>
          <w:rFonts w:ascii="宋体"/>
          <w:b/>
          <w:smallCaps/>
          <w:sz w:val="36"/>
          <w:szCs w:val="36"/>
        </w:rPr>
      </w:pPr>
    </w:p>
    <w:p>
      <w:pPr>
        <w:autoSpaceDE w:val="0"/>
        <w:autoSpaceDN w:val="0"/>
        <w:adjustRightInd w:val="0"/>
        <w:spacing w:line="360" w:lineRule="auto"/>
        <w:ind w:firstLine="806" w:firstLineChars="223"/>
        <w:rPr>
          <w:rFonts w:ascii="宋体"/>
          <w:b/>
          <w:smallCaps/>
          <w:sz w:val="36"/>
          <w:szCs w:val="36"/>
        </w:rPr>
      </w:pPr>
    </w:p>
    <w:p>
      <w:pPr>
        <w:autoSpaceDE w:val="0"/>
        <w:autoSpaceDN w:val="0"/>
        <w:adjustRightInd w:val="0"/>
        <w:spacing w:line="360" w:lineRule="auto"/>
        <w:jc w:val="center"/>
        <w:rPr>
          <w:rFonts w:ascii="方正楷体_GBK" w:hAnsi="宋体" w:eastAsia="方正楷体_GBK"/>
          <w:b/>
          <w:color w:val="000000"/>
          <w:sz w:val="84"/>
          <w:szCs w:val="84"/>
        </w:rPr>
      </w:pPr>
      <w:r>
        <w:rPr>
          <w:rFonts w:hint="eastAsia" w:ascii="方正楷体_GBK" w:hAnsi="宋体" w:eastAsia="方正楷体_GBK" w:cs="STZhongsong"/>
          <w:b/>
          <w:color w:val="000000"/>
          <w:sz w:val="84"/>
          <w:szCs w:val="84"/>
          <w:lang w:val="zh-CN"/>
        </w:rPr>
        <w:t>竞争性磋商文件</w:t>
      </w:r>
    </w:p>
    <w:p>
      <w:pPr>
        <w:adjustRightInd w:val="0"/>
        <w:spacing w:line="360" w:lineRule="auto"/>
        <w:textAlignment w:val="baseline"/>
        <w:rPr>
          <w:rFonts w:ascii="仿宋_GB2312" w:hAnsi="宋体" w:eastAsia="仿宋_GB2312"/>
          <w:b/>
          <w:sz w:val="36"/>
          <w:szCs w:val="36"/>
        </w:rPr>
      </w:pPr>
    </w:p>
    <w:p>
      <w:pPr>
        <w:adjustRightInd w:val="0"/>
        <w:spacing w:line="360" w:lineRule="auto"/>
        <w:textAlignment w:val="baseline"/>
        <w:rPr>
          <w:rFonts w:ascii="仿宋_GB2312" w:hAnsi="宋体" w:eastAsia="仿宋_GB2312"/>
          <w:b/>
          <w:sz w:val="36"/>
          <w:szCs w:val="36"/>
        </w:rPr>
      </w:pPr>
    </w:p>
    <w:p>
      <w:pPr>
        <w:adjustRightInd w:val="0"/>
        <w:spacing w:line="360" w:lineRule="auto"/>
        <w:textAlignment w:val="baseline"/>
        <w:rPr>
          <w:rFonts w:hint="eastAsia" w:ascii="黑体" w:hAnsi="黑体" w:eastAsia="黑体"/>
          <w:b/>
          <w:sz w:val="36"/>
          <w:szCs w:val="36"/>
          <w:u w:val="none"/>
        </w:rPr>
      </w:pPr>
    </w:p>
    <w:p>
      <w:pPr>
        <w:adjustRightInd w:val="0"/>
        <w:spacing w:line="360" w:lineRule="auto"/>
        <w:ind w:left="2530" w:hanging="2530" w:hangingChars="700"/>
        <w:textAlignment w:val="baseline"/>
        <w:rPr>
          <w:rFonts w:hint="eastAsia" w:ascii="黑体" w:hAnsi="黑体" w:eastAsia="黑体"/>
          <w:b/>
          <w:sz w:val="36"/>
          <w:szCs w:val="36"/>
          <w:u w:val="single"/>
        </w:rPr>
      </w:pPr>
      <w:r>
        <w:rPr>
          <w:rFonts w:hint="eastAsia" w:ascii="黑体" w:hAnsi="黑体" w:eastAsia="黑体"/>
          <w:b/>
          <w:sz w:val="36"/>
          <w:szCs w:val="36"/>
          <w:u w:val="none"/>
        </w:rPr>
        <w:t>采购项目名称：</w:t>
      </w:r>
      <w:r>
        <w:rPr>
          <w:rFonts w:hint="eastAsia" w:ascii="黑体" w:hAnsi="黑体" w:eastAsia="黑体"/>
          <w:b/>
          <w:sz w:val="36"/>
          <w:szCs w:val="36"/>
          <w:u w:val="single"/>
          <w:lang w:val="en-US" w:eastAsia="zh-CN"/>
        </w:rPr>
        <w:t>海北州藏医院库房配套设备项目</w:t>
      </w:r>
    </w:p>
    <w:p>
      <w:pPr>
        <w:adjustRightInd w:val="0"/>
        <w:spacing w:line="360" w:lineRule="auto"/>
        <w:textAlignment w:val="baseline"/>
        <w:rPr>
          <w:rFonts w:hint="eastAsia" w:ascii="黑体" w:hAnsi="黑体" w:eastAsia="黑体"/>
          <w:b/>
          <w:sz w:val="36"/>
          <w:szCs w:val="36"/>
          <w:lang w:eastAsia="zh-CN"/>
        </w:rPr>
      </w:pPr>
      <w:r>
        <w:rPr>
          <w:rFonts w:hint="eastAsia" w:ascii="黑体" w:hAnsi="黑体" w:eastAsia="黑体"/>
          <w:b/>
          <w:sz w:val="36"/>
          <w:szCs w:val="36"/>
        </w:rPr>
        <w:t>采购项目编号：</w:t>
      </w:r>
      <w:r>
        <w:rPr>
          <w:rFonts w:hint="eastAsia" w:ascii="黑体" w:hAnsi="黑体" w:eastAsia="黑体"/>
          <w:b/>
          <w:sz w:val="36"/>
          <w:szCs w:val="36"/>
          <w:u w:val="single"/>
        </w:rPr>
        <w:t>青海利仁竞磋（</w:t>
      </w:r>
      <w:r>
        <w:rPr>
          <w:rFonts w:hint="eastAsia" w:ascii="黑体" w:hAnsi="黑体" w:eastAsia="黑体"/>
          <w:b/>
          <w:sz w:val="36"/>
          <w:szCs w:val="36"/>
          <w:u w:val="single"/>
          <w:lang w:eastAsia="zh-CN"/>
        </w:rPr>
        <w:t>货物</w:t>
      </w:r>
      <w:r>
        <w:rPr>
          <w:rFonts w:hint="eastAsia" w:ascii="黑体" w:hAnsi="黑体" w:eastAsia="黑体"/>
          <w:b/>
          <w:sz w:val="36"/>
          <w:szCs w:val="36"/>
          <w:u w:val="single"/>
        </w:rPr>
        <w:t>）2020-00</w:t>
      </w:r>
      <w:r>
        <w:rPr>
          <w:rFonts w:hint="eastAsia" w:ascii="黑体" w:hAnsi="黑体" w:eastAsia="黑体"/>
          <w:b/>
          <w:sz w:val="36"/>
          <w:szCs w:val="36"/>
          <w:u w:val="single"/>
          <w:lang w:val="en-US" w:eastAsia="zh-CN"/>
        </w:rPr>
        <w:t>7</w:t>
      </w:r>
    </w:p>
    <w:p>
      <w:pPr>
        <w:tabs>
          <w:tab w:val="left" w:pos="6453"/>
        </w:tabs>
        <w:adjustRightInd w:val="0"/>
        <w:spacing w:line="360" w:lineRule="auto"/>
        <w:textAlignment w:val="baseline"/>
        <w:rPr>
          <w:rFonts w:hint="default" w:ascii="黑体" w:hAnsi="黑体" w:eastAsia="黑体"/>
          <w:b/>
          <w:color w:val="FF0000"/>
          <w:sz w:val="36"/>
          <w:szCs w:val="36"/>
          <w:lang w:val="en-US" w:eastAsia="zh-CN"/>
        </w:rPr>
      </w:pPr>
      <w:r>
        <w:rPr>
          <w:rFonts w:hint="eastAsia" w:ascii="黑体" w:hAnsi="黑体" w:eastAsia="黑体"/>
          <w:b/>
          <w:spacing w:val="20"/>
          <w:sz w:val="36"/>
          <w:szCs w:val="36"/>
        </w:rPr>
        <w:t>采</w:t>
      </w:r>
      <w:r>
        <w:rPr>
          <w:rFonts w:hint="eastAsia" w:ascii="黑体" w:hAnsi="黑体" w:eastAsia="黑体"/>
          <w:b/>
          <w:spacing w:val="20"/>
          <w:sz w:val="36"/>
          <w:szCs w:val="36"/>
          <w:lang w:val="en-US" w:eastAsia="zh-CN"/>
        </w:rPr>
        <w:t xml:space="preserve"> </w:t>
      </w:r>
      <w:r>
        <w:rPr>
          <w:rFonts w:hint="eastAsia" w:ascii="黑体" w:hAnsi="黑体" w:eastAsia="黑体"/>
          <w:b/>
          <w:spacing w:val="20"/>
          <w:sz w:val="36"/>
          <w:szCs w:val="36"/>
        </w:rPr>
        <w:t>购</w:t>
      </w:r>
      <w:r>
        <w:rPr>
          <w:rFonts w:hint="eastAsia" w:ascii="黑体" w:hAnsi="黑体" w:eastAsia="黑体"/>
          <w:b/>
          <w:spacing w:val="20"/>
          <w:sz w:val="36"/>
          <w:szCs w:val="36"/>
          <w:lang w:val="en-US" w:eastAsia="zh-CN"/>
        </w:rPr>
        <w:t xml:space="preserve"> </w:t>
      </w:r>
      <w:r>
        <w:rPr>
          <w:rFonts w:hint="eastAsia" w:ascii="黑体" w:hAnsi="黑体" w:eastAsia="黑体"/>
          <w:b/>
          <w:spacing w:val="20"/>
          <w:sz w:val="36"/>
          <w:szCs w:val="36"/>
        </w:rPr>
        <w:t>单</w:t>
      </w:r>
      <w:r>
        <w:rPr>
          <w:rFonts w:hint="eastAsia" w:ascii="黑体" w:hAnsi="黑体" w:eastAsia="黑体"/>
          <w:b/>
          <w:spacing w:val="20"/>
          <w:sz w:val="36"/>
          <w:szCs w:val="36"/>
          <w:lang w:val="en-US" w:eastAsia="zh-CN"/>
        </w:rPr>
        <w:t xml:space="preserve"> </w:t>
      </w:r>
      <w:r>
        <w:rPr>
          <w:rFonts w:hint="eastAsia" w:ascii="黑体" w:hAnsi="黑体" w:eastAsia="黑体"/>
          <w:b/>
          <w:spacing w:val="20"/>
          <w:sz w:val="36"/>
          <w:szCs w:val="36"/>
        </w:rPr>
        <w:t>位</w:t>
      </w:r>
      <w:r>
        <w:rPr>
          <w:rFonts w:hint="eastAsia" w:ascii="黑体" w:hAnsi="黑体" w:eastAsia="黑体"/>
          <w:b/>
          <w:sz w:val="36"/>
          <w:szCs w:val="36"/>
        </w:rPr>
        <w:t>：</w:t>
      </w:r>
      <w:r>
        <w:rPr>
          <w:rFonts w:hint="eastAsia" w:ascii="黑体" w:hAnsi="黑体" w:eastAsia="黑体"/>
          <w:b/>
          <w:sz w:val="36"/>
          <w:szCs w:val="36"/>
          <w:u w:val="single"/>
          <w:lang w:val="en-US" w:eastAsia="zh-CN"/>
        </w:rPr>
        <w:t>海北州藏医院</w:t>
      </w:r>
    </w:p>
    <w:p>
      <w:pPr>
        <w:adjustRightInd w:val="0"/>
        <w:spacing w:line="360" w:lineRule="auto"/>
        <w:ind w:left="2530" w:hanging="2530" w:hangingChars="700"/>
        <w:textAlignment w:val="baseline"/>
        <w:rPr>
          <w:rFonts w:ascii="黑体" w:hAnsi="黑体" w:eastAsia="黑体"/>
          <w:b/>
          <w:sz w:val="36"/>
          <w:szCs w:val="36"/>
          <w:u w:val="single"/>
        </w:rPr>
      </w:pPr>
      <w:r>
        <w:rPr>
          <w:rFonts w:hint="eastAsia" w:ascii="黑体" w:hAnsi="黑体" w:eastAsia="黑体"/>
          <w:b/>
          <w:sz w:val="36"/>
          <w:szCs w:val="36"/>
        </w:rPr>
        <w:t>采购代理机构：</w:t>
      </w:r>
      <w:r>
        <w:rPr>
          <w:rFonts w:hint="eastAsia" w:ascii="黑体" w:hAnsi="黑体" w:eastAsia="黑体"/>
          <w:b/>
          <w:sz w:val="36"/>
          <w:szCs w:val="36"/>
          <w:u w:val="single"/>
        </w:rPr>
        <w:t>青海利仁</w:t>
      </w:r>
      <w:r>
        <w:rPr>
          <w:rFonts w:hint="eastAsia" w:ascii="黑体" w:hAnsi="黑体" w:eastAsia="黑体"/>
          <w:b/>
          <w:sz w:val="36"/>
          <w:szCs w:val="36"/>
          <w:u w:val="single"/>
          <w:lang w:eastAsia="zh-CN"/>
        </w:rPr>
        <w:t>建设</w:t>
      </w:r>
      <w:r>
        <w:rPr>
          <w:rFonts w:hint="eastAsia" w:ascii="黑体" w:hAnsi="黑体" w:eastAsia="黑体"/>
          <w:b/>
          <w:sz w:val="36"/>
          <w:szCs w:val="36"/>
          <w:u w:val="single"/>
        </w:rPr>
        <w:t>项目管理有限公司</w:t>
      </w:r>
    </w:p>
    <w:p>
      <w:pPr>
        <w:adjustRightInd w:val="0"/>
        <w:spacing w:line="360" w:lineRule="auto"/>
        <w:ind w:firstLine="361" w:firstLineChars="100"/>
        <w:textAlignment w:val="baseline"/>
        <w:rPr>
          <w:rFonts w:ascii="黑体" w:hAnsi="黑体" w:eastAsia="黑体"/>
          <w:b/>
          <w:sz w:val="36"/>
          <w:szCs w:val="36"/>
        </w:rPr>
      </w:pPr>
    </w:p>
    <w:p>
      <w:pPr>
        <w:adjustRightInd w:val="0"/>
        <w:spacing w:line="360" w:lineRule="auto"/>
        <w:textAlignment w:val="baseline"/>
        <w:rPr>
          <w:b/>
        </w:rPr>
      </w:pPr>
    </w:p>
    <w:p>
      <w:pPr>
        <w:pStyle w:val="9"/>
        <w:ind w:firstLine="480"/>
      </w:pPr>
    </w:p>
    <w:p>
      <w:pPr>
        <w:adjustRightInd w:val="0"/>
        <w:spacing w:line="360" w:lineRule="auto"/>
        <w:textAlignment w:val="baseline"/>
        <w:rPr>
          <w:b/>
        </w:rPr>
      </w:pPr>
    </w:p>
    <w:p>
      <w:pPr>
        <w:pStyle w:val="9"/>
        <w:rPr>
          <w:b/>
        </w:rPr>
      </w:pPr>
    </w:p>
    <w:p>
      <w:pPr>
        <w:pStyle w:val="9"/>
        <w:rPr>
          <w:b/>
        </w:rPr>
      </w:pPr>
    </w:p>
    <w:p>
      <w:pPr>
        <w:adjustRightInd w:val="0"/>
        <w:spacing w:line="360" w:lineRule="auto"/>
        <w:ind w:firstLine="640"/>
        <w:jc w:val="center"/>
        <w:textAlignment w:val="baseline"/>
        <w:rPr>
          <w:rFonts w:hint="eastAsia" w:ascii="黑体" w:hAnsi="黑体" w:eastAsia="黑体"/>
          <w:b/>
          <w:sz w:val="32"/>
          <w:szCs w:val="32"/>
        </w:rPr>
      </w:pPr>
      <w:r>
        <w:rPr>
          <w:rFonts w:hint="eastAsia" w:ascii="黑体" w:hAnsi="黑体" w:eastAsia="黑体"/>
          <w:b/>
          <w:sz w:val="32"/>
          <w:szCs w:val="32"/>
        </w:rPr>
        <w:t>2020年</w:t>
      </w:r>
      <w:r>
        <w:rPr>
          <w:rFonts w:hint="eastAsia" w:ascii="黑体" w:hAnsi="黑体" w:eastAsia="黑体"/>
          <w:b/>
          <w:sz w:val="32"/>
          <w:szCs w:val="32"/>
          <w:lang w:val="en-US" w:eastAsia="zh-CN"/>
        </w:rPr>
        <w:t>8</w:t>
      </w:r>
      <w:r>
        <w:rPr>
          <w:rFonts w:hint="eastAsia" w:ascii="黑体" w:hAnsi="黑体" w:eastAsia="黑体"/>
          <w:b/>
          <w:sz w:val="32"/>
          <w:szCs w:val="32"/>
        </w:rPr>
        <w:t>月</w:t>
      </w:r>
    </w:p>
    <w:p>
      <w:pPr>
        <w:pStyle w:val="9"/>
        <w:jc w:val="center"/>
        <w:rPr>
          <w:rFonts w:hint="eastAsia" w:ascii="黑体" w:hAnsi="黑体" w:eastAsia="黑体"/>
          <w:b/>
          <w:sz w:val="32"/>
          <w:szCs w:val="32"/>
          <w:lang w:eastAsia="zh-CN"/>
        </w:rPr>
      </w:pPr>
    </w:p>
    <w:p>
      <w:pPr>
        <w:pStyle w:val="9"/>
        <w:jc w:val="center"/>
        <w:rPr>
          <w:rFonts w:hint="eastAsia" w:ascii="黑体" w:hAnsi="黑体" w:eastAsia="黑体"/>
          <w:b/>
          <w:sz w:val="32"/>
          <w:szCs w:val="32"/>
          <w:lang w:eastAsia="zh-CN"/>
        </w:rPr>
      </w:pPr>
    </w:p>
    <w:p>
      <w:pPr>
        <w:pStyle w:val="9"/>
        <w:jc w:val="center"/>
        <w:rPr>
          <w:rFonts w:hint="eastAsia" w:ascii="黑体" w:hAnsi="黑体" w:eastAsia="黑体"/>
          <w:b/>
          <w:sz w:val="32"/>
          <w:szCs w:val="32"/>
          <w:lang w:eastAsia="zh-CN"/>
        </w:rPr>
      </w:pPr>
      <w:r>
        <w:rPr>
          <w:rFonts w:hint="eastAsia" w:ascii="黑体" w:hAnsi="黑体" w:eastAsia="黑体"/>
          <w:b/>
          <w:sz w:val="32"/>
          <w:szCs w:val="32"/>
          <w:lang w:eastAsia="zh-CN"/>
        </w:rPr>
        <w:t>目录</w:t>
      </w:r>
    </w:p>
    <w:p>
      <w:pPr>
        <w:pStyle w:val="11"/>
        <w:tabs>
          <w:tab w:val="right" w:leader="dot" w:pos="8306"/>
        </w:tabs>
      </w:pPr>
      <w:r>
        <w:rPr>
          <w:rFonts w:hint="eastAsia" w:ascii="黑体" w:hAnsi="黑体" w:eastAsia="黑体"/>
          <w:b/>
          <w:sz w:val="32"/>
          <w:szCs w:val="32"/>
        </w:rPr>
        <w:fldChar w:fldCharType="begin"/>
      </w:r>
      <w:r>
        <w:rPr>
          <w:rFonts w:hint="eastAsia" w:ascii="黑体" w:hAnsi="黑体" w:eastAsia="黑体"/>
          <w:b/>
          <w:sz w:val="32"/>
          <w:szCs w:val="32"/>
        </w:rPr>
        <w:instrText xml:space="preserve">TOC \o "1-3" \h \u </w:instrText>
      </w:r>
      <w:r>
        <w:rPr>
          <w:rFonts w:hint="eastAsia" w:ascii="黑体" w:hAnsi="黑体" w:eastAsia="黑体"/>
          <w:b/>
          <w:sz w:val="32"/>
          <w:szCs w:val="32"/>
        </w:rPr>
        <w:fldChar w:fldCharType="separate"/>
      </w:r>
      <w:r>
        <w:rPr>
          <w:rFonts w:hint="eastAsia" w:ascii="黑体" w:hAnsi="黑体" w:eastAsia="黑体"/>
          <w:szCs w:val="32"/>
        </w:rPr>
        <w:fldChar w:fldCharType="begin"/>
      </w:r>
      <w:r>
        <w:rPr>
          <w:rFonts w:hint="eastAsia" w:ascii="黑体" w:hAnsi="黑体" w:eastAsia="黑体"/>
          <w:szCs w:val="32"/>
        </w:rPr>
        <w:instrText xml:space="preserve"> HYPERLINK \l _Toc9111 </w:instrText>
      </w:r>
      <w:r>
        <w:rPr>
          <w:rFonts w:hint="eastAsia" w:ascii="黑体" w:hAnsi="黑体" w:eastAsia="黑体"/>
          <w:szCs w:val="32"/>
        </w:rPr>
        <w:fldChar w:fldCharType="separate"/>
      </w:r>
      <w:r>
        <w:rPr>
          <w:rFonts w:hint="eastAsia"/>
        </w:rPr>
        <w:t>第一部分竞争性磋商</w:t>
      </w:r>
      <w:r>
        <w:rPr>
          <w:rFonts w:hint="eastAsia"/>
          <w:lang w:eastAsia="zh-CN"/>
        </w:rPr>
        <w:t>邀请</w:t>
      </w:r>
      <w:r>
        <w:rPr>
          <w:rFonts w:hint="eastAsia"/>
        </w:rPr>
        <w:t>公告</w:t>
      </w:r>
      <w:r>
        <w:tab/>
      </w:r>
      <w:r>
        <w:fldChar w:fldCharType="begin"/>
      </w:r>
      <w:r>
        <w:instrText xml:space="preserve"> PAGEREF _Toc9111 </w:instrText>
      </w:r>
      <w:r>
        <w:fldChar w:fldCharType="separate"/>
      </w:r>
      <w:r>
        <w:t>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_Toc20912 </w:instrText>
      </w:r>
      <w:r>
        <w:rPr>
          <w:rFonts w:hint="eastAsia" w:ascii="黑体" w:hAnsi="黑体" w:eastAsia="黑体"/>
          <w:szCs w:val="32"/>
        </w:rPr>
        <w:fldChar w:fldCharType="separate"/>
      </w:r>
      <w:r>
        <w:rPr>
          <w:rFonts w:hint="eastAsia"/>
          <w:lang w:val="zh-CN"/>
        </w:rPr>
        <w:t>第二部分  供应商须知前附表</w:t>
      </w:r>
      <w:r>
        <w:tab/>
      </w:r>
      <w:r>
        <w:fldChar w:fldCharType="begin"/>
      </w:r>
      <w:r>
        <w:instrText xml:space="preserve"> PAGEREF _Toc20912 </w:instrText>
      </w:r>
      <w:r>
        <w:fldChar w:fldCharType="separate"/>
      </w:r>
      <w:r>
        <w:t>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_Toc25538 </w:instrText>
      </w:r>
      <w:r>
        <w:rPr>
          <w:rFonts w:hint="eastAsia" w:ascii="黑体" w:hAnsi="黑体" w:eastAsia="黑体"/>
          <w:szCs w:val="32"/>
        </w:rPr>
        <w:fldChar w:fldCharType="separate"/>
      </w:r>
      <w:r>
        <w:rPr>
          <w:rFonts w:hint="eastAsia"/>
          <w:lang w:val="en-US" w:eastAsia="zh-CN"/>
        </w:rPr>
        <w:t>第三部分</w:t>
      </w:r>
      <w:r>
        <w:rPr>
          <w:rFonts w:hint="eastAsia"/>
          <w:lang w:val="zh-CN" w:eastAsia="zh-CN"/>
        </w:rPr>
        <w:t xml:space="preserve"> </w:t>
      </w:r>
      <w:r>
        <w:rPr>
          <w:rFonts w:hint="eastAsia"/>
          <w:lang w:val="en-US" w:eastAsia="zh-CN"/>
        </w:rPr>
        <w:t>磋商</w:t>
      </w:r>
      <w:r>
        <w:rPr>
          <w:rFonts w:hint="eastAsia"/>
          <w:lang w:val="zh-CN" w:eastAsia="zh-CN"/>
        </w:rPr>
        <w:t>供应商须知</w:t>
      </w:r>
      <w:r>
        <w:tab/>
      </w:r>
      <w:r>
        <w:fldChar w:fldCharType="begin"/>
      </w:r>
      <w:r>
        <w:instrText xml:space="preserve"> PAGEREF _Toc25538 </w:instrText>
      </w:r>
      <w:r>
        <w:fldChar w:fldCharType="separate"/>
      </w:r>
      <w:r>
        <w:t>11</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_Toc17894 </w:instrText>
      </w:r>
      <w:r>
        <w:rPr>
          <w:rFonts w:hint="eastAsia" w:ascii="黑体" w:hAnsi="黑体" w:eastAsia="黑体"/>
          <w:szCs w:val="32"/>
        </w:rPr>
        <w:fldChar w:fldCharType="separate"/>
      </w:r>
      <w:r>
        <w:rPr>
          <w:rFonts w:hint="eastAsia"/>
          <w:lang w:val="en-US" w:eastAsia="en-US"/>
        </w:rPr>
        <w:t>一、说明</w:t>
      </w:r>
      <w:r>
        <w:tab/>
      </w:r>
      <w:r>
        <w:fldChar w:fldCharType="begin"/>
      </w:r>
      <w:r>
        <w:instrText xml:space="preserve"> PAGEREF _Toc17894 </w:instrText>
      </w:r>
      <w:r>
        <w:fldChar w:fldCharType="separate"/>
      </w:r>
      <w:r>
        <w:t>12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_Toc19996 </w:instrText>
      </w:r>
      <w:r>
        <w:rPr>
          <w:rFonts w:hint="eastAsia" w:ascii="黑体" w:hAnsi="黑体" w:eastAsia="黑体"/>
          <w:szCs w:val="32"/>
        </w:rPr>
        <w:fldChar w:fldCharType="separate"/>
      </w:r>
      <w:r>
        <w:rPr>
          <w:rFonts w:hint="eastAsia"/>
          <w:lang w:val="en-US" w:eastAsia="en-US"/>
        </w:rPr>
        <w:t>1.适用范围</w:t>
      </w:r>
      <w:r>
        <w:tab/>
      </w:r>
      <w:r>
        <w:fldChar w:fldCharType="begin"/>
      </w:r>
      <w:r>
        <w:instrText xml:space="preserve"> PAGEREF _Toc19996 </w:instrText>
      </w:r>
      <w:r>
        <w:fldChar w:fldCharType="separate"/>
      </w:r>
      <w:r>
        <w:t>12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_Toc646 </w:instrText>
      </w:r>
      <w:r>
        <w:rPr>
          <w:rFonts w:hint="eastAsia" w:ascii="黑体" w:hAnsi="黑体" w:eastAsia="黑体"/>
          <w:szCs w:val="32"/>
        </w:rPr>
        <w:fldChar w:fldCharType="separate"/>
      </w:r>
      <w:r>
        <w:rPr>
          <w:rFonts w:hint="eastAsia"/>
          <w:lang w:val="en-US" w:eastAsia="en-US"/>
        </w:rPr>
        <w:t>2.采购方式、合格的供应商</w:t>
      </w:r>
      <w:r>
        <w:tab/>
      </w:r>
      <w:r>
        <w:fldChar w:fldCharType="begin"/>
      </w:r>
      <w:r>
        <w:instrText xml:space="preserve"> PAGEREF _Toc646 </w:instrText>
      </w:r>
      <w:r>
        <w:fldChar w:fldCharType="separate"/>
      </w:r>
      <w:r>
        <w:t>12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_Toc13141 </w:instrText>
      </w:r>
      <w:r>
        <w:rPr>
          <w:rFonts w:hint="eastAsia" w:ascii="黑体" w:hAnsi="黑体" w:eastAsia="黑体"/>
          <w:szCs w:val="32"/>
        </w:rPr>
        <w:fldChar w:fldCharType="separate"/>
      </w:r>
      <w:r>
        <w:rPr>
          <w:rFonts w:hint="eastAsia"/>
          <w:lang w:val="en-US" w:eastAsia="en-US"/>
        </w:rPr>
        <w:t>3.磋商费用</w:t>
      </w:r>
      <w:r>
        <w:tab/>
      </w:r>
      <w:r>
        <w:fldChar w:fldCharType="begin"/>
      </w:r>
      <w:r>
        <w:instrText xml:space="preserve"> PAGEREF _Toc13141 </w:instrText>
      </w:r>
      <w:r>
        <w:fldChar w:fldCharType="separate"/>
      </w:r>
      <w:r>
        <w:t>12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_Toc22320 </w:instrText>
      </w:r>
      <w:r>
        <w:rPr>
          <w:rFonts w:hint="eastAsia" w:ascii="黑体" w:hAnsi="黑体" w:eastAsia="黑体"/>
          <w:szCs w:val="32"/>
        </w:rPr>
        <w:fldChar w:fldCharType="separate"/>
      </w:r>
      <w:r>
        <w:rPr>
          <w:rFonts w:hint="eastAsia"/>
          <w:lang w:val="en-US" w:eastAsia="en-US"/>
        </w:rPr>
        <w:t>二、响应文件说明</w:t>
      </w:r>
      <w:r>
        <w:tab/>
      </w:r>
      <w:r>
        <w:fldChar w:fldCharType="begin"/>
      </w:r>
      <w:r>
        <w:instrText xml:space="preserve"> PAGEREF _Toc22320 </w:instrText>
      </w:r>
      <w:r>
        <w:fldChar w:fldCharType="separate"/>
      </w:r>
      <w:r>
        <w:t>12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_Toc10105 </w:instrText>
      </w:r>
      <w:r>
        <w:rPr>
          <w:rFonts w:hint="eastAsia" w:ascii="黑体" w:hAnsi="黑体" w:eastAsia="黑体"/>
          <w:szCs w:val="32"/>
        </w:rPr>
        <w:fldChar w:fldCharType="separate"/>
      </w:r>
      <w:r>
        <w:rPr>
          <w:rFonts w:hint="eastAsia"/>
          <w:lang w:val="en-US" w:eastAsia="en-US"/>
        </w:rPr>
        <w:t>4.响应文件的构成</w:t>
      </w:r>
      <w:r>
        <w:tab/>
      </w:r>
      <w:r>
        <w:fldChar w:fldCharType="begin"/>
      </w:r>
      <w:r>
        <w:instrText xml:space="preserve"> PAGEREF _Toc10105 </w:instrText>
      </w:r>
      <w:r>
        <w:fldChar w:fldCharType="separate"/>
      </w:r>
      <w:r>
        <w:t>12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_Toc9988 </w:instrText>
      </w:r>
      <w:r>
        <w:rPr>
          <w:rFonts w:hint="eastAsia" w:ascii="黑体" w:hAnsi="黑体" w:eastAsia="黑体"/>
          <w:szCs w:val="32"/>
        </w:rPr>
        <w:fldChar w:fldCharType="separate"/>
      </w:r>
      <w:r>
        <w:rPr>
          <w:rFonts w:hint="eastAsia"/>
          <w:lang w:val="en-US" w:eastAsia="en-US"/>
        </w:rPr>
        <w:t>5.竞争性磋商文件、采购活动和成交结果的质疑</w:t>
      </w:r>
      <w:r>
        <w:tab/>
      </w:r>
      <w:r>
        <w:fldChar w:fldCharType="begin"/>
      </w:r>
      <w:r>
        <w:instrText xml:space="preserve"> PAGEREF _Toc9988 </w:instrText>
      </w:r>
      <w:r>
        <w:fldChar w:fldCharType="separate"/>
      </w:r>
      <w:r>
        <w:t>12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_Toc11101 </w:instrText>
      </w:r>
      <w:r>
        <w:rPr>
          <w:rFonts w:hint="eastAsia" w:ascii="黑体" w:hAnsi="黑体" w:eastAsia="黑体"/>
          <w:szCs w:val="32"/>
        </w:rPr>
        <w:fldChar w:fldCharType="separate"/>
      </w:r>
      <w:r>
        <w:rPr>
          <w:rFonts w:hint="eastAsia"/>
          <w:lang w:val="en-US" w:eastAsia="en-US"/>
        </w:rPr>
        <w:t>6.竞争性磋商文件的澄清或修改</w:t>
      </w:r>
      <w:r>
        <w:tab/>
      </w:r>
      <w:r>
        <w:fldChar w:fldCharType="begin"/>
      </w:r>
      <w:r>
        <w:instrText xml:space="preserve"> PAGEREF _Toc11101 </w:instrText>
      </w:r>
      <w:r>
        <w:fldChar w:fldCharType="separate"/>
      </w:r>
      <w:r>
        <w:t>13</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_Toc22739 </w:instrText>
      </w:r>
      <w:r>
        <w:rPr>
          <w:rFonts w:hint="eastAsia" w:ascii="黑体" w:hAnsi="黑体" w:eastAsia="黑体"/>
          <w:szCs w:val="32"/>
        </w:rPr>
        <w:fldChar w:fldCharType="separate"/>
      </w:r>
      <w:r>
        <w:rPr>
          <w:rFonts w:hint="eastAsia" w:asciiTheme="majorEastAsia" w:hAnsiTheme="majorEastAsia" w:eastAsiaTheme="majorEastAsia" w:cstheme="majorEastAsia"/>
          <w:bCs/>
          <w:kern w:val="0"/>
          <w:szCs w:val="44"/>
          <w:lang w:val="en-US" w:eastAsia="en-US" w:bidi="ar-SA"/>
        </w:rPr>
        <w:t>三、响应文件的编制</w:t>
      </w:r>
      <w:r>
        <w:tab/>
      </w:r>
      <w:r>
        <w:fldChar w:fldCharType="begin"/>
      </w:r>
      <w:r>
        <w:instrText xml:space="preserve"> PAGEREF _Toc22739 </w:instrText>
      </w:r>
      <w:r>
        <w:fldChar w:fldCharType="separate"/>
      </w:r>
      <w:r>
        <w:t>13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_Toc5790 </w:instrText>
      </w:r>
      <w:r>
        <w:rPr>
          <w:rFonts w:hint="eastAsia" w:ascii="黑体" w:hAnsi="黑体" w:eastAsia="黑体"/>
          <w:szCs w:val="32"/>
        </w:rPr>
        <w:fldChar w:fldCharType="separate"/>
      </w:r>
      <w:r>
        <w:rPr>
          <w:rFonts w:hint="eastAsia"/>
          <w:lang w:val="en-US" w:eastAsia="en-US"/>
        </w:rPr>
        <w:t>7.响应文件的语言及度量衡单位</w:t>
      </w:r>
      <w:r>
        <w:tab/>
      </w:r>
      <w:r>
        <w:fldChar w:fldCharType="begin"/>
      </w:r>
      <w:r>
        <w:instrText xml:space="preserve"> PAGEREF _Toc5790 </w:instrText>
      </w:r>
      <w:r>
        <w:fldChar w:fldCharType="separate"/>
      </w:r>
      <w:r>
        <w:t>13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_Toc27051 </w:instrText>
      </w:r>
      <w:r>
        <w:rPr>
          <w:rFonts w:hint="eastAsia" w:ascii="黑体" w:hAnsi="黑体" w:eastAsia="黑体"/>
          <w:szCs w:val="32"/>
        </w:rPr>
        <w:fldChar w:fldCharType="separate"/>
      </w:r>
      <w:r>
        <w:rPr>
          <w:rFonts w:hint="eastAsia"/>
          <w:lang w:val="en-US" w:eastAsia="zh-CN"/>
        </w:rPr>
        <w:t>8.</w:t>
      </w:r>
      <w:r>
        <w:rPr>
          <w:rFonts w:hint="eastAsia"/>
          <w:lang w:val="en-US" w:eastAsia="en-US"/>
        </w:rPr>
        <w:t>磋商报价及币</w:t>
      </w:r>
      <w:r>
        <w:tab/>
      </w:r>
      <w:r>
        <w:fldChar w:fldCharType="begin"/>
      </w:r>
      <w:r>
        <w:instrText xml:space="preserve"> PAGEREF _Toc27051 </w:instrText>
      </w:r>
      <w:r>
        <w:fldChar w:fldCharType="separate"/>
      </w:r>
      <w:r>
        <w:t>13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_Toc28263 </w:instrText>
      </w:r>
      <w:r>
        <w:rPr>
          <w:rFonts w:hint="eastAsia" w:ascii="黑体" w:hAnsi="黑体" w:eastAsia="黑体"/>
          <w:szCs w:val="32"/>
        </w:rPr>
        <w:fldChar w:fldCharType="separate"/>
      </w:r>
      <w:r>
        <w:rPr>
          <w:rFonts w:hint="eastAsia"/>
          <w:lang w:val="en-US" w:eastAsia="zh-CN"/>
        </w:rPr>
        <w:t>9</w:t>
      </w:r>
      <w:r>
        <w:rPr>
          <w:rFonts w:hint="eastAsia"/>
          <w:lang w:val="en-US" w:eastAsia="en-US"/>
        </w:rPr>
        <w:t>磋商保证金</w:t>
      </w:r>
      <w:r>
        <w:tab/>
      </w:r>
      <w:r>
        <w:fldChar w:fldCharType="begin"/>
      </w:r>
      <w:r>
        <w:instrText xml:space="preserve"> PAGEREF _Toc28263 </w:instrText>
      </w:r>
      <w:r>
        <w:fldChar w:fldCharType="separate"/>
      </w:r>
      <w:r>
        <w:t>14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_Toc15611 </w:instrText>
      </w:r>
      <w:r>
        <w:rPr>
          <w:rFonts w:hint="eastAsia" w:ascii="黑体" w:hAnsi="黑体" w:eastAsia="黑体"/>
          <w:szCs w:val="32"/>
        </w:rPr>
        <w:fldChar w:fldCharType="separate"/>
      </w:r>
      <w:r>
        <w:rPr>
          <w:rFonts w:hint="eastAsia"/>
          <w:lang w:val="en-US" w:eastAsia="en-US"/>
        </w:rPr>
        <w:t>10.磋商有效期</w:t>
      </w:r>
      <w:r>
        <w:tab/>
      </w:r>
      <w:r>
        <w:fldChar w:fldCharType="begin"/>
      </w:r>
      <w:r>
        <w:instrText xml:space="preserve"> PAGEREF _Toc15611 </w:instrText>
      </w:r>
      <w:r>
        <w:fldChar w:fldCharType="separate"/>
      </w:r>
      <w:r>
        <w:t>14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_Toc24226 </w:instrText>
      </w:r>
      <w:r>
        <w:rPr>
          <w:rFonts w:hint="eastAsia" w:ascii="黑体" w:hAnsi="黑体" w:eastAsia="黑体"/>
          <w:szCs w:val="32"/>
        </w:rPr>
        <w:fldChar w:fldCharType="separate"/>
      </w:r>
      <w:r>
        <w:rPr>
          <w:rFonts w:hint="eastAsia"/>
          <w:lang w:val="en-US" w:eastAsia="en-US"/>
        </w:rPr>
        <w:t>11.响应文件构成</w:t>
      </w:r>
      <w:r>
        <w:tab/>
      </w:r>
      <w:r>
        <w:fldChar w:fldCharType="begin"/>
      </w:r>
      <w:r>
        <w:instrText xml:space="preserve"> PAGEREF _Toc24226 </w:instrText>
      </w:r>
      <w:r>
        <w:fldChar w:fldCharType="separate"/>
      </w:r>
      <w:r>
        <w:t>15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_Toc1806 </w:instrText>
      </w:r>
      <w:r>
        <w:rPr>
          <w:rFonts w:hint="eastAsia" w:ascii="黑体" w:hAnsi="黑体" w:eastAsia="黑体"/>
          <w:szCs w:val="32"/>
        </w:rPr>
        <w:fldChar w:fldCharType="separate"/>
      </w:r>
      <w:r>
        <w:rPr>
          <w:rFonts w:hint="eastAsia"/>
          <w:lang w:val="en-US" w:eastAsia="en-US"/>
        </w:rPr>
        <w:t>12.响应文件的编制要求</w:t>
      </w:r>
      <w:r>
        <w:tab/>
      </w:r>
      <w:r>
        <w:fldChar w:fldCharType="begin"/>
      </w:r>
      <w:r>
        <w:instrText xml:space="preserve"> PAGEREF _Toc1806 </w:instrText>
      </w:r>
      <w:r>
        <w:fldChar w:fldCharType="separate"/>
      </w:r>
      <w:r>
        <w:t>16</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_Toc20131 </w:instrText>
      </w:r>
      <w:r>
        <w:rPr>
          <w:rFonts w:hint="eastAsia" w:ascii="黑体" w:hAnsi="黑体" w:eastAsia="黑体"/>
          <w:szCs w:val="32"/>
        </w:rPr>
        <w:fldChar w:fldCharType="separate"/>
      </w:r>
      <w:r>
        <w:rPr>
          <w:rFonts w:hint="eastAsia"/>
          <w:lang w:val="en-US" w:eastAsia="zh-CN"/>
        </w:rPr>
        <w:t>四、响应文件的提交</w:t>
      </w:r>
      <w:r>
        <w:tab/>
      </w:r>
      <w:r>
        <w:fldChar w:fldCharType="begin"/>
      </w:r>
      <w:r>
        <w:instrText xml:space="preserve"> PAGEREF _Toc20131 </w:instrText>
      </w:r>
      <w:r>
        <w:fldChar w:fldCharType="separate"/>
      </w:r>
      <w:r>
        <w:t>16</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_Toc26889 </w:instrText>
      </w:r>
      <w:r>
        <w:rPr>
          <w:rFonts w:hint="eastAsia" w:ascii="黑体" w:hAnsi="黑体" w:eastAsia="黑体"/>
          <w:szCs w:val="32"/>
        </w:rPr>
        <w:fldChar w:fldCharType="separate"/>
      </w:r>
      <w:r>
        <w:rPr>
          <w:rFonts w:hint="eastAsia"/>
          <w:lang w:val="en-US" w:eastAsia="en-US"/>
        </w:rPr>
        <w:t>13.响应文件的密封和标记</w:t>
      </w:r>
      <w:r>
        <w:tab/>
      </w:r>
      <w:r>
        <w:fldChar w:fldCharType="begin"/>
      </w:r>
      <w:r>
        <w:instrText xml:space="preserve"> PAGEREF _Toc26889 </w:instrText>
      </w:r>
      <w:r>
        <w:fldChar w:fldCharType="separate"/>
      </w:r>
      <w:r>
        <w:t>16</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_Toc27480 </w:instrText>
      </w:r>
      <w:r>
        <w:rPr>
          <w:rFonts w:hint="eastAsia" w:ascii="黑体" w:hAnsi="黑体" w:eastAsia="黑体"/>
          <w:szCs w:val="32"/>
        </w:rPr>
        <w:fldChar w:fldCharType="separate"/>
      </w:r>
      <w:r>
        <w:rPr>
          <w:rFonts w:hint="eastAsia"/>
          <w:lang w:val="en-US" w:eastAsia="en-US"/>
        </w:rPr>
        <w:t>14.提交响应文件的时间、地点、方式</w:t>
      </w:r>
      <w:r>
        <w:tab/>
      </w:r>
      <w:r>
        <w:fldChar w:fldCharType="begin"/>
      </w:r>
      <w:r>
        <w:instrText xml:space="preserve"> PAGEREF _Toc27480 </w:instrText>
      </w:r>
      <w:r>
        <w:fldChar w:fldCharType="separate"/>
      </w:r>
      <w:r>
        <w:t>16</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_Toc16660 </w:instrText>
      </w:r>
      <w:r>
        <w:rPr>
          <w:rFonts w:hint="eastAsia" w:ascii="黑体" w:hAnsi="黑体" w:eastAsia="黑体"/>
          <w:szCs w:val="32"/>
        </w:rPr>
        <w:fldChar w:fldCharType="separate"/>
      </w:r>
      <w:r>
        <w:rPr>
          <w:rFonts w:hint="eastAsia"/>
          <w:lang w:val="en-US" w:eastAsia="en-US"/>
        </w:rPr>
        <w:t>15.响应文件的补充、修改或者撤回</w:t>
      </w:r>
      <w:r>
        <w:tab/>
      </w:r>
      <w:r>
        <w:fldChar w:fldCharType="begin"/>
      </w:r>
      <w:r>
        <w:instrText xml:space="preserve"> PAGEREF _Toc16660 </w:instrText>
      </w:r>
      <w:r>
        <w:fldChar w:fldCharType="separate"/>
      </w:r>
      <w:r>
        <w:t>17</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_Toc30296 </w:instrText>
      </w:r>
      <w:r>
        <w:rPr>
          <w:rFonts w:hint="eastAsia" w:ascii="黑体" w:hAnsi="黑体" w:eastAsia="黑体"/>
          <w:szCs w:val="32"/>
        </w:rPr>
        <w:fldChar w:fldCharType="separate"/>
      </w:r>
      <w:r>
        <w:rPr>
          <w:rFonts w:hint="eastAsia" w:asciiTheme="minorEastAsia" w:hAnsiTheme="minorEastAsia" w:eastAsiaTheme="minorEastAsia" w:cstheme="minorEastAsia"/>
          <w:spacing w:val="1"/>
          <w:szCs w:val="24"/>
          <w:lang w:val="en-US" w:eastAsia="en-US" w:bidi="ar-SA"/>
        </w:rPr>
        <w:t>五、磋商过程</w:t>
      </w:r>
      <w:r>
        <w:tab/>
      </w:r>
      <w:r>
        <w:fldChar w:fldCharType="begin"/>
      </w:r>
      <w:r>
        <w:instrText xml:space="preserve"> PAGEREF _Toc30296 </w:instrText>
      </w:r>
      <w:r>
        <w:fldChar w:fldCharType="separate"/>
      </w:r>
      <w:r>
        <w:t>17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_Toc3542 </w:instrText>
      </w:r>
      <w:r>
        <w:rPr>
          <w:rFonts w:hint="eastAsia" w:ascii="黑体" w:hAnsi="黑体" w:eastAsia="黑体"/>
          <w:szCs w:val="32"/>
        </w:rPr>
        <w:fldChar w:fldCharType="separate"/>
      </w:r>
      <w:r>
        <w:rPr>
          <w:rFonts w:hint="eastAsia"/>
          <w:lang w:val="en-US" w:eastAsia="en-US"/>
        </w:rPr>
        <w:t>16.磋商</w:t>
      </w:r>
      <w:r>
        <w:tab/>
      </w:r>
      <w:r>
        <w:fldChar w:fldCharType="begin"/>
      </w:r>
      <w:r>
        <w:instrText xml:space="preserve"> PAGEREF _Toc3542 </w:instrText>
      </w:r>
      <w:r>
        <w:fldChar w:fldCharType="separate"/>
      </w:r>
      <w:r>
        <w:t>17</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_Toc20843 </w:instrText>
      </w:r>
      <w:r>
        <w:rPr>
          <w:rFonts w:hint="eastAsia" w:ascii="黑体" w:hAnsi="黑体" w:eastAsia="黑体"/>
          <w:szCs w:val="32"/>
        </w:rPr>
        <w:fldChar w:fldCharType="separate"/>
      </w:r>
      <w:r>
        <w:rPr>
          <w:rFonts w:hint="eastAsia" w:asciiTheme="minorEastAsia" w:hAnsiTheme="minorEastAsia" w:eastAsiaTheme="minorEastAsia" w:cstheme="minorEastAsia"/>
          <w:spacing w:val="1"/>
          <w:szCs w:val="24"/>
          <w:lang w:val="en-US" w:eastAsia="en-US" w:bidi="ar-SA"/>
        </w:rPr>
        <w:t>六、磋商程序及方法</w:t>
      </w:r>
      <w:r>
        <w:tab/>
      </w:r>
      <w:r>
        <w:fldChar w:fldCharType="begin"/>
      </w:r>
      <w:r>
        <w:instrText xml:space="preserve"> PAGEREF _Toc20843 </w:instrText>
      </w:r>
      <w:r>
        <w:fldChar w:fldCharType="separate"/>
      </w:r>
      <w:r>
        <w:t>17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_Toc6321 </w:instrText>
      </w:r>
      <w:r>
        <w:rPr>
          <w:rFonts w:hint="eastAsia" w:ascii="黑体" w:hAnsi="黑体" w:eastAsia="黑体"/>
          <w:szCs w:val="32"/>
        </w:rPr>
        <w:fldChar w:fldCharType="separate"/>
      </w:r>
      <w:r>
        <w:rPr>
          <w:rFonts w:hint="eastAsia"/>
          <w:lang w:val="en-US" w:eastAsia="en-US"/>
        </w:rPr>
        <w:t>17.磋商小组</w:t>
      </w:r>
      <w:r>
        <w:tab/>
      </w:r>
      <w:r>
        <w:fldChar w:fldCharType="begin"/>
      </w:r>
      <w:r>
        <w:instrText xml:space="preserve"> PAGEREF _Toc6321 </w:instrText>
      </w:r>
      <w:r>
        <w:fldChar w:fldCharType="separate"/>
      </w:r>
      <w:r>
        <w:t>18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_Toc15424 </w:instrText>
      </w:r>
      <w:r>
        <w:rPr>
          <w:rFonts w:hint="eastAsia" w:ascii="黑体" w:hAnsi="黑体" w:eastAsia="黑体"/>
          <w:szCs w:val="32"/>
        </w:rPr>
        <w:fldChar w:fldCharType="separate"/>
      </w:r>
      <w:r>
        <w:rPr>
          <w:rFonts w:hint="eastAsia"/>
          <w:lang w:val="en-US" w:eastAsia="en-US"/>
        </w:rPr>
        <w:t>18.磋商程序</w:t>
      </w:r>
      <w:r>
        <w:tab/>
      </w:r>
      <w:r>
        <w:fldChar w:fldCharType="begin"/>
      </w:r>
      <w:r>
        <w:instrText xml:space="preserve"> PAGEREF _Toc15424 </w:instrText>
      </w:r>
      <w:r>
        <w:fldChar w:fldCharType="separate"/>
      </w:r>
      <w:r>
        <w:t>18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_Toc5919 </w:instrText>
      </w:r>
      <w:r>
        <w:rPr>
          <w:rFonts w:hint="eastAsia" w:ascii="黑体" w:hAnsi="黑体" w:eastAsia="黑体"/>
          <w:szCs w:val="32"/>
        </w:rPr>
        <w:fldChar w:fldCharType="separate"/>
      </w:r>
      <w:r>
        <w:rPr>
          <w:rFonts w:hint="eastAsia"/>
          <w:lang w:val="en-US" w:eastAsia="zh-CN"/>
        </w:rPr>
        <w:t>19.</w:t>
      </w:r>
      <w:r>
        <w:rPr>
          <w:rFonts w:hint="eastAsia"/>
          <w:lang w:val="en-US" w:eastAsia="en-US"/>
        </w:rPr>
        <w:t>评审办法</w:t>
      </w:r>
      <w:r>
        <w:tab/>
      </w:r>
      <w:r>
        <w:fldChar w:fldCharType="begin"/>
      </w:r>
      <w:r>
        <w:instrText xml:space="preserve"> PAGEREF _Toc5919 </w:instrText>
      </w:r>
      <w:r>
        <w:fldChar w:fldCharType="separate"/>
      </w:r>
      <w:r>
        <w:t>21</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_Toc24777 </w:instrText>
      </w:r>
      <w:r>
        <w:rPr>
          <w:rFonts w:hint="eastAsia" w:ascii="黑体" w:hAnsi="黑体" w:eastAsia="黑体"/>
          <w:szCs w:val="32"/>
        </w:rPr>
        <w:fldChar w:fldCharType="separate"/>
      </w:r>
      <w:r>
        <w:rPr>
          <w:rFonts w:hint="eastAsia"/>
        </w:rPr>
        <w:t>七、确定成交供应商</w:t>
      </w:r>
      <w:r>
        <w:tab/>
      </w:r>
      <w:r>
        <w:fldChar w:fldCharType="begin"/>
      </w:r>
      <w:r>
        <w:instrText xml:space="preserve"> PAGEREF _Toc24777 </w:instrText>
      </w:r>
      <w:r>
        <w:fldChar w:fldCharType="separate"/>
      </w:r>
      <w:r>
        <w:t>23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_Toc13354 </w:instrText>
      </w:r>
      <w:r>
        <w:rPr>
          <w:rFonts w:hint="eastAsia" w:ascii="黑体" w:hAnsi="黑体" w:eastAsia="黑体"/>
          <w:szCs w:val="32"/>
        </w:rPr>
        <w:fldChar w:fldCharType="separate"/>
      </w:r>
      <w:r>
        <w:rPr>
          <w:rFonts w:hint="eastAsia"/>
        </w:rPr>
        <w:t>20.推荐并确定成交供应商</w:t>
      </w:r>
      <w:r>
        <w:tab/>
      </w:r>
      <w:r>
        <w:fldChar w:fldCharType="begin"/>
      </w:r>
      <w:r>
        <w:instrText xml:space="preserve"> PAGEREF _Toc13354 </w:instrText>
      </w:r>
      <w:r>
        <w:fldChar w:fldCharType="separate"/>
      </w:r>
      <w:r>
        <w:t>23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_Toc11100 </w:instrText>
      </w:r>
      <w:r>
        <w:rPr>
          <w:rFonts w:hint="eastAsia" w:ascii="黑体" w:hAnsi="黑体" w:eastAsia="黑体"/>
          <w:szCs w:val="32"/>
        </w:rPr>
        <w:fldChar w:fldCharType="separate"/>
      </w:r>
      <w:r>
        <w:rPr>
          <w:rFonts w:hint="eastAsia"/>
        </w:rPr>
        <w:t>21.成交通知</w:t>
      </w:r>
      <w:r>
        <w:tab/>
      </w:r>
      <w:r>
        <w:fldChar w:fldCharType="begin"/>
      </w:r>
      <w:r>
        <w:instrText xml:space="preserve"> PAGEREF _Toc11100 </w:instrText>
      </w:r>
      <w:r>
        <w:fldChar w:fldCharType="separate"/>
      </w:r>
      <w:r>
        <w:t>23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_Toc10868 </w:instrText>
      </w:r>
      <w:r>
        <w:rPr>
          <w:rFonts w:hint="eastAsia" w:ascii="黑体" w:hAnsi="黑体" w:eastAsia="黑体"/>
          <w:szCs w:val="32"/>
        </w:rPr>
        <w:fldChar w:fldCharType="separate"/>
      </w:r>
      <w:r>
        <w:rPr>
          <w:rFonts w:hint="eastAsia"/>
        </w:rPr>
        <w:t>八、授予合同</w:t>
      </w:r>
      <w:r>
        <w:tab/>
      </w:r>
      <w:r>
        <w:fldChar w:fldCharType="begin"/>
      </w:r>
      <w:r>
        <w:instrText xml:space="preserve"> PAGEREF _Toc10868 </w:instrText>
      </w:r>
      <w:r>
        <w:fldChar w:fldCharType="separate"/>
      </w:r>
      <w:r>
        <w:t>24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_Toc5397 </w:instrText>
      </w:r>
      <w:r>
        <w:rPr>
          <w:rFonts w:hint="eastAsia" w:ascii="黑体" w:hAnsi="黑体" w:eastAsia="黑体"/>
          <w:szCs w:val="32"/>
        </w:rPr>
        <w:fldChar w:fldCharType="separate"/>
      </w:r>
      <w:r>
        <w:rPr>
          <w:rFonts w:hint="eastAsia"/>
        </w:rPr>
        <w:t>22.签订合同</w:t>
      </w:r>
      <w:r>
        <w:tab/>
      </w:r>
      <w:r>
        <w:fldChar w:fldCharType="begin"/>
      </w:r>
      <w:r>
        <w:instrText xml:space="preserve"> PAGEREF _Toc5397 </w:instrText>
      </w:r>
      <w:r>
        <w:fldChar w:fldCharType="separate"/>
      </w:r>
      <w:r>
        <w:t>24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_Toc7078 </w:instrText>
      </w:r>
      <w:r>
        <w:rPr>
          <w:rFonts w:hint="eastAsia" w:ascii="黑体" w:hAnsi="黑体" w:eastAsia="黑体"/>
          <w:szCs w:val="32"/>
        </w:rPr>
        <w:fldChar w:fldCharType="separate"/>
      </w:r>
      <w:r>
        <w:rPr>
          <w:rFonts w:hint="eastAsia"/>
        </w:rPr>
        <w:t>九、磋商活动终止</w:t>
      </w:r>
      <w:r>
        <w:tab/>
      </w:r>
      <w:r>
        <w:fldChar w:fldCharType="begin"/>
      </w:r>
      <w:r>
        <w:instrText xml:space="preserve"> PAGEREF _Toc7078 </w:instrText>
      </w:r>
      <w:r>
        <w:fldChar w:fldCharType="separate"/>
      </w:r>
      <w:r>
        <w:t>24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_Toc31242 </w:instrText>
      </w:r>
      <w:r>
        <w:rPr>
          <w:rFonts w:hint="eastAsia" w:ascii="黑体" w:hAnsi="黑体" w:eastAsia="黑体"/>
          <w:szCs w:val="32"/>
        </w:rPr>
        <w:fldChar w:fldCharType="separate"/>
      </w:r>
      <w:r>
        <w:rPr>
          <w:rFonts w:hint="eastAsia"/>
        </w:rPr>
        <w:t>23. 终止情形</w:t>
      </w:r>
      <w:r>
        <w:tab/>
      </w:r>
      <w:r>
        <w:fldChar w:fldCharType="begin"/>
      </w:r>
      <w:r>
        <w:instrText xml:space="preserve"> PAGEREF _Toc31242 </w:instrText>
      </w:r>
      <w:r>
        <w:fldChar w:fldCharType="separate"/>
      </w:r>
      <w:r>
        <w:t>24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_Toc30790 </w:instrText>
      </w:r>
      <w:r>
        <w:rPr>
          <w:rFonts w:hint="eastAsia" w:ascii="黑体" w:hAnsi="黑体" w:eastAsia="黑体"/>
          <w:szCs w:val="32"/>
        </w:rPr>
        <w:fldChar w:fldCharType="separate"/>
      </w:r>
      <w:r>
        <w:rPr>
          <w:rFonts w:hint="eastAsia"/>
        </w:rPr>
        <w:t>十、处罚</w:t>
      </w:r>
      <w:r>
        <w:tab/>
      </w:r>
      <w:r>
        <w:fldChar w:fldCharType="begin"/>
      </w:r>
      <w:r>
        <w:instrText xml:space="preserve"> PAGEREF _Toc30790 </w:instrText>
      </w:r>
      <w:r>
        <w:fldChar w:fldCharType="separate"/>
      </w:r>
      <w:r>
        <w:t>24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_Toc8780 </w:instrText>
      </w:r>
      <w:r>
        <w:rPr>
          <w:rFonts w:hint="eastAsia" w:ascii="黑体" w:hAnsi="黑体" w:eastAsia="黑体"/>
          <w:szCs w:val="32"/>
        </w:rPr>
        <w:fldChar w:fldCharType="separate"/>
      </w:r>
      <w:r>
        <w:rPr>
          <w:rFonts w:hint="eastAsia"/>
        </w:rPr>
        <w:t>24.处罚情形</w:t>
      </w:r>
      <w:r>
        <w:tab/>
      </w:r>
      <w:r>
        <w:fldChar w:fldCharType="begin"/>
      </w:r>
      <w:r>
        <w:instrText xml:space="preserve"> PAGEREF _Toc8780 </w:instrText>
      </w:r>
      <w:r>
        <w:fldChar w:fldCharType="separate"/>
      </w:r>
      <w:r>
        <w:t>24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_Toc9022 </w:instrText>
      </w:r>
      <w:r>
        <w:rPr>
          <w:rFonts w:hint="eastAsia" w:ascii="黑体" w:hAnsi="黑体" w:eastAsia="黑体"/>
          <w:szCs w:val="32"/>
        </w:rPr>
        <w:fldChar w:fldCharType="separate"/>
      </w:r>
      <w:r>
        <w:rPr>
          <w:rFonts w:hint="eastAsia"/>
        </w:rPr>
        <w:t>十一、其他</w:t>
      </w:r>
      <w:r>
        <w:tab/>
      </w:r>
      <w:r>
        <w:fldChar w:fldCharType="begin"/>
      </w:r>
      <w:r>
        <w:instrText xml:space="preserve"> PAGEREF _Toc9022 </w:instrText>
      </w:r>
      <w:r>
        <w:fldChar w:fldCharType="separate"/>
      </w:r>
      <w:r>
        <w:t>25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_Toc7118 </w:instrText>
      </w:r>
      <w:r>
        <w:rPr>
          <w:rFonts w:hint="eastAsia" w:ascii="黑体" w:hAnsi="黑体" w:eastAsia="黑体"/>
          <w:szCs w:val="32"/>
        </w:rPr>
        <w:fldChar w:fldCharType="separate"/>
      </w:r>
      <w:r>
        <w:rPr>
          <w:rFonts w:hint="eastAsia"/>
        </w:rPr>
        <w:t>第四部分 青海省政府采购项目合同书范本</w:t>
      </w:r>
      <w:r>
        <w:tab/>
      </w:r>
      <w:r>
        <w:fldChar w:fldCharType="begin"/>
      </w:r>
      <w:r>
        <w:instrText xml:space="preserve"> PAGEREF _Toc7118 </w:instrText>
      </w:r>
      <w:r>
        <w:fldChar w:fldCharType="separate"/>
      </w:r>
      <w:r>
        <w:t>26</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_Toc5787 </w:instrText>
      </w:r>
      <w:r>
        <w:rPr>
          <w:rFonts w:hint="eastAsia" w:ascii="黑体" w:hAnsi="黑体" w:eastAsia="黑体"/>
          <w:szCs w:val="32"/>
        </w:rPr>
        <w:fldChar w:fldCharType="separate"/>
      </w:r>
      <w:r>
        <w:rPr>
          <w:rFonts w:hint="eastAsia" w:asciiTheme="minorEastAsia" w:hAnsiTheme="minorEastAsia" w:eastAsiaTheme="minorEastAsia" w:cstheme="minorEastAsia"/>
          <w:bCs w:val="0"/>
          <w:szCs w:val="22"/>
        </w:rPr>
        <w:t>采购人（甲方）：</w:t>
      </w:r>
      <w:r>
        <w:tab/>
      </w:r>
      <w:r>
        <w:fldChar w:fldCharType="begin"/>
      </w:r>
      <w:r>
        <w:instrText xml:space="preserve"> PAGEREF _Toc5787 </w:instrText>
      </w:r>
      <w:r>
        <w:fldChar w:fldCharType="separate"/>
      </w:r>
      <w:r>
        <w:t>27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_Toc13480 </w:instrText>
      </w:r>
      <w:r>
        <w:rPr>
          <w:rFonts w:hint="eastAsia" w:ascii="黑体" w:hAnsi="黑体" w:eastAsia="黑体"/>
          <w:szCs w:val="32"/>
        </w:rPr>
        <w:fldChar w:fldCharType="separate"/>
      </w:r>
      <w:r>
        <w:rPr>
          <w:rFonts w:hint="eastAsia" w:asciiTheme="minorEastAsia" w:hAnsiTheme="minorEastAsia" w:eastAsiaTheme="minorEastAsia" w:cstheme="minorEastAsia"/>
          <w:bCs w:val="0"/>
          <w:szCs w:val="22"/>
        </w:rPr>
        <w:t>中标人（乙方）：</w:t>
      </w:r>
      <w:r>
        <w:tab/>
      </w:r>
      <w:r>
        <w:fldChar w:fldCharType="begin"/>
      </w:r>
      <w:r>
        <w:instrText xml:space="preserve"> PAGEREF _Toc13480 </w:instrText>
      </w:r>
      <w:r>
        <w:fldChar w:fldCharType="separate"/>
      </w:r>
      <w:r>
        <w:t>27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_Toc15187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一、签订本政府采购合同的依据</w:t>
      </w:r>
      <w:r>
        <w:tab/>
      </w:r>
      <w:r>
        <w:fldChar w:fldCharType="begin"/>
      </w:r>
      <w:r>
        <w:instrText xml:space="preserve"> PAGEREF _Toc15187 </w:instrText>
      </w:r>
      <w:r>
        <w:fldChar w:fldCharType="separate"/>
      </w:r>
      <w:r>
        <w:t>27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_Toc8273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二、合同标的及金额</w:t>
      </w:r>
      <w:r>
        <w:tab/>
      </w:r>
      <w:r>
        <w:fldChar w:fldCharType="begin"/>
      </w:r>
      <w:r>
        <w:instrText xml:space="preserve"> PAGEREF _Toc8273 </w:instrText>
      </w:r>
      <w:r>
        <w:fldChar w:fldCharType="separate"/>
      </w:r>
      <w:r>
        <w:t>27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_Toc29702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三、交付时间、地点和要求</w:t>
      </w:r>
      <w:r>
        <w:tab/>
      </w:r>
      <w:r>
        <w:fldChar w:fldCharType="begin"/>
      </w:r>
      <w:r>
        <w:instrText xml:space="preserve"> PAGEREF _Toc29702 </w:instrText>
      </w:r>
      <w:r>
        <w:fldChar w:fldCharType="separate"/>
      </w:r>
      <w:r>
        <w:t>27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_Toc26564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四、付款方式</w:t>
      </w:r>
      <w:r>
        <w:tab/>
      </w:r>
      <w:r>
        <w:fldChar w:fldCharType="begin"/>
      </w:r>
      <w:r>
        <w:instrText xml:space="preserve"> PAGEREF _Toc26564 </w:instrText>
      </w:r>
      <w:r>
        <w:fldChar w:fldCharType="separate"/>
      </w:r>
      <w:r>
        <w:t>28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_Toc6948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五、合同的变更、终止与转让</w:t>
      </w:r>
      <w:r>
        <w:tab/>
      </w:r>
      <w:r>
        <w:fldChar w:fldCharType="begin"/>
      </w:r>
      <w:r>
        <w:instrText xml:space="preserve"> PAGEREF _Toc6948 </w:instrText>
      </w:r>
      <w:r>
        <w:fldChar w:fldCharType="separate"/>
      </w:r>
      <w:r>
        <w:t>28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_Toc938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六、违约责任</w:t>
      </w:r>
      <w:r>
        <w:tab/>
      </w:r>
      <w:r>
        <w:fldChar w:fldCharType="begin"/>
      </w:r>
      <w:r>
        <w:instrText xml:space="preserve"> PAGEREF _Toc938 </w:instrText>
      </w:r>
      <w:r>
        <w:fldChar w:fldCharType="separate"/>
      </w:r>
      <w:r>
        <w:t>28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_Toc30423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七、不可抗力</w:t>
      </w:r>
      <w:r>
        <w:tab/>
      </w:r>
      <w:r>
        <w:fldChar w:fldCharType="begin"/>
      </w:r>
      <w:r>
        <w:instrText xml:space="preserve"> PAGEREF _Toc30423 </w:instrText>
      </w:r>
      <w:r>
        <w:fldChar w:fldCharType="separate"/>
      </w:r>
      <w:r>
        <w:t>28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_Toc14594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八、知识产权：详见合同通用条款</w:t>
      </w:r>
      <w:r>
        <w:tab/>
      </w:r>
      <w:r>
        <w:fldChar w:fldCharType="begin"/>
      </w:r>
      <w:r>
        <w:instrText xml:space="preserve"> PAGEREF _Toc14594 </w:instrText>
      </w:r>
      <w:r>
        <w:fldChar w:fldCharType="separate"/>
      </w:r>
      <w:r>
        <w:t>28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_Toc31135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九、其他约定：</w:t>
      </w:r>
      <w:r>
        <w:tab/>
      </w:r>
      <w:r>
        <w:fldChar w:fldCharType="begin"/>
      </w:r>
      <w:r>
        <w:instrText xml:space="preserve"> PAGEREF _Toc31135 </w:instrText>
      </w:r>
      <w:r>
        <w:fldChar w:fldCharType="separate"/>
      </w:r>
      <w:r>
        <w:t>28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_Toc21469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十、合同争议解决</w:t>
      </w:r>
      <w:r>
        <w:tab/>
      </w:r>
      <w:r>
        <w:fldChar w:fldCharType="begin"/>
      </w:r>
      <w:r>
        <w:instrText xml:space="preserve"> PAGEREF _Toc21469 </w:instrText>
      </w:r>
      <w:r>
        <w:fldChar w:fldCharType="separate"/>
      </w:r>
      <w:r>
        <w:t>28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_Toc7311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十一、合同生效及其它：</w:t>
      </w:r>
      <w:r>
        <w:tab/>
      </w:r>
      <w:r>
        <w:fldChar w:fldCharType="begin"/>
      </w:r>
      <w:r>
        <w:instrText xml:space="preserve"> PAGEREF _Toc7311 </w:instrText>
      </w:r>
      <w:r>
        <w:fldChar w:fldCharType="separate"/>
      </w:r>
      <w:r>
        <w:t>28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_Toc31018 </w:instrText>
      </w:r>
      <w:r>
        <w:rPr>
          <w:rFonts w:hint="eastAsia" w:ascii="黑体" w:hAnsi="黑体" w:eastAsia="黑体"/>
          <w:szCs w:val="32"/>
        </w:rPr>
        <w:fldChar w:fldCharType="separate"/>
      </w:r>
      <w:r>
        <w:rPr>
          <w:rFonts w:hint="eastAsia"/>
          <w:lang w:val="zh-CN"/>
        </w:rPr>
        <w:t>合同通用条款</w:t>
      </w:r>
      <w:r>
        <w:tab/>
      </w:r>
      <w:r>
        <w:fldChar w:fldCharType="begin"/>
      </w:r>
      <w:r>
        <w:instrText xml:space="preserve"> PAGEREF _Toc31018 </w:instrText>
      </w:r>
      <w:r>
        <w:fldChar w:fldCharType="separate"/>
      </w:r>
      <w:r>
        <w:t>30</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_Toc18552 </w:instrText>
      </w:r>
      <w:r>
        <w:rPr>
          <w:rFonts w:hint="eastAsia" w:ascii="黑体" w:hAnsi="黑体" w:eastAsia="黑体"/>
          <w:szCs w:val="32"/>
        </w:rPr>
        <w:fldChar w:fldCharType="separate"/>
      </w:r>
      <w:r>
        <w:rPr>
          <w:rFonts w:hint="eastAsia" w:asciiTheme="minorEastAsia" w:hAnsiTheme="minorEastAsia" w:eastAsiaTheme="minorEastAsia" w:cstheme="minorEastAsia"/>
          <w:bCs/>
        </w:rPr>
        <w:t>1.</w:t>
      </w:r>
      <w:r>
        <w:rPr>
          <w:rFonts w:hint="eastAsia" w:asciiTheme="minorEastAsia" w:hAnsiTheme="minorEastAsia" w:eastAsiaTheme="minorEastAsia" w:cstheme="minorEastAsia"/>
          <w:bCs/>
          <w:lang w:val="zh-CN"/>
        </w:rPr>
        <w:t>定义</w:t>
      </w:r>
      <w:r>
        <w:tab/>
      </w:r>
      <w:r>
        <w:fldChar w:fldCharType="begin"/>
      </w:r>
      <w:r>
        <w:instrText xml:space="preserve"> PAGEREF _Toc18552 </w:instrText>
      </w:r>
      <w:r>
        <w:fldChar w:fldCharType="separate"/>
      </w:r>
      <w:r>
        <w:t>30</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_Toc20385 </w:instrText>
      </w:r>
      <w:r>
        <w:rPr>
          <w:rFonts w:hint="eastAsia" w:ascii="黑体" w:hAnsi="黑体" w:eastAsia="黑体"/>
          <w:szCs w:val="32"/>
        </w:rPr>
        <w:fldChar w:fldCharType="separate"/>
      </w:r>
      <w:r>
        <w:rPr>
          <w:rFonts w:hint="eastAsia" w:asciiTheme="minorEastAsia" w:hAnsiTheme="minorEastAsia" w:eastAsiaTheme="minorEastAsia" w:cstheme="minorEastAsia"/>
          <w:bCs/>
        </w:rPr>
        <w:t>2.</w:t>
      </w:r>
      <w:r>
        <w:rPr>
          <w:rFonts w:hint="eastAsia" w:asciiTheme="minorEastAsia" w:hAnsiTheme="minorEastAsia" w:eastAsiaTheme="minorEastAsia" w:cstheme="minorEastAsia"/>
          <w:bCs/>
          <w:lang w:val="zh-CN"/>
        </w:rPr>
        <w:t>技术规格要求</w:t>
      </w:r>
      <w:r>
        <w:tab/>
      </w:r>
      <w:r>
        <w:fldChar w:fldCharType="begin"/>
      </w:r>
      <w:r>
        <w:instrText xml:space="preserve"> PAGEREF _Toc20385 </w:instrText>
      </w:r>
      <w:r>
        <w:fldChar w:fldCharType="separate"/>
      </w:r>
      <w:r>
        <w:t>30</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_Toc11671 </w:instrText>
      </w:r>
      <w:r>
        <w:rPr>
          <w:rFonts w:hint="eastAsia" w:ascii="黑体" w:hAnsi="黑体" w:eastAsia="黑体"/>
          <w:szCs w:val="32"/>
        </w:rPr>
        <w:fldChar w:fldCharType="separate"/>
      </w:r>
      <w:r>
        <w:rPr>
          <w:rFonts w:hint="eastAsia" w:asciiTheme="minorEastAsia" w:hAnsiTheme="minorEastAsia" w:eastAsiaTheme="minorEastAsia" w:cstheme="minorEastAsia"/>
          <w:bCs/>
        </w:rPr>
        <w:t>3.</w:t>
      </w:r>
      <w:r>
        <w:rPr>
          <w:rFonts w:hint="eastAsia" w:asciiTheme="minorEastAsia" w:hAnsiTheme="minorEastAsia" w:eastAsiaTheme="minorEastAsia" w:cstheme="minorEastAsia"/>
          <w:bCs/>
          <w:lang w:val="zh-CN"/>
        </w:rPr>
        <w:t>合同范围</w:t>
      </w:r>
      <w:r>
        <w:tab/>
      </w:r>
      <w:r>
        <w:fldChar w:fldCharType="begin"/>
      </w:r>
      <w:r>
        <w:instrText xml:space="preserve"> PAGEREF _Toc11671 </w:instrText>
      </w:r>
      <w:r>
        <w:fldChar w:fldCharType="separate"/>
      </w:r>
      <w:r>
        <w:t>31</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_Toc339 </w:instrText>
      </w:r>
      <w:r>
        <w:rPr>
          <w:rFonts w:hint="eastAsia" w:ascii="黑体" w:hAnsi="黑体" w:eastAsia="黑体"/>
          <w:szCs w:val="32"/>
        </w:rPr>
        <w:fldChar w:fldCharType="separate"/>
      </w:r>
      <w:r>
        <w:rPr>
          <w:rFonts w:hint="eastAsia" w:asciiTheme="minorEastAsia" w:hAnsiTheme="minorEastAsia" w:eastAsiaTheme="minorEastAsia" w:cstheme="minorEastAsia"/>
          <w:bCs/>
        </w:rPr>
        <w:t>4.</w:t>
      </w:r>
      <w:r>
        <w:rPr>
          <w:rFonts w:hint="eastAsia" w:asciiTheme="minorEastAsia" w:hAnsiTheme="minorEastAsia" w:eastAsiaTheme="minorEastAsia" w:cstheme="minorEastAsia"/>
          <w:bCs/>
          <w:lang w:val="zh-CN"/>
        </w:rPr>
        <w:t>合同文件和资料</w:t>
      </w:r>
      <w:r>
        <w:tab/>
      </w:r>
      <w:r>
        <w:fldChar w:fldCharType="begin"/>
      </w:r>
      <w:r>
        <w:instrText xml:space="preserve"> PAGEREF _Toc339 </w:instrText>
      </w:r>
      <w:r>
        <w:fldChar w:fldCharType="separate"/>
      </w:r>
      <w:r>
        <w:t>31</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_Toc9593 </w:instrText>
      </w:r>
      <w:r>
        <w:rPr>
          <w:rFonts w:hint="eastAsia" w:ascii="黑体" w:hAnsi="黑体" w:eastAsia="黑体"/>
          <w:szCs w:val="32"/>
        </w:rPr>
        <w:fldChar w:fldCharType="separate"/>
      </w:r>
      <w:r>
        <w:rPr>
          <w:rFonts w:hint="eastAsia" w:asciiTheme="minorEastAsia" w:hAnsiTheme="minorEastAsia" w:eastAsiaTheme="minorEastAsia" w:cstheme="minorEastAsia"/>
          <w:bCs/>
        </w:rPr>
        <w:t>5.</w:t>
      </w:r>
      <w:r>
        <w:rPr>
          <w:rFonts w:hint="eastAsia" w:asciiTheme="minorEastAsia" w:hAnsiTheme="minorEastAsia" w:eastAsiaTheme="minorEastAsia" w:cstheme="minorEastAsia"/>
          <w:bCs/>
          <w:lang w:val="zh-CN"/>
        </w:rPr>
        <w:t>知识产权</w:t>
      </w:r>
      <w:r>
        <w:tab/>
      </w:r>
      <w:r>
        <w:fldChar w:fldCharType="begin"/>
      </w:r>
      <w:r>
        <w:instrText xml:space="preserve"> PAGEREF _Toc9593 </w:instrText>
      </w:r>
      <w:r>
        <w:fldChar w:fldCharType="separate"/>
      </w:r>
      <w:r>
        <w:t>31</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_Toc25191 </w:instrText>
      </w:r>
      <w:r>
        <w:rPr>
          <w:rFonts w:hint="eastAsia" w:ascii="黑体" w:hAnsi="黑体" w:eastAsia="黑体"/>
          <w:szCs w:val="32"/>
        </w:rPr>
        <w:fldChar w:fldCharType="separate"/>
      </w:r>
      <w:r>
        <w:rPr>
          <w:rFonts w:hint="eastAsia" w:asciiTheme="minorEastAsia" w:hAnsiTheme="minorEastAsia" w:eastAsiaTheme="minorEastAsia" w:cstheme="minorEastAsia"/>
          <w:bCs/>
        </w:rPr>
        <w:t>6.</w:t>
      </w:r>
      <w:r>
        <w:rPr>
          <w:rFonts w:hint="eastAsia" w:asciiTheme="minorEastAsia" w:hAnsiTheme="minorEastAsia" w:eastAsiaTheme="minorEastAsia" w:cstheme="minorEastAsia"/>
          <w:bCs/>
          <w:lang w:val="zh-CN"/>
        </w:rPr>
        <w:t>保密</w:t>
      </w:r>
      <w:r>
        <w:tab/>
      </w:r>
      <w:r>
        <w:fldChar w:fldCharType="begin"/>
      </w:r>
      <w:r>
        <w:instrText xml:space="preserve"> PAGEREF _Toc25191 </w:instrText>
      </w:r>
      <w:r>
        <w:fldChar w:fldCharType="separate"/>
      </w:r>
      <w:r>
        <w:t>32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_Toc22833 </w:instrText>
      </w:r>
      <w:r>
        <w:rPr>
          <w:rFonts w:hint="eastAsia" w:ascii="黑体" w:hAnsi="黑体" w:eastAsia="黑体"/>
          <w:szCs w:val="32"/>
        </w:rPr>
        <w:fldChar w:fldCharType="separate"/>
      </w:r>
      <w:r>
        <w:rPr>
          <w:rFonts w:hint="eastAsia"/>
        </w:rPr>
        <w:t xml:space="preserve">7. </w:t>
      </w:r>
      <w:r>
        <w:rPr>
          <w:rFonts w:hint="eastAsia"/>
          <w:lang w:val="zh-CN"/>
        </w:rPr>
        <w:t>质量保证</w:t>
      </w:r>
      <w:r>
        <w:tab/>
      </w:r>
      <w:r>
        <w:fldChar w:fldCharType="begin"/>
      </w:r>
      <w:r>
        <w:instrText xml:space="preserve"> PAGEREF _Toc22833 </w:instrText>
      </w:r>
      <w:r>
        <w:fldChar w:fldCharType="separate"/>
      </w:r>
      <w:r>
        <w:t>32</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_Toc12039 </w:instrText>
      </w:r>
      <w:r>
        <w:rPr>
          <w:rFonts w:hint="eastAsia" w:ascii="黑体" w:hAnsi="黑体" w:eastAsia="黑体"/>
          <w:szCs w:val="32"/>
        </w:rPr>
        <w:fldChar w:fldCharType="separate"/>
      </w:r>
      <w:r>
        <w:rPr>
          <w:rFonts w:hint="eastAsia" w:asciiTheme="minorEastAsia" w:hAnsiTheme="minorEastAsia" w:eastAsiaTheme="minorEastAsia" w:cstheme="minorEastAsia"/>
        </w:rPr>
        <w:t xml:space="preserve">7.1 </w:t>
      </w:r>
      <w:r>
        <w:rPr>
          <w:rFonts w:hint="eastAsia" w:asciiTheme="minorEastAsia" w:hAnsiTheme="minorEastAsia" w:eastAsiaTheme="minorEastAsia" w:cstheme="minorEastAsia"/>
          <w:lang w:val="zh-CN"/>
        </w:rPr>
        <w:t>货物质量保证</w:t>
      </w:r>
      <w:r>
        <w:tab/>
      </w:r>
      <w:r>
        <w:fldChar w:fldCharType="begin"/>
      </w:r>
      <w:r>
        <w:instrText xml:space="preserve"> PAGEREF _Toc12039 </w:instrText>
      </w:r>
      <w:r>
        <w:fldChar w:fldCharType="separate"/>
      </w:r>
      <w:r>
        <w:t>32</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_Toc30233 </w:instrText>
      </w:r>
      <w:r>
        <w:rPr>
          <w:rFonts w:hint="eastAsia" w:ascii="黑体" w:hAnsi="黑体" w:eastAsia="黑体"/>
          <w:szCs w:val="32"/>
        </w:rPr>
        <w:fldChar w:fldCharType="separate"/>
      </w:r>
      <w:r>
        <w:rPr>
          <w:rFonts w:hint="eastAsia" w:asciiTheme="minorEastAsia" w:hAnsiTheme="minorEastAsia" w:eastAsiaTheme="minorEastAsia" w:cstheme="minorEastAsia"/>
        </w:rPr>
        <w:t xml:space="preserve">7.2 </w:t>
      </w:r>
      <w:r>
        <w:rPr>
          <w:rFonts w:hint="eastAsia" w:asciiTheme="minorEastAsia" w:hAnsiTheme="minorEastAsia" w:eastAsiaTheme="minorEastAsia" w:cstheme="minorEastAsia"/>
          <w:lang w:val="zh-CN"/>
        </w:rPr>
        <w:t>辅助服务质量保证</w:t>
      </w:r>
      <w:r>
        <w:tab/>
      </w:r>
      <w:r>
        <w:fldChar w:fldCharType="begin"/>
      </w:r>
      <w:r>
        <w:instrText xml:space="preserve"> PAGEREF _Toc30233 </w:instrText>
      </w:r>
      <w:r>
        <w:fldChar w:fldCharType="separate"/>
      </w:r>
      <w:r>
        <w:t>33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_Toc8599 </w:instrText>
      </w:r>
      <w:r>
        <w:rPr>
          <w:rFonts w:hint="eastAsia" w:ascii="黑体" w:hAnsi="黑体" w:eastAsia="黑体"/>
          <w:szCs w:val="32"/>
        </w:rPr>
        <w:fldChar w:fldCharType="separate"/>
      </w:r>
      <w:r>
        <w:rPr>
          <w:rFonts w:hint="eastAsia"/>
        </w:rPr>
        <w:t>8.</w:t>
      </w:r>
      <w:r>
        <w:rPr>
          <w:rFonts w:hint="eastAsia"/>
          <w:lang w:val="zh-CN"/>
        </w:rPr>
        <w:t>包装要求</w:t>
      </w:r>
      <w:r>
        <w:tab/>
      </w:r>
      <w:r>
        <w:fldChar w:fldCharType="begin"/>
      </w:r>
      <w:r>
        <w:instrText xml:space="preserve"> PAGEREF _Toc8599 </w:instrText>
      </w:r>
      <w:r>
        <w:fldChar w:fldCharType="separate"/>
      </w:r>
      <w:r>
        <w:t>33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_Toc19886 </w:instrText>
      </w:r>
      <w:r>
        <w:rPr>
          <w:rFonts w:hint="eastAsia" w:ascii="黑体" w:hAnsi="黑体" w:eastAsia="黑体"/>
          <w:szCs w:val="32"/>
        </w:rPr>
        <w:fldChar w:fldCharType="separate"/>
      </w:r>
      <w:r>
        <w:rPr>
          <w:rFonts w:hint="eastAsia"/>
        </w:rPr>
        <w:t>9.</w:t>
      </w:r>
      <w:r>
        <w:rPr>
          <w:rFonts w:hint="eastAsia"/>
          <w:lang w:val="zh-CN"/>
        </w:rPr>
        <w:t>价格</w:t>
      </w:r>
      <w:r>
        <w:tab/>
      </w:r>
      <w:r>
        <w:fldChar w:fldCharType="begin"/>
      </w:r>
      <w:r>
        <w:instrText xml:space="preserve"> PAGEREF _Toc19886 </w:instrText>
      </w:r>
      <w:r>
        <w:fldChar w:fldCharType="separate"/>
      </w:r>
      <w:r>
        <w:t>33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_Toc27554 </w:instrText>
      </w:r>
      <w:r>
        <w:rPr>
          <w:rFonts w:hint="eastAsia" w:ascii="黑体" w:hAnsi="黑体" w:eastAsia="黑体"/>
          <w:szCs w:val="32"/>
        </w:rPr>
        <w:fldChar w:fldCharType="separate"/>
      </w:r>
      <w:r>
        <w:rPr>
          <w:rFonts w:hint="eastAsia"/>
        </w:rPr>
        <w:t>10.</w:t>
      </w:r>
      <w:r>
        <w:rPr>
          <w:rFonts w:hint="eastAsia"/>
          <w:lang w:val="zh-CN"/>
        </w:rPr>
        <w:t>交货方式及交货日期</w:t>
      </w:r>
      <w:r>
        <w:tab/>
      </w:r>
      <w:r>
        <w:fldChar w:fldCharType="begin"/>
      </w:r>
      <w:r>
        <w:instrText xml:space="preserve"> PAGEREF _Toc27554 </w:instrText>
      </w:r>
      <w:r>
        <w:fldChar w:fldCharType="separate"/>
      </w:r>
      <w:r>
        <w:t>34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_Toc24911 </w:instrText>
      </w:r>
      <w:r>
        <w:rPr>
          <w:rFonts w:hint="eastAsia" w:ascii="黑体" w:hAnsi="黑体" w:eastAsia="黑体"/>
          <w:szCs w:val="32"/>
        </w:rPr>
        <w:fldChar w:fldCharType="separate"/>
      </w:r>
      <w:r>
        <w:rPr>
          <w:rFonts w:hint="eastAsia"/>
          <w:lang w:val="zh-CN"/>
        </w:rPr>
        <w:t>11.检验和验收</w:t>
      </w:r>
      <w:r>
        <w:tab/>
      </w:r>
      <w:r>
        <w:fldChar w:fldCharType="begin"/>
      </w:r>
      <w:r>
        <w:instrText xml:space="preserve"> PAGEREF _Toc24911 </w:instrText>
      </w:r>
      <w:r>
        <w:fldChar w:fldCharType="separate"/>
      </w:r>
      <w:r>
        <w:t>34</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_Toc12061 </w:instrText>
      </w:r>
      <w:r>
        <w:rPr>
          <w:rFonts w:hint="eastAsia" w:ascii="黑体" w:hAnsi="黑体" w:eastAsia="黑体"/>
          <w:szCs w:val="32"/>
        </w:rPr>
        <w:fldChar w:fldCharType="separate"/>
      </w:r>
      <w:r>
        <w:rPr>
          <w:rFonts w:hint="eastAsia" w:asciiTheme="minorEastAsia" w:hAnsiTheme="minorEastAsia" w:eastAsiaTheme="minorEastAsia" w:cstheme="minorEastAsia"/>
        </w:rPr>
        <w:t xml:space="preserve">11.1 </w:t>
      </w:r>
      <w:r>
        <w:rPr>
          <w:rFonts w:hint="eastAsia" w:asciiTheme="minorEastAsia" w:hAnsiTheme="minorEastAsia" w:eastAsiaTheme="minorEastAsia" w:cstheme="minorEastAsia"/>
          <w:lang w:val="zh-CN"/>
        </w:rPr>
        <w:t>开箱验收</w:t>
      </w:r>
      <w:r>
        <w:tab/>
      </w:r>
      <w:r>
        <w:fldChar w:fldCharType="begin"/>
      </w:r>
      <w:r>
        <w:instrText xml:space="preserve"> PAGEREF _Toc12061 </w:instrText>
      </w:r>
      <w:r>
        <w:fldChar w:fldCharType="separate"/>
      </w:r>
      <w:r>
        <w:t>34</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_Toc8418 </w:instrText>
      </w:r>
      <w:r>
        <w:rPr>
          <w:rFonts w:hint="eastAsia" w:ascii="黑体" w:hAnsi="黑体" w:eastAsia="黑体"/>
          <w:szCs w:val="32"/>
        </w:rPr>
        <w:fldChar w:fldCharType="separate"/>
      </w:r>
      <w:r>
        <w:rPr>
          <w:rFonts w:hint="eastAsia" w:asciiTheme="minorEastAsia" w:hAnsiTheme="minorEastAsia" w:eastAsiaTheme="minorEastAsia" w:cstheme="minorEastAsia"/>
        </w:rPr>
        <w:t xml:space="preserve">11.2 </w:t>
      </w:r>
      <w:r>
        <w:rPr>
          <w:rFonts w:hint="eastAsia" w:asciiTheme="minorEastAsia" w:hAnsiTheme="minorEastAsia" w:eastAsiaTheme="minorEastAsia" w:cstheme="minorEastAsia"/>
          <w:lang w:val="zh-CN"/>
        </w:rPr>
        <w:t>检验验收</w:t>
      </w:r>
      <w:r>
        <w:tab/>
      </w:r>
      <w:r>
        <w:fldChar w:fldCharType="begin"/>
      </w:r>
      <w:r>
        <w:instrText xml:space="preserve"> PAGEREF _Toc8418 </w:instrText>
      </w:r>
      <w:r>
        <w:fldChar w:fldCharType="separate"/>
      </w:r>
      <w:r>
        <w:t>34</w:t>
      </w:r>
      <w:r>
        <w:fldChar w:fldCharType="end"/>
      </w:r>
      <w:r>
        <w:rPr>
          <w:rFonts w:hint="eastAsia" w:ascii="黑体" w:hAnsi="黑体" w:eastAsia="黑体"/>
          <w:szCs w:val="32"/>
        </w:rPr>
        <w:fldChar w:fldCharType="end"/>
      </w:r>
    </w:p>
    <w:p>
      <w:pPr>
        <w:pStyle w:val="12"/>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_Toc17147 </w:instrText>
      </w:r>
      <w:r>
        <w:rPr>
          <w:rFonts w:hint="eastAsia" w:ascii="黑体" w:hAnsi="黑体" w:eastAsia="黑体"/>
          <w:szCs w:val="32"/>
        </w:rPr>
        <w:fldChar w:fldCharType="separate"/>
      </w:r>
      <w:r>
        <w:rPr>
          <w:rFonts w:hint="eastAsia" w:asciiTheme="minorEastAsia" w:hAnsiTheme="minorEastAsia" w:eastAsiaTheme="minorEastAsia" w:cstheme="minorEastAsia"/>
        </w:rPr>
        <w:t xml:space="preserve">11.3 </w:t>
      </w:r>
      <w:r>
        <w:rPr>
          <w:rFonts w:hint="eastAsia" w:asciiTheme="minorEastAsia" w:hAnsiTheme="minorEastAsia" w:eastAsiaTheme="minorEastAsia" w:cstheme="minorEastAsia"/>
          <w:lang w:val="zh-CN"/>
        </w:rPr>
        <w:t>使用过程检验</w:t>
      </w:r>
      <w:r>
        <w:tab/>
      </w:r>
      <w:r>
        <w:fldChar w:fldCharType="begin"/>
      </w:r>
      <w:r>
        <w:instrText xml:space="preserve"> PAGEREF _Toc17147 </w:instrText>
      </w:r>
      <w:r>
        <w:fldChar w:fldCharType="separate"/>
      </w:r>
      <w:r>
        <w:t>35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_Toc7080 </w:instrText>
      </w:r>
      <w:r>
        <w:rPr>
          <w:rFonts w:hint="eastAsia" w:ascii="黑体" w:hAnsi="黑体" w:eastAsia="黑体"/>
          <w:szCs w:val="32"/>
        </w:rPr>
        <w:fldChar w:fldCharType="separate"/>
      </w:r>
      <w:r>
        <w:rPr>
          <w:rFonts w:hint="eastAsia"/>
        </w:rPr>
        <w:t>12.</w:t>
      </w:r>
      <w:r>
        <w:rPr>
          <w:rFonts w:hint="eastAsia"/>
          <w:lang w:val="zh-CN"/>
        </w:rPr>
        <w:t>付款方法和条件</w:t>
      </w:r>
      <w:r>
        <w:tab/>
      </w:r>
      <w:r>
        <w:fldChar w:fldCharType="begin"/>
      </w:r>
      <w:r>
        <w:instrText xml:space="preserve"> PAGEREF _Toc7080 </w:instrText>
      </w:r>
      <w:r>
        <w:fldChar w:fldCharType="separate"/>
      </w:r>
      <w:r>
        <w:t>35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_Toc9508 </w:instrText>
      </w:r>
      <w:r>
        <w:rPr>
          <w:rFonts w:hint="eastAsia" w:ascii="黑体" w:hAnsi="黑体" w:eastAsia="黑体"/>
          <w:szCs w:val="32"/>
        </w:rPr>
        <w:fldChar w:fldCharType="separate"/>
      </w:r>
      <w:r>
        <w:rPr>
          <w:rFonts w:hint="eastAsia"/>
        </w:rPr>
        <w:t>13.</w:t>
      </w:r>
      <w:r>
        <w:rPr>
          <w:rFonts w:hint="eastAsia"/>
          <w:lang w:val="zh-CN"/>
        </w:rPr>
        <w:t>履约保证金</w:t>
      </w:r>
      <w:r>
        <w:tab/>
      </w:r>
      <w:r>
        <w:fldChar w:fldCharType="begin"/>
      </w:r>
      <w:r>
        <w:instrText xml:space="preserve"> PAGEREF _Toc9508 </w:instrText>
      </w:r>
      <w:r>
        <w:fldChar w:fldCharType="separate"/>
      </w:r>
      <w:r>
        <w:t>35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_Toc7381 </w:instrText>
      </w:r>
      <w:r>
        <w:rPr>
          <w:rFonts w:hint="eastAsia" w:ascii="黑体" w:hAnsi="黑体" w:eastAsia="黑体"/>
          <w:szCs w:val="32"/>
        </w:rPr>
        <w:fldChar w:fldCharType="separate"/>
      </w:r>
      <w:r>
        <w:rPr>
          <w:rFonts w:hint="eastAsia"/>
        </w:rPr>
        <w:t>14.</w:t>
      </w:r>
      <w:r>
        <w:rPr>
          <w:rFonts w:hint="eastAsia"/>
          <w:lang w:val="zh-CN"/>
        </w:rPr>
        <w:t>索赔</w:t>
      </w:r>
      <w:r>
        <w:tab/>
      </w:r>
      <w:r>
        <w:fldChar w:fldCharType="begin"/>
      </w:r>
      <w:r>
        <w:instrText xml:space="preserve"> PAGEREF _Toc7381 </w:instrText>
      </w:r>
      <w:r>
        <w:fldChar w:fldCharType="separate"/>
      </w:r>
      <w:r>
        <w:t>36</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_Toc19782 </w:instrText>
      </w:r>
      <w:r>
        <w:rPr>
          <w:rFonts w:hint="eastAsia" w:ascii="黑体" w:hAnsi="黑体" w:eastAsia="黑体"/>
          <w:szCs w:val="32"/>
        </w:rPr>
        <w:fldChar w:fldCharType="separate"/>
      </w:r>
      <w:r>
        <w:rPr>
          <w:rFonts w:hint="eastAsia"/>
        </w:rPr>
        <w:t>15.</w:t>
      </w:r>
      <w:r>
        <w:rPr>
          <w:rFonts w:hint="eastAsia"/>
          <w:lang w:val="zh-CN"/>
        </w:rPr>
        <w:t>迟延交货</w:t>
      </w:r>
      <w:r>
        <w:tab/>
      </w:r>
      <w:r>
        <w:fldChar w:fldCharType="begin"/>
      </w:r>
      <w:r>
        <w:instrText xml:space="preserve"> PAGEREF _Toc19782 </w:instrText>
      </w:r>
      <w:r>
        <w:fldChar w:fldCharType="separate"/>
      </w:r>
      <w:r>
        <w:t>36</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_Toc14744 </w:instrText>
      </w:r>
      <w:r>
        <w:rPr>
          <w:rFonts w:hint="eastAsia" w:ascii="黑体" w:hAnsi="黑体" w:eastAsia="黑体"/>
          <w:szCs w:val="32"/>
        </w:rPr>
        <w:fldChar w:fldCharType="separate"/>
      </w:r>
      <w:r>
        <w:rPr>
          <w:rFonts w:hint="eastAsia"/>
        </w:rPr>
        <w:t>16.</w:t>
      </w:r>
      <w:r>
        <w:rPr>
          <w:rFonts w:hint="eastAsia"/>
          <w:lang w:val="zh-CN"/>
        </w:rPr>
        <w:t>违约赔偿</w:t>
      </w:r>
      <w:r>
        <w:tab/>
      </w:r>
      <w:r>
        <w:fldChar w:fldCharType="begin"/>
      </w:r>
      <w:r>
        <w:instrText xml:space="preserve"> PAGEREF _Toc14744 </w:instrText>
      </w:r>
      <w:r>
        <w:fldChar w:fldCharType="separate"/>
      </w:r>
      <w:r>
        <w:t>37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_Toc28449 </w:instrText>
      </w:r>
      <w:r>
        <w:rPr>
          <w:rFonts w:hint="eastAsia" w:ascii="黑体" w:hAnsi="黑体" w:eastAsia="黑体"/>
          <w:szCs w:val="32"/>
        </w:rPr>
        <w:fldChar w:fldCharType="separate"/>
      </w:r>
      <w:r>
        <w:rPr>
          <w:rFonts w:hint="eastAsia"/>
        </w:rPr>
        <w:t>17.</w:t>
      </w:r>
      <w:r>
        <w:rPr>
          <w:rFonts w:hint="eastAsia"/>
          <w:lang w:val="zh-CN"/>
        </w:rPr>
        <w:t>不可抗力</w:t>
      </w:r>
      <w:r>
        <w:tab/>
      </w:r>
      <w:r>
        <w:fldChar w:fldCharType="begin"/>
      </w:r>
      <w:r>
        <w:instrText xml:space="preserve"> PAGEREF _Toc28449 </w:instrText>
      </w:r>
      <w:r>
        <w:fldChar w:fldCharType="separate"/>
      </w:r>
      <w:r>
        <w:t>37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_Toc17595 </w:instrText>
      </w:r>
      <w:r>
        <w:rPr>
          <w:rFonts w:hint="eastAsia" w:ascii="黑体" w:hAnsi="黑体" w:eastAsia="黑体"/>
          <w:szCs w:val="32"/>
        </w:rPr>
        <w:fldChar w:fldCharType="separate"/>
      </w:r>
      <w:r>
        <w:rPr>
          <w:rFonts w:hint="eastAsia"/>
        </w:rPr>
        <w:t>18.</w:t>
      </w:r>
      <w:r>
        <w:rPr>
          <w:rFonts w:hint="eastAsia"/>
          <w:lang w:val="zh-CN"/>
        </w:rPr>
        <w:t>税费</w:t>
      </w:r>
      <w:r>
        <w:tab/>
      </w:r>
      <w:r>
        <w:fldChar w:fldCharType="begin"/>
      </w:r>
      <w:r>
        <w:instrText xml:space="preserve"> PAGEREF _Toc17595 </w:instrText>
      </w:r>
      <w:r>
        <w:fldChar w:fldCharType="separate"/>
      </w:r>
      <w:r>
        <w:t>37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_Toc28729 </w:instrText>
      </w:r>
      <w:r>
        <w:rPr>
          <w:rFonts w:hint="eastAsia" w:ascii="黑体" w:hAnsi="黑体" w:eastAsia="黑体"/>
          <w:szCs w:val="32"/>
        </w:rPr>
        <w:fldChar w:fldCharType="separate"/>
      </w:r>
      <w:r>
        <w:rPr>
          <w:rFonts w:hint="eastAsia"/>
        </w:rPr>
        <w:t>19.</w:t>
      </w:r>
      <w:r>
        <w:rPr>
          <w:rFonts w:hint="eastAsia"/>
          <w:lang w:val="zh-CN"/>
        </w:rPr>
        <w:t>合同争议的解决</w:t>
      </w:r>
      <w:r>
        <w:tab/>
      </w:r>
      <w:r>
        <w:fldChar w:fldCharType="begin"/>
      </w:r>
      <w:r>
        <w:instrText xml:space="preserve"> PAGEREF _Toc28729 </w:instrText>
      </w:r>
      <w:r>
        <w:fldChar w:fldCharType="separate"/>
      </w:r>
      <w:r>
        <w:t>37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_Toc31757 </w:instrText>
      </w:r>
      <w:r>
        <w:rPr>
          <w:rFonts w:hint="eastAsia" w:ascii="黑体" w:hAnsi="黑体" w:eastAsia="黑体"/>
          <w:szCs w:val="32"/>
        </w:rPr>
        <w:fldChar w:fldCharType="separate"/>
      </w:r>
      <w:r>
        <w:rPr>
          <w:rFonts w:hint="eastAsia"/>
        </w:rPr>
        <w:t>20.</w:t>
      </w:r>
      <w:r>
        <w:rPr>
          <w:rFonts w:hint="eastAsia"/>
          <w:lang w:val="zh-CN"/>
        </w:rPr>
        <w:t>违约解除合同</w:t>
      </w:r>
      <w:r>
        <w:tab/>
      </w:r>
      <w:r>
        <w:fldChar w:fldCharType="begin"/>
      </w:r>
      <w:r>
        <w:instrText xml:space="preserve"> PAGEREF _Toc31757 </w:instrText>
      </w:r>
      <w:r>
        <w:fldChar w:fldCharType="separate"/>
      </w:r>
      <w:r>
        <w:t>37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_Toc13332 </w:instrText>
      </w:r>
      <w:r>
        <w:rPr>
          <w:rFonts w:hint="eastAsia" w:ascii="黑体" w:hAnsi="黑体" w:eastAsia="黑体"/>
          <w:szCs w:val="32"/>
        </w:rPr>
        <w:fldChar w:fldCharType="separate"/>
      </w:r>
      <w:r>
        <w:rPr>
          <w:rFonts w:hint="eastAsia"/>
        </w:rPr>
        <w:t>21.</w:t>
      </w:r>
      <w:r>
        <w:rPr>
          <w:rFonts w:hint="eastAsia"/>
          <w:lang w:val="zh-CN"/>
        </w:rPr>
        <w:t>破产终止合同</w:t>
      </w:r>
      <w:r>
        <w:tab/>
      </w:r>
      <w:r>
        <w:fldChar w:fldCharType="begin"/>
      </w:r>
      <w:r>
        <w:instrText xml:space="preserve"> PAGEREF _Toc13332 </w:instrText>
      </w:r>
      <w:r>
        <w:fldChar w:fldCharType="separate"/>
      </w:r>
      <w:r>
        <w:t>38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_Toc9766 </w:instrText>
      </w:r>
      <w:r>
        <w:rPr>
          <w:rFonts w:hint="eastAsia" w:ascii="黑体" w:hAnsi="黑体" w:eastAsia="黑体"/>
          <w:szCs w:val="32"/>
        </w:rPr>
        <w:fldChar w:fldCharType="separate"/>
      </w:r>
      <w:r>
        <w:rPr>
          <w:rFonts w:hint="eastAsia"/>
        </w:rPr>
        <w:t>22.</w:t>
      </w:r>
      <w:r>
        <w:rPr>
          <w:rFonts w:hint="eastAsia"/>
          <w:lang w:val="zh-CN"/>
        </w:rPr>
        <w:t>转让和分包</w:t>
      </w:r>
      <w:r>
        <w:tab/>
      </w:r>
      <w:r>
        <w:fldChar w:fldCharType="begin"/>
      </w:r>
      <w:r>
        <w:instrText xml:space="preserve"> PAGEREF _Toc9766 </w:instrText>
      </w:r>
      <w:r>
        <w:fldChar w:fldCharType="separate"/>
      </w:r>
      <w:r>
        <w:t>38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_Toc15214 </w:instrText>
      </w:r>
      <w:r>
        <w:rPr>
          <w:rFonts w:hint="eastAsia" w:ascii="黑体" w:hAnsi="黑体" w:eastAsia="黑体"/>
          <w:szCs w:val="32"/>
        </w:rPr>
        <w:fldChar w:fldCharType="separate"/>
      </w:r>
      <w:r>
        <w:rPr>
          <w:rFonts w:hint="eastAsia"/>
        </w:rPr>
        <w:t>23.</w:t>
      </w:r>
      <w:r>
        <w:rPr>
          <w:rFonts w:hint="eastAsia"/>
          <w:lang w:val="zh-CN"/>
        </w:rPr>
        <w:t>合同修改</w:t>
      </w:r>
      <w:r>
        <w:tab/>
      </w:r>
      <w:r>
        <w:fldChar w:fldCharType="begin"/>
      </w:r>
      <w:r>
        <w:instrText xml:space="preserve"> PAGEREF _Toc15214 </w:instrText>
      </w:r>
      <w:r>
        <w:fldChar w:fldCharType="separate"/>
      </w:r>
      <w:r>
        <w:t>38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_Toc19274 </w:instrText>
      </w:r>
      <w:r>
        <w:rPr>
          <w:rFonts w:hint="eastAsia" w:ascii="黑体" w:hAnsi="黑体" w:eastAsia="黑体"/>
          <w:szCs w:val="32"/>
        </w:rPr>
        <w:fldChar w:fldCharType="separate"/>
      </w:r>
      <w:r>
        <w:rPr>
          <w:rFonts w:hint="eastAsia"/>
        </w:rPr>
        <w:t>24.</w:t>
      </w:r>
      <w:r>
        <w:rPr>
          <w:rFonts w:hint="eastAsia"/>
          <w:lang w:val="zh-CN"/>
        </w:rPr>
        <w:t>通知</w:t>
      </w:r>
      <w:r>
        <w:tab/>
      </w:r>
      <w:r>
        <w:fldChar w:fldCharType="begin"/>
      </w:r>
      <w:r>
        <w:instrText xml:space="preserve"> PAGEREF _Toc19274 </w:instrText>
      </w:r>
      <w:r>
        <w:fldChar w:fldCharType="separate"/>
      </w:r>
      <w:r>
        <w:t>38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_Toc13835 </w:instrText>
      </w:r>
      <w:r>
        <w:rPr>
          <w:rFonts w:hint="eastAsia" w:ascii="黑体" w:hAnsi="黑体" w:eastAsia="黑体"/>
          <w:szCs w:val="32"/>
        </w:rPr>
        <w:fldChar w:fldCharType="separate"/>
      </w:r>
      <w:r>
        <w:rPr>
          <w:rFonts w:hint="eastAsia"/>
        </w:rPr>
        <w:t>25.</w:t>
      </w:r>
      <w:r>
        <w:rPr>
          <w:rFonts w:hint="eastAsia"/>
          <w:lang w:val="zh-CN"/>
        </w:rPr>
        <w:t>计量单位</w:t>
      </w:r>
      <w:r>
        <w:tab/>
      </w:r>
      <w:r>
        <w:fldChar w:fldCharType="begin"/>
      </w:r>
      <w:r>
        <w:instrText xml:space="preserve"> PAGEREF _Toc13835 </w:instrText>
      </w:r>
      <w:r>
        <w:fldChar w:fldCharType="separate"/>
      </w:r>
      <w:r>
        <w:t>38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_Toc19067 </w:instrText>
      </w:r>
      <w:r>
        <w:rPr>
          <w:rFonts w:hint="eastAsia" w:ascii="黑体" w:hAnsi="黑体" w:eastAsia="黑体"/>
          <w:szCs w:val="32"/>
        </w:rPr>
        <w:fldChar w:fldCharType="separate"/>
      </w:r>
      <w:r>
        <w:rPr>
          <w:rFonts w:hint="eastAsia"/>
        </w:rPr>
        <w:t>26.</w:t>
      </w:r>
      <w:r>
        <w:rPr>
          <w:rFonts w:hint="eastAsia"/>
          <w:lang w:val="zh-CN"/>
        </w:rPr>
        <w:t>适用法律</w:t>
      </w:r>
      <w:r>
        <w:tab/>
      </w:r>
      <w:r>
        <w:fldChar w:fldCharType="begin"/>
      </w:r>
      <w:r>
        <w:instrText xml:space="preserve"> PAGEREF _Toc19067 </w:instrText>
      </w:r>
      <w:r>
        <w:fldChar w:fldCharType="separate"/>
      </w:r>
      <w:r>
        <w:t>39</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_Toc25609 </w:instrText>
      </w:r>
      <w:r>
        <w:rPr>
          <w:rFonts w:hint="eastAsia" w:ascii="黑体" w:hAnsi="黑体" w:eastAsia="黑体"/>
          <w:szCs w:val="32"/>
        </w:rPr>
        <w:fldChar w:fldCharType="separate"/>
      </w:r>
      <w:r>
        <w:rPr>
          <w:rFonts w:hint="eastAsia"/>
          <w:lang w:val="zh-CN"/>
        </w:rPr>
        <w:t>第</w:t>
      </w:r>
      <w:r>
        <w:rPr>
          <w:rFonts w:hint="eastAsia"/>
          <w:lang w:val="en-US" w:eastAsia="zh-CN"/>
        </w:rPr>
        <w:t>五</w:t>
      </w:r>
      <w:r>
        <w:rPr>
          <w:rFonts w:hint="eastAsia"/>
          <w:lang w:val="zh-CN"/>
        </w:rPr>
        <w:t xml:space="preserve">部分  </w:t>
      </w:r>
      <w:r>
        <w:rPr>
          <w:rFonts w:hint="eastAsia"/>
          <w:lang w:val="en-US" w:eastAsia="zh-CN"/>
        </w:rPr>
        <w:t>响应</w:t>
      </w:r>
      <w:r>
        <w:rPr>
          <w:rFonts w:hint="eastAsia"/>
          <w:lang w:val="zh-CN"/>
        </w:rPr>
        <w:t>文件格式</w:t>
      </w:r>
      <w:r>
        <w:tab/>
      </w:r>
      <w:r>
        <w:fldChar w:fldCharType="begin"/>
      </w:r>
      <w:r>
        <w:instrText xml:space="preserve"> PAGEREF _Toc25609 </w:instrText>
      </w:r>
      <w:r>
        <w:fldChar w:fldCharType="separate"/>
      </w:r>
      <w:r>
        <w:t>40</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_Toc21491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lang w:val="zh-CN"/>
        </w:rPr>
        <w:t>封面（上册）</w:t>
      </w:r>
      <w:r>
        <w:tab/>
      </w:r>
      <w:r>
        <w:fldChar w:fldCharType="begin"/>
      </w:r>
      <w:r>
        <w:instrText xml:space="preserve"> PAGEREF _Toc21491 </w:instrText>
      </w:r>
      <w:r>
        <w:fldChar w:fldCharType="separate"/>
      </w:r>
      <w:r>
        <w:t>40</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_Toc19175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lang w:val="zh-CN"/>
        </w:rPr>
        <w:t>目录（上册）</w:t>
      </w:r>
      <w:r>
        <w:tab/>
      </w:r>
      <w:r>
        <w:fldChar w:fldCharType="begin"/>
      </w:r>
      <w:r>
        <w:instrText xml:space="preserve"> PAGEREF _Toc19175 </w:instrText>
      </w:r>
      <w:r>
        <w:fldChar w:fldCharType="separate"/>
      </w:r>
      <w:r>
        <w:t>41</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_Toc23714 </w:instrText>
      </w:r>
      <w:r>
        <w:rPr>
          <w:rFonts w:hint="eastAsia" w:ascii="黑体" w:hAnsi="黑体" w:eastAsia="黑体"/>
          <w:szCs w:val="32"/>
        </w:rPr>
        <w:fldChar w:fldCharType="separate"/>
      </w:r>
      <w:r>
        <w:rPr>
          <w:rFonts w:hint="eastAsia" w:asciiTheme="minorEastAsia" w:hAnsiTheme="minorEastAsia" w:eastAsiaTheme="minorEastAsia" w:cstheme="minorEastAsia"/>
          <w:kern w:val="0"/>
          <w:szCs w:val="30"/>
          <w:lang w:val="zh-CN"/>
        </w:rPr>
        <w:t>（</w:t>
      </w:r>
      <w:r>
        <w:rPr>
          <w:rFonts w:hint="eastAsia" w:asciiTheme="minorEastAsia" w:hAnsiTheme="minorEastAsia" w:eastAsiaTheme="minorEastAsia" w:cstheme="minorEastAsia"/>
          <w:kern w:val="0"/>
          <w:szCs w:val="30"/>
        </w:rPr>
        <w:t>2</w:t>
      </w:r>
      <w:r>
        <w:rPr>
          <w:rFonts w:hint="eastAsia" w:asciiTheme="minorEastAsia" w:hAnsiTheme="minorEastAsia" w:eastAsiaTheme="minorEastAsia" w:cstheme="minorEastAsia"/>
          <w:kern w:val="0"/>
          <w:szCs w:val="30"/>
          <w:lang w:val="zh-CN"/>
        </w:rPr>
        <w:t>）</w:t>
      </w:r>
      <w:r>
        <w:rPr>
          <w:rFonts w:hint="eastAsia" w:asciiTheme="minorEastAsia" w:hAnsiTheme="minorEastAsia" w:eastAsiaTheme="minorEastAsia" w:cstheme="minorEastAsia"/>
          <w:szCs w:val="30"/>
        </w:rPr>
        <w:t>法定代表人证明书</w:t>
      </w:r>
      <w:r>
        <w:tab/>
      </w:r>
      <w:r>
        <w:fldChar w:fldCharType="begin"/>
      </w:r>
      <w:r>
        <w:instrText xml:space="preserve"> PAGEREF _Toc23714 </w:instrText>
      </w:r>
      <w:r>
        <w:fldChar w:fldCharType="separate"/>
      </w:r>
      <w:r>
        <w:t>43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_Toc9114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（3）</w:t>
      </w:r>
      <w:r>
        <w:rPr>
          <w:rFonts w:hint="eastAsia" w:asciiTheme="minorEastAsia" w:hAnsiTheme="minorEastAsia" w:eastAsiaTheme="minorEastAsia" w:cstheme="minorEastAsia"/>
          <w:szCs w:val="30"/>
          <w:lang w:val="zh-CN"/>
        </w:rPr>
        <w:t>法定代表人授权书</w:t>
      </w:r>
      <w:r>
        <w:tab/>
      </w:r>
      <w:r>
        <w:fldChar w:fldCharType="begin"/>
      </w:r>
      <w:r>
        <w:instrText xml:space="preserve"> PAGEREF _Toc9114 </w:instrText>
      </w:r>
      <w:r>
        <w:fldChar w:fldCharType="separate"/>
      </w:r>
      <w:r>
        <w:t>44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_Toc31332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（4）</w:t>
      </w:r>
      <w:r>
        <w:rPr>
          <w:rFonts w:hint="eastAsia" w:asciiTheme="minorEastAsia" w:hAnsiTheme="minorEastAsia" w:eastAsiaTheme="minorEastAsia" w:cstheme="minorEastAsia"/>
          <w:szCs w:val="30"/>
          <w:lang w:val="zh-CN"/>
        </w:rPr>
        <w:t>投标人承诺函</w:t>
      </w:r>
      <w:r>
        <w:tab/>
      </w:r>
      <w:r>
        <w:fldChar w:fldCharType="begin"/>
      </w:r>
      <w:r>
        <w:instrText xml:space="preserve"> PAGEREF _Toc31332 </w:instrText>
      </w:r>
      <w:r>
        <w:fldChar w:fldCharType="separate"/>
      </w:r>
      <w:r>
        <w:t>45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_Toc21090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（5）</w:t>
      </w:r>
      <w:r>
        <w:rPr>
          <w:rFonts w:hint="eastAsia" w:asciiTheme="minorEastAsia" w:hAnsiTheme="minorEastAsia" w:eastAsiaTheme="minorEastAsia" w:cstheme="minorEastAsia"/>
          <w:szCs w:val="30"/>
          <w:lang w:val="zh-CN"/>
        </w:rPr>
        <w:t>投标人诚信承诺书</w:t>
      </w:r>
      <w:r>
        <w:tab/>
      </w:r>
      <w:r>
        <w:fldChar w:fldCharType="begin"/>
      </w:r>
      <w:r>
        <w:instrText xml:space="preserve"> PAGEREF _Toc21090 </w:instrText>
      </w:r>
      <w:r>
        <w:fldChar w:fldCharType="separate"/>
      </w:r>
      <w:r>
        <w:t>46</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_Toc22274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（6）</w:t>
      </w:r>
      <w:r>
        <w:rPr>
          <w:rFonts w:hint="eastAsia" w:asciiTheme="minorEastAsia" w:hAnsiTheme="minorEastAsia" w:eastAsiaTheme="minorEastAsia" w:cstheme="minorEastAsia"/>
          <w:szCs w:val="30"/>
          <w:lang w:val="zh-CN"/>
        </w:rPr>
        <w:t>资格证明材料</w:t>
      </w:r>
      <w:r>
        <w:tab/>
      </w:r>
      <w:r>
        <w:fldChar w:fldCharType="begin"/>
      </w:r>
      <w:r>
        <w:instrText xml:space="preserve"> PAGEREF _Toc22274 </w:instrText>
      </w:r>
      <w:r>
        <w:fldChar w:fldCharType="separate"/>
      </w:r>
      <w:r>
        <w:t>47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_Toc32325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（7）</w:t>
      </w:r>
      <w:r>
        <w:rPr>
          <w:rFonts w:hint="eastAsia" w:asciiTheme="minorEastAsia" w:hAnsiTheme="minorEastAsia" w:eastAsiaTheme="minorEastAsia" w:cstheme="minorEastAsia"/>
          <w:szCs w:val="30"/>
          <w:lang w:val="zh-CN"/>
        </w:rPr>
        <w:t>财务状况报告，依法缴纳税收和社会保障资金的相关材料</w:t>
      </w:r>
      <w:r>
        <w:tab/>
      </w:r>
      <w:r>
        <w:fldChar w:fldCharType="begin"/>
      </w:r>
      <w:r>
        <w:instrText xml:space="preserve"> PAGEREF _Toc32325 </w:instrText>
      </w:r>
      <w:r>
        <w:fldChar w:fldCharType="separate"/>
      </w:r>
      <w:r>
        <w:t>48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_Toc6215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（8）</w:t>
      </w:r>
      <w:r>
        <w:rPr>
          <w:rFonts w:hint="eastAsia" w:asciiTheme="minorEastAsia" w:hAnsiTheme="minorEastAsia" w:eastAsiaTheme="minorEastAsia" w:cstheme="minorEastAsia"/>
          <w:szCs w:val="30"/>
          <w:lang w:val="zh-CN"/>
        </w:rPr>
        <w:t>具备履行合同所必需的设备和专业技术能力的证明材料</w:t>
      </w:r>
      <w:r>
        <w:tab/>
      </w:r>
      <w:r>
        <w:fldChar w:fldCharType="begin"/>
      </w:r>
      <w:r>
        <w:instrText xml:space="preserve"> PAGEREF _Toc6215 </w:instrText>
      </w:r>
      <w:r>
        <w:fldChar w:fldCharType="separate"/>
      </w:r>
      <w:r>
        <w:t>49</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_Toc19793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（9）</w:t>
      </w:r>
      <w:r>
        <w:rPr>
          <w:rFonts w:hint="eastAsia" w:asciiTheme="minorEastAsia" w:hAnsiTheme="minorEastAsia" w:eastAsiaTheme="minorEastAsia" w:cstheme="minorEastAsia"/>
          <w:szCs w:val="30"/>
          <w:lang w:val="zh-CN"/>
        </w:rPr>
        <w:t>无重大违法记录声明</w:t>
      </w:r>
      <w:r>
        <w:tab/>
      </w:r>
      <w:r>
        <w:fldChar w:fldCharType="begin"/>
      </w:r>
      <w:r>
        <w:instrText xml:space="preserve"> PAGEREF _Toc19793 </w:instrText>
      </w:r>
      <w:r>
        <w:fldChar w:fldCharType="separate"/>
      </w:r>
      <w:r>
        <w:t>50</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_Toc19885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（10）</w:t>
      </w:r>
      <w:r>
        <w:rPr>
          <w:rFonts w:hint="eastAsia" w:asciiTheme="minorEastAsia" w:hAnsiTheme="minorEastAsia" w:eastAsiaTheme="minorEastAsia" w:cstheme="minorEastAsia"/>
          <w:szCs w:val="30"/>
          <w:lang w:val="en-US" w:eastAsia="zh-CN"/>
        </w:rPr>
        <w:t>磋商</w:t>
      </w:r>
      <w:r>
        <w:rPr>
          <w:rFonts w:hint="eastAsia" w:asciiTheme="minorEastAsia" w:hAnsiTheme="minorEastAsia" w:eastAsiaTheme="minorEastAsia" w:cstheme="minorEastAsia"/>
          <w:szCs w:val="30"/>
          <w:lang w:val="zh-CN"/>
        </w:rPr>
        <w:t>保证金证明</w:t>
      </w:r>
      <w:r>
        <w:tab/>
      </w:r>
      <w:r>
        <w:fldChar w:fldCharType="begin"/>
      </w:r>
      <w:r>
        <w:instrText xml:space="preserve"> PAGEREF _Toc19885 </w:instrText>
      </w:r>
      <w:r>
        <w:fldChar w:fldCharType="separate"/>
      </w:r>
      <w:r>
        <w:t>51</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_Toc13344 </w:instrText>
      </w:r>
      <w:r>
        <w:rPr>
          <w:rFonts w:hint="eastAsia" w:ascii="黑体" w:hAnsi="黑体" w:eastAsia="黑体"/>
          <w:szCs w:val="32"/>
        </w:rPr>
        <w:fldChar w:fldCharType="separate"/>
      </w:r>
      <w:r>
        <w:rPr>
          <w:rFonts w:hint="eastAsia"/>
          <w:lang w:val="zh-CN"/>
        </w:rPr>
        <w:t>青海省政府采购项目</w:t>
      </w:r>
      <w:r>
        <w:tab/>
      </w:r>
      <w:r>
        <w:fldChar w:fldCharType="begin"/>
      </w:r>
      <w:r>
        <w:instrText xml:space="preserve"> PAGEREF _Toc13344 </w:instrText>
      </w:r>
      <w:r>
        <w:fldChar w:fldCharType="separate"/>
      </w:r>
      <w:r>
        <w:t>52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_Toc14438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（11）</w:t>
      </w:r>
      <w:r>
        <w:rPr>
          <w:rFonts w:hint="eastAsia" w:asciiTheme="minorEastAsia" w:hAnsiTheme="minorEastAsia" w:eastAsiaTheme="minorEastAsia" w:cstheme="minorEastAsia"/>
          <w:szCs w:val="30"/>
          <w:lang w:val="zh-CN"/>
        </w:rPr>
        <w:t>评分对照表</w:t>
      </w:r>
      <w:r>
        <w:tab/>
      </w:r>
      <w:r>
        <w:fldChar w:fldCharType="begin"/>
      </w:r>
      <w:r>
        <w:instrText xml:space="preserve"> PAGEREF _Toc14438 </w:instrText>
      </w:r>
      <w:r>
        <w:fldChar w:fldCharType="separate"/>
      </w:r>
      <w:r>
        <w:t>54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_Toc31271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（12）</w:t>
      </w:r>
      <w:r>
        <w:rPr>
          <w:rFonts w:hint="eastAsia" w:ascii="宋体" w:hAnsi="宋体" w:cs="STZhongsong"/>
          <w:szCs w:val="28"/>
          <w:lang w:val="zh-CN"/>
        </w:rPr>
        <w:t>首次响应报价表</w:t>
      </w:r>
      <w:r>
        <w:tab/>
      </w:r>
      <w:r>
        <w:fldChar w:fldCharType="begin"/>
      </w:r>
      <w:r>
        <w:instrText xml:space="preserve"> PAGEREF _Toc31271 </w:instrText>
      </w:r>
      <w:r>
        <w:fldChar w:fldCharType="separate"/>
      </w:r>
      <w:r>
        <w:t>55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_Toc10455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（13）</w:t>
      </w:r>
      <w:r>
        <w:rPr>
          <w:rFonts w:hint="eastAsia" w:asciiTheme="minorEastAsia" w:hAnsiTheme="minorEastAsia" w:eastAsiaTheme="minorEastAsia" w:cstheme="minorEastAsia"/>
          <w:szCs w:val="30"/>
          <w:lang w:val="zh-CN"/>
        </w:rPr>
        <w:t>分项报价表</w:t>
      </w:r>
      <w:r>
        <w:tab/>
      </w:r>
      <w:r>
        <w:fldChar w:fldCharType="begin"/>
      </w:r>
      <w:r>
        <w:instrText xml:space="preserve"> PAGEREF _Toc10455 </w:instrText>
      </w:r>
      <w:r>
        <w:fldChar w:fldCharType="separate"/>
      </w:r>
      <w:r>
        <w:t>56</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_Toc25052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（14）</w:t>
      </w:r>
      <w:r>
        <w:rPr>
          <w:rFonts w:hint="eastAsia" w:asciiTheme="minorEastAsia" w:hAnsiTheme="minorEastAsia" w:eastAsiaTheme="minorEastAsia" w:cstheme="minorEastAsia"/>
          <w:szCs w:val="30"/>
          <w:lang w:val="zh-CN"/>
        </w:rPr>
        <w:t>技术规格响应表</w:t>
      </w:r>
      <w:r>
        <w:tab/>
      </w:r>
      <w:r>
        <w:fldChar w:fldCharType="begin"/>
      </w:r>
      <w:r>
        <w:instrText xml:space="preserve"> PAGEREF _Toc25052 </w:instrText>
      </w:r>
      <w:r>
        <w:fldChar w:fldCharType="separate"/>
      </w:r>
      <w:r>
        <w:t>57</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_Toc17597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（15）</w:t>
      </w:r>
      <w:r>
        <w:rPr>
          <w:rFonts w:hint="eastAsia" w:asciiTheme="minorEastAsia" w:hAnsiTheme="minorEastAsia" w:cstheme="minorEastAsia"/>
          <w:szCs w:val="30"/>
          <w:lang w:val="zh-CN"/>
        </w:rPr>
        <w:t>磋商</w:t>
      </w:r>
      <w:r>
        <w:rPr>
          <w:rFonts w:hint="eastAsia" w:asciiTheme="minorEastAsia" w:hAnsiTheme="minorEastAsia" w:eastAsiaTheme="minorEastAsia" w:cstheme="minorEastAsia"/>
          <w:szCs w:val="30"/>
          <w:lang w:val="zh-CN"/>
        </w:rPr>
        <w:t>产品相关资料</w:t>
      </w:r>
      <w:r>
        <w:tab/>
      </w:r>
      <w:r>
        <w:fldChar w:fldCharType="begin"/>
      </w:r>
      <w:r>
        <w:instrText xml:space="preserve"> PAGEREF _Toc17597 </w:instrText>
      </w:r>
      <w:r>
        <w:fldChar w:fldCharType="separate"/>
      </w:r>
      <w:r>
        <w:t>58</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_Toc6843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（16）</w:t>
      </w:r>
      <w:r>
        <w:rPr>
          <w:rFonts w:hint="eastAsia" w:asciiTheme="minorEastAsia" w:hAnsiTheme="minorEastAsia" w:cstheme="minorEastAsia"/>
          <w:szCs w:val="30"/>
          <w:lang w:val="zh-CN"/>
        </w:rPr>
        <w:t>磋商供应商</w:t>
      </w:r>
      <w:r>
        <w:rPr>
          <w:rFonts w:hint="eastAsia" w:asciiTheme="minorEastAsia" w:hAnsiTheme="minorEastAsia" w:eastAsiaTheme="minorEastAsia" w:cstheme="minorEastAsia"/>
          <w:szCs w:val="30"/>
          <w:lang w:val="zh-CN"/>
        </w:rPr>
        <w:t>的类似业绩证明材料</w:t>
      </w:r>
      <w:r>
        <w:tab/>
      </w:r>
      <w:r>
        <w:fldChar w:fldCharType="begin"/>
      </w:r>
      <w:r>
        <w:instrText xml:space="preserve"> PAGEREF _Toc6843 </w:instrText>
      </w:r>
      <w:r>
        <w:fldChar w:fldCharType="separate"/>
      </w:r>
      <w:r>
        <w:t>59</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_Toc25485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（17.1）</w:t>
      </w:r>
      <w:r>
        <w:rPr>
          <w:rFonts w:hint="eastAsia" w:asciiTheme="minorEastAsia" w:hAnsiTheme="minorEastAsia" w:eastAsiaTheme="minorEastAsia" w:cstheme="minorEastAsia"/>
          <w:szCs w:val="30"/>
          <w:lang w:val="zh-CN"/>
        </w:rPr>
        <w:t>制造（生产）企业小型、微型企业声明函</w:t>
      </w:r>
      <w:r>
        <w:tab/>
      </w:r>
      <w:r>
        <w:fldChar w:fldCharType="begin"/>
      </w:r>
      <w:r>
        <w:instrText xml:space="preserve"> PAGEREF _Toc25485 </w:instrText>
      </w:r>
      <w:r>
        <w:fldChar w:fldCharType="separate"/>
      </w:r>
      <w:r>
        <w:t>60</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_Toc5288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（17.2）</w:t>
      </w:r>
      <w:r>
        <w:rPr>
          <w:rFonts w:hint="eastAsia" w:asciiTheme="minorEastAsia" w:hAnsiTheme="minorEastAsia" w:eastAsiaTheme="minorEastAsia" w:cstheme="minorEastAsia"/>
          <w:szCs w:val="30"/>
          <w:lang w:val="zh-CN"/>
        </w:rPr>
        <w:t>从业人员声明函</w:t>
      </w:r>
      <w:r>
        <w:tab/>
      </w:r>
      <w:r>
        <w:fldChar w:fldCharType="begin"/>
      </w:r>
      <w:r>
        <w:instrText xml:space="preserve"> PAGEREF _Toc5288 </w:instrText>
      </w:r>
      <w:r>
        <w:fldChar w:fldCharType="separate"/>
      </w:r>
      <w:r>
        <w:t>61</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_Toc23252 </w:instrText>
      </w:r>
      <w:r>
        <w:rPr>
          <w:rFonts w:hint="eastAsia" w:ascii="黑体" w:hAnsi="黑体" w:eastAsia="黑体"/>
          <w:szCs w:val="32"/>
        </w:rPr>
        <w:fldChar w:fldCharType="separate"/>
      </w:r>
      <w:r>
        <w:rPr>
          <w:rFonts w:hint="eastAsia" w:asciiTheme="minorEastAsia" w:hAnsiTheme="minorEastAsia" w:eastAsiaTheme="minorEastAsia" w:cstheme="minorEastAsia"/>
          <w:bCs w:val="0"/>
          <w:szCs w:val="30"/>
          <w:lang w:val="zh-CN"/>
        </w:rPr>
        <w:t>（</w:t>
      </w:r>
      <w:r>
        <w:rPr>
          <w:rFonts w:hint="eastAsia" w:asciiTheme="minorEastAsia" w:hAnsiTheme="minorEastAsia" w:eastAsiaTheme="minorEastAsia" w:cstheme="minorEastAsia"/>
          <w:bCs w:val="0"/>
          <w:szCs w:val="30"/>
        </w:rPr>
        <w:t>18</w:t>
      </w:r>
      <w:r>
        <w:rPr>
          <w:rFonts w:hint="eastAsia" w:asciiTheme="minorEastAsia" w:hAnsiTheme="minorEastAsia" w:eastAsiaTheme="minorEastAsia" w:cstheme="minorEastAsia"/>
          <w:bCs w:val="0"/>
          <w:szCs w:val="30"/>
          <w:lang w:val="zh-CN"/>
        </w:rPr>
        <w:t>）残疾人</w:t>
      </w:r>
      <w:r>
        <w:rPr>
          <w:rFonts w:hint="eastAsia" w:asciiTheme="minorEastAsia" w:hAnsiTheme="minorEastAsia" w:eastAsiaTheme="minorEastAsia" w:cstheme="minorEastAsia"/>
          <w:bCs w:val="0"/>
          <w:szCs w:val="30"/>
        </w:rPr>
        <w:t>福利性单位声明函</w:t>
      </w:r>
      <w:r>
        <w:tab/>
      </w:r>
      <w:r>
        <w:fldChar w:fldCharType="begin"/>
      </w:r>
      <w:r>
        <w:instrText xml:space="preserve"> PAGEREF _Toc23252 </w:instrText>
      </w:r>
      <w:r>
        <w:fldChar w:fldCharType="separate"/>
      </w:r>
      <w:r>
        <w:t>62</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_Toc18251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rPr>
        <w:t>（19）</w:t>
      </w:r>
      <w:r>
        <w:rPr>
          <w:rFonts w:hint="eastAsia" w:asciiTheme="minorEastAsia" w:hAnsiTheme="minorEastAsia" w:cstheme="minorEastAsia"/>
          <w:szCs w:val="30"/>
          <w:lang w:val="zh-CN"/>
        </w:rPr>
        <w:t>磋商供应商</w:t>
      </w:r>
      <w:r>
        <w:rPr>
          <w:rFonts w:hint="eastAsia" w:asciiTheme="minorEastAsia" w:hAnsiTheme="minorEastAsia" w:eastAsiaTheme="minorEastAsia" w:cstheme="minorEastAsia"/>
          <w:szCs w:val="30"/>
          <w:lang w:val="zh-CN"/>
        </w:rPr>
        <w:t>认为在其他方面有必要说明的事项</w:t>
      </w:r>
      <w:r>
        <w:tab/>
      </w:r>
      <w:r>
        <w:fldChar w:fldCharType="begin"/>
      </w:r>
      <w:r>
        <w:instrText xml:space="preserve"> PAGEREF _Toc18251 </w:instrText>
      </w:r>
      <w:r>
        <w:fldChar w:fldCharType="separate"/>
      </w:r>
      <w:r>
        <w:t>63</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_Toc8868 </w:instrText>
      </w:r>
      <w:r>
        <w:rPr>
          <w:rFonts w:hint="eastAsia" w:ascii="黑体" w:hAnsi="黑体" w:eastAsia="黑体"/>
          <w:szCs w:val="32"/>
        </w:rPr>
        <w:fldChar w:fldCharType="separate"/>
      </w:r>
      <w:r>
        <w:rPr>
          <w:rFonts w:hint="eastAsia" w:asciiTheme="minorEastAsia" w:hAnsiTheme="minorEastAsia" w:eastAsiaTheme="minorEastAsia" w:cstheme="minorEastAsia"/>
          <w:szCs w:val="30"/>
          <w:lang w:val="en-US" w:eastAsia="zh-CN"/>
        </w:rPr>
        <w:t>(20)</w:t>
      </w:r>
      <w:r>
        <w:rPr>
          <w:rFonts w:hint="eastAsia" w:asciiTheme="minorEastAsia" w:hAnsiTheme="minorEastAsia" w:eastAsiaTheme="minorEastAsia" w:cstheme="minorEastAsia"/>
          <w:szCs w:val="30"/>
          <w:lang w:val="zh-CN"/>
        </w:rPr>
        <w:t>：</w:t>
      </w:r>
      <w:r>
        <w:rPr>
          <w:rFonts w:hint="eastAsia" w:asciiTheme="minorEastAsia" w:hAnsiTheme="minorEastAsia" w:eastAsiaTheme="minorEastAsia" w:cstheme="minorEastAsia"/>
          <w:spacing w:val="1"/>
          <w:szCs w:val="30"/>
          <w:lang w:val="en-US" w:eastAsia="en-US" w:bidi="ar-SA"/>
        </w:rPr>
        <w:t>磋商供应商最终报价表</w:t>
      </w:r>
      <w:r>
        <w:tab/>
      </w:r>
      <w:r>
        <w:fldChar w:fldCharType="begin"/>
      </w:r>
      <w:r>
        <w:instrText xml:space="preserve"> PAGEREF _Toc8868 </w:instrText>
      </w:r>
      <w:r>
        <w:fldChar w:fldCharType="separate"/>
      </w:r>
      <w:r>
        <w:t>64</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_Toc21842 </w:instrText>
      </w:r>
      <w:r>
        <w:rPr>
          <w:rFonts w:hint="eastAsia" w:ascii="黑体" w:hAnsi="黑体" w:eastAsia="黑体"/>
          <w:szCs w:val="32"/>
        </w:rPr>
        <w:fldChar w:fldCharType="separate"/>
      </w:r>
      <w:r>
        <w:rPr>
          <w:rFonts w:hint="eastAsia"/>
          <w:lang w:val="zh-CN"/>
        </w:rPr>
        <w:t>第</w:t>
      </w:r>
      <w:r>
        <w:rPr>
          <w:rFonts w:hint="eastAsia"/>
          <w:lang w:val="en-US" w:eastAsia="zh-CN"/>
        </w:rPr>
        <w:t>六</w:t>
      </w:r>
      <w:r>
        <w:rPr>
          <w:rFonts w:hint="eastAsia"/>
          <w:lang w:val="zh-CN"/>
        </w:rPr>
        <w:t>部分  采购项目要求及技术参数</w:t>
      </w:r>
      <w:r>
        <w:tab/>
      </w:r>
      <w:r>
        <w:fldChar w:fldCharType="begin"/>
      </w:r>
      <w:r>
        <w:instrText xml:space="preserve"> PAGEREF _Toc21842 </w:instrText>
      </w:r>
      <w:r>
        <w:fldChar w:fldCharType="separate"/>
      </w:r>
      <w:r>
        <w:t>65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_Toc14924 </w:instrText>
      </w:r>
      <w:r>
        <w:rPr>
          <w:rFonts w:hint="eastAsia" w:ascii="黑体" w:hAnsi="黑体" w:eastAsia="黑体"/>
          <w:szCs w:val="32"/>
        </w:rPr>
        <w:fldChar w:fldCharType="separate"/>
      </w:r>
      <w:r>
        <w:rPr>
          <w:rFonts w:hint="eastAsia" w:asciiTheme="minorEastAsia" w:hAnsiTheme="minorEastAsia" w:eastAsiaTheme="minorEastAsia" w:cstheme="minorEastAsia"/>
          <w:lang w:val="zh-CN"/>
        </w:rPr>
        <w:t>（一）投标要求</w:t>
      </w:r>
      <w:r>
        <w:tab/>
      </w:r>
      <w:r>
        <w:fldChar w:fldCharType="begin"/>
      </w:r>
      <w:r>
        <w:instrText xml:space="preserve"> PAGEREF _Toc14924 </w:instrText>
      </w:r>
      <w:r>
        <w:fldChar w:fldCharType="separate"/>
      </w:r>
      <w:r>
        <w:t>65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_Toc29376 </w:instrText>
      </w:r>
      <w:r>
        <w:rPr>
          <w:rFonts w:hint="eastAsia" w:ascii="黑体" w:hAnsi="黑体" w:eastAsia="黑体"/>
          <w:szCs w:val="32"/>
        </w:rPr>
        <w:fldChar w:fldCharType="separate"/>
      </w:r>
      <w:r>
        <w:rPr>
          <w:rFonts w:hint="eastAsia" w:asciiTheme="minorEastAsia" w:hAnsiTheme="minorEastAsia" w:eastAsiaTheme="minorEastAsia" w:cstheme="minorEastAsia"/>
          <w:szCs w:val="28"/>
          <w:lang w:val="zh-CN"/>
        </w:rPr>
        <w:t>1.投标说明</w:t>
      </w:r>
      <w:r>
        <w:tab/>
      </w:r>
      <w:r>
        <w:fldChar w:fldCharType="begin"/>
      </w:r>
      <w:r>
        <w:instrText xml:space="preserve"> PAGEREF _Toc29376 </w:instrText>
      </w:r>
      <w:r>
        <w:fldChar w:fldCharType="separate"/>
      </w:r>
      <w:r>
        <w:t>65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_Toc14319 </w:instrText>
      </w:r>
      <w:r>
        <w:rPr>
          <w:rFonts w:hint="eastAsia" w:ascii="黑体" w:hAnsi="黑体" w:eastAsia="黑体"/>
          <w:szCs w:val="32"/>
        </w:rPr>
        <w:fldChar w:fldCharType="separate"/>
      </w:r>
      <w:r>
        <w:rPr>
          <w:rFonts w:hint="eastAsia" w:asciiTheme="minorEastAsia" w:hAnsiTheme="minorEastAsia" w:eastAsiaTheme="minorEastAsia" w:cstheme="minorEastAsia"/>
          <w:szCs w:val="28"/>
        </w:rPr>
        <w:t>2.</w:t>
      </w:r>
      <w:r>
        <w:rPr>
          <w:rFonts w:hint="eastAsia" w:asciiTheme="minorEastAsia" w:hAnsiTheme="minorEastAsia" w:eastAsiaTheme="minorEastAsia" w:cstheme="minorEastAsia"/>
          <w:szCs w:val="28"/>
          <w:lang w:val="zh-CN"/>
        </w:rPr>
        <w:t>重要指标</w:t>
      </w:r>
      <w:r>
        <w:tab/>
      </w:r>
      <w:r>
        <w:fldChar w:fldCharType="begin"/>
      </w:r>
      <w:r>
        <w:instrText xml:space="preserve"> PAGEREF _Toc14319 </w:instrText>
      </w:r>
      <w:r>
        <w:fldChar w:fldCharType="separate"/>
      </w:r>
      <w:r>
        <w:t>65</w:t>
      </w:r>
      <w:r>
        <w:fldChar w:fldCharType="end"/>
      </w:r>
      <w:r>
        <w:rPr>
          <w:rFonts w:hint="eastAsia" w:ascii="黑体" w:hAnsi="黑体" w:eastAsia="黑体"/>
          <w:szCs w:val="32"/>
        </w:rPr>
        <w:fldChar w:fldCharType="end"/>
      </w:r>
    </w:p>
    <w:p>
      <w:pPr>
        <w:pStyle w:val="11"/>
        <w:tabs>
          <w:tab w:val="right" w:leader="dot" w:pos="8306"/>
        </w:tabs>
      </w:pPr>
      <w:r>
        <w:rPr>
          <w:rFonts w:hint="eastAsia" w:ascii="黑体" w:hAnsi="黑体" w:eastAsia="黑体"/>
          <w:szCs w:val="32"/>
        </w:rPr>
        <w:fldChar w:fldCharType="begin"/>
      </w:r>
      <w:r>
        <w:rPr>
          <w:rFonts w:hint="eastAsia" w:ascii="黑体" w:hAnsi="黑体" w:eastAsia="黑体"/>
          <w:szCs w:val="32"/>
        </w:rPr>
        <w:instrText xml:space="preserve"> HYPERLINK \l _Toc28335 </w:instrText>
      </w:r>
      <w:r>
        <w:rPr>
          <w:rFonts w:hint="eastAsia" w:ascii="黑体" w:hAnsi="黑体" w:eastAsia="黑体"/>
          <w:szCs w:val="32"/>
        </w:rPr>
        <w:fldChar w:fldCharType="separate"/>
      </w:r>
      <w:r>
        <w:rPr>
          <w:rFonts w:hint="eastAsia" w:asciiTheme="minorEastAsia" w:hAnsiTheme="minorEastAsia" w:eastAsiaTheme="minorEastAsia" w:cstheme="minorEastAsia"/>
          <w:szCs w:val="28"/>
        </w:rPr>
        <w:t>3</w:t>
      </w:r>
      <w:r>
        <w:rPr>
          <w:rFonts w:hint="eastAsia" w:asciiTheme="minorEastAsia" w:hAnsiTheme="minorEastAsia" w:eastAsiaTheme="minorEastAsia" w:cstheme="minorEastAsia"/>
          <w:szCs w:val="28"/>
          <w:lang w:val="zh-CN"/>
        </w:rPr>
        <w:t>.商务要求</w:t>
      </w:r>
      <w:r>
        <w:tab/>
      </w:r>
      <w:r>
        <w:fldChar w:fldCharType="begin"/>
      </w:r>
      <w:r>
        <w:instrText xml:space="preserve"> PAGEREF _Toc28335 </w:instrText>
      </w:r>
      <w:r>
        <w:fldChar w:fldCharType="separate"/>
      </w:r>
      <w:r>
        <w:t>65</w:t>
      </w:r>
      <w:r>
        <w:fldChar w:fldCharType="end"/>
      </w:r>
      <w:r>
        <w:rPr>
          <w:rFonts w:hint="eastAsia" w:ascii="黑体" w:hAnsi="黑体" w:eastAsia="黑体"/>
          <w:szCs w:val="32"/>
        </w:rPr>
        <w:fldChar w:fldCharType="end"/>
      </w:r>
    </w:p>
    <w:p>
      <w:pPr>
        <w:pStyle w:val="9"/>
        <w:rPr>
          <w:rFonts w:hint="eastAsia" w:ascii="黑体" w:hAnsi="黑体" w:eastAsia="黑体"/>
          <w:b/>
          <w:sz w:val="32"/>
          <w:szCs w:val="32"/>
        </w:rPr>
      </w:pPr>
      <w:r>
        <w:rPr>
          <w:rFonts w:hint="eastAsia" w:ascii="黑体" w:hAnsi="黑体" w:eastAsia="黑体"/>
          <w:szCs w:val="32"/>
        </w:rPr>
        <w:fldChar w:fldCharType="end"/>
      </w:r>
    </w:p>
    <w:p>
      <w:pPr>
        <w:pStyle w:val="3"/>
        <w:bidi w:val="0"/>
        <w:rPr>
          <w:rFonts w:hint="eastAsia"/>
        </w:rPr>
      </w:pPr>
    </w:p>
    <w:p>
      <w:pPr>
        <w:pStyle w:val="3"/>
        <w:bidi w:val="0"/>
        <w:rPr>
          <w:rFonts w:hint="eastAsia"/>
        </w:rPr>
      </w:pPr>
    </w:p>
    <w:p>
      <w:pPr>
        <w:pStyle w:val="3"/>
        <w:bidi w:val="0"/>
        <w:rPr>
          <w:rFonts w:hint="eastAsia"/>
        </w:rPr>
      </w:pPr>
    </w:p>
    <w:p>
      <w:pPr>
        <w:pStyle w:val="3"/>
        <w:bidi w:val="0"/>
        <w:jc w:val="both"/>
        <w:rPr>
          <w:rFonts w:hint="eastAsia"/>
        </w:rPr>
      </w:pPr>
      <w:bookmarkStart w:id="0" w:name="_Toc9111"/>
      <w:bookmarkStart w:id="1" w:name="_Toc447725347"/>
      <w:bookmarkStart w:id="2" w:name="_Toc29083"/>
      <w:bookmarkStart w:id="3" w:name="_Toc8976781"/>
    </w:p>
    <w:bookmarkEnd w:id="0"/>
    <w:bookmarkEnd w:id="1"/>
    <w:bookmarkEnd w:id="2"/>
    <w:bookmarkEnd w:id="3"/>
    <w:p>
      <w:pPr>
        <w:pageBreakBefore w:val="0"/>
        <w:widowControl w:val="0"/>
        <w:kinsoku/>
        <w:wordWrap/>
        <w:overflowPunct/>
        <w:topLinePunct w:val="0"/>
        <w:autoSpaceDE w:val="0"/>
        <w:autoSpaceDN w:val="0"/>
        <w:bidi w:val="0"/>
        <w:adjustRightInd w:val="0"/>
        <w:snapToGrid/>
        <w:spacing w:line="360" w:lineRule="auto"/>
        <w:ind w:firstLine="420" w:firstLineChars="200"/>
        <w:textAlignment w:val="top"/>
        <w:rPr>
          <w:rFonts w:hint="eastAsia" w:ascii="宋体" w:cs="宋体"/>
          <w:color w:val="000000"/>
          <w:u w:val="single"/>
          <w:lang w:val="zh-CN"/>
        </w:rPr>
      </w:pPr>
    </w:p>
    <w:p>
      <w:pPr>
        <w:pStyle w:val="3"/>
        <w:bidi w:val="0"/>
        <w:jc w:val="center"/>
      </w:pPr>
      <w:r>
        <w:rPr>
          <w:rFonts w:hint="eastAsia"/>
        </w:rPr>
        <w:t>第一部分竞争性磋商</w:t>
      </w:r>
      <w:r>
        <w:rPr>
          <w:rFonts w:hint="eastAsia"/>
          <w:lang w:eastAsia="zh-CN"/>
        </w:rPr>
        <w:t>邀请</w:t>
      </w:r>
      <w:r>
        <w:rPr>
          <w:rFonts w:hint="eastAsia"/>
        </w:rPr>
        <w:t>公告</w:t>
      </w:r>
    </w:p>
    <w:p>
      <w:pPr>
        <w:pageBreakBefore w:val="0"/>
        <w:widowControl w:val="0"/>
        <w:kinsoku/>
        <w:wordWrap/>
        <w:overflowPunct/>
        <w:topLinePunct w:val="0"/>
        <w:autoSpaceDE w:val="0"/>
        <w:autoSpaceDN w:val="0"/>
        <w:bidi w:val="0"/>
        <w:adjustRightInd w:val="0"/>
        <w:snapToGrid/>
        <w:spacing w:line="360" w:lineRule="auto"/>
        <w:ind w:firstLine="420" w:firstLineChars="200"/>
        <w:textAlignment w:val="top"/>
        <w:rPr>
          <w:rFonts w:ascii="宋体" w:cs="宋体"/>
          <w:color w:val="000000"/>
          <w:lang w:val="zh-CN"/>
        </w:rPr>
      </w:pPr>
      <w:r>
        <w:rPr>
          <w:rFonts w:hint="eastAsia" w:ascii="宋体" w:cs="宋体"/>
          <w:color w:val="000000"/>
          <w:u w:val="single"/>
          <w:lang w:val="zh-CN"/>
        </w:rPr>
        <w:t>青海利仁建设项目管理有限公司</w:t>
      </w:r>
      <w:r>
        <w:rPr>
          <w:rFonts w:hint="eastAsia" w:ascii="宋体" w:cs="宋体"/>
          <w:color w:val="000000"/>
          <w:lang w:val="zh-CN"/>
        </w:rPr>
        <w:t>（以下均简称“采购代理机构”）受</w:t>
      </w:r>
      <w:r>
        <w:rPr>
          <w:rFonts w:hint="eastAsia" w:ascii="宋体" w:cs="宋体"/>
          <w:u w:val="single"/>
          <w:lang w:val="en-US" w:eastAsia="zh-CN"/>
        </w:rPr>
        <w:t>海北州藏医院</w:t>
      </w:r>
      <w:r>
        <w:rPr>
          <w:rFonts w:hint="eastAsia" w:ascii="宋体" w:cs="宋体"/>
        </w:rPr>
        <w:t>（</w:t>
      </w:r>
      <w:r>
        <w:rPr>
          <w:rFonts w:hint="eastAsia" w:ascii="宋体" w:cs="宋体"/>
          <w:color w:val="000000"/>
          <w:lang w:val="zh-CN"/>
        </w:rPr>
        <w:t>以下均简称“采购人”）委托,拟对</w:t>
      </w:r>
      <w:r>
        <w:rPr>
          <w:rFonts w:hint="eastAsia" w:ascii="宋体" w:cs="宋体"/>
          <w:color w:val="000000"/>
          <w:u w:val="single"/>
          <w:lang w:val="en-US" w:eastAsia="zh-CN"/>
        </w:rPr>
        <w:t>海北州藏医院库房配套设备项目</w:t>
      </w:r>
      <w:r>
        <w:rPr>
          <w:rFonts w:hint="eastAsia" w:ascii="宋体" w:cs="宋体"/>
          <w:color w:val="000000"/>
          <w:u w:val="single"/>
          <w:lang w:val="zh-CN"/>
        </w:rPr>
        <w:t xml:space="preserve"> （项</w:t>
      </w:r>
      <w:r>
        <w:rPr>
          <w:rFonts w:hint="eastAsia" w:ascii="宋体" w:cs="宋体"/>
          <w:u w:val="single"/>
          <w:lang w:val="zh-CN"/>
        </w:rPr>
        <w:t>目编号：青海利仁竞磋（</w:t>
      </w:r>
      <w:r>
        <w:rPr>
          <w:rFonts w:hint="eastAsia" w:ascii="宋体" w:cs="宋体"/>
          <w:u w:val="single"/>
          <w:lang w:val="en-US" w:eastAsia="zh-CN"/>
        </w:rPr>
        <w:t>货物</w:t>
      </w:r>
      <w:r>
        <w:rPr>
          <w:rFonts w:hint="eastAsia" w:ascii="宋体" w:cs="宋体"/>
          <w:u w:val="single"/>
          <w:lang w:val="zh-CN"/>
        </w:rPr>
        <w:t>）2020-0</w:t>
      </w:r>
      <w:r>
        <w:rPr>
          <w:rFonts w:hint="eastAsia" w:ascii="宋体" w:cs="宋体"/>
          <w:u w:val="single"/>
        </w:rPr>
        <w:t>0</w:t>
      </w:r>
      <w:r>
        <w:rPr>
          <w:rFonts w:hint="eastAsia" w:ascii="宋体" w:cs="宋体"/>
          <w:u w:val="single"/>
          <w:lang w:val="en-US" w:eastAsia="zh-CN"/>
        </w:rPr>
        <w:t>7</w:t>
      </w:r>
      <w:r>
        <w:rPr>
          <w:rFonts w:hint="eastAsia" w:ascii="宋体" w:cs="宋体"/>
          <w:u w:val="single"/>
          <w:lang w:val="zh-CN"/>
        </w:rPr>
        <w:t>）</w:t>
      </w:r>
      <w:r>
        <w:rPr>
          <w:rFonts w:hint="eastAsia" w:ascii="宋体" w:cs="宋体"/>
          <w:color w:val="000000"/>
          <w:lang w:val="zh-CN"/>
        </w:rPr>
        <w:t>进行国内竞争性磋商采购，现予以公告，</w:t>
      </w:r>
      <w:r>
        <w:rPr>
          <w:rFonts w:hint="eastAsia" w:ascii="宋体" w:hAnsi="宋体"/>
        </w:rPr>
        <w:t>欢迎符合条件的供应商前来参加磋商</w:t>
      </w:r>
      <w:r>
        <w:rPr>
          <w:rFonts w:hint="eastAsia" w:ascii="宋体" w:hAnsi="宋体"/>
          <w:lang w:val="zh-CN"/>
        </w:rPr>
        <w:t>。</w:t>
      </w:r>
    </w:p>
    <w:tbl>
      <w:tblPr>
        <w:tblStyle w:val="17"/>
        <w:tblW w:w="8565" w:type="dxa"/>
        <w:jc w:val="center"/>
        <w:tblLayout w:type="fixed"/>
        <w:tblCellMar>
          <w:top w:w="0" w:type="dxa"/>
          <w:left w:w="108" w:type="dxa"/>
          <w:bottom w:w="0" w:type="dxa"/>
          <w:right w:w="108" w:type="dxa"/>
        </w:tblCellMar>
      </w:tblPr>
      <w:tblGrid>
        <w:gridCol w:w="1674"/>
        <w:gridCol w:w="6891"/>
      </w:tblGrid>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采购项目编号</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hint="eastAsia" w:ascii="宋体" w:hAnsi="宋体" w:eastAsia="宋体" w:cs="宋体"/>
                <w:color w:val="000000"/>
                <w:lang w:eastAsia="zh-CN"/>
              </w:rPr>
            </w:pPr>
            <w:r>
              <w:rPr>
                <w:rFonts w:hint="eastAsia" w:ascii="宋体" w:cs="宋体"/>
                <w:lang w:val="zh-CN"/>
              </w:rPr>
              <w:t>青海利仁竞磋（</w:t>
            </w:r>
            <w:r>
              <w:rPr>
                <w:rFonts w:hint="eastAsia" w:ascii="宋体" w:cs="宋体"/>
                <w:lang w:val="en-US" w:eastAsia="zh-CN"/>
              </w:rPr>
              <w:t>货物</w:t>
            </w:r>
            <w:r>
              <w:rPr>
                <w:rFonts w:hint="eastAsia" w:ascii="宋体" w:cs="宋体"/>
                <w:lang w:val="zh-CN"/>
              </w:rPr>
              <w:t>）2020-0</w:t>
            </w:r>
            <w:r>
              <w:rPr>
                <w:rFonts w:hint="eastAsia" w:ascii="宋体" w:cs="宋体"/>
              </w:rPr>
              <w:t>0</w:t>
            </w:r>
            <w:r>
              <w:rPr>
                <w:rFonts w:hint="eastAsia" w:ascii="宋体" w:cs="宋体"/>
                <w:lang w:val="en-US" w:eastAsia="zh-CN"/>
              </w:rPr>
              <w:t>7</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采购项目名称</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cs="宋体"/>
                <w:color w:val="000000"/>
                <w:u w:val="none"/>
                <w:lang w:val="en-US" w:eastAsia="zh-CN"/>
              </w:rPr>
              <w:t>海北州藏医院库房配套设备项目</w:t>
            </w:r>
            <w:r>
              <w:rPr>
                <w:rFonts w:hint="eastAsia" w:ascii="宋体" w:hAnsi="宋体" w:cs="宋体"/>
                <w:b/>
                <w:bCs/>
                <w:color w:val="000000"/>
                <w:sz w:val="32"/>
                <w:szCs w:val="32"/>
                <w:lang w:val="zh-CN"/>
              </w:rPr>
              <w:t xml:space="preserve"> </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采购方式</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rPr>
              <w:t>竞争性磋商</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采购预算额度</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snapToGrid/>
              <w:spacing w:line="360" w:lineRule="auto"/>
              <w:textAlignment w:val="top"/>
              <w:rPr>
                <w:rFonts w:ascii="宋体" w:hAnsi="宋体" w:cs="宋体"/>
                <w:color w:val="000000"/>
                <w:lang w:val="zh-CN"/>
              </w:rPr>
            </w:pPr>
            <w:r>
              <w:rPr>
                <w:rFonts w:hint="eastAsia" w:ascii="宋体" w:hAnsi="宋体" w:cs="宋体"/>
                <w:color w:val="000000"/>
                <w:lang w:val="zh-CN"/>
              </w:rPr>
              <w:t>人民币</w:t>
            </w:r>
            <w:r>
              <w:rPr>
                <w:rFonts w:hint="eastAsia" w:ascii="宋体" w:hAnsi="宋体" w:cs="宋体"/>
                <w:color w:val="000000"/>
                <w:lang w:val="en-US" w:eastAsia="zh-CN"/>
              </w:rPr>
              <w:t>9</w:t>
            </w:r>
            <w:r>
              <w:rPr>
                <w:rFonts w:hint="eastAsia" w:ascii="宋体" w:hAnsi="宋体" w:cs="宋体"/>
                <w:color w:val="000000"/>
              </w:rPr>
              <w:t>万</w:t>
            </w:r>
            <w:r>
              <w:rPr>
                <w:rFonts w:hint="eastAsia" w:ascii="宋体" w:hAnsi="宋体" w:cs="宋体"/>
                <w:color w:val="000000"/>
                <w:lang w:val="zh-CN"/>
              </w:rPr>
              <w:t>元</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项目分包个数</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snapToGrid/>
              <w:spacing w:line="360" w:lineRule="auto"/>
              <w:textAlignment w:val="top"/>
              <w:rPr>
                <w:rFonts w:ascii="宋体" w:hAnsi="宋体" w:cs="宋体"/>
                <w:color w:val="000000"/>
                <w:lang w:val="zh-CN"/>
              </w:rPr>
            </w:pPr>
            <w:r>
              <w:rPr>
                <w:rFonts w:hint="eastAsia" w:ascii="宋体" w:hAnsi="宋体" w:cs="宋体"/>
                <w:color w:val="000000"/>
                <w:lang w:val="zh-CN"/>
              </w:rPr>
              <w:t>无</w:t>
            </w:r>
          </w:p>
        </w:tc>
      </w:tr>
      <w:tr>
        <w:tblPrEx>
          <w:tblCellMar>
            <w:top w:w="0" w:type="dxa"/>
            <w:left w:w="108" w:type="dxa"/>
            <w:bottom w:w="0" w:type="dxa"/>
            <w:right w:w="108" w:type="dxa"/>
          </w:tblCellMar>
        </w:tblPrEx>
        <w:trPr>
          <w:trHeight w:val="90"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要求</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u w:val="dashDotHeavy"/>
                <w:lang w:val="zh-CN"/>
              </w:rPr>
            </w:pPr>
            <w:r>
              <w:rPr>
                <w:rFonts w:hint="eastAsia" w:ascii="宋体" w:hAnsi="宋体" w:cs="宋体"/>
                <w:color w:val="000000"/>
                <w:lang w:val="zh-CN"/>
              </w:rPr>
              <w:t>具体内容详见</w:t>
            </w:r>
            <w:r>
              <w:rPr>
                <w:rFonts w:hint="eastAsia" w:ascii="宋体" w:hAnsi="宋体" w:cs="宋体"/>
                <w:color w:val="000000"/>
              </w:rPr>
              <w:t>《竞争性磋商文件》</w:t>
            </w:r>
          </w:p>
        </w:tc>
      </w:tr>
      <w:tr>
        <w:tblPrEx>
          <w:tblCellMar>
            <w:top w:w="0" w:type="dxa"/>
            <w:left w:w="108" w:type="dxa"/>
            <w:bottom w:w="0" w:type="dxa"/>
            <w:right w:w="108" w:type="dxa"/>
          </w:tblCellMar>
        </w:tblPrEx>
        <w:trPr>
          <w:trHeight w:val="324"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投标人资格要求</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bidi w:val="0"/>
              <w:snapToGrid/>
              <w:spacing w:line="360" w:lineRule="auto"/>
              <w:textAlignment w:val="top"/>
              <w:rPr>
                <w:rFonts w:ascii="宋体" w:hAnsi="宋体" w:cs="宋体"/>
                <w:color w:val="000000"/>
              </w:rPr>
            </w:pPr>
            <w:r>
              <w:rPr>
                <w:rFonts w:hint="eastAsia" w:ascii="宋体" w:hAnsi="宋体" w:cs="宋体"/>
                <w:color w:val="000000"/>
              </w:rPr>
              <w:t>1、应具备《政府采购法》第22条所规定的条件：</w:t>
            </w:r>
          </w:p>
          <w:p>
            <w:pPr>
              <w:pageBreakBefore w:val="0"/>
              <w:widowControl w:val="0"/>
              <w:kinsoku/>
              <w:wordWrap/>
              <w:overflowPunct/>
              <w:topLinePunct w:val="0"/>
              <w:bidi w:val="0"/>
              <w:snapToGrid/>
              <w:spacing w:line="360" w:lineRule="auto"/>
              <w:textAlignment w:val="top"/>
              <w:rPr>
                <w:rFonts w:ascii="宋体" w:hAnsi="宋体" w:cs="宋体"/>
                <w:color w:val="000000"/>
              </w:rPr>
            </w:pPr>
            <w:r>
              <w:rPr>
                <w:rFonts w:hint="eastAsia" w:ascii="宋体" w:hAnsi="宋体" w:cs="宋体"/>
                <w:color w:val="000000"/>
              </w:rPr>
              <w:t>（1）</w:t>
            </w:r>
            <w:r>
              <w:rPr>
                <w:rFonts w:hint="eastAsia" w:ascii="宋体" w:cs="宋体"/>
                <w:lang w:val="zh-CN"/>
              </w:rPr>
              <w:t>供应商</w:t>
            </w:r>
            <w:r>
              <w:rPr>
                <w:rFonts w:hint="eastAsia" w:ascii="宋体" w:hAnsi="宋体" w:cs="宋体"/>
                <w:color w:val="000000"/>
              </w:rPr>
              <w:t>的营业执照等证明文件，自然人的身份证明；</w:t>
            </w:r>
          </w:p>
          <w:p>
            <w:pPr>
              <w:pageBreakBefore w:val="0"/>
              <w:widowControl w:val="0"/>
              <w:kinsoku/>
              <w:wordWrap/>
              <w:overflowPunct/>
              <w:topLinePunct w:val="0"/>
              <w:bidi w:val="0"/>
              <w:snapToGrid/>
              <w:spacing w:line="360" w:lineRule="auto"/>
              <w:textAlignment w:val="top"/>
              <w:rPr>
                <w:rFonts w:ascii="宋体" w:hAnsi="宋体" w:cs="宋体"/>
                <w:color w:val="000000"/>
              </w:rPr>
            </w:pPr>
            <w:r>
              <w:rPr>
                <w:rFonts w:hint="eastAsia" w:ascii="宋体" w:hAnsi="宋体" w:cs="宋体"/>
                <w:color w:val="000000"/>
              </w:rPr>
              <w:t>（2）财务状况报告和依法缴纳税收和社会保障资金的相关材料；</w:t>
            </w:r>
            <w:r>
              <w:rPr>
                <w:rFonts w:ascii="宋体" w:hAnsi="宋体" w:cs="宋体"/>
                <w:color w:val="000000"/>
              </w:rPr>
              <w:t xml:space="preserve"> </w:t>
            </w:r>
          </w:p>
          <w:p>
            <w:pPr>
              <w:pageBreakBefore w:val="0"/>
              <w:widowControl w:val="0"/>
              <w:kinsoku/>
              <w:wordWrap/>
              <w:overflowPunct/>
              <w:topLinePunct w:val="0"/>
              <w:bidi w:val="0"/>
              <w:snapToGrid/>
              <w:spacing w:line="360" w:lineRule="auto"/>
              <w:textAlignment w:val="top"/>
              <w:rPr>
                <w:rFonts w:ascii="宋体" w:hAnsi="宋体" w:cs="宋体"/>
                <w:color w:val="000000"/>
              </w:rPr>
            </w:pPr>
            <w:r>
              <w:rPr>
                <w:rFonts w:hint="eastAsia" w:ascii="宋体" w:hAnsi="宋体" w:cs="宋体"/>
                <w:color w:val="000000"/>
              </w:rPr>
              <w:t>（3）具备履行合同所必须的设备和专业技术能力的证明材料；</w:t>
            </w:r>
          </w:p>
          <w:p>
            <w:pPr>
              <w:pageBreakBefore w:val="0"/>
              <w:widowControl w:val="0"/>
              <w:kinsoku/>
              <w:wordWrap/>
              <w:overflowPunct/>
              <w:topLinePunct w:val="0"/>
              <w:bidi w:val="0"/>
              <w:snapToGrid/>
              <w:spacing w:line="360" w:lineRule="auto"/>
              <w:textAlignment w:val="top"/>
              <w:rPr>
                <w:rFonts w:ascii="宋体" w:hAnsi="宋体" w:cs="宋体"/>
                <w:color w:val="000000"/>
              </w:rPr>
            </w:pPr>
            <w:r>
              <w:rPr>
                <w:rFonts w:hint="eastAsia" w:ascii="宋体" w:hAnsi="宋体" w:cs="宋体"/>
                <w:color w:val="000000"/>
              </w:rPr>
              <w:t>（4）参加政府采购活动前3年内在经营活动中没有重大违法记录的书面声明；</w:t>
            </w:r>
          </w:p>
          <w:p>
            <w:pPr>
              <w:pageBreakBefore w:val="0"/>
              <w:widowControl w:val="0"/>
              <w:kinsoku/>
              <w:wordWrap/>
              <w:overflowPunct/>
              <w:topLinePunct w:val="0"/>
              <w:bidi w:val="0"/>
              <w:snapToGrid/>
              <w:spacing w:line="360" w:lineRule="auto"/>
              <w:textAlignment w:val="top"/>
              <w:rPr>
                <w:rFonts w:ascii="宋体" w:hAnsi="宋体" w:cs="宋体"/>
                <w:color w:val="000000"/>
              </w:rPr>
            </w:pPr>
            <w:r>
              <w:rPr>
                <w:rFonts w:hint="eastAsia" w:ascii="宋体" w:hAnsi="宋体" w:cs="宋体"/>
                <w:color w:val="000000"/>
              </w:rPr>
              <w:t>（5）具备法律、行政法规规定的其他条件的证明材料。</w:t>
            </w:r>
          </w:p>
          <w:p>
            <w:pPr>
              <w:pageBreakBefore w:val="0"/>
              <w:widowControl w:val="0"/>
              <w:kinsoku/>
              <w:wordWrap/>
              <w:overflowPunct/>
              <w:topLinePunct w:val="0"/>
              <w:bidi w:val="0"/>
              <w:snapToGrid/>
              <w:spacing w:line="360" w:lineRule="auto"/>
              <w:textAlignment w:val="top"/>
              <w:rPr>
                <w:rFonts w:ascii="宋体" w:hAnsi="宋体" w:cs="宋体"/>
                <w:color w:val="000000"/>
              </w:rPr>
            </w:pPr>
            <w:r>
              <w:rPr>
                <w:rFonts w:hint="eastAsia" w:ascii="宋体" w:hAnsi="宋体" w:cs="宋体"/>
                <w:color w:val="000000"/>
              </w:rPr>
              <w:t>2、经信用中国（www.creditchina.gov.cn）、中国政府采购网（www.ccgp.gov.cn）等渠道查询后，列入失信被执行人、重大税收违法案件当事人名单、政府采购严重违法失信行为记录名单的，取消投标资格。（提供“信用中国”、“中国政府采购网</w:t>
            </w:r>
            <w:r>
              <w:rPr>
                <w:rFonts w:hint="eastAsia" w:ascii="宋体" w:hAnsi="宋体" w:cs="宋体"/>
                <w:sz w:val="28"/>
                <w:szCs w:val="28"/>
              </w:rPr>
              <w:t>”</w:t>
            </w:r>
            <w:r>
              <w:rPr>
                <w:rFonts w:hint="eastAsia" w:ascii="宋体" w:hAnsi="宋体" w:cs="宋体"/>
                <w:color w:val="000000"/>
              </w:rPr>
              <w:t>网站无任何不良记录的查询截图，时间为投标截止时间前20天内）。</w:t>
            </w:r>
          </w:p>
          <w:p>
            <w:pPr>
              <w:pStyle w:val="20"/>
              <w:pageBreakBefore w:val="0"/>
              <w:widowControl w:val="0"/>
              <w:kinsoku/>
              <w:wordWrap/>
              <w:overflowPunct/>
              <w:topLinePunct w:val="0"/>
              <w:autoSpaceDE w:val="0"/>
              <w:autoSpaceDN w:val="0"/>
              <w:bidi w:val="0"/>
              <w:adjustRightInd w:val="0"/>
              <w:snapToGrid/>
              <w:spacing w:line="360" w:lineRule="auto"/>
              <w:ind w:firstLine="0" w:firstLineChars="0"/>
              <w:contextualSpacing/>
              <w:textAlignment w:val="top"/>
              <w:rPr>
                <w:rFonts w:hint="eastAsia" w:ascii="宋体" w:hAnsi="宋体" w:cs="宋体" w:eastAsiaTheme="minorEastAsia"/>
                <w:color w:val="000000"/>
                <w:kern w:val="2"/>
                <w:sz w:val="21"/>
                <w:szCs w:val="24"/>
                <w:lang w:val="zh-CN" w:eastAsia="zh-CN" w:bidi="ar-SA"/>
              </w:rPr>
            </w:pPr>
            <w:r>
              <w:rPr>
                <w:rFonts w:hint="eastAsia" w:ascii="宋体" w:hAnsi="宋体" w:cs="宋体" w:eastAsiaTheme="minorEastAsia"/>
                <w:color w:val="000000"/>
                <w:kern w:val="2"/>
                <w:sz w:val="21"/>
                <w:szCs w:val="24"/>
                <w:lang w:val="en-US" w:eastAsia="zh-CN" w:bidi="ar-SA"/>
              </w:rPr>
              <w:t>3、</w:t>
            </w:r>
            <w:r>
              <w:rPr>
                <w:rFonts w:hint="eastAsia" w:ascii="宋体" w:hAnsi="宋体" w:cs="宋体" w:eastAsiaTheme="minorEastAsia"/>
                <w:color w:val="000000"/>
                <w:kern w:val="2"/>
                <w:sz w:val="21"/>
                <w:szCs w:val="24"/>
                <w:lang w:val="zh-CN" w:eastAsia="zh-CN" w:bidi="ar-SA"/>
              </w:rPr>
              <w:t>单位负责人为同一人或者存在直接控股、管理关系的不同供应商，不得参加同一合同项下的政府采购活动。否则，皆取消投标资格。</w:t>
            </w:r>
          </w:p>
          <w:p>
            <w:pPr>
              <w:pageBreakBefore w:val="0"/>
              <w:widowControl w:val="0"/>
              <w:kinsoku/>
              <w:wordWrap/>
              <w:overflowPunct/>
              <w:topLinePunct w:val="0"/>
              <w:bidi w:val="0"/>
              <w:snapToGrid/>
              <w:spacing w:line="360" w:lineRule="auto"/>
              <w:textAlignment w:val="top"/>
              <w:rPr>
                <w:rFonts w:ascii="宋体" w:hAnsi="Cambria" w:cs="宋体"/>
                <w:lang w:val="zh-CN"/>
              </w:rPr>
            </w:pPr>
            <w:r>
              <w:rPr>
                <w:rFonts w:hint="eastAsia" w:ascii="宋体" w:hAnsi="Cambria" w:cs="宋体"/>
              </w:rPr>
              <w:t>4、</w:t>
            </w:r>
            <w:r>
              <w:rPr>
                <w:rFonts w:hint="eastAsia" w:ascii="宋体" w:hAnsi="Cambria" w:cs="宋体"/>
                <w:lang w:val="zh-CN"/>
              </w:rPr>
              <w:t>为本采购项目提供整体设计、规范编制或者项目管理、监理、检测等服务的供应商，不得再参加该采购项目的其他采购活动。</w:t>
            </w:r>
          </w:p>
          <w:p>
            <w:pPr>
              <w:pageBreakBefore w:val="0"/>
              <w:widowControl w:val="0"/>
              <w:kinsoku/>
              <w:wordWrap/>
              <w:overflowPunct/>
              <w:topLinePunct w:val="0"/>
              <w:bidi w:val="0"/>
              <w:snapToGrid/>
              <w:spacing w:line="360" w:lineRule="auto"/>
              <w:textAlignment w:val="top"/>
              <w:rPr>
                <w:rFonts w:ascii="宋体" w:hAnsi="宋体" w:cs="宋体"/>
                <w:color w:val="000000"/>
              </w:rPr>
            </w:pPr>
            <w:r>
              <w:rPr>
                <w:rFonts w:hint="eastAsia" w:ascii="宋体" w:hAnsi="宋体" w:cs="宋体"/>
                <w:color w:val="000000"/>
              </w:rPr>
              <w:t>5、</w:t>
            </w:r>
            <w:r>
              <w:rPr>
                <w:rFonts w:hint="eastAsia"/>
              </w:rPr>
              <w:t>供应商须具有相应的经营范围。</w:t>
            </w:r>
          </w:p>
          <w:p>
            <w:pPr>
              <w:pStyle w:val="9"/>
              <w:pageBreakBefore w:val="0"/>
              <w:widowControl w:val="0"/>
              <w:kinsoku/>
              <w:wordWrap/>
              <w:overflowPunct/>
              <w:topLinePunct w:val="0"/>
              <w:bidi w:val="0"/>
              <w:snapToGrid/>
              <w:textAlignment w:val="top"/>
              <w:rPr>
                <w:rFonts w:hint="default" w:eastAsiaTheme="minorEastAsia"/>
                <w:lang w:val="en-US" w:eastAsia="zh-CN"/>
              </w:rPr>
            </w:pPr>
            <w:r>
              <w:rPr>
                <w:rFonts w:hint="eastAsia" w:ascii="宋体" w:hAnsi="宋体" w:cs="宋体"/>
                <w:color w:val="000000"/>
              </w:rPr>
              <w:t>6</w:t>
            </w:r>
            <w:r>
              <w:rPr>
                <w:rFonts w:hint="eastAsia" w:ascii="宋体" w:hAnsi="Cambria" w:cs="宋体" w:eastAsiaTheme="minorEastAsia"/>
                <w:kern w:val="2"/>
                <w:sz w:val="21"/>
                <w:szCs w:val="24"/>
                <w:lang w:val="zh-CN" w:eastAsia="zh-CN" w:bidi="ar-SA"/>
              </w:rPr>
              <w:t>、本项目不接受供应商以联合体方式进行投标。</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bidi w:val="0"/>
              <w:snapToGrid/>
              <w:spacing w:line="288" w:lineRule="auto"/>
              <w:textAlignment w:val="top"/>
              <w:rPr>
                <w:rFonts w:ascii="宋体" w:hAnsi="宋体" w:cs="宋体"/>
                <w:color w:val="000000"/>
              </w:rPr>
            </w:pPr>
            <w:r>
              <w:rPr>
                <w:rFonts w:hint="eastAsia" w:ascii="宋体" w:hAnsi="宋体" w:cs="宋体"/>
                <w:color w:val="000000"/>
              </w:rPr>
              <w:t>磋商公告发布时间</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eastAsia="Times New Roman" w:cs="宋体"/>
                <w:color w:val="000000"/>
              </w:rPr>
            </w:pPr>
            <w:r>
              <w:rPr>
                <w:rFonts w:hint="eastAsia" w:ascii="宋体" w:hAnsi="宋体" w:cs="宋体"/>
                <w:color w:val="000000"/>
              </w:rPr>
              <w:t>2020</w:t>
            </w:r>
            <w:r>
              <w:rPr>
                <w:rFonts w:hint="eastAsia" w:ascii="宋体" w:hAnsi="宋体" w:cs="宋体"/>
                <w:color w:val="auto"/>
              </w:rPr>
              <w:t>年</w:t>
            </w:r>
            <w:r>
              <w:rPr>
                <w:rFonts w:hint="eastAsia" w:ascii="宋体" w:hAnsi="宋体" w:cs="宋体"/>
                <w:color w:val="auto"/>
                <w:lang w:val="en-US" w:eastAsia="zh-CN"/>
              </w:rPr>
              <w:t>8</w:t>
            </w:r>
            <w:r>
              <w:rPr>
                <w:rFonts w:hint="eastAsia" w:ascii="宋体" w:hAnsi="宋体" w:cs="宋体"/>
                <w:color w:val="auto"/>
              </w:rPr>
              <w:t>月</w:t>
            </w:r>
            <w:r>
              <w:rPr>
                <w:rFonts w:hint="eastAsia" w:ascii="宋体" w:hAnsi="宋体" w:cs="宋体"/>
                <w:color w:val="auto"/>
                <w:lang w:val="en-US" w:eastAsia="zh-CN"/>
              </w:rPr>
              <w:t>24</w:t>
            </w:r>
            <w:r>
              <w:rPr>
                <w:rFonts w:hint="eastAsia" w:ascii="宋体" w:hAnsi="宋体" w:cs="宋体"/>
                <w:color w:val="auto"/>
              </w:rPr>
              <w:t>日</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bidi w:val="0"/>
              <w:snapToGrid/>
              <w:spacing w:line="288" w:lineRule="auto"/>
              <w:textAlignment w:val="top"/>
              <w:rPr>
                <w:rFonts w:ascii="宋体" w:hAnsi="宋体" w:cs="宋体"/>
                <w:color w:val="000000"/>
                <w:kern w:val="2"/>
              </w:rPr>
            </w:pPr>
            <w:r>
              <w:rPr>
                <w:rFonts w:hint="eastAsia" w:ascii="宋体" w:hAnsi="宋体" w:cs="宋体"/>
                <w:color w:val="000000"/>
              </w:rPr>
              <w:t>磋商文件发售起止时间</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outlineLvl w:val="9"/>
              <w:rPr>
                <w:rFonts w:ascii="宋体" w:hAnsi="宋体" w:cs="宋体"/>
                <w:color w:val="000000"/>
              </w:rPr>
            </w:pPr>
            <w:r>
              <w:rPr>
                <w:rFonts w:hint="eastAsia" w:ascii="宋体" w:hAnsi="宋体" w:cs="宋体"/>
              </w:rPr>
              <w:t>2020</w:t>
            </w:r>
            <w:r>
              <w:rPr>
                <w:rFonts w:hint="eastAsia" w:ascii="宋体" w:hAnsi="宋体" w:cs="宋体"/>
                <w:color w:val="auto"/>
              </w:rPr>
              <w:t>年</w:t>
            </w:r>
            <w:r>
              <w:rPr>
                <w:rFonts w:hint="eastAsia" w:ascii="宋体" w:hAnsi="宋体" w:cs="宋体"/>
                <w:color w:val="auto"/>
                <w:lang w:val="en-US" w:eastAsia="zh-CN"/>
              </w:rPr>
              <w:t>8</w:t>
            </w:r>
            <w:r>
              <w:rPr>
                <w:rFonts w:hint="eastAsia" w:ascii="宋体" w:hAnsi="宋体" w:cs="宋体"/>
                <w:color w:val="auto"/>
              </w:rPr>
              <w:t>月</w:t>
            </w:r>
            <w:r>
              <w:rPr>
                <w:rFonts w:hint="eastAsia" w:ascii="宋体" w:hAnsi="宋体" w:cs="宋体"/>
                <w:color w:val="auto"/>
                <w:lang w:val="en-US" w:eastAsia="zh-CN"/>
              </w:rPr>
              <w:t>25</w:t>
            </w:r>
            <w:r>
              <w:rPr>
                <w:rFonts w:hint="eastAsia" w:ascii="宋体" w:hAnsi="宋体" w:cs="宋体"/>
                <w:color w:val="auto"/>
              </w:rPr>
              <w:t>日至2020年</w:t>
            </w:r>
            <w:r>
              <w:rPr>
                <w:rFonts w:hint="eastAsia" w:ascii="宋体" w:hAnsi="宋体" w:cs="宋体"/>
                <w:color w:val="auto"/>
                <w:lang w:val="en-US" w:eastAsia="zh-CN"/>
              </w:rPr>
              <w:t>8</w:t>
            </w:r>
            <w:r>
              <w:rPr>
                <w:rFonts w:hint="eastAsia" w:ascii="宋体" w:hAnsi="宋体" w:cs="宋体"/>
                <w:color w:val="auto"/>
              </w:rPr>
              <w:t>月</w:t>
            </w:r>
            <w:r>
              <w:rPr>
                <w:rFonts w:hint="eastAsia" w:ascii="宋体" w:hAnsi="宋体" w:cs="宋体"/>
                <w:color w:val="auto"/>
                <w:lang w:val="en-US" w:eastAsia="zh-CN"/>
              </w:rPr>
              <w:t>31</w:t>
            </w:r>
            <w:r>
              <w:rPr>
                <w:rFonts w:hint="eastAsia" w:ascii="宋体" w:hAnsi="宋体" w:cs="宋体"/>
              </w:rPr>
              <w:t>日，每天上午9:00-12:00,下午14:30-17:30（午休、节假日除外）</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bidi w:val="0"/>
              <w:snapToGrid/>
              <w:spacing w:line="288" w:lineRule="auto"/>
              <w:textAlignment w:val="top"/>
              <w:rPr>
                <w:rFonts w:ascii="宋体" w:hAnsi="宋体" w:cs="宋体"/>
                <w:color w:val="000000"/>
                <w:kern w:val="2"/>
              </w:rPr>
            </w:pPr>
            <w:r>
              <w:rPr>
                <w:rFonts w:hint="eastAsia" w:ascii="宋体" w:hAnsi="宋体" w:cs="宋体"/>
                <w:color w:val="000000"/>
              </w:rPr>
              <w:t>磋商文件发售方式</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现场购买或网上购买</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bidi w:val="0"/>
              <w:snapToGrid/>
              <w:spacing w:line="288" w:lineRule="auto"/>
              <w:textAlignment w:val="top"/>
              <w:rPr>
                <w:rFonts w:ascii="宋体" w:hAnsi="宋体" w:cs="宋体"/>
                <w:color w:val="000000"/>
                <w:kern w:val="2"/>
              </w:rPr>
            </w:pPr>
            <w:r>
              <w:rPr>
                <w:rFonts w:hint="eastAsia" w:ascii="宋体" w:hAnsi="宋体" w:cs="宋体"/>
                <w:color w:val="000000"/>
              </w:rPr>
              <w:t>磋商文件售价</w:t>
            </w:r>
          </w:p>
        </w:tc>
        <w:tc>
          <w:tcPr>
            <w:tcW w:w="6891" w:type="dxa"/>
            <w:tcBorders>
              <w:top w:val="single" w:color="000000" w:sz="6" w:space="0"/>
              <w:left w:val="single" w:color="000000" w:sz="6" w:space="0"/>
              <w:bottom w:val="single" w:color="000000" w:sz="6" w:space="0"/>
              <w:right w:val="single" w:color="000000" w:sz="6" w:space="0"/>
            </w:tcBorders>
            <w:vAlign w:val="center"/>
          </w:tcPr>
          <w:p>
            <w:pPr>
              <w:pStyle w:val="5"/>
              <w:pageBreakBefore w:val="0"/>
              <w:widowControl w:val="0"/>
              <w:kinsoku/>
              <w:wordWrap/>
              <w:overflowPunct/>
              <w:topLinePunct w:val="0"/>
              <w:bidi w:val="0"/>
              <w:snapToGrid/>
              <w:spacing w:line="360" w:lineRule="auto"/>
              <w:jc w:val="both"/>
              <w:textAlignment w:val="top"/>
              <w:rPr>
                <w:rFonts w:ascii="宋体" w:hAnsi="宋体" w:cs="宋体"/>
                <w:color w:val="000000"/>
                <w:kern w:val="0"/>
                <w:lang w:val="zh-CN"/>
              </w:rPr>
            </w:pPr>
            <w:r>
              <w:rPr>
                <w:rFonts w:hint="eastAsia" w:ascii="宋体" w:hAnsi="宋体" w:cs="宋体"/>
                <w:color w:val="000000"/>
                <w:kern w:val="0"/>
              </w:rPr>
              <w:t>5</w:t>
            </w:r>
            <w:r>
              <w:rPr>
                <w:rFonts w:hint="eastAsia" w:ascii="宋体" w:hAnsi="宋体" w:cs="宋体"/>
                <w:color w:val="000000"/>
                <w:kern w:val="0"/>
                <w:lang w:val="zh-CN"/>
              </w:rPr>
              <w:t>00元（招标文件售后不退,投标资格不能转让。）</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bidi w:val="0"/>
              <w:snapToGrid/>
              <w:spacing w:line="288" w:lineRule="auto"/>
              <w:textAlignment w:val="top"/>
              <w:rPr>
                <w:rFonts w:ascii="宋体" w:hAnsi="宋体" w:cs="宋体"/>
                <w:color w:val="000000"/>
                <w:kern w:val="2"/>
              </w:rPr>
            </w:pPr>
            <w:r>
              <w:rPr>
                <w:rFonts w:hint="eastAsia" w:ascii="宋体" w:hAnsi="宋体" w:cs="宋体"/>
                <w:color w:val="000000"/>
              </w:rPr>
              <w:t>磋商文件发售地点</w:t>
            </w:r>
          </w:p>
        </w:tc>
        <w:tc>
          <w:tcPr>
            <w:tcW w:w="6891" w:type="dxa"/>
            <w:tcBorders>
              <w:top w:val="single" w:color="000000" w:sz="6" w:space="0"/>
              <w:left w:val="single" w:color="000000" w:sz="6" w:space="0"/>
              <w:bottom w:val="single" w:color="000000" w:sz="6" w:space="0"/>
              <w:right w:val="single" w:color="000000" w:sz="6" w:space="0"/>
            </w:tcBorders>
          </w:tcPr>
          <w:p>
            <w:pPr>
              <w:pageBreakBefore w:val="0"/>
              <w:widowControl w:val="0"/>
              <w:kinsoku/>
              <w:wordWrap/>
              <w:overflowPunct/>
              <w:topLinePunct w:val="0"/>
              <w:autoSpaceDE w:val="0"/>
              <w:autoSpaceDN w:val="0"/>
              <w:bidi w:val="0"/>
              <w:snapToGrid/>
              <w:spacing w:line="500" w:lineRule="exact"/>
              <w:textAlignment w:val="top"/>
              <w:rPr>
                <w:rFonts w:ascii="宋体" w:hAnsi="宋体" w:cs="宋体"/>
                <w:color w:val="000000"/>
                <w:lang w:val="zh-CN"/>
              </w:rPr>
            </w:pPr>
            <w:r>
              <w:rPr>
                <w:rFonts w:hint="eastAsia" w:ascii="宋体" w:hAnsi="宋体" w:cs="宋体"/>
                <w:color w:val="000000"/>
                <w:lang w:val="zh-CN"/>
              </w:rPr>
              <w:t>地址：</w:t>
            </w:r>
            <w:r>
              <w:rPr>
                <w:rFonts w:hint="eastAsia" w:ascii="宋体" w:hAnsi="宋体"/>
              </w:rPr>
              <w:t>西宁市西川南路76号万达中心1号写字楼30楼13001室</w:t>
            </w:r>
          </w:p>
          <w:p>
            <w:pPr>
              <w:pageBreakBefore w:val="0"/>
              <w:widowControl w:val="0"/>
              <w:kinsoku/>
              <w:wordWrap/>
              <w:overflowPunct/>
              <w:topLinePunct w:val="0"/>
              <w:autoSpaceDE w:val="0"/>
              <w:autoSpaceDN w:val="0"/>
              <w:bidi w:val="0"/>
              <w:snapToGrid/>
              <w:spacing w:line="500" w:lineRule="exact"/>
              <w:textAlignment w:val="top"/>
              <w:rPr>
                <w:rFonts w:ascii="宋体" w:hAnsi="宋体" w:cs="宋体"/>
                <w:color w:val="000000"/>
                <w:kern w:val="2"/>
                <w:lang w:val="zh-CN"/>
              </w:rPr>
            </w:pPr>
            <w:r>
              <w:rPr>
                <w:rFonts w:hint="eastAsia" w:ascii="宋体" w:hAnsi="宋体" w:cs="宋体"/>
                <w:color w:val="000000"/>
                <w:lang w:val="zh-CN"/>
              </w:rPr>
              <w:t>标书购买联系人：何先生</w:t>
            </w:r>
          </w:p>
          <w:p>
            <w:pPr>
              <w:pageBreakBefore w:val="0"/>
              <w:widowControl w:val="0"/>
              <w:kinsoku/>
              <w:wordWrap/>
              <w:overflowPunct/>
              <w:topLinePunct w:val="0"/>
              <w:autoSpaceDE w:val="0"/>
              <w:autoSpaceDN w:val="0"/>
              <w:bidi w:val="0"/>
              <w:snapToGrid/>
              <w:spacing w:line="500" w:lineRule="exact"/>
              <w:textAlignment w:val="top"/>
              <w:rPr>
                <w:rFonts w:ascii="宋体" w:hAnsi="宋体" w:cs="宋体"/>
                <w:color w:val="000000"/>
              </w:rPr>
            </w:pPr>
            <w:r>
              <w:rPr>
                <w:rFonts w:hint="eastAsia" w:ascii="宋体" w:hAnsi="宋体" w:cs="宋体"/>
                <w:color w:val="000000"/>
                <w:lang w:val="zh-CN"/>
              </w:rPr>
              <w:t>联系电话：0971-</w:t>
            </w:r>
            <w:r>
              <w:rPr>
                <w:rFonts w:hint="eastAsia" w:ascii="宋体" w:hAnsi="宋体" w:cs="宋体"/>
                <w:color w:val="000000"/>
              </w:rPr>
              <w:t>6161687</w:t>
            </w:r>
          </w:p>
          <w:p>
            <w:pPr>
              <w:pageBreakBefore w:val="0"/>
              <w:widowControl w:val="0"/>
              <w:kinsoku/>
              <w:wordWrap/>
              <w:overflowPunct/>
              <w:topLinePunct w:val="0"/>
              <w:bidi w:val="0"/>
              <w:snapToGrid/>
              <w:spacing w:line="288" w:lineRule="auto"/>
              <w:textAlignment w:val="top"/>
              <w:rPr>
                <w:rFonts w:ascii="宋体" w:cs="宋体"/>
                <w:color w:val="000000"/>
                <w:sz w:val="22"/>
                <w:szCs w:val="22"/>
                <w:lang w:val="zh-CN"/>
              </w:rPr>
            </w:pPr>
            <w:r>
              <w:rPr>
                <w:rFonts w:hint="eastAsia" w:ascii="宋体" w:hAnsi="宋体" w:cs="宋体"/>
                <w:color w:val="000000"/>
                <w:lang w:val="zh-CN"/>
              </w:rPr>
              <w:t>电子邮箱</w:t>
            </w:r>
            <w:r>
              <w:rPr>
                <w:rFonts w:hint="eastAsia" w:ascii="宋体" w:hAnsi="宋体" w:cs="宋体"/>
                <w:color w:val="000000"/>
              </w:rPr>
              <w:t>：</w:t>
            </w:r>
            <w:r>
              <w:rPr>
                <w:rFonts w:hint="eastAsia" w:ascii="宋体" w:hAnsi="宋体" w:cs="宋体"/>
              </w:rPr>
              <w:t>425996481@qq.com</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rPr>
              <w:t>购买磋商文件时应提供材料</w:t>
            </w:r>
          </w:p>
        </w:tc>
        <w:tc>
          <w:tcPr>
            <w:tcW w:w="6891" w:type="dxa"/>
            <w:tcBorders>
              <w:top w:val="single" w:color="000000" w:sz="6" w:space="0"/>
              <w:left w:val="single" w:color="000000" w:sz="6" w:space="0"/>
              <w:bottom w:val="single" w:color="000000" w:sz="6" w:space="0"/>
              <w:right w:val="single" w:color="000000" w:sz="6" w:space="0"/>
            </w:tcBorders>
          </w:tcPr>
          <w:p>
            <w:pPr>
              <w:pageBreakBefore w:val="0"/>
              <w:widowControl w:val="0"/>
              <w:kinsoku/>
              <w:wordWrap/>
              <w:overflowPunct/>
              <w:topLinePunct w:val="0"/>
              <w:autoSpaceDE w:val="0"/>
              <w:autoSpaceDN w:val="0"/>
              <w:bidi w:val="0"/>
              <w:adjustRightInd w:val="0"/>
              <w:snapToGrid/>
              <w:spacing w:line="276" w:lineRule="auto"/>
              <w:textAlignment w:val="top"/>
              <w:rPr>
                <w:rFonts w:ascii="宋体" w:hAnsi="宋体" w:cs="宋体"/>
                <w:color w:val="000000"/>
                <w:lang w:val="zh-CN"/>
              </w:rPr>
            </w:pPr>
            <w:r>
              <w:rPr>
                <w:rFonts w:hint="eastAsia" w:ascii="宋体" w:hAnsi="宋体" w:cs="宋体"/>
                <w:color w:val="000000"/>
                <w:lang w:val="zh-CN"/>
              </w:rPr>
              <w:t>1、投标人的营业执照复印件、组织机构代码证复印件、税务登记证（或三证合一证件）复印件。</w:t>
            </w:r>
          </w:p>
          <w:p>
            <w:pPr>
              <w:pageBreakBefore w:val="0"/>
              <w:widowControl w:val="0"/>
              <w:kinsoku/>
              <w:wordWrap/>
              <w:overflowPunct/>
              <w:topLinePunct w:val="0"/>
              <w:autoSpaceDE w:val="0"/>
              <w:autoSpaceDN w:val="0"/>
              <w:bidi w:val="0"/>
              <w:adjustRightInd w:val="0"/>
              <w:snapToGrid/>
              <w:spacing w:line="276" w:lineRule="auto"/>
              <w:textAlignment w:val="top"/>
              <w:rPr>
                <w:rFonts w:ascii="宋体" w:hAnsi="宋体" w:cs="宋体"/>
                <w:color w:val="000000"/>
                <w:lang w:val="zh-CN"/>
              </w:rPr>
            </w:pPr>
            <w:r>
              <w:rPr>
                <w:rFonts w:hint="eastAsia" w:ascii="宋体" w:hAnsi="宋体" w:cs="宋体"/>
                <w:color w:val="000000"/>
                <w:lang w:val="zh-CN"/>
              </w:rPr>
              <w:t>2、法人授权委托书（原件）及被授权人、法人身份证复印件。以上资料除原件外均需加盖公章。（采购代理机构对以上资料留存备案。）</w:t>
            </w:r>
          </w:p>
          <w:p>
            <w:pPr>
              <w:pageBreakBefore w:val="0"/>
              <w:widowControl w:val="0"/>
              <w:kinsoku/>
              <w:wordWrap/>
              <w:overflowPunct/>
              <w:topLinePunct w:val="0"/>
              <w:autoSpaceDE w:val="0"/>
              <w:autoSpaceDN w:val="0"/>
              <w:bidi w:val="0"/>
              <w:adjustRightInd w:val="0"/>
              <w:snapToGrid/>
              <w:spacing w:line="276" w:lineRule="auto"/>
              <w:textAlignment w:val="top"/>
              <w:rPr>
                <w:rFonts w:ascii="宋体" w:cs="宋体"/>
                <w:color w:val="000000"/>
                <w:sz w:val="22"/>
                <w:szCs w:val="22"/>
                <w:lang w:val="zh-CN"/>
              </w:rPr>
            </w:pPr>
            <w:r>
              <w:rPr>
                <w:rFonts w:hint="eastAsia" w:ascii="宋体" w:hAnsi="宋体" w:cs="宋体"/>
                <w:color w:val="000000"/>
                <w:lang w:val="zh-CN"/>
              </w:rPr>
              <w:t>注：需网上购买标书的供应商应将以上材料扫描后发至我公司联系邮箱，在邮件中标明购买项目名称、项目编号、联系人及联系方式，并与我公司工作人员进行联系确认。同时将以上资料邮寄至采购代理机构留存备案。</w:t>
            </w:r>
          </w:p>
        </w:tc>
      </w:tr>
      <w:tr>
        <w:tblPrEx>
          <w:tblCellMar>
            <w:top w:w="0" w:type="dxa"/>
            <w:left w:w="108" w:type="dxa"/>
            <w:bottom w:w="0" w:type="dxa"/>
            <w:right w:w="108" w:type="dxa"/>
          </w:tblCellMar>
        </w:tblPrEx>
        <w:trPr>
          <w:trHeight w:val="668"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kern w:val="2"/>
              </w:rPr>
            </w:pPr>
            <w:r>
              <w:rPr>
                <w:rFonts w:hint="eastAsia" w:ascii="宋体" w:hAnsi="宋体" w:cs="宋体"/>
                <w:color w:val="000000"/>
              </w:rPr>
              <w:t>投标截止及开标时间</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rPr>
            </w:pPr>
            <w:r>
              <w:rPr>
                <w:rFonts w:hint="eastAsia" w:ascii="宋体" w:hAnsi="宋体" w:cs="宋体"/>
              </w:rPr>
              <w:t>2020</w:t>
            </w:r>
            <w:r>
              <w:rPr>
                <w:rFonts w:hint="eastAsia" w:ascii="宋体" w:hAnsi="宋体" w:cs="宋体"/>
                <w:color w:val="000000" w:themeColor="text1"/>
                <w14:textFill>
                  <w14:solidFill>
                    <w14:schemeClr w14:val="tx1"/>
                  </w14:solidFill>
                </w14:textFill>
              </w:rPr>
              <w:t>年</w:t>
            </w:r>
            <w:r>
              <w:rPr>
                <w:rFonts w:hint="eastAsia" w:ascii="宋体" w:hAnsi="宋体" w:cs="宋体"/>
                <w:color w:val="000000" w:themeColor="text1"/>
                <w:lang w:val="en-US" w:eastAsia="zh-CN"/>
                <w14:textFill>
                  <w14:solidFill>
                    <w14:schemeClr w14:val="tx1"/>
                  </w14:solidFill>
                </w14:textFill>
              </w:rPr>
              <w:t>9</w:t>
            </w:r>
            <w:r>
              <w:rPr>
                <w:rFonts w:hint="eastAsia" w:ascii="宋体" w:hAnsi="宋体" w:cs="宋体"/>
                <w:color w:val="000000" w:themeColor="text1"/>
                <w14:textFill>
                  <w14:solidFill>
                    <w14:schemeClr w14:val="tx1"/>
                  </w14:solidFill>
                </w14:textFill>
              </w:rPr>
              <w:t>月</w:t>
            </w:r>
            <w:r>
              <w:rPr>
                <w:rFonts w:hint="eastAsia" w:ascii="宋体" w:hAnsi="宋体" w:cs="宋体"/>
                <w:color w:val="000000" w:themeColor="text1"/>
                <w:lang w:val="en-US" w:eastAsia="zh-CN"/>
                <w14:textFill>
                  <w14:solidFill>
                    <w14:schemeClr w14:val="tx1"/>
                  </w14:solidFill>
                </w14:textFill>
              </w:rPr>
              <w:t>4</w:t>
            </w:r>
            <w:r>
              <w:rPr>
                <w:rFonts w:hint="eastAsia" w:ascii="宋体" w:hAnsi="宋体" w:cs="宋体"/>
                <w:color w:val="000000" w:themeColor="text1"/>
                <w14:textFill>
                  <w14:solidFill>
                    <w14:schemeClr w14:val="tx1"/>
                  </w14:solidFill>
                </w14:textFill>
              </w:rPr>
              <w:t>日上午</w:t>
            </w:r>
            <w:r>
              <w:rPr>
                <w:rFonts w:hint="eastAsia" w:ascii="宋体" w:hAnsi="宋体" w:cs="宋体"/>
                <w:color w:val="000000" w:themeColor="text1"/>
                <w:lang w:val="en-US" w:eastAsia="zh-CN"/>
                <w14:textFill>
                  <w14:solidFill>
                    <w14:schemeClr w14:val="tx1"/>
                  </w14:solidFill>
                </w14:textFill>
              </w:rPr>
              <w:t>10</w:t>
            </w:r>
            <w:r>
              <w:rPr>
                <w:rFonts w:hint="eastAsia" w:ascii="宋体" w:hAnsi="宋体" w:cs="宋体"/>
                <w:color w:val="000000" w:themeColor="text1"/>
                <w14:textFill>
                  <w14:solidFill>
                    <w14:schemeClr w14:val="tx1"/>
                  </w14:solidFill>
                </w14:textFill>
              </w:rPr>
              <w:t>时</w:t>
            </w:r>
            <w:r>
              <w:rPr>
                <w:rFonts w:hint="eastAsia" w:ascii="宋体" w:hAnsi="宋体" w:cs="宋体"/>
                <w:color w:val="000000" w:themeColor="text1"/>
                <w:lang w:val="en-US" w:eastAsia="zh-CN"/>
                <w14:textFill>
                  <w14:solidFill>
                    <w14:schemeClr w14:val="tx1"/>
                  </w14:solidFill>
                </w14:textFill>
              </w:rPr>
              <w:t>00</w:t>
            </w:r>
            <w:r>
              <w:rPr>
                <w:rFonts w:hint="eastAsia" w:ascii="宋体" w:hAnsi="宋体" w:cs="宋体"/>
                <w:color w:val="000000" w:themeColor="text1"/>
                <w14:textFill>
                  <w14:solidFill>
                    <w14:schemeClr w14:val="tx1"/>
                  </w14:solidFill>
                </w14:textFill>
              </w:rPr>
              <w:t>分</w:t>
            </w:r>
            <w:r>
              <w:rPr>
                <w:rFonts w:hint="eastAsia" w:ascii="宋体" w:hAnsi="宋体" w:cs="宋体"/>
              </w:rPr>
              <w:t>（北京时间）</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rPr>
            </w:pPr>
            <w:r>
              <w:rPr>
                <w:rFonts w:hint="eastAsia" w:ascii="宋体" w:hAnsi="宋体" w:cs="宋体"/>
              </w:rPr>
              <w:t>磋商地点</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bidi w:val="0"/>
              <w:snapToGrid/>
              <w:spacing w:line="288" w:lineRule="auto"/>
              <w:textAlignment w:val="top"/>
              <w:rPr>
                <w:rFonts w:ascii="宋体" w:hAnsi="宋体" w:cs="宋体"/>
              </w:rPr>
            </w:pPr>
            <w:r>
              <w:rPr>
                <w:rFonts w:hint="eastAsia" w:ascii="宋体" w:hAnsi="宋体" w:cs="宋体"/>
                <w:lang w:val="zh-CN"/>
              </w:rPr>
              <w:t>地址：</w:t>
            </w:r>
            <w:r>
              <w:rPr>
                <w:rFonts w:hint="eastAsia" w:ascii="宋体" w:hAnsi="宋体" w:cs="宋体"/>
                <w:color w:val="000000"/>
                <w:lang w:val="zh-CN"/>
              </w:rPr>
              <w:t>西宁市西川南路76号万达中心1号写字楼30楼13001室</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采购</w:t>
            </w:r>
            <w:r>
              <w:rPr>
                <w:rFonts w:hint="eastAsia" w:ascii="宋体" w:hAnsi="宋体" w:cs="宋体"/>
                <w:color w:val="000000"/>
                <w:lang w:val="en-US" w:eastAsia="zh-CN"/>
              </w:rPr>
              <w:t>单位、</w:t>
            </w:r>
            <w:r>
              <w:rPr>
                <w:rFonts w:hint="eastAsia" w:ascii="宋体" w:hAnsi="宋体" w:cs="宋体"/>
                <w:color w:val="000000"/>
                <w:lang w:val="zh-CN"/>
              </w:rPr>
              <w:t>联系</w:t>
            </w:r>
            <w:r>
              <w:rPr>
                <w:rFonts w:hint="eastAsia" w:ascii="宋体" w:hAnsi="宋体" w:cs="宋体"/>
                <w:color w:val="000000"/>
              </w:rPr>
              <w:t>人</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hint="default" w:ascii="宋体" w:eastAsia="宋体" w:cs="宋体"/>
                <w:color w:val="000000"/>
                <w:lang w:val="en-US" w:eastAsia="zh-CN"/>
              </w:rPr>
            </w:pPr>
            <w:r>
              <w:rPr>
                <w:rFonts w:hint="eastAsia" w:ascii="宋体" w:hAnsi="宋体" w:cs="宋体"/>
                <w:color w:val="000000"/>
                <w:lang w:val="zh-CN"/>
              </w:rPr>
              <w:t>采购单位：</w:t>
            </w:r>
            <w:r>
              <w:rPr>
                <w:rFonts w:hint="eastAsia" w:ascii="宋体" w:cs="宋体"/>
                <w:lang w:val="en-US" w:eastAsia="zh-CN"/>
              </w:rPr>
              <w:t>海北州藏医院</w:t>
            </w:r>
          </w:p>
          <w:p>
            <w:pPr>
              <w:pageBreakBefore w:val="0"/>
              <w:widowControl w:val="0"/>
              <w:kinsoku/>
              <w:wordWrap/>
              <w:overflowPunct/>
              <w:topLinePunct w:val="0"/>
              <w:autoSpaceDE w:val="0"/>
              <w:autoSpaceDN w:val="0"/>
              <w:bidi w:val="0"/>
              <w:adjustRightInd w:val="0"/>
              <w:snapToGrid/>
              <w:spacing w:line="360" w:lineRule="auto"/>
              <w:textAlignment w:val="top"/>
              <w:rPr>
                <w:rFonts w:hint="default" w:ascii="宋体" w:hAnsi="宋体" w:cs="宋体" w:eastAsiaTheme="minorEastAsia"/>
                <w:color w:val="000000"/>
                <w:lang w:val="en-US" w:eastAsia="zh-CN"/>
              </w:rPr>
            </w:pPr>
            <w:r>
              <w:rPr>
                <w:rFonts w:hint="eastAsia" w:ascii="宋体" w:hAnsi="宋体" w:cs="宋体"/>
                <w:color w:val="000000"/>
                <w:lang w:val="zh-CN"/>
              </w:rPr>
              <w:t>联系</w:t>
            </w:r>
            <w:r>
              <w:rPr>
                <w:rFonts w:hint="eastAsia" w:ascii="宋体" w:hAnsi="宋体" w:cs="宋体"/>
                <w:lang w:val="zh-CN"/>
              </w:rPr>
              <w:t>人：</w:t>
            </w:r>
            <w:r>
              <w:rPr>
                <w:rFonts w:hint="eastAsia" w:ascii="宋体" w:hAnsi="宋体" w:cs="宋体"/>
                <w:color w:val="000000"/>
                <w:lang w:val="en-US" w:eastAsia="zh-CN"/>
              </w:rPr>
              <w:t>公保先生</w:t>
            </w:r>
          </w:p>
          <w:p>
            <w:pPr>
              <w:pageBreakBefore w:val="0"/>
              <w:widowControl w:val="0"/>
              <w:kinsoku/>
              <w:wordWrap/>
              <w:overflowPunct/>
              <w:topLinePunct w:val="0"/>
              <w:autoSpaceDE w:val="0"/>
              <w:autoSpaceDN w:val="0"/>
              <w:bidi w:val="0"/>
              <w:adjustRightInd w:val="0"/>
              <w:snapToGrid/>
              <w:spacing w:line="360" w:lineRule="auto"/>
              <w:textAlignment w:val="top"/>
              <w:rPr>
                <w:rFonts w:hint="default" w:ascii="宋体" w:hAnsi="宋体" w:cs="宋体" w:eastAsiaTheme="minorEastAsia"/>
                <w:color w:val="000000" w:themeColor="text1"/>
                <w:lang w:val="en-US" w:eastAsia="zh-CN"/>
                <w14:textFill>
                  <w14:solidFill>
                    <w14:schemeClr w14:val="tx1"/>
                  </w14:solidFill>
                </w14:textFill>
              </w:rPr>
            </w:pPr>
            <w:r>
              <w:rPr>
                <w:rFonts w:hint="eastAsia" w:ascii="宋体" w:hAnsi="宋体" w:cs="宋体"/>
                <w:color w:val="000000"/>
                <w:lang w:val="zh-CN"/>
              </w:rPr>
              <w:t>联系电话：</w:t>
            </w:r>
            <w:r>
              <w:rPr>
                <w:rFonts w:ascii="宋体" w:hAnsi="宋体" w:cs="宋体"/>
                <w:color w:val="000000" w:themeColor="text1"/>
                <w14:textFill>
                  <w14:solidFill>
                    <w14:schemeClr w14:val="tx1"/>
                  </w14:solidFill>
                </w14:textFill>
              </w:rPr>
              <w:t>097</w:t>
            </w:r>
            <w:r>
              <w:rPr>
                <w:rFonts w:hint="eastAsia" w:ascii="宋体" w:hAnsi="宋体" w:cs="宋体"/>
                <w:color w:val="000000" w:themeColor="text1"/>
                <w:lang w:val="en-US" w:eastAsia="zh-CN"/>
                <w14:textFill>
                  <w14:solidFill>
                    <w14:schemeClr w14:val="tx1"/>
                  </w14:solidFill>
                </w14:textFill>
              </w:rPr>
              <w:t>0</w:t>
            </w:r>
            <w:r>
              <w:rPr>
                <w:rFonts w:hint="eastAsia" w:ascii="宋体" w:hAnsi="宋体" w:cs="宋体"/>
                <w:color w:val="000000" w:themeColor="text1"/>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7673802</w:t>
            </w:r>
          </w:p>
          <w:p>
            <w:pPr>
              <w:pageBreakBefore w:val="0"/>
              <w:widowControl w:val="0"/>
              <w:kinsoku/>
              <w:wordWrap/>
              <w:overflowPunct/>
              <w:topLinePunct w:val="0"/>
              <w:bidi w:val="0"/>
              <w:snapToGrid/>
              <w:textAlignment w:val="top"/>
              <w:rPr>
                <w:rFonts w:hint="default" w:ascii="宋体" w:hAnsi="宋体" w:cs="宋体" w:eastAsiaTheme="minorEastAsia"/>
                <w:color w:val="000000"/>
                <w:lang w:val="en-US" w:eastAsia="zh-CN"/>
              </w:rPr>
            </w:pPr>
            <w:r>
              <w:rPr>
                <w:rFonts w:hint="eastAsia" w:ascii="宋体" w:hAnsi="宋体" w:cs="宋体"/>
                <w:color w:val="000000" w:themeColor="text1"/>
                <w:lang w:val="zh-CN"/>
                <w14:textFill>
                  <w14:solidFill>
                    <w14:schemeClr w14:val="tx1"/>
                  </w14:solidFill>
                </w14:textFill>
              </w:rPr>
              <w:t>联系地址：</w:t>
            </w:r>
            <w:r>
              <w:rPr>
                <w:rFonts w:hint="eastAsia" w:ascii="宋体" w:cs="宋体"/>
                <w:lang w:val="en-US" w:eastAsia="zh-CN"/>
              </w:rPr>
              <w:t>海北州藏医院</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代理机构联系人</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snapToGrid/>
              <w:spacing w:line="500" w:lineRule="exact"/>
              <w:textAlignment w:val="top"/>
              <w:rPr>
                <w:rFonts w:ascii="宋体" w:hAnsi="宋体" w:cs="宋体"/>
                <w:color w:val="000000"/>
                <w:lang w:val="zh-CN"/>
              </w:rPr>
            </w:pPr>
            <w:r>
              <w:rPr>
                <w:rFonts w:hint="eastAsia" w:ascii="宋体" w:hAnsi="宋体" w:cs="宋体"/>
                <w:color w:val="000000"/>
                <w:lang w:val="zh-CN"/>
              </w:rPr>
              <w:t>采购代理机构：青海利仁建设项目管理有限公司</w:t>
            </w:r>
          </w:p>
          <w:p>
            <w:pPr>
              <w:pageBreakBefore w:val="0"/>
              <w:widowControl w:val="0"/>
              <w:kinsoku/>
              <w:wordWrap/>
              <w:overflowPunct/>
              <w:topLinePunct w:val="0"/>
              <w:autoSpaceDE w:val="0"/>
              <w:autoSpaceDN w:val="0"/>
              <w:bidi w:val="0"/>
              <w:snapToGrid/>
              <w:spacing w:line="500" w:lineRule="exact"/>
              <w:textAlignment w:val="top"/>
              <w:rPr>
                <w:rFonts w:ascii="宋体" w:hAnsi="宋体" w:cs="宋体"/>
                <w:color w:val="000000"/>
                <w:lang w:val="zh-CN"/>
              </w:rPr>
            </w:pPr>
            <w:r>
              <w:rPr>
                <w:rFonts w:hint="eastAsia" w:ascii="宋体" w:hAnsi="宋体" w:cs="宋体"/>
                <w:color w:val="000000"/>
                <w:lang w:val="zh-CN"/>
              </w:rPr>
              <w:t>联系人：何先生</w:t>
            </w:r>
          </w:p>
          <w:p>
            <w:pPr>
              <w:pageBreakBefore w:val="0"/>
              <w:widowControl w:val="0"/>
              <w:kinsoku/>
              <w:wordWrap/>
              <w:overflowPunct/>
              <w:topLinePunct w:val="0"/>
              <w:autoSpaceDE w:val="0"/>
              <w:autoSpaceDN w:val="0"/>
              <w:bidi w:val="0"/>
              <w:snapToGrid/>
              <w:spacing w:line="500" w:lineRule="exact"/>
              <w:textAlignment w:val="top"/>
              <w:rPr>
                <w:rFonts w:ascii="宋体" w:hAnsi="宋体" w:cs="宋体"/>
                <w:color w:val="000000"/>
              </w:rPr>
            </w:pPr>
            <w:r>
              <w:rPr>
                <w:rFonts w:hint="eastAsia" w:ascii="宋体" w:hAnsi="宋体" w:cs="宋体"/>
                <w:color w:val="000000"/>
                <w:lang w:val="zh-CN"/>
              </w:rPr>
              <w:t>联系电话：0971-</w:t>
            </w:r>
            <w:r>
              <w:rPr>
                <w:rFonts w:hint="eastAsia" w:ascii="宋体" w:hAnsi="宋体" w:cs="宋体"/>
                <w:color w:val="000000"/>
              </w:rPr>
              <w:t>6161687</w:t>
            </w:r>
          </w:p>
          <w:p>
            <w:pPr>
              <w:pageBreakBefore w:val="0"/>
              <w:widowControl w:val="0"/>
              <w:kinsoku/>
              <w:wordWrap/>
              <w:overflowPunct/>
              <w:topLinePunct w:val="0"/>
              <w:autoSpaceDE w:val="0"/>
              <w:autoSpaceDN w:val="0"/>
              <w:bidi w:val="0"/>
              <w:adjustRightInd w:val="0"/>
              <w:snapToGrid/>
              <w:spacing w:line="320" w:lineRule="exact"/>
              <w:textAlignment w:val="top"/>
              <w:rPr>
                <w:rFonts w:ascii="宋体" w:cs="宋体"/>
                <w:color w:val="000000"/>
                <w:kern w:val="2"/>
                <w:lang w:val="zh-CN"/>
              </w:rPr>
            </w:pPr>
            <w:r>
              <w:rPr>
                <w:rFonts w:hint="eastAsia" w:ascii="宋体" w:hAnsi="宋体" w:cs="宋体"/>
                <w:color w:val="000000"/>
                <w:lang w:val="zh-CN"/>
              </w:rPr>
              <w:t>联系地址：西宁市西川南路76号万达中心1号写字楼30楼13001室</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代理机构开户行</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snapToGrid/>
              <w:spacing w:line="500" w:lineRule="exact"/>
              <w:textAlignment w:val="top"/>
              <w:rPr>
                <w:rFonts w:ascii="宋体" w:cs="宋体"/>
                <w:color w:val="000000"/>
                <w:kern w:val="2"/>
                <w:lang w:val="zh-CN"/>
              </w:rPr>
            </w:pPr>
            <w:r>
              <w:rPr>
                <w:rFonts w:hint="eastAsia"/>
              </w:rPr>
              <w:t>中国建设银行股份有限公司西海支行</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收款人</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snapToGrid/>
              <w:spacing w:line="500" w:lineRule="exact"/>
              <w:textAlignment w:val="top"/>
              <w:rPr>
                <w:rFonts w:ascii="宋体" w:cs="宋体"/>
                <w:color w:val="000000"/>
                <w:kern w:val="2"/>
                <w:lang w:val="zh-CN"/>
              </w:rPr>
            </w:pPr>
            <w:r>
              <w:rPr>
                <w:rFonts w:hint="eastAsia" w:ascii="宋体" w:hAnsi="宋体" w:cs="宋体"/>
                <w:color w:val="000000"/>
                <w:lang w:val="zh-CN"/>
              </w:rPr>
              <w:t>青海利仁建设项目管理有限公司</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银行账号</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snapToGrid/>
              <w:spacing w:line="500" w:lineRule="exact"/>
              <w:textAlignment w:val="top"/>
              <w:rPr>
                <w:rFonts w:ascii="宋体" w:cs="宋体"/>
                <w:color w:val="000000"/>
                <w:kern w:val="2"/>
              </w:rPr>
            </w:pPr>
            <w:r>
              <w:rPr>
                <w:rFonts w:hint="eastAsia" w:ascii="宋体" w:hAnsi="宋体"/>
              </w:rPr>
              <w:t>63050166363700000199</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其他事项</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20" w:lineRule="exact"/>
              <w:textAlignment w:val="top"/>
              <w:rPr>
                <w:rFonts w:ascii="宋体" w:cs="宋体"/>
                <w:color w:val="000000"/>
                <w:kern w:val="2"/>
                <w:lang w:val="zh-CN"/>
              </w:rPr>
            </w:pPr>
            <w:r>
              <w:rPr>
                <w:rFonts w:hint="eastAsia" w:ascii="宋体" w:hAnsi="宋体" w:cs="宋体"/>
                <w:color w:val="000000"/>
                <w:lang w:val="zh-CN"/>
              </w:rPr>
              <w:t>本公告在《青海政府采购网》、《青海省电子招标投标公共服务平台》、</w:t>
            </w:r>
            <w:r>
              <w:rPr>
                <w:rFonts w:hint="eastAsia" w:hAnsi="宋体"/>
                <w:szCs w:val="21"/>
                <w:lang w:val="zh-CN"/>
              </w:rPr>
              <w:t>《中国采购与招投标网》</w:t>
            </w:r>
            <w:r>
              <w:rPr>
                <w:rFonts w:hint="eastAsia" w:ascii="宋体" w:hAnsi="宋体" w:cs="宋体"/>
                <w:color w:val="000000"/>
                <w:lang w:val="zh-CN"/>
              </w:rPr>
              <w:t>同时发布；</w:t>
            </w:r>
          </w:p>
        </w:tc>
      </w:tr>
      <w:tr>
        <w:tblPrEx>
          <w:tblCellMar>
            <w:top w:w="0" w:type="dxa"/>
            <w:left w:w="108" w:type="dxa"/>
            <w:bottom w:w="0" w:type="dxa"/>
            <w:right w:w="108" w:type="dxa"/>
          </w:tblCellMar>
        </w:tblPrEx>
        <w:trPr>
          <w:trHeight w:val="23" w:hRule="atLeast"/>
          <w:jc w:val="center"/>
        </w:trPr>
        <w:tc>
          <w:tcPr>
            <w:tcW w:w="1674"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60" w:lineRule="auto"/>
              <w:textAlignment w:val="top"/>
              <w:rPr>
                <w:rFonts w:ascii="宋体" w:hAnsi="宋体" w:cs="宋体"/>
                <w:color w:val="000000"/>
                <w:lang w:val="zh-CN"/>
              </w:rPr>
            </w:pPr>
            <w:r>
              <w:rPr>
                <w:rFonts w:hint="eastAsia" w:ascii="宋体" w:hAnsi="宋体" w:cs="宋体"/>
                <w:color w:val="000000"/>
                <w:lang w:val="zh-CN"/>
              </w:rPr>
              <w:t>财政监督部门及电话</w:t>
            </w:r>
          </w:p>
        </w:tc>
        <w:tc>
          <w:tcPr>
            <w:tcW w:w="6891" w:type="dxa"/>
            <w:tcBorders>
              <w:top w:val="single" w:color="000000" w:sz="6" w:space="0"/>
              <w:left w:val="single" w:color="000000" w:sz="6" w:space="0"/>
              <w:bottom w:val="single" w:color="000000" w:sz="6" w:space="0"/>
              <w:right w:val="single" w:color="000000" w:sz="6" w:space="0"/>
            </w:tcBorders>
            <w:vAlign w:val="center"/>
          </w:tcPr>
          <w:p>
            <w:pPr>
              <w:pageBreakBefore w:val="0"/>
              <w:widowControl w:val="0"/>
              <w:kinsoku/>
              <w:wordWrap/>
              <w:overflowPunct/>
              <w:topLinePunct w:val="0"/>
              <w:autoSpaceDE w:val="0"/>
              <w:autoSpaceDN w:val="0"/>
              <w:bidi w:val="0"/>
              <w:adjustRightInd w:val="0"/>
              <w:snapToGrid/>
              <w:spacing w:line="320" w:lineRule="exact"/>
              <w:textAlignment w:val="top"/>
              <w:rPr>
                <w:rFonts w:ascii="宋体" w:cs="宋体"/>
                <w:color w:val="FF0000"/>
                <w:kern w:val="2"/>
                <w:lang w:val="zh-CN"/>
              </w:rPr>
            </w:pPr>
            <w:r>
              <w:rPr>
                <w:rFonts w:hint="eastAsia" w:ascii="宋体" w:cs="宋体"/>
                <w:color w:val="000000"/>
                <w:lang w:val="zh-CN"/>
              </w:rPr>
              <w:t>监督单位：</w:t>
            </w:r>
            <w:r>
              <w:rPr>
                <w:rFonts w:hint="eastAsia" w:ascii="宋体" w:cs="宋体"/>
                <w:color w:val="000000" w:themeColor="text1"/>
                <w:lang w:val="en-US" w:eastAsia="zh-CN"/>
                <w14:textFill>
                  <w14:solidFill>
                    <w14:schemeClr w14:val="tx1"/>
                  </w14:solidFill>
                </w14:textFill>
              </w:rPr>
              <w:t>海北州</w:t>
            </w:r>
            <w:r>
              <w:rPr>
                <w:rFonts w:hint="eastAsia" w:ascii="宋体" w:cs="宋体"/>
                <w:color w:val="000000" w:themeColor="text1"/>
                <w:lang w:val="zh-CN"/>
                <w14:textFill>
                  <w14:solidFill>
                    <w14:schemeClr w14:val="tx1"/>
                  </w14:solidFill>
                </w14:textFill>
              </w:rPr>
              <w:t xml:space="preserve">财政局 </w:t>
            </w:r>
            <w:r>
              <w:rPr>
                <w:rFonts w:hint="eastAsia" w:ascii="宋体" w:cs="宋体"/>
                <w:color w:val="FF0000"/>
                <w:lang w:val="zh-CN"/>
              </w:rPr>
              <w:t xml:space="preserve">      </w:t>
            </w:r>
          </w:p>
          <w:p>
            <w:pPr>
              <w:pageBreakBefore w:val="0"/>
              <w:widowControl w:val="0"/>
              <w:kinsoku/>
              <w:wordWrap/>
              <w:overflowPunct/>
              <w:topLinePunct w:val="0"/>
              <w:autoSpaceDE w:val="0"/>
              <w:autoSpaceDN w:val="0"/>
              <w:bidi w:val="0"/>
              <w:adjustRightInd w:val="0"/>
              <w:snapToGrid/>
              <w:spacing w:line="320" w:lineRule="exact"/>
              <w:textAlignment w:val="top"/>
              <w:rPr>
                <w:rFonts w:hint="default" w:ascii="宋体" w:eastAsia="宋体" w:cs="宋体"/>
                <w:color w:val="000000"/>
                <w:lang w:val="en-US" w:eastAsia="zh-CN"/>
              </w:rPr>
            </w:pPr>
            <w:r>
              <w:rPr>
                <w:rFonts w:hint="eastAsia" w:ascii="宋体" w:cs="宋体"/>
                <w:color w:val="000000"/>
                <w:lang w:val="zh-CN"/>
              </w:rPr>
              <w:t>联系电话：097</w:t>
            </w:r>
            <w:r>
              <w:rPr>
                <w:rFonts w:hint="eastAsia" w:ascii="宋体" w:cs="宋体"/>
                <w:color w:val="000000"/>
                <w:lang w:val="en-US" w:eastAsia="zh-CN"/>
              </w:rPr>
              <w:t>0</w:t>
            </w:r>
            <w:r>
              <w:rPr>
                <w:rFonts w:hint="eastAsia" w:ascii="宋体" w:cs="宋体"/>
                <w:color w:val="000000"/>
                <w:lang w:val="zh-CN"/>
              </w:rPr>
              <w:t>-</w:t>
            </w:r>
            <w:r>
              <w:rPr>
                <w:rFonts w:hint="eastAsia" w:ascii="宋体" w:cs="宋体"/>
                <w:color w:val="000000"/>
                <w:lang w:val="en-US" w:eastAsia="zh-CN"/>
              </w:rPr>
              <w:t>8642631</w:t>
            </w:r>
          </w:p>
        </w:tc>
      </w:tr>
    </w:tbl>
    <w:p>
      <w:pPr>
        <w:pStyle w:val="9"/>
        <w:pageBreakBefore w:val="0"/>
        <w:widowControl w:val="0"/>
        <w:kinsoku/>
        <w:wordWrap/>
        <w:overflowPunct/>
        <w:topLinePunct w:val="0"/>
        <w:bidi w:val="0"/>
        <w:snapToGrid/>
        <w:textAlignment w:val="top"/>
      </w:pPr>
    </w:p>
    <w:p>
      <w:pPr>
        <w:pStyle w:val="9"/>
        <w:pageBreakBefore w:val="0"/>
        <w:widowControl w:val="0"/>
        <w:kinsoku/>
        <w:wordWrap/>
        <w:overflowPunct/>
        <w:topLinePunct w:val="0"/>
        <w:bidi w:val="0"/>
        <w:snapToGrid/>
        <w:textAlignment w:val="top"/>
        <w:rPr>
          <w:rFonts w:hint="default" w:eastAsiaTheme="minorEastAsia"/>
          <w:lang w:val="en-US" w:eastAsia="zh-CN"/>
        </w:rPr>
      </w:pPr>
      <w:r>
        <w:rPr>
          <w:rFonts w:hint="eastAsia"/>
          <w:lang w:val="en-US" w:eastAsia="zh-CN"/>
        </w:rPr>
        <w:t xml:space="preserve">                                         </w:t>
      </w:r>
    </w:p>
    <w:p>
      <w:pPr>
        <w:pStyle w:val="9"/>
        <w:pageBreakBefore w:val="0"/>
        <w:widowControl w:val="0"/>
        <w:kinsoku/>
        <w:wordWrap/>
        <w:overflowPunct/>
        <w:topLinePunct w:val="0"/>
        <w:bidi w:val="0"/>
        <w:snapToGrid/>
        <w:jc w:val="center"/>
        <w:textAlignment w:val="top"/>
      </w:pPr>
      <w:r>
        <w:rPr>
          <w:rFonts w:hint="eastAsia" w:ascii="宋体" w:hAnsi="宋体" w:cs="宋体"/>
          <w:color w:val="000000"/>
          <w:lang w:val="en-US" w:eastAsia="zh-CN"/>
        </w:rPr>
        <w:t xml:space="preserve">                                                  </w:t>
      </w:r>
      <w:r>
        <w:rPr>
          <w:rFonts w:hint="eastAsia" w:ascii="宋体" w:hAnsi="宋体" w:cs="宋体"/>
          <w:color w:val="000000"/>
          <w:lang w:val="zh-CN"/>
        </w:rPr>
        <w:t>青海利仁建设项目管理有限公司</w:t>
      </w:r>
    </w:p>
    <w:p>
      <w:pPr>
        <w:pStyle w:val="9"/>
        <w:pageBreakBefore w:val="0"/>
        <w:widowControl w:val="0"/>
        <w:kinsoku/>
        <w:wordWrap/>
        <w:overflowPunct/>
        <w:topLinePunct w:val="0"/>
        <w:bidi w:val="0"/>
        <w:snapToGrid/>
        <w:textAlignment w:val="top"/>
        <w:rPr>
          <w:rFonts w:hint="default" w:eastAsiaTheme="minorEastAsia"/>
          <w:lang w:val="en-US" w:eastAsia="zh-CN"/>
        </w:rPr>
      </w:pPr>
      <w:r>
        <w:rPr>
          <w:rFonts w:hint="eastAsia"/>
          <w:lang w:val="en-US" w:eastAsia="zh-CN"/>
        </w:rPr>
        <w:t xml:space="preserve">                                                          2020年8月24日</w:t>
      </w:r>
    </w:p>
    <w:p>
      <w:pPr>
        <w:pStyle w:val="9"/>
        <w:pageBreakBefore w:val="0"/>
        <w:widowControl w:val="0"/>
        <w:kinsoku/>
        <w:wordWrap/>
        <w:overflowPunct/>
        <w:topLinePunct w:val="0"/>
        <w:bidi w:val="0"/>
        <w:snapToGrid/>
        <w:textAlignment w:val="top"/>
      </w:pPr>
    </w:p>
    <w:p>
      <w:pPr>
        <w:pStyle w:val="9"/>
        <w:pageBreakBefore w:val="0"/>
        <w:widowControl w:val="0"/>
        <w:kinsoku/>
        <w:wordWrap/>
        <w:overflowPunct/>
        <w:topLinePunct w:val="0"/>
        <w:bidi w:val="0"/>
        <w:snapToGrid/>
        <w:textAlignment w:val="top"/>
      </w:pPr>
    </w:p>
    <w:p>
      <w:pPr>
        <w:pStyle w:val="9"/>
        <w:pageBreakBefore w:val="0"/>
        <w:widowControl w:val="0"/>
        <w:kinsoku/>
        <w:wordWrap/>
        <w:overflowPunct/>
        <w:topLinePunct w:val="0"/>
        <w:bidi w:val="0"/>
        <w:snapToGrid/>
        <w:textAlignment w:val="top"/>
      </w:pPr>
    </w:p>
    <w:p>
      <w:pPr>
        <w:pStyle w:val="9"/>
        <w:pageBreakBefore w:val="0"/>
        <w:widowControl w:val="0"/>
        <w:kinsoku/>
        <w:wordWrap/>
        <w:overflowPunct/>
        <w:topLinePunct w:val="0"/>
        <w:bidi w:val="0"/>
        <w:snapToGrid/>
        <w:textAlignment w:val="top"/>
      </w:pPr>
    </w:p>
    <w:p>
      <w:pPr>
        <w:pStyle w:val="9"/>
        <w:pageBreakBefore w:val="0"/>
        <w:widowControl w:val="0"/>
        <w:kinsoku/>
        <w:wordWrap/>
        <w:overflowPunct/>
        <w:topLinePunct w:val="0"/>
        <w:bidi w:val="0"/>
        <w:snapToGrid/>
        <w:textAlignment w:val="top"/>
      </w:pPr>
    </w:p>
    <w:p>
      <w:pPr>
        <w:pStyle w:val="9"/>
        <w:pageBreakBefore w:val="0"/>
        <w:widowControl w:val="0"/>
        <w:kinsoku/>
        <w:wordWrap/>
        <w:overflowPunct/>
        <w:topLinePunct w:val="0"/>
        <w:bidi w:val="0"/>
        <w:snapToGrid/>
        <w:textAlignment w:val="top"/>
      </w:pPr>
    </w:p>
    <w:p>
      <w:pPr>
        <w:pStyle w:val="9"/>
        <w:pageBreakBefore w:val="0"/>
        <w:widowControl w:val="0"/>
        <w:kinsoku/>
        <w:wordWrap/>
        <w:overflowPunct/>
        <w:topLinePunct w:val="0"/>
        <w:bidi w:val="0"/>
        <w:snapToGrid/>
        <w:textAlignment w:val="top"/>
      </w:pPr>
    </w:p>
    <w:p>
      <w:pPr>
        <w:pStyle w:val="15"/>
        <w:pageBreakBefore w:val="0"/>
        <w:widowControl w:val="0"/>
        <w:kinsoku/>
        <w:wordWrap/>
        <w:overflowPunct/>
        <w:topLinePunct w:val="0"/>
        <w:bidi w:val="0"/>
        <w:snapToGrid/>
        <w:textAlignment w:val="top"/>
        <w:outlineLvl w:val="9"/>
        <w:rPr>
          <w:rFonts w:hint="eastAsia" w:ascii="宋体" w:hAnsi="宋体" w:cs="STZhongsong"/>
          <w:szCs w:val="36"/>
          <w:lang w:val="zh-CN"/>
        </w:rPr>
      </w:pPr>
      <w:bookmarkStart w:id="4" w:name="_Toc39136311"/>
    </w:p>
    <w:p>
      <w:pPr>
        <w:pStyle w:val="15"/>
        <w:pageBreakBefore w:val="0"/>
        <w:widowControl w:val="0"/>
        <w:kinsoku/>
        <w:wordWrap/>
        <w:overflowPunct/>
        <w:topLinePunct w:val="0"/>
        <w:bidi w:val="0"/>
        <w:snapToGrid/>
        <w:textAlignment w:val="top"/>
        <w:outlineLvl w:val="9"/>
        <w:rPr>
          <w:rFonts w:hint="eastAsia" w:ascii="宋体" w:hAnsi="宋体" w:cs="STZhongsong"/>
          <w:szCs w:val="36"/>
          <w:lang w:val="zh-CN"/>
        </w:rPr>
      </w:pPr>
    </w:p>
    <w:p>
      <w:pPr>
        <w:pStyle w:val="15"/>
        <w:outlineLvl w:val="9"/>
        <w:rPr>
          <w:rFonts w:hint="eastAsia" w:ascii="宋体" w:hAnsi="宋体" w:cs="STZhongsong"/>
          <w:szCs w:val="36"/>
          <w:lang w:val="zh-CN"/>
        </w:rPr>
      </w:pPr>
    </w:p>
    <w:p>
      <w:pPr>
        <w:pStyle w:val="15"/>
        <w:outlineLvl w:val="9"/>
        <w:rPr>
          <w:rFonts w:hint="eastAsia" w:ascii="宋体" w:hAnsi="宋体" w:cs="STZhongsong"/>
          <w:szCs w:val="36"/>
          <w:lang w:val="zh-CN"/>
        </w:rPr>
      </w:pPr>
    </w:p>
    <w:p>
      <w:pPr>
        <w:pStyle w:val="15"/>
        <w:outlineLvl w:val="9"/>
        <w:rPr>
          <w:rFonts w:hint="eastAsia" w:ascii="宋体" w:hAnsi="宋体" w:cs="STZhongsong"/>
          <w:szCs w:val="36"/>
          <w:lang w:val="zh-CN"/>
        </w:rPr>
      </w:pPr>
    </w:p>
    <w:p>
      <w:pPr>
        <w:pStyle w:val="15"/>
        <w:outlineLvl w:val="9"/>
        <w:rPr>
          <w:rFonts w:hint="eastAsia" w:ascii="宋体" w:hAnsi="宋体" w:cs="STZhongsong"/>
          <w:szCs w:val="36"/>
          <w:lang w:val="zh-CN"/>
        </w:rPr>
      </w:pPr>
    </w:p>
    <w:p>
      <w:pPr>
        <w:pStyle w:val="15"/>
        <w:outlineLvl w:val="9"/>
        <w:rPr>
          <w:rFonts w:hint="eastAsia" w:ascii="宋体" w:hAnsi="宋体" w:cs="STZhongsong"/>
          <w:szCs w:val="36"/>
          <w:lang w:val="zh-CN"/>
        </w:rPr>
      </w:pPr>
    </w:p>
    <w:p>
      <w:pPr>
        <w:pStyle w:val="15"/>
        <w:outlineLvl w:val="9"/>
        <w:rPr>
          <w:rFonts w:hint="eastAsia" w:ascii="宋体" w:hAnsi="宋体" w:cs="STZhongsong"/>
          <w:szCs w:val="36"/>
          <w:lang w:val="zh-CN"/>
        </w:rPr>
      </w:pPr>
      <w:bookmarkStart w:id="5" w:name="_Toc19229"/>
      <w:bookmarkStart w:id="6" w:name="_Toc2428"/>
    </w:p>
    <w:p>
      <w:pPr>
        <w:pStyle w:val="3"/>
        <w:bidi w:val="0"/>
        <w:jc w:val="center"/>
        <w:rPr>
          <w:lang w:val="zh-CN"/>
        </w:rPr>
      </w:pPr>
      <w:bookmarkStart w:id="7" w:name="_Toc20912"/>
      <w:r>
        <w:rPr>
          <w:rFonts w:hint="eastAsia"/>
          <w:lang w:val="zh-CN"/>
        </w:rPr>
        <w:t>第二部分  供应商须知前附表</w:t>
      </w:r>
      <w:bookmarkEnd w:id="4"/>
      <w:bookmarkEnd w:id="5"/>
      <w:bookmarkEnd w:id="6"/>
      <w:bookmarkEnd w:id="7"/>
    </w:p>
    <w:p>
      <w:pPr>
        <w:rPr>
          <w:rFonts w:ascii="宋体" w:hAnsi="宋体"/>
          <w:lang w:val="zh-CN"/>
        </w:rPr>
      </w:pPr>
    </w:p>
    <w:tbl>
      <w:tblPr>
        <w:tblStyle w:val="17"/>
        <w:tblW w:w="0" w:type="auto"/>
        <w:jc w:val="center"/>
        <w:tblLayout w:type="fixed"/>
        <w:tblCellMar>
          <w:top w:w="0" w:type="dxa"/>
          <w:left w:w="108" w:type="dxa"/>
          <w:bottom w:w="0" w:type="dxa"/>
          <w:right w:w="108" w:type="dxa"/>
        </w:tblCellMar>
      </w:tblPr>
      <w:tblGrid>
        <w:gridCol w:w="728"/>
        <w:gridCol w:w="2754"/>
        <w:gridCol w:w="6292"/>
      </w:tblGrid>
      <w:tr>
        <w:tblPrEx>
          <w:tblCellMar>
            <w:top w:w="0" w:type="dxa"/>
            <w:left w:w="108" w:type="dxa"/>
            <w:bottom w:w="0" w:type="dxa"/>
            <w:right w:w="108" w:type="dxa"/>
          </w:tblCellMar>
        </w:tblPrEx>
        <w:trPr>
          <w:trHeight w:val="515"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宋体" w:hAnsi="宋体" w:cs="宋体"/>
                <w:b/>
                <w:bCs/>
                <w:lang w:val="zh-CN"/>
              </w:rPr>
            </w:pPr>
            <w:r>
              <w:rPr>
                <w:rFonts w:hint="eastAsia" w:ascii="宋体" w:hAnsi="宋体" w:cs="宋体"/>
                <w:b/>
                <w:bCs/>
                <w:lang w:val="zh-CN"/>
              </w:rPr>
              <w:t>序号</w:t>
            </w:r>
          </w:p>
        </w:tc>
        <w:tc>
          <w:tcPr>
            <w:tcW w:w="9046" w:type="dxa"/>
            <w:gridSpan w:val="2"/>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宋体" w:hAnsi="宋体" w:cs="宋体"/>
                <w:b/>
                <w:bCs/>
                <w:lang w:val="zh-CN"/>
              </w:rPr>
            </w:pPr>
            <w:r>
              <w:rPr>
                <w:rFonts w:hint="eastAsia" w:ascii="宋体" w:hAnsi="宋体" w:cs="宋体"/>
                <w:b/>
                <w:bCs/>
              </w:rPr>
              <w:t xml:space="preserve">   </w:t>
            </w:r>
            <w:r>
              <w:rPr>
                <w:rFonts w:hint="eastAsia" w:ascii="宋体" w:hAnsi="宋体" w:cs="宋体"/>
                <w:b/>
                <w:bCs/>
                <w:lang w:val="zh-CN"/>
              </w:rPr>
              <w:t>内</w:t>
            </w:r>
            <w:r>
              <w:rPr>
                <w:rFonts w:hint="eastAsia" w:ascii="宋体" w:hAnsi="宋体" w:cs="宋体"/>
                <w:b/>
                <w:bCs/>
              </w:rPr>
              <w:t xml:space="preserve">    </w:t>
            </w:r>
            <w:r>
              <w:rPr>
                <w:rFonts w:hint="eastAsia" w:ascii="宋体" w:hAnsi="宋体" w:cs="宋体"/>
                <w:b/>
                <w:bCs/>
                <w:lang w:val="zh-CN"/>
              </w:rPr>
              <w:t>容</w:t>
            </w:r>
          </w:p>
        </w:tc>
      </w:tr>
      <w:tr>
        <w:tblPrEx>
          <w:tblCellMar>
            <w:top w:w="0" w:type="dxa"/>
            <w:left w:w="108" w:type="dxa"/>
            <w:bottom w:w="0" w:type="dxa"/>
            <w:right w:w="108" w:type="dxa"/>
          </w:tblCellMar>
        </w:tblPrEx>
        <w:trPr>
          <w:trHeight w:val="658"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采购项目名称</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宋体" w:cs="宋体"/>
                <w:color w:val="000000"/>
                <w:u w:val="none"/>
                <w:lang w:val="en-US" w:eastAsia="zh-CN"/>
              </w:rPr>
              <w:t>海北州藏医院库房配套设备项目</w:t>
            </w:r>
          </w:p>
        </w:tc>
      </w:tr>
      <w:tr>
        <w:tblPrEx>
          <w:tblCellMar>
            <w:top w:w="0" w:type="dxa"/>
            <w:left w:w="108" w:type="dxa"/>
            <w:bottom w:w="0" w:type="dxa"/>
            <w:right w:w="108" w:type="dxa"/>
          </w:tblCellMar>
        </w:tblPrEx>
        <w:trPr>
          <w:trHeight w:val="466"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2</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采购项目编号</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exact"/>
              <w:rPr>
                <w:rFonts w:hint="eastAsia" w:ascii="宋体" w:eastAsia="宋体" w:cs="宋体"/>
                <w:lang w:val="zh-CN" w:eastAsia="zh-CN"/>
              </w:rPr>
            </w:pPr>
            <w:r>
              <w:rPr>
                <w:rFonts w:hint="eastAsia" w:ascii="宋体" w:cs="宋体"/>
                <w:lang w:val="zh-CN"/>
              </w:rPr>
              <w:t>青海利仁竞磋（</w:t>
            </w:r>
            <w:r>
              <w:rPr>
                <w:rFonts w:hint="eastAsia" w:ascii="宋体" w:cs="宋体"/>
                <w:lang w:val="en-US" w:eastAsia="zh-CN"/>
              </w:rPr>
              <w:t>货物</w:t>
            </w:r>
            <w:r>
              <w:rPr>
                <w:rFonts w:hint="eastAsia" w:ascii="宋体" w:cs="宋体"/>
                <w:lang w:val="zh-CN"/>
              </w:rPr>
              <w:t>）2020-00</w:t>
            </w:r>
            <w:r>
              <w:rPr>
                <w:rFonts w:hint="eastAsia" w:ascii="宋体" w:cs="宋体"/>
                <w:lang w:val="en-US" w:eastAsia="zh-CN"/>
              </w:rPr>
              <w:t>7</w:t>
            </w:r>
          </w:p>
        </w:tc>
      </w:tr>
      <w:tr>
        <w:tblPrEx>
          <w:tblCellMar>
            <w:top w:w="0" w:type="dxa"/>
            <w:left w:w="108" w:type="dxa"/>
            <w:bottom w:w="0" w:type="dxa"/>
            <w:right w:w="108" w:type="dxa"/>
          </w:tblCellMar>
        </w:tblPrEx>
        <w:trPr>
          <w:trHeight w:val="422"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3</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采购人</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rPr>
                <w:rFonts w:hint="default" w:ascii="Arial" w:hAnsi="Arial" w:eastAsia="宋体" w:cs="Arial"/>
                <w:lang w:val="en-US" w:eastAsia="zh-CN"/>
              </w:rPr>
            </w:pPr>
            <w:r>
              <w:rPr>
                <w:rFonts w:hint="eastAsia" w:ascii="宋体" w:cs="宋体"/>
                <w:lang w:val="en-US" w:eastAsia="zh-CN"/>
              </w:rPr>
              <w:t>海北州藏医院</w:t>
            </w:r>
          </w:p>
        </w:tc>
      </w:tr>
      <w:tr>
        <w:tblPrEx>
          <w:tblCellMar>
            <w:top w:w="0" w:type="dxa"/>
            <w:left w:w="108" w:type="dxa"/>
            <w:bottom w:w="0" w:type="dxa"/>
            <w:right w:w="108" w:type="dxa"/>
          </w:tblCellMar>
        </w:tblPrEx>
        <w:trPr>
          <w:trHeight w:val="468"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4</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采购代理机构</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rPr>
                <w:rFonts w:ascii="Arial" w:hAnsi="Arial" w:cs="Arial"/>
                <w:lang w:val="zh-CN"/>
              </w:rPr>
            </w:pPr>
            <w:r>
              <w:rPr>
                <w:rFonts w:hint="eastAsia" w:ascii="Arial" w:hAnsi="Arial" w:cs="Arial"/>
              </w:rPr>
              <w:t>青海利仁建设项目管理有限公司</w:t>
            </w:r>
          </w:p>
        </w:tc>
      </w:tr>
      <w:tr>
        <w:tblPrEx>
          <w:tblCellMar>
            <w:top w:w="0" w:type="dxa"/>
            <w:left w:w="108" w:type="dxa"/>
            <w:bottom w:w="0" w:type="dxa"/>
            <w:right w:w="108" w:type="dxa"/>
          </w:tblCellMar>
        </w:tblPrEx>
        <w:trPr>
          <w:trHeight w:val="425"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5</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采购方式</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竞争性磋商</w:t>
            </w:r>
          </w:p>
        </w:tc>
      </w:tr>
      <w:tr>
        <w:tblPrEx>
          <w:tblCellMar>
            <w:top w:w="0" w:type="dxa"/>
            <w:left w:w="108" w:type="dxa"/>
            <w:bottom w:w="0" w:type="dxa"/>
            <w:right w:w="108" w:type="dxa"/>
          </w:tblCellMar>
        </w:tblPrEx>
        <w:trPr>
          <w:trHeight w:val="515"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6</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评分办法</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综合评分法</w:t>
            </w:r>
          </w:p>
        </w:tc>
      </w:tr>
      <w:tr>
        <w:tblPrEx>
          <w:tblCellMar>
            <w:top w:w="0" w:type="dxa"/>
            <w:left w:w="108" w:type="dxa"/>
            <w:bottom w:w="0" w:type="dxa"/>
            <w:right w:w="108" w:type="dxa"/>
          </w:tblCellMar>
        </w:tblPrEx>
        <w:trPr>
          <w:trHeight w:val="515"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7</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采购预算额度</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宋体" w:cs="宋体"/>
                <w:lang w:val="en-US" w:eastAsia="zh-CN"/>
              </w:rPr>
              <w:t>人民币9</w:t>
            </w:r>
            <w:r>
              <w:rPr>
                <w:rFonts w:hint="eastAsia" w:ascii="宋体" w:cs="宋体"/>
              </w:rPr>
              <w:t>万元</w:t>
            </w:r>
          </w:p>
        </w:tc>
      </w:tr>
      <w:tr>
        <w:tblPrEx>
          <w:tblCellMar>
            <w:top w:w="0" w:type="dxa"/>
            <w:left w:w="108" w:type="dxa"/>
            <w:bottom w:w="0" w:type="dxa"/>
            <w:right w:w="108" w:type="dxa"/>
          </w:tblCellMar>
        </w:tblPrEx>
        <w:trPr>
          <w:trHeight w:val="485"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rPr>
              <w:t>8</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采购要求</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详见</w:t>
            </w:r>
            <w:r>
              <w:rPr>
                <w:rFonts w:hint="eastAsia" w:ascii="宋体" w:cs="宋体"/>
                <w:lang w:val="zh-CN"/>
              </w:rPr>
              <w:t>《竞争性磋商文件》</w:t>
            </w:r>
          </w:p>
        </w:tc>
      </w:tr>
      <w:tr>
        <w:tblPrEx>
          <w:tblCellMar>
            <w:top w:w="0" w:type="dxa"/>
            <w:left w:w="108" w:type="dxa"/>
            <w:bottom w:w="0" w:type="dxa"/>
            <w:right w:w="108" w:type="dxa"/>
          </w:tblCellMar>
        </w:tblPrEx>
        <w:trPr>
          <w:trHeight w:val="836"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rPr>
              <w:t>9</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供应商资格条件</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pPr>
            <w:r>
              <w:rPr>
                <w:rFonts w:hint="eastAsia"/>
              </w:rPr>
              <w:t>1、应具备《政府采购法》第22条所规定的条件：</w:t>
            </w:r>
          </w:p>
          <w:p>
            <w:pPr>
              <w:spacing w:line="360" w:lineRule="auto"/>
            </w:pPr>
            <w:r>
              <w:rPr>
                <w:rFonts w:hint="eastAsia"/>
              </w:rPr>
              <w:t>（1）</w:t>
            </w:r>
            <w:r>
              <w:rPr>
                <w:rFonts w:hint="eastAsia"/>
                <w:lang w:val="zh-CN"/>
              </w:rPr>
              <w:t>供应商</w:t>
            </w:r>
            <w:r>
              <w:rPr>
                <w:rFonts w:hint="eastAsia"/>
              </w:rPr>
              <w:t>的营业执照等证明文件，自然人的身份证明；</w:t>
            </w:r>
          </w:p>
          <w:p>
            <w:pPr>
              <w:spacing w:line="360" w:lineRule="auto"/>
            </w:pPr>
            <w:r>
              <w:rPr>
                <w:rFonts w:hint="eastAsia"/>
              </w:rPr>
              <w:t>（2）财务状况报告和依法缴纳税收和社会保障资金的相关材料；</w:t>
            </w:r>
            <w:r>
              <w:t xml:space="preserve"> </w:t>
            </w:r>
          </w:p>
          <w:p>
            <w:pPr>
              <w:spacing w:line="360" w:lineRule="auto"/>
            </w:pPr>
            <w:r>
              <w:rPr>
                <w:rFonts w:hint="eastAsia"/>
              </w:rPr>
              <w:t>（3）具备履行合同所必须的设备和专业技术能力的证明材料；</w:t>
            </w:r>
          </w:p>
          <w:p>
            <w:pPr>
              <w:spacing w:line="360" w:lineRule="auto"/>
            </w:pPr>
            <w:r>
              <w:rPr>
                <w:rFonts w:hint="eastAsia"/>
              </w:rPr>
              <w:t>（4）参加政府采购活动前3年内在经营活动中没有重大违法记录的书面声明；</w:t>
            </w:r>
          </w:p>
          <w:p>
            <w:pPr>
              <w:spacing w:line="360" w:lineRule="auto"/>
            </w:pPr>
            <w:r>
              <w:rPr>
                <w:rFonts w:hint="eastAsia"/>
              </w:rPr>
              <w:t>（5）具备法律、行政法规规定的其他条件的证明材料。</w:t>
            </w:r>
          </w:p>
          <w:p>
            <w:pPr>
              <w:spacing w:line="360" w:lineRule="auto"/>
              <w:rPr>
                <w:rFonts w:hint="eastAsia"/>
              </w:rPr>
            </w:pPr>
            <w:r>
              <w:rPr>
                <w:rFonts w:hint="eastAsia"/>
              </w:rPr>
              <w:t>2、经信用中国（www.creditchina.gov.cn）、中国政府采购网（www.ccgp.gov.cn）等渠道查询后，列入失信被执行人、重大税收违法案件当事人名单、政府采购严重违法失信行为记录名单的，取消投标资格。（提供“信用中国”、“中国政府采购网”网站无任何不良记录的查询截图，时间为投标截止时间前20天内）。</w:t>
            </w:r>
          </w:p>
          <w:p>
            <w:pPr>
              <w:spacing w:line="360" w:lineRule="auto"/>
              <w:rPr>
                <w:rFonts w:hint="eastAsia"/>
                <w:lang w:val="zh-CN" w:eastAsia="zh-CN"/>
              </w:rPr>
            </w:pPr>
            <w:r>
              <w:rPr>
                <w:rFonts w:hint="eastAsia"/>
                <w:lang w:val="zh-CN" w:eastAsia="zh-CN"/>
              </w:rPr>
              <w:t>3、单位负责人为同一人或者存在直接控股、管理关系的不同供应商，不得参加同一合同项下的政府采购活动。否则，皆取消投标资格。</w:t>
            </w:r>
          </w:p>
          <w:p>
            <w:pPr>
              <w:spacing w:line="360" w:lineRule="auto"/>
              <w:rPr>
                <w:lang w:val="zh-CN"/>
              </w:rPr>
            </w:pPr>
            <w:r>
              <w:rPr>
                <w:rFonts w:hint="eastAsia"/>
              </w:rPr>
              <w:t>4、</w:t>
            </w:r>
            <w:r>
              <w:rPr>
                <w:rFonts w:hint="eastAsia"/>
                <w:lang w:val="zh-CN"/>
              </w:rPr>
              <w:t>为本采购项目提供整体设计、规范编制或者项目管理、监理、检测等服务的供应商，不得再参加该采购项目的其他采购活动。</w:t>
            </w:r>
          </w:p>
          <w:p>
            <w:pPr>
              <w:spacing w:line="360" w:lineRule="auto"/>
            </w:pPr>
            <w:r>
              <w:rPr>
                <w:rFonts w:hint="eastAsia"/>
              </w:rPr>
              <w:t>5、供应商须具有相应的经营范围。</w:t>
            </w:r>
          </w:p>
          <w:p>
            <w:pPr>
              <w:spacing w:line="360" w:lineRule="auto"/>
            </w:pPr>
            <w:r>
              <w:rPr>
                <w:rFonts w:hint="eastAsia"/>
              </w:rPr>
              <w:t>6、本项目不接受供应商以联合体方式进行投标。</w:t>
            </w:r>
          </w:p>
        </w:tc>
      </w:tr>
      <w:tr>
        <w:tblPrEx>
          <w:tblCellMar>
            <w:top w:w="0" w:type="dxa"/>
            <w:left w:w="108" w:type="dxa"/>
            <w:bottom w:w="0" w:type="dxa"/>
            <w:right w:w="108" w:type="dxa"/>
          </w:tblCellMar>
        </w:tblPrEx>
        <w:trPr>
          <w:trHeight w:val="296"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r>
              <w:rPr>
                <w:rFonts w:ascii="Arial" w:hAnsi="Arial" w:cs="Arial"/>
              </w:rPr>
              <w:t>0</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ascii="Arial" w:hAnsi="Arial" w:cs="Arial"/>
              </w:rPr>
              <w:t xml:space="preserve"> </w:t>
            </w:r>
            <w:r>
              <w:rPr>
                <w:rFonts w:hint="eastAsia" w:ascii="Arial" w:hAnsi="Arial" w:cs="Arial"/>
                <w:lang w:val="zh-CN"/>
              </w:rPr>
              <w:t>磋商保证金</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rPr>
                <w:kern w:val="2"/>
              </w:rPr>
            </w:pPr>
            <w:r>
              <w:rPr>
                <w:rFonts w:hint="eastAsia"/>
              </w:rPr>
              <w:t>磋商保证金：大写：</w:t>
            </w:r>
            <w:r>
              <w:rPr>
                <w:rFonts w:hint="eastAsia"/>
                <w:lang w:val="en-US" w:eastAsia="zh-CN"/>
              </w:rPr>
              <w:t>壹仟捌佰元整</w:t>
            </w:r>
            <w:r>
              <w:rPr>
                <w:rFonts w:hint="eastAsia"/>
              </w:rPr>
              <w:t>，小写：</w:t>
            </w:r>
            <w:r>
              <w:rPr>
                <w:rFonts w:hint="eastAsia"/>
                <w:lang w:val="en-US" w:eastAsia="zh-CN"/>
              </w:rPr>
              <w:t>1800</w:t>
            </w:r>
            <w:r>
              <w:t>.00</w:t>
            </w:r>
            <w:r>
              <w:rPr>
                <w:rFonts w:hint="eastAsia"/>
              </w:rPr>
              <w:t>元；</w:t>
            </w:r>
          </w:p>
          <w:p>
            <w:r>
              <w:rPr>
                <w:rFonts w:hint="eastAsia"/>
              </w:rPr>
              <w:t>收款单位：青海利仁建设项目管理有限公司</w:t>
            </w:r>
          </w:p>
          <w:p>
            <w:r>
              <w:rPr>
                <w:rFonts w:hint="eastAsia"/>
              </w:rPr>
              <w:t>开</w:t>
            </w:r>
            <w:r>
              <w:t xml:space="preserve"> </w:t>
            </w:r>
            <w:r>
              <w:rPr>
                <w:rFonts w:hint="eastAsia"/>
              </w:rPr>
              <w:t>户</w:t>
            </w:r>
            <w:r>
              <w:t xml:space="preserve"> </w:t>
            </w:r>
            <w:r>
              <w:rPr>
                <w:rFonts w:hint="eastAsia"/>
              </w:rPr>
              <w:t>行：青海银行股份有限公司海湖新区支行</w:t>
            </w:r>
          </w:p>
          <w:p>
            <w:r>
              <w:rPr>
                <w:rFonts w:hint="eastAsia"/>
              </w:rPr>
              <w:t>银行账号：</w:t>
            </w:r>
            <w:r>
              <w:t xml:space="preserve">0701201000278246 </w:t>
            </w:r>
          </w:p>
          <w:p>
            <w:pPr>
              <w:spacing w:line="360" w:lineRule="auto"/>
              <w:rPr>
                <w:rFonts w:ascii="宋体" w:hAnsi="Calibri" w:cs="宋体"/>
                <w:lang w:val="zh-CN"/>
              </w:rPr>
            </w:pPr>
            <w:r>
              <w:rPr>
                <w:rFonts w:hint="eastAsia"/>
              </w:rPr>
              <w:t>缴费时间：</w:t>
            </w:r>
            <w:r>
              <w:rPr>
                <w:rFonts w:hint="eastAsia" w:ascii="宋体" w:hAnsi="宋体" w:cs="宋体"/>
                <w:lang w:val="zh-CN"/>
              </w:rPr>
              <w:t>投标人在投标截止期前缴纳投标保证金，以银行到账时间为准。如采购项目变更开标时间，则保证金交纳时间相应顺延。</w:t>
            </w:r>
          </w:p>
        </w:tc>
      </w:tr>
      <w:tr>
        <w:tblPrEx>
          <w:tblCellMar>
            <w:top w:w="0" w:type="dxa"/>
            <w:left w:w="108" w:type="dxa"/>
            <w:bottom w:w="0" w:type="dxa"/>
            <w:right w:w="108" w:type="dxa"/>
          </w:tblCellMar>
        </w:tblPrEx>
        <w:trPr>
          <w:trHeight w:val="20"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r>
              <w:rPr>
                <w:rFonts w:ascii="Arial" w:hAnsi="Arial" w:cs="Arial"/>
              </w:rPr>
              <w:t>1</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缴费方式</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400" w:lineRule="exact"/>
              <w:rPr>
                <w:rFonts w:ascii="宋体" w:hAnsi="宋体" w:cs="宋体"/>
              </w:rPr>
            </w:pPr>
            <w:r>
              <w:rPr>
                <w:rFonts w:hint="eastAsia" w:ascii="Arial" w:hAnsi="Arial" w:cs="Arial"/>
                <w:lang w:val="zh-CN"/>
              </w:rPr>
              <w:t>缴费方式：磋商</w:t>
            </w:r>
            <w:r>
              <w:rPr>
                <w:rFonts w:hint="eastAsia" w:ascii="宋体" w:hAnsi="宋体" w:cs="宋体"/>
              </w:rPr>
              <w:t>保证金应当以支票、汇票、本票或者金融机构、担保机构出具的保函等非现金形式提交。通过银行转账的，必须由供应商从</w:t>
            </w:r>
            <w:r>
              <w:rPr>
                <w:rFonts w:hint="eastAsia" w:ascii="宋体" w:hAnsi="宋体" w:cs="宋体"/>
                <w:b/>
                <w:bCs/>
              </w:rPr>
              <w:t>其基本账户</w:t>
            </w:r>
            <w:r>
              <w:rPr>
                <w:rFonts w:hint="eastAsia" w:ascii="宋体" w:hAnsi="宋体" w:cs="宋体"/>
              </w:rPr>
              <w:t>(需提供开户许可证)汇（转）入采购代理机构指定账户。</w:t>
            </w:r>
          </w:p>
          <w:p>
            <w:pPr>
              <w:autoSpaceDE w:val="0"/>
              <w:autoSpaceDN w:val="0"/>
              <w:adjustRightInd w:val="0"/>
              <w:spacing w:line="400" w:lineRule="exact"/>
              <w:rPr>
                <w:rFonts w:ascii="Arial" w:hAnsi="Arial" w:cs="Arial"/>
                <w:lang w:val="zh-CN"/>
              </w:rPr>
            </w:pPr>
            <w:r>
              <w:rPr>
                <w:rFonts w:hint="eastAsia" w:ascii="Arial" w:hAnsi="Arial" w:cs="Arial"/>
                <w:lang w:val="zh-CN"/>
              </w:rPr>
              <w:t>供应商未按照磋商文件要求提交保证金的，磋商无效供应商将交纳磋商保证金证明的复印件加盖磋商供应商公章后装订在磋商文件中。</w:t>
            </w:r>
          </w:p>
        </w:tc>
      </w:tr>
      <w:tr>
        <w:tblPrEx>
          <w:tblCellMar>
            <w:top w:w="0" w:type="dxa"/>
            <w:left w:w="108" w:type="dxa"/>
            <w:bottom w:w="0" w:type="dxa"/>
            <w:right w:w="108" w:type="dxa"/>
          </w:tblCellMar>
        </w:tblPrEx>
        <w:trPr>
          <w:trHeight w:val="20"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r>
              <w:rPr>
                <w:rFonts w:ascii="Arial" w:hAnsi="Arial" w:cs="Arial"/>
              </w:rPr>
              <w:t>2</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磋商保证金退还</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spacing w:line="360" w:lineRule="auto"/>
              <w:rPr>
                <w:rFonts w:ascii="Arial" w:hAnsi="Arial" w:cs="Arial"/>
                <w:lang w:val="zh-CN"/>
              </w:rPr>
            </w:pPr>
            <w:r>
              <w:rPr>
                <w:rFonts w:hint="eastAsia" w:ascii="Arial" w:hAnsi="Arial" w:cs="Arial"/>
                <w:lang w:val="zh-CN"/>
              </w:rPr>
              <w:t>未成交供应商的磋商保证金自成交通知书发出之日起</w:t>
            </w:r>
            <w:r>
              <w:rPr>
                <w:rFonts w:ascii="Arial" w:hAnsi="Arial" w:cs="Arial"/>
                <w:lang w:val="zh-CN"/>
              </w:rPr>
              <w:t>5</w:t>
            </w:r>
            <w:r>
              <w:rPr>
                <w:rFonts w:hint="eastAsia" w:ascii="Arial" w:hAnsi="Arial" w:cs="Arial"/>
                <w:lang w:val="zh-CN"/>
              </w:rPr>
              <w:t>个工作日内全额退还（不退现金）；成交供应商的磋商保证金，自政府采购合同签订之日起</w:t>
            </w:r>
            <w:r>
              <w:rPr>
                <w:rFonts w:ascii="Arial" w:hAnsi="Arial" w:cs="Arial"/>
                <w:lang w:val="zh-CN"/>
              </w:rPr>
              <w:t>5</w:t>
            </w:r>
            <w:r>
              <w:rPr>
                <w:rFonts w:hint="eastAsia" w:ascii="Arial" w:hAnsi="Arial" w:cs="Arial"/>
                <w:lang w:val="zh-CN"/>
              </w:rPr>
              <w:t>个工作日内全额退还（不退现金）。</w:t>
            </w:r>
          </w:p>
        </w:tc>
      </w:tr>
      <w:tr>
        <w:tblPrEx>
          <w:tblCellMar>
            <w:top w:w="0" w:type="dxa"/>
            <w:left w:w="108" w:type="dxa"/>
            <w:bottom w:w="0" w:type="dxa"/>
            <w:right w:w="108" w:type="dxa"/>
          </w:tblCellMar>
        </w:tblPrEx>
        <w:trPr>
          <w:trHeight w:val="20"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r>
              <w:rPr>
                <w:rFonts w:ascii="Arial" w:hAnsi="Arial" w:cs="Arial"/>
              </w:rPr>
              <w:t>3</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响应文件编制要求</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ascii="Arial" w:hAnsi="Arial" w:cs="Arial"/>
                <w:lang w:val="zh-CN"/>
              </w:rPr>
              <w:t>1.</w:t>
            </w:r>
            <w:r>
              <w:rPr>
                <w:rFonts w:hint="eastAsia" w:ascii="Arial" w:hAnsi="Arial" w:cs="Arial"/>
                <w:lang w:val="zh-CN"/>
              </w:rPr>
              <w:t>供应商应按照竞争性磋商文件所提供的磋商文件格式，分别填写竞争性磋商文件的内容，并由法定代表人或委托代理人按竞争性磋商文件要求签字（或盖章）、加盖公章。</w:t>
            </w:r>
          </w:p>
          <w:p>
            <w:pPr>
              <w:autoSpaceDE w:val="0"/>
              <w:autoSpaceDN w:val="0"/>
              <w:adjustRightInd w:val="0"/>
              <w:spacing w:line="360" w:lineRule="auto"/>
              <w:rPr>
                <w:rFonts w:ascii="Arial" w:hAnsi="Arial" w:cs="Arial"/>
                <w:lang w:val="zh-CN"/>
              </w:rPr>
            </w:pPr>
            <w:r>
              <w:rPr>
                <w:rFonts w:ascii="Arial" w:hAnsi="Arial" w:cs="Arial"/>
                <w:lang w:val="zh-CN"/>
              </w:rPr>
              <w:t>2.</w:t>
            </w:r>
            <w:r>
              <w:rPr>
                <w:rFonts w:hint="eastAsia" w:ascii="Arial" w:hAnsi="Arial" w:cs="Arial"/>
                <w:lang w:val="zh-CN"/>
              </w:rPr>
              <w:t>供应商应按竞争性磋商文件要求准备磋商文件（</w:t>
            </w:r>
            <w:r>
              <w:rPr>
                <w:rFonts w:ascii="Arial" w:hAnsi="Arial" w:cs="Arial"/>
                <w:lang w:val="zh-CN"/>
              </w:rPr>
              <w:t>1</w:t>
            </w:r>
            <w:r>
              <w:rPr>
                <w:rFonts w:hint="eastAsia" w:ascii="Arial" w:hAnsi="Arial" w:cs="Arial"/>
                <w:lang w:val="zh-CN"/>
              </w:rPr>
              <w:t>份正本、</w:t>
            </w:r>
            <w:r>
              <w:rPr>
                <w:rFonts w:ascii="Arial" w:hAnsi="Arial" w:cs="Arial"/>
              </w:rPr>
              <w:t>2</w:t>
            </w:r>
            <w:r>
              <w:rPr>
                <w:rFonts w:hint="eastAsia" w:ascii="Arial" w:hAnsi="Arial" w:cs="Arial"/>
              </w:rPr>
              <w:t>份副本、</w:t>
            </w:r>
            <w:r>
              <w:rPr>
                <w:rFonts w:hint="eastAsia" w:ascii="Arial" w:hAnsi="Arial" w:cs="Arial"/>
                <w:lang w:val="zh-CN"/>
              </w:rPr>
              <w:t>相应的电子文档</w:t>
            </w:r>
            <w:r>
              <w:rPr>
                <w:rFonts w:ascii="Arial" w:hAnsi="Arial" w:cs="Arial"/>
                <w:lang w:val="zh-CN"/>
              </w:rPr>
              <w:t>1</w:t>
            </w:r>
            <w:r>
              <w:rPr>
                <w:rFonts w:hint="eastAsia" w:ascii="Arial" w:hAnsi="Arial" w:cs="Arial"/>
                <w:lang w:val="zh-CN"/>
              </w:rPr>
              <w:t>份及单独提交的“首次报价表”</w:t>
            </w:r>
            <w:r>
              <w:rPr>
                <w:rFonts w:ascii="Arial" w:hAnsi="Arial" w:cs="Arial"/>
                <w:lang w:val="zh-CN"/>
              </w:rPr>
              <w:t>1</w:t>
            </w:r>
            <w:r>
              <w:rPr>
                <w:rFonts w:hint="eastAsia" w:ascii="Arial" w:hAnsi="Arial" w:cs="Arial"/>
                <w:lang w:val="zh-CN"/>
              </w:rPr>
              <w:t>份，每份磋商文件都必须清楚地标明</w:t>
            </w:r>
            <w:r>
              <w:rPr>
                <w:rFonts w:ascii="Arial" w:hAnsi="Arial" w:cs="Arial"/>
                <w:lang w:val="zh-CN"/>
              </w:rPr>
              <w:t>“</w:t>
            </w:r>
            <w:r>
              <w:rPr>
                <w:rFonts w:hint="eastAsia" w:ascii="Arial" w:hAnsi="Arial" w:cs="Arial"/>
                <w:lang w:val="zh-CN"/>
              </w:rPr>
              <w:t>正本</w:t>
            </w:r>
            <w:r>
              <w:rPr>
                <w:rFonts w:ascii="Arial" w:hAnsi="Arial" w:cs="Arial"/>
                <w:lang w:val="zh-CN"/>
              </w:rPr>
              <w:t>”</w:t>
            </w:r>
            <w:r>
              <w:rPr>
                <w:rFonts w:hint="eastAsia" w:ascii="Arial" w:hAnsi="Arial" w:cs="Arial"/>
                <w:lang w:val="zh-CN"/>
              </w:rPr>
              <w:t>或</w:t>
            </w:r>
            <w:r>
              <w:rPr>
                <w:rFonts w:ascii="Arial" w:hAnsi="Arial" w:cs="Arial"/>
                <w:lang w:val="zh-CN"/>
              </w:rPr>
              <w:t>“</w:t>
            </w:r>
            <w:r>
              <w:rPr>
                <w:rFonts w:hint="eastAsia" w:ascii="Arial" w:hAnsi="Arial" w:cs="Arial"/>
                <w:lang w:val="zh-CN"/>
              </w:rPr>
              <w:t>副本</w:t>
            </w:r>
            <w:r>
              <w:rPr>
                <w:rFonts w:ascii="Arial" w:hAnsi="Arial" w:cs="Arial"/>
                <w:lang w:val="zh-CN"/>
              </w:rPr>
              <w:t>”</w:t>
            </w:r>
            <w:r>
              <w:rPr>
                <w:rFonts w:hint="eastAsia" w:ascii="Arial" w:hAnsi="Arial" w:cs="Arial"/>
                <w:lang w:val="zh-CN"/>
              </w:rPr>
              <w:t>字样。磋商文件统一使用</w:t>
            </w:r>
            <w:r>
              <w:rPr>
                <w:rFonts w:ascii="Arial" w:hAnsi="Arial" w:cs="Arial"/>
                <w:lang w:val="zh-CN"/>
              </w:rPr>
              <w:t>A4</w:t>
            </w:r>
            <w:r>
              <w:rPr>
                <w:rFonts w:hint="eastAsia" w:ascii="Arial" w:hAnsi="Arial" w:cs="Arial"/>
                <w:lang w:val="zh-CN"/>
              </w:rPr>
              <w:t>幅面的纸张印制，必须胶装成册并编码，其他方式装订的磋商文件一概不予接受。</w:t>
            </w:r>
          </w:p>
        </w:tc>
      </w:tr>
      <w:tr>
        <w:tblPrEx>
          <w:tblCellMar>
            <w:top w:w="0" w:type="dxa"/>
            <w:left w:w="108" w:type="dxa"/>
            <w:bottom w:w="0" w:type="dxa"/>
            <w:right w:w="108" w:type="dxa"/>
          </w:tblCellMar>
        </w:tblPrEx>
        <w:trPr>
          <w:trHeight w:val="20"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r>
              <w:rPr>
                <w:rFonts w:ascii="Arial" w:hAnsi="Arial" w:cs="Arial"/>
              </w:rPr>
              <w:t>4</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磋商文件的密封</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磋商文件外层密封袋的标注：采购项目名称、采购项目编号、供应商名称以及</w:t>
            </w:r>
            <w:r>
              <w:rPr>
                <w:rFonts w:ascii="Arial" w:hAnsi="Arial" w:cs="Arial"/>
                <w:lang w:val="zh-CN"/>
              </w:rPr>
              <w:t>“</w:t>
            </w:r>
            <w:r>
              <w:rPr>
                <w:rFonts w:hint="eastAsia" w:ascii="宋体" w:hAnsi="Cambria" w:cs="宋体"/>
                <w:lang w:val="zh-CN"/>
              </w:rPr>
              <w:t>于</w:t>
            </w:r>
            <w:r>
              <w:rPr>
                <w:rFonts w:hint="eastAsia" w:ascii="宋体" w:cs="宋体"/>
                <w:lang w:val="zh-CN"/>
              </w:rPr>
              <w:t>2020年</w:t>
            </w:r>
            <w:r>
              <w:rPr>
                <w:rFonts w:hint="eastAsia" w:ascii="宋体" w:cs="宋体"/>
                <w:color w:val="auto"/>
                <w:lang w:val="en-US" w:eastAsia="zh-CN"/>
              </w:rPr>
              <w:t>9</w:t>
            </w:r>
            <w:r>
              <w:rPr>
                <w:rFonts w:hint="eastAsia" w:ascii="宋体" w:cs="宋体"/>
                <w:color w:val="auto"/>
              </w:rPr>
              <w:t>月</w:t>
            </w:r>
            <w:r>
              <w:rPr>
                <w:rFonts w:hint="eastAsia" w:ascii="宋体" w:cs="宋体"/>
                <w:color w:val="auto"/>
                <w:lang w:val="en-US" w:eastAsia="zh-CN"/>
              </w:rPr>
              <w:t>4</w:t>
            </w:r>
            <w:r>
              <w:rPr>
                <w:rFonts w:hint="eastAsia" w:ascii="宋体" w:cs="宋体"/>
                <w:color w:val="auto"/>
                <w:lang w:val="zh-CN"/>
              </w:rPr>
              <w:t>日上午</w:t>
            </w:r>
            <w:r>
              <w:rPr>
                <w:rFonts w:hint="eastAsia" w:ascii="宋体" w:cs="宋体"/>
                <w:color w:val="auto"/>
                <w:lang w:val="en-US" w:eastAsia="zh-CN"/>
              </w:rPr>
              <w:t>10</w:t>
            </w:r>
            <w:r>
              <w:rPr>
                <w:rFonts w:hint="eastAsia" w:ascii="宋体" w:cs="宋体"/>
                <w:color w:val="auto"/>
                <w:lang w:val="zh-CN"/>
              </w:rPr>
              <w:t>:</w:t>
            </w:r>
            <w:r>
              <w:rPr>
                <w:rFonts w:hint="eastAsia" w:ascii="宋体" w:cs="宋体"/>
                <w:color w:val="auto"/>
                <w:lang w:val="en-US" w:eastAsia="zh-CN"/>
              </w:rPr>
              <w:t>0</w:t>
            </w:r>
            <w:r>
              <w:rPr>
                <w:rFonts w:hint="eastAsia" w:ascii="宋体" w:cs="宋体"/>
                <w:color w:val="auto"/>
              </w:rPr>
              <w:t>0</w:t>
            </w:r>
            <w:r>
              <w:rPr>
                <w:rFonts w:hint="eastAsia" w:ascii="宋体" w:cs="宋体"/>
                <w:lang w:val="zh-CN"/>
              </w:rPr>
              <w:t>（北京时间）</w:t>
            </w:r>
            <w:r>
              <w:rPr>
                <w:rFonts w:hint="eastAsia" w:ascii="宋体" w:hAnsi="Cambria" w:cs="宋体"/>
                <w:lang w:val="zh-CN"/>
              </w:rPr>
              <w:t>之前不准启封</w:t>
            </w:r>
            <w:r>
              <w:rPr>
                <w:rFonts w:ascii="Arial" w:hAnsi="Arial" w:cs="Arial"/>
                <w:lang w:val="zh-CN"/>
              </w:rPr>
              <w:t>”</w:t>
            </w:r>
            <w:r>
              <w:rPr>
                <w:rFonts w:hint="eastAsia" w:ascii="Arial" w:hAnsi="Arial" w:cs="Arial"/>
                <w:lang w:val="zh-CN"/>
              </w:rPr>
              <w:t>字样。</w:t>
            </w:r>
          </w:p>
        </w:tc>
      </w:tr>
      <w:tr>
        <w:tblPrEx>
          <w:tblCellMar>
            <w:top w:w="0" w:type="dxa"/>
            <w:left w:w="108" w:type="dxa"/>
            <w:bottom w:w="0" w:type="dxa"/>
            <w:right w:w="108" w:type="dxa"/>
          </w:tblCellMar>
        </w:tblPrEx>
        <w:trPr>
          <w:trHeight w:val="500"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r>
              <w:rPr>
                <w:rFonts w:ascii="Arial" w:hAnsi="Arial" w:cs="Arial"/>
              </w:rPr>
              <w:t>5</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递交磋商文件方式</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现场递交，</w:t>
            </w:r>
            <w:r>
              <w:rPr>
                <w:rFonts w:hint="eastAsia" w:ascii="Arial" w:hAnsi="Arial" w:cs="Arial"/>
              </w:rPr>
              <w:t>不接受供应商以邮寄、电报、电话、传真等形式的磋商文件</w:t>
            </w:r>
          </w:p>
        </w:tc>
      </w:tr>
      <w:tr>
        <w:tblPrEx>
          <w:tblCellMar>
            <w:top w:w="0" w:type="dxa"/>
            <w:left w:w="108" w:type="dxa"/>
            <w:bottom w:w="0" w:type="dxa"/>
            <w:right w:w="108" w:type="dxa"/>
          </w:tblCellMar>
        </w:tblPrEx>
        <w:trPr>
          <w:trHeight w:val="798"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r>
              <w:rPr>
                <w:rFonts w:ascii="Arial" w:hAnsi="Arial" w:cs="Arial"/>
              </w:rPr>
              <w:t>6</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宋体" w:cs="Arial"/>
              </w:rPr>
              <w:t>提交磋商文件</w:t>
            </w:r>
            <w:r>
              <w:rPr>
                <w:rFonts w:hint="eastAsia" w:ascii="Arial" w:hAnsi="Arial" w:cs="Arial"/>
                <w:lang w:val="zh-CN"/>
              </w:rPr>
              <w:t>截止时间</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color w:val="000000"/>
                <w:lang w:val="zh-CN"/>
              </w:rPr>
            </w:pPr>
            <w:r>
              <w:rPr>
                <w:rFonts w:hint="eastAsia" w:ascii="宋体" w:cs="宋体"/>
                <w:color w:val="000000"/>
                <w:lang w:val="zh-CN"/>
              </w:rPr>
              <w:t>2020年</w:t>
            </w:r>
            <w:r>
              <w:rPr>
                <w:rFonts w:hint="eastAsia" w:ascii="宋体" w:cs="宋体"/>
                <w:color w:val="auto"/>
                <w:lang w:val="en-US" w:eastAsia="zh-CN"/>
              </w:rPr>
              <w:t>9</w:t>
            </w:r>
            <w:r>
              <w:rPr>
                <w:rFonts w:hint="eastAsia" w:ascii="宋体" w:cs="宋体"/>
                <w:color w:val="auto"/>
              </w:rPr>
              <w:t>月</w:t>
            </w:r>
            <w:r>
              <w:rPr>
                <w:rFonts w:hint="eastAsia" w:ascii="宋体" w:cs="宋体"/>
                <w:color w:val="auto"/>
                <w:lang w:val="en-US" w:eastAsia="zh-CN"/>
              </w:rPr>
              <w:t>4</w:t>
            </w:r>
            <w:r>
              <w:rPr>
                <w:rFonts w:hint="eastAsia" w:ascii="宋体" w:cs="宋体"/>
                <w:color w:val="000000"/>
                <w:lang w:val="zh-CN"/>
              </w:rPr>
              <w:t>日上午</w:t>
            </w:r>
            <w:r>
              <w:rPr>
                <w:rFonts w:hint="eastAsia" w:ascii="宋体" w:cs="宋体"/>
                <w:color w:val="000000"/>
                <w:lang w:val="en-US" w:eastAsia="zh-CN"/>
              </w:rPr>
              <w:t>10</w:t>
            </w:r>
            <w:r>
              <w:rPr>
                <w:rFonts w:hint="eastAsia" w:ascii="宋体" w:cs="宋体"/>
                <w:color w:val="000000"/>
                <w:lang w:val="zh-CN"/>
              </w:rPr>
              <w:t>:</w:t>
            </w:r>
            <w:r>
              <w:rPr>
                <w:rFonts w:hint="eastAsia" w:ascii="宋体" w:cs="宋体"/>
                <w:color w:val="000000"/>
                <w:lang w:val="en-US" w:eastAsia="zh-CN"/>
              </w:rPr>
              <w:t>0</w:t>
            </w:r>
            <w:r>
              <w:rPr>
                <w:rFonts w:hint="eastAsia" w:ascii="宋体" w:cs="宋体"/>
                <w:color w:val="000000"/>
              </w:rPr>
              <w:t>0</w:t>
            </w:r>
            <w:r>
              <w:rPr>
                <w:rFonts w:hint="eastAsia" w:ascii="宋体" w:cs="宋体"/>
                <w:color w:val="000000"/>
                <w:lang w:val="zh-CN"/>
              </w:rPr>
              <w:t>（北京时间）</w:t>
            </w:r>
          </w:p>
        </w:tc>
      </w:tr>
      <w:tr>
        <w:tblPrEx>
          <w:tblCellMar>
            <w:top w:w="0" w:type="dxa"/>
            <w:left w:w="108" w:type="dxa"/>
            <w:bottom w:w="0" w:type="dxa"/>
            <w:right w:w="108" w:type="dxa"/>
          </w:tblCellMar>
        </w:tblPrEx>
        <w:trPr>
          <w:trHeight w:val="425"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r>
              <w:rPr>
                <w:rFonts w:ascii="Arial" w:hAnsi="Arial" w:cs="Arial"/>
              </w:rPr>
              <w:t>7</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宋体" w:cs="Arial"/>
              </w:rPr>
              <w:t>磋商文件开启时间</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color w:val="000000"/>
                <w:lang w:val="zh-CN"/>
              </w:rPr>
            </w:pPr>
            <w:r>
              <w:rPr>
                <w:rFonts w:hint="eastAsia" w:ascii="宋体" w:cs="宋体"/>
                <w:color w:val="000000"/>
                <w:lang w:val="zh-CN"/>
              </w:rPr>
              <w:t>2020</w:t>
            </w:r>
            <w:r>
              <w:rPr>
                <w:rFonts w:hint="eastAsia" w:ascii="宋体" w:cs="宋体"/>
                <w:color w:val="auto"/>
                <w:lang w:val="zh-CN"/>
              </w:rPr>
              <w:t>年</w:t>
            </w:r>
            <w:r>
              <w:rPr>
                <w:rFonts w:hint="eastAsia" w:ascii="宋体" w:cs="宋体"/>
                <w:color w:val="auto"/>
                <w:lang w:val="en-US" w:eastAsia="zh-CN"/>
              </w:rPr>
              <w:t>9</w:t>
            </w:r>
            <w:r>
              <w:rPr>
                <w:rFonts w:hint="eastAsia" w:ascii="宋体" w:cs="宋体"/>
                <w:color w:val="auto"/>
              </w:rPr>
              <w:t>月</w:t>
            </w:r>
            <w:r>
              <w:rPr>
                <w:rFonts w:hint="eastAsia" w:ascii="宋体" w:cs="宋体"/>
                <w:color w:val="auto"/>
                <w:lang w:val="en-US" w:eastAsia="zh-CN"/>
              </w:rPr>
              <w:t>4</w:t>
            </w:r>
            <w:r>
              <w:rPr>
                <w:rFonts w:hint="eastAsia" w:ascii="宋体" w:cs="宋体"/>
                <w:color w:val="000000"/>
                <w:lang w:val="zh-CN"/>
              </w:rPr>
              <w:t>日上午</w:t>
            </w:r>
            <w:r>
              <w:rPr>
                <w:rFonts w:hint="eastAsia" w:ascii="宋体" w:cs="宋体"/>
                <w:color w:val="000000"/>
                <w:lang w:val="en-US" w:eastAsia="zh-CN"/>
              </w:rPr>
              <w:t>10</w:t>
            </w:r>
            <w:r>
              <w:rPr>
                <w:rFonts w:hint="eastAsia" w:ascii="宋体" w:cs="宋体"/>
                <w:color w:val="000000"/>
                <w:lang w:val="zh-CN"/>
              </w:rPr>
              <w:t>:</w:t>
            </w:r>
            <w:r>
              <w:rPr>
                <w:rFonts w:hint="eastAsia" w:ascii="宋体" w:cs="宋体"/>
                <w:color w:val="000000"/>
                <w:lang w:val="en-US" w:eastAsia="zh-CN"/>
              </w:rPr>
              <w:t>0</w:t>
            </w:r>
            <w:r>
              <w:rPr>
                <w:rFonts w:hint="eastAsia" w:ascii="宋体" w:cs="宋体"/>
                <w:color w:val="000000"/>
              </w:rPr>
              <w:t>0</w:t>
            </w:r>
            <w:r>
              <w:rPr>
                <w:rFonts w:hint="eastAsia" w:ascii="宋体" w:cs="宋体"/>
                <w:color w:val="000000"/>
                <w:lang w:val="zh-CN"/>
              </w:rPr>
              <w:t>（北京时间）</w:t>
            </w:r>
          </w:p>
        </w:tc>
      </w:tr>
      <w:tr>
        <w:tblPrEx>
          <w:tblCellMar>
            <w:top w:w="0" w:type="dxa"/>
            <w:left w:w="108" w:type="dxa"/>
            <w:bottom w:w="0" w:type="dxa"/>
            <w:right w:w="108" w:type="dxa"/>
          </w:tblCellMar>
        </w:tblPrEx>
        <w:trPr>
          <w:trHeight w:val="536"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1</w:t>
            </w:r>
            <w:r>
              <w:rPr>
                <w:rFonts w:ascii="Arial" w:hAnsi="Arial" w:cs="Arial"/>
              </w:rPr>
              <w:t>8</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宋体" w:cs="Arial"/>
              </w:rPr>
              <w:t>提交磋商文件地点</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rPr>
              <w:t>西宁市西川南路</w:t>
            </w:r>
            <w:r>
              <w:t>76</w:t>
            </w:r>
            <w:r>
              <w:rPr>
                <w:rFonts w:hint="eastAsia"/>
              </w:rPr>
              <w:t>号万达中心</w:t>
            </w:r>
            <w:r>
              <w:t>1</w:t>
            </w:r>
            <w:r>
              <w:rPr>
                <w:rFonts w:hint="eastAsia"/>
              </w:rPr>
              <w:t>号写字楼</w:t>
            </w:r>
            <w:r>
              <w:t>30</w:t>
            </w:r>
            <w:r>
              <w:rPr>
                <w:rFonts w:hint="eastAsia"/>
              </w:rPr>
              <w:t>楼</w:t>
            </w:r>
            <w:r>
              <w:t>13001</w:t>
            </w:r>
            <w:r>
              <w:rPr>
                <w:rFonts w:hint="eastAsia"/>
              </w:rPr>
              <w:t>室</w:t>
            </w:r>
          </w:p>
        </w:tc>
      </w:tr>
      <w:tr>
        <w:tblPrEx>
          <w:tblCellMar>
            <w:top w:w="0" w:type="dxa"/>
            <w:left w:w="108" w:type="dxa"/>
            <w:bottom w:w="0" w:type="dxa"/>
            <w:right w:w="108" w:type="dxa"/>
          </w:tblCellMar>
        </w:tblPrEx>
        <w:trPr>
          <w:trHeight w:val="20"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rPr>
            </w:pPr>
            <w:r>
              <w:rPr>
                <w:rFonts w:ascii="Arial" w:hAnsi="Arial" w:cs="Arial"/>
              </w:rPr>
              <w:t>19</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答疑澄清方式</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采用现场答疑。供应商须提供准确的联系方式（手机和固定电话），应在规定的时间内到达评审现场进行答疑澄清，如在规定的时间内联系无果或未按时到达的，视同放弃答疑。</w:t>
            </w:r>
          </w:p>
        </w:tc>
      </w:tr>
      <w:tr>
        <w:tblPrEx>
          <w:tblCellMar>
            <w:top w:w="0" w:type="dxa"/>
            <w:left w:w="108" w:type="dxa"/>
            <w:bottom w:w="0" w:type="dxa"/>
            <w:right w:w="108" w:type="dxa"/>
          </w:tblCellMar>
        </w:tblPrEx>
        <w:trPr>
          <w:trHeight w:val="20"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2</w:t>
            </w:r>
            <w:r>
              <w:rPr>
                <w:rFonts w:ascii="Arial" w:hAnsi="Arial" w:cs="Arial"/>
              </w:rPr>
              <w:t>0</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代理服务费收取</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宋体" w:hAnsi="Calibri" w:cs="宋体"/>
                <w:lang w:val="zh-CN"/>
              </w:rPr>
            </w:pPr>
            <w:r>
              <w:rPr>
                <w:rFonts w:hint="eastAsia" w:ascii="宋体" w:hAnsi="Calibri" w:cs="宋体"/>
                <w:lang w:val="zh-CN"/>
              </w:rPr>
              <w:t>收取对象：</w:t>
            </w:r>
            <w:r>
              <w:rPr>
                <w:rFonts w:hint="eastAsia" w:ascii="宋体" w:hAnsi="Calibri" w:cs="宋体"/>
                <w:lang w:val="en-US" w:eastAsia="zh-CN"/>
              </w:rPr>
              <w:t>中标人</w:t>
            </w:r>
            <w:r>
              <w:rPr>
                <w:rFonts w:hint="eastAsia" w:ascii="宋体" w:hAnsi="Calibri" w:cs="宋体"/>
                <w:lang w:val="zh-CN"/>
              </w:rPr>
              <w:t>（在领取中标通知书前向采购代理机构缴纳）</w:t>
            </w:r>
          </w:p>
          <w:p>
            <w:pPr>
              <w:autoSpaceDE w:val="0"/>
              <w:autoSpaceDN w:val="0"/>
              <w:adjustRightInd w:val="0"/>
              <w:spacing w:line="360" w:lineRule="auto"/>
              <w:rPr>
                <w:rFonts w:ascii="Arial" w:hAnsi="Arial" w:cs="Arial"/>
                <w:b/>
                <w:lang w:val="zh-CN"/>
              </w:rPr>
            </w:pPr>
            <w:r>
              <w:rPr>
                <w:rFonts w:hint="eastAsia" w:ascii="宋体" w:hAnsi="Calibri" w:cs="宋体"/>
                <w:lang w:val="zh-CN"/>
              </w:rPr>
              <w:t>收费金额：根据《关于进一步放开建设项目专项业务服务价格的通知》（发改价格[2015]299号）规定，实行市场调节价，应严格遵守《价格法》、《关于商品和服务实行明码标价的规定》等法律法规的规定，由</w:t>
            </w:r>
            <w:r>
              <w:rPr>
                <w:rFonts w:hint="eastAsia" w:ascii="宋体" w:hAnsi="Calibri" w:cs="宋体"/>
                <w:lang w:val="en-US" w:eastAsia="zh-CN"/>
              </w:rPr>
              <w:t>中标</w:t>
            </w:r>
            <w:r>
              <w:rPr>
                <w:rFonts w:hint="eastAsia" w:ascii="宋体" w:hAnsi="Calibri" w:cs="宋体"/>
                <w:lang w:val="zh-CN"/>
              </w:rPr>
              <w:t>人和采购代理机构共同确定合理的收费金额。</w:t>
            </w:r>
          </w:p>
        </w:tc>
      </w:tr>
      <w:tr>
        <w:tblPrEx>
          <w:tblCellMar>
            <w:top w:w="0" w:type="dxa"/>
            <w:left w:w="108" w:type="dxa"/>
            <w:bottom w:w="0" w:type="dxa"/>
            <w:right w:w="108" w:type="dxa"/>
          </w:tblCellMar>
        </w:tblPrEx>
        <w:trPr>
          <w:trHeight w:val="588"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2</w:t>
            </w:r>
            <w:r>
              <w:rPr>
                <w:rFonts w:ascii="Arial" w:hAnsi="Arial" w:cs="Arial"/>
              </w:rPr>
              <w:t>1</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合同签订有效期</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自成交通知书发出之日起</w:t>
            </w:r>
            <w:r>
              <w:rPr>
                <w:rFonts w:ascii="Arial" w:hAnsi="Arial" w:cs="Arial"/>
              </w:rPr>
              <w:t>30</w:t>
            </w:r>
            <w:r>
              <w:rPr>
                <w:rFonts w:hint="eastAsia" w:ascii="Arial" w:hAnsi="Arial" w:cs="Arial"/>
                <w:lang w:val="zh-CN"/>
              </w:rPr>
              <w:t>日内与采购人签订合同。</w:t>
            </w:r>
          </w:p>
        </w:tc>
      </w:tr>
      <w:tr>
        <w:tblPrEx>
          <w:tblCellMar>
            <w:top w:w="0" w:type="dxa"/>
            <w:left w:w="108" w:type="dxa"/>
            <w:bottom w:w="0" w:type="dxa"/>
            <w:right w:w="108" w:type="dxa"/>
          </w:tblCellMar>
        </w:tblPrEx>
        <w:trPr>
          <w:trHeight w:val="20"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2</w:t>
            </w:r>
            <w:r>
              <w:rPr>
                <w:rFonts w:ascii="Arial" w:hAnsi="Arial" w:cs="Arial"/>
              </w:rPr>
              <w:t>2</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政府采购合同备案</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采购合同全数返回采购代理机构鉴证，盖章。</w:t>
            </w:r>
          </w:p>
          <w:p>
            <w:pPr>
              <w:autoSpaceDE w:val="0"/>
              <w:autoSpaceDN w:val="0"/>
              <w:adjustRightInd w:val="0"/>
              <w:spacing w:line="360" w:lineRule="auto"/>
              <w:rPr>
                <w:rFonts w:ascii="Arial" w:hAnsi="Arial" w:cs="Arial"/>
                <w:lang w:val="zh-CN"/>
              </w:rPr>
            </w:pPr>
            <w:r>
              <w:rPr>
                <w:rFonts w:hint="eastAsia" w:ascii="Arial" w:hAnsi="Arial" w:cs="Arial"/>
                <w:lang w:val="zh-CN"/>
              </w:rPr>
              <w:t>采购代理机构留存贰份原件备案。</w:t>
            </w:r>
          </w:p>
        </w:tc>
      </w:tr>
      <w:tr>
        <w:tblPrEx>
          <w:tblCellMar>
            <w:top w:w="0" w:type="dxa"/>
            <w:left w:w="108" w:type="dxa"/>
            <w:bottom w:w="0" w:type="dxa"/>
            <w:right w:w="108" w:type="dxa"/>
          </w:tblCellMar>
        </w:tblPrEx>
        <w:trPr>
          <w:trHeight w:val="556"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lang w:val="zh-CN"/>
              </w:rPr>
            </w:pPr>
            <w:r>
              <w:rPr>
                <w:rFonts w:ascii="Arial" w:hAnsi="Arial" w:cs="Arial"/>
                <w:lang w:val="zh-CN"/>
              </w:rPr>
              <w:t>2</w:t>
            </w:r>
            <w:r>
              <w:rPr>
                <w:rFonts w:ascii="Arial" w:hAnsi="Arial" w:cs="Arial"/>
              </w:rPr>
              <w:t>3</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磋商有效期</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ascii="Arial" w:hAnsi="Arial" w:cs="Arial"/>
              </w:rPr>
              <w:t>6</w:t>
            </w:r>
            <w:r>
              <w:rPr>
                <w:rFonts w:ascii="Arial" w:hAnsi="Arial" w:cs="Arial"/>
                <w:lang w:val="zh-CN"/>
              </w:rPr>
              <w:t>0</w:t>
            </w:r>
            <w:r>
              <w:rPr>
                <w:rFonts w:hint="eastAsia" w:ascii="Arial" w:hAnsi="Arial" w:cs="Arial"/>
                <w:lang w:val="zh-CN"/>
              </w:rPr>
              <w:t>个日历日</w:t>
            </w:r>
          </w:p>
        </w:tc>
      </w:tr>
      <w:tr>
        <w:tblPrEx>
          <w:tblCellMar>
            <w:top w:w="0" w:type="dxa"/>
            <w:left w:w="108" w:type="dxa"/>
            <w:bottom w:w="0" w:type="dxa"/>
            <w:right w:w="108" w:type="dxa"/>
          </w:tblCellMar>
        </w:tblPrEx>
        <w:trPr>
          <w:trHeight w:val="20" w:hRule="atLeast"/>
          <w:jc w:val="center"/>
        </w:trPr>
        <w:tc>
          <w:tcPr>
            <w:tcW w:w="728"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jc w:val="center"/>
              <w:rPr>
                <w:rFonts w:ascii="Arial" w:hAnsi="Arial" w:cs="Arial"/>
              </w:rPr>
            </w:pPr>
            <w:r>
              <w:rPr>
                <w:rFonts w:ascii="Arial" w:hAnsi="Arial" w:cs="Arial"/>
              </w:rPr>
              <w:t>24</w:t>
            </w:r>
          </w:p>
        </w:tc>
        <w:tc>
          <w:tcPr>
            <w:tcW w:w="2754"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lang w:val="zh-CN"/>
              </w:rPr>
            </w:pPr>
            <w:r>
              <w:rPr>
                <w:rFonts w:hint="eastAsia" w:ascii="Arial" w:hAnsi="Arial" w:cs="Arial"/>
                <w:lang w:val="zh-CN"/>
              </w:rPr>
              <w:t>其他事项</w:t>
            </w:r>
          </w:p>
        </w:tc>
        <w:tc>
          <w:tcPr>
            <w:tcW w:w="6292" w:type="dxa"/>
            <w:tcBorders>
              <w:top w:val="single" w:color="000000" w:sz="6" w:space="0"/>
              <w:left w:val="single" w:color="000000" w:sz="6" w:space="0"/>
              <w:bottom w:val="single" w:color="000000" w:sz="6" w:space="0"/>
              <w:right w:val="single" w:color="000000" w:sz="6" w:space="0"/>
            </w:tcBorders>
            <w:shd w:val="clear" w:color="auto" w:fill="FFFFFF"/>
            <w:vAlign w:val="center"/>
          </w:tcPr>
          <w:p>
            <w:pPr>
              <w:autoSpaceDE w:val="0"/>
              <w:autoSpaceDN w:val="0"/>
              <w:adjustRightInd w:val="0"/>
              <w:spacing w:line="360" w:lineRule="auto"/>
              <w:rPr>
                <w:rFonts w:ascii="Arial" w:hAnsi="Arial" w:cs="Arial"/>
                <w:kern w:val="2"/>
                <w:lang w:val="zh-CN"/>
              </w:rPr>
            </w:pPr>
            <w:r>
              <w:rPr>
                <w:rFonts w:hint="eastAsia" w:ascii="Arial" w:hAnsi="Arial" w:cs="Arial"/>
                <w:lang w:val="zh-CN"/>
              </w:rPr>
              <w:t>无</w:t>
            </w:r>
          </w:p>
        </w:tc>
      </w:tr>
    </w:tbl>
    <w:p>
      <w:pPr>
        <w:rPr>
          <w:kern w:val="2"/>
          <w:sz w:val="21"/>
        </w:rPr>
      </w:pPr>
    </w:p>
    <w:p>
      <w:pPr>
        <w:pStyle w:val="9"/>
      </w:pPr>
    </w:p>
    <w:p>
      <w:pPr>
        <w:pStyle w:val="9"/>
      </w:pPr>
    </w:p>
    <w:p>
      <w:pPr>
        <w:pStyle w:val="15"/>
        <w:numPr>
          <w:ilvl w:val="0"/>
          <w:numId w:val="0"/>
        </w:numPr>
        <w:jc w:val="center"/>
        <w:outlineLvl w:val="9"/>
        <w:rPr>
          <w:rFonts w:hint="eastAsia" w:asciiTheme="majorEastAsia" w:hAnsiTheme="majorEastAsia" w:eastAsiaTheme="majorEastAsia" w:cstheme="majorEastAsia"/>
          <w:b/>
          <w:bCs/>
          <w:kern w:val="0"/>
          <w:sz w:val="44"/>
          <w:szCs w:val="44"/>
          <w:lang w:val="en-US" w:eastAsia="zh-CN" w:bidi="ar-SA"/>
        </w:rPr>
      </w:pPr>
      <w:bookmarkStart w:id="8" w:name="_Toc27071994"/>
    </w:p>
    <w:p>
      <w:pPr>
        <w:pStyle w:val="15"/>
        <w:numPr>
          <w:ilvl w:val="0"/>
          <w:numId w:val="0"/>
        </w:numPr>
        <w:jc w:val="center"/>
        <w:outlineLvl w:val="9"/>
        <w:rPr>
          <w:rFonts w:hint="eastAsia" w:asciiTheme="majorEastAsia" w:hAnsiTheme="majorEastAsia" w:eastAsiaTheme="majorEastAsia" w:cstheme="majorEastAsia"/>
          <w:b/>
          <w:bCs/>
          <w:kern w:val="0"/>
          <w:sz w:val="44"/>
          <w:szCs w:val="44"/>
          <w:lang w:val="en-US" w:eastAsia="zh-CN" w:bidi="ar-SA"/>
        </w:rPr>
      </w:pPr>
    </w:p>
    <w:p>
      <w:pPr>
        <w:pStyle w:val="15"/>
        <w:numPr>
          <w:ilvl w:val="0"/>
          <w:numId w:val="0"/>
        </w:numPr>
        <w:jc w:val="center"/>
        <w:outlineLvl w:val="9"/>
        <w:rPr>
          <w:rFonts w:hint="eastAsia" w:asciiTheme="majorEastAsia" w:hAnsiTheme="majorEastAsia" w:eastAsiaTheme="majorEastAsia" w:cstheme="majorEastAsia"/>
          <w:b/>
          <w:bCs/>
          <w:kern w:val="0"/>
          <w:sz w:val="44"/>
          <w:szCs w:val="44"/>
          <w:lang w:val="en-US" w:eastAsia="zh-CN" w:bidi="ar-SA"/>
        </w:rPr>
      </w:pPr>
    </w:p>
    <w:p>
      <w:pPr>
        <w:pStyle w:val="15"/>
        <w:numPr>
          <w:ilvl w:val="0"/>
          <w:numId w:val="0"/>
        </w:numPr>
        <w:jc w:val="center"/>
        <w:outlineLvl w:val="9"/>
        <w:rPr>
          <w:rFonts w:hint="eastAsia" w:asciiTheme="majorEastAsia" w:hAnsiTheme="majorEastAsia" w:eastAsiaTheme="majorEastAsia" w:cstheme="majorEastAsia"/>
          <w:b/>
          <w:bCs/>
          <w:kern w:val="0"/>
          <w:sz w:val="44"/>
          <w:szCs w:val="44"/>
          <w:lang w:val="en-US" w:eastAsia="zh-CN" w:bidi="ar-SA"/>
        </w:rPr>
      </w:pPr>
    </w:p>
    <w:p>
      <w:pPr>
        <w:pStyle w:val="15"/>
        <w:numPr>
          <w:ilvl w:val="0"/>
          <w:numId w:val="0"/>
        </w:numPr>
        <w:jc w:val="center"/>
        <w:outlineLvl w:val="9"/>
        <w:rPr>
          <w:rFonts w:hint="eastAsia" w:asciiTheme="majorEastAsia" w:hAnsiTheme="majorEastAsia" w:eastAsiaTheme="majorEastAsia" w:cstheme="majorEastAsia"/>
          <w:b/>
          <w:bCs/>
          <w:kern w:val="0"/>
          <w:sz w:val="44"/>
          <w:szCs w:val="44"/>
          <w:lang w:val="en-US" w:eastAsia="zh-CN" w:bidi="ar-SA"/>
        </w:rPr>
      </w:pPr>
    </w:p>
    <w:p>
      <w:pPr>
        <w:pStyle w:val="15"/>
        <w:bidi w:val="0"/>
        <w:jc w:val="center"/>
        <w:rPr>
          <w:rFonts w:hint="eastAsia"/>
          <w:lang w:val="zh-CN" w:eastAsia="zh-CN"/>
        </w:rPr>
      </w:pPr>
      <w:bookmarkStart w:id="9" w:name="_Toc25538"/>
      <w:r>
        <w:rPr>
          <w:rFonts w:hint="eastAsia"/>
          <w:lang w:val="en-US" w:eastAsia="zh-CN"/>
        </w:rPr>
        <w:t>第三部分</w:t>
      </w:r>
      <w:r>
        <w:rPr>
          <w:rFonts w:hint="eastAsia"/>
          <w:lang w:val="zh-CN" w:eastAsia="zh-CN"/>
        </w:rPr>
        <w:t xml:space="preserve"> </w:t>
      </w:r>
      <w:bookmarkStart w:id="10" w:name="_Toc16959"/>
      <w:bookmarkStart w:id="11" w:name="_Toc27225"/>
      <w:r>
        <w:rPr>
          <w:rFonts w:hint="eastAsia"/>
          <w:lang w:val="en-US" w:eastAsia="zh-CN"/>
        </w:rPr>
        <w:t>磋商</w:t>
      </w:r>
      <w:r>
        <w:rPr>
          <w:rFonts w:hint="eastAsia"/>
          <w:lang w:val="zh-CN" w:eastAsia="zh-CN"/>
        </w:rPr>
        <w:t>供应商须知</w:t>
      </w:r>
      <w:bookmarkEnd w:id="8"/>
      <w:bookmarkEnd w:id="9"/>
      <w:bookmarkEnd w:id="10"/>
      <w:bookmarkEnd w:id="11"/>
    </w:p>
    <w:p>
      <w:pPr>
        <w:pStyle w:val="3"/>
        <w:bidi w:val="0"/>
        <w:rPr>
          <w:rFonts w:hint="eastAsia"/>
          <w:lang w:val="en-US" w:eastAsia="en-US"/>
        </w:rPr>
      </w:pPr>
      <w:bookmarkStart w:id="12" w:name="_Toc17894"/>
      <w:bookmarkStart w:id="13" w:name="_Toc5669"/>
      <w:r>
        <w:rPr>
          <w:rFonts w:hint="eastAsia"/>
          <w:lang w:val="en-US" w:eastAsia="en-US"/>
        </w:rPr>
        <w:t>一、说明</w:t>
      </w:r>
      <w:bookmarkEnd w:id="12"/>
      <w:bookmarkEnd w:id="13"/>
    </w:p>
    <w:p>
      <w:pPr>
        <w:pStyle w:val="3"/>
        <w:bidi w:val="0"/>
        <w:rPr>
          <w:rFonts w:hint="eastAsia"/>
          <w:lang w:val="en-US" w:eastAsia="en-US"/>
        </w:rPr>
      </w:pPr>
      <w:bookmarkStart w:id="14" w:name="_Toc19996"/>
      <w:r>
        <w:rPr>
          <w:rFonts w:hint="eastAsia"/>
          <w:lang w:val="en-US" w:eastAsia="en-US"/>
        </w:rPr>
        <w:t>1.适用范围</w:t>
      </w:r>
      <w:bookmarkEnd w:id="14"/>
    </w:p>
    <w:p>
      <w:pPr>
        <w:spacing w:before="230" w:line="250" w:lineRule="exact"/>
        <w:ind w:left="0" w:leftChars="0" w:firstLine="480" w:firstLineChars="20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本次磋商依据采购人的采购计划，仅适用于本竞争性磋商文件中所叙述的项目。</w:t>
      </w:r>
    </w:p>
    <w:p>
      <w:pPr>
        <w:pStyle w:val="3"/>
        <w:bidi w:val="0"/>
        <w:rPr>
          <w:rFonts w:hint="eastAsia"/>
          <w:lang w:val="en-US" w:eastAsia="en-US"/>
        </w:rPr>
      </w:pPr>
      <w:bookmarkStart w:id="15" w:name="_Toc646"/>
      <w:r>
        <w:rPr>
          <w:rFonts w:hint="eastAsia"/>
          <w:lang w:val="en-US" w:eastAsia="en-US"/>
        </w:rPr>
        <w:t>2.采购方式、合格的供应商</w:t>
      </w:r>
      <w:bookmarkEnd w:id="15"/>
    </w:p>
    <w:p>
      <w:pPr>
        <w:spacing w:before="225" w:line="265" w:lineRule="exact"/>
        <w:ind w:left="360" w:leftChars="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2.1 本次采购采取竞争性磋商方式。</w:t>
      </w:r>
    </w:p>
    <w:p>
      <w:pPr>
        <w:spacing w:before="200" w:line="263" w:lineRule="exact"/>
        <w:ind w:left="360" w:leftChars="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2.2 合格的供应商：详见第一部分“响应人资格要求”。</w:t>
      </w:r>
    </w:p>
    <w:p>
      <w:pPr>
        <w:pStyle w:val="3"/>
        <w:bidi w:val="0"/>
        <w:rPr>
          <w:rFonts w:hint="eastAsia"/>
          <w:lang w:val="en-US" w:eastAsia="en-US"/>
        </w:rPr>
      </w:pPr>
      <w:bookmarkStart w:id="16" w:name="_Toc13141"/>
      <w:r>
        <w:rPr>
          <w:rFonts w:hint="eastAsia"/>
          <w:lang w:val="en-US" w:eastAsia="en-US"/>
        </w:rPr>
        <w:t>3.磋商费用</w:t>
      </w:r>
      <w:bookmarkEnd w:id="16"/>
    </w:p>
    <w:p>
      <w:pPr>
        <w:spacing w:before="230" w:line="250" w:lineRule="exact"/>
        <w:ind w:left="0" w:leftChars="0" w:firstLine="480" w:firstLineChars="20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响应人应自愿承担与参加本次磋商有关的费用。采购代理机构对响应人发生的费用不承担任何责任。</w:t>
      </w:r>
    </w:p>
    <w:p>
      <w:pPr>
        <w:pStyle w:val="3"/>
        <w:bidi w:val="0"/>
        <w:rPr>
          <w:rFonts w:hint="eastAsia"/>
          <w:lang w:val="en-US" w:eastAsia="en-US"/>
        </w:rPr>
      </w:pPr>
      <w:bookmarkStart w:id="17" w:name="_Toc25177"/>
      <w:bookmarkStart w:id="18" w:name="_Toc22320"/>
      <w:r>
        <w:rPr>
          <w:rFonts w:hint="eastAsia"/>
          <w:lang w:val="en-US" w:eastAsia="en-US"/>
        </w:rPr>
        <w:t>二、响应文件说明</w:t>
      </w:r>
      <w:bookmarkEnd w:id="17"/>
      <w:bookmarkEnd w:id="18"/>
    </w:p>
    <w:p>
      <w:pPr>
        <w:pStyle w:val="3"/>
        <w:bidi w:val="0"/>
        <w:rPr>
          <w:rFonts w:hint="eastAsia"/>
          <w:lang w:val="en-US" w:eastAsia="en-US"/>
        </w:rPr>
      </w:pPr>
      <w:bookmarkStart w:id="19" w:name="_Toc10105"/>
      <w:r>
        <w:rPr>
          <w:rFonts w:hint="eastAsia"/>
          <w:lang w:val="en-US" w:eastAsia="en-US"/>
        </w:rPr>
        <w:t>4.响应文件的构成</w:t>
      </w:r>
      <w:bookmarkEnd w:id="19"/>
    </w:p>
    <w:p>
      <w:pPr>
        <w:spacing w:before="225" w:line="265" w:lineRule="exact"/>
        <w:ind w:left="360" w:leftChars="0"/>
        <w:rPr>
          <w:rFonts w:hint="eastAsia" w:ascii="Arial" w:hAnsi="Arial" w:eastAsia="宋体" w:cs="Arial"/>
          <w:b w:val="0"/>
          <w:bCs w:val="0"/>
          <w:kern w:val="0"/>
          <w:sz w:val="24"/>
          <w:szCs w:val="24"/>
          <w:lang w:val="en-US" w:eastAsia="en-US" w:bidi="ar-SA"/>
        </w:rPr>
      </w:pPr>
      <w:r>
        <w:rPr>
          <w:rFonts w:hint="eastAsia" w:asciiTheme="majorEastAsia" w:hAnsiTheme="majorEastAsia" w:eastAsiaTheme="majorEastAsia" w:cstheme="majorEastAsia"/>
          <w:b w:val="0"/>
          <w:bCs w:val="0"/>
          <w:kern w:val="0"/>
          <w:sz w:val="24"/>
          <w:szCs w:val="24"/>
          <w:lang w:val="en-US" w:eastAsia="en-US" w:bidi="ar-SA"/>
        </w:rPr>
        <w:t>4.1 响应文件包括</w:t>
      </w:r>
      <w:r>
        <w:rPr>
          <w:rFonts w:hint="eastAsia" w:ascii="Arial" w:hAnsi="Arial" w:eastAsia="宋体" w:cs="Arial"/>
          <w:b w:val="0"/>
          <w:bCs w:val="0"/>
          <w:kern w:val="0"/>
          <w:sz w:val="24"/>
          <w:szCs w:val="24"/>
          <w:lang w:val="en-US" w:eastAsia="en-US" w:bidi="ar-SA"/>
        </w:rPr>
        <w:t>：</w:t>
      </w:r>
    </w:p>
    <w:p>
      <w:pPr>
        <w:spacing w:before="195" w:line="265" w:lineRule="exact"/>
        <w:ind w:left="480" w:leftChars="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（1）磋商邀请</w:t>
      </w:r>
    </w:p>
    <w:p>
      <w:pPr>
        <w:spacing w:before="198" w:line="265" w:lineRule="exact"/>
        <w:ind w:left="480" w:leftChars="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（2）磋商供应商须知</w:t>
      </w:r>
    </w:p>
    <w:p>
      <w:pPr>
        <w:spacing w:before="200" w:line="263" w:lineRule="exact"/>
        <w:ind w:left="480" w:leftChars="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（3）青海省政府采购项目合同书范本</w:t>
      </w:r>
    </w:p>
    <w:p>
      <w:pPr>
        <w:spacing w:before="198" w:line="265" w:lineRule="exact"/>
        <w:ind w:left="480" w:leftChars="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（4）响应文件格式</w:t>
      </w:r>
    </w:p>
    <w:p>
      <w:pPr>
        <w:spacing w:before="200" w:line="263" w:lineRule="exact"/>
        <w:ind w:left="480" w:leftChars="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（5）采购项目要求及技术参数</w:t>
      </w:r>
    </w:p>
    <w:p>
      <w:pPr>
        <w:spacing w:before="198" w:line="265" w:lineRule="exact"/>
        <w:ind w:left="480" w:leftChars="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（6）采购过程中发生的澄清、变更和补充文件</w:t>
      </w:r>
    </w:p>
    <w:p>
      <w:pPr>
        <w:spacing w:before="200" w:line="263" w:lineRule="exact"/>
        <w:ind w:left="0" w:leftChars="0" w:firstLine="240" w:firstLineChars="100"/>
        <w:rPr>
          <w:rFonts w:hint="eastAsia" w:ascii="Arial" w:hAnsi="Arial" w:eastAsia="宋体" w:cs="Arial"/>
          <w:b w:val="0"/>
          <w:bCs w:val="0"/>
          <w:kern w:val="0"/>
          <w:sz w:val="24"/>
          <w:szCs w:val="24"/>
          <w:lang w:val="en-US" w:eastAsia="en-US" w:bidi="ar-SA"/>
        </w:rPr>
      </w:pPr>
      <w:r>
        <w:rPr>
          <w:rFonts w:hint="eastAsia" w:asciiTheme="majorEastAsia" w:hAnsiTheme="majorEastAsia" w:eastAsiaTheme="majorEastAsia" w:cstheme="majorEastAsia"/>
          <w:b w:val="0"/>
          <w:bCs w:val="0"/>
          <w:kern w:val="0"/>
          <w:sz w:val="24"/>
          <w:szCs w:val="24"/>
          <w:lang w:val="en-US" w:eastAsia="en-US" w:bidi="ar-SA"/>
        </w:rPr>
        <w:t xml:space="preserve">4.2 </w:t>
      </w:r>
      <w:r>
        <w:rPr>
          <w:rFonts w:hint="eastAsia" w:ascii="Arial" w:hAnsi="Arial" w:eastAsia="宋体" w:cs="Arial"/>
          <w:b w:val="0"/>
          <w:bCs w:val="0"/>
          <w:kern w:val="0"/>
          <w:sz w:val="24"/>
          <w:szCs w:val="24"/>
          <w:lang w:val="en-US" w:eastAsia="en-US" w:bidi="ar-SA"/>
        </w:rPr>
        <w:t>供应商应当按照竞争性磋商文件的要求编制响应文件。响应文件应当对竞争性磋商文件提出的要求和条件作出明确响应。</w:t>
      </w:r>
    </w:p>
    <w:p>
      <w:pPr>
        <w:pStyle w:val="3"/>
        <w:bidi w:val="0"/>
        <w:rPr>
          <w:rFonts w:hint="eastAsia"/>
          <w:lang w:val="en-US" w:eastAsia="en-US"/>
        </w:rPr>
      </w:pPr>
      <w:bookmarkStart w:id="20" w:name="_Toc9988"/>
      <w:r>
        <w:rPr>
          <w:rFonts w:hint="eastAsia"/>
          <w:lang w:val="en-US" w:eastAsia="en-US"/>
        </w:rPr>
        <w:t>5.竞争性磋商文件、采购活动和成交结果的质疑</w:t>
      </w:r>
      <w:bookmarkEnd w:id="20"/>
    </w:p>
    <w:p>
      <w:pPr>
        <w:spacing w:before="230" w:line="250" w:lineRule="exact"/>
        <w:ind w:left="0" w:leftChars="0" w:firstLine="480" w:firstLineChars="20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供应商认为竞争性磋商文件、采购过程和成交结果使自己的权益受到损害的，可以在知道或者应知其权益受到损害之日起7个工作日内以书面形式（如信件、传真等）向采购人或者采购代理机构提出质疑，不接受匿名质疑。潜在供应商已依法获取其可质疑的采购文件的，可以对该文件提出质疑，对采购文件提出质疑的，应当在获取采购文件或者采购文件公告期限届满之日起7个工作日内提出。供应商须在法定质疑期内一次性提出针对同一采购程序环节的质疑。采购人或采购代理机构在收到书面质疑函后7个工作日内作出答复。</w:t>
      </w:r>
    </w:p>
    <w:p>
      <w:pPr>
        <w:spacing w:before="230" w:line="250" w:lineRule="exact"/>
        <w:ind w:left="0" w:leftChars="0" w:firstLine="480" w:firstLineChars="200"/>
        <w:rPr>
          <w:rFonts w:hint="eastAsia" w:asciiTheme="minorEastAsia" w:hAnsiTheme="minorEastAsia" w:eastAsiaTheme="minorEastAsia" w:cstheme="minorEastAsia"/>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参与采购活动的投标人对评审过程或者结果提出质疑的，采购人、采购代理机构可以组织原评审委员会协助答复质疑。质疑事项处理完成后，采购人或</w:t>
      </w:r>
      <w:r>
        <w:rPr>
          <w:rFonts w:hint="eastAsia" w:asciiTheme="minorEastAsia" w:hAnsiTheme="minorEastAsia" w:eastAsiaTheme="minorEastAsia" w:cstheme="minorEastAsia"/>
          <w:b w:val="0"/>
          <w:bCs w:val="0"/>
          <w:kern w:val="0"/>
          <w:sz w:val="24"/>
          <w:szCs w:val="24"/>
          <w:lang w:val="en-US" w:eastAsia="en-US" w:bidi="ar-SA"/>
        </w:rPr>
        <w:t>采购代理机构应按照规定填写《青海省政府采购投标人质疑处理情况表》，并在15日内报同级政府采购监督管理部门备案。</w:t>
      </w:r>
    </w:p>
    <w:p>
      <w:pPr>
        <w:spacing w:before="230" w:line="250" w:lineRule="exact"/>
        <w:ind w:left="0" w:leftChars="0" w:firstLine="480" w:firstLineChars="200"/>
        <w:rPr>
          <w:rFonts w:hint="eastAsia" w:asciiTheme="minorEastAsia" w:hAnsiTheme="minorEastAsia" w:eastAsiaTheme="minorEastAsia" w:cstheme="minorEastAsia"/>
          <w:b w:val="0"/>
          <w:bCs w:val="0"/>
          <w:kern w:val="0"/>
          <w:sz w:val="24"/>
          <w:szCs w:val="24"/>
          <w:lang w:val="en-US" w:eastAsia="en-US" w:bidi="ar-SA"/>
        </w:rPr>
      </w:pPr>
      <w:r>
        <w:rPr>
          <w:rFonts w:hint="eastAsia" w:asciiTheme="minorEastAsia" w:hAnsiTheme="minorEastAsia" w:eastAsiaTheme="minorEastAsia" w:cstheme="minorEastAsia"/>
          <w:b w:val="0"/>
          <w:bCs w:val="0"/>
          <w:kern w:val="0"/>
          <w:sz w:val="24"/>
          <w:szCs w:val="24"/>
          <w:lang w:val="en-US" w:eastAsia="en-US" w:bidi="ar-SA"/>
        </w:rPr>
        <w:t>供应商应知其权益受到损害之日，是指：</w:t>
      </w:r>
    </w:p>
    <w:p>
      <w:pPr>
        <w:spacing w:before="230" w:line="250" w:lineRule="exact"/>
        <w:ind w:left="0" w:leftChars="0" w:firstLine="480" w:firstLineChars="200"/>
        <w:rPr>
          <w:rFonts w:hint="eastAsia" w:asciiTheme="minorEastAsia" w:hAnsiTheme="minorEastAsia" w:eastAsiaTheme="minorEastAsia" w:cstheme="minorEastAsia"/>
          <w:b w:val="0"/>
          <w:bCs w:val="0"/>
          <w:kern w:val="0"/>
          <w:sz w:val="24"/>
          <w:szCs w:val="24"/>
          <w:lang w:val="en-US" w:eastAsia="en-US" w:bidi="ar-SA"/>
        </w:rPr>
      </w:pPr>
      <w:r>
        <w:rPr>
          <w:rFonts w:hint="eastAsia" w:asciiTheme="minorEastAsia" w:hAnsiTheme="minorEastAsia" w:eastAsiaTheme="minorEastAsia" w:cstheme="minorEastAsia"/>
          <w:b w:val="0"/>
          <w:bCs w:val="0"/>
          <w:kern w:val="0"/>
          <w:sz w:val="24"/>
          <w:szCs w:val="24"/>
          <w:lang w:val="en-US" w:eastAsia="en-US" w:bidi="ar-SA"/>
        </w:rPr>
        <w:t>（一）对可以质疑的竞争性磋商文件提出质疑的，为收到竞争性磋商文件之日或者竞争性磋商文件公告期限届满之日；</w:t>
      </w:r>
    </w:p>
    <w:p>
      <w:pPr>
        <w:spacing w:before="230" w:line="250" w:lineRule="exact"/>
        <w:ind w:left="0" w:leftChars="0" w:firstLine="480" w:firstLineChars="200"/>
        <w:rPr>
          <w:rFonts w:hint="eastAsia" w:asciiTheme="minorEastAsia" w:hAnsiTheme="minorEastAsia" w:eastAsiaTheme="minorEastAsia" w:cstheme="minorEastAsia"/>
          <w:b w:val="0"/>
          <w:bCs w:val="0"/>
          <w:kern w:val="0"/>
          <w:sz w:val="24"/>
          <w:szCs w:val="24"/>
          <w:lang w:val="en-US" w:eastAsia="en-US" w:bidi="ar-SA"/>
        </w:rPr>
      </w:pPr>
      <w:r>
        <w:rPr>
          <w:rFonts w:hint="eastAsia" w:asciiTheme="minorEastAsia" w:hAnsiTheme="minorEastAsia" w:eastAsiaTheme="minorEastAsia" w:cstheme="minorEastAsia"/>
          <w:b w:val="0"/>
          <w:bCs w:val="0"/>
          <w:kern w:val="0"/>
          <w:sz w:val="24"/>
          <w:szCs w:val="24"/>
          <w:lang w:val="en-US" w:eastAsia="en-US" w:bidi="ar-SA"/>
        </w:rPr>
        <w:t>（二）对采购过程提出质疑的，为各采购程序环节结束之日；</w:t>
      </w:r>
    </w:p>
    <w:p>
      <w:pPr>
        <w:spacing w:before="230" w:line="250" w:lineRule="exact"/>
        <w:ind w:left="0" w:leftChars="0" w:firstLine="480" w:firstLineChars="200"/>
        <w:rPr>
          <w:rFonts w:hint="eastAsia" w:asciiTheme="minorEastAsia" w:hAnsiTheme="minorEastAsia" w:eastAsiaTheme="minorEastAsia" w:cstheme="minorEastAsia"/>
          <w:b w:val="0"/>
          <w:bCs w:val="0"/>
          <w:kern w:val="0"/>
          <w:sz w:val="24"/>
          <w:szCs w:val="24"/>
          <w:lang w:val="en-US" w:eastAsia="en-US" w:bidi="ar-SA"/>
        </w:rPr>
      </w:pPr>
      <w:r>
        <w:rPr>
          <w:rFonts w:hint="eastAsia" w:asciiTheme="minorEastAsia" w:hAnsiTheme="minorEastAsia" w:eastAsiaTheme="minorEastAsia" w:cstheme="minorEastAsia"/>
          <w:b w:val="0"/>
          <w:bCs w:val="0"/>
          <w:kern w:val="0"/>
          <w:sz w:val="24"/>
          <w:szCs w:val="24"/>
          <w:lang w:val="en-US" w:eastAsia="en-US" w:bidi="ar-SA"/>
        </w:rPr>
        <w:t>（三）对成交结果提出质疑的，为成交结果公告期限届满之日。</w:t>
      </w:r>
    </w:p>
    <w:p>
      <w:pPr>
        <w:pStyle w:val="3"/>
        <w:bidi w:val="0"/>
        <w:rPr>
          <w:rFonts w:hint="eastAsia"/>
          <w:lang w:val="en-US" w:eastAsia="en-US"/>
        </w:rPr>
      </w:pPr>
      <w:bookmarkStart w:id="21" w:name="_Toc11101"/>
      <w:r>
        <w:rPr>
          <w:rFonts w:hint="eastAsia"/>
          <w:lang w:val="en-US" w:eastAsia="en-US"/>
        </w:rPr>
        <w:t>6.竞争性磋商文件的澄清或修改</w:t>
      </w:r>
      <w:bookmarkEnd w:id="21"/>
    </w:p>
    <w:p>
      <w:pPr>
        <w:spacing w:before="230" w:line="250" w:lineRule="exact"/>
        <w:ind w:firstLine="480" w:firstLineChars="200"/>
        <w:rPr>
          <w:rFonts w:hint="eastAsia" w:asciiTheme="minorEastAsia" w:hAnsiTheme="minorEastAsia" w:eastAsiaTheme="minorEastAsia" w:cstheme="minorEastAsia"/>
          <w:b w:val="0"/>
          <w:bCs w:val="0"/>
          <w:kern w:val="0"/>
          <w:sz w:val="24"/>
          <w:szCs w:val="24"/>
          <w:lang w:val="en-US" w:eastAsia="en-US" w:bidi="ar-SA"/>
        </w:rPr>
      </w:pPr>
      <w:r>
        <w:rPr>
          <w:rFonts w:hint="eastAsia" w:asciiTheme="minorEastAsia" w:hAnsiTheme="minorEastAsia" w:eastAsiaTheme="minorEastAsia" w:cstheme="minorEastAsia"/>
          <w:b w:val="0"/>
          <w:bCs w:val="0"/>
          <w:kern w:val="0"/>
          <w:sz w:val="24"/>
          <w:szCs w:val="24"/>
          <w:lang w:val="en-US" w:eastAsia="en-US" w:bidi="ar-SA"/>
        </w:rPr>
        <w:t>6.1 采购人或者采购代理机构可以对已发出的竞争性磋商文件进行必要的澄清或者修改，但不得改变采购标的和资格条件。澄清或者修改应当在原公告发布媒体上发布澄清公告。澄清或者修改的内容为招标文件的组成部分。</w:t>
      </w:r>
    </w:p>
    <w:p>
      <w:pPr>
        <w:spacing w:before="230" w:line="250" w:lineRule="exact"/>
        <w:ind w:firstLine="480" w:firstLineChars="200"/>
        <w:rPr>
          <w:rFonts w:hint="eastAsia" w:asciiTheme="minorEastAsia" w:hAnsiTheme="minorEastAsia" w:eastAsiaTheme="minorEastAsia" w:cstheme="minorEastAsia"/>
          <w:b w:val="0"/>
          <w:bCs w:val="0"/>
          <w:kern w:val="0"/>
          <w:sz w:val="24"/>
          <w:szCs w:val="24"/>
          <w:lang w:val="en-US" w:eastAsia="en-US" w:bidi="ar-SA"/>
        </w:rPr>
      </w:pPr>
      <w:r>
        <w:rPr>
          <w:rFonts w:hint="eastAsia" w:asciiTheme="minorEastAsia" w:hAnsiTheme="minorEastAsia" w:eastAsiaTheme="minorEastAsia" w:cstheme="minorEastAsia"/>
          <w:b w:val="0"/>
          <w:bCs w:val="0"/>
          <w:kern w:val="0"/>
          <w:sz w:val="24"/>
          <w:szCs w:val="24"/>
          <w:lang w:val="en-US" w:eastAsia="en-US" w:bidi="ar-SA"/>
        </w:rPr>
        <w:t>6.2 澄清或者修改的内容可能影响投标文件编制的，采购人或者采购代理机构应当在投标截止时间至少15日前，以书面形式通知所有获取招标文件的潜在投标人，并在发布本次磋商公告的网站上发布变更公告；不足15日的，采购人或者采购代理机构应当顺延提交响应文件的截止时间。</w:t>
      </w:r>
    </w:p>
    <w:p>
      <w:pPr>
        <w:spacing w:before="230" w:line="250" w:lineRule="exact"/>
        <w:ind w:left="0" w:leftChars="0" w:firstLine="883" w:firstLineChars="200"/>
        <w:jc w:val="center"/>
        <w:outlineLvl w:val="1"/>
        <w:rPr>
          <w:rFonts w:hint="eastAsia" w:asciiTheme="majorEastAsia" w:hAnsiTheme="majorEastAsia" w:eastAsiaTheme="majorEastAsia" w:cstheme="majorEastAsia"/>
          <w:b/>
          <w:bCs/>
          <w:kern w:val="0"/>
          <w:sz w:val="44"/>
          <w:szCs w:val="44"/>
          <w:lang w:val="en-US" w:eastAsia="en-US" w:bidi="ar-SA"/>
        </w:rPr>
      </w:pPr>
      <w:bookmarkStart w:id="22" w:name="_Toc22739"/>
      <w:bookmarkStart w:id="23" w:name="_Toc7865"/>
      <w:r>
        <w:rPr>
          <w:rFonts w:hint="eastAsia" w:asciiTheme="majorEastAsia" w:hAnsiTheme="majorEastAsia" w:eastAsiaTheme="majorEastAsia" w:cstheme="majorEastAsia"/>
          <w:b/>
          <w:bCs/>
          <w:kern w:val="0"/>
          <w:sz w:val="44"/>
          <w:szCs w:val="44"/>
          <w:lang w:val="en-US" w:eastAsia="en-US" w:bidi="ar-SA"/>
        </w:rPr>
        <w:t>三、响应文件的编制</w:t>
      </w:r>
      <w:bookmarkEnd w:id="22"/>
      <w:bookmarkEnd w:id="23"/>
    </w:p>
    <w:p>
      <w:pPr>
        <w:pStyle w:val="3"/>
        <w:bidi w:val="0"/>
        <w:rPr>
          <w:rFonts w:hint="eastAsia"/>
          <w:lang w:val="en-US" w:eastAsia="en-US"/>
        </w:rPr>
      </w:pPr>
      <w:bookmarkStart w:id="24" w:name="_Toc5790"/>
      <w:r>
        <w:rPr>
          <w:rFonts w:hint="eastAsia"/>
          <w:lang w:val="en-US" w:eastAsia="en-US"/>
        </w:rPr>
        <w:t>7.响应文件的语言及度量衡单位</w:t>
      </w:r>
      <w:bookmarkEnd w:id="24"/>
    </w:p>
    <w:p>
      <w:pPr>
        <w:spacing w:before="230" w:line="250" w:lineRule="exact"/>
        <w:ind w:left="0" w:leftChars="0" w:firstLine="480" w:firstLineChars="20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7.1 供应商提交的响应文件以及供应商与采购代理机构就此投标发生的所有来往函电均应使用简体中文。除签名、盖章、专用名称等特殊情形外，以中文汉语以外的文字表述的响应文件视同未提供。</w:t>
      </w:r>
    </w:p>
    <w:p>
      <w:pPr>
        <w:spacing w:before="230" w:line="250" w:lineRule="exact"/>
        <w:ind w:left="0" w:leftChars="0" w:firstLine="480" w:firstLineChars="20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7.2 除竞争性磋商文件中另有规定外，响应文件所使用的度量衡单位，均须采用国家法定计量单位。</w:t>
      </w:r>
    </w:p>
    <w:p>
      <w:pPr>
        <w:spacing w:before="230" w:line="250" w:lineRule="exact"/>
        <w:ind w:left="0" w:leftChars="0" w:firstLine="480" w:firstLineChars="20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7.3 附有外文资料的须翻译成中文，并加盖投标人公章，如果翻译的中文资料与外文资料出现差异与矛盾时，以中文为准，其准确性由投标人负责。</w:t>
      </w:r>
    </w:p>
    <w:p>
      <w:pPr>
        <w:pStyle w:val="3"/>
        <w:bidi w:val="0"/>
        <w:rPr>
          <w:rFonts w:hint="eastAsia"/>
          <w:lang w:val="en-US" w:eastAsia="en-US"/>
        </w:rPr>
      </w:pPr>
      <w:bookmarkStart w:id="25" w:name="_Toc27051"/>
      <w:r>
        <w:rPr>
          <w:rFonts w:hint="eastAsia"/>
          <w:lang w:val="en-US" w:eastAsia="zh-CN"/>
        </w:rPr>
        <w:t>8.</w:t>
      </w:r>
      <w:r>
        <w:rPr>
          <w:rFonts w:hint="eastAsia"/>
          <w:lang w:val="en-US" w:eastAsia="en-US"/>
        </w:rPr>
        <w:t>磋商报价及币</w:t>
      </w:r>
      <w:bookmarkEnd w:id="25"/>
    </w:p>
    <w:p>
      <w:pPr>
        <w:spacing w:before="230" w:line="250" w:lineRule="exact"/>
        <w:ind w:left="0" w:leftChars="0" w:firstLine="426" w:firstLineChars="200"/>
        <w:rPr>
          <w:rFonts w:hint="eastAsia" w:ascii="Arial" w:hAnsi="Arial" w:eastAsia="宋体" w:cs="Arial"/>
          <w:b w:val="0"/>
          <w:bCs w:val="0"/>
          <w:kern w:val="0"/>
          <w:sz w:val="24"/>
          <w:szCs w:val="24"/>
          <w:lang w:val="en-US" w:eastAsia="en-US" w:bidi="ar-SA"/>
        </w:rPr>
      </w:pPr>
      <w:r>
        <w:rPr>
          <w:rFonts w:ascii="宋体" w:hAnsi="宋体" w:cs="宋体" w:eastAsiaTheme="minorEastAsia"/>
          <w:b/>
          <w:bCs/>
          <w:color w:val="000000"/>
          <w:spacing w:val="1"/>
          <w:szCs w:val="22"/>
          <w:lang w:val="en-US" w:eastAsia="en-US" w:bidi="ar-SA"/>
        </w:rPr>
        <w:t xml:space="preserve">8.1 </w:t>
      </w:r>
      <w:r>
        <w:rPr>
          <w:rFonts w:hint="eastAsia" w:ascii="Arial" w:hAnsi="Arial" w:eastAsia="宋体" w:cs="Arial"/>
          <w:b w:val="0"/>
          <w:bCs w:val="0"/>
          <w:kern w:val="0"/>
          <w:sz w:val="24"/>
          <w:szCs w:val="24"/>
          <w:lang w:val="en-US" w:eastAsia="en-US" w:bidi="ar-SA"/>
        </w:rPr>
        <w:t>磋商报价为磋商总价。磋商报价必须包括：产品费、进口产品报关费、验</w:t>
      </w:r>
    </w:p>
    <w:p>
      <w:pPr>
        <w:spacing w:before="230" w:line="250" w:lineRule="exact"/>
        <w:ind w:left="0" w:leftChars="0" w:firstLine="480" w:firstLineChars="200"/>
        <w:rPr>
          <w:rFonts w:hint="eastAsia" w:ascii="Arial" w:hAnsi="Arial" w:eastAsia="宋体" w:cs="Arial"/>
          <w:b w:val="0"/>
          <w:bCs w:val="0"/>
          <w:kern w:val="0"/>
          <w:sz w:val="24"/>
          <w:szCs w:val="24"/>
          <w:lang w:val="en-US" w:eastAsia="en-US" w:bidi="ar-SA"/>
        </w:rPr>
      </w:pPr>
      <w:r>
        <w:rPr>
          <w:rFonts w:hint="eastAsia" w:ascii="Arial" w:hAnsi="Arial" w:eastAsia="宋体" w:cs="Arial"/>
          <w:b w:val="0"/>
          <w:bCs w:val="0"/>
          <w:kern w:val="0"/>
          <w:sz w:val="24"/>
          <w:szCs w:val="24"/>
          <w:lang w:val="en-US" w:eastAsia="en-US" w:bidi="ar-SA"/>
        </w:rPr>
        <w:t>收费、包装费、运输费、保险费、安装费、调试费、售前、售中、售后服务费、税金及不可预见费等全部费用（包括招标代理费）。</w:t>
      </w:r>
    </w:p>
    <w:p>
      <w:pPr>
        <w:spacing w:before="203" w:line="250" w:lineRule="exact"/>
        <w:ind w:left="0" w:leftChars="0" w:firstLine="426" w:firstLineChars="200"/>
        <w:rPr>
          <w:rFonts w:ascii="宋体" w:hAnsi="宋体" w:cs="宋体" w:eastAsiaTheme="minorEastAsia"/>
          <w:color w:val="000000"/>
          <w:spacing w:val="1"/>
          <w:szCs w:val="22"/>
          <w:lang w:val="en-US" w:eastAsia="en-US" w:bidi="ar-SA"/>
        </w:rPr>
      </w:pPr>
      <w:r>
        <w:rPr>
          <w:rFonts w:ascii="宋体" w:hAnsi="宋体" w:cs="宋体" w:eastAsiaTheme="minorEastAsia"/>
          <w:b/>
          <w:bCs/>
          <w:color w:val="000000"/>
          <w:spacing w:val="1"/>
          <w:szCs w:val="22"/>
          <w:lang w:val="en-US" w:eastAsia="en-US" w:bidi="ar-SA"/>
        </w:rPr>
        <w:t>8.2</w:t>
      </w:r>
      <w:r>
        <w:rPr>
          <w:rFonts w:ascii="宋体" w:hAnsi="宋体" w:cs="宋体" w:eastAsiaTheme="minorEastAsia"/>
          <w:color w:val="000000"/>
          <w:spacing w:val="1"/>
          <w:szCs w:val="22"/>
          <w:lang w:val="en-US" w:eastAsia="en-US" w:bidi="ar-SA"/>
        </w:rPr>
        <w:t xml:space="preserve"> </w:t>
      </w:r>
      <w:r>
        <w:rPr>
          <w:rFonts w:ascii="宋体" w:hAnsi="宋体" w:cs="宋体" w:eastAsiaTheme="minorEastAsia"/>
          <w:color w:val="000000"/>
          <w:spacing w:val="1"/>
          <w:sz w:val="24"/>
          <w:szCs w:val="24"/>
          <w:lang w:val="en-US" w:eastAsia="en-US" w:bidi="ar-SA"/>
        </w:rPr>
        <w:t>磋商报价有效期与磋商有效期一致。</w:t>
      </w:r>
    </w:p>
    <w:p>
      <w:pPr>
        <w:spacing w:before="203" w:line="250" w:lineRule="exact"/>
        <w:ind w:left="0" w:leftChars="0" w:firstLine="426" w:firstLineChars="200"/>
        <w:rPr>
          <w:rFonts w:ascii="宋体" w:hAnsi="宋体" w:cs="宋体" w:eastAsiaTheme="minorEastAsia"/>
          <w:color w:val="000000"/>
          <w:spacing w:val="1"/>
          <w:szCs w:val="22"/>
          <w:lang w:val="en-US" w:eastAsia="en-US" w:bidi="ar-SA"/>
        </w:rPr>
      </w:pPr>
      <w:r>
        <w:rPr>
          <w:rFonts w:ascii="宋体" w:hAnsi="宋体" w:cs="宋体" w:eastAsiaTheme="minorEastAsia"/>
          <w:b/>
          <w:bCs/>
          <w:color w:val="000000"/>
          <w:spacing w:val="1"/>
          <w:szCs w:val="22"/>
          <w:lang w:val="en-US" w:eastAsia="en-US" w:bidi="ar-SA"/>
        </w:rPr>
        <w:t xml:space="preserve">8.3 </w:t>
      </w:r>
      <w:r>
        <w:rPr>
          <w:rFonts w:ascii="宋体" w:hAnsi="宋体" w:cs="宋体" w:eastAsiaTheme="minorEastAsia"/>
          <w:color w:val="000000"/>
          <w:spacing w:val="1"/>
          <w:sz w:val="24"/>
          <w:szCs w:val="24"/>
          <w:lang w:val="en-US" w:eastAsia="en-US" w:bidi="ar-SA"/>
        </w:rPr>
        <w:t>磋商报价为闭口价，即成交后在合同有效期内价格不变。</w:t>
      </w:r>
    </w:p>
    <w:p>
      <w:pPr>
        <w:spacing w:before="203" w:line="250" w:lineRule="exact"/>
        <w:ind w:left="0" w:leftChars="0" w:firstLine="426" w:firstLineChars="200"/>
        <w:rPr>
          <w:rFonts w:ascii="宋体" w:hAnsi="宋体" w:cs="宋体" w:eastAsiaTheme="minorEastAsia"/>
          <w:color w:val="000000"/>
          <w:spacing w:val="1"/>
          <w:szCs w:val="22"/>
          <w:lang w:val="en-US" w:eastAsia="en-US" w:bidi="ar-SA"/>
        </w:rPr>
      </w:pPr>
      <w:r>
        <w:rPr>
          <w:rFonts w:ascii="宋体" w:hAnsi="宋体" w:cs="宋体" w:eastAsiaTheme="minorEastAsia"/>
          <w:b/>
          <w:bCs/>
          <w:color w:val="000000"/>
          <w:spacing w:val="1"/>
          <w:szCs w:val="22"/>
          <w:lang w:val="en-US" w:eastAsia="en-US" w:bidi="ar-SA"/>
        </w:rPr>
        <w:t xml:space="preserve">8.4 </w:t>
      </w:r>
      <w:r>
        <w:rPr>
          <w:rFonts w:ascii="宋体" w:hAnsi="宋体" w:cs="宋体" w:eastAsiaTheme="minorEastAsia"/>
          <w:color w:val="000000"/>
          <w:spacing w:val="1"/>
          <w:sz w:val="24"/>
          <w:szCs w:val="24"/>
          <w:lang w:val="en-US" w:eastAsia="en-US" w:bidi="ar-SA"/>
        </w:rPr>
        <w:t>磋商币种是人民币。</w:t>
      </w:r>
    </w:p>
    <w:p>
      <w:pPr>
        <w:pStyle w:val="9"/>
        <w:ind w:left="0" w:leftChars="0"/>
        <w:rPr>
          <w:rFonts w:hint="default" w:eastAsiaTheme="minorEastAsia"/>
          <w:lang w:val="en-US" w:eastAsia="zh-CN"/>
        </w:rPr>
      </w:pPr>
    </w:p>
    <w:p>
      <w:pPr>
        <w:pStyle w:val="3"/>
        <w:bidi w:val="0"/>
        <w:rPr>
          <w:rFonts w:hint="eastAsia"/>
          <w:lang w:val="en-US" w:eastAsia="en-US"/>
        </w:rPr>
      </w:pPr>
      <w:bookmarkStart w:id="26" w:name="_Toc28263"/>
      <w:r>
        <w:rPr>
          <w:rFonts w:hint="eastAsia"/>
          <w:lang w:val="en-US" w:eastAsia="zh-CN"/>
        </w:rPr>
        <w:t>9</w:t>
      </w:r>
      <w:r>
        <w:rPr>
          <w:rFonts w:hint="eastAsia"/>
          <w:lang w:val="en-US" w:eastAsia="en-US"/>
        </w:rPr>
        <w:t>磋商保证金</w:t>
      </w:r>
      <w:bookmarkEnd w:id="26"/>
    </w:p>
    <w:p>
      <w:pPr>
        <w:spacing w:before="203" w:line="250" w:lineRule="exact"/>
        <w:ind w:left="0" w:leftChars="0" w:firstLine="426" w:firstLineChars="200"/>
        <w:rPr>
          <w:rFonts w:ascii="宋体" w:hAnsi="宋体" w:cs="宋体" w:eastAsiaTheme="minorEastAsia"/>
          <w:color w:val="000000"/>
          <w:spacing w:val="1"/>
          <w:sz w:val="24"/>
          <w:szCs w:val="24"/>
          <w:lang w:val="en-US" w:eastAsia="en-US" w:bidi="ar-SA"/>
        </w:rPr>
      </w:pPr>
      <w:r>
        <w:rPr>
          <w:rFonts w:ascii="宋体" w:hAnsi="宋体" w:cs="宋体" w:eastAsiaTheme="minorEastAsia"/>
          <w:b/>
          <w:bCs/>
          <w:color w:val="000000"/>
          <w:spacing w:val="1"/>
          <w:szCs w:val="22"/>
          <w:lang w:val="en-US" w:eastAsia="en-US" w:bidi="ar-SA"/>
        </w:rPr>
        <w:t xml:space="preserve">9.1 </w:t>
      </w:r>
      <w:r>
        <w:rPr>
          <w:rFonts w:ascii="宋体" w:hAnsi="宋体" w:cs="宋体" w:eastAsiaTheme="minorEastAsia"/>
          <w:color w:val="000000"/>
          <w:spacing w:val="1"/>
          <w:sz w:val="24"/>
          <w:szCs w:val="24"/>
          <w:lang w:val="en-US" w:eastAsia="en-US" w:bidi="ar-SA"/>
        </w:rPr>
        <w:t>供应商须在投标截止期前按以下要求交纳磋商保证金（须注明项目编号及项目名称，项目名称可简写）</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磋商保证金：</w:t>
      </w:r>
      <w:r>
        <w:rPr>
          <w:rFonts w:hint="eastAsia" w:asciiTheme="minorEastAsia" w:hAnsiTheme="minorEastAsia" w:cstheme="minorEastAsia"/>
          <w:color w:val="FF0000"/>
          <w:spacing w:val="1"/>
          <w:sz w:val="24"/>
          <w:szCs w:val="24"/>
          <w:lang w:val="en-US" w:eastAsia="zh-CN" w:bidi="ar-SA"/>
        </w:rPr>
        <w:t>1800</w:t>
      </w:r>
      <w:r>
        <w:rPr>
          <w:rFonts w:hint="eastAsia" w:asciiTheme="minorEastAsia" w:hAnsiTheme="minorEastAsia" w:eastAsiaTheme="minorEastAsia" w:cstheme="minorEastAsia"/>
          <w:color w:val="FF0000"/>
          <w:spacing w:val="1"/>
          <w:sz w:val="24"/>
          <w:szCs w:val="24"/>
          <w:lang w:val="en-US" w:eastAsia="en-US" w:bidi="ar-SA"/>
        </w:rPr>
        <w:t>元整（</w:t>
      </w:r>
      <w:r>
        <w:rPr>
          <w:rFonts w:hint="eastAsia" w:asciiTheme="minorEastAsia" w:hAnsiTheme="minorEastAsia" w:cstheme="minorEastAsia"/>
          <w:color w:val="FF0000"/>
          <w:spacing w:val="1"/>
          <w:sz w:val="24"/>
          <w:szCs w:val="24"/>
          <w:lang w:val="en-US" w:eastAsia="zh-CN" w:bidi="ar-SA"/>
        </w:rPr>
        <w:t>壹</w:t>
      </w:r>
      <w:r>
        <w:rPr>
          <w:rFonts w:hint="eastAsia" w:asciiTheme="minorEastAsia" w:hAnsiTheme="minorEastAsia" w:eastAsiaTheme="minorEastAsia" w:cstheme="minorEastAsia"/>
          <w:color w:val="FF0000"/>
          <w:spacing w:val="1"/>
          <w:sz w:val="24"/>
          <w:szCs w:val="24"/>
          <w:lang w:val="en-US" w:eastAsia="zh-CN" w:bidi="ar-SA"/>
        </w:rPr>
        <w:t>仟</w:t>
      </w:r>
      <w:r>
        <w:rPr>
          <w:rFonts w:hint="eastAsia" w:asciiTheme="minorEastAsia" w:hAnsiTheme="minorEastAsia" w:cstheme="minorEastAsia"/>
          <w:color w:val="FF0000"/>
          <w:spacing w:val="1"/>
          <w:sz w:val="24"/>
          <w:szCs w:val="24"/>
          <w:lang w:val="en-US" w:eastAsia="zh-CN" w:bidi="ar-SA"/>
        </w:rPr>
        <w:t>捌佰</w:t>
      </w:r>
      <w:r>
        <w:rPr>
          <w:rFonts w:hint="eastAsia" w:asciiTheme="minorEastAsia" w:hAnsiTheme="minorEastAsia" w:eastAsiaTheme="minorEastAsia" w:cstheme="minorEastAsia"/>
          <w:color w:val="FF0000"/>
          <w:spacing w:val="1"/>
          <w:sz w:val="24"/>
          <w:szCs w:val="24"/>
          <w:lang w:val="en-US" w:eastAsia="en-US" w:bidi="ar-SA"/>
        </w:rPr>
        <w:t>元整）</w:t>
      </w:r>
      <w:r>
        <w:rPr>
          <w:rFonts w:hint="eastAsia" w:asciiTheme="minorEastAsia" w:hAnsiTheme="minorEastAsia" w:eastAsiaTheme="minorEastAsia" w:cstheme="minorEastAsia"/>
          <w:color w:val="000000"/>
          <w:spacing w:val="1"/>
          <w:sz w:val="24"/>
          <w:szCs w:val="24"/>
          <w:lang w:val="en-US" w:eastAsia="en-US" w:bidi="ar-SA"/>
        </w:rPr>
        <w:t>；</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缴纳磋商保证金时须注明此次项目编号及项目名称（可简写）</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收款单位：青海</w:t>
      </w:r>
      <w:r>
        <w:rPr>
          <w:rFonts w:hint="eastAsia" w:asciiTheme="minorEastAsia" w:hAnsiTheme="minorEastAsia" w:eastAsiaTheme="minorEastAsia" w:cstheme="minorEastAsia"/>
          <w:color w:val="000000"/>
          <w:spacing w:val="1"/>
          <w:sz w:val="24"/>
          <w:szCs w:val="24"/>
          <w:lang w:val="en-US" w:eastAsia="zh-CN" w:bidi="ar-SA"/>
        </w:rPr>
        <w:t>利仁建设</w:t>
      </w:r>
      <w:r>
        <w:rPr>
          <w:rFonts w:hint="eastAsia" w:asciiTheme="minorEastAsia" w:hAnsiTheme="minorEastAsia" w:eastAsiaTheme="minorEastAsia" w:cstheme="minorEastAsia"/>
          <w:color w:val="000000"/>
          <w:spacing w:val="1"/>
          <w:sz w:val="24"/>
          <w:szCs w:val="24"/>
          <w:lang w:val="en-US" w:eastAsia="en-US" w:bidi="ar-SA"/>
        </w:rPr>
        <w:t>项目管理有限公司</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开户行：</w:t>
      </w:r>
      <w:r>
        <w:rPr>
          <w:rFonts w:hint="eastAsia" w:asciiTheme="minorEastAsia" w:hAnsiTheme="minorEastAsia" w:eastAsiaTheme="minorEastAsia" w:cstheme="minorEastAsia"/>
          <w:sz w:val="24"/>
          <w:szCs w:val="24"/>
        </w:rPr>
        <w:t>青海银行股份有限公司海湖新区支行</w:t>
      </w:r>
    </w:p>
    <w:p>
      <w:pPr>
        <w:spacing w:before="203" w:line="250" w:lineRule="exact"/>
        <w:ind w:left="0" w:leftChars="0" w:firstLine="484" w:firstLineChars="200"/>
        <w:rPr>
          <w:rFonts w:hint="eastAsia" w:asciiTheme="minorEastAsia" w:hAnsiTheme="minorEastAsia" w:eastAsiaTheme="minorEastAsia" w:cstheme="minorEastAsia"/>
          <w:color w:val="FF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银行账号：</w:t>
      </w:r>
      <w:r>
        <w:rPr>
          <w:rFonts w:hint="eastAsia" w:asciiTheme="minorEastAsia" w:hAnsiTheme="minorEastAsia" w:eastAsiaTheme="minorEastAsia" w:cstheme="minorEastAsia"/>
          <w:color w:val="FF0000"/>
          <w:sz w:val="24"/>
          <w:szCs w:val="24"/>
        </w:rPr>
        <w:t xml:space="preserve">0701201000278246 </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交纳时间：2020年</w:t>
      </w:r>
      <w:r>
        <w:rPr>
          <w:rFonts w:hint="eastAsia" w:asciiTheme="minorEastAsia" w:hAnsiTheme="minorEastAsia" w:cstheme="minorEastAsia"/>
          <w:color w:val="000000"/>
          <w:spacing w:val="1"/>
          <w:sz w:val="24"/>
          <w:szCs w:val="24"/>
          <w:lang w:val="en-US" w:eastAsia="zh-CN" w:bidi="ar-SA"/>
        </w:rPr>
        <w:t>09</w:t>
      </w:r>
      <w:r>
        <w:rPr>
          <w:rFonts w:hint="eastAsia" w:asciiTheme="minorEastAsia" w:hAnsiTheme="minorEastAsia" w:eastAsiaTheme="minorEastAsia" w:cstheme="minorEastAsia"/>
          <w:color w:val="000000"/>
          <w:spacing w:val="1"/>
          <w:sz w:val="24"/>
          <w:szCs w:val="24"/>
          <w:lang w:val="en-US" w:eastAsia="en-US" w:bidi="ar-SA"/>
        </w:rPr>
        <w:t>月</w:t>
      </w:r>
      <w:r>
        <w:rPr>
          <w:rFonts w:hint="eastAsia" w:asciiTheme="minorEastAsia" w:hAnsiTheme="minorEastAsia" w:cstheme="minorEastAsia"/>
          <w:color w:val="000000"/>
          <w:spacing w:val="1"/>
          <w:sz w:val="24"/>
          <w:szCs w:val="24"/>
          <w:lang w:val="en-US" w:eastAsia="zh-CN" w:bidi="ar-SA"/>
        </w:rPr>
        <w:t>03</w:t>
      </w:r>
      <w:r>
        <w:rPr>
          <w:rFonts w:hint="eastAsia" w:asciiTheme="minorEastAsia" w:hAnsiTheme="minorEastAsia" w:eastAsiaTheme="minorEastAsia" w:cstheme="minorEastAsia"/>
          <w:color w:val="000000"/>
          <w:spacing w:val="1"/>
          <w:sz w:val="24"/>
          <w:szCs w:val="24"/>
          <w:lang w:val="en-US" w:eastAsia="en-US" w:bidi="ar-SA"/>
        </w:rPr>
        <w:t>日</w:t>
      </w:r>
      <w:r>
        <w:rPr>
          <w:rFonts w:hint="eastAsia" w:asciiTheme="minorEastAsia" w:hAnsiTheme="minorEastAsia" w:cstheme="minorEastAsia"/>
          <w:color w:val="000000"/>
          <w:spacing w:val="1"/>
          <w:sz w:val="24"/>
          <w:szCs w:val="24"/>
          <w:lang w:val="en-US" w:eastAsia="zh-CN" w:bidi="ar-SA"/>
        </w:rPr>
        <w:t>下</w:t>
      </w:r>
      <w:r>
        <w:rPr>
          <w:rFonts w:hint="eastAsia" w:asciiTheme="minorEastAsia" w:hAnsiTheme="minorEastAsia" w:eastAsiaTheme="minorEastAsia" w:cstheme="minorEastAsia"/>
          <w:color w:val="000000"/>
          <w:spacing w:val="1"/>
          <w:sz w:val="24"/>
          <w:szCs w:val="24"/>
          <w:lang w:val="en-US" w:eastAsia="en-US" w:bidi="ar-SA"/>
        </w:rPr>
        <w:t>午</w:t>
      </w:r>
      <w:r>
        <w:rPr>
          <w:rFonts w:hint="eastAsia" w:asciiTheme="minorEastAsia" w:hAnsiTheme="minorEastAsia" w:cstheme="minorEastAsia"/>
          <w:color w:val="000000"/>
          <w:spacing w:val="1"/>
          <w:sz w:val="24"/>
          <w:szCs w:val="24"/>
          <w:lang w:val="en-US" w:eastAsia="zh-CN" w:bidi="ar-SA"/>
        </w:rPr>
        <w:t>17</w:t>
      </w:r>
      <w:r>
        <w:rPr>
          <w:rFonts w:hint="eastAsia" w:asciiTheme="minorEastAsia" w:hAnsiTheme="minorEastAsia" w:eastAsiaTheme="minorEastAsia" w:cstheme="minorEastAsia"/>
          <w:color w:val="000000"/>
          <w:spacing w:val="1"/>
          <w:sz w:val="24"/>
          <w:szCs w:val="24"/>
          <w:lang w:val="en-US" w:eastAsia="en-US" w:bidi="ar-SA"/>
        </w:rPr>
        <w:t>时</w:t>
      </w:r>
      <w:r>
        <w:rPr>
          <w:rFonts w:hint="eastAsia" w:asciiTheme="minorEastAsia" w:hAnsiTheme="minorEastAsia" w:cstheme="minorEastAsia"/>
          <w:color w:val="000000"/>
          <w:spacing w:val="1"/>
          <w:sz w:val="24"/>
          <w:szCs w:val="24"/>
          <w:lang w:val="en-US" w:eastAsia="zh-CN" w:bidi="ar-SA"/>
        </w:rPr>
        <w:t>30</w:t>
      </w:r>
      <w:r>
        <w:rPr>
          <w:rFonts w:hint="eastAsia" w:asciiTheme="minorEastAsia" w:hAnsiTheme="minorEastAsia" w:eastAsiaTheme="minorEastAsia" w:cstheme="minorEastAsia"/>
          <w:color w:val="000000"/>
          <w:spacing w:val="1"/>
          <w:sz w:val="24"/>
          <w:szCs w:val="24"/>
          <w:lang w:val="en-US" w:eastAsia="en-US" w:bidi="ar-SA"/>
        </w:rPr>
        <w:t>分（北京时间）前，以银行到账时间为准。如采购项目变更开标时间，则保证金交纳时间相应顺延。</w:t>
      </w:r>
    </w:p>
    <w:p>
      <w:pPr>
        <w:spacing w:before="203" w:line="250" w:lineRule="exact"/>
        <w:ind w:left="0" w:leftChars="0" w:firstLine="486"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b/>
          <w:bCs/>
          <w:color w:val="000000"/>
          <w:spacing w:val="1"/>
          <w:sz w:val="24"/>
          <w:szCs w:val="24"/>
          <w:lang w:val="en-US" w:eastAsia="en-US" w:bidi="ar-SA"/>
        </w:rPr>
        <w:t>9.2</w:t>
      </w:r>
      <w:r>
        <w:rPr>
          <w:rFonts w:hint="eastAsia" w:asciiTheme="minorEastAsia" w:hAnsiTheme="minorEastAsia" w:eastAsiaTheme="minorEastAsia" w:cstheme="minorEastAsia"/>
          <w:color w:val="000000"/>
          <w:spacing w:val="1"/>
          <w:sz w:val="24"/>
          <w:szCs w:val="24"/>
          <w:lang w:val="en-US" w:eastAsia="en-US" w:bidi="ar-SA"/>
        </w:rPr>
        <w:t xml:space="preserve"> 缴费方式：磋商保证金应当</w:t>
      </w:r>
      <w:bookmarkStart w:id="368" w:name="_GoBack"/>
      <w:bookmarkEnd w:id="368"/>
      <w:r>
        <w:rPr>
          <w:rFonts w:hint="eastAsia" w:asciiTheme="minorEastAsia" w:hAnsiTheme="minorEastAsia" w:eastAsiaTheme="minorEastAsia" w:cstheme="minorEastAsia"/>
          <w:color w:val="000000"/>
          <w:spacing w:val="1"/>
          <w:sz w:val="24"/>
          <w:szCs w:val="24"/>
          <w:lang w:val="en-US" w:eastAsia="en-US" w:bidi="ar-SA"/>
        </w:rPr>
        <w:t>以支票、汇票、本票或者金融机构、担保机构出具的保函等非现金形式提交。</w:t>
      </w:r>
    </w:p>
    <w:p>
      <w:pPr>
        <w:spacing w:before="203" w:line="250" w:lineRule="exact"/>
        <w:ind w:left="0" w:leftChars="0" w:firstLine="486" w:firstLineChars="200"/>
        <w:jc w:val="both"/>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b/>
          <w:bCs/>
          <w:color w:val="000000"/>
          <w:spacing w:val="1"/>
          <w:sz w:val="24"/>
          <w:szCs w:val="24"/>
          <w:lang w:val="en-US" w:eastAsia="en-US" w:bidi="ar-SA"/>
        </w:rPr>
        <w:t xml:space="preserve">9.3 </w:t>
      </w:r>
      <w:r>
        <w:rPr>
          <w:rFonts w:hint="eastAsia" w:asciiTheme="minorEastAsia" w:hAnsiTheme="minorEastAsia" w:eastAsiaTheme="minorEastAsia" w:cstheme="minorEastAsia"/>
          <w:color w:val="000000"/>
          <w:spacing w:val="1"/>
          <w:sz w:val="24"/>
          <w:szCs w:val="24"/>
          <w:lang w:val="en-US" w:eastAsia="en-US" w:bidi="ar-SA"/>
        </w:rPr>
        <w:t>磋商保证金退还：供应商在投标截止时间前撤回已提交的响应文件的，采购代理机构应当自收到投标人书面撤回通知之日起5个工作日内，退还已收取的磋商保证金，但因投标人自身原因导致无法及时退还的除外。采购代理机构应当自成交通知书发出之日起5个工作日内退还未中标人的磋商保证金，自采购合同签订之日起5个工作日内退还中标人的磋商保证金。采购代理机构逾期退还磋商保证金的，除应当退还磋商保证金本金外，还应当按中国人民银行同期贷款基准利率上浮20％后的利率支付超期资金占用费，但因投标人自身原因导致无法及时退还的除外。</w:t>
      </w:r>
    </w:p>
    <w:p>
      <w:pPr>
        <w:spacing w:before="203" w:line="250" w:lineRule="exact"/>
        <w:ind w:left="0" w:leftChars="0" w:firstLine="486"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b/>
          <w:bCs/>
          <w:color w:val="000000"/>
          <w:spacing w:val="1"/>
          <w:sz w:val="24"/>
          <w:szCs w:val="24"/>
          <w:lang w:val="en-US" w:eastAsia="en-US" w:bidi="ar-SA"/>
        </w:rPr>
        <w:t xml:space="preserve">9.4 </w:t>
      </w:r>
      <w:r>
        <w:rPr>
          <w:rFonts w:hint="eastAsia" w:asciiTheme="minorEastAsia" w:hAnsiTheme="minorEastAsia" w:eastAsiaTheme="minorEastAsia" w:cstheme="minorEastAsia"/>
          <w:color w:val="000000"/>
          <w:spacing w:val="1"/>
          <w:sz w:val="24"/>
          <w:szCs w:val="24"/>
          <w:lang w:val="en-US" w:eastAsia="en-US" w:bidi="ar-SA"/>
        </w:rPr>
        <w:t>磋商有效期内投标人撤销响应文件的，采购人或者采购代理机构可以不退还磋商保证金。</w:t>
      </w:r>
    </w:p>
    <w:p>
      <w:pPr>
        <w:pStyle w:val="3"/>
        <w:bidi w:val="0"/>
        <w:rPr>
          <w:rFonts w:hint="eastAsia"/>
          <w:lang w:val="en-US" w:eastAsia="en-US"/>
        </w:rPr>
      </w:pPr>
      <w:bookmarkStart w:id="27" w:name="_Toc15611"/>
      <w:r>
        <w:rPr>
          <w:rFonts w:hint="eastAsia"/>
          <w:lang w:val="en-US" w:eastAsia="en-US"/>
        </w:rPr>
        <w:t>10.磋商有效期</w:t>
      </w:r>
      <w:bookmarkEnd w:id="27"/>
    </w:p>
    <w:p>
      <w:pPr>
        <w:spacing w:before="203" w:line="250" w:lineRule="exact"/>
        <w:ind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从提交响应文件的截止之日起60日历日。响应文件中承诺的磋商有效期应当不少于竞争性磋商文件中载明的磋商有效期。磋商有效期内响应人撤销响应文件的，采购代理机构可以不退还磋商保证金。</w:t>
      </w:r>
    </w:p>
    <w:p>
      <w:pPr>
        <w:pStyle w:val="3"/>
        <w:bidi w:val="0"/>
        <w:rPr>
          <w:rFonts w:hint="eastAsia"/>
          <w:lang w:val="en-US" w:eastAsia="en-US"/>
        </w:rPr>
      </w:pPr>
      <w:bookmarkStart w:id="28" w:name="_Toc24226"/>
      <w:r>
        <w:rPr>
          <w:rFonts w:hint="eastAsia"/>
          <w:lang w:val="en-US" w:eastAsia="en-US"/>
        </w:rPr>
        <w:t>11.响应文件构成</w:t>
      </w:r>
      <w:bookmarkEnd w:id="28"/>
    </w:p>
    <w:p>
      <w:pPr>
        <w:spacing w:before="203" w:line="250" w:lineRule="exact"/>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响应人应提交相关证明材料，作为其参加投标和中标后有能力履行合同的证明。</w:t>
      </w:r>
    </w:p>
    <w:p>
      <w:pPr>
        <w:spacing w:before="203" w:line="250" w:lineRule="exact"/>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编写的响应文件须包括以下内容（格式见竞争性磋商文件第四部分）：</w:t>
      </w:r>
    </w:p>
    <w:p>
      <w:pPr>
        <w:spacing w:before="203" w:line="250" w:lineRule="exact"/>
        <w:ind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响应文件（上册）（资格审查）</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（1）响应函</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（2）法定代表人证明书</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（3）法定代表人授权书</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（4）磋商供应商承诺函</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（5）磋商供应商诚信承诺书</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（6）磋商供应商资格证明材料</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（7）财务状况报告，依法缴纳税收和社会保障资金的相关材料</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（8）具备履行合同所必需的设备和专业技术能力的证明材料</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（9）无重大违法记录声明</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（10）磋商保证金证明（包括开户许可证复印件）</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响应文件（下册）</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w:t>
      </w:r>
      <w:r>
        <w:rPr>
          <w:rFonts w:hint="eastAsia" w:asciiTheme="minorEastAsia" w:hAnsiTheme="minorEastAsia" w:cstheme="minorEastAsia"/>
          <w:color w:val="000000"/>
          <w:spacing w:val="1"/>
          <w:sz w:val="24"/>
          <w:szCs w:val="24"/>
          <w:lang w:val="en-US" w:eastAsia="zh-CN" w:bidi="ar-SA"/>
        </w:rPr>
        <w:t>1</w:t>
      </w:r>
      <w:r>
        <w:rPr>
          <w:rFonts w:hint="eastAsia" w:asciiTheme="minorEastAsia" w:hAnsiTheme="minorEastAsia" w:eastAsiaTheme="minorEastAsia" w:cstheme="minorEastAsia"/>
          <w:color w:val="000000"/>
          <w:spacing w:val="1"/>
          <w:sz w:val="24"/>
          <w:szCs w:val="24"/>
          <w:lang w:val="en-US" w:eastAsia="en-US" w:bidi="ar-SA"/>
        </w:rPr>
        <w:t>）评分对照表</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w:t>
      </w:r>
      <w:r>
        <w:rPr>
          <w:rFonts w:hint="eastAsia" w:asciiTheme="minorEastAsia" w:hAnsiTheme="minorEastAsia" w:cstheme="minorEastAsia"/>
          <w:color w:val="000000"/>
          <w:spacing w:val="1"/>
          <w:sz w:val="24"/>
          <w:szCs w:val="24"/>
          <w:lang w:val="en-US" w:eastAsia="zh-CN" w:bidi="ar-SA"/>
        </w:rPr>
        <w:t>2</w:t>
      </w:r>
      <w:r>
        <w:rPr>
          <w:rFonts w:hint="eastAsia" w:asciiTheme="minorEastAsia" w:hAnsiTheme="minorEastAsia" w:eastAsiaTheme="minorEastAsia" w:cstheme="minorEastAsia"/>
          <w:color w:val="000000"/>
          <w:spacing w:val="1"/>
          <w:sz w:val="24"/>
          <w:szCs w:val="24"/>
          <w:lang w:val="en-US" w:eastAsia="en-US" w:bidi="ar-SA"/>
        </w:rPr>
        <w:t>）</w:t>
      </w:r>
      <w:r>
        <w:rPr>
          <w:rFonts w:hint="eastAsia" w:asciiTheme="minorEastAsia" w:hAnsiTheme="minorEastAsia" w:cstheme="minorEastAsia"/>
          <w:color w:val="000000"/>
          <w:spacing w:val="1"/>
          <w:sz w:val="24"/>
          <w:szCs w:val="24"/>
          <w:lang w:val="en-US" w:eastAsia="zh-CN" w:bidi="ar-SA"/>
        </w:rPr>
        <w:t>首次</w:t>
      </w:r>
      <w:r>
        <w:rPr>
          <w:rFonts w:hint="eastAsia" w:asciiTheme="minorEastAsia" w:hAnsiTheme="minorEastAsia" w:eastAsiaTheme="minorEastAsia" w:cstheme="minorEastAsia"/>
          <w:color w:val="000000"/>
          <w:spacing w:val="1"/>
          <w:sz w:val="24"/>
          <w:szCs w:val="24"/>
          <w:lang w:val="en-US" w:eastAsia="en-US" w:bidi="ar-SA"/>
        </w:rPr>
        <w:t>响应报价表</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w:t>
      </w:r>
      <w:r>
        <w:rPr>
          <w:rFonts w:hint="eastAsia" w:asciiTheme="minorEastAsia" w:hAnsiTheme="minorEastAsia" w:cstheme="minorEastAsia"/>
          <w:color w:val="000000"/>
          <w:spacing w:val="1"/>
          <w:sz w:val="24"/>
          <w:szCs w:val="24"/>
          <w:lang w:val="en-US" w:eastAsia="zh-CN" w:bidi="ar-SA"/>
        </w:rPr>
        <w:t>3</w:t>
      </w:r>
      <w:r>
        <w:rPr>
          <w:rFonts w:hint="eastAsia" w:asciiTheme="minorEastAsia" w:hAnsiTheme="minorEastAsia" w:eastAsiaTheme="minorEastAsia" w:cstheme="minorEastAsia"/>
          <w:color w:val="000000"/>
          <w:spacing w:val="1"/>
          <w:sz w:val="24"/>
          <w:szCs w:val="24"/>
          <w:lang w:val="en-US" w:eastAsia="en-US" w:bidi="ar-SA"/>
        </w:rPr>
        <w:t>）分项报价表</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w:t>
      </w:r>
      <w:r>
        <w:rPr>
          <w:rFonts w:hint="eastAsia" w:asciiTheme="minorEastAsia" w:hAnsiTheme="minorEastAsia" w:cstheme="minorEastAsia"/>
          <w:color w:val="000000"/>
          <w:spacing w:val="1"/>
          <w:sz w:val="24"/>
          <w:szCs w:val="24"/>
          <w:lang w:val="en-US" w:eastAsia="zh-CN" w:bidi="ar-SA"/>
        </w:rPr>
        <w:t>4</w:t>
      </w:r>
      <w:r>
        <w:rPr>
          <w:rFonts w:hint="eastAsia" w:asciiTheme="minorEastAsia" w:hAnsiTheme="minorEastAsia" w:eastAsiaTheme="minorEastAsia" w:cstheme="minorEastAsia"/>
          <w:color w:val="000000"/>
          <w:spacing w:val="1"/>
          <w:sz w:val="24"/>
          <w:szCs w:val="24"/>
          <w:lang w:val="en-US" w:eastAsia="en-US" w:bidi="ar-SA"/>
        </w:rPr>
        <w:t>）技术规格响应表</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w:t>
      </w:r>
      <w:r>
        <w:rPr>
          <w:rFonts w:hint="eastAsia" w:asciiTheme="minorEastAsia" w:hAnsiTheme="minorEastAsia" w:cstheme="minorEastAsia"/>
          <w:color w:val="000000"/>
          <w:spacing w:val="1"/>
          <w:sz w:val="24"/>
          <w:szCs w:val="24"/>
          <w:lang w:val="en-US" w:eastAsia="zh-CN" w:bidi="ar-SA"/>
        </w:rPr>
        <w:t>5</w:t>
      </w:r>
      <w:r>
        <w:rPr>
          <w:rFonts w:hint="eastAsia" w:asciiTheme="minorEastAsia" w:hAnsiTheme="minorEastAsia" w:eastAsiaTheme="minorEastAsia" w:cstheme="minorEastAsia"/>
          <w:color w:val="000000"/>
          <w:spacing w:val="1"/>
          <w:sz w:val="24"/>
          <w:szCs w:val="24"/>
          <w:lang w:val="en-US" w:eastAsia="en-US" w:bidi="ar-SA"/>
        </w:rPr>
        <w:t>）磋商产品相关资料</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w:t>
      </w:r>
      <w:r>
        <w:rPr>
          <w:rFonts w:hint="eastAsia" w:asciiTheme="minorEastAsia" w:hAnsiTheme="minorEastAsia" w:cstheme="minorEastAsia"/>
          <w:color w:val="000000"/>
          <w:spacing w:val="1"/>
          <w:sz w:val="24"/>
          <w:szCs w:val="24"/>
          <w:lang w:val="en-US" w:eastAsia="zh-CN" w:bidi="ar-SA"/>
        </w:rPr>
        <w:t>6</w:t>
      </w:r>
      <w:r>
        <w:rPr>
          <w:rFonts w:hint="eastAsia" w:asciiTheme="minorEastAsia" w:hAnsiTheme="minorEastAsia" w:eastAsiaTheme="minorEastAsia" w:cstheme="minorEastAsia"/>
          <w:color w:val="000000"/>
          <w:spacing w:val="1"/>
          <w:sz w:val="24"/>
          <w:szCs w:val="24"/>
          <w:lang w:val="en-US" w:eastAsia="en-US" w:bidi="ar-SA"/>
        </w:rPr>
        <w:t>）磋商供应商的类似业绩证明材料</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w:t>
      </w:r>
      <w:r>
        <w:rPr>
          <w:rFonts w:hint="eastAsia" w:asciiTheme="minorEastAsia" w:hAnsiTheme="minorEastAsia" w:cstheme="minorEastAsia"/>
          <w:color w:val="000000"/>
          <w:spacing w:val="1"/>
          <w:sz w:val="24"/>
          <w:szCs w:val="24"/>
          <w:lang w:val="en-US" w:eastAsia="zh-CN" w:bidi="ar-SA"/>
        </w:rPr>
        <w:t>7</w:t>
      </w:r>
      <w:r>
        <w:rPr>
          <w:rFonts w:hint="eastAsia" w:asciiTheme="minorEastAsia" w:hAnsiTheme="minorEastAsia" w:eastAsiaTheme="minorEastAsia" w:cstheme="minorEastAsia"/>
          <w:color w:val="000000"/>
          <w:spacing w:val="1"/>
          <w:sz w:val="24"/>
          <w:szCs w:val="24"/>
          <w:lang w:val="en-US" w:eastAsia="en-US" w:bidi="ar-SA"/>
        </w:rPr>
        <w:t>）制造（生产）企业小型微型企业声明函</w:t>
      </w:r>
      <w:r>
        <w:rPr>
          <w:rFonts w:hint="eastAsia" w:asciiTheme="minorEastAsia" w:hAnsiTheme="minorEastAsia" w:cstheme="minorEastAsia"/>
          <w:color w:val="000000"/>
          <w:spacing w:val="1"/>
          <w:sz w:val="24"/>
          <w:szCs w:val="24"/>
          <w:lang w:val="en-US" w:eastAsia="zh-CN" w:bidi="ar-SA"/>
        </w:rPr>
        <w:t>、从业人员声明函</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zh-CN" w:bidi="ar-SA"/>
        </w:rPr>
      </w:pPr>
      <w:r>
        <w:rPr>
          <w:rFonts w:hint="eastAsia" w:asciiTheme="minorEastAsia" w:hAnsiTheme="minorEastAsia" w:eastAsiaTheme="minorEastAsia" w:cstheme="minorEastAsia"/>
          <w:color w:val="000000"/>
          <w:spacing w:val="1"/>
          <w:sz w:val="24"/>
          <w:szCs w:val="24"/>
          <w:lang w:val="en-US" w:eastAsia="en-US" w:bidi="ar-SA"/>
        </w:rPr>
        <w:t>（1</w:t>
      </w:r>
      <w:r>
        <w:rPr>
          <w:rFonts w:hint="eastAsia" w:asciiTheme="minorEastAsia" w:hAnsiTheme="minorEastAsia" w:cstheme="minorEastAsia"/>
          <w:color w:val="000000"/>
          <w:spacing w:val="1"/>
          <w:sz w:val="24"/>
          <w:szCs w:val="24"/>
          <w:lang w:val="en-US" w:eastAsia="zh-CN" w:bidi="ar-SA"/>
        </w:rPr>
        <w:t>8</w:t>
      </w:r>
      <w:r>
        <w:rPr>
          <w:rFonts w:hint="eastAsia" w:asciiTheme="minorEastAsia" w:hAnsiTheme="minorEastAsia" w:eastAsiaTheme="minorEastAsia" w:cstheme="minorEastAsia"/>
          <w:color w:val="000000"/>
          <w:spacing w:val="1"/>
          <w:sz w:val="24"/>
          <w:szCs w:val="24"/>
          <w:lang w:val="en-US" w:eastAsia="en-US" w:bidi="ar-SA"/>
        </w:rPr>
        <w:t>）残疾人福利性单位声明函</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w:t>
      </w:r>
      <w:r>
        <w:rPr>
          <w:rFonts w:hint="eastAsia" w:asciiTheme="minorEastAsia" w:hAnsiTheme="minorEastAsia" w:cstheme="minorEastAsia"/>
          <w:color w:val="000000"/>
          <w:spacing w:val="1"/>
          <w:sz w:val="24"/>
          <w:szCs w:val="24"/>
          <w:lang w:val="en-US" w:eastAsia="zh-CN" w:bidi="ar-SA"/>
        </w:rPr>
        <w:t>19</w:t>
      </w:r>
      <w:r>
        <w:rPr>
          <w:rFonts w:hint="eastAsia" w:asciiTheme="minorEastAsia" w:hAnsiTheme="minorEastAsia" w:eastAsiaTheme="minorEastAsia" w:cstheme="minorEastAsia"/>
          <w:color w:val="000000"/>
          <w:spacing w:val="1"/>
          <w:sz w:val="24"/>
          <w:szCs w:val="24"/>
          <w:lang w:val="en-US" w:eastAsia="en-US" w:bidi="ar-SA"/>
        </w:rPr>
        <w:t>）磋商供应商认为在其他方面有必要说明的事项</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（2</w:t>
      </w:r>
      <w:r>
        <w:rPr>
          <w:rFonts w:hint="eastAsia" w:asciiTheme="minorEastAsia" w:hAnsiTheme="minorEastAsia" w:cstheme="minorEastAsia"/>
          <w:color w:val="000000"/>
          <w:spacing w:val="1"/>
          <w:sz w:val="24"/>
          <w:szCs w:val="24"/>
          <w:lang w:val="en-US" w:eastAsia="zh-CN" w:bidi="ar-SA"/>
        </w:rPr>
        <w:t>0</w:t>
      </w:r>
      <w:r>
        <w:rPr>
          <w:rFonts w:hint="eastAsia" w:asciiTheme="minorEastAsia" w:hAnsiTheme="minorEastAsia" w:eastAsiaTheme="minorEastAsia" w:cstheme="minorEastAsia"/>
          <w:color w:val="000000"/>
          <w:spacing w:val="1"/>
          <w:sz w:val="24"/>
          <w:szCs w:val="24"/>
          <w:lang w:val="en-US" w:eastAsia="en-US" w:bidi="ar-SA"/>
        </w:rPr>
        <w:t>）磋商供应商最终报价表</w:t>
      </w:r>
    </w:p>
    <w:p>
      <w:pPr>
        <w:pStyle w:val="9"/>
        <w:rPr>
          <w:rFonts w:hint="eastAsia"/>
          <w:lang w:val="en-US" w:eastAsia="en-US"/>
        </w:rPr>
      </w:pP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注：响应人须按上述内容、顺序和格式编制响应文件，并按要求编制目录、页码，并保证所提供的全部资料真实可信，自愿承担相应责任。</w:t>
      </w:r>
    </w:p>
    <w:p>
      <w:pPr>
        <w:pStyle w:val="3"/>
        <w:bidi w:val="0"/>
        <w:rPr>
          <w:rFonts w:hint="eastAsia"/>
          <w:lang w:val="en-US" w:eastAsia="en-US"/>
        </w:rPr>
      </w:pPr>
      <w:bookmarkStart w:id="29" w:name="_Toc1806"/>
      <w:r>
        <w:rPr>
          <w:rFonts w:hint="eastAsia"/>
          <w:lang w:val="en-US" w:eastAsia="en-US"/>
        </w:rPr>
        <w:t>12.响应文件的编制要求</w:t>
      </w:r>
      <w:bookmarkEnd w:id="29"/>
    </w:p>
    <w:p>
      <w:pPr>
        <w:spacing w:before="203" w:line="250" w:lineRule="exact"/>
        <w:ind w:left="0" w:leftChars="0" w:firstLine="486"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b/>
          <w:bCs/>
          <w:color w:val="000000"/>
          <w:spacing w:val="1"/>
          <w:sz w:val="24"/>
          <w:szCs w:val="24"/>
          <w:lang w:val="en-US" w:eastAsia="en-US" w:bidi="ar-SA"/>
        </w:rPr>
        <w:t>12.1</w:t>
      </w:r>
      <w:r>
        <w:rPr>
          <w:rFonts w:hint="eastAsia" w:asciiTheme="minorEastAsia" w:hAnsiTheme="minorEastAsia" w:eastAsiaTheme="minorEastAsia" w:cstheme="minorEastAsia"/>
          <w:color w:val="000000"/>
          <w:spacing w:val="1"/>
          <w:sz w:val="24"/>
          <w:szCs w:val="24"/>
          <w:lang w:val="en-US" w:eastAsia="en-US" w:bidi="ar-SA"/>
        </w:rPr>
        <w:t xml:space="preserve"> 响应人应按照竞争性磋商文件所提供的投标文件格式，分别填写竞争性磋商文件第四部分的内容，应分别注明所提供货物的名称、技术配置及参数、数量和价格等内容，要求提供原件的必须将原件装订在响应文件正本中；竞争性磋商文件要求签字、盖章的地方必须由响应人的法定代表人或委托代理人按要求签字、盖章。</w:t>
      </w:r>
    </w:p>
    <w:p>
      <w:pPr>
        <w:spacing w:before="203" w:line="250" w:lineRule="exact"/>
        <w:ind w:left="0" w:leftChars="0" w:firstLine="486"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b/>
          <w:bCs/>
          <w:color w:val="000000"/>
          <w:spacing w:val="1"/>
          <w:sz w:val="24"/>
          <w:szCs w:val="24"/>
          <w:lang w:val="en-US" w:eastAsia="en-US" w:bidi="ar-SA"/>
        </w:rPr>
        <w:t>12.2</w:t>
      </w:r>
      <w:r>
        <w:rPr>
          <w:rFonts w:hint="eastAsia" w:asciiTheme="minorEastAsia" w:hAnsiTheme="minorEastAsia" w:eastAsiaTheme="minorEastAsia" w:cstheme="minorEastAsia"/>
          <w:color w:val="000000"/>
          <w:spacing w:val="1"/>
          <w:sz w:val="24"/>
          <w:szCs w:val="24"/>
          <w:lang w:val="en-US" w:eastAsia="en-US" w:bidi="ar-SA"/>
        </w:rPr>
        <w:t xml:space="preserve"> 响应人应准备纸质响应文件正本1份(上、下册)、副本2份(上、下册)，电子文档1份(上、下册)，响应函、响应报价表及磋商保证金证明。若发生正本和副本不符，以正本为准。响应文件统一使用A4幅面的纸张印制，必须胶装成上、下两册，编码并加盖骑缝公章，封面左侧胶装处须打印此次项目名称及投标人名称，其他方式装订的投标文件按废标处理。</w:t>
      </w:r>
    </w:p>
    <w:p>
      <w:pPr>
        <w:spacing w:before="203" w:line="250" w:lineRule="exact"/>
        <w:ind w:left="0" w:leftChars="0" w:firstLine="486"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b/>
          <w:bCs/>
          <w:color w:val="000000"/>
          <w:spacing w:val="1"/>
          <w:sz w:val="24"/>
          <w:szCs w:val="24"/>
          <w:lang w:val="en-US" w:eastAsia="en-US" w:bidi="ar-SA"/>
        </w:rPr>
        <w:t xml:space="preserve">12.3 </w:t>
      </w:r>
      <w:r>
        <w:rPr>
          <w:rFonts w:hint="eastAsia" w:asciiTheme="minorEastAsia" w:hAnsiTheme="minorEastAsia" w:eastAsiaTheme="minorEastAsia" w:cstheme="minorEastAsia"/>
          <w:color w:val="000000"/>
          <w:spacing w:val="1"/>
          <w:sz w:val="24"/>
          <w:szCs w:val="24"/>
          <w:lang w:val="en-US" w:eastAsia="en-US" w:bidi="ar-SA"/>
        </w:rPr>
        <w:t>响应文件的正本(上、下册)需打印或用不褪色、不变质的墨水书写，副本(上、下册)可采用正本的复印件。电子文档(上、下册) U盘制作，采用不可修改文档格式（如：PDF格式），内容必须和纸质响应文件正本(上、下册)完全一致，包括封面、页码、签字、盖章等，否则，按废标处理。</w:t>
      </w:r>
    </w:p>
    <w:p>
      <w:pPr>
        <w:spacing w:before="203" w:line="250" w:lineRule="exact"/>
        <w:ind w:left="0" w:leftChars="0" w:firstLine="486"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b/>
          <w:bCs/>
          <w:color w:val="000000"/>
          <w:spacing w:val="1"/>
          <w:sz w:val="24"/>
          <w:szCs w:val="24"/>
          <w:lang w:val="en-US" w:eastAsia="en-US" w:bidi="ar-SA"/>
        </w:rPr>
        <w:t xml:space="preserve">12.4 </w:t>
      </w:r>
      <w:r>
        <w:rPr>
          <w:rFonts w:hint="eastAsia" w:asciiTheme="minorEastAsia" w:hAnsiTheme="minorEastAsia" w:eastAsiaTheme="minorEastAsia" w:cstheme="minorEastAsia"/>
          <w:color w:val="000000"/>
          <w:spacing w:val="1"/>
          <w:sz w:val="24"/>
          <w:szCs w:val="24"/>
          <w:lang w:val="en-US" w:eastAsia="en-US" w:bidi="ar-SA"/>
        </w:rPr>
        <w:t>响应文件中不得行间插字、涂改或增删，如有修改错漏处，须由响应人法定代表人或其委托代理人签字、加盖公章。</w:t>
      </w:r>
    </w:p>
    <w:p>
      <w:pPr>
        <w:spacing w:before="203" w:line="250" w:lineRule="exact"/>
        <w:ind w:left="0" w:leftChars="0" w:firstLine="887" w:firstLineChars="200"/>
        <w:rPr>
          <w:rFonts w:hint="eastAsia" w:ascii="宋体" w:hAnsi="宋体" w:cs="宋体" w:eastAsiaTheme="minorEastAsia"/>
          <w:b/>
          <w:bCs/>
          <w:color w:val="000000"/>
          <w:spacing w:val="1"/>
          <w:sz w:val="44"/>
          <w:szCs w:val="44"/>
          <w:lang w:val="en-US" w:eastAsia="zh-CN" w:bidi="ar-SA"/>
        </w:rPr>
      </w:pPr>
    </w:p>
    <w:p>
      <w:pPr>
        <w:pStyle w:val="3"/>
        <w:bidi w:val="0"/>
        <w:rPr>
          <w:rFonts w:hint="eastAsia"/>
          <w:lang w:val="en-US" w:eastAsia="zh-CN"/>
        </w:rPr>
      </w:pPr>
      <w:bookmarkStart w:id="30" w:name="_Toc20131"/>
      <w:r>
        <w:rPr>
          <w:rFonts w:hint="eastAsia"/>
          <w:lang w:val="en-US" w:eastAsia="zh-CN"/>
        </w:rPr>
        <w:t>四、响应文件的提交</w:t>
      </w:r>
      <w:bookmarkEnd w:id="30"/>
    </w:p>
    <w:p>
      <w:pPr>
        <w:spacing w:before="203" w:line="250" w:lineRule="exact"/>
        <w:ind w:left="0" w:leftChars="0" w:firstLine="426" w:firstLineChars="200"/>
        <w:rPr>
          <w:rFonts w:ascii="宋体" w:hAnsi="宋体" w:cs="宋体" w:eastAsiaTheme="minorEastAsia"/>
          <w:b/>
          <w:bCs/>
          <w:color w:val="000000"/>
          <w:spacing w:val="1"/>
          <w:szCs w:val="22"/>
          <w:lang w:val="en-US" w:eastAsia="en-US" w:bidi="ar-SA"/>
        </w:rPr>
      </w:pPr>
    </w:p>
    <w:p>
      <w:pPr>
        <w:pStyle w:val="3"/>
        <w:bidi w:val="0"/>
        <w:rPr>
          <w:rFonts w:hint="eastAsia"/>
          <w:lang w:val="en-US" w:eastAsia="en-US"/>
        </w:rPr>
      </w:pPr>
      <w:bookmarkStart w:id="31" w:name="_Toc26889"/>
      <w:r>
        <w:rPr>
          <w:rFonts w:hint="eastAsia"/>
          <w:lang w:val="en-US" w:eastAsia="en-US"/>
        </w:rPr>
        <w:t>13.响应文件的密封和标记</w:t>
      </w:r>
      <w:bookmarkEnd w:id="31"/>
    </w:p>
    <w:p>
      <w:pPr>
        <w:spacing w:before="203" w:line="250" w:lineRule="exact"/>
        <w:ind w:left="0" w:leftChars="0" w:firstLine="486"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b/>
          <w:bCs/>
          <w:color w:val="000000"/>
          <w:spacing w:val="1"/>
          <w:sz w:val="24"/>
          <w:szCs w:val="24"/>
          <w:lang w:val="en-US" w:eastAsia="en-US" w:bidi="ar-SA"/>
        </w:rPr>
        <w:t>13.1</w:t>
      </w:r>
      <w:r>
        <w:rPr>
          <w:rFonts w:hint="eastAsia" w:asciiTheme="minorEastAsia" w:hAnsiTheme="minorEastAsia" w:eastAsiaTheme="minorEastAsia" w:cstheme="minorEastAsia"/>
          <w:color w:val="000000"/>
          <w:spacing w:val="1"/>
          <w:sz w:val="24"/>
          <w:szCs w:val="24"/>
          <w:lang w:val="en-US" w:eastAsia="en-US" w:bidi="ar-SA"/>
        </w:rPr>
        <w:t xml:space="preserve"> 响应文件的“正本(上、下册)”、“副本(上、下册)”、“电子文档(上、下册)”、“响应函”、“响应报价表”及“磋商保证金证明”须分别装封于不同的密封袋中，加贴密封条，并在密封包装的封口处加盖投标单位公章和法定代表人章；响应文件的封套上应标记“正本”、“副本”、“电子文档”、“响应函”、“响应报价表”及“磋商保证金证明”字样，并注明响应人名称、采购项目编号、采购项目名称及分包号（如有分包）。</w:t>
      </w:r>
    </w:p>
    <w:p>
      <w:pPr>
        <w:spacing w:before="203" w:line="250" w:lineRule="exact"/>
        <w:ind w:left="0" w:leftChars="0" w:firstLine="486"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b/>
          <w:bCs/>
          <w:color w:val="000000"/>
          <w:spacing w:val="1"/>
          <w:sz w:val="24"/>
          <w:szCs w:val="24"/>
          <w:lang w:val="en-US" w:eastAsia="en-US" w:bidi="ar-SA"/>
        </w:rPr>
        <w:t>13.2</w:t>
      </w:r>
      <w:r>
        <w:rPr>
          <w:rFonts w:hint="eastAsia" w:asciiTheme="minorEastAsia" w:hAnsiTheme="minorEastAsia" w:eastAsiaTheme="minorEastAsia" w:cstheme="minorEastAsia"/>
          <w:color w:val="000000"/>
          <w:spacing w:val="1"/>
          <w:sz w:val="24"/>
          <w:szCs w:val="24"/>
          <w:lang w:val="en-US" w:eastAsia="en-US" w:bidi="ar-SA"/>
        </w:rPr>
        <w:t xml:space="preserve"> 密封后的响应文件密封袋用“于2020年</w:t>
      </w:r>
      <w:r>
        <w:rPr>
          <w:rFonts w:hint="eastAsia" w:asciiTheme="minorEastAsia" w:hAnsiTheme="minorEastAsia" w:eastAsiaTheme="minorEastAsia" w:cstheme="minorEastAsia"/>
          <w:color w:val="auto"/>
          <w:spacing w:val="1"/>
          <w:sz w:val="24"/>
          <w:szCs w:val="24"/>
          <w:lang w:val="en-US" w:eastAsia="en-US" w:bidi="ar-SA"/>
        </w:rPr>
        <w:t>0</w:t>
      </w:r>
      <w:r>
        <w:rPr>
          <w:rFonts w:hint="eastAsia" w:asciiTheme="minorEastAsia" w:hAnsiTheme="minorEastAsia" w:cstheme="minorEastAsia"/>
          <w:color w:val="auto"/>
          <w:spacing w:val="1"/>
          <w:sz w:val="24"/>
          <w:szCs w:val="24"/>
          <w:lang w:val="en-US" w:eastAsia="zh-CN" w:bidi="ar-SA"/>
        </w:rPr>
        <w:t>9</w:t>
      </w:r>
      <w:r>
        <w:rPr>
          <w:rFonts w:hint="eastAsia" w:asciiTheme="minorEastAsia" w:hAnsiTheme="minorEastAsia" w:eastAsiaTheme="minorEastAsia" w:cstheme="minorEastAsia"/>
          <w:color w:val="000000"/>
          <w:spacing w:val="1"/>
          <w:sz w:val="24"/>
          <w:szCs w:val="24"/>
          <w:lang w:val="en-US" w:eastAsia="en-US" w:bidi="ar-SA"/>
        </w:rPr>
        <w:t>月</w:t>
      </w:r>
      <w:r>
        <w:rPr>
          <w:rFonts w:hint="eastAsia" w:asciiTheme="minorEastAsia" w:hAnsiTheme="minorEastAsia" w:cstheme="minorEastAsia"/>
          <w:color w:val="auto"/>
          <w:spacing w:val="1"/>
          <w:sz w:val="24"/>
          <w:szCs w:val="24"/>
          <w:lang w:val="en-US" w:eastAsia="zh-CN" w:bidi="ar-SA"/>
        </w:rPr>
        <w:t>04</w:t>
      </w:r>
      <w:r>
        <w:rPr>
          <w:rFonts w:hint="eastAsia" w:asciiTheme="minorEastAsia" w:hAnsiTheme="minorEastAsia" w:eastAsiaTheme="minorEastAsia" w:cstheme="minorEastAsia"/>
          <w:color w:val="000000"/>
          <w:spacing w:val="1"/>
          <w:sz w:val="24"/>
          <w:szCs w:val="24"/>
          <w:lang w:val="en-US" w:eastAsia="en-US" w:bidi="ar-SA"/>
        </w:rPr>
        <w:t>日上午</w:t>
      </w:r>
      <w:r>
        <w:rPr>
          <w:rFonts w:hint="eastAsia" w:asciiTheme="minorEastAsia" w:hAnsiTheme="minorEastAsia" w:cstheme="minorEastAsia"/>
          <w:color w:val="auto"/>
          <w:spacing w:val="1"/>
          <w:sz w:val="24"/>
          <w:szCs w:val="24"/>
          <w:lang w:val="en-US" w:eastAsia="zh-CN" w:bidi="ar-SA"/>
        </w:rPr>
        <w:t>10</w:t>
      </w:r>
      <w:r>
        <w:rPr>
          <w:rFonts w:hint="eastAsia" w:asciiTheme="minorEastAsia" w:hAnsiTheme="minorEastAsia" w:eastAsiaTheme="minorEastAsia" w:cstheme="minorEastAsia"/>
          <w:color w:val="auto"/>
          <w:spacing w:val="1"/>
          <w:sz w:val="24"/>
          <w:szCs w:val="24"/>
          <w:lang w:val="en-US" w:eastAsia="en-US" w:bidi="ar-SA"/>
        </w:rPr>
        <w:t>时</w:t>
      </w:r>
      <w:r>
        <w:rPr>
          <w:rFonts w:hint="eastAsia" w:asciiTheme="minorEastAsia" w:hAnsiTheme="minorEastAsia" w:cstheme="minorEastAsia"/>
          <w:color w:val="auto"/>
          <w:spacing w:val="1"/>
          <w:sz w:val="24"/>
          <w:szCs w:val="24"/>
          <w:lang w:val="en-US" w:eastAsia="zh-CN" w:bidi="ar-SA"/>
        </w:rPr>
        <w:t>0</w:t>
      </w:r>
      <w:r>
        <w:rPr>
          <w:rFonts w:hint="eastAsia" w:asciiTheme="minorEastAsia" w:hAnsiTheme="minorEastAsia" w:eastAsiaTheme="minorEastAsia" w:cstheme="minorEastAsia"/>
          <w:color w:val="auto"/>
          <w:spacing w:val="1"/>
          <w:sz w:val="24"/>
          <w:szCs w:val="24"/>
          <w:lang w:val="en-US" w:eastAsia="en-US" w:bidi="ar-SA"/>
        </w:rPr>
        <w:t>0分</w:t>
      </w:r>
      <w:r>
        <w:rPr>
          <w:rFonts w:hint="eastAsia" w:asciiTheme="minorEastAsia" w:hAnsiTheme="minorEastAsia" w:eastAsiaTheme="minorEastAsia" w:cstheme="minorEastAsia"/>
          <w:color w:val="000000"/>
          <w:spacing w:val="1"/>
          <w:sz w:val="24"/>
          <w:szCs w:val="24"/>
          <w:lang w:val="en-US" w:eastAsia="en-US" w:bidi="ar-SA"/>
        </w:rPr>
        <w:t>（北京时间）之前不准启封”的标签密封。</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13.3 响应人如投多个包，响应文件每包分别按上述规定装订（如果有）。</w:t>
      </w:r>
    </w:p>
    <w:p>
      <w:pPr>
        <w:pStyle w:val="3"/>
        <w:bidi w:val="0"/>
        <w:rPr>
          <w:rFonts w:hint="eastAsia"/>
          <w:lang w:val="en-US" w:eastAsia="zh-CN"/>
        </w:rPr>
      </w:pPr>
      <w:bookmarkStart w:id="32" w:name="_Toc27480"/>
      <w:r>
        <w:rPr>
          <w:rFonts w:hint="eastAsia"/>
          <w:lang w:val="en-US" w:eastAsia="en-US"/>
        </w:rPr>
        <w:t>14.提交响应文件的时间、地点、方式</w:t>
      </w:r>
      <w:bookmarkEnd w:id="32"/>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14.1 响应人应当在竞争性磋商文件要求提交响应文件的截止时间前，将响应文件（正本、副本、电子文档、响应函、响应报价表及磋商保证金证明）密封送达投标地点，提交响应文件时由法定代表人提交的须出示法定代表人证明书原件及身份证原件，由委托代理人提交的须出示授权委托书原件及身份证原件，未出示或在截止时间后送达的，采购人、集中采购机构或者评标委员会应当拒收。采购人或者采购代理机构收到响应文件后，应当如实记载响应文件的送达时间和密封情况，签收保存，并向投标人出具签收回执。任何单位和个人不得在开标前开启响应文件。</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14.2 逾期送达或者未按照竞争性磋商文件第13.1-13.2条要求密封的响应文件，采购人、采购代理机构应当拒收。</w:t>
      </w:r>
    </w:p>
    <w:p>
      <w:pPr>
        <w:pStyle w:val="3"/>
        <w:bidi w:val="0"/>
        <w:rPr>
          <w:rFonts w:hint="eastAsia"/>
          <w:lang w:val="en-US" w:eastAsia="en-US"/>
        </w:rPr>
      </w:pPr>
      <w:bookmarkStart w:id="33" w:name="_Toc16660"/>
      <w:r>
        <w:rPr>
          <w:rFonts w:hint="eastAsia"/>
          <w:lang w:val="en-US" w:eastAsia="en-US"/>
        </w:rPr>
        <w:t>15.响应文件的补充、修改或者撤回</w:t>
      </w:r>
      <w:bookmarkEnd w:id="33"/>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15.1 投标人在投标截止时间前，可以对所递交的响应文件进行补充、修改或者撤回，并书面通知采购人或者采购代理机构。补充、修改的内容应当按照竞争性磋商文件要求签署、盖章、密封后，作为响应文件的组成部分。</w:t>
      </w:r>
    </w:p>
    <w:p>
      <w:pPr>
        <w:spacing w:before="203" w:line="250" w:lineRule="exact"/>
        <w:ind w:left="0" w:leftChars="0" w:firstLine="484" w:firstLineChars="200"/>
        <w:outlineLvl w:val="1"/>
        <w:rPr>
          <w:rFonts w:hint="eastAsia" w:asciiTheme="minorEastAsia" w:hAnsiTheme="minorEastAsia" w:eastAsiaTheme="minorEastAsia" w:cstheme="minorEastAsia"/>
          <w:color w:val="000000"/>
          <w:spacing w:val="1"/>
          <w:sz w:val="24"/>
          <w:szCs w:val="24"/>
          <w:lang w:val="en-US" w:eastAsia="en-US" w:bidi="ar-SA"/>
        </w:rPr>
      </w:pPr>
      <w:bookmarkStart w:id="34" w:name="_Toc2120"/>
      <w:bookmarkStart w:id="35" w:name="_Toc30296"/>
      <w:r>
        <w:rPr>
          <w:rFonts w:hint="eastAsia" w:asciiTheme="minorEastAsia" w:hAnsiTheme="minorEastAsia" w:eastAsiaTheme="minorEastAsia" w:cstheme="minorEastAsia"/>
          <w:color w:val="000000"/>
          <w:spacing w:val="1"/>
          <w:sz w:val="24"/>
          <w:szCs w:val="24"/>
          <w:lang w:val="en-US" w:eastAsia="en-US" w:bidi="ar-SA"/>
        </w:rPr>
        <w:t>五、磋商过程</w:t>
      </w:r>
      <w:bookmarkEnd w:id="34"/>
      <w:bookmarkEnd w:id="35"/>
    </w:p>
    <w:p>
      <w:pPr>
        <w:pStyle w:val="3"/>
        <w:bidi w:val="0"/>
        <w:rPr>
          <w:rFonts w:hint="eastAsia"/>
          <w:lang w:val="en-US" w:eastAsia="en-US"/>
        </w:rPr>
      </w:pPr>
      <w:bookmarkStart w:id="36" w:name="_Toc3542"/>
      <w:r>
        <w:rPr>
          <w:rFonts w:hint="eastAsia"/>
          <w:lang w:val="en-US" w:eastAsia="en-US"/>
        </w:rPr>
        <w:t>16.磋商</w:t>
      </w:r>
      <w:bookmarkEnd w:id="36"/>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16.磋商过程</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16.1采购代理机构按本磋商文件中确定的时间和地点组织本项目的磋商活动。投标供应商应由其法定代表人或委托代理人参加。参加磋商的代表须签名报到以证明其出席开标会议。否则，视为自动弃权。</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16.2竞争性磋商文件中含义不明确、同类问题表述不一致或者有明显文字和计算错误的内容，磋商小组应当以书面形式要求响应人作出必要的澄清、说明或者补正。</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zh-CN" w:bidi="ar-SA"/>
        </w:rPr>
      </w:pPr>
      <w:r>
        <w:rPr>
          <w:rFonts w:hint="eastAsia" w:asciiTheme="minorEastAsia" w:hAnsiTheme="minorEastAsia" w:eastAsiaTheme="minorEastAsia" w:cstheme="minorEastAsia"/>
          <w:color w:val="000000"/>
          <w:spacing w:val="1"/>
          <w:sz w:val="24"/>
          <w:szCs w:val="24"/>
          <w:lang w:val="en-US" w:eastAsia="en-US" w:bidi="ar-SA"/>
        </w:rPr>
        <w:t>响应人的澄清、说明或者补正应当采用书面形式，并加盖公章，或者由法定代表人或其授权的代表签字。投标人的澄清、说明或者补正不得超出响应文件的范围或者改变响应文件的实质性内容</w:t>
      </w:r>
      <w:r>
        <w:rPr>
          <w:rFonts w:hint="eastAsia" w:asciiTheme="minorEastAsia" w:hAnsiTheme="minorEastAsia" w:eastAsiaTheme="minorEastAsia" w:cstheme="minorEastAsia"/>
          <w:color w:val="000000"/>
          <w:spacing w:val="1"/>
          <w:sz w:val="24"/>
          <w:szCs w:val="24"/>
          <w:lang w:val="en-US" w:eastAsia="en-US" w:bidi="ar-SA"/>
        </w:rPr>
        <w:drawing>
          <wp:anchor distT="0" distB="0" distL="114300" distR="114300" simplePos="0" relativeHeight="251829248"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16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5"/>
                    <pic:cNvPicPr>
                      <a:picLocks noChangeAspect="1"/>
                    </pic:cNvPicPr>
                  </pic:nvPicPr>
                  <pic:blipFill>
                    <a:blip r:embed="rId4"/>
                    <a:stretch>
                      <a:fillRect/>
                    </a:stretch>
                  </pic:blipFill>
                  <pic:spPr>
                    <a:xfrm>
                      <a:off x="0" y="0"/>
                      <a:ext cx="38100" cy="38100"/>
                    </a:xfrm>
                    <a:prstGeom prst="rect">
                      <a:avLst/>
                    </a:prstGeom>
                    <a:noFill/>
                    <a:ln>
                      <a:noFill/>
                    </a:ln>
                  </pic:spPr>
                </pic:pic>
              </a:graphicData>
            </a:graphic>
          </wp:anchor>
        </w:drawing>
      </w:r>
      <w:r>
        <w:rPr>
          <w:rFonts w:hint="eastAsia" w:asciiTheme="minorEastAsia" w:hAnsiTheme="minorEastAsia" w:eastAsiaTheme="minorEastAsia" w:cstheme="minorEastAsia"/>
          <w:color w:val="000000"/>
          <w:spacing w:val="1"/>
          <w:sz w:val="24"/>
          <w:szCs w:val="24"/>
          <w:lang w:val="en-US" w:eastAsia="zh-CN" w:bidi="ar-SA"/>
        </w:rPr>
        <w:t>.</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16.3响应文件报价出现前后不一致的，按照下列规定修正：</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（1）响应文件中响应报价表内容与竞争性磋商文件中相应内容不一致的，以响应报价表为准；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（2）大写金额和小写金额不一致的，以大写金额为准；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（3）单价金额小数点或者百分比有明显错位的，以响应报价表的总价为准，并修改单价；</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（4）总价金额与按单价汇总金额不一致的，以单价金额计算结果为准。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（5）对不同文字文本磋商响应文件的解释发生异议的，以中文文本为准。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16.4磋商工作由采购代理机构组织，采购人、采购监管、纪检监察等有关方面代表可根据采购项目的具体情况列席。</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p>
    <w:p>
      <w:pPr>
        <w:spacing w:before="203" w:line="250" w:lineRule="exact"/>
        <w:ind w:left="0" w:leftChars="0" w:firstLine="484" w:firstLineChars="200"/>
        <w:outlineLvl w:val="1"/>
        <w:rPr>
          <w:rFonts w:hint="eastAsia" w:asciiTheme="minorEastAsia" w:hAnsiTheme="minorEastAsia" w:eastAsiaTheme="minorEastAsia" w:cstheme="minorEastAsia"/>
          <w:color w:val="000000"/>
          <w:spacing w:val="1"/>
          <w:sz w:val="24"/>
          <w:szCs w:val="24"/>
          <w:lang w:val="en-US" w:eastAsia="en-US" w:bidi="ar-SA"/>
        </w:rPr>
      </w:pPr>
      <w:bookmarkStart w:id="37" w:name="_Toc20843"/>
      <w:bookmarkStart w:id="38" w:name="_Toc23249"/>
      <w:r>
        <w:rPr>
          <w:rFonts w:hint="eastAsia" w:asciiTheme="minorEastAsia" w:hAnsiTheme="minorEastAsia" w:eastAsiaTheme="minorEastAsia" w:cstheme="minorEastAsia"/>
          <w:color w:val="000000"/>
          <w:spacing w:val="1"/>
          <w:sz w:val="24"/>
          <w:szCs w:val="24"/>
          <w:lang w:val="en-US" w:eastAsia="en-US" w:bidi="ar-SA"/>
        </w:rPr>
        <w:t>六、磋商程序及方法</w:t>
      </w:r>
      <w:bookmarkEnd w:id="37"/>
      <w:bookmarkEnd w:id="38"/>
    </w:p>
    <w:p>
      <w:pPr>
        <w:pStyle w:val="3"/>
        <w:bidi w:val="0"/>
        <w:rPr>
          <w:rFonts w:hint="eastAsia"/>
          <w:lang w:val="en-US" w:eastAsia="en-US"/>
        </w:rPr>
      </w:pPr>
      <w:bookmarkStart w:id="39" w:name="_Toc6321"/>
      <w:r>
        <w:rPr>
          <w:rFonts w:hint="eastAsia"/>
          <w:lang w:val="en-US" w:eastAsia="en-US"/>
        </w:rPr>
        <w:t>17.磋商小组</w:t>
      </w:r>
      <w:bookmarkEnd w:id="39"/>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17.2磋商由采购代理机构负责组织，具体磋商事务由依法组建的磋商小组负责，并独立履行下列职责：</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（1）审查磋商响应文件是否符合磋商文件要求，并作出评价；</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（2）要求投标人对磋商响应文件有关事项作出解释或澄清；</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（3）推荐预成交候选供应商；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（4）对非法干预评标工作的人员和机构进行举报或投诉。</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17.3磋商小组应遵守并履行下列义务：</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（1）遵纪守法，客观、公正、廉洁地履行职责；</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（2）按照磋商文件规定的评审方法和评审标准进行评审，对评审意见承担磋商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小组成员责任；</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（3）对磋商响应文件、磋商情况和磋商中获悉的商业秘密保密；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（4）参与磋商报告的起草；</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（5）解答投标人及有关方面的质疑；</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（6）配合纪检部门进行投诉处理工作。</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17.4磋商小组所有成员应当集中与单一供应商分别进行磋商，并给予所有参加磋商的供应商平等的磋商机会。</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17.5磋商工作在有关部门的监督和严格保密的情况下依法开展，任何单位和个人不得非法干预、影响磋商工作和磋商结果。</w:t>
      </w:r>
    </w:p>
    <w:p>
      <w:pPr>
        <w:pStyle w:val="3"/>
        <w:bidi w:val="0"/>
        <w:rPr>
          <w:rFonts w:hint="eastAsia"/>
          <w:lang w:val="en-US" w:eastAsia="en-US"/>
        </w:rPr>
      </w:pPr>
      <w:bookmarkStart w:id="40" w:name="_Toc15424"/>
      <w:r>
        <w:rPr>
          <w:rFonts w:hint="eastAsia"/>
          <w:lang w:val="en-US" w:eastAsia="en-US"/>
        </w:rPr>
        <w:t>18.磋商程序</w:t>
      </w:r>
      <w:bookmarkEnd w:id="40"/>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18.1进入磋商阶段后，磋商小组成员按照客观、公正、审慎的原则，根据磋商文件规定的评审程序、评审方法和评审标准进行独立开展评审工作，负责审议所有磋商响应文件，并按先初审、后复审的程序对磋商响应文件进行评审、评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18.2初审阶段为资格性审查和符合性审查。</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18.2.1资格性审查</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磋商小组依法对响应人的资格性审查，资格审查时，响应人存在下列情况之一的，按无效投标处理：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 不具备第一部分“磋商邀请”中磋商供应商资格要求的；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(2) 未按竞争性磋商文件要求缴纳或未足额缴纳磋商保证金或未从基本户转出的；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(3) 未按第11.1要求提供相关资料的；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(4) 资格性审查文件未按竞争性磋商文件规定和要求签字、盖章的；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(5) 报价超过竞争性磋商文件中规定的预算金额或者最高限价的；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(6) 磋商有效期不能满足竞争性磋商文件要求的；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(7) 未按照竞争性磋商文件要求提供电子文档的。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18.2.2符合性审查</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磋商小组依法对通过资格性审查的响应人进行符合性审查，存在下列情况之一的，按无效投标处理: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（1）未按竞争性磋商文件要求签署、盖章的；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（2）未按第11.2（12）-（16）款要求提供相关资料的；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（3）响应文件含有采购人不能接受的附加条件的；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（4）产品交货时间及质保期不能满足竞争性磋商文件要求的；</w:t>
      </w:r>
      <w:r>
        <w:rPr>
          <w:rFonts w:hint="eastAsia" w:asciiTheme="minorEastAsia" w:hAnsiTheme="minorEastAsia" w:eastAsiaTheme="minorEastAsia" w:cstheme="minorEastAsia"/>
          <w:color w:val="000000"/>
          <w:spacing w:val="1"/>
          <w:sz w:val="24"/>
          <w:szCs w:val="24"/>
          <w:lang w:val="en-US" w:eastAsia="en-US" w:bidi="ar-SA"/>
        </w:rPr>
        <w:drawing>
          <wp:anchor distT="0" distB="0" distL="114300" distR="114300" simplePos="0" relativeHeight="251831296"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17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73"/>
                    <pic:cNvPicPr>
                      <a:picLocks noChangeAspect="1"/>
                    </pic:cNvPicPr>
                  </pic:nvPicPr>
                  <pic:blipFill>
                    <a:blip r:embed="rId4"/>
                    <a:stretch>
                      <a:fillRect/>
                    </a:stretch>
                  </pic:blipFill>
                  <pic:spPr>
                    <a:xfrm>
                      <a:off x="0" y="0"/>
                      <a:ext cx="38100" cy="38100"/>
                    </a:xfrm>
                    <a:prstGeom prst="rect">
                      <a:avLst/>
                    </a:prstGeom>
                    <a:noFill/>
                    <a:ln>
                      <a:noFill/>
                    </a:ln>
                  </pic:spPr>
                </pic:pic>
              </a:graphicData>
            </a:graphic>
          </wp:anchor>
        </w:drawing>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（5）磋商产品的技术规格、技术标准明显不符合采购项目要求的；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（6）磋商产品未完全满足竞争性磋商文件确定的重要技术指标、参数的；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（7）存在串通投标行为；</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（8）磋商报价出现前后不一致，又不按16.2及18.3.2进行确认的；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（9）磋商小组认为应按无效投标处理的其他情况；</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（10）法律、法规和竞争性磋商文件规定的其他无效情形。</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18.3磋商响应文件在响应磋商文件要求方面出现的偏离，分为实质性偏离和非实质性偏离。</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18.3.1实质性偏离是指磋商响应文件未能实质性响应磋商文件的要求。以下情况属于实质性偏离，磋商响应文件有下列情况之一的，按无效响应处理。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（1）不符合第2.2款“合格的投标人”之规定的；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（2）未按磋商文件要求缴纳或未足额缴纳磋商保证金的；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（3）未按第11款（1）-（16）要求提供相关资料的；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（4）磋商响应文件内容没有按磋商文件规定和要求签字、盖章的；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（5）磋商响应文件编排混乱，且擅自修改磋商文件规定的格式内容的；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（6）项目有效期、磋商有效期、法定代表人授权期限不能满足磋商文件要求的；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（7）磋商项目的货物内容、货物标准明显不符合采购项目要求的；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（8）磋商响应文件中附有采购人不能接受的条件的；</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（9）磋商小组认为应按无效响应处理的其他情况；</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（10）法律、法规规定的其他情形。</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18.3.2非实质性偏离是对磋商响应文件的有效性、完整性和响应程度进行审查时，可以要求供应商对磋商响应文件中含义不明确、同类问题表述不一致或者明显文字和计算错误的内容作出必要的澄清、说明或者补正后这些内容不会改变磋商响应文件的实质性。以下情况属于非实质性偏离：</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 磋商响应文件文字表述的内容含义不明确；</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（2） 同类问题表述不一致；</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（3） 有明显文字和计算错误；</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（4） 提供的技术信息和数据资料不完整；</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（5） 磋商小组认定的其他非实质性偏离情况。</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磋商响应文件有上述情形之一的，磋商小组应当要求投标人在规定的时间内予</w:t>
      </w:r>
      <w:r>
        <w:rPr>
          <w:rFonts w:hint="eastAsia" w:asciiTheme="minorEastAsia" w:hAnsiTheme="minorEastAsia" w:eastAsiaTheme="minorEastAsia" w:cstheme="minorEastAsia"/>
          <w:color w:val="000000"/>
          <w:spacing w:val="1"/>
          <w:sz w:val="24"/>
          <w:szCs w:val="24"/>
          <w:lang w:val="en-US" w:eastAsia="en-US" w:bidi="ar-SA"/>
        </w:rPr>
        <w:drawing>
          <wp:anchor distT="0" distB="0" distL="114300" distR="114300" simplePos="0" relativeHeight="251832320" behindDoc="1" locked="0" layoutInCell="1" allowOverlap="1">
            <wp:simplePos x="0" y="0"/>
            <wp:positionH relativeFrom="page">
              <wp:posOffset>-12700</wp:posOffset>
            </wp:positionH>
            <wp:positionV relativeFrom="page">
              <wp:posOffset>-12700</wp:posOffset>
            </wp:positionV>
            <wp:extent cx="38100" cy="38100"/>
            <wp:effectExtent l="0" t="0" r="7620" b="7620"/>
            <wp:wrapNone/>
            <wp:docPr id="17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7"/>
                    <pic:cNvPicPr>
                      <a:picLocks noChangeAspect="1"/>
                    </pic:cNvPicPr>
                  </pic:nvPicPr>
                  <pic:blipFill>
                    <a:blip r:embed="rId4"/>
                    <a:stretch>
                      <a:fillRect/>
                    </a:stretch>
                  </pic:blipFill>
                  <pic:spPr>
                    <a:xfrm>
                      <a:off x="0" y="0"/>
                      <a:ext cx="38100" cy="38100"/>
                    </a:xfrm>
                    <a:prstGeom prst="rect">
                      <a:avLst/>
                    </a:prstGeom>
                    <a:noFill/>
                    <a:ln>
                      <a:noFill/>
                    </a:ln>
                  </pic:spPr>
                </pic:pic>
              </a:graphicData>
            </a:graphic>
          </wp:anchor>
        </w:drawing>
      </w:r>
      <w:r>
        <w:rPr>
          <w:rFonts w:hint="eastAsia" w:asciiTheme="minorEastAsia" w:hAnsiTheme="minorEastAsia" w:eastAsiaTheme="minorEastAsia" w:cstheme="minorEastAsia"/>
          <w:color w:val="000000"/>
          <w:spacing w:val="1"/>
          <w:sz w:val="24"/>
          <w:szCs w:val="24"/>
          <w:lang w:val="en-US" w:eastAsia="en-US" w:bidi="ar-SA"/>
        </w:rPr>
        <w:t>以澄清、说明。澄清说明材料由投标人法定代表人或委托代理人在规定的时间到达指定地点等候答疑，并对评委提出的质疑做出应答（如不在场则视为自动放弃）。该内容不得超出磋商响应文件的范围或者改变磋商响应文件的实质性内容，并作为磋商响应文件的组成部分。答疑期间，投标人拒绝或在规定的时间内未做出澄清、说明，或澄清、说明的内容仍不能说明问题的，磋商小组将按照磋商文件的要求对现有的磋商资料做出评审意见。磋商小组对投标人主动提出的澄清、说明的内容将不予接受。</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18.3.3 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18.4 在磋商过程中，磋商小组可以根据磋商文件和磋商情况实质性变动采购需求中的技术、货物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18.5比较与评价：磋商小组将按磋商文件中规定的评审办法和标准，对初审阶段合格的磋商响应文件进行商务和货物评估方面的综合比较与评价。即在最大限度地满足磋商文件实质性要求的前提下，按照磋商文件中规定的各项因素进行综合评审，以评审总得分由高到低排序推荐预成交候选人。若得分相同时，按最后报价由低到高顺序排列；得分相同且最后报价相同的，按管理能力与技术方案得分由高到低顺序排列。</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18.5.1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根据财政部、民政部、中国残疾人联合会出台的《关于促进残疾人就业政府采购政策的通知》（财库[2017]141号），属残疾人福利性单位的，投标人须提供《残疾人福利性单位声明函》（详见附件18），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18.6磋商小组认为投标人的报价明显低于其他通过符合性审查响应人的报价，有可能影响产品质量或者不能诚信履约的，应当要求其在评标现场合理的时间内提供书面说明，必要时提交相关证明材料；投标人不能证明其报价合理性的，磋商小组应当将其作为无效投标处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18.7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竞争性磋商文件未规定的采取随机抽取方式确定，其他投标无效。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非单一产品采购项目，采购人应当根据采购项目技术构成、产品价格比重等合理确定核心产品，并在招标文件中载明。多家投标人提供的核心产品品牌相同的，按前两款规定处理。</w:t>
      </w:r>
    </w:p>
    <w:p>
      <w:pPr>
        <w:pStyle w:val="3"/>
        <w:bidi w:val="0"/>
        <w:rPr>
          <w:rFonts w:hint="eastAsia"/>
          <w:lang w:val="en-US" w:eastAsia="en-US"/>
        </w:rPr>
      </w:pPr>
      <w:bookmarkStart w:id="41" w:name="_Toc5919"/>
      <w:r>
        <w:rPr>
          <w:rFonts w:hint="eastAsia"/>
          <w:lang w:val="en-US" w:eastAsia="zh-CN"/>
        </w:rPr>
        <w:t>19.</w:t>
      </w:r>
      <w:r>
        <w:rPr>
          <w:rFonts w:hint="eastAsia"/>
          <w:lang w:val="en-US" w:eastAsia="en-US"/>
        </w:rPr>
        <w:t>评审办法</w:t>
      </w:r>
      <w:bookmarkEnd w:id="41"/>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en-US" w:bidi="ar-SA"/>
        </w:rPr>
        <w:t>19.1依照《中华人民共和国政府采购法》、《中华人民共和国政府采购法实施条例》、财政部《政府采购货物和货物招投标管理办法》、《关于加强政府采购货物和货物项目价格评审管理的通知》、《政府采购竞争性磋商采购方式管理暂行办法》的规定，结合该项目的特点制定本评审办法。本次评审采用综合评分法，评审内容分为磋商报价（最后报价）、技术质量方面、类似业绩及项目实施方案及售后服务等部分组成（满分100分）。</w:t>
      </w:r>
    </w:p>
    <w:p>
      <w:pPr>
        <w:spacing w:before="203" w:line="250" w:lineRule="exact"/>
        <w:ind w:left="0" w:leftChars="0" w:firstLine="484" w:firstLineChars="200"/>
        <w:rPr>
          <w:rFonts w:hint="eastAsia" w:asciiTheme="minorEastAsia" w:hAnsiTheme="minorEastAsia" w:eastAsiaTheme="minorEastAsia" w:cstheme="minorEastAsia"/>
          <w:color w:val="000000"/>
          <w:spacing w:val="1"/>
          <w:sz w:val="24"/>
          <w:szCs w:val="24"/>
          <w:lang w:val="en-US" w:eastAsia="en-US" w:bidi="ar-SA"/>
        </w:rPr>
      </w:pPr>
      <w:r>
        <w:rPr>
          <w:rFonts w:hint="eastAsia" w:asciiTheme="minorEastAsia" w:hAnsiTheme="minorEastAsia" w:eastAsiaTheme="minorEastAsia" w:cstheme="minorEastAsia"/>
          <w:color w:val="000000"/>
          <w:spacing w:val="1"/>
          <w:sz w:val="24"/>
          <w:szCs w:val="24"/>
          <w:lang w:val="en-US" w:eastAsia="zh-CN" w:bidi="ar-SA"/>
        </w:rPr>
        <w:t>19.2评本次评审方法采用综合评分法。</w:t>
      </w:r>
    </w:p>
    <w:tbl>
      <w:tblPr>
        <w:tblStyle w:val="17"/>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396"/>
        <w:gridCol w:w="872"/>
        <w:gridCol w:w="5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79" w:type="dxa"/>
            <w:shd w:val="clear" w:color="000000" w:fill="FFFFFF"/>
            <w:vAlign w:val="center"/>
          </w:tcPr>
          <w:p>
            <w:pPr>
              <w:spacing w:line="4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类别</w:t>
            </w:r>
          </w:p>
        </w:tc>
        <w:tc>
          <w:tcPr>
            <w:tcW w:w="1396" w:type="dxa"/>
            <w:shd w:val="clear" w:color="000000" w:fill="FFFFFF"/>
            <w:vAlign w:val="center"/>
          </w:tcPr>
          <w:p>
            <w:pPr>
              <w:spacing w:line="4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项目</w:t>
            </w:r>
          </w:p>
        </w:tc>
        <w:tc>
          <w:tcPr>
            <w:tcW w:w="872" w:type="dxa"/>
            <w:shd w:val="clear" w:color="000000" w:fill="FFFFFF"/>
            <w:vAlign w:val="center"/>
          </w:tcPr>
          <w:p>
            <w:pPr>
              <w:spacing w:line="4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分值</w:t>
            </w:r>
          </w:p>
        </w:tc>
        <w:tc>
          <w:tcPr>
            <w:tcW w:w="5982" w:type="dxa"/>
            <w:shd w:val="clear" w:color="000000" w:fill="FFFFFF"/>
            <w:vAlign w:val="center"/>
          </w:tcPr>
          <w:p>
            <w:pPr>
              <w:spacing w:line="4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5" w:hRule="exact"/>
          <w:jc w:val="center"/>
        </w:trPr>
        <w:tc>
          <w:tcPr>
            <w:tcW w:w="879" w:type="dxa"/>
            <w:shd w:val="clear" w:color="000000" w:fill="FFFFFF"/>
            <w:vAlign w:val="center"/>
          </w:tcPr>
          <w:p>
            <w:pPr>
              <w:spacing w:line="4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投标报价（</w:t>
            </w:r>
            <w:r>
              <w:rPr>
                <w:rFonts w:hint="eastAsia" w:asciiTheme="minorEastAsia" w:hAnsiTheme="minorEastAsia" w:eastAsiaTheme="minorEastAsia" w:cstheme="minorEastAsia"/>
                <w:lang w:val="en-US" w:eastAsia="zh-CN"/>
              </w:rPr>
              <w:t>30</w:t>
            </w:r>
            <w:r>
              <w:rPr>
                <w:rFonts w:hint="eastAsia" w:asciiTheme="minorEastAsia" w:hAnsiTheme="minorEastAsia" w:eastAsiaTheme="minorEastAsia" w:cstheme="minorEastAsia"/>
              </w:rPr>
              <w:t>分）</w:t>
            </w:r>
          </w:p>
        </w:tc>
        <w:tc>
          <w:tcPr>
            <w:tcW w:w="1396" w:type="dxa"/>
            <w:shd w:val="clear" w:color="000000" w:fill="FFFFFF"/>
            <w:vAlign w:val="center"/>
          </w:tcPr>
          <w:p>
            <w:pPr>
              <w:spacing w:line="4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报价分</w:t>
            </w:r>
          </w:p>
        </w:tc>
        <w:tc>
          <w:tcPr>
            <w:tcW w:w="872" w:type="dxa"/>
            <w:shd w:val="clear" w:color="000000" w:fill="FFFFFF"/>
            <w:vAlign w:val="center"/>
          </w:tcPr>
          <w:p>
            <w:pPr>
              <w:spacing w:line="4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0</w:t>
            </w:r>
          </w:p>
        </w:tc>
        <w:tc>
          <w:tcPr>
            <w:tcW w:w="5982" w:type="dxa"/>
            <w:shd w:val="clear" w:color="000000" w:fill="FFFFFF"/>
            <w:vAlign w:val="center"/>
          </w:tcPr>
          <w:p>
            <w:pPr>
              <w:spacing w:line="40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在所有的有效投标报价中，以最低投标报价为基准价，其价格为满分，其他投标人的报价分统一按下列公式计算：投标报价得分=（评标基准价/投标报价）×价格权值（</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0%）×100（四舍五入后保留小数点两位）。</w:t>
            </w:r>
          </w:p>
          <w:p>
            <w:pPr>
              <w:spacing w:line="40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注：根据《政府采购促进中小企业发展暂行办法》、《关于促进残疾人就业政府采购政策的通知》的相关规定，对残疾人福利性单位、小型和微型企业制造（生产）产品的价格给予6%的扣除，用扣除后的价格参与评标。</w:t>
            </w:r>
          </w:p>
          <w:p>
            <w:pPr>
              <w:spacing w:line="40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45" w:hRule="exact"/>
          <w:jc w:val="center"/>
        </w:trPr>
        <w:tc>
          <w:tcPr>
            <w:tcW w:w="879" w:type="dxa"/>
            <w:vMerge w:val="restart"/>
            <w:shd w:val="clear" w:color="000000" w:fill="FFFFFF"/>
            <w:vAlign w:val="center"/>
          </w:tcPr>
          <w:p>
            <w:pPr>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技术水平</w:t>
            </w:r>
          </w:p>
          <w:p>
            <w:pPr>
              <w:pStyle w:val="9"/>
              <w:rPr>
                <w:rFonts w:hint="default" w:asciiTheme="minorEastAsia" w:hAnsiTheme="minorEastAsia" w:eastAsiaTheme="minorEastAsia" w:cstheme="minorEastAsia"/>
                <w:lang w:val="en-US" w:eastAsia="zh-CN"/>
              </w:rPr>
            </w:pPr>
            <w:r>
              <w:rPr>
                <w:rFonts w:hint="eastAsia" w:hAnsiTheme="minorEastAsia" w:cstheme="minorEastAsia"/>
                <w:lang w:val="en-US" w:eastAsia="zh-CN"/>
              </w:rPr>
              <w:t>(52分）</w:t>
            </w:r>
          </w:p>
        </w:tc>
        <w:tc>
          <w:tcPr>
            <w:tcW w:w="1396"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技术参数</w:t>
            </w:r>
          </w:p>
        </w:tc>
        <w:tc>
          <w:tcPr>
            <w:tcW w:w="872" w:type="dxa"/>
            <w:shd w:val="clear" w:color="000000" w:fill="FFFFFF"/>
            <w:vAlign w:val="center"/>
          </w:tcPr>
          <w:p>
            <w:pPr>
              <w:autoSpaceDE w:val="0"/>
              <w:autoSpaceDN w:val="0"/>
              <w:adjustRightInd w:val="0"/>
              <w:spacing w:line="400" w:lineRule="exact"/>
              <w:jc w:val="center"/>
              <w:rPr>
                <w:rFonts w:hint="default" w:asciiTheme="minorEastAsia" w:hAnsiTheme="minorEastAsia" w:eastAsiaTheme="minorEastAsia" w:cstheme="minorEastAsia"/>
                <w:lang w:val="en-US" w:eastAsia="zh-CN"/>
              </w:rPr>
            </w:pPr>
            <w:r>
              <w:rPr>
                <w:rFonts w:hint="eastAsia" w:asciiTheme="minorEastAsia" w:hAnsiTheme="minorEastAsia" w:cstheme="minorEastAsia"/>
                <w:color w:val="000000" w:themeColor="text1"/>
                <w:lang w:val="en-US" w:eastAsia="zh-CN"/>
                <w14:textFill>
                  <w14:solidFill>
                    <w14:schemeClr w14:val="tx1"/>
                  </w14:solidFill>
                </w14:textFill>
              </w:rPr>
              <w:t>19</w:t>
            </w:r>
          </w:p>
        </w:tc>
        <w:tc>
          <w:tcPr>
            <w:tcW w:w="5982" w:type="dxa"/>
            <w:shd w:val="clear" w:color="000000" w:fill="FFFFFF"/>
            <w:vAlign w:val="center"/>
          </w:tcPr>
          <w:p>
            <w:pPr>
              <w:spacing w:before="394" w:line="263" w:lineRule="exact"/>
              <w:rPr>
                <w:rFonts w:hint="eastAsia" w:asciiTheme="minorEastAsia" w:hAnsiTheme="minorEastAsia" w:eastAsiaTheme="minorEastAsia" w:cstheme="minorEastAsia"/>
                <w:color w:val="000000"/>
                <w:szCs w:val="22"/>
                <w:lang w:val="en-US" w:eastAsia="en-US" w:bidi="ar-SA"/>
              </w:rPr>
            </w:pPr>
            <w:r>
              <w:rPr>
                <w:rFonts w:hint="eastAsia" w:asciiTheme="minorEastAsia" w:hAnsiTheme="minorEastAsia" w:eastAsiaTheme="minorEastAsia" w:cstheme="minorEastAsia"/>
                <w:color w:val="000000"/>
                <w:spacing w:val="-1"/>
                <w:szCs w:val="22"/>
                <w:lang w:val="en-US" w:eastAsia="en-US" w:bidi="ar-SA"/>
              </w:rPr>
              <w:t>投标产品技术参数和要求完全满足竞争性</w:t>
            </w:r>
            <w:r>
              <w:rPr>
                <w:rFonts w:hint="eastAsia" w:asciiTheme="minorEastAsia" w:hAnsiTheme="minorEastAsia" w:eastAsiaTheme="minorEastAsia" w:cstheme="minorEastAsia"/>
                <w:color w:val="000000"/>
                <w:spacing w:val="-3"/>
                <w:szCs w:val="22"/>
                <w:lang w:val="en-US" w:eastAsia="en-US" w:bidi="ar-SA"/>
              </w:rPr>
              <w:t>磋商文件要求的，得</w:t>
            </w:r>
            <w:r>
              <w:rPr>
                <w:rFonts w:hint="eastAsia" w:asciiTheme="minorEastAsia" w:hAnsiTheme="minorEastAsia" w:eastAsiaTheme="minorEastAsia" w:cstheme="minorEastAsia"/>
                <w:color w:val="000000"/>
                <w:spacing w:val="3"/>
                <w:szCs w:val="22"/>
                <w:lang w:val="en-US" w:eastAsia="en-US" w:bidi="ar-SA"/>
              </w:rPr>
              <w:t xml:space="preserve"> </w:t>
            </w:r>
            <w:r>
              <w:rPr>
                <w:rFonts w:hint="eastAsia" w:asciiTheme="minorEastAsia" w:hAnsiTheme="minorEastAsia" w:cstheme="minorEastAsia"/>
                <w:color w:val="000000" w:themeColor="text1"/>
                <w:spacing w:val="1"/>
                <w:szCs w:val="22"/>
                <w:lang w:val="en-US" w:eastAsia="zh-CN" w:bidi="ar-SA"/>
                <w14:textFill>
                  <w14:solidFill>
                    <w14:schemeClr w14:val="tx1"/>
                  </w14:solidFill>
                </w14:textFill>
              </w:rPr>
              <w:t>19</w:t>
            </w:r>
            <w:r>
              <w:rPr>
                <w:rFonts w:hint="eastAsia" w:asciiTheme="minorEastAsia" w:hAnsiTheme="minorEastAsia" w:eastAsiaTheme="minorEastAsia" w:cstheme="minorEastAsia"/>
                <w:color w:val="000000" w:themeColor="text1"/>
                <w:spacing w:val="-3"/>
                <w:szCs w:val="22"/>
                <w:lang w:val="en-US" w:eastAsia="en-US" w:bidi="ar-SA"/>
                <w14:textFill>
                  <w14:solidFill>
                    <w14:schemeClr w14:val="tx1"/>
                  </w14:solidFill>
                </w14:textFill>
              </w:rPr>
              <w:t>分</w:t>
            </w:r>
            <w:r>
              <w:rPr>
                <w:rFonts w:hint="eastAsia" w:asciiTheme="minorEastAsia" w:hAnsiTheme="minorEastAsia" w:eastAsiaTheme="minorEastAsia" w:cstheme="minorEastAsia"/>
                <w:color w:val="000000"/>
                <w:spacing w:val="-3"/>
                <w:szCs w:val="22"/>
                <w:lang w:val="en-US" w:eastAsia="en-US" w:bidi="ar-SA"/>
              </w:rPr>
              <w:t>；每有一项负偏离扣</w:t>
            </w:r>
            <w:r>
              <w:rPr>
                <w:rFonts w:hint="eastAsia" w:asciiTheme="minorEastAsia" w:hAnsiTheme="minorEastAsia" w:eastAsiaTheme="minorEastAsia" w:cstheme="minorEastAsia"/>
                <w:color w:val="000000"/>
                <w:spacing w:val="3"/>
                <w:szCs w:val="22"/>
                <w:lang w:val="en-US" w:eastAsia="en-US" w:bidi="ar-SA"/>
              </w:rPr>
              <w:t xml:space="preserve"> </w:t>
            </w:r>
            <w:r>
              <w:rPr>
                <w:rFonts w:hint="eastAsia" w:asciiTheme="minorEastAsia" w:hAnsiTheme="minorEastAsia" w:eastAsiaTheme="minorEastAsia" w:cstheme="minorEastAsia"/>
                <w:color w:val="000000"/>
                <w:szCs w:val="22"/>
                <w:lang w:val="en-US" w:eastAsia="en-US" w:bidi="ar-SA"/>
              </w:rPr>
              <w:t>3</w:t>
            </w:r>
            <w:r>
              <w:rPr>
                <w:rFonts w:hint="eastAsia" w:asciiTheme="minorEastAsia" w:hAnsiTheme="minorEastAsia" w:eastAsiaTheme="minorEastAsia" w:cstheme="minorEastAsia"/>
                <w:color w:val="000000"/>
                <w:spacing w:val="1"/>
                <w:szCs w:val="22"/>
                <w:lang w:val="en-US" w:eastAsia="en-US" w:bidi="ar-SA"/>
              </w:rPr>
              <w:t xml:space="preserve"> </w:t>
            </w:r>
            <w:r>
              <w:rPr>
                <w:rFonts w:hint="eastAsia" w:asciiTheme="minorEastAsia" w:hAnsiTheme="minorEastAsia" w:eastAsiaTheme="minorEastAsia" w:cstheme="minorEastAsia"/>
                <w:color w:val="000000"/>
                <w:spacing w:val="-3"/>
                <w:szCs w:val="22"/>
                <w:lang w:val="en-US" w:eastAsia="en-US" w:bidi="ar-SA"/>
              </w:rPr>
              <w:t>分，直到扣完为止。</w:t>
            </w:r>
            <w:r>
              <w:rPr>
                <w:rFonts w:hint="eastAsia" w:asciiTheme="minorEastAsia" w:hAnsiTheme="minorEastAsia" w:eastAsiaTheme="minorEastAsia" w:cstheme="minorEastAsia"/>
                <w:color w:val="000000"/>
                <w:spacing w:val="7"/>
                <w:szCs w:val="22"/>
                <w:lang w:val="en-US" w:eastAsia="en-US" w:bidi="ar-SA"/>
              </w:rPr>
              <w:t>此项评分以生产厂商出具的证明文件或产品彩页或检测报告或技术</w:t>
            </w:r>
            <w:r>
              <w:rPr>
                <w:rFonts w:hint="eastAsia" w:asciiTheme="minorEastAsia" w:hAnsiTheme="minorEastAsia" w:eastAsiaTheme="minorEastAsia" w:cstheme="minorEastAsia"/>
                <w:color w:val="000000"/>
                <w:szCs w:val="22"/>
                <w:lang w:val="en-US" w:eastAsia="en-US" w:bidi="ar-SA"/>
              </w:rPr>
              <w:t>白皮书等为依据。</w:t>
            </w:r>
          </w:p>
          <w:p>
            <w:pPr>
              <w:autoSpaceDE w:val="0"/>
              <w:autoSpaceDN w:val="0"/>
              <w:adjustRightInd w:val="0"/>
              <w:spacing w:line="400" w:lineRule="exact"/>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dxa"/>
            <w:vMerge w:val="continue"/>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rPr>
            </w:pPr>
          </w:p>
        </w:tc>
        <w:tc>
          <w:tcPr>
            <w:tcW w:w="1396"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节能环保证书</w:t>
            </w:r>
          </w:p>
        </w:tc>
        <w:tc>
          <w:tcPr>
            <w:tcW w:w="872"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cstheme="minorEastAsia"/>
                <w:color w:val="000000" w:themeColor="text1"/>
                <w:lang w:val="en-US" w:eastAsia="zh-CN"/>
                <w14:textFill>
                  <w14:solidFill>
                    <w14:schemeClr w14:val="tx1"/>
                  </w14:solidFill>
                </w14:textFill>
              </w:rPr>
              <w:t>3</w:t>
            </w:r>
          </w:p>
        </w:tc>
        <w:tc>
          <w:tcPr>
            <w:tcW w:w="5982" w:type="dxa"/>
            <w:shd w:val="clear" w:color="000000" w:fill="FFFFFF"/>
            <w:vAlign w:val="center"/>
          </w:tcPr>
          <w:p>
            <w:pPr>
              <w:spacing w:before="394" w:line="263" w:lineRule="exact"/>
              <w:rPr>
                <w:rFonts w:hint="eastAsia" w:asciiTheme="minorEastAsia" w:hAnsiTheme="minorEastAsia" w:eastAsiaTheme="minorEastAsia" w:cstheme="minorEastAsia"/>
                <w:color w:val="000000"/>
                <w:spacing w:val="-3"/>
                <w:szCs w:val="22"/>
                <w:lang w:val="en-US" w:eastAsia="en-US" w:bidi="ar-SA"/>
              </w:rPr>
            </w:pPr>
            <w:r>
              <w:rPr>
                <w:rFonts w:hint="eastAsia" w:asciiTheme="minorEastAsia" w:hAnsiTheme="minorEastAsia" w:eastAsiaTheme="minorEastAsia" w:cstheme="minorEastAsia"/>
                <w:color w:val="000000"/>
                <w:spacing w:val="-3"/>
                <w:szCs w:val="22"/>
                <w:lang w:val="en-US" w:eastAsia="zh-CN" w:bidi="ar-SA"/>
              </w:rPr>
              <w:t>节能环保证书</w:t>
            </w:r>
            <w:r>
              <w:rPr>
                <w:rFonts w:hint="eastAsia" w:asciiTheme="minorEastAsia" w:hAnsiTheme="minorEastAsia" w:eastAsiaTheme="minorEastAsia" w:cstheme="minorEastAsia"/>
                <w:color w:val="000000" w:themeColor="text1"/>
                <w:spacing w:val="-3"/>
                <w:szCs w:val="22"/>
                <w:lang w:val="en-US" w:eastAsia="zh-CN" w:bidi="ar-SA"/>
                <w14:textFill>
                  <w14:solidFill>
                    <w14:schemeClr w14:val="tx1"/>
                  </w14:solidFill>
                </w14:textFill>
              </w:rPr>
              <w:t>（</w:t>
            </w:r>
            <w:r>
              <w:rPr>
                <w:rFonts w:hint="eastAsia" w:asciiTheme="minorEastAsia" w:hAnsiTheme="minorEastAsia" w:cstheme="minorEastAsia"/>
                <w:color w:val="000000" w:themeColor="text1"/>
                <w:spacing w:val="-3"/>
                <w:szCs w:val="22"/>
                <w:lang w:val="en-US" w:eastAsia="zh-CN" w:bidi="ar-SA"/>
                <w14:textFill>
                  <w14:solidFill>
                    <w14:schemeClr w14:val="tx1"/>
                  </w14:solidFill>
                </w14:textFill>
              </w:rPr>
              <w:t>3</w:t>
            </w:r>
            <w:r>
              <w:rPr>
                <w:rFonts w:hint="eastAsia" w:asciiTheme="minorEastAsia" w:hAnsiTheme="minorEastAsia" w:eastAsiaTheme="minorEastAsia" w:cstheme="minorEastAsia"/>
                <w:color w:val="000000" w:themeColor="text1"/>
                <w:spacing w:val="-3"/>
                <w:szCs w:val="22"/>
                <w:lang w:val="en-US" w:eastAsia="zh-CN" w:bidi="ar-SA"/>
                <w14:textFill>
                  <w14:solidFill>
                    <w14:schemeClr w14:val="tx1"/>
                  </w14:solidFill>
                </w14:textFill>
              </w:rPr>
              <w:t>分）</w:t>
            </w:r>
            <w:r>
              <w:rPr>
                <w:rFonts w:hint="eastAsia" w:asciiTheme="minorEastAsia" w:hAnsiTheme="minorEastAsia" w:eastAsiaTheme="minorEastAsia" w:cstheme="minorEastAsia"/>
                <w:color w:val="000000"/>
                <w:spacing w:val="-3"/>
                <w:szCs w:val="22"/>
                <w:lang w:val="en-US" w:eastAsia="zh-CN" w:bidi="ar-SA"/>
              </w:rPr>
              <w:t>：投标产品具有环保认证证书的得</w:t>
            </w:r>
            <w:r>
              <w:rPr>
                <w:rFonts w:hint="eastAsia" w:asciiTheme="minorEastAsia" w:hAnsiTheme="minorEastAsia" w:cstheme="minorEastAsia"/>
                <w:color w:val="000000" w:themeColor="text1"/>
                <w:spacing w:val="-3"/>
                <w:szCs w:val="22"/>
                <w:highlight w:val="none"/>
                <w:lang w:val="en-US" w:eastAsia="zh-CN" w:bidi="ar-SA"/>
                <w14:textFill>
                  <w14:solidFill>
                    <w14:schemeClr w14:val="tx1"/>
                  </w14:solidFill>
                </w14:textFill>
              </w:rPr>
              <w:t>1.5</w:t>
            </w:r>
            <w:r>
              <w:rPr>
                <w:rFonts w:hint="eastAsia" w:asciiTheme="minorEastAsia" w:hAnsiTheme="minorEastAsia" w:eastAsiaTheme="minorEastAsia" w:cstheme="minorEastAsia"/>
                <w:color w:val="000000" w:themeColor="text1"/>
                <w:spacing w:val="-3"/>
                <w:szCs w:val="22"/>
                <w:highlight w:val="none"/>
                <w:lang w:val="en-US" w:eastAsia="zh-CN" w:bidi="ar-SA"/>
                <w14:textFill>
                  <w14:solidFill>
                    <w14:schemeClr w14:val="tx1"/>
                  </w14:solidFill>
                </w14:textFill>
              </w:rPr>
              <w:t xml:space="preserve"> 分</w:t>
            </w:r>
            <w:r>
              <w:rPr>
                <w:rFonts w:hint="eastAsia" w:asciiTheme="minorEastAsia" w:hAnsiTheme="minorEastAsia" w:eastAsiaTheme="minorEastAsia" w:cstheme="minorEastAsia"/>
                <w:color w:val="000000"/>
                <w:spacing w:val="-3"/>
                <w:szCs w:val="22"/>
                <w:lang w:val="en-US" w:eastAsia="zh-CN" w:bidi="ar-SA"/>
              </w:rPr>
              <w:t>； 具有节能认证证书的</w:t>
            </w:r>
            <w:r>
              <w:rPr>
                <w:rFonts w:hint="eastAsia" w:asciiTheme="minorEastAsia" w:hAnsiTheme="minorEastAsia" w:eastAsiaTheme="minorEastAsia" w:cstheme="minorEastAsia"/>
                <w:color w:val="FF0000"/>
                <w:spacing w:val="-3"/>
                <w:szCs w:val="22"/>
                <w:lang w:val="en-US" w:eastAsia="zh-CN" w:bidi="ar-SA"/>
              </w:rPr>
              <w:t xml:space="preserve"> </w:t>
            </w:r>
            <w:r>
              <w:rPr>
                <w:rFonts w:hint="eastAsia" w:asciiTheme="minorEastAsia" w:hAnsiTheme="minorEastAsia" w:cstheme="minorEastAsia"/>
                <w:color w:val="000000" w:themeColor="text1"/>
                <w:spacing w:val="-3"/>
                <w:szCs w:val="22"/>
                <w:highlight w:val="none"/>
                <w:lang w:val="en-US" w:eastAsia="zh-CN" w:bidi="ar-SA"/>
                <w14:textFill>
                  <w14:solidFill>
                    <w14:schemeClr w14:val="tx1"/>
                  </w14:solidFill>
                </w14:textFill>
              </w:rPr>
              <w:t>1.5</w:t>
            </w:r>
            <w:r>
              <w:rPr>
                <w:rFonts w:hint="eastAsia" w:asciiTheme="minorEastAsia" w:hAnsiTheme="minorEastAsia" w:eastAsiaTheme="minorEastAsia" w:cstheme="minorEastAsia"/>
                <w:color w:val="000000" w:themeColor="text1"/>
                <w:spacing w:val="-3"/>
                <w:szCs w:val="22"/>
                <w:highlight w:val="none"/>
                <w:lang w:val="en-US" w:eastAsia="zh-CN" w:bidi="ar-SA"/>
                <w14:textFill>
                  <w14:solidFill>
                    <w14:schemeClr w14:val="tx1"/>
                  </w14:solidFill>
                </w14:textFill>
              </w:rPr>
              <w:t>分；</w:t>
            </w:r>
            <w:r>
              <w:rPr>
                <w:rFonts w:hint="eastAsia" w:asciiTheme="minorEastAsia" w:hAnsiTheme="minorEastAsia" w:eastAsiaTheme="minorEastAsia" w:cstheme="minorEastAsia"/>
                <w:color w:val="000000"/>
                <w:spacing w:val="-3"/>
                <w:szCs w:val="22"/>
                <w:lang w:val="en-US" w:eastAsia="zh-CN" w:bidi="ar-SA"/>
              </w:rPr>
              <w:t>未提供不得分。该项得分的认定以《国家节能产品认证证书》、《中国环境标志产品认证证书》复印件和政府部门公布的《节能产品政府采购清单》、《环境标志产品政府采购清单》网页截屏为准。</w:t>
            </w:r>
          </w:p>
          <w:p>
            <w:pPr>
              <w:autoSpaceDE w:val="0"/>
              <w:autoSpaceDN w:val="0"/>
              <w:adjustRightInd w:val="0"/>
              <w:spacing w:line="400" w:lineRule="exact"/>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879" w:type="dxa"/>
            <w:vMerge w:val="continue"/>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rPr>
            </w:pPr>
          </w:p>
        </w:tc>
        <w:tc>
          <w:tcPr>
            <w:tcW w:w="1396"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技术指标及技术水平成熟度</w:t>
            </w:r>
          </w:p>
        </w:tc>
        <w:tc>
          <w:tcPr>
            <w:tcW w:w="872" w:type="dxa"/>
            <w:shd w:val="clear" w:color="000000" w:fill="FFFFFF"/>
            <w:vAlign w:val="center"/>
          </w:tcPr>
          <w:p>
            <w:pPr>
              <w:autoSpaceDE w:val="0"/>
              <w:autoSpaceDN w:val="0"/>
              <w:adjustRightInd w:val="0"/>
              <w:spacing w:line="400" w:lineRule="exact"/>
              <w:jc w:val="center"/>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18</w:t>
            </w:r>
          </w:p>
        </w:tc>
        <w:tc>
          <w:tcPr>
            <w:tcW w:w="5982" w:type="dxa"/>
            <w:shd w:val="clear" w:color="000000" w:fill="FFFFFF"/>
            <w:vAlign w:val="center"/>
          </w:tcPr>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1）钢构件：喷塑涂层的可迁移元素锑、砷、钡、镉、铬、铅、汞、硒标准合格，满足或优于以上标准得得1分。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托板：①涂层应无漏喷、锈蚀，涂层应光滑均匀，色泽一致，应无流挂、疙瘩、皱皮、飞漆等缺陷；②耐腐蚀性能：350h内，观察在溶液中样板上划道两侧3mm以外，应无鼓泡产生，350h后，检查划道两侧3mm外，应无锈迹、剥落、起皱、变色和失光等现象；③硬度≥3H；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3）密集架一轴六孔门铰链：金属电镀层抗盐雾性能，1.5mm以下锈点≤20点/dm²，其中≥1.0mm锈点不超过5点；满足或优于以上标准的得1分。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4）摇柄隐藏式侧板：可迁移元素锑、砷、钡、镉、铬、铅、汞、硒标准合格，满足或优于以上标准的得1分。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5）密集架室内环境：甲醛HCHO、苯C6H6、甲苯C7H8、二甲苯C8H10、TVOC五项有害气体标准合格，满足或优于以上标准的得1分。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6）底框：①涂层应无漏喷、锈蚀，涂层应光滑均匀，色泽一致，应无流挂、疙瘩、皱皮、飞漆等缺陷；②耐腐蚀性能：350h内，观察在溶液中样板上划道两侧3mm以外，应无鼓泡产生，350h后，检查划道两侧3mm外，应无锈迹、剥落、起皱、变色和失光等现象；③硬度≥3H；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7）塑粉：①可溶性铅mg/kg ≤90；②可溶性镉 mg/kg ≤75；③可溶性铬mg/kg ≤60；④可溶性汞 mg/kg ≤60；满足或优于以上标准的得1分。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8）无焊接式立柱：①化学成分（质量分数%）内容：C≤0.15，S≤0.025，Mn≤0.60，P≤0.10；②力学性能：抗拉强度≥270MPa，断后伸长率A50，%≥37；满足或优于以上标准的得1分。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9）挂板：①化学成分（质量分数%）内容：C≤0.15，S≤0.025，Mn≤0.60，P≤0.10；②力学性能：抗拉强度≥270MPa，断后伸长率A50，%≥37；满足或优于以上标准的得1分。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10）卡挂式顶板含有：①化学成分（质量分数%）内容：C≤0.15，S≤0.025，Mn≤0.60，P≤0.10；②力学性能：抗拉强度≥270MPa，断后伸长率A50，%≥37；满足或优于以上标准的得1分。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11）卡扣式防尘板：①化学成分（质量分数%）内容：C≤0.15，S≤0.025，Mn≤0.60，P≤0.10；②力学性能：抗拉强度≥270MPa，断后伸长率A50，%≥37；满足或优于以上标准的得1分。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12）方钢：①化学成分（质量分数%）内容：C≤0.20，S≤0.045，Mn≤1.40，Si≤0.35，P≤0.045；②力学性能：抗拉强度为370~500MPa，断后伸长率，%≥26；满足或优于以上标准的得1分。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13）喷塑金属部件可迁移元素①锑（Sb）mg/kg ≤60；②砷（As） mg/kg ≤25；③钡（Ba）mg/kg ≤1000；④镉（Cd ）mg/kg ≤75；⑤铬（Cr）mg/kg ≤60；⑥铅（Pb） mg/kg ≤90；⑦汞（Hg) mg/kg ≤60；⑧硒（Se） mg/kg ≤500；满足或优于以上标准的得1分。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14）紧固件：抗拉强度≥420MPa，满足或优于以上标准的得1分。15）门板：①化学成分（质量分数%）内容：C≤0.15，S≤0.025，Mn≤0.60，P≤0.10；②力学性能：抗拉强度≥270MPa，断后伸长率A50，%≥37；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16）挡棒：①化学成分（质量分数%）内容：C≤0.15，S≤0.025，Mn≤0.60，P≤0.10；②力学性能：抗拉强度≥270MPa，断后伸长率A50，%≥37；满足或优于以上标准的得1分。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17）铰链：耐久性测试达到80000次，满足或优于以上标准的得1分。</w:t>
            </w:r>
          </w:p>
          <w:p>
            <w:pPr>
              <w:autoSpaceDE w:val="0"/>
              <w:autoSpaceDN w:val="0"/>
              <w:spacing w:line="4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18）密集架铝合金摇手柄：①外观要求：铝合金部件表面应清洁，无裂纹、腐蚀斑点；无起皮、气泡；②铝合金部件抗盐雾24h中性盐雾试验不低于7级；满足或优于以上标准的得1分。</w:t>
            </w:r>
          </w:p>
          <w:p>
            <w:pPr>
              <w:autoSpaceDE w:val="0"/>
              <w:autoSpaceDN w:val="0"/>
              <w:spacing w:line="400" w:lineRule="exact"/>
              <w:rPr>
                <w:rFonts w:hint="eastAsia"/>
              </w:rPr>
            </w:pPr>
            <w:r>
              <w:rPr>
                <w:rFonts w:hint="eastAsia"/>
                <w:color w:val="000000" w:themeColor="text1"/>
                <w:lang w:val="en-US" w:eastAsia="zh-CN"/>
                <w14:textFill>
                  <w14:solidFill>
                    <w14:schemeClr w14:val="tx1"/>
                  </w14:solidFill>
                </w14:textFill>
              </w:rPr>
              <w:t>(1-18项评分依据：响应文件中国家认可的第三方专业检测机构或第三方法定产品监督检验部门出具的检验（测）报告（检验报告至少有 CNAS、CAL、CMA 之一标识有效，其他无效）复印件加盖公章进行佐证，原件核查，未提供或提供不全的不得分)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jc w:val="center"/>
        </w:trPr>
        <w:tc>
          <w:tcPr>
            <w:tcW w:w="879" w:type="dxa"/>
            <w:vMerge w:val="continue"/>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rPr>
            </w:pPr>
          </w:p>
        </w:tc>
        <w:tc>
          <w:tcPr>
            <w:tcW w:w="1396"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样品工艺、质量分</w:t>
            </w:r>
          </w:p>
          <w:p>
            <w:pPr>
              <w:autoSpaceDE w:val="0"/>
              <w:autoSpaceDN w:val="0"/>
              <w:adjustRightInd w:val="0"/>
              <w:spacing w:line="400" w:lineRule="exact"/>
              <w:jc w:val="center"/>
              <w:rPr>
                <w:rFonts w:hint="eastAsia" w:asciiTheme="minorEastAsia" w:hAnsiTheme="minorEastAsia" w:eastAsiaTheme="minorEastAsia" w:cstheme="minorEastAsia"/>
                <w:lang w:eastAsia="zh-CN"/>
              </w:rPr>
            </w:pPr>
          </w:p>
        </w:tc>
        <w:tc>
          <w:tcPr>
            <w:tcW w:w="872" w:type="dxa"/>
            <w:shd w:val="clear" w:color="000000" w:fill="FFFFFF"/>
            <w:vAlign w:val="center"/>
          </w:tcPr>
          <w:p>
            <w:pPr>
              <w:autoSpaceDE w:val="0"/>
              <w:autoSpaceDN w:val="0"/>
              <w:adjustRightInd w:val="0"/>
              <w:spacing w:line="400" w:lineRule="exact"/>
              <w:jc w:val="center"/>
              <w:rPr>
                <w:rFonts w:hint="default" w:asciiTheme="minorEastAsia" w:hAnsiTheme="minorEastAsia" w:eastAsiaTheme="minorEastAsia" w:cstheme="minorEastAsia"/>
                <w:lang w:val="en-US" w:eastAsia="zh-CN"/>
              </w:rPr>
            </w:pPr>
            <w:r>
              <w:rPr>
                <w:rFonts w:hint="eastAsia" w:asciiTheme="minorEastAsia" w:hAnsiTheme="minorEastAsia" w:cstheme="minorEastAsia"/>
                <w:color w:val="000000" w:themeColor="text1"/>
                <w:lang w:val="en-US" w:eastAsia="zh-CN"/>
                <w14:textFill>
                  <w14:solidFill>
                    <w14:schemeClr w14:val="tx1"/>
                  </w14:solidFill>
                </w14:textFill>
              </w:rPr>
              <w:t>12</w:t>
            </w:r>
          </w:p>
        </w:tc>
        <w:tc>
          <w:tcPr>
            <w:tcW w:w="5982" w:type="dxa"/>
            <w:shd w:val="clear" w:color="000000" w:fill="FFFFFF"/>
            <w:vAlign w:val="center"/>
          </w:tcPr>
          <w:p>
            <w:pPr>
              <w:adjustRightInd w:val="0"/>
              <w:snapToGrid w:val="0"/>
              <w:spacing w:line="400" w:lineRule="exact"/>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zh-CN" w:eastAsia="zh-CN"/>
              </w:rPr>
              <w:t>投标人提供样品清单中的样品进行打分：</w:t>
            </w:r>
          </w:p>
          <w:p>
            <w:pPr>
              <w:adjustRightInd w:val="0"/>
              <w:snapToGrid w:val="0"/>
              <w:spacing w:line="400" w:lineRule="exac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①摇柄隐藏式侧板一块规格：宽600mm*高550mm*深55mm；②铝合金圆手柄一件：圆盘直径300mm；③拆装式无焊接底架一套规格：长600mm*宽300mm*高120mm ；④卡挂式顶板一块规格：宽400mm*长500mm；⑤铝合金顶门条、中门条、竖门条和底门条一套规格：长500mm；⑥密集架铝合金轨道一件规格：长500mm。</w:t>
            </w:r>
          </w:p>
          <w:p>
            <w:pPr>
              <w:adjustRightInd w:val="0"/>
              <w:snapToGrid w:val="0"/>
              <w:spacing w:line="400" w:lineRule="exact"/>
              <w:rPr>
                <w:rFonts w:hint="eastAsia" w:asciiTheme="minorEastAsia" w:hAnsiTheme="minorEastAsia" w:eastAsiaTheme="minorEastAsia" w:cstheme="minorEastAsia"/>
                <w:lang w:val="zh-CN" w:eastAsia="zh-CN"/>
              </w:rPr>
            </w:pPr>
            <w:r>
              <w:rPr>
                <w:rFonts w:hint="eastAsia" w:asciiTheme="minorEastAsia" w:hAnsiTheme="minorEastAsia" w:eastAsiaTheme="minorEastAsia" w:cstheme="minorEastAsia"/>
                <w:lang w:val="zh-CN" w:eastAsia="zh-CN"/>
              </w:rPr>
              <w:t>根据</w:t>
            </w:r>
            <w:r>
              <w:rPr>
                <w:rFonts w:hint="eastAsia" w:asciiTheme="minorEastAsia" w:hAnsiTheme="minorEastAsia" w:cstheme="minorEastAsia"/>
                <w:lang w:val="en-US" w:eastAsia="zh-CN"/>
              </w:rPr>
              <w:t>样品</w:t>
            </w:r>
            <w:r>
              <w:rPr>
                <w:rFonts w:hint="eastAsia" w:asciiTheme="minorEastAsia" w:hAnsiTheme="minorEastAsia" w:eastAsiaTheme="minorEastAsia" w:cstheme="minorEastAsia"/>
                <w:lang w:val="zh-CN" w:eastAsia="zh-CN"/>
              </w:rPr>
              <w:t>的技术要求和参数，样品的外观模样、款型、外观模样、款型、规格尺寸、材质、工艺及性能要求等评分（具体要求详见技术要求及参数）；未按要求提供样品或样品提供不齐全或提供的样品与招标文件技术参数三项不符的将被视为未实质响应招标文件的技术要求样品为零分。</w:t>
            </w:r>
          </w:p>
          <w:p>
            <w:pPr>
              <w:adjustRightInd w:val="0"/>
              <w:snapToGrid w:val="0"/>
              <w:spacing w:line="400" w:lineRule="exact"/>
              <w:rPr>
                <w:rFonts w:hint="eastAsia" w:asciiTheme="minorEastAsia" w:hAnsiTheme="minorEastAsia" w:eastAsiaTheme="minorEastAsia" w:cstheme="minorEastAsia"/>
                <w:lang w:val="zh-CN" w:eastAsia="zh-CN"/>
              </w:rPr>
            </w:pPr>
            <w:r>
              <w:rPr>
                <w:rFonts w:hint="eastAsia" w:asciiTheme="minorEastAsia" w:hAnsiTheme="minorEastAsia" w:cstheme="minorEastAsia"/>
                <w:lang w:val="en-US" w:eastAsia="zh-CN"/>
              </w:rPr>
              <w:t>优秀</w:t>
            </w:r>
            <w:r>
              <w:rPr>
                <w:rFonts w:hint="eastAsia" w:asciiTheme="minorEastAsia" w:hAnsiTheme="minorEastAsia" w:eastAsiaTheme="minorEastAsia" w:cstheme="minorEastAsia"/>
                <w:color w:val="000000" w:themeColor="text1"/>
                <w:lang w:val="zh-CN"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9-12</w:t>
            </w:r>
            <w:r>
              <w:rPr>
                <w:rFonts w:hint="eastAsia" w:asciiTheme="minorEastAsia" w:hAnsiTheme="minorEastAsia" w:eastAsiaTheme="minorEastAsia" w:cstheme="minorEastAsia"/>
                <w:color w:val="000000" w:themeColor="text1"/>
                <w:lang w:val="zh-CN" w:eastAsia="zh-CN"/>
                <w14:textFill>
                  <w14:solidFill>
                    <w14:schemeClr w14:val="tx1"/>
                  </w14:solidFill>
                </w14:textFill>
              </w:rPr>
              <w:t>分）</w:t>
            </w:r>
            <w:r>
              <w:rPr>
                <w:rFonts w:hint="eastAsia" w:asciiTheme="minorEastAsia" w:hAnsiTheme="minorEastAsia" w:eastAsiaTheme="minorEastAsia" w:cstheme="minorEastAsia"/>
                <w:lang w:val="zh-CN" w:eastAsia="zh-CN"/>
              </w:rPr>
              <w:t>：完全符合招标文件技术参数、外观模样、款型、规格尺寸、材质、工艺及性能要求等；技术先进，工艺考究，美观、实用，结实、耐用。</w:t>
            </w:r>
          </w:p>
          <w:p>
            <w:pPr>
              <w:adjustRightInd w:val="0"/>
              <w:snapToGrid w:val="0"/>
              <w:spacing w:line="400" w:lineRule="exact"/>
              <w:rPr>
                <w:rFonts w:hint="eastAsia" w:asciiTheme="minorEastAsia" w:hAnsiTheme="minorEastAsia" w:eastAsiaTheme="minorEastAsia" w:cstheme="minorEastAsia"/>
                <w:lang w:val="zh-CN" w:eastAsia="zh-CN"/>
              </w:rPr>
            </w:pPr>
            <w:r>
              <w:rPr>
                <w:rFonts w:hint="eastAsia" w:asciiTheme="minorEastAsia" w:hAnsiTheme="minorEastAsia" w:cstheme="minorEastAsia"/>
                <w:lang w:val="en-US" w:eastAsia="zh-CN"/>
              </w:rPr>
              <w:t>良好</w:t>
            </w:r>
            <w:r>
              <w:rPr>
                <w:rFonts w:hint="eastAsia" w:asciiTheme="minorEastAsia" w:hAnsiTheme="minorEastAsia" w:eastAsiaTheme="minorEastAsia" w:cstheme="minorEastAsia"/>
                <w:color w:val="000000" w:themeColor="text1"/>
                <w:lang w:val="zh-CN"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5-8</w:t>
            </w:r>
            <w:r>
              <w:rPr>
                <w:rFonts w:hint="eastAsia" w:asciiTheme="minorEastAsia" w:hAnsiTheme="minorEastAsia" w:eastAsiaTheme="minorEastAsia" w:cstheme="minorEastAsia"/>
                <w:color w:val="000000" w:themeColor="text1"/>
                <w:lang w:val="zh-CN" w:eastAsia="zh-CN"/>
                <w14:textFill>
                  <w14:solidFill>
                    <w14:schemeClr w14:val="tx1"/>
                  </w14:solidFill>
                </w14:textFill>
              </w:rPr>
              <w:t>分）</w:t>
            </w:r>
            <w:r>
              <w:rPr>
                <w:rFonts w:hint="eastAsia" w:asciiTheme="minorEastAsia" w:hAnsiTheme="minorEastAsia" w:eastAsiaTheme="minorEastAsia" w:cstheme="minorEastAsia"/>
                <w:lang w:val="zh-CN" w:eastAsia="zh-CN"/>
              </w:rPr>
              <w:t>：基本符合招标文件符合技术参数、外观模样、款型、规格尺寸、材质、工艺及性能要求等技术一般，工艺一般，美观一般、实用一般，不够结实、耐用。</w:t>
            </w:r>
          </w:p>
          <w:p>
            <w:pPr>
              <w:adjustRightInd w:val="0"/>
              <w:snapToGrid w:val="0"/>
              <w:spacing w:line="400" w:lineRule="exact"/>
              <w:rPr>
                <w:rFonts w:hint="eastAsia" w:asciiTheme="minorEastAsia" w:hAnsiTheme="minorEastAsia" w:eastAsiaTheme="minorEastAsia" w:cstheme="minorEastAsia"/>
              </w:rPr>
            </w:pPr>
            <w:r>
              <w:rPr>
                <w:rFonts w:hint="eastAsia" w:asciiTheme="minorEastAsia" w:hAnsiTheme="minorEastAsia" w:cstheme="minorEastAsia"/>
                <w:lang w:val="en-US" w:eastAsia="zh-CN"/>
              </w:rPr>
              <w:t>一般</w:t>
            </w:r>
            <w:r>
              <w:rPr>
                <w:rFonts w:hint="eastAsia" w:asciiTheme="minorEastAsia" w:hAnsiTheme="minorEastAsia" w:cstheme="minorEastAsia"/>
                <w:color w:val="000000" w:themeColor="text1"/>
                <w:lang w:val="en-US" w:eastAsia="zh-CN"/>
                <w14:textFill>
                  <w14:solidFill>
                    <w14:schemeClr w14:val="tx1"/>
                  </w14:solidFill>
                </w14:textFill>
              </w:rPr>
              <w:t>（1-4</w:t>
            </w:r>
            <w:r>
              <w:rPr>
                <w:rFonts w:hint="eastAsia" w:asciiTheme="minorEastAsia" w:hAnsiTheme="minorEastAsia" w:eastAsiaTheme="minorEastAsia" w:cstheme="minorEastAsia"/>
                <w:color w:val="000000" w:themeColor="text1"/>
                <w:lang w:val="zh-CN" w:eastAsia="zh-CN"/>
                <w14:textFill>
                  <w14:solidFill>
                    <w14:schemeClr w14:val="tx1"/>
                  </w14:solidFill>
                </w14:textFill>
              </w:rPr>
              <w:t>分）：</w:t>
            </w:r>
            <w:r>
              <w:rPr>
                <w:rFonts w:hint="eastAsia" w:asciiTheme="minorEastAsia" w:hAnsiTheme="minorEastAsia" w:eastAsiaTheme="minorEastAsia" w:cstheme="minorEastAsia"/>
                <w:lang w:val="zh-CN" w:eastAsia="zh-CN"/>
              </w:rPr>
              <w:t>不够符合招标文件符合技术参数、外观模样、款型、规格尺寸、材质、工艺及性能要求等；技术一般，工艺较差，不够美观、实用，不结实、耐用。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879" w:type="dxa"/>
            <w:shd w:val="clear" w:color="000000" w:fill="FFFFFF"/>
            <w:vAlign w:val="center"/>
          </w:tcPr>
          <w:p>
            <w:pPr>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val="en-US" w:eastAsia="zh-CN"/>
              </w:rPr>
              <w:t>履约能力</w:t>
            </w:r>
          </w:p>
          <w:p>
            <w:pPr>
              <w:pStyle w:val="9"/>
              <w:rPr>
                <w:rFonts w:hint="eastAsia" w:asciiTheme="minorEastAsia" w:hAnsiTheme="minorEastAsia" w:eastAsiaTheme="minorEastAsia" w:cstheme="minorEastAsia"/>
                <w:lang w:val="en-US" w:eastAsia="zh-CN"/>
              </w:rPr>
            </w:pPr>
          </w:p>
          <w:p>
            <w:pPr>
              <w:pStyle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w:t>
            </w:r>
            <w:r>
              <w:rPr>
                <w:rFonts w:hint="eastAsia" w:hAnsiTheme="minorEastAsia" w:cstheme="minorEastAsia"/>
                <w:lang w:val="en-US" w:eastAsia="zh-CN"/>
              </w:rPr>
              <w:t>3</w:t>
            </w:r>
            <w:r>
              <w:rPr>
                <w:rFonts w:hint="eastAsia" w:asciiTheme="minorEastAsia" w:hAnsiTheme="minorEastAsia" w:eastAsiaTheme="minorEastAsia" w:cstheme="minorEastAsia"/>
                <w:lang w:val="en-US" w:eastAsia="zh-CN"/>
              </w:rPr>
              <w:t>分）</w:t>
            </w:r>
          </w:p>
        </w:tc>
        <w:tc>
          <w:tcPr>
            <w:tcW w:w="1396"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类似业绩</w:t>
            </w:r>
          </w:p>
        </w:tc>
        <w:tc>
          <w:tcPr>
            <w:tcW w:w="872"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3</w:t>
            </w:r>
          </w:p>
        </w:tc>
        <w:tc>
          <w:tcPr>
            <w:tcW w:w="5982" w:type="dxa"/>
            <w:shd w:val="clear" w:color="000000" w:fill="FFFFFF"/>
            <w:vAlign w:val="center"/>
          </w:tcPr>
          <w:p>
            <w:pPr>
              <w:adjustRightInd w:val="0"/>
              <w:snapToGrid w:val="0"/>
              <w:spacing w:line="40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eastAsia="zh-CN"/>
              </w:rPr>
              <w:t>类似业绩情况：提供</w:t>
            </w:r>
            <w:r>
              <w:rPr>
                <w:rFonts w:hint="eastAsia" w:asciiTheme="minorEastAsia" w:hAnsiTheme="minorEastAsia" w:eastAsiaTheme="minorEastAsia" w:cstheme="minorEastAsia"/>
                <w:lang w:val="en-US" w:eastAsia="zh-CN"/>
              </w:rPr>
              <w:t>201</w:t>
            </w:r>
            <w:r>
              <w:rPr>
                <w:rFonts w:hint="eastAsia" w:asciiTheme="minorEastAsia" w:hAnsiTheme="minorEastAsia" w:cstheme="minorEastAsia"/>
                <w:lang w:val="en-US" w:eastAsia="zh-CN"/>
              </w:rPr>
              <w:t>8</w:t>
            </w:r>
            <w:r>
              <w:rPr>
                <w:rFonts w:hint="eastAsia" w:asciiTheme="minorEastAsia" w:hAnsiTheme="minorEastAsia" w:eastAsiaTheme="minorEastAsia" w:cstheme="minorEastAsia"/>
                <w:lang w:val="zh-CN" w:eastAsia="zh-CN"/>
              </w:rPr>
              <w:t>年以来的供应商类似业绩证明材料（合同复印件或者中标（成交）通知书复印件加盖供应商公章）。每提供1项得</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zh-CN" w:eastAsia="zh-CN"/>
              </w:rPr>
              <w:t>分,满分</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zh-CN" w:eastAsia="zh-CN"/>
              </w:rPr>
              <w:t>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879" w:type="dxa"/>
            <w:vMerge w:val="restart"/>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项目实施及售后服务能力（15分）</w:t>
            </w:r>
          </w:p>
        </w:tc>
        <w:tc>
          <w:tcPr>
            <w:tcW w:w="1396"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售后服务计划、措施及服务承诺</w:t>
            </w:r>
          </w:p>
        </w:tc>
        <w:tc>
          <w:tcPr>
            <w:tcW w:w="872"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5</w:t>
            </w:r>
          </w:p>
        </w:tc>
        <w:tc>
          <w:tcPr>
            <w:tcW w:w="5982"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针对本项目有配送、安装、调试、验收等方面售后服务能力计划、措施及服务承诺，优秀的得</w:t>
            </w:r>
            <w:r>
              <w:rPr>
                <w:rFonts w:hint="eastAsia" w:asciiTheme="minorEastAsia" w:hAnsiTheme="minorEastAsia" w:cstheme="minorEastAsia"/>
                <w:lang w:val="en-US" w:eastAsia="zh-CN"/>
              </w:rPr>
              <w:t>5</w:t>
            </w:r>
            <w:r>
              <w:rPr>
                <w:rFonts w:hint="eastAsia" w:asciiTheme="minorEastAsia" w:hAnsiTheme="minorEastAsia" w:eastAsiaTheme="minorEastAsia" w:cstheme="minorEastAsia"/>
                <w:lang w:val="en-US" w:eastAsia="zh-CN"/>
              </w:rPr>
              <w:t>分，良好的得</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分，一般的得</w:t>
            </w:r>
            <w:r>
              <w:rPr>
                <w:rFonts w:hint="eastAsia" w:asciiTheme="minorEastAsia" w:hAnsiTheme="minorEastAsia" w:cstheme="minorEastAsia"/>
                <w:lang w:val="en-US" w:eastAsia="zh-CN"/>
              </w:rPr>
              <w:t>1</w:t>
            </w:r>
            <w:r>
              <w:rPr>
                <w:rFonts w:hint="eastAsia" w:asciiTheme="minorEastAsia" w:hAnsiTheme="minorEastAsia" w:eastAsiaTheme="minorEastAsia" w:cstheme="minorEastAsia"/>
                <w:lang w:val="en-US" w:eastAsia="zh-CN"/>
              </w:rPr>
              <w:t>分，没有不得分。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jc w:val="center"/>
        </w:trPr>
        <w:tc>
          <w:tcPr>
            <w:tcW w:w="879" w:type="dxa"/>
            <w:vMerge w:val="continue"/>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rPr>
            </w:pPr>
          </w:p>
        </w:tc>
        <w:tc>
          <w:tcPr>
            <w:tcW w:w="1396"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项目管理及实施方案</w:t>
            </w:r>
          </w:p>
        </w:tc>
        <w:tc>
          <w:tcPr>
            <w:tcW w:w="872" w:type="dxa"/>
            <w:shd w:val="clear" w:color="000000" w:fill="FFFFFF"/>
            <w:vAlign w:val="center"/>
          </w:tcPr>
          <w:p>
            <w:pPr>
              <w:autoSpaceDE w:val="0"/>
              <w:autoSpaceDN w:val="0"/>
              <w:adjustRightInd w:val="0"/>
              <w:spacing w:line="400" w:lineRule="exact"/>
              <w:jc w:val="center"/>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10</w:t>
            </w:r>
          </w:p>
        </w:tc>
        <w:tc>
          <w:tcPr>
            <w:tcW w:w="5982" w:type="dxa"/>
            <w:shd w:val="clear" w:color="000000" w:fill="FFFFFF"/>
            <w:vAlign w:val="center"/>
          </w:tcPr>
          <w:p>
            <w:pPr>
              <w:autoSpaceDE w:val="0"/>
              <w:autoSpaceDN w:val="0"/>
              <w:adjustRightInd w:val="0"/>
              <w:spacing w:line="400" w:lineRule="exact"/>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设置了项目管理机构，有项目管理措施，能够结合项目特点制定实施方案，优秀的得</w:t>
            </w:r>
            <w:r>
              <w:rPr>
                <w:rFonts w:hint="eastAsia" w:asciiTheme="minorEastAsia" w:hAnsiTheme="minorEastAsia" w:cstheme="minorEastAsia"/>
                <w:lang w:val="en-US" w:eastAsia="zh-CN"/>
              </w:rPr>
              <w:t>10</w:t>
            </w:r>
            <w:r>
              <w:rPr>
                <w:rFonts w:hint="eastAsia" w:asciiTheme="minorEastAsia" w:hAnsiTheme="minorEastAsia" w:eastAsiaTheme="minorEastAsia" w:cstheme="minorEastAsia"/>
                <w:lang w:val="en-US" w:eastAsia="zh-CN"/>
              </w:rPr>
              <w:t>分，良好的得</w:t>
            </w:r>
            <w:r>
              <w:rPr>
                <w:rFonts w:hint="eastAsia" w:asciiTheme="minorEastAsia" w:hAnsiTheme="minorEastAsia" w:cstheme="minorEastAsia"/>
                <w:lang w:val="en-US" w:eastAsia="zh-CN"/>
              </w:rPr>
              <w:t>5</w:t>
            </w:r>
            <w:r>
              <w:rPr>
                <w:rFonts w:hint="eastAsia" w:asciiTheme="minorEastAsia" w:hAnsiTheme="minorEastAsia" w:eastAsiaTheme="minorEastAsia" w:cstheme="minorEastAsia"/>
                <w:lang w:val="en-US" w:eastAsia="zh-CN"/>
              </w:rPr>
              <w:t>分，没有不得分。</w:t>
            </w:r>
          </w:p>
        </w:tc>
      </w:tr>
    </w:tbl>
    <w:p>
      <w:pPr>
        <w:pStyle w:val="9"/>
        <w:numPr>
          <w:ilvl w:val="0"/>
          <w:numId w:val="0"/>
        </w:numPr>
        <w:rPr>
          <w:rFonts w:hint="eastAsia" w:asciiTheme="minorEastAsia" w:hAnsiTheme="minorEastAsia" w:eastAsiaTheme="minorEastAsia" w:cstheme="minorEastAsia"/>
          <w:lang w:val="en-US" w:eastAsia="en-US"/>
        </w:rPr>
      </w:pPr>
    </w:p>
    <w:p>
      <w:pPr>
        <w:spacing w:before="230" w:line="250" w:lineRule="exact"/>
        <w:rPr>
          <w:rFonts w:hint="eastAsia" w:asciiTheme="minorEastAsia" w:hAnsiTheme="minorEastAsia" w:eastAsiaTheme="minorEastAsia" w:cstheme="minorEastAsia"/>
          <w:b w:val="0"/>
          <w:bCs w:val="0"/>
          <w:kern w:val="0"/>
          <w:sz w:val="24"/>
          <w:szCs w:val="24"/>
          <w:lang w:val="zh-CN" w:eastAsia="zh-CN" w:bidi="ar-SA"/>
        </w:rPr>
      </w:pPr>
    </w:p>
    <w:p>
      <w:pPr>
        <w:pStyle w:val="3"/>
        <w:bidi w:val="0"/>
        <w:rPr>
          <w:rFonts w:hint="eastAsia"/>
        </w:rPr>
      </w:pPr>
      <w:bookmarkStart w:id="42" w:name="_Toc325726025"/>
      <w:bookmarkStart w:id="43" w:name="_Toc376936756"/>
      <w:bookmarkStart w:id="44" w:name="_Toc24777"/>
      <w:bookmarkStart w:id="45" w:name="_Toc4589"/>
      <w:r>
        <w:rPr>
          <w:rFonts w:hint="eastAsia"/>
        </w:rPr>
        <w:t>七、</w:t>
      </w:r>
      <w:bookmarkEnd w:id="42"/>
      <w:bookmarkEnd w:id="43"/>
      <w:r>
        <w:rPr>
          <w:rFonts w:hint="eastAsia"/>
        </w:rPr>
        <w:t>确定成交供应商</w:t>
      </w:r>
      <w:bookmarkEnd w:id="44"/>
      <w:bookmarkEnd w:id="45"/>
    </w:p>
    <w:p>
      <w:pPr>
        <w:pStyle w:val="3"/>
        <w:bidi w:val="0"/>
        <w:rPr>
          <w:rFonts w:hint="eastAsia"/>
        </w:rPr>
      </w:pPr>
      <w:bookmarkStart w:id="46" w:name="_Toc325726026"/>
      <w:bookmarkStart w:id="47" w:name="_Toc376936757"/>
      <w:bookmarkStart w:id="48" w:name="_Toc39136332"/>
      <w:bookmarkStart w:id="49" w:name="_Toc13354"/>
      <w:bookmarkStart w:id="50" w:name="_Toc6798"/>
      <w:bookmarkStart w:id="51" w:name="_Toc8976803"/>
      <w:bookmarkStart w:id="52" w:name="_Toc4449"/>
      <w:r>
        <w:rPr>
          <w:rFonts w:hint="eastAsia"/>
        </w:rPr>
        <w:t>20.推荐并确定成交</w:t>
      </w:r>
      <w:bookmarkEnd w:id="46"/>
      <w:bookmarkEnd w:id="47"/>
      <w:r>
        <w:rPr>
          <w:rFonts w:hint="eastAsia"/>
        </w:rPr>
        <w:t>供应商</w:t>
      </w:r>
      <w:bookmarkEnd w:id="48"/>
      <w:bookmarkEnd w:id="49"/>
      <w:bookmarkEnd w:id="50"/>
      <w:bookmarkEnd w:id="51"/>
      <w:bookmarkEnd w:id="52"/>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20.1磋商小组根据</w:t>
      </w:r>
      <w:r>
        <w:rPr>
          <w:rFonts w:hint="eastAsia" w:asciiTheme="minorEastAsia" w:hAnsiTheme="minorEastAsia" w:eastAsiaTheme="minorEastAsia" w:cstheme="minorEastAsia"/>
          <w:color w:val="000000"/>
        </w:rPr>
        <w:t>评审总得分由高到低排序推荐预成交供应商候选人，并由采购人按顺序确定成交供应商</w:t>
      </w:r>
      <w:r>
        <w:rPr>
          <w:rFonts w:hint="eastAsia" w:asciiTheme="minorEastAsia" w:hAnsiTheme="minorEastAsia" w:eastAsiaTheme="minorEastAsia" w:cstheme="minorEastAsia"/>
        </w:rPr>
        <w:t>。</w:t>
      </w:r>
    </w:p>
    <w:p>
      <w:pPr>
        <w:ind w:firstLine="630" w:firstLineChars="300"/>
        <w:rPr>
          <w:rFonts w:hint="eastAsia" w:asciiTheme="minorEastAsia" w:hAnsiTheme="minorEastAsia" w:eastAsiaTheme="minorEastAsia" w:cstheme="minorEastAsia"/>
        </w:rPr>
      </w:pPr>
      <w:r>
        <w:rPr>
          <w:rFonts w:hint="eastAsia" w:asciiTheme="minorEastAsia" w:hAnsiTheme="minorEastAsia" w:eastAsiaTheme="minorEastAsia" w:cstheme="minorEastAsia"/>
        </w:rPr>
        <w:t>20.2成交</w:t>
      </w:r>
      <w:r>
        <w:rPr>
          <w:rFonts w:hint="eastAsia" w:asciiTheme="minorEastAsia" w:hAnsiTheme="minorEastAsia" w:eastAsiaTheme="minorEastAsia" w:cstheme="minorEastAsia"/>
          <w:color w:val="000000"/>
        </w:rPr>
        <w:t>供应商</w:t>
      </w:r>
      <w:r>
        <w:rPr>
          <w:rFonts w:hint="eastAsia" w:asciiTheme="minorEastAsia" w:hAnsiTheme="minorEastAsia" w:eastAsiaTheme="minorEastAsia" w:cstheme="minorEastAsia"/>
        </w:rPr>
        <w:t>因不可抗力或自身原因不能履行合同时，采购人可以按照磋商报告推荐的预成交供应商候选人名单排序，确定下一候选人为成交</w:t>
      </w:r>
      <w:r>
        <w:rPr>
          <w:rFonts w:hint="eastAsia" w:asciiTheme="minorEastAsia" w:hAnsiTheme="minorEastAsia" w:eastAsiaTheme="minorEastAsia" w:cstheme="minorEastAsia"/>
          <w:color w:val="000000"/>
        </w:rPr>
        <w:t>供应商</w:t>
      </w:r>
      <w:r>
        <w:rPr>
          <w:rFonts w:hint="eastAsia" w:asciiTheme="minorEastAsia" w:hAnsiTheme="minorEastAsia" w:eastAsiaTheme="minorEastAsia" w:cstheme="minorEastAsia"/>
        </w:rPr>
        <w:t>，也可重新开展政府采购活动。</w:t>
      </w:r>
      <w:bookmarkStart w:id="53" w:name="_Toc325726027"/>
    </w:p>
    <w:p>
      <w:pPr>
        <w:pStyle w:val="3"/>
        <w:bidi w:val="0"/>
        <w:rPr>
          <w:rFonts w:hint="eastAsia"/>
        </w:rPr>
      </w:pPr>
      <w:bookmarkStart w:id="54" w:name="_Toc376936759"/>
      <w:bookmarkStart w:id="55" w:name="_Toc325726028"/>
      <w:bookmarkStart w:id="56" w:name="_Toc20954"/>
      <w:bookmarkStart w:id="57" w:name="_Toc11100"/>
      <w:bookmarkStart w:id="58" w:name="_Toc21476"/>
      <w:bookmarkStart w:id="59" w:name="_Toc39136333"/>
      <w:bookmarkStart w:id="60" w:name="_Toc8976804"/>
      <w:r>
        <w:rPr>
          <w:rFonts w:hint="eastAsia"/>
        </w:rPr>
        <w:t>21.成交通知</w:t>
      </w:r>
      <w:bookmarkEnd w:id="54"/>
      <w:bookmarkEnd w:id="55"/>
      <w:bookmarkEnd w:id="56"/>
      <w:bookmarkEnd w:id="57"/>
      <w:bookmarkEnd w:id="58"/>
      <w:bookmarkEnd w:id="59"/>
      <w:bookmarkEnd w:id="60"/>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21.1采购代理机构自成交供应商确定之日起2个工作日内发出《成交通知书》，并在青海政府采购信息网上公告成交结果。</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21.2《成交通知书》发出后，采购人改变成交结果的，或者成交供应商无正当理由放弃成交项目的，依法承担法律责任。</w:t>
      </w:r>
    </w:p>
    <w:p>
      <w:pPr>
        <w:pStyle w:val="3"/>
        <w:bidi w:val="0"/>
        <w:rPr>
          <w:rFonts w:hint="eastAsia"/>
        </w:rPr>
      </w:pPr>
      <w:bookmarkStart w:id="61" w:name="_Toc376936758"/>
      <w:bookmarkStart w:id="62" w:name="_Toc3173"/>
      <w:bookmarkStart w:id="63" w:name="_Toc10868"/>
      <w:r>
        <w:rPr>
          <w:rFonts w:hint="eastAsia"/>
        </w:rPr>
        <w:t>八、授予合同</w:t>
      </w:r>
      <w:bookmarkEnd w:id="53"/>
      <w:bookmarkEnd w:id="61"/>
      <w:bookmarkEnd w:id="62"/>
      <w:bookmarkEnd w:id="63"/>
    </w:p>
    <w:p>
      <w:pPr>
        <w:pStyle w:val="3"/>
        <w:bidi w:val="0"/>
        <w:rPr>
          <w:rFonts w:hint="eastAsia"/>
        </w:rPr>
      </w:pPr>
      <w:bookmarkStart w:id="64" w:name="_Toc12019"/>
      <w:bookmarkStart w:id="65" w:name="_Toc39136334"/>
      <w:bookmarkStart w:id="66" w:name="_Toc5397"/>
      <w:bookmarkStart w:id="67" w:name="_Toc32657"/>
      <w:bookmarkStart w:id="68" w:name="_Toc8976805"/>
      <w:bookmarkStart w:id="69" w:name="_Toc325726029"/>
      <w:bookmarkStart w:id="70" w:name="_Toc376936760"/>
      <w:r>
        <w:rPr>
          <w:rFonts w:hint="eastAsia"/>
        </w:rPr>
        <w:t>22.签订合同</w:t>
      </w:r>
      <w:bookmarkEnd w:id="64"/>
      <w:bookmarkEnd w:id="65"/>
      <w:bookmarkEnd w:id="66"/>
      <w:bookmarkEnd w:id="67"/>
      <w:bookmarkEnd w:id="68"/>
      <w:bookmarkEnd w:id="69"/>
      <w:bookmarkEnd w:id="70"/>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22.1采购人与成交供应商双方应当自《成交通知书》发出之日起30日内，按照磋商文件确定的合同文本以及采购标的、规格型号、采购金额、采购数量、技术和服务要求等事项签订政府采购合同，并报青海利仁建设项目管理有限公司审核备案。</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22.2采购人不得向成交供应商提出超出磋商文件以外的任何要求作为订立合同的条件，不得与成交供应商订立背离磋商文件确定的合同文本以及采购标的、规格型号、采购金额、采购数量、技术和服务要求等实质性内容的协议。</w:t>
      </w:r>
    </w:p>
    <w:p>
      <w:pPr>
        <w:ind w:firstLine="48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rPr>
        <w:t>22.3</w:t>
      </w:r>
      <w:r>
        <w:rPr>
          <w:rFonts w:hint="eastAsia" w:asciiTheme="minorEastAsia" w:hAnsiTheme="minorEastAsia" w:eastAsiaTheme="minorEastAsia" w:cstheme="minorEastAsia"/>
          <w:szCs w:val="20"/>
        </w:rPr>
        <w:t>签订合同时，成交供应商应按规定向采购人提交履约保证金</w:t>
      </w:r>
      <w:r>
        <w:rPr>
          <w:rFonts w:hint="eastAsia" w:asciiTheme="minorEastAsia" w:hAnsiTheme="minorEastAsia" w:eastAsiaTheme="minorEastAsia" w:cstheme="minorEastAsia"/>
          <w:lang w:val="zh-CN"/>
        </w:rPr>
        <w:t>（履约保证金的数额由采购人与成交供应商商定，但数额不得超出采购合同总金额的10%）</w:t>
      </w:r>
      <w:r>
        <w:rPr>
          <w:rFonts w:hint="eastAsia" w:asciiTheme="minorEastAsia" w:hAnsiTheme="minorEastAsia" w:eastAsiaTheme="minorEastAsia" w:cstheme="minorEastAsia"/>
          <w:szCs w:val="20"/>
        </w:rPr>
        <w:t>，履约保证金须缴纳到采购人指定的账户。</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22.4成交供应商在法定期限内无正当理由拒签合同的，按违约处理。同时，采购代理机构和采购人可依成交供应商候选人排序重新确定成交供应商，并协调双方签订采购合同。</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22.5磋商文件、成交供应商的磋商响应文件、《成交通知书》及其澄清、说明文件等，均为签订采购合同的依据。</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22.6采购人或采购代理机构应当自采购合同签订之日起2个工作日内，将采购合同在青海政府采购信息网上公告，但政府采购合同中涉及国家秘密、商业秘密的内容除外。</w:t>
      </w:r>
    </w:p>
    <w:p>
      <w:pPr>
        <w:pStyle w:val="3"/>
        <w:bidi w:val="0"/>
        <w:rPr>
          <w:rFonts w:hint="eastAsia"/>
        </w:rPr>
      </w:pPr>
      <w:bookmarkStart w:id="71" w:name="_Toc14739"/>
      <w:bookmarkStart w:id="72" w:name="_Toc7078"/>
      <w:bookmarkStart w:id="73" w:name="_Toc39136335"/>
      <w:bookmarkStart w:id="74" w:name="_Toc6592"/>
      <w:bookmarkStart w:id="75" w:name="_Toc8976806"/>
      <w:r>
        <w:rPr>
          <w:rFonts w:hint="eastAsia"/>
        </w:rPr>
        <w:t>九、磋商活动终止</w:t>
      </w:r>
      <w:bookmarkEnd w:id="71"/>
      <w:bookmarkEnd w:id="72"/>
      <w:bookmarkEnd w:id="73"/>
      <w:bookmarkEnd w:id="74"/>
      <w:bookmarkEnd w:id="75"/>
    </w:p>
    <w:p>
      <w:pPr>
        <w:pStyle w:val="3"/>
        <w:bidi w:val="0"/>
        <w:rPr>
          <w:rFonts w:hint="eastAsia"/>
        </w:rPr>
      </w:pPr>
      <w:bookmarkStart w:id="76" w:name="_Toc8976807"/>
      <w:bookmarkStart w:id="77" w:name="_Toc31242"/>
      <w:bookmarkStart w:id="78" w:name="_Toc29152"/>
      <w:bookmarkStart w:id="79" w:name="_Toc39136336"/>
      <w:bookmarkStart w:id="80" w:name="_Toc7468"/>
      <w:bookmarkStart w:id="81" w:name="_Toc325726031"/>
      <w:bookmarkStart w:id="82" w:name="_Toc376936762"/>
      <w:r>
        <w:rPr>
          <w:rFonts w:hint="eastAsia"/>
        </w:rPr>
        <w:t>23. 终止情形</w:t>
      </w:r>
      <w:bookmarkEnd w:id="76"/>
      <w:bookmarkEnd w:id="77"/>
      <w:bookmarkEnd w:id="78"/>
      <w:bookmarkEnd w:id="79"/>
      <w:bookmarkEnd w:id="80"/>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23.1在竞争性磋商采购中，出现下列情形之一的，终止磋商活动：</w:t>
      </w:r>
      <w:bookmarkEnd w:id="81"/>
      <w:bookmarkEnd w:id="82"/>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（1）因情况变化，不再符合规定的竞争性磋商采购方式适用情形的。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（2）出现影响采购活动公正的违法、违规行为的。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（3）符合要求的供应商或者报价未超过采购预算额度的供应商不足三家的。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（4）因重大变故，采购任务取消的。</w:t>
      </w:r>
    </w:p>
    <w:p>
      <w:pPr>
        <w:ind w:firstLine="480"/>
        <w:rPr>
          <w:rFonts w:hint="eastAsia" w:asciiTheme="minorEastAsia" w:hAnsiTheme="minorEastAsia" w:eastAsiaTheme="minorEastAsia" w:cstheme="minorEastAsia"/>
          <w:szCs w:val="20"/>
        </w:rPr>
      </w:pPr>
      <w:r>
        <w:rPr>
          <w:rFonts w:hint="eastAsia" w:asciiTheme="minorEastAsia" w:hAnsiTheme="minorEastAsia" w:eastAsiaTheme="minorEastAsia" w:cstheme="minorEastAsia"/>
        </w:rPr>
        <w:t>23.2终止磋商活动</w:t>
      </w:r>
      <w:r>
        <w:rPr>
          <w:rFonts w:hint="eastAsia" w:asciiTheme="minorEastAsia" w:hAnsiTheme="minorEastAsia" w:eastAsiaTheme="minorEastAsia" w:cstheme="minorEastAsia"/>
          <w:szCs w:val="20"/>
        </w:rPr>
        <w:t>后，由</w:t>
      </w:r>
      <w:r>
        <w:rPr>
          <w:rFonts w:hint="eastAsia" w:asciiTheme="minorEastAsia" w:hAnsiTheme="minorEastAsia" w:eastAsiaTheme="minorEastAsia" w:cstheme="minorEastAsia"/>
        </w:rPr>
        <w:t>采购代理机构</w:t>
      </w:r>
      <w:r>
        <w:rPr>
          <w:rFonts w:hint="eastAsia" w:asciiTheme="minorEastAsia" w:hAnsiTheme="minorEastAsia" w:eastAsiaTheme="minorEastAsia" w:cstheme="minorEastAsia"/>
          <w:szCs w:val="20"/>
        </w:rPr>
        <w:t>发布终止公告并说明原因。</w:t>
      </w:r>
      <w:bookmarkStart w:id="83" w:name="_Toc325726032"/>
    </w:p>
    <w:p>
      <w:pPr>
        <w:pStyle w:val="3"/>
        <w:bidi w:val="0"/>
        <w:rPr>
          <w:rFonts w:hint="eastAsia" w:asciiTheme="minorEastAsia" w:hAnsiTheme="minorEastAsia" w:eastAsiaTheme="minorEastAsia" w:cstheme="minorEastAsia"/>
          <w:b w:val="0"/>
          <w:bCs w:val="0"/>
          <w:szCs w:val="36"/>
        </w:rPr>
      </w:pPr>
      <w:bookmarkStart w:id="84" w:name="_Toc39136337"/>
      <w:bookmarkStart w:id="85" w:name="_Toc15001"/>
      <w:bookmarkStart w:id="86" w:name="_Toc30790"/>
      <w:bookmarkStart w:id="87" w:name="_Toc376936763"/>
      <w:bookmarkStart w:id="88" w:name="_Toc8976808"/>
      <w:bookmarkStart w:id="89" w:name="_Toc6385"/>
      <w:r>
        <w:rPr>
          <w:rFonts w:hint="eastAsia"/>
        </w:rPr>
        <w:t>十、处罚</w:t>
      </w:r>
      <w:bookmarkEnd w:id="83"/>
      <w:bookmarkEnd w:id="84"/>
      <w:bookmarkEnd w:id="85"/>
      <w:bookmarkEnd w:id="86"/>
      <w:bookmarkEnd w:id="87"/>
      <w:bookmarkEnd w:id="88"/>
      <w:bookmarkEnd w:id="89"/>
    </w:p>
    <w:p>
      <w:pPr>
        <w:pStyle w:val="3"/>
        <w:bidi w:val="0"/>
        <w:rPr>
          <w:rFonts w:hint="eastAsia"/>
        </w:rPr>
      </w:pPr>
      <w:bookmarkStart w:id="90" w:name="_Toc376936764"/>
      <w:bookmarkStart w:id="91" w:name="_Toc23820"/>
      <w:bookmarkStart w:id="92" w:name="_Toc24485"/>
      <w:bookmarkStart w:id="93" w:name="_Toc8976809"/>
      <w:bookmarkStart w:id="94" w:name="_Toc325726033"/>
      <w:bookmarkStart w:id="95" w:name="_Toc8780"/>
      <w:bookmarkStart w:id="96" w:name="_Toc39136338"/>
      <w:r>
        <w:rPr>
          <w:rFonts w:hint="eastAsia"/>
        </w:rPr>
        <w:t>24.处罚情形</w:t>
      </w:r>
      <w:bookmarkEnd w:id="90"/>
      <w:bookmarkEnd w:id="91"/>
      <w:bookmarkEnd w:id="92"/>
      <w:bookmarkEnd w:id="93"/>
      <w:bookmarkEnd w:id="94"/>
      <w:bookmarkEnd w:id="95"/>
      <w:bookmarkEnd w:id="96"/>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有下列情形之一的，投标供应商的磋商保证金不予退还；成交供应商的成交结果无效，履约保证金不予退还。情节严重的，报省财政厅依法进行处理：</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24.1投标供应商在提交响应文件截止时间之后撤回响应文件的。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24.2投标供应商在响应文件中提供虚假材料的。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24.3采取不正当手段诋毁、排挤其他供应商的。</w:t>
      </w:r>
    </w:p>
    <w:p>
      <w:pPr>
        <w:ind w:firstLine="384" w:firstLineChars="183"/>
        <w:rPr>
          <w:rFonts w:hint="eastAsia" w:asciiTheme="minorEastAsia" w:hAnsiTheme="minorEastAsia" w:eastAsiaTheme="minorEastAsia" w:cstheme="minorEastAsia"/>
        </w:rPr>
      </w:pPr>
      <w:r>
        <w:rPr>
          <w:rFonts w:hint="eastAsia" w:asciiTheme="minorEastAsia" w:hAnsiTheme="minorEastAsia" w:eastAsiaTheme="minorEastAsia" w:cstheme="minorEastAsia"/>
        </w:rPr>
        <w:t>24.4有恶意串通等不正当竞争行为的。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24.5成交后无正当理由拒不与采购人签订采购合同的。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24.6未按照磋商文件、磋商响应文件确定的事项签订采购合同的。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24.7擅自变更、中止或者终止政府采购合同的。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24.8成交供应商签订合同后，因种种原因不能履约或无故拖延履约期的。</w:t>
      </w:r>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24.9法律、法规规定的其他情形的。</w:t>
      </w:r>
    </w:p>
    <w:p>
      <w:pPr>
        <w:pStyle w:val="3"/>
        <w:bidi w:val="0"/>
        <w:rPr>
          <w:rFonts w:hint="eastAsia"/>
        </w:rPr>
      </w:pPr>
      <w:bookmarkStart w:id="97" w:name="_Toc376936765"/>
      <w:bookmarkStart w:id="98" w:name="_Toc325726034"/>
      <w:bookmarkStart w:id="99" w:name="_Toc5237"/>
      <w:bookmarkStart w:id="100" w:name="_Toc28681"/>
      <w:bookmarkStart w:id="101" w:name="_Toc9022"/>
      <w:bookmarkStart w:id="102" w:name="_Toc8976810"/>
      <w:bookmarkStart w:id="103" w:name="_Toc39136339"/>
      <w:r>
        <w:rPr>
          <w:rFonts w:hint="eastAsia"/>
        </w:rPr>
        <w:t>十一、其他</w:t>
      </w:r>
      <w:bookmarkEnd w:id="97"/>
      <w:bookmarkEnd w:id="98"/>
      <w:bookmarkEnd w:id="99"/>
      <w:bookmarkEnd w:id="100"/>
      <w:bookmarkEnd w:id="101"/>
      <w:bookmarkEnd w:id="102"/>
      <w:bookmarkEnd w:id="103"/>
    </w:p>
    <w:p>
      <w:pPr>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其他未尽事宜，按照《中华人民共和国政府采购法》、《中华人民共和国合同法》、《中华人民共和国政府采购法实施条例》、</w:t>
      </w:r>
      <w:r>
        <w:rPr>
          <w:rFonts w:hint="eastAsia" w:asciiTheme="minorEastAsia" w:hAnsiTheme="minorEastAsia" w:eastAsiaTheme="minorEastAsia" w:cstheme="minorEastAsia"/>
          <w:color w:val="000000"/>
        </w:rPr>
        <w:t>《政府采购竞争性磋商采购方式管理暂行办法》</w:t>
      </w:r>
      <w:r>
        <w:rPr>
          <w:rFonts w:hint="eastAsia" w:asciiTheme="minorEastAsia" w:hAnsiTheme="minorEastAsia" w:eastAsiaTheme="minorEastAsia" w:cstheme="minorEastAsia"/>
        </w:rPr>
        <w:t>等法律法规的有关条款执行。</w:t>
      </w:r>
    </w:p>
    <w:p>
      <w:pPr>
        <w:keepNext/>
        <w:keepLines/>
        <w:snapToGrid w:val="0"/>
        <w:spacing w:line="400" w:lineRule="atLeast"/>
        <w:outlineLvl w:val="9"/>
        <w:rPr>
          <w:rFonts w:hint="eastAsia" w:asciiTheme="minorEastAsia" w:hAnsiTheme="minorEastAsia" w:eastAsiaTheme="minorEastAsia" w:cstheme="minorEastAsia"/>
          <w:b/>
          <w:kern w:val="28"/>
          <w:sz w:val="36"/>
          <w:szCs w:val="20"/>
        </w:rPr>
      </w:pPr>
      <w:r>
        <w:rPr>
          <w:rFonts w:hint="eastAsia" w:asciiTheme="minorEastAsia" w:hAnsiTheme="minorEastAsia" w:eastAsiaTheme="minorEastAsia" w:cstheme="minorEastAsia"/>
        </w:rPr>
        <w:br w:type="page"/>
      </w:r>
    </w:p>
    <w:p>
      <w:pPr>
        <w:pStyle w:val="3"/>
        <w:bidi w:val="0"/>
        <w:rPr>
          <w:rFonts w:hint="eastAsia"/>
        </w:rPr>
      </w:pPr>
      <w:bookmarkStart w:id="104" w:name="_Toc7118"/>
      <w:bookmarkStart w:id="105" w:name="_Toc39136340"/>
      <w:bookmarkStart w:id="106" w:name="_Toc30318"/>
      <w:bookmarkStart w:id="107" w:name="_Toc8976811"/>
      <w:bookmarkStart w:id="108" w:name="_Toc14213"/>
      <w:r>
        <w:rPr>
          <w:rFonts w:hint="eastAsia"/>
        </w:rPr>
        <w:t>第四部分 青海省政府采购项目合同书范本</w:t>
      </w:r>
      <w:bookmarkEnd w:id="104"/>
      <w:bookmarkEnd w:id="105"/>
      <w:bookmarkEnd w:id="106"/>
      <w:bookmarkEnd w:id="107"/>
      <w:bookmarkEnd w:id="108"/>
      <w:r>
        <w:rPr>
          <w:rFonts w:hint="eastAsia"/>
        </w:rPr>
        <w:t xml:space="preserve"> </w:t>
      </w:r>
    </w:p>
    <w:p>
      <w:pPr>
        <w:bidi w:val="0"/>
        <w:rPr>
          <w:rFonts w:hint="eastAsia"/>
        </w:rPr>
      </w:pPr>
      <w:r>
        <w:rPr>
          <w:rFonts w:hint="eastAsia"/>
        </w:rPr>
        <w:t xml:space="preserve"> </w:t>
      </w:r>
    </w:p>
    <w:p>
      <w:pPr>
        <w:bidi w:val="0"/>
        <w:rPr>
          <w:rFonts w:hint="eastAsia"/>
        </w:rPr>
      </w:pPr>
      <w:r>
        <w:rPr>
          <w:rFonts w:hint="eastAsia"/>
        </w:rPr>
        <w:t xml:space="preserve">  </w:t>
      </w:r>
    </w:p>
    <w:p>
      <w:pPr>
        <w:bidi w:val="0"/>
        <w:rPr>
          <w:rFonts w:hint="eastAsia"/>
          <w:lang w:val="zh-CN"/>
        </w:rPr>
      </w:pPr>
      <w:r>
        <w:rPr>
          <w:rFonts w:hint="eastAsia"/>
        </w:rPr>
        <w:t xml:space="preserve"> </w:t>
      </w:r>
    </w:p>
    <w:p>
      <w:pPr>
        <w:bidi w:val="0"/>
        <w:rPr>
          <w:rFonts w:ascii="宋体" w:hAnsi="宋体" w:cs="STZhongsong"/>
          <w:b/>
          <w:bCs/>
          <w:sz w:val="52"/>
          <w:szCs w:val="52"/>
        </w:rPr>
      </w:pPr>
      <w:r>
        <w:rPr>
          <w:rFonts w:hint="eastAsia"/>
        </w:rPr>
        <w:t xml:space="preserve">     </w:t>
      </w:r>
      <w:r>
        <w:rPr>
          <w:rFonts w:hint="eastAsia"/>
          <w:lang w:val="en-US" w:eastAsia="zh-CN"/>
        </w:rPr>
        <w:t xml:space="preserve">   </w:t>
      </w:r>
      <w:r>
        <w:rPr>
          <w:rFonts w:hint="eastAsia" w:ascii="宋体" w:hAnsi="宋体" w:cs="STZhongsong"/>
          <w:b/>
          <w:bCs/>
          <w:sz w:val="52"/>
          <w:szCs w:val="52"/>
          <w:lang w:val="zh-CN"/>
        </w:rPr>
        <w:t>青海省政府采购项目合同书</w:t>
      </w:r>
    </w:p>
    <w:p>
      <w:pPr>
        <w:autoSpaceDE w:val="0"/>
        <w:autoSpaceDN w:val="0"/>
        <w:adjustRightInd w:val="0"/>
        <w:spacing w:line="360" w:lineRule="auto"/>
        <w:rPr>
          <w:rFonts w:ascii="宋体" w:hAnsi="宋体" w:cs="Calibri"/>
          <w:sz w:val="28"/>
          <w:szCs w:val="28"/>
        </w:rPr>
      </w:pPr>
      <w:r>
        <w:rPr>
          <w:rFonts w:hint="eastAsia" w:ascii="宋体" w:hAnsi="宋体" w:cs="Calibri"/>
          <w:sz w:val="28"/>
          <w:szCs w:val="28"/>
        </w:rPr>
        <w:t xml:space="preserve"> </w:t>
      </w:r>
    </w:p>
    <w:p>
      <w:pPr>
        <w:autoSpaceDE w:val="0"/>
        <w:autoSpaceDN w:val="0"/>
        <w:adjustRightInd w:val="0"/>
        <w:spacing w:line="400" w:lineRule="exact"/>
        <w:rPr>
          <w:rFonts w:ascii="宋体" w:hAnsi="宋体" w:cs="Calibri"/>
          <w:sz w:val="28"/>
          <w:szCs w:val="28"/>
        </w:rPr>
      </w:pPr>
      <w:r>
        <w:rPr>
          <w:rFonts w:hint="eastAsia" w:ascii="宋体" w:hAnsi="宋体" w:cs="Calibri"/>
          <w:sz w:val="28"/>
          <w:szCs w:val="28"/>
        </w:rPr>
        <w:t xml:space="preserve"> </w:t>
      </w:r>
    </w:p>
    <w:p>
      <w:pPr>
        <w:autoSpaceDE w:val="0"/>
        <w:autoSpaceDN w:val="0"/>
        <w:adjustRightInd w:val="0"/>
        <w:spacing w:line="400" w:lineRule="exact"/>
        <w:rPr>
          <w:rFonts w:hint="eastAsia"/>
          <w:lang w:val="zh-CN" w:eastAsia="zh-CN"/>
        </w:rPr>
      </w:pPr>
      <w:r>
        <w:rPr>
          <w:rFonts w:hint="eastAsia" w:ascii="宋体" w:hAnsi="宋体" w:cs="Calibri"/>
          <w:sz w:val="28"/>
          <w:szCs w:val="28"/>
        </w:rPr>
        <w:t xml:space="preserve">  </w:t>
      </w:r>
    </w:p>
    <w:p>
      <w:pPr>
        <w:spacing w:line="360" w:lineRule="auto"/>
        <w:ind w:firstLine="2232" w:firstLineChars="1063"/>
        <w:rPr>
          <w:rFonts w:hint="eastAsia"/>
          <w:lang w:val="zh-CN" w:eastAsia="zh-CN"/>
        </w:rPr>
      </w:pPr>
      <w:r>
        <w:rPr>
          <w:rFonts w:hint="eastAsia"/>
          <w:lang w:val="zh-CN" w:eastAsia="zh-CN"/>
        </w:rPr>
        <w:t xml:space="preserve"> </w:t>
      </w:r>
    </w:p>
    <w:p>
      <w:pPr>
        <w:spacing w:line="360" w:lineRule="auto"/>
        <w:ind w:left="2811" w:hanging="2811" w:hangingChars="1000"/>
        <w:rPr>
          <w:rFonts w:hint="eastAsia" w:ascii="宋体" w:hAnsi="宋体" w:cs="STZhongsong"/>
          <w:b/>
          <w:bCs/>
          <w:sz w:val="28"/>
          <w:szCs w:val="28"/>
          <w:lang w:val="zh-CN"/>
        </w:rPr>
      </w:pPr>
      <w:r>
        <w:rPr>
          <w:rFonts w:hint="eastAsia" w:ascii="宋体" w:hAnsi="宋体" w:cs="STZhongsong"/>
          <w:b/>
          <w:bCs/>
          <w:sz w:val="28"/>
          <w:szCs w:val="28"/>
        </w:rPr>
        <w:t xml:space="preserve">     </w:t>
      </w:r>
      <w:r>
        <w:rPr>
          <w:rFonts w:hint="eastAsia" w:ascii="宋体" w:hAnsi="宋体" w:cs="STZhongsong"/>
          <w:b/>
          <w:bCs/>
          <w:sz w:val="28"/>
          <w:szCs w:val="28"/>
          <w:lang w:val="zh-CN"/>
        </w:rPr>
        <w:t>采购项目名称：</w:t>
      </w:r>
      <w:r>
        <w:rPr>
          <w:rFonts w:hint="eastAsia" w:ascii="宋体" w:hAnsi="宋体" w:cs="STZhongsong"/>
          <w:b/>
          <w:bCs/>
          <w:sz w:val="28"/>
          <w:szCs w:val="28"/>
          <w:u w:val="single"/>
          <w:lang w:val="en-US" w:eastAsia="zh-CN"/>
        </w:rPr>
        <w:t>海北州藏医院库房配套设备项目</w:t>
      </w:r>
      <w:r>
        <w:rPr>
          <w:rFonts w:hint="eastAsia" w:ascii="宋体" w:hAnsi="宋体" w:cs="STZhongsong"/>
          <w:b/>
          <w:bCs/>
          <w:sz w:val="28"/>
          <w:szCs w:val="28"/>
          <w:u w:val="single"/>
          <w:lang w:val="zh-CN"/>
        </w:rPr>
        <w:t xml:space="preserve"> </w:t>
      </w:r>
    </w:p>
    <w:p>
      <w:pPr>
        <w:spacing w:line="360" w:lineRule="auto"/>
        <w:ind w:firstLine="843" w:firstLineChars="300"/>
        <w:rPr>
          <w:rFonts w:ascii="宋体" w:hAnsi="宋体" w:cs="STZhongsong"/>
          <w:b/>
          <w:bCs/>
          <w:kern w:val="2"/>
          <w:sz w:val="28"/>
          <w:szCs w:val="28"/>
        </w:rPr>
      </w:pPr>
      <w:r>
        <w:rPr>
          <w:rFonts w:hint="eastAsia" w:ascii="宋体" w:hAnsi="宋体" w:cs="STZhongsong"/>
          <w:b/>
          <w:bCs/>
          <w:sz w:val="28"/>
          <w:szCs w:val="28"/>
          <w:lang w:val="zh-CN"/>
        </w:rPr>
        <w:t>采购项目编号：</w:t>
      </w:r>
      <w:r>
        <w:rPr>
          <w:rFonts w:hint="eastAsia" w:ascii="宋体" w:hAnsi="宋体" w:cs="STZhongsong"/>
          <w:b/>
          <w:bCs/>
          <w:sz w:val="28"/>
          <w:szCs w:val="28"/>
          <w:u w:val="single"/>
          <w:lang w:val="zh-CN"/>
        </w:rPr>
        <w:t>青海利仁竞磋（货物）2020-00</w:t>
      </w:r>
      <w:r>
        <w:rPr>
          <w:rFonts w:hint="eastAsia" w:ascii="宋体" w:hAnsi="宋体" w:cs="STZhongsong"/>
          <w:b/>
          <w:bCs/>
          <w:sz w:val="28"/>
          <w:szCs w:val="28"/>
          <w:u w:val="single"/>
          <w:lang w:val="en-US" w:eastAsia="zh-CN"/>
        </w:rPr>
        <w:t>7</w:t>
      </w:r>
      <w:r>
        <w:rPr>
          <w:rFonts w:hint="eastAsia" w:ascii="宋体" w:hAnsi="宋体" w:cs="STZhongsong"/>
          <w:b/>
          <w:bCs/>
          <w:sz w:val="28"/>
          <w:szCs w:val="28"/>
        </w:rPr>
        <w:t xml:space="preserve"> </w:t>
      </w:r>
    </w:p>
    <w:p>
      <w:pPr>
        <w:spacing w:line="480" w:lineRule="auto"/>
        <w:ind w:firstLine="843" w:firstLineChars="300"/>
        <w:rPr>
          <w:rFonts w:ascii="宋体" w:hAnsi="宋体" w:cs="STZhongsong"/>
          <w:b/>
          <w:bCs/>
          <w:sz w:val="28"/>
          <w:szCs w:val="28"/>
        </w:rPr>
      </w:pPr>
      <w:r>
        <w:rPr>
          <w:rFonts w:hint="eastAsia" w:ascii="宋体" w:hAnsi="宋体" w:cs="STZhongsong"/>
          <w:b/>
          <w:bCs/>
          <w:sz w:val="28"/>
          <w:szCs w:val="28"/>
          <w:lang w:val="zh-CN"/>
        </w:rPr>
        <w:t>采购合同编号：</w:t>
      </w:r>
      <w:r>
        <w:rPr>
          <w:rFonts w:hint="eastAsia" w:ascii="宋体" w:hAnsi="宋体" w:cs="STZhongsong"/>
          <w:b/>
          <w:bCs/>
          <w:sz w:val="28"/>
          <w:szCs w:val="28"/>
          <w:u w:val="single"/>
          <w:lang w:val="zh-CN"/>
        </w:rPr>
        <w:t>青海利仁竞磋（货物）2020-00</w:t>
      </w:r>
      <w:r>
        <w:rPr>
          <w:rFonts w:hint="eastAsia" w:ascii="宋体" w:hAnsi="宋体" w:cs="STZhongsong"/>
          <w:b/>
          <w:bCs/>
          <w:sz w:val="28"/>
          <w:szCs w:val="28"/>
          <w:u w:val="single"/>
          <w:lang w:val="en-US" w:eastAsia="zh-CN"/>
        </w:rPr>
        <w:t>7</w:t>
      </w:r>
      <w:r>
        <w:rPr>
          <w:rFonts w:hint="eastAsia" w:ascii="宋体" w:hAnsi="宋体" w:cs="STZhongsong"/>
          <w:b/>
          <w:bCs/>
          <w:sz w:val="28"/>
          <w:szCs w:val="28"/>
        </w:rPr>
        <w:t xml:space="preserve">  </w:t>
      </w:r>
    </w:p>
    <w:p>
      <w:pPr>
        <w:spacing w:line="480" w:lineRule="auto"/>
        <w:rPr>
          <w:rFonts w:ascii="宋体" w:hAnsi="宋体" w:cs="STZhongsong"/>
          <w:b/>
          <w:bCs/>
          <w:sz w:val="28"/>
          <w:szCs w:val="28"/>
        </w:rPr>
      </w:pPr>
      <w:r>
        <w:rPr>
          <w:rFonts w:hint="eastAsia" w:ascii="宋体" w:hAnsi="宋体" w:cs="STZhongsong"/>
          <w:b/>
          <w:bCs/>
          <w:sz w:val="28"/>
          <w:szCs w:val="28"/>
        </w:rPr>
        <w:t xml:space="preserve">      </w:t>
      </w:r>
      <w:r>
        <w:rPr>
          <w:rFonts w:hint="eastAsia" w:ascii="宋体" w:hAnsi="宋体" w:cs="STZhongsong"/>
          <w:b/>
          <w:bCs/>
          <w:sz w:val="28"/>
          <w:szCs w:val="28"/>
          <w:lang w:val="zh-CN"/>
        </w:rPr>
        <w:t>合同金额（人民币）：</w:t>
      </w:r>
      <w:r>
        <w:rPr>
          <w:rFonts w:hint="eastAsia" w:ascii="宋体" w:hAnsi="宋体" w:cs="STZhongsong"/>
          <w:b/>
          <w:bCs/>
          <w:sz w:val="28"/>
          <w:szCs w:val="28"/>
          <w:u w:val="single"/>
        </w:rPr>
        <w:t xml:space="preserve">                      </w:t>
      </w:r>
    </w:p>
    <w:p>
      <w:pPr>
        <w:autoSpaceDE w:val="0"/>
        <w:autoSpaceDN w:val="0"/>
        <w:adjustRightInd w:val="0"/>
        <w:spacing w:line="360" w:lineRule="auto"/>
        <w:rPr>
          <w:rFonts w:ascii="宋体" w:hAnsi="宋体" w:cs="STZhongsong"/>
          <w:b/>
          <w:bCs/>
          <w:sz w:val="28"/>
          <w:szCs w:val="28"/>
        </w:rPr>
      </w:pPr>
      <w:r>
        <w:rPr>
          <w:rFonts w:hint="eastAsia" w:ascii="宋体" w:hAnsi="宋体" w:cs="STZhongsong"/>
          <w:b/>
          <w:bCs/>
          <w:sz w:val="28"/>
          <w:szCs w:val="28"/>
        </w:rPr>
        <w:t xml:space="preserve">      </w:t>
      </w:r>
      <w:r>
        <w:rPr>
          <w:rFonts w:hint="eastAsia" w:ascii="宋体" w:hAnsi="宋体" w:cs="STZhongsong"/>
          <w:b/>
          <w:bCs/>
          <w:sz w:val="28"/>
          <w:szCs w:val="28"/>
          <w:lang w:val="zh-CN"/>
        </w:rPr>
        <w:t>采购人（甲方）：</w:t>
      </w:r>
      <w:r>
        <w:rPr>
          <w:rFonts w:hint="eastAsia" w:ascii="宋体" w:hAnsi="宋体" w:cs="STZhongsong"/>
          <w:b/>
          <w:bCs/>
          <w:sz w:val="28"/>
          <w:szCs w:val="28"/>
          <w:u w:val="single"/>
        </w:rPr>
        <w:t xml:space="preserve">                   </w:t>
      </w:r>
      <w:r>
        <w:rPr>
          <w:rFonts w:hint="eastAsia" w:ascii="宋体" w:hAnsi="宋体" w:cs="STZhongsong"/>
          <w:b/>
          <w:bCs/>
          <w:sz w:val="28"/>
          <w:szCs w:val="28"/>
          <w:u w:val="single"/>
          <w:lang w:val="zh-CN"/>
        </w:rPr>
        <w:t>（盖章）</w:t>
      </w:r>
    </w:p>
    <w:p>
      <w:pPr>
        <w:autoSpaceDE w:val="0"/>
        <w:autoSpaceDN w:val="0"/>
        <w:adjustRightInd w:val="0"/>
        <w:spacing w:line="360" w:lineRule="auto"/>
        <w:rPr>
          <w:rFonts w:ascii="宋体" w:hAnsi="宋体" w:cs="STZhongsong"/>
          <w:b/>
          <w:bCs/>
          <w:sz w:val="28"/>
          <w:szCs w:val="28"/>
          <w:u w:val="single"/>
        </w:rPr>
      </w:pPr>
      <w:r>
        <w:rPr>
          <w:rFonts w:hint="eastAsia" w:ascii="宋体" w:hAnsi="宋体" w:cs="STZhongsong"/>
          <w:b/>
          <w:bCs/>
          <w:sz w:val="28"/>
          <w:szCs w:val="28"/>
        </w:rPr>
        <w:t xml:space="preserve">      </w:t>
      </w:r>
      <w:r>
        <w:rPr>
          <w:rFonts w:hint="eastAsia" w:ascii="宋体" w:hAnsi="宋体" w:cs="STZhongsong"/>
          <w:b/>
          <w:bCs/>
          <w:sz w:val="28"/>
          <w:szCs w:val="28"/>
          <w:lang w:val="zh-CN"/>
        </w:rPr>
        <w:t>成交供应商（乙方）：</w:t>
      </w:r>
      <w:r>
        <w:rPr>
          <w:rFonts w:hint="eastAsia" w:ascii="宋体" w:hAnsi="宋体" w:cs="STZhongsong"/>
          <w:b/>
          <w:bCs/>
          <w:sz w:val="28"/>
          <w:szCs w:val="28"/>
          <w:u w:val="single"/>
        </w:rPr>
        <w:t xml:space="preserve">               </w:t>
      </w:r>
      <w:r>
        <w:rPr>
          <w:rFonts w:hint="eastAsia" w:ascii="宋体" w:hAnsi="宋体" w:cs="STZhongsong"/>
          <w:b/>
          <w:bCs/>
          <w:sz w:val="28"/>
          <w:szCs w:val="28"/>
          <w:u w:val="single"/>
          <w:lang w:val="zh-CN"/>
        </w:rPr>
        <w:t>（盖章）</w:t>
      </w:r>
    </w:p>
    <w:p>
      <w:pPr>
        <w:autoSpaceDE w:val="0"/>
        <w:autoSpaceDN w:val="0"/>
        <w:adjustRightInd w:val="0"/>
        <w:spacing w:line="360" w:lineRule="auto"/>
        <w:rPr>
          <w:rFonts w:ascii="宋体" w:hAnsi="宋体" w:cs="STZhongsong"/>
          <w:b/>
          <w:bCs/>
          <w:sz w:val="30"/>
          <w:szCs w:val="30"/>
        </w:rPr>
      </w:pPr>
      <w:r>
        <w:rPr>
          <w:rFonts w:hint="eastAsia" w:ascii="宋体" w:hAnsi="宋体" w:cs="STZhongsong"/>
          <w:b/>
          <w:bCs/>
          <w:sz w:val="28"/>
          <w:szCs w:val="28"/>
        </w:rPr>
        <w:t xml:space="preserve">      </w:t>
      </w:r>
      <w:r>
        <w:rPr>
          <w:rFonts w:hint="eastAsia" w:ascii="宋体" w:hAnsi="宋体" w:cs="STZhongsong"/>
          <w:b/>
          <w:bCs/>
          <w:sz w:val="28"/>
          <w:szCs w:val="28"/>
          <w:lang w:val="zh-CN"/>
        </w:rPr>
        <w:t>采购日期：</w:t>
      </w:r>
      <w:r>
        <w:rPr>
          <w:rFonts w:hint="eastAsia" w:ascii="宋体" w:hAnsi="宋体" w:cs="STZhongsong"/>
          <w:b/>
          <w:bCs/>
          <w:sz w:val="28"/>
          <w:szCs w:val="28"/>
          <w:u w:val="single"/>
        </w:rPr>
        <w:t xml:space="preserve">                                 </w:t>
      </w:r>
    </w:p>
    <w:p>
      <w:pPr>
        <w:bidi w:val="0"/>
        <w:rPr>
          <w:rFonts w:hint="eastAsia"/>
        </w:rPr>
      </w:pPr>
      <w:r>
        <w:rPr>
          <w:rFonts w:hint="eastAsia"/>
        </w:rPr>
        <w:t xml:space="preserve"> </w:t>
      </w:r>
    </w:p>
    <w:p>
      <w:pPr>
        <w:bidi w:val="0"/>
        <w:rPr>
          <w:rFonts w:hint="eastAsia"/>
        </w:rPr>
      </w:pPr>
      <w:r>
        <w:rPr>
          <w:rFonts w:hint="eastAsia"/>
        </w:rPr>
        <w:t xml:space="preserve"> </w:t>
      </w: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pStyle w:val="13"/>
        <w:ind w:firstLine="560"/>
        <w:rPr>
          <w:rFonts w:hint="eastAsia" w:asciiTheme="minorEastAsia" w:hAnsiTheme="minorEastAsia" w:eastAsiaTheme="minorEastAsia" w:cstheme="minorEastAsia"/>
          <w:sz w:val="28"/>
          <w:szCs w:val="28"/>
        </w:rPr>
      </w:pPr>
    </w:p>
    <w:p>
      <w:pPr>
        <w:pStyle w:val="13"/>
        <w:ind w:firstLine="560"/>
        <w:rPr>
          <w:rFonts w:hint="eastAsia" w:asciiTheme="minorEastAsia" w:hAnsiTheme="minorEastAsia" w:eastAsiaTheme="minorEastAsia" w:cstheme="minorEastAsia"/>
          <w:sz w:val="28"/>
          <w:szCs w:val="28"/>
        </w:rPr>
      </w:pPr>
    </w:p>
    <w:p>
      <w:pPr>
        <w:spacing w:line="360" w:lineRule="auto"/>
        <w:ind w:firstLine="422" w:firstLineChars="200"/>
        <w:outlineLvl w:val="0"/>
        <w:rPr>
          <w:rFonts w:hint="eastAsia" w:asciiTheme="minorEastAsia" w:hAnsiTheme="minorEastAsia" w:eastAsiaTheme="minorEastAsia" w:cstheme="minorEastAsia"/>
          <w:b/>
          <w:bCs/>
          <w:szCs w:val="22"/>
        </w:rPr>
      </w:pPr>
      <w:bookmarkStart w:id="109" w:name="_Toc7560"/>
      <w:bookmarkStart w:id="110" w:name="_Toc18562"/>
    </w:p>
    <w:p>
      <w:pPr>
        <w:spacing w:line="360" w:lineRule="auto"/>
        <w:ind w:firstLine="422" w:firstLineChars="200"/>
        <w:outlineLvl w:val="0"/>
        <w:rPr>
          <w:rFonts w:hint="eastAsia" w:asciiTheme="minorEastAsia" w:hAnsiTheme="minorEastAsia" w:eastAsiaTheme="minorEastAsia" w:cstheme="minorEastAsia"/>
          <w:b/>
          <w:bCs/>
          <w:szCs w:val="22"/>
        </w:rPr>
      </w:pPr>
    </w:p>
    <w:p>
      <w:pPr>
        <w:spacing w:line="360" w:lineRule="auto"/>
        <w:ind w:firstLine="422" w:firstLineChars="200"/>
        <w:outlineLvl w:val="0"/>
        <w:rPr>
          <w:rFonts w:hint="eastAsia" w:asciiTheme="minorEastAsia" w:hAnsiTheme="minorEastAsia" w:eastAsiaTheme="minorEastAsia" w:cstheme="minorEastAsia"/>
          <w:b/>
          <w:bCs/>
          <w:szCs w:val="22"/>
        </w:rPr>
      </w:pPr>
    </w:p>
    <w:p>
      <w:pPr>
        <w:spacing w:line="360" w:lineRule="auto"/>
        <w:ind w:firstLine="420" w:firstLineChars="200"/>
        <w:outlineLvl w:val="0"/>
        <w:rPr>
          <w:rFonts w:hint="eastAsia" w:asciiTheme="minorEastAsia" w:hAnsiTheme="minorEastAsia" w:eastAsiaTheme="minorEastAsia" w:cstheme="minorEastAsia"/>
          <w:b/>
          <w:bCs/>
          <w:szCs w:val="22"/>
        </w:rPr>
      </w:pPr>
      <w:bookmarkStart w:id="111" w:name="_Toc5787"/>
      <w:r>
        <w:rPr>
          <w:rFonts w:hint="eastAsia" w:asciiTheme="minorEastAsia" w:hAnsiTheme="minorEastAsia" w:eastAsiaTheme="minorEastAsia" w:cstheme="minorEastAsia"/>
          <w:b w:val="0"/>
          <w:bCs w:val="0"/>
          <w:szCs w:val="22"/>
        </w:rPr>
        <w:t>采购人（甲方）：</w:t>
      </w:r>
      <w:bookmarkEnd w:id="109"/>
      <w:bookmarkEnd w:id="110"/>
      <w:bookmarkEnd w:id="111"/>
      <w:r>
        <w:rPr>
          <w:rFonts w:hint="eastAsia" w:asciiTheme="minorEastAsia" w:hAnsiTheme="minorEastAsia" w:eastAsiaTheme="minorEastAsia" w:cstheme="minorEastAsia"/>
          <w:b/>
          <w:bCs/>
          <w:szCs w:val="22"/>
        </w:rPr>
        <w:t xml:space="preserve"> </w:t>
      </w:r>
    </w:p>
    <w:p>
      <w:pPr>
        <w:spacing w:line="360" w:lineRule="auto"/>
        <w:ind w:firstLine="420" w:firstLineChars="200"/>
        <w:outlineLvl w:val="0"/>
        <w:rPr>
          <w:rFonts w:hint="eastAsia" w:asciiTheme="minorEastAsia" w:hAnsiTheme="minorEastAsia" w:eastAsiaTheme="minorEastAsia" w:cstheme="minorEastAsia"/>
          <w:b w:val="0"/>
          <w:bCs w:val="0"/>
          <w:szCs w:val="22"/>
        </w:rPr>
      </w:pPr>
      <w:bookmarkStart w:id="112" w:name="_Toc4274"/>
      <w:bookmarkStart w:id="113" w:name="_Toc27369"/>
      <w:bookmarkStart w:id="114" w:name="_Toc13480"/>
      <w:r>
        <w:rPr>
          <w:rFonts w:hint="eastAsia" w:asciiTheme="minorEastAsia" w:hAnsiTheme="minorEastAsia" w:eastAsiaTheme="minorEastAsia" w:cstheme="minorEastAsia"/>
          <w:b w:val="0"/>
          <w:bCs w:val="0"/>
          <w:szCs w:val="22"/>
        </w:rPr>
        <w:t>中标人（乙方）：</w:t>
      </w:r>
      <w:bookmarkEnd w:id="112"/>
      <w:bookmarkEnd w:id="113"/>
      <w:bookmarkEnd w:id="114"/>
    </w:p>
    <w:p>
      <w:pPr>
        <w:pStyle w:val="7"/>
        <w:spacing w:line="360" w:lineRule="auto"/>
        <w:ind w:left="480" w:firstLine="480"/>
        <w:rPr>
          <w:rFonts w:hint="eastAsia"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甲、乙双方根据</w:t>
      </w:r>
      <w:r>
        <w:rPr>
          <w:rFonts w:hint="eastAsia" w:asciiTheme="minorEastAsia" w:hAnsiTheme="minorEastAsia" w:eastAsiaTheme="minorEastAsia" w:cstheme="minorEastAsia"/>
          <w:bCs/>
          <w:kern w:val="0"/>
          <w:sz w:val="30"/>
          <w:szCs w:val="30"/>
          <w:lang w:val="zh-CN"/>
        </w:rPr>
        <w:t>ⅹⅹⅹⅹ</w:t>
      </w:r>
      <w:r>
        <w:rPr>
          <w:rFonts w:hint="eastAsia" w:asciiTheme="minorEastAsia" w:hAnsiTheme="minorEastAsia" w:eastAsiaTheme="minorEastAsia" w:cstheme="minorEastAsia"/>
          <w:kern w:val="0"/>
          <w:sz w:val="24"/>
          <w:lang w:val="zh-CN"/>
        </w:rPr>
        <w:t>年</w:t>
      </w:r>
      <w:r>
        <w:rPr>
          <w:rFonts w:hint="eastAsia" w:asciiTheme="minorEastAsia" w:hAnsiTheme="minorEastAsia" w:eastAsiaTheme="minorEastAsia" w:cstheme="minorEastAsia"/>
          <w:bCs/>
          <w:kern w:val="0"/>
          <w:sz w:val="30"/>
          <w:szCs w:val="30"/>
          <w:lang w:val="zh-CN"/>
        </w:rPr>
        <w:t>ⅹ</w:t>
      </w:r>
      <w:r>
        <w:rPr>
          <w:rFonts w:hint="eastAsia" w:asciiTheme="minorEastAsia" w:hAnsiTheme="minorEastAsia" w:eastAsiaTheme="minorEastAsia" w:cstheme="minorEastAsia"/>
          <w:kern w:val="0"/>
          <w:sz w:val="24"/>
          <w:lang w:val="zh-CN"/>
        </w:rPr>
        <w:t>月</w:t>
      </w:r>
      <w:r>
        <w:rPr>
          <w:rFonts w:hint="eastAsia" w:asciiTheme="minorEastAsia" w:hAnsiTheme="minorEastAsia" w:eastAsiaTheme="minorEastAsia" w:cstheme="minorEastAsia"/>
          <w:bCs/>
          <w:kern w:val="0"/>
          <w:sz w:val="30"/>
          <w:szCs w:val="30"/>
          <w:lang w:val="zh-CN"/>
        </w:rPr>
        <w:t>ⅹ</w:t>
      </w:r>
      <w:r>
        <w:rPr>
          <w:rFonts w:hint="eastAsia" w:asciiTheme="minorEastAsia" w:hAnsiTheme="minorEastAsia" w:eastAsiaTheme="minorEastAsia" w:cstheme="minorEastAsia"/>
          <w:kern w:val="0"/>
          <w:sz w:val="24"/>
          <w:lang w:val="zh-CN"/>
        </w:rPr>
        <w:t>日</w:t>
      </w:r>
      <w:r>
        <w:rPr>
          <w:rFonts w:hint="eastAsia" w:asciiTheme="minorEastAsia" w:hAnsiTheme="minorEastAsia" w:eastAsiaTheme="minorEastAsia" w:cstheme="minorEastAsia"/>
          <w:kern w:val="0"/>
          <w:sz w:val="24"/>
          <w:u w:val="single"/>
          <w:lang w:val="zh-CN"/>
        </w:rPr>
        <w:t>（采购项目名称）</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lang w:val="zh-CN"/>
        </w:rPr>
        <w:t>采购项目（</w:t>
      </w:r>
      <w:r>
        <w:rPr>
          <w:rFonts w:hint="eastAsia" w:asciiTheme="minorEastAsia" w:hAnsiTheme="minorEastAsia" w:eastAsiaTheme="minorEastAsia" w:cstheme="minorEastAsia"/>
          <w:kern w:val="0"/>
          <w:sz w:val="24"/>
          <w:u w:val="single"/>
          <w:lang w:val="zh-CN"/>
        </w:rPr>
        <w:t>采购项目编号</w:t>
      </w:r>
      <w:r>
        <w:rPr>
          <w:rFonts w:hint="eastAsia" w:asciiTheme="minorEastAsia" w:hAnsiTheme="minorEastAsia" w:eastAsiaTheme="minorEastAsia" w:cstheme="minorEastAsia"/>
          <w:kern w:val="0"/>
          <w:sz w:val="24"/>
          <w:lang w:val="zh-CN"/>
        </w:rPr>
        <w:t>）的竞争性磋商文件要求和集中采购机构出具的《中标通知书》，并经双方协商一致，签订本合同协议书。</w:t>
      </w:r>
    </w:p>
    <w:p>
      <w:pPr>
        <w:autoSpaceDE w:val="0"/>
        <w:autoSpaceDN w:val="0"/>
        <w:adjustRightInd w:val="0"/>
        <w:spacing w:line="360" w:lineRule="auto"/>
        <w:ind w:firstLine="480"/>
        <w:outlineLvl w:val="0"/>
        <w:rPr>
          <w:rFonts w:hint="eastAsia" w:asciiTheme="minorEastAsia" w:hAnsiTheme="minorEastAsia" w:eastAsiaTheme="minorEastAsia" w:cstheme="minorEastAsia"/>
          <w:lang w:val="zh-CN"/>
        </w:rPr>
      </w:pPr>
      <w:bookmarkStart w:id="115" w:name="_Toc12331"/>
      <w:bookmarkStart w:id="116" w:name="_Toc24269"/>
      <w:bookmarkStart w:id="117" w:name="_Toc15187"/>
      <w:r>
        <w:rPr>
          <w:rFonts w:hint="eastAsia" w:asciiTheme="minorEastAsia" w:hAnsiTheme="minorEastAsia" w:eastAsiaTheme="minorEastAsia" w:cstheme="minorEastAsia"/>
          <w:lang w:val="zh-CN"/>
        </w:rPr>
        <w:t>一、签订本政府采购合同的依据</w:t>
      </w:r>
      <w:bookmarkEnd w:id="115"/>
      <w:bookmarkEnd w:id="116"/>
      <w:bookmarkEnd w:id="117"/>
    </w:p>
    <w:p>
      <w:pPr>
        <w:autoSpaceDE w:val="0"/>
        <w:autoSpaceDN w:val="0"/>
        <w:adjustRightInd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本政府采购合同所附下列文件是构成本政府采购合同不可分割的部分：</w:t>
      </w:r>
    </w:p>
    <w:p>
      <w:pPr>
        <w:autoSpaceDE w:val="0"/>
        <w:autoSpaceDN w:val="0"/>
        <w:adjustRightInd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1.竞争性磋商文件；</w:t>
      </w:r>
    </w:p>
    <w:p>
      <w:pPr>
        <w:autoSpaceDE w:val="0"/>
        <w:autoSpaceDN w:val="0"/>
        <w:adjustRightInd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2.竞争性磋商文件的更正、变更公告；</w:t>
      </w:r>
    </w:p>
    <w:p>
      <w:pPr>
        <w:autoSpaceDE w:val="0"/>
        <w:autoSpaceDN w:val="0"/>
        <w:adjustRightInd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3.中标人提交的竞争性磋商响应文件；</w:t>
      </w:r>
    </w:p>
    <w:p>
      <w:pPr>
        <w:autoSpaceDE w:val="0"/>
        <w:autoSpaceDN w:val="0"/>
        <w:adjustRightInd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4.竞争性磋商文件中规定的政府采购合同通用条款；</w:t>
      </w:r>
    </w:p>
    <w:p>
      <w:pPr>
        <w:autoSpaceDE w:val="0"/>
        <w:autoSpaceDN w:val="0"/>
        <w:adjustRightInd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5.中标通知书；</w:t>
      </w:r>
    </w:p>
    <w:p>
      <w:pPr>
        <w:autoSpaceDE w:val="0"/>
        <w:autoSpaceDN w:val="0"/>
        <w:adjustRightInd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6.履约保证金缴费证明；</w:t>
      </w:r>
    </w:p>
    <w:p>
      <w:pPr>
        <w:autoSpaceDE w:val="0"/>
        <w:autoSpaceDN w:val="0"/>
        <w:adjustRightInd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7. 甲、乙双方签订的补充协议。</w:t>
      </w:r>
    </w:p>
    <w:p>
      <w:pPr>
        <w:spacing w:line="360" w:lineRule="auto"/>
        <w:ind w:firstLine="493" w:firstLineChars="235"/>
        <w:outlineLvl w:val="0"/>
        <w:rPr>
          <w:rFonts w:hint="eastAsia" w:asciiTheme="minorEastAsia" w:hAnsiTheme="minorEastAsia" w:eastAsiaTheme="minorEastAsia" w:cstheme="minorEastAsia"/>
        </w:rPr>
      </w:pPr>
      <w:bookmarkStart w:id="118" w:name="_Toc10406"/>
      <w:bookmarkStart w:id="119" w:name="_Toc20706"/>
      <w:bookmarkStart w:id="120" w:name="_Toc8273"/>
      <w:r>
        <w:rPr>
          <w:rFonts w:hint="eastAsia" w:asciiTheme="minorEastAsia" w:hAnsiTheme="minorEastAsia" w:eastAsiaTheme="minorEastAsia" w:cstheme="minorEastAsia"/>
          <w:lang w:val="zh-CN"/>
        </w:rPr>
        <w:t>二、合同标的及金额</w:t>
      </w:r>
      <w:bookmarkEnd w:id="118"/>
      <w:bookmarkEnd w:id="119"/>
      <w:bookmarkEnd w:id="120"/>
    </w:p>
    <w:p>
      <w:pPr>
        <w:wordWrap w:val="0"/>
        <w:autoSpaceDE w:val="0"/>
        <w:autoSpaceDN w:val="0"/>
        <w:adjustRightInd w:val="0"/>
        <w:spacing w:line="360" w:lineRule="auto"/>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根据上述政府采购合同文件要求，本政府采购合同的总金额为人民币</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 xml:space="preserve"> （大写）</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元。</w:t>
      </w:r>
    </w:p>
    <w:p>
      <w:pPr>
        <w:autoSpaceDE w:val="0"/>
        <w:autoSpaceDN w:val="0"/>
        <w:adjustRightInd w:val="0"/>
        <w:spacing w:line="360" w:lineRule="auto"/>
        <w:ind w:firstLine="315" w:firstLineChars="15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本合同以人民币进行结算，投标报价必须包括：产品费、验收费、手续费、包装费、运输费、保险费、安装费、调试费、培训费、售前、售中、售后服务费、中标服务费、入关手续费及不可预见费等全部费用。</w:t>
      </w:r>
    </w:p>
    <w:p>
      <w:pPr>
        <w:autoSpaceDE w:val="0"/>
        <w:autoSpaceDN w:val="0"/>
        <w:adjustRightInd w:val="0"/>
        <w:spacing w:line="360" w:lineRule="auto"/>
        <w:ind w:firstLine="420" w:firstLineChars="200"/>
        <w:outlineLvl w:val="0"/>
        <w:rPr>
          <w:rFonts w:hint="eastAsia" w:asciiTheme="minorEastAsia" w:hAnsiTheme="minorEastAsia" w:eastAsiaTheme="minorEastAsia" w:cstheme="minorEastAsia"/>
          <w:lang w:val="zh-CN"/>
        </w:rPr>
      </w:pPr>
      <w:bookmarkStart w:id="121" w:name="_Toc29496"/>
      <w:bookmarkStart w:id="122" w:name="_Toc29702"/>
      <w:bookmarkStart w:id="123" w:name="_Toc30219"/>
      <w:r>
        <w:rPr>
          <w:rFonts w:hint="eastAsia" w:asciiTheme="minorEastAsia" w:hAnsiTheme="minorEastAsia" w:eastAsiaTheme="minorEastAsia" w:cstheme="minorEastAsia"/>
          <w:lang w:val="zh-CN"/>
        </w:rPr>
        <w:t>三、交付时间、地点和要求</w:t>
      </w:r>
      <w:bookmarkEnd w:id="121"/>
      <w:bookmarkEnd w:id="122"/>
      <w:bookmarkEnd w:id="123"/>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1.</w:t>
      </w:r>
      <w:r>
        <w:rPr>
          <w:rFonts w:hint="eastAsia" w:asciiTheme="minorEastAsia" w:hAnsiTheme="minorEastAsia" w:eastAsiaTheme="minorEastAsia" w:cstheme="minorEastAsia"/>
          <w:lang w:val="en-US" w:eastAsia="zh-CN"/>
        </w:rPr>
        <w:t>交货期</w:t>
      </w: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合同签订起</w:t>
      </w:r>
      <w:r>
        <w:rPr>
          <w:rFonts w:hint="eastAsia" w:asciiTheme="minorEastAsia" w:hAnsiTheme="minorEastAsia" w:cstheme="minorEastAsia"/>
          <w:color w:val="000000" w:themeColor="text1"/>
          <w:u w:val="single"/>
          <w:lang w:val="en-US" w:eastAsia="zh-CN"/>
          <w14:textFill>
            <w14:solidFill>
              <w14:schemeClr w14:val="tx1"/>
            </w14:solidFill>
          </w14:textFill>
        </w:rPr>
        <w:t>20日历</w:t>
      </w:r>
      <w:r>
        <w:rPr>
          <w:rFonts w:hint="eastAsia" w:asciiTheme="minorEastAsia" w:hAnsiTheme="minorEastAsia" w:eastAsiaTheme="minorEastAsia" w:cstheme="minorEastAsia"/>
          <w:color w:val="000000" w:themeColor="text1"/>
          <w:u w:val="single"/>
          <w:lang w:val="zh-CN"/>
          <w14:textFill>
            <w14:solidFill>
              <w14:schemeClr w14:val="tx1"/>
            </w14:solidFill>
          </w14:textFill>
        </w:rPr>
        <w:t>天</w:t>
      </w:r>
      <w:r>
        <w:rPr>
          <w:rFonts w:hint="eastAsia" w:asciiTheme="minorEastAsia" w:hAnsiTheme="minorEastAsia" w:eastAsiaTheme="minorEastAsia" w:cstheme="minorEastAsia"/>
          <w:lang w:val="zh-CN"/>
        </w:rPr>
        <w:t>；</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kern w:val="2"/>
          <w:sz w:val="21"/>
        </w:rPr>
        <mc:AlternateContent>
          <mc:Choice Requires="wps">
            <w:drawing>
              <wp:anchor distT="0" distB="0" distL="114300" distR="114300" simplePos="0" relativeHeight="251834368" behindDoc="0" locked="0" layoutInCell="1" allowOverlap="1">
                <wp:simplePos x="0" y="0"/>
                <wp:positionH relativeFrom="column">
                  <wp:posOffset>1008380</wp:posOffset>
                </wp:positionH>
                <wp:positionV relativeFrom="paragraph">
                  <wp:posOffset>224790</wp:posOffset>
                </wp:positionV>
                <wp:extent cx="1476375" cy="635"/>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flipV="1">
                          <a:off x="0" y="0"/>
                          <a:ext cx="147637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79.4pt;margin-top:17.7pt;height:0.05pt;width:116.25pt;z-index:251834368;mso-width-relative:page;mso-height-relative:page;" filled="f" stroked="t" coordsize="21600,21600" o:gfxdata="UEsDBAoAAAAAAIdO4kAAAAAAAAAAAAAAAAAEAAAAZHJzL1BLAwQUAAAACACHTuJAkmGG/NcAAAAJ&#10;AQAADwAAAGRycy9kb3ducmV2LnhtbE2PwU7DMBBE70j8g7VI3KidhqA2jVMhBFyQkFoCZyfeJhHx&#10;OordtPw92xMcZ2c087bYnt0gZpxC70lDslAgkBpve2o1VB8vdysQIRqyZvCEGn4wwLa8vipMbv2J&#10;djjvYyu4hEJuNHQxjrmUoenQmbDwIxJ7Bz85E1lOrbSTOXG5G+RSqQfpTE+80JkRnzpsvvdHp+Hx&#10;6+05fZ9r5we7bqtP6yr1utT69iZRGxARz/EvDBd8RoeSmWp/JBvEwDpbMXrUkGb3IDiQrpMURH05&#10;ZCDLQv7/oPwFUEsDBBQAAAAIAIdO4kAUIemb0gEAAGgDAAAOAAAAZHJzL2Uyb0RvYy54bWytU72O&#10;EzEQ7pF4B8s92SRHcrDK5oqcjuaASHfQO/7ZtbA9lu1kNy/BCyDRQUVJz9twPAZjJxc46BApRvHM&#10;N9/MfDO7uBisITsZogbX0MloTIl0HIR2bUPf3F49eUZJTMwJZsDJhu5lpBfLx48Wva/lFDowQgaC&#10;JC7WvW9ol5KvqyryTloWR+Clw6CCYFnCZ2grEViP7NZU0/F4XvUQhA/AZYzovTwE6bLwKyV5eq1U&#10;lImYhmJvqdhQ7CbbarlgdRuY7zQ/tsH+oQvLtMOiJ6pLlhjZBv0XldU8QASVRhxsBUppLssMOM1k&#10;/Mc0Nx3zssyC4kR/kin+P1r+arcORAvcHSWOWVzR3Yev399/+vHtI9q7L5/JJIvU+1gjduXWIY/J&#10;B3fjr4G/i8TBqmOulaXZ271HhpJRPUjJj+ix1KZ/CQIxbJugKDaoYIky2r/NiZkcVSFDWdH+tCI5&#10;JMLROXl6Pj87n1HCMTY/m+XeKlZnkpzqQ0wvJFiS/zTUaJf1YzXbXcd0gN5DstvBlTam3IBxpG/o&#10;89l0VhIiGC1yMMNiaDcrE8iO5Ssqv2PdB7AAWycORYzDtu5nPqi3AbFfhxzOflxnafx4evlefn8X&#10;1K8PZP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mGG/NcAAAAJAQAADwAAAAAAAAABACAAAAAi&#10;AAAAZHJzL2Rvd25yZXYueG1sUEsBAhQAFAAAAAgAh07iQBQh6ZvSAQAAaAMAAA4AAAAAAAAAAQAg&#10;AAAAJgEAAGRycy9lMm9Eb2MueG1sUEsFBgAAAAAGAAYAWQEAAGoFA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lang w:val="zh-CN"/>
        </w:rPr>
        <w:t>2.</w:t>
      </w:r>
      <w:r>
        <w:rPr>
          <w:rFonts w:hint="eastAsia" w:asciiTheme="minorEastAsia" w:hAnsiTheme="minorEastAsia" w:eastAsiaTheme="minorEastAsia" w:cstheme="minorEastAsia"/>
          <w:lang w:val="en-US" w:eastAsia="zh-CN"/>
        </w:rPr>
        <w:t>交货</w:t>
      </w:r>
      <w:r>
        <w:rPr>
          <w:rFonts w:hint="eastAsia" w:asciiTheme="minorEastAsia" w:hAnsiTheme="minorEastAsia" w:eastAsiaTheme="minorEastAsia" w:cstheme="minorEastAsia"/>
          <w:lang w:val="zh-CN"/>
        </w:rPr>
        <w:t>地</w:t>
      </w:r>
      <w:r>
        <w:rPr>
          <w:rFonts w:hint="eastAsia" w:asciiTheme="minorEastAsia" w:hAnsiTheme="minorEastAsia" w:eastAsiaTheme="minorEastAsia" w:cstheme="minorEastAsia"/>
          <w:u w:val="none"/>
          <w:lang w:val="zh-CN"/>
        </w:rPr>
        <w:t>点</w:t>
      </w: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lang w:val="en-US" w:eastAsia="zh-CN"/>
        </w:rPr>
        <w:t>甲</w:t>
      </w:r>
      <w:r>
        <w:rPr>
          <w:rFonts w:hint="eastAsia" w:asciiTheme="minorEastAsia" w:hAnsiTheme="minorEastAsia" w:eastAsiaTheme="minorEastAsia" w:cstheme="minorEastAsia"/>
          <w:lang w:val="zh-CN"/>
        </w:rPr>
        <w:t xml:space="preserve">方指定地点   </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3.乙方提供不符合招投标文件和本合同规定的产品，甲方有权拒绝接受。</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4.甲方应当在服务完成后</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个工作日内进行验收，逾期不验收的，乙方可视为验收合格。验收合格后，由甲乙双方签署产品验收单并加盖采购人公章，甲乙双方各执一份。</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5.甲方在验收过程中发现乙方有违约问题，可按招、投标文件的规定要求乙方及时予以解决。</w:t>
      </w:r>
    </w:p>
    <w:p>
      <w:pPr>
        <w:pStyle w:val="6"/>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6.乙方向甲方提供产品相关完税销售发票。</w:t>
      </w:r>
    </w:p>
    <w:p>
      <w:pPr>
        <w:autoSpaceDE w:val="0"/>
        <w:autoSpaceDN w:val="0"/>
        <w:adjustRightInd w:val="0"/>
        <w:spacing w:line="360" w:lineRule="auto"/>
        <w:ind w:firstLine="420" w:firstLineChars="200"/>
        <w:outlineLvl w:val="0"/>
        <w:rPr>
          <w:rFonts w:hint="eastAsia" w:asciiTheme="minorEastAsia" w:hAnsiTheme="minorEastAsia" w:eastAsiaTheme="minorEastAsia" w:cstheme="minorEastAsia"/>
          <w:lang w:val="zh-CN"/>
        </w:rPr>
      </w:pPr>
      <w:bookmarkStart w:id="124" w:name="_Toc26564"/>
      <w:bookmarkStart w:id="125" w:name="_Toc30401"/>
      <w:bookmarkStart w:id="126" w:name="_Toc15607"/>
      <w:r>
        <w:rPr>
          <w:rFonts w:hint="eastAsia" w:asciiTheme="minorEastAsia" w:hAnsiTheme="minorEastAsia" w:eastAsiaTheme="minorEastAsia" w:cstheme="minorEastAsia"/>
          <w:lang w:val="zh-CN"/>
        </w:rPr>
        <w:t>四、付款方式</w:t>
      </w:r>
      <w:bookmarkEnd w:id="124"/>
      <w:bookmarkEnd w:id="125"/>
      <w:bookmarkEnd w:id="126"/>
    </w:p>
    <w:p>
      <w:pPr>
        <w:pStyle w:val="6"/>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双方自行协商。</w:t>
      </w:r>
    </w:p>
    <w:p>
      <w:pPr>
        <w:autoSpaceDE w:val="0"/>
        <w:autoSpaceDN w:val="0"/>
        <w:spacing w:line="360" w:lineRule="auto"/>
        <w:ind w:firstLine="480"/>
        <w:outlineLvl w:val="0"/>
        <w:rPr>
          <w:rFonts w:hint="eastAsia" w:asciiTheme="minorEastAsia" w:hAnsiTheme="minorEastAsia" w:eastAsiaTheme="minorEastAsia" w:cstheme="minorEastAsia"/>
          <w:lang w:val="zh-CN"/>
        </w:rPr>
      </w:pPr>
      <w:bookmarkStart w:id="127" w:name="_Toc15586"/>
      <w:bookmarkStart w:id="128" w:name="_Toc6948"/>
      <w:bookmarkStart w:id="129" w:name="_Toc21220"/>
      <w:r>
        <w:rPr>
          <w:rFonts w:hint="eastAsia" w:asciiTheme="minorEastAsia" w:hAnsiTheme="minorEastAsia" w:eastAsiaTheme="minorEastAsia" w:cstheme="minorEastAsia"/>
          <w:lang w:val="zh-CN"/>
        </w:rPr>
        <w:t>五、合同的变更、终止与转让</w:t>
      </w:r>
      <w:bookmarkEnd w:id="127"/>
      <w:bookmarkEnd w:id="128"/>
      <w:bookmarkEnd w:id="129"/>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1.除《中华人民共和国政府采购法》第50条规定的情形外，本合同一经签订，甲乙双方不得擅自变更、中止或终止。</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2.乙方不得擅自转让其应履行的合同义务。</w:t>
      </w:r>
    </w:p>
    <w:p>
      <w:pPr>
        <w:autoSpaceDE w:val="0"/>
        <w:autoSpaceDN w:val="0"/>
        <w:spacing w:line="360" w:lineRule="auto"/>
        <w:ind w:firstLine="480"/>
        <w:outlineLvl w:val="0"/>
        <w:rPr>
          <w:rFonts w:hint="eastAsia" w:asciiTheme="minorEastAsia" w:hAnsiTheme="minorEastAsia" w:eastAsiaTheme="minorEastAsia" w:cstheme="minorEastAsia"/>
          <w:lang w:val="zh-CN"/>
        </w:rPr>
      </w:pPr>
      <w:bookmarkStart w:id="130" w:name="_Toc18658"/>
      <w:bookmarkStart w:id="131" w:name="_Toc26453"/>
      <w:bookmarkStart w:id="132" w:name="_Toc938"/>
      <w:r>
        <w:rPr>
          <w:rFonts w:hint="eastAsia" w:asciiTheme="minorEastAsia" w:hAnsiTheme="minorEastAsia" w:eastAsiaTheme="minorEastAsia" w:cstheme="minorEastAsia"/>
          <w:lang w:val="zh-CN"/>
        </w:rPr>
        <w:t>六、违约责任</w:t>
      </w:r>
      <w:bookmarkEnd w:id="130"/>
      <w:bookmarkEnd w:id="131"/>
      <w:bookmarkEnd w:id="132"/>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1.乙方所提供的服务时间、服务质量不合格的，应及时改正；改正不及时的，按逾期交货处罚。</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2.其它违约行为按违约货款额5%收取违约金并赔偿经济损失。</w:t>
      </w:r>
    </w:p>
    <w:p>
      <w:pPr>
        <w:autoSpaceDE w:val="0"/>
        <w:autoSpaceDN w:val="0"/>
        <w:spacing w:line="360" w:lineRule="auto"/>
        <w:ind w:firstLine="480"/>
        <w:outlineLvl w:val="0"/>
        <w:rPr>
          <w:rFonts w:hint="eastAsia" w:asciiTheme="minorEastAsia" w:hAnsiTheme="minorEastAsia" w:eastAsiaTheme="minorEastAsia" w:cstheme="minorEastAsia"/>
          <w:lang w:val="zh-CN"/>
        </w:rPr>
      </w:pPr>
      <w:bookmarkStart w:id="133" w:name="_Toc22603"/>
      <w:bookmarkStart w:id="134" w:name="_Toc30423"/>
      <w:bookmarkStart w:id="135" w:name="_Toc9254"/>
      <w:r>
        <w:rPr>
          <w:rFonts w:hint="eastAsia" w:asciiTheme="minorEastAsia" w:hAnsiTheme="minorEastAsia" w:eastAsiaTheme="minorEastAsia" w:cstheme="minorEastAsia"/>
          <w:lang w:val="zh-CN"/>
        </w:rPr>
        <w:t>七、不可抗力</w:t>
      </w:r>
      <w:bookmarkEnd w:id="133"/>
      <w:bookmarkEnd w:id="134"/>
      <w:bookmarkEnd w:id="135"/>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不可抗力使合同的某些内容有变更必要的，双方应通过协商在   天内达成进一步履行合同的协议，因不可抗力致使合同不能履行的，合同终止。</w:t>
      </w:r>
    </w:p>
    <w:p>
      <w:pPr>
        <w:autoSpaceDE w:val="0"/>
        <w:autoSpaceDN w:val="0"/>
        <w:spacing w:line="360" w:lineRule="auto"/>
        <w:ind w:firstLine="480"/>
        <w:outlineLvl w:val="0"/>
        <w:rPr>
          <w:rFonts w:hint="eastAsia" w:asciiTheme="minorEastAsia" w:hAnsiTheme="minorEastAsia" w:eastAsiaTheme="minorEastAsia" w:cstheme="minorEastAsia"/>
          <w:lang w:val="zh-CN"/>
        </w:rPr>
      </w:pPr>
      <w:bookmarkStart w:id="136" w:name="_Toc10171"/>
      <w:bookmarkStart w:id="137" w:name="_Toc14594"/>
      <w:bookmarkStart w:id="138" w:name="_Toc1342"/>
      <w:r>
        <w:rPr>
          <w:rFonts w:hint="eastAsia" w:asciiTheme="minorEastAsia" w:hAnsiTheme="minorEastAsia" w:eastAsiaTheme="minorEastAsia" w:cstheme="minorEastAsia"/>
          <w:lang w:val="zh-CN"/>
        </w:rPr>
        <w:t>八、知识产权：详见合同通用条款</w:t>
      </w:r>
      <w:bookmarkEnd w:id="136"/>
      <w:bookmarkEnd w:id="137"/>
      <w:bookmarkEnd w:id="138"/>
    </w:p>
    <w:p>
      <w:pPr>
        <w:autoSpaceDE w:val="0"/>
        <w:autoSpaceDN w:val="0"/>
        <w:spacing w:line="360" w:lineRule="auto"/>
        <w:ind w:firstLine="480"/>
        <w:outlineLvl w:val="0"/>
        <w:rPr>
          <w:rFonts w:hint="eastAsia" w:asciiTheme="minorEastAsia" w:hAnsiTheme="minorEastAsia" w:eastAsiaTheme="minorEastAsia" w:cstheme="minorEastAsia"/>
          <w:lang w:val="zh-CN"/>
        </w:rPr>
      </w:pPr>
      <w:bookmarkStart w:id="139" w:name="_Toc30525"/>
      <w:bookmarkStart w:id="140" w:name="_Toc2785"/>
      <w:bookmarkStart w:id="141" w:name="_Toc31135"/>
      <w:r>
        <w:rPr>
          <w:rFonts w:hint="eastAsia" w:asciiTheme="minorEastAsia" w:hAnsiTheme="minorEastAsia" w:eastAsiaTheme="minorEastAsia" w:cstheme="minorEastAsia"/>
          <w:lang w:val="zh-CN"/>
        </w:rPr>
        <w:t>九、其他约定：</w:t>
      </w:r>
      <w:bookmarkEnd w:id="139"/>
      <w:bookmarkEnd w:id="140"/>
      <w:bookmarkEnd w:id="141"/>
    </w:p>
    <w:p>
      <w:pPr>
        <w:autoSpaceDE w:val="0"/>
        <w:autoSpaceDN w:val="0"/>
        <w:spacing w:line="360" w:lineRule="auto"/>
        <w:ind w:firstLine="480"/>
        <w:outlineLvl w:val="0"/>
        <w:rPr>
          <w:rFonts w:hint="eastAsia" w:asciiTheme="minorEastAsia" w:hAnsiTheme="minorEastAsia" w:eastAsiaTheme="minorEastAsia" w:cstheme="minorEastAsia"/>
          <w:lang w:val="zh-CN"/>
        </w:rPr>
      </w:pPr>
      <w:bookmarkStart w:id="142" w:name="_Toc22424"/>
      <w:bookmarkStart w:id="143" w:name="_Toc959"/>
      <w:bookmarkStart w:id="144" w:name="_Toc21469"/>
      <w:r>
        <w:rPr>
          <w:rFonts w:hint="eastAsia" w:asciiTheme="minorEastAsia" w:hAnsiTheme="minorEastAsia" w:eastAsiaTheme="minorEastAsia" w:cstheme="minorEastAsia"/>
          <w:lang w:val="zh-CN"/>
        </w:rPr>
        <w:t>十、合同争议解决</w:t>
      </w:r>
      <w:bookmarkEnd w:id="142"/>
      <w:bookmarkEnd w:id="143"/>
      <w:bookmarkEnd w:id="144"/>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1.因履行本合同引起的或与本合同有关的争议，甲乙双方应首先通过友好协商解决，如果协商不能解决，可向甲方所在地仲裁委员会申请仲裁或向甲方所在地人民法院提起诉讼。</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2.诉讼期间，本合同继续履行。</w:t>
      </w:r>
    </w:p>
    <w:p>
      <w:pPr>
        <w:autoSpaceDE w:val="0"/>
        <w:autoSpaceDN w:val="0"/>
        <w:spacing w:line="360" w:lineRule="auto"/>
        <w:ind w:firstLine="480"/>
        <w:outlineLvl w:val="0"/>
        <w:rPr>
          <w:rFonts w:hint="eastAsia" w:asciiTheme="minorEastAsia" w:hAnsiTheme="minorEastAsia" w:eastAsiaTheme="minorEastAsia" w:cstheme="minorEastAsia"/>
          <w:lang w:val="zh-CN"/>
        </w:rPr>
      </w:pPr>
      <w:bookmarkStart w:id="145" w:name="_Toc7311"/>
      <w:bookmarkStart w:id="146" w:name="_Toc11818"/>
      <w:bookmarkStart w:id="147" w:name="_Toc28909"/>
      <w:r>
        <w:rPr>
          <w:rFonts w:hint="eastAsia" w:asciiTheme="minorEastAsia" w:hAnsiTheme="minorEastAsia" w:eastAsiaTheme="minorEastAsia" w:cstheme="minorEastAsia"/>
          <w:lang w:val="zh-CN"/>
        </w:rPr>
        <w:t>十一、合同生效及其它：</w:t>
      </w:r>
      <w:bookmarkEnd w:id="145"/>
      <w:bookmarkEnd w:id="146"/>
      <w:bookmarkEnd w:id="147"/>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1.本合同一式</w:t>
      </w:r>
      <w:r>
        <w:rPr>
          <w:rFonts w:hint="eastAsia" w:asciiTheme="minorEastAsia" w:hAnsiTheme="minorEastAsia" w:eastAsiaTheme="minorEastAsia" w:cstheme="minorEastAsia"/>
          <w:u w:val="single"/>
          <w:lang w:val="zh-CN"/>
        </w:rPr>
        <w:t>八</w:t>
      </w:r>
      <w:r>
        <w:rPr>
          <w:rFonts w:hint="eastAsia" w:asciiTheme="minorEastAsia" w:hAnsiTheme="minorEastAsia" w:eastAsiaTheme="minorEastAsia" w:cstheme="minorEastAsia"/>
          <w:lang w:val="zh-CN"/>
        </w:rPr>
        <w:t>份，经双方签字，并加盖公章即为生效。</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2.本合同未尽事宜，按经济合同法有关规定处理。</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3.本合同的组成包含《合同通用条款》。</w:t>
      </w: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甲方（盖章）：                         乙方（盖章）：</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法定代表人或委托代理人：               法定代表人或委托代理人：</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 xml:space="preserve">                                       开户银行：</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 xml:space="preserve">                                       账号：</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地址：                                 地址：</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联系电话：                             联系电话：</w:t>
      </w:r>
    </w:p>
    <w:p>
      <w:pPr>
        <w:autoSpaceDE w:val="0"/>
        <w:autoSpaceDN w:val="0"/>
        <w:spacing w:line="360" w:lineRule="auto"/>
        <w:ind w:firstLine="1155" w:firstLineChars="55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签约时间：    年    月    日</w:t>
      </w: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采购代理机构：</w:t>
      </w:r>
    </w:p>
    <w:p>
      <w:pPr>
        <w:autoSpaceDE w:val="0"/>
        <w:autoSpaceDN w:val="0"/>
        <w:spacing w:line="360" w:lineRule="auto"/>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负责人或经办人：</w:t>
      </w:r>
    </w:p>
    <w:p>
      <w:pPr>
        <w:autoSpaceDE w:val="0"/>
        <w:autoSpaceDN w:val="0"/>
        <w:adjustRightInd w:val="0"/>
        <w:spacing w:line="360" w:lineRule="auto"/>
        <w:ind w:firstLine="420" w:firstLineChars="20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时间：    年    月    日</w:t>
      </w:r>
    </w:p>
    <w:p>
      <w:pPr>
        <w:autoSpaceDE w:val="0"/>
        <w:autoSpaceDN w:val="0"/>
        <w:adjustRightInd w:val="0"/>
        <w:spacing w:line="360" w:lineRule="auto"/>
        <w:rPr>
          <w:rFonts w:hint="eastAsia" w:asciiTheme="minorEastAsia" w:hAnsiTheme="minorEastAsia" w:eastAsiaTheme="minorEastAsia" w:cstheme="minorEastAsia"/>
          <w:lang w:val="zh-CN"/>
        </w:rPr>
      </w:pPr>
    </w:p>
    <w:p>
      <w:pPr>
        <w:autoSpaceDE w:val="0"/>
        <w:autoSpaceDN w:val="0"/>
        <w:adjustRightInd w:val="0"/>
        <w:spacing w:line="360" w:lineRule="auto"/>
        <w:rPr>
          <w:rFonts w:hint="eastAsia" w:asciiTheme="minorEastAsia" w:hAnsiTheme="minorEastAsia" w:eastAsiaTheme="minorEastAsia" w:cstheme="minorEastAsia"/>
          <w:lang w:val="zh-CN"/>
        </w:rPr>
      </w:pPr>
    </w:p>
    <w:p>
      <w:pPr>
        <w:autoSpaceDE w:val="0"/>
        <w:autoSpaceDN w:val="0"/>
        <w:adjustRightInd w:val="0"/>
        <w:spacing w:line="360" w:lineRule="auto"/>
        <w:rPr>
          <w:rFonts w:hint="eastAsia" w:asciiTheme="minorEastAsia" w:hAnsiTheme="minorEastAsia" w:eastAsiaTheme="minorEastAsia" w:cstheme="minorEastAsia"/>
          <w:lang w:val="zh-CN"/>
        </w:rPr>
      </w:pPr>
    </w:p>
    <w:p>
      <w:pPr>
        <w:autoSpaceDE w:val="0"/>
        <w:autoSpaceDN w:val="0"/>
        <w:adjustRightInd w:val="0"/>
        <w:spacing w:line="360" w:lineRule="auto"/>
        <w:ind w:firstLine="317" w:firstLineChars="151"/>
        <w:rPr>
          <w:rFonts w:hint="eastAsia" w:asciiTheme="minorEastAsia" w:hAnsiTheme="minorEastAsia" w:eastAsiaTheme="minorEastAsia" w:cstheme="minorEastAsia"/>
          <w:lang w:val="zh-CN"/>
        </w:rPr>
      </w:pPr>
    </w:p>
    <w:p>
      <w:pPr>
        <w:autoSpaceDE w:val="0"/>
        <w:autoSpaceDN w:val="0"/>
        <w:adjustRightInd w:val="0"/>
        <w:spacing w:line="400" w:lineRule="exact"/>
        <w:rPr>
          <w:rFonts w:hint="eastAsia" w:asciiTheme="minorEastAsia" w:hAnsiTheme="minorEastAsia" w:eastAsiaTheme="minorEastAsia" w:cstheme="minorEastAsia"/>
          <w:lang w:val="zh-CN"/>
        </w:rPr>
      </w:pPr>
    </w:p>
    <w:p>
      <w:pPr>
        <w:autoSpaceDE w:val="0"/>
        <w:autoSpaceDN w:val="0"/>
        <w:adjustRightInd w:val="0"/>
        <w:spacing w:line="400" w:lineRule="exact"/>
        <w:rPr>
          <w:rFonts w:hint="eastAsia" w:asciiTheme="minorEastAsia" w:hAnsiTheme="minorEastAsia" w:eastAsiaTheme="minorEastAsia" w:cstheme="minorEastAsia"/>
          <w:lang w:val="zh-CN"/>
        </w:rPr>
      </w:pPr>
    </w:p>
    <w:p>
      <w:pPr>
        <w:autoSpaceDE w:val="0"/>
        <w:autoSpaceDN w:val="0"/>
        <w:adjustRightInd w:val="0"/>
        <w:spacing w:line="400" w:lineRule="exact"/>
        <w:rPr>
          <w:rFonts w:hint="eastAsia" w:asciiTheme="minorEastAsia" w:hAnsiTheme="minorEastAsia" w:eastAsiaTheme="minorEastAsia" w:cstheme="minorEastAsia"/>
          <w:lang w:val="zh-CN"/>
        </w:rPr>
      </w:pPr>
    </w:p>
    <w:p>
      <w:pPr>
        <w:autoSpaceDE w:val="0"/>
        <w:autoSpaceDN w:val="0"/>
        <w:adjustRightInd w:val="0"/>
        <w:spacing w:line="400" w:lineRule="exact"/>
        <w:rPr>
          <w:rFonts w:hint="eastAsia" w:asciiTheme="minorEastAsia" w:hAnsiTheme="minorEastAsia" w:eastAsiaTheme="minorEastAsia" w:cstheme="minorEastAsia"/>
          <w:lang w:val="zh-CN"/>
        </w:rPr>
      </w:pPr>
    </w:p>
    <w:p>
      <w:pPr>
        <w:rPr>
          <w:rFonts w:hint="eastAsia" w:asciiTheme="minorEastAsia" w:hAnsiTheme="minorEastAsia" w:eastAsiaTheme="minorEastAsia" w:cstheme="minorEastAsia"/>
          <w:lang w:val="zh-CN"/>
        </w:rPr>
      </w:pPr>
    </w:p>
    <w:p>
      <w:pPr>
        <w:rPr>
          <w:rFonts w:hint="eastAsia" w:asciiTheme="minorEastAsia" w:hAnsiTheme="minorEastAsia" w:eastAsiaTheme="minorEastAsia" w:cstheme="minorEastAsia"/>
          <w:lang w:val="zh-CN"/>
        </w:rPr>
      </w:pPr>
    </w:p>
    <w:p>
      <w:pPr>
        <w:pStyle w:val="15"/>
        <w:outlineLvl w:val="9"/>
        <w:rPr>
          <w:rFonts w:hint="eastAsia"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br w:type="page"/>
      </w:r>
    </w:p>
    <w:p>
      <w:pPr>
        <w:pStyle w:val="3"/>
        <w:bidi w:val="0"/>
        <w:rPr>
          <w:rFonts w:hint="eastAsia"/>
        </w:rPr>
      </w:pPr>
      <w:bookmarkStart w:id="148" w:name="_Toc31018"/>
      <w:bookmarkStart w:id="149" w:name="_Toc7533"/>
      <w:bookmarkStart w:id="150" w:name="_Toc15368"/>
      <w:r>
        <w:rPr>
          <w:rFonts w:hint="eastAsia"/>
          <w:lang w:val="zh-CN"/>
        </w:rPr>
        <w:t>合同通用条款</w:t>
      </w:r>
      <w:bookmarkEnd w:id="148"/>
      <w:bookmarkEnd w:id="149"/>
      <w:bookmarkEnd w:id="150"/>
    </w:p>
    <w:p>
      <w:pPr>
        <w:autoSpaceDE w:val="0"/>
        <w:autoSpaceDN w:val="0"/>
        <w:adjustRightInd w:val="0"/>
        <w:spacing w:line="360" w:lineRule="auto"/>
        <w:rPr>
          <w:rFonts w:hint="eastAsia" w:asciiTheme="minorEastAsia" w:hAnsiTheme="minorEastAsia" w:eastAsiaTheme="minorEastAsia" w:cstheme="minorEastAsia"/>
          <w:color w:val="000000"/>
          <w:sz w:val="28"/>
          <w:szCs w:val="28"/>
        </w:rPr>
      </w:pP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根据《中华人民共和国合同法》、《中华人民共和国政府采购法》的规定，合同双方经协商达成一致，自愿订立本合同，遵循公平原则明确双方的权利、义务，确保双方诚实守信地履行合同。</w:t>
      </w:r>
    </w:p>
    <w:p>
      <w:pPr>
        <w:autoSpaceDE w:val="0"/>
        <w:autoSpaceDN w:val="0"/>
        <w:spacing w:line="360" w:lineRule="auto"/>
        <w:outlineLvl w:val="1"/>
        <w:rPr>
          <w:rFonts w:hint="eastAsia" w:asciiTheme="minorEastAsia" w:hAnsiTheme="minorEastAsia" w:eastAsiaTheme="minorEastAsia" w:cstheme="minorEastAsia"/>
          <w:b/>
          <w:bCs/>
          <w:color w:val="000000"/>
        </w:rPr>
      </w:pPr>
      <w:bookmarkStart w:id="151" w:name="_Toc30566"/>
      <w:bookmarkStart w:id="152" w:name="_Toc18552"/>
      <w:r>
        <w:rPr>
          <w:rFonts w:hint="eastAsia" w:asciiTheme="minorEastAsia" w:hAnsiTheme="minorEastAsia" w:eastAsiaTheme="minorEastAsia" w:cstheme="minorEastAsia"/>
          <w:b/>
          <w:bCs/>
          <w:color w:val="000000"/>
        </w:rPr>
        <w:t>1.</w:t>
      </w:r>
      <w:r>
        <w:rPr>
          <w:rFonts w:hint="eastAsia" w:asciiTheme="minorEastAsia" w:hAnsiTheme="minorEastAsia" w:eastAsiaTheme="minorEastAsia" w:cstheme="minorEastAsia"/>
          <w:b/>
          <w:bCs/>
          <w:color w:val="000000"/>
          <w:lang w:val="zh-CN"/>
        </w:rPr>
        <w:t>定义</w:t>
      </w:r>
      <w:bookmarkEnd w:id="151"/>
      <w:bookmarkEnd w:id="152"/>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本合同中的下列术语应解释为：</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 </w:t>
      </w:r>
      <w:r>
        <w:rPr>
          <w:rFonts w:hint="eastAsia" w:asciiTheme="minorEastAsia" w:hAnsiTheme="minorEastAsia" w:eastAsiaTheme="minorEastAsia" w:cstheme="minorEastAsia"/>
          <w:color w:val="000000"/>
          <w:lang w:val="zh-CN"/>
        </w:rPr>
        <w:t>“合同”指甲乙双方签署的、载明的甲乙双方权利义务的协议，包括所有的附件、附录和上述文件所提到的构成合同的所有文件。</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1.2 </w:t>
      </w:r>
      <w:r>
        <w:rPr>
          <w:rFonts w:hint="eastAsia" w:asciiTheme="minorEastAsia" w:hAnsiTheme="minorEastAsia" w:eastAsiaTheme="minorEastAsia" w:cstheme="minorEastAsia"/>
          <w:color w:val="000000"/>
          <w:lang w:val="zh-CN"/>
        </w:rPr>
        <w:t>“合同金额”指根据合同规定，乙方在正确地完全履行合同义务后甲方应付给乙方的价款。</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1.3 </w:t>
      </w:r>
      <w:r>
        <w:rPr>
          <w:rFonts w:hint="eastAsia" w:asciiTheme="minorEastAsia" w:hAnsiTheme="minorEastAsia" w:eastAsiaTheme="minorEastAsia" w:cstheme="minorEastAsia"/>
          <w:color w:val="000000"/>
          <w:lang w:val="zh-CN"/>
        </w:rPr>
        <w:t>“合同条款”指本合同条款。</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1.4 </w:t>
      </w:r>
      <w:r>
        <w:rPr>
          <w:rFonts w:hint="eastAsia" w:asciiTheme="minorEastAsia" w:hAnsiTheme="minorEastAsia" w:eastAsiaTheme="minorEastAsia" w:cstheme="minorEastAsia"/>
          <w:color w:val="000000"/>
          <w:lang w:val="zh-CN"/>
        </w:rPr>
        <w:t>“货物”指乙方根据合同约定须向甲方提供的一切产品、设备、机械、仪表、备件等，包括辅助工具、使用手册等相关资料。</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1.5 </w:t>
      </w:r>
      <w:r>
        <w:rPr>
          <w:rFonts w:hint="eastAsia" w:asciiTheme="minorEastAsia" w:hAnsiTheme="minorEastAsia" w:eastAsiaTheme="minorEastAsia" w:cstheme="minorEastAsia"/>
          <w:color w:val="000000"/>
          <w:lang w:val="zh-CN"/>
        </w:rPr>
        <w:t>“服务”指根据本合同规定乙方承担与供货有关的辅助服务，如运输、保险及安装、调试、提供技术援助、培训和合同中规定乙方应承担的其它义务。</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1.6 </w:t>
      </w:r>
      <w:r>
        <w:rPr>
          <w:rFonts w:hint="eastAsia" w:asciiTheme="minorEastAsia" w:hAnsiTheme="minorEastAsia" w:eastAsiaTheme="minorEastAsia" w:cstheme="minorEastAsia"/>
          <w:color w:val="000000"/>
          <w:lang w:val="zh-CN"/>
        </w:rPr>
        <w:t>“甲方”指购买货物和服务的单位。</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1.7 </w:t>
      </w:r>
      <w:r>
        <w:rPr>
          <w:rFonts w:hint="eastAsia" w:asciiTheme="minorEastAsia" w:hAnsiTheme="minorEastAsia" w:eastAsiaTheme="minorEastAsia" w:cstheme="minorEastAsia"/>
          <w:color w:val="000000"/>
          <w:lang w:val="zh-CN"/>
        </w:rPr>
        <w:t>“乙方”指提供本合同条款下货物和服务的公司或其他实体。</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1.8 </w:t>
      </w:r>
      <w:r>
        <w:rPr>
          <w:rFonts w:hint="eastAsia" w:asciiTheme="minorEastAsia" w:hAnsiTheme="minorEastAsia" w:eastAsiaTheme="minorEastAsia" w:cstheme="minorEastAsia"/>
          <w:color w:val="000000"/>
          <w:lang w:val="zh-CN"/>
        </w:rPr>
        <w:t>“现场”指合同规定货物将要运至和安装的地点。</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1.9 </w:t>
      </w:r>
      <w:r>
        <w:rPr>
          <w:rFonts w:hint="eastAsia" w:asciiTheme="minorEastAsia" w:hAnsiTheme="minorEastAsia" w:eastAsiaTheme="minorEastAsia" w:cstheme="minorEastAsia"/>
          <w:color w:val="000000"/>
          <w:lang w:val="zh-CN"/>
        </w:rPr>
        <w:t>“验收”指合同双方依据强制性的国家技术质量规范和合同约定，确认合同条款下的货物符合合同规定的活动。</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1.10 </w:t>
      </w:r>
      <w:r>
        <w:rPr>
          <w:rFonts w:hint="eastAsia" w:asciiTheme="minorEastAsia" w:hAnsiTheme="minorEastAsia" w:eastAsiaTheme="minorEastAsia" w:cstheme="minorEastAsia"/>
          <w:color w:val="000000"/>
          <w:lang w:val="zh-CN"/>
        </w:rPr>
        <w:t>原厂商：产品制造商或其在中国境内设立的办事或技术服务机构。除另有说明外，本合同文件所述的制造商、产品制造商、制造厂家、产品制造厂家均为原厂商。</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1.11 </w:t>
      </w:r>
      <w:r>
        <w:rPr>
          <w:rFonts w:hint="eastAsia" w:asciiTheme="minorEastAsia" w:hAnsiTheme="minorEastAsia" w:eastAsiaTheme="minorEastAsia" w:cstheme="minorEastAsia"/>
          <w:color w:val="000000"/>
          <w:lang w:val="zh-CN"/>
        </w:rPr>
        <w:t>原产地：指产品的生产地，或提供服务的来源地。</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1.12 </w:t>
      </w:r>
      <w:r>
        <w:rPr>
          <w:rFonts w:hint="eastAsia" w:asciiTheme="minorEastAsia" w:hAnsiTheme="minorEastAsia" w:eastAsiaTheme="minorEastAsia" w:cstheme="minorEastAsia"/>
          <w:color w:val="000000"/>
          <w:lang w:val="zh-CN"/>
        </w:rPr>
        <w:t>“工作日”指国家法定工作日，“天”指日历天数。</w:t>
      </w:r>
    </w:p>
    <w:p>
      <w:pPr>
        <w:autoSpaceDE w:val="0"/>
        <w:autoSpaceDN w:val="0"/>
        <w:spacing w:line="360" w:lineRule="auto"/>
        <w:outlineLvl w:val="1"/>
        <w:rPr>
          <w:rFonts w:hint="eastAsia" w:asciiTheme="minorEastAsia" w:hAnsiTheme="minorEastAsia" w:eastAsiaTheme="minorEastAsia" w:cstheme="minorEastAsia"/>
          <w:b/>
          <w:bCs/>
          <w:color w:val="000000"/>
        </w:rPr>
      </w:pPr>
      <w:bookmarkStart w:id="153" w:name="_Toc12356"/>
      <w:bookmarkStart w:id="154" w:name="_Toc20385"/>
      <w:r>
        <w:rPr>
          <w:rFonts w:hint="eastAsia" w:asciiTheme="minorEastAsia" w:hAnsiTheme="minorEastAsia" w:eastAsiaTheme="minorEastAsia" w:cstheme="minorEastAsia"/>
          <w:b/>
          <w:bCs/>
          <w:color w:val="000000"/>
        </w:rPr>
        <w:t>2.</w:t>
      </w:r>
      <w:r>
        <w:rPr>
          <w:rFonts w:hint="eastAsia" w:asciiTheme="minorEastAsia" w:hAnsiTheme="minorEastAsia" w:eastAsiaTheme="minorEastAsia" w:cstheme="minorEastAsia"/>
          <w:b/>
          <w:bCs/>
          <w:color w:val="000000"/>
          <w:lang w:val="zh-CN"/>
        </w:rPr>
        <w:t>技术规格要求</w:t>
      </w:r>
      <w:bookmarkEnd w:id="153"/>
      <w:bookmarkEnd w:id="154"/>
    </w:p>
    <w:p>
      <w:pPr>
        <w:autoSpaceDE w:val="0"/>
        <w:autoSpaceDN w:val="0"/>
        <w:spacing w:line="360" w:lineRule="auto"/>
        <w:ind w:firstLine="480"/>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rPr>
        <w:t xml:space="preserve">2.1 </w:t>
      </w:r>
      <w:r>
        <w:rPr>
          <w:rFonts w:hint="eastAsia" w:asciiTheme="minorEastAsia" w:hAnsiTheme="minorEastAsia" w:eastAsiaTheme="minorEastAsia" w:cstheme="minorEastAsia"/>
          <w:color w:val="000000"/>
          <w:lang w:val="zh-CN"/>
        </w:rPr>
        <w:t>本合同条款下提交货物的技术规格要求应等于或优于招投标文件技术规格要求。若技术规格要求中无相应规定，则应符合相应的国家有关部门最新颁布的相应正式标准。</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2.2 </w:t>
      </w:r>
      <w:r>
        <w:rPr>
          <w:rFonts w:hint="eastAsia" w:asciiTheme="minorEastAsia" w:hAnsiTheme="minorEastAsia" w:eastAsiaTheme="minorEastAsia" w:cstheme="minorEastAsia"/>
          <w:color w:val="000000"/>
          <w:lang w:val="zh-CN"/>
        </w:rPr>
        <w:t>乙方应向甲方提供货物及服务有关的标准的中文文本。</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2.3 </w:t>
      </w:r>
      <w:r>
        <w:rPr>
          <w:rFonts w:hint="eastAsia" w:asciiTheme="minorEastAsia" w:hAnsiTheme="minorEastAsia" w:eastAsiaTheme="minorEastAsia" w:cstheme="minorEastAsia"/>
          <w:color w:val="000000"/>
          <w:lang w:val="zh-CN"/>
        </w:rPr>
        <w:t>除非技术规范中另有规定，计量单位均采用中华人民共和国法定计量单位。</w:t>
      </w:r>
    </w:p>
    <w:p>
      <w:pPr>
        <w:autoSpaceDE w:val="0"/>
        <w:autoSpaceDN w:val="0"/>
        <w:spacing w:line="360" w:lineRule="auto"/>
        <w:outlineLvl w:val="1"/>
        <w:rPr>
          <w:rFonts w:hint="eastAsia" w:asciiTheme="minorEastAsia" w:hAnsiTheme="minorEastAsia" w:eastAsiaTheme="minorEastAsia" w:cstheme="minorEastAsia"/>
          <w:b/>
          <w:bCs/>
          <w:color w:val="000000"/>
        </w:rPr>
      </w:pPr>
      <w:bookmarkStart w:id="155" w:name="_Toc16829"/>
      <w:bookmarkStart w:id="156" w:name="_Toc11671"/>
      <w:r>
        <w:rPr>
          <w:rFonts w:hint="eastAsia" w:asciiTheme="minorEastAsia" w:hAnsiTheme="minorEastAsia" w:eastAsiaTheme="minorEastAsia" w:cstheme="minorEastAsia"/>
          <w:b/>
          <w:bCs/>
          <w:color w:val="000000"/>
        </w:rPr>
        <w:t>3.</w:t>
      </w:r>
      <w:r>
        <w:rPr>
          <w:rFonts w:hint="eastAsia" w:asciiTheme="minorEastAsia" w:hAnsiTheme="minorEastAsia" w:eastAsiaTheme="minorEastAsia" w:cstheme="minorEastAsia"/>
          <w:b/>
          <w:bCs/>
          <w:color w:val="000000"/>
          <w:lang w:val="zh-CN"/>
        </w:rPr>
        <w:t>合同范围</w:t>
      </w:r>
      <w:bookmarkEnd w:id="155"/>
      <w:bookmarkEnd w:id="156"/>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3.1 </w:t>
      </w:r>
      <w:r>
        <w:rPr>
          <w:rFonts w:hint="eastAsia" w:asciiTheme="minorEastAsia" w:hAnsiTheme="minorEastAsia" w:eastAsiaTheme="minorEastAsia" w:cstheme="minorEastAsia"/>
          <w:color w:val="00000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3.2 </w:t>
      </w:r>
      <w:r>
        <w:rPr>
          <w:rFonts w:hint="eastAsia" w:asciiTheme="minorEastAsia" w:hAnsiTheme="minorEastAsia" w:eastAsiaTheme="minorEastAsia" w:cstheme="minorEastAsia"/>
          <w:color w:val="000000"/>
          <w:lang w:val="zh-CN"/>
        </w:rPr>
        <w:t>乙方应负责培训甲方的技术人员。</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3.3 </w:t>
      </w:r>
      <w:r>
        <w:rPr>
          <w:rFonts w:hint="eastAsia" w:asciiTheme="minorEastAsia" w:hAnsiTheme="minorEastAsia" w:eastAsiaTheme="minorEastAsia" w:cstheme="minorEastAsia"/>
          <w:color w:val="000000"/>
          <w:lang w:val="zh-CN"/>
        </w:rPr>
        <w:t>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货物大修和维护所需的配件及服务。</w:t>
      </w:r>
    </w:p>
    <w:p>
      <w:pPr>
        <w:autoSpaceDE w:val="0"/>
        <w:autoSpaceDN w:val="0"/>
        <w:spacing w:line="360" w:lineRule="auto"/>
        <w:outlineLvl w:val="1"/>
        <w:rPr>
          <w:rFonts w:hint="eastAsia" w:asciiTheme="minorEastAsia" w:hAnsiTheme="minorEastAsia" w:eastAsiaTheme="minorEastAsia" w:cstheme="minorEastAsia"/>
          <w:b/>
          <w:bCs/>
          <w:color w:val="000000"/>
        </w:rPr>
      </w:pPr>
      <w:bookmarkStart w:id="157" w:name="_Toc26566"/>
      <w:bookmarkStart w:id="158" w:name="_Toc339"/>
      <w:r>
        <w:rPr>
          <w:rFonts w:hint="eastAsia" w:asciiTheme="minorEastAsia" w:hAnsiTheme="minorEastAsia" w:eastAsiaTheme="minorEastAsia" w:cstheme="minorEastAsia"/>
          <w:b/>
          <w:bCs/>
          <w:color w:val="000000"/>
        </w:rPr>
        <w:t>4.</w:t>
      </w:r>
      <w:r>
        <w:rPr>
          <w:rFonts w:hint="eastAsia" w:asciiTheme="minorEastAsia" w:hAnsiTheme="minorEastAsia" w:eastAsiaTheme="minorEastAsia" w:cstheme="minorEastAsia"/>
          <w:b/>
          <w:bCs/>
          <w:color w:val="000000"/>
          <w:lang w:val="zh-CN"/>
        </w:rPr>
        <w:t>合同文件和资料</w:t>
      </w:r>
      <w:bookmarkEnd w:id="157"/>
      <w:bookmarkEnd w:id="158"/>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4.1 </w:t>
      </w:r>
      <w:r>
        <w:rPr>
          <w:rFonts w:hint="eastAsia" w:asciiTheme="minorEastAsia" w:hAnsiTheme="minorEastAsia" w:eastAsiaTheme="minorEastAsia" w:cstheme="minorEastAsia"/>
          <w:color w:val="000000"/>
          <w:lang w:val="zh-CN"/>
        </w:rPr>
        <w:t>乙方在提供仪器设备时应同时提供中文版相关的技术资料，如目录索引、图纸、操作手册、使用指南、维修指南、服务手册等。</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4.2 </w:t>
      </w:r>
      <w:r>
        <w:rPr>
          <w:rFonts w:hint="eastAsia" w:asciiTheme="minorEastAsia" w:hAnsiTheme="minorEastAsia" w:eastAsiaTheme="minorEastAsia" w:cstheme="minorEastAsia"/>
          <w:color w:val="000000"/>
          <w:lang w:val="zh-CN"/>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pPr>
        <w:autoSpaceDE w:val="0"/>
        <w:autoSpaceDN w:val="0"/>
        <w:spacing w:line="360" w:lineRule="auto"/>
        <w:outlineLvl w:val="1"/>
        <w:rPr>
          <w:rFonts w:hint="eastAsia" w:asciiTheme="minorEastAsia" w:hAnsiTheme="minorEastAsia" w:eastAsiaTheme="minorEastAsia" w:cstheme="minorEastAsia"/>
          <w:b/>
          <w:bCs/>
          <w:color w:val="000000"/>
        </w:rPr>
      </w:pPr>
      <w:bookmarkStart w:id="159" w:name="_Toc31295"/>
      <w:bookmarkStart w:id="160" w:name="_Toc9593"/>
      <w:r>
        <w:rPr>
          <w:rFonts w:hint="eastAsia" w:asciiTheme="minorEastAsia" w:hAnsiTheme="minorEastAsia" w:eastAsiaTheme="minorEastAsia" w:cstheme="minorEastAsia"/>
          <w:b/>
          <w:bCs/>
          <w:color w:val="000000"/>
        </w:rPr>
        <w:t>5.</w:t>
      </w:r>
      <w:r>
        <w:rPr>
          <w:rFonts w:hint="eastAsia" w:asciiTheme="minorEastAsia" w:hAnsiTheme="minorEastAsia" w:eastAsiaTheme="minorEastAsia" w:cstheme="minorEastAsia"/>
          <w:b/>
          <w:bCs/>
          <w:color w:val="000000"/>
          <w:lang w:val="zh-CN"/>
        </w:rPr>
        <w:t>知识产权</w:t>
      </w:r>
      <w:bookmarkEnd w:id="159"/>
      <w:bookmarkEnd w:id="160"/>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5.1 </w:t>
      </w:r>
      <w:r>
        <w:rPr>
          <w:rFonts w:hint="eastAsia" w:asciiTheme="minorEastAsia" w:hAnsiTheme="minorEastAsia" w:eastAsiaTheme="minorEastAsia" w:cstheme="minorEastAsia"/>
          <w:color w:val="000000"/>
          <w:lang w:val="zh-CN"/>
        </w:rPr>
        <w:t>乙方应保证甲方在使用该货物或其任何一部分时不受第三方提出的侵犯专利权、著作权、商标权和工业设计权等的起诉。</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5.2 </w:t>
      </w:r>
      <w:r>
        <w:rPr>
          <w:rFonts w:hint="eastAsia" w:asciiTheme="minorEastAsia" w:hAnsiTheme="minorEastAsia" w:eastAsiaTheme="minorEastAsia" w:cstheme="minorEastAsia"/>
          <w:color w:val="000000"/>
          <w:lang w:val="zh-CN"/>
        </w:rPr>
        <w:t>任何第三方提出侵权指控，乙方须与第三方交涉并承担由此产生的一切责任、费用和经济赔偿。</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5.3 </w:t>
      </w:r>
      <w:r>
        <w:rPr>
          <w:rFonts w:hint="eastAsia" w:asciiTheme="minorEastAsia" w:hAnsiTheme="minorEastAsia" w:eastAsiaTheme="minorEastAsia" w:cstheme="minorEastAsia"/>
          <w:color w:val="000000"/>
          <w:lang w:val="zh-CN"/>
        </w:rPr>
        <w:t>双方应共同遵守国家有关版权、专利、商标等知识产权方面的法律规定，相互尊重对方的知识产权，对本合同内容、对方的技术秘密和商业秘密负有保密责任。如有违反，违约方负相关法律责任。</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5.4 </w:t>
      </w:r>
      <w:r>
        <w:rPr>
          <w:rFonts w:hint="eastAsia" w:asciiTheme="minorEastAsia" w:hAnsiTheme="minorEastAsia" w:eastAsiaTheme="minorEastAsia" w:cstheme="minorEastAsia"/>
          <w:color w:val="000000"/>
          <w:lang w:val="zh-CN"/>
        </w:rPr>
        <w:t>在本合同生效时已经存在并为各方合法拥有或使用的所有技术、资料和信息的知识产权，仍应属于其各自的原权利人所有或享有，另有约定的除外。</w:t>
      </w:r>
    </w:p>
    <w:p>
      <w:pPr>
        <w:autoSpaceDE w:val="0"/>
        <w:autoSpaceDN w:val="0"/>
        <w:spacing w:line="360" w:lineRule="auto"/>
        <w:ind w:firstLine="480"/>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rPr>
        <w:t xml:space="preserve">5.5 </w:t>
      </w:r>
      <w:r>
        <w:rPr>
          <w:rFonts w:hint="eastAsia" w:asciiTheme="minorEastAsia" w:hAnsiTheme="minorEastAsia" w:eastAsiaTheme="minorEastAsia" w:cstheme="minorEastAsia"/>
          <w:color w:val="000000"/>
          <w:lang w:val="zh-CN"/>
        </w:rPr>
        <w:t>乙方保证拥有由其提供给甲方的所有软件的合法使用权，并且已获得进行许可的正当授权及其有权将软件许可及其相关材料授权或转让给甲方。甲方可独立对本。</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合同条款下软件产品进行后续开发，不受版权限制。乙方承诺并保证甲方除本协议的付款义务外无需支付任何其它的许可使用费，以非独家的、永久的、全球的、不可撤销的方式使用本合同条款下软件产品。</w:t>
      </w:r>
    </w:p>
    <w:p>
      <w:pPr>
        <w:autoSpaceDE w:val="0"/>
        <w:autoSpaceDN w:val="0"/>
        <w:spacing w:line="360" w:lineRule="auto"/>
        <w:outlineLvl w:val="1"/>
        <w:rPr>
          <w:rFonts w:hint="eastAsia" w:asciiTheme="minorEastAsia" w:hAnsiTheme="minorEastAsia" w:eastAsiaTheme="minorEastAsia" w:cstheme="minorEastAsia"/>
          <w:b/>
          <w:bCs/>
          <w:color w:val="000000"/>
        </w:rPr>
      </w:pPr>
      <w:bookmarkStart w:id="161" w:name="_Toc14665"/>
      <w:bookmarkStart w:id="162" w:name="_Toc25191"/>
      <w:r>
        <w:rPr>
          <w:rFonts w:hint="eastAsia" w:asciiTheme="minorEastAsia" w:hAnsiTheme="minorEastAsia" w:eastAsiaTheme="minorEastAsia" w:cstheme="minorEastAsia"/>
          <w:b/>
          <w:bCs/>
          <w:color w:val="000000"/>
        </w:rPr>
        <w:t>6.</w:t>
      </w:r>
      <w:r>
        <w:rPr>
          <w:rFonts w:hint="eastAsia" w:asciiTheme="minorEastAsia" w:hAnsiTheme="minorEastAsia" w:eastAsiaTheme="minorEastAsia" w:cstheme="minorEastAsia"/>
          <w:b/>
          <w:bCs/>
          <w:color w:val="000000"/>
          <w:lang w:val="zh-CN"/>
        </w:rPr>
        <w:t>保密</w:t>
      </w:r>
      <w:bookmarkEnd w:id="161"/>
      <w:bookmarkEnd w:id="162"/>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6.1 </w:t>
      </w:r>
      <w:r>
        <w:rPr>
          <w:rFonts w:hint="eastAsia" w:asciiTheme="minorEastAsia" w:hAnsiTheme="minorEastAsia" w:eastAsiaTheme="minorEastAsia" w:cstheme="minorEastAsia"/>
          <w:color w:val="00000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6.2 </w:t>
      </w:r>
      <w:r>
        <w:rPr>
          <w:rFonts w:hint="eastAsia" w:asciiTheme="minorEastAsia" w:hAnsiTheme="minorEastAsia" w:eastAsiaTheme="minorEastAsia" w:cstheme="minorEastAsia"/>
          <w:color w:val="000000"/>
          <w:lang w:val="zh-CN"/>
        </w:rPr>
        <w:t>保密信息指任何一方因履行本合同所知悉的任何以口头、书面、图表或电子形式存在的对方信息，具体包括：</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6.2.1 </w:t>
      </w:r>
      <w:r>
        <w:rPr>
          <w:rFonts w:hint="eastAsia" w:asciiTheme="minorEastAsia" w:hAnsiTheme="minorEastAsia" w:eastAsiaTheme="minorEastAsia" w:cstheme="minorEastAsia"/>
          <w:color w:val="000000"/>
          <w:lang w:val="zh-CN"/>
        </w:rPr>
        <w:t>任何涉及对方过去、现在或将来的商业计划、规章制度、操作规程、处理手段、财务信息；</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6.2.2 </w:t>
      </w:r>
      <w:r>
        <w:rPr>
          <w:rFonts w:hint="eastAsia" w:asciiTheme="minorEastAsia" w:hAnsiTheme="minorEastAsia" w:eastAsiaTheme="minorEastAsia" w:cstheme="minorEastAsia"/>
          <w:color w:val="000000"/>
          <w:lang w:val="zh-CN"/>
        </w:rPr>
        <w:t>任何对方的技术措施、技术方案、软件应用及开发，硬件设备的品种、质量、数量、品牌等；</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6.2.3 </w:t>
      </w:r>
      <w:r>
        <w:rPr>
          <w:rFonts w:hint="eastAsia" w:asciiTheme="minorEastAsia" w:hAnsiTheme="minorEastAsia" w:eastAsiaTheme="minorEastAsia" w:cstheme="minorEastAsia"/>
          <w:color w:val="000000"/>
          <w:lang w:val="zh-CN"/>
        </w:rPr>
        <w:t>任何对方的技术秘密或专有知识、文件、报告、数据、客户软件、流程图、数据库、发明、知识、贸易秘密。</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6.3 </w:t>
      </w:r>
      <w:r>
        <w:rPr>
          <w:rFonts w:hint="eastAsia" w:asciiTheme="minorEastAsia" w:hAnsiTheme="minorEastAsia" w:eastAsiaTheme="minorEastAsia" w:cstheme="minorEastAsia"/>
          <w:color w:val="000000"/>
          <w:lang w:val="zh-CN"/>
        </w:rPr>
        <w:t>乙方应根据甲方的要求签署相应的保密协议，保密协议与本条款存在不一致的，以保密协议为准。</w:t>
      </w:r>
    </w:p>
    <w:p>
      <w:pPr>
        <w:pStyle w:val="3"/>
        <w:bidi w:val="0"/>
        <w:rPr>
          <w:rFonts w:hint="eastAsia"/>
        </w:rPr>
      </w:pPr>
      <w:bookmarkStart w:id="163" w:name="_Toc22833"/>
      <w:bookmarkStart w:id="164" w:name="_Toc19514"/>
      <w:r>
        <w:rPr>
          <w:rFonts w:hint="eastAsia"/>
        </w:rPr>
        <w:t xml:space="preserve">7. </w:t>
      </w:r>
      <w:r>
        <w:rPr>
          <w:rFonts w:hint="eastAsia"/>
          <w:lang w:val="zh-CN"/>
        </w:rPr>
        <w:t>质量保证</w:t>
      </w:r>
      <w:bookmarkEnd w:id="163"/>
      <w:bookmarkEnd w:id="164"/>
    </w:p>
    <w:p>
      <w:pPr>
        <w:autoSpaceDE w:val="0"/>
        <w:autoSpaceDN w:val="0"/>
        <w:spacing w:line="360" w:lineRule="auto"/>
        <w:ind w:firstLine="480"/>
        <w:outlineLvl w:val="1"/>
        <w:rPr>
          <w:rFonts w:hint="eastAsia" w:asciiTheme="minorEastAsia" w:hAnsiTheme="minorEastAsia" w:eastAsiaTheme="minorEastAsia" w:cstheme="minorEastAsia"/>
          <w:color w:val="000000"/>
        </w:rPr>
      </w:pPr>
      <w:bookmarkStart w:id="165" w:name="_Toc18669"/>
      <w:bookmarkStart w:id="166" w:name="_Toc12039"/>
      <w:r>
        <w:rPr>
          <w:rFonts w:hint="eastAsia" w:asciiTheme="minorEastAsia" w:hAnsiTheme="minorEastAsia" w:eastAsiaTheme="minorEastAsia" w:cstheme="minorEastAsia"/>
          <w:color w:val="000000"/>
        </w:rPr>
        <w:t xml:space="preserve">7.1 </w:t>
      </w:r>
      <w:r>
        <w:rPr>
          <w:rFonts w:hint="eastAsia" w:asciiTheme="minorEastAsia" w:hAnsiTheme="minorEastAsia" w:eastAsiaTheme="minorEastAsia" w:cstheme="minorEastAsia"/>
          <w:color w:val="000000"/>
          <w:lang w:val="zh-CN"/>
        </w:rPr>
        <w:t>货物质量保证</w:t>
      </w:r>
      <w:bookmarkEnd w:id="165"/>
      <w:bookmarkEnd w:id="166"/>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7.1.1 </w:t>
      </w:r>
      <w:r>
        <w:rPr>
          <w:rFonts w:hint="eastAsia" w:asciiTheme="minorEastAsia" w:hAnsiTheme="minorEastAsia" w:eastAsiaTheme="minorEastAsia" w:cstheme="minorEastAsia"/>
          <w:color w:val="000000"/>
          <w:lang w:val="zh-CN"/>
        </w:rPr>
        <w:t>乙方必须保证货物是全新、未使用过的，并完全符合强制性的国家技术质量规范和合同规定的质量、规格、性能和技术规范等的要求。</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7.1.2 </w:t>
      </w:r>
      <w:r>
        <w:rPr>
          <w:rFonts w:hint="eastAsia" w:asciiTheme="minorEastAsia" w:hAnsiTheme="minorEastAsia" w:eastAsiaTheme="minorEastAsia" w:cstheme="minorEastAsia"/>
          <w:color w:val="000000"/>
          <w:lang w:val="zh-CN"/>
        </w:rPr>
        <w:t>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7.1.3 </w:t>
      </w:r>
      <w:r>
        <w:rPr>
          <w:rFonts w:hint="eastAsia" w:asciiTheme="minorEastAsia" w:hAnsiTheme="minorEastAsia" w:eastAsiaTheme="minorEastAsia" w:cstheme="minorEastAsia"/>
          <w:color w:val="000000"/>
          <w:lang w:val="zh-CN"/>
        </w:rPr>
        <w:t>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7.1.4 </w:t>
      </w:r>
      <w:r>
        <w:rPr>
          <w:rFonts w:hint="eastAsia" w:asciiTheme="minorEastAsia" w:hAnsiTheme="minorEastAsia" w:eastAsiaTheme="minorEastAsia" w:cstheme="minorEastAsia"/>
          <w:color w:val="00000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7.1.5 </w:t>
      </w:r>
      <w:r>
        <w:rPr>
          <w:rFonts w:hint="eastAsia" w:asciiTheme="minorEastAsia" w:hAnsiTheme="minorEastAsia" w:eastAsiaTheme="minorEastAsia" w:cstheme="minorEastAsia"/>
          <w:color w:val="000000"/>
          <w:lang w:val="zh-CN"/>
        </w:rPr>
        <w:t>合同条款下货物的质量保证期自货物通过最终验收起算，合同另行规定除外。</w:t>
      </w:r>
    </w:p>
    <w:p>
      <w:pPr>
        <w:autoSpaceDE w:val="0"/>
        <w:autoSpaceDN w:val="0"/>
        <w:spacing w:line="360" w:lineRule="auto"/>
        <w:ind w:firstLine="480"/>
        <w:outlineLvl w:val="1"/>
        <w:rPr>
          <w:rFonts w:hint="eastAsia" w:asciiTheme="minorEastAsia" w:hAnsiTheme="minorEastAsia" w:eastAsiaTheme="minorEastAsia" w:cstheme="minorEastAsia"/>
          <w:color w:val="000000"/>
        </w:rPr>
      </w:pPr>
      <w:bookmarkStart w:id="167" w:name="_Toc30233"/>
      <w:bookmarkStart w:id="168" w:name="_Toc303"/>
      <w:r>
        <w:rPr>
          <w:rFonts w:hint="eastAsia" w:asciiTheme="minorEastAsia" w:hAnsiTheme="minorEastAsia" w:eastAsiaTheme="minorEastAsia" w:cstheme="minorEastAsia"/>
          <w:color w:val="000000"/>
        </w:rPr>
        <w:t xml:space="preserve">7.2 </w:t>
      </w:r>
      <w:r>
        <w:rPr>
          <w:rFonts w:hint="eastAsia" w:asciiTheme="minorEastAsia" w:hAnsiTheme="minorEastAsia" w:eastAsiaTheme="minorEastAsia" w:cstheme="minorEastAsia"/>
          <w:color w:val="000000"/>
          <w:lang w:val="zh-CN"/>
        </w:rPr>
        <w:t>辅助服务质量保证</w:t>
      </w:r>
      <w:bookmarkEnd w:id="167"/>
      <w:bookmarkEnd w:id="168"/>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7.2.1 </w:t>
      </w:r>
      <w:r>
        <w:rPr>
          <w:rFonts w:hint="eastAsia" w:asciiTheme="minorEastAsia" w:hAnsiTheme="minorEastAsia" w:eastAsiaTheme="minorEastAsia" w:cstheme="minorEastAsia"/>
          <w:color w:val="00000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7.2.2 </w:t>
      </w:r>
      <w:r>
        <w:rPr>
          <w:rFonts w:hint="eastAsia" w:asciiTheme="minorEastAsia" w:hAnsiTheme="minorEastAsia" w:eastAsiaTheme="minorEastAsia" w:cstheme="minorEastAsia"/>
          <w:color w:val="000000"/>
          <w:lang w:val="zh-CN"/>
        </w:rPr>
        <w:t>乙方应保证合同条款下所提供的服务包括培训、安装指导、单机调试、系统联调和试验等，按合同规定方式进行，并保证不存在因乙方工作人员的过失、错误或疏忽而产生的缺陷。</w:t>
      </w:r>
    </w:p>
    <w:p>
      <w:pPr>
        <w:pStyle w:val="3"/>
        <w:bidi w:val="0"/>
        <w:rPr>
          <w:rFonts w:hint="eastAsia"/>
        </w:rPr>
      </w:pPr>
      <w:bookmarkStart w:id="169" w:name="_Toc8327"/>
      <w:bookmarkStart w:id="170" w:name="_Toc8599"/>
      <w:r>
        <w:rPr>
          <w:rFonts w:hint="eastAsia"/>
        </w:rPr>
        <w:t>8.</w:t>
      </w:r>
      <w:r>
        <w:rPr>
          <w:rFonts w:hint="eastAsia"/>
          <w:lang w:val="zh-CN"/>
        </w:rPr>
        <w:t>包装要求</w:t>
      </w:r>
      <w:bookmarkEnd w:id="169"/>
      <w:bookmarkEnd w:id="170"/>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8.1 </w:t>
      </w:r>
      <w:r>
        <w:rPr>
          <w:rFonts w:hint="eastAsia" w:asciiTheme="minorEastAsia" w:hAnsiTheme="minorEastAsia" w:eastAsiaTheme="minorEastAsia" w:cstheme="minorEastAsia"/>
          <w:color w:val="000000"/>
          <w:lang w:val="zh-CN"/>
        </w:rPr>
        <w:t>除合同另有约定外</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color w:val="000000"/>
          <w:lang w:val="zh-CN"/>
        </w:rPr>
        <w:t>乙方提供的全部货物</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color w:val="000000"/>
          <w:lang w:val="zh-CN"/>
        </w:rPr>
        <w:t>均应采用本行业通用的方式进行包装，且该包装应符合国家有关包装的法律、法规的规定。</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8.2 </w:t>
      </w:r>
      <w:r>
        <w:rPr>
          <w:rFonts w:hint="eastAsia" w:asciiTheme="minorEastAsia" w:hAnsiTheme="minorEastAsia" w:eastAsiaTheme="minorEastAsia" w:cstheme="minorEastAsia"/>
          <w:color w:val="000000"/>
          <w:lang w:val="zh-CN"/>
        </w:rPr>
        <w:t>包装应适应于远距离运输，并有良好的防潮、防震、防锈和防粗暴装卸等保护措施，以确保货物安全运抵现场。由于包装不善所引起的货物锈蚀、损坏和损失均由乙方承担。乙方应提供货物运至合同规定的最终目的地所需要的包装，以防止货物在转运中损坏或变质。</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8.3 </w:t>
      </w:r>
      <w:r>
        <w:rPr>
          <w:rFonts w:hint="eastAsia" w:asciiTheme="minorEastAsia" w:hAnsiTheme="minorEastAsia" w:eastAsiaTheme="minorEastAsia" w:cstheme="minorEastAsia"/>
          <w:color w:val="000000"/>
          <w:lang w:val="zh-CN"/>
        </w:rPr>
        <w:t>乙方所提供的货物包装均为出厂时原包装。</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8.4 </w:t>
      </w:r>
      <w:r>
        <w:rPr>
          <w:rFonts w:hint="eastAsia" w:asciiTheme="minorEastAsia" w:hAnsiTheme="minorEastAsia" w:eastAsiaTheme="minorEastAsia" w:cstheme="minorEastAsia"/>
          <w:color w:val="000000"/>
          <w:lang w:val="zh-CN"/>
        </w:rPr>
        <w:t>乙方所提供货物必须附有质量合格证，装箱清单，主机、附件、各种零部件和消耗品，有清楚的与装箱单相对应的名称和编号。</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8.5 </w:t>
      </w:r>
      <w:r>
        <w:rPr>
          <w:rFonts w:hint="eastAsia" w:asciiTheme="minorEastAsia" w:hAnsiTheme="minorEastAsia" w:eastAsiaTheme="minorEastAsia" w:cstheme="minorEastAsia"/>
          <w:color w:val="000000"/>
          <w:lang w:val="zh-CN"/>
        </w:rPr>
        <w:t>货物运输中的运输费用和保险费用均由乙方承担。运输过程中的一切损失、损坏均由乙方负责。</w:t>
      </w:r>
    </w:p>
    <w:p>
      <w:pPr>
        <w:pStyle w:val="3"/>
        <w:bidi w:val="0"/>
        <w:rPr>
          <w:rFonts w:hint="eastAsia"/>
        </w:rPr>
      </w:pPr>
      <w:bookmarkStart w:id="171" w:name="_Toc19886"/>
      <w:bookmarkStart w:id="172" w:name="_Toc12435"/>
      <w:r>
        <w:rPr>
          <w:rFonts w:hint="eastAsia"/>
        </w:rPr>
        <w:t>9.</w:t>
      </w:r>
      <w:r>
        <w:rPr>
          <w:rFonts w:hint="eastAsia"/>
          <w:lang w:val="zh-CN"/>
        </w:rPr>
        <w:t>价格</w:t>
      </w:r>
      <w:bookmarkEnd w:id="171"/>
      <w:bookmarkEnd w:id="172"/>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9.2 </w:t>
      </w:r>
      <w:r>
        <w:rPr>
          <w:rFonts w:hint="eastAsia" w:asciiTheme="minorEastAsia" w:hAnsiTheme="minorEastAsia" w:eastAsiaTheme="minorEastAsia" w:cstheme="minorEastAsia"/>
          <w:color w:val="000000"/>
          <w:lang w:val="zh-CN"/>
        </w:rPr>
        <w:t>本合同价格为固定价格，包括了乙方履行合同全过程产生的所有成本和费用以及乙方应承担的一切税费。</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9.3 </w:t>
      </w:r>
      <w:r>
        <w:rPr>
          <w:rFonts w:hint="eastAsia" w:asciiTheme="minorEastAsia" w:hAnsiTheme="minorEastAsia" w:eastAsiaTheme="minorEastAsia" w:cstheme="minorEastAsia"/>
          <w:color w:val="000000"/>
          <w:lang w:val="zh-CN"/>
        </w:rPr>
        <w:t>检验费用</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9.3.1 </w:t>
      </w:r>
      <w:r>
        <w:rPr>
          <w:rFonts w:hint="eastAsia" w:asciiTheme="minorEastAsia" w:hAnsiTheme="minorEastAsia" w:eastAsiaTheme="minorEastAsia" w:cstheme="minorEastAsia"/>
          <w:color w:val="000000"/>
          <w:lang w:val="zh-CN"/>
        </w:rPr>
        <w:t>乙方必须负担本条款下属于乙方负责的检验、测试、调试、试运行和验收的所有费用，并负责乙方派往买方组织的检验、测试和验收人员的所有费用。</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9.3.2 </w:t>
      </w:r>
      <w:r>
        <w:rPr>
          <w:rFonts w:hint="eastAsia" w:asciiTheme="minorEastAsia" w:hAnsiTheme="minorEastAsia" w:eastAsiaTheme="minorEastAsia" w:cstheme="minorEastAsia"/>
          <w:color w:val="000000"/>
          <w:lang w:val="zh-CN"/>
        </w:rPr>
        <w:t>甲方按合同计划参加在乙方工厂所在地检验、测试和验收的费用全部由乙方负责并已包含在合同总价中。</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9.3.3 </w:t>
      </w:r>
      <w:r>
        <w:rPr>
          <w:rFonts w:hint="eastAsia" w:asciiTheme="minorEastAsia" w:hAnsiTheme="minorEastAsia" w:eastAsiaTheme="minorEastAsia" w:cstheme="minorEastAsia"/>
          <w:color w:val="000000"/>
          <w:lang w:val="zh-CN"/>
        </w:rPr>
        <w:t>甲方检验人员已到卖方所在地，测试无法依照合同进行，而引起甲方人员延长逗留时间，所有由此产生的包括甲方人员在内的直接费用及成本由乙方承担。</w:t>
      </w:r>
    </w:p>
    <w:p>
      <w:pPr>
        <w:pStyle w:val="3"/>
        <w:bidi w:val="0"/>
        <w:rPr>
          <w:rFonts w:hint="eastAsia"/>
        </w:rPr>
      </w:pPr>
      <w:bookmarkStart w:id="173" w:name="_Toc27554"/>
      <w:bookmarkStart w:id="174" w:name="_Toc8932"/>
      <w:r>
        <w:rPr>
          <w:rFonts w:hint="eastAsia"/>
        </w:rPr>
        <w:t>10.</w:t>
      </w:r>
      <w:r>
        <w:rPr>
          <w:rFonts w:hint="eastAsia"/>
          <w:lang w:val="zh-CN"/>
        </w:rPr>
        <w:t>交货方式及交货日期</w:t>
      </w:r>
      <w:bookmarkEnd w:id="173"/>
      <w:bookmarkEnd w:id="174"/>
    </w:p>
    <w:p>
      <w:pPr>
        <w:autoSpaceDE w:val="0"/>
        <w:autoSpaceDN w:val="0"/>
        <w:spacing w:line="360" w:lineRule="auto"/>
        <w:ind w:firstLine="480"/>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t>交货方式：现场交货，乙方负责办理运输和保险，将货物运抵现场。</w:t>
      </w:r>
    </w:p>
    <w:p>
      <w:pPr>
        <w:autoSpaceDE w:val="0"/>
        <w:autoSpaceDN w:val="0"/>
        <w:spacing w:line="360" w:lineRule="auto"/>
        <w:ind w:firstLine="480"/>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t>交货期应根据产品的特点实事求是填写，进口产品90个工作日内，国产产品60个工作日内。特殊产品交货期需说明。</w:t>
      </w:r>
    </w:p>
    <w:p>
      <w:pPr>
        <w:autoSpaceDE w:val="0"/>
        <w:autoSpaceDN w:val="0"/>
        <w:spacing w:line="360" w:lineRule="auto"/>
        <w:ind w:firstLine="480"/>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t>交货日期：所有货物运抵现场并经双方开箱验收合格之日。</w:t>
      </w:r>
    </w:p>
    <w:p>
      <w:pPr>
        <w:pStyle w:val="3"/>
        <w:bidi w:val="0"/>
        <w:rPr>
          <w:rFonts w:hint="eastAsia"/>
          <w:lang w:val="zh-CN"/>
        </w:rPr>
      </w:pPr>
      <w:bookmarkStart w:id="175" w:name="_Toc24911"/>
      <w:bookmarkStart w:id="176" w:name="_Toc24192"/>
      <w:r>
        <w:rPr>
          <w:rFonts w:hint="eastAsia"/>
          <w:lang w:val="zh-CN"/>
        </w:rPr>
        <w:t>11.检验和验收</w:t>
      </w:r>
      <w:bookmarkEnd w:id="175"/>
      <w:bookmarkEnd w:id="176"/>
    </w:p>
    <w:p>
      <w:pPr>
        <w:autoSpaceDE w:val="0"/>
        <w:autoSpaceDN w:val="0"/>
        <w:spacing w:line="360" w:lineRule="auto"/>
        <w:ind w:firstLine="480"/>
        <w:outlineLvl w:val="1"/>
        <w:rPr>
          <w:rFonts w:hint="eastAsia" w:asciiTheme="minorEastAsia" w:hAnsiTheme="minorEastAsia" w:eastAsiaTheme="minorEastAsia" w:cstheme="minorEastAsia"/>
          <w:color w:val="000000"/>
        </w:rPr>
      </w:pPr>
      <w:bookmarkStart w:id="177" w:name="_Toc12061"/>
      <w:bookmarkStart w:id="178" w:name="_Toc17967"/>
      <w:r>
        <w:rPr>
          <w:rFonts w:hint="eastAsia" w:asciiTheme="minorEastAsia" w:hAnsiTheme="minorEastAsia" w:eastAsiaTheme="minorEastAsia" w:cstheme="minorEastAsia"/>
          <w:color w:val="000000"/>
        </w:rPr>
        <w:t xml:space="preserve">11.1 </w:t>
      </w:r>
      <w:r>
        <w:rPr>
          <w:rFonts w:hint="eastAsia" w:asciiTheme="minorEastAsia" w:hAnsiTheme="minorEastAsia" w:eastAsiaTheme="minorEastAsia" w:cstheme="minorEastAsia"/>
          <w:color w:val="000000"/>
          <w:lang w:val="zh-CN"/>
        </w:rPr>
        <w:t>开箱验收</w:t>
      </w:r>
      <w:bookmarkEnd w:id="177"/>
      <w:bookmarkEnd w:id="178"/>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11.1.1 </w:t>
      </w:r>
      <w:r>
        <w:rPr>
          <w:rFonts w:hint="eastAsia" w:asciiTheme="minorEastAsia" w:hAnsiTheme="minorEastAsia" w:eastAsiaTheme="minorEastAsia" w:cstheme="minorEastAsia"/>
          <w:color w:val="000000"/>
          <w:lang w:val="zh-CN"/>
        </w:rPr>
        <w:t>货物运抵现场后，双方应及时开箱验收，并制作验收记录，以确认与本合同约定的数量、型号等是否一致。</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11.1.2 </w:t>
      </w:r>
      <w:r>
        <w:rPr>
          <w:rFonts w:hint="eastAsia" w:asciiTheme="minorEastAsia" w:hAnsiTheme="minorEastAsia" w:eastAsiaTheme="minorEastAsia" w:cstheme="minorEastAsia"/>
          <w:color w:val="000000"/>
          <w:lang w:val="zh-CN"/>
        </w:rPr>
        <w:t>乙方应在交货前对货物的质量、规格、数量等进行详细而全面的检验，并出具证明货物符合合同规定的文件。该文件将作为申请付款单据的一部分，但有关质量、规格、数量的检验不应视为最终检验。</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11.1.3 </w:t>
      </w:r>
      <w:r>
        <w:rPr>
          <w:rFonts w:hint="eastAsia" w:asciiTheme="minorEastAsia" w:hAnsiTheme="minorEastAsia" w:eastAsiaTheme="minorEastAsia" w:cstheme="minorEastAsia"/>
          <w:color w:val="000000"/>
          <w:lang w:val="zh-CN"/>
        </w:rPr>
        <w:t>开箱验收中如发现货物的数量、规格与合同约定不符，甲方有权拒收货物，乙方应及时按甲方要求免费对拒收货物采取更换或其他必要的补救措施，直至开箱验收合格，方视为乙方完成交货。</w:t>
      </w:r>
    </w:p>
    <w:p>
      <w:pPr>
        <w:autoSpaceDE w:val="0"/>
        <w:autoSpaceDN w:val="0"/>
        <w:spacing w:line="360" w:lineRule="auto"/>
        <w:ind w:firstLine="480"/>
        <w:outlineLvl w:val="1"/>
        <w:rPr>
          <w:rFonts w:hint="eastAsia" w:asciiTheme="minorEastAsia" w:hAnsiTheme="minorEastAsia" w:eastAsiaTheme="minorEastAsia" w:cstheme="minorEastAsia"/>
          <w:color w:val="000000"/>
        </w:rPr>
      </w:pPr>
      <w:bookmarkStart w:id="179" w:name="_Toc8418"/>
      <w:bookmarkStart w:id="180" w:name="_Toc2312"/>
      <w:r>
        <w:rPr>
          <w:rFonts w:hint="eastAsia" w:asciiTheme="minorEastAsia" w:hAnsiTheme="minorEastAsia" w:eastAsiaTheme="minorEastAsia" w:cstheme="minorEastAsia"/>
          <w:color w:val="000000"/>
        </w:rPr>
        <w:t xml:space="preserve">11.2 </w:t>
      </w:r>
      <w:r>
        <w:rPr>
          <w:rFonts w:hint="eastAsia" w:asciiTheme="minorEastAsia" w:hAnsiTheme="minorEastAsia" w:eastAsiaTheme="minorEastAsia" w:cstheme="minorEastAsia"/>
          <w:color w:val="000000"/>
          <w:lang w:val="zh-CN"/>
        </w:rPr>
        <w:t>检验验收</w:t>
      </w:r>
      <w:bookmarkEnd w:id="179"/>
      <w:bookmarkEnd w:id="180"/>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11.2.1 </w:t>
      </w:r>
      <w:r>
        <w:rPr>
          <w:rFonts w:hint="eastAsia" w:asciiTheme="minorEastAsia" w:hAnsiTheme="minorEastAsia" w:eastAsiaTheme="minorEastAsia" w:cstheme="minorEastAsia"/>
          <w:color w:val="000000"/>
          <w:lang w:val="zh-CN"/>
        </w:rPr>
        <w:t>交货完成后，乙方应及时组装、调试、试运行，按照合同专用条款规定的试运行完成后，双方及时组织对货物检验验收。合同双方均须派人参加合同要求双方参加的试验、检验。</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11.2.2 </w:t>
      </w:r>
      <w:r>
        <w:rPr>
          <w:rFonts w:hint="eastAsia" w:asciiTheme="minorEastAsia" w:hAnsiTheme="minorEastAsia" w:eastAsiaTheme="minorEastAsia" w:cstheme="minorEastAsia"/>
          <w:color w:val="000000"/>
          <w:lang w:val="zh-CN"/>
        </w:rPr>
        <w:t>在具体实施合同规定的检验验收之前，乙方需提前提交相应的测试计划（包括测试程序、测试内容和检验标准、试验时间安排等）供甲方确认。</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11.2.3 </w:t>
      </w:r>
      <w:r>
        <w:rPr>
          <w:rFonts w:hint="eastAsia" w:asciiTheme="minorEastAsia" w:hAnsiTheme="minorEastAsia" w:eastAsiaTheme="minorEastAsia" w:cstheme="minorEastAsia"/>
          <w:color w:val="000000"/>
          <w:lang w:val="zh-CN"/>
        </w:rPr>
        <w:t>除需甲方确认的试验验收外，乙方还应对所有检验验收测试的结果、步骤、原始数据等作妥善记录。如甲方要求，乙方应提供这些记录给买方。</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11.2.4 </w:t>
      </w:r>
      <w:r>
        <w:rPr>
          <w:rFonts w:hint="eastAsia" w:asciiTheme="minorEastAsia" w:hAnsiTheme="minorEastAsia" w:eastAsiaTheme="minorEastAsia" w:cstheme="minorEastAsia"/>
          <w:color w:val="000000"/>
          <w:lang w:val="zh-CN"/>
        </w:rPr>
        <w:t>检验测试出现全部或部分未达到本合同所约定的技术指标，甲方有权选择下列任一处理方式：</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a.</w:t>
      </w:r>
      <w:r>
        <w:rPr>
          <w:rFonts w:hint="eastAsia" w:asciiTheme="minorEastAsia" w:hAnsiTheme="minorEastAsia" w:eastAsiaTheme="minorEastAsia" w:cstheme="minorEastAsia"/>
          <w:color w:val="000000"/>
          <w:lang w:val="zh-CN"/>
        </w:rPr>
        <w:t>重新测试直至合格为止；</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b.</w:t>
      </w:r>
      <w:r>
        <w:rPr>
          <w:rFonts w:hint="eastAsia" w:asciiTheme="minorEastAsia" w:hAnsiTheme="minorEastAsia" w:eastAsiaTheme="minorEastAsia" w:cstheme="minorEastAsia"/>
          <w:color w:val="000000"/>
          <w:lang w:val="zh-CN"/>
        </w:rPr>
        <w:t>要求乙方对货物进行免费更换，然后重新测试直至合格为止；</w:t>
      </w:r>
    </w:p>
    <w:p>
      <w:pPr>
        <w:autoSpaceDE w:val="0"/>
        <w:autoSpaceDN w:val="0"/>
        <w:spacing w:line="360" w:lineRule="auto"/>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无论选择何种方式，甲方因此而发生的因卖方原因引起的所有费用均由乙方负担。</w:t>
      </w:r>
    </w:p>
    <w:p>
      <w:pPr>
        <w:autoSpaceDE w:val="0"/>
        <w:autoSpaceDN w:val="0"/>
        <w:spacing w:line="360" w:lineRule="auto"/>
        <w:ind w:firstLine="480"/>
        <w:outlineLvl w:val="1"/>
        <w:rPr>
          <w:rFonts w:hint="eastAsia" w:asciiTheme="minorEastAsia" w:hAnsiTheme="minorEastAsia" w:eastAsiaTheme="minorEastAsia" w:cstheme="minorEastAsia"/>
          <w:color w:val="000000"/>
        </w:rPr>
      </w:pPr>
      <w:bookmarkStart w:id="181" w:name="_Toc17147"/>
      <w:bookmarkStart w:id="182" w:name="_Toc13952"/>
      <w:r>
        <w:rPr>
          <w:rFonts w:hint="eastAsia" w:asciiTheme="minorEastAsia" w:hAnsiTheme="minorEastAsia" w:eastAsiaTheme="minorEastAsia" w:cstheme="minorEastAsia"/>
          <w:color w:val="000000"/>
        </w:rPr>
        <w:t xml:space="preserve">11.3 </w:t>
      </w:r>
      <w:r>
        <w:rPr>
          <w:rFonts w:hint="eastAsia" w:asciiTheme="minorEastAsia" w:hAnsiTheme="minorEastAsia" w:eastAsiaTheme="minorEastAsia" w:cstheme="minorEastAsia"/>
          <w:color w:val="000000"/>
          <w:lang w:val="zh-CN"/>
        </w:rPr>
        <w:t>使用过程检验</w:t>
      </w:r>
      <w:bookmarkEnd w:id="181"/>
      <w:bookmarkEnd w:id="182"/>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11.3.1 </w:t>
      </w:r>
      <w:r>
        <w:rPr>
          <w:rFonts w:hint="eastAsia" w:asciiTheme="minorEastAsia" w:hAnsiTheme="minorEastAsia" w:eastAsiaTheme="minorEastAsia" w:cstheme="minorEastAsia"/>
          <w:color w:val="000000"/>
          <w:lang w:val="zh-CN"/>
        </w:rPr>
        <w:t>在合同规定的质量保证期内，发现货物的质量或规格与合同规定不符，或证明货物有缺陷，包括潜在的缺陷或使用不合适的原材料等，由甲方组织质检（相关检测费用由卖方承担），据质检报告及质量保证条款向卖方提出索赔，此索赔并不免除乙方应承担的合同义务。</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11.3.2 </w:t>
      </w:r>
      <w:r>
        <w:rPr>
          <w:rFonts w:hint="eastAsia" w:asciiTheme="minorEastAsia" w:hAnsiTheme="minorEastAsia" w:eastAsiaTheme="minorEastAsia" w:cstheme="minorEastAsia"/>
          <w:color w:val="000000"/>
          <w:lang w:val="zh-CN"/>
        </w:rPr>
        <w:t>如果合同双方对乙方提供的上述试验结果报告的解释有分歧，双方须于出现分歧后</w:t>
      </w:r>
      <w:r>
        <w:rPr>
          <w:rFonts w:hint="eastAsia" w:asciiTheme="minorEastAsia" w:hAnsiTheme="minorEastAsia" w:eastAsiaTheme="minorEastAsia" w:cstheme="minorEastAsia"/>
          <w:color w:val="000000"/>
        </w:rPr>
        <w:t>10</w:t>
      </w:r>
      <w:r>
        <w:rPr>
          <w:rFonts w:hint="eastAsia" w:asciiTheme="minorEastAsia" w:hAnsiTheme="minorEastAsia" w:eastAsiaTheme="minorEastAsia" w:cstheme="minorEastAsia"/>
          <w:color w:val="000000"/>
          <w:lang w:val="zh-CN"/>
        </w:rPr>
        <w:t>天内给对方声明，以陈述己方的观点。声明须附有关证据。分歧应通过协商解决。</w:t>
      </w:r>
    </w:p>
    <w:p>
      <w:pPr>
        <w:pStyle w:val="3"/>
        <w:bidi w:val="0"/>
        <w:rPr>
          <w:rFonts w:hint="eastAsia"/>
        </w:rPr>
      </w:pPr>
      <w:bookmarkStart w:id="183" w:name="_Toc7080"/>
      <w:bookmarkStart w:id="184" w:name="_Toc24838"/>
      <w:r>
        <w:rPr>
          <w:rFonts w:hint="eastAsia"/>
        </w:rPr>
        <w:t>12.</w:t>
      </w:r>
      <w:r>
        <w:rPr>
          <w:rFonts w:hint="eastAsia"/>
          <w:lang w:val="zh-CN"/>
        </w:rPr>
        <w:t>付款方法和条件</w:t>
      </w:r>
      <w:bookmarkEnd w:id="183"/>
      <w:bookmarkEnd w:id="184"/>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本合同条款下的付款方法和条件在“青海省政府采购项目合同书”中具体规定。</w:t>
      </w:r>
    </w:p>
    <w:p>
      <w:pPr>
        <w:pStyle w:val="3"/>
        <w:bidi w:val="0"/>
        <w:rPr>
          <w:rFonts w:hint="eastAsia"/>
        </w:rPr>
      </w:pPr>
      <w:bookmarkStart w:id="185" w:name="_Toc9508"/>
      <w:bookmarkStart w:id="186" w:name="_Toc18902"/>
      <w:r>
        <w:rPr>
          <w:rFonts w:hint="eastAsia"/>
        </w:rPr>
        <w:t>13.</w:t>
      </w:r>
      <w:r>
        <w:rPr>
          <w:rFonts w:hint="eastAsia"/>
          <w:lang w:val="zh-CN"/>
        </w:rPr>
        <w:t>履约保证金</w:t>
      </w:r>
      <w:bookmarkEnd w:id="185"/>
      <w:bookmarkEnd w:id="186"/>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13.1 </w:t>
      </w:r>
      <w:r>
        <w:rPr>
          <w:rFonts w:hint="eastAsia" w:asciiTheme="minorEastAsia" w:hAnsiTheme="minorEastAsia" w:eastAsiaTheme="minorEastAsia" w:cstheme="minorEastAsia"/>
          <w:color w:val="000000"/>
          <w:lang w:val="zh-CN"/>
        </w:rPr>
        <w:t>乙方应在合同签订前，按招标文件第</w:t>
      </w:r>
      <w:r>
        <w:rPr>
          <w:rFonts w:hint="eastAsia" w:asciiTheme="minorEastAsia" w:hAnsiTheme="minorEastAsia" w:eastAsiaTheme="minorEastAsia" w:cstheme="minorEastAsia"/>
          <w:color w:val="000000"/>
        </w:rPr>
        <w:t>二</w:t>
      </w:r>
      <w:r>
        <w:rPr>
          <w:rFonts w:hint="eastAsia" w:asciiTheme="minorEastAsia" w:hAnsiTheme="minorEastAsia" w:eastAsiaTheme="minorEastAsia" w:cstheme="minorEastAsia"/>
          <w:color w:val="000000"/>
          <w:lang w:val="zh-CN"/>
        </w:rPr>
        <w:t>部分“八 授予合同”中第22.2项的约定提交履约保证金。</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13.2 </w:t>
      </w:r>
      <w:r>
        <w:rPr>
          <w:rFonts w:hint="eastAsia" w:asciiTheme="minorEastAsia" w:hAnsiTheme="minorEastAsia" w:eastAsiaTheme="minorEastAsia" w:cstheme="minorEastAsia"/>
          <w:color w:val="000000"/>
          <w:lang w:val="zh-CN"/>
        </w:rPr>
        <w:t>履约保证金用于补偿甲方因乙方不能履行其合同义务而蒙受的损失。</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13.3 </w:t>
      </w:r>
      <w:r>
        <w:rPr>
          <w:rFonts w:hint="eastAsia" w:asciiTheme="minorEastAsia" w:hAnsiTheme="minorEastAsia" w:eastAsiaTheme="minorEastAsia" w:cstheme="minorEastAsia"/>
          <w:color w:val="000000"/>
          <w:lang w:val="zh-CN"/>
        </w:rPr>
        <w:t>履约保证金应使用本合同货币，按下述方式之一提交（招标文件中另有约定的除外）：</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13.3.1 </w:t>
      </w:r>
      <w:r>
        <w:rPr>
          <w:rFonts w:hint="eastAsia" w:asciiTheme="minorEastAsia" w:hAnsiTheme="minorEastAsia" w:eastAsiaTheme="minorEastAsia" w:cstheme="minorEastAsia"/>
          <w:color w:val="000000"/>
          <w:lang w:val="zh-CN"/>
        </w:rPr>
        <w:t>甲方可接受的在中华人民共和国注册和营业的银行出具的履约保函；</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13.3.2 </w:t>
      </w:r>
      <w:r>
        <w:rPr>
          <w:rFonts w:hint="eastAsia" w:asciiTheme="minorEastAsia" w:hAnsiTheme="minorEastAsia" w:eastAsiaTheme="minorEastAsia" w:cstheme="minorEastAsia"/>
          <w:color w:val="000000"/>
          <w:lang w:val="zh-CN"/>
        </w:rPr>
        <w:t>支票或汇票。</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13.4 </w:t>
      </w:r>
      <w:r>
        <w:rPr>
          <w:rFonts w:hint="eastAsia" w:asciiTheme="minorEastAsia" w:hAnsiTheme="minorEastAsia" w:eastAsiaTheme="minorEastAsia" w:cstheme="minorEastAsia"/>
          <w:color w:val="000000"/>
          <w:lang w:val="zh-CN"/>
        </w:rPr>
        <w:t>乙方未能按合同规定履行其义务，甲方有权从履约保证金中取得补偿。货物验收合格后，甲方将履约保证金退还乙方或转为质量保证金。</w:t>
      </w:r>
    </w:p>
    <w:p>
      <w:pPr>
        <w:pStyle w:val="3"/>
        <w:bidi w:val="0"/>
        <w:rPr>
          <w:rFonts w:hint="eastAsia"/>
        </w:rPr>
      </w:pPr>
      <w:bookmarkStart w:id="187" w:name="_Toc4777"/>
      <w:bookmarkStart w:id="188" w:name="_Toc7381"/>
      <w:r>
        <w:rPr>
          <w:rFonts w:hint="eastAsia"/>
        </w:rPr>
        <w:t>14.</w:t>
      </w:r>
      <w:r>
        <w:rPr>
          <w:rFonts w:hint="eastAsia"/>
          <w:lang w:val="zh-CN"/>
        </w:rPr>
        <w:t>索赔</w:t>
      </w:r>
      <w:bookmarkEnd w:id="187"/>
      <w:bookmarkEnd w:id="188"/>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14.1 </w:t>
      </w:r>
      <w:r>
        <w:rPr>
          <w:rFonts w:hint="eastAsia" w:asciiTheme="minorEastAsia" w:hAnsiTheme="minorEastAsia" w:eastAsiaTheme="minorEastAsia" w:cstheme="minorEastAsia"/>
          <w:color w:val="000000"/>
          <w:lang w:val="zh-CN"/>
        </w:rPr>
        <w:t>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14.2 </w:t>
      </w:r>
      <w:r>
        <w:rPr>
          <w:rFonts w:hint="eastAsia" w:asciiTheme="minorEastAsia" w:hAnsiTheme="minorEastAsia" w:eastAsiaTheme="minorEastAsia" w:cstheme="minorEastAsia"/>
          <w:color w:val="000000"/>
          <w:lang w:val="zh-CN"/>
        </w:rPr>
        <w:t>在履约保证期和检验期内，乙方对甲方提出的索赔负有责任，乙方应按照甲方同意的下列一种或多种方式解决索赔事宜：</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14.2.1 </w:t>
      </w:r>
      <w:r>
        <w:rPr>
          <w:rFonts w:hint="eastAsia" w:asciiTheme="minorEastAsia" w:hAnsiTheme="minorEastAsia" w:eastAsiaTheme="minorEastAsia" w:cstheme="minorEastAsia"/>
          <w:color w:val="000000"/>
          <w:lang w:val="zh-CN"/>
        </w:rPr>
        <w:t>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14.2.2 </w:t>
      </w:r>
      <w:r>
        <w:rPr>
          <w:rFonts w:hint="eastAsia" w:asciiTheme="minorEastAsia" w:hAnsiTheme="minorEastAsia" w:eastAsiaTheme="minorEastAsia" w:cstheme="minorEastAsia"/>
          <w:color w:val="000000"/>
          <w:lang w:val="zh-CN"/>
        </w:rPr>
        <w:t>根据货物低劣程度、损坏程度以及甲方所遭受损失的数额，经甲乙双方商定降低货物的价格，或由有资质的中介机构评估，以降低后的价格或评估价格为准。</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14.2.3 </w:t>
      </w:r>
      <w:r>
        <w:rPr>
          <w:rFonts w:hint="eastAsia" w:asciiTheme="minorEastAsia" w:hAnsiTheme="minorEastAsia" w:eastAsiaTheme="minorEastAsia" w:cstheme="minorEastAsia"/>
          <w:color w:val="00000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14.3 </w:t>
      </w:r>
      <w:r>
        <w:rPr>
          <w:rFonts w:hint="eastAsia" w:asciiTheme="minorEastAsia" w:hAnsiTheme="minorEastAsia" w:eastAsiaTheme="minorEastAsia" w:cstheme="minorEastAsia"/>
          <w:color w:val="000000"/>
          <w:lang w:val="zh-CN"/>
        </w:rPr>
        <w:t>乙方收到甲方发出的索赔通知之日起</w:t>
      </w:r>
      <w:r>
        <w:rPr>
          <w:rFonts w:hint="eastAsia" w:asciiTheme="minorEastAsia" w:hAnsiTheme="minorEastAsia" w:eastAsiaTheme="minorEastAsia" w:cstheme="minorEastAsia"/>
          <w:color w:val="000000"/>
        </w:rPr>
        <w:t>5</w:t>
      </w:r>
      <w:r>
        <w:rPr>
          <w:rFonts w:hint="eastAsia" w:asciiTheme="minorEastAsia" w:hAnsiTheme="minorEastAsia" w:eastAsiaTheme="minorEastAsia" w:cstheme="minorEastAsia"/>
          <w:color w:val="000000"/>
          <w:lang w:val="zh-CN"/>
        </w:rPr>
        <w:t>个工作日内未作答复的，甲方可从合同款或履约保证金中扣回索赔金额，如金额不足以补偿索赔金额，乙方应补足差额部分。</w:t>
      </w:r>
    </w:p>
    <w:p>
      <w:pPr>
        <w:pStyle w:val="3"/>
        <w:bidi w:val="0"/>
        <w:rPr>
          <w:rFonts w:hint="eastAsia"/>
        </w:rPr>
      </w:pPr>
      <w:bookmarkStart w:id="189" w:name="_Toc14617"/>
      <w:bookmarkStart w:id="190" w:name="_Toc19782"/>
      <w:r>
        <w:rPr>
          <w:rFonts w:hint="eastAsia"/>
        </w:rPr>
        <w:t>15.</w:t>
      </w:r>
      <w:r>
        <w:rPr>
          <w:rFonts w:hint="eastAsia"/>
          <w:lang w:val="zh-CN"/>
        </w:rPr>
        <w:t>迟延交货</w:t>
      </w:r>
      <w:bookmarkEnd w:id="189"/>
      <w:bookmarkEnd w:id="190"/>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15.1 </w:t>
      </w:r>
      <w:r>
        <w:rPr>
          <w:rFonts w:hint="eastAsia" w:asciiTheme="minorEastAsia" w:hAnsiTheme="minorEastAsia" w:eastAsiaTheme="minorEastAsia" w:cstheme="minorEastAsia"/>
          <w:color w:val="000000"/>
          <w:lang w:val="zh-CN"/>
        </w:rPr>
        <w:t>乙方应按照合同约定的时间交货和提供服务。</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15.2 </w:t>
      </w:r>
      <w:r>
        <w:rPr>
          <w:rFonts w:hint="eastAsia" w:asciiTheme="minorEastAsia" w:hAnsiTheme="minorEastAsia" w:eastAsiaTheme="minorEastAsia" w:cstheme="minorEastAsia"/>
          <w:color w:val="000000"/>
          <w:lang w:val="zh-CN"/>
        </w:rPr>
        <w:t>除不可抗力因素外，乙方迟延交货，甲方有权提出违约损失赔偿或解除合同。</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15.3 </w:t>
      </w:r>
      <w:r>
        <w:rPr>
          <w:rFonts w:hint="eastAsia" w:asciiTheme="minorEastAsia" w:hAnsiTheme="minorEastAsia" w:eastAsiaTheme="minorEastAsia" w:cstheme="minorEastAsia"/>
          <w:color w:val="000000"/>
          <w:lang w:val="zh-CN"/>
        </w:rPr>
        <w:t>在履行合同过程中，乙方遇到不能按时交货和提供服务的情况，应及时以书面形式将不能按时交货的理由、预期延误时间通知甲方。甲方收到乙方通知后，认为其理由正当的，可酌情延长交货时间。</w:t>
      </w:r>
    </w:p>
    <w:p>
      <w:pPr>
        <w:pStyle w:val="3"/>
        <w:bidi w:val="0"/>
        <w:rPr>
          <w:rFonts w:hint="eastAsia"/>
        </w:rPr>
      </w:pPr>
      <w:bookmarkStart w:id="191" w:name="_Toc14744"/>
      <w:bookmarkStart w:id="192" w:name="_Toc25346"/>
      <w:r>
        <w:rPr>
          <w:rFonts w:hint="eastAsia"/>
        </w:rPr>
        <w:t>16.</w:t>
      </w:r>
      <w:r>
        <w:rPr>
          <w:rFonts w:hint="eastAsia"/>
          <w:lang w:val="zh-CN"/>
        </w:rPr>
        <w:t>违约赔偿</w:t>
      </w:r>
      <w:bookmarkEnd w:id="191"/>
      <w:bookmarkEnd w:id="192"/>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除不可抗力因素外，乙方没有按照合同规定的时间交货和提供服务，甲方可要求乙方支付违约金。违约金每日按合同总价款的千分之五计收。</w:t>
      </w:r>
    </w:p>
    <w:p>
      <w:pPr>
        <w:pStyle w:val="3"/>
        <w:bidi w:val="0"/>
        <w:rPr>
          <w:rFonts w:hint="eastAsia"/>
        </w:rPr>
      </w:pPr>
      <w:bookmarkStart w:id="193" w:name="_Toc28105"/>
      <w:bookmarkStart w:id="194" w:name="_Toc28449"/>
      <w:r>
        <w:rPr>
          <w:rFonts w:hint="eastAsia"/>
        </w:rPr>
        <w:t>17.</w:t>
      </w:r>
      <w:r>
        <w:rPr>
          <w:rFonts w:hint="eastAsia"/>
          <w:lang w:val="zh-CN"/>
        </w:rPr>
        <w:t>不可抗力</w:t>
      </w:r>
      <w:bookmarkEnd w:id="193"/>
      <w:bookmarkEnd w:id="194"/>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17.1 </w:t>
      </w:r>
      <w:r>
        <w:rPr>
          <w:rFonts w:hint="eastAsia" w:asciiTheme="minorEastAsia" w:hAnsiTheme="minorEastAsia" w:eastAsiaTheme="minorEastAsia" w:cstheme="minorEastAsia"/>
          <w:color w:val="000000"/>
          <w:lang w:val="zh-CN"/>
        </w:rPr>
        <w:t>双方中任何一方遭遇法律规定的不可抗力，致使合同履行受阻时，履行合同的期限应予延长，延长的期限应相当于不可抗力所影响的时间。</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17.2 </w:t>
      </w:r>
      <w:r>
        <w:rPr>
          <w:rFonts w:hint="eastAsia" w:asciiTheme="minorEastAsia" w:hAnsiTheme="minorEastAsia" w:eastAsiaTheme="minorEastAsia" w:cstheme="minorEastAsia"/>
          <w:color w:val="000000"/>
          <w:lang w:val="zh-CN"/>
        </w:rPr>
        <w:t>受事故影响的一方应在不可抗力的事故发生后以书面形式通知另一方。</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17.3 </w:t>
      </w:r>
      <w:r>
        <w:rPr>
          <w:rFonts w:hint="eastAsia" w:asciiTheme="minorEastAsia" w:hAnsiTheme="minorEastAsia" w:eastAsiaTheme="minorEastAsia" w:cstheme="minorEastAsia"/>
          <w:color w:val="000000"/>
          <w:lang w:val="zh-CN"/>
        </w:rPr>
        <w:t>不可抗力使合同的某些内容有变更必要的，双方应通过协商达成进一步履行合同的协议，因不可抗力致使合同不能履行的，合同终止。</w:t>
      </w:r>
    </w:p>
    <w:p>
      <w:pPr>
        <w:pStyle w:val="3"/>
        <w:bidi w:val="0"/>
        <w:rPr>
          <w:rFonts w:hint="eastAsia"/>
        </w:rPr>
      </w:pPr>
      <w:bookmarkStart w:id="195" w:name="_Toc17595"/>
      <w:bookmarkStart w:id="196" w:name="_Toc21344"/>
      <w:r>
        <w:rPr>
          <w:rFonts w:hint="eastAsia"/>
        </w:rPr>
        <w:t>18.</w:t>
      </w:r>
      <w:r>
        <w:rPr>
          <w:rFonts w:hint="eastAsia"/>
          <w:lang w:val="zh-CN"/>
        </w:rPr>
        <w:t>税费</w:t>
      </w:r>
      <w:bookmarkEnd w:id="195"/>
      <w:bookmarkEnd w:id="196"/>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与本合同有关的一切税费均由乙方承担。</w:t>
      </w:r>
    </w:p>
    <w:p>
      <w:pPr>
        <w:pStyle w:val="3"/>
        <w:bidi w:val="0"/>
        <w:rPr>
          <w:rFonts w:hint="eastAsia"/>
        </w:rPr>
      </w:pPr>
      <w:bookmarkStart w:id="197" w:name="_Toc29318"/>
      <w:bookmarkStart w:id="198" w:name="_Toc28729"/>
      <w:r>
        <w:rPr>
          <w:rFonts w:hint="eastAsia"/>
        </w:rPr>
        <w:t>19.</w:t>
      </w:r>
      <w:r>
        <w:rPr>
          <w:rFonts w:hint="eastAsia"/>
          <w:lang w:val="zh-CN"/>
        </w:rPr>
        <w:t>合同争议的解决</w:t>
      </w:r>
      <w:bookmarkEnd w:id="197"/>
      <w:bookmarkEnd w:id="198"/>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19.1 </w:t>
      </w:r>
      <w:r>
        <w:rPr>
          <w:rFonts w:hint="eastAsia" w:asciiTheme="minorEastAsia" w:hAnsiTheme="minorEastAsia" w:eastAsiaTheme="minorEastAsia" w:cstheme="minorEastAsia"/>
          <w:color w:val="000000"/>
          <w:lang w:val="zh-CN"/>
        </w:rPr>
        <w:t>甲方和乙方由于本合同的履行而发生任何争议时，双方可先通过协商解决。</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19.2 </w:t>
      </w:r>
      <w:r>
        <w:rPr>
          <w:rFonts w:hint="eastAsia" w:asciiTheme="minorEastAsia" w:hAnsiTheme="minorEastAsia" w:eastAsiaTheme="minorEastAsia" w:cstheme="minorEastAsia"/>
          <w:color w:val="000000"/>
          <w:lang w:val="zh-CN"/>
        </w:rPr>
        <w:t>任何一方不愿通过协商或通过协商仍不能解决争议，则双方中任何一方均应向甲方所在地人民法院起诉。</w:t>
      </w:r>
    </w:p>
    <w:p>
      <w:pPr>
        <w:pStyle w:val="3"/>
        <w:bidi w:val="0"/>
        <w:rPr>
          <w:rFonts w:hint="eastAsia"/>
        </w:rPr>
      </w:pPr>
      <w:bookmarkStart w:id="199" w:name="_Toc31757"/>
      <w:bookmarkStart w:id="200" w:name="_Toc16453"/>
      <w:r>
        <w:rPr>
          <w:rFonts w:hint="eastAsia"/>
        </w:rPr>
        <w:t>20.</w:t>
      </w:r>
      <w:r>
        <w:rPr>
          <w:rFonts w:hint="eastAsia"/>
          <w:lang w:val="zh-CN"/>
        </w:rPr>
        <w:t>违约解除合同</w:t>
      </w:r>
      <w:bookmarkEnd w:id="199"/>
      <w:bookmarkEnd w:id="200"/>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20.1 </w:t>
      </w:r>
      <w:r>
        <w:rPr>
          <w:rFonts w:hint="eastAsia" w:asciiTheme="minorEastAsia" w:hAnsiTheme="minorEastAsia" w:eastAsiaTheme="minorEastAsia" w:cstheme="minorEastAsia"/>
          <w:color w:val="000000"/>
          <w:lang w:val="zh-CN"/>
        </w:rPr>
        <w:t>出现下列情形之一的，视为乙方违约。甲方可向乙方发出书面通知，部分或全部终止合同，同时保留向乙方索赔的权利。</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20.1.1 </w:t>
      </w:r>
      <w:r>
        <w:rPr>
          <w:rFonts w:hint="eastAsia" w:asciiTheme="minorEastAsia" w:hAnsiTheme="minorEastAsia" w:eastAsiaTheme="minorEastAsia" w:cstheme="minorEastAsia"/>
          <w:color w:val="000000"/>
          <w:lang w:val="zh-CN"/>
        </w:rPr>
        <w:t>乙方未能在合同规定的限期或甲方同意延长的限期内，提供全部或部分货物的；</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20.1.2 </w:t>
      </w:r>
      <w:r>
        <w:rPr>
          <w:rFonts w:hint="eastAsia" w:asciiTheme="minorEastAsia" w:hAnsiTheme="minorEastAsia" w:eastAsiaTheme="minorEastAsia" w:cstheme="minorEastAsia"/>
          <w:color w:val="000000"/>
          <w:lang w:val="zh-CN"/>
        </w:rPr>
        <w:t>乙方未能履行合同规定的其它主要义务的；</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20.1.3 </w:t>
      </w:r>
      <w:r>
        <w:rPr>
          <w:rFonts w:hint="eastAsia" w:asciiTheme="minorEastAsia" w:hAnsiTheme="minorEastAsia" w:eastAsiaTheme="minorEastAsia" w:cstheme="minorEastAsia"/>
          <w:color w:val="000000"/>
          <w:lang w:val="zh-CN"/>
        </w:rPr>
        <w:t>乙方在本合同履行过程中有欺诈行为的。</w:t>
      </w:r>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20.2 </w:t>
      </w:r>
      <w:r>
        <w:rPr>
          <w:rFonts w:hint="eastAsia" w:asciiTheme="minorEastAsia" w:hAnsiTheme="minorEastAsia" w:eastAsiaTheme="minorEastAsia" w:cstheme="minorEastAsia"/>
          <w:color w:val="00000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pPr>
        <w:pStyle w:val="3"/>
        <w:bidi w:val="0"/>
        <w:rPr>
          <w:rFonts w:hint="eastAsia"/>
        </w:rPr>
      </w:pPr>
      <w:bookmarkStart w:id="201" w:name="_Toc13332"/>
      <w:bookmarkStart w:id="202" w:name="_Toc17569"/>
      <w:r>
        <w:rPr>
          <w:rFonts w:hint="eastAsia"/>
        </w:rPr>
        <w:t>21.</w:t>
      </w:r>
      <w:r>
        <w:rPr>
          <w:rFonts w:hint="eastAsia"/>
          <w:lang w:val="zh-CN"/>
        </w:rPr>
        <w:t>破产终止合同</w:t>
      </w:r>
      <w:bookmarkEnd w:id="201"/>
      <w:bookmarkEnd w:id="202"/>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乙方破产而无法完全履行本合同义务时，甲方可以书面方式通知乙方终止合同而不给予乙方补偿。该合同的终止将不损害或不影响甲方已经采取或将要采取任何行动或补救措施的权利。</w:t>
      </w:r>
    </w:p>
    <w:p>
      <w:pPr>
        <w:pStyle w:val="3"/>
        <w:bidi w:val="0"/>
        <w:rPr>
          <w:rFonts w:hint="eastAsia"/>
        </w:rPr>
      </w:pPr>
      <w:bookmarkStart w:id="203" w:name="_Toc24881"/>
      <w:bookmarkStart w:id="204" w:name="_Toc9766"/>
      <w:r>
        <w:rPr>
          <w:rFonts w:hint="eastAsia"/>
        </w:rPr>
        <w:t>22.</w:t>
      </w:r>
      <w:r>
        <w:rPr>
          <w:rFonts w:hint="eastAsia"/>
          <w:lang w:val="zh-CN"/>
        </w:rPr>
        <w:t>转让和分包</w:t>
      </w:r>
      <w:bookmarkEnd w:id="203"/>
      <w:bookmarkEnd w:id="204"/>
    </w:p>
    <w:p>
      <w:pPr>
        <w:autoSpaceDE w:val="0"/>
        <w:autoSpaceDN w:val="0"/>
        <w:spacing w:line="360" w:lineRule="auto"/>
        <w:ind w:firstLine="36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22.1 </w:t>
      </w:r>
      <w:r>
        <w:rPr>
          <w:rFonts w:hint="eastAsia" w:asciiTheme="minorEastAsia" w:hAnsiTheme="minorEastAsia" w:eastAsiaTheme="minorEastAsia" w:cstheme="minorEastAsia"/>
          <w:color w:val="000000"/>
          <w:lang w:val="zh-CN"/>
        </w:rPr>
        <w:t>政府采购合同不能转让。</w:t>
      </w:r>
    </w:p>
    <w:p>
      <w:pPr>
        <w:autoSpaceDE w:val="0"/>
        <w:autoSpaceDN w:val="0"/>
        <w:spacing w:line="360" w:lineRule="auto"/>
        <w:ind w:firstLine="36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 xml:space="preserve">22.2 </w:t>
      </w:r>
      <w:r>
        <w:rPr>
          <w:rFonts w:hint="eastAsia" w:asciiTheme="minorEastAsia" w:hAnsiTheme="minorEastAsia" w:eastAsiaTheme="minorEastAsia" w:cstheme="minorEastAsia"/>
          <w:color w:val="00000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pPr>
        <w:pStyle w:val="3"/>
        <w:bidi w:val="0"/>
        <w:rPr>
          <w:rFonts w:hint="eastAsia"/>
        </w:rPr>
      </w:pPr>
      <w:bookmarkStart w:id="205" w:name="_Toc15214"/>
      <w:bookmarkStart w:id="206" w:name="_Toc30536"/>
      <w:r>
        <w:rPr>
          <w:rFonts w:hint="eastAsia"/>
        </w:rPr>
        <w:t>23.</w:t>
      </w:r>
      <w:r>
        <w:rPr>
          <w:rFonts w:hint="eastAsia"/>
          <w:lang w:val="zh-CN"/>
        </w:rPr>
        <w:t>合同修改</w:t>
      </w:r>
      <w:bookmarkEnd w:id="205"/>
      <w:bookmarkEnd w:id="206"/>
    </w:p>
    <w:p>
      <w:pPr>
        <w:autoSpaceDE w:val="0"/>
        <w:autoSpaceDN w:val="0"/>
        <w:spacing w:line="360" w:lineRule="auto"/>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政府采购合同的双方当事人不得擅自变更、中止或者终止合同</w:t>
      </w:r>
    </w:p>
    <w:p>
      <w:pPr>
        <w:pStyle w:val="3"/>
        <w:bidi w:val="0"/>
        <w:rPr>
          <w:rFonts w:hint="eastAsia"/>
        </w:rPr>
      </w:pPr>
      <w:bookmarkStart w:id="207" w:name="_Toc19274"/>
      <w:bookmarkStart w:id="208" w:name="_Toc30617"/>
      <w:r>
        <w:rPr>
          <w:rFonts w:hint="eastAsia"/>
        </w:rPr>
        <w:t>24.</w:t>
      </w:r>
      <w:r>
        <w:rPr>
          <w:rFonts w:hint="eastAsia"/>
          <w:lang w:val="zh-CN"/>
        </w:rPr>
        <w:t>通知</w:t>
      </w:r>
      <w:bookmarkEnd w:id="207"/>
      <w:bookmarkEnd w:id="208"/>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本合同任何一方给另一方的通知，都应以书面形式发送，而另一方也应以书面形式确认并发送到对方明确的地址。</w:t>
      </w:r>
    </w:p>
    <w:p>
      <w:pPr>
        <w:pStyle w:val="3"/>
        <w:bidi w:val="0"/>
        <w:rPr>
          <w:rFonts w:hint="eastAsia"/>
        </w:rPr>
      </w:pPr>
      <w:bookmarkStart w:id="209" w:name="_Toc23831"/>
      <w:bookmarkStart w:id="210" w:name="_Toc13835"/>
      <w:r>
        <w:rPr>
          <w:rFonts w:hint="eastAsia"/>
        </w:rPr>
        <w:t>25.</w:t>
      </w:r>
      <w:r>
        <w:rPr>
          <w:rFonts w:hint="eastAsia"/>
          <w:lang w:val="zh-CN"/>
        </w:rPr>
        <w:t>计量单位</w:t>
      </w:r>
      <w:bookmarkEnd w:id="209"/>
      <w:bookmarkEnd w:id="210"/>
    </w:p>
    <w:p>
      <w:pPr>
        <w:autoSpaceDE w:val="0"/>
        <w:autoSpaceDN w:val="0"/>
        <w:spacing w:line="360" w:lineRule="auto"/>
        <w:ind w:firstLine="48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t>除技术规范中另有规定外</w:t>
      </w:r>
      <w:r>
        <w:rPr>
          <w:rFonts w:hint="eastAsia" w:asciiTheme="minorEastAsia" w:hAnsiTheme="minorEastAsia" w:eastAsiaTheme="minorEastAsia" w:cstheme="minorEastAsia"/>
          <w:color w:val="000000"/>
        </w:rPr>
        <w:t>,</w:t>
      </w:r>
      <w:r>
        <w:rPr>
          <w:rFonts w:hint="eastAsia" w:asciiTheme="minorEastAsia" w:hAnsiTheme="minorEastAsia" w:eastAsiaTheme="minorEastAsia" w:cstheme="minorEastAsia"/>
          <w:color w:val="000000"/>
          <w:lang w:val="zh-CN"/>
        </w:rPr>
        <w:t>计量单位均使用国家法定计量单位。</w:t>
      </w:r>
    </w:p>
    <w:p>
      <w:pPr>
        <w:pStyle w:val="3"/>
        <w:bidi w:val="0"/>
        <w:rPr>
          <w:rFonts w:hint="eastAsia"/>
        </w:rPr>
      </w:pPr>
      <w:bookmarkStart w:id="211" w:name="_Toc11969"/>
      <w:bookmarkStart w:id="212" w:name="_Toc19067"/>
      <w:r>
        <w:rPr>
          <w:rFonts w:hint="eastAsia"/>
        </w:rPr>
        <w:t>26.</w:t>
      </w:r>
      <w:r>
        <w:rPr>
          <w:rFonts w:hint="eastAsia"/>
          <w:lang w:val="zh-CN"/>
        </w:rPr>
        <w:t>适用法律</w:t>
      </w:r>
      <w:bookmarkEnd w:id="211"/>
      <w:bookmarkEnd w:id="212"/>
    </w:p>
    <w:p>
      <w:pPr>
        <w:autoSpaceDE w:val="0"/>
        <w:autoSpaceDN w:val="0"/>
        <w:spacing w:line="360" w:lineRule="auto"/>
        <w:ind w:firstLine="480"/>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t>本合同按照中华人民共和国的相关法律进行解释。</w:t>
      </w:r>
    </w:p>
    <w:p>
      <w:pPr>
        <w:spacing w:before="230" w:line="250" w:lineRule="exact"/>
        <w:ind w:firstLine="480" w:firstLineChars="200"/>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bookmarkStart w:id="213" w:name="_Toc21254"/>
      <w:bookmarkStart w:id="214" w:name="_Toc515908206"/>
      <w:bookmarkStart w:id="215" w:name="_Toc18044"/>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spacing w:before="0" w:after="0" w:line="360" w:lineRule="auto"/>
        <w:jc w:val="center"/>
        <w:rPr>
          <w:rFonts w:hint="eastAsia" w:asciiTheme="minorEastAsia" w:hAnsiTheme="minorEastAsia" w:eastAsiaTheme="minorEastAsia" w:cstheme="minorEastAsia"/>
          <w:color w:val="000000"/>
          <w:szCs w:val="36"/>
          <w:lang w:val="zh-CN"/>
        </w:rPr>
      </w:pPr>
    </w:p>
    <w:p>
      <w:pPr>
        <w:pStyle w:val="15"/>
        <w:bidi w:val="0"/>
        <w:rPr>
          <w:rFonts w:hint="eastAsia"/>
          <w:lang w:val="zh-CN"/>
        </w:rPr>
      </w:pPr>
      <w:bookmarkStart w:id="216" w:name="_Toc25609"/>
      <w:r>
        <w:rPr>
          <w:rFonts w:hint="eastAsia"/>
          <w:lang w:val="zh-CN"/>
        </w:rPr>
        <w:t>第</w:t>
      </w:r>
      <w:r>
        <w:rPr>
          <w:rFonts w:hint="eastAsia"/>
          <w:lang w:val="en-US" w:eastAsia="zh-CN"/>
        </w:rPr>
        <w:t>五</w:t>
      </w:r>
      <w:r>
        <w:rPr>
          <w:rFonts w:hint="eastAsia"/>
          <w:lang w:val="zh-CN"/>
        </w:rPr>
        <w:t xml:space="preserve">部分  </w:t>
      </w:r>
      <w:r>
        <w:rPr>
          <w:rFonts w:hint="eastAsia"/>
          <w:lang w:val="en-US" w:eastAsia="zh-CN"/>
        </w:rPr>
        <w:t>响应</w:t>
      </w:r>
      <w:r>
        <w:rPr>
          <w:rFonts w:hint="eastAsia"/>
          <w:lang w:val="zh-CN"/>
        </w:rPr>
        <w:t>文件格式</w:t>
      </w:r>
      <w:bookmarkEnd w:id="213"/>
      <w:bookmarkEnd w:id="214"/>
      <w:bookmarkEnd w:id="215"/>
      <w:bookmarkEnd w:id="216"/>
    </w:p>
    <w:p>
      <w:pPr>
        <w:pStyle w:val="15"/>
        <w:spacing w:before="0" w:after="0" w:line="360" w:lineRule="auto"/>
        <w:jc w:val="left"/>
        <w:outlineLvl w:val="9"/>
        <w:rPr>
          <w:rFonts w:hint="eastAsia" w:asciiTheme="minorEastAsia" w:hAnsiTheme="minorEastAsia" w:eastAsiaTheme="minorEastAsia" w:cstheme="minorEastAsia"/>
          <w:color w:val="000000"/>
        </w:rPr>
      </w:pPr>
      <w:bookmarkStart w:id="217" w:name="_Toc11851"/>
      <w:bookmarkStart w:id="218" w:name="_Toc21491"/>
      <w:bookmarkStart w:id="219" w:name="_Toc515908207"/>
      <w:bookmarkStart w:id="220" w:name="_Toc31580"/>
      <w:bookmarkStart w:id="221" w:name="_Toc14497"/>
      <w:r>
        <w:rPr>
          <w:rFonts w:hint="eastAsia" w:asciiTheme="minorEastAsia" w:hAnsiTheme="minorEastAsia" w:eastAsiaTheme="minorEastAsia" w:cstheme="minorEastAsia"/>
          <w:color w:val="000000"/>
          <w:sz w:val="30"/>
          <w:szCs w:val="30"/>
          <w:lang w:val="zh-CN"/>
        </w:rPr>
        <w:t>封面</w:t>
      </w:r>
      <w:bookmarkEnd w:id="217"/>
      <w:r>
        <w:rPr>
          <w:rFonts w:hint="eastAsia" w:asciiTheme="minorEastAsia" w:hAnsiTheme="minorEastAsia" w:eastAsiaTheme="minorEastAsia" w:cstheme="minorEastAsia"/>
          <w:color w:val="000000"/>
          <w:sz w:val="30"/>
          <w:szCs w:val="30"/>
          <w:lang w:val="zh-CN"/>
        </w:rPr>
        <w:t>（上册）</w:t>
      </w:r>
      <w:bookmarkEnd w:id="218"/>
      <w:bookmarkEnd w:id="219"/>
      <w:bookmarkEnd w:id="220"/>
      <w:bookmarkEnd w:id="221"/>
    </w:p>
    <w:p>
      <w:pPr>
        <w:autoSpaceDE w:val="0"/>
        <w:autoSpaceDN w:val="0"/>
        <w:spacing w:line="360" w:lineRule="auto"/>
        <w:jc w:val="right"/>
        <w:rPr>
          <w:rFonts w:hint="eastAsia" w:asciiTheme="minorEastAsia" w:hAnsiTheme="minorEastAsia" w:eastAsiaTheme="minorEastAsia" w:cstheme="minorEastAsia"/>
          <w:b/>
          <w:bCs/>
          <w:color w:val="000000"/>
          <w:kern w:val="0"/>
          <w:sz w:val="36"/>
          <w:szCs w:val="36"/>
        </w:rPr>
      </w:pPr>
      <w:r>
        <w:rPr>
          <w:rFonts w:hint="eastAsia" w:asciiTheme="minorEastAsia" w:hAnsiTheme="minorEastAsia" w:eastAsiaTheme="minorEastAsia" w:cstheme="minorEastAsia"/>
          <w:b/>
          <w:bCs/>
          <w:color w:val="000000"/>
          <w:kern w:val="0"/>
          <w:sz w:val="36"/>
          <w:szCs w:val="36"/>
        </w:rPr>
        <w:t>正本/副本</w:t>
      </w:r>
    </w:p>
    <w:p>
      <w:pPr>
        <w:autoSpaceDE w:val="0"/>
        <w:autoSpaceDN w:val="0"/>
        <w:spacing w:line="360" w:lineRule="auto"/>
        <w:jc w:val="center"/>
        <w:outlineLvl w:val="9"/>
        <w:rPr>
          <w:rFonts w:hint="eastAsia" w:asciiTheme="minorEastAsia" w:hAnsiTheme="minorEastAsia" w:eastAsiaTheme="minorEastAsia" w:cstheme="minorEastAsia"/>
          <w:b/>
          <w:bCs/>
          <w:color w:val="000000"/>
          <w:kern w:val="0"/>
          <w:sz w:val="52"/>
          <w:szCs w:val="52"/>
          <w:lang w:val="zh-CN"/>
        </w:rPr>
      </w:pPr>
      <w:bookmarkStart w:id="222" w:name="_Toc25760"/>
      <w:bookmarkStart w:id="223" w:name="_Toc24601"/>
      <w:r>
        <w:rPr>
          <w:rFonts w:hint="eastAsia" w:asciiTheme="minorEastAsia" w:hAnsiTheme="minorEastAsia" w:eastAsiaTheme="minorEastAsia" w:cstheme="minorEastAsia"/>
          <w:b/>
          <w:bCs/>
          <w:color w:val="000000"/>
          <w:kern w:val="0"/>
          <w:sz w:val="52"/>
          <w:szCs w:val="52"/>
          <w:lang w:val="zh-CN"/>
        </w:rPr>
        <w:t>青海省政府采购项目</w:t>
      </w:r>
      <w:bookmarkEnd w:id="222"/>
      <w:bookmarkEnd w:id="223"/>
    </w:p>
    <w:p>
      <w:pPr>
        <w:autoSpaceDE w:val="0"/>
        <w:autoSpaceDN w:val="0"/>
        <w:spacing w:line="360" w:lineRule="auto"/>
        <w:rPr>
          <w:rFonts w:hint="eastAsia" w:asciiTheme="minorEastAsia" w:hAnsiTheme="minorEastAsia" w:eastAsiaTheme="minorEastAsia" w:cstheme="minorEastAsia"/>
          <w:color w:val="000000"/>
          <w:kern w:val="0"/>
          <w:sz w:val="36"/>
          <w:szCs w:val="36"/>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72"/>
          <w:szCs w:val="72"/>
          <w:lang w:val="zh-CN"/>
        </w:rPr>
      </w:pPr>
      <w:r>
        <w:rPr>
          <w:rFonts w:hint="eastAsia" w:asciiTheme="minorEastAsia" w:hAnsiTheme="minorEastAsia" w:eastAsiaTheme="minorEastAsia" w:cstheme="minorEastAsia"/>
          <w:b/>
          <w:bCs/>
          <w:color w:val="000000"/>
          <w:kern w:val="0"/>
          <w:sz w:val="72"/>
          <w:szCs w:val="72"/>
          <w:lang w:val="en-US" w:eastAsia="zh-CN"/>
        </w:rPr>
        <w:t>响 应</w:t>
      </w:r>
      <w:r>
        <w:rPr>
          <w:rFonts w:hint="eastAsia" w:asciiTheme="minorEastAsia" w:hAnsiTheme="minorEastAsia" w:eastAsiaTheme="minorEastAsia" w:cstheme="minorEastAsia"/>
          <w:b/>
          <w:bCs/>
          <w:color w:val="000000"/>
          <w:kern w:val="0"/>
          <w:sz w:val="72"/>
          <w:szCs w:val="72"/>
        </w:rPr>
        <w:t xml:space="preserve"> </w:t>
      </w:r>
      <w:r>
        <w:rPr>
          <w:rFonts w:hint="eastAsia" w:asciiTheme="minorEastAsia" w:hAnsiTheme="minorEastAsia" w:eastAsiaTheme="minorEastAsia" w:cstheme="minorEastAsia"/>
          <w:b/>
          <w:bCs/>
          <w:color w:val="000000"/>
          <w:kern w:val="0"/>
          <w:sz w:val="72"/>
          <w:szCs w:val="72"/>
          <w:lang w:val="zh-CN"/>
        </w:rPr>
        <w:t>文</w:t>
      </w:r>
      <w:r>
        <w:rPr>
          <w:rFonts w:hint="eastAsia" w:asciiTheme="minorEastAsia" w:hAnsiTheme="minorEastAsia" w:eastAsiaTheme="minorEastAsia" w:cstheme="minorEastAsia"/>
          <w:b/>
          <w:bCs/>
          <w:color w:val="000000"/>
          <w:kern w:val="0"/>
          <w:sz w:val="72"/>
          <w:szCs w:val="72"/>
        </w:rPr>
        <w:t xml:space="preserve"> </w:t>
      </w:r>
      <w:r>
        <w:rPr>
          <w:rFonts w:hint="eastAsia" w:asciiTheme="minorEastAsia" w:hAnsiTheme="minorEastAsia" w:eastAsiaTheme="minorEastAsia" w:cstheme="minorEastAsia"/>
          <w:b/>
          <w:bCs/>
          <w:color w:val="000000"/>
          <w:kern w:val="0"/>
          <w:sz w:val="72"/>
          <w:szCs w:val="72"/>
          <w:lang w:val="zh-CN"/>
        </w:rPr>
        <w:t>件</w:t>
      </w: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sz w:val="36"/>
          <w:szCs w:val="36"/>
          <w:lang w:val="zh-CN"/>
        </w:rPr>
        <w:t>（上册）</w:t>
      </w:r>
    </w:p>
    <w:p>
      <w:pPr>
        <w:autoSpaceDE w:val="0"/>
        <w:autoSpaceDN w:val="0"/>
        <w:spacing w:line="360" w:lineRule="auto"/>
        <w:jc w:val="center"/>
        <w:rPr>
          <w:rFonts w:hint="eastAsia" w:asciiTheme="minorEastAsia" w:hAnsiTheme="minorEastAsia" w:eastAsiaTheme="minorEastAsia" w:cstheme="minorEastAsia"/>
          <w:color w:val="000000"/>
          <w:sz w:val="36"/>
          <w:szCs w:val="36"/>
          <w:lang w:val="zh-CN"/>
        </w:rPr>
      </w:pPr>
      <w:r>
        <w:rPr>
          <w:rFonts w:hint="eastAsia" w:asciiTheme="minorEastAsia" w:hAnsiTheme="minorEastAsia" w:eastAsiaTheme="minorEastAsia" w:cstheme="minorEastAsia"/>
          <w:b/>
          <w:bCs/>
          <w:color w:val="000000"/>
          <w:sz w:val="36"/>
          <w:szCs w:val="36"/>
          <w:lang w:val="zh-CN"/>
        </w:rPr>
        <w:t>（资格审查文件）</w:t>
      </w:r>
    </w:p>
    <w:p>
      <w:pPr>
        <w:autoSpaceDE w:val="0"/>
        <w:autoSpaceDN w:val="0"/>
        <w:spacing w:line="360" w:lineRule="auto"/>
        <w:rPr>
          <w:rFonts w:hint="eastAsia" w:asciiTheme="minorEastAsia" w:hAnsiTheme="minorEastAsia" w:eastAsiaTheme="minorEastAsia" w:cstheme="minorEastAsia"/>
          <w:color w:val="000000"/>
          <w:kern w:val="0"/>
          <w:sz w:val="36"/>
          <w:szCs w:val="36"/>
        </w:rPr>
      </w:pPr>
    </w:p>
    <w:p>
      <w:pPr>
        <w:autoSpaceDE w:val="0"/>
        <w:autoSpaceDN w:val="0"/>
        <w:spacing w:line="360" w:lineRule="auto"/>
        <w:rPr>
          <w:rFonts w:hint="eastAsia" w:asciiTheme="minorEastAsia" w:hAnsiTheme="minorEastAsia" w:eastAsiaTheme="minorEastAsia" w:cstheme="minorEastAsia"/>
          <w:b/>
          <w:bCs/>
          <w:color w:val="000000"/>
          <w:kern w:val="0"/>
          <w:sz w:val="36"/>
          <w:szCs w:val="36"/>
        </w:rPr>
      </w:pPr>
      <w:r>
        <w:rPr>
          <w:rFonts w:hint="eastAsia" w:asciiTheme="minorEastAsia" w:hAnsiTheme="minorEastAsia" w:eastAsiaTheme="minorEastAsia" w:cstheme="minorEastAsia"/>
          <w:b/>
          <w:bCs/>
          <w:color w:val="000000"/>
          <w:kern w:val="0"/>
          <w:sz w:val="36"/>
          <w:szCs w:val="36"/>
          <w:lang w:val="zh-CN"/>
        </w:rPr>
        <w:t>采购项目编号：</w:t>
      </w:r>
    </w:p>
    <w:p>
      <w:pPr>
        <w:autoSpaceDE w:val="0"/>
        <w:autoSpaceDN w:val="0"/>
        <w:spacing w:line="360" w:lineRule="auto"/>
        <w:rPr>
          <w:rFonts w:hint="eastAsia" w:asciiTheme="minorEastAsia" w:hAnsiTheme="minorEastAsia" w:eastAsiaTheme="minorEastAsia" w:cstheme="minorEastAsia"/>
          <w:b/>
          <w:bCs/>
          <w:color w:val="000000"/>
          <w:kern w:val="0"/>
          <w:sz w:val="36"/>
          <w:szCs w:val="36"/>
        </w:rPr>
      </w:pPr>
      <w:r>
        <w:rPr>
          <w:rFonts w:hint="eastAsia" w:asciiTheme="minorEastAsia" w:hAnsiTheme="minorEastAsia" w:eastAsiaTheme="minorEastAsia" w:cstheme="minorEastAsia"/>
          <w:b/>
          <w:bCs/>
          <w:color w:val="000000"/>
          <w:kern w:val="0"/>
          <w:sz w:val="36"/>
          <w:szCs w:val="36"/>
          <w:lang w:val="zh-CN"/>
        </w:rPr>
        <w:t>采购项目名称</w:t>
      </w:r>
      <w:r>
        <w:rPr>
          <w:rFonts w:hint="eastAsia" w:asciiTheme="minorEastAsia" w:hAnsiTheme="minorEastAsia" w:eastAsiaTheme="minorEastAsia" w:cstheme="minorEastAsia"/>
          <w:b/>
          <w:bCs/>
          <w:color w:val="000000"/>
          <w:kern w:val="0"/>
          <w:sz w:val="36"/>
          <w:szCs w:val="36"/>
        </w:rPr>
        <w:t>：</w:t>
      </w:r>
    </w:p>
    <w:p>
      <w:pPr>
        <w:autoSpaceDE w:val="0"/>
        <w:autoSpaceDN w:val="0"/>
        <w:spacing w:line="360" w:lineRule="auto"/>
        <w:rPr>
          <w:rFonts w:hint="eastAsia" w:asciiTheme="minorEastAsia" w:hAnsiTheme="minorEastAsia" w:eastAsiaTheme="minorEastAsia" w:cstheme="minorEastAsia"/>
          <w:b/>
          <w:bCs/>
          <w:color w:val="000000"/>
          <w:kern w:val="0"/>
          <w:sz w:val="36"/>
          <w:szCs w:val="36"/>
        </w:rPr>
      </w:pPr>
    </w:p>
    <w:p>
      <w:pPr>
        <w:autoSpaceDE w:val="0"/>
        <w:autoSpaceDN w:val="0"/>
        <w:spacing w:line="360" w:lineRule="auto"/>
        <w:rPr>
          <w:rFonts w:hint="eastAsia" w:asciiTheme="minorEastAsia" w:hAnsiTheme="minorEastAsia" w:eastAsiaTheme="minorEastAsia" w:cstheme="minorEastAsia"/>
          <w:b/>
          <w:bCs/>
          <w:color w:val="000000"/>
          <w:kern w:val="0"/>
          <w:sz w:val="36"/>
          <w:szCs w:val="36"/>
        </w:rPr>
      </w:pPr>
    </w:p>
    <w:p>
      <w:pPr>
        <w:autoSpaceDE w:val="0"/>
        <w:autoSpaceDN w:val="0"/>
        <w:spacing w:line="360" w:lineRule="auto"/>
        <w:rPr>
          <w:rFonts w:hint="eastAsia" w:asciiTheme="minorEastAsia" w:hAnsiTheme="minorEastAsia" w:eastAsiaTheme="minorEastAsia" w:cstheme="minorEastAsia"/>
          <w:b/>
          <w:bCs/>
          <w:color w:val="000000"/>
          <w:kern w:val="0"/>
          <w:sz w:val="36"/>
          <w:szCs w:val="36"/>
        </w:rPr>
      </w:pPr>
      <w:r>
        <w:rPr>
          <w:rFonts w:hint="eastAsia" w:asciiTheme="minorEastAsia" w:hAnsiTheme="minorEastAsia" w:eastAsiaTheme="minorEastAsia" w:cstheme="minorEastAsia"/>
          <w:b/>
          <w:bCs/>
          <w:color w:val="000000"/>
          <w:kern w:val="0"/>
          <w:sz w:val="36"/>
          <w:szCs w:val="36"/>
        </w:rPr>
        <w:t xml:space="preserve">    </w:t>
      </w:r>
      <w:r>
        <w:rPr>
          <w:rFonts w:hint="eastAsia" w:asciiTheme="minorEastAsia" w:hAnsiTheme="minorEastAsia" w:eastAsiaTheme="minorEastAsia" w:cstheme="minorEastAsia"/>
          <w:b/>
          <w:bCs/>
          <w:color w:val="000000"/>
          <w:kern w:val="0"/>
          <w:sz w:val="36"/>
          <w:szCs w:val="36"/>
          <w:lang w:val="zh-CN"/>
        </w:rPr>
        <w:t>投标人：</w:t>
      </w:r>
      <w:r>
        <w:rPr>
          <w:rFonts w:hint="eastAsia" w:asciiTheme="minorEastAsia" w:hAnsiTheme="minorEastAsia" w:eastAsiaTheme="minorEastAsia" w:cstheme="minorEastAsia"/>
          <w:b/>
          <w:bCs/>
          <w:color w:val="000000"/>
          <w:kern w:val="0"/>
          <w:sz w:val="36"/>
          <w:szCs w:val="36"/>
          <w:u w:val="single"/>
        </w:rPr>
        <w:t xml:space="preserve">                          </w:t>
      </w:r>
      <w:r>
        <w:rPr>
          <w:rFonts w:hint="eastAsia" w:asciiTheme="minorEastAsia" w:hAnsiTheme="minorEastAsia" w:eastAsiaTheme="minorEastAsia" w:cstheme="minorEastAsia"/>
          <w:b/>
          <w:bCs/>
          <w:color w:val="000000"/>
          <w:kern w:val="0"/>
          <w:sz w:val="36"/>
          <w:szCs w:val="36"/>
        </w:rPr>
        <w:t>（</w:t>
      </w:r>
      <w:r>
        <w:rPr>
          <w:rFonts w:hint="eastAsia" w:asciiTheme="minorEastAsia" w:hAnsiTheme="minorEastAsia" w:eastAsiaTheme="minorEastAsia" w:cstheme="minorEastAsia"/>
          <w:b/>
          <w:bCs/>
          <w:color w:val="000000"/>
          <w:kern w:val="0"/>
          <w:sz w:val="36"/>
          <w:szCs w:val="36"/>
          <w:lang w:val="zh-CN"/>
        </w:rPr>
        <w:t>公章）</w:t>
      </w:r>
    </w:p>
    <w:p>
      <w:pPr>
        <w:autoSpaceDE w:val="0"/>
        <w:autoSpaceDN w:val="0"/>
        <w:spacing w:line="360" w:lineRule="auto"/>
        <w:rPr>
          <w:rFonts w:hint="eastAsia" w:asciiTheme="minorEastAsia" w:hAnsiTheme="minorEastAsia" w:eastAsiaTheme="minorEastAsia" w:cstheme="minorEastAsia"/>
          <w:b/>
          <w:bCs/>
          <w:color w:val="auto"/>
          <w:kern w:val="0"/>
          <w:sz w:val="36"/>
          <w:szCs w:val="36"/>
        </w:rPr>
      </w:pPr>
      <w:r>
        <w:rPr>
          <w:rFonts w:hint="eastAsia" w:asciiTheme="minorEastAsia" w:hAnsiTheme="minorEastAsia" w:eastAsiaTheme="minorEastAsia" w:cstheme="minorEastAsia"/>
          <w:b/>
          <w:bCs/>
          <w:color w:val="000000"/>
          <w:kern w:val="0"/>
          <w:sz w:val="36"/>
          <w:szCs w:val="36"/>
        </w:rPr>
        <w:t xml:space="preserve">    </w:t>
      </w:r>
      <w:r>
        <w:rPr>
          <w:rFonts w:hint="eastAsia" w:asciiTheme="minorEastAsia" w:hAnsiTheme="minorEastAsia" w:eastAsiaTheme="minorEastAsia" w:cstheme="minorEastAsia"/>
          <w:b/>
          <w:bCs/>
          <w:color w:val="000000"/>
          <w:kern w:val="0"/>
          <w:sz w:val="36"/>
          <w:szCs w:val="36"/>
          <w:lang w:val="zh-CN"/>
        </w:rPr>
        <w:t>法定代表人或委托代理人：</w:t>
      </w:r>
      <w:r>
        <w:rPr>
          <w:rFonts w:hint="eastAsia" w:asciiTheme="minorEastAsia" w:hAnsiTheme="minorEastAsia" w:eastAsiaTheme="minorEastAsia" w:cstheme="minorEastAsia"/>
          <w:b/>
          <w:bCs/>
          <w:color w:val="000000"/>
          <w:kern w:val="0"/>
          <w:sz w:val="36"/>
          <w:szCs w:val="36"/>
          <w:u w:val="single"/>
        </w:rPr>
        <w:t xml:space="preserve">     </w:t>
      </w:r>
      <w:r>
        <w:rPr>
          <w:rFonts w:hint="eastAsia" w:asciiTheme="minorEastAsia" w:hAnsiTheme="minorEastAsia" w:eastAsiaTheme="minorEastAsia" w:cstheme="minorEastAsia"/>
          <w:b/>
          <w:bCs/>
          <w:color w:val="auto"/>
          <w:kern w:val="0"/>
          <w:sz w:val="36"/>
          <w:szCs w:val="36"/>
          <w:lang w:val="zh-CN"/>
        </w:rPr>
        <w:t>（签字或盖章）</w:t>
      </w:r>
    </w:p>
    <w:p>
      <w:pPr>
        <w:autoSpaceDE w:val="0"/>
        <w:autoSpaceDN w:val="0"/>
        <w:spacing w:line="360" w:lineRule="auto"/>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36"/>
          <w:szCs w:val="36"/>
        </w:rPr>
        <w:t xml:space="preserve">                    </w:t>
      </w:r>
      <w:r>
        <w:rPr>
          <w:rFonts w:hint="eastAsia" w:asciiTheme="minorEastAsia" w:hAnsiTheme="minorEastAsia" w:eastAsiaTheme="minorEastAsia" w:cstheme="minorEastAsia"/>
          <w:b/>
          <w:bCs/>
          <w:color w:val="000000"/>
          <w:kern w:val="0"/>
          <w:sz w:val="36"/>
          <w:szCs w:val="36"/>
          <w:lang w:val="zh-CN"/>
        </w:rPr>
        <w:t>年</w:t>
      </w:r>
      <w:r>
        <w:rPr>
          <w:rFonts w:hint="eastAsia" w:asciiTheme="minorEastAsia" w:hAnsiTheme="minorEastAsia" w:eastAsiaTheme="minorEastAsia" w:cstheme="minorEastAsia"/>
          <w:b/>
          <w:bCs/>
          <w:color w:val="000000"/>
          <w:kern w:val="0"/>
          <w:sz w:val="36"/>
          <w:szCs w:val="36"/>
        </w:rPr>
        <w:t xml:space="preserve">    </w:t>
      </w:r>
      <w:r>
        <w:rPr>
          <w:rFonts w:hint="eastAsia" w:asciiTheme="minorEastAsia" w:hAnsiTheme="minorEastAsia" w:eastAsiaTheme="minorEastAsia" w:cstheme="minorEastAsia"/>
          <w:b/>
          <w:bCs/>
          <w:color w:val="000000"/>
          <w:kern w:val="0"/>
          <w:sz w:val="36"/>
          <w:szCs w:val="36"/>
          <w:lang w:val="zh-CN"/>
        </w:rPr>
        <w:t>月</w:t>
      </w:r>
      <w:r>
        <w:rPr>
          <w:rFonts w:hint="eastAsia" w:asciiTheme="minorEastAsia" w:hAnsiTheme="minorEastAsia" w:eastAsiaTheme="minorEastAsia" w:cstheme="minorEastAsia"/>
          <w:b/>
          <w:bCs/>
          <w:color w:val="000000"/>
          <w:kern w:val="0"/>
          <w:sz w:val="36"/>
          <w:szCs w:val="36"/>
        </w:rPr>
        <w:t xml:space="preserve">    </w:t>
      </w:r>
      <w:r>
        <w:rPr>
          <w:rFonts w:hint="eastAsia" w:asciiTheme="minorEastAsia" w:hAnsiTheme="minorEastAsia" w:eastAsiaTheme="minorEastAsia" w:cstheme="minorEastAsia"/>
          <w:b/>
          <w:bCs/>
          <w:color w:val="000000"/>
          <w:kern w:val="0"/>
          <w:sz w:val="36"/>
          <w:szCs w:val="36"/>
          <w:lang w:val="zh-CN"/>
        </w:rPr>
        <w:t>日</w:t>
      </w:r>
    </w:p>
    <w:p>
      <w:pPr>
        <w:pStyle w:val="15"/>
        <w:spacing w:before="0" w:after="0" w:line="360" w:lineRule="auto"/>
        <w:jc w:val="left"/>
        <w:outlineLvl w:val="9"/>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b w:val="0"/>
          <w:bCs w:val="0"/>
          <w:color w:val="000000"/>
          <w:kern w:val="0"/>
          <w:lang w:val="zh-CN"/>
        </w:rPr>
        <w:br w:type="page"/>
      </w:r>
      <w:bookmarkStart w:id="224" w:name="_Toc277"/>
      <w:bookmarkStart w:id="225" w:name="_Toc515908208"/>
      <w:bookmarkStart w:id="226" w:name="_Toc19175"/>
      <w:bookmarkStart w:id="227" w:name="_Toc29836"/>
      <w:bookmarkStart w:id="228" w:name="_Toc8514"/>
      <w:bookmarkStart w:id="229" w:name="_Toc29902"/>
      <w:r>
        <w:rPr>
          <w:rFonts w:hint="eastAsia" w:asciiTheme="minorEastAsia" w:hAnsiTheme="minorEastAsia" w:eastAsiaTheme="minorEastAsia" w:cstheme="minorEastAsia"/>
          <w:color w:val="000000"/>
          <w:sz w:val="30"/>
          <w:szCs w:val="30"/>
          <w:lang w:val="zh-CN"/>
        </w:rPr>
        <w:t>目录（上册）</w:t>
      </w:r>
      <w:bookmarkEnd w:id="224"/>
      <w:bookmarkEnd w:id="225"/>
      <w:bookmarkEnd w:id="226"/>
      <w:bookmarkEnd w:id="227"/>
    </w:p>
    <w:p>
      <w:pPr>
        <w:numPr>
          <w:ilvl w:val="0"/>
          <w:numId w:val="1"/>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en-US" w:eastAsia="zh-CN"/>
        </w:rPr>
        <w:t>响应</w:t>
      </w:r>
      <w:r>
        <w:rPr>
          <w:rFonts w:hint="eastAsia" w:asciiTheme="minorEastAsia" w:hAnsiTheme="minorEastAsia" w:eastAsiaTheme="minorEastAsia" w:cstheme="minorEastAsia"/>
          <w:color w:val="000000"/>
          <w:kern w:val="0"/>
          <w:lang w:val="zh-CN"/>
        </w:rPr>
        <w:t>函……………………………………………………………所在页码</w:t>
      </w:r>
    </w:p>
    <w:p>
      <w:pPr>
        <w:numPr>
          <w:ilvl w:val="0"/>
          <w:numId w:val="1"/>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法定代表人证明书………………………………………………所在页码</w:t>
      </w:r>
    </w:p>
    <w:p>
      <w:pPr>
        <w:numPr>
          <w:ilvl w:val="0"/>
          <w:numId w:val="1"/>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法定代表人授权书………………………………………………所在页码</w:t>
      </w:r>
    </w:p>
    <w:p>
      <w:pPr>
        <w:numPr>
          <w:ilvl w:val="0"/>
          <w:numId w:val="1"/>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en-US" w:eastAsia="zh-CN"/>
        </w:rPr>
        <w:t>磋商</w:t>
      </w:r>
      <w:r>
        <w:rPr>
          <w:rFonts w:hint="eastAsia" w:asciiTheme="minorEastAsia" w:hAnsiTheme="minorEastAsia" w:cstheme="minorEastAsia"/>
          <w:color w:val="000000"/>
          <w:kern w:val="0"/>
          <w:lang w:val="en-US" w:eastAsia="zh-CN"/>
        </w:rPr>
        <w:t>供应商</w:t>
      </w:r>
      <w:r>
        <w:rPr>
          <w:rFonts w:hint="eastAsia" w:asciiTheme="minorEastAsia" w:hAnsiTheme="minorEastAsia" w:eastAsiaTheme="minorEastAsia" w:cstheme="minorEastAsia"/>
          <w:color w:val="000000"/>
          <w:kern w:val="0"/>
          <w:lang w:val="zh-CN"/>
        </w:rPr>
        <w:t>承诺函………………………………………………所在页码</w:t>
      </w:r>
    </w:p>
    <w:p>
      <w:pPr>
        <w:numPr>
          <w:ilvl w:val="0"/>
          <w:numId w:val="1"/>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en-US" w:eastAsia="zh-CN"/>
        </w:rPr>
        <w:t>磋商</w:t>
      </w:r>
      <w:r>
        <w:rPr>
          <w:rFonts w:hint="eastAsia" w:asciiTheme="minorEastAsia" w:hAnsiTheme="minorEastAsia" w:cstheme="minorEastAsia"/>
          <w:color w:val="000000"/>
          <w:kern w:val="0"/>
          <w:lang w:val="en-US" w:eastAsia="zh-CN"/>
        </w:rPr>
        <w:t>供应商</w:t>
      </w:r>
      <w:r>
        <w:rPr>
          <w:rFonts w:hint="eastAsia" w:asciiTheme="minorEastAsia" w:hAnsiTheme="minorEastAsia" w:eastAsiaTheme="minorEastAsia" w:cstheme="minorEastAsia"/>
          <w:color w:val="000000"/>
          <w:kern w:val="0"/>
          <w:lang w:val="zh-CN"/>
        </w:rPr>
        <w:t>诚信承诺书…………………………………………所在页码</w:t>
      </w:r>
    </w:p>
    <w:p>
      <w:pPr>
        <w:numPr>
          <w:ilvl w:val="0"/>
          <w:numId w:val="1"/>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en-US" w:eastAsia="zh-CN"/>
        </w:rPr>
        <w:t>磋商</w:t>
      </w:r>
      <w:r>
        <w:rPr>
          <w:rFonts w:hint="eastAsia" w:asciiTheme="minorEastAsia" w:hAnsiTheme="minorEastAsia" w:cstheme="minorEastAsia"/>
          <w:color w:val="000000"/>
          <w:kern w:val="0"/>
          <w:lang w:val="en-US" w:eastAsia="zh-CN"/>
        </w:rPr>
        <w:t>供应商</w:t>
      </w:r>
      <w:r>
        <w:rPr>
          <w:rFonts w:hint="eastAsia" w:asciiTheme="minorEastAsia" w:hAnsiTheme="minorEastAsia" w:eastAsiaTheme="minorEastAsia" w:cstheme="minorEastAsia"/>
          <w:color w:val="000000"/>
          <w:kern w:val="0"/>
          <w:lang w:val="zh-CN"/>
        </w:rPr>
        <w:t>资格证明材料………………………………………所在页码</w:t>
      </w:r>
    </w:p>
    <w:p>
      <w:pPr>
        <w:numPr>
          <w:ilvl w:val="0"/>
          <w:numId w:val="1"/>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财务状况报告，依法缴纳税收和社会保障资金的相关材料…所在页码</w:t>
      </w:r>
    </w:p>
    <w:p>
      <w:pPr>
        <w:numPr>
          <w:ilvl w:val="0"/>
          <w:numId w:val="1"/>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具备履行合同所必需的设备和专业技术能力的证明材料……所在页码</w:t>
      </w:r>
    </w:p>
    <w:p>
      <w:pPr>
        <w:numPr>
          <w:ilvl w:val="0"/>
          <w:numId w:val="1"/>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无重大违法记录声明……………………………………………所在页码</w:t>
      </w:r>
    </w:p>
    <w:p>
      <w:pPr>
        <w:numPr>
          <w:ilvl w:val="0"/>
          <w:numId w:val="1"/>
        </w:numPr>
        <w:autoSpaceDE w:val="0"/>
        <w:autoSpaceDN w:val="0"/>
        <w:spacing w:line="360" w:lineRule="auto"/>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kern w:val="0"/>
          <w:lang w:val="en-US" w:eastAsia="zh-CN"/>
        </w:rPr>
        <w:t>磋商</w:t>
      </w:r>
      <w:r>
        <w:rPr>
          <w:rFonts w:hint="eastAsia" w:asciiTheme="minorEastAsia" w:hAnsiTheme="minorEastAsia" w:eastAsiaTheme="minorEastAsia" w:cstheme="minorEastAsia"/>
          <w:color w:val="000000"/>
          <w:kern w:val="0"/>
          <w:lang w:val="zh-CN"/>
        </w:rPr>
        <w:t>保证金证明………………………………………………所在页码</w:t>
      </w:r>
      <w:bookmarkEnd w:id="228"/>
      <w:bookmarkEnd w:id="229"/>
      <w:r>
        <w:rPr>
          <w:rFonts w:hint="eastAsia" w:asciiTheme="minorEastAsia" w:hAnsiTheme="minorEastAsia" w:eastAsiaTheme="minorEastAsia" w:cstheme="minorEastAsia"/>
          <w:color w:val="000000"/>
          <w:sz w:val="30"/>
          <w:szCs w:val="30"/>
          <w:lang w:val="zh-CN"/>
        </w:rPr>
        <w:br w:type="page"/>
      </w:r>
      <w:bookmarkStart w:id="230" w:name="_Toc14138"/>
      <w:bookmarkStart w:id="231" w:name="_Toc30588"/>
      <w:bookmarkStart w:id="232" w:name="_Toc515908209"/>
      <w:r>
        <w:rPr>
          <w:rFonts w:hint="eastAsia" w:asciiTheme="minorEastAsia" w:hAnsiTheme="minorEastAsia" w:eastAsiaTheme="minorEastAsia" w:cstheme="minorEastAsia"/>
          <w:b/>
          <w:bCs/>
          <w:color w:val="000000"/>
          <w:sz w:val="30"/>
          <w:szCs w:val="30"/>
        </w:rPr>
        <w:t>（1）</w:t>
      </w:r>
      <w:r>
        <w:rPr>
          <w:rFonts w:hint="eastAsia" w:asciiTheme="minorEastAsia" w:hAnsiTheme="minorEastAsia" w:eastAsiaTheme="minorEastAsia" w:cstheme="minorEastAsia"/>
          <w:b/>
          <w:bCs/>
          <w:color w:val="000000"/>
          <w:sz w:val="30"/>
          <w:szCs w:val="30"/>
          <w:lang w:val="en-US" w:eastAsia="zh-CN"/>
        </w:rPr>
        <w:t>响应</w:t>
      </w:r>
      <w:r>
        <w:rPr>
          <w:rFonts w:hint="eastAsia" w:asciiTheme="minorEastAsia" w:hAnsiTheme="minorEastAsia" w:eastAsiaTheme="minorEastAsia" w:cstheme="minorEastAsia"/>
          <w:b/>
          <w:bCs/>
          <w:color w:val="000000"/>
          <w:sz w:val="30"/>
          <w:szCs w:val="30"/>
          <w:lang w:val="zh-CN"/>
        </w:rPr>
        <w:t>函</w:t>
      </w:r>
      <w:bookmarkEnd w:id="230"/>
      <w:bookmarkEnd w:id="231"/>
      <w:bookmarkEnd w:id="232"/>
    </w:p>
    <w:p>
      <w:pPr>
        <w:autoSpaceDE w:val="0"/>
        <w:autoSpaceDN w:val="0"/>
        <w:spacing w:line="360" w:lineRule="auto"/>
        <w:rPr>
          <w:rFonts w:hint="eastAsia" w:asciiTheme="minorEastAsia" w:hAnsiTheme="minorEastAsia" w:eastAsiaTheme="minorEastAsia" w:cstheme="minorEastAsia"/>
          <w:b/>
          <w:bCs/>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en-US" w:eastAsia="zh-CN"/>
        </w:rPr>
        <w:t>响应</w:t>
      </w:r>
      <w:r>
        <w:rPr>
          <w:rFonts w:hint="eastAsia" w:asciiTheme="minorEastAsia" w:hAnsiTheme="minorEastAsia" w:eastAsiaTheme="minorEastAsia" w:cstheme="minorEastAsia"/>
          <w:b/>
          <w:bCs/>
          <w:color w:val="000000"/>
          <w:kern w:val="0"/>
          <w:sz w:val="28"/>
          <w:szCs w:val="28"/>
          <w:lang w:val="zh-CN"/>
        </w:rPr>
        <w:t>函</w:t>
      </w:r>
    </w:p>
    <w:p>
      <w:pPr>
        <w:autoSpaceDE w:val="0"/>
        <w:autoSpaceDN w:val="0"/>
        <w:spacing w:line="360" w:lineRule="auto"/>
        <w:rPr>
          <w:rFonts w:hint="eastAsia" w:asciiTheme="minorEastAsia" w:hAnsiTheme="minorEastAsia" w:eastAsiaTheme="minorEastAsia" w:cstheme="minorEastAsia"/>
          <w:b/>
          <w:bCs/>
          <w:color w:val="000000"/>
          <w:kern w:val="0"/>
          <w:sz w:val="28"/>
          <w:szCs w:val="28"/>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致：青海</w:t>
      </w:r>
      <w:r>
        <w:rPr>
          <w:rFonts w:hint="eastAsia" w:asciiTheme="minorEastAsia" w:hAnsiTheme="minorEastAsia" w:eastAsiaTheme="minorEastAsia" w:cstheme="minorEastAsia"/>
          <w:b/>
          <w:bCs/>
          <w:color w:val="000000"/>
          <w:kern w:val="0"/>
          <w:lang w:val="en-US" w:eastAsia="zh-CN"/>
        </w:rPr>
        <w:t>利仁建设项目管理</w:t>
      </w:r>
      <w:r>
        <w:rPr>
          <w:rFonts w:hint="eastAsia" w:asciiTheme="minorEastAsia" w:hAnsiTheme="minorEastAsia" w:eastAsiaTheme="minorEastAsia" w:cstheme="minorEastAsia"/>
          <w:b/>
          <w:bCs/>
          <w:color w:val="000000"/>
          <w:kern w:val="0"/>
          <w:lang w:val="zh-CN"/>
        </w:rPr>
        <w:t>有限公司</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我们收到</w:t>
      </w:r>
      <w:r>
        <w:rPr>
          <w:rFonts w:hint="eastAsia" w:asciiTheme="minorEastAsia" w:hAnsiTheme="minorEastAsia" w:eastAsiaTheme="minorEastAsia" w:cstheme="minorEastAsia"/>
          <w:color w:val="000000"/>
          <w:kern w:val="0"/>
          <w:u w:val="single"/>
          <w:lang w:val="zh-CN"/>
        </w:rPr>
        <w:t>采购项目名称（采购项目编号）</w:t>
      </w:r>
      <w:r>
        <w:rPr>
          <w:rFonts w:hint="eastAsia" w:asciiTheme="minorEastAsia" w:hAnsiTheme="minorEastAsia" w:eastAsiaTheme="minorEastAsia" w:cstheme="minorEastAsia"/>
          <w:color w:val="000000"/>
          <w:kern w:val="0"/>
          <w:lang w:val="zh-CN"/>
        </w:rPr>
        <w:t>招标文件，经研究，法定代表人（姓名、职务）正式授权（委托代理人姓名、职务）代表投标人（投标人名称、地址）提交投标文件。</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据此函，签字代表宣布同意如下：</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1.我方已详阅招标文件的全部内容，包括澄清、修改条款等有关附件，承诺对其完全理解并接受。</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2.投标有效期：</w:t>
      </w:r>
      <w:r>
        <w:rPr>
          <w:rFonts w:hint="eastAsia" w:asciiTheme="minorEastAsia" w:hAnsiTheme="minorEastAsia" w:eastAsiaTheme="minorEastAsia" w:cstheme="minorEastAsia"/>
          <w:color w:val="000000"/>
          <w:shd w:val="clear" w:color="auto" w:fill="FFFFFF"/>
        </w:rPr>
        <w:t>从提交投标文件的截止之日起</w:t>
      </w: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日历日内有效。如果我方在投标有效期内撤回投标或中标后不签约的，投标保证金将被贵方没收。</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3.我方同意按照贵方要求提供与投标有关的一切数据或资料，理解并接受贵方制定的评标办法。</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4.与本投标有关的一切正式往来通讯请寄：</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地址：_______________          邮编：______________</w:t>
      </w: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电话：_______________          传真：______________</w:t>
      </w: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法定代表人姓名： ___________   职务：____________</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投标人：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法定代表人或委托代理人：        （签字或盖章）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pStyle w:val="15"/>
        <w:spacing w:before="0" w:after="0" w:line="360" w:lineRule="auto"/>
        <w:jc w:val="left"/>
        <w:outlineLvl w:val="1"/>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 w:val="0"/>
          <w:bCs w:val="0"/>
          <w:color w:val="000000"/>
          <w:kern w:val="0"/>
          <w:sz w:val="24"/>
          <w:lang w:val="zh-CN"/>
        </w:rPr>
        <w:br w:type="page"/>
      </w:r>
      <w:bookmarkStart w:id="233" w:name="_Toc515908210"/>
      <w:bookmarkStart w:id="234" w:name="_Toc30062"/>
      <w:bookmarkStart w:id="235" w:name="_Toc23714"/>
      <w:bookmarkStart w:id="236" w:name="_Toc19260"/>
      <w:bookmarkStart w:id="237" w:name="_Toc29944"/>
      <w:r>
        <w:rPr>
          <w:rFonts w:hint="eastAsia" w:asciiTheme="minorEastAsia" w:hAnsiTheme="minorEastAsia" w:eastAsiaTheme="minorEastAsia" w:cstheme="minorEastAsia"/>
          <w:color w:val="000000"/>
          <w:kern w:val="0"/>
          <w:sz w:val="30"/>
          <w:szCs w:val="30"/>
          <w:lang w:val="zh-CN"/>
        </w:rPr>
        <w:t>（</w:t>
      </w:r>
      <w:r>
        <w:rPr>
          <w:rFonts w:hint="eastAsia" w:asciiTheme="minorEastAsia" w:hAnsiTheme="minorEastAsia" w:eastAsiaTheme="minorEastAsia" w:cstheme="minorEastAsia"/>
          <w:color w:val="000000"/>
          <w:kern w:val="0"/>
          <w:sz w:val="30"/>
          <w:szCs w:val="30"/>
        </w:rPr>
        <w:t>2</w:t>
      </w:r>
      <w:r>
        <w:rPr>
          <w:rFonts w:hint="eastAsia" w:asciiTheme="minorEastAsia" w:hAnsiTheme="minorEastAsia" w:eastAsiaTheme="minorEastAsia" w:cstheme="minorEastAsia"/>
          <w:color w:val="000000"/>
          <w:kern w:val="0"/>
          <w:sz w:val="30"/>
          <w:szCs w:val="30"/>
          <w:lang w:val="zh-CN"/>
        </w:rPr>
        <w:t>）</w:t>
      </w:r>
      <w:r>
        <w:rPr>
          <w:rFonts w:hint="eastAsia" w:asciiTheme="minorEastAsia" w:hAnsiTheme="minorEastAsia" w:eastAsiaTheme="minorEastAsia" w:cstheme="minorEastAsia"/>
          <w:color w:val="000000"/>
          <w:sz w:val="30"/>
          <w:szCs w:val="30"/>
        </w:rPr>
        <w:t>法定代表人证明书</w:t>
      </w:r>
      <w:bookmarkEnd w:id="233"/>
      <w:bookmarkEnd w:id="234"/>
      <w:bookmarkEnd w:id="235"/>
      <w:bookmarkEnd w:id="236"/>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法定代表人证明书</w:t>
      </w:r>
    </w:p>
    <w:p>
      <w:pPr>
        <w:autoSpaceDE w:val="0"/>
        <w:autoSpaceDN w:val="0"/>
        <w:spacing w:line="360" w:lineRule="auto"/>
        <w:rPr>
          <w:rFonts w:hint="eastAsia" w:asciiTheme="minorEastAsia" w:hAnsiTheme="minorEastAsia" w:eastAsiaTheme="minorEastAsia" w:cstheme="minorEastAsia"/>
          <w:b/>
          <w:bCs/>
          <w:color w:val="000000"/>
          <w:kern w:val="0"/>
          <w:sz w:val="28"/>
          <w:szCs w:val="28"/>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致：青海</w:t>
      </w:r>
      <w:r>
        <w:rPr>
          <w:rFonts w:hint="eastAsia" w:asciiTheme="minorEastAsia" w:hAnsiTheme="minorEastAsia" w:eastAsiaTheme="minorEastAsia" w:cstheme="minorEastAsia"/>
          <w:b/>
          <w:bCs/>
          <w:color w:val="000000"/>
          <w:kern w:val="0"/>
          <w:lang w:val="en-US" w:eastAsia="zh-CN"/>
        </w:rPr>
        <w:t>利仁建设项目管理</w:t>
      </w:r>
      <w:r>
        <w:rPr>
          <w:rFonts w:hint="eastAsia" w:asciiTheme="minorEastAsia" w:hAnsiTheme="minorEastAsia" w:eastAsiaTheme="minorEastAsia" w:cstheme="minorEastAsia"/>
          <w:b/>
          <w:bCs/>
          <w:color w:val="000000"/>
          <w:kern w:val="0"/>
          <w:lang w:val="zh-CN"/>
        </w:rPr>
        <w:t>有限公司</w:t>
      </w: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 xml:space="preserve">    </w:t>
      </w:r>
      <w:r>
        <w:rPr>
          <w:rFonts w:hint="eastAsia" w:asciiTheme="minorEastAsia" w:hAnsiTheme="minorEastAsia" w:eastAsiaTheme="minorEastAsia" w:cstheme="minorEastAsia"/>
          <w:color w:val="000000"/>
          <w:kern w:val="0"/>
          <w:u w:val="single"/>
          <w:lang w:val="zh-CN"/>
        </w:rPr>
        <w:t>（法定代表人姓名）</w:t>
      </w:r>
      <w:r>
        <w:rPr>
          <w:rFonts w:hint="eastAsia" w:asciiTheme="minorEastAsia" w:hAnsiTheme="minorEastAsia" w:eastAsiaTheme="minorEastAsia" w:cstheme="minorEastAsia"/>
          <w:color w:val="000000"/>
          <w:kern w:val="0"/>
          <w:lang w:val="zh-CN"/>
        </w:rPr>
        <w:t>现任我单位</w:t>
      </w: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职务，为法定代表人，特此证明。</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法定代表人基本情况：</w:t>
      </w:r>
    </w:p>
    <w:p>
      <w:pPr>
        <w:autoSpaceDE w:val="0"/>
        <w:autoSpaceDN w:val="0"/>
        <w:spacing w:line="360" w:lineRule="auto"/>
        <w:rPr>
          <w:rFonts w:hint="eastAsia" w:asciiTheme="minorEastAsia" w:hAnsiTheme="minorEastAsia" w:eastAsiaTheme="minorEastAsia" w:cstheme="minorEastAsia"/>
          <w:color w:val="000000"/>
          <w:kern w:val="0"/>
          <w:u w:val="single"/>
          <w:lang w:val="zh-CN"/>
        </w:rPr>
      </w:pPr>
      <w:r>
        <w:rPr>
          <w:rFonts w:hint="eastAsia" w:asciiTheme="minorEastAsia" w:hAnsiTheme="minorEastAsia" w:eastAsiaTheme="minorEastAsia" w:cstheme="minorEastAsia"/>
          <w:color w:val="000000"/>
          <w:kern w:val="0"/>
          <w:lang w:val="zh-CN"/>
        </w:rPr>
        <w:t>性别：</w:t>
      </w: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年龄：</w:t>
      </w: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 xml:space="preserve"> 民族：</w:t>
      </w:r>
      <w:r>
        <w:rPr>
          <w:rFonts w:hint="eastAsia" w:asciiTheme="minorEastAsia" w:hAnsiTheme="minorEastAsia" w:eastAsiaTheme="minorEastAsia" w:cstheme="minorEastAsia"/>
          <w:color w:val="000000"/>
          <w:kern w:val="0"/>
          <w:u w:val="single"/>
          <w:lang w:val="zh-CN"/>
        </w:rPr>
        <w:t xml:space="preserve">         </w:t>
      </w:r>
    </w:p>
    <w:p>
      <w:pPr>
        <w:autoSpaceDE w:val="0"/>
        <w:autoSpaceDN w:val="0"/>
        <w:spacing w:line="360" w:lineRule="auto"/>
        <w:rPr>
          <w:rFonts w:hint="eastAsia" w:asciiTheme="minorEastAsia" w:hAnsiTheme="minorEastAsia" w:eastAsiaTheme="minorEastAsia" w:cstheme="minorEastAsia"/>
          <w:color w:val="000000"/>
          <w:kern w:val="0"/>
          <w:u w:val="single"/>
          <w:lang w:val="zh-CN"/>
        </w:rPr>
      </w:pPr>
      <w:r>
        <w:rPr>
          <w:rFonts w:hint="eastAsia" w:asciiTheme="minorEastAsia" w:hAnsiTheme="minorEastAsia" w:eastAsiaTheme="minorEastAsia" w:cstheme="minorEastAsia"/>
          <w:color w:val="000000"/>
          <w:kern w:val="0"/>
          <w:lang w:val="zh-CN"/>
        </w:rPr>
        <w:t>地址：</w:t>
      </w:r>
      <w:r>
        <w:rPr>
          <w:rFonts w:hint="eastAsia" w:asciiTheme="minorEastAsia" w:hAnsiTheme="minorEastAsia" w:eastAsiaTheme="minorEastAsia" w:cstheme="minorEastAsia"/>
          <w:color w:val="000000"/>
          <w:kern w:val="0"/>
          <w:u w:val="single"/>
          <w:lang w:val="zh-CN"/>
        </w:rPr>
        <w:t xml:space="preserve">                                            </w:t>
      </w: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身份证号码：</w:t>
      </w:r>
      <w:r>
        <w:rPr>
          <w:rFonts w:hint="eastAsia" w:asciiTheme="minorEastAsia" w:hAnsiTheme="minorEastAsia" w:eastAsiaTheme="minorEastAsia" w:cstheme="minorEastAsia"/>
          <w:color w:val="000000"/>
          <w:kern w:val="0"/>
          <w:u w:val="single"/>
          <w:lang w:val="zh-CN"/>
        </w:rPr>
        <w:t xml:space="preserve">                                      </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附法定代表人第二代身份证双面扫描（或复印）件</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投标人：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（公章）</w:t>
      </w:r>
    </w:p>
    <w:p>
      <w:pPr>
        <w:autoSpaceDE w:val="0"/>
        <w:autoSpaceDN w:val="0"/>
        <w:spacing w:line="360" w:lineRule="auto"/>
        <w:jc w:val="center"/>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pStyle w:val="15"/>
        <w:spacing w:before="0" w:after="0" w:line="360" w:lineRule="auto"/>
        <w:jc w:val="left"/>
        <w:outlineLvl w:val="1"/>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br w:type="page"/>
      </w:r>
      <w:bookmarkEnd w:id="237"/>
      <w:bookmarkStart w:id="238" w:name="_Toc21789"/>
      <w:bookmarkStart w:id="239" w:name="_Toc515908211"/>
      <w:bookmarkStart w:id="240" w:name="_Toc9114"/>
      <w:bookmarkStart w:id="241" w:name="_Toc7230"/>
      <w:bookmarkStart w:id="242" w:name="_Toc17284"/>
      <w:r>
        <w:rPr>
          <w:rFonts w:hint="eastAsia" w:asciiTheme="minorEastAsia" w:hAnsiTheme="minorEastAsia" w:eastAsiaTheme="minorEastAsia" w:cstheme="minorEastAsia"/>
          <w:color w:val="000000"/>
          <w:sz w:val="30"/>
          <w:szCs w:val="30"/>
        </w:rPr>
        <w:t>（3）</w:t>
      </w:r>
      <w:r>
        <w:rPr>
          <w:rFonts w:hint="eastAsia" w:asciiTheme="minorEastAsia" w:hAnsiTheme="minorEastAsia" w:eastAsiaTheme="minorEastAsia" w:cstheme="minorEastAsia"/>
          <w:color w:val="000000"/>
          <w:sz w:val="30"/>
          <w:szCs w:val="30"/>
          <w:lang w:val="zh-CN"/>
        </w:rPr>
        <w:t>法定代表人授权书</w:t>
      </w:r>
      <w:bookmarkEnd w:id="238"/>
      <w:bookmarkEnd w:id="239"/>
      <w:bookmarkEnd w:id="240"/>
      <w:bookmarkEnd w:id="241"/>
    </w:p>
    <w:p>
      <w:pPr>
        <w:spacing w:line="360" w:lineRule="auto"/>
        <w:rPr>
          <w:rFonts w:hint="eastAsia" w:asciiTheme="minorEastAsia" w:hAnsiTheme="minorEastAsia" w:eastAsiaTheme="minorEastAsia" w:cstheme="minorEastAsia"/>
          <w:color w:val="00000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法定代表人授权书</w:t>
      </w:r>
    </w:p>
    <w:p>
      <w:pPr>
        <w:autoSpaceDE w:val="0"/>
        <w:autoSpaceDN w:val="0"/>
        <w:spacing w:line="360" w:lineRule="auto"/>
        <w:rPr>
          <w:rFonts w:hint="eastAsia" w:asciiTheme="minorEastAsia" w:hAnsiTheme="minorEastAsia" w:eastAsiaTheme="minorEastAsia" w:cstheme="minorEastAsia"/>
          <w:b/>
          <w:bCs/>
          <w:color w:val="000000"/>
          <w:kern w:val="0"/>
          <w:sz w:val="28"/>
          <w:szCs w:val="28"/>
          <w:lang w:val="zh-CN"/>
        </w:rPr>
      </w:pPr>
    </w:p>
    <w:p>
      <w:pPr>
        <w:autoSpaceDE w:val="0"/>
        <w:autoSpaceDN w:val="0"/>
        <w:spacing w:line="360" w:lineRule="auto"/>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致：青海</w:t>
      </w:r>
      <w:r>
        <w:rPr>
          <w:rFonts w:hint="eastAsia" w:asciiTheme="minorEastAsia" w:hAnsiTheme="minorEastAsia" w:eastAsiaTheme="minorEastAsia" w:cstheme="minorEastAsia"/>
          <w:b/>
          <w:bCs/>
          <w:color w:val="000000"/>
          <w:kern w:val="0"/>
          <w:lang w:val="en-US" w:eastAsia="zh-CN"/>
        </w:rPr>
        <w:t>利仁建设项目管理</w:t>
      </w:r>
      <w:r>
        <w:rPr>
          <w:rFonts w:hint="eastAsia" w:asciiTheme="minorEastAsia" w:hAnsiTheme="minorEastAsia" w:eastAsiaTheme="minorEastAsia" w:cstheme="minorEastAsia"/>
          <w:b/>
          <w:bCs/>
          <w:color w:val="000000"/>
          <w:kern w:val="0"/>
          <w:lang w:val="zh-CN"/>
        </w:rPr>
        <w:t>有限公司</w:t>
      </w: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 xml:space="preserve">    </w:t>
      </w:r>
      <w:r>
        <w:rPr>
          <w:rFonts w:hint="eastAsia" w:asciiTheme="minorEastAsia" w:hAnsiTheme="minorEastAsia" w:eastAsiaTheme="minorEastAsia" w:cstheme="minorEastAsia"/>
          <w:color w:val="000000"/>
          <w:kern w:val="0"/>
          <w:u w:val="single"/>
          <w:lang w:val="zh-CN"/>
        </w:rPr>
        <w:t>（投标人名称）</w:t>
      </w:r>
      <w:r>
        <w:rPr>
          <w:rFonts w:hint="eastAsia" w:asciiTheme="minorEastAsia" w:hAnsiTheme="minorEastAsia" w:eastAsiaTheme="minorEastAsia" w:cstheme="minorEastAsia"/>
          <w:color w:val="000000"/>
          <w:kern w:val="0"/>
          <w:lang w:val="zh-CN"/>
        </w:rPr>
        <w:t>系中华人民共和国合法企业，法定地址</w:t>
      </w: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w:t>
      </w: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rPr>
        <w:t xml:space="preserve">    </w:t>
      </w:r>
      <w:r>
        <w:rPr>
          <w:rFonts w:hint="eastAsia" w:asciiTheme="minorEastAsia" w:hAnsiTheme="minorEastAsia" w:eastAsiaTheme="minorEastAsia" w:cstheme="minorEastAsia"/>
          <w:color w:val="000000"/>
          <w:kern w:val="0"/>
          <w:u w:val="single"/>
          <w:lang w:val="zh-CN"/>
        </w:rPr>
        <w:t>（法定代表人姓名）</w:t>
      </w:r>
      <w:r>
        <w:rPr>
          <w:rFonts w:hint="eastAsia" w:asciiTheme="minorEastAsia" w:hAnsiTheme="minorEastAsia" w:eastAsiaTheme="minorEastAsia" w:cstheme="minorEastAsia"/>
          <w:color w:val="000000"/>
          <w:kern w:val="0"/>
          <w:lang w:val="zh-CN"/>
        </w:rPr>
        <w:t>特授权</w:t>
      </w:r>
      <w:r>
        <w:rPr>
          <w:rFonts w:hint="eastAsia" w:asciiTheme="minorEastAsia" w:hAnsiTheme="minorEastAsia" w:eastAsiaTheme="minorEastAsia" w:cstheme="minorEastAsia"/>
          <w:color w:val="000000"/>
          <w:kern w:val="0"/>
          <w:u w:val="single"/>
          <w:lang w:val="zh-CN"/>
        </w:rPr>
        <w:t>（委托代理人姓名）</w:t>
      </w:r>
      <w:r>
        <w:rPr>
          <w:rFonts w:hint="eastAsia" w:asciiTheme="minorEastAsia" w:hAnsiTheme="minorEastAsia" w:eastAsiaTheme="minorEastAsia" w:cstheme="minorEastAsia"/>
          <w:color w:val="000000"/>
          <w:kern w:val="0"/>
          <w:lang w:val="zh-CN"/>
        </w:rPr>
        <w:t>代表我单位全权办理</w:t>
      </w: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项目的投标、答疑等具体工作，并签署全部有关的文件、资料。</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我单位对被授权人的签名负全部责任。</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被授权人联系电话：</w:t>
      </w:r>
    </w:p>
    <w:p>
      <w:pPr>
        <w:autoSpaceDE w:val="0"/>
        <w:autoSpaceDN w:val="0"/>
        <w:spacing w:line="360" w:lineRule="auto"/>
        <w:rPr>
          <w:rFonts w:hint="eastAsia" w:asciiTheme="minorEastAsia" w:hAnsiTheme="minorEastAsia" w:eastAsiaTheme="minorEastAsia" w:cstheme="minorEastAsia"/>
          <w:color w:val="000000"/>
          <w:kern w:val="0"/>
          <w:u w:val="single"/>
          <w:lang w:val="zh-CN"/>
        </w:rPr>
      </w:pPr>
      <w:r>
        <w:rPr>
          <w:rFonts w:hint="eastAsia" w:asciiTheme="minorEastAsia" w:hAnsiTheme="minorEastAsia" w:eastAsiaTheme="minorEastAsia" w:cstheme="minorEastAsia"/>
          <w:color w:val="000000"/>
          <w:kern w:val="0"/>
          <w:lang w:val="zh-CN"/>
        </w:rPr>
        <w:t>被授权人（委托代理人）签字：</w:t>
      </w: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 xml:space="preserve">  授权人（法定代表人）签字：</w:t>
      </w:r>
      <w:r>
        <w:rPr>
          <w:rFonts w:hint="eastAsia" w:asciiTheme="minorEastAsia" w:hAnsiTheme="minorEastAsia" w:eastAsiaTheme="minorEastAsia" w:cstheme="minorEastAsia"/>
          <w:color w:val="000000"/>
          <w:kern w:val="0"/>
          <w:u w:val="single"/>
          <w:lang w:val="zh-CN"/>
        </w:rPr>
        <w:t xml:space="preserve">       </w:t>
      </w:r>
    </w:p>
    <w:p>
      <w:pPr>
        <w:autoSpaceDE w:val="0"/>
        <w:autoSpaceDN w:val="0"/>
        <w:spacing w:line="360" w:lineRule="auto"/>
        <w:rPr>
          <w:rFonts w:hint="eastAsia" w:asciiTheme="minorEastAsia" w:hAnsiTheme="minorEastAsia" w:eastAsiaTheme="minorEastAsia" w:cstheme="minorEastAsia"/>
          <w:color w:val="000000"/>
          <w:kern w:val="0"/>
          <w:u w:val="single"/>
          <w:lang w:val="zh-CN"/>
        </w:rPr>
      </w:pPr>
      <w:r>
        <w:rPr>
          <w:rFonts w:hint="eastAsia" w:asciiTheme="minorEastAsia" w:hAnsiTheme="minorEastAsia" w:eastAsiaTheme="minorEastAsia" w:cstheme="minorEastAsia"/>
          <w:color w:val="000000"/>
          <w:kern w:val="0"/>
          <w:lang w:val="zh-CN"/>
        </w:rPr>
        <w:t>职务：</w:t>
      </w: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 xml:space="preserve">  职务：</w:t>
      </w:r>
      <w:r>
        <w:rPr>
          <w:rFonts w:hint="eastAsia" w:asciiTheme="minorEastAsia" w:hAnsiTheme="minorEastAsia" w:eastAsiaTheme="minorEastAsia" w:cstheme="minorEastAsia"/>
          <w:color w:val="000000"/>
          <w:kern w:val="0"/>
          <w:u w:val="single"/>
          <w:lang w:val="zh-CN"/>
        </w:rPr>
        <w:t xml:space="preserve">                           </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附被授权人第二代身份证双面扫描（或复印）件</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投标人：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pStyle w:val="15"/>
        <w:spacing w:before="0" w:after="0" w:line="360" w:lineRule="auto"/>
        <w:jc w:val="left"/>
        <w:outlineLvl w:val="1"/>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br w:type="page"/>
      </w:r>
      <w:bookmarkStart w:id="243" w:name="_Toc29341"/>
      <w:bookmarkStart w:id="244" w:name="_Toc24230"/>
      <w:bookmarkStart w:id="245" w:name="_Toc31332"/>
      <w:bookmarkStart w:id="246" w:name="_Toc515908212"/>
      <w:r>
        <w:rPr>
          <w:rFonts w:hint="eastAsia" w:asciiTheme="minorEastAsia" w:hAnsiTheme="minorEastAsia" w:eastAsiaTheme="minorEastAsia" w:cstheme="minorEastAsia"/>
          <w:color w:val="000000"/>
          <w:sz w:val="30"/>
          <w:szCs w:val="30"/>
        </w:rPr>
        <w:t>（4）</w:t>
      </w:r>
      <w:r>
        <w:rPr>
          <w:rFonts w:hint="eastAsia" w:asciiTheme="minorEastAsia" w:hAnsiTheme="minorEastAsia" w:eastAsiaTheme="minorEastAsia" w:cstheme="minorEastAsia"/>
          <w:color w:val="000000"/>
          <w:sz w:val="30"/>
          <w:szCs w:val="30"/>
          <w:lang w:val="zh-CN"/>
        </w:rPr>
        <w:t>投标人承诺函</w:t>
      </w:r>
      <w:bookmarkEnd w:id="243"/>
      <w:bookmarkEnd w:id="244"/>
      <w:bookmarkEnd w:id="245"/>
      <w:bookmarkEnd w:id="246"/>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投标人承诺函</w:t>
      </w:r>
    </w:p>
    <w:p>
      <w:pPr>
        <w:autoSpaceDE w:val="0"/>
        <w:autoSpaceDN w:val="0"/>
        <w:spacing w:line="360" w:lineRule="auto"/>
        <w:rPr>
          <w:rFonts w:hint="eastAsia" w:asciiTheme="minorEastAsia" w:hAnsiTheme="minorEastAsia" w:eastAsiaTheme="minorEastAsia" w:cstheme="minorEastAsia"/>
          <w:b/>
          <w:bCs/>
          <w:color w:val="000000"/>
          <w:kern w:val="0"/>
          <w:sz w:val="28"/>
          <w:szCs w:val="28"/>
          <w:lang w:val="zh-CN"/>
        </w:rPr>
      </w:pPr>
    </w:p>
    <w:p>
      <w:pPr>
        <w:autoSpaceDE w:val="0"/>
        <w:autoSpaceDN w:val="0"/>
        <w:spacing w:line="360" w:lineRule="auto"/>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致：青海</w:t>
      </w:r>
      <w:r>
        <w:rPr>
          <w:rFonts w:hint="eastAsia" w:asciiTheme="minorEastAsia" w:hAnsiTheme="minorEastAsia" w:eastAsiaTheme="minorEastAsia" w:cstheme="minorEastAsia"/>
          <w:b/>
          <w:bCs/>
          <w:color w:val="000000"/>
          <w:kern w:val="0"/>
          <w:lang w:val="en-US" w:eastAsia="zh-CN"/>
        </w:rPr>
        <w:t>利仁建设项目管理</w:t>
      </w:r>
      <w:r>
        <w:rPr>
          <w:rFonts w:hint="eastAsia" w:asciiTheme="minorEastAsia" w:hAnsiTheme="minorEastAsia" w:eastAsiaTheme="minorEastAsia" w:cstheme="minorEastAsia"/>
          <w:b/>
          <w:bCs/>
          <w:color w:val="000000"/>
          <w:kern w:val="0"/>
          <w:lang w:val="zh-CN"/>
        </w:rPr>
        <w:t>有限公司</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关于贵方20</w:t>
      </w:r>
      <w:r>
        <w:rPr>
          <w:rFonts w:hint="eastAsia" w:asciiTheme="minorEastAsia" w:hAnsiTheme="minorEastAsia" w:eastAsiaTheme="minorEastAsia" w:cstheme="minorEastAsia"/>
          <w:color w:val="000000"/>
          <w:kern w:val="0"/>
        </w:rPr>
        <w:t>XX</w:t>
      </w:r>
      <w:r>
        <w:rPr>
          <w:rFonts w:hint="eastAsia" w:asciiTheme="minorEastAsia" w:hAnsiTheme="minorEastAsia" w:eastAsiaTheme="minorEastAsia" w:cstheme="minorEastAsia"/>
          <w:color w:val="000000"/>
          <w:kern w:val="0"/>
          <w:lang w:val="zh-CN"/>
        </w:rPr>
        <w:t>年</w:t>
      </w: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月</w:t>
      </w:r>
      <w:r>
        <w:rPr>
          <w:rFonts w:hint="eastAsia" w:asciiTheme="minorEastAsia" w:hAnsiTheme="minorEastAsia" w:eastAsiaTheme="minorEastAsia" w:cstheme="minorEastAsia"/>
          <w:color w:val="000000"/>
          <w:kern w:val="0"/>
          <w:u w:val="single"/>
          <w:lang w:val="zh-CN"/>
        </w:rPr>
        <w:t xml:space="preserve">   </w:t>
      </w:r>
      <w:r>
        <w:rPr>
          <w:rFonts w:hint="eastAsia" w:asciiTheme="minorEastAsia" w:hAnsiTheme="minorEastAsia" w:eastAsiaTheme="minorEastAsia" w:cstheme="minorEastAsia"/>
          <w:color w:val="000000"/>
          <w:kern w:val="0"/>
          <w:lang w:val="zh-CN"/>
        </w:rPr>
        <w:t>日</w:t>
      </w:r>
      <w:r>
        <w:rPr>
          <w:rFonts w:hint="eastAsia" w:asciiTheme="minorEastAsia" w:hAnsiTheme="minorEastAsia" w:eastAsiaTheme="minorEastAsia" w:cstheme="minorEastAsia"/>
          <w:color w:val="000000"/>
          <w:kern w:val="0"/>
          <w:u w:val="single"/>
          <w:lang w:val="zh-CN"/>
        </w:rPr>
        <w:t xml:space="preserve">          (项目名称)</w:t>
      </w:r>
      <w:r>
        <w:rPr>
          <w:rFonts w:hint="eastAsia" w:asciiTheme="minorEastAsia" w:hAnsiTheme="minorEastAsia" w:eastAsiaTheme="minorEastAsia" w:cstheme="minorEastAsia"/>
          <w:color w:val="000000"/>
          <w:kern w:val="0"/>
          <w:lang w:val="zh-CN"/>
        </w:rPr>
        <w:t>采购项目，本签字人愿意参加投标，提供采购一览表中要求的所有产品，并证实提交的所有资料是准确的和真实的。同时，我代表（投标人名称），在此作如下承诺：</w:t>
      </w: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 xml:space="preserve">   </w:t>
      </w:r>
      <w:r>
        <w:rPr>
          <w:rFonts w:hint="eastAsia" w:asciiTheme="minorEastAsia" w:hAnsiTheme="minorEastAsia" w:eastAsiaTheme="minorEastAsia" w:cstheme="minorEastAsia"/>
          <w:color w:val="000000"/>
          <w:kern w:val="0"/>
        </w:rPr>
        <w:t xml:space="preserve"> </w:t>
      </w:r>
      <w:r>
        <w:rPr>
          <w:rFonts w:hint="eastAsia" w:asciiTheme="minorEastAsia" w:hAnsiTheme="minorEastAsia" w:eastAsiaTheme="minorEastAsia" w:cstheme="minorEastAsia"/>
          <w:color w:val="000000"/>
          <w:kern w:val="0"/>
          <w:lang w:val="zh-CN"/>
        </w:rPr>
        <w:t>1.完全理解和接受招标文件的一切规定和要求；</w:t>
      </w:r>
    </w:p>
    <w:p>
      <w:pPr>
        <w:autoSpaceDE w:val="0"/>
        <w:autoSpaceDN w:val="0"/>
        <w:spacing w:line="360" w:lineRule="auto"/>
        <w:ind w:firstLine="420" w:firstLineChars="20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2.若中标，我方将按照招标文件的具体规定与采购人签订采购合同，并且严格履行合同义务，按时交货，提供优质的产品和服务。如果在合同执行过程中，发现质量、数量出现问题，我方一定尽快更换或补退货，并承担相应的经济责任；</w:t>
      </w:r>
    </w:p>
    <w:p>
      <w:pPr>
        <w:autoSpaceDE w:val="0"/>
        <w:autoSpaceDN w:val="0"/>
        <w:spacing w:line="360" w:lineRule="auto"/>
        <w:ind w:firstLine="420" w:firstLineChars="200"/>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3、我方保证甲方在使用该产品或其任何一部分时，不受第三方提出的侵犯专利权、著作权、商标权和工业设计权等知识产权的起诉，若有违犯，愿承担相应的一切责任。</w:t>
      </w:r>
    </w:p>
    <w:p>
      <w:pPr>
        <w:autoSpaceDE w:val="0"/>
        <w:autoSpaceDN w:val="0"/>
        <w:spacing w:line="360" w:lineRule="auto"/>
        <w:ind w:firstLine="420" w:firstLineChars="200"/>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4、我方承诺，除招标文件中规定的进口产品外，所投的产品均为国产产品，且均符合国家强制性标准。若有不实，愿承担相应的责任。</w:t>
      </w:r>
    </w:p>
    <w:p>
      <w:pPr>
        <w:autoSpaceDE w:val="0"/>
        <w:autoSpaceDN w:val="0"/>
        <w:spacing w:line="360" w:lineRule="auto"/>
        <w:ind w:firstLine="420" w:firstLineChars="20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5、在整个招标过程中我方若有违规行为，贵方可按招标文件之规定给予处罚，我方完全接受。</w:t>
      </w:r>
    </w:p>
    <w:p>
      <w:pPr>
        <w:autoSpaceDE w:val="0"/>
        <w:autoSpaceDN w:val="0"/>
        <w:spacing w:line="360" w:lineRule="auto"/>
        <w:ind w:firstLine="420" w:firstLineChars="20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6、若中标，本承诺将成为合同不可分割的一部分，与合同具有同等的法律效力。</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投标人：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法定代表人或委托代理人：        （签字或盖章）</w:t>
      </w:r>
    </w:p>
    <w:p>
      <w:pPr>
        <w:autoSpaceDE w:val="0"/>
        <w:autoSpaceDN w:val="0"/>
        <w:spacing w:line="360" w:lineRule="auto"/>
        <w:jc w:val="center"/>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pStyle w:val="15"/>
        <w:spacing w:before="0" w:after="0" w:line="360" w:lineRule="auto"/>
        <w:jc w:val="left"/>
        <w:outlineLvl w:val="1"/>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br w:type="page"/>
      </w:r>
      <w:bookmarkStart w:id="247" w:name="_Toc515908213"/>
      <w:bookmarkStart w:id="248" w:name="_Toc21090"/>
      <w:bookmarkStart w:id="249" w:name="_Toc26773"/>
      <w:bookmarkStart w:id="250" w:name="_Toc553"/>
      <w:r>
        <w:rPr>
          <w:rFonts w:hint="eastAsia" w:asciiTheme="minorEastAsia" w:hAnsiTheme="minorEastAsia" w:eastAsiaTheme="minorEastAsia" w:cstheme="minorEastAsia"/>
          <w:color w:val="000000"/>
          <w:sz w:val="30"/>
          <w:szCs w:val="30"/>
        </w:rPr>
        <w:t>（5）</w:t>
      </w:r>
      <w:r>
        <w:rPr>
          <w:rFonts w:hint="eastAsia" w:asciiTheme="minorEastAsia" w:hAnsiTheme="minorEastAsia" w:eastAsiaTheme="minorEastAsia" w:cstheme="minorEastAsia"/>
          <w:color w:val="000000"/>
          <w:sz w:val="30"/>
          <w:szCs w:val="30"/>
          <w:lang w:val="zh-CN"/>
        </w:rPr>
        <w:t>投标人诚信承诺书</w:t>
      </w:r>
      <w:bookmarkEnd w:id="247"/>
      <w:bookmarkEnd w:id="248"/>
      <w:bookmarkEnd w:id="249"/>
      <w:bookmarkEnd w:id="250"/>
    </w:p>
    <w:p>
      <w:pPr>
        <w:spacing w:line="360" w:lineRule="auto"/>
        <w:rPr>
          <w:rFonts w:hint="eastAsia" w:asciiTheme="minorEastAsia" w:hAnsiTheme="minorEastAsia" w:eastAsiaTheme="minorEastAsia" w:cstheme="minorEastAsia"/>
          <w:color w:val="00000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投标人诚信承诺书</w:t>
      </w: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致：青海</w:t>
      </w:r>
      <w:r>
        <w:rPr>
          <w:rFonts w:hint="eastAsia" w:asciiTheme="minorEastAsia" w:hAnsiTheme="minorEastAsia" w:eastAsiaTheme="minorEastAsia" w:cstheme="minorEastAsia"/>
          <w:b/>
          <w:bCs/>
          <w:color w:val="000000"/>
          <w:kern w:val="0"/>
          <w:lang w:val="en-US" w:eastAsia="zh-CN"/>
        </w:rPr>
        <w:t>利仁建设项目管理</w:t>
      </w:r>
      <w:r>
        <w:rPr>
          <w:rFonts w:hint="eastAsia" w:asciiTheme="minorEastAsia" w:hAnsiTheme="minorEastAsia" w:eastAsiaTheme="minorEastAsia" w:cstheme="minorEastAsia"/>
          <w:b/>
          <w:bCs/>
          <w:color w:val="000000"/>
          <w:kern w:val="0"/>
          <w:lang w:val="zh-CN"/>
        </w:rPr>
        <w:t>有限公司</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为了诚实、客观、有序地参与青海省政府采购活动，愿就以下内容作出承诺：</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一、自觉遵守各项法律、法规、规章、制度以及社会公德，维护廉洁环境，与同场竞争的其他投标人平等参加政府采购活动。</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二、参加采购代理机构组织的政府采购活动时，严格按照招标文件的规定和要求提供所需的相关材料，并对所提供的各类资料的真实性负责，不虚假应标，不虚列业绩。</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三、尊重参与政府采购活动各相关方的合法行为，接受政府采购活动依法形成的意见、结果。</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四、依法参加政府采购活动，不围标、串标，维护市场秩序，不提供“三无”产品、以次充好。</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五、积极推动政府采购活动健康开展，对采购活动有疑问、异议时，按法律规定的程序实名反映情况，不恶意中伤、无事生非，以和谐、平等的心态参加政府采购活动。</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六、认真履行中标人应承担的责任和义务，全面执行采购合同规定的各项内容，保质保量地按时提供采购物品。</w:t>
      </w:r>
    </w:p>
    <w:p>
      <w:pPr>
        <w:autoSpaceDE w:val="0"/>
        <w:autoSpaceDN w:val="0"/>
        <w:spacing w:line="360" w:lineRule="auto"/>
        <w:ind w:firstLine="420" w:firstLineChars="20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若本企业（单位）发生有悖于上述承诺的行为，愿意接受《中华人民共和国政府采购法》和《政府采购法实施条例》中对投标人的相关处理。</w:t>
      </w:r>
    </w:p>
    <w:p>
      <w:pPr>
        <w:autoSpaceDE w:val="0"/>
        <w:autoSpaceDN w:val="0"/>
        <w:spacing w:line="360" w:lineRule="auto"/>
        <w:ind w:firstLine="420" w:firstLineChars="20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本承诺是采购项目投标文件的组成部分。</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投标人：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法定代表人或委托代理人：        （签字或盖章）</w:t>
      </w:r>
    </w:p>
    <w:p>
      <w:pPr>
        <w:autoSpaceDE w:val="0"/>
        <w:autoSpaceDN w:val="0"/>
        <w:spacing w:line="360" w:lineRule="auto"/>
        <w:jc w:val="center"/>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pStyle w:val="15"/>
        <w:spacing w:before="0" w:after="0" w:line="360" w:lineRule="auto"/>
        <w:jc w:val="left"/>
        <w:outlineLvl w:val="1"/>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kern w:val="0"/>
          <w:sz w:val="24"/>
          <w:lang w:val="zh-CN"/>
        </w:rPr>
        <w:br w:type="page"/>
      </w:r>
      <w:bookmarkEnd w:id="242"/>
      <w:bookmarkStart w:id="251" w:name="_Toc22274"/>
      <w:bookmarkStart w:id="252" w:name="_Toc17154"/>
      <w:bookmarkStart w:id="253" w:name="_Toc515908214"/>
      <w:bookmarkStart w:id="254" w:name="_Toc590"/>
      <w:bookmarkStart w:id="255" w:name="_Toc8344"/>
      <w:r>
        <w:rPr>
          <w:rFonts w:hint="eastAsia" w:asciiTheme="minorEastAsia" w:hAnsiTheme="minorEastAsia" w:eastAsiaTheme="minorEastAsia" w:cstheme="minorEastAsia"/>
          <w:color w:val="000000"/>
          <w:sz w:val="30"/>
          <w:szCs w:val="30"/>
        </w:rPr>
        <w:t>（6）</w:t>
      </w:r>
      <w:r>
        <w:rPr>
          <w:rFonts w:hint="eastAsia" w:asciiTheme="minorEastAsia" w:hAnsiTheme="minorEastAsia" w:eastAsiaTheme="minorEastAsia" w:cstheme="minorEastAsia"/>
          <w:color w:val="000000"/>
          <w:sz w:val="30"/>
          <w:szCs w:val="30"/>
          <w:lang w:val="zh-CN"/>
        </w:rPr>
        <w:t>资格证明材料</w:t>
      </w:r>
      <w:bookmarkEnd w:id="251"/>
      <w:bookmarkEnd w:id="252"/>
      <w:bookmarkEnd w:id="253"/>
      <w:bookmarkEnd w:id="254"/>
    </w:p>
    <w:p>
      <w:pPr>
        <w:spacing w:line="360" w:lineRule="auto"/>
        <w:rPr>
          <w:rFonts w:hint="eastAsia" w:asciiTheme="minorEastAsia" w:hAnsiTheme="minorEastAsia" w:eastAsiaTheme="minorEastAsia" w:cstheme="minorEastAsia"/>
          <w:color w:val="00000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资格证明材料</w:t>
      </w:r>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spacing w:line="360" w:lineRule="auto"/>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资格证明材料包括：</w:t>
      </w:r>
    </w:p>
    <w:p>
      <w:pPr>
        <w:numPr>
          <w:ilvl w:val="0"/>
          <w:numId w:val="2"/>
        </w:numPr>
        <w:spacing w:line="360" w:lineRule="auto"/>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提供有效的营业执照、税务登记证、机构代码证或三证（五证）合一统一社会代码证及其他资格证明文件（扫描或复印件）；</w:t>
      </w:r>
    </w:p>
    <w:p>
      <w:pPr>
        <w:spacing w:line="360" w:lineRule="auto"/>
        <w:ind w:firstLine="42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企业法人需提交“统一社会信用代码的营业执照”，未换证的提交“营业执照、组织机构代码证、税务登记证”；事业法人需提交“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社会团体法人登记证书”或“民办非企业单位登记证书”或“基金会法人登记证书”和“组织机构代码证”；个体工商户需提交“统一社会信用代码的营业执照”或“营业执照、税务登记证”；自然人需提交身份证明。</w:t>
      </w:r>
    </w:p>
    <w:p>
      <w:pPr>
        <w:spacing w:line="360" w:lineRule="auto"/>
        <w:ind w:firstLine="42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（2）招标文件规定的有关资格证书、许可证书、认证等；</w:t>
      </w:r>
    </w:p>
    <w:p>
      <w:pPr>
        <w:spacing w:line="360" w:lineRule="auto"/>
        <w:ind w:firstLine="42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（3）投标人认为有必要提供的其他资格证明文件。</w:t>
      </w:r>
    </w:p>
    <w:p>
      <w:pPr>
        <w:pStyle w:val="15"/>
        <w:spacing w:before="0" w:after="0" w:line="360" w:lineRule="auto"/>
        <w:jc w:val="left"/>
        <w:outlineLvl w:val="1"/>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sz w:val="24"/>
          <w:lang w:val="zh-CN"/>
        </w:rPr>
        <w:br w:type="page"/>
      </w:r>
      <w:bookmarkStart w:id="256" w:name="_Toc18430"/>
      <w:bookmarkStart w:id="257" w:name="_Toc515908215"/>
      <w:bookmarkStart w:id="258" w:name="_Toc181"/>
      <w:bookmarkStart w:id="259" w:name="_Toc32325"/>
      <w:r>
        <w:rPr>
          <w:rFonts w:hint="eastAsia" w:asciiTheme="minorEastAsia" w:hAnsiTheme="minorEastAsia" w:eastAsiaTheme="minorEastAsia" w:cstheme="minorEastAsia"/>
          <w:color w:val="000000"/>
          <w:sz w:val="30"/>
          <w:szCs w:val="30"/>
        </w:rPr>
        <w:t>（7）</w:t>
      </w:r>
      <w:r>
        <w:rPr>
          <w:rFonts w:hint="eastAsia" w:asciiTheme="minorEastAsia" w:hAnsiTheme="minorEastAsia" w:eastAsiaTheme="minorEastAsia" w:cstheme="minorEastAsia"/>
          <w:color w:val="000000"/>
          <w:sz w:val="30"/>
          <w:szCs w:val="30"/>
          <w:lang w:val="zh-CN"/>
        </w:rPr>
        <w:t>财务状况报告，依法缴纳税收和社会保障资金的相关材料</w:t>
      </w:r>
      <w:bookmarkEnd w:id="256"/>
      <w:bookmarkEnd w:id="257"/>
      <w:bookmarkEnd w:id="258"/>
      <w:bookmarkEnd w:id="259"/>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财务状况报告，依法缴纳税收和社会保障资金的相关材料</w:t>
      </w:r>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按照招标文件“第一部分</w:t>
      </w:r>
      <w:r>
        <w:rPr>
          <w:rFonts w:hint="eastAsia" w:asciiTheme="minorEastAsia" w:hAnsiTheme="minorEastAsia" w:eastAsiaTheme="minorEastAsia" w:cstheme="minorEastAsia"/>
          <w:color w:val="000000"/>
          <w:kern w:val="0"/>
          <w:lang w:val="en-US" w:eastAsia="zh-CN"/>
        </w:rPr>
        <w:t xml:space="preserve">  投标邀请</w:t>
      </w:r>
      <w:r>
        <w:rPr>
          <w:rFonts w:hint="eastAsia" w:asciiTheme="minorEastAsia" w:hAnsiTheme="minorEastAsia" w:eastAsiaTheme="minorEastAsia" w:cstheme="minorEastAsia"/>
          <w:color w:val="000000"/>
          <w:kern w:val="0"/>
          <w:lang w:val="zh-CN"/>
        </w:rPr>
        <w:t>”各包投标人资格要求(1)中第&lt;2&gt;条规定提供以下相关材料。</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1、提供基本开户银行近三个月内出具的资信证明（同时提供基本存款账户开户许可证）</w:t>
      </w:r>
      <w:r>
        <w:rPr>
          <w:rFonts w:hint="eastAsia" w:asciiTheme="minorEastAsia" w:hAnsiTheme="minorEastAsia" w:eastAsiaTheme="minorEastAsia" w:cstheme="minorEastAsia"/>
          <w:color w:val="auto"/>
          <w:kern w:val="0"/>
          <w:lang w:val="zh-CN"/>
        </w:rPr>
        <w:t>或</w:t>
      </w:r>
      <w:r>
        <w:rPr>
          <w:rFonts w:hint="eastAsia" w:asciiTheme="minorEastAsia" w:hAnsiTheme="minorEastAsia" w:eastAsiaTheme="minorEastAsia" w:cstheme="minorEastAsia"/>
          <w:color w:val="auto"/>
          <w:kern w:val="0"/>
          <w:u w:val="none"/>
          <w:lang w:val="zh-CN"/>
        </w:rPr>
        <w:t>（</w:t>
      </w:r>
      <w:r>
        <w:rPr>
          <w:rFonts w:hint="eastAsia" w:asciiTheme="minorEastAsia" w:hAnsiTheme="minorEastAsia" w:eastAsiaTheme="minorEastAsia" w:cstheme="minorEastAsia"/>
          <w:color w:val="auto"/>
          <w:kern w:val="0"/>
          <w:u w:val="none"/>
        </w:rPr>
        <w:t>201</w:t>
      </w:r>
      <w:r>
        <w:rPr>
          <w:rFonts w:hint="eastAsia" w:asciiTheme="minorEastAsia" w:hAnsiTheme="minorEastAsia" w:cstheme="minorEastAsia"/>
          <w:color w:val="auto"/>
          <w:kern w:val="0"/>
          <w:u w:val="none"/>
          <w:lang w:val="en-US" w:eastAsia="zh-CN"/>
        </w:rPr>
        <w:t>8</w:t>
      </w:r>
      <w:r>
        <w:rPr>
          <w:rFonts w:hint="eastAsia" w:asciiTheme="minorEastAsia" w:hAnsiTheme="minorEastAsia" w:eastAsiaTheme="minorEastAsia" w:cstheme="minorEastAsia"/>
          <w:color w:val="auto"/>
          <w:kern w:val="0"/>
          <w:u w:val="none"/>
        </w:rPr>
        <w:t>年度</w:t>
      </w:r>
      <w:r>
        <w:rPr>
          <w:rFonts w:hint="eastAsia" w:asciiTheme="minorEastAsia" w:hAnsiTheme="minorEastAsia" w:eastAsiaTheme="minorEastAsia" w:cstheme="minorEastAsia"/>
          <w:color w:val="auto"/>
          <w:kern w:val="0"/>
          <w:u w:val="none"/>
          <w:lang w:val="zh-CN"/>
        </w:rPr>
        <w:t>）</w:t>
      </w:r>
      <w:r>
        <w:rPr>
          <w:rFonts w:hint="eastAsia" w:asciiTheme="minorEastAsia" w:hAnsiTheme="minorEastAsia" w:eastAsiaTheme="minorEastAsia" w:cstheme="minorEastAsia"/>
          <w:color w:val="auto"/>
        </w:rPr>
        <w:t>经</w:t>
      </w:r>
      <w:r>
        <w:rPr>
          <w:rFonts w:hint="eastAsia" w:asciiTheme="minorEastAsia" w:hAnsiTheme="minorEastAsia" w:eastAsiaTheme="minorEastAsia" w:cstheme="minorEastAsia"/>
        </w:rPr>
        <w:t>第三方审计的财务状况报告</w:t>
      </w:r>
      <w:r>
        <w:rPr>
          <w:rFonts w:hint="eastAsia" w:asciiTheme="minorEastAsia" w:hAnsiTheme="minorEastAsia" w:eastAsiaTheme="minorEastAsia" w:cstheme="minorEastAsia"/>
          <w:color w:val="000000"/>
          <w:kern w:val="0"/>
          <w:lang w:val="zh-CN"/>
        </w:rPr>
        <w:t>（扫描或复印件应全面、完整、清晰），包括资产负债表、现金流量表、利润表和财务（会计）报表附注</w:t>
      </w:r>
      <w:r>
        <w:rPr>
          <w:rFonts w:hint="eastAsia" w:asciiTheme="minorEastAsia" w:hAnsiTheme="minorEastAsia" w:eastAsiaTheme="minorEastAsia" w:cstheme="minorEastAsia"/>
          <w:color w:val="000000"/>
          <w:kern w:val="0"/>
        </w:rPr>
        <w:t>，</w:t>
      </w:r>
      <w:r>
        <w:rPr>
          <w:rFonts w:hint="eastAsia" w:asciiTheme="minorEastAsia" w:hAnsiTheme="minorEastAsia" w:eastAsiaTheme="minorEastAsia" w:cstheme="minorEastAsia"/>
          <w:color w:val="000000"/>
          <w:kern w:val="0"/>
          <w:lang w:val="zh-CN"/>
        </w:rPr>
        <w:t>并提供第三方机构的营业执照、执业证书。</w:t>
      </w:r>
      <w:r>
        <w:rPr>
          <w:rFonts w:hint="eastAsia" w:asciiTheme="minorEastAsia" w:hAnsiTheme="minorEastAsia" w:eastAsiaTheme="minorEastAsia" w:cstheme="minorEastAsia"/>
        </w:rPr>
        <w:t>投标人是其他组织和自然人，没有经审计的财务报告，可以提供基本开户银行出具的资信证明（同时提供基本存款账户开户许可证）。</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2、近半年内的依法缴纳税收和社会保障资金记录的证明材料；依法免税或不需要缴纳社会保障资金的投标人须提供相应文件证明其依法免税或不需要缴纳社会保障资金。</w:t>
      </w:r>
    </w:p>
    <w:p>
      <w:pPr>
        <w:pStyle w:val="15"/>
        <w:spacing w:before="0" w:after="0" w:line="360" w:lineRule="auto"/>
        <w:jc w:val="left"/>
        <w:outlineLvl w:val="1"/>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sz w:val="24"/>
          <w:lang w:val="zh-CN"/>
        </w:rPr>
        <w:br w:type="page"/>
      </w:r>
      <w:bookmarkEnd w:id="255"/>
      <w:bookmarkStart w:id="260" w:name="_Toc515908216"/>
      <w:bookmarkStart w:id="261" w:name="_Toc10097"/>
      <w:bookmarkStart w:id="262" w:name="_Toc6215"/>
      <w:bookmarkStart w:id="263" w:name="_Toc17783"/>
      <w:bookmarkStart w:id="264" w:name="_Toc21530"/>
      <w:r>
        <w:rPr>
          <w:rFonts w:hint="eastAsia" w:asciiTheme="minorEastAsia" w:hAnsiTheme="minorEastAsia" w:eastAsiaTheme="minorEastAsia" w:cstheme="minorEastAsia"/>
          <w:color w:val="000000"/>
          <w:sz w:val="30"/>
          <w:szCs w:val="30"/>
        </w:rPr>
        <w:t>（8）</w:t>
      </w:r>
      <w:r>
        <w:rPr>
          <w:rFonts w:hint="eastAsia" w:asciiTheme="minorEastAsia" w:hAnsiTheme="minorEastAsia" w:eastAsiaTheme="minorEastAsia" w:cstheme="minorEastAsia"/>
          <w:color w:val="000000"/>
          <w:sz w:val="30"/>
          <w:szCs w:val="30"/>
          <w:lang w:val="zh-CN"/>
        </w:rPr>
        <w:t>具备履行合同所必需的设备和专业技术能力的证明材料</w:t>
      </w:r>
      <w:bookmarkEnd w:id="260"/>
      <w:bookmarkEnd w:id="261"/>
      <w:bookmarkEnd w:id="262"/>
      <w:bookmarkEnd w:id="263"/>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具备履行合同所必需的设备和专业技术能力的证明材料</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p>
    <w:p>
      <w:pPr>
        <w:autoSpaceDE w:val="0"/>
        <w:autoSpaceDN w:val="0"/>
        <w:spacing w:line="360" w:lineRule="auto"/>
        <w:ind w:firstLine="480"/>
        <w:rPr>
          <w:rFonts w:hint="eastAsia" w:asciiTheme="minorEastAsia" w:hAnsiTheme="minorEastAsia" w:eastAsiaTheme="minorEastAsia" w:cstheme="minorEastAsia"/>
          <w:color w:val="FF0000"/>
          <w:kern w:val="0"/>
          <w:lang w:val="zh-CN"/>
        </w:rPr>
      </w:pPr>
      <w:r>
        <w:rPr>
          <w:rFonts w:hint="eastAsia" w:asciiTheme="minorEastAsia" w:hAnsiTheme="minorEastAsia" w:eastAsiaTheme="minorEastAsia" w:cstheme="minorEastAsia"/>
          <w:color w:val="000000"/>
          <w:kern w:val="0"/>
          <w:lang w:val="zh-CN"/>
        </w:rPr>
        <w:t>为保证本项目合同的顺利履行，投标人必须具备履行合同的设备和专业技术能</w:t>
      </w:r>
      <w:r>
        <w:rPr>
          <w:rFonts w:hint="eastAsia" w:asciiTheme="minorEastAsia" w:hAnsiTheme="minorEastAsia" w:eastAsiaTheme="minorEastAsia" w:cstheme="minorEastAsia"/>
          <w:color w:val="auto"/>
          <w:kern w:val="0"/>
          <w:lang w:val="zh-CN"/>
        </w:rPr>
        <w:t>力，须提供必须具备履行合同的设备和专业技术能力的承诺函（格式自拟），并提供相关设备的购置发票或相关人员的职称证书、用工合同等证明材料。</w:t>
      </w:r>
    </w:p>
    <w:p>
      <w:pPr>
        <w:autoSpaceDE w:val="0"/>
        <w:autoSpaceDN w:val="0"/>
        <w:spacing w:line="360" w:lineRule="auto"/>
        <w:ind w:firstLine="480"/>
        <w:rPr>
          <w:rFonts w:hint="eastAsia" w:asciiTheme="minorEastAsia" w:hAnsiTheme="minorEastAsia" w:eastAsiaTheme="minorEastAsia" w:cstheme="minorEastAsia"/>
          <w:color w:val="FF0000"/>
          <w:kern w:val="0"/>
          <w:lang w:val="zh-CN"/>
        </w:rPr>
      </w:pPr>
    </w:p>
    <w:p>
      <w:pPr>
        <w:pStyle w:val="15"/>
        <w:spacing w:before="0" w:after="0" w:line="360" w:lineRule="auto"/>
        <w:jc w:val="left"/>
        <w:outlineLvl w:val="1"/>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sz w:val="24"/>
          <w:lang w:val="zh-CN"/>
        </w:rPr>
        <w:br w:type="page"/>
      </w:r>
      <w:bookmarkStart w:id="265" w:name="_Toc19793"/>
      <w:bookmarkStart w:id="266" w:name="_Toc12824"/>
      <w:bookmarkStart w:id="267" w:name="_Toc3119"/>
      <w:bookmarkStart w:id="268" w:name="_Toc515908217"/>
      <w:r>
        <w:rPr>
          <w:rFonts w:hint="eastAsia" w:asciiTheme="minorEastAsia" w:hAnsiTheme="minorEastAsia" w:eastAsiaTheme="minorEastAsia" w:cstheme="minorEastAsia"/>
          <w:color w:val="000000"/>
          <w:sz w:val="30"/>
          <w:szCs w:val="30"/>
        </w:rPr>
        <w:t>（9）</w:t>
      </w:r>
      <w:r>
        <w:rPr>
          <w:rFonts w:hint="eastAsia" w:asciiTheme="minorEastAsia" w:hAnsiTheme="minorEastAsia" w:eastAsiaTheme="minorEastAsia" w:cstheme="minorEastAsia"/>
          <w:color w:val="000000"/>
          <w:sz w:val="30"/>
          <w:szCs w:val="30"/>
          <w:lang w:val="zh-CN"/>
        </w:rPr>
        <w:t>无重大违法记录声明</w:t>
      </w:r>
      <w:bookmarkEnd w:id="265"/>
      <w:bookmarkEnd w:id="266"/>
      <w:bookmarkEnd w:id="267"/>
      <w:bookmarkEnd w:id="268"/>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无重大违法记录声明</w:t>
      </w:r>
    </w:p>
    <w:p>
      <w:pPr>
        <w:spacing w:line="360" w:lineRule="auto"/>
        <w:rPr>
          <w:rFonts w:hint="eastAsia" w:asciiTheme="minorEastAsia" w:hAnsiTheme="minorEastAsia" w:eastAsiaTheme="minorEastAsia" w:cstheme="minorEastAsia"/>
          <w:b/>
          <w:bCs/>
          <w:color w:val="000000"/>
          <w:sz w:val="28"/>
          <w:szCs w:val="28"/>
        </w:rPr>
      </w:pPr>
    </w:p>
    <w:p>
      <w:pPr>
        <w:spacing w:line="360" w:lineRule="auto"/>
        <w:rPr>
          <w:rFonts w:hint="eastAsia" w:asciiTheme="minorEastAsia" w:hAnsiTheme="minorEastAsia" w:eastAsiaTheme="minorEastAsia" w:cstheme="minorEastAsia"/>
          <w:b/>
          <w:bCs/>
          <w:color w:val="000000"/>
          <w:lang w:eastAsia="zh-CN"/>
        </w:rPr>
      </w:pPr>
      <w:r>
        <w:rPr>
          <w:rFonts w:hint="eastAsia" w:asciiTheme="minorEastAsia" w:hAnsiTheme="minorEastAsia" w:eastAsiaTheme="minorEastAsia" w:cstheme="minorEastAsia"/>
          <w:b/>
          <w:bCs/>
          <w:color w:val="000000"/>
        </w:rPr>
        <w:t>致：</w:t>
      </w:r>
      <w:r>
        <w:rPr>
          <w:rFonts w:hint="eastAsia" w:asciiTheme="minorEastAsia" w:hAnsiTheme="minorEastAsia" w:eastAsiaTheme="minorEastAsia" w:cstheme="minorEastAsia"/>
          <w:b/>
          <w:bCs/>
          <w:color w:val="000000"/>
          <w:kern w:val="0"/>
          <w:lang w:val="zh-CN"/>
        </w:rPr>
        <w:t>青海</w:t>
      </w:r>
      <w:r>
        <w:rPr>
          <w:rFonts w:hint="eastAsia" w:asciiTheme="minorEastAsia" w:hAnsiTheme="minorEastAsia" w:eastAsiaTheme="minorEastAsia" w:cstheme="minorEastAsia"/>
          <w:b/>
          <w:bCs/>
          <w:color w:val="000000"/>
          <w:kern w:val="0"/>
          <w:lang w:val="en-US" w:eastAsia="zh-CN"/>
        </w:rPr>
        <w:t>利仁建设项目管理</w:t>
      </w:r>
      <w:r>
        <w:rPr>
          <w:rFonts w:hint="eastAsia" w:asciiTheme="minorEastAsia" w:hAnsiTheme="minorEastAsia" w:eastAsiaTheme="minorEastAsia" w:cstheme="minorEastAsia"/>
          <w:b/>
          <w:bCs/>
          <w:color w:val="000000"/>
          <w:kern w:val="0"/>
          <w:lang w:val="zh-CN"/>
        </w:rPr>
        <w:t>有限公司</w:t>
      </w:r>
    </w:p>
    <w:p>
      <w:pPr>
        <w:spacing w:line="360" w:lineRule="auto"/>
        <w:ind w:firstLine="420" w:firstLineChars="200"/>
        <w:rPr>
          <w:rFonts w:hint="eastAsia" w:asciiTheme="minorEastAsia" w:hAnsiTheme="minorEastAsia" w:eastAsiaTheme="minorEastAsia" w:cstheme="minorEastAsia"/>
          <w:color w:val="000000"/>
          <w:shd w:val="clear" w:color="auto" w:fill="FFFFFF"/>
        </w:rPr>
      </w:pPr>
      <w:r>
        <w:rPr>
          <w:rFonts w:hint="eastAsia" w:asciiTheme="minorEastAsia" w:hAnsiTheme="minorEastAsia" w:eastAsiaTheme="minorEastAsia" w:cstheme="minorEastAsia"/>
          <w:color w:val="000000"/>
        </w:rPr>
        <w:t>我单位参加本次政府采购项目活动前三年内，在经营活动中无重大违法活动记录，符合《政府采购法》规定的供应商资格条</w:t>
      </w:r>
      <w:r>
        <w:rPr>
          <w:rFonts w:hint="eastAsia" w:asciiTheme="minorEastAsia" w:hAnsiTheme="minorEastAsia" w:eastAsiaTheme="minorEastAsia" w:cstheme="minorEastAsia"/>
          <w:color w:val="000000"/>
          <w:shd w:val="clear" w:color="auto" w:fill="FFFFFF"/>
        </w:rPr>
        <w:t>件。我方对此声明负全部法律责任。</w:t>
      </w:r>
    </w:p>
    <w:p>
      <w:pPr>
        <w:spacing w:line="360" w:lineRule="auto"/>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特此声明。</w:t>
      </w:r>
    </w:p>
    <w:p>
      <w:pPr>
        <w:autoSpaceDE w:val="0"/>
        <w:autoSpaceDN w:val="0"/>
        <w:spacing w:line="360" w:lineRule="auto"/>
        <w:jc w:val="left"/>
        <w:rPr>
          <w:rFonts w:hint="eastAsia" w:asciiTheme="minorEastAsia" w:hAnsiTheme="minorEastAsia" w:eastAsiaTheme="minorEastAsia" w:cstheme="minorEastAsia"/>
          <w:color w:val="000000"/>
          <w:kern w:val="0"/>
          <w:lang w:val="zh-CN"/>
        </w:rPr>
      </w:pPr>
    </w:p>
    <w:p>
      <w:pPr>
        <w:autoSpaceDE w:val="0"/>
        <w:autoSpaceDN w:val="0"/>
        <w:spacing w:line="360" w:lineRule="auto"/>
        <w:ind w:firstLine="420" w:firstLineChars="200"/>
        <w:jc w:val="left"/>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auto"/>
          <w:kern w:val="0"/>
          <w:lang w:val="zh-CN"/>
        </w:rPr>
        <w:t>附“信用中国”网站查询截图，时间为投标截止时间前20天内。</w:t>
      </w:r>
    </w:p>
    <w:p>
      <w:pPr>
        <w:autoSpaceDE w:val="0"/>
        <w:autoSpaceDN w:val="0"/>
        <w:spacing w:line="360" w:lineRule="auto"/>
        <w:jc w:val="left"/>
        <w:rPr>
          <w:rFonts w:hint="eastAsia" w:asciiTheme="minorEastAsia" w:hAnsiTheme="minorEastAsia" w:eastAsiaTheme="minorEastAsia" w:cstheme="minorEastAsia"/>
          <w:color w:val="000000"/>
          <w:kern w:val="0"/>
          <w:lang w:val="zh-CN"/>
        </w:rPr>
      </w:pPr>
    </w:p>
    <w:p>
      <w:pPr>
        <w:autoSpaceDE w:val="0"/>
        <w:autoSpaceDN w:val="0"/>
        <w:spacing w:line="360" w:lineRule="auto"/>
        <w:jc w:val="left"/>
        <w:rPr>
          <w:rFonts w:hint="eastAsia" w:asciiTheme="minorEastAsia" w:hAnsiTheme="minorEastAsia" w:eastAsiaTheme="minorEastAsia" w:cstheme="minorEastAsia"/>
          <w:color w:val="000000"/>
          <w:kern w:val="0"/>
          <w:lang w:val="zh-CN"/>
        </w:rPr>
      </w:pPr>
    </w:p>
    <w:p>
      <w:pPr>
        <w:autoSpaceDE w:val="0"/>
        <w:autoSpaceDN w:val="0"/>
        <w:spacing w:line="360" w:lineRule="auto"/>
        <w:jc w:val="left"/>
        <w:rPr>
          <w:rFonts w:hint="eastAsia" w:asciiTheme="minorEastAsia" w:hAnsiTheme="minorEastAsia" w:eastAsiaTheme="minorEastAsia" w:cstheme="minorEastAsia"/>
          <w:color w:val="000000"/>
          <w:kern w:val="0"/>
          <w:lang w:val="zh-CN"/>
        </w:rPr>
      </w:pPr>
    </w:p>
    <w:p>
      <w:pPr>
        <w:autoSpaceDE w:val="0"/>
        <w:autoSpaceDN w:val="0"/>
        <w:spacing w:line="360" w:lineRule="auto"/>
        <w:jc w:val="left"/>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投标人：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法定代表人或委托代理人：        （签字或盖章）</w:t>
      </w:r>
    </w:p>
    <w:p>
      <w:pPr>
        <w:autoSpaceDE w:val="0"/>
        <w:autoSpaceDN w:val="0"/>
        <w:spacing w:line="360" w:lineRule="auto"/>
        <w:jc w:val="center"/>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pStyle w:val="15"/>
        <w:spacing w:before="0" w:after="0" w:line="360" w:lineRule="auto"/>
        <w:jc w:val="left"/>
        <w:outlineLvl w:val="1"/>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br w:type="page"/>
      </w:r>
      <w:bookmarkStart w:id="269" w:name="_Toc19885"/>
      <w:bookmarkStart w:id="270" w:name="_Toc515908218"/>
      <w:bookmarkStart w:id="271" w:name="_Toc10111"/>
      <w:bookmarkStart w:id="272" w:name="_Toc3402"/>
      <w:bookmarkStart w:id="273" w:name="_Toc29764"/>
      <w:r>
        <w:rPr>
          <w:rFonts w:hint="eastAsia" w:asciiTheme="minorEastAsia" w:hAnsiTheme="minorEastAsia" w:eastAsiaTheme="minorEastAsia" w:cstheme="minorEastAsia"/>
          <w:color w:val="000000"/>
          <w:sz w:val="30"/>
          <w:szCs w:val="30"/>
        </w:rPr>
        <w:t>（10）</w:t>
      </w:r>
      <w:r>
        <w:rPr>
          <w:rFonts w:hint="eastAsia" w:asciiTheme="minorEastAsia" w:hAnsiTheme="minorEastAsia" w:eastAsiaTheme="minorEastAsia" w:cstheme="minorEastAsia"/>
          <w:color w:val="000000"/>
          <w:sz w:val="30"/>
          <w:szCs w:val="30"/>
          <w:lang w:val="en-US" w:eastAsia="zh-CN"/>
        </w:rPr>
        <w:t>磋商</w:t>
      </w:r>
      <w:r>
        <w:rPr>
          <w:rFonts w:hint="eastAsia" w:asciiTheme="minorEastAsia" w:hAnsiTheme="minorEastAsia" w:eastAsiaTheme="minorEastAsia" w:cstheme="minorEastAsia"/>
          <w:color w:val="000000"/>
          <w:sz w:val="30"/>
          <w:szCs w:val="30"/>
          <w:lang w:val="zh-CN"/>
        </w:rPr>
        <w:t>保证金证明</w:t>
      </w:r>
      <w:bookmarkEnd w:id="269"/>
      <w:bookmarkEnd w:id="270"/>
      <w:bookmarkEnd w:id="271"/>
      <w:bookmarkEnd w:id="272"/>
      <w:bookmarkEnd w:id="273"/>
    </w:p>
    <w:p>
      <w:pPr>
        <w:spacing w:line="360" w:lineRule="auto"/>
        <w:rPr>
          <w:rFonts w:hint="eastAsia" w:asciiTheme="minorEastAsia" w:hAnsiTheme="minorEastAsia" w:eastAsiaTheme="minorEastAsia" w:cstheme="minorEastAsia"/>
          <w:color w:val="00000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en-US" w:eastAsia="zh-CN"/>
        </w:rPr>
        <w:t>磋商</w:t>
      </w:r>
      <w:r>
        <w:rPr>
          <w:rFonts w:hint="eastAsia" w:asciiTheme="minorEastAsia" w:hAnsiTheme="minorEastAsia" w:eastAsiaTheme="minorEastAsia" w:cstheme="minorEastAsia"/>
          <w:b/>
          <w:bCs/>
          <w:color w:val="000000"/>
          <w:kern w:val="0"/>
          <w:sz w:val="28"/>
          <w:szCs w:val="28"/>
          <w:lang w:val="zh-CN"/>
        </w:rPr>
        <w:t>保证金证明</w:t>
      </w:r>
    </w:p>
    <w:p>
      <w:pPr>
        <w:autoSpaceDE w:val="0"/>
        <w:autoSpaceDN w:val="0"/>
        <w:spacing w:line="360" w:lineRule="auto"/>
        <w:rPr>
          <w:rFonts w:hint="eastAsia" w:asciiTheme="minorEastAsia" w:hAnsiTheme="minorEastAsia" w:eastAsiaTheme="minorEastAsia" w:cstheme="minorEastAsia"/>
          <w:b/>
          <w:bCs/>
          <w:color w:val="000000"/>
          <w:kern w:val="0"/>
          <w:sz w:val="28"/>
          <w:szCs w:val="28"/>
          <w:lang w:val="zh-CN"/>
        </w:rPr>
      </w:pPr>
    </w:p>
    <w:p>
      <w:pPr>
        <w:autoSpaceDE w:val="0"/>
        <w:autoSpaceDN w:val="0"/>
        <w:spacing w:line="360" w:lineRule="auto"/>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致：青海</w:t>
      </w:r>
      <w:r>
        <w:rPr>
          <w:rFonts w:hint="eastAsia" w:asciiTheme="minorEastAsia" w:hAnsiTheme="minorEastAsia" w:eastAsiaTheme="minorEastAsia" w:cstheme="minorEastAsia"/>
          <w:b/>
          <w:bCs/>
          <w:color w:val="000000"/>
          <w:kern w:val="0"/>
          <w:lang w:val="en-US" w:eastAsia="zh-CN"/>
        </w:rPr>
        <w:t>利仁建设项目管理</w:t>
      </w:r>
      <w:r>
        <w:rPr>
          <w:rFonts w:hint="eastAsia" w:asciiTheme="minorEastAsia" w:hAnsiTheme="minorEastAsia" w:eastAsiaTheme="minorEastAsia" w:cstheme="minorEastAsia"/>
          <w:b/>
          <w:bCs/>
          <w:color w:val="000000"/>
          <w:kern w:val="0"/>
          <w:lang w:val="zh-CN"/>
        </w:rPr>
        <w:t>有限公司</w:t>
      </w: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我方为（采购项目名称）项目（采购项目编号为：        ）递交保证金人民币       （大写：人民币        元）已于     年    月    日以基本户转账方式汇入你方账户。</w:t>
      </w: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附件：保证金交款证明复印件（加盖公章）</w:t>
      </w: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退还保证金时请按以下内容汇入至我方账户（同递交保证金账户）。若因提供内容不全、错误等原因导致该项目保证金未能及时退还或退还过程中发生错误，我方将承担全部责任和损失。</w:t>
      </w: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户    名：</w:t>
      </w: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开户银行：</w:t>
      </w: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开户帐号：</w:t>
      </w: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投标人：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法定代表人或委托代理人：        （签字或盖章）</w:t>
      </w:r>
    </w:p>
    <w:p>
      <w:pPr>
        <w:autoSpaceDE w:val="0"/>
        <w:autoSpaceDN w:val="0"/>
        <w:spacing w:line="360" w:lineRule="auto"/>
        <w:jc w:val="center"/>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autoSpaceDE w:val="0"/>
        <w:autoSpaceDN w:val="0"/>
        <w:spacing w:line="360" w:lineRule="auto"/>
        <w:rPr>
          <w:rFonts w:hint="eastAsia" w:asciiTheme="minorEastAsia" w:hAnsiTheme="minorEastAsia" w:eastAsiaTheme="minorEastAsia" w:cstheme="minorEastAsia"/>
          <w:b/>
          <w:bCs/>
          <w:color w:val="000000"/>
          <w:kern w:val="0"/>
          <w:lang w:val="zh-CN"/>
        </w:rPr>
      </w:pPr>
    </w:p>
    <w:bookmarkEnd w:id="264"/>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pStyle w:val="9"/>
        <w:rPr>
          <w:rFonts w:hint="eastAsia" w:asciiTheme="minorEastAsia" w:hAnsiTheme="minorEastAsia" w:eastAsiaTheme="minorEastAsia" w:cstheme="minorEastAsia"/>
          <w:b w:val="0"/>
          <w:bCs w:val="0"/>
          <w:kern w:val="0"/>
          <w:sz w:val="24"/>
          <w:szCs w:val="24"/>
          <w:lang w:val="zh-CN" w:eastAsia="zh-CN" w:bidi="ar-SA"/>
        </w:rPr>
      </w:pPr>
    </w:p>
    <w:p>
      <w:pPr>
        <w:rPr>
          <w:rFonts w:hint="eastAsia" w:asciiTheme="minorEastAsia" w:hAnsiTheme="minorEastAsia" w:eastAsiaTheme="minorEastAsia" w:cstheme="minorEastAsia"/>
          <w:b/>
          <w:sz w:val="36"/>
          <w:szCs w:val="36"/>
          <w:lang w:val="zh-CN"/>
        </w:rPr>
      </w:pPr>
    </w:p>
    <w:p>
      <w:pP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lang w:val="zh-CN"/>
        </w:rPr>
        <w:t>（下册）</w:t>
      </w:r>
    </w:p>
    <w:p>
      <w:pPr>
        <w:autoSpaceDE w:val="0"/>
        <w:autoSpaceDN w:val="0"/>
        <w:spacing w:line="360" w:lineRule="auto"/>
        <w:jc w:val="right"/>
        <w:rPr>
          <w:rFonts w:hint="eastAsia" w:asciiTheme="minorEastAsia" w:hAnsiTheme="minorEastAsia" w:eastAsiaTheme="minorEastAsia" w:cstheme="minorEastAsia"/>
          <w:b/>
          <w:bCs/>
          <w:color w:val="000000"/>
          <w:kern w:val="0"/>
          <w:sz w:val="36"/>
          <w:szCs w:val="36"/>
        </w:rPr>
      </w:pPr>
      <w:r>
        <w:rPr>
          <w:rFonts w:hint="eastAsia" w:asciiTheme="minorEastAsia" w:hAnsiTheme="minorEastAsia" w:eastAsiaTheme="minorEastAsia" w:cstheme="minorEastAsia"/>
          <w:b/>
          <w:bCs/>
          <w:color w:val="000000"/>
          <w:kern w:val="0"/>
          <w:sz w:val="36"/>
          <w:szCs w:val="36"/>
        </w:rPr>
        <w:t>正本/副本</w:t>
      </w:r>
    </w:p>
    <w:p>
      <w:pPr>
        <w:pStyle w:val="3"/>
        <w:bidi w:val="0"/>
        <w:rPr>
          <w:rFonts w:hint="eastAsia"/>
          <w:lang w:val="zh-CN"/>
        </w:rPr>
      </w:pPr>
      <w:bookmarkStart w:id="274" w:name="_Toc4646"/>
      <w:bookmarkStart w:id="275" w:name="_Toc4451"/>
      <w:bookmarkStart w:id="276" w:name="_Toc13344"/>
      <w:r>
        <w:rPr>
          <w:rFonts w:hint="eastAsia"/>
          <w:lang w:val="zh-CN"/>
        </w:rPr>
        <w:t>青海省政府采购项目</w:t>
      </w:r>
      <w:bookmarkEnd w:id="274"/>
      <w:bookmarkEnd w:id="275"/>
      <w:bookmarkEnd w:id="276"/>
    </w:p>
    <w:p>
      <w:pPr>
        <w:autoSpaceDE w:val="0"/>
        <w:autoSpaceDN w:val="0"/>
        <w:spacing w:line="360" w:lineRule="auto"/>
        <w:rPr>
          <w:rFonts w:hint="eastAsia" w:asciiTheme="minorEastAsia" w:hAnsiTheme="minorEastAsia" w:eastAsiaTheme="minorEastAsia" w:cstheme="minorEastAsia"/>
          <w:color w:val="000000"/>
          <w:kern w:val="0"/>
          <w:sz w:val="36"/>
          <w:szCs w:val="36"/>
        </w:rPr>
      </w:pPr>
    </w:p>
    <w:p>
      <w:pPr>
        <w:bidi w:val="0"/>
        <w:jc w:val="center"/>
        <w:rPr>
          <w:rFonts w:hint="eastAsia"/>
          <w:b/>
          <w:bCs/>
          <w:sz w:val="44"/>
          <w:szCs w:val="44"/>
        </w:rPr>
      </w:pPr>
      <w:r>
        <w:rPr>
          <w:rFonts w:hint="eastAsia"/>
          <w:b/>
          <w:bCs/>
          <w:sz w:val="52"/>
          <w:szCs w:val="52"/>
          <w:lang w:val="zh-CN"/>
        </w:rPr>
        <w:t>投</w:t>
      </w:r>
      <w:r>
        <w:rPr>
          <w:rFonts w:hint="eastAsia"/>
          <w:b/>
          <w:bCs/>
          <w:sz w:val="52"/>
          <w:szCs w:val="52"/>
        </w:rPr>
        <w:t xml:space="preserve"> </w:t>
      </w:r>
      <w:r>
        <w:rPr>
          <w:rFonts w:hint="eastAsia"/>
          <w:b/>
          <w:bCs/>
          <w:sz w:val="52"/>
          <w:szCs w:val="52"/>
          <w:lang w:val="zh-CN"/>
        </w:rPr>
        <w:t>标</w:t>
      </w:r>
      <w:r>
        <w:rPr>
          <w:rFonts w:hint="eastAsia"/>
          <w:b/>
          <w:bCs/>
          <w:sz w:val="52"/>
          <w:szCs w:val="52"/>
        </w:rPr>
        <w:t xml:space="preserve"> </w:t>
      </w:r>
      <w:r>
        <w:rPr>
          <w:rFonts w:hint="eastAsia"/>
          <w:b/>
          <w:bCs/>
          <w:sz w:val="52"/>
          <w:szCs w:val="52"/>
          <w:lang w:val="zh-CN"/>
        </w:rPr>
        <w:t>文</w:t>
      </w:r>
      <w:r>
        <w:rPr>
          <w:rFonts w:hint="eastAsia"/>
          <w:b/>
          <w:bCs/>
          <w:sz w:val="52"/>
          <w:szCs w:val="52"/>
        </w:rPr>
        <w:t xml:space="preserve"> </w:t>
      </w:r>
      <w:r>
        <w:rPr>
          <w:rFonts w:hint="eastAsia"/>
          <w:b/>
          <w:bCs/>
          <w:sz w:val="52"/>
          <w:szCs w:val="52"/>
          <w:lang w:val="zh-CN"/>
        </w:rPr>
        <w:t>件</w:t>
      </w:r>
    </w:p>
    <w:p>
      <w:pPr>
        <w:bidi w:val="0"/>
        <w:jc w:val="center"/>
        <w:rPr>
          <w:rFonts w:hint="eastAsia"/>
          <w:b/>
          <w:bCs/>
          <w:sz w:val="36"/>
          <w:szCs w:val="36"/>
        </w:rPr>
      </w:pPr>
      <w:bookmarkStart w:id="277" w:name="_Toc5850"/>
      <w:bookmarkStart w:id="278" w:name="_Toc4924"/>
      <w:r>
        <w:rPr>
          <w:rFonts w:hint="eastAsia"/>
          <w:b/>
          <w:bCs/>
          <w:sz w:val="36"/>
          <w:szCs w:val="36"/>
          <w:lang w:val="zh-CN"/>
        </w:rPr>
        <w:t>（下册）</w:t>
      </w:r>
      <w:bookmarkEnd w:id="277"/>
      <w:bookmarkEnd w:id="278"/>
    </w:p>
    <w:p>
      <w:pPr>
        <w:autoSpaceDE w:val="0"/>
        <w:autoSpaceDN w:val="0"/>
        <w:spacing w:line="360" w:lineRule="auto"/>
        <w:rPr>
          <w:rFonts w:hint="eastAsia" w:asciiTheme="minorEastAsia" w:hAnsiTheme="minorEastAsia" w:eastAsiaTheme="minorEastAsia" w:cstheme="minorEastAsia"/>
          <w:color w:val="000000"/>
          <w:kern w:val="0"/>
          <w:sz w:val="36"/>
          <w:szCs w:val="36"/>
        </w:rPr>
      </w:pPr>
    </w:p>
    <w:p>
      <w:pPr>
        <w:autoSpaceDE w:val="0"/>
        <w:autoSpaceDN w:val="0"/>
        <w:spacing w:line="360" w:lineRule="auto"/>
        <w:rPr>
          <w:rFonts w:hint="eastAsia" w:asciiTheme="minorEastAsia" w:hAnsiTheme="minorEastAsia" w:eastAsiaTheme="minorEastAsia" w:cstheme="minorEastAsia"/>
          <w:color w:val="000000"/>
          <w:kern w:val="0"/>
          <w:sz w:val="36"/>
          <w:szCs w:val="36"/>
        </w:rPr>
      </w:pPr>
    </w:p>
    <w:p>
      <w:pPr>
        <w:bidi w:val="0"/>
        <w:ind w:firstLine="723" w:firstLineChars="200"/>
        <w:rPr>
          <w:rFonts w:hint="eastAsia"/>
          <w:b/>
          <w:bCs/>
          <w:sz w:val="36"/>
          <w:szCs w:val="36"/>
        </w:rPr>
      </w:pPr>
      <w:bookmarkStart w:id="279" w:name="_Toc10345"/>
      <w:bookmarkStart w:id="280" w:name="_Toc6333"/>
      <w:r>
        <w:rPr>
          <w:rFonts w:hint="eastAsia"/>
          <w:b/>
          <w:bCs/>
          <w:sz w:val="36"/>
          <w:szCs w:val="36"/>
          <w:lang w:val="zh-CN"/>
        </w:rPr>
        <w:t>采购项目编号：</w:t>
      </w:r>
      <w:bookmarkEnd w:id="279"/>
      <w:bookmarkEnd w:id="280"/>
    </w:p>
    <w:p>
      <w:pPr>
        <w:bidi w:val="0"/>
        <w:ind w:firstLine="723" w:firstLineChars="200"/>
        <w:rPr>
          <w:rFonts w:hint="eastAsia"/>
          <w:b/>
          <w:bCs/>
          <w:sz w:val="36"/>
          <w:szCs w:val="36"/>
        </w:rPr>
      </w:pPr>
      <w:bookmarkStart w:id="281" w:name="_Toc2353"/>
      <w:bookmarkStart w:id="282" w:name="_Toc2375"/>
      <w:r>
        <w:rPr>
          <w:rFonts w:hint="eastAsia"/>
          <w:b/>
          <w:bCs/>
          <w:sz w:val="36"/>
          <w:szCs w:val="36"/>
          <w:lang w:val="zh-CN"/>
        </w:rPr>
        <w:t>采购项目名称</w:t>
      </w:r>
      <w:r>
        <w:rPr>
          <w:rFonts w:hint="eastAsia"/>
          <w:b/>
          <w:bCs/>
          <w:sz w:val="36"/>
          <w:szCs w:val="36"/>
        </w:rPr>
        <w:t>：</w:t>
      </w:r>
      <w:bookmarkEnd w:id="281"/>
      <w:bookmarkEnd w:id="282"/>
    </w:p>
    <w:p>
      <w:pPr>
        <w:bidi w:val="0"/>
        <w:rPr>
          <w:rFonts w:hint="eastAsia"/>
          <w:b/>
          <w:bCs/>
          <w:sz w:val="36"/>
          <w:szCs w:val="36"/>
          <w:lang w:val="zh-CN"/>
        </w:rPr>
      </w:pPr>
    </w:p>
    <w:p>
      <w:pPr>
        <w:bidi w:val="0"/>
        <w:rPr>
          <w:rFonts w:hint="eastAsia"/>
          <w:b/>
          <w:bCs/>
          <w:sz w:val="36"/>
          <w:szCs w:val="36"/>
        </w:rPr>
      </w:pPr>
    </w:p>
    <w:p>
      <w:pPr>
        <w:bidi w:val="0"/>
        <w:rPr>
          <w:rFonts w:hint="eastAsia"/>
          <w:b/>
          <w:bCs/>
          <w:sz w:val="36"/>
          <w:szCs w:val="36"/>
        </w:rPr>
      </w:pPr>
    </w:p>
    <w:p>
      <w:pPr>
        <w:bidi w:val="0"/>
        <w:rPr>
          <w:rFonts w:hint="eastAsia"/>
          <w:b/>
          <w:bCs/>
          <w:sz w:val="36"/>
          <w:szCs w:val="36"/>
        </w:rPr>
      </w:pPr>
      <w:r>
        <w:rPr>
          <w:rFonts w:hint="eastAsia"/>
          <w:b/>
          <w:bCs/>
          <w:sz w:val="36"/>
          <w:szCs w:val="36"/>
        </w:rPr>
        <w:t xml:space="preserve">    </w:t>
      </w:r>
      <w:bookmarkStart w:id="283" w:name="_Toc3759"/>
      <w:bookmarkStart w:id="284" w:name="_Toc2159"/>
      <w:r>
        <w:rPr>
          <w:rFonts w:hint="eastAsia"/>
          <w:b/>
          <w:bCs/>
          <w:sz w:val="36"/>
          <w:szCs w:val="36"/>
          <w:lang w:val="zh-CN"/>
        </w:rPr>
        <w:t>投标人：</w:t>
      </w:r>
      <w:r>
        <w:rPr>
          <w:rFonts w:hint="eastAsia"/>
          <w:b/>
          <w:bCs/>
          <w:sz w:val="36"/>
          <w:szCs w:val="36"/>
        </w:rPr>
        <w:t xml:space="preserve">                          （</w:t>
      </w:r>
      <w:r>
        <w:rPr>
          <w:rFonts w:hint="eastAsia"/>
          <w:b/>
          <w:bCs/>
          <w:sz w:val="36"/>
          <w:szCs w:val="36"/>
          <w:lang w:val="zh-CN"/>
        </w:rPr>
        <w:t>公章）</w:t>
      </w:r>
      <w:bookmarkEnd w:id="283"/>
      <w:bookmarkEnd w:id="284"/>
    </w:p>
    <w:p>
      <w:pPr>
        <w:bidi w:val="0"/>
        <w:rPr>
          <w:rFonts w:hint="eastAsia"/>
          <w:b/>
          <w:bCs/>
          <w:sz w:val="36"/>
          <w:szCs w:val="36"/>
        </w:rPr>
      </w:pPr>
      <w:r>
        <w:rPr>
          <w:rFonts w:hint="eastAsia"/>
          <w:b/>
          <w:bCs/>
          <w:sz w:val="36"/>
          <w:szCs w:val="36"/>
        </w:rPr>
        <w:t xml:space="preserve">    </w:t>
      </w:r>
      <w:bookmarkStart w:id="285" w:name="_Toc23771"/>
      <w:bookmarkStart w:id="286" w:name="_Toc3604"/>
      <w:r>
        <w:rPr>
          <w:rFonts w:hint="eastAsia"/>
          <w:b/>
          <w:bCs/>
          <w:sz w:val="36"/>
          <w:szCs w:val="36"/>
          <w:lang w:val="zh-CN"/>
        </w:rPr>
        <w:t>法定代表人或委托代理人：</w:t>
      </w:r>
      <w:r>
        <w:rPr>
          <w:rFonts w:hint="eastAsia"/>
          <w:b/>
          <w:bCs/>
          <w:sz w:val="36"/>
          <w:szCs w:val="36"/>
        </w:rPr>
        <w:t xml:space="preserve">     </w:t>
      </w:r>
      <w:r>
        <w:rPr>
          <w:rFonts w:hint="eastAsia"/>
          <w:b/>
          <w:bCs/>
          <w:sz w:val="36"/>
          <w:szCs w:val="36"/>
          <w:lang w:val="zh-CN"/>
        </w:rPr>
        <w:t>（签字或盖章）</w:t>
      </w:r>
      <w:bookmarkEnd w:id="285"/>
      <w:bookmarkEnd w:id="286"/>
    </w:p>
    <w:p>
      <w:pPr>
        <w:bidi w:val="0"/>
        <w:rPr>
          <w:rFonts w:hint="eastAsia"/>
          <w:b/>
          <w:bCs/>
          <w:sz w:val="36"/>
          <w:szCs w:val="36"/>
          <w:lang w:val="zh-CN"/>
        </w:rPr>
      </w:pPr>
      <w:r>
        <w:rPr>
          <w:rFonts w:hint="eastAsia"/>
          <w:b/>
          <w:bCs/>
          <w:sz w:val="36"/>
          <w:szCs w:val="36"/>
        </w:rPr>
        <w:t xml:space="preserve">                    </w:t>
      </w:r>
      <w:bookmarkStart w:id="287" w:name="_Toc1116"/>
      <w:bookmarkStart w:id="288" w:name="_Toc25332"/>
      <w:r>
        <w:rPr>
          <w:rFonts w:hint="eastAsia"/>
          <w:b/>
          <w:bCs/>
          <w:sz w:val="36"/>
          <w:szCs w:val="36"/>
          <w:lang w:val="zh-CN"/>
        </w:rPr>
        <w:t>年</w:t>
      </w:r>
      <w:r>
        <w:rPr>
          <w:rFonts w:hint="eastAsia"/>
          <w:b/>
          <w:bCs/>
          <w:sz w:val="36"/>
          <w:szCs w:val="36"/>
        </w:rPr>
        <w:t xml:space="preserve">    </w:t>
      </w:r>
      <w:r>
        <w:rPr>
          <w:rFonts w:hint="eastAsia"/>
          <w:b/>
          <w:bCs/>
          <w:sz w:val="36"/>
          <w:szCs w:val="36"/>
          <w:lang w:val="zh-CN"/>
        </w:rPr>
        <w:t>月</w:t>
      </w:r>
      <w:r>
        <w:rPr>
          <w:rFonts w:hint="eastAsia"/>
          <w:b/>
          <w:bCs/>
          <w:sz w:val="36"/>
          <w:szCs w:val="36"/>
        </w:rPr>
        <w:t xml:space="preserve">    </w:t>
      </w:r>
      <w:r>
        <w:rPr>
          <w:rFonts w:hint="eastAsia"/>
          <w:b/>
          <w:bCs/>
          <w:sz w:val="36"/>
          <w:szCs w:val="36"/>
          <w:lang w:val="zh-CN"/>
        </w:rPr>
        <w:t>日</w:t>
      </w:r>
      <w:bookmarkEnd w:id="287"/>
      <w:bookmarkEnd w:id="288"/>
    </w:p>
    <w:p>
      <w:pPr>
        <w:pStyle w:val="15"/>
        <w:spacing w:before="0" w:after="0" w:line="360" w:lineRule="auto"/>
        <w:jc w:val="center"/>
        <w:outlineLvl w:val="9"/>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b w:val="0"/>
          <w:bCs w:val="0"/>
          <w:color w:val="000000"/>
          <w:kern w:val="0"/>
          <w:sz w:val="28"/>
          <w:szCs w:val="28"/>
          <w:lang w:val="zh-CN"/>
        </w:rPr>
        <w:br w:type="page"/>
      </w:r>
    </w:p>
    <w:p>
      <w:pPr>
        <w:bidi w:val="0"/>
        <w:rPr>
          <w:rFonts w:hint="eastAsia"/>
          <w:lang w:val="zh-CN"/>
        </w:rPr>
      </w:pPr>
      <w:bookmarkStart w:id="289" w:name="_Toc4155"/>
      <w:bookmarkStart w:id="290" w:name="_Toc8989"/>
      <w:bookmarkStart w:id="291" w:name="_Toc515908220"/>
      <w:r>
        <w:rPr>
          <w:rFonts w:hint="eastAsia"/>
          <w:lang w:val="zh-CN"/>
        </w:rPr>
        <w:t>目录（下册）</w:t>
      </w:r>
      <w:bookmarkEnd w:id="289"/>
      <w:bookmarkEnd w:id="290"/>
    </w:p>
    <w:p>
      <w:pPr>
        <w:numPr>
          <w:ilvl w:val="0"/>
          <w:numId w:val="3"/>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rPr>
        <w:t>评分对照表</w:t>
      </w:r>
      <w:r>
        <w:rPr>
          <w:rFonts w:hint="eastAsia" w:asciiTheme="minorEastAsia" w:hAnsiTheme="minorEastAsia" w:eastAsiaTheme="minorEastAsia" w:cstheme="minorEastAsia"/>
          <w:color w:val="000000"/>
          <w:kern w:val="0"/>
          <w:lang w:val="zh-CN"/>
        </w:rPr>
        <w:t>………………………………………………………所在页码</w:t>
      </w:r>
    </w:p>
    <w:p>
      <w:pPr>
        <w:numPr>
          <w:ilvl w:val="0"/>
          <w:numId w:val="3"/>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首次响应报价表…………………………………………………所在页码</w:t>
      </w:r>
    </w:p>
    <w:p>
      <w:pPr>
        <w:numPr>
          <w:ilvl w:val="0"/>
          <w:numId w:val="3"/>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分项报价表………………………………………………………所在页码</w:t>
      </w:r>
    </w:p>
    <w:p>
      <w:pPr>
        <w:numPr>
          <w:ilvl w:val="0"/>
          <w:numId w:val="3"/>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技术规格响应表…………………………………………………所在页码</w:t>
      </w:r>
    </w:p>
    <w:p>
      <w:pPr>
        <w:numPr>
          <w:ilvl w:val="0"/>
          <w:numId w:val="3"/>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cstheme="minorEastAsia"/>
          <w:color w:val="000000"/>
          <w:kern w:val="0"/>
          <w:lang w:val="zh-CN"/>
        </w:rPr>
        <w:t>磋商</w:t>
      </w:r>
      <w:r>
        <w:rPr>
          <w:rFonts w:hint="eastAsia" w:asciiTheme="minorEastAsia" w:hAnsiTheme="minorEastAsia" w:eastAsiaTheme="minorEastAsia" w:cstheme="minorEastAsia"/>
          <w:color w:val="000000"/>
          <w:kern w:val="0"/>
          <w:lang w:val="zh-CN"/>
        </w:rPr>
        <w:t>产品相关资料………………………………………………所在页码</w:t>
      </w:r>
    </w:p>
    <w:p>
      <w:pPr>
        <w:numPr>
          <w:ilvl w:val="0"/>
          <w:numId w:val="3"/>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cstheme="minorEastAsia"/>
          <w:color w:val="000000"/>
          <w:kern w:val="0"/>
          <w:lang w:val="zh-CN"/>
        </w:rPr>
        <w:t>磋商供应商</w:t>
      </w:r>
      <w:r>
        <w:rPr>
          <w:rFonts w:hint="eastAsia" w:asciiTheme="minorEastAsia" w:hAnsiTheme="minorEastAsia" w:eastAsiaTheme="minorEastAsia" w:cstheme="minorEastAsia"/>
          <w:color w:val="000000"/>
          <w:kern w:val="0"/>
          <w:lang w:val="zh-CN"/>
        </w:rPr>
        <w:t>的类似业绩证明材料………………………………所在页码</w:t>
      </w:r>
    </w:p>
    <w:p>
      <w:pPr>
        <w:numPr>
          <w:ilvl w:val="0"/>
          <w:numId w:val="3"/>
        </w:numPr>
        <w:autoSpaceDE w:val="0"/>
        <w:autoSpaceDN w:val="0"/>
        <w:spacing w:line="360" w:lineRule="auto"/>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kern w:val="0"/>
          <w:lang w:val="zh-CN"/>
        </w:rPr>
        <w:t>制造（生产）企业小型微型企业声明函、从业人员声明函…所在页码</w:t>
      </w:r>
    </w:p>
    <w:p>
      <w:pPr>
        <w:numPr>
          <w:ilvl w:val="0"/>
          <w:numId w:val="3"/>
        </w:num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残疾人福利性单位声明函………………………………………所在页码</w:t>
      </w:r>
    </w:p>
    <w:p>
      <w:pPr>
        <w:pStyle w:val="9"/>
        <w:spacing w:line="360" w:lineRule="auto"/>
        <w:rPr>
          <w:rFonts w:hint="default" w:eastAsiaTheme="minorEastAsia"/>
          <w:lang w:val="en-US" w:eastAsia="zh-CN"/>
        </w:rPr>
      </w:pPr>
      <w:r>
        <w:rPr>
          <w:rFonts w:hint="eastAsia" w:hAnsiTheme="minorEastAsia" w:cstheme="minorEastAsia"/>
          <w:color w:val="000000"/>
          <w:kern w:val="0"/>
          <w:lang w:val="zh-CN"/>
        </w:rPr>
        <w:t>（</w:t>
      </w:r>
      <w:r>
        <w:rPr>
          <w:rFonts w:hint="eastAsia" w:hAnsiTheme="minorEastAsia" w:cstheme="minorEastAsia"/>
          <w:color w:val="000000"/>
          <w:kern w:val="0"/>
          <w:lang w:val="en-US" w:eastAsia="zh-CN"/>
        </w:rPr>
        <w:t>19）</w:t>
      </w:r>
      <w:r>
        <w:rPr>
          <w:rFonts w:hint="eastAsia" w:ascii="宋体" w:hAnsi="宋体" w:eastAsia="宋体" w:cs="宋体"/>
          <w:color w:val="000000"/>
          <w:kern w:val="0"/>
          <w:lang w:val="zh-CN"/>
        </w:rPr>
        <w:t>磋商供应商认为在其他方面有必要说明的事项</w:t>
      </w:r>
      <w:r>
        <w:rPr>
          <w:rFonts w:hint="eastAsia" w:asciiTheme="minorEastAsia" w:hAnsiTheme="minorEastAsia" w:eastAsiaTheme="minorEastAsia" w:cstheme="minorEastAsia"/>
          <w:color w:val="000000"/>
          <w:kern w:val="0"/>
          <w:lang w:val="zh-CN"/>
        </w:rPr>
        <w:t>………………所在页码</w:t>
      </w:r>
    </w:p>
    <w:p>
      <w:pPr>
        <w:pStyle w:val="21"/>
        <w:spacing w:line="360" w:lineRule="auto"/>
        <w:rPr>
          <w:rFonts w:hint="eastAsia" w:asciiTheme="minorEastAsia" w:hAnsiTheme="minorEastAsia" w:eastAsiaTheme="minorEastAsia" w:cstheme="minorEastAsia"/>
          <w:bCs w:val="0"/>
          <w:color w:val="000000"/>
          <w:spacing w:val="0"/>
          <w:kern w:val="0"/>
          <w:sz w:val="21"/>
          <w:szCs w:val="24"/>
          <w:lang w:val="en-US" w:eastAsia="zh-CN" w:bidi="ar-SA"/>
        </w:rPr>
      </w:pPr>
      <w:r>
        <w:rPr>
          <w:rFonts w:hint="eastAsia" w:asciiTheme="minorEastAsia" w:hAnsiTheme="minorEastAsia" w:eastAsiaTheme="minorEastAsia" w:cstheme="minorEastAsia"/>
          <w:bCs w:val="0"/>
          <w:color w:val="000000"/>
          <w:spacing w:val="0"/>
          <w:kern w:val="0"/>
          <w:sz w:val="21"/>
          <w:szCs w:val="24"/>
          <w:lang w:val="zh-CN" w:eastAsia="zh-CN" w:bidi="ar-SA"/>
        </w:rPr>
        <w:t>（</w:t>
      </w:r>
      <w:r>
        <w:rPr>
          <w:rFonts w:hint="eastAsia" w:asciiTheme="minorEastAsia" w:hAnsiTheme="minorEastAsia" w:cstheme="minorEastAsia"/>
          <w:bCs w:val="0"/>
          <w:color w:val="000000"/>
          <w:spacing w:val="0"/>
          <w:kern w:val="0"/>
          <w:sz w:val="21"/>
          <w:szCs w:val="24"/>
          <w:lang w:val="en-US" w:eastAsia="zh-CN" w:bidi="ar-SA"/>
        </w:rPr>
        <w:t>20</w:t>
      </w:r>
      <w:r>
        <w:rPr>
          <w:rFonts w:hint="eastAsia" w:asciiTheme="minorEastAsia" w:hAnsiTheme="minorEastAsia" w:eastAsiaTheme="minorEastAsia" w:cstheme="minorEastAsia"/>
          <w:bCs w:val="0"/>
          <w:color w:val="000000"/>
          <w:spacing w:val="0"/>
          <w:kern w:val="0"/>
          <w:sz w:val="21"/>
          <w:szCs w:val="24"/>
          <w:lang w:val="en-US" w:eastAsia="zh-CN" w:bidi="ar-SA"/>
        </w:rPr>
        <w:t>）</w:t>
      </w:r>
      <w:r>
        <w:rPr>
          <w:rFonts w:hint="eastAsia" w:ascii="宋体" w:hAnsi="宋体" w:eastAsia="宋体" w:cs="宋体"/>
          <w:bCs w:val="0"/>
          <w:color w:val="000000"/>
          <w:spacing w:val="0"/>
          <w:kern w:val="0"/>
          <w:sz w:val="21"/>
          <w:szCs w:val="24"/>
          <w:lang w:val="en-US" w:eastAsia="en-US" w:bidi="ar-SA"/>
        </w:rPr>
        <w:t>磋商供应商最终报价表</w:t>
      </w:r>
      <w:r>
        <w:rPr>
          <w:rFonts w:hint="eastAsia" w:ascii="宋体" w:hAnsi="宋体" w:eastAsia="宋体" w:cs="宋体"/>
          <w:bCs w:val="0"/>
          <w:color w:val="000000"/>
          <w:spacing w:val="0"/>
          <w:kern w:val="0"/>
          <w:sz w:val="21"/>
          <w:szCs w:val="24"/>
          <w:lang w:val="zh-CN" w:eastAsia="zh-CN" w:bidi="ar-SA"/>
        </w:rPr>
        <w:t>…</w:t>
      </w:r>
      <w:r>
        <w:rPr>
          <w:rFonts w:hint="eastAsia" w:asciiTheme="minorEastAsia" w:hAnsiTheme="minorEastAsia" w:eastAsiaTheme="minorEastAsia" w:cstheme="minorEastAsia"/>
          <w:bCs w:val="0"/>
          <w:color w:val="000000"/>
          <w:spacing w:val="0"/>
          <w:kern w:val="0"/>
          <w:sz w:val="21"/>
          <w:szCs w:val="24"/>
          <w:lang w:val="zh-CN" w:eastAsia="zh-CN" w:bidi="ar-SA"/>
        </w:rPr>
        <w:t>………………………………………所在页码</w:t>
      </w: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9"/>
        <w:rPr>
          <w:rFonts w:hint="eastAsia" w:asciiTheme="minorEastAsia" w:hAnsiTheme="minorEastAsia" w:eastAsiaTheme="minorEastAsia" w:cstheme="minorEastAsia"/>
          <w:color w:val="000000"/>
          <w:sz w:val="30"/>
          <w:szCs w:val="30"/>
        </w:rPr>
      </w:pPr>
    </w:p>
    <w:p>
      <w:pPr>
        <w:pStyle w:val="15"/>
        <w:spacing w:before="0" w:after="0" w:line="360" w:lineRule="auto"/>
        <w:jc w:val="left"/>
        <w:outlineLvl w:val="0"/>
        <w:rPr>
          <w:rFonts w:hint="eastAsia" w:asciiTheme="minorEastAsia" w:hAnsiTheme="minorEastAsia" w:eastAsiaTheme="minorEastAsia" w:cstheme="minorEastAsia"/>
          <w:color w:val="000000"/>
          <w:sz w:val="30"/>
          <w:szCs w:val="30"/>
          <w:lang w:val="zh-CN"/>
        </w:rPr>
      </w:pPr>
      <w:bookmarkStart w:id="292" w:name="_Toc21351"/>
      <w:bookmarkStart w:id="293" w:name="_Toc15992"/>
      <w:bookmarkStart w:id="294" w:name="_Toc14438"/>
      <w:r>
        <w:rPr>
          <w:rFonts w:hint="eastAsia" w:asciiTheme="minorEastAsia" w:hAnsiTheme="minorEastAsia" w:eastAsiaTheme="minorEastAsia" w:cstheme="minorEastAsia"/>
          <w:color w:val="000000"/>
          <w:sz w:val="30"/>
          <w:szCs w:val="30"/>
        </w:rPr>
        <w:t>（11）</w:t>
      </w:r>
      <w:r>
        <w:rPr>
          <w:rFonts w:hint="eastAsia" w:asciiTheme="minorEastAsia" w:hAnsiTheme="minorEastAsia" w:eastAsiaTheme="minorEastAsia" w:cstheme="minorEastAsia"/>
          <w:color w:val="000000"/>
          <w:sz w:val="30"/>
          <w:szCs w:val="30"/>
          <w:lang w:val="zh-CN"/>
        </w:rPr>
        <w:t>评分对照表</w:t>
      </w:r>
      <w:bookmarkEnd w:id="291"/>
      <w:bookmarkEnd w:id="292"/>
      <w:bookmarkEnd w:id="293"/>
      <w:bookmarkEnd w:id="294"/>
    </w:p>
    <w:p>
      <w:pPr>
        <w:spacing w:line="360" w:lineRule="auto"/>
        <w:rPr>
          <w:rFonts w:hint="eastAsia" w:asciiTheme="minorEastAsia" w:hAnsiTheme="minorEastAsia" w:eastAsiaTheme="minorEastAsia" w:cstheme="minorEastAsia"/>
          <w:color w:val="000000"/>
          <w:sz w:val="28"/>
          <w:szCs w:val="28"/>
        </w:rPr>
      </w:pPr>
    </w:p>
    <w:p>
      <w:pPr>
        <w:spacing w:line="360" w:lineRule="auto"/>
        <w:jc w:val="center"/>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
          <w:bCs/>
          <w:color w:val="000000"/>
          <w:sz w:val="28"/>
          <w:szCs w:val="28"/>
        </w:rPr>
        <w:t>评分对照表</w:t>
      </w:r>
    </w:p>
    <w:p>
      <w:pPr>
        <w:spacing w:line="360" w:lineRule="auto"/>
        <w:rPr>
          <w:rFonts w:hint="eastAsia" w:asciiTheme="minorEastAsia" w:hAnsiTheme="minorEastAsia" w:eastAsiaTheme="minorEastAsia" w:cstheme="minorEastAsia"/>
          <w:color w:val="000000"/>
          <w:sz w:val="28"/>
          <w:szCs w:val="28"/>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1"/>
        <w:gridCol w:w="2514"/>
        <w:gridCol w:w="2266"/>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序号</w:t>
            </w:r>
          </w:p>
        </w:tc>
        <w:tc>
          <w:tcPr>
            <w:tcW w:w="2514"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招标文件评分标准</w:t>
            </w:r>
          </w:p>
        </w:tc>
        <w:tc>
          <w:tcPr>
            <w:tcW w:w="22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投标响应部分</w:t>
            </w:r>
          </w:p>
        </w:tc>
        <w:tc>
          <w:tcPr>
            <w:tcW w:w="29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投标文件中对应页码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514"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2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9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514"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2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9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514"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2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9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514"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2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9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514"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2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9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514"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2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c>
          <w:tcPr>
            <w:tcW w:w="2966" w:type="dxa"/>
            <w:noWrap w:val="0"/>
            <w:vAlign w:val="center"/>
          </w:tcPr>
          <w:p>
            <w:pPr>
              <w:pStyle w:val="4"/>
              <w:spacing w:line="360" w:lineRule="auto"/>
              <w:ind w:firstLine="0"/>
              <w:jc w:val="center"/>
              <w:rPr>
                <w:rFonts w:hint="eastAsia" w:asciiTheme="minorEastAsia" w:hAnsiTheme="minorEastAsia" w:eastAsiaTheme="minorEastAsia" w:cstheme="minorEastAsia"/>
                <w:color w:val="000000"/>
                <w:szCs w:val="24"/>
              </w:rPr>
            </w:pPr>
          </w:p>
        </w:tc>
      </w:tr>
    </w:tbl>
    <w:p>
      <w:pPr>
        <w:spacing w:line="360" w:lineRule="auto"/>
        <w:rPr>
          <w:rFonts w:hint="eastAsia" w:asciiTheme="minorEastAsia" w:hAnsiTheme="minorEastAsia" w:eastAsiaTheme="minorEastAsia" w:cstheme="minorEastAsia"/>
          <w:color w:val="000000"/>
          <w:lang w:val="zh-CN"/>
        </w:rPr>
      </w:pPr>
    </w:p>
    <w:p>
      <w:pPr>
        <w:pStyle w:val="15"/>
        <w:jc w:val="left"/>
        <w:rPr>
          <w:rFonts w:ascii="宋体" w:hAnsi="宋体" w:cs="STZhongsong"/>
          <w:sz w:val="28"/>
          <w:szCs w:val="28"/>
        </w:rPr>
      </w:pPr>
      <w:bookmarkStart w:id="295" w:name="_Toc28963"/>
      <w:r>
        <w:rPr>
          <w:rFonts w:hint="eastAsia" w:asciiTheme="minorEastAsia" w:hAnsiTheme="minorEastAsia" w:eastAsiaTheme="minorEastAsia" w:cstheme="minorEastAsia"/>
          <w:color w:val="000000"/>
          <w:sz w:val="30"/>
          <w:szCs w:val="30"/>
          <w:lang w:val="zh-CN"/>
        </w:rPr>
        <w:br w:type="page"/>
      </w:r>
      <w:bookmarkStart w:id="296" w:name="_Toc26451"/>
      <w:bookmarkStart w:id="297" w:name="_Toc515908221"/>
      <w:bookmarkStart w:id="298" w:name="_Toc20562"/>
      <w:bookmarkStart w:id="299" w:name="_Toc19387"/>
      <w:bookmarkStart w:id="300" w:name="_Toc31271"/>
      <w:r>
        <w:rPr>
          <w:rFonts w:hint="eastAsia" w:asciiTheme="minorEastAsia" w:hAnsiTheme="minorEastAsia" w:eastAsiaTheme="minorEastAsia" w:cstheme="minorEastAsia"/>
          <w:color w:val="000000"/>
          <w:sz w:val="30"/>
          <w:szCs w:val="30"/>
        </w:rPr>
        <w:t>（12）</w:t>
      </w:r>
      <w:bookmarkEnd w:id="296"/>
      <w:bookmarkEnd w:id="297"/>
      <w:bookmarkEnd w:id="298"/>
      <w:bookmarkEnd w:id="299"/>
      <w:r>
        <w:rPr>
          <w:rFonts w:hint="eastAsia" w:ascii="宋体" w:hAnsi="宋体" w:cs="STZhongsong"/>
          <w:sz w:val="28"/>
          <w:szCs w:val="28"/>
          <w:lang w:val="zh-CN"/>
        </w:rPr>
        <w:t>首次响应报价表</w:t>
      </w:r>
      <w:bookmarkEnd w:id="300"/>
    </w:p>
    <w:p>
      <w:pPr>
        <w:autoSpaceDE w:val="0"/>
        <w:autoSpaceDN w:val="0"/>
        <w:adjustRightInd w:val="0"/>
        <w:jc w:val="center"/>
        <w:rPr>
          <w:rFonts w:ascii="宋体" w:hAnsi="宋体" w:cs="STZhongsong"/>
          <w:b/>
          <w:bCs/>
          <w:sz w:val="36"/>
          <w:szCs w:val="36"/>
          <w:lang w:val="zh-CN"/>
        </w:rPr>
      </w:pPr>
      <w:r>
        <w:rPr>
          <w:rFonts w:hint="eastAsia" w:ascii="宋体" w:hAnsi="宋体" w:cs="STZhongsong"/>
          <w:b/>
          <w:bCs/>
          <w:sz w:val="36"/>
          <w:szCs w:val="36"/>
          <w:lang w:val="zh-CN"/>
        </w:rPr>
        <w:t>首次响应报价表</w:t>
      </w:r>
    </w:p>
    <w:p>
      <w:pPr>
        <w:autoSpaceDE w:val="0"/>
        <w:autoSpaceDN w:val="0"/>
        <w:adjustRightInd w:val="0"/>
        <w:jc w:val="center"/>
        <w:rPr>
          <w:rFonts w:ascii="宋体" w:hAnsi="宋体" w:cs="STZhongsong"/>
          <w:b/>
          <w:bCs/>
          <w:sz w:val="36"/>
          <w:szCs w:val="36"/>
          <w:lang w:val="zh-CN"/>
        </w:rPr>
      </w:pPr>
    </w:p>
    <w:p>
      <w:pPr>
        <w:rPr>
          <w:rFonts w:cs="Arial"/>
          <w:bCs/>
        </w:rPr>
      </w:pPr>
      <w:r>
        <w:rPr>
          <w:rFonts w:hint="eastAsia" w:cs="Arial"/>
          <w:bCs/>
        </w:rPr>
        <w:t>供应商名称：</w:t>
      </w:r>
      <w:r>
        <w:rPr>
          <w:rFonts w:cs="Arial"/>
          <w:bCs/>
        </w:rPr>
        <w:t xml:space="preserve">                                                       </w:t>
      </w:r>
    </w:p>
    <w:p>
      <w:pPr>
        <w:rPr>
          <w:rFonts w:cs="Arial"/>
          <w:bCs/>
          <w:kern w:val="2"/>
          <w:sz w:val="21"/>
        </w:rPr>
      </w:pPr>
      <w:r>
        <w:rPr>
          <w:rFonts w:hint="eastAsia" w:cs="Arial"/>
          <w:bCs/>
        </w:rPr>
        <w:t>单位：人民币（元）</w:t>
      </w:r>
    </w:p>
    <w:tbl>
      <w:tblPr>
        <w:tblStyle w:val="17"/>
        <w:tblpPr w:leftFromText="180" w:rightFromText="180" w:vertAnchor="text" w:horzAnchor="margin" w:tblpY="1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3209"/>
        <w:gridCol w:w="1764"/>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6" w:hRule="atLeast"/>
        </w:trPr>
        <w:tc>
          <w:tcPr>
            <w:tcW w:w="2408"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ascii="宋体" w:hAnsi="宋体"/>
                <w:b/>
              </w:rPr>
            </w:pPr>
            <w:r>
              <w:rPr>
                <w:rFonts w:hint="eastAsia" w:ascii="宋体" w:hAnsi="宋体"/>
                <w:b/>
              </w:rPr>
              <w:t>项目名称</w:t>
            </w:r>
          </w:p>
        </w:tc>
        <w:tc>
          <w:tcPr>
            <w:tcW w:w="3209" w:type="dxa"/>
            <w:tcBorders>
              <w:top w:val="single" w:color="auto" w:sz="4" w:space="0"/>
              <w:left w:val="single" w:color="auto" w:sz="4" w:space="0"/>
              <w:bottom w:val="single" w:color="auto" w:sz="4" w:space="0"/>
              <w:right w:val="single" w:color="auto" w:sz="4" w:space="0"/>
            </w:tcBorders>
            <w:vAlign w:val="center"/>
          </w:tcPr>
          <w:p>
            <w:pPr>
              <w:adjustRightInd w:val="0"/>
              <w:ind w:firstLine="482"/>
              <w:jc w:val="center"/>
              <w:textAlignment w:val="baseline"/>
              <w:rPr>
                <w:rFonts w:ascii="宋体" w:hAnsi="宋体"/>
                <w:b/>
              </w:rPr>
            </w:pPr>
            <w:r>
              <w:rPr>
                <w:rFonts w:hint="eastAsia" w:ascii="宋体" w:hAnsi="宋体"/>
                <w:b/>
              </w:rPr>
              <w:t>响应报价（元）</w:t>
            </w:r>
          </w:p>
        </w:tc>
        <w:tc>
          <w:tcPr>
            <w:tcW w:w="1764" w:type="dxa"/>
            <w:tcBorders>
              <w:top w:val="single" w:color="auto" w:sz="4" w:space="0"/>
              <w:left w:val="single" w:color="auto" w:sz="4" w:space="0"/>
              <w:bottom w:val="single" w:color="auto" w:sz="4" w:space="0"/>
              <w:right w:val="single" w:color="auto" w:sz="4" w:space="0"/>
            </w:tcBorders>
            <w:vAlign w:val="center"/>
          </w:tcPr>
          <w:p>
            <w:pPr>
              <w:adjustRightInd w:val="0"/>
              <w:ind w:left="245" w:leftChars="16" w:hanging="211" w:hangingChars="100"/>
              <w:jc w:val="center"/>
              <w:textAlignment w:val="baseline"/>
              <w:rPr>
                <w:rFonts w:hint="eastAsia" w:ascii="宋体" w:hAnsi="宋体" w:eastAsiaTheme="minorEastAsia"/>
                <w:b/>
                <w:lang w:eastAsia="zh-CN"/>
              </w:rPr>
            </w:pPr>
            <w:r>
              <w:rPr>
                <w:rFonts w:hint="eastAsia" w:ascii="宋体" w:hAnsi="宋体"/>
                <w:b/>
                <w:lang w:eastAsia="zh-CN"/>
              </w:rPr>
              <w:t>交货期</w:t>
            </w:r>
          </w:p>
        </w:tc>
        <w:tc>
          <w:tcPr>
            <w:tcW w:w="1759" w:type="dxa"/>
            <w:tcBorders>
              <w:top w:val="single" w:color="auto" w:sz="4" w:space="0"/>
              <w:left w:val="single" w:color="auto" w:sz="4" w:space="0"/>
              <w:bottom w:val="single" w:color="auto" w:sz="4" w:space="0"/>
              <w:right w:val="single" w:color="auto" w:sz="4" w:space="0"/>
            </w:tcBorders>
            <w:vAlign w:val="center"/>
          </w:tcPr>
          <w:p>
            <w:pPr>
              <w:adjustRightInd w:val="0"/>
              <w:ind w:left="245" w:leftChars="16" w:hanging="211" w:hangingChars="100"/>
              <w:jc w:val="center"/>
              <w:textAlignment w:val="baseline"/>
              <w:rPr>
                <w:rFonts w:ascii="宋体" w:hAnsi="宋体"/>
                <w:b/>
              </w:rPr>
            </w:pPr>
            <w:r>
              <w:rPr>
                <w:rFonts w:hint="eastAsia" w:ascii="宋体" w:hAnsi="宋体"/>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2408" w:type="dxa"/>
            <w:vMerge w:val="restart"/>
            <w:tcBorders>
              <w:top w:val="single" w:color="auto" w:sz="4" w:space="0"/>
              <w:left w:val="single" w:color="auto" w:sz="4" w:space="0"/>
              <w:bottom w:val="single" w:color="auto" w:sz="4" w:space="0"/>
              <w:right w:val="single" w:color="auto" w:sz="4" w:space="0"/>
            </w:tcBorders>
            <w:vAlign w:val="center"/>
          </w:tcPr>
          <w:p>
            <w:pPr>
              <w:adjustRightInd w:val="0"/>
              <w:ind w:firstLine="482"/>
              <w:textAlignment w:val="baseline"/>
              <w:rPr>
                <w:rFonts w:ascii="宋体" w:hAnsi="宋体"/>
                <w:b/>
                <w:bCs/>
              </w:rPr>
            </w:pPr>
          </w:p>
        </w:tc>
        <w:tc>
          <w:tcPr>
            <w:tcW w:w="3209" w:type="dxa"/>
            <w:tcBorders>
              <w:top w:val="single" w:color="auto" w:sz="4" w:space="0"/>
              <w:left w:val="single" w:color="auto" w:sz="4" w:space="0"/>
              <w:bottom w:val="single" w:color="auto" w:sz="4" w:space="0"/>
              <w:right w:val="single" w:color="auto" w:sz="4" w:space="0"/>
            </w:tcBorders>
          </w:tcPr>
          <w:p>
            <w:pPr>
              <w:adjustRightInd w:val="0"/>
              <w:textAlignment w:val="baseline"/>
              <w:rPr>
                <w:rFonts w:ascii="宋体" w:hAnsi="宋体"/>
                <w:b/>
              </w:rPr>
            </w:pPr>
            <w:r>
              <w:rPr>
                <w:rFonts w:hint="eastAsia" w:ascii="宋体" w:hAnsi="宋体"/>
                <w:b/>
              </w:rPr>
              <w:t>大写：</w:t>
            </w:r>
          </w:p>
        </w:tc>
        <w:tc>
          <w:tcPr>
            <w:tcW w:w="1764" w:type="dxa"/>
            <w:vMerge w:val="restart"/>
            <w:tcBorders>
              <w:top w:val="single" w:color="auto" w:sz="4" w:space="0"/>
              <w:left w:val="single" w:color="auto" w:sz="4" w:space="0"/>
              <w:bottom w:val="single" w:color="auto" w:sz="4" w:space="0"/>
              <w:right w:val="single" w:color="auto" w:sz="4" w:space="0"/>
            </w:tcBorders>
          </w:tcPr>
          <w:p>
            <w:pPr>
              <w:adjustRightInd w:val="0"/>
              <w:textAlignment w:val="baseline"/>
              <w:rPr>
                <w:rFonts w:ascii="宋体" w:hAnsi="宋体"/>
                <w:b/>
              </w:rPr>
            </w:pPr>
          </w:p>
        </w:tc>
        <w:tc>
          <w:tcPr>
            <w:tcW w:w="1759" w:type="dxa"/>
            <w:vMerge w:val="restart"/>
            <w:tcBorders>
              <w:top w:val="single" w:color="auto" w:sz="4" w:space="0"/>
              <w:left w:val="single" w:color="auto" w:sz="4" w:space="0"/>
              <w:bottom w:val="single" w:color="auto" w:sz="4" w:space="0"/>
              <w:right w:val="single" w:color="auto" w:sz="4" w:space="0"/>
            </w:tcBorders>
          </w:tcPr>
          <w:p>
            <w:pPr>
              <w:adjustRightInd w:val="0"/>
              <w:textAlignment w:val="baseline"/>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2408"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b/>
                <w:bCs/>
                <w:kern w:val="2"/>
              </w:rPr>
            </w:pPr>
          </w:p>
        </w:tc>
        <w:tc>
          <w:tcPr>
            <w:tcW w:w="3209" w:type="dxa"/>
            <w:tcBorders>
              <w:top w:val="single" w:color="auto" w:sz="4" w:space="0"/>
              <w:left w:val="single" w:color="auto" w:sz="4" w:space="0"/>
              <w:bottom w:val="single" w:color="auto" w:sz="4" w:space="0"/>
              <w:right w:val="single" w:color="auto" w:sz="4" w:space="0"/>
            </w:tcBorders>
          </w:tcPr>
          <w:p>
            <w:pPr>
              <w:adjustRightInd w:val="0"/>
              <w:textAlignment w:val="baseline"/>
              <w:rPr>
                <w:rFonts w:ascii="宋体" w:hAnsi="宋体"/>
                <w:b/>
              </w:rPr>
            </w:pPr>
            <w:r>
              <w:rPr>
                <w:rFonts w:hint="eastAsia" w:ascii="宋体" w:hAnsi="宋体"/>
                <w:b/>
              </w:rPr>
              <w:t>小写：</w:t>
            </w:r>
          </w:p>
        </w:tc>
        <w:tc>
          <w:tcPr>
            <w:tcW w:w="1764"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b/>
                <w:kern w:val="2"/>
              </w:rPr>
            </w:pPr>
          </w:p>
        </w:tc>
        <w:tc>
          <w:tcPr>
            <w:tcW w:w="1759" w:type="dxa"/>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b/>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3" w:hRule="atLeast"/>
        </w:trPr>
        <w:tc>
          <w:tcPr>
            <w:tcW w:w="2408"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ascii="宋体" w:hAnsi="宋体"/>
                <w:b/>
                <w:bCs/>
              </w:rPr>
            </w:pPr>
            <w:r>
              <w:rPr>
                <w:rFonts w:hint="eastAsia" w:ascii="宋体" w:hAnsi="宋体"/>
                <w:b/>
              </w:rPr>
              <w:t>优惠承诺及其他：</w:t>
            </w:r>
          </w:p>
        </w:tc>
        <w:tc>
          <w:tcPr>
            <w:tcW w:w="6732" w:type="dxa"/>
            <w:gridSpan w:val="3"/>
            <w:tcBorders>
              <w:top w:val="single" w:color="auto" w:sz="4" w:space="0"/>
              <w:left w:val="single" w:color="auto" w:sz="4" w:space="0"/>
              <w:bottom w:val="single" w:color="auto" w:sz="4" w:space="0"/>
              <w:right w:val="single" w:color="auto" w:sz="4" w:space="0"/>
            </w:tcBorders>
          </w:tcPr>
          <w:p>
            <w:pPr>
              <w:adjustRightInd w:val="0"/>
              <w:textAlignment w:val="baseline"/>
              <w:rPr>
                <w:rFonts w:ascii="宋体" w:hAnsi="宋体"/>
                <w:b/>
              </w:rPr>
            </w:pPr>
          </w:p>
        </w:tc>
      </w:tr>
    </w:tbl>
    <w:p>
      <w:pPr>
        <w:autoSpaceDE w:val="0"/>
        <w:autoSpaceDN w:val="0"/>
        <w:spacing w:line="360" w:lineRule="auto"/>
        <w:rPr>
          <w:rFonts w:cs="Arial"/>
          <w:kern w:val="2"/>
          <w:sz w:val="21"/>
          <w:lang w:val="zh-CN"/>
        </w:rPr>
      </w:pPr>
      <w:r>
        <w:rPr>
          <w:rFonts w:hint="eastAsia" w:cs="Arial"/>
          <w:bCs/>
          <w:lang w:val="zh-CN"/>
        </w:rPr>
        <w:t>注：</w:t>
      </w:r>
      <w:r>
        <w:rPr>
          <w:rFonts w:cs="Arial"/>
          <w:lang w:val="zh-CN"/>
        </w:rPr>
        <w:t>1.</w:t>
      </w:r>
      <w:r>
        <w:rPr>
          <w:rFonts w:hint="eastAsia" w:cs="Arial"/>
          <w:lang w:val="zh-CN"/>
        </w:rPr>
        <w:t>填写此表时不得改变表格形式（可按所投包增加行）。</w:t>
      </w:r>
    </w:p>
    <w:p>
      <w:pPr>
        <w:autoSpaceDE w:val="0"/>
        <w:autoSpaceDN w:val="0"/>
        <w:adjustRightInd w:val="0"/>
        <w:spacing w:line="360" w:lineRule="auto"/>
        <w:ind w:firstLine="420" w:firstLineChars="200"/>
        <w:rPr>
          <w:rFonts w:ascii="宋体" w:hAnsi="Cambria" w:cs="宋体"/>
          <w:lang w:val="zh-CN"/>
        </w:rPr>
      </w:pPr>
      <w:r>
        <w:rPr>
          <w:rFonts w:cs="Arial"/>
          <w:lang w:val="zh-CN"/>
        </w:rPr>
        <w:t>2.</w:t>
      </w:r>
      <w:r>
        <w:rPr>
          <w:rFonts w:hint="eastAsia" w:cs="Arial"/>
          <w:lang w:val="zh-CN"/>
        </w:rPr>
        <w:t>“响应报价”为总价。包括本项目采购内容的服务流程中的全部费用。</w:t>
      </w:r>
    </w:p>
    <w:p>
      <w:pPr>
        <w:autoSpaceDE w:val="0"/>
        <w:autoSpaceDN w:val="0"/>
        <w:spacing w:line="360" w:lineRule="auto"/>
        <w:ind w:firstLine="480"/>
        <w:rPr>
          <w:rFonts w:cs="Arial"/>
          <w:kern w:val="2"/>
          <w:sz w:val="21"/>
          <w:lang w:val="zh-CN"/>
        </w:rPr>
      </w:pPr>
      <w:r>
        <w:rPr>
          <w:rFonts w:cs="Arial"/>
          <w:lang w:val="zh-CN"/>
        </w:rPr>
        <w:t>3.</w:t>
      </w:r>
      <w:r>
        <w:rPr>
          <w:rFonts w:hint="eastAsia" w:cs="Arial"/>
          <w:lang w:val="zh-CN"/>
        </w:rPr>
        <w:t>响应报价不能有两个或两个以上的报价方案。</w:t>
      </w:r>
    </w:p>
    <w:p>
      <w:pPr>
        <w:autoSpaceDE w:val="0"/>
        <w:autoSpaceDN w:val="0"/>
        <w:adjustRightInd w:val="0"/>
        <w:rPr>
          <w:rFonts w:ascii="宋体" w:hAnsi="Cambria" w:cs="宋体"/>
          <w:lang w:val="zh-CN"/>
        </w:rPr>
      </w:pPr>
      <w:r>
        <w:rPr>
          <w:rFonts w:hint="eastAsia" w:ascii="宋体" w:hAnsi="Cambria" w:cs="宋体"/>
          <w:lang w:val="zh-CN"/>
        </w:rPr>
        <w:t xml:space="preserve"> </w:t>
      </w:r>
    </w:p>
    <w:p>
      <w:pPr>
        <w:autoSpaceDE w:val="0"/>
        <w:autoSpaceDN w:val="0"/>
        <w:adjustRightInd w:val="0"/>
        <w:rPr>
          <w:rFonts w:ascii="宋体" w:hAnsi="Cambria" w:cs="宋体"/>
          <w:lang w:val="zh-CN"/>
        </w:rPr>
      </w:pPr>
      <w:r>
        <w:rPr>
          <w:rFonts w:hint="eastAsia" w:ascii="宋体" w:hAnsi="Cambria" w:cs="宋体"/>
          <w:lang w:val="zh-CN"/>
        </w:rPr>
        <w:t xml:space="preserve"> </w:t>
      </w:r>
    </w:p>
    <w:p>
      <w:pPr>
        <w:autoSpaceDE w:val="0"/>
        <w:autoSpaceDN w:val="0"/>
        <w:adjustRightInd w:val="0"/>
        <w:rPr>
          <w:rFonts w:ascii="宋体" w:hAnsi="Cambria" w:cs="宋体"/>
          <w:lang w:val="zh-CN"/>
        </w:rPr>
      </w:pPr>
      <w:r>
        <w:rPr>
          <w:rFonts w:hint="eastAsia" w:ascii="宋体" w:hAnsi="Cambria" w:cs="宋体"/>
          <w:lang w:val="zh-CN"/>
        </w:rPr>
        <w:t xml:space="preserve"> </w:t>
      </w:r>
    </w:p>
    <w:p>
      <w:pPr>
        <w:autoSpaceDE w:val="0"/>
        <w:autoSpaceDN w:val="0"/>
        <w:adjustRightInd w:val="0"/>
        <w:rPr>
          <w:rFonts w:ascii="宋体" w:hAnsi="Cambria" w:cs="宋体"/>
          <w:lang w:val="zh-CN"/>
        </w:rPr>
      </w:pPr>
      <w:r>
        <w:rPr>
          <w:rFonts w:hint="eastAsia" w:ascii="宋体" w:hAnsi="Cambria" w:cs="宋体"/>
          <w:lang w:val="zh-CN"/>
        </w:rPr>
        <w:t xml:space="preserve"> </w:t>
      </w:r>
    </w:p>
    <w:p>
      <w:pPr>
        <w:autoSpaceDE w:val="0"/>
        <w:autoSpaceDN w:val="0"/>
        <w:adjustRightInd w:val="0"/>
        <w:rPr>
          <w:rFonts w:ascii="宋体" w:hAnsi="Cambria" w:cs="宋体"/>
          <w:lang w:val="zh-CN"/>
        </w:rPr>
      </w:pPr>
      <w:r>
        <w:rPr>
          <w:rFonts w:hint="eastAsia" w:ascii="宋体" w:hAnsi="Cambria" w:cs="宋体"/>
          <w:lang w:val="zh-CN"/>
        </w:rPr>
        <w:t xml:space="preserve"> </w:t>
      </w:r>
    </w:p>
    <w:p>
      <w:pPr>
        <w:autoSpaceDE w:val="0"/>
        <w:autoSpaceDN w:val="0"/>
        <w:adjustRightInd w:val="0"/>
        <w:rPr>
          <w:rFonts w:ascii="宋体" w:hAnsi="Cambria" w:cs="宋体"/>
          <w:lang w:val="zh-CN"/>
        </w:rPr>
      </w:pPr>
      <w:r>
        <w:rPr>
          <w:rFonts w:hint="eastAsia" w:ascii="宋体" w:hAnsi="Cambria" w:cs="宋体"/>
          <w:lang w:val="zh-CN"/>
        </w:rPr>
        <w:t xml:space="preserve"> </w:t>
      </w:r>
    </w:p>
    <w:p>
      <w:pPr>
        <w:autoSpaceDE w:val="0"/>
        <w:autoSpaceDN w:val="0"/>
        <w:adjustRightInd w:val="0"/>
        <w:spacing w:line="400" w:lineRule="exact"/>
        <w:rPr>
          <w:rFonts w:ascii="宋体" w:hAnsi="宋体" w:cs="宋体"/>
          <w:color w:val="000000"/>
          <w:lang w:val="zh-CN"/>
        </w:rPr>
      </w:pPr>
      <w:r>
        <w:rPr>
          <w:rFonts w:hint="eastAsia" w:ascii="宋体" w:hAnsi="Cambria" w:cs="宋体"/>
          <w:lang w:val="zh-CN"/>
        </w:rPr>
        <w:t xml:space="preserve">                      </w:t>
      </w:r>
      <w:r>
        <w:rPr>
          <w:rFonts w:hint="eastAsia" w:ascii="宋体" w:hAnsi="宋体" w:cs="宋体"/>
          <w:color w:val="000000"/>
          <w:lang w:val="zh-CN"/>
        </w:rPr>
        <w:t xml:space="preserve">               供应商：</w:t>
      </w:r>
      <w:r>
        <w:rPr>
          <w:rFonts w:hint="eastAsia" w:ascii="宋体" w:hAnsi="宋体" w:cs="宋体"/>
          <w:color w:val="000000"/>
          <w:u w:val="single"/>
          <w:lang w:val="zh-CN"/>
        </w:rPr>
        <w:t xml:space="preserve">             （</w:t>
      </w:r>
      <w:r>
        <w:rPr>
          <w:rFonts w:hint="eastAsia" w:ascii="宋体" w:hAnsi="宋体" w:cs="宋体"/>
          <w:color w:val="000000"/>
          <w:lang w:val="zh-CN"/>
        </w:rPr>
        <w:t>公章）</w:t>
      </w:r>
    </w:p>
    <w:p>
      <w:pPr>
        <w:autoSpaceDE w:val="0"/>
        <w:autoSpaceDN w:val="0"/>
        <w:adjustRightInd w:val="0"/>
        <w:spacing w:line="400" w:lineRule="exact"/>
        <w:rPr>
          <w:rFonts w:ascii="宋体" w:hAnsi="宋体" w:cs="宋体"/>
          <w:color w:val="000000"/>
          <w:lang w:val="zh-CN"/>
        </w:rPr>
      </w:pPr>
      <w:r>
        <w:rPr>
          <w:rFonts w:hint="eastAsia" w:ascii="宋体" w:hAnsi="宋体" w:cs="宋体"/>
          <w:color w:val="000000"/>
          <w:lang w:val="zh-CN"/>
        </w:rPr>
        <w:t xml:space="preserve">                     法定代表人或委托代理人：</w:t>
      </w:r>
      <w:r>
        <w:rPr>
          <w:rFonts w:hint="eastAsia" w:ascii="宋体" w:hAnsi="宋体" w:cs="宋体"/>
          <w:color w:val="000000"/>
          <w:u w:val="single"/>
          <w:lang w:val="zh-CN"/>
        </w:rPr>
        <w:t xml:space="preserve">            </w:t>
      </w:r>
      <w:r>
        <w:rPr>
          <w:rFonts w:hint="eastAsia" w:ascii="宋体" w:hAnsi="宋体" w:cs="宋体"/>
          <w:color w:val="000000"/>
          <w:lang w:val="zh-CN"/>
        </w:rPr>
        <w:t>（签字或盖章）</w:t>
      </w:r>
    </w:p>
    <w:p>
      <w:pPr>
        <w:autoSpaceDE w:val="0"/>
        <w:autoSpaceDN w:val="0"/>
        <w:adjustRightInd w:val="0"/>
        <w:spacing w:line="400" w:lineRule="exact"/>
        <w:rPr>
          <w:rFonts w:ascii="宋体" w:hAnsi="宋体" w:cs="宋体"/>
          <w:color w:val="000000"/>
          <w:lang w:val="zh-CN"/>
        </w:rPr>
      </w:pPr>
      <w:r>
        <w:rPr>
          <w:rFonts w:hint="eastAsia" w:ascii="宋体" w:hAnsi="宋体" w:cs="宋体"/>
          <w:color w:val="000000"/>
          <w:lang w:val="zh-CN"/>
        </w:rPr>
        <w:t xml:space="preserve">                                         年   月   日</w:t>
      </w:r>
    </w:p>
    <w:p>
      <w:pPr>
        <w:rPr>
          <w:kern w:val="2"/>
          <w:sz w:val="21"/>
        </w:rPr>
      </w:pPr>
    </w:p>
    <w:p>
      <w:pPr>
        <w:autoSpaceDE w:val="0"/>
        <w:autoSpaceDN w:val="0"/>
        <w:spacing w:line="360" w:lineRule="auto"/>
        <w:jc w:val="center"/>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p>
    <w:p>
      <w:pPr>
        <w:pStyle w:val="15"/>
        <w:spacing w:before="0" w:after="0" w:line="360" w:lineRule="auto"/>
        <w:jc w:val="left"/>
        <w:outlineLvl w:val="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30"/>
          <w:szCs w:val="30"/>
          <w:lang w:val="zh-CN"/>
        </w:rPr>
        <w:br w:type="page"/>
      </w:r>
      <w:bookmarkStart w:id="301" w:name="_Toc10455"/>
      <w:bookmarkStart w:id="302" w:name="_Toc31396"/>
      <w:bookmarkStart w:id="303" w:name="_Toc18611"/>
      <w:bookmarkStart w:id="304" w:name="_Toc515908222"/>
      <w:r>
        <w:rPr>
          <w:rFonts w:hint="eastAsia" w:asciiTheme="minorEastAsia" w:hAnsiTheme="minorEastAsia" w:eastAsiaTheme="minorEastAsia" w:cstheme="minorEastAsia"/>
          <w:color w:val="000000"/>
          <w:sz w:val="30"/>
          <w:szCs w:val="30"/>
        </w:rPr>
        <w:t>（13）</w:t>
      </w:r>
      <w:r>
        <w:rPr>
          <w:rFonts w:hint="eastAsia" w:asciiTheme="minorEastAsia" w:hAnsiTheme="minorEastAsia" w:eastAsiaTheme="minorEastAsia" w:cstheme="minorEastAsia"/>
          <w:color w:val="000000"/>
          <w:sz w:val="30"/>
          <w:szCs w:val="30"/>
          <w:lang w:val="zh-CN"/>
        </w:rPr>
        <w:t>分项报价表</w:t>
      </w:r>
      <w:bookmarkEnd w:id="295"/>
      <w:bookmarkEnd w:id="301"/>
      <w:bookmarkEnd w:id="302"/>
      <w:bookmarkEnd w:id="303"/>
      <w:bookmarkEnd w:id="304"/>
    </w:p>
    <w:p>
      <w:pPr>
        <w:autoSpaceDE w:val="0"/>
        <w:autoSpaceDN w:val="0"/>
        <w:spacing w:line="360" w:lineRule="auto"/>
        <w:rPr>
          <w:rFonts w:hint="eastAsia" w:asciiTheme="minorEastAsia" w:hAnsiTheme="minorEastAsia" w:eastAsiaTheme="minorEastAsia" w:cstheme="minorEastAsia"/>
          <w:b/>
          <w:bCs/>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分项报价表</w:t>
      </w:r>
    </w:p>
    <w:p>
      <w:pPr>
        <w:autoSpaceDE w:val="0"/>
        <w:autoSpaceDN w:val="0"/>
        <w:spacing w:line="360" w:lineRule="auto"/>
        <w:rPr>
          <w:rFonts w:hint="eastAsia" w:asciiTheme="minorEastAsia" w:hAnsiTheme="minorEastAsia" w:eastAsiaTheme="minorEastAsia" w:cstheme="minorEastAsia"/>
          <w:b/>
          <w:bCs/>
          <w:color w:val="000000"/>
          <w:kern w:val="0"/>
          <w:sz w:val="28"/>
          <w:szCs w:val="28"/>
          <w:lang w:val="zh-CN"/>
        </w:rPr>
      </w:pPr>
    </w:p>
    <w:p>
      <w:pPr>
        <w:autoSpaceDE w:val="0"/>
        <w:autoSpaceDN w:val="0"/>
        <w:spacing w:line="360" w:lineRule="auto"/>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b/>
          <w:bCs/>
          <w:color w:val="000000"/>
          <w:kern w:val="0"/>
          <w:lang w:val="zh-CN"/>
        </w:rPr>
        <w:t>投标人名称</w:t>
      </w:r>
      <w:r>
        <w:rPr>
          <w:rFonts w:hint="eastAsia" w:asciiTheme="minorEastAsia" w:hAnsiTheme="minorEastAsia" w:eastAsiaTheme="minorEastAsia" w:cstheme="minorEastAsia"/>
          <w:b/>
          <w:bCs/>
          <w:color w:val="000000"/>
          <w:kern w:val="0"/>
        </w:rPr>
        <w:t>：</w:t>
      </w:r>
    </w:p>
    <w:tbl>
      <w:tblPr>
        <w:tblStyle w:val="17"/>
        <w:tblW w:w="0" w:type="auto"/>
        <w:jc w:val="center"/>
        <w:tblLayout w:type="fixed"/>
        <w:tblCellMar>
          <w:top w:w="0" w:type="dxa"/>
          <w:left w:w="28" w:type="dxa"/>
          <w:bottom w:w="0" w:type="dxa"/>
          <w:right w:w="28" w:type="dxa"/>
        </w:tblCellMar>
      </w:tblPr>
      <w:tblGrid>
        <w:gridCol w:w="628"/>
        <w:gridCol w:w="1563"/>
        <w:gridCol w:w="1065"/>
        <w:gridCol w:w="759"/>
        <w:gridCol w:w="1305"/>
        <w:gridCol w:w="931"/>
        <w:gridCol w:w="706"/>
        <w:gridCol w:w="831"/>
        <w:gridCol w:w="829"/>
      </w:tblGrid>
      <w:tr>
        <w:tblPrEx>
          <w:tblCellMar>
            <w:top w:w="0" w:type="dxa"/>
            <w:left w:w="28" w:type="dxa"/>
            <w:bottom w:w="0" w:type="dxa"/>
            <w:right w:w="28" w:type="dxa"/>
          </w:tblCellMar>
        </w:tblPrEx>
        <w:trPr>
          <w:trHeight w:val="23" w:hRule="atLeast"/>
          <w:jc w:val="center"/>
        </w:trPr>
        <w:tc>
          <w:tcPr>
            <w:tcW w:w="628" w:type="dxa"/>
            <w:tcBorders>
              <w:top w:val="single" w:color="000000" w:sz="8" w:space="0"/>
              <w:left w:val="single" w:color="000000" w:sz="8"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序号</w:t>
            </w:r>
          </w:p>
        </w:tc>
        <w:tc>
          <w:tcPr>
            <w:tcW w:w="1563"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产品名称</w:t>
            </w:r>
          </w:p>
        </w:tc>
        <w:tc>
          <w:tcPr>
            <w:tcW w:w="1065"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品牌</w:t>
            </w:r>
          </w:p>
        </w:tc>
        <w:tc>
          <w:tcPr>
            <w:tcW w:w="759"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规格型号</w:t>
            </w:r>
          </w:p>
        </w:tc>
        <w:tc>
          <w:tcPr>
            <w:tcW w:w="1305"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生产厂家</w:t>
            </w:r>
          </w:p>
        </w:tc>
        <w:tc>
          <w:tcPr>
            <w:tcW w:w="931"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数量及单位</w:t>
            </w:r>
          </w:p>
        </w:tc>
        <w:tc>
          <w:tcPr>
            <w:tcW w:w="706"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单价</w:t>
            </w:r>
          </w:p>
        </w:tc>
        <w:tc>
          <w:tcPr>
            <w:tcW w:w="831" w:type="dxa"/>
            <w:tcBorders>
              <w:top w:val="single" w:color="000000" w:sz="8"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合计</w:t>
            </w:r>
          </w:p>
        </w:tc>
        <w:tc>
          <w:tcPr>
            <w:tcW w:w="829" w:type="dxa"/>
            <w:tcBorders>
              <w:top w:val="single" w:color="000000" w:sz="8" w:space="0"/>
              <w:left w:val="single" w:color="000000" w:sz="6" w:space="0"/>
              <w:bottom w:val="single" w:color="000000" w:sz="6" w:space="0"/>
              <w:right w:val="single" w:color="000000" w:sz="8"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rPr>
              <w:t>免费质保期</w:t>
            </w: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1</w:t>
            </w:r>
          </w:p>
        </w:tc>
        <w:tc>
          <w:tcPr>
            <w:tcW w:w="156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06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59"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9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29"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2</w:t>
            </w:r>
          </w:p>
        </w:tc>
        <w:tc>
          <w:tcPr>
            <w:tcW w:w="156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06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59"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9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29"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3</w:t>
            </w:r>
          </w:p>
        </w:tc>
        <w:tc>
          <w:tcPr>
            <w:tcW w:w="156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06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59"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9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29"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4</w:t>
            </w:r>
          </w:p>
        </w:tc>
        <w:tc>
          <w:tcPr>
            <w:tcW w:w="156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06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59"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9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29"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r>
      <w:tr>
        <w:tblPrEx>
          <w:tblCellMar>
            <w:top w:w="0" w:type="dxa"/>
            <w:left w:w="28" w:type="dxa"/>
            <w:bottom w:w="0" w:type="dxa"/>
            <w:right w:w="28" w:type="dxa"/>
          </w:tblCellMar>
        </w:tblPrEx>
        <w:trPr>
          <w:trHeight w:val="23" w:hRule="atLeast"/>
          <w:jc w:val="center"/>
        </w:trPr>
        <w:tc>
          <w:tcPr>
            <w:tcW w:w="628" w:type="dxa"/>
            <w:tcBorders>
              <w:top w:val="single" w:color="000000" w:sz="6" w:space="0"/>
              <w:left w:val="single" w:color="000000" w:sz="8"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w:t>
            </w:r>
          </w:p>
        </w:tc>
        <w:tc>
          <w:tcPr>
            <w:tcW w:w="156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06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59"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305"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9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70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31"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829" w:type="dxa"/>
            <w:tcBorders>
              <w:top w:val="single" w:color="000000" w:sz="6" w:space="0"/>
              <w:left w:val="single" w:color="000000" w:sz="6" w:space="0"/>
              <w:bottom w:val="single" w:color="000000" w:sz="6" w:space="0"/>
              <w:right w:val="single" w:color="000000" w:sz="8"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r>
      <w:tr>
        <w:tblPrEx>
          <w:tblCellMar>
            <w:top w:w="0" w:type="dxa"/>
            <w:left w:w="28" w:type="dxa"/>
            <w:bottom w:w="0" w:type="dxa"/>
            <w:right w:w="28" w:type="dxa"/>
          </w:tblCellMar>
        </w:tblPrEx>
        <w:trPr>
          <w:trHeight w:val="23" w:hRule="atLeast"/>
          <w:jc w:val="center"/>
        </w:trPr>
        <w:tc>
          <w:tcPr>
            <w:tcW w:w="2191" w:type="dxa"/>
            <w:gridSpan w:val="2"/>
            <w:tcBorders>
              <w:top w:val="single" w:color="000000" w:sz="6" w:space="0"/>
              <w:left w:val="single" w:color="000000" w:sz="8" w:space="0"/>
              <w:bottom w:val="single" w:color="000000" w:sz="8"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投标总价</w:t>
            </w:r>
          </w:p>
        </w:tc>
        <w:tc>
          <w:tcPr>
            <w:tcW w:w="6426" w:type="dxa"/>
            <w:gridSpan w:val="7"/>
            <w:tcBorders>
              <w:top w:val="single" w:color="000000" w:sz="6" w:space="0"/>
              <w:left w:val="single" w:color="000000" w:sz="6" w:space="0"/>
              <w:bottom w:val="single" w:color="000000" w:sz="8" w:space="0"/>
              <w:right w:val="single" w:color="000000" w:sz="8" w:space="0"/>
            </w:tcBorders>
            <w:noWrap w:val="0"/>
            <w:vAlign w:val="center"/>
          </w:tcPr>
          <w:p>
            <w:pPr>
              <w:autoSpaceDE w:val="0"/>
              <w:autoSpaceDN w:val="0"/>
              <w:spacing w:line="360" w:lineRule="auto"/>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大写：</w:t>
            </w:r>
          </w:p>
          <w:p>
            <w:pPr>
              <w:autoSpaceDE w:val="0"/>
              <w:autoSpaceDN w:val="0"/>
              <w:spacing w:line="360" w:lineRule="auto"/>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小写：</w:t>
            </w:r>
          </w:p>
        </w:tc>
      </w:tr>
    </w:tbl>
    <w:p>
      <w:pPr>
        <w:autoSpaceDE w:val="0"/>
        <w:autoSpaceDN w:val="0"/>
        <w:spacing w:line="360" w:lineRule="auto"/>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注：</w:t>
      </w:r>
      <w:r>
        <w:rPr>
          <w:rFonts w:hint="eastAsia" w:asciiTheme="minorEastAsia" w:hAnsiTheme="minorEastAsia" w:eastAsiaTheme="minorEastAsia" w:cstheme="minorEastAsia"/>
          <w:color w:val="auto"/>
          <w:kern w:val="0"/>
        </w:rPr>
        <w:t>1.</w:t>
      </w:r>
      <w:r>
        <w:rPr>
          <w:rFonts w:hint="eastAsia" w:asciiTheme="minorEastAsia" w:hAnsiTheme="minorEastAsia" w:eastAsiaTheme="minorEastAsia" w:cstheme="minorEastAsia"/>
          <w:color w:val="auto"/>
          <w:kern w:val="0"/>
          <w:lang w:val="zh-CN"/>
        </w:rPr>
        <w:t>本表应按照“（二）项目概况及技术参数”每包中的产品序号按顺序逐项填写，不得遗漏，</w:t>
      </w:r>
      <w:r>
        <w:rPr>
          <w:rFonts w:hint="eastAsia" w:asciiTheme="minorEastAsia" w:hAnsiTheme="minorEastAsia" w:eastAsiaTheme="minorEastAsia" w:cstheme="minorEastAsia"/>
          <w:color w:val="auto"/>
        </w:rPr>
        <w:t>否则</w:t>
      </w:r>
      <w:r>
        <w:rPr>
          <w:rFonts w:hint="eastAsia" w:asciiTheme="minorEastAsia" w:hAnsiTheme="minorEastAsia" w:eastAsiaTheme="minorEastAsia" w:cstheme="minorEastAsia"/>
          <w:color w:val="auto"/>
          <w:kern w:val="0"/>
          <w:szCs w:val="20"/>
        </w:rPr>
        <w:t>，按无效投标处理</w:t>
      </w:r>
      <w:r>
        <w:rPr>
          <w:rFonts w:hint="eastAsia" w:asciiTheme="minorEastAsia" w:hAnsiTheme="minorEastAsia" w:eastAsiaTheme="minorEastAsia" w:cstheme="minorEastAsia"/>
          <w:color w:val="auto"/>
          <w:kern w:val="0"/>
          <w:lang w:val="zh-CN"/>
        </w:rPr>
        <w:t>。</w:t>
      </w:r>
    </w:p>
    <w:p>
      <w:pPr>
        <w:autoSpaceDE w:val="0"/>
        <w:autoSpaceDN w:val="0"/>
        <w:spacing w:line="360" w:lineRule="auto"/>
        <w:rPr>
          <w:rFonts w:hint="eastAsia" w:asciiTheme="minorEastAsia" w:hAnsiTheme="minorEastAsia" w:eastAsiaTheme="minorEastAsia" w:cstheme="minorEastAsia"/>
          <w:color w:val="000000"/>
          <w:kern w:val="0"/>
        </w:rPr>
      </w:pPr>
      <w:r>
        <w:rPr>
          <w:rFonts w:hint="eastAsia" w:asciiTheme="minorEastAsia" w:hAnsiTheme="minorEastAsia" w:eastAsiaTheme="minorEastAsia" w:cstheme="minorEastAsia"/>
          <w:color w:val="000000"/>
          <w:kern w:val="0"/>
        </w:rPr>
        <w:t xml:space="preserve">    2.</w:t>
      </w:r>
      <w:r>
        <w:rPr>
          <w:rFonts w:hint="eastAsia" w:asciiTheme="minorEastAsia" w:hAnsiTheme="minorEastAsia" w:eastAsiaTheme="minorEastAsia" w:cstheme="minorEastAsia"/>
          <w:color w:val="000000"/>
          <w:kern w:val="0"/>
          <w:lang w:val="zh-CN"/>
        </w:rPr>
        <w:t>投标报价不能有两个或两个以上的报价方案。</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投标人：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法定代表人或委托代理人：        （签字或盖章）</w:t>
      </w:r>
    </w:p>
    <w:p>
      <w:pPr>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rPr>
          <w:rFonts w:hint="eastAsia" w:asciiTheme="minorEastAsia" w:hAnsiTheme="minorEastAsia" w:eastAsiaTheme="minorEastAsia" w:cstheme="minorEastAsia"/>
          <w:b/>
          <w:bCs/>
          <w:color w:val="000000"/>
          <w:kern w:val="0"/>
          <w:lang w:val="zh-CN"/>
        </w:rPr>
      </w:pPr>
    </w:p>
    <w:p>
      <w:pPr>
        <w:pStyle w:val="15"/>
        <w:spacing w:before="0" w:after="0" w:line="360" w:lineRule="auto"/>
        <w:jc w:val="both"/>
        <w:outlineLvl w:val="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sz w:val="30"/>
          <w:szCs w:val="30"/>
          <w:lang w:val="zh-CN"/>
        </w:rPr>
        <w:br w:type="page"/>
      </w:r>
      <w:bookmarkStart w:id="305" w:name="_Toc19944"/>
      <w:bookmarkStart w:id="306" w:name="_Toc515908223"/>
      <w:bookmarkStart w:id="307" w:name="_Toc25052"/>
      <w:bookmarkStart w:id="308" w:name="_Toc2225"/>
      <w:r>
        <w:rPr>
          <w:rFonts w:hint="eastAsia" w:asciiTheme="minorEastAsia" w:hAnsiTheme="minorEastAsia" w:eastAsiaTheme="minorEastAsia" w:cstheme="minorEastAsia"/>
          <w:color w:val="000000"/>
          <w:sz w:val="30"/>
          <w:szCs w:val="30"/>
        </w:rPr>
        <w:t>（14）</w:t>
      </w:r>
      <w:r>
        <w:rPr>
          <w:rFonts w:hint="eastAsia" w:asciiTheme="minorEastAsia" w:hAnsiTheme="minorEastAsia" w:eastAsiaTheme="minorEastAsia" w:cstheme="minorEastAsia"/>
          <w:color w:val="000000"/>
          <w:sz w:val="30"/>
          <w:szCs w:val="30"/>
          <w:lang w:val="zh-CN"/>
        </w:rPr>
        <w:t>技术规格响应表</w:t>
      </w:r>
      <w:bookmarkEnd w:id="305"/>
      <w:bookmarkEnd w:id="306"/>
      <w:bookmarkEnd w:id="307"/>
      <w:bookmarkEnd w:id="308"/>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lang w:val="zh-CN"/>
        </w:rPr>
        <w:t>技术规格响应表</w:t>
      </w:r>
    </w:p>
    <w:p>
      <w:pPr>
        <w:autoSpaceDE w:val="0"/>
        <w:autoSpaceDN w:val="0"/>
        <w:spacing w:line="360" w:lineRule="auto"/>
        <w:rPr>
          <w:rFonts w:hint="eastAsia" w:asciiTheme="minorEastAsia" w:hAnsiTheme="minorEastAsia" w:eastAsiaTheme="minorEastAsia" w:cstheme="minorEastAsia"/>
          <w:b/>
          <w:bCs/>
          <w:color w:val="auto"/>
          <w:kern w:val="0"/>
          <w:lang w:val="zh-CN"/>
        </w:rPr>
      </w:pPr>
      <w:r>
        <w:rPr>
          <w:rFonts w:hint="eastAsia" w:asciiTheme="minorEastAsia" w:hAnsiTheme="minorEastAsia" w:eastAsiaTheme="minorEastAsia" w:cstheme="minorEastAsia"/>
          <w:b/>
          <w:bCs/>
          <w:color w:val="000000"/>
          <w:kern w:val="0"/>
          <w:lang w:val="zh-CN"/>
        </w:rPr>
        <w:t>投标人名称</w:t>
      </w:r>
      <w:r>
        <w:rPr>
          <w:rFonts w:hint="eastAsia" w:asciiTheme="minorEastAsia" w:hAnsiTheme="minorEastAsia" w:eastAsiaTheme="minorEastAsia" w:cstheme="minorEastAsia"/>
          <w:b/>
          <w:bCs/>
          <w:color w:val="000000"/>
          <w:kern w:val="0"/>
        </w:rPr>
        <w:t>：</w:t>
      </w:r>
    </w:p>
    <w:tbl>
      <w:tblPr>
        <w:tblStyle w:val="17"/>
        <w:tblW w:w="0" w:type="auto"/>
        <w:jc w:val="center"/>
        <w:tblLayout w:type="fixed"/>
        <w:tblCellMar>
          <w:top w:w="0" w:type="dxa"/>
          <w:left w:w="28" w:type="dxa"/>
          <w:bottom w:w="0" w:type="dxa"/>
          <w:right w:w="28" w:type="dxa"/>
        </w:tblCellMar>
      </w:tblPr>
      <w:tblGrid>
        <w:gridCol w:w="616"/>
        <w:gridCol w:w="1233"/>
        <w:gridCol w:w="2378"/>
        <w:gridCol w:w="1247"/>
        <w:gridCol w:w="2467"/>
        <w:gridCol w:w="676"/>
      </w:tblGrid>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3611"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采购需求技术参数、指标</w:t>
            </w:r>
          </w:p>
        </w:tc>
        <w:tc>
          <w:tcPr>
            <w:tcW w:w="3714"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投标产品技术参数、指标</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偏离</w:t>
            </w: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序号</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名称</w:t>
            </w:r>
          </w:p>
        </w:tc>
        <w:tc>
          <w:tcPr>
            <w:tcW w:w="2378"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技术参数及配置</w:t>
            </w:r>
          </w:p>
        </w:tc>
        <w:tc>
          <w:tcPr>
            <w:tcW w:w="124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名称</w:t>
            </w:r>
          </w:p>
        </w:tc>
        <w:tc>
          <w:tcPr>
            <w:tcW w:w="2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技术参数及配置</w:t>
            </w:r>
          </w:p>
        </w:tc>
        <w:tc>
          <w:tcPr>
            <w:tcW w:w="67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1</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2</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r>
      <w:tr>
        <w:tblPrEx>
          <w:tblCellMar>
            <w:top w:w="0" w:type="dxa"/>
            <w:left w:w="28" w:type="dxa"/>
            <w:bottom w:w="0" w:type="dxa"/>
            <w:right w:w="28" w:type="dxa"/>
          </w:tblCellMar>
        </w:tblPrEx>
        <w:trPr>
          <w:trHeight w:val="1" w:hRule="atLeast"/>
          <w:jc w:val="center"/>
        </w:trPr>
        <w:tc>
          <w:tcPr>
            <w:tcW w:w="61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w:t>
            </w:r>
          </w:p>
        </w:tc>
        <w:tc>
          <w:tcPr>
            <w:tcW w:w="123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2378"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124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2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c>
          <w:tcPr>
            <w:tcW w:w="676"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center"/>
              <w:rPr>
                <w:rFonts w:hint="eastAsia" w:asciiTheme="minorEastAsia" w:hAnsiTheme="minorEastAsia" w:eastAsiaTheme="minorEastAsia" w:cstheme="minorEastAsia"/>
                <w:color w:val="auto"/>
                <w:kern w:val="0"/>
                <w:lang w:val="zh-CN"/>
              </w:rPr>
            </w:pPr>
          </w:p>
        </w:tc>
      </w:tr>
    </w:tbl>
    <w:p>
      <w:pPr>
        <w:autoSpaceDE w:val="0"/>
        <w:autoSpaceDN w:val="0"/>
        <w:spacing w:line="360" w:lineRule="auto"/>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注：1.本表应按照“（二）项目概况及技术参数”每包中产品序号的指标逐项填写，不得遗漏，</w:t>
      </w:r>
      <w:r>
        <w:rPr>
          <w:rFonts w:hint="eastAsia" w:asciiTheme="minorEastAsia" w:hAnsiTheme="minorEastAsia" w:eastAsiaTheme="minorEastAsia" w:cstheme="minorEastAsia"/>
          <w:color w:val="auto"/>
        </w:rPr>
        <w:t>否则</w:t>
      </w:r>
      <w:r>
        <w:rPr>
          <w:rFonts w:hint="eastAsia" w:asciiTheme="minorEastAsia" w:hAnsiTheme="minorEastAsia" w:eastAsiaTheme="minorEastAsia" w:cstheme="minorEastAsia"/>
          <w:color w:val="auto"/>
          <w:kern w:val="0"/>
          <w:szCs w:val="20"/>
        </w:rPr>
        <w:t>，按无效投标处理</w:t>
      </w:r>
      <w:r>
        <w:rPr>
          <w:rFonts w:hint="eastAsia" w:asciiTheme="minorEastAsia" w:hAnsiTheme="minorEastAsia" w:eastAsiaTheme="minorEastAsia" w:cstheme="minorEastAsia"/>
          <w:color w:val="auto"/>
        </w:rPr>
        <w:t>。</w:t>
      </w:r>
    </w:p>
    <w:p>
      <w:pPr>
        <w:numPr>
          <w:ilvl w:val="0"/>
          <w:numId w:val="4"/>
        </w:num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投标产品技术参数、指标”必须与投标文件中提供的产品检测报告、彩页等证明材料的实质性响应情况相一致。若在评标环节发现该项与投标文件中提供的产品检测报告、彩页（或厂家公开发布的资料参数）等证明材料的实质性响应情况不一致或直接复制招标文件“采购需求技术参数、指标”内容的，按无效投标处理。</w:t>
      </w:r>
    </w:p>
    <w:p>
      <w:pPr>
        <w:numPr>
          <w:ilvl w:val="0"/>
          <w:numId w:val="4"/>
        </w:numPr>
        <w:autoSpaceDE w:val="0"/>
        <w:autoSpaceDN w:val="0"/>
        <w:spacing w:line="360" w:lineRule="auto"/>
        <w:ind w:firstLine="48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填写此表时以招标项目参数要求为基本投标要求，满足招标项目参数要求的指标需列出“</w:t>
      </w:r>
      <w:r>
        <w:rPr>
          <w:rFonts w:hint="eastAsia" w:asciiTheme="minorEastAsia" w:hAnsiTheme="minorEastAsia" w:eastAsiaTheme="minorEastAsia" w:cstheme="minorEastAsia"/>
          <w:color w:val="000000"/>
          <w:kern w:val="0"/>
        </w:rPr>
        <w:t>0</w:t>
      </w:r>
      <w:r>
        <w:rPr>
          <w:rFonts w:hint="eastAsia" w:asciiTheme="minorEastAsia" w:hAnsiTheme="minorEastAsia" w:eastAsiaTheme="minorEastAsia" w:cstheme="minorEastAsia"/>
          <w:color w:val="000000"/>
          <w:kern w:val="0"/>
          <w:lang w:val="zh-CN"/>
        </w:rPr>
        <w:t>”；超出、不满足招标项目参数要求的指标需列出“+”、“-”偏差，并做出详细说明；如果只注明“+”、“-”或未填写，将视为该项指标不响应。</w:t>
      </w:r>
    </w:p>
    <w:p>
      <w:pPr>
        <w:autoSpaceDE w:val="0"/>
        <w:autoSpaceDN w:val="0"/>
        <w:spacing w:line="360" w:lineRule="auto"/>
        <w:ind w:firstLine="480"/>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rPr>
        <w:t>4</w:t>
      </w:r>
      <w:r>
        <w:rPr>
          <w:rFonts w:hint="eastAsia" w:asciiTheme="minorEastAsia" w:hAnsiTheme="minorEastAsia" w:eastAsiaTheme="minorEastAsia" w:cstheme="minorEastAsia"/>
          <w:color w:val="auto"/>
          <w:kern w:val="0"/>
          <w:lang w:val="zh-CN"/>
        </w:rPr>
        <w:t>.投标人响应采购需求应具体、明确，含糊不清、不确切或伪造、编造证明材料的，按照实质性不响应处理。对伪造、编造证明材料的，将报告本级财政部门。</w:t>
      </w:r>
    </w:p>
    <w:p>
      <w:pPr>
        <w:autoSpaceDE w:val="0"/>
        <w:autoSpaceDN w:val="0"/>
        <w:spacing w:line="360" w:lineRule="auto"/>
        <w:ind w:firstLine="480"/>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投标人：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法定代表人或委托代理人：        （签字或盖章）</w:t>
      </w:r>
    </w:p>
    <w:p>
      <w:pPr>
        <w:autoSpaceDE w:val="0"/>
        <w:autoSpaceDN w:val="0"/>
        <w:spacing w:line="360" w:lineRule="auto"/>
        <w:ind w:firstLine="3253"/>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pStyle w:val="15"/>
        <w:spacing w:before="0" w:after="0" w:line="360" w:lineRule="auto"/>
        <w:jc w:val="left"/>
        <w:outlineLvl w:val="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sz w:val="24"/>
          <w:szCs w:val="24"/>
          <w:lang w:val="zh-CN"/>
        </w:rPr>
        <w:br w:type="page"/>
      </w:r>
      <w:bookmarkStart w:id="309" w:name="_Toc32020"/>
      <w:bookmarkStart w:id="310" w:name="_Toc515908224"/>
      <w:bookmarkStart w:id="311" w:name="_Toc17597"/>
      <w:bookmarkStart w:id="312" w:name="_Toc29832"/>
      <w:bookmarkStart w:id="313" w:name="_Toc14290"/>
      <w:r>
        <w:rPr>
          <w:rFonts w:hint="eastAsia" w:asciiTheme="minorEastAsia" w:hAnsiTheme="minorEastAsia" w:eastAsiaTheme="minorEastAsia" w:cstheme="minorEastAsia"/>
          <w:color w:val="000000"/>
          <w:sz w:val="30"/>
          <w:szCs w:val="30"/>
        </w:rPr>
        <w:t>（15）</w:t>
      </w:r>
      <w:r>
        <w:rPr>
          <w:rFonts w:hint="eastAsia" w:asciiTheme="minorEastAsia" w:hAnsiTheme="minorEastAsia" w:cstheme="minorEastAsia"/>
          <w:color w:val="000000"/>
          <w:sz w:val="30"/>
          <w:szCs w:val="30"/>
          <w:lang w:val="zh-CN"/>
        </w:rPr>
        <w:t>磋商</w:t>
      </w:r>
      <w:r>
        <w:rPr>
          <w:rFonts w:hint="eastAsia" w:asciiTheme="minorEastAsia" w:hAnsiTheme="minorEastAsia" w:eastAsiaTheme="minorEastAsia" w:cstheme="minorEastAsia"/>
          <w:color w:val="000000"/>
          <w:sz w:val="30"/>
          <w:szCs w:val="30"/>
          <w:lang w:val="zh-CN"/>
        </w:rPr>
        <w:t>产品相关资料</w:t>
      </w:r>
      <w:bookmarkEnd w:id="309"/>
      <w:bookmarkEnd w:id="310"/>
      <w:bookmarkEnd w:id="311"/>
      <w:bookmarkEnd w:id="312"/>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cstheme="minorEastAsia"/>
          <w:b/>
          <w:bCs/>
          <w:color w:val="000000"/>
          <w:kern w:val="0"/>
          <w:sz w:val="28"/>
          <w:szCs w:val="28"/>
          <w:lang w:val="zh-CN"/>
        </w:rPr>
        <w:t>磋商</w:t>
      </w:r>
      <w:r>
        <w:rPr>
          <w:rFonts w:hint="eastAsia" w:asciiTheme="minorEastAsia" w:hAnsiTheme="minorEastAsia" w:eastAsiaTheme="minorEastAsia" w:cstheme="minorEastAsia"/>
          <w:b/>
          <w:bCs/>
          <w:color w:val="000000"/>
          <w:kern w:val="0"/>
          <w:sz w:val="28"/>
          <w:szCs w:val="28"/>
          <w:lang w:val="zh-CN"/>
        </w:rPr>
        <w:t>产品相关资料</w:t>
      </w:r>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ind w:firstLine="420" w:firstLineChars="200"/>
        <w:rPr>
          <w:rFonts w:hint="eastAsia" w:asciiTheme="minorEastAsia" w:hAnsiTheme="minorEastAsia" w:eastAsiaTheme="minorEastAsia" w:cstheme="minorEastAsia"/>
          <w:color w:val="000000"/>
          <w:sz w:val="32"/>
          <w:lang w:val="zh-CN"/>
        </w:rPr>
      </w:pPr>
      <w:r>
        <w:rPr>
          <w:rFonts w:hint="eastAsia" w:asciiTheme="minorEastAsia" w:hAnsiTheme="minorEastAsia" w:eastAsiaTheme="minorEastAsia" w:cstheme="minorEastAsia"/>
          <w:color w:val="000000"/>
          <w:kern w:val="0"/>
          <w:lang w:val="zh-CN"/>
        </w:rPr>
        <w:t>根据采购项目内容，投标时提供国家认可的质监机构出具的投标产品的产品检验报告、证明技术参数响应的相关资料、彩页（或厂家公开发布的资料参数）、相关认证等资料。</w:t>
      </w:r>
    </w:p>
    <w:p>
      <w:pPr>
        <w:pStyle w:val="15"/>
        <w:spacing w:before="0" w:after="0" w:line="360" w:lineRule="auto"/>
        <w:jc w:val="left"/>
        <w:outlineLvl w:val="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br w:type="page"/>
      </w:r>
      <w:bookmarkStart w:id="314" w:name="_Toc515908225"/>
      <w:bookmarkStart w:id="315" w:name="_Toc30723"/>
      <w:bookmarkStart w:id="316" w:name="_Toc6843"/>
      <w:bookmarkStart w:id="317" w:name="_Toc23001"/>
      <w:r>
        <w:rPr>
          <w:rFonts w:hint="eastAsia" w:asciiTheme="minorEastAsia" w:hAnsiTheme="minorEastAsia" w:eastAsiaTheme="minorEastAsia" w:cstheme="minorEastAsia"/>
          <w:color w:val="000000"/>
          <w:sz w:val="30"/>
          <w:szCs w:val="30"/>
        </w:rPr>
        <w:t>（16）</w:t>
      </w:r>
      <w:r>
        <w:rPr>
          <w:rFonts w:hint="eastAsia" w:asciiTheme="minorEastAsia" w:hAnsiTheme="minorEastAsia" w:cstheme="minorEastAsia"/>
          <w:color w:val="000000"/>
          <w:sz w:val="30"/>
          <w:szCs w:val="30"/>
          <w:lang w:val="zh-CN"/>
        </w:rPr>
        <w:t>磋商供应商</w:t>
      </w:r>
      <w:r>
        <w:rPr>
          <w:rFonts w:hint="eastAsia" w:asciiTheme="minorEastAsia" w:hAnsiTheme="minorEastAsia" w:eastAsiaTheme="minorEastAsia" w:cstheme="minorEastAsia"/>
          <w:color w:val="000000"/>
          <w:sz w:val="30"/>
          <w:szCs w:val="30"/>
          <w:lang w:val="zh-CN"/>
        </w:rPr>
        <w:t>的类似业绩证明材料</w:t>
      </w:r>
      <w:bookmarkEnd w:id="313"/>
      <w:bookmarkEnd w:id="314"/>
      <w:bookmarkEnd w:id="315"/>
      <w:bookmarkEnd w:id="316"/>
      <w:bookmarkEnd w:id="317"/>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cstheme="minorEastAsia"/>
          <w:b/>
          <w:bCs/>
          <w:color w:val="000000"/>
          <w:kern w:val="0"/>
          <w:sz w:val="28"/>
          <w:szCs w:val="28"/>
          <w:lang w:val="zh-CN"/>
        </w:rPr>
        <w:t>磋商供应商</w:t>
      </w:r>
      <w:r>
        <w:rPr>
          <w:rFonts w:hint="eastAsia" w:asciiTheme="minorEastAsia" w:hAnsiTheme="minorEastAsia" w:eastAsiaTheme="minorEastAsia" w:cstheme="minorEastAsia"/>
          <w:b/>
          <w:bCs/>
          <w:color w:val="000000"/>
          <w:kern w:val="0"/>
          <w:sz w:val="28"/>
          <w:szCs w:val="28"/>
          <w:lang w:val="zh-CN"/>
        </w:rPr>
        <w:t>的类似业绩证明材料</w:t>
      </w:r>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ind w:firstLine="480"/>
        <w:rPr>
          <w:rFonts w:hint="eastAsia" w:asciiTheme="minorEastAsia" w:hAnsiTheme="minorEastAsia" w:eastAsiaTheme="minorEastAsia" w:cstheme="minorEastAsia"/>
          <w:color w:val="FF0000"/>
          <w:kern w:val="0"/>
          <w:lang w:val="zh-CN"/>
        </w:rPr>
      </w:pPr>
      <w:r>
        <w:rPr>
          <w:rFonts w:hint="eastAsia" w:asciiTheme="minorEastAsia" w:hAnsiTheme="minorEastAsia" w:eastAsiaTheme="minorEastAsia" w:cstheme="minorEastAsia"/>
          <w:color w:val="000000"/>
          <w:kern w:val="0"/>
          <w:lang w:val="zh-CN"/>
        </w:rPr>
        <w:t>提供自</w:t>
      </w:r>
      <w:r>
        <w:rPr>
          <w:rFonts w:hint="eastAsia" w:asciiTheme="minorEastAsia" w:hAnsiTheme="minorEastAsia" w:cstheme="minorEastAsia"/>
          <w:color w:val="000000"/>
          <w:kern w:val="0"/>
          <w:u w:val="none"/>
          <w:lang w:val="en-US" w:eastAsia="zh-CN"/>
        </w:rPr>
        <w:t>2018</w:t>
      </w:r>
      <w:r>
        <w:rPr>
          <w:rFonts w:hint="eastAsia" w:asciiTheme="minorEastAsia" w:hAnsiTheme="minorEastAsia" w:eastAsiaTheme="minorEastAsia" w:cstheme="minorEastAsia"/>
          <w:color w:val="000000"/>
          <w:kern w:val="0"/>
          <w:lang w:val="zh-CN"/>
        </w:rPr>
        <w:t>年以来的类似业绩证</w:t>
      </w:r>
      <w:r>
        <w:rPr>
          <w:rFonts w:hint="eastAsia" w:asciiTheme="minorEastAsia" w:hAnsiTheme="minorEastAsia" w:eastAsiaTheme="minorEastAsia" w:cstheme="minorEastAsia"/>
          <w:color w:val="auto"/>
          <w:kern w:val="0"/>
          <w:lang w:val="zh-CN"/>
        </w:rPr>
        <w:t>明材料。类似业绩是指与采购项目在产品类型、使用功能、合同规模等方面相同或相近的项目。</w:t>
      </w:r>
      <w:r>
        <w:rPr>
          <w:rFonts w:hint="eastAsia" w:asciiTheme="minorEastAsia" w:hAnsiTheme="minorEastAsia" w:eastAsiaTheme="minorEastAsia" w:cstheme="minorEastAsia"/>
          <w:color w:val="auto"/>
        </w:rPr>
        <w:t>需提供包含合同首页、标的及金额所在页、供货合同签字盖章页的扫描（或复印）件。</w:t>
      </w:r>
    </w:p>
    <w:p>
      <w:pPr>
        <w:pStyle w:val="15"/>
        <w:spacing w:before="0" w:after="0" w:line="360" w:lineRule="auto"/>
        <w:jc w:val="left"/>
        <w:outlineLvl w:val="1"/>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br w:type="page"/>
      </w:r>
      <w:bookmarkStart w:id="318" w:name="_Toc25485"/>
      <w:bookmarkStart w:id="319" w:name="_Toc515908226"/>
      <w:bookmarkStart w:id="320" w:name="_Toc31040"/>
      <w:bookmarkStart w:id="321" w:name="_Toc10010"/>
      <w:bookmarkStart w:id="322" w:name="_Toc5405"/>
      <w:r>
        <w:rPr>
          <w:rFonts w:hint="eastAsia" w:asciiTheme="minorEastAsia" w:hAnsiTheme="minorEastAsia" w:eastAsiaTheme="minorEastAsia" w:cstheme="minorEastAsia"/>
          <w:color w:val="000000"/>
          <w:sz w:val="30"/>
          <w:szCs w:val="30"/>
        </w:rPr>
        <w:t>（17.1）</w:t>
      </w:r>
      <w:r>
        <w:rPr>
          <w:rFonts w:hint="eastAsia" w:asciiTheme="minorEastAsia" w:hAnsiTheme="minorEastAsia" w:eastAsiaTheme="minorEastAsia" w:cstheme="minorEastAsia"/>
          <w:color w:val="000000"/>
          <w:sz w:val="30"/>
          <w:szCs w:val="30"/>
          <w:lang w:val="zh-CN"/>
        </w:rPr>
        <w:t>制造（生产）企业小型、微型企业声明函</w:t>
      </w:r>
      <w:bookmarkEnd w:id="318"/>
      <w:bookmarkEnd w:id="319"/>
      <w:bookmarkEnd w:id="320"/>
      <w:bookmarkEnd w:id="321"/>
      <w:bookmarkEnd w:id="322"/>
    </w:p>
    <w:p>
      <w:pPr>
        <w:spacing w:line="360" w:lineRule="auto"/>
        <w:rPr>
          <w:rFonts w:hint="eastAsia" w:asciiTheme="minorEastAsia" w:hAnsiTheme="minorEastAsia" w:eastAsiaTheme="minorEastAsia" w:cstheme="minorEastAsia"/>
          <w:color w:val="00000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eastAsiaTheme="minorEastAsia" w:cstheme="minorEastAsia"/>
          <w:b/>
          <w:bCs/>
          <w:color w:val="000000"/>
          <w:kern w:val="0"/>
          <w:sz w:val="28"/>
          <w:szCs w:val="28"/>
        </w:rPr>
        <w:t>制造（生产）企业</w:t>
      </w:r>
      <w:r>
        <w:rPr>
          <w:rFonts w:hint="eastAsia" w:asciiTheme="minorEastAsia" w:hAnsiTheme="minorEastAsia" w:eastAsiaTheme="minorEastAsia" w:cstheme="minorEastAsia"/>
          <w:b/>
          <w:bCs/>
          <w:color w:val="000000"/>
          <w:kern w:val="0"/>
          <w:sz w:val="28"/>
          <w:szCs w:val="28"/>
          <w:lang w:val="zh-CN"/>
        </w:rPr>
        <w:t>小型、微型企业声明函</w:t>
      </w:r>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致：</w:t>
      </w:r>
      <w:r>
        <w:rPr>
          <w:rFonts w:hint="eastAsia" w:asciiTheme="minorEastAsia" w:hAnsiTheme="minorEastAsia" w:eastAsiaTheme="minorEastAsia" w:cstheme="minorEastAsia"/>
          <w:b/>
          <w:bCs/>
          <w:color w:val="000000"/>
          <w:kern w:val="0"/>
          <w:u w:val="none"/>
          <w:lang w:val="zh-CN"/>
        </w:rPr>
        <w:t>青海</w:t>
      </w:r>
      <w:r>
        <w:rPr>
          <w:rFonts w:hint="eastAsia" w:asciiTheme="minorEastAsia" w:hAnsiTheme="minorEastAsia" w:eastAsiaTheme="minorEastAsia" w:cstheme="minorEastAsia"/>
          <w:b/>
          <w:bCs/>
          <w:color w:val="000000"/>
          <w:kern w:val="0"/>
          <w:u w:val="none"/>
          <w:lang w:val="en-US" w:eastAsia="zh-CN"/>
        </w:rPr>
        <w:t>利仁建设项目管理</w:t>
      </w:r>
      <w:r>
        <w:rPr>
          <w:rFonts w:hint="eastAsia" w:asciiTheme="minorEastAsia" w:hAnsiTheme="minorEastAsia" w:eastAsiaTheme="minorEastAsia" w:cstheme="minorEastAsia"/>
          <w:b/>
          <w:bCs/>
          <w:color w:val="000000"/>
          <w:kern w:val="0"/>
          <w:u w:val="none"/>
          <w:lang w:val="zh-CN"/>
        </w:rPr>
        <w:t>有限公司</w:t>
      </w: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本公司郑重声明，根据《政府采购促进中小企业发展暂行办法》（财库〔2011〕181号）的规定，本公司为______（请填写：小型、微型）企业。即，本公司满足以下条件：《工业和信息化部、国家统计局、国家发展和改革委员会、财政部关于印发中小企业划型标准规定的通知》（工信部联企业〔2011〕300号）规定的划分标准。</w:t>
      </w:r>
    </w:p>
    <w:p>
      <w:pPr>
        <w:autoSpaceDE w:val="0"/>
        <w:autoSpaceDN w:val="0"/>
        <w:spacing w:line="360" w:lineRule="auto"/>
        <w:ind w:firstLine="36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lang w:val="zh-CN"/>
        </w:rPr>
        <w:t>本公司对上述声明的真实性负责。如有虚假，将依法承担相应责任。</w:t>
      </w:r>
    </w:p>
    <w:p>
      <w:pPr>
        <w:spacing w:line="360" w:lineRule="auto"/>
        <w:ind w:firstLine="480"/>
        <w:rPr>
          <w:rFonts w:hint="eastAsia" w:asciiTheme="minorEastAsia" w:hAnsiTheme="minorEastAsia" w:eastAsiaTheme="minorEastAsia" w:cstheme="minorEastAsia"/>
        </w:rPr>
      </w:pPr>
    </w:p>
    <w:p>
      <w:pPr>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注：1、此函需声明参与本次投标的货物（产品）名称、规格、型号等相关资料；</w:t>
      </w:r>
    </w:p>
    <w:p>
      <w:pPr>
        <w:spacing w:line="360" w:lineRule="auto"/>
        <w:ind w:firstLine="315" w:firstLineChars="15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2、此函须由投标产品的制造（生产）企业提供并声明，且加盖投标人公章。同时附制造（生产）企业上一年度的财务状况审计报告；</w:t>
      </w:r>
    </w:p>
    <w:p>
      <w:pPr>
        <w:spacing w:line="360" w:lineRule="auto"/>
        <w:ind w:firstLine="315" w:firstLineChars="15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3、此函若出现多家制造（生产）企业的货物（产品）投标时，可按制造（生产）企业分别声明，一家制造（生产）企业填写一张。</w:t>
      </w:r>
    </w:p>
    <w:p>
      <w:pPr>
        <w:autoSpaceDE w:val="0"/>
        <w:autoSpaceDN w:val="0"/>
        <w:spacing w:line="360" w:lineRule="auto"/>
        <w:rPr>
          <w:rFonts w:hint="eastAsia" w:asciiTheme="minorEastAsia" w:hAnsiTheme="minorEastAsia" w:eastAsiaTheme="minorEastAsia" w:cstheme="minorEastAsia"/>
          <w:color w:val="auto"/>
          <w:lang w:eastAsia="zh-CN"/>
        </w:rPr>
      </w:pPr>
    </w:p>
    <w:p>
      <w:pPr>
        <w:autoSpaceDE w:val="0"/>
        <w:autoSpaceDN w:val="0"/>
        <w:spacing w:line="360" w:lineRule="auto"/>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lang w:eastAsia="zh-CN"/>
        </w:rPr>
        <w:t>注：</w:t>
      </w:r>
      <w:r>
        <w:rPr>
          <w:rFonts w:hint="eastAsia" w:asciiTheme="minorEastAsia" w:hAnsiTheme="minorEastAsia" w:eastAsiaTheme="minorEastAsia" w:cstheme="minorEastAsia"/>
          <w:color w:val="auto"/>
        </w:rPr>
        <w:t>若无此项内容，可不提供此函。</w:t>
      </w: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rPr>
          <w:rFonts w:hint="eastAsia" w:asciiTheme="minorEastAsia" w:hAnsiTheme="minorEastAsia" w:eastAsiaTheme="minorEastAsia" w:cstheme="minorEastAsia"/>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制造（生产）企业名称：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制造（生产）企业法定代表人：       （签字或盖章）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pStyle w:val="15"/>
        <w:spacing w:before="0" w:after="0" w:line="360" w:lineRule="auto"/>
        <w:jc w:val="left"/>
        <w:outlineLvl w:val="1"/>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kern w:val="0"/>
          <w:lang w:val="zh-CN"/>
        </w:rPr>
        <w:br w:type="page"/>
      </w:r>
      <w:bookmarkStart w:id="323" w:name="_Toc5288"/>
      <w:bookmarkStart w:id="324" w:name="_Toc32071"/>
      <w:bookmarkStart w:id="325" w:name="_Toc28781"/>
      <w:bookmarkStart w:id="326" w:name="_Toc515908227"/>
      <w:r>
        <w:rPr>
          <w:rFonts w:hint="eastAsia" w:asciiTheme="minorEastAsia" w:hAnsiTheme="minorEastAsia" w:eastAsiaTheme="minorEastAsia" w:cstheme="minorEastAsia"/>
          <w:color w:val="000000"/>
          <w:sz w:val="30"/>
          <w:szCs w:val="30"/>
        </w:rPr>
        <w:t>（17.2）</w:t>
      </w:r>
      <w:r>
        <w:rPr>
          <w:rFonts w:hint="eastAsia" w:asciiTheme="minorEastAsia" w:hAnsiTheme="minorEastAsia" w:eastAsiaTheme="minorEastAsia" w:cstheme="minorEastAsia"/>
          <w:color w:val="000000"/>
          <w:sz w:val="30"/>
          <w:szCs w:val="30"/>
          <w:lang w:val="zh-CN"/>
        </w:rPr>
        <w:t>从业人员声明函</w:t>
      </w:r>
      <w:bookmarkEnd w:id="323"/>
      <w:bookmarkEnd w:id="324"/>
      <w:bookmarkEnd w:id="325"/>
      <w:bookmarkEnd w:id="326"/>
    </w:p>
    <w:p>
      <w:pPr>
        <w:adjustRightInd w:val="0"/>
        <w:snapToGrid w:val="0"/>
        <w:spacing w:line="440" w:lineRule="exact"/>
        <w:ind w:left="6987" w:hanging="6114" w:hangingChars="2900"/>
        <w:jc w:val="center"/>
        <w:rPr>
          <w:rFonts w:hint="eastAsia" w:asciiTheme="minorEastAsia" w:hAnsiTheme="minorEastAsia" w:eastAsiaTheme="minorEastAsia" w:cstheme="minorEastAsia"/>
          <w:b/>
          <w:bCs/>
          <w:color w:val="000000"/>
          <w:kern w:val="0"/>
          <w:lang w:val="zh-CN"/>
        </w:rPr>
      </w:pPr>
    </w:p>
    <w:p>
      <w:pPr>
        <w:adjustRightInd w:val="0"/>
        <w:snapToGrid w:val="0"/>
        <w:spacing w:line="440" w:lineRule="exact"/>
        <w:ind w:left="8152" w:hanging="8152" w:hangingChars="2900"/>
        <w:jc w:val="center"/>
        <w:rPr>
          <w:rFonts w:hint="eastAsia" w:asciiTheme="minorEastAsia" w:hAnsiTheme="minorEastAsia" w:eastAsiaTheme="minorEastAsia" w:cstheme="minorEastAsia"/>
          <w:b/>
          <w:color w:val="000000"/>
        </w:rPr>
      </w:pPr>
      <w:r>
        <w:rPr>
          <w:rFonts w:hint="eastAsia" w:asciiTheme="minorEastAsia" w:hAnsiTheme="minorEastAsia" w:eastAsiaTheme="minorEastAsia" w:cstheme="minorEastAsia"/>
          <w:b/>
          <w:color w:val="000000"/>
          <w:sz w:val="28"/>
          <w:szCs w:val="28"/>
        </w:rPr>
        <w:t>从业人员声明函</w:t>
      </w:r>
    </w:p>
    <w:p>
      <w:pPr>
        <w:adjustRightInd w:val="0"/>
        <w:snapToGrid w:val="0"/>
        <w:spacing w:line="440" w:lineRule="exact"/>
        <w:ind w:left="6987" w:hanging="6114" w:hangingChars="2900"/>
        <w:rPr>
          <w:rFonts w:hint="eastAsia" w:asciiTheme="minorEastAsia" w:hAnsiTheme="minorEastAsia" w:eastAsiaTheme="minorEastAsia" w:cstheme="minorEastAsia"/>
          <w:b/>
          <w:bCs/>
          <w:color w:val="000000"/>
          <w:kern w:val="0"/>
          <w:lang w:val="zh-CN"/>
        </w:rPr>
      </w:pPr>
    </w:p>
    <w:p>
      <w:pPr>
        <w:adjustRightInd w:val="0"/>
        <w:snapToGrid w:val="0"/>
        <w:spacing w:line="440" w:lineRule="exact"/>
        <w:ind w:left="6987" w:hanging="6114" w:hangingChars="29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b/>
          <w:bCs/>
          <w:color w:val="000000"/>
          <w:kern w:val="0"/>
          <w:lang w:val="zh-CN"/>
        </w:rPr>
        <w:t>致：</w:t>
      </w:r>
      <w:r>
        <w:rPr>
          <w:rFonts w:hint="eastAsia" w:asciiTheme="minorEastAsia" w:hAnsiTheme="minorEastAsia" w:eastAsiaTheme="minorEastAsia" w:cstheme="minorEastAsia"/>
          <w:b/>
          <w:bCs/>
          <w:color w:val="000000"/>
          <w:kern w:val="0"/>
          <w:u w:val="none"/>
          <w:lang w:val="zh-CN"/>
        </w:rPr>
        <w:t>青海</w:t>
      </w:r>
      <w:r>
        <w:rPr>
          <w:rFonts w:hint="eastAsia" w:asciiTheme="minorEastAsia" w:hAnsiTheme="minorEastAsia" w:eastAsiaTheme="minorEastAsia" w:cstheme="minorEastAsia"/>
          <w:b/>
          <w:bCs/>
          <w:color w:val="000000"/>
          <w:kern w:val="0"/>
          <w:u w:val="none"/>
          <w:lang w:val="en-US" w:eastAsia="zh-CN"/>
        </w:rPr>
        <w:t>利仁建设项目管理</w:t>
      </w:r>
      <w:r>
        <w:rPr>
          <w:rFonts w:hint="eastAsia" w:asciiTheme="minorEastAsia" w:hAnsiTheme="minorEastAsia" w:eastAsiaTheme="minorEastAsia" w:cstheme="minorEastAsia"/>
          <w:b/>
          <w:bCs/>
          <w:color w:val="000000"/>
          <w:kern w:val="0"/>
          <w:u w:val="none"/>
          <w:lang w:val="zh-CN"/>
        </w:rPr>
        <w:t>有限公司</w:t>
      </w:r>
    </w:p>
    <w:p>
      <w:pPr>
        <w:adjustRightInd w:val="0"/>
        <w:snapToGrid w:val="0"/>
        <w:spacing w:line="440" w:lineRule="exact"/>
        <w:ind w:left="-4" w:leftChars="-2"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本公司郑重声明：根据《政府采购促进中小企业发展暂行办法》（财库[2011]181号）、《工业和信息部、国家统计局、国家发展和改革委员会、财政部关于印发中小企业划型标准规定的通知》（工信部联企业[2011]300 号）规定，本公司从业人员数为</w:t>
      </w:r>
      <w:r>
        <w:rPr>
          <w:rFonts w:hint="eastAsia" w:asciiTheme="minorEastAsia" w:hAnsiTheme="minorEastAsia" w:eastAsiaTheme="minorEastAsia" w:cstheme="minorEastAsia"/>
          <w:color w:val="000000"/>
          <w:u w:val="single"/>
        </w:rPr>
        <w:t xml:space="preserve">       </w:t>
      </w:r>
      <w:r>
        <w:rPr>
          <w:rFonts w:hint="eastAsia" w:asciiTheme="minorEastAsia" w:hAnsiTheme="minorEastAsia" w:eastAsiaTheme="minorEastAsia" w:cstheme="minorEastAsia"/>
          <w:color w:val="000000"/>
        </w:rPr>
        <w:t>人。</w:t>
      </w:r>
    </w:p>
    <w:p>
      <w:pPr>
        <w:adjustRightInd w:val="0"/>
        <w:snapToGrid w:val="0"/>
        <w:spacing w:line="440" w:lineRule="exact"/>
        <w:ind w:left="-2" w:leftChars="-1"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本公司对上述声明的真实性负责，如有虚假，将依法承担相应责任。</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p>
    <w:p>
      <w:pPr>
        <w:autoSpaceDE w:val="0"/>
        <w:autoSpaceDN w:val="0"/>
        <w:spacing w:line="360" w:lineRule="auto"/>
        <w:jc w:val="both"/>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color w:val="auto"/>
          <w:sz w:val="24"/>
          <w:szCs w:val="24"/>
          <w:lang w:eastAsia="zh-CN"/>
        </w:rPr>
        <w:t>注：</w:t>
      </w:r>
      <w:r>
        <w:rPr>
          <w:rFonts w:hint="eastAsia" w:asciiTheme="minorEastAsia" w:hAnsiTheme="minorEastAsia" w:eastAsiaTheme="minorEastAsia" w:cstheme="minorEastAsia"/>
          <w:color w:val="auto"/>
          <w:sz w:val="24"/>
          <w:szCs w:val="24"/>
        </w:rPr>
        <w:t>若无此项内容，可不提供此函。</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制造（生产）企业名称：       （公章）</w:t>
      </w:r>
    </w:p>
    <w:p>
      <w:pPr>
        <w:autoSpaceDE w:val="0"/>
        <w:autoSpaceDN w:val="0"/>
        <w:spacing w:line="360" w:lineRule="auto"/>
        <w:jc w:val="center"/>
        <w:rPr>
          <w:rFonts w:hint="eastAsia" w:asciiTheme="minorEastAsia" w:hAnsiTheme="minorEastAsia" w:eastAsiaTheme="minorEastAsia" w:cstheme="minorEastAsia"/>
          <w:b/>
          <w:bCs/>
          <w:color w:val="000000"/>
          <w:kern w:val="0"/>
          <w:lang w:val="zh-CN"/>
        </w:rPr>
      </w:pPr>
      <w:r>
        <w:rPr>
          <w:rFonts w:hint="eastAsia" w:asciiTheme="minorEastAsia" w:hAnsiTheme="minorEastAsia" w:eastAsiaTheme="minorEastAsia" w:cstheme="minorEastAsia"/>
          <w:b/>
          <w:bCs/>
          <w:color w:val="000000"/>
          <w:kern w:val="0"/>
          <w:lang w:val="zh-CN"/>
        </w:rPr>
        <w:t>制造（生产）企业法定代表人：       （签字或盖章）</w:t>
      </w:r>
    </w:p>
    <w:p>
      <w:pPr>
        <w:autoSpaceDE w:val="0"/>
        <w:autoSpaceDN w:val="0"/>
        <w:spacing w:line="360" w:lineRule="auto"/>
        <w:jc w:val="center"/>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b/>
          <w:bCs/>
          <w:color w:val="000000"/>
          <w:kern w:val="0"/>
          <w:lang w:val="zh-CN"/>
        </w:rPr>
        <w:t xml:space="preserve">年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月 </w:t>
      </w:r>
      <w:r>
        <w:rPr>
          <w:rFonts w:hint="eastAsia" w:asciiTheme="minorEastAsia" w:hAnsiTheme="minorEastAsia" w:eastAsiaTheme="minorEastAsia" w:cstheme="minorEastAsia"/>
          <w:b/>
          <w:bCs/>
          <w:color w:val="000000"/>
          <w:kern w:val="0"/>
        </w:rPr>
        <w:t xml:space="preserve">  </w:t>
      </w:r>
      <w:r>
        <w:rPr>
          <w:rFonts w:hint="eastAsia" w:asciiTheme="minorEastAsia" w:hAnsiTheme="minorEastAsia" w:eastAsiaTheme="minorEastAsia" w:cstheme="minorEastAsia"/>
          <w:b/>
          <w:bCs/>
          <w:color w:val="000000"/>
          <w:kern w:val="0"/>
          <w:lang w:val="zh-CN"/>
        </w:rPr>
        <w:t xml:space="preserve"> 日</w:t>
      </w:r>
    </w:p>
    <w:p>
      <w:pPr>
        <w:pStyle w:val="15"/>
        <w:spacing w:before="0" w:after="0" w:line="360" w:lineRule="auto"/>
        <w:jc w:val="left"/>
        <w:outlineLvl w:val="1"/>
        <w:rPr>
          <w:rFonts w:hint="eastAsia" w:asciiTheme="minorEastAsia" w:hAnsiTheme="minorEastAsia" w:eastAsiaTheme="minorEastAsia" w:cstheme="minorEastAsia"/>
          <w:b w:val="0"/>
          <w:sz w:val="28"/>
          <w:szCs w:val="28"/>
        </w:rPr>
      </w:pPr>
      <w:r>
        <w:rPr>
          <w:rFonts w:hint="eastAsia" w:asciiTheme="minorEastAsia" w:hAnsiTheme="minorEastAsia" w:eastAsiaTheme="minorEastAsia" w:cstheme="minorEastAsia"/>
          <w:color w:val="000000"/>
          <w:lang w:val="zh-CN"/>
        </w:rPr>
        <w:br w:type="page"/>
      </w:r>
      <w:bookmarkStart w:id="327" w:name="_Toc23252"/>
      <w:bookmarkStart w:id="328" w:name="_Toc107"/>
      <w:bookmarkStart w:id="329" w:name="_Toc515908228"/>
      <w:bookmarkStart w:id="330" w:name="_Toc2778"/>
      <w:bookmarkStart w:id="331" w:name="_Toc743"/>
      <w:r>
        <w:rPr>
          <w:rFonts w:hint="eastAsia" w:asciiTheme="minorEastAsia" w:hAnsiTheme="minorEastAsia" w:eastAsiaTheme="minorEastAsia" w:cstheme="minorEastAsia"/>
          <w:bCs w:val="0"/>
          <w:sz w:val="30"/>
          <w:szCs w:val="30"/>
          <w:lang w:val="zh-CN"/>
        </w:rPr>
        <w:t>（</w:t>
      </w:r>
      <w:r>
        <w:rPr>
          <w:rFonts w:hint="eastAsia" w:asciiTheme="minorEastAsia" w:hAnsiTheme="minorEastAsia" w:eastAsiaTheme="minorEastAsia" w:cstheme="minorEastAsia"/>
          <w:bCs w:val="0"/>
          <w:sz w:val="30"/>
          <w:szCs w:val="30"/>
        </w:rPr>
        <w:t>18</w:t>
      </w:r>
      <w:r>
        <w:rPr>
          <w:rFonts w:hint="eastAsia" w:asciiTheme="minorEastAsia" w:hAnsiTheme="minorEastAsia" w:eastAsiaTheme="minorEastAsia" w:cstheme="minorEastAsia"/>
          <w:bCs w:val="0"/>
          <w:sz w:val="30"/>
          <w:szCs w:val="30"/>
          <w:lang w:val="zh-CN"/>
        </w:rPr>
        <w:t>）</w:t>
      </w:r>
      <w:r>
        <w:rPr>
          <w:rFonts w:hint="eastAsia" w:asciiTheme="minorEastAsia" w:hAnsiTheme="minorEastAsia" w:eastAsiaTheme="minorEastAsia" w:cstheme="minorEastAsia"/>
          <w:bCs w:val="0"/>
          <w:color w:val="000000"/>
          <w:sz w:val="30"/>
          <w:szCs w:val="30"/>
          <w:lang w:val="zh-CN"/>
        </w:rPr>
        <w:t>残疾人</w:t>
      </w:r>
      <w:r>
        <w:rPr>
          <w:rFonts w:hint="eastAsia" w:asciiTheme="minorEastAsia" w:hAnsiTheme="minorEastAsia" w:eastAsiaTheme="minorEastAsia" w:cstheme="minorEastAsia"/>
          <w:bCs w:val="0"/>
          <w:sz w:val="30"/>
          <w:szCs w:val="30"/>
        </w:rPr>
        <w:t>福利性单位声明函</w:t>
      </w:r>
      <w:bookmarkEnd w:id="327"/>
      <w:bookmarkEnd w:id="328"/>
      <w:bookmarkEnd w:id="329"/>
      <w:bookmarkEnd w:id="330"/>
    </w:p>
    <w:p>
      <w:pPr>
        <w:jc w:val="center"/>
        <w:rPr>
          <w:rFonts w:hint="eastAsia" w:asciiTheme="minorEastAsia" w:hAnsiTheme="minorEastAsia" w:eastAsiaTheme="minorEastAsia" w:cstheme="minorEastAsia"/>
          <w:b/>
          <w:sz w:val="36"/>
          <w:szCs w:val="36"/>
        </w:rPr>
      </w:pPr>
      <w:bookmarkStart w:id="332" w:name="OLE_LINK13"/>
      <w:bookmarkStart w:id="333" w:name="OLE_LINK14"/>
    </w:p>
    <w:p>
      <w:pPr>
        <w:jc w:val="cente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28"/>
          <w:szCs w:val="28"/>
        </w:rPr>
        <w:t>残疾人福利性单位声明函</w:t>
      </w:r>
    </w:p>
    <w:bookmarkEnd w:id="332"/>
    <w:bookmarkEnd w:id="333"/>
    <w:p>
      <w:pPr>
        <w:spacing w:after="120" w:afterLines="50"/>
        <w:rPr>
          <w:rFonts w:hint="eastAsia" w:asciiTheme="minorEastAsia" w:hAnsiTheme="minorEastAsia" w:eastAsiaTheme="minorEastAsia" w:cstheme="minorEastAsia"/>
          <w:bCs/>
        </w:rPr>
      </w:pPr>
    </w:p>
    <w:p>
      <w:pPr>
        <w:spacing w:after="120" w:afterLines="5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rPr>
        <w:t>致：</w:t>
      </w:r>
      <w:r>
        <w:rPr>
          <w:rFonts w:hint="eastAsia" w:asciiTheme="minorEastAsia" w:hAnsiTheme="minorEastAsia" w:eastAsiaTheme="minorEastAsia" w:cstheme="minorEastAsia"/>
          <w:b/>
          <w:bCs/>
          <w:color w:val="000000"/>
          <w:kern w:val="0"/>
          <w:u w:val="none"/>
          <w:lang w:val="zh-CN"/>
        </w:rPr>
        <w:t>青海</w:t>
      </w:r>
      <w:r>
        <w:rPr>
          <w:rFonts w:hint="eastAsia" w:asciiTheme="minorEastAsia" w:hAnsiTheme="minorEastAsia" w:eastAsiaTheme="minorEastAsia" w:cstheme="minorEastAsia"/>
          <w:b/>
          <w:bCs/>
          <w:color w:val="000000"/>
          <w:kern w:val="0"/>
          <w:u w:val="none"/>
          <w:lang w:val="en-US" w:eastAsia="zh-CN"/>
        </w:rPr>
        <w:t>利仁建设项目管理</w:t>
      </w:r>
      <w:r>
        <w:rPr>
          <w:rFonts w:hint="eastAsia" w:asciiTheme="minorEastAsia" w:hAnsiTheme="minorEastAsia" w:eastAsiaTheme="minorEastAsia" w:cstheme="minorEastAsia"/>
          <w:b/>
          <w:bCs/>
          <w:color w:val="000000"/>
          <w:kern w:val="0"/>
          <w:u w:val="none"/>
          <w:lang w:val="zh-CN"/>
        </w:rPr>
        <w:t>有限公司</w:t>
      </w:r>
    </w:p>
    <w:p>
      <w:pPr>
        <w:spacing w:line="360" w:lineRule="auto"/>
        <w:ind w:firstLine="480"/>
        <w:rPr>
          <w:rFonts w:hint="eastAsia" w:asciiTheme="minorEastAsia" w:hAnsiTheme="minorEastAsia" w:eastAsiaTheme="minorEastAsia" w:cstheme="minorEastAsia"/>
        </w:rPr>
      </w:pPr>
    </w:p>
    <w:p>
      <w:pPr>
        <w:spacing w:line="360"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本单位郑重声明，根据《财政部、民政部、中国残疾人联合会关于促进残疾人就业政府采购政策的通知》（财库〔2017〕141号）的规定，本单位为符合条件的残疾人福利性单位，本单位在职职工人数为</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人，安置的残疾人人数</w:t>
      </w:r>
      <w:r>
        <w:rPr>
          <w:rFonts w:hint="eastAsia" w:asciiTheme="minorEastAsia" w:hAnsiTheme="minorEastAsia" w:eastAsiaTheme="minorEastAsia" w:cstheme="minorEastAsia"/>
          <w:u w:val="single"/>
        </w:rPr>
        <w:t xml:space="preserve">      </w:t>
      </w:r>
      <w:r>
        <w:rPr>
          <w:rFonts w:hint="eastAsia" w:asciiTheme="minorEastAsia" w:hAnsiTheme="minorEastAsia" w:eastAsiaTheme="minorEastAsia" w:cstheme="minorEastAsia"/>
        </w:rPr>
        <w:t>人。且本单位参加______单位的______项目采购活动提供本单位制造的货物（由本单位承担工程/提供服务），或者提供其他残疾人福利性单位制造的货物（不包括使用非残疾人福利性单位注册商标的货物）。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本单位对上述声明的真实性负责。如有虚假，将依法承担相应责任。</w:t>
      </w:r>
    </w:p>
    <w:p>
      <w:pPr>
        <w:spacing w:line="360" w:lineRule="auto"/>
        <w:ind w:firstLine="480"/>
        <w:rPr>
          <w:rFonts w:hint="eastAsia" w:asciiTheme="minorEastAsia" w:hAnsiTheme="minorEastAsia" w:eastAsiaTheme="minorEastAsia" w:cstheme="minorEastAsia"/>
        </w:rPr>
      </w:pPr>
    </w:p>
    <w:p>
      <w:pPr>
        <w:spacing w:line="360" w:lineRule="auto"/>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color w:val="auto"/>
        </w:rPr>
        <w:t>注：若无此项内容，可不提供此函。</w:t>
      </w:r>
    </w:p>
    <w:p>
      <w:pPr>
        <w:spacing w:line="360" w:lineRule="auto"/>
        <w:ind w:firstLine="480"/>
        <w:rPr>
          <w:rFonts w:hint="eastAsia" w:asciiTheme="minorEastAsia" w:hAnsiTheme="minorEastAsia" w:eastAsiaTheme="minorEastAsia" w:cstheme="minorEastAsia"/>
        </w:rPr>
      </w:pPr>
    </w:p>
    <w:p>
      <w:pPr>
        <w:spacing w:line="360" w:lineRule="auto"/>
        <w:ind w:firstLine="480"/>
        <w:rPr>
          <w:rFonts w:hint="eastAsia" w:asciiTheme="minorEastAsia" w:hAnsiTheme="minorEastAsia" w:eastAsiaTheme="minorEastAsia" w:cstheme="minorEastAsia"/>
        </w:rPr>
      </w:pPr>
    </w:p>
    <w:p>
      <w:pPr>
        <w:spacing w:line="360" w:lineRule="auto"/>
        <w:ind w:firstLine="480"/>
        <w:rPr>
          <w:rFonts w:hint="eastAsia" w:asciiTheme="minorEastAsia" w:hAnsiTheme="minorEastAsia" w:eastAsiaTheme="minorEastAsia" w:cstheme="minorEastAsia"/>
        </w:rPr>
      </w:pPr>
    </w:p>
    <w:p>
      <w:pPr>
        <w:spacing w:line="360" w:lineRule="auto"/>
        <w:jc w:val="center"/>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 xml:space="preserve">                                企业名称：</w:t>
      </w:r>
      <w:r>
        <w:rPr>
          <w:rFonts w:hint="eastAsia"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b/>
        </w:rPr>
        <w:t>（公章）</w:t>
      </w:r>
    </w:p>
    <w:p>
      <w:pPr>
        <w:spacing w:line="360" w:lineRule="auto"/>
        <w:ind w:firstLine="482"/>
        <w:jc w:val="right"/>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 xml:space="preserve">       企业法定代表人：</w:t>
      </w:r>
      <w:r>
        <w:rPr>
          <w:rFonts w:hint="eastAsia" w:asciiTheme="minorEastAsia" w:hAnsiTheme="minorEastAsia" w:eastAsiaTheme="minorEastAsia" w:cstheme="minorEastAsia"/>
          <w:kern w:val="0"/>
          <w:sz w:val="28"/>
          <w:szCs w:val="28"/>
          <w:u w:val="single"/>
        </w:rPr>
        <w:t xml:space="preserve">       </w:t>
      </w:r>
      <w:r>
        <w:rPr>
          <w:rFonts w:hint="eastAsia" w:asciiTheme="minorEastAsia" w:hAnsiTheme="minorEastAsia" w:eastAsiaTheme="minorEastAsia" w:cstheme="minorEastAsia"/>
          <w:b/>
        </w:rPr>
        <w:t>（签字或盖章）</w:t>
      </w:r>
    </w:p>
    <w:p>
      <w:pPr>
        <w:ind w:firstLine="482"/>
        <w:jc w:val="center"/>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 xml:space="preserve">              年   月 </w:t>
      </w:r>
      <w:r>
        <w:rPr>
          <w:rFonts w:hint="eastAsia" w:asciiTheme="minorEastAsia" w:hAnsiTheme="minorEastAsia" w:eastAsiaTheme="minorEastAsia" w:cstheme="minorEastAsia"/>
          <w:b/>
          <w:lang w:val="en-US" w:eastAsia="zh-CN"/>
        </w:rPr>
        <w:t xml:space="preserve"> </w:t>
      </w:r>
      <w:r>
        <w:rPr>
          <w:rFonts w:hint="eastAsia" w:asciiTheme="minorEastAsia" w:hAnsiTheme="minorEastAsia" w:eastAsiaTheme="minorEastAsia" w:cstheme="minorEastAsia"/>
          <w:b/>
        </w:rPr>
        <w:t xml:space="preserve"> 日</w:t>
      </w:r>
    </w:p>
    <w:p>
      <w:pPr>
        <w:pStyle w:val="15"/>
        <w:spacing w:before="0" w:after="0" w:line="360" w:lineRule="auto"/>
        <w:jc w:val="left"/>
        <w:outlineLvl w:val="1"/>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lang w:val="zh-CN"/>
        </w:rPr>
        <w:br w:type="page"/>
      </w:r>
      <w:bookmarkStart w:id="334" w:name="_Toc5145"/>
      <w:bookmarkStart w:id="335" w:name="_Toc18251"/>
      <w:bookmarkStart w:id="336" w:name="_Toc515908229"/>
      <w:bookmarkStart w:id="337" w:name="_Toc32084"/>
      <w:r>
        <w:rPr>
          <w:rFonts w:hint="eastAsia" w:asciiTheme="minorEastAsia" w:hAnsiTheme="minorEastAsia" w:eastAsiaTheme="minorEastAsia" w:cstheme="minorEastAsia"/>
          <w:color w:val="000000"/>
          <w:sz w:val="30"/>
          <w:szCs w:val="30"/>
        </w:rPr>
        <w:t>（19）</w:t>
      </w:r>
      <w:r>
        <w:rPr>
          <w:rFonts w:hint="eastAsia" w:asciiTheme="minorEastAsia" w:hAnsiTheme="minorEastAsia" w:cstheme="minorEastAsia"/>
          <w:color w:val="000000"/>
          <w:sz w:val="30"/>
          <w:szCs w:val="30"/>
          <w:lang w:val="zh-CN"/>
        </w:rPr>
        <w:t>磋商供应商</w:t>
      </w:r>
      <w:r>
        <w:rPr>
          <w:rFonts w:hint="eastAsia" w:asciiTheme="minorEastAsia" w:hAnsiTheme="minorEastAsia" w:eastAsiaTheme="minorEastAsia" w:cstheme="minorEastAsia"/>
          <w:color w:val="000000"/>
          <w:sz w:val="30"/>
          <w:szCs w:val="30"/>
          <w:lang w:val="zh-CN"/>
        </w:rPr>
        <w:t>认为在其他方面有必要说明的事项</w:t>
      </w:r>
      <w:bookmarkEnd w:id="331"/>
      <w:bookmarkEnd w:id="334"/>
      <w:bookmarkEnd w:id="335"/>
      <w:bookmarkEnd w:id="336"/>
      <w:bookmarkEnd w:id="337"/>
    </w:p>
    <w:p>
      <w:pPr>
        <w:autoSpaceDE w:val="0"/>
        <w:autoSpaceDN w:val="0"/>
        <w:spacing w:line="360" w:lineRule="auto"/>
        <w:rPr>
          <w:rFonts w:hint="eastAsia" w:asciiTheme="minorEastAsia" w:hAnsiTheme="minorEastAsia" w:eastAsiaTheme="minorEastAsia" w:cstheme="minorEastAsia"/>
          <w:color w:val="000000"/>
          <w:kern w:val="0"/>
          <w:sz w:val="28"/>
          <w:szCs w:val="28"/>
          <w:lang w:val="zh-CN"/>
        </w:rPr>
      </w:pPr>
    </w:p>
    <w:p>
      <w:pPr>
        <w:autoSpaceDE w:val="0"/>
        <w:autoSpaceDN w:val="0"/>
        <w:spacing w:line="360" w:lineRule="auto"/>
        <w:jc w:val="center"/>
        <w:rPr>
          <w:rFonts w:hint="eastAsia" w:asciiTheme="minorEastAsia" w:hAnsiTheme="minorEastAsia" w:eastAsiaTheme="minorEastAsia" w:cstheme="minorEastAsia"/>
          <w:b/>
          <w:bCs/>
          <w:color w:val="000000"/>
          <w:kern w:val="0"/>
          <w:sz w:val="36"/>
          <w:szCs w:val="36"/>
          <w:lang w:val="zh-CN"/>
        </w:rPr>
      </w:pPr>
      <w:r>
        <w:rPr>
          <w:rFonts w:hint="eastAsia" w:asciiTheme="minorEastAsia" w:hAnsiTheme="minorEastAsia" w:cstheme="minorEastAsia"/>
          <w:b/>
          <w:bCs/>
          <w:color w:val="000000"/>
          <w:kern w:val="0"/>
          <w:sz w:val="28"/>
          <w:szCs w:val="28"/>
          <w:lang w:val="zh-CN"/>
        </w:rPr>
        <w:t>磋商供应商</w:t>
      </w:r>
      <w:r>
        <w:rPr>
          <w:rFonts w:hint="eastAsia" w:asciiTheme="minorEastAsia" w:hAnsiTheme="minorEastAsia" w:eastAsiaTheme="minorEastAsia" w:cstheme="minorEastAsia"/>
          <w:b/>
          <w:bCs/>
          <w:color w:val="000000"/>
          <w:kern w:val="0"/>
          <w:sz w:val="28"/>
          <w:szCs w:val="28"/>
          <w:lang w:val="zh-CN"/>
        </w:rPr>
        <w:t>认为在其他方面有必要说明的事项</w:t>
      </w:r>
    </w:p>
    <w:p>
      <w:pPr>
        <w:autoSpaceDE w:val="0"/>
        <w:autoSpaceDN w:val="0"/>
        <w:spacing w:line="360" w:lineRule="auto"/>
        <w:rPr>
          <w:rFonts w:hint="eastAsia" w:asciiTheme="minorEastAsia" w:hAnsiTheme="minorEastAsia" w:eastAsiaTheme="minorEastAsia" w:cstheme="minorEastAsia"/>
          <w:color w:val="000000"/>
          <w:lang w:val="zh-CN"/>
        </w:rPr>
      </w:pPr>
      <w:r>
        <w:rPr>
          <w:rFonts w:hint="eastAsia" w:asciiTheme="minorEastAsia" w:hAnsiTheme="minorEastAsia" w:eastAsiaTheme="minorEastAsia" w:cstheme="minorEastAsia"/>
          <w:color w:val="000000"/>
          <w:lang w:val="zh-CN"/>
        </w:rPr>
        <w:t>格式自定</w:t>
      </w:r>
    </w:p>
    <w:p>
      <w:pPr>
        <w:pStyle w:val="15"/>
        <w:ind w:firstLine="361"/>
        <w:jc w:val="left"/>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color w:val="000000"/>
          <w:lang w:val="zh-CN"/>
        </w:rPr>
        <w:br w:type="page"/>
      </w:r>
      <w:bookmarkStart w:id="338" w:name="_Toc6049"/>
      <w:bookmarkStart w:id="339" w:name="_Toc39136361"/>
      <w:bookmarkStart w:id="340" w:name="_Toc5610"/>
      <w:bookmarkStart w:id="341" w:name="_Toc8868"/>
      <w:r>
        <w:rPr>
          <w:rFonts w:hint="eastAsia" w:asciiTheme="minorEastAsia" w:hAnsiTheme="minorEastAsia" w:eastAsiaTheme="minorEastAsia" w:cstheme="minorEastAsia"/>
          <w:color w:val="000000"/>
          <w:sz w:val="30"/>
          <w:szCs w:val="30"/>
          <w:lang w:val="en-US" w:eastAsia="zh-CN"/>
        </w:rPr>
        <w:t>(20)</w:t>
      </w:r>
      <w:r>
        <w:rPr>
          <w:rFonts w:hint="eastAsia" w:asciiTheme="minorEastAsia" w:hAnsiTheme="minorEastAsia" w:eastAsiaTheme="minorEastAsia" w:cstheme="minorEastAsia"/>
          <w:color w:val="000000"/>
          <w:sz w:val="30"/>
          <w:szCs w:val="30"/>
          <w:lang w:val="zh-CN"/>
        </w:rPr>
        <w:t>：</w:t>
      </w:r>
      <w:bookmarkEnd w:id="338"/>
      <w:bookmarkEnd w:id="339"/>
      <w:bookmarkEnd w:id="340"/>
      <w:r>
        <w:rPr>
          <w:rFonts w:hint="eastAsia" w:asciiTheme="minorEastAsia" w:hAnsiTheme="minorEastAsia" w:eastAsiaTheme="minorEastAsia" w:cstheme="minorEastAsia"/>
          <w:color w:val="000000"/>
          <w:spacing w:val="1"/>
          <w:sz w:val="30"/>
          <w:szCs w:val="30"/>
          <w:lang w:val="en-US" w:eastAsia="en-US" w:bidi="ar-SA"/>
        </w:rPr>
        <w:t>磋商供应商最终报价表</w:t>
      </w:r>
      <w:bookmarkEnd w:id="341"/>
    </w:p>
    <w:p>
      <w:pPr>
        <w:jc w:val="center"/>
        <w:rPr>
          <w:rFonts w:hint="eastAsia" w:asciiTheme="minorEastAsia" w:hAnsiTheme="minorEastAsia" w:eastAsiaTheme="minorEastAsia" w:cstheme="minorEastAsia"/>
          <w:b/>
          <w:bCs/>
          <w:color w:val="000000"/>
          <w:spacing w:val="1"/>
          <w:sz w:val="24"/>
          <w:szCs w:val="24"/>
          <w:lang w:val="en-US" w:eastAsia="en-US" w:bidi="ar-SA"/>
        </w:rPr>
      </w:pPr>
    </w:p>
    <w:p>
      <w:pPr>
        <w:jc w:val="center"/>
        <w:rPr>
          <w:rFonts w:hint="eastAsia" w:asciiTheme="minorEastAsia" w:hAnsiTheme="minorEastAsia" w:eastAsiaTheme="minorEastAsia" w:cstheme="minorEastAsia"/>
          <w:b/>
          <w:bCs/>
          <w:color w:val="000000"/>
          <w:spacing w:val="1"/>
          <w:sz w:val="24"/>
          <w:szCs w:val="24"/>
          <w:lang w:val="en-US" w:eastAsia="en-US" w:bidi="ar-SA"/>
        </w:rPr>
      </w:pPr>
    </w:p>
    <w:p>
      <w:pPr>
        <w:jc w:val="center"/>
        <w:rPr>
          <w:rFonts w:hint="eastAsia" w:asciiTheme="minorEastAsia" w:hAnsiTheme="minorEastAsia" w:eastAsiaTheme="minorEastAsia" w:cstheme="minorEastAsia"/>
          <w:b/>
          <w:bCs/>
          <w:color w:val="000000"/>
          <w:spacing w:val="1"/>
          <w:sz w:val="24"/>
          <w:szCs w:val="24"/>
          <w:lang w:val="en-US" w:eastAsia="en-US" w:bidi="ar-SA"/>
        </w:rPr>
      </w:pPr>
    </w:p>
    <w:p>
      <w:pPr>
        <w:jc w:val="center"/>
        <w:rPr>
          <w:rFonts w:hint="eastAsia" w:asciiTheme="minorEastAsia" w:hAnsiTheme="minorEastAsia" w:eastAsiaTheme="minorEastAsia" w:cstheme="minorEastAsia"/>
          <w:b/>
          <w:bCs/>
          <w:sz w:val="28"/>
          <w:szCs w:val="28"/>
          <w:lang w:val="zh-CN"/>
        </w:rPr>
      </w:pPr>
      <w:r>
        <w:rPr>
          <w:rFonts w:hint="eastAsia" w:asciiTheme="minorEastAsia" w:hAnsiTheme="minorEastAsia" w:eastAsiaTheme="minorEastAsia" w:cstheme="minorEastAsia"/>
          <w:b/>
          <w:bCs/>
          <w:color w:val="000000"/>
          <w:spacing w:val="1"/>
          <w:sz w:val="24"/>
          <w:szCs w:val="24"/>
          <w:lang w:val="en-US" w:eastAsia="en-US" w:bidi="ar-SA"/>
        </w:rPr>
        <w:t>磋商供应商最终报价表</w:t>
      </w: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r>
        <w:rPr>
          <w:rFonts w:hint="eastAsia" w:asciiTheme="minorEastAsia" w:hAnsiTheme="minorEastAsia" w:eastAsiaTheme="minorEastAsia" w:cstheme="minorEastAsia"/>
          <w:bCs/>
        </w:rPr>
        <w:t xml:space="preserve">供应商名称：                                                       </w:t>
      </w:r>
    </w:p>
    <w:p>
      <w:pPr>
        <w:rPr>
          <w:rFonts w:hint="eastAsia" w:asciiTheme="minorEastAsia" w:hAnsiTheme="minorEastAsia" w:eastAsiaTheme="minorEastAsia" w:cstheme="minorEastAsia"/>
          <w:bCs/>
          <w:sz w:val="21"/>
        </w:rPr>
      </w:pPr>
      <w:r>
        <w:rPr>
          <w:rFonts w:hint="eastAsia" w:asciiTheme="minorEastAsia" w:hAnsiTheme="minorEastAsia" w:eastAsiaTheme="minorEastAsia" w:cstheme="minorEastAsia"/>
          <w:bCs/>
        </w:rPr>
        <w:t>单位：人民币（元）</w:t>
      </w:r>
    </w:p>
    <w:tbl>
      <w:tblPr>
        <w:tblStyle w:val="17"/>
        <w:tblpPr w:leftFromText="180" w:rightFromText="180" w:vertAnchor="text" w:horzAnchor="margin" w:tblpY="1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3209"/>
        <w:gridCol w:w="1764"/>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6" w:hRule="atLeast"/>
        </w:trPr>
        <w:tc>
          <w:tcPr>
            <w:tcW w:w="2408"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项目名称</w:t>
            </w:r>
          </w:p>
        </w:tc>
        <w:tc>
          <w:tcPr>
            <w:tcW w:w="3209" w:type="dxa"/>
            <w:tcBorders>
              <w:top w:val="single" w:color="auto" w:sz="4" w:space="0"/>
              <w:left w:val="single" w:color="auto" w:sz="4" w:space="0"/>
              <w:bottom w:val="single" w:color="auto" w:sz="4" w:space="0"/>
              <w:right w:val="single" w:color="auto" w:sz="4" w:space="0"/>
            </w:tcBorders>
            <w:vAlign w:val="center"/>
          </w:tcPr>
          <w:p>
            <w:pPr>
              <w:adjustRightInd w:val="0"/>
              <w:ind w:firstLine="482"/>
              <w:jc w:val="center"/>
              <w:textAlignment w:val="baseline"/>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响应报价（元）</w:t>
            </w:r>
          </w:p>
        </w:tc>
        <w:tc>
          <w:tcPr>
            <w:tcW w:w="1764" w:type="dxa"/>
            <w:tcBorders>
              <w:top w:val="single" w:color="auto" w:sz="4" w:space="0"/>
              <w:left w:val="single" w:color="auto" w:sz="4" w:space="0"/>
              <w:bottom w:val="single" w:color="auto" w:sz="4" w:space="0"/>
              <w:right w:val="single" w:color="auto" w:sz="4" w:space="0"/>
            </w:tcBorders>
            <w:vAlign w:val="center"/>
          </w:tcPr>
          <w:p>
            <w:pPr>
              <w:adjustRightInd w:val="0"/>
              <w:ind w:left="245" w:leftChars="16" w:hanging="211" w:hangingChars="100"/>
              <w:jc w:val="center"/>
              <w:textAlignment w:val="baseline"/>
              <w:rPr>
                <w:rFonts w:hint="eastAsia" w:asciiTheme="minorEastAsia" w:hAnsiTheme="minorEastAsia" w:eastAsiaTheme="minorEastAsia" w:cstheme="minorEastAsia"/>
                <w:b/>
                <w:lang w:eastAsia="zh-CN"/>
              </w:rPr>
            </w:pPr>
            <w:r>
              <w:rPr>
                <w:rFonts w:hint="eastAsia" w:asciiTheme="minorEastAsia" w:hAnsiTheme="minorEastAsia" w:cstheme="minorEastAsia"/>
                <w:b/>
                <w:lang w:eastAsia="zh-CN"/>
              </w:rPr>
              <w:t>交货期</w:t>
            </w:r>
          </w:p>
        </w:tc>
        <w:tc>
          <w:tcPr>
            <w:tcW w:w="1759" w:type="dxa"/>
            <w:tcBorders>
              <w:top w:val="single" w:color="auto" w:sz="4" w:space="0"/>
              <w:left w:val="single" w:color="auto" w:sz="4" w:space="0"/>
              <w:bottom w:val="single" w:color="auto" w:sz="4" w:space="0"/>
              <w:right w:val="single" w:color="auto" w:sz="4" w:space="0"/>
            </w:tcBorders>
            <w:vAlign w:val="center"/>
          </w:tcPr>
          <w:p>
            <w:pPr>
              <w:adjustRightInd w:val="0"/>
              <w:ind w:left="245" w:leftChars="16" w:hanging="211" w:hangingChars="100"/>
              <w:jc w:val="center"/>
              <w:textAlignment w:val="baseline"/>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2408" w:type="dxa"/>
            <w:vMerge w:val="restart"/>
            <w:tcBorders>
              <w:top w:val="single" w:color="auto" w:sz="4" w:space="0"/>
              <w:left w:val="single" w:color="auto" w:sz="4" w:space="0"/>
              <w:bottom w:val="single" w:color="auto" w:sz="4" w:space="0"/>
              <w:right w:val="single" w:color="auto" w:sz="4" w:space="0"/>
            </w:tcBorders>
            <w:vAlign w:val="center"/>
          </w:tcPr>
          <w:p>
            <w:pPr>
              <w:adjustRightInd w:val="0"/>
              <w:ind w:firstLine="482"/>
              <w:textAlignment w:val="baseline"/>
              <w:rPr>
                <w:rFonts w:hint="eastAsia" w:asciiTheme="minorEastAsia" w:hAnsiTheme="minorEastAsia" w:eastAsiaTheme="minorEastAsia" w:cstheme="minorEastAsia"/>
                <w:b/>
                <w:bCs/>
              </w:rPr>
            </w:pPr>
          </w:p>
        </w:tc>
        <w:tc>
          <w:tcPr>
            <w:tcW w:w="3209" w:type="dxa"/>
            <w:tcBorders>
              <w:top w:val="single" w:color="auto" w:sz="4" w:space="0"/>
              <w:left w:val="single" w:color="auto" w:sz="4" w:space="0"/>
              <w:bottom w:val="single" w:color="auto" w:sz="4" w:space="0"/>
              <w:right w:val="single" w:color="auto" w:sz="4" w:space="0"/>
            </w:tcBorders>
          </w:tcPr>
          <w:p>
            <w:pPr>
              <w:adjustRightInd w:val="0"/>
              <w:textAlignment w:val="baseline"/>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大写：</w:t>
            </w:r>
          </w:p>
        </w:tc>
        <w:tc>
          <w:tcPr>
            <w:tcW w:w="1764" w:type="dxa"/>
            <w:vMerge w:val="restart"/>
            <w:tcBorders>
              <w:top w:val="single" w:color="auto" w:sz="4" w:space="0"/>
              <w:left w:val="single" w:color="auto" w:sz="4" w:space="0"/>
              <w:bottom w:val="single" w:color="auto" w:sz="4" w:space="0"/>
              <w:right w:val="single" w:color="auto" w:sz="4" w:space="0"/>
            </w:tcBorders>
          </w:tcPr>
          <w:p>
            <w:pPr>
              <w:adjustRightInd w:val="0"/>
              <w:textAlignment w:val="baseline"/>
              <w:rPr>
                <w:rFonts w:hint="eastAsia" w:asciiTheme="minorEastAsia" w:hAnsiTheme="minorEastAsia" w:eastAsiaTheme="minorEastAsia" w:cstheme="minorEastAsia"/>
                <w:b/>
              </w:rPr>
            </w:pPr>
          </w:p>
        </w:tc>
        <w:tc>
          <w:tcPr>
            <w:tcW w:w="1759" w:type="dxa"/>
            <w:vMerge w:val="restart"/>
            <w:tcBorders>
              <w:top w:val="single" w:color="auto" w:sz="4" w:space="0"/>
              <w:left w:val="single" w:color="auto" w:sz="4" w:space="0"/>
              <w:bottom w:val="single" w:color="auto" w:sz="4" w:space="0"/>
              <w:right w:val="single" w:color="auto" w:sz="4" w:space="0"/>
            </w:tcBorders>
          </w:tcPr>
          <w:p>
            <w:pPr>
              <w:adjustRightInd w:val="0"/>
              <w:textAlignment w:val="baseline"/>
              <w:rPr>
                <w:rFonts w:hint="eastAsia" w:asciiTheme="minorEastAsia" w:hAnsiTheme="minorEastAsia" w:eastAsiaTheme="minorEastAsia" w:cstheme="minorEastAsia"/>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2408"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b/>
                <w:bCs/>
                <w:kern w:val="2"/>
              </w:rPr>
            </w:pPr>
          </w:p>
        </w:tc>
        <w:tc>
          <w:tcPr>
            <w:tcW w:w="3209" w:type="dxa"/>
            <w:tcBorders>
              <w:top w:val="single" w:color="auto" w:sz="4" w:space="0"/>
              <w:left w:val="single" w:color="auto" w:sz="4" w:space="0"/>
              <w:bottom w:val="single" w:color="auto" w:sz="4" w:space="0"/>
              <w:right w:val="single" w:color="auto" w:sz="4" w:space="0"/>
            </w:tcBorders>
          </w:tcPr>
          <w:p>
            <w:pPr>
              <w:adjustRightInd w:val="0"/>
              <w:textAlignment w:val="baseline"/>
              <w:rPr>
                <w:rFonts w:hint="eastAsia" w:asciiTheme="minorEastAsia" w:hAnsiTheme="minorEastAsia" w:eastAsiaTheme="minorEastAsia" w:cstheme="minorEastAsia"/>
                <w:b/>
              </w:rPr>
            </w:pPr>
            <w:r>
              <w:rPr>
                <w:rFonts w:hint="eastAsia" w:asciiTheme="minorEastAsia" w:hAnsiTheme="minorEastAsia" w:eastAsiaTheme="minorEastAsia" w:cstheme="minorEastAsia"/>
                <w:b/>
              </w:rPr>
              <w:t>小写：</w:t>
            </w:r>
          </w:p>
        </w:tc>
        <w:tc>
          <w:tcPr>
            <w:tcW w:w="1764"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b/>
                <w:kern w:val="2"/>
              </w:rPr>
            </w:pPr>
          </w:p>
        </w:tc>
        <w:tc>
          <w:tcPr>
            <w:tcW w:w="1759" w:type="dxa"/>
            <w:vMerge w:val="continue"/>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b/>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3" w:hRule="atLeast"/>
        </w:trPr>
        <w:tc>
          <w:tcPr>
            <w:tcW w:w="2408" w:type="dxa"/>
            <w:tcBorders>
              <w:top w:val="single" w:color="auto" w:sz="4" w:space="0"/>
              <w:left w:val="single" w:color="auto" w:sz="4" w:space="0"/>
              <w:bottom w:val="single" w:color="auto" w:sz="4" w:space="0"/>
              <w:right w:val="single" w:color="auto" w:sz="4" w:space="0"/>
            </w:tcBorders>
            <w:vAlign w:val="center"/>
          </w:tcPr>
          <w:p>
            <w:pPr>
              <w:adjustRightInd w:val="0"/>
              <w:jc w:val="center"/>
              <w:textAlignment w:val="baseline"/>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rPr>
              <w:t>优惠承诺及其他：</w:t>
            </w:r>
          </w:p>
        </w:tc>
        <w:tc>
          <w:tcPr>
            <w:tcW w:w="6732" w:type="dxa"/>
            <w:gridSpan w:val="3"/>
            <w:tcBorders>
              <w:top w:val="single" w:color="auto" w:sz="4" w:space="0"/>
              <w:left w:val="single" w:color="auto" w:sz="4" w:space="0"/>
              <w:bottom w:val="single" w:color="auto" w:sz="4" w:space="0"/>
              <w:right w:val="single" w:color="auto" w:sz="4" w:space="0"/>
            </w:tcBorders>
          </w:tcPr>
          <w:p>
            <w:pPr>
              <w:adjustRightInd w:val="0"/>
              <w:textAlignment w:val="baseline"/>
              <w:rPr>
                <w:rFonts w:hint="eastAsia" w:asciiTheme="minorEastAsia" w:hAnsiTheme="minorEastAsia" w:eastAsiaTheme="minorEastAsia" w:cstheme="minorEastAsia"/>
                <w:b/>
              </w:rPr>
            </w:pPr>
          </w:p>
        </w:tc>
      </w:tr>
    </w:tbl>
    <w:p>
      <w:pPr>
        <w:autoSpaceDE w:val="0"/>
        <w:autoSpaceDN w:val="0"/>
        <w:adjustRightInd w:val="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 xml:space="preserve"> </w:t>
      </w:r>
    </w:p>
    <w:p>
      <w:pPr>
        <w:autoSpaceDE w:val="0"/>
        <w:autoSpaceDN w:val="0"/>
        <w:adjustRightInd w:val="0"/>
        <w:rPr>
          <w:rFonts w:hint="eastAsia" w:asciiTheme="minorEastAsia" w:hAnsiTheme="minorEastAsia" w:eastAsiaTheme="minorEastAsia" w:cstheme="minorEastAsia"/>
          <w:kern w:val="2"/>
        </w:rPr>
      </w:pPr>
      <w:r>
        <w:rPr>
          <w:rFonts w:hint="eastAsia" w:asciiTheme="minorEastAsia" w:hAnsiTheme="minorEastAsia" w:eastAsiaTheme="minorEastAsia" w:cstheme="minorEastAsia"/>
          <w:lang w:val="zh-CN"/>
        </w:rPr>
        <w:t xml:space="preserve">  </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注：此表不需装订在响应文件中，供应商事先须盖章和签字。在磋商期间，由磋商小组确定合格的供应商现场填写。</w:t>
      </w:r>
    </w:p>
    <w:p>
      <w:pPr>
        <w:autoSpaceDE w:val="0"/>
        <w:autoSpaceDN w:val="0"/>
        <w:adjustRightInd w:val="0"/>
        <w:spacing w:line="400" w:lineRule="exact"/>
        <w:ind w:right="480" w:firstLine="3990" w:firstLineChars="1900"/>
        <w:rPr>
          <w:rFonts w:hint="eastAsia" w:asciiTheme="minorEastAsia" w:hAnsiTheme="minorEastAsia" w:eastAsiaTheme="minorEastAsia" w:cstheme="minorEastAsia"/>
        </w:rPr>
      </w:pPr>
    </w:p>
    <w:p>
      <w:pPr>
        <w:autoSpaceDE w:val="0"/>
        <w:autoSpaceDN w:val="0"/>
        <w:adjustRightInd w:val="0"/>
        <w:spacing w:line="400" w:lineRule="exact"/>
        <w:ind w:right="480"/>
        <w:rPr>
          <w:rFonts w:hint="eastAsia" w:asciiTheme="minorEastAsia" w:hAnsiTheme="minorEastAsia" w:eastAsiaTheme="minorEastAsia" w:cstheme="minorEastAsia"/>
        </w:rPr>
      </w:pPr>
    </w:p>
    <w:p>
      <w:pPr>
        <w:autoSpaceDE w:val="0"/>
        <w:autoSpaceDN w:val="0"/>
        <w:adjustRightInd w:val="0"/>
        <w:spacing w:line="400" w:lineRule="exact"/>
        <w:ind w:right="480" w:firstLine="3990" w:firstLineChars="190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供应商：             （公章）</w:t>
      </w:r>
    </w:p>
    <w:p>
      <w:pPr>
        <w:autoSpaceDE w:val="0"/>
        <w:autoSpaceDN w:val="0"/>
        <w:adjustRightInd w:val="0"/>
        <w:spacing w:line="400" w:lineRule="exact"/>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 xml:space="preserve">                 法定代表人或委托代理人：             （签字或盖章）</w:t>
      </w:r>
    </w:p>
    <w:p>
      <w:pPr>
        <w:autoSpaceDE w:val="0"/>
        <w:autoSpaceDN w:val="0"/>
        <w:adjustRightInd w:val="0"/>
        <w:spacing w:line="400" w:lineRule="exact"/>
        <w:ind w:firstLine="480"/>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lang w:val="zh-CN"/>
        </w:rPr>
        <w:t xml:space="preserve">                                         年   月   日</w:t>
      </w:r>
    </w:p>
    <w:p>
      <w:pPr>
        <w:pStyle w:val="22"/>
        <w:ind w:firstLine="420"/>
        <w:rPr>
          <w:rFonts w:hint="eastAsia" w:asciiTheme="minorEastAsia" w:hAnsiTheme="minorEastAsia" w:eastAsiaTheme="minorEastAsia" w:cstheme="minorEastAsia"/>
          <w:lang w:val="zh-CN"/>
        </w:rPr>
      </w:pPr>
    </w:p>
    <w:p>
      <w:pPr>
        <w:rPr>
          <w:rFonts w:hint="eastAsia" w:asciiTheme="minorEastAsia" w:hAnsiTheme="minorEastAsia" w:eastAsiaTheme="minorEastAsia" w:cstheme="minorEastAsia"/>
          <w:lang w:val="zh-CN"/>
        </w:rPr>
      </w:pPr>
    </w:p>
    <w:p>
      <w:pPr>
        <w:pStyle w:val="6"/>
        <w:rPr>
          <w:rFonts w:hint="eastAsia" w:asciiTheme="minorEastAsia" w:hAnsiTheme="minorEastAsia" w:eastAsiaTheme="minorEastAsia" w:cstheme="minorEastAsia"/>
          <w:lang w:val="zh-CN"/>
        </w:rPr>
      </w:pPr>
    </w:p>
    <w:p>
      <w:pPr>
        <w:pStyle w:val="23"/>
        <w:outlineLvl w:val="9"/>
        <w:rPr>
          <w:rFonts w:hint="eastAsia" w:asciiTheme="minorEastAsia" w:hAnsiTheme="minorEastAsia" w:eastAsiaTheme="minorEastAsia" w:cstheme="minorEastAsia"/>
          <w:lang w:val="zh-CN"/>
        </w:rPr>
      </w:pPr>
    </w:p>
    <w:p>
      <w:pPr>
        <w:pStyle w:val="22"/>
        <w:ind w:firstLine="420"/>
        <w:rPr>
          <w:rFonts w:hint="eastAsia" w:asciiTheme="minorEastAsia" w:hAnsiTheme="minorEastAsia" w:eastAsiaTheme="minorEastAsia" w:cstheme="minorEastAsia"/>
          <w:lang w:val="zh-CN"/>
        </w:rPr>
      </w:pPr>
    </w:p>
    <w:p>
      <w:pPr>
        <w:autoSpaceDE w:val="0"/>
        <w:autoSpaceDN w:val="0"/>
        <w:adjustRightInd w:val="0"/>
        <w:rPr>
          <w:rFonts w:hint="eastAsia" w:asciiTheme="minorEastAsia" w:hAnsiTheme="minorEastAsia" w:eastAsiaTheme="minorEastAsia" w:cstheme="minorEastAsia"/>
          <w:sz w:val="21"/>
          <w:szCs w:val="21"/>
        </w:rPr>
      </w:pPr>
    </w:p>
    <w:p>
      <w:pPr>
        <w:autoSpaceDE w:val="0"/>
        <w:autoSpaceDN w:val="0"/>
        <w:adjustRightInd w:val="0"/>
        <w:rPr>
          <w:rFonts w:hint="eastAsia" w:asciiTheme="minorEastAsia" w:hAnsiTheme="minorEastAsia" w:eastAsiaTheme="minorEastAsia" w:cstheme="minorEastAsia"/>
          <w:szCs w:val="21"/>
        </w:rPr>
      </w:pPr>
    </w:p>
    <w:p>
      <w:pPr>
        <w:autoSpaceDE w:val="0"/>
        <w:autoSpaceDN w:val="0"/>
        <w:adjustRightInd w:val="0"/>
        <w:rPr>
          <w:rFonts w:hint="eastAsia" w:asciiTheme="minorEastAsia" w:hAnsiTheme="minorEastAsia" w:eastAsiaTheme="minorEastAsia" w:cstheme="minorEastAsia"/>
          <w:sz w:val="18"/>
          <w:szCs w:val="18"/>
        </w:rPr>
      </w:pPr>
    </w:p>
    <w:p>
      <w:pPr>
        <w:pStyle w:val="15"/>
        <w:ind w:firstLine="361"/>
        <w:jc w:val="left"/>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kern w:val="0"/>
          <w:sz w:val="18"/>
          <w:szCs w:val="18"/>
        </w:rPr>
        <w:br w:type="page"/>
      </w:r>
    </w:p>
    <w:p>
      <w:pPr>
        <w:pStyle w:val="15"/>
        <w:bidi w:val="0"/>
        <w:rPr>
          <w:rFonts w:hint="eastAsia"/>
        </w:rPr>
      </w:pPr>
      <w:bookmarkStart w:id="342" w:name="_Toc21842"/>
      <w:bookmarkStart w:id="343" w:name="_Toc3725"/>
      <w:bookmarkStart w:id="344" w:name="_Toc23933"/>
      <w:bookmarkStart w:id="345" w:name="_Toc515908230"/>
      <w:bookmarkStart w:id="346" w:name="_Toc18752"/>
      <w:r>
        <w:rPr>
          <w:rFonts w:hint="eastAsia"/>
          <w:lang w:val="zh-CN"/>
        </w:rPr>
        <w:t>第</w:t>
      </w:r>
      <w:r>
        <w:rPr>
          <w:rFonts w:hint="eastAsia"/>
          <w:lang w:val="en-US" w:eastAsia="zh-CN"/>
        </w:rPr>
        <w:t>六</w:t>
      </w:r>
      <w:r>
        <w:rPr>
          <w:rFonts w:hint="eastAsia"/>
          <w:lang w:val="zh-CN"/>
        </w:rPr>
        <w:t>部分  采购项目要求及技术参数</w:t>
      </w:r>
      <w:bookmarkEnd w:id="342"/>
      <w:bookmarkEnd w:id="343"/>
      <w:bookmarkEnd w:id="344"/>
      <w:bookmarkEnd w:id="345"/>
      <w:bookmarkEnd w:id="346"/>
    </w:p>
    <w:p>
      <w:pPr>
        <w:pStyle w:val="15"/>
        <w:spacing w:before="0" w:after="0" w:line="360" w:lineRule="auto"/>
        <w:outlineLvl w:val="1"/>
        <w:rPr>
          <w:rFonts w:hint="eastAsia" w:asciiTheme="minorEastAsia" w:hAnsiTheme="minorEastAsia" w:eastAsiaTheme="minorEastAsia" w:cstheme="minorEastAsia"/>
          <w:color w:val="000000"/>
          <w:szCs w:val="36"/>
        </w:rPr>
      </w:pPr>
      <w:bookmarkStart w:id="347" w:name="_Toc515908231"/>
      <w:bookmarkStart w:id="348" w:name="_Toc11648"/>
      <w:bookmarkStart w:id="349" w:name="_Toc14924"/>
      <w:bookmarkStart w:id="350" w:name="_Toc28318"/>
      <w:bookmarkStart w:id="351" w:name="_Toc9451"/>
      <w:r>
        <w:rPr>
          <w:rFonts w:hint="eastAsia" w:asciiTheme="minorEastAsia" w:hAnsiTheme="minorEastAsia" w:eastAsiaTheme="minorEastAsia" w:cstheme="minorEastAsia"/>
          <w:color w:val="000000"/>
          <w:lang w:val="zh-CN"/>
        </w:rPr>
        <w:t>（一）投标要求</w:t>
      </w:r>
      <w:bookmarkEnd w:id="347"/>
      <w:bookmarkEnd w:id="348"/>
      <w:bookmarkEnd w:id="349"/>
      <w:bookmarkEnd w:id="350"/>
      <w:bookmarkEnd w:id="351"/>
    </w:p>
    <w:p>
      <w:pPr>
        <w:pStyle w:val="15"/>
        <w:spacing w:before="0" w:after="0" w:line="360" w:lineRule="auto"/>
        <w:jc w:val="left"/>
        <w:outlineLvl w:val="1"/>
        <w:rPr>
          <w:rFonts w:hint="eastAsia" w:asciiTheme="minorEastAsia" w:hAnsiTheme="minorEastAsia" w:eastAsiaTheme="minorEastAsia" w:cstheme="minorEastAsia"/>
          <w:color w:val="000000"/>
          <w:lang w:val="zh-CN"/>
        </w:rPr>
      </w:pPr>
      <w:bookmarkStart w:id="352" w:name="_Toc29376"/>
      <w:bookmarkStart w:id="353" w:name="_Toc22234"/>
      <w:bookmarkStart w:id="354" w:name="_Toc515908232"/>
      <w:bookmarkStart w:id="355" w:name="_Toc1526"/>
      <w:bookmarkStart w:id="356" w:name="_Toc4601"/>
      <w:r>
        <w:rPr>
          <w:rFonts w:hint="eastAsia" w:asciiTheme="minorEastAsia" w:hAnsiTheme="minorEastAsia" w:eastAsiaTheme="minorEastAsia" w:cstheme="minorEastAsia"/>
          <w:color w:val="000000"/>
          <w:sz w:val="28"/>
          <w:szCs w:val="28"/>
          <w:lang w:val="zh-CN"/>
        </w:rPr>
        <w:t>1.投标说明</w:t>
      </w:r>
      <w:bookmarkEnd w:id="352"/>
      <w:bookmarkEnd w:id="353"/>
      <w:bookmarkEnd w:id="354"/>
      <w:bookmarkEnd w:id="355"/>
      <w:bookmarkEnd w:id="356"/>
    </w:p>
    <w:p>
      <w:pPr>
        <w:autoSpaceDE w:val="0"/>
        <w:autoSpaceDN w:val="0"/>
        <w:spacing w:line="360" w:lineRule="auto"/>
        <w:ind w:firstLine="420" w:firstLineChars="200"/>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lang w:val="zh-CN"/>
        </w:rPr>
        <w:t>1.1</w:t>
      </w:r>
      <w:r>
        <w:rPr>
          <w:rFonts w:hint="eastAsia" w:asciiTheme="minorEastAsia" w:hAnsiTheme="minorEastAsia" w:eastAsiaTheme="minorEastAsia" w:cstheme="minorEastAsia"/>
          <w:color w:val="auto"/>
          <w:kern w:val="0"/>
        </w:rPr>
        <w:t xml:space="preserve"> </w:t>
      </w:r>
      <w:r>
        <w:rPr>
          <w:rFonts w:hint="eastAsia" w:asciiTheme="minorEastAsia" w:hAnsiTheme="minorEastAsia" w:eastAsiaTheme="minorEastAsia" w:cstheme="minorEastAsia"/>
          <w:color w:val="auto"/>
          <w:kern w:val="0"/>
          <w:lang w:val="zh-CN"/>
        </w:rPr>
        <w:t>投标人可以按照招标文件规定的包号选择投标，但必须对所投包号中的所有内容作为一个整体进行投标，不能拆分或少报。否则，投标无效。</w:t>
      </w:r>
    </w:p>
    <w:p>
      <w:pPr>
        <w:autoSpaceDE w:val="0"/>
        <w:autoSpaceDN w:val="0"/>
        <w:spacing w:line="360" w:lineRule="auto"/>
        <w:ind w:firstLine="420" w:firstLineChars="20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auto"/>
          <w:kern w:val="0"/>
          <w:lang w:val="zh-CN"/>
        </w:rPr>
        <w:t>1.2</w:t>
      </w:r>
      <w:r>
        <w:rPr>
          <w:rFonts w:hint="eastAsia" w:asciiTheme="minorEastAsia" w:hAnsiTheme="minorEastAsia" w:eastAsiaTheme="minorEastAsia" w:cstheme="minorEastAsia"/>
          <w:color w:val="auto"/>
          <w:kern w:val="0"/>
        </w:rPr>
        <w:t xml:space="preserve"> </w:t>
      </w:r>
      <w:r>
        <w:rPr>
          <w:rFonts w:hint="eastAsia" w:asciiTheme="minorEastAsia" w:hAnsiTheme="minorEastAsia" w:eastAsiaTheme="minorEastAsia" w:cstheme="minorEastAsia"/>
          <w:color w:val="auto"/>
          <w:kern w:val="0"/>
          <w:lang w:val="zh-CN"/>
        </w:rPr>
        <w:t>投标人必须如实填</w:t>
      </w:r>
      <w:r>
        <w:rPr>
          <w:rFonts w:hint="eastAsia" w:asciiTheme="minorEastAsia" w:hAnsiTheme="minorEastAsia" w:eastAsiaTheme="minorEastAsia" w:cstheme="minorEastAsia"/>
          <w:color w:val="000000"/>
          <w:kern w:val="0"/>
          <w:lang w:val="zh-CN"/>
        </w:rPr>
        <w:t>写“技术规格响应表”，在“投标产品技术参数、指标”栏中列出所投产品的具体技术参数、指标；以采购人需求为最低指标要求，投标人对超出或不满足最低指标要求的指标需列出“＋、-”偏差。如果与投标文件中提供的产品检测报告、彩页等证明材料中的实质性响应情况不一致或直接复制招标文件“采购需求技术参数、指标”内容的，按无效投标处理。</w:t>
      </w:r>
    </w:p>
    <w:p>
      <w:pPr>
        <w:autoSpaceDE w:val="0"/>
        <w:autoSpaceDN w:val="0"/>
        <w:spacing w:line="360" w:lineRule="auto"/>
        <w:ind w:firstLine="420" w:firstLineChars="200"/>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000000"/>
          <w:kern w:val="0"/>
          <w:lang w:val="zh-CN"/>
        </w:rPr>
        <w:t>1.</w:t>
      </w:r>
      <w:r>
        <w:rPr>
          <w:rFonts w:hint="eastAsia" w:asciiTheme="minorEastAsia" w:hAnsiTheme="minorEastAsia" w:eastAsiaTheme="minorEastAsia" w:cstheme="minorEastAsia"/>
          <w:color w:val="000000"/>
          <w:kern w:val="0"/>
        </w:rPr>
        <w:t>3</w:t>
      </w:r>
      <w:r>
        <w:rPr>
          <w:rFonts w:hint="eastAsia" w:asciiTheme="minorEastAsia" w:hAnsiTheme="minorEastAsia" w:eastAsiaTheme="minorEastAsia" w:cstheme="minorEastAsia"/>
          <w:color w:val="000000"/>
        </w:rPr>
        <w:t xml:space="preserve"> </w:t>
      </w:r>
      <w:r>
        <w:rPr>
          <w:rFonts w:hint="eastAsia" w:asciiTheme="minorEastAsia" w:hAnsiTheme="minorEastAsia" w:eastAsiaTheme="minorEastAsia" w:cstheme="minorEastAsia"/>
          <w:color w:val="000000"/>
          <w:kern w:val="0"/>
          <w:lang w:val="zh-CN"/>
        </w:rPr>
        <w:t>招标内容中未特别标注为“原装进口”字样的产品，投标人必须投国产产品；标注为“原装进口”字样的产品，投标人可以投进口产品，但如果因信息不对称等原因，仍有满足采购需求的国内产品要求参与采购竞争的，可以投国</w:t>
      </w:r>
      <w:r>
        <w:rPr>
          <w:rFonts w:hint="eastAsia" w:asciiTheme="minorEastAsia" w:hAnsiTheme="minorEastAsia" w:eastAsiaTheme="minorEastAsia" w:cstheme="minorEastAsia"/>
          <w:color w:val="auto"/>
          <w:kern w:val="0"/>
          <w:lang w:val="zh-CN"/>
        </w:rPr>
        <w:t>产产品，并且按照公平竞争原则实施采购。</w:t>
      </w:r>
    </w:p>
    <w:p>
      <w:pPr>
        <w:autoSpaceDE w:val="0"/>
        <w:autoSpaceDN w:val="0"/>
        <w:spacing w:line="360" w:lineRule="auto"/>
        <w:ind w:firstLine="420" w:firstLineChars="200"/>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rPr>
        <w:t xml:space="preserve">1.4 </w:t>
      </w:r>
      <w:r>
        <w:rPr>
          <w:rFonts w:hint="eastAsia" w:asciiTheme="minorEastAsia" w:hAnsiTheme="minorEastAsia" w:eastAsiaTheme="minorEastAsia" w:cstheme="minorEastAsia"/>
          <w:color w:val="auto"/>
        </w:rPr>
        <w:t>所投产品或其任何一部分不得侵犯专利权、著作权、商标权和工业设计权等知识产权。</w:t>
      </w:r>
    </w:p>
    <w:p>
      <w:pPr>
        <w:autoSpaceDE w:val="0"/>
        <w:autoSpaceDN w:val="0"/>
        <w:spacing w:line="360" w:lineRule="auto"/>
        <w:ind w:firstLine="420" w:firstLineChars="200"/>
        <w:rPr>
          <w:rFonts w:hint="eastAsia" w:asciiTheme="minorEastAsia" w:hAnsiTheme="minorEastAsia" w:eastAsiaTheme="minorEastAsia" w:cstheme="minorEastAsia"/>
          <w:color w:val="auto"/>
          <w:kern w:val="0"/>
        </w:rPr>
      </w:pPr>
      <w:r>
        <w:rPr>
          <w:rFonts w:hint="eastAsia" w:asciiTheme="minorEastAsia" w:hAnsiTheme="minorEastAsia" w:eastAsiaTheme="minorEastAsia" w:cstheme="minorEastAsia"/>
          <w:color w:val="auto"/>
          <w:kern w:val="0"/>
        </w:rPr>
        <w:t>1.5 项目中标后分包情况：</w:t>
      </w:r>
      <w:r>
        <w:rPr>
          <w:rFonts w:hint="eastAsia" w:asciiTheme="minorEastAsia" w:hAnsiTheme="minorEastAsia" w:eastAsiaTheme="minorEastAsia" w:cstheme="minorEastAsia"/>
          <w:color w:val="auto"/>
          <w:kern w:val="0"/>
          <w:u w:val="none"/>
          <w:lang w:bidi="ar"/>
        </w:rPr>
        <w:t>不允许</w:t>
      </w:r>
      <w:r>
        <w:rPr>
          <w:rFonts w:hint="eastAsia" w:asciiTheme="minorEastAsia" w:hAnsiTheme="minorEastAsia" w:eastAsiaTheme="minorEastAsia" w:cstheme="minorEastAsia"/>
          <w:color w:val="auto"/>
          <w:kern w:val="0"/>
        </w:rPr>
        <w:t>。</w:t>
      </w:r>
    </w:p>
    <w:p>
      <w:pPr>
        <w:pStyle w:val="15"/>
        <w:spacing w:before="0" w:after="0" w:line="360" w:lineRule="auto"/>
        <w:jc w:val="left"/>
        <w:outlineLvl w:val="1"/>
        <w:rPr>
          <w:rFonts w:hint="eastAsia" w:asciiTheme="minorEastAsia" w:hAnsiTheme="minorEastAsia" w:eastAsiaTheme="minorEastAsia" w:cstheme="minorEastAsia"/>
          <w:color w:val="auto"/>
          <w:lang w:val="zh-CN"/>
        </w:rPr>
      </w:pPr>
      <w:bookmarkStart w:id="357" w:name="_Toc26125"/>
      <w:bookmarkStart w:id="358" w:name="_Toc23381"/>
      <w:bookmarkStart w:id="359" w:name="_Toc4540"/>
      <w:bookmarkStart w:id="360" w:name="_Toc515908233"/>
      <w:bookmarkStart w:id="361" w:name="_Toc14319"/>
      <w:r>
        <w:rPr>
          <w:rFonts w:hint="eastAsia" w:asciiTheme="minorEastAsia" w:hAnsiTheme="minorEastAsia" w:eastAsiaTheme="minorEastAsia" w:cstheme="minorEastAsia"/>
          <w:color w:val="auto"/>
          <w:sz w:val="28"/>
          <w:szCs w:val="28"/>
        </w:rPr>
        <w:t>2.</w:t>
      </w:r>
      <w:bookmarkEnd w:id="357"/>
      <w:bookmarkStart w:id="362" w:name="_Toc1475"/>
      <w:r>
        <w:rPr>
          <w:rFonts w:hint="eastAsia" w:asciiTheme="minorEastAsia" w:hAnsiTheme="minorEastAsia" w:eastAsiaTheme="minorEastAsia" w:cstheme="minorEastAsia"/>
          <w:color w:val="auto"/>
          <w:sz w:val="28"/>
          <w:szCs w:val="28"/>
          <w:lang w:val="zh-CN"/>
        </w:rPr>
        <w:t>重要指标</w:t>
      </w:r>
      <w:bookmarkEnd w:id="358"/>
      <w:bookmarkEnd w:id="359"/>
      <w:bookmarkEnd w:id="360"/>
      <w:bookmarkEnd w:id="361"/>
      <w:bookmarkEnd w:id="362"/>
    </w:p>
    <w:p>
      <w:pPr>
        <w:autoSpaceDE w:val="0"/>
        <w:autoSpaceDN w:val="0"/>
        <w:spacing w:line="360" w:lineRule="auto"/>
        <w:ind w:firstLine="420" w:firstLineChars="200"/>
        <w:rPr>
          <w:rFonts w:hint="eastAsia" w:asciiTheme="minorEastAsia" w:hAnsiTheme="minorEastAsia" w:eastAsiaTheme="minorEastAsia" w:cstheme="minorEastAsia"/>
          <w:b/>
          <w:bCs/>
          <w:color w:val="auto"/>
          <w:kern w:val="0"/>
          <w:lang w:val="zh-CN"/>
        </w:rPr>
      </w:pPr>
      <w:bookmarkStart w:id="363" w:name="_Toc18880"/>
      <w:r>
        <w:rPr>
          <w:rFonts w:hint="eastAsia" w:asciiTheme="minorEastAsia" w:hAnsiTheme="minorEastAsia" w:eastAsiaTheme="minorEastAsia" w:cstheme="minorEastAsia"/>
          <w:color w:val="auto"/>
          <w:kern w:val="0"/>
        </w:rPr>
        <w:t>2</w:t>
      </w:r>
      <w:r>
        <w:rPr>
          <w:rFonts w:hint="eastAsia" w:asciiTheme="minorEastAsia" w:hAnsiTheme="minorEastAsia" w:eastAsiaTheme="minorEastAsia" w:cstheme="minorEastAsia"/>
          <w:color w:val="auto"/>
          <w:kern w:val="0"/>
          <w:lang w:val="zh-CN"/>
        </w:rPr>
        <w:t>.1</w:t>
      </w:r>
      <w:r>
        <w:rPr>
          <w:rFonts w:hint="eastAsia" w:asciiTheme="minorEastAsia" w:hAnsiTheme="minorEastAsia" w:eastAsiaTheme="minorEastAsia" w:cstheme="minorEastAsia"/>
          <w:color w:val="auto"/>
          <w:kern w:val="0"/>
        </w:rPr>
        <w:t xml:space="preserve"> </w:t>
      </w:r>
      <w:r>
        <w:rPr>
          <w:rFonts w:hint="eastAsia" w:asciiTheme="minorEastAsia" w:hAnsiTheme="minorEastAsia" w:eastAsiaTheme="minorEastAsia" w:cstheme="minorEastAsia"/>
          <w:color w:val="auto"/>
          <w:kern w:val="0"/>
          <w:lang w:val="zh-CN"/>
        </w:rPr>
        <w:t>“</w:t>
      </w:r>
      <w:r>
        <w:rPr>
          <w:rFonts w:hint="eastAsia" w:asciiTheme="minorEastAsia" w:hAnsiTheme="minorEastAsia" w:eastAsiaTheme="minorEastAsia" w:cstheme="minorEastAsia"/>
          <w:b/>
          <w:bCs/>
          <w:color w:val="auto"/>
          <w:kern w:val="0"/>
          <w:lang w:val="zh-CN"/>
        </w:rPr>
        <w:t>技术参数”中用“</w:t>
      </w:r>
      <w:r>
        <w:rPr>
          <w:rFonts w:hint="eastAsia" w:asciiTheme="minorEastAsia" w:hAnsiTheme="minorEastAsia" w:eastAsiaTheme="minorEastAsia" w:cstheme="minorEastAsia"/>
          <w:b/>
          <w:bCs/>
          <w:color w:val="auto"/>
          <w:kern w:val="0"/>
          <w:sz w:val="28"/>
          <w:szCs w:val="28"/>
        </w:rPr>
        <w:t>*</w:t>
      </w:r>
      <w:r>
        <w:rPr>
          <w:rFonts w:hint="eastAsia" w:asciiTheme="minorEastAsia" w:hAnsiTheme="minorEastAsia" w:eastAsiaTheme="minorEastAsia" w:cstheme="minorEastAsia"/>
          <w:b/>
          <w:bCs/>
          <w:color w:val="auto"/>
          <w:kern w:val="0"/>
          <w:lang w:val="zh-CN"/>
        </w:rPr>
        <w:t>”符号标注的属于重要技术参数、指标，必须完全响应（须提供相关证明材料）。否则，投标无效。</w:t>
      </w:r>
    </w:p>
    <w:p>
      <w:pPr>
        <w:autoSpaceDE w:val="0"/>
        <w:autoSpaceDN w:val="0"/>
        <w:spacing w:line="360" w:lineRule="auto"/>
        <w:ind w:firstLine="420" w:firstLineChars="200"/>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rPr>
        <w:t>2</w:t>
      </w:r>
      <w:r>
        <w:rPr>
          <w:rFonts w:hint="eastAsia" w:asciiTheme="minorEastAsia" w:hAnsiTheme="minorEastAsia" w:eastAsiaTheme="minorEastAsia" w:cstheme="minorEastAsia"/>
          <w:color w:val="auto"/>
          <w:kern w:val="0"/>
          <w:lang w:val="zh-CN"/>
        </w:rPr>
        <w:t>.</w:t>
      </w:r>
      <w:r>
        <w:rPr>
          <w:rFonts w:hint="eastAsia" w:asciiTheme="minorEastAsia" w:hAnsiTheme="minorEastAsia" w:eastAsiaTheme="minorEastAsia" w:cstheme="minorEastAsia"/>
          <w:color w:val="auto"/>
          <w:kern w:val="0"/>
          <w:lang w:val="en-US" w:eastAsia="zh-CN"/>
        </w:rPr>
        <w:t>2</w:t>
      </w:r>
      <w:r>
        <w:rPr>
          <w:rFonts w:hint="eastAsia" w:asciiTheme="minorEastAsia" w:hAnsiTheme="minorEastAsia" w:eastAsiaTheme="minorEastAsia" w:cstheme="minorEastAsia"/>
          <w:color w:val="auto"/>
          <w:kern w:val="0"/>
        </w:rPr>
        <w:t xml:space="preserve"> </w:t>
      </w:r>
      <w:r>
        <w:rPr>
          <w:rFonts w:hint="eastAsia" w:asciiTheme="minorEastAsia" w:hAnsiTheme="minorEastAsia" w:eastAsiaTheme="minorEastAsia" w:cstheme="minorEastAsia"/>
          <w:color w:val="auto"/>
          <w:kern w:val="0"/>
          <w:lang w:val="zh-CN"/>
        </w:rPr>
        <w:t>招标文件中凡需与原有设备、系统并机、兼容、匹配等要求的，请主动和采购人联系，取得原有设备、系统相关资料。若有招标文件未提及或变更内容的，请及时与</w:t>
      </w:r>
      <w:r>
        <w:rPr>
          <w:rFonts w:hint="eastAsia" w:asciiTheme="minorEastAsia" w:hAnsiTheme="minorEastAsia" w:eastAsiaTheme="minorEastAsia" w:cstheme="minorEastAsia"/>
          <w:color w:val="auto"/>
          <w:kern w:val="0"/>
          <w:u w:val="none"/>
          <w:lang w:val="zh-CN"/>
        </w:rPr>
        <w:t>采购人或者采购代理机构</w:t>
      </w:r>
      <w:r>
        <w:rPr>
          <w:rFonts w:hint="eastAsia" w:asciiTheme="minorEastAsia" w:hAnsiTheme="minorEastAsia" w:eastAsiaTheme="minorEastAsia" w:cstheme="minorEastAsia"/>
          <w:color w:val="auto"/>
          <w:kern w:val="0"/>
          <w:lang w:val="zh-CN"/>
        </w:rPr>
        <w:t>联系。</w:t>
      </w:r>
    </w:p>
    <w:p>
      <w:pPr>
        <w:autoSpaceDE w:val="0"/>
        <w:autoSpaceDN w:val="0"/>
        <w:spacing w:line="360" w:lineRule="auto"/>
        <w:ind w:firstLine="420" w:firstLineChars="200"/>
        <w:rPr>
          <w:rFonts w:hint="eastAsia" w:asciiTheme="minorEastAsia" w:hAnsiTheme="minorEastAsia" w:eastAsiaTheme="minorEastAsia" w:cstheme="minorEastAsia"/>
          <w:color w:val="000000"/>
        </w:rPr>
      </w:pPr>
      <w:r>
        <w:rPr>
          <w:rFonts w:hint="eastAsia" w:asciiTheme="minorEastAsia" w:hAnsiTheme="minorEastAsia" w:eastAsiaTheme="minorEastAsia" w:cstheme="minorEastAsia"/>
          <w:color w:val="000000"/>
          <w:kern w:val="0"/>
        </w:rPr>
        <w:t>2</w:t>
      </w:r>
      <w:r>
        <w:rPr>
          <w:rFonts w:hint="eastAsia" w:asciiTheme="minorEastAsia" w:hAnsiTheme="minorEastAsia" w:eastAsiaTheme="minorEastAsia" w:cstheme="minorEastAsia"/>
          <w:color w:val="000000"/>
          <w:kern w:val="0"/>
          <w:lang w:val="zh-CN"/>
        </w:rPr>
        <w:t>.</w:t>
      </w:r>
      <w:r>
        <w:rPr>
          <w:rFonts w:hint="eastAsia" w:asciiTheme="minorEastAsia" w:hAnsiTheme="minorEastAsia" w:eastAsiaTheme="minorEastAsia" w:cstheme="minorEastAsia"/>
          <w:color w:val="000000"/>
          <w:kern w:val="0"/>
          <w:lang w:val="en-US" w:eastAsia="zh-CN"/>
        </w:rPr>
        <w:t>3</w:t>
      </w:r>
      <w:r>
        <w:rPr>
          <w:rFonts w:hint="eastAsia" w:asciiTheme="minorEastAsia" w:hAnsiTheme="minorEastAsia" w:eastAsiaTheme="minorEastAsia" w:cstheme="minorEastAsia"/>
          <w:color w:val="000000"/>
          <w:kern w:val="0"/>
        </w:rPr>
        <w:t xml:space="preserve"> </w:t>
      </w:r>
      <w:r>
        <w:rPr>
          <w:rFonts w:hint="eastAsia" w:asciiTheme="minorEastAsia" w:hAnsiTheme="minorEastAsia" w:eastAsiaTheme="minorEastAsia" w:cstheme="minorEastAsia"/>
          <w:color w:val="000000"/>
          <w:kern w:val="0"/>
          <w:lang w:val="zh-CN"/>
        </w:rPr>
        <w:t>技术参数中除注明签订合同时提供</w:t>
      </w:r>
      <w:r>
        <w:rPr>
          <w:rFonts w:hint="eastAsia" w:asciiTheme="minorEastAsia" w:hAnsiTheme="minorEastAsia" w:eastAsiaTheme="minorEastAsia" w:cstheme="minorEastAsia"/>
          <w:color w:val="000000"/>
        </w:rPr>
        <w:t>的相关授权、服务承诺等资料以外，其余相关资料在投标时必须附在投标文件中。</w:t>
      </w:r>
    </w:p>
    <w:p>
      <w:pPr>
        <w:pStyle w:val="15"/>
        <w:spacing w:before="0" w:after="0" w:line="360" w:lineRule="auto"/>
        <w:jc w:val="left"/>
        <w:outlineLvl w:val="1"/>
        <w:rPr>
          <w:rFonts w:hint="eastAsia" w:asciiTheme="minorEastAsia" w:hAnsiTheme="minorEastAsia" w:eastAsiaTheme="minorEastAsia" w:cstheme="minorEastAsia"/>
          <w:color w:val="000000"/>
          <w:lang w:val="zh-CN"/>
        </w:rPr>
      </w:pPr>
      <w:bookmarkStart w:id="364" w:name="_Toc28335"/>
      <w:bookmarkStart w:id="365" w:name="_Toc744"/>
      <w:bookmarkStart w:id="366" w:name="_Toc29451"/>
      <w:bookmarkStart w:id="367" w:name="_Toc515908234"/>
      <w:r>
        <w:rPr>
          <w:rFonts w:hint="eastAsia" w:asciiTheme="minorEastAsia" w:hAnsiTheme="minorEastAsia" w:eastAsiaTheme="minorEastAsia" w:cstheme="minorEastAsia"/>
          <w:color w:val="000000"/>
          <w:sz w:val="28"/>
          <w:szCs w:val="28"/>
        </w:rPr>
        <w:t>3</w:t>
      </w:r>
      <w:r>
        <w:rPr>
          <w:rFonts w:hint="eastAsia" w:asciiTheme="minorEastAsia" w:hAnsiTheme="minorEastAsia" w:eastAsiaTheme="minorEastAsia" w:cstheme="minorEastAsia"/>
          <w:color w:val="000000"/>
          <w:sz w:val="28"/>
          <w:szCs w:val="28"/>
          <w:lang w:val="zh-CN"/>
        </w:rPr>
        <w:t>.商务要求</w:t>
      </w:r>
      <w:bookmarkEnd w:id="363"/>
      <w:bookmarkEnd w:id="364"/>
      <w:bookmarkEnd w:id="365"/>
      <w:bookmarkEnd w:id="366"/>
      <w:bookmarkEnd w:id="367"/>
    </w:p>
    <w:p>
      <w:pPr>
        <w:autoSpaceDE w:val="0"/>
        <w:autoSpaceDN w:val="0"/>
        <w:spacing w:line="360" w:lineRule="auto"/>
        <w:ind w:firstLine="420" w:firstLineChars="20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rPr>
        <w:t>3</w:t>
      </w:r>
      <w:r>
        <w:rPr>
          <w:rFonts w:hint="eastAsia" w:asciiTheme="minorEastAsia" w:hAnsiTheme="minorEastAsia" w:eastAsiaTheme="minorEastAsia" w:cstheme="minorEastAsia"/>
          <w:color w:val="000000"/>
          <w:kern w:val="0"/>
          <w:lang w:val="zh-CN"/>
        </w:rPr>
        <w:t>.1.交货时间：</w:t>
      </w:r>
      <w:r>
        <w:rPr>
          <w:rFonts w:hint="eastAsia" w:asciiTheme="minorEastAsia" w:hAnsiTheme="minorEastAsia" w:eastAsiaTheme="minorEastAsia" w:cstheme="minorEastAsia"/>
          <w:color w:val="000000"/>
          <w:lang w:eastAsia="zh-CN"/>
        </w:rPr>
        <w:t>合同签订后</w:t>
      </w:r>
      <w:r>
        <w:rPr>
          <w:rFonts w:hint="eastAsia" w:asciiTheme="minorEastAsia" w:hAnsiTheme="minorEastAsia" w:cstheme="minorEastAsia"/>
          <w:color w:val="000000"/>
          <w:lang w:val="en-US" w:eastAsia="zh-CN"/>
        </w:rPr>
        <w:t>20</w:t>
      </w:r>
      <w:r>
        <w:rPr>
          <w:rFonts w:hint="eastAsia" w:asciiTheme="minorEastAsia" w:hAnsiTheme="minorEastAsia" w:eastAsiaTheme="minorEastAsia" w:cstheme="minorEastAsia"/>
          <w:color w:val="000000"/>
          <w:lang w:val="en-US" w:eastAsia="zh-CN"/>
        </w:rPr>
        <w:t>个日</w:t>
      </w:r>
      <w:r>
        <w:rPr>
          <w:rFonts w:hint="eastAsia" w:asciiTheme="minorEastAsia" w:hAnsiTheme="minorEastAsia" w:cstheme="minorEastAsia"/>
          <w:color w:val="000000"/>
          <w:lang w:val="en-US" w:eastAsia="zh-CN"/>
        </w:rPr>
        <w:t>历天</w:t>
      </w:r>
      <w:r>
        <w:rPr>
          <w:rFonts w:hint="eastAsia" w:asciiTheme="minorEastAsia" w:hAnsiTheme="minorEastAsia" w:eastAsiaTheme="minorEastAsia" w:cstheme="minorEastAsia"/>
          <w:color w:val="000000"/>
          <w:kern w:val="0"/>
          <w:lang w:val="zh-CN"/>
        </w:rPr>
        <w:t>。</w:t>
      </w:r>
    </w:p>
    <w:p>
      <w:pPr>
        <w:autoSpaceDE w:val="0"/>
        <w:autoSpaceDN w:val="0"/>
        <w:spacing w:line="360" w:lineRule="auto"/>
        <w:ind w:firstLine="420" w:firstLineChars="200"/>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rPr>
        <w:t>3</w:t>
      </w:r>
      <w:r>
        <w:rPr>
          <w:rFonts w:hint="eastAsia" w:asciiTheme="minorEastAsia" w:hAnsiTheme="minorEastAsia" w:eastAsiaTheme="minorEastAsia" w:cstheme="minorEastAsia"/>
          <w:color w:val="auto"/>
          <w:kern w:val="0"/>
          <w:lang w:val="zh-CN"/>
        </w:rPr>
        <w:t>.2.交货地点：甲方指定地点</w:t>
      </w:r>
    </w:p>
    <w:p>
      <w:pPr>
        <w:autoSpaceDE w:val="0"/>
        <w:autoSpaceDN w:val="0"/>
        <w:spacing w:line="360" w:lineRule="auto"/>
        <w:ind w:firstLine="420" w:firstLineChars="200"/>
        <w:rPr>
          <w:rFonts w:hint="eastAsia" w:asciiTheme="minorEastAsia" w:hAnsiTheme="minorEastAsia" w:eastAsiaTheme="minorEastAsia" w:cstheme="minorEastAsia"/>
          <w:color w:val="auto"/>
          <w:kern w:val="0"/>
          <w:lang w:val="zh-CN"/>
        </w:rPr>
      </w:pPr>
      <w:r>
        <w:rPr>
          <w:rFonts w:hint="eastAsia" w:asciiTheme="minorEastAsia" w:hAnsiTheme="minorEastAsia" w:eastAsiaTheme="minorEastAsia" w:cstheme="minorEastAsia"/>
          <w:color w:val="auto"/>
          <w:kern w:val="0"/>
        </w:rPr>
        <w:t>3</w:t>
      </w:r>
      <w:r>
        <w:rPr>
          <w:rFonts w:hint="eastAsia" w:asciiTheme="minorEastAsia" w:hAnsiTheme="minorEastAsia" w:eastAsiaTheme="minorEastAsia" w:cstheme="minorEastAsia"/>
          <w:color w:val="auto"/>
          <w:kern w:val="0"/>
          <w:lang w:val="zh-CN"/>
        </w:rPr>
        <w:t>.3.付款方式：</w:t>
      </w:r>
      <w:r>
        <w:rPr>
          <w:rFonts w:hint="eastAsia" w:asciiTheme="minorEastAsia" w:hAnsiTheme="minorEastAsia" w:eastAsiaTheme="minorEastAsia" w:cstheme="minorEastAsia"/>
          <w:color w:val="auto"/>
          <w:kern w:val="0"/>
        </w:rPr>
        <w:t>详见“第</w:t>
      </w:r>
      <w:r>
        <w:rPr>
          <w:rFonts w:hint="eastAsia" w:asciiTheme="minorEastAsia" w:hAnsiTheme="minorEastAsia" w:eastAsiaTheme="minorEastAsia" w:cstheme="minorEastAsia"/>
          <w:color w:val="auto"/>
          <w:kern w:val="0"/>
          <w:lang w:val="en-US" w:eastAsia="zh-CN"/>
        </w:rPr>
        <w:t>四</w:t>
      </w:r>
      <w:r>
        <w:rPr>
          <w:rFonts w:hint="eastAsia" w:asciiTheme="minorEastAsia" w:hAnsiTheme="minorEastAsia" w:eastAsiaTheme="minorEastAsia" w:cstheme="minorEastAsia"/>
          <w:color w:val="auto"/>
          <w:kern w:val="0"/>
        </w:rPr>
        <w:t>部分  青海省政府采购项目合同书范本”中“四、付款方式”的规定</w:t>
      </w:r>
    </w:p>
    <w:p>
      <w:pPr>
        <w:autoSpaceDE w:val="0"/>
        <w:autoSpaceDN w:val="0"/>
        <w:spacing w:line="360" w:lineRule="auto"/>
        <w:ind w:firstLine="420" w:firstLineChars="200"/>
        <w:rPr>
          <w:rFonts w:hint="eastAsia" w:asciiTheme="minorEastAsia" w:hAnsiTheme="minorEastAsia" w:eastAsiaTheme="minorEastAsia" w:cstheme="minorEastAsia"/>
          <w:color w:val="000000"/>
          <w:kern w:val="0"/>
          <w:lang w:val="zh-CN"/>
        </w:rPr>
      </w:pPr>
      <w:r>
        <w:rPr>
          <w:rFonts w:hint="eastAsia" w:asciiTheme="minorEastAsia" w:hAnsiTheme="minorEastAsia" w:eastAsiaTheme="minorEastAsia" w:cstheme="minorEastAsia"/>
          <w:color w:val="000000"/>
          <w:kern w:val="0"/>
        </w:rPr>
        <w:t>3</w:t>
      </w:r>
      <w:r>
        <w:rPr>
          <w:rFonts w:hint="eastAsia" w:asciiTheme="minorEastAsia" w:hAnsiTheme="minorEastAsia" w:eastAsiaTheme="minorEastAsia" w:cstheme="minorEastAsia"/>
          <w:color w:val="000000"/>
          <w:kern w:val="0"/>
          <w:lang w:val="zh-CN"/>
        </w:rPr>
        <w:t>.4.免费质保期：</w:t>
      </w:r>
      <w:r>
        <w:rPr>
          <w:rFonts w:hint="eastAsia" w:asciiTheme="minorEastAsia" w:hAnsiTheme="minorEastAsia" w:eastAsiaTheme="minorEastAsia" w:cstheme="minorEastAsia"/>
          <w:color w:val="000000"/>
        </w:rPr>
        <w:t>免费质保期至少为</w:t>
      </w:r>
      <w:r>
        <w:rPr>
          <w:rFonts w:hint="eastAsia" w:asciiTheme="minorEastAsia" w:hAnsiTheme="minorEastAsia" w:eastAsiaTheme="minorEastAsia" w:cstheme="minorEastAsia"/>
          <w:b/>
          <w:bCs/>
          <w:color w:val="000000"/>
          <w:lang w:eastAsia="zh-CN"/>
        </w:rPr>
        <w:t>两</w:t>
      </w:r>
      <w:r>
        <w:rPr>
          <w:rFonts w:hint="eastAsia" w:asciiTheme="minorEastAsia" w:hAnsiTheme="minorEastAsia" w:eastAsiaTheme="minorEastAsia" w:cstheme="minorEastAsia"/>
          <w:b/>
          <w:bCs/>
          <w:color w:val="000000"/>
        </w:rPr>
        <w:t>年</w:t>
      </w:r>
      <w:r>
        <w:rPr>
          <w:rFonts w:hint="eastAsia" w:asciiTheme="minorEastAsia" w:hAnsiTheme="minorEastAsia" w:eastAsiaTheme="minorEastAsia" w:cstheme="minorEastAsia"/>
          <w:color w:val="000000"/>
        </w:rPr>
        <w:t>（技术参数中有要求的，按参数要求执行），从合同完工、安装、验收合格后开始计算。</w:t>
      </w: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numPr>
          <w:ilvl w:val="0"/>
          <w:numId w:val="0"/>
        </w:numPr>
        <w:jc w:val="center"/>
        <w:rPr>
          <w:rFonts w:hint="eastAsia"/>
          <w:b/>
          <w:bCs/>
          <w:sz w:val="36"/>
          <w:szCs w:val="36"/>
          <w:lang w:val="en-US" w:eastAsia="zh-CN"/>
        </w:rPr>
      </w:pPr>
      <w:r>
        <w:rPr>
          <w:rFonts w:hint="eastAsia"/>
          <w:b/>
          <w:bCs/>
          <w:sz w:val="36"/>
          <w:szCs w:val="36"/>
          <w:lang w:val="en-US" w:eastAsia="zh-CN"/>
        </w:rPr>
        <w:t>海北州藏医院库房配套设备项目</w:t>
      </w:r>
    </w:p>
    <w:p>
      <w:pPr>
        <w:numPr>
          <w:ilvl w:val="0"/>
          <w:numId w:val="0"/>
        </w:numPr>
        <w:jc w:val="center"/>
        <w:rPr>
          <w:rFonts w:hint="eastAsia"/>
          <w:lang w:val="en-US" w:eastAsia="zh-CN"/>
        </w:rPr>
      </w:pPr>
      <w:r>
        <w:rPr>
          <w:rFonts w:hint="eastAsia"/>
          <w:b/>
          <w:bCs/>
          <w:sz w:val="36"/>
          <w:szCs w:val="36"/>
          <w:lang w:val="en-US" w:eastAsia="zh-CN"/>
        </w:rPr>
        <w:t>第一章  采购项目清单</w:t>
      </w:r>
    </w:p>
    <w:p>
      <w:pPr>
        <w:pStyle w:val="16"/>
        <w:widowControl w:val="0"/>
        <w:numPr>
          <w:ilvl w:val="0"/>
          <w:numId w:val="0"/>
        </w:numPr>
        <w:spacing w:line="200" w:lineRule="exact"/>
        <w:jc w:val="both"/>
        <w:rPr>
          <w:rFonts w:hint="eastAsia"/>
          <w:lang w:val="en-US" w:eastAsia="zh-CN"/>
        </w:rPr>
      </w:pPr>
    </w:p>
    <w:tbl>
      <w:tblPr>
        <w:tblStyle w:val="17"/>
        <w:tblW w:w="8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2"/>
        <w:gridCol w:w="1721"/>
        <w:gridCol w:w="3859"/>
        <w:gridCol w:w="1260"/>
        <w:gridCol w:w="1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exact"/>
          <w:jc w:val="center"/>
        </w:trPr>
        <w:tc>
          <w:tcPr>
            <w:tcW w:w="612" w:type="dxa"/>
            <w:vAlign w:val="center"/>
          </w:tcPr>
          <w:p>
            <w:pPr>
              <w:spacing w:line="240" w:lineRule="auto"/>
              <w:jc w:val="center"/>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序号</w:t>
            </w:r>
          </w:p>
        </w:tc>
        <w:tc>
          <w:tcPr>
            <w:tcW w:w="1721" w:type="dxa"/>
            <w:tcBorders>
              <w:right w:val="single" w:color="auto" w:sz="4" w:space="0"/>
            </w:tcBorders>
            <w:vAlign w:val="center"/>
          </w:tcPr>
          <w:p>
            <w:pPr>
              <w:spacing w:line="240" w:lineRule="auto"/>
              <w:jc w:val="center"/>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名称</w:t>
            </w:r>
          </w:p>
        </w:tc>
        <w:tc>
          <w:tcPr>
            <w:tcW w:w="3859" w:type="dxa"/>
            <w:tcBorders>
              <w:left w:val="single" w:color="auto" w:sz="4" w:space="0"/>
            </w:tcBorders>
            <w:vAlign w:val="center"/>
          </w:tcPr>
          <w:p>
            <w:pPr>
              <w:spacing w:line="240" w:lineRule="auto"/>
              <w:jc w:val="center"/>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规格（mm）</w:t>
            </w:r>
          </w:p>
        </w:tc>
        <w:tc>
          <w:tcPr>
            <w:tcW w:w="1260" w:type="dxa"/>
            <w:tcBorders>
              <w:right w:val="single" w:color="auto" w:sz="4" w:space="0"/>
            </w:tcBorders>
            <w:vAlign w:val="center"/>
          </w:tcPr>
          <w:p>
            <w:pPr>
              <w:spacing w:line="240" w:lineRule="auto"/>
              <w:jc w:val="center"/>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数量</w:t>
            </w:r>
          </w:p>
        </w:tc>
        <w:tc>
          <w:tcPr>
            <w:tcW w:w="1004" w:type="dxa"/>
            <w:tcBorders>
              <w:left w:val="single" w:color="auto" w:sz="4" w:space="0"/>
            </w:tcBorders>
            <w:vAlign w:val="center"/>
          </w:tcPr>
          <w:p>
            <w:pPr>
              <w:spacing w:line="240" w:lineRule="auto"/>
              <w:jc w:val="center"/>
              <w:rPr>
                <w:rFonts w:hint="eastAsia" w:asciiTheme="minorEastAsia" w:hAnsiTheme="minorEastAsia" w:eastAsiaTheme="minorEastAsia" w:cstheme="minorEastAsia"/>
                <w:bCs/>
                <w:color w:val="000000"/>
                <w:sz w:val="21"/>
                <w:szCs w:val="21"/>
                <w:lang w:eastAsia="zh-CN"/>
              </w:rPr>
            </w:pPr>
            <w:r>
              <w:rPr>
                <w:rFonts w:hint="eastAsia" w:asciiTheme="minorEastAsia" w:hAnsiTheme="minorEastAsia" w:eastAsiaTheme="minorEastAsia" w:cstheme="minorEastAsia"/>
                <w:bCs/>
                <w:color w:val="000000"/>
                <w:sz w:val="21"/>
                <w:szCs w:val="21"/>
                <w:lang w:eastAsia="zh-CN"/>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exact"/>
          <w:jc w:val="center"/>
        </w:trPr>
        <w:tc>
          <w:tcPr>
            <w:tcW w:w="612" w:type="dxa"/>
            <w:vAlign w:val="center"/>
          </w:tcPr>
          <w:p>
            <w:pPr>
              <w:spacing w:line="240" w:lineRule="auto"/>
              <w:jc w:val="center"/>
              <w:rPr>
                <w:rFonts w:hint="eastAsia" w:asciiTheme="minorEastAsia" w:hAnsiTheme="minorEastAsia" w:eastAsiaTheme="minorEastAsia" w:cstheme="minorEastAsia"/>
                <w:bCs/>
                <w:color w:val="000000"/>
                <w:sz w:val="21"/>
                <w:szCs w:val="21"/>
                <w:lang w:val="en-US" w:eastAsia="zh-CN"/>
              </w:rPr>
            </w:pPr>
            <w:r>
              <w:rPr>
                <w:rFonts w:hint="eastAsia" w:asciiTheme="minorEastAsia" w:hAnsiTheme="minorEastAsia" w:cstheme="minorEastAsia"/>
                <w:bCs/>
                <w:color w:val="000000"/>
                <w:sz w:val="21"/>
                <w:szCs w:val="21"/>
                <w:lang w:val="en-US" w:eastAsia="zh-CN"/>
              </w:rPr>
              <w:t>1</w:t>
            </w:r>
          </w:p>
        </w:tc>
        <w:tc>
          <w:tcPr>
            <w:tcW w:w="1721" w:type="dxa"/>
            <w:tcBorders>
              <w:right w:val="single" w:color="auto" w:sz="4" w:space="0"/>
            </w:tcBorders>
            <w:vAlign w:val="center"/>
          </w:tcPr>
          <w:p>
            <w:pPr>
              <w:tabs>
                <w:tab w:val="left" w:pos="798"/>
              </w:tabs>
              <w:spacing w:line="240" w:lineRule="auto"/>
              <w:ind w:firstLine="210" w:firstLineChars="100"/>
              <w:jc w:val="center"/>
              <w:rPr>
                <w:rFonts w:hint="eastAsia" w:asciiTheme="minorEastAsia" w:hAnsiTheme="minorEastAsia" w:eastAsiaTheme="minorEastAsia" w:cstheme="minorEastAsia"/>
                <w:b w:val="0"/>
                <w:bCs/>
                <w:sz w:val="21"/>
                <w:szCs w:val="21"/>
              </w:rPr>
            </w:pPr>
            <w:r>
              <w:rPr>
                <w:rFonts w:hint="eastAsia" w:asciiTheme="minorEastAsia" w:hAnsiTheme="minorEastAsia" w:cstheme="minorEastAsia"/>
                <w:b w:val="0"/>
                <w:bCs/>
                <w:sz w:val="21"/>
                <w:szCs w:val="21"/>
                <w:lang w:eastAsia="zh-CN"/>
              </w:rPr>
              <w:t>智能</w:t>
            </w:r>
            <w:r>
              <w:rPr>
                <w:rFonts w:hint="eastAsia" w:asciiTheme="minorEastAsia" w:hAnsiTheme="minorEastAsia" w:eastAsiaTheme="minorEastAsia" w:cstheme="minorEastAsia"/>
                <w:b w:val="0"/>
                <w:bCs/>
                <w:sz w:val="21"/>
                <w:szCs w:val="21"/>
              </w:rPr>
              <w:t>密集架</w:t>
            </w:r>
          </w:p>
        </w:tc>
        <w:tc>
          <w:tcPr>
            <w:tcW w:w="3859" w:type="dxa"/>
            <w:tcBorders>
              <w:left w:val="single" w:color="auto" w:sz="4" w:space="0"/>
            </w:tcBorders>
            <w:vAlign w:val="center"/>
          </w:tcPr>
          <w:p>
            <w:pPr>
              <w:tabs>
                <w:tab w:val="left" w:pos="798"/>
              </w:tabs>
              <w:spacing w:line="240" w:lineRule="auto"/>
              <w:ind w:firstLine="210" w:firstLineChars="100"/>
              <w:jc w:val="center"/>
              <w:rPr>
                <w:rFonts w:hint="eastAsia" w:asciiTheme="minorEastAsia" w:hAnsiTheme="minorEastAsia" w:cstheme="minorEastAsia"/>
                <w:b w:val="0"/>
                <w:bCs/>
                <w:sz w:val="21"/>
                <w:szCs w:val="21"/>
                <w:lang w:val="en-US" w:eastAsia="zh-CN"/>
              </w:rPr>
            </w:pPr>
            <w:r>
              <w:rPr>
                <w:rFonts w:hint="eastAsia" w:asciiTheme="minorEastAsia" w:hAnsiTheme="minorEastAsia" w:cstheme="minorEastAsia"/>
                <w:b w:val="0"/>
                <w:bCs/>
                <w:sz w:val="21"/>
                <w:szCs w:val="21"/>
                <w:lang w:val="en-US" w:eastAsia="zh-CN"/>
              </w:rPr>
              <w:t>规格：27</w:t>
            </w:r>
            <w:r>
              <w:rPr>
                <w:rFonts w:hint="default" w:asciiTheme="minorEastAsia" w:hAnsiTheme="minorEastAsia" w:eastAsiaTheme="minorEastAsia" w:cstheme="minorEastAsia"/>
                <w:b w:val="0"/>
                <w:bCs/>
                <w:sz w:val="21"/>
                <w:szCs w:val="21"/>
                <w:lang w:val="en-US" w:eastAsia="zh-CN"/>
              </w:rPr>
              <w:t>00</w:t>
            </w:r>
            <w:r>
              <w:rPr>
                <w:rFonts w:hint="eastAsia" w:asciiTheme="minorEastAsia" w:hAnsiTheme="minorEastAsia" w:cstheme="minorEastAsia"/>
                <w:b w:val="0"/>
                <w:bCs/>
                <w:sz w:val="21"/>
                <w:szCs w:val="21"/>
                <w:lang w:val="en-US" w:eastAsia="zh-CN"/>
              </w:rPr>
              <w:t>*</w:t>
            </w:r>
            <w:r>
              <w:rPr>
                <w:rFonts w:hint="default" w:asciiTheme="minorEastAsia" w:hAnsiTheme="minorEastAsia" w:eastAsiaTheme="minorEastAsia" w:cstheme="minorEastAsia"/>
                <w:b w:val="0"/>
                <w:bCs/>
                <w:sz w:val="21"/>
                <w:szCs w:val="21"/>
                <w:lang w:val="en-US" w:eastAsia="zh-CN"/>
              </w:rPr>
              <w:t>7</w:t>
            </w:r>
            <w:r>
              <w:rPr>
                <w:rFonts w:hint="eastAsia" w:asciiTheme="minorEastAsia" w:hAnsiTheme="minorEastAsia" w:cstheme="minorEastAsia"/>
                <w:b w:val="0"/>
                <w:bCs/>
                <w:sz w:val="21"/>
                <w:szCs w:val="21"/>
                <w:lang w:val="en-US" w:eastAsia="zh-CN"/>
              </w:rPr>
              <w:t>3</w:t>
            </w:r>
            <w:r>
              <w:rPr>
                <w:rFonts w:hint="default" w:asciiTheme="minorEastAsia" w:hAnsiTheme="minorEastAsia" w:eastAsiaTheme="minorEastAsia" w:cstheme="minorEastAsia"/>
                <w:b w:val="0"/>
                <w:bCs/>
                <w:sz w:val="21"/>
                <w:szCs w:val="21"/>
                <w:lang w:val="en-US" w:eastAsia="zh-CN"/>
              </w:rPr>
              <w:t>0</w:t>
            </w:r>
            <w:r>
              <w:rPr>
                <w:rFonts w:hint="eastAsia" w:asciiTheme="minorEastAsia" w:hAnsiTheme="minorEastAsia" w:cstheme="minorEastAsia"/>
                <w:b w:val="0"/>
                <w:bCs/>
                <w:sz w:val="21"/>
                <w:szCs w:val="21"/>
                <w:lang w:val="en-US" w:eastAsia="zh-CN"/>
              </w:rPr>
              <w:t>*</w:t>
            </w:r>
            <w:r>
              <w:rPr>
                <w:rFonts w:hint="default" w:asciiTheme="minorEastAsia" w:hAnsiTheme="minorEastAsia" w:eastAsiaTheme="minorEastAsia" w:cstheme="minorEastAsia"/>
                <w:b w:val="0"/>
                <w:bCs/>
                <w:sz w:val="21"/>
                <w:szCs w:val="21"/>
                <w:lang w:val="en-US" w:eastAsia="zh-CN"/>
              </w:rPr>
              <w:t>2500mm</w:t>
            </w:r>
          </w:p>
          <w:p>
            <w:pPr>
              <w:tabs>
                <w:tab w:val="left" w:pos="798"/>
              </w:tabs>
              <w:spacing w:line="240" w:lineRule="auto"/>
              <w:jc w:val="both"/>
              <w:rPr>
                <w:rFonts w:hint="default" w:asciiTheme="minorEastAsia" w:hAnsiTheme="minorEastAsia" w:eastAsiaTheme="minorEastAsia" w:cstheme="minorEastAsia"/>
                <w:b w:val="0"/>
                <w:bCs/>
                <w:sz w:val="21"/>
                <w:szCs w:val="21"/>
                <w:lang w:val="en-US" w:eastAsia="zh-CN"/>
              </w:rPr>
            </w:pPr>
          </w:p>
        </w:tc>
        <w:tc>
          <w:tcPr>
            <w:tcW w:w="1260" w:type="dxa"/>
            <w:tcBorders>
              <w:right w:val="single" w:color="auto" w:sz="4" w:space="0"/>
            </w:tcBorders>
            <w:vAlign w:val="center"/>
          </w:tcPr>
          <w:p>
            <w:pPr>
              <w:tabs>
                <w:tab w:val="left" w:pos="798"/>
              </w:tabs>
              <w:spacing w:line="240" w:lineRule="auto"/>
              <w:ind w:firstLine="210" w:firstLineChars="100"/>
              <w:jc w:val="center"/>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cstheme="minorEastAsia"/>
                <w:b w:val="0"/>
                <w:bCs/>
                <w:sz w:val="21"/>
                <w:szCs w:val="21"/>
                <w:lang w:val="en-US" w:eastAsia="zh-CN"/>
              </w:rPr>
              <w:t>94.5</w:t>
            </w:r>
          </w:p>
        </w:tc>
        <w:tc>
          <w:tcPr>
            <w:tcW w:w="1004" w:type="dxa"/>
            <w:tcBorders>
              <w:left w:val="single" w:color="auto" w:sz="4" w:space="0"/>
              <w:bottom w:val="single" w:color="auto" w:sz="4" w:space="0"/>
            </w:tcBorders>
            <w:vAlign w:val="center"/>
          </w:tcPr>
          <w:p>
            <w:pPr>
              <w:tabs>
                <w:tab w:val="left" w:pos="798"/>
              </w:tabs>
              <w:spacing w:line="240" w:lineRule="auto"/>
              <w:jc w:val="center"/>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cstheme="minorEastAsia"/>
                <w:b w:val="0"/>
                <w:bCs/>
                <w:sz w:val="21"/>
                <w:szCs w:val="21"/>
                <w:lang w:val="en-US" w:eastAsia="zh-CN"/>
              </w:rPr>
              <w:t>㎡</w:t>
            </w:r>
          </w:p>
        </w:tc>
      </w:tr>
    </w:tbl>
    <w:p>
      <w:pPr>
        <w:pStyle w:val="2"/>
      </w:pPr>
    </w:p>
    <w:p>
      <w:pPr>
        <w:numPr>
          <w:ilvl w:val="0"/>
          <w:numId w:val="0"/>
        </w:numPr>
        <w:jc w:val="center"/>
        <w:rPr>
          <w:rFonts w:hint="eastAsia"/>
          <w:b/>
          <w:bCs/>
          <w:sz w:val="36"/>
          <w:szCs w:val="36"/>
          <w:lang w:val="en-US" w:eastAsia="zh-CN"/>
        </w:rPr>
      </w:pPr>
      <w:r>
        <w:rPr>
          <w:rFonts w:hint="eastAsia"/>
          <w:b/>
          <w:bCs/>
          <w:sz w:val="36"/>
          <w:szCs w:val="36"/>
          <w:lang w:val="en-US" w:eastAsia="zh-CN"/>
        </w:rPr>
        <w:t>第二章     采购技术参数及要求</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1、执行标准和相关技术规范</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GB/T13667.3-2013 手动密集架技术条件</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GB/T13667.4-2013 电动密集书架技术条件</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GB/T3325-2008《金属家具通用技术条件》</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 708-2019 冷轧钢板和钢带的尺寸、外形、重量及允许偏差</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GB/T11253-2007 碳素结构钢热轧薄钢板和钢带</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GB/T6807-2001 钢铁工件涂装前磷化处理技术条件</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 699-2015 优质碳素结构钢</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GB/T1720-79 漆膜附着力测定法</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GB/T4357-2009 冷拉碳素弹簧钢丝</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 8162-2018 结构用无缝钢管</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GB/T9439-2010 灰铁铸件</w:t>
      </w:r>
    </w:p>
    <w:p>
      <w:pPr>
        <w:widowControl/>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2、密集架主要技术参数要求：</w:t>
      </w:r>
    </w:p>
    <w:p>
      <w:pPr>
        <w:widowControl/>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2.1密集架架体主要原材料冷轧钢板符合GB-T11253-2016 碳素结构钢冷轧薄钢板及钢带技术条件，热轧钢板符合GB 711-2008 优质碳素结构钢热轧厚钢板和钢带技术条件，产品表面处理及质量符合GB/T 6807-2001钢铁工件涂装前磷化处理技术条件的国家标准。</w:t>
      </w:r>
      <w:r>
        <w:rPr>
          <w:rFonts w:hint="eastAsia" w:asciiTheme="minorEastAsia" w:hAnsiTheme="minorEastAsia" w:eastAsiaTheme="minorEastAsia" w:cstheme="minorEastAsia"/>
          <w:sz w:val="24"/>
          <w:szCs w:val="24"/>
          <w:lang w:val="en-US" w:eastAsia="zh-CN"/>
        </w:rPr>
        <w:t>双柱</w:t>
      </w:r>
      <w:r>
        <w:rPr>
          <w:rFonts w:hint="eastAsia" w:asciiTheme="minorEastAsia" w:hAnsiTheme="minorEastAsia" w:eastAsiaTheme="minorEastAsia" w:cstheme="minorEastAsia"/>
          <w:sz w:val="24"/>
          <w:szCs w:val="24"/>
        </w:rPr>
        <w:t>式结构，载荷能力强，架体运行平稳，无噪声，架体在做推拉运动时，其摇把部件不会跟着旋转，配防尘、防鼠装置，空间利用率高，内层板高度可自行调节。</w:t>
      </w:r>
    </w:p>
    <w:p>
      <w:pPr>
        <w:widowControl/>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2.2高压静电喷塑，塑粉采用优质环保型高附着力的银离子抗菌热固性粉末，表面涂层高温固化而成，提高其防锈蚀和抗菌性能（大肠杆菌＞87%，金黄色葡萄球菌＞9</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 白色念珠菌＞99%）。</w:t>
      </w:r>
    </w:p>
    <w:p>
      <w:pPr>
        <w:widowControl/>
        <w:ind w:firstLine="240" w:firstLineChars="1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2.3</w:t>
      </w:r>
      <w:r>
        <w:rPr>
          <w:rFonts w:hint="eastAsia" w:asciiTheme="minorEastAsia" w:hAnsiTheme="minorEastAsia" w:eastAsiaTheme="minorEastAsia" w:cstheme="minorEastAsia"/>
          <w:sz w:val="24"/>
          <w:szCs w:val="24"/>
        </w:rPr>
        <w:t>密集架组件：</w:t>
      </w:r>
    </w:p>
    <w:p>
      <w:pPr>
        <w:widowControl/>
        <w:ind w:firstLine="240" w:firstLineChars="10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主架采用国内知名品牌冷轧钢板，立柱1.5mm，层板1.2mm，挂板、门板、挡棒、侧板、防尘板、防鼠板1.0mm,防倾倒装置、底</w:t>
      </w:r>
      <w:r>
        <w:rPr>
          <w:rFonts w:hint="eastAsia" w:asciiTheme="minorEastAsia" w:hAnsiTheme="minorEastAsia" w:cstheme="minorEastAsia"/>
          <w:b w:val="0"/>
          <w:bCs w:val="0"/>
          <w:sz w:val="24"/>
          <w:szCs w:val="24"/>
          <w:lang w:val="en-US" w:eastAsia="zh-CN"/>
        </w:rPr>
        <w:t>架</w:t>
      </w:r>
      <w:r>
        <w:rPr>
          <w:rFonts w:hint="eastAsia" w:asciiTheme="minorEastAsia" w:hAnsiTheme="minorEastAsia" w:eastAsiaTheme="minorEastAsia" w:cstheme="minorEastAsia"/>
          <w:b w:val="0"/>
          <w:bCs w:val="0"/>
          <w:sz w:val="24"/>
          <w:szCs w:val="24"/>
          <w:lang w:val="en-US" w:eastAsia="zh-CN"/>
        </w:rPr>
        <w:t>3.0mm</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lang w:val="en-US" w:eastAsia="zh-CN"/>
        </w:rPr>
        <w:t>磁性冰箱门磁条，固定列锁具采用密集架专用豪华锁。</w:t>
      </w: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（1）无焊接式立柱：采用1.5mm优质冷轧钢板，立柱采用数控成型机一次性辊压成型，每根立柱均为单独式，无需焊接连杆。在立柱顶端无调节孔正面设计冲有并排平行两个</w:t>
      </w:r>
      <w:r>
        <w:rPr>
          <w:rFonts w:hint="eastAsia" w:asciiTheme="minorEastAsia" w:hAnsiTheme="minorEastAsia" w:eastAsiaTheme="minorEastAsia" w:cstheme="minorEastAsia"/>
          <w:sz w:val="24"/>
          <w:szCs w:val="24"/>
        </w:rPr>
        <w:drawing>
          <wp:inline distT="0" distB="0" distL="114300" distR="114300">
            <wp:extent cx="321310" cy="272415"/>
            <wp:effectExtent l="0" t="0" r="1397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321310" cy="27241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插孔，以设计对称的顶板连接相扣，连扣时无需开孔用螺丝或铆钉固定。拆装简捷，牢固稳定，杜绝安装噪声，节能环保。附图如下：</w:t>
      </w:r>
    </w:p>
    <w:p>
      <w:pPr>
        <w:bidi w:val="0"/>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3149600" cy="1369060"/>
            <wp:effectExtent l="0" t="0" r="5080"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6"/>
                    <a:stretch>
                      <a:fillRect/>
                    </a:stretch>
                  </pic:blipFill>
                  <pic:spPr>
                    <a:xfrm>
                      <a:off x="0" y="0"/>
                      <a:ext cx="3149600" cy="136906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1529080" cy="950595"/>
            <wp:effectExtent l="0" t="0" r="10160" b="9525"/>
            <wp:docPr id="17" name="图片 17" descr="立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立柱"/>
                    <pic:cNvPicPr>
                      <a:picLocks noChangeAspect="1"/>
                    </pic:cNvPicPr>
                  </pic:nvPicPr>
                  <pic:blipFill>
                    <a:blip r:embed="rId7"/>
                    <a:stretch>
                      <a:fillRect/>
                    </a:stretch>
                  </pic:blipFill>
                  <pic:spPr>
                    <a:xfrm>
                      <a:off x="0" y="0"/>
                      <a:ext cx="1529080" cy="950595"/>
                    </a:xfrm>
                    <a:prstGeom prst="rect">
                      <a:avLst/>
                    </a:prstGeom>
                  </pic:spPr>
                </pic:pic>
              </a:graphicData>
            </a:graphic>
          </wp:inline>
        </w:drawing>
      </w:r>
    </w:p>
    <w:p>
      <w:pPr>
        <w:numPr>
          <w:ilvl w:val="0"/>
          <w:numId w:val="0"/>
        </w:numPr>
        <w:jc w:val="left"/>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（2）挂板采用</w:t>
      </w:r>
      <w:r>
        <w:rPr>
          <w:rFonts w:hint="eastAsia" w:asciiTheme="minorEastAsia" w:hAnsiTheme="minorEastAsia" w:eastAsiaTheme="minorEastAsia" w:cstheme="minorEastAsia"/>
          <w:sz w:val="24"/>
          <w:szCs w:val="24"/>
          <w:lang w:val="en-US" w:eastAsia="zh-CN"/>
        </w:rPr>
        <w:t>1.0mm</w:t>
      </w:r>
      <w:r>
        <w:rPr>
          <w:rFonts w:hint="eastAsia" w:asciiTheme="minorEastAsia" w:hAnsiTheme="minorEastAsia" w:eastAsiaTheme="minorEastAsia" w:cstheme="minorEastAsia"/>
          <w:b w:val="0"/>
          <w:bCs w:val="0"/>
          <w:sz w:val="24"/>
          <w:szCs w:val="24"/>
          <w:lang w:val="en-US" w:eastAsia="zh-CN"/>
        </w:rPr>
        <w:t xml:space="preserve">优质冷轧钢板经一体成型流水线冲压成型，两端二排四挂钩结构设计，中间腰形拉伸翻边模成形两个台阶加强孔，俩个腰形孔中心距为196mm，孔上下位置设有俩组四根圆筋，圆筋长度为159mm，相距84mm，挂板上下端直角折弯，并冲有四个凸槽，凸槽间相距121mm，可使搁板嵌置于弯边凸肩上。俩端挂钩进行四次折弯，每个挂钩采用凹槽型设计，凹槽深度为8mm，挂钩与挂钩距离为22mm，便于挂板与立柱之间连接稳固，组装后平整、牢固、承重性好、外观新颖，可防止搁板前后窜动，通用性互换性好。表面再采用酸洗磷化后进行喷塑处理，外形美观，色泽鲜亮，使基本材质不会腐蚀，经久耐用。挂板与立柱之间连接方式采用四挂钩扣接，四挂钩挂板相对于传统挂板，强度高，承重性能更优越，挂板与立柱对接处更牢固。附图如下：  </w:t>
      </w:r>
    </w:p>
    <w:p>
      <w:pPr>
        <w:pStyle w:val="11"/>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sz w:val="24"/>
          <w:szCs w:val="24"/>
        </w:rPr>
        <w:drawing>
          <wp:inline distT="0" distB="0" distL="114300" distR="114300">
            <wp:extent cx="3101340" cy="1343660"/>
            <wp:effectExtent l="0" t="0" r="7620" b="1270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8"/>
                    <a:stretch>
                      <a:fillRect/>
                    </a:stretch>
                  </pic:blipFill>
                  <pic:spPr>
                    <a:xfrm>
                      <a:off x="0" y="0"/>
                      <a:ext cx="3101340" cy="1343660"/>
                    </a:xfrm>
                    <a:prstGeom prst="rect">
                      <a:avLst/>
                    </a:prstGeom>
                    <a:noFill/>
                    <a:ln w="9525">
                      <a:noFill/>
                    </a:ln>
                  </pic:spPr>
                </pic:pic>
              </a:graphicData>
            </a:graphic>
          </wp:inline>
        </w:drawing>
      </w:r>
    </w:p>
    <w:p>
      <w:pPr>
        <w:numPr>
          <w:ilvl w:val="0"/>
          <w:numId w:val="0"/>
        </w:numPr>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层板</w:t>
      </w:r>
      <w:r>
        <w:rPr>
          <w:rFonts w:hint="eastAsia" w:asciiTheme="minorEastAsia" w:hAnsiTheme="minorEastAsia" w:eastAsiaTheme="minorEastAsia" w:cstheme="minorEastAsia"/>
          <w:sz w:val="24"/>
          <w:szCs w:val="24"/>
        </w:rPr>
        <w:t>：采用1</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mm优质冷轧钢板一次滚压成型，层板正面压两组圆弧筋，每组由一主筋和一辅筋组成，每组筋宽为12mm±0.5mm,主筋深度为4mm，辅筋深度为4mm，承重≥100kg，满负载24小时后曲挠度不小于3mm，卸载后自动恢复，层板正面主中心筋到边尺寸为70mm，主筋与辅筋之间的中心距离为5mm，层板两侧面三道边成型位置各压1根圆弧加强筋，加强筋宽度为6mm，深度为3mm，用以增加层板承重能力，使得层板在承重后不易弯曲。</w:t>
      </w:r>
      <w:r>
        <w:rPr>
          <w:rFonts w:hint="eastAsia" w:asciiTheme="minorEastAsia" w:hAnsiTheme="minorEastAsia" w:eastAsiaTheme="minorEastAsia" w:cstheme="minorEastAsia"/>
          <w:sz w:val="24"/>
          <w:szCs w:val="24"/>
          <w:lang w:val="en-US" w:eastAsia="zh-CN"/>
        </w:rPr>
        <w:t>附图如下：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2"/>
        <w:gridCol w:w="3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4512" w:type="dxa"/>
          </w:tcPr>
          <w:p>
            <w:pPr>
              <w:numPr>
                <w:ilvl w:val="0"/>
                <w:numId w:val="0"/>
              </w:numPr>
              <w:jc w:val="both"/>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kern w:val="0"/>
                <w:sz w:val="24"/>
                <w:szCs w:val="24"/>
              </w:rPr>
              <w:drawing>
                <wp:anchor distT="0" distB="0" distL="114300" distR="114300" simplePos="0" relativeHeight="1178624000" behindDoc="0" locked="0" layoutInCell="1" allowOverlap="1">
                  <wp:simplePos x="0" y="0"/>
                  <wp:positionH relativeFrom="column">
                    <wp:posOffset>860425</wp:posOffset>
                  </wp:positionH>
                  <wp:positionV relativeFrom="page">
                    <wp:posOffset>-718185</wp:posOffset>
                  </wp:positionV>
                  <wp:extent cx="925830" cy="2718435"/>
                  <wp:effectExtent l="0" t="0" r="5715" b="7620"/>
                  <wp:wrapNone/>
                  <wp:docPr id="16" name="图片 1" descr="成形托板尺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成形托板尺寸图"/>
                          <pic:cNvPicPr>
                            <a:picLocks noChangeAspect="1"/>
                          </pic:cNvPicPr>
                        </pic:nvPicPr>
                        <pic:blipFill>
                          <a:blip r:embed="rId9"/>
                          <a:srcRect l="6188"/>
                          <a:stretch>
                            <a:fillRect/>
                          </a:stretch>
                        </pic:blipFill>
                        <pic:spPr>
                          <a:xfrm rot="5400000">
                            <a:off x="0" y="0"/>
                            <a:ext cx="925830" cy="2718435"/>
                          </a:xfrm>
                          <a:prstGeom prst="rect">
                            <a:avLst/>
                          </a:prstGeom>
                          <a:noFill/>
                          <a:ln w="9525">
                            <a:noFill/>
                          </a:ln>
                        </pic:spPr>
                      </pic:pic>
                    </a:graphicData>
                  </a:graphic>
                </wp:anchor>
              </w:drawing>
            </w:r>
          </w:p>
        </w:tc>
        <w:tc>
          <w:tcPr>
            <w:tcW w:w="3818" w:type="dxa"/>
          </w:tcPr>
          <w:p>
            <w:pPr>
              <w:numPr>
                <w:ilvl w:val="0"/>
                <w:numId w:val="0"/>
              </w:numPr>
              <w:jc w:val="both"/>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kern w:val="0"/>
                <w:sz w:val="24"/>
                <w:szCs w:val="24"/>
              </w:rPr>
              <w:drawing>
                <wp:anchor distT="0" distB="0" distL="114300" distR="114300" simplePos="0" relativeHeight="1216986112" behindDoc="0" locked="0" layoutInCell="1" allowOverlap="1">
                  <wp:simplePos x="0" y="0"/>
                  <wp:positionH relativeFrom="column">
                    <wp:posOffset>-15240</wp:posOffset>
                  </wp:positionH>
                  <wp:positionV relativeFrom="page">
                    <wp:posOffset>209550</wp:posOffset>
                  </wp:positionV>
                  <wp:extent cx="2327910" cy="854710"/>
                  <wp:effectExtent l="0" t="0" r="15240" b="2540"/>
                  <wp:wrapNone/>
                  <wp:docPr id="21" name="图片 2" descr="1_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1_dwg"/>
                          <pic:cNvPicPr>
                            <a:picLocks noChangeAspect="1"/>
                          </pic:cNvPicPr>
                        </pic:nvPicPr>
                        <pic:blipFill>
                          <a:blip r:embed="rId10"/>
                          <a:srcRect l="12350" t="14310" r="5219" b="12756"/>
                          <a:stretch>
                            <a:fillRect/>
                          </a:stretch>
                        </pic:blipFill>
                        <pic:spPr>
                          <a:xfrm>
                            <a:off x="0" y="0"/>
                            <a:ext cx="2327910" cy="854710"/>
                          </a:xfrm>
                          <a:prstGeom prst="rect">
                            <a:avLst/>
                          </a:prstGeom>
                          <a:noFill/>
                          <a:ln w="9525">
                            <a:noFill/>
                          </a:ln>
                        </pic:spPr>
                      </pic:pic>
                    </a:graphicData>
                  </a:graphic>
                </wp:anchor>
              </w:drawing>
            </w:r>
          </w:p>
        </w:tc>
      </w:tr>
    </w:tbl>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卡挂式顶板：采用1.0mm优质冷轧钢板，顶板通过六折边成型，在顶面和第二道边上分别用数控冲有</w:t>
      </w:r>
      <w:r>
        <w:rPr>
          <w:rFonts w:hint="eastAsia" w:asciiTheme="minorEastAsia" w:hAnsiTheme="minorEastAsia" w:eastAsiaTheme="minorEastAsia" w:cstheme="minorEastAsia"/>
          <w:sz w:val="24"/>
          <w:szCs w:val="24"/>
        </w:rPr>
        <w:drawing>
          <wp:inline distT="0" distB="0" distL="114300" distR="114300">
            <wp:extent cx="452755" cy="377190"/>
            <wp:effectExtent l="0" t="0" r="4445"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452755" cy="37719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 xml:space="preserve"> 三组两排 </w:t>
      </w:r>
      <w:r>
        <w:rPr>
          <w:rFonts w:hint="eastAsia" w:asciiTheme="minorEastAsia" w:hAnsiTheme="minorEastAsia" w:eastAsiaTheme="minorEastAsia" w:cstheme="minorEastAsia"/>
          <w:sz w:val="24"/>
          <w:szCs w:val="24"/>
        </w:rPr>
        <w:drawing>
          <wp:inline distT="0" distB="0" distL="114300" distR="114300">
            <wp:extent cx="321945" cy="403225"/>
            <wp:effectExtent l="0" t="0" r="13335" b="825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2"/>
                    <a:stretch>
                      <a:fillRect/>
                    </a:stretch>
                  </pic:blipFill>
                  <pic:spPr>
                    <a:xfrm>
                      <a:off x="0" y="0"/>
                      <a:ext cx="321945" cy="40322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 xml:space="preserve">型和 </w:t>
      </w:r>
      <w:r>
        <w:rPr>
          <w:rFonts w:hint="eastAsia" w:asciiTheme="minorEastAsia" w:hAnsiTheme="minorEastAsia" w:eastAsiaTheme="minorEastAsia" w:cstheme="minorEastAsia"/>
          <w:sz w:val="24"/>
          <w:szCs w:val="24"/>
        </w:rPr>
        <w:drawing>
          <wp:inline distT="0" distB="0" distL="114300" distR="114300">
            <wp:extent cx="248285" cy="273685"/>
            <wp:effectExtent l="0" t="0" r="1079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248285" cy="27368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 xml:space="preserve">蝴蝶半翘型紧扣锁孔，与立柱上面并排 </w:t>
      </w:r>
      <w:r>
        <w:rPr>
          <w:rFonts w:hint="eastAsia" w:asciiTheme="minorEastAsia" w:hAnsiTheme="minorEastAsia" w:eastAsiaTheme="minorEastAsia" w:cstheme="minorEastAsia"/>
          <w:sz w:val="24"/>
          <w:szCs w:val="24"/>
        </w:rPr>
        <w:drawing>
          <wp:inline distT="0" distB="0" distL="114300" distR="114300">
            <wp:extent cx="379730" cy="324485"/>
            <wp:effectExtent l="0" t="0" r="127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4"/>
                    <a:stretch>
                      <a:fillRect/>
                    </a:stretch>
                  </pic:blipFill>
                  <pic:spPr>
                    <a:xfrm>
                      <a:off x="0" y="0"/>
                      <a:ext cx="379730" cy="32448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对孔相接，环形相扣，无需螺丝、铆钉固定，拆装自如，牢固稳定。附图如下：</w:t>
      </w:r>
    </w:p>
    <w:p>
      <w:pPr>
        <w:numPr>
          <w:ilvl w:val="0"/>
          <w:numId w:val="0"/>
        </w:num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3280410" cy="1095375"/>
            <wp:effectExtent l="0" t="0" r="11430" b="190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3280410" cy="109537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1824990" cy="1071245"/>
            <wp:effectExtent l="0" t="0" r="0" b="0"/>
            <wp:docPr id="13" name="图片 13" descr="顶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顶板"/>
                    <pic:cNvPicPr>
                      <a:picLocks noChangeAspect="1"/>
                    </pic:cNvPicPr>
                  </pic:nvPicPr>
                  <pic:blipFill>
                    <a:blip r:embed="rId16"/>
                    <a:stretch>
                      <a:fillRect/>
                    </a:stretch>
                  </pic:blipFill>
                  <pic:spPr>
                    <a:xfrm>
                      <a:off x="0" y="0"/>
                      <a:ext cx="1824990" cy="1071245"/>
                    </a:xfrm>
                    <a:prstGeom prst="rect">
                      <a:avLst/>
                    </a:prstGeom>
                  </pic:spPr>
                </pic:pic>
              </a:graphicData>
            </a:graphic>
          </wp:inline>
        </w:drawing>
      </w:r>
    </w:p>
    <w:p>
      <w:pPr>
        <w:pStyle w:val="16"/>
        <w:ind w:left="0" w:leftChars="0" w:firstLine="0" w:firstLineChars="0"/>
        <w:rPr>
          <w:rFonts w:hint="eastAsia" w:asciiTheme="minorEastAsia" w:hAnsiTheme="minorEastAsia" w:eastAsiaTheme="minorEastAsia" w:cstheme="minorEastAsia"/>
          <w:sz w:val="24"/>
          <w:szCs w:val="24"/>
        </w:rPr>
      </w:pPr>
    </w:p>
    <w:p>
      <w:pPr>
        <w:numPr>
          <w:ilvl w:val="0"/>
          <w:numId w:val="0"/>
        </w:num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）卡扣式防尘板：采用1.0mm优质冷轧钢板，</w:t>
      </w:r>
      <w:r>
        <w:rPr>
          <w:rFonts w:hint="eastAsia" w:asciiTheme="minorEastAsia" w:hAnsiTheme="minorEastAsia" w:eastAsiaTheme="minorEastAsia" w:cstheme="minorEastAsia"/>
          <w:sz w:val="24"/>
          <w:szCs w:val="24"/>
          <w:lang w:val="en-US" w:eastAsia="zh-CN"/>
        </w:rPr>
        <w:t xml:space="preserve">通过两道半坡型数控成型，在第二道边上分别数控冲有三组两排 </w:t>
      </w:r>
      <w:r>
        <w:rPr>
          <w:rFonts w:hint="eastAsia" w:asciiTheme="minorEastAsia" w:hAnsiTheme="minorEastAsia" w:eastAsiaTheme="minorEastAsia" w:cstheme="minorEastAsia"/>
          <w:sz w:val="24"/>
          <w:szCs w:val="24"/>
        </w:rPr>
        <w:drawing>
          <wp:inline distT="0" distB="0" distL="114300" distR="114300">
            <wp:extent cx="537210" cy="260985"/>
            <wp:effectExtent l="0" t="0" r="1143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537210" cy="26098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 xml:space="preserve"> 六孔卡钩，以顶板上三组两排</w:t>
      </w:r>
      <w:r>
        <w:rPr>
          <w:rFonts w:hint="eastAsia" w:asciiTheme="minorEastAsia" w:hAnsiTheme="minorEastAsia" w:eastAsiaTheme="minorEastAsia" w:cstheme="minorEastAsia"/>
          <w:sz w:val="24"/>
          <w:szCs w:val="24"/>
        </w:rPr>
        <w:drawing>
          <wp:inline distT="0" distB="0" distL="114300" distR="114300">
            <wp:extent cx="294640" cy="368935"/>
            <wp:effectExtent l="0" t="0" r="10160" b="1206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2"/>
                    <a:stretch>
                      <a:fillRect/>
                    </a:stretch>
                  </pic:blipFill>
                  <pic:spPr>
                    <a:xfrm>
                      <a:off x="0" y="0"/>
                      <a:ext cx="294640" cy="36893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 xml:space="preserve">型和 </w:t>
      </w:r>
      <w:r>
        <w:rPr>
          <w:rFonts w:hint="eastAsia" w:asciiTheme="minorEastAsia" w:hAnsiTheme="minorEastAsia" w:eastAsiaTheme="minorEastAsia" w:cstheme="minorEastAsia"/>
          <w:sz w:val="24"/>
          <w:szCs w:val="24"/>
        </w:rPr>
        <w:drawing>
          <wp:inline distT="0" distB="0" distL="114300" distR="114300">
            <wp:extent cx="269240" cy="296545"/>
            <wp:effectExtent l="0" t="0" r="508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69240" cy="296545"/>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t>蝴蝶半翘型扣件孔对接，环形相扣。无需螺丝、铆钉固定，拆装便捷，牢固稳定。附图如下：</w:t>
      </w:r>
    </w:p>
    <w:p>
      <w:pPr>
        <w:bidi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996565" cy="1104900"/>
            <wp:effectExtent l="0" t="0" r="5715" b="762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8"/>
                    <a:stretch>
                      <a:fillRect/>
                    </a:stretch>
                  </pic:blipFill>
                  <pic:spPr>
                    <a:xfrm>
                      <a:off x="0" y="0"/>
                      <a:ext cx="2996565" cy="1104900"/>
                    </a:xfrm>
                    <a:prstGeom prst="rect">
                      <a:avLst/>
                    </a:prstGeom>
                    <a:noFill/>
                    <a:ln>
                      <a:noFill/>
                    </a:ln>
                  </pic:spPr>
                </pic:pic>
              </a:graphicData>
            </a:graphic>
          </wp:inline>
        </w:drawing>
      </w:r>
      <w:r>
        <w:rPr>
          <w:rFonts w:hint="eastAsia" w:asciiTheme="minorEastAsia" w:hAnsiTheme="minorEastAsia" w:eastAsiaTheme="minorEastAsia" w:cstheme="minorEastAsia"/>
          <w:sz w:val="24"/>
          <w:szCs w:val="24"/>
          <w:lang w:val="en-US" w:eastAsia="zh-CN"/>
        </w:rPr>
        <w:drawing>
          <wp:inline distT="0" distB="0" distL="114300" distR="114300">
            <wp:extent cx="2438400" cy="963295"/>
            <wp:effectExtent l="0" t="0" r="0" b="0"/>
            <wp:docPr id="15" name="图片 15" descr="防尘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防尘版"/>
                    <pic:cNvPicPr>
                      <a:picLocks noChangeAspect="1"/>
                    </pic:cNvPicPr>
                  </pic:nvPicPr>
                  <pic:blipFill>
                    <a:blip r:embed="rId19"/>
                    <a:stretch>
                      <a:fillRect/>
                    </a:stretch>
                  </pic:blipFill>
                  <pic:spPr>
                    <a:xfrm>
                      <a:off x="0" y="0"/>
                      <a:ext cx="2438400" cy="963295"/>
                    </a:xfrm>
                    <a:prstGeom prst="rect">
                      <a:avLst/>
                    </a:prstGeom>
                  </pic:spPr>
                </pic:pic>
              </a:graphicData>
            </a:graphic>
          </wp:inline>
        </w:drawing>
      </w:r>
    </w:p>
    <w:p>
      <w:pPr>
        <w:numPr>
          <w:ilvl w:val="0"/>
          <w:numId w:val="0"/>
        </w:numPr>
        <w:bidi w:val="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color w:val="FF0000"/>
          <w:sz w:val="24"/>
          <w:szCs w:val="24"/>
          <w:lang w:val="en-US" w:eastAsia="zh-CN"/>
        </w:rPr>
        <w:t>*</w:t>
      </w:r>
      <w:r>
        <w:rPr>
          <w:rFonts w:hint="eastAsia" w:asciiTheme="minorEastAsia" w:hAnsiTheme="minorEastAsia" w:cstheme="minorEastAsia"/>
          <w:sz w:val="24"/>
          <w:szCs w:val="24"/>
          <w:lang w:val="en-US" w:eastAsia="zh-CN"/>
        </w:rPr>
        <w:t>（6）</w:t>
      </w:r>
      <w:r>
        <w:rPr>
          <w:rFonts w:hint="eastAsia" w:asciiTheme="minorEastAsia" w:hAnsiTheme="minorEastAsia" w:eastAsiaTheme="minorEastAsia" w:cstheme="minorEastAsia"/>
          <w:sz w:val="24"/>
          <w:szCs w:val="24"/>
          <w:lang w:val="en-US" w:eastAsia="zh-CN"/>
        </w:rPr>
        <w:t>密集架铝合金路轨：轨面板采用高强度铝合金专用型材一次铸压成型，型材厚度≥4.0mm，轨芯采用25 mm×25 mm 优质304不锈方钢，路轨两端设有限位装置，防止底盘脱轨，路轨面板与轨芯采用双排键槽式连接，背面采用M8螺杆连接，使之在承重2000kg时不变形，轨道和轨道盒用膨胀螺丝固定在地面上，按规定铺设轨道，轨道平行偏差小于1mm，轨道水平偏差小于0.5mm，强度高，重量轻，可零件互换，降低楼层承载负荷。（提供带CMA标识的由省级及以上质量监督检验中心出具的密集架铝合金双排键槽式路轨包含：金属电镀层理化性能，抗盐雾，48h，1.5mm以下锈点≤20点/dm²，其中≥1.0mm锈点不超过5点符合要求并且检验结果合格的检测报告作为佐证材料。扫描件放入投标书中，原件开标核查。）附图如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5103" w:type="dxa"/>
            <w:noWrap w:val="0"/>
            <w:vAlign w:val="top"/>
          </w:tcPr>
          <w:p>
            <w:pPr>
              <w:numPr>
                <w:ilvl w:val="0"/>
                <w:numId w:val="0"/>
              </w:numPr>
              <w:spacing w:line="240" w:lineRule="auto"/>
              <w:jc w:val="left"/>
              <w:rPr>
                <w:rFonts w:hint="eastAsia" w:ascii="宋体" w:hAnsi="宋体" w:cs="宋体"/>
                <w:b w:val="0"/>
                <w:bCs w:val="0"/>
                <w:sz w:val="24"/>
                <w:szCs w:val="24"/>
                <w:vertAlign w:val="baseline"/>
                <w:lang w:val="en-US" w:eastAsia="zh-CN"/>
              </w:rPr>
            </w:pPr>
            <w:r>
              <w:rPr>
                <w:rFonts w:ascii="宋体" w:hAnsi="宋体"/>
                <w:color w:val="000000"/>
                <w:sz w:val="22"/>
              </w:rPr>
              <w:drawing>
                <wp:anchor distT="0" distB="0" distL="114300" distR="114300" simplePos="0" relativeHeight="25093120" behindDoc="0" locked="0" layoutInCell="1" allowOverlap="1">
                  <wp:simplePos x="0" y="0"/>
                  <wp:positionH relativeFrom="column">
                    <wp:posOffset>74930</wp:posOffset>
                  </wp:positionH>
                  <wp:positionV relativeFrom="page">
                    <wp:posOffset>100330</wp:posOffset>
                  </wp:positionV>
                  <wp:extent cx="2924175" cy="1250315"/>
                  <wp:effectExtent l="0" t="0" r="1905" b="14605"/>
                  <wp:wrapNone/>
                  <wp:docPr id="47" name="图片 3" descr="D:\Program Files\Tencent\QQ\Users\297149891\Image\C2C\)BFNL~UV{$NK[D()[XE4(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D:\Program Files\Tencent\QQ\Users\297149891\Image\C2C\)BFNL~UV{$NK[D()[XE4(MW.png"/>
                          <pic:cNvPicPr>
                            <a:picLocks noChangeAspect="1"/>
                          </pic:cNvPicPr>
                        </pic:nvPicPr>
                        <pic:blipFill>
                          <a:blip r:embed="rId20"/>
                          <a:stretch>
                            <a:fillRect/>
                          </a:stretch>
                        </pic:blipFill>
                        <pic:spPr>
                          <a:xfrm>
                            <a:off x="0" y="0"/>
                            <a:ext cx="2924175" cy="1250315"/>
                          </a:xfrm>
                          <a:prstGeom prst="rect">
                            <a:avLst/>
                          </a:prstGeom>
                          <a:noFill/>
                          <a:ln>
                            <a:noFill/>
                          </a:ln>
                        </pic:spPr>
                      </pic:pic>
                    </a:graphicData>
                  </a:graphic>
                </wp:anchor>
              </w:drawing>
            </w:r>
          </w:p>
        </w:tc>
      </w:tr>
    </w:tbl>
    <w:p>
      <w:pPr>
        <w:numPr>
          <w:ilvl w:val="0"/>
          <w:numId w:val="0"/>
        </w:numPr>
        <w:bidi w:val="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color w:val="FF0000"/>
          <w:sz w:val="24"/>
          <w:szCs w:val="24"/>
          <w:lang w:val="en-US" w:eastAsia="zh-CN"/>
        </w:rPr>
        <w:t>*</w:t>
      </w:r>
      <w:r>
        <w:rPr>
          <w:rFonts w:hint="eastAsia" w:asciiTheme="minorEastAsia" w:hAnsiTheme="minorEastAsia" w:eastAsiaTheme="minorEastAsia" w:cstheme="minorEastAsia"/>
          <w:sz w:val="24"/>
          <w:szCs w:val="24"/>
          <w:lang w:val="en-US" w:eastAsia="zh-CN"/>
        </w:rPr>
        <w:t>（7）密集架门条：采用高强度铝合金专用型材一次挤压成型，型材厚度1.5mm，具有强度高、重量轻、零件互换性强（高精度标准件），寿命长、造型美观等特点，型材强硬度（HW）≥15（高于国家标准）。突破传统的锁条式门栓，对铝合金门条采用外嵌内四点固定式不锈钢铰链，将铝合金门条与密集架门连接，充分满足密集架平开门180°旋转，</w:t>
      </w:r>
      <w:r>
        <w:rPr>
          <w:rFonts w:hint="eastAsia" w:asciiTheme="minorEastAsia" w:hAnsiTheme="minorEastAsia" w:cstheme="minorEastAsia"/>
          <w:sz w:val="24"/>
          <w:szCs w:val="24"/>
          <w:lang w:val="en-US" w:eastAsia="zh-CN"/>
        </w:rPr>
        <w:t>充分利用通道的实用宽度，减少门在半开状态对人体的碰撞，取放档案更加方便，</w:t>
      </w:r>
      <w:r>
        <w:rPr>
          <w:rFonts w:hint="eastAsia" w:asciiTheme="minorEastAsia" w:hAnsiTheme="minorEastAsia" w:eastAsiaTheme="minorEastAsia" w:cstheme="minorEastAsia"/>
          <w:sz w:val="24"/>
          <w:szCs w:val="24"/>
          <w:lang w:val="en-US" w:eastAsia="zh-CN"/>
        </w:rPr>
        <w:t>更好的体现出了人性化设计操作。（提供带CMA标识的</w:t>
      </w:r>
      <w:r>
        <w:rPr>
          <w:rFonts w:hint="eastAsia" w:asciiTheme="minorEastAsia" w:hAnsiTheme="minorEastAsia" w:cstheme="minorEastAsia"/>
          <w:sz w:val="24"/>
          <w:szCs w:val="24"/>
          <w:lang w:val="en-US" w:eastAsia="zh-CN"/>
        </w:rPr>
        <w:t>由</w:t>
      </w:r>
      <w:r>
        <w:rPr>
          <w:rFonts w:hint="eastAsia" w:asciiTheme="minorEastAsia" w:hAnsiTheme="minorEastAsia" w:eastAsiaTheme="minorEastAsia" w:cstheme="minorEastAsia"/>
          <w:sz w:val="24"/>
          <w:szCs w:val="24"/>
          <w:lang w:val="en-US" w:eastAsia="zh-CN"/>
        </w:rPr>
        <w:t>省级及以上质量监督检验中心出具的密集架铝合金专用型材门条</w:t>
      </w:r>
      <w:r>
        <w:rPr>
          <w:rFonts w:hint="eastAsia" w:asciiTheme="minorEastAsia" w:hAnsiTheme="minorEastAsia" w:cstheme="minorEastAsia"/>
          <w:sz w:val="24"/>
          <w:szCs w:val="24"/>
          <w:lang w:val="en-US" w:eastAsia="zh-CN"/>
        </w:rPr>
        <w:t>包含：</w:t>
      </w:r>
      <w:r>
        <w:rPr>
          <w:rFonts w:hint="eastAsia" w:asciiTheme="minorEastAsia" w:hAnsiTheme="minorEastAsia" w:eastAsiaTheme="minorEastAsia" w:cstheme="minorEastAsia"/>
          <w:sz w:val="24"/>
          <w:szCs w:val="24"/>
          <w:lang w:val="en-US" w:eastAsia="zh-CN"/>
        </w:rPr>
        <w:t>金属电镀层理化性能，抗盐雾，48h，1.5mm以下锈点≤20点/dm²，其中≥1.0mm锈点不超过5点符合要求并且检验结果合格的检测报告作为佐证材料。扫描件放入投标书中，原件开标核查。） 附图如下：</w:t>
      </w:r>
    </w:p>
    <w:tbl>
      <w:tblPr>
        <w:tblStyle w:val="18"/>
        <w:tblW w:w="9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4035"/>
        <w:gridCol w:w="3885"/>
        <w:gridCol w:w="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806" w:type="dxa"/>
          <w:wAfter w:w="343" w:type="dxa"/>
          <w:trHeight w:val="3110" w:hRule="atLeast"/>
          <w:jc w:val="center"/>
        </w:trPr>
        <w:tc>
          <w:tcPr>
            <w:tcW w:w="7920" w:type="dxa"/>
            <w:gridSpan w:val="2"/>
          </w:tcPr>
          <w:p>
            <w:pPr>
              <w:numPr>
                <w:ilvl w:val="0"/>
                <w:numId w:val="0"/>
              </w:numPr>
              <w:jc w:val="center"/>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bCs/>
                <w:sz w:val="24"/>
                <w:szCs w:val="24"/>
                <w:vertAlign w:val="baseline"/>
                <w:lang w:val="en-US" w:eastAsia="zh-CN"/>
              </w:rPr>
              <w:t>（铝合金门条横截面图）</w:t>
            </w:r>
          </w:p>
          <w:p>
            <w:pPr>
              <w:numPr>
                <w:ilvl w:val="0"/>
                <w:numId w:val="0"/>
              </w:numPr>
              <w:jc w:val="both"/>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val="0"/>
                <w:bCs w:val="0"/>
                <w:sz w:val="24"/>
                <w:szCs w:val="24"/>
              </w:rPr>
              <w:drawing>
                <wp:anchor distT="0" distB="0" distL="114300" distR="114300" simplePos="0" relativeHeight="2905182208" behindDoc="0" locked="0" layoutInCell="1" allowOverlap="1">
                  <wp:simplePos x="0" y="0"/>
                  <wp:positionH relativeFrom="column">
                    <wp:posOffset>349250</wp:posOffset>
                  </wp:positionH>
                  <wp:positionV relativeFrom="page">
                    <wp:posOffset>205740</wp:posOffset>
                  </wp:positionV>
                  <wp:extent cx="4184650" cy="1621155"/>
                  <wp:effectExtent l="0" t="0" r="6350" b="9525"/>
                  <wp:wrapNone/>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1"/>
                          <a:stretch>
                            <a:fillRect/>
                          </a:stretch>
                        </pic:blipFill>
                        <pic:spPr>
                          <a:xfrm>
                            <a:off x="0" y="0"/>
                            <a:ext cx="4184650" cy="16211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806" w:type="dxa"/>
          <w:wAfter w:w="343" w:type="dxa"/>
          <w:trHeight w:val="3568" w:hRule="atLeast"/>
          <w:jc w:val="center"/>
        </w:trPr>
        <w:tc>
          <w:tcPr>
            <w:tcW w:w="4035" w:type="dxa"/>
          </w:tcPr>
          <w:p>
            <w:pPr>
              <w:numPr>
                <w:ilvl w:val="0"/>
                <w:numId w:val="0"/>
              </w:numPr>
              <w:jc w:val="both"/>
              <w:rPr>
                <w:rFonts w:hint="eastAsia" w:asciiTheme="minorEastAsia" w:hAnsiTheme="minorEastAsia" w:eastAsiaTheme="minorEastAsia" w:cstheme="minorEastAsia"/>
                <w:b/>
                <w:bCs/>
                <w:sz w:val="24"/>
                <w:szCs w:val="24"/>
                <w:vertAlign w:val="baseline"/>
                <w:lang w:val="en-US" w:eastAsia="zh-CN"/>
              </w:rPr>
            </w:pPr>
            <w:r>
              <w:rPr>
                <w:rFonts w:hint="eastAsia" w:asciiTheme="minorEastAsia" w:hAnsiTheme="minorEastAsia" w:eastAsiaTheme="minorEastAsia" w:cstheme="minorEastAsia"/>
                <w:b w:val="0"/>
                <w:bCs w:val="0"/>
                <w:sz w:val="24"/>
                <w:szCs w:val="24"/>
              </w:rPr>
              <w:drawing>
                <wp:anchor distT="0" distB="0" distL="114300" distR="114300" simplePos="0" relativeHeight="2917974016" behindDoc="0" locked="0" layoutInCell="1" allowOverlap="1">
                  <wp:simplePos x="0" y="0"/>
                  <wp:positionH relativeFrom="column">
                    <wp:posOffset>220345</wp:posOffset>
                  </wp:positionH>
                  <wp:positionV relativeFrom="page">
                    <wp:posOffset>391795</wp:posOffset>
                  </wp:positionV>
                  <wp:extent cx="2261235" cy="1623695"/>
                  <wp:effectExtent l="0" t="0" r="9525" b="6985"/>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2"/>
                          <a:srcRect l="15991" t="2437" r="12719" b="-2437"/>
                          <a:stretch>
                            <a:fillRect/>
                          </a:stretch>
                        </pic:blipFill>
                        <pic:spPr>
                          <a:xfrm>
                            <a:off x="0" y="0"/>
                            <a:ext cx="2261235" cy="1623695"/>
                          </a:xfrm>
                          <a:prstGeom prst="rect">
                            <a:avLst/>
                          </a:prstGeom>
                          <a:noFill/>
                          <a:ln w="9525">
                            <a:noFill/>
                          </a:ln>
                        </pic:spPr>
                      </pic:pic>
                    </a:graphicData>
                  </a:graphic>
                </wp:anchor>
              </w:drawing>
            </w:r>
          </w:p>
        </w:tc>
        <w:tc>
          <w:tcPr>
            <w:tcW w:w="3885" w:type="dxa"/>
          </w:tcPr>
          <w:p>
            <w:pPr>
              <w:numPr>
                <w:ilvl w:val="0"/>
                <w:numId w:val="0"/>
              </w:numPr>
              <w:jc w:val="both"/>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drawing>
                <wp:anchor distT="0" distB="0" distL="114300" distR="114300" simplePos="0" relativeHeight="2930766848" behindDoc="0" locked="0" layoutInCell="1" allowOverlap="1">
                  <wp:simplePos x="0" y="0"/>
                  <wp:positionH relativeFrom="column">
                    <wp:posOffset>293370</wp:posOffset>
                  </wp:positionH>
                  <wp:positionV relativeFrom="page">
                    <wp:posOffset>538480</wp:posOffset>
                  </wp:positionV>
                  <wp:extent cx="1949450" cy="1391285"/>
                  <wp:effectExtent l="0" t="0" r="1270" b="10795"/>
                  <wp:wrapNone/>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3"/>
                          <a:srcRect l="53664" t="63048" r="1244" b="-327"/>
                          <a:stretch>
                            <a:fillRect/>
                          </a:stretch>
                        </pic:blipFill>
                        <pic:spPr>
                          <a:xfrm>
                            <a:off x="0" y="0"/>
                            <a:ext cx="1949450" cy="139128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0" w:hRule="atLeast"/>
          <w:jc w:val="center"/>
        </w:trPr>
        <w:tc>
          <w:tcPr>
            <w:tcW w:w="9069" w:type="dxa"/>
            <w:gridSpan w:val="4"/>
          </w:tcPr>
          <w:p>
            <w:pPr>
              <w:numPr>
                <w:ilvl w:val="0"/>
                <w:numId w:val="0"/>
              </w:num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主视图、局部图及合页平面图如下：</w:t>
            </w:r>
          </w:p>
          <w:p>
            <w:pPr>
              <w:pStyle w:val="16"/>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i w:val="0"/>
                <w:color w:val="000000"/>
                <w:kern w:val="0"/>
                <w:sz w:val="24"/>
                <w:szCs w:val="24"/>
                <w:u w:val="none"/>
                <w:lang w:val="en-US" w:eastAsia="zh-CN" w:bidi="ar"/>
              </w:rPr>
              <w:drawing>
                <wp:anchor distT="0" distB="0" distL="114300" distR="114300" simplePos="0" relativeHeight="2145238016" behindDoc="0" locked="0" layoutInCell="1" allowOverlap="1">
                  <wp:simplePos x="0" y="0"/>
                  <wp:positionH relativeFrom="column">
                    <wp:posOffset>50165</wp:posOffset>
                  </wp:positionH>
                  <wp:positionV relativeFrom="page">
                    <wp:posOffset>227965</wp:posOffset>
                  </wp:positionV>
                  <wp:extent cx="5550535" cy="4294505"/>
                  <wp:effectExtent l="0" t="0" r="12065" b="3175"/>
                  <wp:wrapNone/>
                  <wp:docPr id="27"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IMG_262"/>
                          <pic:cNvPicPr>
                            <a:picLocks noChangeAspect="1"/>
                          </pic:cNvPicPr>
                        </pic:nvPicPr>
                        <pic:blipFill>
                          <a:blip r:embed="rId24"/>
                          <a:stretch>
                            <a:fillRect/>
                          </a:stretch>
                        </pic:blipFill>
                        <pic:spPr>
                          <a:xfrm>
                            <a:off x="0" y="0"/>
                            <a:ext cx="5550535" cy="429450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1" w:hRule="atLeast"/>
          <w:jc w:val="center"/>
        </w:trPr>
        <w:tc>
          <w:tcPr>
            <w:tcW w:w="9069" w:type="dxa"/>
            <w:gridSpan w:val="4"/>
          </w:tcPr>
          <w:p>
            <w:pPr>
              <w:numPr>
                <w:ilvl w:val="0"/>
                <w:numId w:val="0"/>
              </w:num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color w:val="000000"/>
                <w:kern w:val="0"/>
                <w:sz w:val="24"/>
                <w:szCs w:val="24"/>
                <w:u w:val="none"/>
                <w:lang w:val="en-US" w:eastAsia="zh-CN" w:bidi="ar"/>
              </w:rPr>
              <w:drawing>
                <wp:anchor distT="0" distB="0" distL="114300" distR="114300" simplePos="0" relativeHeight="2956355584" behindDoc="0" locked="0" layoutInCell="1" allowOverlap="1">
                  <wp:simplePos x="0" y="0"/>
                  <wp:positionH relativeFrom="column">
                    <wp:posOffset>114300</wp:posOffset>
                  </wp:positionH>
                  <wp:positionV relativeFrom="page">
                    <wp:posOffset>172085</wp:posOffset>
                  </wp:positionV>
                  <wp:extent cx="5479415" cy="4008755"/>
                  <wp:effectExtent l="0" t="0" r="6985" b="14605"/>
                  <wp:wrapNone/>
                  <wp:docPr id="28"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IMG_263"/>
                          <pic:cNvPicPr>
                            <a:picLocks noChangeAspect="1"/>
                          </pic:cNvPicPr>
                        </pic:nvPicPr>
                        <pic:blipFill>
                          <a:blip r:embed="rId25"/>
                          <a:stretch>
                            <a:fillRect/>
                          </a:stretch>
                        </pic:blipFill>
                        <pic:spPr>
                          <a:xfrm>
                            <a:off x="0" y="0"/>
                            <a:ext cx="5479415" cy="400875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9" w:hRule="atLeast"/>
          <w:jc w:val="center"/>
        </w:trPr>
        <w:tc>
          <w:tcPr>
            <w:tcW w:w="9069" w:type="dxa"/>
            <w:gridSpan w:val="4"/>
          </w:tcPr>
          <w:p>
            <w:pPr>
              <w:numPr>
                <w:ilvl w:val="0"/>
                <w:numId w:val="0"/>
              </w:numPr>
              <w:jc w:val="left"/>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i w:val="0"/>
                <w:color w:val="000000"/>
                <w:kern w:val="0"/>
                <w:sz w:val="24"/>
                <w:szCs w:val="24"/>
                <w:u w:val="none"/>
                <w:lang w:val="en-US" w:eastAsia="zh-CN" w:bidi="ar"/>
              </w:rPr>
              <w:drawing>
                <wp:anchor distT="0" distB="0" distL="114300" distR="114300" simplePos="0" relativeHeight="2285940736" behindDoc="0" locked="0" layoutInCell="1" allowOverlap="1">
                  <wp:simplePos x="0" y="0"/>
                  <wp:positionH relativeFrom="column">
                    <wp:posOffset>13335</wp:posOffset>
                  </wp:positionH>
                  <wp:positionV relativeFrom="page">
                    <wp:posOffset>75565</wp:posOffset>
                  </wp:positionV>
                  <wp:extent cx="5565140" cy="3856355"/>
                  <wp:effectExtent l="0" t="0" r="0" b="14605"/>
                  <wp:wrapNone/>
                  <wp:docPr id="2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IMG_265"/>
                          <pic:cNvPicPr>
                            <a:picLocks noChangeAspect="1"/>
                          </pic:cNvPicPr>
                        </pic:nvPicPr>
                        <pic:blipFill>
                          <a:blip r:embed="rId26"/>
                          <a:srcRect r="-1544" b="-212"/>
                          <a:stretch>
                            <a:fillRect/>
                          </a:stretch>
                        </pic:blipFill>
                        <pic:spPr>
                          <a:xfrm>
                            <a:off x="0" y="0"/>
                            <a:ext cx="5565140" cy="3856355"/>
                          </a:xfrm>
                          <a:prstGeom prst="rect">
                            <a:avLst/>
                          </a:prstGeom>
                          <a:noFill/>
                          <a:ln w="9525">
                            <a:noFill/>
                          </a:ln>
                        </pic:spPr>
                      </pic:pic>
                    </a:graphicData>
                  </a:graphic>
                </wp:anchor>
              </w:drawing>
            </w:r>
          </w:p>
        </w:tc>
      </w:tr>
    </w:tbl>
    <w:p>
      <w:pPr>
        <w:bidi w:val="0"/>
        <w:rPr>
          <w:rFonts w:hint="eastAsia" w:asciiTheme="minorEastAsia" w:hAnsiTheme="minorEastAsia" w:eastAsiaTheme="minorEastAsia" w:cstheme="minorEastAsia"/>
          <w:sz w:val="24"/>
          <w:szCs w:val="24"/>
          <w:lang w:val="en-US"/>
        </w:rPr>
      </w:pPr>
      <w:r>
        <w:rPr>
          <w:rFonts w:hint="eastAsia" w:asciiTheme="minorEastAsia" w:hAnsiTheme="minorEastAsia" w:cstheme="minorEastAsia"/>
          <w:color w:val="FF0000"/>
          <w:sz w:val="24"/>
          <w:szCs w:val="24"/>
          <w:lang w:val="en-US" w:eastAsia="zh-CN"/>
        </w:rPr>
        <w:t>*</w:t>
      </w:r>
      <w:r>
        <w:rPr>
          <w:rFonts w:hint="eastAsia" w:asciiTheme="minorEastAsia" w:hAnsiTheme="minorEastAsia" w:eastAsiaTheme="minorEastAsia" w:cstheme="minorEastAsia"/>
          <w:sz w:val="24"/>
          <w:szCs w:val="24"/>
          <w:lang w:val="en-US"/>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lang w:val="en-US"/>
        </w:rPr>
        <w:t>）拆装式无焊接密集架底架：底架</w:t>
      </w:r>
      <w:r>
        <w:rPr>
          <w:rFonts w:hint="eastAsia" w:asciiTheme="minorEastAsia" w:hAnsiTheme="minorEastAsia" w:eastAsiaTheme="minorEastAsia" w:cstheme="minorEastAsia"/>
          <w:sz w:val="24"/>
          <w:szCs w:val="24"/>
          <w:lang w:val="en-US" w:eastAsia="zh-CN"/>
        </w:rPr>
        <w:t>3.0</w:t>
      </w:r>
      <w:r>
        <w:rPr>
          <w:rFonts w:hint="eastAsia" w:asciiTheme="minorEastAsia" w:hAnsiTheme="minorEastAsia" w:eastAsiaTheme="minorEastAsia" w:cstheme="minorEastAsia"/>
          <w:sz w:val="24"/>
          <w:szCs w:val="24"/>
          <w:lang w:val="en-US"/>
        </w:rPr>
        <w:t>mm，底梁连接处采用一次性模压成型。整体结构采用平头定位螺杆固定连接，连接处无需焊接，便于安装、运输及拆装。产品标准件互换性强，并有防倾倒设计，防止架体倾倒。主梁连接处冲有四个16*9腰形孔，孔间横向中心距离为70mm，纵向中心距离为69mm。副梁连接处冲有四个14.2*8腰形孔，缩口封式连接板宽边宽度为120mm，缩口边宽度为114mm，与主梁连接处进行整体连接，四个14.2*8的腰形孔位于凹槽内，凹槽宽度为15mm，凹槽深度为5mm，孔间横向中心距离为69.2mm，纵向中心距离为60.5mm，另主副梁上弯边≥49mm，下弯边≥21mm，便于架体在长期承重时不变形，不扭曲，增加了密集架整体的平稳度及使用寿命，增强了密集架整体美观度，使整个密集架看起来高端大气。</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lang w:val="en-US"/>
        </w:rPr>
        <w:t>提供带CMA标识的由省级及以上质量监督检验中心出具的拆装式无焊接密集架底座</w:t>
      </w:r>
      <w:r>
        <w:rPr>
          <w:rFonts w:hint="eastAsia" w:asciiTheme="minorEastAsia" w:hAnsiTheme="minorEastAsia" w:cstheme="minorEastAsia"/>
          <w:sz w:val="24"/>
          <w:szCs w:val="24"/>
          <w:lang w:val="en-US" w:eastAsia="zh-CN"/>
        </w:rPr>
        <w:t>包含：</w:t>
      </w:r>
      <w:r>
        <w:rPr>
          <w:rFonts w:hint="eastAsia" w:asciiTheme="minorEastAsia" w:hAnsiTheme="minorEastAsia" w:eastAsiaTheme="minorEastAsia" w:cstheme="minorEastAsia"/>
          <w:sz w:val="24"/>
          <w:szCs w:val="24"/>
          <w:lang w:val="en-US"/>
        </w:rPr>
        <w:t>金属电镀层理化性能，抗盐雾，48h，1.5mm以下锈点≤20点/dm²，其中≥1.0mm锈点不超过5点符合要求并且检验结果合格的检测报告作为佐证材料。扫描件放入投标书中，原件开标核查。）（主、副梁详细尺寸可见下图所示）</w:t>
      </w:r>
      <w:r>
        <w:rPr>
          <w:rFonts w:hint="eastAsia" w:asciiTheme="minorEastAsia" w:hAnsiTheme="minorEastAsia" w:eastAsiaTheme="minorEastAsia" w:cstheme="minorEastAsia"/>
          <w:sz w:val="24"/>
          <w:szCs w:val="24"/>
          <w:lang w:val="en-US" w:eastAsia="zh-CN"/>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84" w:type="dxa"/>
            <w:noWrap w:val="0"/>
            <w:vAlign w:val="top"/>
          </w:tcPr>
          <w:p>
            <w:pPr>
              <w:pStyle w:val="16"/>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anchor distT="0" distB="0" distL="114300" distR="114300" simplePos="0" relativeHeight="2956369920" behindDoc="0" locked="0" layoutInCell="1" allowOverlap="1">
                  <wp:simplePos x="0" y="0"/>
                  <wp:positionH relativeFrom="column">
                    <wp:posOffset>95885</wp:posOffset>
                  </wp:positionH>
                  <wp:positionV relativeFrom="page">
                    <wp:posOffset>234315</wp:posOffset>
                  </wp:positionV>
                  <wp:extent cx="5149850" cy="2990215"/>
                  <wp:effectExtent l="0" t="0" r="12700" b="635"/>
                  <wp:wrapNone/>
                  <wp:docPr id="34" name="图片 13" descr="doc019357201808181147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doc01935720180818114701_001"/>
                          <pic:cNvPicPr>
                            <a:picLocks noChangeAspect="1"/>
                          </pic:cNvPicPr>
                        </pic:nvPicPr>
                        <pic:blipFill>
                          <a:blip r:embed="rId27"/>
                          <a:srcRect l="16414" t="1199" r="14108" b="-491"/>
                          <a:stretch>
                            <a:fillRect/>
                          </a:stretch>
                        </pic:blipFill>
                        <pic:spPr>
                          <a:xfrm>
                            <a:off x="0" y="0"/>
                            <a:ext cx="5149850" cy="2990215"/>
                          </a:xfrm>
                          <a:prstGeom prst="rect">
                            <a:avLst/>
                          </a:prstGeom>
                          <a:noFill/>
                          <a:ln>
                            <a:noFill/>
                          </a:ln>
                        </pic:spPr>
                      </pic:pic>
                    </a:graphicData>
                  </a:graphic>
                </wp:anchor>
              </w:drawing>
            </w: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left="0" w:leftChars="0" w:firstLine="0" w:firstLineChars="0"/>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4" w:type="dxa"/>
            <w:noWrap w:val="0"/>
            <w:vAlign w:val="top"/>
          </w:tcPr>
          <w:p>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anchor distT="0" distB="0" distL="114300" distR="114300" simplePos="0" relativeHeight="2956370944" behindDoc="0" locked="0" layoutInCell="1" allowOverlap="1">
                  <wp:simplePos x="0" y="0"/>
                  <wp:positionH relativeFrom="column">
                    <wp:posOffset>15240</wp:posOffset>
                  </wp:positionH>
                  <wp:positionV relativeFrom="page">
                    <wp:posOffset>89535</wp:posOffset>
                  </wp:positionV>
                  <wp:extent cx="5099050" cy="2837815"/>
                  <wp:effectExtent l="0" t="0" r="6350" b="635"/>
                  <wp:wrapNone/>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28"/>
                          <a:srcRect l="7344" t="3841" r="7104" b="407"/>
                          <a:stretch>
                            <a:fillRect/>
                          </a:stretch>
                        </pic:blipFill>
                        <pic:spPr>
                          <a:xfrm>
                            <a:off x="0" y="0"/>
                            <a:ext cx="5099050" cy="2837815"/>
                          </a:xfrm>
                          <a:prstGeom prst="rect">
                            <a:avLst/>
                          </a:prstGeom>
                          <a:noFill/>
                          <a:ln>
                            <a:noFill/>
                          </a:ln>
                        </pic:spPr>
                      </pic:pic>
                    </a:graphicData>
                  </a:graphic>
                </wp:anchor>
              </w:drawing>
            </w: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firstLine="344"/>
              <w:rPr>
                <w:rFonts w:hint="eastAsia" w:asciiTheme="minorEastAsia" w:hAnsiTheme="minorEastAsia" w:eastAsiaTheme="minorEastAsia" w:cstheme="minorEastAsia"/>
                <w:sz w:val="24"/>
                <w:szCs w:val="24"/>
              </w:rPr>
            </w:pPr>
          </w:p>
          <w:p>
            <w:pPr>
              <w:pStyle w:val="16"/>
              <w:ind w:left="0" w:leftChars="0" w:firstLine="0" w:firstLineChars="0"/>
              <w:rPr>
                <w:rFonts w:hint="eastAsia" w:asciiTheme="minorEastAsia" w:hAnsiTheme="minorEastAsia" w:eastAsiaTheme="minorEastAsia" w:cstheme="minorEastAsia"/>
                <w:sz w:val="24"/>
                <w:szCs w:val="24"/>
              </w:rPr>
            </w:pPr>
          </w:p>
        </w:tc>
      </w:tr>
    </w:tbl>
    <w:p>
      <w:pPr>
        <w:rPr>
          <w:rFonts w:hint="eastAsia" w:asciiTheme="minorEastAsia" w:hAnsiTheme="minorEastAsia" w:eastAsiaTheme="minorEastAsia" w:cstheme="minorEastAsia"/>
          <w:kern w:val="0"/>
          <w:sz w:val="24"/>
          <w:szCs w:val="24"/>
        </w:rPr>
      </w:pP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kern w:val="0"/>
          <w:sz w:val="24"/>
          <w:szCs w:val="24"/>
        </w:rPr>
        <w:t>（9）摇柄隐藏式侧板：侧板采用1.0mm优质冷轧钢板，横三节式结构，中间一节设计内凹冲压成型，用于密集架摇柄隐藏于侧板之中，内凹侧板规格：宽600mm，深65mm，高550mm，内凹圆形规格：直径320MM，深度32mm，直通摇柄轴中心直径50mm，摇柄正平面与上下节侧板平直对称三点一线，配折叠式手把摇柄，突破传统摇柄外凸于侧板之外，使产品实现通道零障碍，端庄大气而流畅。附图如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0"/>
        <w:gridCol w:w="4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5" w:hRule="atLeast"/>
          <w:jc w:val="center"/>
        </w:trPr>
        <w:tc>
          <w:tcPr>
            <w:tcW w:w="4630" w:type="dxa"/>
          </w:tcPr>
          <w:p>
            <w:pPr>
              <w:numPr>
                <w:ilvl w:val="0"/>
                <w:numId w:val="0"/>
              </w:numPr>
              <w:spacing w:line="240" w:lineRule="auto"/>
              <w:jc w:val="left"/>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drawing>
                <wp:inline distT="0" distB="0" distL="114300" distR="114300">
                  <wp:extent cx="2448560" cy="2223770"/>
                  <wp:effectExtent l="0" t="0" r="5080" b="1270"/>
                  <wp:docPr id="2" name="图片 2" descr="1583826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83826333(1)"/>
                          <pic:cNvPicPr>
                            <a:picLocks noChangeAspect="1"/>
                          </pic:cNvPicPr>
                        </pic:nvPicPr>
                        <pic:blipFill>
                          <a:blip r:embed="rId29"/>
                          <a:stretch>
                            <a:fillRect/>
                          </a:stretch>
                        </pic:blipFill>
                        <pic:spPr>
                          <a:xfrm>
                            <a:off x="0" y="0"/>
                            <a:ext cx="2448560" cy="2223770"/>
                          </a:xfrm>
                          <a:prstGeom prst="rect">
                            <a:avLst/>
                          </a:prstGeom>
                        </pic:spPr>
                      </pic:pic>
                    </a:graphicData>
                  </a:graphic>
                </wp:inline>
              </w:drawing>
            </w:r>
          </w:p>
        </w:tc>
        <w:tc>
          <w:tcPr>
            <w:tcW w:w="4164" w:type="dxa"/>
          </w:tcPr>
          <w:p>
            <w:pPr>
              <w:numPr>
                <w:ilvl w:val="0"/>
                <w:numId w:val="0"/>
              </w:numPr>
              <w:spacing w:line="240" w:lineRule="auto"/>
              <w:jc w:val="left"/>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drawing>
                <wp:inline distT="0" distB="0" distL="114300" distR="114300">
                  <wp:extent cx="2223135" cy="2082800"/>
                  <wp:effectExtent l="0" t="0" r="1905" b="5080"/>
                  <wp:docPr id="8" name="图片 8" descr="1583826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3826355(1)"/>
                          <pic:cNvPicPr>
                            <a:picLocks noChangeAspect="1"/>
                          </pic:cNvPicPr>
                        </pic:nvPicPr>
                        <pic:blipFill>
                          <a:blip r:embed="rId30"/>
                          <a:stretch>
                            <a:fillRect/>
                          </a:stretch>
                        </pic:blipFill>
                        <pic:spPr>
                          <a:xfrm>
                            <a:off x="0" y="0"/>
                            <a:ext cx="2223135" cy="2082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5" w:hRule="atLeast"/>
          <w:jc w:val="center"/>
        </w:trPr>
        <w:tc>
          <w:tcPr>
            <w:tcW w:w="4630" w:type="dxa"/>
          </w:tcPr>
          <w:p>
            <w:pPr>
              <w:numPr>
                <w:ilvl w:val="0"/>
                <w:numId w:val="0"/>
              </w:numPr>
              <w:spacing w:line="240" w:lineRule="auto"/>
              <w:jc w:val="left"/>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drawing>
                <wp:inline distT="0" distB="0" distL="114300" distR="114300">
                  <wp:extent cx="2306320" cy="1889125"/>
                  <wp:effectExtent l="0" t="0" r="10160" b="635"/>
                  <wp:docPr id="36" name="图片 36" descr="1583826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583826414(1)"/>
                          <pic:cNvPicPr>
                            <a:picLocks noChangeAspect="1"/>
                          </pic:cNvPicPr>
                        </pic:nvPicPr>
                        <pic:blipFill>
                          <a:blip r:embed="rId31"/>
                          <a:stretch>
                            <a:fillRect/>
                          </a:stretch>
                        </pic:blipFill>
                        <pic:spPr>
                          <a:xfrm>
                            <a:off x="0" y="0"/>
                            <a:ext cx="2306320" cy="1889125"/>
                          </a:xfrm>
                          <a:prstGeom prst="rect">
                            <a:avLst/>
                          </a:prstGeom>
                        </pic:spPr>
                      </pic:pic>
                    </a:graphicData>
                  </a:graphic>
                </wp:inline>
              </w:drawing>
            </w:r>
          </w:p>
        </w:tc>
        <w:tc>
          <w:tcPr>
            <w:tcW w:w="4164" w:type="dxa"/>
          </w:tcPr>
          <w:p>
            <w:pPr>
              <w:numPr>
                <w:ilvl w:val="0"/>
                <w:numId w:val="0"/>
              </w:numPr>
              <w:spacing w:line="240" w:lineRule="auto"/>
              <w:jc w:val="left"/>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drawing>
                <wp:inline distT="0" distB="0" distL="114300" distR="114300">
                  <wp:extent cx="2276475" cy="1858645"/>
                  <wp:effectExtent l="0" t="0" r="9525" b="635"/>
                  <wp:docPr id="37" name="图片 37" descr="1583826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826437(1)"/>
                          <pic:cNvPicPr>
                            <a:picLocks noChangeAspect="1"/>
                          </pic:cNvPicPr>
                        </pic:nvPicPr>
                        <pic:blipFill>
                          <a:blip r:embed="rId32"/>
                          <a:stretch>
                            <a:fillRect/>
                          </a:stretch>
                        </pic:blipFill>
                        <pic:spPr>
                          <a:xfrm>
                            <a:off x="0" y="0"/>
                            <a:ext cx="2276475" cy="1858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9" w:hRule="atLeast"/>
          <w:jc w:val="center"/>
        </w:trPr>
        <w:tc>
          <w:tcPr>
            <w:tcW w:w="4630" w:type="dxa"/>
          </w:tcPr>
          <w:p>
            <w:pPr>
              <w:numPr>
                <w:ilvl w:val="0"/>
                <w:numId w:val="0"/>
              </w:numPr>
              <w:spacing w:line="240" w:lineRule="auto"/>
              <w:jc w:val="left"/>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drawing>
                <wp:inline distT="0" distB="0" distL="114300" distR="114300">
                  <wp:extent cx="2573655" cy="2125345"/>
                  <wp:effectExtent l="0" t="0" r="1905" b="8255"/>
                  <wp:docPr id="32" name="图片 32" descr="1583827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83827390(1)"/>
                          <pic:cNvPicPr>
                            <a:picLocks noChangeAspect="1"/>
                          </pic:cNvPicPr>
                        </pic:nvPicPr>
                        <pic:blipFill>
                          <a:blip r:embed="rId33"/>
                          <a:srcRect t="13089"/>
                          <a:stretch>
                            <a:fillRect/>
                          </a:stretch>
                        </pic:blipFill>
                        <pic:spPr>
                          <a:xfrm>
                            <a:off x="0" y="0"/>
                            <a:ext cx="2573655" cy="2125345"/>
                          </a:xfrm>
                          <a:prstGeom prst="rect">
                            <a:avLst/>
                          </a:prstGeom>
                        </pic:spPr>
                      </pic:pic>
                    </a:graphicData>
                  </a:graphic>
                </wp:inline>
              </w:drawing>
            </w:r>
          </w:p>
        </w:tc>
        <w:tc>
          <w:tcPr>
            <w:tcW w:w="4164" w:type="dxa"/>
          </w:tcPr>
          <w:p>
            <w:pPr>
              <w:numPr>
                <w:ilvl w:val="0"/>
                <w:numId w:val="0"/>
              </w:numPr>
              <w:spacing w:line="240" w:lineRule="auto"/>
              <w:jc w:val="left"/>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drawing>
                <wp:inline distT="0" distB="0" distL="114300" distR="114300">
                  <wp:extent cx="2470785" cy="2068830"/>
                  <wp:effectExtent l="0" t="0" r="13335" b="3810"/>
                  <wp:docPr id="38" name="图片 38" descr="1583827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83827413(1)"/>
                          <pic:cNvPicPr>
                            <a:picLocks noChangeAspect="1"/>
                          </pic:cNvPicPr>
                        </pic:nvPicPr>
                        <pic:blipFill>
                          <a:blip r:embed="rId34"/>
                          <a:stretch>
                            <a:fillRect/>
                          </a:stretch>
                        </pic:blipFill>
                        <pic:spPr>
                          <a:xfrm>
                            <a:off x="0" y="0"/>
                            <a:ext cx="2470785" cy="2068830"/>
                          </a:xfrm>
                          <a:prstGeom prst="rect">
                            <a:avLst/>
                          </a:prstGeom>
                        </pic:spPr>
                      </pic:pic>
                    </a:graphicData>
                  </a:graphic>
                </wp:inline>
              </w:drawing>
            </w:r>
          </w:p>
        </w:tc>
      </w:tr>
    </w:tbl>
    <w:p>
      <w:pPr>
        <w:rPr>
          <w:rFonts w:hint="eastAsia"/>
          <w:lang w:val="en-US"/>
        </w:rPr>
      </w:pP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lang w:val="en-US"/>
        </w:rPr>
        <w:t>）铝合金圆手柄：圆手柄采用7.5mm优质铝合金一次性模具挤压成型，圆盘直径300mm，为衬托圆盘整体美观依据物理原理采用凹陷设计从而减轻重量，让密集架在静止状态下圆盘手柄处于平行下垂状态。凹陷平面直径260mm，中间位置设计凸台用于安装盖子直径86mm。整个圆盘外沿设计为圆角，圆角半径8mm。圆盘中心安装6001精密轴承，安装凸台外径35mm内径28mm，端面有26mm的孔，便于拆卸轴承。致使整个圆手柄操作更加轻松自如，手感流畅。圆盘表面整体精细打磨，细沙抛光，安装金属手柄，更显高端，美观大气。附图如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5"/>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7" w:hRule="atLeast"/>
          <w:jc w:val="center"/>
        </w:trPr>
        <w:tc>
          <w:tcPr>
            <w:tcW w:w="4595" w:type="dxa"/>
          </w:tcPr>
          <w:p>
            <w:pPr>
              <w:pStyle w:val="16"/>
              <w:spacing w:line="240" w:lineRule="auto"/>
              <w:ind w:left="0" w:leftChars="0" w:firstLine="0" w:firstLineChars="0"/>
              <w:jc w:val="left"/>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drawing>
                <wp:inline distT="0" distB="0" distL="114300" distR="114300">
                  <wp:extent cx="2597785" cy="2161540"/>
                  <wp:effectExtent l="0" t="0" r="8255" b="2540"/>
                  <wp:docPr id="39" name="图片 39" descr="1583828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583828468(1)"/>
                          <pic:cNvPicPr>
                            <a:picLocks noChangeAspect="1"/>
                          </pic:cNvPicPr>
                        </pic:nvPicPr>
                        <pic:blipFill>
                          <a:blip r:embed="rId35"/>
                          <a:stretch>
                            <a:fillRect/>
                          </a:stretch>
                        </pic:blipFill>
                        <pic:spPr>
                          <a:xfrm>
                            <a:off x="0" y="0"/>
                            <a:ext cx="2597785" cy="2161540"/>
                          </a:xfrm>
                          <a:prstGeom prst="rect">
                            <a:avLst/>
                          </a:prstGeom>
                        </pic:spPr>
                      </pic:pic>
                    </a:graphicData>
                  </a:graphic>
                </wp:inline>
              </w:drawing>
            </w:r>
          </w:p>
        </w:tc>
        <w:tc>
          <w:tcPr>
            <w:tcW w:w="4338" w:type="dxa"/>
          </w:tcPr>
          <w:p>
            <w:pPr>
              <w:pStyle w:val="16"/>
              <w:spacing w:line="240" w:lineRule="auto"/>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drawing>
                <wp:anchor distT="0" distB="0" distL="114300" distR="114300" simplePos="0" relativeHeight="3000052736" behindDoc="0" locked="0" layoutInCell="1" allowOverlap="1">
                  <wp:simplePos x="0" y="0"/>
                  <wp:positionH relativeFrom="column">
                    <wp:posOffset>88265</wp:posOffset>
                  </wp:positionH>
                  <wp:positionV relativeFrom="page">
                    <wp:posOffset>137795</wp:posOffset>
                  </wp:positionV>
                  <wp:extent cx="2408555" cy="2171065"/>
                  <wp:effectExtent l="0" t="0" r="14605" b="8255"/>
                  <wp:wrapNone/>
                  <wp:docPr id="45" name="图片 45" descr="158382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83828510(1)"/>
                          <pic:cNvPicPr>
                            <a:picLocks noChangeAspect="1"/>
                          </pic:cNvPicPr>
                        </pic:nvPicPr>
                        <pic:blipFill>
                          <a:blip r:embed="rId36"/>
                          <a:stretch>
                            <a:fillRect/>
                          </a:stretch>
                        </pic:blipFill>
                        <pic:spPr>
                          <a:xfrm>
                            <a:off x="0" y="0"/>
                            <a:ext cx="2408555" cy="2171065"/>
                          </a:xfrm>
                          <a:prstGeom prst="rect">
                            <a:avLst/>
                          </a:prstGeom>
                        </pic:spPr>
                      </pic:pic>
                    </a:graphicData>
                  </a:graphic>
                </wp:anchor>
              </w:drawing>
            </w:r>
          </w:p>
        </w:tc>
      </w:tr>
    </w:tbl>
    <w:p>
      <w:pPr>
        <w:rPr>
          <w:rFonts w:hint="eastAsia" w:asciiTheme="minorEastAsia" w:hAnsiTheme="minorEastAsia" w:eastAsiaTheme="minorEastAsia" w:cstheme="minorEastAsia"/>
          <w:sz w:val="24"/>
          <w:szCs w:val="24"/>
          <w:lang w:val="en-US"/>
        </w:rPr>
      </w:pPr>
    </w:p>
    <w:p>
      <w:pPr>
        <w:numPr>
          <w:ilvl w:val="0"/>
          <w:numId w:val="0"/>
        </w:num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（11）挡棒、</w:t>
      </w:r>
      <w:r>
        <w:rPr>
          <w:rFonts w:hint="eastAsia" w:asciiTheme="minorEastAsia" w:hAnsiTheme="minorEastAsia" w:eastAsiaTheme="minorEastAsia" w:cstheme="minorEastAsia"/>
          <w:sz w:val="24"/>
          <w:szCs w:val="24"/>
          <w:lang w:val="en-US"/>
        </w:rPr>
        <w:t>门板</w:t>
      </w:r>
      <w:r>
        <w:rPr>
          <w:rFonts w:hint="eastAsia" w:asciiTheme="minorEastAsia" w:hAnsiTheme="minorEastAsia" w:eastAsiaTheme="minorEastAsia" w:cstheme="minorEastAsia"/>
          <w:sz w:val="24"/>
          <w:szCs w:val="24"/>
          <w:lang w:val="en-US" w:eastAsia="zh-CN"/>
        </w:rPr>
        <w:t>、防鼠板采用1.0mm</w:t>
      </w:r>
      <w:r>
        <w:rPr>
          <w:rFonts w:hint="eastAsia" w:asciiTheme="minorEastAsia" w:hAnsiTheme="minorEastAsia" w:eastAsiaTheme="minorEastAsia" w:cstheme="minorEastAsia"/>
          <w:sz w:val="24"/>
          <w:szCs w:val="24"/>
          <w:lang w:val="en-US"/>
        </w:rPr>
        <w:t>优质冷轧钢板。</w:t>
      </w:r>
    </w:p>
    <w:p>
      <w:pPr>
        <w:numPr>
          <w:ilvl w:val="0"/>
          <w:numId w:val="0"/>
        </w:num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2.4传动机构：</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 传动系统：采用中间驱动方式。自由挂档脱落装置；链轮为机械精加工而成，经锻压加工成型，回火去除应力，加工车、滚点、插键槽、去毛齿、齿部经高频淬火HRC60-62。链条采用摩托车专用链条Φ8.5，节距12.7，G12420带短滚珠链。滚轮采用灰铸铁制造；传动轴采用优质标准件，便于更换易损件；底盘轴承安装采用P204E级双排向心球高级轴承，精密度高，方向灵活，材料质量好，耐压与耐磨性能好，具有可靠的中心直线度，使架体滑稳，性能达到和超过国家标准，即可单列移动也可多列同时移动。</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2.5制动装置：固定列装有制动装置。</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2.6密封装置：每列的接触面均有缓冲及密封装置，由磁性极强的电冰箱吸条橡胶密封条组成。顶部有防尘板，每列架体上方安装防尘压条，要求防尘、防光、防有害气体。底部有防鼠板，合拢后无缝隙，因而具有良好的防尘、防鼠、防火、防潮等功能。</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2.7前期处理及表面处理</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1) 前期处理：采用乳化剂和碱性助洗脱脂剂脱脂、磷酸除锈、锌系薄膜磷化、钝化。</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 表面处理：所有工部件的表面处理必须是热固性粉末喷涂，然后200℃高温固化成品。颜色由采购人确定。</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3) 涂膜技术标准：光泽测定：65%镜面反射率，测定40°+5%；涂膜硬度：中华牌铅笔≥2H试验合格；耐冲击力：冲击试验1/2″*500g&gt;30cm正面冲击，涂膜无裂纹、皱纹及剥落现象；涂膜厚度：60-70ｕm；涂膜附着力：划格法试验，100%不剥落，达到2级标准；耐腐蚀试验：盐雾试验48小时，涂膜无脱落现象。</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2.8制造要求：</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1) 凡需焊接的部位焊接牢固，焊点均匀，焊痕高度不大于1mm，焊点间距控制在100mm以内。焊痕表面波纹平整，无焊焦、焊穿等现象。</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 冲压件平整无毛刺，无裂痕，冲压尺寸的误差控制在+2.0mm之内。</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3) 折弯到位，以确保工件折弯所需角度，其邻边垂直度、平行度控制在≤1.5mm内。</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4) 涂层表面平整光滑，色泽均匀一致，无流挂、起粒、皱皮、露底、剥落、伤痕等外观缺陷。</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5) 载重性能要求：a.搁板载重：单面搁板上均匀载重60kg，双面为120kg，最大挠度为3mm,24h卸载后，无裂纹，永不变形。</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b.全负载载重：每标准节在全负载（每块单面搁板均匀载重50kg）的情况下，架体、立柱无有明显变形，架体不产生倾倒现象。</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c.载重运行：在全负载的情况下，各列密集架在手动操纵下，都运行自如，无阻滞现象。每标准节手动摇力不小于11.8N(每列密集架的手柄摇力为：11.8N*标准节数)。</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d.载重稳定性：在受全部载荷二十分之一外力（沿X、Y轴两个方向的水平外力）的作用反复100次后，取消外力，架体所产生的倾斜不大于总高的百分之一。支架、立柱无明显变形，上层门 全部开启90°时，架体不应倾倒。</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2.9工艺要求：</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1)表面处理：各部零件在涂覆前，必须进行除油、除锈、清洗、表调、清洗、磷化、二遍清洗，磷化处理按照EPA 3060A-1996、EPA 3052-1996标准进行，每道工序分槽处理，所用标准件及紧固件均氧化或镀锌处理。</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2)表面涂覆采用亚光静电喷塑（需有预烘干工序），涂膜无裂纹、皱纹及剥落现象；涂膜附着力：划格法试验，100%不剥落，达到0级标准；耐腐蚀试验：5%NaCL喷雾，48小时无脱落现象。</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3)产品生产工艺过程，下料、冲压、轧压等工序全部达到模具化。零件组合焊接从轨道、立柱、底盘、封门的钻孔等工序，全部达到工装夹具化，以使产品具有优良的互换性和协调性。</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4)所有钣金件、机加件加工后应打磨毛刺，无裂纹及伤痕。</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5)所有焊接件焊接牢固，焊痕光滑、平整。</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6)所有货物不得有锈蚀现象。</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2.10安装要求：</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1)密集架的安装队伍必需的有经验的技术人员，直到密集架正常使用。</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2)轨道铺设：轨道安装定位后双轨平等偏差少于2mm/10mm，水平偏差少于1mm/m。架体移动时与轨道保持90度，达到灵活、轻便、可靠。</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3)每列的接触均有缓冲及密封装置，顶部有防尘板，底部有防鼠装置，要具有良好的防尘、防鼠、防潮、防火、防震功能。</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 xml:space="preserve">4)产品各零件、组合件之间应能保持互换性。 </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5)零配件选料上乘，不得有脱落现象。</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6)安装后所有同层搁板高度偏差应不大于2mm。</w:t>
      </w:r>
    </w:p>
    <w:p>
      <w:pPr>
        <w:bidi w:val="0"/>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rPr>
        <w:t>7)轨道安装需用红外水平仪测平，单根导轨的直线度不大于1.0mm/m，5m中不大于2.0mm。两根导轨水平高度偏差不大于1.0mm/m，全长不大于1.8mm。两条导轨宽度之间的平行度偏差不大于1.0mm/m，全长 不大于1.5mm。导轨对接处高低差、水平偏差不大于0.3mm。</w:t>
      </w:r>
    </w:p>
    <w:p>
      <w:pPr>
        <w:spacing w:line="24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2.10安装要求：</w:t>
      </w:r>
    </w:p>
    <w:p>
      <w:pPr>
        <w:spacing w:line="24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1)密集架的安装队伍必需的有经验的技术人员，直到密集架正常使用。</w:t>
      </w:r>
    </w:p>
    <w:p>
      <w:pPr>
        <w:spacing w:line="24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2)轨道铺设：轨道安装定位后双轨平等偏差少于2mm/10mm，水平偏差少于1mm/m。架体移动时与轨道保持90度，达到灵活、轻便、可靠。</w:t>
      </w:r>
    </w:p>
    <w:p>
      <w:pPr>
        <w:spacing w:line="24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3)每列的接触均有缓冲及密封装置，顶部有防尘板，底部有防鼠装置，要具有良好的防尘、防鼠、防潮、防火、防震功能。</w:t>
      </w:r>
    </w:p>
    <w:p>
      <w:pPr>
        <w:spacing w:line="24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4)产品各零件、组合件之间应能保持互换性。 </w:t>
      </w:r>
    </w:p>
    <w:p>
      <w:pPr>
        <w:spacing w:line="24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5)零配件选料上乘，不得有脱落现象。</w:t>
      </w:r>
    </w:p>
    <w:p>
      <w:pPr>
        <w:spacing w:line="24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6)安装后所有同层搁板高度偏差应不大于2mm。</w:t>
      </w:r>
    </w:p>
    <w:p>
      <w:pPr>
        <w:spacing w:line="240" w:lineRule="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7)轨道安装需用红外水平仪测平，单根导轨的直线度不大于1.0mm/m，5m中不大于2.0mm。两根导轨水平高度偏差不大于1.0mm/m，全长不大于1.8mm。两条导轨宽度之间的平行度偏差不大于1.0mm/m，全长 不大于1.5mm。导轨对接处高低差、水平偏差不大于0.3mm。</w:t>
      </w:r>
    </w:p>
    <w:p>
      <w:pPr>
        <w:spacing w:line="240" w:lineRule="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b/>
          <w:bCs/>
          <w:sz w:val="24"/>
          <w:szCs w:val="24"/>
          <w:lang w:val="en-US" w:eastAsia="zh-CN"/>
        </w:rPr>
        <w:t>3、密集架主要用材一览表</w:t>
      </w:r>
    </w:p>
    <w:tbl>
      <w:tblPr>
        <w:tblStyle w:val="17"/>
        <w:tblW w:w="9506" w:type="dxa"/>
        <w:jc w:val="center"/>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272"/>
        <w:gridCol w:w="1554"/>
        <w:gridCol w:w="705"/>
        <w:gridCol w:w="1254"/>
        <w:gridCol w:w="4721"/>
      </w:tblGrid>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8" w:hRule="atLeast"/>
          <w:jc w:val="center"/>
        </w:trPr>
        <w:tc>
          <w:tcPr>
            <w:tcW w:w="1272" w:type="dxa"/>
            <w:vAlign w:val="center"/>
          </w:tcPr>
          <w:p>
            <w:pPr>
              <w:spacing w:before="100" w:beforeAutospacing="1" w:after="100" w:afterAutospacing="1" w:line="240" w:lineRule="auto"/>
              <w:ind w:firstLine="210" w:firstLineChars="100"/>
              <w:jc w:val="both"/>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名称</w:t>
            </w: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内容</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材料规格（厚度</w:t>
            </w:r>
            <w:r>
              <w:rPr>
                <w:rFonts w:hint="eastAsia" w:asciiTheme="minorEastAsia" w:hAnsiTheme="minorEastAsia" w:eastAsiaTheme="minorEastAsia" w:cstheme="minorEastAsia"/>
                <w:b w:val="0"/>
                <w:bCs w:val="0"/>
                <w:sz w:val="21"/>
                <w:szCs w:val="21"/>
              </w:rPr>
              <w:t>mm</w:t>
            </w:r>
            <w:r>
              <w:rPr>
                <w:rFonts w:hint="eastAsia" w:asciiTheme="minorEastAsia" w:hAnsiTheme="minorEastAsia" w:eastAsiaTheme="minorEastAsia" w:cstheme="minorEastAsia"/>
                <w:b w:val="0"/>
                <w:bCs w:val="0"/>
                <w:color w:val="000000"/>
                <w:sz w:val="21"/>
                <w:szCs w:val="21"/>
              </w:rPr>
              <w:t>）</w:t>
            </w: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用材</w:t>
            </w:r>
            <w:r>
              <w:rPr>
                <w:rFonts w:hint="eastAsia" w:asciiTheme="minorEastAsia" w:hAnsiTheme="minorEastAsia" w:eastAsiaTheme="minorEastAsia" w:cstheme="minorEastAsia"/>
                <w:b w:val="0"/>
                <w:bCs w:val="0"/>
                <w:color w:val="000000"/>
                <w:sz w:val="21"/>
                <w:szCs w:val="21"/>
                <w:lang w:eastAsia="zh-CN"/>
              </w:rPr>
              <w:t>及</w:t>
            </w:r>
            <w:r>
              <w:rPr>
                <w:rFonts w:hint="eastAsia" w:asciiTheme="minorEastAsia" w:hAnsiTheme="minorEastAsia" w:eastAsiaTheme="minorEastAsia" w:cstheme="minorEastAsia"/>
                <w:b w:val="0"/>
                <w:bCs w:val="0"/>
                <w:color w:val="000000"/>
                <w:sz w:val="21"/>
                <w:szCs w:val="21"/>
              </w:rPr>
              <w:t>性能备注</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272" w:type="dxa"/>
            <w:vMerge w:val="restart"/>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轨道</w:t>
            </w: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FF0000"/>
                <w:sz w:val="21"/>
                <w:szCs w:val="21"/>
              </w:rPr>
            </w:pP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导轨板面</w:t>
            </w:r>
          </w:p>
        </w:tc>
        <w:tc>
          <w:tcPr>
            <w:tcW w:w="1959" w:type="dxa"/>
            <w:gridSpan w:val="2"/>
            <w:tcBorders>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cstheme="minorEastAsia"/>
                <w:b w:val="0"/>
                <w:bCs w:val="0"/>
                <w:sz w:val="21"/>
                <w:szCs w:val="21"/>
                <w:lang w:val="en-US" w:eastAsia="zh-CN"/>
              </w:rPr>
              <w:t>4</w:t>
            </w:r>
            <w:r>
              <w:rPr>
                <w:rFonts w:hint="eastAsia" w:asciiTheme="minorEastAsia" w:hAnsiTheme="minorEastAsia" w:eastAsiaTheme="minorEastAsia" w:cstheme="minorEastAsia"/>
                <w:b w:val="0"/>
                <w:bCs w:val="0"/>
                <w:sz w:val="21"/>
                <w:szCs w:val="21"/>
              </w:rPr>
              <w:t>.0mm</w:t>
            </w:r>
          </w:p>
        </w:tc>
        <w:tc>
          <w:tcPr>
            <w:tcW w:w="4721" w:type="dxa"/>
            <w:tcBorders>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高强度铝合金专用型材一次铸压成型，路轨两端设有限位装置，防止底盘脱轨，路轨面板与轨芯采用双排键槽式连接，背面采用M8螺杆连接，使之在承重2000kg时不变形，轨道和轨道盒用膨胀螺丝固定在地面上，具有强度高，重量轻，零件互换性强，使用寿命长，造型美观等特点，大大降低了楼层承载负荷。</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9" w:hRule="atLeast"/>
          <w:jc w:val="center"/>
        </w:trPr>
        <w:tc>
          <w:tcPr>
            <w:tcW w:w="1272" w:type="dxa"/>
            <w:vMerge w:val="continue"/>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轨芯</w:t>
            </w:r>
          </w:p>
        </w:tc>
        <w:tc>
          <w:tcPr>
            <w:tcW w:w="1959" w:type="dxa"/>
            <w:gridSpan w:val="2"/>
            <w:tcBorders>
              <w:top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cstheme="minorEastAsia"/>
                <w:b w:val="0"/>
                <w:bCs w:val="0"/>
                <w:sz w:val="21"/>
                <w:szCs w:val="21"/>
                <w:lang w:val="en-US" w:eastAsia="zh-CN"/>
              </w:rPr>
              <w:t>25</w:t>
            </w:r>
            <w:r>
              <w:rPr>
                <w:rFonts w:hint="eastAsia" w:asciiTheme="minorEastAsia" w:hAnsiTheme="minorEastAsia" w:eastAsiaTheme="minorEastAsia" w:cstheme="minorEastAsia"/>
                <w:b w:val="0"/>
                <w:bCs w:val="0"/>
                <w:sz w:val="21"/>
                <w:szCs w:val="21"/>
              </w:rPr>
              <w:t>mm×2</w:t>
            </w:r>
            <w:r>
              <w:rPr>
                <w:rFonts w:hint="eastAsia" w:asciiTheme="minorEastAsia" w:hAnsiTheme="minorEastAsia" w:cstheme="minorEastAsia"/>
                <w:b w:val="0"/>
                <w:bCs w:val="0"/>
                <w:sz w:val="21"/>
                <w:szCs w:val="21"/>
                <w:lang w:val="en-US" w:eastAsia="zh-CN"/>
              </w:rPr>
              <w:t>5</w:t>
            </w:r>
            <w:r>
              <w:rPr>
                <w:rFonts w:hint="eastAsia" w:asciiTheme="minorEastAsia" w:hAnsiTheme="minorEastAsia" w:eastAsiaTheme="minorEastAsia" w:cstheme="minorEastAsia"/>
                <w:b w:val="0"/>
                <w:bCs w:val="0"/>
                <w:sz w:val="21"/>
                <w:szCs w:val="21"/>
              </w:rPr>
              <w:t>mm</w:t>
            </w:r>
          </w:p>
        </w:tc>
        <w:tc>
          <w:tcPr>
            <w:tcW w:w="4721" w:type="dxa"/>
            <w:tcBorders>
              <w:top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pPr>
            <w:r>
              <w:rPr>
                <w:rFonts w:hint="eastAsia" w:asciiTheme="minorEastAsia" w:hAnsiTheme="minorEastAsia" w:eastAsiaTheme="minorEastAsia" w:cstheme="minorEastAsia"/>
                <w:b w:val="0"/>
                <w:bCs w:val="0"/>
                <w:sz w:val="21"/>
                <w:szCs w:val="21"/>
                <w:lang w:eastAsia="zh-CN"/>
              </w:rPr>
              <w:t>优质304不锈方钢</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75" w:hRule="atLeast"/>
          <w:jc w:val="center"/>
        </w:trPr>
        <w:tc>
          <w:tcPr>
            <w:tcW w:w="1272" w:type="dxa"/>
            <w:vMerge w:val="restart"/>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rPr>
              <w:t>底</w:t>
            </w:r>
            <w:r>
              <w:rPr>
                <w:rFonts w:hint="eastAsia" w:asciiTheme="minorEastAsia" w:hAnsiTheme="minorEastAsia" w:cstheme="minorEastAsia"/>
                <w:b w:val="0"/>
                <w:bCs w:val="0"/>
                <w:sz w:val="21"/>
                <w:szCs w:val="21"/>
                <w:lang w:eastAsia="zh-CN"/>
              </w:rPr>
              <w:t>盘</w:t>
            </w:r>
          </w:p>
        </w:tc>
        <w:tc>
          <w:tcPr>
            <w:tcW w:w="1554" w:type="dxa"/>
            <w:tcBorders>
              <w:bottom w:val="single" w:color="auto" w:sz="4" w:space="0"/>
            </w:tcBorders>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color w:val="000000"/>
                <w:sz w:val="21"/>
                <w:szCs w:val="21"/>
              </w:rPr>
              <w:t>底架</w:t>
            </w:r>
          </w:p>
        </w:tc>
        <w:tc>
          <w:tcPr>
            <w:tcW w:w="1959" w:type="dxa"/>
            <w:gridSpan w:val="2"/>
            <w:tcBorders>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color w:val="auto"/>
                <w:sz w:val="21"/>
                <w:szCs w:val="21"/>
              </w:rPr>
              <w:t>3.0mm</w:t>
            </w:r>
          </w:p>
        </w:tc>
        <w:tc>
          <w:tcPr>
            <w:tcW w:w="4721" w:type="dxa"/>
            <w:vMerge w:val="restart"/>
            <w:tcMar>
              <w:top w:w="0" w:type="dxa"/>
              <w:left w:w="108" w:type="dxa"/>
              <w:bottom w:w="0" w:type="dxa"/>
              <w:right w:w="108" w:type="dxa"/>
            </w:tcMar>
            <w:vAlign w:val="center"/>
          </w:tcPr>
          <w:p>
            <w:pPr>
              <w:spacing w:before="100" w:beforeAutospacing="1" w:after="100" w:afterAutospacing="1" w:line="240" w:lineRule="auto"/>
              <w:jc w:val="both"/>
              <w:rPr>
                <w:rFonts w:hint="eastAsia" w:asciiTheme="minorEastAsia" w:hAnsiTheme="minorEastAsia" w:eastAsiaTheme="minorEastAsia" w:cstheme="minorEastAsia"/>
                <w:b w:val="0"/>
                <w:bCs w:val="0"/>
                <w:color w:val="FF0000"/>
                <w:sz w:val="21"/>
                <w:szCs w:val="21"/>
                <w:lang w:eastAsia="zh-CN"/>
              </w:rPr>
            </w:pPr>
            <w:r>
              <w:rPr>
                <w:rFonts w:hint="eastAsia" w:asciiTheme="minorEastAsia" w:hAnsiTheme="minorEastAsia" w:eastAsiaTheme="minorEastAsia" w:cstheme="minorEastAsia"/>
                <w:b w:val="0"/>
                <w:bCs w:val="0"/>
                <w:sz w:val="21"/>
                <w:szCs w:val="21"/>
              </w:rPr>
              <w:t>拆装式无焊接</w:t>
            </w:r>
            <w:r>
              <w:rPr>
                <w:rFonts w:hint="eastAsia" w:asciiTheme="minorEastAsia" w:hAnsiTheme="minorEastAsia" w:eastAsiaTheme="minorEastAsia" w:cstheme="minorEastAsia"/>
                <w:b w:val="0"/>
                <w:bCs w:val="0"/>
                <w:sz w:val="21"/>
                <w:szCs w:val="21"/>
                <w:lang w:eastAsia="zh-CN"/>
              </w:rPr>
              <w:t>底座</w:t>
            </w:r>
            <w:r>
              <w:rPr>
                <w:rFonts w:hint="eastAsia" w:asciiTheme="minorEastAsia" w:hAnsiTheme="minorEastAsia" w:eastAsiaTheme="minorEastAsia" w:cstheme="minorEastAsia"/>
                <w:b w:val="0"/>
                <w:bCs w:val="0"/>
                <w:sz w:val="21"/>
                <w:szCs w:val="21"/>
              </w:rPr>
              <w:t>，底梁连接处采用一次性模压成型。整体结构采用平头定位螺杆固定连接，连接处无需焊接，便于安装、运输及拆装。产品标准件互换性强，并有防倾倒设计，防止架体倾倒</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主梁连接处冲有腰形孔，副梁连接处冲有腰形孔，这种缩口封式连接板设计正好与主梁连接处进行整体连接，可在安装及拆装过程中灵活调节孔位距离，便于作业人员的操作，也大大加强密集架底座的稳定性。另主副梁上</w:t>
            </w:r>
            <w:r>
              <w:rPr>
                <w:rFonts w:hint="eastAsia" w:asciiTheme="minorEastAsia" w:hAnsiTheme="minorEastAsia" w:eastAsiaTheme="minorEastAsia" w:cstheme="minorEastAsia"/>
                <w:b w:val="0"/>
                <w:bCs w:val="0"/>
                <w:sz w:val="21"/>
                <w:szCs w:val="21"/>
                <w:lang w:eastAsia="zh-CN"/>
              </w:rPr>
              <w:t>、下</w:t>
            </w:r>
            <w:r>
              <w:rPr>
                <w:rFonts w:hint="eastAsia" w:asciiTheme="minorEastAsia" w:hAnsiTheme="minorEastAsia" w:eastAsiaTheme="minorEastAsia" w:cstheme="minorEastAsia"/>
                <w:b w:val="0"/>
                <w:bCs w:val="0"/>
                <w:sz w:val="21"/>
                <w:szCs w:val="21"/>
              </w:rPr>
              <w:t>弯边这样便于架体在长期承重时不变形，不扭曲，增加了密集架整体的平稳度及使用寿命，增强了密集架整体美观度，使整个密集架看起来高端大气。</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61" w:hRule="atLeast"/>
          <w:jc w:val="center"/>
        </w:trPr>
        <w:tc>
          <w:tcPr>
            <w:tcW w:w="1272" w:type="dxa"/>
            <w:vMerge w:val="continue"/>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p>
        </w:tc>
        <w:tc>
          <w:tcPr>
            <w:tcW w:w="1554" w:type="dxa"/>
            <w:tcBorders>
              <w:top w:val="single" w:color="auto" w:sz="4" w:space="0"/>
            </w:tcBorders>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000000"/>
                <w:sz w:val="21"/>
                <w:szCs w:val="21"/>
              </w:rPr>
            </w:pPr>
            <w:r>
              <w:rPr>
                <w:rFonts w:hint="eastAsia" w:asciiTheme="minorEastAsia" w:hAnsiTheme="minorEastAsia" w:eastAsiaTheme="minorEastAsia" w:cstheme="minorEastAsia"/>
                <w:b w:val="0"/>
                <w:bCs w:val="0"/>
                <w:color w:val="000000"/>
                <w:sz w:val="21"/>
                <w:szCs w:val="21"/>
              </w:rPr>
              <w:t>底梁、横梁</w:t>
            </w:r>
          </w:p>
        </w:tc>
        <w:tc>
          <w:tcPr>
            <w:tcW w:w="1959" w:type="dxa"/>
            <w:gridSpan w:val="2"/>
            <w:tcBorders>
              <w:top w:val="single" w:color="auto" w:sz="4" w:space="0"/>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rPr>
              <w:t>3.0mm</w:t>
            </w:r>
          </w:p>
        </w:tc>
        <w:tc>
          <w:tcPr>
            <w:tcW w:w="4721" w:type="dxa"/>
            <w:vMerge w:val="continue"/>
            <w:tcMar>
              <w:top w:w="0" w:type="dxa"/>
              <w:left w:w="108" w:type="dxa"/>
              <w:bottom w:w="0" w:type="dxa"/>
              <w:right w:w="108" w:type="dxa"/>
            </w:tcMar>
            <w:vAlign w:val="center"/>
          </w:tcPr>
          <w:p>
            <w:pPr>
              <w:spacing w:before="100" w:beforeAutospacing="1" w:after="100" w:afterAutospacing="1" w:line="240" w:lineRule="auto"/>
              <w:jc w:val="both"/>
              <w:rPr>
                <w:rFonts w:hint="eastAsia" w:asciiTheme="minorEastAsia" w:hAnsiTheme="minorEastAsia" w:eastAsiaTheme="minorEastAsia" w:cstheme="minorEastAsia"/>
                <w:b w:val="0"/>
                <w:bCs w:val="0"/>
                <w:sz w:val="21"/>
                <w:szCs w:val="21"/>
              </w:rPr>
            </w:pP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7" w:hRule="atLeast"/>
          <w:jc w:val="center"/>
        </w:trPr>
        <w:tc>
          <w:tcPr>
            <w:tcW w:w="1272" w:type="dxa"/>
            <w:vMerge w:val="continue"/>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p>
        </w:tc>
        <w:tc>
          <w:tcPr>
            <w:tcW w:w="1554" w:type="dxa"/>
            <w:tcBorders>
              <w:top w:val="single" w:color="auto" w:sz="4" w:space="0"/>
            </w:tcBorders>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pPr>
            <w:r>
              <w:rPr>
                <w:rFonts w:hint="eastAsia" w:asciiTheme="minorEastAsia" w:hAnsiTheme="minorEastAsia" w:eastAsiaTheme="minorEastAsia" w:cstheme="minorEastAsia"/>
                <w:b w:val="0"/>
                <w:bCs w:val="0"/>
                <w:color w:val="000000"/>
                <w:sz w:val="21"/>
                <w:szCs w:val="21"/>
              </w:rPr>
              <w:t>中间板、封板</w:t>
            </w:r>
          </w:p>
        </w:tc>
        <w:tc>
          <w:tcPr>
            <w:tcW w:w="1959" w:type="dxa"/>
            <w:gridSpan w:val="2"/>
            <w:tcBorders>
              <w:top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color w:val="auto"/>
                <w:sz w:val="21"/>
                <w:szCs w:val="21"/>
                <w:lang w:val="en-US" w:eastAsia="zh-CN"/>
              </w:rPr>
              <w:t>3</w:t>
            </w:r>
            <w:r>
              <w:rPr>
                <w:rFonts w:hint="eastAsia" w:asciiTheme="minorEastAsia" w:hAnsiTheme="minorEastAsia" w:eastAsiaTheme="minorEastAsia" w:cstheme="minorEastAsia"/>
                <w:b w:val="0"/>
                <w:bCs w:val="0"/>
                <w:color w:val="auto"/>
                <w:sz w:val="21"/>
                <w:szCs w:val="21"/>
              </w:rPr>
              <w:t>.0mm</w:t>
            </w:r>
          </w:p>
        </w:tc>
        <w:tc>
          <w:tcPr>
            <w:tcW w:w="4721" w:type="dxa"/>
            <w:vMerge w:val="continue"/>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restart"/>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架体</w:t>
            </w: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cstheme="minorEastAsia"/>
                <w:b w:val="0"/>
                <w:bCs w:val="0"/>
                <w:sz w:val="21"/>
                <w:szCs w:val="21"/>
                <w:lang w:eastAsia="zh-CN"/>
              </w:rPr>
              <w:t>无焊接式</w:t>
            </w:r>
            <w:r>
              <w:rPr>
                <w:rFonts w:hint="eastAsia" w:asciiTheme="minorEastAsia" w:hAnsiTheme="minorEastAsia" w:eastAsiaTheme="minorEastAsia" w:cstheme="minorEastAsia"/>
                <w:b w:val="0"/>
                <w:bCs w:val="0"/>
                <w:sz w:val="21"/>
                <w:szCs w:val="21"/>
              </w:rPr>
              <w:t>立柱</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1.</w:t>
            </w:r>
            <w:r>
              <w:rPr>
                <w:rFonts w:hint="eastAsia" w:asciiTheme="minorEastAsia" w:hAnsiTheme="minorEastAsia" w:eastAsiaTheme="minorEastAsia" w:cstheme="minorEastAsia"/>
                <w:b w:val="0"/>
                <w:bCs w:val="0"/>
                <w:sz w:val="21"/>
                <w:szCs w:val="21"/>
                <w:lang w:val="en-US" w:eastAsia="zh-CN"/>
              </w:rPr>
              <w:t>5</w:t>
            </w:r>
            <w:r>
              <w:rPr>
                <w:rFonts w:hint="eastAsia" w:asciiTheme="minorEastAsia" w:hAnsiTheme="minorEastAsia" w:eastAsiaTheme="minorEastAsia" w:cstheme="minorEastAsia"/>
                <w:b w:val="0"/>
                <w:bCs w:val="0"/>
                <w:sz w:val="21"/>
                <w:szCs w:val="21"/>
              </w:rPr>
              <w:t>mm</w:t>
            </w:r>
          </w:p>
        </w:tc>
        <w:tc>
          <w:tcPr>
            <w:tcW w:w="4721" w:type="dxa"/>
            <w:vMerge w:val="restart"/>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eastAsia="zh-CN"/>
              </w:rPr>
              <w:t>优质</w:t>
            </w:r>
            <w:r>
              <w:rPr>
                <w:rFonts w:hint="eastAsia" w:asciiTheme="minorEastAsia" w:hAnsiTheme="minorEastAsia" w:eastAsiaTheme="minorEastAsia" w:cstheme="minorEastAsia"/>
                <w:b w:val="0"/>
                <w:bCs w:val="0"/>
                <w:sz w:val="21"/>
                <w:szCs w:val="21"/>
              </w:rPr>
              <w:t>冷轧钢板</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挂板</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1.</w:t>
            </w:r>
            <w:r>
              <w:rPr>
                <w:rFonts w:hint="eastAsia" w:asciiTheme="minorEastAsia" w:hAnsiTheme="minorEastAsia" w:cstheme="minorEastAsia"/>
                <w:b w:val="0"/>
                <w:bCs w:val="0"/>
                <w:sz w:val="21"/>
                <w:szCs w:val="21"/>
                <w:lang w:val="en-US" w:eastAsia="zh-CN"/>
              </w:rPr>
              <w:t>0</w:t>
            </w:r>
            <w:r>
              <w:rPr>
                <w:rFonts w:hint="eastAsia" w:asciiTheme="minorEastAsia" w:hAnsiTheme="minorEastAsia" w:eastAsiaTheme="minorEastAsia" w:cstheme="minorEastAsia"/>
                <w:b w:val="0"/>
                <w:bCs w:val="0"/>
                <w:sz w:val="21"/>
                <w:szCs w:val="21"/>
              </w:rPr>
              <w:t>mm</w:t>
            </w:r>
          </w:p>
        </w:tc>
        <w:tc>
          <w:tcPr>
            <w:tcW w:w="4721"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托板</w:t>
            </w:r>
          </w:p>
        </w:tc>
        <w:tc>
          <w:tcPr>
            <w:tcW w:w="1959" w:type="dxa"/>
            <w:gridSpan w:val="2"/>
            <w:tcBorders>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1.</w:t>
            </w:r>
            <w:r>
              <w:rPr>
                <w:rFonts w:hint="eastAsia" w:asciiTheme="minorEastAsia" w:hAnsiTheme="minorEastAsia" w:cstheme="minorEastAsia"/>
                <w:b w:val="0"/>
                <w:bCs w:val="0"/>
                <w:sz w:val="21"/>
                <w:szCs w:val="21"/>
                <w:lang w:val="en-US" w:eastAsia="zh-CN"/>
              </w:rPr>
              <w:t>2</w:t>
            </w:r>
            <w:r>
              <w:rPr>
                <w:rFonts w:hint="eastAsia" w:asciiTheme="minorEastAsia" w:hAnsiTheme="minorEastAsia" w:eastAsiaTheme="minorEastAsia" w:cstheme="minorEastAsia"/>
                <w:b w:val="0"/>
                <w:bCs w:val="0"/>
                <w:sz w:val="21"/>
                <w:szCs w:val="21"/>
              </w:rPr>
              <w:t>mm</w:t>
            </w:r>
          </w:p>
        </w:tc>
        <w:tc>
          <w:tcPr>
            <w:tcW w:w="4721"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PrEx>
        <w:trPr>
          <w:trHeight w:val="261"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挡棒</w:t>
            </w:r>
          </w:p>
        </w:tc>
        <w:tc>
          <w:tcPr>
            <w:tcW w:w="1959" w:type="dxa"/>
            <w:gridSpan w:val="2"/>
            <w:tcBorders>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1.</w:t>
            </w:r>
            <w:r>
              <w:rPr>
                <w:rFonts w:hint="eastAsia" w:asciiTheme="minorEastAsia" w:hAnsiTheme="minorEastAsia" w:cstheme="minorEastAsia"/>
                <w:b w:val="0"/>
                <w:bCs w:val="0"/>
                <w:sz w:val="21"/>
                <w:szCs w:val="21"/>
                <w:lang w:val="en-US" w:eastAsia="zh-CN"/>
              </w:rPr>
              <w:t>0</w:t>
            </w:r>
            <w:r>
              <w:rPr>
                <w:rFonts w:hint="eastAsia" w:asciiTheme="minorEastAsia" w:hAnsiTheme="minorEastAsia" w:eastAsiaTheme="minorEastAsia" w:cstheme="minorEastAsia"/>
                <w:b w:val="0"/>
                <w:bCs w:val="0"/>
                <w:sz w:val="21"/>
                <w:szCs w:val="21"/>
              </w:rPr>
              <w:t>mm</w:t>
            </w:r>
          </w:p>
        </w:tc>
        <w:tc>
          <w:tcPr>
            <w:tcW w:w="4721" w:type="dxa"/>
            <w:vMerge w:val="continue"/>
            <w:tcBorders>
              <w:bottom w:val="single" w:color="auto" w:sz="4" w:space="0"/>
            </w:tcBorders>
            <w:vAlign w:val="center"/>
          </w:tcPr>
          <w:p>
            <w:pPr>
              <w:spacing w:line="240" w:lineRule="auto"/>
              <w:rPr>
                <w:rFonts w:hint="eastAsia" w:asciiTheme="minorEastAsia" w:hAnsiTheme="minorEastAsia" w:eastAsiaTheme="minorEastAsia" w:cstheme="minorEastAsia"/>
                <w:b w:val="0"/>
                <w:bCs w:val="0"/>
                <w:sz w:val="21"/>
                <w:szCs w:val="21"/>
              </w:rPr>
            </w:pP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i w:val="0"/>
                <w:iCs w:val="0"/>
                <w:color w:val="000000" w:themeColor="text1"/>
                <w:sz w:val="21"/>
                <w:szCs w:val="21"/>
                <w:lang w:eastAsia="zh-CN"/>
                <w14:textFill>
                  <w14:solidFill>
                    <w14:schemeClr w14:val="tx1"/>
                  </w14:solidFill>
                </w14:textFill>
              </w:rPr>
              <w:t>门</w:t>
            </w:r>
            <w:r>
              <w:rPr>
                <w:rFonts w:hint="eastAsia" w:asciiTheme="minorEastAsia" w:hAnsiTheme="minorEastAsia" w:eastAsiaTheme="minorEastAsia" w:cstheme="minorEastAsia"/>
                <w:b w:val="0"/>
                <w:bCs w:val="0"/>
                <w:i w:val="0"/>
                <w:iCs w:val="0"/>
                <w:sz w:val="21"/>
                <w:szCs w:val="21"/>
              </w:rPr>
              <w:t>板</w:t>
            </w:r>
          </w:p>
        </w:tc>
        <w:tc>
          <w:tcPr>
            <w:tcW w:w="1959" w:type="dxa"/>
            <w:gridSpan w:val="2"/>
            <w:tcBorders>
              <w:top w:val="single" w:color="auto" w:sz="4" w:space="0"/>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both"/>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1.</w:t>
            </w:r>
            <w:r>
              <w:rPr>
                <w:rFonts w:hint="eastAsia" w:asciiTheme="minorEastAsia" w:hAnsiTheme="minorEastAsia" w:cstheme="minorEastAsia"/>
                <w:b w:val="0"/>
                <w:bCs w:val="0"/>
                <w:sz w:val="21"/>
                <w:szCs w:val="21"/>
                <w:lang w:val="en-US" w:eastAsia="zh-CN"/>
              </w:rPr>
              <w:t>0</w:t>
            </w:r>
            <w:r>
              <w:rPr>
                <w:rFonts w:hint="eastAsia" w:asciiTheme="minorEastAsia" w:hAnsiTheme="minorEastAsia" w:eastAsiaTheme="minorEastAsia" w:cstheme="minorEastAsia"/>
                <w:b w:val="0"/>
                <w:bCs w:val="0"/>
                <w:sz w:val="21"/>
                <w:szCs w:val="21"/>
              </w:rPr>
              <w:t>mm（使用铰链，平开 180°）</w:t>
            </w:r>
          </w:p>
        </w:tc>
        <w:tc>
          <w:tcPr>
            <w:tcW w:w="4721" w:type="dxa"/>
            <w:tcBorders>
              <w:top w:val="single" w:color="auto" w:sz="4" w:space="0"/>
              <w:bottom w:val="single" w:color="auto" w:sz="4" w:space="0"/>
            </w:tcBorders>
            <w:vAlign w:val="center"/>
          </w:tcPr>
          <w:p>
            <w:pPr>
              <w:spacing w:line="240" w:lineRule="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eastAsia="zh-CN"/>
              </w:rPr>
              <w:t>优质</w:t>
            </w:r>
            <w:r>
              <w:rPr>
                <w:rFonts w:hint="eastAsia" w:asciiTheme="minorEastAsia" w:hAnsiTheme="minorEastAsia" w:eastAsiaTheme="minorEastAsia" w:cstheme="minorEastAsia"/>
                <w:b w:val="0"/>
                <w:bCs w:val="0"/>
                <w:sz w:val="21"/>
                <w:szCs w:val="21"/>
              </w:rPr>
              <w:t>冷轧钢板</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表面光滑平整</w:t>
            </w:r>
            <w:r>
              <w:rPr>
                <w:rFonts w:hint="eastAsia" w:asciiTheme="minorEastAsia" w:hAnsiTheme="minorEastAsia" w:eastAsiaTheme="minorEastAsia" w:cstheme="minorEastAsia"/>
                <w:b w:val="0"/>
                <w:bCs w:val="0"/>
                <w:sz w:val="21"/>
                <w:szCs w:val="21"/>
                <w:lang w:eastAsia="zh-CN"/>
              </w:rPr>
              <w:t>。</w:t>
            </w:r>
            <w:r>
              <w:rPr>
                <w:rFonts w:hint="eastAsia" w:asciiTheme="minorEastAsia" w:hAnsiTheme="minorEastAsia" w:eastAsiaTheme="minorEastAsia" w:cstheme="minorEastAsia"/>
                <w:b w:val="0"/>
                <w:bCs w:val="0"/>
                <w:sz w:val="21"/>
                <w:szCs w:val="21"/>
              </w:rPr>
              <w:t>突破传统的锁条式门栓，对铝合金门条采用外嵌内四点固定式不锈钢铰链，将铝合金门条与密集架门连接，充分满足密集架平开门180°旋转，充分利用通道的实用宽度，减少门在半开状态对人体的碰撞，取放档案更加方便，更好的体现出了人性化设计操作。</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摇柄隐藏式侧板</w:t>
            </w:r>
          </w:p>
        </w:tc>
        <w:tc>
          <w:tcPr>
            <w:tcW w:w="1959" w:type="dxa"/>
            <w:gridSpan w:val="2"/>
            <w:tcBorders>
              <w:top w:val="single" w:color="auto" w:sz="4" w:space="0"/>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1</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0</w:t>
            </w:r>
            <w:r>
              <w:rPr>
                <w:rFonts w:hint="eastAsia" w:asciiTheme="minorEastAsia" w:hAnsiTheme="minorEastAsia" w:eastAsiaTheme="minorEastAsia" w:cstheme="minorEastAsia"/>
                <w:b w:val="0"/>
                <w:bCs w:val="0"/>
                <w:sz w:val="21"/>
                <w:szCs w:val="21"/>
              </w:rPr>
              <w:t>mm</w:t>
            </w:r>
          </w:p>
        </w:tc>
        <w:tc>
          <w:tcPr>
            <w:tcW w:w="4721" w:type="dxa"/>
            <w:tcBorders>
              <w:top w:val="single" w:color="auto" w:sz="4" w:space="0"/>
              <w:bottom w:val="single" w:color="auto" w:sz="4" w:space="0"/>
            </w:tcBorders>
            <w:vAlign w:val="center"/>
          </w:tcPr>
          <w:p>
            <w:pPr>
              <w:spacing w:line="240" w:lineRule="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侧板采用横三节式结构，中间一节设计内凹冲压成型，用于密集架摇柄隐藏于侧板之中，内凹侧板规格：宽600mm，深65mm，高550mm，内凹圆形规格：直径320MM，深度32mm，直通摇柄轴中心直径50mm，摇柄正平面与上下节侧板平直对称三点一线，配折叠式手把摇柄，突破传统摇柄外凸于侧板之外，使产品实现通道零障碍，端庄大气而流畅。</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卡挂式顶板</w:t>
            </w:r>
          </w:p>
        </w:tc>
        <w:tc>
          <w:tcPr>
            <w:tcW w:w="1959" w:type="dxa"/>
            <w:gridSpan w:val="2"/>
            <w:tcBorders>
              <w:top w:val="single" w:color="auto" w:sz="4" w:space="0"/>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0</w:t>
            </w:r>
            <w:r>
              <w:rPr>
                <w:rFonts w:hint="eastAsia" w:asciiTheme="minorEastAsia" w:hAnsiTheme="minorEastAsia" w:eastAsiaTheme="minorEastAsia" w:cstheme="minorEastAsia"/>
                <w:b w:val="0"/>
                <w:bCs w:val="0"/>
                <w:sz w:val="21"/>
                <w:szCs w:val="21"/>
              </w:rPr>
              <w:t>mm</w:t>
            </w:r>
          </w:p>
        </w:tc>
        <w:tc>
          <w:tcPr>
            <w:tcW w:w="4721" w:type="dxa"/>
            <w:tcBorders>
              <w:top w:val="single" w:color="auto" w:sz="4" w:space="0"/>
              <w:bottom w:val="single" w:color="auto" w:sz="4" w:space="0"/>
            </w:tcBorders>
            <w:vAlign w:val="center"/>
          </w:tcPr>
          <w:p>
            <w:pPr>
              <w:spacing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宝钢冷轧钢板</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卡</w:t>
            </w:r>
            <w:r>
              <w:rPr>
                <w:rFonts w:hint="eastAsia" w:asciiTheme="minorEastAsia" w:hAnsiTheme="minorEastAsia" w:cstheme="minorEastAsia"/>
                <w:b w:val="0"/>
                <w:bCs w:val="0"/>
                <w:sz w:val="21"/>
                <w:szCs w:val="21"/>
                <w:lang w:eastAsia="zh-CN"/>
              </w:rPr>
              <w:t>扣</w:t>
            </w:r>
            <w:r>
              <w:rPr>
                <w:rFonts w:hint="eastAsia" w:asciiTheme="minorEastAsia" w:hAnsiTheme="minorEastAsia" w:eastAsiaTheme="minorEastAsia" w:cstheme="minorEastAsia"/>
                <w:b w:val="0"/>
                <w:bCs w:val="0"/>
                <w:sz w:val="21"/>
                <w:szCs w:val="21"/>
              </w:rPr>
              <w:t>式防尘板</w:t>
            </w:r>
          </w:p>
        </w:tc>
        <w:tc>
          <w:tcPr>
            <w:tcW w:w="1959" w:type="dxa"/>
            <w:gridSpan w:val="2"/>
            <w:tcBorders>
              <w:top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1</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0</w:t>
            </w:r>
            <w:r>
              <w:rPr>
                <w:rFonts w:hint="eastAsia" w:asciiTheme="minorEastAsia" w:hAnsiTheme="minorEastAsia" w:eastAsiaTheme="minorEastAsia" w:cstheme="minorEastAsia"/>
                <w:b w:val="0"/>
                <w:bCs w:val="0"/>
                <w:sz w:val="21"/>
                <w:szCs w:val="21"/>
              </w:rPr>
              <w:t>mm</w:t>
            </w:r>
          </w:p>
        </w:tc>
        <w:tc>
          <w:tcPr>
            <w:tcW w:w="4721" w:type="dxa"/>
            <w:tcBorders>
              <w:top w:val="single" w:color="auto" w:sz="4" w:space="0"/>
            </w:tcBorders>
            <w:vAlign w:val="center"/>
          </w:tcPr>
          <w:p>
            <w:pPr>
              <w:spacing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宝钢冷轧钢板</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16"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FF0000"/>
                <w:sz w:val="21"/>
                <w:szCs w:val="21"/>
                <w:lang w:eastAsia="zh-CN"/>
              </w:rPr>
            </w:pP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门条</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1.</w:t>
            </w:r>
            <w:r>
              <w:rPr>
                <w:rFonts w:hint="eastAsia" w:asciiTheme="minorEastAsia" w:hAnsiTheme="minorEastAsia" w:eastAsiaTheme="minorEastAsia" w:cstheme="minorEastAsia"/>
                <w:b w:val="0"/>
                <w:bCs w:val="0"/>
                <w:sz w:val="21"/>
                <w:szCs w:val="21"/>
                <w:lang w:val="en-US" w:eastAsia="zh-CN"/>
              </w:rPr>
              <w:t>5</w:t>
            </w:r>
            <w:r>
              <w:rPr>
                <w:rFonts w:hint="eastAsia" w:asciiTheme="minorEastAsia" w:hAnsiTheme="minorEastAsia" w:eastAsiaTheme="minorEastAsia" w:cstheme="minorEastAsia"/>
                <w:b w:val="0"/>
                <w:bCs w:val="0"/>
                <w:sz w:val="21"/>
                <w:szCs w:val="21"/>
              </w:rPr>
              <w:t>mm</w:t>
            </w:r>
          </w:p>
        </w:tc>
        <w:tc>
          <w:tcPr>
            <w:tcW w:w="4721" w:type="dxa"/>
            <w:vAlign w:val="center"/>
          </w:tcPr>
          <w:p>
            <w:pPr>
              <w:spacing w:line="240" w:lineRule="auto"/>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cstheme="minorEastAsia"/>
                <w:b w:val="0"/>
                <w:bCs w:val="0"/>
                <w:color w:val="000000" w:themeColor="text1"/>
                <w:sz w:val="21"/>
                <w:szCs w:val="21"/>
                <w:lang w:eastAsia="zh-CN"/>
                <w14:textFill>
                  <w14:solidFill>
                    <w14:schemeClr w14:val="tx1"/>
                  </w14:solidFill>
                </w14:textFill>
              </w:rPr>
              <w:t>铝合金门条</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一次</w:t>
            </w: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铸</w:t>
            </w:r>
            <w:r>
              <w:rPr>
                <w:rFonts w:hint="eastAsia" w:asciiTheme="minorEastAsia" w:hAnsiTheme="minorEastAsia" w:eastAsiaTheme="minorEastAsia" w:cstheme="minorEastAsia"/>
                <w:b w:val="0"/>
                <w:bCs w:val="0"/>
                <w:color w:val="000000" w:themeColor="text1"/>
                <w:sz w:val="21"/>
                <w:szCs w:val="21"/>
                <w14:textFill>
                  <w14:solidFill>
                    <w14:schemeClr w14:val="tx1"/>
                  </w14:solidFill>
                </w14:textFill>
              </w:rPr>
              <w:t>压成型</w:t>
            </w: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，具有强度高、重量轻、零件互换性强（高精度标准件），寿命长、造型美观等特点，型材强硬度（HW）</w:t>
            </w:r>
            <w:r>
              <w:rPr>
                <w:rFonts w:hint="eastAsia" w:asciiTheme="minorEastAsia" w:hAnsiTheme="minorEastAsia" w:eastAsiaTheme="minorEastAsia" w:cstheme="minorEastAsia"/>
                <w:b w:val="0"/>
                <w:bCs w:val="0"/>
                <w:color w:val="000000"/>
                <w:kern w:val="0"/>
                <w:sz w:val="21"/>
                <w:szCs w:val="21"/>
              </w:rPr>
              <w:t>≥</w:t>
            </w:r>
            <w:r>
              <w:rPr>
                <w:rFonts w:hint="eastAsia" w:asciiTheme="minorEastAsia" w:hAnsiTheme="minorEastAsia" w:eastAsiaTheme="minorEastAsia" w:cstheme="minorEastAsia"/>
                <w:b w:val="0"/>
                <w:bCs w:val="0"/>
                <w:color w:val="000000" w:themeColor="text1"/>
                <w:sz w:val="21"/>
                <w:szCs w:val="21"/>
                <w:lang w:eastAsia="zh-CN"/>
                <w14:textFill>
                  <w14:solidFill>
                    <w14:schemeClr w14:val="tx1"/>
                  </w14:solidFill>
                </w14:textFill>
              </w:rPr>
              <w:t>15（高于国家标准）。另铝合金门条配置外嵌内四点固定式不锈钢铰链，充分满足密集架平开门达到180°，更好的体现出了人性化设计操作。</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restart"/>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传动</w:t>
            </w:r>
          </w:p>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机构</w:t>
            </w: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轴承</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P204</w:t>
            </w: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E级</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continue"/>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eastAsia="zh-CN"/>
              </w:rPr>
              <w:t>传动轴</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rPr>
              <w:t>φ2</w:t>
            </w:r>
            <w:r>
              <w:rPr>
                <w:rFonts w:hint="eastAsia" w:asciiTheme="minorEastAsia" w:hAnsiTheme="minorEastAsia" w:cstheme="minorEastAsia"/>
                <w:b w:val="0"/>
                <w:bCs w:val="0"/>
                <w:sz w:val="21"/>
                <w:szCs w:val="21"/>
                <w:lang w:val="en-US" w:eastAsia="zh-CN"/>
              </w:rPr>
              <w:t>0</w:t>
            </w: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45#钢</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eastAsia="zh-CN"/>
              </w:rPr>
              <w:t>连接钢管</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φ25*25</w:t>
            </w: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无缝钢管</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链轮</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ZG45</w:t>
            </w: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滚齿精制</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摩托车链条</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FR420</w:t>
            </w: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直径8.5节径12.7</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52"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vMerge w:val="restart"/>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cstheme="minorEastAsia"/>
                <w:b w:val="0"/>
                <w:bCs w:val="0"/>
                <w:sz w:val="21"/>
                <w:szCs w:val="21"/>
                <w:lang w:val="en-US" w:eastAsia="zh-CN"/>
              </w:rPr>
              <w:t>手体</w:t>
            </w:r>
            <w:r>
              <w:rPr>
                <w:rFonts w:hint="eastAsia" w:asciiTheme="minorEastAsia" w:hAnsiTheme="minorEastAsia" w:eastAsiaTheme="minorEastAsia" w:cstheme="minorEastAsia"/>
                <w:b w:val="0"/>
                <w:bCs w:val="0"/>
                <w:sz w:val="21"/>
                <w:szCs w:val="21"/>
              </w:rPr>
              <w:t>总成</w:t>
            </w:r>
          </w:p>
        </w:tc>
        <w:tc>
          <w:tcPr>
            <w:tcW w:w="705" w:type="dxa"/>
            <w:tcBorders>
              <w:right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圆盘结构</w:t>
            </w:r>
          </w:p>
        </w:tc>
        <w:tc>
          <w:tcPr>
            <w:tcW w:w="1254" w:type="dxa"/>
            <w:tcBorders>
              <w:left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color w:val="000000" w:themeColor="text1"/>
                <w:kern w:val="0"/>
                <w:sz w:val="21"/>
                <w:szCs w:val="21"/>
                <w14:textFill>
                  <w14:solidFill>
                    <w14:schemeClr w14:val="tx1"/>
                  </w14:solidFill>
                </w14:textFill>
              </w:rPr>
            </w:pPr>
            <w:r>
              <w:rPr>
                <w:rFonts w:hint="eastAsia" w:asciiTheme="minorEastAsia" w:hAnsiTheme="minorEastAsia" w:eastAsiaTheme="minorEastAsia" w:cstheme="minorEastAsia"/>
                <w:b w:val="0"/>
                <w:bCs w:val="0"/>
                <w:sz w:val="21"/>
                <w:szCs w:val="21"/>
              </w:rPr>
              <w:t>7.5mm</w:t>
            </w:r>
          </w:p>
        </w:tc>
        <w:tc>
          <w:tcPr>
            <w:tcW w:w="4721" w:type="dxa"/>
            <w:tcBorders>
              <w:bottom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圆手柄采用优质铝合金一次性模具挤压成型，圆盘直径300mm，为衬托圆盘整体美观依据物理原理采用凹陷设计从而减轻重量，让密集架在静止状态下圆盘手柄处于平行下垂状态。凹陷平面直径260mm，中间位置设计凸台用于安装盖子直径86mm。整个圆盘外沿设计为圆角，圆角半径8mm。圆盘中心安装6001精密轴承，安装凸台外径35mm内径28mm，端面有26mm的孔，便于拆卸轴承。致使整个圆手柄操作更加轻松自如，手感流畅。圆盘表面整体精细打磨，细沙抛光，安装金属手柄，更显高端，美观大气。 </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8"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705" w:type="dxa"/>
            <w:tcBorders>
              <w:right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cstheme="minorEastAsia"/>
                <w:b w:val="0"/>
                <w:bCs w:val="0"/>
                <w:sz w:val="21"/>
                <w:szCs w:val="21"/>
                <w:lang w:val="en-US" w:eastAsia="zh-CN"/>
              </w:rPr>
              <w:t>精密</w:t>
            </w:r>
            <w:r>
              <w:rPr>
                <w:rFonts w:hint="eastAsia" w:asciiTheme="minorEastAsia" w:hAnsiTheme="minorEastAsia" w:eastAsiaTheme="minorEastAsia" w:cstheme="minorEastAsia"/>
                <w:b w:val="0"/>
                <w:bCs w:val="0"/>
                <w:sz w:val="21"/>
                <w:szCs w:val="21"/>
              </w:rPr>
              <w:t>轴承</w:t>
            </w:r>
          </w:p>
        </w:tc>
        <w:tc>
          <w:tcPr>
            <w:tcW w:w="1254" w:type="dxa"/>
            <w:tcBorders>
              <w:left w:val="single" w:color="auto" w:sz="4" w:space="0"/>
            </w:tcBorders>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p>
        </w:tc>
        <w:tc>
          <w:tcPr>
            <w:tcW w:w="4721" w:type="dxa"/>
            <w:tcBorders>
              <w:top w:val="single" w:color="auto" w:sz="4" w:space="0"/>
            </w:tcBorders>
            <w:tcMar>
              <w:top w:w="0" w:type="dxa"/>
              <w:left w:w="108" w:type="dxa"/>
              <w:bottom w:w="0" w:type="dxa"/>
              <w:right w:w="108" w:type="dxa"/>
            </w:tcMar>
            <w:vAlign w:val="center"/>
          </w:tcPr>
          <w:p>
            <w:pPr>
              <w:spacing w:line="240" w:lineRule="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restart"/>
            <w:vAlign w:val="center"/>
          </w:tcPr>
          <w:p>
            <w:pPr>
              <w:spacing w:before="100" w:beforeAutospacing="1" w:after="100" w:afterAutospacing="1" w:line="240" w:lineRule="auto"/>
              <w:ind w:left="240" w:hanging="210" w:hangingChars="100"/>
              <w:jc w:val="both"/>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lang w:val="en-US" w:eastAsia="zh-CN"/>
              </w:rPr>
              <w:t xml:space="preserve">  </w:t>
            </w:r>
            <w:r>
              <w:rPr>
                <w:rFonts w:hint="eastAsia" w:asciiTheme="minorEastAsia" w:hAnsiTheme="minorEastAsia" w:eastAsiaTheme="minorEastAsia" w:cstheme="minorEastAsia"/>
                <w:b w:val="0"/>
                <w:bCs w:val="0"/>
                <w:sz w:val="21"/>
                <w:szCs w:val="21"/>
              </w:rPr>
              <w:t>制动装置</w:t>
            </w: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侧列锁定装置</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豪华808锁</w:t>
            </w: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中列制动装置</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w:t>
            </w: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 </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防护装置</w:t>
            </w: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防震装置</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20mm</w:t>
            </w: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磁性冰箱门磁条</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restart"/>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防鼠板</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1.0mm</w:t>
            </w:r>
          </w:p>
        </w:tc>
        <w:tc>
          <w:tcPr>
            <w:tcW w:w="4721" w:type="dxa"/>
            <w:vMerge w:val="restart"/>
            <w:vAlign w:val="center"/>
          </w:tcPr>
          <w:p>
            <w:pPr>
              <w:spacing w:line="240" w:lineRule="auto"/>
              <w:rPr>
                <w:rFonts w:hint="eastAsia" w:asciiTheme="minorEastAsia" w:hAnsiTheme="minorEastAsia" w:eastAsiaTheme="minorEastAsia" w:cstheme="minorEastAsia"/>
                <w:b w:val="0"/>
                <w:bCs w:val="0"/>
                <w:sz w:val="21"/>
                <w:szCs w:val="21"/>
              </w:rPr>
            </w:pP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1" w:hRule="atLeast"/>
          <w:jc w:val="center"/>
        </w:trPr>
        <w:tc>
          <w:tcPr>
            <w:tcW w:w="1272"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c>
          <w:tcPr>
            <w:tcW w:w="1554"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防倾倒装置</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3.0mm</w:t>
            </w:r>
          </w:p>
        </w:tc>
        <w:tc>
          <w:tcPr>
            <w:tcW w:w="4721" w:type="dxa"/>
            <w:vMerge w:val="continue"/>
            <w:vAlign w:val="center"/>
          </w:tcPr>
          <w:p>
            <w:pPr>
              <w:spacing w:line="240" w:lineRule="auto"/>
              <w:rPr>
                <w:rFonts w:hint="eastAsia" w:asciiTheme="minorEastAsia" w:hAnsiTheme="minorEastAsia" w:eastAsiaTheme="minorEastAsia" w:cstheme="minorEastAsia"/>
                <w:b w:val="0"/>
                <w:bCs w:val="0"/>
                <w:sz w:val="21"/>
                <w:szCs w:val="21"/>
              </w:rPr>
            </w:pP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05" w:hRule="atLeast"/>
          <w:jc w:val="center"/>
        </w:trPr>
        <w:tc>
          <w:tcPr>
            <w:tcW w:w="1272" w:type="dxa"/>
            <w:vAlign w:val="center"/>
          </w:tcPr>
          <w:p>
            <w:pPr>
              <w:spacing w:before="100" w:beforeAutospacing="1" w:after="100" w:afterAutospacing="1" w:line="240" w:lineRule="auto"/>
              <w:jc w:val="both"/>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表面处理</w:t>
            </w: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高压静电喷塑</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p>
        </w:tc>
        <w:tc>
          <w:tcPr>
            <w:tcW w:w="4721" w:type="dxa"/>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热固性粉末</w:t>
            </w:r>
          </w:p>
        </w:tc>
      </w:tr>
      <w:tr>
        <w:tblPrEx>
          <w:tblBorders>
            <w:top w:val="double" w:color="auto" w:sz="4" w:space="0"/>
            <w:left w:val="double" w:color="auto" w:sz="4"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272"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紧固件</w:t>
            </w:r>
          </w:p>
        </w:tc>
        <w:tc>
          <w:tcPr>
            <w:tcW w:w="1554" w:type="dxa"/>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公制M6、M8、M10、M12 </w:t>
            </w:r>
          </w:p>
        </w:tc>
        <w:tc>
          <w:tcPr>
            <w:tcW w:w="1959" w:type="dxa"/>
            <w:gridSpan w:val="2"/>
            <w:tcMar>
              <w:top w:w="0" w:type="dxa"/>
              <w:left w:w="108" w:type="dxa"/>
              <w:bottom w:w="0" w:type="dxa"/>
              <w:right w:w="108" w:type="dxa"/>
            </w:tcMar>
            <w:vAlign w:val="center"/>
          </w:tcPr>
          <w:p>
            <w:pPr>
              <w:spacing w:before="100" w:beforeAutospacing="1" w:after="100" w:afterAutospacing="1" w:line="240" w:lineRule="auto"/>
              <w:jc w:val="center"/>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45#、Q235A</w:t>
            </w:r>
          </w:p>
        </w:tc>
        <w:tc>
          <w:tcPr>
            <w:tcW w:w="4721" w:type="dxa"/>
            <w:tcMar>
              <w:top w:w="0" w:type="dxa"/>
              <w:left w:w="108" w:type="dxa"/>
              <w:bottom w:w="0" w:type="dxa"/>
              <w:right w:w="108" w:type="dxa"/>
            </w:tcMar>
            <w:vAlign w:val="center"/>
          </w:tcPr>
          <w:p>
            <w:pPr>
              <w:spacing w:before="100" w:beforeAutospacing="1" w:after="100" w:afterAutospacing="1" w:line="240" w:lineRule="auto"/>
              <w:ind w:firstLine="1680" w:firstLineChars="800"/>
              <w:jc w:val="both"/>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知名品牌 </w:t>
            </w:r>
          </w:p>
        </w:tc>
      </w:tr>
    </w:tbl>
    <w:p>
      <w:pPr>
        <w:pStyle w:val="16"/>
        <w:ind w:left="0"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p>
    <w:p>
      <w:pPr>
        <w:pStyle w:val="16"/>
        <w:ind w:left="0" w:leftChars="0" w:firstLine="0" w:firstLineChars="0"/>
        <w:rPr>
          <w:rFonts w:hint="eastAsia" w:ascii="宋体" w:hAnsi="宋体" w:eastAsia="宋体" w:cs="宋体"/>
          <w:b/>
          <w:bCs/>
          <w:color w:val="000000" w:themeColor="text1"/>
          <w:sz w:val="24"/>
          <w:szCs w:val="24"/>
          <w:lang w:val="en-US" w:eastAsia="zh-CN"/>
          <w14:textFill>
            <w14:solidFill>
              <w14:schemeClr w14:val="tx1"/>
            </w14:solidFill>
          </w14:textFill>
        </w:rPr>
      </w:pPr>
    </w:p>
    <w:p>
      <w:pPr>
        <w:pStyle w:val="14"/>
        <w:keepNext w:val="0"/>
        <w:keepLines w:val="0"/>
        <w:widowControl/>
        <w:numPr>
          <w:ilvl w:val="0"/>
          <w:numId w:val="5"/>
        </w:numPr>
        <w:suppressLineNumbers w:val="0"/>
        <w:spacing w:before="0" w:beforeAutospacing="0" w:after="0" w:afterAutospacing="0"/>
        <w:ind w:left="-362" w:right="-362" w:firstLine="480"/>
        <w:rPr>
          <w:rFonts w:hint="eastAsia" w:asciiTheme="minorEastAsia" w:hAnsiTheme="minorEastAsia" w:cstheme="minorEastAsia"/>
          <w:sz w:val="24"/>
          <w:szCs w:val="24"/>
          <w:lang w:val="en-US" w:eastAsia="zh-CN"/>
        </w:rPr>
      </w:pPr>
      <w:r>
        <w:rPr>
          <w:rFonts w:hint="eastAsia" w:ascii="宋体" w:hAnsi="宋体" w:eastAsia="宋体" w:cs="宋体"/>
          <w:b w:val="0"/>
          <w:bCs w:val="0"/>
          <w:color w:val="auto"/>
          <w:sz w:val="28"/>
          <w:szCs w:val="28"/>
          <w:lang w:val="en-US" w:eastAsia="zh-CN"/>
        </w:rPr>
        <w:t>智能控制部分技术要求：</w:t>
      </w:r>
    </w:p>
    <w:tbl>
      <w:tblPr>
        <w:tblStyle w:val="18"/>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22"/>
        <w:gridCol w:w="1314"/>
        <w:gridCol w:w="6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功能</w:t>
            </w: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序号</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要求</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default" w:eastAsiaTheme="minorEastAsia"/>
                <w:color w:val="000000"/>
                <w:lang w:val="en-US" w:eastAsia="zh-CN"/>
              </w:rPr>
            </w:pPr>
            <w:r>
              <w:rPr>
                <w:rFonts w:hint="eastAsia"/>
                <w:color w:val="000000"/>
              </w:rPr>
              <w:t>基本功能</w:t>
            </w:r>
            <w:r>
              <w:rPr>
                <w:rFonts w:hint="eastAsia"/>
                <w:color w:val="000000"/>
                <w:lang w:val="en-US" w:eastAsia="zh-CN"/>
              </w:rPr>
              <w:t xml:space="preserve">  </w:t>
            </w: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ind w:firstLine="210" w:firstLineChars="100"/>
              <w:rPr>
                <w:rFonts w:hint="eastAsia"/>
                <w:color w:val="000000"/>
                <w:lang w:val="en-US" w:eastAsia="zh-CN"/>
              </w:rPr>
            </w:pPr>
          </w:p>
          <w:p>
            <w:pPr>
              <w:bidi w:val="0"/>
              <w:ind w:firstLine="210" w:firstLineChars="100"/>
              <w:rPr>
                <w:rFonts w:hint="eastAsia"/>
                <w:color w:val="000000"/>
                <w:lang w:val="en-US" w:eastAsia="zh-CN"/>
              </w:rPr>
            </w:pPr>
          </w:p>
          <w:p>
            <w:pPr>
              <w:bidi w:val="0"/>
              <w:ind w:firstLine="210" w:firstLineChars="100"/>
              <w:rPr>
                <w:rFonts w:hint="eastAsia" w:eastAsiaTheme="minorEastAsia"/>
                <w:color w:val="000000"/>
                <w:lang w:val="en-US" w:eastAsia="zh-CN"/>
              </w:rPr>
            </w:pPr>
            <w:r>
              <w:rPr>
                <w:rFonts w:hint="eastAsia"/>
                <w:color w:val="000000"/>
                <w:lang w:val="en-US" w:eastAsia="zh-CN"/>
              </w:rPr>
              <w:t>1</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质量保证</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控制部分需免费质保3年，无刷直流电机应终身免费更换。</w:t>
            </w:r>
          </w:p>
          <w:p>
            <w:pPr>
              <w:bidi w:val="0"/>
              <w:rPr>
                <w:color w:val="000000"/>
              </w:rPr>
            </w:pPr>
            <w:r>
              <w:rPr>
                <w:rFonts w:hint="eastAsia"/>
                <w:color w:val="000000"/>
              </w:rPr>
              <w:t>应从技术上确保免费维护承诺及质量保证，应采用嵌入式控制方式、无刷直流电机驱动、红外传感器不使用时自动关闭等有效技术保障方案或措施。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p>
            <w:pPr>
              <w:pStyle w:val="2"/>
              <w:rPr>
                <w:color w:val="000000"/>
              </w:rPr>
            </w:pPr>
          </w:p>
          <w:p>
            <w:pPr>
              <w:pStyle w:val="2"/>
              <w:ind w:left="0" w:leftChars="0" w:firstLine="210" w:firstLineChars="100"/>
              <w:jc w:val="both"/>
              <w:rPr>
                <w:rFonts w:hint="eastAsia" w:eastAsiaTheme="minorEastAsia"/>
                <w:color w:val="000000"/>
                <w:lang w:val="en-US" w:eastAsia="zh-CN"/>
              </w:rPr>
            </w:pPr>
            <w:r>
              <w:rPr>
                <w:rFonts w:hint="eastAsia"/>
                <w:color w:val="000000"/>
                <w:lang w:val="en-US" w:eastAsia="zh-CN"/>
              </w:rPr>
              <w:t>2</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人机交互</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固定列应采用12寸及以上彩色液晶电容触摸屏控制，活动列应采用8寸及以上的彩色液晶触摸屏控制。</w:t>
            </w:r>
          </w:p>
          <w:p>
            <w:pPr>
              <w:bidi w:val="0"/>
              <w:rPr>
                <w:color w:val="000000"/>
              </w:rPr>
            </w:pPr>
            <w:r>
              <w:rPr>
                <w:rFonts w:hint="eastAsia"/>
                <w:color w:val="000000"/>
              </w:rPr>
              <w:t>通过密集架上的触控屏控制密集架移动列架体的左移、右移、停止。</w:t>
            </w:r>
          </w:p>
          <w:p>
            <w:pPr>
              <w:bidi w:val="0"/>
              <w:rPr>
                <w:color w:val="000000"/>
              </w:rPr>
            </w:pPr>
            <w:r>
              <w:rPr>
                <w:rFonts w:hint="eastAsia"/>
                <w:color w:val="000000"/>
              </w:rPr>
              <w:t>支持红外遥控器方式对架体的操作。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ind w:firstLine="210" w:firstLineChars="100"/>
              <w:rPr>
                <w:rFonts w:hint="eastAsia" w:eastAsiaTheme="minorEastAsia"/>
                <w:color w:val="000000"/>
                <w:lang w:val="en-US" w:eastAsia="zh-CN"/>
              </w:rPr>
            </w:pPr>
            <w:r>
              <w:rPr>
                <w:rFonts w:hint="eastAsia"/>
                <w:color w:val="000000"/>
                <w:lang w:val="en-US" w:eastAsia="zh-CN"/>
              </w:rPr>
              <w:t>3</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固定列控制器</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固定列控制器CPU应不低于4核1.8G，既不能是商用电脑，也不能是单片机系统。操作系统应采用Android系统，确保系统安全。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ind w:firstLine="210" w:firstLineChars="100"/>
              <w:rPr>
                <w:rFonts w:hint="eastAsia" w:eastAsiaTheme="minorEastAsia"/>
                <w:color w:val="000000"/>
                <w:lang w:val="en-US" w:eastAsia="zh-CN"/>
              </w:rPr>
            </w:pPr>
            <w:r>
              <w:rPr>
                <w:rFonts w:hint="eastAsia"/>
                <w:color w:val="000000"/>
                <w:lang w:val="en-US" w:eastAsia="zh-CN"/>
              </w:rPr>
              <w:t>4</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驱动电机</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驱动电机应采用24V直流不超过150W无刷直流电机驱动。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ind w:firstLine="210" w:firstLineChars="100"/>
              <w:rPr>
                <w:rFonts w:hint="eastAsia" w:eastAsiaTheme="minorEastAsia"/>
                <w:color w:val="000000"/>
                <w:lang w:val="en-US" w:eastAsia="zh-CN"/>
              </w:rPr>
            </w:pPr>
            <w:r>
              <w:rPr>
                <w:rFonts w:hint="eastAsia"/>
                <w:color w:val="000000"/>
                <w:lang w:val="en-US" w:eastAsia="zh-CN"/>
              </w:rPr>
              <w:t>5</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屏幕厚度</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移动列屏幕和固定列屏幕采用钣金外壳，且与前面板凸起厚度不超过2mm，密集架整体显得更美观大方。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ind w:firstLine="210" w:firstLineChars="100"/>
              <w:rPr>
                <w:rFonts w:hint="eastAsia" w:eastAsiaTheme="minorEastAsia"/>
                <w:color w:val="000000"/>
                <w:lang w:val="en-US" w:eastAsia="zh-CN"/>
              </w:rPr>
            </w:pPr>
            <w:r>
              <w:rPr>
                <w:rFonts w:hint="eastAsia"/>
                <w:color w:val="000000"/>
                <w:lang w:val="en-US" w:eastAsia="zh-CN"/>
              </w:rPr>
              <w:t>6</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架体运行</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架体运行应采用快速启动、高速运行、轻柔合拢的曲线运行以提高操作效率。</w:t>
            </w:r>
          </w:p>
          <w:p>
            <w:pPr>
              <w:bidi w:val="0"/>
              <w:rPr>
                <w:color w:val="000000"/>
              </w:rPr>
            </w:pPr>
            <w:r>
              <w:rPr>
                <w:rFonts w:hint="eastAsia"/>
                <w:color w:val="000000"/>
              </w:rPr>
              <w:t>在通道宽度80cm情况下,单个活动列架体从完全闭合状态到完全开启的时间应≤8s。（提供带CMA、CAL、ilac-MRA、CNAS标识的省级及以上质量监督检验中心于本项目公告日期前出具的符合要求的智能密集架控制系统检测报告作为</w:t>
            </w:r>
            <w:r>
              <w:rPr>
                <w:rFonts w:hint="eastAsia"/>
                <w:color w:val="000000"/>
                <w:lang w:val="en-US" w:eastAsia="zh-CN"/>
              </w:rPr>
              <w:t>依据</w:t>
            </w:r>
            <w:r>
              <w:rPr>
                <w:rFonts w:hint="eastAsia"/>
                <w:color w:val="000000"/>
              </w:rPr>
              <w:t>，扫描件放入投标书中)。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ind w:firstLine="210" w:firstLineChars="100"/>
              <w:rPr>
                <w:rFonts w:hint="eastAsia" w:eastAsiaTheme="minorEastAsia"/>
                <w:color w:val="000000"/>
                <w:lang w:val="en-US" w:eastAsia="zh-CN"/>
              </w:rPr>
            </w:pPr>
            <w:r>
              <w:rPr>
                <w:rFonts w:hint="eastAsia"/>
                <w:color w:val="000000"/>
                <w:lang w:val="en-US" w:eastAsia="zh-CN"/>
              </w:rPr>
              <w:t>7</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锁定操作</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电动、手动应可无缝切换，架内有人自动锁定，架内无人自动解锁，应可用机械方式锁定或解锁。</w:t>
            </w:r>
          </w:p>
          <w:p>
            <w:pPr>
              <w:bidi w:val="0"/>
              <w:rPr>
                <w:color w:val="000000"/>
              </w:rPr>
            </w:pPr>
            <w:r>
              <w:rPr>
                <w:rFonts w:hint="eastAsia"/>
                <w:color w:val="000000"/>
              </w:rPr>
              <w:t>应可用语音指令锁定密集架。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ind w:firstLine="210" w:firstLineChars="100"/>
              <w:rPr>
                <w:rFonts w:hint="eastAsia"/>
                <w:color w:val="000000"/>
                <w:lang w:val="en-US" w:eastAsia="zh-CN"/>
              </w:rPr>
            </w:pPr>
          </w:p>
          <w:p>
            <w:pPr>
              <w:bidi w:val="0"/>
              <w:ind w:firstLine="210" w:firstLineChars="100"/>
              <w:rPr>
                <w:rFonts w:hint="eastAsia" w:eastAsiaTheme="minorEastAsia"/>
                <w:color w:val="000000"/>
                <w:lang w:val="en-US" w:eastAsia="zh-CN"/>
              </w:rPr>
            </w:pPr>
            <w:r>
              <w:rPr>
                <w:rFonts w:hint="eastAsia"/>
                <w:color w:val="000000"/>
                <w:lang w:val="en-US" w:eastAsia="zh-CN"/>
              </w:rPr>
              <w:t>8</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通风功能</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密集架应具有通风功能：可通过控制器触摸显示屏进行通风操作；当环境温湿度超过阈值时，应自动通风，且所有架体均匀打开；当密集架处于通风状态时进行语音控制，应给出不可操作语音提示</w:t>
            </w:r>
            <w:r>
              <w:rPr>
                <w:rFonts w:hint="eastAsia"/>
                <w:color w:val="000000"/>
                <w:lang w:eastAsia="zh-CN"/>
              </w:rPr>
              <w:t>。（提供带CMA、CAL、ilac-MRA、CNAS标识的省级及以上质量监督检验中心于本项目公告日期前出具的符合要求的智能密集架控制系统检测报告作为佐证材料，扫描件放入投标书中)。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ind w:firstLine="210" w:firstLineChars="100"/>
              <w:rPr>
                <w:rFonts w:hint="eastAsia" w:eastAsiaTheme="minorEastAsia"/>
                <w:color w:val="000000"/>
                <w:lang w:val="en-US" w:eastAsia="zh-CN"/>
              </w:rPr>
            </w:pPr>
            <w:r>
              <w:rPr>
                <w:rFonts w:hint="eastAsia"/>
                <w:color w:val="000000"/>
                <w:lang w:val="en-US" w:eastAsia="zh-CN"/>
              </w:rPr>
              <w:t>9</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通道宽度设定</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应可通过固定列触摸显示屏手动设定通道宽度。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10</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电控配件盒</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架体控制部分应考虑美观和用电安全，架体控制板和开关电源应安装在标准化设计的配件盒中，固定列配件盒和移动列配件盒应采用统一尺寸。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11</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语音提示</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操作过程应有语音提示，语音模块应集成到固定列控制器上，不能散乱放置。应可设置语音音量，并可切换男女声。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12</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照明灯控制</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架内LED照明灯应采用智能控制模式，架内有人照明灯点亮，架内无人照明灯自动熄灭。也可在移动列屏幕上手动打开本列照明灯。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13</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公告发布</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具有相关权限的管理员应可通过客户端软件或国定列触摸显示屏选择特定的密集架发布/取消发布公告，并通过外接LED 显示屏显示公告信息。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14</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一键检测</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应可通过固定列触摸显示屏对系统状态进行一键检测，检测内容包括：传感器状态、照明灯状态和网络状态。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15</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电子标牌</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各列液晶屏上应可查看本列存放档案类型的电子标牌，应可通过各列液晶屏随时修改，从而取代传统的纸质方式的标牌提示。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16</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九宫格解锁功能检验</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可通过固定列显示屏以九宫格密码图形方式解锁架体</w:t>
            </w:r>
            <w:r>
              <w:rPr>
                <w:rFonts w:hint="eastAsia"/>
                <w:color w:val="000000"/>
                <w:lang w:eastAsia="zh-CN"/>
              </w:rPr>
              <w:t>。（提供带CMA、CAL、ilac-MRA、CNAS标识的省级及以上质量监督检验中心于本项目公告日期前出具的符合要求的智能密集架控制系统检测报告作为佐证材料，扫描件放入投标书中)。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17</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用户自定义背景图片</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可通过平台管理软件上传用户自定义背景图片；当固定列控制器处于空闲状态时可循环显示上传背景图片</w:t>
            </w:r>
            <w:r>
              <w:rPr>
                <w:rFonts w:hint="eastAsia"/>
                <w:color w:val="000000"/>
                <w:lang w:eastAsia="zh-CN"/>
              </w:rPr>
              <w:t>。（提供带CMA、CAL、ilac-MRA、CNAS标识的省级及以上质量监督检验中心于本项目公告日期前出具的符合要求的智能密集架控制系统检测报告作为佐证材料，扫描件放入投标书中)。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18</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人脸识别</w:t>
            </w:r>
          </w:p>
          <w:p>
            <w:pPr>
              <w:bidi w:val="0"/>
              <w:rPr>
                <w:color w:val="000000"/>
              </w:rPr>
            </w:pPr>
            <w:r>
              <w:rPr>
                <w:rFonts w:hint="eastAsia"/>
                <w:color w:val="000000"/>
              </w:rPr>
              <w:t>解锁功能</w:t>
            </w:r>
          </w:p>
          <w:p>
            <w:pPr>
              <w:bidi w:val="0"/>
              <w:rPr>
                <w:color w:val="000000"/>
              </w:rPr>
            </w:pPr>
            <w:r>
              <w:rPr>
                <w:rFonts w:hint="eastAsia"/>
                <w:color w:val="000000"/>
              </w:rPr>
              <w:t>检验</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当固定列内置摄像头监视区域内出现人脸时，可将该人脸图像和已注册的人脸图像进行识别比对，比对通过后可自动解锁样机并进入操作界面</w:t>
            </w:r>
            <w:r>
              <w:rPr>
                <w:rFonts w:hint="eastAsia"/>
                <w:color w:val="000000"/>
                <w:lang w:eastAsia="zh-CN"/>
              </w:rPr>
              <w:t>。（提供带CMA、CAL、ilac-MRA、CNAS标识的省级及以上质量监督检验中心于本项目公告日期前出具的符合要求的智能密集架控制系统检测报告作为佐证材料，扫描件放入投标书中)。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19</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语音控制</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智能密集架应可通过语音识别对密集架进行打开、关闭、通风、合架等操作，为保证系统的高度集成及美观性，语音控制应集成于固定列主控，不应使用单独的语音模块。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20</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手势滑动</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应可通过在触摸显示屏上进行手势滑动控制活动列，向左滑动时活动列向左移动向右滑动时活动列向右移动，向下滑动时活动列全部关闭进行合架，向上滑动时活动列全部开启进行通风。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default" w:eastAsiaTheme="minorEastAsia"/>
                <w:color w:val="000000"/>
                <w:lang w:val="en-US" w:eastAsia="zh-CN"/>
              </w:rPr>
            </w:pPr>
            <w:r>
              <w:rPr>
                <w:rFonts w:hint="eastAsia"/>
                <w:color w:val="000000"/>
                <w:lang w:val="en-US" w:eastAsia="zh-CN"/>
              </w:rPr>
              <w:t>21</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手写输入</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可通过固定列显示屏以手写输入关键字方式查询档案信息。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default" w:eastAsiaTheme="minorEastAsia"/>
                <w:color w:val="000000"/>
                <w:lang w:val="en-US" w:eastAsia="zh-CN"/>
              </w:rPr>
            </w:pPr>
            <w:r>
              <w:rPr>
                <w:rFonts w:hint="eastAsia"/>
                <w:color w:val="000000"/>
                <w:lang w:val="en-US" w:eastAsia="zh-CN"/>
              </w:rPr>
              <w:t>22</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语音休眠</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可通过语音控制密集架进入休眠状态，且活动列进入锁定状态，不可操作。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color w:val="000000"/>
              </w:rPr>
            </w:pPr>
            <w:r>
              <w:rPr>
                <w:rFonts w:hint="eastAsia"/>
                <w:color w:val="000000"/>
              </w:rPr>
              <w:t>人体安全保护</w:t>
            </w: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23</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本质安全的防挤压保护</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由于没有任何传感器可确保终身使用范围内的故障率为0，在大量及长时间使用时，几乎一定会有故障。应提供类似电梯门等类似场合下的永不失效的防挤压保护功能。不论空载及满载，运动方向任意位置受力10KG以下要求能可靠停止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24</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人数统计</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可通过红外传感器对进入通道的人员进行计数，并可通过密集架控制器显示。</w:t>
            </w:r>
          </w:p>
          <w:p>
            <w:pPr>
              <w:bidi w:val="0"/>
              <w:rPr>
                <w:color w:val="000000"/>
              </w:rPr>
            </w:pPr>
            <w:r>
              <w:rPr>
                <w:rFonts w:hint="eastAsia"/>
                <w:color w:val="000000"/>
              </w:rPr>
              <w:t>当语音关闭密集架，架内有人时，架体不应移动，且应有语音提示。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default" w:eastAsiaTheme="minorEastAsia"/>
                <w:color w:val="000000"/>
                <w:lang w:val="en-US" w:eastAsia="zh-CN"/>
              </w:rPr>
            </w:pPr>
            <w:r>
              <w:rPr>
                <w:rFonts w:hint="eastAsia"/>
                <w:color w:val="000000"/>
                <w:lang w:val="en-US" w:eastAsia="zh-CN"/>
              </w:rPr>
              <w:t>25</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红外数人头</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架内防挤红外应与数人头红外对射合二为一，即有利于功能统一，也便于组装维护。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26</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运行时保护</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应可通过客户端软件设置驱动电机的运行保护时间阈值，当驱动电机的运行时间超过设定的阈值时，应可自动停止。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27</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超距保护</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当通过摇杆手动开启架体，且开启通道的距离大于设定的阈值时，手动开启功能应自动关闭，电动方式只能进行关闭操作。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28</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安全插头</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列与列之间220V供电插头，应选用安全插头，不应选用绿端子，保证安全用电。插头应具备锁止装置，防止意外拔出。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29</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日志记录</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可通过固定列触摸显示屏按照年月日查询报警日志和操作日志，其中报警日志应有现场抓拍照片。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30</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安全防范</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eastAsia="zh-CN"/>
              </w:rPr>
            </w:pPr>
            <w:r>
              <w:rPr>
                <w:rFonts w:hint="eastAsia"/>
                <w:color w:val="000000"/>
              </w:rPr>
              <w:t>智能密集架视频监控系统应符合GB/T28181-2016公共安全视频监控联网系统信息传输、交换、控制技术要求。（提供带CMA、CAL、ilac-MRA、CNAS标识的省级及以上质量监督检验中心于本项目公告日期前出具的符合要求的智能密集架视频监控系统检测报告作为佐证材料，扫描件放入投标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rPr>
            </w:pPr>
          </w:p>
          <w:p>
            <w:pPr>
              <w:bidi w:val="0"/>
              <w:rPr>
                <w:rFonts w:hint="eastAsia"/>
                <w:color w:val="000000"/>
              </w:rPr>
            </w:pPr>
          </w:p>
          <w:p>
            <w:pPr>
              <w:bidi w:val="0"/>
              <w:rPr>
                <w:rFonts w:hint="eastAsia"/>
                <w:color w:val="000000"/>
              </w:rPr>
            </w:pPr>
          </w:p>
          <w:p>
            <w:pPr>
              <w:bidi w:val="0"/>
              <w:rPr>
                <w:color w:val="000000"/>
              </w:rPr>
            </w:pPr>
            <w:r>
              <w:rPr>
                <w:rFonts w:hint="eastAsia"/>
                <w:color w:val="000000"/>
              </w:rPr>
              <w:t>系统技术指标</w:t>
            </w: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eastAsia"/>
                <w:color w:val="000000"/>
                <w:lang w:val="en-US" w:eastAsia="zh-CN"/>
              </w:rPr>
            </w:pPr>
          </w:p>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31</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电机电源信号线</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连接电机的电源信号线应使用集成线缆，美观且集成度高。</w:t>
            </w:r>
          </w:p>
          <w:p>
            <w:pPr>
              <w:bidi w:val="0"/>
              <w:rPr>
                <w:color w:val="000000"/>
              </w:rPr>
            </w:pPr>
            <w:r>
              <w:rPr>
                <w:rFonts w:hint="eastAsia"/>
                <w:color w:val="000000"/>
              </w:rPr>
              <w:t>电机电源信号线的转移电阻应符合GA/T 1297-2016电气性能的转移阻抗参数要求,1Mhz信号情况下，转移电阻应≤10mΩ/m，不应产生互干扰，保证信号安全。（提供带CMA、CAL、ilac-MRA、CNAS标识的省级及以上质量监督检验中心于本项目公告日期前出具的符合要求的智能密集架电机电源信号线检测报告作为佐证材料，扫描件放入投标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32</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抗电强度</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安全防范报警设备的电源插头或电源引入端与外壳棵露金属部件之间，应能承受G816796-2009中表1规定的45Hz-65Hz 交流电压的抗电强度试脸，历时1min应无击穿和飞弧现象。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33</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绝缘电阻</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安全防范报警设备的电源插头或电源引入端与外壳裸露金属部件之间的绝缘电阻，经相对湿热度为91%～95%、温度为40℃、48h的受潮预处理后，加强绝缘的设备不小于5MΩ，基本绝缘的设备不小于2MΩ，Ⅲ类设备不小于1MΩ工作电压超过500V的设备，上述绝缘电阻的阻值数应乘以一个系数，该系数等于工作电压除以500V。（提供带CMA、CAL、ilac-MRA、CNAS标识的省级及以上质量监督检验中心于本项目公告日期前出具的符合要求的智能密集架控制系统检测报告作为佐证材料，扫描件放入投标书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restart"/>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rFonts w:hint="eastAsia"/>
                <w:color w:val="000000"/>
              </w:rPr>
            </w:pPr>
          </w:p>
          <w:p>
            <w:pPr>
              <w:bidi w:val="0"/>
              <w:rPr>
                <w:color w:val="000000"/>
              </w:rPr>
            </w:pPr>
            <w:r>
              <w:rPr>
                <w:rFonts w:hint="eastAsia"/>
                <w:color w:val="000000"/>
              </w:rPr>
              <w:t>档案管理</w:t>
            </w: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34</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档案定位</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查找到的档案位置信息能在电脑端以图形化等直观方式显示。定位要求直观及显示到最小单元。能以语音提示档案放置位置及档案编号。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35</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架体同步及分区监控</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密集架运行状况能动态显示在管理软件上。静止时，即使人员在现场手摇操作也能在管理软件上同步显示当前架体位置状态。对多个团体的架体状态监控可采用可灵活选择的分区监控方式进行管理。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eastAsia"/>
                <w:color w:val="000000"/>
                <w:lang w:val="en-US" w:eastAsia="zh-CN"/>
              </w:rPr>
            </w:pPr>
          </w:p>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36</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档案管理</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支持无线局域网下的查询及权限操作。多用户权限管理功能：不同用户登录具备不同权限,支持用户的分区权限以及按档案类型的权限管理。档案自动备份及还原功能。单位档案的借出、归还及统计功能。档案编辑、查询、录入、转移、删除等功能。远程架体控制及温湿度统计分析功能。具备档案数据的EXCEL、XML导入及导出功能。电子文档查阅及管理功能。具备打印机、扫描仪、高拍仪、条码及RFID等设备的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37</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架体存放目录查看</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任意列均可在操作液晶屏上查看该列存放档案数量分别信息，且可在操作液晶屏上图形化方式点击查看该列某位置存放的档案目录及状态（在库、借出、注销等）。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Merge w:val="continue"/>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p>
        </w:tc>
        <w:tc>
          <w:tcPr>
            <w:tcW w:w="722"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rFonts w:hint="eastAsia"/>
                <w:color w:val="000000"/>
                <w:lang w:val="en-US" w:eastAsia="zh-CN"/>
              </w:rPr>
            </w:pPr>
          </w:p>
          <w:p>
            <w:pPr>
              <w:bidi w:val="0"/>
              <w:rPr>
                <w:rFonts w:hint="eastAsia"/>
                <w:color w:val="000000"/>
                <w:lang w:val="en-US" w:eastAsia="zh-CN"/>
              </w:rPr>
            </w:pPr>
          </w:p>
          <w:p>
            <w:pPr>
              <w:bidi w:val="0"/>
              <w:rPr>
                <w:rFonts w:hint="default" w:eastAsiaTheme="minorEastAsia"/>
                <w:color w:val="000000"/>
                <w:lang w:val="en-US" w:eastAsia="zh-CN"/>
              </w:rPr>
            </w:pPr>
            <w:r>
              <w:rPr>
                <w:rFonts w:hint="eastAsia"/>
                <w:color w:val="000000"/>
                <w:lang w:val="en-US" w:eastAsia="zh-CN"/>
              </w:rPr>
              <w:t>38</w:t>
            </w:r>
          </w:p>
        </w:tc>
        <w:tc>
          <w:tcPr>
            <w:tcW w:w="1314" w:type="dxa"/>
            <w:tcBorders>
              <w:top w:val="dotted" w:color="auto" w:sz="4" w:space="0"/>
              <w:left w:val="dotted" w:color="auto" w:sz="4" w:space="0"/>
              <w:bottom w:val="dotted" w:color="auto" w:sz="4" w:space="0"/>
              <w:right w:val="dotted" w:color="auto" w:sz="4" w:space="0"/>
            </w:tcBorders>
            <w:shd w:val="clear" w:color="auto" w:fill="FFFFFF"/>
            <w:noWrap w:val="0"/>
            <w:vAlign w:val="center"/>
          </w:tcPr>
          <w:p>
            <w:pPr>
              <w:bidi w:val="0"/>
              <w:rPr>
                <w:color w:val="000000"/>
              </w:rPr>
            </w:pPr>
            <w:r>
              <w:rPr>
                <w:rFonts w:hint="eastAsia"/>
                <w:color w:val="000000"/>
              </w:rPr>
              <w:t>摄像头扫码</w:t>
            </w:r>
          </w:p>
        </w:tc>
        <w:tc>
          <w:tcPr>
            <w:tcW w:w="6185" w:type="dxa"/>
            <w:tcBorders>
              <w:top w:val="dotted" w:color="auto" w:sz="4" w:space="0"/>
              <w:left w:val="dotted" w:color="auto" w:sz="4" w:space="0"/>
              <w:bottom w:val="dotted" w:color="auto" w:sz="4" w:space="0"/>
              <w:right w:val="dotted" w:color="auto" w:sz="4" w:space="0"/>
            </w:tcBorders>
            <w:shd w:val="clear" w:color="auto" w:fill="FFFFFF"/>
            <w:noWrap w:val="0"/>
            <w:vAlign w:val="top"/>
          </w:tcPr>
          <w:p>
            <w:pPr>
              <w:bidi w:val="0"/>
              <w:rPr>
                <w:color w:val="000000"/>
              </w:rPr>
            </w:pPr>
            <w:r>
              <w:rPr>
                <w:rFonts w:hint="eastAsia"/>
                <w:color w:val="000000"/>
              </w:rPr>
              <w:t>可通过固定列摄像头对档案的二维码信息进行扫码，扫码通过后活动列可自动开启，并通过显示屏显示该档案位置；有人员进入架体时，可语音自动提示档案的位置和编号。（提供带CMA、CAL、ilac-MRA、CNAS标识的省级及以上质量监督检验中心于本项目公告日期前出具的符合要求的智能密集架控制系统检测报告作为佐证材料，扫描件放入投标书中)。</w:t>
            </w:r>
          </w:p>
        </w:tc>
      </w:tr>
    </w:tbl>
    <w:p>
      <w:pPr>
        <w:numPr>
          <w:ilvl w:val="0"/>
          <w:numId w:val="0"/>
        </w:numPr>
        <w:bidi w:val="0"/>
        <w:ind w:leftChars="0"/>
        <w:rPr>
          <w:rFonts w:hint="eastAsia" w:asciiTheme="minorEastAsia" w:hAnsiTheme="minorEastAsia" w:cstheme="minorEastAsia"/>
          <w:sz w:val="24"/>
          <w:szCs w:val="24"/>
          <w:lang w:val="en-US" w:eastAsia="zh-CN"/>
        </w:rPr>
      </w:pPr>
    </w:p>
    <w:p>
      <w:pPr>
        <w:numPr>
          <w:ilvl w:val="0"/>
          <w:numId w:val="0"/>
        </w:numPr>
        <w:bidi w:val="0"/>
        <w:ind w:leftChars="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lang w:val="en-US" w:eastAsia="zh-CN"/>
        </w:rPr>
        <w:t>开标样品清单及要求：</w:t>
      </w:r>
    </w:p>
    <w:p>
      <w:pPr>
        <w:bidi w:val="0"/>
        <w:rPr>
          <w:rFonts w:hint="eastAsia"/>
          <w:lang w:val="en-US" w:eastAsia="zh-CN"/>
        </w:rPr>
      </w:pPr>
    </w:p>
    <w:tbl>
      <w:tblPr>
        <w:tblStyle w:val="17"/>
        <w:tblW w:w="9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995"/>
        <w:gridCol w:w="922"/>
        <w:gridCol w:w="2891"/>
        <w:gridCol w:w="3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73" w:type="dxa"/>
            <w:noWrap w:val="0"/>
            <w:vAlign w:val="center"/>
          </w:tcPr>
          <w:p>
            <w:pPr>
              <w:bidi w:val="0"/>
              <w:rPr>
                <w:rFonts w:hint="eastAsia"/>
              </w:rPr>
            </w:pPr>
            <w:r>
              <w:rPr>
                <w:rFonts w:hint="eastAsia"/>
              </w:rPr>
              <w:t>序号</w:t>
            </w:r>
          </w:p>
        </w:tc>
        <w:tc>
          <w:tcPr>
            <w:tcW w:w="995" w:type="dxa"/>
            <w:noWrap w:val="0"/>
            <w:vAlign w:val="center"/>
          </w:tcPr>
          <w:p>
            <w:pPr>
              <w:bidi w:val="0"/>
              <w:rPr>
                <w:rFonts w:hint="eastAsia"/>
              </w:rPr>
            </w:pPr>
            <w:r>
              <w:rPr>
                <w:rFonts w:hint="eastAsia"/>
              </w:rPr>
              <w:t>货物名称</w:t>
            </w:r>
          </w:p>
        </w:tc>
        <w:tc>
          <w:tcPr>
            <w:tcW w:w="922" w:type="dxa"/>
            <w:noWrap w:val="0"/>
            <w:vAlign w:val="center"/>
          </w:tcPr>
          <w:p>
            <w:pPr>
              <w:bidi w:val="0"/>
              <w:rPr>
                <w:rFonts w:hint="eastAsia"/>
              </w:rPr>
            </w:pPr>
            <w:r>
              <w:rPr>
                <w:rFonts w:hint="eastAsia"/>
              </w:rPr>
              <w:t>数量</w:t>
            </w:r>
          </w:p>
        </w:tc>
        <w:tc>
          <w:tcPr>
            <w:tcW w:w="2891" w:type="dxa"/>
            <w:noWrap w:val="0"/>
            <w:vAlign w:val="center"/>
          </w:tcPr>
          <w:p>
            <w:pPr>
              <w:bidi w:val="0"/>
              <w:jc w:val="center"/>
              <w:rPr>
                <w:rFonts w:hint="eastAsia"/>
              </w:rPr>
            </w:pPr>
            <w:r>
              <w:rPr>
                <w:rFonts w:hint="eastAsia"/>
              </w:rPr>
              <w:t>样品技术</w:t>
            </w:r>
            <w:r>
              <w:rPr>
                <w:rFonts w:hint="eastAsia"/>
                <w:lang w:eastAsia="zh-CN"/>
              </w:rPr>
              <w:t>规格</w:t>
            </w:r>
            <w:r>
              <w:rPr>
                <w:rFonts w:hint="eastAsia"/>
              </w:rPr>
              <w:t>要求</w:t>
            </w:r>
          </w:p>
        </w:tc>
        <w:tc>
          <w:tcPr>
            <w:tcW w:w="3795" w:type="dxa"/>
            <w:noWrap w:val="0"/>
            <w:vAlign w:val="center"/>
          </w:tcPr>
          <w:p>
            <w:pPr>
              <w:bidi w:val="0"/>
              <w:rPr>
                <w:rFonts w:hint="eastAsia"/>
              </w:rPr>
            </w:pPr>
            <w:r>
              <w:rPr>
                <w:rFonts w:hint="eastAsia"/>
              </w:rPr>
              <w:t>样品示意图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2" w:hRule="atLeast"/>
          <w:jc w:val="center"/>
        </w:trPr>
        <w:tc>
          <w:tcPr>
            <w:tcW w:w="473" w:type="dxa"/>
            <w:noWrap w:val="0"/>
            <w:vAlign w:val="center"/>
          </w:tcPr>
          <w:p>
            <w:pPr>
              <w:bidi w:val="0"/>
              <w:rPr>
                <w:rFonts w:hint="eastAsia"/>
                <w:lang w:val="en-US" w:eastAsia="zh-CN"/>
              </w:rPr>
            </w:pPr>
            <w:r>
              <w:rPr>
                <w:rFonts w:hint="eastAsia"/>
                <w:lang w:val="en-US" w:eastAsia="zh-CN"/>
              </w:rPr>
              <w:t>1</w:t>
            </w:r>
          </w:p>
        </w:tc>
        <w:tc>
          <w:tcPr>
            <w:tcW w:w="995" w:type="dxa"/>
            <w:noWrap w:val="0"/>
            <w:vAlign w:val="center"/>
          </w:tcPr>
          <w:p>
            <w:pPr>
              <w:bidi w:val="0"/>
              <w:rPr>
                <w:rFonts w:hint="eastAsia"/>
              </w:rPr>
            </w:pPr>
            <w:r>
              <w:rPr>
                <w:rFonts w:hint="eastAsia"/>
                <w:lang w:val="en-US" w:eastAsia="zh-CN"/>
              </w:rPr>
              <w:t>摇柄隐藏式</w:t>
            </w:r>
            <w:r>
              <w:rPr>
                <w:rFonts w:hint="eastAsia"/>
              </w:rPr>
              <w:t>侧板</w:t>
            </w:r>
          </w:p>
        </w:tc>
        <w:tc>
          <w:tcPr>
            <w:tcW w:w="922" w:type="dxa"/>
            <w:noWrap w:val="0"/>
            <w:vAlign w:val="center"/>
          </w:tcPr>
          <w:p>
            <w:pPr>
              <w:bidi w:val="0"/>
              <w:rPr>
                <w:rFonts w:hint="eastAsia"/>
                <w:lang w:val="en-US" w:eastAsia="zh-CN"/>
              </w:rPr>
            </w:pPr>
            <w:r>
              <w:rPr>
                <w:rFonts w:hint="eastAsia"/>
                <w:lang w:val="en-US" w:eastAsia="zh-CN"/>
              </w:rPr>
              <w:t>1块</w:t>
            </w:r>
          </w:p>
        </w:tc>
        <w:tc>
          <w:tcPr>
            <w:tcW w:w="2891" w:type="dxa"/>
            <w:noWrap w:val="0"/>
            <w:vAlign w:val="center"/>
          </w:tcPr>
          <w:p>
            <w:pPr>
              <w:bidi w:val="0"/>
              <w:rPr>
                <w:rFonts w:hint="eastAsia"/>
                <w:lang w:eastAsia="zh-CN"/>
              </w:rPr>
            </w:pPr>
            <w:r>
              <w:rPr>
                <w:rFonts w:hint="eastAsia"/>
                <w:lang w:eastAsia="zh-CN"/>
              </w:rPr>
              <w:t>规格：宽600mm*</w:t>
            </w:r>
            <w:r>
              <w:rPr>
                <w:rFonts w:hint="eastAsia"/>
                <w:lang w:val="en-US" w:eastAsia="zh-CN"/>
              </w:rPr>
              <w:t>高</w:t>
            </w:r>
            <w:r>
              <w:rPr>
                <w:rFonts w:hint="eastAsia"/>
                <w:lang w:eastAsia="zh-CN"/>
              </w:rPr>
              <w:t>550mm</w:t>
            </w:r>
            <w:r>
              <w:rPr>
                <w:rFonts w:hint="eastAsia"/>
                <w:lang w:val="en-US" w:eastAsia="zh-CN"/>
              </w:rPr>
              <w:t>*深55</w:t>
            </w:r>
            <w:r>
              <w:rPr>
                <w:rFonts w:hint="eastAsia"/>
                <w:lang w:eastAsia="zh-CN"/>
              </w:rPr>
              <w:t>mm。</w:t>
            </w:r>
          </w:p>
          <w:p>
            <w:pPr>
              <w:bidi w:val="0"/>
              <w:rPr>
                <w:rFonts w:hint="eastAsia"/>
                <w:lang w:eastAsia="zh-CN"/>
              </w:rPr>
            </w:pPr>
            <w:r>
              <w:rPr>
                <w:rFonts w:hint="eastAsia"/>
                <w:lang w:eastAsia="zh-CN"/>
              </w:rPr>
              <w:t>侧板采用横三节式结构，中间一节设计内凹冲压成型，用于密集架摇柄隐藏于侧板之中，内凹圆形规格：直径320MM，深度32mm，直通摇柄轴中心直径50mm，摇柄正平面与上下节侧板平直对称三点一线，配折叠式手把摇柄，突破传统摇柄外凸于侧板之外，使产品实现通道零障碍，端庄大气而流畅。</w:t>
            </w:r>
          </w:p>
        </w:tc>
        <w:tc>
          <w:tcPr>
            <w:tcW w:w="3795" w:type="dxa"/>
            <w:noWrap w:val="0"/>
            <w:vAlign w:val="center"/>
          </w:tcPr>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rFonts w:hint="eastAsia"/>
                <w:lang w:val="en-US" w:eastAsia="zh-CN"/>
              </w:rPr>
              <w:drawing>
                <wp:anchor distT="0" distB="0" distL="114300" distR="114300" simplePos="0" relativeHeight="4093341696" behindDoc="0" locked="0" layoutInCell="1" allowOverlap="1">
                  <wp:simplePos x="0" y="0"/>
                  <wp:positionH relativeFrom="column">
                    <wp:posOffset>47625</wp:posOffset>
                  </wp:positionH>
                  <wp:positionV relativeFrom="page">
                    <wp:posOffset>916940</wp:posOffset>
                  </wp:positionV>
                  <wp:extent cx="2115185" cy="1670050"/>
                  <wp:effectExtent l="0" t="0" r="3175" b="6350"/>
                  <wp:wrapNone/>
                  <wp:docPr id="3" name="图片 4" descr="1583827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583827413(1)"/>
                          <pic:cNvPicPr>
                            <a:picLocks noChangeAspect="1"/>
                          </pic:cNvPicPr>
                        </pic:nvPicPr>
                        <pic:blipFill>
                          <a:blip r:embed="rId34"/>
                          <a:stretch>
                            <a:fillRect/>
                          </a:stretch>
                        </pic:blipFill>
                        <pic:spPr>
                          <a:xfrm>
                            <a:off x="0" y="0"/>
                            <a:ext cx="2115185" cy="1670050"/>
                          </a:xfrm>
                          <a:prstGeom prst="rect">
                            <a:avLst/>
                          </a:prstGeom>
                          <a:noFill/>
                          <a:ln>
                            <a:noFill/>
                          </a:ln>
                        </pic:spPr>
                      </pic:pic>
                    </a:graphicData>
                  </a:graphic>
                </wp:anchor>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8" w:hRule="atLeast"/>
          <w:jc w:val="center"/>
        </w:trPr>
        <w:tc>
          <w:tcPr>
            <w:tcW w:w="473" w:type="dxa"/>
            <w:noWrap w:val="0"/>
            <w:vAlign w:val="center"/>
          </w:tcPr>
          <w:p>
            <w:pPr>
              <w:bidi w:val="0"/>
              <w:rPr>
                <w:rFonts w:hint="eastAsia"/>
                <w:lang w:val="en-US" w:eastAsia="zh-CN"/>
              </w:rPr>
            </w:pPr>
            <w:r>
              <w:rPr>
                <w:rFonts w:hint="eastAsia"/>
                <w:lang w:val="en-US" w:eastAsia="zh-CN"/>
              </w:rPr>
              <w:t>2</w:t>
            </w:r>
          </w:p>
        </w:tc>
        <w:tc>
          <w:tcPr>
            <w:tcW w:w="995" w:type="dxa"/>
            <w:noWrap w:val="0"/>
            <w:vAlign w:val="center"/>
          </w:tcPr>
          <w:p>
            <w:pPr>
              <w:bidi w:val="0"/>
              <w:rPr>
                <w:rFonts w:hint="eastAsia"/>
                <w:lang w:val="en-US" w:eastAsia="zh-CN"/>
              </w:rPr>
            </w:pPr>
            <w:r>
              <w:rPr>
                <w:rFonts w:hint="eastAsia"/>
                <w:lang w:val="en-US" w:eastAsia="zh-CN"/>
              </w:rPr>
              <w:t>铝合金圆手柄</w:t>
            </w:r>
          </w:p>
        </w:tc>
        <w:tc>
          <w:tcPr>
            <w:tcW w:w="922" w:type="dxa"/>
            <w:noWrap w:val="0"/>
            <w:vAlign w:val="center"/>
          </w:tcPr>
          <w:p>
            <w:pPr>
              <w:bidi w:val="0"/>
              <w:rPr>
                <w:rFonts w:hint="eastAsia"/>
                <w:lang w:val="en-US" w:eastAsia="zh-CN"/>
              </w:rPr>
            </w:pPr>
            <w:r>
              <w:rPr>
                <w:rFonts w:hint="eastAsia"/>
                <w:lang w:val="en-US" w:eastAsia="zh-CN"/>
              </w:rPr>
              <w:t>1件</w:t>
            </w:r>
          </w:p>
        </w:tc>
        <w:tc>
          <w:tcPr>
            <w:tcW w:w="2891" w:type="dxa"/>
            <w:noWrap w:val="0"/>
            <w:vAlign w:val="center"/>
          </w:tcPr>
          <w:p>
            <w:pPr>
              <w:bidi w:val="0"/>
              <w:rPr>
                <w:rFonts w:hint="eastAsia"/>
                <w:lang w:eastAsia="zh-CN"/>
              </w:rPr>
            </w:pPr>
            <w:r>
              <w:rPr>
                <w:rFonts w:hint="eastAsia"/>
                <w:lang w:eastAsia="zh-CN"/>
              </w:rPr>
              <w:t>圆盘直径300mm，圆手柄采用7.5mm优质铝合金一次性模具挤压成型，为衬托圆盘整体美观依据物理原理采用凹陷设计从而减轻重量，让密集架在静止状态下圆盘手柄处于平行下垂状态。凹陷平面直径260mm，中间位置设计凸台用于安装盖子直径86mm。整个圆盘外沿设计为圆角，圆角半径8mm。圆盘中心安装6001精密轴承，安装凸台外径35mm内径28mm，端面有26mm的孔，便于拆卸轴承。致使整个圆手柄操作更加轻松自如，手感流畅。圆盘表面整体精细打磨，细沙抛光，安装金属手柄，更显高端，美观大气。</w:t>
            </w:r>
          </w:p>
        </w:tc>
        <w:tc>
          <w:tcPr>
            <w:tcW w:w="3795" w:type="dxa"/>
            <w:noWrap w:val="0"/>
            <w:vAlign w:val="center"/>
          </w:tcPr>
          <w:p>
            <w:pPr>
              <w:bidi w:val="0"/>
              <w:rPr>
                <w:rFonts w:hint="eastAsia"/>
                <w:lang w:val="en-US" w:eastAsia="zh-CN"/>
              </w:rPr>
            </w:pPr>
            <w:r>
              <w:rPr>
                <w:rFonts w:hint="eastAsia"/>
                <w:lang w:val="en-US" w:eastAsia="zh-CN"/>
              </w:rPr>
              <w:drawing>
                <wp:inline distT="0" distB="0" distL="114300" distR="114300">
                  <wp:extent cx="2073910" cy="1724660"/>
                  <wp:effectExtent l="0" t="0" r="13970" b="12700"/>
                  <wp:docPr id="46" name="图片 1" descr="1583828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1583828468(1)"/>
                          <pic:cNvPicPr>
                            <a:picLocks noChangeAspect="1"/>
                          </pic:cNvPicPr>
                        </pic:nvPicPr>
                        <pic:blipFill>
                          <a:blip r:embed="rId35"/>
                          <a:stretch>
                            <a:fillRect/>
                          </a:stretch>
                        </pic:blipFill>
                        <pic:spPr>
                          <a:xfrm>
                            <a:off x="0" y="0"/>
                            <a:ext cx="2073910" cy="17246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1" w:hRule="atLeast"/>
          <w:jc w:val="center"/>
        </w:trPr>
        <w:tc>
          <w:tcPr>
            <w:tcW w:w="473" w:type="dxa"/>
            <w:vMerge w:val="restart"/>
            <w:noWrap w:val="0"/>
            <w:vAlign w:val="center"/>
          </w:tcPr>
          <w:p>
            <w:pPr>
              <w:bidi w:val="0"/>
              <w:rPr>
                <w:rFonts w:hint="eastAsia"/>
                <w:lang w:val="en-US" w:eastAsia="zh-CN"/>
              </w:rPr>
            </w:pPr>
            <w:r>
              <w:rPr>
                <w:rFonts w:hint="eastAsia"/>
                <w:lang w:val="en-US" w:eastAsia="zh-CN"/>
              </w:rPr>
              <w:t>3</w:t>
            </w:r>
          </w:p>
        </w:tc>
        <w:tc>
          <w:tcPr>
            <w:tcW w:w="995" w:type="dxa"/>
            <w:vMerge w:val="restart"/>
            <w:noWrap w:val="0"/>
            <w:vAlign w:val="center"/>
          </w:tcPr>
          <w:p>
            <w:pPr>
              <w:bidi w:val="0"/>
              <w:rPr>
                <w:rFonts w:hint="eastAsia"/>
              </w:rPr>
            </w:pPr>
            <w:r>
              <w:rPr>
                <w:rFonts w:hint="eastAsia"/>
              </w:rPr>
              <w:t>拆装式</w:t>
            </w:r>
            <w:r>
              <w:rPr>
                <w:rFonts w:hint="eastAsia"/>
                <w:lang w:val="en-US" w:eastAsia="zh-CN"/>
              </w:rPr>
              <w:t>无焊接</w:t>
            </w:r>
            <w:r>
              <w:rPr>
                <w:rFonts w:hint="eastAsia"/>
              </w:rPr>
              <w:t>底架</w:t>
            </w:r>
          </w:p>
        </w:tc>
        <w:tc>
          <w:tcPr>
            <w:tcW w:w="922" w:type="dxa"/>
            <w:vMerge w:val="restart"/>
            <w:noWrap w:val="0"/>
            <w:vAlign w:val="center"/>
          </w:tcPr>
          <w:p>
            <w:pPr>
              <w:bidi w:val="0"/>
              <w:rPr>
                <w:rFonts w:hint="eastAsia"/>
                <w:lang w:val="en-US" w:eastAsia="zh-CN"/>
              </w:rPr>
            </w:pPr>
            <w:r>
              <w:rPr>
                <w:rFonts w:hint="eastAsia"/>
                <w:lang w:val="en-US" w:eastAsia="zh-CN"/>
              </w:rPr>
              <w:t>1套</w:t>
            </w:r>
          </w:p>
        </w:tc>
        <w:tc>
          <w:tcPr>
            <w:tcW w:w="2891" w:type="dxa"/>
            <w:vMerge w:val="restart"/>
            <w:noWrap w:val="0"/>
            <w:vAlign w:val="center"/>
          </w:tcPr>
          <w:p>
            <w:pPr>
              <w:bidi w:val="0"/>
              <w:rPr>
                <w:rFonts w:hint="eastAsia"/>
                <w:lang w:eastAsia="zh-CN"/>
              </w:rPr>
            </w:pPr>
            <w:r>
              <w:rPr>
                <w:rFonts w:hint="eastAsia"/>
                <w:lang w:eastAsia="zh-CN"/>
              </w:rPr>
              <w:t>规格：</w:t>
            </w:r>
            <w:r>
              <w:rPr>
                <w:rFonts w:hint="eastAsia"/>
                <w:lang w:val="en-US" w:eastAsia="zh-CN"/>
              </w:rPr>
              <w:t>长6</w:t>
            </w:r>
            <w:r>
              <w:rPr>
                <w:rFonts w:hint="eastAsia"/>
                <w:lang w:eastAsia="zh-CN"/>
              </w:rPr>
              <w:t>00mm*</w:t>
            </w:r>
            <w:r>
              <w:rPr>
                <w:rFonts w:hint="eastAsia"/>
                <w:lang w:val="en-US" w:eastAsia="zh-CN"/>
              </w:rPr>
              <w:t>宽</w:t>
            </w:r>
            <w:r>
              <w:rPr>
                <w:rFonts w:hint="eastAsia"/>
                <w:lang w:eastAsia="zh-CN"/>
              </w:rPr>
              <w:t>3</w:t>
            </w:r>
            <w:r>
              <w:rPr>
                <w:rFonts w:hint="eastAsia"/>
                <w:lang w:val="en-US" w:eastAsia="zh-CN"/>
              </w:rPr>
              <w:t>0</w:t>
            </w:r>
            <w:r>
              <w:rPr>
                <w:rFonts w:hint="eastAsia"/>
                <w:lang w:eastAsia="zh-CN"/>
              </w:rPr>
              <w:t>0mm*</w:t>
            </w:r>
            <w:r>
              <w:rPr>
                <w:rFonts w:hint="eastAsia"/>
                <w:lang w:val="en-US" w:eastAsia="zh-CN"/>
              </w:rPr>
              <w:t>高</w:t>
            </w:r>
            <w:r>
              <w:rPr>
                <w:rFonts w:hint="eastAsia"/>
                <w:lang w:eastAsia="zh-CN"/>
              </w:rPr>
              <w:t>120mm 。</w:t>
            </w:r>
          </w:p>
          <w:p>
            <w:pPr>
              <w:bidi w:val="0"/>
              <w:rPr>
                <w:rFonts w:hint="eastAsia"/>
                <w:lang w:eastAsia="zh-CN"/>
              </w:rPr>
            </w:pPr>
            <w:r>
              <w:rPr>
                <w:rFonts w:hint="eastAsia"/>
                <w:lang w:eastAsia="zh-CN"/>
              </w:rPr>
              <w:t>拆装式底座，底梁连接处采用一次性模压成型。整体结构采用平头定位螺杆固定连接，连接处无需焊接，便于安装、运输及拆装。产品标准件互换性强，并有防倾倒设计，防止架体倾倒。主梁连接处冲有四个16*9腰形孔，孔间横向中心距离为70mm，纵向中心距离为69mm。副梁连接处冲有四个14.2*8腰形孔，这种缩口封式连接板宽边宽度为120mm，缩口边宽度为114mm，这种设计正好与主梁连接处进行整体连接，四个14.2*8的腰形孔位于凹槽内，凹槽宽度为15mm，凹槽深度为5mm，孔间横向中心距离为69.2mm，纵向中心距离为60.5mm，这种设计可在安装及拆装过程中灵活调节孔位距离，便于作业人员的操作，也大大加强密集架底座的稳定性。另主副梁上弯边≥49mm，下弯边≥21mm，这样便于架体在长期承重时不变形，不扭曲，增加了密集架整体的平稳度及使用寿命，增强了密集架整体美观度，使整个密集架看起来高端大气。</w:t>
            </w:r>
          </w:p>
        </w:tc>
        <w:tc>
          <w:tcPr>
            <w:tcW w:w="3795" w:type="dxa"/>
            <w:noWrap w:val="0"/>
            <w:vAlign w:val="center"/>
          </w:tcPr>
          <w:p>
            <w:pPr>
              <w:bidi w:val="0"/>
              <w:rPr>
                <w:rFonts w:hint="eastAsia"/>
                <w:lang w:eastAsia="zh-CN"/>
              </w:rPr>
            </w:pPr>
            <w:r>
              <w:rPr>
                <w:rFonts w:hint="eastAsia"/>
                <w:lang w:eastAsia="zh-CN"/>
              </w:rPr>
              <w:drawing>
                <wp:inline distT="0" distB="0" distL="114300" distR="114300">
                  <wp:extent cx="1851660" cy="1592580"/>
                  <wp:effectExtent l="0" t="0" r="7620" b="7620"/>
                  <wp:docPr id="33" name="图片 2" descr="doc0197292018091712363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doc01972920180917123638_001"/>
                          <pic:cNvPicPr>
                            <a:picLocks noChangeAspect="1"/>
                          </pic:cNvPicPr>
                        </pic:nvPicPr>
                        <pic:blipFill>
                          <a:blip r:embed="rId37"/>
                          <a:srcRect l="13692" t="9682" r="37495" b="54036"/>
                          <a:stretch>
                            <a:fillRect/>
                          </a:stretch>
                        </pic:blipFill>
                        <pic:spPr>
                          <a:xfrm>
                            <a:off x="0" y="0"/>
                            <a:ext cx="1851660" cy="15925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7" w:hRule="atLeast"/>
          <w:jc w:val="center"/>
        </w:trPr>
        <w:tc>
          <w:tcPr>
            <w:tcW w:w="473" w:type="dxa"/>
            <w:vMerge w:val="continue"/>
            <w:noWrap w:val="0"/>
            <w:vAlign w:val="center"/>
          </w:tcPr>
          <w:p>
            <w:pPr>
              <w:bidi w:val="0"/>
              <w:rPr>
                <w:rFonts w:hint="eastAsia"/>
                <w:lang w:val="en-US" w:eastAsia="zh-CN"/>
              </w:rPr>
            </w:pPr>
          </w:p>
        </w:tc>
        <w:tc>
          <w:tcPr>
            <w:tcW w:w="995" w:type="dxa"/>
            <w:vMerge w:val="continue"/>
            <w:noWrap w:val="0"/>
            <w:vAlign w:val="center"/>
          </w:tcPr>
          <w:p>
            <w:pPr>
              <w:bidi w:val="0"/>
              <w:rPr>
                <w:rFonts w:hint="eastAsia"/>
              </w:rPr>
            </w:pPr>
          </w:p>
        </w:tc>
        <w:tc>
          <w:tcPr>
            <w:tcW w:w="922" w:type="dxa"/>
            <w:vMerge w:val="continue"/>
            <w:noWrap w:val="0"/>
            <w:vAlign w:val="center"/>
          </w:tcPr>
          <w:p>
            <w:pPr>
              <w:bidi w:val="0"/>
              <w:rPr>
                <w:rFonts w:hint="eastAsia"/>
                <w:lang w:val="en-US" w:eastAsia="zh-CN"/>
              </w:rPr>
            </w:pPr>
          </w:p>
        </w:tc>
        <w:tc>
          <w:tcPr>
            <w:tcW w:w="2891" w:type="dxa"/>
            <w:vMerge w:val="continue"/>
            <w:noWrap w:val="0"/>
            <w:vAlign w:val="center"/>
          </w:tcPr>
          <w:p>
            <w:pPr>
              <w:bidi w:val="0"/>
              <w:rPr>
                <w:rFonts w:hint="eastAsia"/>
                <w:lang w:eastAsia="zh-CN"/>
              </w:rPr>
            </w:pPr>
          </w:p>
        </w:tc>
        <w:tc>
          <w:tcPr>
            <w:tcW w:w="3795" w:type="dxa"/>
            <w:noWrap w:val="0"/>
            <w:vAlign w:val="center"/>
          </w:tcPr>
          <w:p>
            <w:pPr>
              <w:bidi w:val="0"/>
              <w:rPr>
                <w:rFonts w:hint="eastAsia"/>
                <w:lang w:eastAsia="zh-CN"/>
              </w:rPr>
            </w:pPr>
            <w:r>
              <w:rPr>
                <w:rFonts w:hint="eastAsia"/>
                <w:lang w:eastAsia="zh-CN"/>
              </w:rPr>
              <w:t>（主、副梁详细尺寸可见下图所示）：</w:t>
            </w:r>
          </w:p>
          <w:p>
            <w:pPr>
              <w:bidi w:val="0"/>
              <w:rPr>
                <w:rFonts w:hint="eastAsia"/>
                <w:lang w:eastAsia="zh-CN"/>
              </w:rPr>
            </w:pPr>
            <w:r>
              <w:rPr>
                <w:rFonts w:hint="eastAsia"/>
                <w:lang w:eastAsia="zh-CN"/>
              </w:rPr>
              <w:drawing>
                <wp:inline distT="0" distB="0" distL="114300" distR="114300">
                  <wp:extent cx="2026285" cy="2842895"/>
                  <wp:effectExtent l="0" t="0" r="635" b="6985"/>
                  <wp:docPr id="18"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图片2"/>
                          <pic:cNvPicPr>
                            <a:picLocks noChangeAspect="1"/>
                          </pic:cNvPicPr>
                        </pic:nvPicPr>
                        <pic:blipFill>
                          <a:blip r:embed="rId38"/>
                          <a:stretch>
                            <a:fillRect/>
                          </a:stretch>
                        </pic:blipFill>
                        <pic:spPr>
                          <a:xfrm>
                            <a:off x="0" y="0"/>
                            <a:ext cx="2026285" cy="2842895"/>
                          </a:xfrm>
                          <a:prstGeom prst="rect">
                            <a:avLst/>
                          </a:prstGeom>
                          <a:noFill/>
                          <a:ln>
                            <a:noFill/>
                          </a:ln>
                        </pic:spPr>
                      </pic:pic>
                    </a:graphicData>
                  </a:graphic>
                </wp:inline>
              </w:drawing>
            </w:r>
          </w:p>
          <w:p>
            <w:pPr>
              <w:bidi w:val="0"/>
              <w:rPr>
                <w:rFonts w:hint="eastAsia"/>
                <w:lang w:eastAsia="zh-CN"/>
              </w:rPr>
            </w:pPr>
            <w:r>
              <w:rPr>
                <w:rFonts w:hint="eastAsia"/>
                <w:lang w:eastAsia="zh-CN"/>
              </w:rPr>
              <w:drawing>
                <wp:inline distT="0" distB="0" distL="114300" distR="114300">
                  <wp:extent cx="1925320" cy="2795270"/>
                  <wp:effectExtent l="0" t="0" r="10160" b="8890"/>
                  <wp:docPr id="30"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图片1"/>
                          <pic:cNvPicPr>
                            <a:picLocks noChangeAspect="1"/>
                          </pic:cNvPicPr>
                        </pic:nvPicPr>
                        <pic:blipFill>
                          <a:blip r:embed="rId39"/>
                          <a:stretch>
                            <a:fillRect/>
                          </a:stretch>
                        </pic:blipFill>
                        <pic:spPr>
                          <a:xfrm>
                            <a:off x="0" y="0"/>
                            <a:ext cx="1925320" cy="2795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7" w:hRule="atLeast"/>
          <w:jc w:val="center"/>
        </w:trPr>
        <w:tc>
          <w:tcPr>
            <w:tcW w:w="473" w:type="dxa"/>
            <w:noWrap w:val="0"/>
            <w:vAlign w:val="center"/>
          </w:tcPr>
          <w:p>
            <w:pPr>
              <w:bidi w:val="0"/>
              <w:rPr>
                <w:rFonts w:hint="eastAsia"/>
                <w:lang w:val="en-US" w:eastAsia="zh-CN"/>
              </w:rPr>
            </w:pPr>
            <w:r>
              <w:rPr>
                <w:rFonts w:hint="eastAsia"/>
                <w:lang w:val="en-US" w:eastAsia="zh-CN"/>
              </w:rPr>
              <w:t>4</w:t>
            </w:r>
          </w:p>
        </w:tc>
        <w:tc>
          <w:tcPr>
            <w:tcW w:w="995" w:type="dxa"/>
            <w:noWrap w:val="0"/>
            <w:vAlign w:val="center"/>
          </w:tcPr>
          <w:p>
            <w:pPr>
              <w:bidi w:val="0"/>
              <w:rPr>
                <w:rFonts w:hint="eastAsia"/>
              </w:rPr>
            </w:pPr>
            <w:r>
              <w:rPr>
                <w:rFonts w:hint="eastAsia"/>
              </w:rPr>
              <w:t>卡挂式顶板</w:t>
            </w:r>
          </w:p>
        </w:tc>
        <w:tc>
          <w:tcPr>
            <w:tcW w:w="922" w:type="dxa"/>
            <w:noWrap w:val="0"/>
            <w:vAlign w:val="center"/>
          </w:tcPr>
          <w:p>
            <w:pPr>
              <w:bidi w:val="0"/>
              <w:rPr>
                <w:rFonts w:hint="eastAsia"/>
                <w:lang w:val="en-US" w:eastAsia="zh-CN"/>
              </w:rPr>
            </w:pPr>
            <w:r>
              <w:rPr>
                <w:rFonts w:hint="eastAsia"/>
                <w:lang w:val="en-US" w:eastAsia="zh-CN"/>
              </w:rPr>
              <w:t>1块</w:t>
            </w:r>
          </w:p>
        </w:tc>
        <w:tc>
          <w:tcPr>
            <w:tcW w:w="2891" w:type="dxa"/>
            <w:noWrap w:val="0"/>
            <w:vAlign w:val="center"/>
          </w:tcPr>
          <w:p>
            <w:pPr>
              <w:bidi w:val="0"/>
              <w:rPr>
                <w:rFonts w:hint="eastAsia"/>
                <w:lang w:eastAsia="zh-CN"/>
              </w:rPr>
            </w:pPr>
            <w:r>
              <w:rPr>
                <w:rFonts w:hint="eastAsia"/>
                <w:lang w:eastAsia="zh-CN"/>
              </w:rPr>
              <w:t>规格：</w:t>
            </w:r>
            <w:r>
              <w:rPr>
                <w:rFonts w:hint="eastAsia"/>
                <w:lang w:val="en-US" w:eastAsia="zh-CN"/>
              </w:rPr>
              <w:t>宽4</w:t>
            </w:r>
            <w:r>
              <w:rPr>
                <w:rFonts w:hint="eastAsia"/>
                <w:lang w:eastAsia="zh-CN"/>
              </w:rPr>
              <w:t>00mm*</w:t>
            </w:r>
            <w:r>
              <w:rPr>
                <w:rFonts w:hint="eastAsia"/>
                <w:lang w:val="en-US" w:eastAsia="zh-CN"/>
              </w:rPr>
              <w:t>长</w:t>
            </w:r>
            <w:r>
              <w:rPr>
                <w:rFonts w:hint="eastAsia"/>
                <w:lang w:eastAsia="zh-CN"/>
              </w:rPr>
              <w:t>5</w:t>
            </w:r>
            <w:r>
              <w:rPr>
                <w:rFonts w:hint="eastAsia"/>
                <w:lang w:val="en-US" w:eastAsia="zh-CN"/>
              </w:rPr>
              <w:t>0</w:t>
            </w:r>
            <w:r>
              <w:rPr>
                <w:rFonts w:hint="eastAsia"/>
                <w:lang w:eastAsia="zh-CN"/>
              </w:rPr>
              <w:t>0mm。</w:t>
            </w:r>
          </w:p>
          <w:p>
            <w:pPr>
              <w:bidi w:val="0"/>
              <w:rPr>
                <w:rFonts w:hint="eastAsia"/>
                <w:lang w:eastAsia="zh-CN"/>
              </w:rPr>
            </w:pPr>
            <w:r>
              <w:rPr>
                <w:rFonts w:hint="eastAsia"/>
                <w:lang w:val="en-US" w:eastAsia="zh-CN"/>
              </w:rPr>
              <w:t>顶板通过六折边成型，在顶面和第二道边上分别用数控冲有</w:t>
            </w:r>
            <w:r>
              <w:rPr>
                <w:rFonts w:hint="eastAsia"/>
              </w:rPr>
              <w:drawing>
                <wp:inline distT="0" distB="0" distL="114300" distR="114300">
                  <wp:extent cx="452755" cy="377190"/>
                  <wp:effectExtent l="0" t="0" r="4445" b="381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1"/>
                          <a:stretch>
                            <a:fillRect/>
                          </a:stretch>
                        </pic:blipFill>
                        <pic:spPr>
                          <a:xfrm>
                            <a:off x="0" y="0"/>
                            <a:ext cx="452755" cy="377190"/>
                          </a:xfrm>
                          <a:prstGeom prst="rect">
                            <a:avLst/>
                          </a:prstGeom>
                          <a:noFill/>
                          <a:ln>
                            <a:noFill/>
                          </a:ln>
                        </pic:spPr>
                      </pic:pic>
                    </a:graphicData>
                  </a:graphic>
                </wp:inline>
              </w:drawing>
            </w:r>
            <w:r>
              <w:rPr>
                <w:rFonts w:hint="eastAsia"/>
                <w:lang w:val="en-US" w:eastAsia="zh-CN"/>
              </w:rPr>
              <w:t xml:space="preserve">三组两排 </w:t>
            </w:r>
            <w:r>
              <w:rPr>
                <w:rFonts w:hint="eastAsia"/>
              </w:rPr>
              <w:drawing>
                <wp:inline distT="0" distB="0" distL="114300" distR="114300">
                  <wp:extent cx="321945" cy="403225"/>
                  <wp:effectExtent l="0" t="0" r="13335" b="825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2"/>
                          <a:stretch>
                            <a:fillRect/>
                          </a:stretch>
                        </pic:blipFill>
                        <pic:spPr>
                          <a:xfrm>
                            <a:off x="0" y="0"/>
                            <a:ext cx="321945" cy="403225"/>
                          </a:xfrm>
                          <a:prstGeom prst="rect">
                            <a:avLst/>
                          </a:prstGeom>
                          <a:noFill/>
                          <a:ln>
                            <a:noFill/>
                          </a:ln>
                        </pic:spPr>
                      </pic:pic>
                    </a:graphicData>
                  </a:graphic>
                </wp:inline>
              </w:drawing>
            </w:r>
            <w:r>
              <w:rPr>
                <w:rFonts w:hint="eastAsia"/>
                <w:lang w:val="en-US" w:eastAsia="zh-CN"/>
              </w:rPr>
              <w:t xml:space="preserve">型和 </w:t>
            </w:r>
            <w:r>
              <w:rPr>
                <w:rFonts w:hint="eastAsia"/>
              </w:rPr>
              <w:drawing>
                <wp:inline distT="0" distB="0" distL="114300" distR="114300">
                  <wp:extent cx="248285" cy="273685"/>
                  <wp:effectExtent l="0" t="0" r="10795" b="63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3"/>
                          <a:stretch>
                            <a:fillRect/>
                          </a:stretch>
                        </pic:blipFill>
                        <pic:spPr>
                          <a:xfrm>
                            <a:off x="0" y="0"/>
                            <a:ext cx="248285" cy="273685"/>
                          </a:xfrm>
                          <a:prstGeom prst="rect">
                            <a:avLst/>
                          </a:prstGeom>
                          <a:noFill/>
                          <a:ln>
                            <a:noFill/>
                          </a:ln>
                        </pic:spPr>
                      </pic:pic>
                    </a:graphicData>
                  </a:graphic>
                </wp:inline>
              </w:drawing>
            </w:r>
            <w:r>
              <w:rPr>
                <w:rFonts w:hint="eastAsia"/>
                <w:lang w:val="en-US" w:eastAsia="zh-CN"/>
              </w:rPr>
              <w:t xml:space="preserve">蝴蝶半翘型紧扣锁孔，与立柱上面并排 </w:t>
            </w:r>
            <w:r>
              <w:rPr>
                <w:rFonts w:hint="eastAsia"/>
              </w:rPr>
              <w:drawing>
                <wp:inline distT="0" distB="0" distL="114300" distR="114300">
                  <wp:extent cx="379730" cy="324485"/>
                  <wp:effectExtent l="0" t="0" r="1270" b="1079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4"/>
                          <a:stretch>
                            <a:fillRect/>
                          </a:stretch>
                        </pic:blipFill>
                        <pic:spPr>
                          <a:xfrm>
                            <a:off x="0" y="0"/>
                            <a:ext cx="379730" cy="324485"/>
                          </a:xfrm>
                          <a:prstGeom prst="rect">
                            <a:avLst/>
                          </a:prstGeom>
                          <a:noFill/>
                          <a:ln>
                            <a:noFill/>
                          </a:ln>
                        </pic:spPr>
                      </pic:pic>
                    </a:graphicData>
                  </a:graphic>
                </wp:inline>
              </w:drawing>
            </w:r>
            <w:r>
              <w:rPr>
                <w:rFonts w:hint="eastAsia"/>
                <w:lang w:val="en-US" w:eastAsia="zh-CN"/>
              </w:rPr>
              <w:t>对孔相接，环形相扣，无需螺丝、铆钉固定，拆装自如，牢固稳定。</w:t>
            </w:r>
          </w:p>
        </w:tc>
        <w:tc>
          <w:tcPr>
            <w:tcW w:w="3795" w:type="dxa"/>
            <w:noWrap w:val="0"/>
            <w:vAlign w:val="center"/>
          </w:tcPr>
          <w:p>
            <w:pPr>
              <w:bidi w:val="0"/>
              <w:rPr>
                <w:rFonts w:hint="eastAsia"/>
                <w:lang w:eastAsia="zh-CN"/>
              </w:rPr>
            </w:pPr>
            <w:r>
              <w:rPr>
                <w:rFonts w:hint="eastAsia"/>
                <w:lang w:val="en-US" w:eastAsia="zh-CN"/>
              </w:rPr>
              <w:drawing>
                <wp:inline distT="0" distB="0" distL="114300" distR="114300">
                  <wp:extent cx="2252980" cy="1517650"/>
                  <wp:effectExtent l="0" t="0" r="0" b="0"/>
                  <wp:docPr id="42" name="图片 9" descr="顶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descr="顶板"/>
                          <pic:cNvPicPr>
                            <a:picLocks noChangeAspect="1"/>
                          </pic:cNvPicPr>
                        </pic:nvPicPr>
                        <pic:blipFill>
                          <a:blip r:embed="rId40"/>
                          <a:stretch>
                            <a:fillRect/>
                          </a:stretch>
                        </pic:blipFill>
                        <pic:spPr>
                          <a:xfrm>
                            <a:off x="0" y="0"/>
                            <a:ext cx="2252980" cy="15176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4" w:hRule="atLeast"/>
          <w:jc w:val="center"/>
        </w:trPr>
        <w:tc>
          <w:tcPr>
            <w:tcW w:w="473" w:type="dxa"/>
            <w:noWrap w:val="0"/>
            <w:vAlign w:val="center"/>
          </w:tcPr>
          <w:p>
            <w:pPr>
              <w:bidi w:val="0"/>
              <w:rPr>
                <w:rFonts w:hint="eastAsia"/>
                <w:lang w:val="en-US" w:eastAsia="zh-CN"/>
              </w:rPr>
            </w:pPr>
            <w:r>
              <w:rPr>
                <w:rFonts w:hint="eastAsia"/>
                <w:lang w:val="en-US" w:eastAsia="zh-CN"/>
              </w:rPr>
              <w:t>5</w:t>
            </w:r>
          </w:p>
        </w:tc>
        <w:tc>
          <w:tcPr>
            <w:tcW w:w="995" w:type="dxa"/>
            <w:noWrap w:val="0"/>
            <w:vAlign w:val="center"/>
          </w:tcPr>
          <w:p>
            <w:pPr>
              <w:bidi w:val="0"/>
              <w:rPr>
                <w:rFonts w:hint="eastAsia"/>
                <w:lang w:eastAsia="zh-CN"/>
              </w:rPr>
            </w:pPr>
            <w:r>
              <w:rPr>
                <w:rFonts w:hint="eastAsia"/>
              </w:rPr>
              <w:t>铝合金顶门条</w:t>
            </w:r>
            <w:r>
              <w:rPr>
                <w:rFonts w:hint="eastAsia"/>
                <w:lang w:eastAsia="zh-CN"/>
              </w:rPr>
              <w:t>、</w:t>
            </w:r>
            <w:r>
              <w:rPr>
                <w:rFonts w:hint="eastAsia"/>
              </w:rPr>
              <w:t>中门条</w:t>
            </w:r>
            <w:r>
              <w:rPr>
                <w:rFonts w:hint="eastAsia"/>
                <w:lang w:eastAsia="zh-CN"/>
              </w:rPr>
              <w:t>、竖门条和底门条</w:t>
            </w:r>
          </w:p>
        </w:tc>
        <w:tc>
          <w:tcPr>
            <w:tcW w:w="922" w:type="dxa"/>
            <w:noWrap w:val="0"/>
            <w:vAlign w:val="center"/>
          </w:tcPr>
          <w:p>
            <w:pPr>
              <w:bidi w:val="0"/>
              <w:rPr>
                <w:rFonts w:hint="eastAsia"/>
                <w:lang w:val="en-US" w:eastAsia="zh-CN"/>
              </w:rPr>
            </w:pPr>
            <w:r>
              <w:rPr>
                <w:rFonts w:hint="eastAsia"/>
                <w:lang w:val="en-US" w:eastAsia="zh-CN"/>
              </w:rPr>
              <w:t>1套</w:t>
            </w:r>
          </w:p>
        </w:tc>
        <w:tc>
          <w:tcPr>
            <w:tcW w:w="2891" w:type="dxa"/>
            <w:noWrap w:val="0"/>
            <w:vAlign w:val="center"/>
          </w:tcPr>
          <w:p>
            <w:pPr>
              <w:bidi w:val="0"/>
              <w:rPr>
                <w:rFonts w:hint="eastAsia"/>
                <w:lang w:eastAsia="zh-CN"/>
              </w:rPr>
            </w:pPr>
            <w:r>
              <w:rPr>
                <w:rFonts w:hint="eastAsia"/>
                <w:lang w:eastAsia="zh-CN"/>
              </w:rPr>
              <w:t>规格：</w:t>
            </w:r>
            <w:r>
              <w:rPr>
                <w:rFonts w:hint="eastAsia"/>
                <w:lang w:val="en-US" w:eastAsia="zh-CN"/>
              </w:rPr>
              <w:t>长500</w:t>
            </w:r>
            <w:r>
              <w:rPr>
                <w:rFonts w:hint="eastAsia"/>
                <w:lang w:eastAsia="zh-CN"/>
              </w:rPr>
              <w:t>mm.采用高强度铝合金专用型材一次挤压成型，型材厚度1.5mm，具有强度高、重量轻、零件互换性强（高精度标准件），寿命长、造型美观等特点，型材强硬度（HW）≥15（高于国家标准）。突破传统的锁条式门栓，对铝合金门条采用外嵌内四点固定式不锈钢铰链，将铝合金门条与密集架门连接，充分满足密集架平开门180°旋转，更好的体现出了人性化设计操作。</w:t>
            </w:r>
          </w:p>
        </w:tc>
        <w:tc>
          <w:tcPr>
            <w:tcW w:w="3795" w:type="dxa"/>
            <w:noWrap w:val="0"/>
            <w:vAlign w:val="center"/>
          </w:tcPr>
          <w:p>
            <w:pPr>
              <w:bidi w:val="0"/>
              <w:rPr>
                <w:rFonts w:hint="eastAsia"/>
              </w:rPr>
            </w:pPr>
            <w:r>
              <w:rPr>
                <w:rFonts w:hint="eastAsia"/>
              </w:rPr>
              <w:drawing>
                <wp:inline distT="0" distB="0" distL="114300" distR="114300">
                  <wp:extent cx="1958975" cy="1292225"/>
                  <wp:effectExtent l="0" t="0" r="6985" b="317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41"/>
                          <a:stretch>
                            <a:fillRect/>
                          </a:stretch>
                        </pic:blipFill>
                        <pic:spPr>
                          <a:xfrm>
                            <a:off x="0" y="0"/>
                            <a:ext cx="1958975" cy="1292225"/>
                          </a:xfrm>
                          <a:prstGeom prst="rect">
                            <a:avLst/>
                          </a:prstGeom>
                          <a:noFill/>
                          <a:ln>
                            <a:noFill/>
                          </a:ln>
                        </pic:spPr>
                      </pic:pic>
                    </a:graphicData>
                  </a:graphic>
                </wp:inline>
              </w:drawing>
            </w:r>
          </w:p>
          <w:p>
            <w:pPr>
              <w:bidi w:val="0"/>
              <w:rPr>
                <w:rFonts w:hint="eastAsia"/>
              </w:rPr>
            </w:pPr>
          </w:p>
          <w:p>
            <w:pPr>
              <w:bidi w:val="0"/>
              <w:rPr>
                <w:rFonts w:hint="eastAsia"/>
              </w:rPr>
            </w:pPr>
            <w:r>
              <w:rPr>
                <w:rFonts w:hint="eastAsia"/>
              </w:rPr>
              <w:drawing>
                <wp:inline distT="0" distB="0" distL="114300" distR="114300">
                  <wp:extent cx="1932940" cy="1445895"/>
                  <wp:effectExtent l="0" t="0" r="2540" b="1905"/>
                  <wp:docPr id="44" name="图片 1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descr="IMG_262"/>
                          <pic:cNvPicPr>
                            <a:picLocks noChangeAspect="1"/>
                          </pic:cNvPicPr>
                        </pic:nvPicPr>
                        <pic:blipFill>
                          <a:blip r:embed="rId42"/>
                          <a:stretch>
                            <a:fillRect/>
                          </a:stretch>
                        </pic:blipFill>
                        <pic:spPr>
                          <a:xfrm>
                            <a:off x="0" y="0"/>
                            <a:ext cx="1932940" cy="1445895"/>
                          </a:xfrm>
                          <a:prstGeom prst="rect">
                            <a:avLst/>
                          </a:prstGeom>
                          <a:noFill/>
                          <a:ln>
                            <a:noFill/>
                          </a:ln>
                        </pic:spPr>
                      </pic:pic>
                    </a:graphicData>
                  </a:graphic>
                </wp:inline>
              </w:drawing>
            </w:r>
          </w:p>
          <w:p>
            <w:pPr>
              <w:bidi w:val="0"/>
              <w:rPr>
                <w:rFonts w:hint="eastAsia"/>
              </w:rPr>
            </w:pPr>
          </w:p>
          <w:p>
            <w:pPr>
              <w:bidi w:val="0"/>
              <w:rPr>
                <w:rFonts w:hint="eastAsia"/>
              </w:rPr>
            </w:pPr>
            <w:r>
              <w:rPr>
                <w:rFonts w:hint="eastAsia"/>
              </w:rPr>
              <w:drawing>
                <wp:inline distT="0" distB="0" distL="114300" distR="114300">
                  <wp:extent cx="1813560" cy="1301750"/>
                  <wp:effectExtent l="0" t="0" r="0" b="889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2"/>
                          <a:srcRect l="15991" t="2437" r="12720" b="-2437"/>
                          <a:stretch>
                            <a:fillRect/>
                          </a:stretch>
                        </pic:blipFill>
                        <pic:spPr>
                          <a:xfrm>
                            <a:off x="0" y="0"/>
                            <a:ext cx="1813560" cy="1301750"/>
                          </a:xfrm>
                          <a:prstGeom prst="rect">
                            <a:avLst/>
                          </a:prstGeom>
                          <a:noFill/>
                          <a:ln>
                            <a:noFill/>
                          </a:ln>
                        </pic:spPr>
                      </pic:pic>
                    </a:graphicData>
                  </a:graphic>
                </wp:inline>
              </w:drawing>
            </w:r>
          </w:p>
          <w:p>
            <w:pPr>
              <w:bidi w:val="0"/>
              <w:rPr>
                <w:rFonts w:hint="eastAsia"/>
              </w:rPr>
            </w:pPr>
          </w:p>
          <w:p>
            <w:pPr>
              <w:bidi w:val="0"/>
              <w:rPr>
                <w:rFonts w:hint="eastAsia"/>
                <w:lang w:eastAsia="zh-CN"/>
              </w:rPr>
            </w:pPr>
            <w:r>
              <w:rPr>
                <w:rFonts w:hint="eastAsia"/>
              </w:rPr>
              <w:drawing>
                <wp:inline distT="0" distB="0" distL="114300" distR="114300">
                  <wp:extent cx="1743710" cy="1244600"/>
                  <wp:effectExtent l="0" t="0" r="8890" b="508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23"/>
                          <a:srcRect l="53664" t="63048" r="1244" b="-327"/>
                          <a:stretch>
                            <a:fillRect/>
                          </a:stretch>
                        </pic:blipFill>
                        <pic:spPr>
                          <a:xfrm>
                            <a:off x="0" y="0"/>
                            <a:ext cx="1743710" cy="1244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9" w:hRule="atLeast"/>
          <w:jc w:val="center"/>
        </w:trPr>
        <w:tc>
          <w:tcPr>
            <w:tcW w:w="473" w:type="dxa"/>
            <w:noWrap w:val="0"/>
            <w:vAlign w:val="center"/>
          </w:tcPr>
          <w:p>
            <w:pPr>
              <w:bidi w:val="0"/>
              <w:rPr>
                <w:rFonts w:hint="eastAsia"/>
                <w:lang w:val="en-US" w:eastAsia="zh-CN"/>
              </w:rPr>
            </w:pPr>
            <w:r>
              <w:rPr>
                <w:rFonts w:hint="eastAsia"/>
                <w:lang w:val="en-US" w:eastAsia="zh-CN"/>
              </w:rPr>
              <w:t>6</w:t>
            </w:r>
          </w:p>
        </w:tc>
        <w:tc>
          <w:tcPr>
            <w:tcW w:w="995" w:type="dxa"/>
            <w:noWrap w:val="0"/>
            <w:vAlign w:val="center"/>
          </w:tcPr>
          <w:p>
            <w:pPr>
              <w:bidi w:val="0"/>
              <w:rPr>
                <w:rFonts w:hint="eastAsia"/>
                <w:lang w:eastAsia="zh-CN"/>
              </w:rPr>
            </w:pPr>
            <w:r>
              <w:rPr>
                <w:rFonts w:hint="eastAsia"/>
              </w:rPr>
              <w:t>密集架铝合金</w:t>
            </w:r>
            <w:r>
              <w:rPr>
                <w:rFonts w:hint="eastAsia"/>
                <w:lang w:val="en-US" w:eastAsia="zh-CN"/>
              </w:rPr>
              <w:t>轨道</w:t>
            </w:r>
          </w:p>
        </w:tc>
        <w:tc>
          <w:tcPr>
            <w:tcW w:w="922" w:type="dxa"/>
            <w:noWrap w:val="0"/>
            <w:vAlign w:val="center"/>
          </w:tcPr>
          <w:p>
            <w:pPr>
              <w:bidi w:val="0"/>
              <w:rPr>
                <w:rFonts w:hint="eastAsia"/>
                <w:lang w:val="en-US" w:eastAsia="zh-CN"/>
              </w:rPr>
            </w:pPr>
            <w:r>
              <w:rPr>
                <w:rFonts w:hint="eastAsia"/>
                <w:lang w:val="en-US" w:eastAsia="zh-CN"/>
              </w:rPr>
              <w:t>1件</w:t>
            </w:r>
          </w:p>
        </w:tc>
        <w:tc>
          <w:tcPr>
            <w:tcW w:w="2891" w:type="dxa"/>
            <w:noWrap w:val="0"/>
            <w:vAlign w:val="center"/>
          </w:tcPr>
          <w:p>
            <w:pPr>
              <w:bidi w:val="0"/>
              <w:rPr>
                <w:rFonts w:hint="eastAsia"/>
                <w:lang w:eastAsia="zh-CN"/>
              </w:rPr>
            </w:pPr>
            <w:r>
              <w:rPr>
                <w:rFonts w:hint="eastAsia"/>
                <w:lang w:eastAsia="zh-CN"/>
              </w:rPr>
              <w:t>规格：</w:t>
            </w:r>
            <w:r>
              <w:rPr>
                <w:rFonts w:hint="eastAsia"/>
                <w:lang w:val="en-US" w:eastAsia="zh-CN"/>
              </w:rPr>
              <w:t>长</w:t>
            </w:r>
            <w:r>
              <w:rPr>
                <w:rFonts w:hint="eastAsia"/>
                <w:lang w:eastAsia="zh-CN"/>
              </w:rPr>
              <w:t>500mm，轨道板采用高强度铝合金专用型材一次铸压成型，无折弯、铸压角度平直，造型美观大方；型材厚度4.0mm，轨芯采用25 mm×25 mm优质304不锈方钢，路轨面板与轨芯采用双排键槽式连接，具有强度高，重量轻，零件互换性强，使用寿命长，造型美观等特点，大大降低了楼层承载负荷。</w:t>
            </w:r>
          </w:p>
        </w:tc>
        <w:tc>
          <w:tcPr>
            <w:tcW w:w="3795" w:type="dxa"/>
            <w:noWrap w:val="0"/>
            <w:vAlign w:val="center"/>
          </w:tcPr>
          <w:p>
            <w:pPr>
              <w:bidi w:val="0"/>
              <w:rPr>
                <w:rFonts w:hint="eastAsia"/>
              </w:rPr>
            </w:pPr>
            <w:r>
              <w:rPr>
                <w:rFonts w:hint="eastAsia"/>
              </w:rPr>
              <w:drawing>
                <wp:anchor distT="0" distB="0" distL="114300" distR="114300" simplePos="0" relativeHeight="4093333504" behindDoc="1" locked="0" layoutInCell="1" allowOverlap="1">
                  <wp:simplePos x="0" y="0"/>
                  <wp:positionH relativeFrom="column">
                    <wp:posOffset>125095</wp:posOffset>
                  </wp:positionH>
                  <wp:positionV relativeFrom="page">
                    <wp:posOffset>572135</wp:posOffset>
                  </wp:positionV>
                  <wp:extent cx="2132330" cy="911860"/>
                  <wp:effectExtent l="0" t="0" r="1270" b="2540"/>
                  <wp:wrapNone/>
                  <wp:docPr id="51" name="图片 8" descr="D:\Program Files\Tencent\QQ\Users\297149891\Image\C2C\)BFNL~UV{$NK[D()[XE4(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descr="D:\Program Files\Tencent\QQ\Users\297149891\Image\C2C\)BFNL~UV{$NK[D()[XE4(MW.png"/>
                          <pic:cNvPicPr>
                            <a:picLocks noChangeAspect="1"/>
                          </pic:cNvPicPr>
                        </pic:nvPicPr>
                        <pic:blipFill>
                          <a:blip r:embed="rId20"/>
                          <a:stretch>
                            <a:fillRect/>
                          </a:stretch>
                        </pic:blipFill>
                        <pic:spPr>
                          <a:xfrm>
                            <a:off x="0" y="0"/>
                            <a:ext cx="2132330" cy="911860"/>
                          </a:xfrm>
                          <a:prstGeom prst="rect">
                            <a:avLst/>
                          </a:prstGeom>
                          <a:noFill/>
                          <a:ln>
                            <a:noFill/>
                          </a:ln>
                        </pic:spPr>
                      </pic:pic>
                    </a:graphicData>
                  </a:graphic>
                </wp:anchor>
              </w:drawing>
            </w:r>
          </w:p>
        </w:tc>
      </w:tr>
    </w:tbl>
    <w:p>
      <w:pPr>
        <w:pStyle w:val="2"/>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楷体_GBK">
    <w:altName w:val="黑体"/>
    <w:panose1 w:val="00000000000000000000"/>
    <w:charset w:val="86"/>
    <w:family w:val="script"/>
    <w:pitch w:val="default"/>
    <w:sig w:usb0="00000000" w:usb1="00000000" w:usb2="00000010" w:usb3="00000000" w:csb0="00040000" w:csb1="00000000"/>
  </w:font>
  <w:font w:name="STZhongsong">
    <w:altName w:val="宋体"/>
    <w:panose1 w:val="00000000000000000000"/>
    <w:charset w:val="86"/>
    <w:family w:val="auto"/>
    <w:pitch w:val="default"/>
    <w:sig w:usb0="00000000" w:usb1="00000000" w:usb2="00000010" w:usb3="00000000" w:csb0="000400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F42AC"/>
    <w:multiLevelType w:val="singleLevel"/>
    <w:tmpl w:val="561F42AC"/>
    <w:lvl w:ilvl="0" w:tentative="0">
      <w:start w:val="2"/>
      <w:numFmt w:val="decimal"/>
      <w:suff w:val="nothing"/>
      <w:lvlText w:val="%1."/>
      <w:lvlJc w:val="left"/>
    </w:lvl>
  </w:abstractNum>
  <w:abstractNum w:abstractNumId="1">
    <w:nsid w:val="59B11739"/>
    <w:multiLevelType w:val="singleLevel"/>
    <w:tmpl w:val="59B11739"/>
    <w:lvl w:ilvl="0" w:tentative="0">
      <w:start w:val="1"/>
      <w:numFmt w:val="decimal"/>
      <w:suff w:val="nothing"/>
      <w:lvlText w:val="（%1）"/>
      <w:lvlJc w:val="left"/>
    </w:lvl>
  </w:abstractNum>
  <w:abstractNum w:abstractNumId="2">
    <w:nsid w:val="59FC4CCC"/>
    <w:multiLevelType w:val="singleLevel"/>
    <w:tmpl w:val="59FC4CCC"/>
    <w:lvl w:ilvl="0" w:tentative="0">
      <w:start w:val="1"/>
      <w:numFmt w:val="decimal"/>
      <w:suff w:val="nothing"/>
      <w:lvlText w:val="（%1）"/>
      <w:lvlJc w:val="left"/>
    </w:lvl>
  </w:abstractNum>
  <w:abstractNum w:abstractNumId="3">
    <w:nsid w:val="59FC4D84"/>
    <w:multiLevelType w:val="singleLevel"/>
    <w:tmpl w:val="59FC4D84"/>
    <w:lvl w:ilvl="0" w:tentative="0">
      <w:start w:val="11"/>
      <w:numFmt w:val="decimal"/>
      <w:suff w:val="nothing"/>
      <w:lvlText w:val="（%1）"/>
      <w:lvlJc w:val="left"/>
    </w:lvl>
  </w:abstractNum>
  <w:abstractNum w:abstractNumId="4">
    <w:nsid w:val="7418ADDF"/>
    <w:multiLevelType w:val="singleLevel"/>
    <w:tmpl w:val="7418ADDF"/>
    <w:lvl w:ilvl="0" w:tentative="0">
      <w:start w:val="4"/>
      <w:numFmt w:val="decimal"/>
      <w:suff w:val="nothing"/>
      <w:lvlText w:val="%1、"/>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5357BC"/>
    <w:rsid w:val="0BEB2561"/>
    <w:rsid w:val="125357BC"/>
    <w:rsid w:val="13891167"/>
    <w:rsid w:val="13C64077"/>
    <w:rsid w:val="1C3C4A60"/>
    <w:rsid w:val="28541620"/>
    <w:rsid w:val="2900384B"/>
    <w:rsid w:val="32C756D4"/>
    <w:rsid w:val="3C591C74"/>
    <w:rsid w:val="3D4B3AD9"/>
    <w:rsid w:val="42DA49EC"/>
    <w:rsid w:val="432B1D9A"/>
    <w:rsid w:val="484C286A"/>
    <w:rsid w:val="634B2AB7"/>
    <w:rsid w:val="6F5775A6"/>
    <w:rsid w:val="71326637"/>
    <w:rsid w:val="73026E8D"/>
    <w:rsid w:val="7A430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name="Body Text"/>
    <w:lsdException w:qFormat="1"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360" w:lineRule="auto"/>
      <w:jc w:val="center"/>
      <w:outlineLvl w:val="0"/>
    </w:pPr>
    <w:rPr>
      <w:rFonts w:ascii="Times New Roman" w:hAnsi="Times New Roman" w:cs="Times New Roman"/>
      <w:b/>
      <w:color w:val="auto"/>
      <w:kern w:val="44"/>
      <w:sz w:val="32"/>
      <w:szCs w:val="44"/>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rPr>
      <w:szCs w:val="20"/>
      <w:lang w:val="zh-CN"/>
    </w:rPr>
  </w:style>
  <w:style w:type="paragraph" w:styleId="4">
    <w:name w:val="Normal Indent"/>
    <w:basedOn w:val="1"/>
    <w:qFormat/>
    <w:uiPriority w:val="0"/>
    <w:pPr>
      <w:ind w:firstLine="420"/>
    </w:pPr>
    <w:rPr>
      <w:szCs w:val="20"/>
    </w:rPr>
  </w:style>
  <w:style w:type="paragraph" w:styleId="5">
    <w:name w:val="annotation text"/>
    <w:basedOn w:val="1"/>
    <w:semiHidden/>
    <w:unhideWhenUsed/>
    <w:qFormat/>
    <w:uiPriority w:val="0"/>
    <w:pPr>
      <w:widowControl w:val="0"/>
    </w:pPr>
    <w:rPr>
      <w:kern w:val="2"/>
    </w:rPr>
  </w:style>
  <w:style w:type="paragraph" w:styleId="6">
    <w:name w:val="Body Text"/>
    <w:basedOn w:val="1"/>
    <w:semiHidden/>
    <w:unhideWhenUsed/>
    <w:qFormat/>
    <w:uiPriority w:val="0"/>
    <w:pPr>
      <w:widowControl w:val="0"/>
      <w:spacing w:after="120"/>
      <w:jc w:val="both"/>
    </w:pPr>
    <w:rPr>
      <w:kern w:val="2"/>
      <w:sz w:val="21"/>
    </w:rPr>
  </w:style>
  <w:style w:type="paragraph" w:styleId="7">
    <w:name w:val="Body Text Indent"/>
    <w:basedOn w:val="1"/>
    <w:next w:val="8"/>
    <w:semiHidden/>
    <w:unhideWhenUsed/>
    <w:qFormat/>
    <w:uiPriority w:val="0"/>
    <w:pPr>
      <w:widowControl w:val="0"/>
      <w:spacing w:after="120"/>
      <w:ind w:left="420" w:leftChars="200"/>
      <w:jc w:val="both"/>
    </w:pPr>
    <w:rPr>
      <w:kern w:val="2"/>
      <w:sz w:val="21"/>
    </w:rPr>
  </w:style>
  <w:style w:type="paragraph" w:styleId="8">
    <w:name w:val="envelope return"/>
    <w:basedOn w:val="1"/>
    <w:qFormat/>
    <w:uiPriority w:val="0"/>
    <w:pPr>
      <w:snapToGrid w:val="0"/>
    </w:pPr>
    <w:rPr>
      <w:rFonts w:ascii="Arial" w:hAnsi="Arial"/>
    </w:rPr>
  </w:style>
  <w:style w:type="paragraph" w:styleId="9">
    <w:name w:val="Plain Text"/>
    <w:basedOn w:val="1"/>
    <w:unhideWhenUsed/>
    <w:qFormat/>
    <w:uiPriority w:val="99"/>
    <w:rPr>
      <w:rFonts w:hAnsi="Courier New" w:cs="Courier New" w:asciiTheme="minorEastAsia" w:eastAsiaTheme="minorEastAsia"/>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HTML Preformatted"/>
    <w:basedOn w:val="1"/>
    <w:semiHidden/>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sz w:val="21"/>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10"/>
    <w:pPr>
      <w:widowControl w:val="0"/>
      <w:spacing w:before="240" w:after="60"/>
      <w:jc w:val="center"/>
      <w:outlineLvl w:val="0"/>
    </w:pPr>
    <w:rPr>
      <w:rFonts w:ascii="Cambria" w:hAnsi="Cambria"/>
      <w:b/>
      <w:bCs/>
      <w:kern w:val="2"/>
      <w:sz w:val="36"/>
      <w:szCs w:val="32"/>
    </w:rPr>
  </w:style>
  <w:style w:type="paragraph" w:styleId="16">
    <w:name w:val="Body Text First Indent 2"/>
    <w:basedOn w:val="7"/>
    <w:unhideWhenUsed/>
    <w:qFormat/>
    <w:uiPriority w:val="99"/>
    <w:pPr>
      <w:ind w:firstLine="420" w:firstLineChars="200"/>
    </w:pPr>
  </w:style>
  <w:style w:type="table" w:styleId="18">
    <w:name w:val="Table Grid"/>
    <w:basedOn w:val="1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20">
    <w:name w:val="列出段落11"/>
    <w:basedOn w:val="1"/>
    <w:qFormat/>
    <w:uiPriority w:val="99"/>
    <w:pPr>
      <w:widowControl w:val="0"/>
      <w:ind w:firstLine="420" w:firstLineChars="200"/>
      <w:jc w:val="both"/>
    </w:pPr>
    <w:rPr>
      <w:rFonts w:ascii="Calibri" w:hAnsi="Calibri"/>
      <w:kern w:val="2"/>
      <w:sz w:val="21"/>
      <w:szCs w:val="22"/>
    </w:rPr>
  </w:style>
  <w:style w:type="paragraph" w:customStyle="1" w:styleId="21">
    <w:name w:val="表格文字"/>
    <w:basedOn w:val="1"/>
    <w:qFormat/>
    <w:uiPriority w:val="99"/>
    <w:pPr>
      <w:spacing w:before="25" w:after="25"/>
    </w:pPr>
    <w:rPr>
      <w:rFonts w:ascii="Times New Roman" w:hAnsi="Times New Roman"/>
      <w:bCs/>
      <w:spacing w:val="10"/>
      <w:sz w:val="24"/>
      <w:szCs w:val="20"/>
    </w:rPr>
  </w:style>
  <w:style w:type="paragraph" w:customStyle="1" w:styleId="22">
    <w:name w:val="段"/>
    <w:next w:val="1"/>
    <w:qFormat/>
    <w:uiPriority w:val="0"/>
    <w:pPr>
      <w:autoSpaceDE w:val="0"/>
      <w:autoSpaceDN w:val="0"/>
      <w:ind w:firstLine="200" w:firstLineChars="200"/>
      <w:jc w:val="both"/>
    </w:pPr>
    <w:rPr>
      <w:rFonts w:ascii="宋体" w:hAnsi="Times New Roman" w:eastAsia="宋体" w:cs="宋体"/>
      <w:kern w:val="0"/>
      <w:sz w:val="21"/>
      <w:szCs w:val="21"/>
      <w:lang w:val="en-US" w:eastAsia="zh-CN" w:bidi="ar-SA"/>
    </w:rPr>
  </w:style>
  <w:style w:type="paragraph" w:customStyle="1" w:styleId="23">
    <w:name w:val="一级条标题"/>
    <w:basedOn w:val="1"/>
    <w:next w:val="22"/>
    <w:qFormat/>
    <w:uiPriority w:val="0"/>
    <w:pPr>
      <w:ind w:left="420"/>
      <w:jc w:val="both"/>
      <w:outlineLvl w:val="2"/>
    </w:pPr>
    <w:rPr>
      <w:rFonts w:ascii="黑体" w:eastAsia="黑体" w:cs="黑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62</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2020-08-11T07:12:00Z</dcterms:created>
  <dc:creator>H.R.S</dc:creator>
  <cp:lastModifiedBy>H.R.S</cp:lastModifiedBy>
  <dcterms:modified xsi:type="dcterms:W3CDTF">2020-08-24T10:11:24Z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