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平财采字（竞磋货物）201</w:t>
      </w:r>
      <w:r>
        <w:rPr>
          <w:rFonts w:hint="eastAsia" w:ascii="宋体" w:hAnsi="宋体" w:eastAsia="宋体" w:cs="宋体"/>
          <w:b/>
          <w:color w:val="auto"/>
          <w:sz w:val="36"/>
          <w:szCs w:val="36"/>
          <w:lang w:val="en-US" w:eastAsia="zh-CN"/>
        </w:rPr>
        <w:t>9</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96</w:t>
      </w:r>
      <w:r>
        <w:rPr>
          <w:rFonts w:hint="eastAsia" w:ascii="宋体" w:hAnsi="宋体" w:eastAsia="宋体" w:cs="宋体"/>
          <w:b/>
          <w:color w:val="auto"/>
          <w:sz w:val="36"/>
          <w:szCs w:val="36"/>
          <w:lang w:eastAsia="zh-CN"/>
        </w:rPr>
        <w:t>号</w:t>
      </w:r>
    </w:p>
    <w:p>
      <w:pPr>
        <w:adjustRightInd w:val="0"/>
        <w:spacing w:line="720" w:lineRule="auto"/>
        <w:ind w:left="2891" w:hanging="2891" w:hangingChars="800"/>
        <w:textAlignment w:val="baseline"/>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海东市平安区城市管理综合执法局</w:t>
      </w:r>
      <w:r>
        <w:rPr>
          <w:rFonts w:hint="eastAsia" w:ascii="宋体" w:hAnsi="宋体" w:eastAsia="宋体" w:cs="宋体"/>
          <w:b/>
          <w:color w:val="auto"/>
          <w:sz w:val="36"/>
          <w:szCs w:val="36"/>
          <w:lang w:val="en-US" w:eastAsia="zh-CN"/>
        </w:rPr>
        <w:t>LED显示屏采购安装项目</w:t>
      </w: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海东市平安区城市管理综合执法局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201</w:t>
      </w:r>
      <w:r>
        <w:rPr>
          <w:rFonts w:hint="eastAsia" w:ascii="宋体" w:hAnsi="宋体" w:eastAsia="宋体" w:cs="宋体"/>
          <w:b/>
          <w:bCs/>
          <w:color w:val="auto"/>
          <w:sz w:val="36"/>
          <w:szCs w:val="36"/>
          <w:lang w:val="en-US" w:eastAsia="zh-CN"/>
        </w:rPr>
        <w:t>9</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8</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3"/>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7"/>
        <w:spacing w:before="0" w:after="0" w:line="360" w:lineRule="auto"/>
        <w:ind w:firstLine="0" w:firstLineChars="0"/>
        <w:rPr>
          <w:rFonts w:hint="eastAsia" w:ascii="宋体" w:hAnsi="宋体" w:eastAsia="宋体" w:cs="宋体"/>
          <w:color w:val="auto"/>
          <w:szCs w:val="36"/>
        </w:rPr>
      </w:pPr>
      <w:bookmarkStart w:id="0" w:name="_Toc27517"/>
      <w:bookmarkStart w:id="1" w:name="_Toc10494"/>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10"/>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海东市平安区政府采购服务中心（以下均简称“采购代理机构”）受海东市平安区城市管理综合执法局（以下均简称“采购人”）委托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海东市平安区城市管理综合执法局LED显示屏采购安装项目</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8"/>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平财采字（竞磋货物）2019-96号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海东市平安区城市管理综合执法局LED显示屏采购安装项目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110.4944万元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4"/>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29</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2019年9</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0-12:00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下午2:30-</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w:t>
            </w:r>
            <w:r>
              <w:rPr>
                <w:rFonts w:hint="eastAsia" w:ascii="宋体" w:hAnsi="宋体" w:cs="宋体"/>
                <w:sz w:val="24"/>
                <w:szCs w:val="20"/>
                <w:lang w:val="zh-CN" w:eastAsia="zh-CN" w:bidi="ar-SA"/>
              </w:rPr>
              <w:t>海东市平安区城市管理综合执法局</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沈先生</w:t>
            </w:r>
            <w:r>
              <w:rPr>
                <w:rFonts w:hint="eastAsia" w:ascii="宋体" w:hAnsi="宋体" w:cs="宋体" w:eastAsiaTheme="minorEastAsia"/>
                <w:sz w:val="24"/>
                <w:szCs w:val="20"/>
                <w:lang w:val="zh-CN" w:eastAsia="zh-CN" w:bidi="ar-SA"/>
              </w:rPr>
              <w:t xml:space="preserve">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17797068059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2"/>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2"/>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t>本公告在《青海政府采购网》发布</w:t>
            </w:r>
            <w:r>
              <w:rPr>
                <w:rFonts w:hint="eastAsia" w:ascii="宋体" w:hAnsi="宋体" w:eastAsia="宋体" w:cs="宋体"/>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2019年8月</w:t>
      </w:r>
      <w:r>
        <w:rPr>
          <w:rFonts w:hint="eastAsia" w:ascii="宋体" w:hAnsi="宋体" w:eastAsia="宋体" w:cs="宋体"/>
          <w:color w:val="000000" w:themeColor="text1"/>
          <w:sz w:val="24"/>
          <w:szCs w:val="24"/>
          <w:lang w:val="en-US" w:eastAsia="zh-CN"/>
          <w14:textFill>
            <w14:solidFill>
              <w14:schemeClr w14:val="tx1"/>
            </w14:solidFill>
          </w14:textFill>
        </w:rPr>
        <w:t>29</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17"/>
        <w:spacing w:before="0" w:after="0" w:line="360" w:lineRule="auto"/>
        <w:ind w:firstLine="0" w:firstLineChars="0"/>
        <w:rPr>
          <w:rFonts w:hint="eastAsia" w:ascii="宋体" w:hAnsi="宋体" w:eastAsia="宋体" w:cs="宋体"/>
          <w:color w:val="auto"/>
          <w:lang w:val="zh-CN"/>
        </w:rPr>
      </w:pPr>
      <w:bookmarkStart w:id="2" w:name="_Toc19487"/>
      <w:bookmarkStart w:id="3" w:name="_Toc3201"/>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8"/>
        <w:tblW w:w="10205" w:type="dxa"/>
        <w:jc w:val="center"/>
        <w:tblInd w:w="0" w:type="dxa"/>
        <w:tblLayout w:type="fixed"/>
        <w:tblCellMar>
          <w:top w:w="0" w:type="dxa"/>
          <w:left w:w="57" w:type="dxa"/>
          <w:bottom w:w="0" w:type="dxa"/>
          <w:right w:w="57" w:type="dxa"/>
        </w:tblCellMar>
      </w:tblPr>
      <w:tblGrid>
        <w:gridCol w:w="653"/>
        <w:gridCol w:w="2530"/>
        <w:gridCol w:w="7022"/>
      </w:tblGrid>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平财采字（竞磋货物）2019-96号</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海东市平安区城市管理综合执法局LED显示屏采购安装项目</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海东市平安区城市管理综合执法局</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110.4944万元</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000000" w:themeColor="text1"/>
                <w:sz w:val="24"/>
                <w:lang w:val="zh-CN"/>
                <w14:textFill>
                  <w14:solidFill>
                    <w14:schemeClr w14:val="tx1"/>
                  </w14:solidFill>
                </w14:textFill>
              </w:rPr>
            </w:pPr>
            <w:r>
              <w:rPr>
                <w:rFonts w:hint="eastAsia" w:ascii="宋体" w:hAnsi="宋体" w:eastAsia="宋体" w:cs="宋体"/>
                <w:b/>
                <w:bCs/>
                <w:color w:val="000000" w:themeColor="text1"/>
                <w:sz w:val="24"/>
                <w:lang w:val="zh-CN"/>
                <w14:textFill>
                  <w14:solidFill>
                    <w14:schemeClr w14:val="tx1"/>
                  </w14:solidFill>
                </w14:textFill>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磋商保证金：</w:t>
            </w:r>
            <w:r>
              <w:rPr>
                <w:rFonts w:hint="eastAsia" w:ascii="宋体" w:hAnsi="宋体" w:eastAsia="宋体" w:cs="宋体"/>
                <w:color w:val="000000" w:themeColor="text1"/>
                <w:sz w:val="24"/>
                <w:u w:val="single"/>
                <w:lang w:val="en-US" w:eastAsia="zh-CN"/>
                <w14:textFill>
                  <w14:solidFill>
                    <w14:schemeClr w14:val="tx1"/>
                  </w14:solidFill>
                </w14:textFill>
              </w:rPr>
              <w:t>20000元。</w:t>
            </w:r>
          </w:p>
          <w:p>
            <w:pPr>
              <w:autoSpaceDE w:val="0"/>
              <w:autoSpaceDN w:val="0"/>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收款单位：</w:t>
            </w:r>
            <w:r>
              <w:rPr>
                <w:rFonts w:hint="eastAsia" w:ascii="宋体" w:hAnsi="宋体" w:eastAsia="宋体" w:cs="宋体"/>
                <w:color w:val="000000" w:themeColor="text1"/>
                <w:sz w:val="24"/>
                <w:szCs w:val="24"/>
                <w:lang w:val="zh-CN"/>
                <w14:textFill>
                  <w14:solidFill>
                    <w14:schemeClr w14:val="tx1"/>
                  </w14:solidFill>
                </w14:textFill>
              </w:rPr>
              <w:t>海东市平安区城市管理综合执法局</w:t>
            </w:r>
          </w:p>
          <w:p>
            <w:pPr>
              <w:autoSpaceDE w:val="0"/>
              <w:autoSpaceDN w:val="0"/>
              <w:spacing w:line="360" w:lineRule="auto"/>
              <w:ind w:firstLine="0" w:firstLineChars="0"/>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开 户 行：</w:t>
            </w:r>
            <w:r>
              <w:rPr>
                <w:rFonts w:hint="eastAsia" w:ascii="宋体" w:hAnsi="宋体" w:eastAsia="宋体" w:cs="宋体"/>
                <w:color w:val="000000" w:themeColor="text1"/>
                <w:sz w:val="24"/>
                <w:lang w:val="zh-CN" w:eastAsia="zh-CN"/>
                <w14:textFill>
                  <w14:solidFill>
                    <w14:schemeClr w14:val="tx1"/>
                  </w14:solidFill>
                </w14:textFill>
              </w:rPr>
              <w:t>中国银行股份有限公司海东分行</w:t>
            </w:r>
          </w:p>
          <w:p>
            <w:pPr>
              <w:autoSpaceDE w:val="0"/>
              <w:autoSpaceDN w:val="0"/>
              <w:spacing w:line="360" w:lineRule="auto"/>
              <w:ind w:firstLine="0" w:firstLineChars="0"/>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银行账号：</w:t>
            </w:r>
            <w:r>
              <w:rPr>
                <w:rFonts w:hint="eastAsia" w:ascii="宋体" w:hAnsi="宋体" w:eastAsia="宋体" w:cs="宋体"/>
                <w:color w:val="000000" w:themeColor="text1"/>
                <w:sz w:val="24"/>
                <w:lang w:val="en-US" w:eastAsia="zh-CN"/>
                <w14:textFill>
                  <w14:solidFill>
                    <w14:schemeClr w14:val="tx1"/>
                  </w14:solidFill>
                </w14:textFill>
              </w:rPr>
              <w:t>105002057529</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Layout w:type="fixed"/>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single"/>
                <w:lang w:val="en-US" w:eastAsia="zh-CN"/>
              </w:rPr>
              <w:t>30</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376936728"/>
      <w:bookmarkStart w:id="7" w:name="_Toc24622"/>
      <w:bookmarkStart w:id="8" w:name="_Toc14943"/>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26944"/>
      <w:bookmarkStart w:id="10" w:name="_Toc376936729"/>
      <w:bookmarkStart w:id="11" w:name="_Toc325725998"/>
      <w:bookmarkStart w:id="12" w:name="_Toc9770"/>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325725999"/>
      <w:bookmarkStart w:id="14" w:name="_Toc376936730"/>
      <w:bookmarkStart w:id="15" w:name="_Toc21998"/>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(7)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10649"/>
      <w:bookmarkStart w:id="25" w:name="_Toc376936733"/>
      <w:bookmarkStart w:id="26" w:name="_Toc14153"/>
      <w:bookmarkStart w:id="27" w:name="_Toc325726002"/>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26515"/>
      <w:bookmarkStart w:id="33" w:name="_Toc325726004"/>
      <w:bookmarkStart w:id="34" w:name="_Toc376936735"/>
      <w:bookmarkStart w:id="35" w:name="_Toc13050"/>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25726005"/>
      <w:bookmarkStart w:id="37" w:name="_Toc23340"/>
      <w:bookmarkStart w:id="38" w:name="_Toc376936736"/>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9674"/>
      <w:bookmarkStart w:id="40" w:name="_Toc325726006"/>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21569"/>
      <w:bookmarkStart w:id="44" w:name="_Toc325726012"/>
      <w:bookmarkStart w:id="45" w:name="_Toc376936743"/>
      <w:bookmarkStart w:id="46" w:name="_Toc1709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2"/>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2"/>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12"/>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325726016"/>
      <w:bookmarkStart w:id="64" w:name="_Toc23823"/>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2"/>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2"/>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201</w:t>
      </w:r>
      <w:r>
        <w:rPr>
          <w:rFonts w:hint="eastAsia" w:hAnsi="宋体" w:eastAsia="宋体" w:cs="宋体"/>
          <w:color w:val="000000" w:themeColor="text1"/>
          <w:sz w:val="24"/>
          <w:szCs w:val="24"/>
          <w:lang w:val="en-US" w:eastAsia="zh-CN"/>
          <w14:textFill>
            <w14:solidFill>
              <w14:schemeClr w14:val="tx1"/>
            </w14:solidFill>
          </w14:textFill>
        </w:rPr>
        <w:t>9</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9</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12</w:t>
      </w:r>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2"/>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25726017"/>
      <w:bookmarkStart w:id="69" w:name="_Toc373392583"/>
      <w:bookmarkStart w:id="70" w:name="_Toc412617732"/>
      <w:bookmarkStart w:id="71" w:name="_Toc30756"/>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76936752"/>
      <w:bookmarkStart w:id="84" w:name="_Toc18107"/>
      <w:bookmarkStart w:id="85" w:name="_Toc325726021"/>
      <w:bookmarkStart w:id="86" w:name="_Toc19030"/>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26121"/>
      <w:bookmarkStart w:id="88" w:name="_Toc16935"/>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325726023"/>
      <w:bookmarkStart w:id="92" w:name="_Toc376936754"/>
      <w:bookmarkStart w:id="93" w:name="_Toc14694"/>
      <w:bookmarkStart w:id="94" w:name="_Toc27086"/>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20611"/>
      <w:bookmarkStart w:id="96" w:name="_Toc13668"/>
      <w:bookmarkStart w:id="97" w:name="_Toc376936755"/>
      <w:bookmarkStart w:id="98" w:name="_Toc325726024"/>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8"/>
        <w:tblW w:w="1020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6"/>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完为止。（此项评分以产品彩页</w:t>
            </w:r>
            <w:r>
              <w:rPr>
                <w:rFonts w:hint="eastAsia" w:ascii="宋体" w:hAnsi="宋体" w:eastAsia="宋体" w:cs="宋体"/>
                <w:color w:val="000000" w:themeColor="text1"/>
                <w:sz w:val="24"/>
                <w:szCs w:val="24"/>
                <w:lang w:eastAsia="zh-CN"/>
                <w14:textFill>
                  <w14:solidFill>
                    <w14:schemeClr w14:val="tx1"/>
                  </w14:solidFill>
                </w14:textFill>
              </w:rPr>
              <w:t>或彩色图片、</w:t>
            </w:r>
            <w:r>
              <w:rPr>
                <w:rFonts w:hint="eastAsia" w:ascii="宋体" w:hAnsi="宋体" w:eastAsia="宋体" w:cs="宋体"/>
                <w:color w:val="000000" w:themeColor="text1"/>
                <w:sz w:val="24"/>
                <w:szCs w:val="24"/>
                <w14:textFill>
                  <w14:solidFill>
                    <w14:schemeClr w14:val="tx1"/>
                  </w14:solidFill>
                </w14:textFill>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5556"/>
      <w:bookmarkStart w:id="114" w:name="_Toc18063"/>
      <w:bookmarkStart w:id="115" w:name="_Toc376936758"/>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325726029"/>
      <w:bookmarkStart w:id="117" w:name="_Toc921"/>
      <w:bookmarkStart w:id="118" w:name="_Toc376936760"/>
      <w:bookmarkStart w:id="119" w:name="_Toc28394"/>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10"/>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海东市平安区城市管理综合执法局LED显示屏采购安装项目</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96</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8"/>
        <w:tblW w:w="10205" w:type="dxa"/>
        <w:jc w:val="center"/>
        <w:tblInd w:w="-252" w:type="dxa"/>
        <w:tblLayout w:type="fixed"/>
        <w:tblCellMar>
          <w:top w:w="0" w:type="dxa"/>
          <w:left w:w="57" w:type="dxa"/>
          <w:bottom w:w="0" w:type="dxa"/>
          <w:right w:w="57" w:type="dxa"/>
        </w:tblCellMar>
      </w:tblPr>
      <w:tblGrid>
        <w:gridCol w:w="812"/>
        <w:gridCol w:w="2191"/>
        <w:gridCol w:w="2940"/>
        <w:gridCol w:w="1125"/>
        <w:gridCol w:w="1065"/>
        <w:gridCol w:w="1095"/>
        <w:gridCol w:w="977"/>
      </w:tblGrid>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合同签订后30个日历日交付使用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96</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8"/>
        <w:tblW w:w="827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8277" w:type="dxa"/>
            <w:gridSpan w:val="2"/>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8"/>
        <w:tblW w:w="10205" w:type="dxa"/>
        <w:jc w:val="center"/>
        <w:tblInd w:w="0" w:type="dxa"/>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Layout w:type="fixed"/>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3693"/>
      <w:bookmarkStart w:id="151" w:name="_Toc14675"/>
      <w:r>
        <w:rPr>
          <w:rFonts w:hint="eastAsia" w:ascii="宋体" w:hAnsi="宋体" w:eastAsia="宋体" w:cs="宋体"/>
          <w:b/>
          <w:bCs/>
          <w:color w:val="auto"/>
          <w:sz w:val="24"/>
          <w:szCs w:val="24"/>
          <w:lang w:val="zh-CN"/>
        </w:rPr>
        <w:t>技术规格响应表</w:t>
      </w:r>
    </w:p>
    <w:p>
      <w:pPr>
        <w:autoSpaceDE w:val="0"/>
        <w:autoSpaceDN w:val="0"/>
        <w:spacing w:line="360" w:lineRule="auto"/>
        <w:ind w:left="0" w:leftChars="0" w:firstLine="0" w:firstLineChars="0"/>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8"/>
        <w:tblW w:w="8617" w:type="dxa"/>
        <w:jc w:val="center"/>
        <w:tblInd w:w="0" w:type="dxa"/>
        <w:tblLayout w:type="fixed"/>
        <w:tblCellMar>
          <w:top w:w="0" w:type="dxa"/>
          <w:left w:w="28" w:type="dxa"/>
          <w:bottom w:w="0" w:type="dxa"/>
          <w:right w:w="28" w:type="dxa"/>
        </w:tblCellMar>
      </w:tblPr>
      <w:tblGrid>
        <w:gridCol w:w="616"/>
        <w:gridCol w:w="1233"/>
        <w:gridCol w:w="2378"/>
        <w:gridCol w:w="1247"/>
        <w:gridCol w:w="2467"/>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彩页等证明材料的实质性响应情况相一致。若在评标环节发现该项与响应文件中提供的产品检测报告、生产厂家产品彩页（或厂家公开发布的资料参数）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平财采字（竞磋货物）2019-96号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2018年度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bookmarkStart w:id="184" w:name="_GoBack"/>
      <w:bookmarkEnd w:id="184"/>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val="zh-CN" w:eastAsia="zh-CN"/>
        </w:rPr>
        <w:t>海东市平安区城市管理综合执法局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w:t>
      </w:r>
      <w:r>
        <w:rPr>
          <w:rFonts w:hint="eastAsia" w:ascii="宋体" w:hAnsi="宋体"/>
          <w:u w:val="single"/>
          <w:lang w:val="en-US" w:eastAsia="zh-CN"/>
        </w:rPr>
        <w:t>96</w:t>
      </w:r>
      <w:r>
        <w:rPr>
          <w:rFonts w:hint="eastAsia" w:ascii="宋体" w:hAnsi="宋体"/>
          <w:u w:val="single"/>
          <w:lang w:eastAsia="zh-CN"/>
        </w:rPr>
        <w:t>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2019</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pStyle w:val="2"/>
        <w:ind w:firstLine="1084" w:firstLineChars="300"/>
        <w:rPr>
          <w:rFonts w:hint="eastAsia" w:ascii="宋体" w:hAnsi="宋体" w:eastAsia="宋体" w:cs="宋体"/>
          <w:b/>
          <w:color w:val="auto"/>
          <w:kern w:val="28"/>
          <w:sz w:val="36"/>
          <w:szCs w:val="20"/>
          <w:lang w:eastAsia="zh-CN"/>
        </w:rPr>
      </w:pPr>
      <w:r>
        <w:rPr>
          <w:rFonts w:hint="eastAsia" w:ascii="宋体" w:hAnsi="宋体" w:eastAsia="宋体" w:cs="宋体"/>
          <w:b/>
          <w:color w:val="auto"/>
          <w:kern w:val="28"/>
          <w:sz w:val="36"/>
          <w:szCs w:val="20"/>
          <w:lang w:eastAsia="zh-CN"/>
        </w:rPr>
        <w:t>第六部分</w:t>
      </w:r>
      <w:r>
        <w:rPr>
          <w:rFonts w:hint="eastAsia" w:ascii="宋体" w:hAnsi="宋体" w:eastAsia="宋体" w:cs="宋体"/>
          <w:b/>
          <w:color w:val="auto"/>
          <w:kern w:val="28"/>
          <w:sz w:val="36"/>
          <w:szCs w:val="20"/>
          <w:lang w:val="en-US" w:eastAsia="zh-CN"/>
        </w:rPr>
        <w:t xml:space="preserve">   </w:t>
      </w:r>
      <w:r>
        <w:rPr>
          <w:rFonts w:hint="eastAsia" w:ascii="宋体" w:hAnsi="宋体" w:eastAsia="宋体" w:cs="宋体"/>
          <w:b/>
          <w:color w:val="auto"/>
          <w:kern w:val="28"/>
          <w:sz w:val="36"/>
          <w:szCs w:val="20"/>
          <w:lang w:eastAsia="zh-CN"/>
        </w:rPr>
        <w:t>采购项目清单及技术参数</w:t>
      </w:r>
    </w:p>
    <w:tbl>
      <w:tblPr>
        <w:tblStyle w:val="18"/>
        <w:tblpPr w:leftFromText="180" w:rightFromText="180" w:horzAnchor="page" w:tblpX="1282" w:tblpY="-53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079"/>
        <w:gridCol w:w="6468"/>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6"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1</w:t>
            </w:r>
          </w:p>
        </w:tc>
        <w:tc>
          <w:tcPr>
            <w:tcW w:w="1079"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sz w:val="18"/>
                <w:szCs w:val="18"/>
              </w:rPr>
            </w:pPr>
            <w:r>
              <w:rPr>
                <w:rFonts w:hint="eastAsia" w:ascii="宋体" w:hAnsi="宋体"/>
                <w:sz w:val="18"/>
                <w:szCs w:val="18"/>
              </w:rPr>
              <w:t>室外全彩屏</w:t>
            </w:r>
          </w:p>
        </w:tc>
        <w:tc>
          <w:tcPr>
            <w:tcW w:w="6468"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宋体" w:hAnsi="宋体"/>
                <w:color w:val="000000"/>
                <w:sz w:val="18"/>
                <w:szCs w:val="18"/>
              </w:rPr>
            </w:pPr>
            <w:r>
              <w:rPr>
                <w:rFonts w:hint="eastAsia" w:ascii="宋体" w:hAnsi="宋体"/>
                <w:color w:val="000000"/>
                <w:sz w:val="18"/>
                <w:szCs w:val="18"/>
              </w:rPr>
              <w:t>1.点间距：≤5mm；</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2.LED灯管：封装方式：SMD2525表贴三合一；</w:t>
            </w:r>
          </w:p>
          <w:p>
            <w:pPr>
              <w:pStyle w:val="37"/>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3.显示屏尺寸为：宽≥8米*高≥4米；宽≥9米*高≥4.5米；宽≥8米*高≥4米；宽≥4.6米*高≥3米；报价方根据自身产品尺寸进行拼接，设计显示尺寸长宽均不得小于规定尺寸。总面积偏差≤5%；</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5.亮度：校正后亮度不低于4500cd/㎡。（0-100%无极可调）；</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 xml:space="preserve">6.亮度调节：256级手动/自动，    </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7.视角:水平≥140°、垂直≥120°；</w:t>
            </w:r>
          </w:p>
          <w:p>
            <w:pPr>
              <w:pStyle w:val="2"/>
              <w:ind w:firstLine="0" w:firstLineChars="0"/>
              <w:rPr>
                <w:rFonts w:hint="eastAsia"/>
                <w:color w:val="000000"/>
              </w:rPr>
            </w:pPr>
            <w:r>
              <w:rPr>
                <w:rFonts w:hint="eastAsia" w:ascii="宋体" w:hAnsi="宋体"/>
                <w:color w:val="000000"/>
              </w:rPr>
              <w:t>8.使用寿命：≥10万小时，衰减率（工作三年）：≤15%</w:t>
            </w:r>
          </w:p>
          <w:p>
            <w:pPr>
              <w:widowControl/>
              <w:spacing w:line="300" w:lineRule="exact"/>
              <w:ind w:firstLine="0" w:firstLineChars="0"/>
              <w:rPr>
                <w:rFonts w:ascii="宋体" w:hAnsi="宋体"/>
                <w:color w:val="000000"/>
                <w:sz w:val="18"/>
                <w:szCs w:val="18"/>
              </w:rPr>
            </w:pPr>
            <w:r>
              <w:rPr>
                <w:rFonts w:hint="eastAsia" w:ascii="宋体" w:hAnsi="宋体"/>
                <w:color w:val="000000"/>
                <w:sz w:val="18"/>
                <w:szCs w:val="18"/>
              </w:rPr>
              <w:t>9.亮度均匀性:≥95%；</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10.对比度:≥5000：1；</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11.刷新率:≥1920Hz；</w:t>
            </w:r>
          </w:p>
          <w:p>
            <w:pPr>
              <w:pStyle w:val="2"/>
              <w:ind w:firstLine="0" w:firstLineChars="0"/>
              <w:rPr>
                <w:rFonts w:hint="eastAsia"/>
                <w:color w:val="000000"/>
              </w:rPr>
            </w:pPr>
            <w:r>
              <w:rPr>
                <w:rFonts w:hint="eastAsia" w:ascii="宋体" w:hAnsi="宋体"/>
                <w:color w:val="000000"/>
              </w:rPr>
              <w:t>12.换帧频率：≥60帧/秒</w:t>
            </w:r>
          </w:p>
          <w:p>
            <w:pPr>
              <w:widowControl/>
              <w:spacing w:line="300" w:lineRule="exact"/>
              <w:ind w:firstLine="0" w:firstLineChars="0"/>
              <w:rPr>
                <w:rFonts w:ascii="宋体" w:hAnsi="宋体"/>
                <w:color w:val="000000"/>
                <w:sz w:val="18"/>
                <w:szCs w:val="18"/>
              </w:rPr>
            </w:pPr>
            <w:r>
              <w:rPr>
                <w:rFonts w:hint="eastAsia" w:ascii="宋体" w:hAnsi="宋体"/>
                <w:color w:val="000000"/>
                <w:sz w:val="18"/>
                <w:szCs w:val="18"/>
              </w:rPr>
              <w:t>12.灰度: 100%亮度时，16bit；20%亮度时，12bit；</w:t>
            </w:r>
          </w:p>
          <w:p>
            <w:pPr>
              <w:widowControl/>
              <w:spacing w:line="300" w:lineRule="exact"/>
              <w:ind w:firstLine="0" w:firstLineChars="0"/>
              <w:rPr>
                <w:rFonts w:hint="eastAsia" w:ascii="宋体" w:hAnsi="宋体"/>
                <w:color w:val="000000"/>
                <w:sz w:val="18"/>
                <w:szCs w:val="18"/>
              </w:rPr>
            </w:pPr>
            <w:r>
              <w:rPr>
                <w:rFonts w:hint="eastAsia" w:ascii="宋体" w:hAnsi="宋体"/>
                <w:color w:val="000000"/>
                <w:sz w:val="18"/>
                <w:szCs w:val="18"/>
              </w:rPr>
              <w:t>13.峰值功耗:≤626W/㎡；平均功耗：≤220W/㎡</w:t>
            </w:r>
          </w:p>
          <w:p>
            <w:pPr>
              <w:pStyle w:val="2"/>
              <w:ind w:firstLine="0" w:firstLineChars="0"/>
              <w:rPr>
                <w:rFonts w:hint="eastAsia" w:ascii="宋体" w:hAnsi="宋体"/>
                <w:color w:val="000000"/>
              </w:rPr>
            </w:pPr>
            <w:r>
              <w:rPr>
                <w:rFonts w:hint="eastAsia" w:ascii="宋体" w:hAnsi="宋体"/>
                <w:color w:val="000000"/>
              </w:rPr>
              <w:t>14.模组平整度:≤0.2mm；</w:t>
            </w:r>
          </w:p>
          <w:p>
            <w:pPr>
              <w:pStyle w:val="2"/>
              <w:ind w:firstLine="0" w:firstLineChars="0"/>
              <w:rPr>
                <w:rFonts w:ascii="宋体" w:hAnsi="宋体"/>
                <w:color w:val="000000"/>
              </w:rPr>
            </w:pPr>
            <w:r>
              <w:rPr>
                <w:rFonts w:hint="eastAsia" w:ascii="宋体" w:hAnsi="宋体"/>
                <w:color w:val="000000"/>
              </w:rPr>
              <w:t>15.投标产品需提供产品彩页（规格书）；提供低温启动实验检测报告、高低温循环检测报告、高温负荷实验检测报告、恒定温湿试验检测报告、实验冲击检测报告、盐雾试验检测报告、阻燃等级达到符合要求V-0（所有检测报告须提供权威机构认证，并提供证明）</w:t>
            </w:r>
          </w:p>
        </w:tc>
        <w:tc>
          <w:tcPr>
            <w:tcW w:w="1680" w:type="dxa"/>
            <w:tcBorders>
              <w:top w:val="single" w:color="auto" w:sz="4" w:space="0"/>
              <w:left w:val="nil"/>
              <w:bottom w:val="single" w:color="auto" w:sz="4" w:space="0"/>
              <w:right w:val="single" w:color="auto" w:sz="4" w:space="0"/>
            </w:tcBorders>
            <w:vAlign w:val="center"/>
          </w:tcPr>
          <w:p>
            <w:pPr>
              <w:pStyle w:val="16"/>
              <w:ind w:firstLine="0" w:firstLineChars="0"/>
              <w:jc w:val="both"/>
              <w:rPr>
                <w:rFonts w:cs="Times New Roman"/>
                <w:color w:val="000000"/>
                <w:sz w:val="18"/>
                <w:szCs w:val="18"/>
              </w:rPr>
            </w:pPr>
            <w:r>
              <w:rPr>
                <w:rFonts w:hint="eastAsia" w:cs="Times New Roman"/>
                <w:color w:val="000000"/>
                <w:sz w:val="18"/>
                <w:szCs w:val="18"/>
              </w:rPr>
              <w:t>宽≥8米*高≥4米；整屏面积≥32㎡</w:t>
            </w:r>
          </w:p>
          <w:p>
            <w:pPr>
              <w:pStyle w:val="16"/>
              <w:ind w:firstLine="360"/>
              <w:jc w:val="center"/>
              <w:rPr>
                <w:rFonts w:hint="eastAsia" w:cs="Times New Roman"/>
                <w:color w:val="000000"/>
                <w:sz w:val="18"/>
                <w:szCs w:val="18"/>
              </w:rPr>
            </w:pPr>
            <w:r>
              <w:rPr>
                <w:rFonts w:hint="eastAsia" w:cs="Times New Roman"/>
                <w:color w:val="000000"/>
                <w:sz w:val="18"/>
                <w:szCs w:val="18"/>
              </w:rPr>
              <w:t>宽≥9米*高≥4.5米；</w:t>
            </w:r>
          </w:p>
          <w:p>
            <w:pPr>
              <w:pStyle w:val="16"/>
              <w:ind w:firstLine="0" w:firstLineChars="0"/>
              <w:jc w:val="both"/>
              <w:rPr>
                <w:rFonts w:hint="eastAsia" w:cs="Times New Roman"/>
                <w:color w:val="000000"/>
                <w:sz w:val="18"/>
                <w:szCs w:val="18"/>
              </w:rPr>
            </w:pPr>
            <w:r>
              <w:rPr>
                <w:rFonts w:hint="eastAsia" w:cs="Times New Roman"/>
                <w:color w:val="000000"/>
                <w:sz w:val="18"/>
                <w:szCs w:val="18"/>
              </w:rPr>
              <w:t>整屏面积≥40.5㎡</w:t>
            </w:r>
          </w:p>
          <w:p>
            <w:pPr>
              <w:pStyle w:val="16"/>
              <w:ind w:firstLine="360"/>
              <w:jc w:val="center"/>
              <w:rPr>
                <w:rFonts w:hint="eastAsia" w:cs="Times New Roman"/>
                <w:color w:val="000000"/>
                <w:sz w:val="18"/>
                <w:szCs w:val="18"/>
              </w:rPr>
            </w:pPr>
            <w:r>
              <w:rPr>
                <w:rFonts w:hint="eastAsia" w:cs="Times New Roman"/>
                <w:color w:val="000000"/>
                <w:sz w:val="18"/>
                <w:szCs w:val="18"/>
              </w:rPr>
              <w:t>宽≥8米*高≥4米；</w:t>
            </w:r>
          </w:p>
          <w:p>
            <w:pPr>
              <w:pStyle w:val="16"/>
              <w:ind w:firstLine="0" w:firstLineChars="0"/>
              <w:jc w:val="both"/>
              <w:rPr>
                <w:rFonts w:hint="eastAsia" w:cs="Times New Roman"/>
                <w:color w:val="000000"/>
                <w:sz w:val="18"/>
                <w:szCs w:val="18"/>
              </w:rPr>
            </w:pPr>
            <w:r>
              <w:rPr>
                <w:rFonts w:hint="eastAsia" w:cs="Times New Roman"/>
                <w:color w:val="000000"/>
                <w:sz w:val="18"/>
                <w:szCs w:val="18"/>
              </w:rPr>
              <w:t>整屏面积≥32㎡</w:t>
            </w:r>
          </w:p>
          <w:p>
            <w:pPr>
              <w:pStyle w:val="16"/>
              <w:ind w:firstLine="360"/>
              <w:jc w:val="center"/>
              <w:rPr>
                <w:rFonts w:hint="eastAsia" w:cs="Times New Roman"/>
                <w:kern w:val="2"/>
                <w:sz w:val="18"/>
                <w:szCs w:val="18"/>
              </w:rPr>
            </w:pPr>
            <w:r>
              <w:rPr>
                <w:rFonts w:hint="eastAsia" w:cs="Times New Roman"/>
                <w:color w:val="000000"/>
                <w:sz w:val="18"/>
                <w:szCs w:val="18"/>
              </w:rPr>
              <w:t>宽≥5.6米*高≥3米</w:t>
            </w:r>
          </w:p>
          <w:p>
            <w:pPr>
              <w:pStyle w:val="16"/>
              <w:ind w:firstLine="360"/>
              <w:jc w:val="center"/>
              <w:rPr>
                <w:rFonts w:cs="Times New Roman"/>
                <w:kern w:val="2"/>
                <w:sz w:val="18"/>
                <w:szCs w:val="18"/>
              </w:rPr>
            </w:pPr>
            <w:r>
              <w:rPr>
                <w:rFonts w:hint="eastAsia" w:cs="Times New Roman"/>
                <w:color w:val="000000"/>
                <w:sz w:val="18"/>
                <w:szCs w:val="18"/>
              </w:rPr>
              <w:t>整屏面积≥16.8㎡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2</w:t>
            </w:r>
          </w:p>
        </w:tc>
        <w:tc>
          <w:tcPr>
            <w:tcW w:w="1079" w:type="dxa"/>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sz w:val="18"/>
                <w:szCs w:val="18"/>
              </w:rPr>
            </w:pPr>
            <w:r>
              <w:rPr>
                <w:rFonts w:hint="eastAsia" w:ascii="宋体" w:hAnsi="宋体"/>
                <w:color w:val="000000"/>
                <w:sz w:val="18"/>
                <w:szCs w:val="18"/>
              </w:rPr>
              <w:t>接收卡</w:t>
            </w:r>
          </w:p>
        </w:tc>
        <w:tc>
          <w:tcPr>
            <w:tcW w:w="6468" w:type="dxa"/>
            <w:tcBorders>
              <w:top w:val="single" w:color="auto" w:sz="4" w:space="0"/>
              <w:left w:val="nil"/>
              <w:bottom w:val="single" w:color="auto" w:sz="4" w:space="0"/>
              <w:right w:val="single" w:color="auto" w:sz="4" w:space="0"/>
            </w:tcBorders>
            <w:vAlign w:val="center"/>
          </w:tcPr>
          <w:p>
            <w:pPr>
              <w:ind w:firstLine="0" w:firstLineChars="0"/>
              <w:jc w:val="left"/>
              <w:rPr>
                <w:rFonts w:ascii="宋体" w:hAnsi="宋体"/>
                <w:color w:val="000000"/>
                <w:sz w:val="18"/>
                <w:szCs w:val="18"/>
              </w:rPr>
            </w:pPr>
            <w:r>
              <w:rPr>
                <w:rFonts w:hint="eastAsia" w:ascii="宋体" w:hAnsi="宋体"/>
                <w:color w:val="000000"/>
                <w:sz w:val="18"/>
                <w:szCs w:val="18"/>
              </w:rPr>
              <w:t>1.集成 12 个标准 HUB75 接口，免接 HUB；</w:t>
            </w:r>
          </w:p>
          <w:p>
            <w:pPr>
              <w:ind w:firstLine="0" w:firstLineChars="0"/>
              <w:jc w:val="left"/>
              <w:rPr>
                <w:rFonts w:hint="eastAsia" w:ascii="宋体" w:hAnsi="宋体"/>
                <w:color w:val="000000"/>
                <w:sz w:val="18"/>
                <w:szCs w:val="18"/>
              </w:rPr>
            </w:pPr>
            <w:r>
              <w:rPr>
                <w:rFonts w:hint="eastAsia" w:ascii="宋体" w:hAnsi="宋体"/>
                <w:color w:val="000000"/>
                <w:sz w:val="18"/>
                <w:szCs w:val="18"/>
              </w:rPr>
              <w:t>2.支持 32 扫；</w:t>
            </w:r>
          </w:p>
          <w:p>
            <w:pPr>
              <w:ind w:firstLine="0" w:firstLineChars="0"/>
              <w:jc w:val="left"/>
              <w:rPr>
                <w:rFonts w:hint="eastAsia" w:ascii="宋体" w:hAnsi="宋体"/>
                <w:color w:val="000000"/>
                <w:sz w:val="18"/>
                <w:szCs w:val="18"/>
              </w:rPr>
            </w:pPr>
            <w:r>
              <w:rPr>
                <w:rFonts w:hint="eastAsia" w:ascii="宋体" w:hAnsi="宋体"/>
                <w:color w:val="000000"/>
                <w:sz w:val="18"/>
                <w:szCs w:val="18"/>
              </w:rPr>
              <w:t>3.单卡输出 RGB 数据 24 组；</w:t>
            </w:r>
          </w:p>
          <w:p>
            <w:pPr>
              <w:ind w:firstLine="0" w:firstLineChars="0"/>
              <w:jc w:val="left"/>
              <w:rPr>
                <w:rFonts w:hint="eastAsia" w:ascii="宋体" w:hAnsi="宋体"/>
                <w:color w:val="000000"/>
                <w:sz w:val="18"/>
                <w:szCs w:val="18"/>
              </w:rPr>
            </w:pPr>
            <w:r>
              <w:rPr>
                <w:rFonts w:hint="eastAsia" w:ascii="宋体" w:hAnsi="宋体"/>
                <w:color w:val="000000"/>
                <w:sz w:val="18"/>
                <w:szCs w:val="18"/>
              </w:rPr>
              <w:t>4.单卡带载像素为 256×226；</w:t>
            </w:r>
          </w:p>
          <w:p>
            <w:pPr>
              <w:ind w:firstLine="0" w:firstLineChars="0"/>
              <w:jc w:val="left"/>
              <w:rPr>
                <w:rFonts w:hint="eastAsia" w:ascii="宋体" w:hAnsi="宋体"/>
                <w:color w:val="000000"/>
                <w:sz w:val="18"/>
                <w:szCs w:val="18"/>
              </w:rPr>
            </w:pPr>
            <w:r>
              <w:rPr>
                <w:rFonts w:hint="eastAsia" w:ascii="宋体" w:hAnsi="宋体"/>
                <w:color w:val="000000"/>
                <w:sz w:val="18"/>
                <w:szCs w:val="18"/>
              </w:rPr>
              <w:t>5.支持配置文件回读；</w:t>
            </w:r>
          </w:p>
          <w:p>
            <w:pPr>
              <w:ind w:firstLine="0" w:firstLineChars="0"/>
              <w:jc w:val="left"/>
              <w:rPr>
                <w:rFonts w:hint="eastAsia" w:ascii="宋体" w:hAnsi="宋体"/>
                <w:color w:val="000000"/>
                <w:sz w:val="18"/>
                <w:szCs w:val="18"/>
              </w:rPr>
            </w:pPr>
            <w:r>
              <w:rPr>
                <w:rFonts w:hint="eastAsia" w:ascii="宋体" w:hAnsi="宋体"/>
                <w:color w:val="000000"/>
                <w:sz w:val="18"/>
                <w:szCs w:val="18"/>
              </w:rPr>
              <w:t>6.支持温度监控；</w:t>
            </w:r>
          </w:p>
          <w:p>
            <w:pPr>
              <w:ind w:firstLine="0" w:firstLineChars="0"/>
              <w:jc w:val="left"/>
              <w:rPr>
                <w:rFonts w:hint="eastAsia" w:ascii="宋体" w:hAnsi="宋体"/>
                <w:color w:val="000000"/>
                <w:sz w:val="18"/>
                <w:szCs w:val="18"/>
              </w:rPr>
            </w:pPr>
            <w:r>
              <w:rPr>
                <w:rFonts w:hint="eastAsia" w:ascii="宋体" w:hAnsi="宋体"/>
                <w:color w:val="000000"/>
                <w:sz w:val="18"/>
                <w:szCs w:val="18"/>
              </w:rPr>
              <w:t>7.支持网线通讯状态检测；</w:t>
            </w:r>
          </w:p>
          <w:p>
            <w:pPr>
              <w:ind w:firstLine="0" w:firstLineChars="0"/>
              <w:jc w:val="left"/>
              <w:rPr>
                <w:rFonts w:hint="eastAsia" w:ascii="宋体" w:hAnsi="宋体"/>
                <w:color w:val="000000"/>
                <w:sz w:val="18"/>
                <w:szCs w:val="18"/>
              </w:rPr>
            </w:pPr>
            <w:r>
              <w:rPr>
                <w:rFonts w:hint="eastAsia" w:ascii="宋体" w:hAnsi="宋体"/>
                <w:color w:val="000000"/>
                <w:sz w:val="18"/>
                <w:szCs w:val="18"/>
              </w:rPr>
              <w:t>8.支持供电电压检测；</w:t>
            </w:r>
          </w:p>
          <w:p>
            <w:pPr>
              <w:ind w:firstLine="0" w:firstLineChars="0"/>
              <w:jc w:val="left"/>
              <w:rPr>
                <w:rFonts w:hint="eastAsia" w:ascii="宋体" w:hAnsi="宋体"/>
                <w:color w:val="000000"/>
                <w:sz w:val="18"/>
                <w:szCs w:val="18"/>
              </w:rPr>
            </w:pPr>
            <w:r>
              <w:rPr>
                <w:rFonts w:hint="eastAsia" w:ascii="宋体" w:hAnsi="宋体"/>
                <w:color w:val="000000"/>
                <w:sz w:val="18"/>
                <w:szCs w:val="18"/>
              </w:rPr>
              <w:t>9.支持高灰度高刷新；</w:t>
            </w:r>
          </w:p>
          <w:p>
            <w:pPr>
              <w:ind w:firstLine="0" w:firstLineChars="0"/>
              <w:jc w:val="left"/>
              <w:rPr>
                <w:rFonts w:hint="eastAsia" w:ascii="宋体" w:hAnsi="宋体"/>
                <w:color w:val="000000"/>
                <w:sz w:val="18"/>
                <w:szCs w:val="18"/>
              </w:rPr>
            </w:pPr>
            <w:r>
              <w:rPr>
                <w:rFonts w:hint="eastAsia" w:ascii="宋体" w:hAnsi="宋体"/>
                <w:color w:val="000000"/>
                <w:sz w:val="18"/>
                <w:szCs w:val="18"/>
              </w:rPr>
              <w:t>10.支持逐点亮色度校正；</w:t>
            </w:r>
          </w:p>
          <w:p>
            <w:pPr>
              <w:ind w:firstLine="0" w:firstLineChars="0"/>
              <w:jc w:val="left"/>
              <w:rPr>
                <w:rFonts w:hint="eastAsia" w:ascii="宋体" w:hAnsi="宋体"/>
                <w:color w:val="000000"/>
                <w:sz w:val="18"/>
                <w:szCs w:val="18"/>
              </w:rPr>
            </w:pPr>
            <w:r>
              <w:rPr>
                <w:rFonts w:hint="eastAsia" w:ascii="宋体" w:hAnsi="宋体"/>
                <w:color w:val="000000"/>
                <w:sz w:val="18"/>
                <w:szCs w:val="18"/>
              </w:rPr>
              <w:t>11.支持接收卡预存画面设置；</w:t>
            </w:r>
          </w:p>
          <w:p>
            <w:pPr>
              <w:spacing w:line="300" w:lineRule="exact"/>
              <w:ind w:firstLine="0" w:firstLineChars="0"/>
              <w:rPr>
                <w:rFonts w:ascii="宋体" w:hAnsi="宋体"/>
                <w:color w:val="000000"/>
                <w:sz w:val="18"/>
                <w:szCs w:val="18"/>
              </w:rPr>
            </w:pPr>
            <w:r>
              <w:rPr>
                <w:rFonts w:hint="eastAsia" w:ascii="宋体" w:hAnsi="宋体"/>
                <w:color w:val="000000"/>
                <w:sz w:val="18"/>
                <w:szCs w:val="18"/>
              </w:rPr>
              <w:t>12.符合欧盟 RoHs 标准。</w:t>
            </w:r>
          </w:p>
        </w:tc>
        <w:tc>
          <w:tcPr>
            <w:tcW w:w="1680" w:type="dxa"/>
            <w:tcBorders>
              <w:top w:val="single" w:color="auto" w:sz="4" w:space="0"/>
              <w:left w:val="nil"/>
              <w:bottom w:val="single" w:color="auto" w:sz="4" w:space="0"/>
              <w:right w:val="single" w:color="auto" w:sz="4" w:space="0"/>
            </w:tcBorders>
            <w:vAlign w:val="center"/>
          </w:tcPr>
          <w:p>
            <w:pPr>
              <w:pStyle w:val="16"/>
              <w:ind w:firstLine="360"/>
              <w:jc w:val="center"/>
              <w:rPr>
                <w:rFonts w:cs="Times New Roman"/>
                <w:kern w:val="2"/>
                <w:sz w:val="18"/>
                <w:szCs w:val="18"/>
              </w:rPr>
            </w:pPr>
            <w:r>
              <w:rPr>
                <w:rFonts w:hint="eastAsia" w:cs="Times New Roman"/>
                <w:kern w:val="2"/>
                <w:sz w:val="18"/>
                <w:szCs w:val="18"/>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3</w:t>
            </w:r>
          </w:p>
        </w:tc>
        <w:tc>
          <w:tcPr>
            <w:tcW w:w="1079" w:type="dxa"/>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sz w:val="18"/>
                <w:szCs w:val="18"/>
              </w:rPr>
            </w:pPr>
            <w:r>
              <w:rPr>
                <w:rFonts w:hint="eastAsia" w:ascii="宋体" w:hAnsi="宋体"/>
                <w:color w:val="000000"/>
                <w:sz w:val="18"/>
                <w:szCs w:val="18"/>
              </w:rPr>
              <w:t>视频处理器</w:t>
            </w:r>
          </w:p>
        </w:tc>
        <w:tc>
          <w:tcPr>
            <w:tcW w:w="6468" w:type="dxa"/>
            <w:tcBorders>
              <w:top w:val="single" w:color="auto" w:sz="4" w:space="0"/>
              <w:left w:val="nil"/>
              <w:bottom w:val="single" w:color="auto" w:sz="4" w:space="0"/>
              <w:right w:val="single" w:color="auto" w:sz="4" w:space="0"/>
            </w:tcBorders>
            <w:vAlign w:val="center"/>
          </w:tcPr>
          <w:p>
            <w:pPr>
              <w:numPr>
                <w:ilvl w:val="0"/>
                <w:numId w:val="3"/>
              </w:numPr>
              <w:ind w:firstLineChars="0"/>
              <w:jc w:val="left"/>
              <w:rPr>
                <w:rFonts w:ascii="宋体" w:hAnsi="宋体"/>
                <w:color w:val="000000"/>
                <w:sz w:val="18"/>
                <w:szCs w:val="18"/>
              </w:rPr>
            </w:pPr>
            <w:r>
              <w:rPr>
                <w:rFonts w:hint="eastAsia" w:ascii="宋体" w:hAnsi="宋体"/>
                <w:color w:val="000000"/>
                <w:sz w:val="18"/>
                <w:szCs w:val="18"/>
              </w:rPr>
              <w:t>具有完备的视频输入接口，包括 2 路 CVBS，1 路 VGA，1 路 DVI，1 路HDMI。部分接口支持的输入分辨率最高可达 1920×1200@60Hz；</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可根据显示屏分辨率对输入图像进行逐点缩放；</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视频源一键切换；</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提供无缝的快切和淡入淡出的切换效果，以增强并呈现专业品质的演示画面；</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画中画的位置、大小等均可调节，可以随心所欲的控制；</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采用 Nova G4 引擎，画面稳定无闪烁、无扫描线、图像细腻、层次感好；</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根据屏幕所用 LED 的不同特性，实施白平衡校准及色域匹配，确保真实色彩还原；</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HDMI 音频输入；外置独立音频输入；</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支持高位阶视频输入，10bit/8bit；</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视频输出带载能力：1280x1024、1440x900，（130 万像素）；</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支持 Nova 新一代逐点校正技术，校正过程快速高效；</w:t>
            </w:r>
          </w:p>
          <w:p>
            <w:pPr>
              <w:numPr>
                <w:ilvl w:val="0"/>
                <w:numId w:val="3"/>
              </w:numPr>
              <w:ind w:firstLineChars="0"/>
              <w:jc w:val="left"/>
              <w:rPr>
                <w:rFonts w:hint="eastAsia" w:ascii="宋体" w:hAnsi="宋体"/>
                <w:color w:val="000000"/>
                <w:sz w:val="18"/>
                <w:szCs w:val="18"/>
              </w:rPr>
            </w:pPr>
            <w:r>
              <w:rPr>
                <w:rFonts w:hint="eastAsia" w:ascii="宋体" w:hAnsi="宋体"/>
                <w:color w:val="000000"/>
                <w:sz w:val="18"/>
                <w:szCs w:val="18"/>
              </w:rPr>
              <w:t>V700 无须通过计算机软件进行系统配置，只需对一个旋钮和一个按钮进行操作即可完成系统配置；</w:t>
            </w:r>
          </w:p>
          <w:p>
            <w:pPr>
              <w:numPr>
                <w:ilvl w:val="0"/>
                <w:numId w:val="3"/>
              </w:numPr>
              <w:ind w:firstLineChars="0"/>
              <w:jc w:val="left"/>
              <w:rPr>
                <w:rFonts w:ascii="宋体" w:hAnsi="宋体"/>
                <w:color w:val="000000"/>
                <w:sz w:val="18"/>
                <w:szCs w:val="18"/>
              </w:rPr>
            </w:pPr>
            <w:r>
              <w:rPr>
                <w:rFonts w:hint="eastAsia" w:ascii="宋体" w:hAnsi="宋体"/>
                <w:color w:val="000000"/>
                <w:sz w:val="18"/>
                <w:szCs w:val="18"/>
              </w:rPr>
              <w:t>采用创新型架构，实现智能配置，屏幕调试可在数分钟内完成，极大缩短舞台准备时间；一个直观的 LCD 显示界面，清晰的按键灯提示，简化了系统的控制。</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color w:val="000000"/>
                <w:sz w:val="18"/>
                <w:szCs w:val="18"/>
              </w:rPr>
              <w:t>显示屏专用钢结构</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sz w:val="18"/>
                <w:szCs w:val="18"/>
              </w:rPr>
            </w:pPr>
            <w:r>
              <w:rPr>
                <w:rFonts w:hint="eastAsia" w:ascii="宋体" w:hAnsi="宋体"/>
                <w:color w:val="000000"/>
                <w:sz w:val="18"/>
                <w:szCs w:val="18"/>
              </w:rPr>
              <w:t>显示屏屏体钢结构焊接，钢材统一国标钢材，根据屏体结构承重配置钢材用量。包边采用防水铝塑板包边。</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5</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olor w:val="000000"/>
                <w:sz w:val="18"/>
                <w:szCs w:val="18"/>
              </w:rPr>
            </w:pPr>
            <w:r>
              <w:rPr>
                <w:rFonts w:hint="eastAsia" w:ascii="宋体" w:hAnsi="宋体"/>
                <w:color w:val="000000"/>
                <w:sz w:val="18"/>
                <w:szCs w:val="18"/>
              </w:rPr>
              <w:t>电源</w:t>
            </w:r>
          </w:p>
        </w:tc>
        <w:tc>
          <w:tcPr>
            <w:tcW w:w="6468" w:type="dxa"/>
            <w:tcBorders>
              <w:top w:val="single" w:color="auto" w:sz="4" w:space="0"/>
              <w:left w:val="nil"/>
              <w:bottom w:val="single" w:color="auto" w:sz="4" w:space="0"/>
              <w:right w:val="single" w:color="auto" w:sz="4" w:space="0"/>
            </w:tcBorders>
            <w:vAlign w:val="center"/>
          </w:tcPr>
          <w:p>
            <w:pPr>
              <w:widowControl/>
              <w:spacing w:after="160"/>
              <w:ind w:firstLine="0" w:firstLineChars="0"/>
              <w:rPr>
                <w:rFonts w:ascii="宋体"/>
                <w:color w:val="000000"/>
                <w:sz w:val="18"/>
                <w:szCs w:val="18"/>
              </w:rPr>
            </w:pPr>
            <w:r>
              <w:rPr>
                <w:rFonts w:hint="eastAsia" w:ascii="宋体" w:hAnsi="宋体"/>
                <w:color w:val="000000"/>
                <w:sz w:val="18"/>
                <w:szCs w:val="18"/>
              </w:rPr>
              <w:t>1.工作电源：AC220V±15％。</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2.平均功耗≤350W/m2，最大功耗≤750W/m2。</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3.直流控制电源输出波纹：不大于50mV；直流驱动电源输出波纹：不大于80mV。</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4.过流保护：额定输出的115％；</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5.过压保护：额定输出的120％；</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6.欠压保护：额定输出的 80％；</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7.具有短路保护。</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8.电源内置EMI滤波器。</w:t>
            </w:r>
          </w:p>
          <w:p>
            <w:pPr>
              <w:widowControl/>
              <w:spacing w:after="160"/>
              <w:ind w:firstLine="0" w:firstLineChars="0"/>
              <w:rPr>
                <w:rFonts w:hint="eastAsia" w:ascii="宋体"/>
                <w:color w:val="000000"/>
                <w:sz w:val="18"/>
                <w:szCs w:val="18"/>
              </w:rPr>
            </w:pPr>
            <w:r>
              <w:rPr>
                <w:rFonts w:hint="eastAsia" w:ascii="宋体" w:hAnsi="宋体"/>
                <w:color w:val="000000"/>
                <w:sz w:val="18"/>
                <w:szCs w:val="18"/>
              </w:rPr>
              <w:t>9.输入浪涌:冷态启动,40A/230VAC。</w:t>
            </w:r>
          </w:p>
          <w:p>
            <w:pPr>
              <w:widowControl/>
              <w:spacing w:after="160"/>
              <w:ind w:firstLine="0" w:firstLineChars="0"/>
              <w:rPr>
                <w:rFonts w:hint="eastAsia" w:ascii="宋体" w:hAnsi="宋体"/>
                <w:color w:val="000000"/>
                <w:sz w:val="18"/>
                <w:szCs w:val="18"/>
              </w:rPr>
            </w:pPr>
            <w:r>
              <w:rPr>
                <w:rFonts w:hint="eastAsia" w:ascii="宋体" w:hAnsi="宋体"/>
                <w:color w:val="000000"/>
                <w:sz w:val="18"/>
                <w:szCs w:val="18"/>
              </w:rPr>
              <w:t>10.输入频率:47-63Hz</w:t>
            </w:r>
          </w:p>
          <w:p>
            <w:pPr>
              <w:ind w:firstLine="0" w:firstLineChars="0"/>
              <w:rPr>
                <w:rFonts w:ascii="宋体" w:hAnsi="宋体"/>
                <w:color w:val="000000"/>
                <w:sz w:val="18"/>
                <w:szCs w:val="18"/>
              </w:rPr>
            </w:pPr>
            <w:r>
              <w:rPr>
                <w:rFonts w:hint="eastAsia" w:ascii="宋体" w:hAnsi="宋体"/>
                <w:color w:val="000000"/>
                <w:sz w:val="18"/>
                <w:szCs w:val="18"/>
              </w:rPr>
              <w:t>抗电强度:I/P-O/P,I/P-FG: 1.5KVAC,,O/P-FG:0.5KVAC,1 min</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610台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6</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电缆线</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sz w:val="18"/>
                <w:szCs w:val="18"/>
              </w:rPr>
            </w:pPr>
            <w:r>
              <w:rPr>
                <w:rFonts w:hint="eastAsia" w:ascii="宋体" w:hAnsi="宋体"/>
                <w:color w:val="000000"/>
                <w:sz w:val="18"/>
                <w:szCs w:val="18"/>
              </w:rPr>
              <w:t>16平方3+2（国标）</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7</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olor w:val="000000"/>
                <w:sz w:val="18"/>
                <w:szCs w:val="18"/>
              </w:rPr>
            </w:pPr>
            <w:r>
              <w:rPr>
                <w:rFonts w:hint="eastAsia" w:ascii="宋体" w:hAnsi="宋体"/>
                <w:sz w:val="18"/>
                <w:szCs w:val="18"/>
              </w:rPr>
              <w:t>网线及辅材</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sz w:val="18"/>
                <w:szCs w:val="18"/>
              </w:rPr>
            </w:pPr>
            <w:r>
              <w:rPr>
                <w:rFonts w:hint="eastAsia" w:ascii="宋体" w:hAnsi="宋体"/>
                <w:sz w:val="18"/>
                <w:szCs w:val="18"/>
              </w:rPr>
              <w:t>六类屏蔽双绞线、</w:t>
            </w:r>
            <w:r>
              <w:rPr>
                <w:rFonts w:hint="eastAsia" w:ascii="宋体" w:hAnsi="宋体"/>
                <w:color w:val="000000"/>
                <w:sz w:val="18"/>
                <w:szCs w:val="18"/>
              </w:rPr>
              <w:t>电源线、通讯线缆、</w:t>
            </w:r>
            <w:r>
              <w:rPr>
                <w:rFonts w:hint="eastAsia" w:ascii="宋体" w:hAnsi="宋体"/>
                <w:sz w:val="18"/>
                <w:szCs w:val="18"/>
              </w:rPr>
              <w:t>线槽等</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8</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音响功放</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sz w:val="18"/>
                <w:szCs w:val="18"/>
              </w:rPr>
            </w:pPr>
            <w:r>
              <w:rPr>
                <w:rFonts w:hint="eastAsia" w:ascii="宋体" w:hAnsi="宋体"/>
                <w:color w:val="000000"/>
                <w:sz w:val="18"/>
                <w:szCs w:val="18"/>
              </w:rPr>
              <w:t>防水音柱及功放4套；</w:t>
            </w:r>
            <w:r>
              <w:rPr>
                <w:rFonts w:hint="eastAsia" w:ascii="宋体" w:hAnsi="宋体"/>
                <w:sz w:val="18"/>
                <w:szCs w:val="18"/>
              </w:rPr>
              <w:t>音箱120W*8只；功放480W4台</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9</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立柱安装</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color w:val="000000"/>
                <w:sz w:val="18"/>
                <w:szCs w:val="18"/>
              </w:rPr>
            </w:pPr>
            <w:r>
              <w:rPr>
                <w:rFonts w:hint="eastAsia" w:ascii="宋体" w:hAnsi="宋体"/>
                <w:sz w:val="18"/>
                <w:szCs w:val="18"/>
              </w:rPr>
              <w:t>双立柱钢结构安装及混凝土预埋</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4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10</w:t>
            </w:r>
          </w:p>
        </w:tc>
        <w:tc>
          <w:tcPr>
            <w:tcW w:w="1079"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配电箱</w:t>
            </w:r>
          </w:p>
        </w:tc>
        <w:tc>
          <w:tcPr>
            <w:tcW w:w="6468" w:type="dxa"/>
            <w:tcBorders>
              <w:top w:val="single" w:color="auto" w:sz="4" w:space="0"/>
              <w:left w:val="nil"/>
              <w:bottom w:val="single" w:color="auto" w:sz="4" w:space="0"/>
              <w:right w:val="single" w:color="auto" w:sz="4" w:space="0"/>
            </w:tcBorders>
            <w:vAlign w:val="center"/>
          </w:tcPr>
          <w:p>
            <w:pPr>
              <w:ind w:firstLine="0" w:firstLineChars="0"/>
              <w:rPr>
                <w:rFonts w:ascii="宋体" w:hAnsi="宋体"/>
                <w:color w:val="000000"/>
                <w:sz w:val="18"/>
                <w:szCs w:val="18"/>
              </w:rPr>
            </w:pPr>
            <w:r>
              <w:rPr>
                <w:rFonts w:hint="eastAsia" w:ascii="宋体" w:hAnsi="宋体"/>
                <w:color w:val="000000"/>
                <w:sz w:val="18"/>
                <w:szCs w:val="18"/>
              </w:rPr>
              <w:t>20KW配电柜，配电用PLC管理系统，需整体管理控制，</w:t>
            </w:r>
          </w:p>
        </w:tc>
        <w:tc>
          <w:tcPr>
            <w:tcW w:w="168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sz w:val="18"/>
                <w:szCs w:val="18"/>
              </w:rPr>
            </w:pPr>
            <w:r>
              <w:rPr>
                <w:rFonts w:hint="eastAsia" w:ascii="宋体" w:hAnsi="宋体"/>
                <w:sz w:val="18"/>
                <w:szCs w:val="18"/>
              </w:rPr>
              <w:t>4台</w:t>
            </w:r>
          </w:p>
        </w:tc>
      </w:tr>
    </w:tbl>
    <w:p>
      <w:pPr>
        <w:pStyle w:val="2"/>
        <w:ind w:left="0" w:leftChars="0" w:firstLine="0" w:firstLineChars="0"/>
        <w:rPr>
          <w:rFonts w:ascii="宋体" w:hAnsi="宋体" w:cs="宋体"/>
          <w:b/>
          <w:color w:val="000000"/>
          <w:kern w:val="0"/>
          <w:sz w:val="24"/>
        </w:rPr>
      </w:pPr>
      <w:r>
        <w:rPr>
          <w:rFonts w:hint="eastAsia" w:hAnsi="宋体" w:cs="宋体"/>
          <w:sz w:val="22"/>
          <w:szCs w:val="22"/>
        </w:rPr>
        <w:t>注：以上设备整体质保</w:t>
      </w:r>
      <w:r>
        <w:rPr>
          <w:rFonts w:hint="eastAsia" w:hAnsi="宋体" w:cs="宋体"/>
          <w:sz w:val="22"/>
          <w:szCs w:val="22"/>
          <w:lang w:eastAsia="zh-CN"/>
        </w:rPr>
        <w:t>贰</w:t>
      </w:r>
      <w:r>
        <w:rPr>
          <w:rFonts w:hint="eastAsia" w:hAnsi="宋体" w:cs="宋体"/>
          <w:sz w:val="22"/>
          <w:szCs w:val="22"/>
        </w:rPr>
        <w:t>年，质保期内免费更换</w:t>
      </w:r>
      <w:r>
        <w:rPr>
          <w:rFonts w:hint="eastAsia" w:hAnsi="宋体" w:cs="宋体"/>
          <w:sz w:val="22"/>
          <w:szCs w:val="22"/>
          <w:lang w:eastAsia="zh-CN"/>
        </w:rPr>
        <w:t>，在签订合同时向采购人提供质保承诺。</w:t>
      </w:r>
    </w:p>
    <w:p>
      <w:pPr>
        <w:pStyle w:val="16"/>
        <w:keepNext w:val="0"/>
        <w:keepLines w:val="0"/>
        <w:pageBreakBefore w:val="0"/>
        <w:kinsoku/>
        <w:wordWrap/>
        <w:overflowPunct/>
        <w:topLinePunct w:val="0"/>
        <w:autoSpaceDE/>
        <w:autoSpaceDN/>
        <w:bidi w:val="0"/>
        <w:spacing w:before="0" w:beforeAutospacing="0" w:after="0" w:afterAutospacing="0" w:line="400" w:lineRule="exact"/>
        <w:textAlignment w:val="auto"/>
        <w:outlineLvl w:val="0"/>
        <w:rPr>
          <w:rFonts w:hint="eastAsia" w:ascii="宋体" w:hAnsi="宋体"/>
          <w:b/>
          <w:color w:val="000000"/>
          <w:sz w:val="28"/>
          <w:szCs w:val="28"/>
        </w:rPr>
      </w:pPr>
      <w:r>
        <w:rPr>
          <w:rFonts w:hint="eastAsia" w:ascii="宋体" w:hAnsi="宋体"/>
          <w:b/>
          <w:color w:val="000000"/>
          <w:sz w:val="28"/>
          <w:szCs w:val="28"/>
        </w:rPr>
        <w:t>投标产品要求</w:t>
      </w:r>
    </w:p>
    <w:p>
      <w:pPr>
        <w:pStyle w:val="16"/>
        <w:keepNext w:val="0"/>
        <w:keepLines w:val="0"/>
        <w:pageBreakBefore w:val="0"/>
        <w:kinsoku/>
        <w:wordWrap/>
        <w:overflowPunct/>
        <w:topLinePunct w:val="0"/>
        <w:autoSpaceDE/>
        <w:autoSpaceDN/>
        <w:bidi w:val="0"/>
        <w:spacing w:before="0" w:beforeAutospacing="0" w:after="0" w:afterAutospacing="0" w:line="400" w:lineRule="exact"/>
        <w:textAlignment w:val="auto"/>
        <w:outlineLvl w:val="0"/>
        <w:rPr>
          <w:rFonts w:ascii="宋体" w:hAnsi="宋体" w:cs="宋体"/>
          <w:b/>
          <w:sz w:val="24"/>
        </w:rPr>
      </w:pPr>
      <w:r>
        <w:rPr>
          <w:rFonts w:ascii="宋体" w:hAnsi="宋体" w:cs="宋体"/>
          <w:b/>
          <w:sz w:val="24"/>
        </w:rPr>
        <w:t>1</w:t>
      </w:r>
      <w:r>
        <w:rPr>
          <w:rFonts w:hint="eastAsia" w:ascii="宋体" w:hAnsi="宋体" w:cs="宋体"/>
          <w:b/>
          <w:sz w:val="24"/>
        </w:rPr>
        <w:t>.1 技术总体要求</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w:t>
      </w:r>
      <w:r>
        <w:rPr>
          <w:rFonts w:hint="eastAsia" w:ascii="宋体" w:hAnsi="宋体" w:cs="宋体"/>
          <w:kern w:val="0"/>
          <w:sz w:val="21"/>
          <w:szCs w:val="21"/>
          <w:lang w:eastAsia="zh-CN"/>
        </w:rPr>
        <w:t>）</w:t>
      </w:r>
      <w:r>
        <w:rPr>
          <w:rFonts w:hint="eastAsia" w:ascii="宋体" w:hAnsi="宋体" w:cs="宋体"/>
          <w:kern w:val="0"/>
          <w:sz w:val="21"/>
          <w:szCs w:val="21"/>
        </w:rPr>
        <w:t>功能要求：在功能上要适应采购方应用环境要求，充分考虑未来3-5年的发展需要，可适应不断发展的信息化建设和管理需求。</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w:t>
      </w:r>
      <w:r>
        <w:rPr>
          <w:rFonts w:hint="eastAsia" w:ascii="宋体" w:hAnsi="宋体" w:cs="宋体"/>
          <w:kern w:val="0"/>
          <w:sz w:val="21"/>
          <w:szCs w:val="21"/>
          <w:lang w:eastAsia="zh-CN"/>
        </w:rPr>
        <w:t>）</w:t>
      </w:r>
      <w:r>
        <w:rPr>
          <w:rFonts w:hint="eastAsia" w:ascii="宋体" w:hAnsi="宋体" w:cs="宋体"/>
          <w:kern w:val="0"/>
          <w:sz w:val="21"/>
          <w:szCs w:val="21"/>
        </w:rPr>
        <w:t>性能要求：符合应用环境的设备性能需求，满足高可靠性、高安全性、可扩展性、可管理性需求。</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3</w:t>
      </w:r>
      <w:r>
        <w:rPr>
          <w:rFonts w:hint="eastAsia" w:ascii="宋体" w:hAnsi="宋体" w:cs="宋体"/>
          <w:kern w:val="0"/>
          <w:sz w:val="21"/>
          <w:szCs w:val="21"/>
          <w:lang w:eastAsia="zh-CN"/>
        </w:rPr>
        <w:t>）</w:t>
      </w:r>
      <w:r>
        <w:rPr>
          <w:rFonts w:hint="eastAsia" w:ascii="宋体" w:hAnsi="宋体" w:cs="宋体"/>
          <w:kern w:val="0"/>
          <w:sz w:val="21"/>
          <w:szCs w:val="21"/>
        </w:rPr>
        <w:t>可用性要求：易于管理，可用性强。</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4</w:t>
      </w:r>
      <w:r>
        <w:rPr>
          <w:rFonts w:hint="eastAsia" w:ascii="宋体" w:hAnsi="宋体" w:cs="宋体"/>
          <w:kern w:val="0"/>
          <w:sz w:val="21"/>
          <w:szCs w:val="21"/>
          <w:lang w:eastAsia="zh-CN"/>
        </w:rPr>
        <w:t>）</w:t>
      </w:r>
      <w:r>
        <w:rPr>
          <w:rFonts w:hint="eastAsia" w:ascii="宋体" w:hAnsi="宋体" w:cs="宋体"/>
          <w:kern w:val="0"/>
          <w:sz w:val="21"/>
          <w:szCs w:val="21"/>
        </w:rPr>
        <w:t>厂商所提供的设备必须是全新、未使用过的，技术先进、设备可靠、质量合格，且符合中国的用电标准和安全防护标准。</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5</w:t>
      </w:r>
      <w:r>
        <w:rPr>
          <w:rFonts w:hint="eastAsia" w:ascii="宋体" w:hAnsi="宋体" w:cs="宋体"/>
          <w:kern w:val="0"/>
          <w:sz w:val="21"/>
          <w:szCs w:val="21"/>
          <w:lang w:eastAsia="zh-CN"/>
        </w:rPr>
        <w:t>）</w:t>
      </w:r>
      <w:r>
        <w:rPr>
          <w:rFonts w:hint="eastAsia" w:ascii="宋体" w:hAnsi="宋体" w:cs="宋体"/>
          <w:kern w:val="0"/>
          <w:sz w:val="21"/>
          <w:szCs w:val="21"/>
        </w:rPr>
        <w:t>厂商应提供投标品牌的用户覆盖行业及地域情况、产品用户量等。</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w:t>
      </w:r>
      <w:r>
        <w:rPr>
          <w:rFonts w:hint="eastAsia" w:ascii="宋体" w:hAnsi="宋体" w:cs="宋体"/>
          <w:kern w:val="0"/>
          <w:sz w:val="21"/>
          <w:szCs w:val="21"/>
        </w:rPr>
        <w:t>厂商应针对具体应用需求提出服务方案。</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7</w:t>
      </w:r>
      <w:r>
        <w:rPr>
          <w:rFonts w:hint="eastAsia" w:ascii="宋体" w:hAnsi="宋体" w:cs="宋体"/>
          <w:kern w:val="0"/>
          <w:sz w:val="21"/>
          <w:szCs w:val="21"/>
          <w:lang w:eastAsia="zh-CN"/>
        </w:rPr>
        <w:t>）</w:t>
      </w:r>
      <w:r>
        <w:rPr>
          <w:rFonts w:hint="eastAsia" w:ascii="宋体" w:hAnsi="宋体" w:cs="宋体"/>
          <w:kern w:val="0"/>
          <w:sz w:val="21"/>
          <w:szCs w:val="21"/>
        </w:rPr>
        <w:t>厂商必须提供设备的安装、验收标准。</w:t>
      </w:r>
    </w:p>
    <w:p>
      <w:pPr>
        <w:keepNext w:val="0"/>
        <w:keepLines w:val="0"/>
        <w:pageBreakBefore w:val="0"/>
        <w:widowControl/>
        <w:numPr>
          <w:ilvl w:val="0"/>
          <w:numId w:val="0"/>
        </w:numPr>
        <w:kinsoku/>
        <w:wordWrap/>
        <w:overflowPunct/>
        <w:topLinePunct w:val="0"/>
        <w:autoSpaceDE/>
        <w:autoSpaceDN/>
        <w:bidi w:val="0"/>
        <w:spacing w:line="400" w:lineRule="exact"/>
        <w:ind w:firstLine="420" w:firstLineChars="200"/>
        <w:textAlignment w:val="auto"/>
        <w:rPr>
          <w:rFonts w:ascii="宋体" w:hAnsi="宋体" w:cs="宋体"/>
          <w:b/>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8</w:t>
      </w:r>
      <w:r>
        <w:rPr>
          <w:rFonts w:hint="eastAsia" w:ascii="宋体" w:hAnsi="宋体" w:cs="宋体"/>
          <w:kern w:val="0"/>
          <w:sz w:val="21"/>
          <w:szCs w:val="21"/>
          <w:lang w:eastAsia="zh-CN"/>
        </w:rPr>
        <w:t>）</w:t>
      </w:r>
      <w:r>
        <w:rPr>
          <w:rFonts w:hint="eastAsia" w:ascii="宋体" w:hAnsi="宋体" w:cs="宋体"/>
          <w:kern w:val="0"/>
          <w:sz w:val="21"/>
          <w:szCs w:val="21"/>
        </w:rPr>
        <w:t>厂商必须提供维修及联系方式。</w:t>
      </w:r>
      <w:bookmarkStart w:id="177" w:name="_Toc446140952"/>
    </w:p>
    <w:p>
      <w:pPr>
        <w:keepNext w:val="0"/>
        <w:keepLines w:val="0"/>
        <w:pageBreakBefore w:val="0"/>
        <w:widowControl/>
        <w:numPr>
          <w:ilvl w:val="0"/>
          <w:numId w:val="0"/>
        </w:numPr>
        <w:kinsoku/>
        <w:wordWrap/>
        <w:overflowPunct/>
        <w:topLinePunct w:val="0"/>
        <w:autoSpaceDE/>
        <w:autoSpaceDN/>
        <w:bidi w:val="0"/>
        <w:spacing w:line="400" w:lineRule="exact"/>
        <w:textAlignment w:val="auto"/>
        <w:rPr>
          <w:rFonts w:ascii="宋体" w:hAnsi="宋体" w:cs="宋体"/>
          <w:b/>
          <w:sz w:val="21"/>
          <w:szCs w:val="21"/>
        </w:rPr>
      </w:pPr>
      <w:r>
        <w:rPr>
          <w:rFonts w:ascii="宋体" w:hAnsi="宋体" w:cs="宋体"/>
          <w:b/>
          <w:sz w:val="21"/>
          <w:szCs w:val="21"/>
        </w:rPr>
        <w:t>1</w:t>
      </w:r>
      <w:r>
        <w:rPr>
          <w:rFonts w:hint="eastAsia" w:ascii="宋体" w:hAnsi="宋体" w:cs="宋体"/>
          <w:b/>
          <w:sz w:val="21"/>
          <w:szCs w:val="21"/>
        </w:rPr>
        <w:t>.2 技术指标要求</w:t>
      </w:r>
      <w:bookmarkEnd w:id="177"/>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sz w:val="21"/>
          <w:szCs w:val="21"/>
        </w:rPr>
      </w:pPr>
      <w:r>
        <w:rPr>
          <w:rFonts w:hint="eastAsia" w:ascii="宋体" w:hAnsi="宋体"/>
          <w:sz w:val="21"/>
          <w:szCs w:val="21"/>
        </w:rPr>
        <w:t>要求可播放高质量的文本、图片、视频、字幕等信息，播放现场直播、有线电视、录像机、影碟机的视频图像信号，在现场各种可能亮度条件下都有较好的观看效果。各箱体显示亮度、色彩均匀一致。</w:t>
      </w:r>
      <w:bookmarkStart w:id="178" w:name="_Toc446140953"/>
    </w:p>
    <w:p>
      <w:pPr>
        <w:keepNext w:val="0"/>
        <w:keepLines w:val="0"/>
        <w:pageBreakBefore w:val="0"/>
        <w:kinsoku/>
        <w:wordWrap/>
        <w:overflowPunct/>
        <w:topLinePunct w:val="0"/>
        <w:autoSpaceDE/>
        <w:autoSpaceDN/>
        <w:bidi w:val="0"/>
        <w:spacing w:line="400" w:lineRule="exact"/>
        <w:ind w:left="0" w:leftChars="0" w:firstLine="0" w:firstLineChars="0"/>
        <w:textAlignment w:val="auto"/>
        <w:rPr>
          <w:rFonts w:ascii="宋体" w:hAnsi="宋体" w:eastAsia="宋体"/>
          <w:sz w:val="21"/>
          <w:szCs w:val="21"/>
        </w:rPr>
      </w:pPr>
      <w:r>
        <w:rPr>
          <w:rFonts w:ascii="宋体" w:hAnsi="宋体" w:cs="宋体"/>
          <w:b/>
          <w:sz w:val="21"/>
          <w:szCs w:val="21"/>
        </w:rPr>
        <w:t>1</w:t>
      </w:r>
      <w:r>
        <w:rPr>
          <w:rFonts w:hint="eastAsia" w:ascii="宋体" w:hAnsi="宋体" w:cs="宋体"/>
          <w:b/>
          <w:sz w:val="21"/>
          <w:szCs w:val="21"/>
        </w:rPr>
        <w:t>.2.1</w:t>
      </w:r>
      <w:r>
        <w:rPr>
          <w:rFonts w:hint="eastAsia" w:ascii="宋体" w:hAnsi="宋体" w:eastAsia="宋体"/>
          <w:sz w:val="21"/>
          <w:szCs w:val="21"/>
        </w:rPr>
        <w:t xml:space="preserve"> </w:t>
      </w:r>
      <w:r>
        <w:rPr>
          <w:rFonts w:hint="eastAsia" w:ascii="宋体" w:hAnsi="宋体" w:cs="宋体"/>
          <w:b/>
          <w:sz w:val="21"/>
          <w:szCs w:val="21"/>
        </w:rPr>
        <w:t>主要功能要求</w:t>
      </w:r>
      <w:bookmarkEnd w:id="178"/>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ascii="宋体" w:hAnsi="宋体"/>
          <w:sz w:val="21"/>
          <w:szCs w:val="21"/>
        </w:rPr>
      </w:pPr>
      <w:r>
        <w:rPr>
          <w:rFonts w:hint="eastAsia" w:ascii="宋体" w:hAnsi="宋体"/>
          <w:sz w:val="21"/>
          <w:szCs w:val="21"/>
        </w:rPr>
        <w:t>播放视频信息；转播电视节目；播放计算机信号、广告、动画等；</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ascii="宋体" w:hAnsi="宋体"/>
          <w:sz w:val="21"/>
          <w:szCs w:val="21"/>
        </w:rPr>
      </w:pPr>
      <w:r>
        <w:rPr>
          <w:rFonts w:hint="eastAsia" w:ascii="宋体" w:hAnsi="宋体"/>
          <w:sz w:val="21"/>
          <w:szCs w:val="21"/>
        </w:rPr>
        <w:t>专用高清数字视频处理器：具有视频非线性补偿能力；具备无级缩放功能；多路播放信息输入及多路播放信息输出并自由选择切换，支持</w:t>
      </w:r>
      <w:r>
        <w:rPr>
          <w:rFonts w:ascii="宋体" w:hAnsi="宋体"/>
          <w:sz w:val="21"/>
          <w:szCs w:val="21"/>
        </w:rPr>
        <w:t>2</w:t>
      </w:r>
      <w:r>
        <w:rPr>
          <w:rFonts w:hint="eastAsia" w:ascii="宋体" w:hAnsi="宋体"/>
          <w:sz w:val="21"/>
          <w:szCs w:val="21"/>
        </w:rPr>
        <w:t>路视频输入信号同时播放，满足实时播放要求；</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ascii="宋体" w:hAnsi="宋体"/>
          <w:sz w:val="21"/>
          <w:szCs w:val="21"/>
        </w:rPr>
      </w:pPr>
      <w:r>
        <w:rPr>
          <w:rFonts w:hint="eastAsia" w:ascii="宋体" w:hAnsi="宋体"/>
          <w:sz w:val="21"/>
          <w:szCs w:val="21"/>
        </w:rPr>
        <w:t>配电系统：配电柜</w:t>
      </w:r>
      <w:r>
        <w:rPr>
          <w:rFonts w:ascii="宋体" w:hAnsi="宋体"/>
          <w:sz w:val="21"/>
          <w:szCs w:val="21"/>
        </w:rPr>
        <w:t>/</w:t>
      </w:r>
      <w:r>
        <w:rPr>
          <w:rFonts w:hint="eastAsia" w:ascii="宋体" w:hAnsi="宋体"/>
          <w:sz w:val="21"/>
          <w:szCs w:val="21"/>
        </w:rPr>
        <w:t>多路输出；</w:t>
      </w:r>
      <w:r>
        <w:rPr>
          <w:rFonts w:ascii="宋体" w:hAnsi="宋体"/>
          <w:sz w:val="21"/>
          <w:szCs w:val="21"/>
        </w:rPr>
        <w:t>PLC</w:t>
      </w:r>
      <w:r>
        <w:rPr>
          <w:rFonts w:hint="eastAsia" w:ascii="宋体" w:hAnsi="宋体"/>
          <w:sz w:val="21"/>
          <w:szCs w:val="21"/>
        </w:rPr>
        <w:t>控制系统；具有显示屏的整体显示与分割显示功能；</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hint="eastAsia" w:ascii="宋体" w:hAnsi="宋体" w:eastAsia="宋体"/>
          <w:sz w:val="21"/>
          <w:szCs w:val="21"/>
          <w:lang w:eastAsia="zh-CN"/>
        </w:rPr>
      </w:pPr>
      <w:r>
        <w:rPr>
          <w:rFonts w:hint="eastAsia" w:ascii="宋体" w:hAnsi="宋体"/>
          <w:sz w:val="21"/>
          <w:szCs w:val="21"/>
        </w:rPr>
        <w:t>含以上系统但不限于以上系统，应是满足功能的所有系统</w:t>
      </w:r>
      <w:r>
        <w:rPr>
          <w:rFonts w:hint="eastAsia" w:ascii="宋体" w:hAnsi="宋体"/>
          <w:sz w:val="21"/>
          <w:szCs w:val="21"/>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hint="eastAsia" w:ascii="宋体" w:hAnsi="宋体" w:eastAsia="宋体"/>
          <w:sz w:val="21"/>
          <w:szCs w:val="21"/>
          <w:lang w:eastAsia="zh-CN"/>
        </w:rPr>
      </w:pPr>
      <w:r>
        <w:rPr>
          <w:rFonts w:hint="eastAsia" w:ascii="宋体" w:hAnsi="宋体"/>
          <w:sz w:val="21"/>
          <w:szCs w:val="21"/>
        </w:rPr>
        <w:t>模组具备独立防水功能，采用全封闭结构，防水等级IP65</w:t>
      </w:r>
      <w:r>
        <w:rPr>
          <w:rFonts w:hint="eastAsia" w:ascii="宋体" w:hAnsi="宋体"/>
          <w:sz w:val="21"/>
          <w:szCs w:val="21"/>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hint="eastAsia" w:ascii="宋体" w:hAnsi="宋体" w:eastAsia="宋体"/>
          <w:sz w:val="21"/>
          <w:szCs w:val="21"/>
          <w:lang w:eastAsia="zh-CN"/>
        </w:rPr>
      </w:pPr>
      <w:r>
        <w:rPr>
          <w:rFonts w:hint="eastAsia" w:ascii="宋体" w:hAnsi="宋体"/>
          <w:sz w:val="21"/>
          <w:szCs w:val="21"/>
        </w:rPr>
        <w:t>项目要求采用智能箱体和智能模组：智能箱体要求</w:t>
      </w:r>
      <w:r>
        <w:rPr>
          <w:rFonts w:hint="eastAsia" w:ascii="宋体" w:hAnsi="宋体" w:eastAsia="宋体"/>
          <w:sz w:val="21"/>
          <w:szCs w:val="21"/>
        </w:rPr>
        <w:t>可以实现监控发送卡、接收卡、模组、温度和电压等工作状态，可实现无人值守的安装环境实现监控、集群管理显示屏。智能模组要求可以记录模组工作时间、模组电流及电压温度等信息，可根据模组的使用时间调节模组的亮度，达到模组亮度的均匀性</w:t>
      </w:r>
      <w:r>
        <w:rPr>
          <w:rFonts w:hint="eastAsia" w:ascii="宋体" w:hAnsi="宋体" w:eastAsia="宋体"/>
          <w:sz w:val="21"/>
          <w:szCs w:val="21"/>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420" w:firstLineChars="200"/>
        <w:textAlignment w:val="auto"/>
        <w:rPr>
          <w:rFonts w:hint="eastAsia" w:ascii="宋体" w:hAnsi="宋体"/>
          <w:sz w:val="21"/>
          <w:szCs w:val="21"/>
        </w:rPr>
      </w:pPr>
      <w:r>
        <w:rPr>
          <w:rFonts w:hint="eastAsia" w:ascii="宋体" w:hAnsi="宋体"/>
          <w:sz w:val="21"/>
          <w:szCs w:val="21"/>
        </w:rPr>
        <w:t>箱体要求便于测试，要求箱体外置检测按钮，用于探测箱体的信号是否正常。</w:t>
      </w:r>
      <w:bookmarkStart w:id="179" w:name="_Toc446140954"/>
    </w:p>
    <w:p>
      <w:pPr>
        <w:keepNext w:val="0"/>
        <w:keepLines w:val="0"/>
        <w:pageBreakBefore w:val="0"/>
        <w:numPr>
          <w:ilvl w:val="0"/>
          <w:numId w:val="0"/>
        </w:numPr>
        <w:kinsoku/>
        <w:wordWrap/>
        <w:overflowPunct/>
        <w:topLinePunct w:val="0"/>
        <w:autoSpaceDE/>
        <w:autoSpaceDN/>
        <w:bidi w:val="0"/>
        <w:spacing w:line="400" w:lineRule="exact"/>
        <w:textAlignment w:val="auto"/>
        <w:rPr>
          <w:rFonts w:ascii="宋体" w:hAnsi="宋体" w:eastAsia="宋体"/>
          <w:sz w:val="21"/>
          <w:szCs w:val="21"/>
        </w:rPr>
      </w:pPr>
      <w:r>
        <w:rPr>
          <w:rFonts w:ascii="宋体" w:hAnsi="宋体" w:eastAsia="宋体"/>
          <w:b/>
          <w:bCs/>
          <w:sz w:val="21"/>
          <w:szCs w:val="21"/>
        </w:rPr>
        <w:t>1</w:t>
      </w:r>
      <w:r>
        <w:rPr>
          <w:rFonts w:hint="eastAsia" w:ascii="宋体" w:hAnsi="宋体" w:eastAsia="宋体"/>
          <w:b/>
          <w:bCs/>
          <w:sz w:val="21"/>
          <w:szCs w:val="21"/>
        </w:rPr>
        <w:t>.2.2</w:t>
      </w:r>
      <w:r>
        <w:rPr>
          <w:rFonts w:hint="eastAsia" w:ascii="宋体" w:hAnsi="宋体" w:eastAsia="宋体"/>
          <w:sz w:val="21"/>
          <w:szCs w:val="21"/>
        </w:rPr>
        <w:t xml:space="preserve"> </w:t>
      </w:r>
      <w:r>
        <w:rPr>
          <w:rFonts w:hint="eastAsia" w:ascii="宋体" w:hAnsi="宋体" w:eastAsia="宋体"/>
          <w:b/>
          <w:bCs/>
          <w:sz w:val="21"/>
          <w:szCs w:val="21"/>
        </w:rPr>
        <w:t>系统功能要求</w:t>
      </w:r>
      <w:bookmarkEnd w:id="179"/>
    </w:p>
    <w:p>
      <w:pPr>
        <w:keepNext w:val="0"/>
        <w:keepLines w:val="0"/>
        <w:pageBreakBefore w:val="0"/>
        <w:kinsoku/>
        <w:wordWrap/>
        <w:overflowPunct/>
        <w:topLinePunct w:val="0"/>
        <w:autoSpaceDE/>
        <w:autoSpaceDN/>
        <w:bidi w:val="0"/>
        <w:adjustRightInd w:val="0"/>
        <w:snapToGrid w:val="0"/>
        <w:spacing w:line="400" w:lineRule="exact"/>
        <w:ind w:left="0" w:leftChars="0" w:firstLine="420" w:firstLineChars="200"/>
        <w:textAlignment w:val="auto"/>
        <w:rPr>
          <w:rFonts w:ascii="宋体" w:hAnsi="宋体"/>
          <w:sz w:val="21"/>
          <w:szCs w:val="21"/>
        </w:rPr>
      </w:pPr>
      <w:bookmarkStart w:id="180" w:name="_Toc446140955"/>
      <w:r>
        <w:rPr>
          <w:rFonts w:hint="eastAsia" w:ascii="宋体" w:hAnsi="宋体"/>
          <w:sz w:val="21"/>
          <w:szCs w:val="21"/>
        </w:rPr>
        <w:t>1、支持PAL、NTSC、VGA等各种信号制式。</w:t>
      </w:r>
    </w:p>
    <w:p>
      <w:pPr>
        <w:keepNext w:val="0"/>
        <w:keepLines w:val="0"/>
        <w:pageBreakBefore w:val="0"/>
        <w:kinsoku/>
        <w:wordWrap/>
        <w:overflowPunct/>
        <w:topLinePunct w:val="0"/>
        <w:autoSpaceDE/>
        <w:autoSpaceDN/>
        <w:bidi w:val="0"/>
        <w:adjustRightInd w:val="0"/>
        <w:snapToGrid w:val="0"/>
        <w:spacing w:line="400" w:lineRule="exact"/>
        <w:ind w:left="0" w:leftChars="0" w:firstLine="420" w:firstLineChars="200"/>
        <w:textAlignment w:val="auto"/>
        <w:rPr>
          <w:rFonts w:ascii="宋体" w:hAnsi="宋体"/>
          <w:sz w:val="21"/>
          <w:szCs w:val="21"/>
        </w:rPr>
      </w:pPr>
      <w:r>
        <w:rPr>
          <w:rFonts w:hint="eastAsia" w:ascii="宋体" w:hAnsi="宋体"/>
          <w:sz w:val="21"/>
          <w:szCs w:val="21"/>
        </w:rPr>
        <w:t>2、能够播放如下信号节目：</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（1）有线广播电视、影碟机（VCD、DVD等）、录像机、摄像机、卫星电视及自制节目等各种视频信号节目；</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（2）配备网络接口，可与计算机联网，播放来自于信息网或公众信息网的各种信息。同时能够实现天气预报信息的实时播放；</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（3）能准确显示计算机上的各种图文信息，包括动画、图像、声音、视频、文本、几何图像、表格等；</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kern w:val="0"/>
          <w:sz w:val="21"/>
          <w:szCs w:val="21"/>
        </w:rPr>
      </w:pPr>
      <w:r>
        <w:rPr>
          <w:rFonts w:hint="eastAsia" w:ascii="宋体" w:hAnsi="宋体"/>
          <w:sz w:val="21"/>
          <w:szCs w:val="21"/>
        </w:rPr>
        <w:t>（4）支持所有图像格式的文件、视频文件、txt、rtf文本文件、flash文</w:t>
      </w:r>
      <w:r>
        <w:rPr>
          <w:rFonts w:hint="eastAsia" w:ascii="宋体" w:hAnsi="宋体"/>
          <w:kern w:val="0"/>
          <w:sz w:val="21"/>
          <w:szCs w:val="21"/>
        </w:rPr>
        <w:t>件等；</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sz w:val="21"/>
          <w:szCs w:val="21"/>
          <w:lang w:eastAsia="zh-CN"/>
        </w:rPr>
      </w:pPr>
      <w:r>
        <w:rPr>
          <w:rFonts w:hint="eastAsia" w:ascii="宋体" w:hAnsi="宋体"/>
          <w:sz w:val="21"/>
          <w:szCs w:val="21"/>
        </w:rPr>
        <w:t>（5）能够兼容各国语言文字的显示，如可显示中文（含繁体字）、英文、数字等多种文字和多种字体，并支持外文文字的显示，如西班牙文、法文、德文、日文、俄文、西腊文、拉丁文、俄文、韩文等，并有多种字体和字型可供选择，除支持Windows提供的所有文字的字型、字体和图形外，还支持自造字、自造标志图案的显示，对文字可以进行无级放大、缩小、变形等操作</w:t>
      </w:r>
      <w:r>
        <w:rPr>
          <w:rFonts w:hint="eastAsia" w:ascii="宋体" w:hAnsi="宋体"/>
          <w:sz w:val="21"/>
          <w:szCs w:val="21"/>
          <w:lang w:eastAsia="zh-CN"/>
        </w:rPr>
        <w:t>。</w:t>
      </w:r>
    </w:p>
    <w:p>
      <w:pPr>
        <w:keepNext w:val="0"/>
        <w:keepLines w:val="0"/>
        <w:pageBreakBefore w:val="0"/>
        <w:kinsoku/>
        <w:wordWrap/>
        <w:overflowPunct/>
        <w:topLinePunct w:val="0"/>
        <w:autoSpaceDE/>
        <w:autoSpaceDN/>
        <w:bidi w:val="0"/>
        <w:adjustRightInd w:val="0"/>
        <w:snapToGrid w:val="0"/>
        <w:spacing w:line="400" w:lineRule="exact"/>
        <w:ind w:left="0" w:leftChars="0" w:firstLine="420" w:firstLineChars="200"/>
        <w:textAlignment w:val="auto"/>
        <w:rPr>
          <w:rFonts w:ascii="宋体" w:hAnsi="宋体"/>
          <w:sz w:val="21"/>
          <w:szCs w:val="21"/>
        </w:rPr>
      </w:pPr>
      <w:r>
        <w:rPr>
          <w:rFonts w:hint="eastAsia" w:ascii="宋体" w:hAnsi="宋体"/>
          <w:sz w:val="21"/>
          <w:szCs w:val="21"/>
        </w:rPr>
        <w:t>3、能够实现重大活动的实时播放；</w:t>
      </w:r>
    </w:p>
    <w:p>
      <w:pPr>
        <w:keepNext w:val="0"/>
        <w:keepLines w:val="0"/>
        <w:pageBreakBefore w:val="0"/>
        <w:kinsoku/>
        <w:wordWrap/>
        <w:overflowPunct/>
        <w:topLinePunct w:val="0"/>
        <w:autoSpaceDE/>
        <w:autoSpaceDN/>
        <w:bidi w:val="0"/>
        <w:adjustRightInd w:val="0"/>
        <w:snapToGrid w:val="0"/>
        <w:spacing w:line="400" w:lineRule="exact"/>
        <w:ind w:left="0" w:leftChars="0" w:firstLine="420" w:firstLineChars="200"/>
        <w:textAlignment w:val="auto"/>
        <w:rPr>
          <w:rFonts w:ascii="宋体" w:hAnsi="宋体"/>
          <w:sz w:val="21"/>
          <w:szCs w:val="21"/>
        </w:rPr>
      </w:pPr>
      <w:r>
        <w:rPr>
          <w:rFonts w:hint="eastAsia" w:ascii="宋体" w:hAnsi="宋体"/>
          <w:sz w:val="21"/>
          <w:szCs w:val="21"/>
        </w:rPr>
        <w:t>4、显示方式灵活多样：</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（1）能实现多画面的播放，画面能上下滚动、左右滚动。</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（2）具有电视画面上叠加文字信息，也可在视频图像外叠加文字、图片、动画等。</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（3）具有全景、特写、慢镜头、闪跳动作、拖曳影像、怀旧电影等特技效果。</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（4）可单独显示文字、图形、图案、动画等。也可同时播放左右不同比例或上下不同比例的画面及文字。</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（5）屏幕区域可随意分割，实现各个区域显示不同的播放内容。</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宋体" w:hAnsi="宋体"/>
          <w:sz w:val="21"/>
          <w:szCs w:val="21"/>
        </w:rPr>
      </w:pPr>
      <w:r>
        <w:rPr>
          <w:rFonts w:hint="eastAsia" w:ascii="宋体" w:hAnsi="宋体"/>
          <w:sz w:val="21"/>
          <w:szCs w:val="21"/>
        </w:rPr>
        <w:t>（6）所有显示元素可设置200多种特技花样。</w:t>
      </w:r>
    </w:p>
    <w:p>
      <w:pPr>
        <w:keepNext w:val="0"/>
        <w:keepLines w:val="0"/>
        <w:pageBreakBefore w:val="0"/>
        <w:kinsoku/>
        <w:wordWrap/>
        <w:overflowPunct/>
        <w:topLinePunct w:val="0"/>
        <w:autoSpaceDE/>
        <w:autoSpaceDN/>
        <w:bidi w:val="0"/>
        <w:adjustRightInd w:val="0"/>
        <w:snapToGrid w:val="0"/>
        <w:spacing w:line="400" w:lineRule="exact"/>
        <w:ind w:left="0" w:leftChars="0" w:firstLine="420" w:firstLineChars="200"/>
        <w:textAlignment w:val="auto"/>
        <w:rPr>
          <w:rFonts w:ascii="宋体" w:hAnsi="宋体"/>
          <w:sz w:val="21"/>
          <w:szCs w:val="21"/>
        </w:rPr>
      </w:pPr>
      <w:r>
        <w:rPr>
          <w:rFonts w:hint="eastAsia" w:ascii="宋体" w:hAnsi="宋体"/>
          <w:sz w:val="21"/>
          <w:szCs w:val="21"/>
        </w:rPr>
        <w:t>5、可设置顺序播放文件列表，并可定时播放文件、随时插播文件。</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sz w:val="21"/>
          <w:szCs w:val="21"/>
        </w:rPr>
      </w:pPr>
      <w:r>
        <w:rPr>
          <w:rFonts w:hint="eastAsia" w:ascii="宋体" w:hAnsi="宋体"/>
          <w:sz w:val="21"/>
          <w:szCs w:val="21"/>
        </w:rPr>
        <w:t>（1）支持远程控制；（2）显示屏须与以下系统互联：a.视频接入系统；b.网络系统；c.配电系统。</w:t>
      </w:r>
    </w:p>
    <w:p>
      <w:pPr>
        <w:keepNext w:val="0"/>
        <w:keepLines w:val="0"/>
        <w:pageBreakBefore w:val="0"/>
        <w:kinsoku/>
        <w:wordWrap/>
        <w:overflowPunct/>
        <w:topLinePunct w:val="0"/>
        <w:autoSpaceDE/>
        <w:autoSpaceDN/>
        <w:bidi w:val="0"/>
        <w:adjustRightInd w:val="0"/>
        <w:snapToGrid w:val="0"/>
        <w:spacing w:line="400" w:lineRule="exact"/>
        <w:ind w:left="0" w:leftChars="0" w:firstLine="0" w:firstLineChars="0"/>
        <w:textAlignment w:val="auto"/>
        <w:rPr>
          <w:rFonts w:hint="eastAsia" w:ascii="宋体" w:hAnsi="宋体" w:eastAsia="宋体"/>
          <w:b/>
          <w:bCs/>
          <w:sz w:val="21"/>
          <w:szCs w:val="21"/>
        </w:rPr>
      </w:pPr>
      <w:r>
        <w:rPr>
          <w:rFonts w:ascii="宋体" w:hAnsi="宋体" w:eastAsia="宋体"/>
          <w:b/>
          <w:bCs/>
          <w:sz w:val="21"/>
          <w:szCs w:val="21"/>
        </w:rPr>
        <w:t>1</w:t>
      </w:r>
      <w:r>
        <w:rPr>
          <w:rFonts w:hint="eastAsia" w:ascii="宋体" w:hAnsi="宋体" w:eastAsia="宋体"/>
          <w:b/>
          <w:bCs/>
          <w:sz w:val="21"/>
          <w:szCs w:val="21"/>
        </w:rPr>
        <w:t>.2.3 散热功能要求</w:t>
      </w:r>
      <w:bookmarkEnd w:id="180"/>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sz w:val="21"/>
          <w:szCs w:val="21"/>
        </w:rPr>
      </w:pPr>
      <w:r>
        <w:rPr>
          <w:rFonts w:hint="eastAsia" w:ascii="宋体" w:hAnsi="宋体"/>
          <w:sz w:val="21"/>
          <w:szCs w:val="21"/>
        </w:rPr>
        <w:t>本项目要求采用自然散热，不采用空调系统，节省项目的成本和减轻项目的整体重量。要求投标厂家采用裸装的形式，提供对应的专利证书。</w:t>
      </w:r>
      <w:bookmarkStart w:id="181" w:name="_Toc431374886"/>
      <w:bookmarkStart w:id="182" w:name="_Toc446140956"/>
      <w:bookmarkStart w:id="183" w:name="_Toc360028873"/>
    </w:p>
    <w:p>
      <w:pPr>
        <w:keepNext w:val="0"/>
        <w:keepLines w:val="0"/>
        <w:pageBreakBefore w:val="0"/>
        <w:kinsoku/>
        <w:wordWrap/>
        <w:overflowPunct/>
        <w:topLinePunct w:val="0"/>
        <w:autoSpaceDE/>
        <w:autoSpaceDN/>
        <w:bidi w:val="0"/>
        <w:spacing w:line="400" w:lineRule="exact"/>
        <w:ind w:left="0" w:leftChars="0" w:firstLine="0" w:firstLineChars="0"/>
        <w:textAlignment w:val="auto"/>
        <w:rPr>
          <w:rFonts w:ascii="宋体" w:hAnsi="宋体" w:eastAsia="宋体"/>
          <w:b/>
          <w:bCs/>
          <w:sz w:val="21"/>
          <w:szCs w:val="21"/>
        </w:rPr>
      </w:pPr>
      <w:r>
        <w:rPr>
          <w:rFonts w:ascii="宋体" w:hAnsi="宋体" w:eastAsia="宋体"/>
          <w:b/>
          <w:bCs/>
          <w:sz w:val="21"/>
          <w:szCs w:val="21"/>
        </w:rPr>
        <w:t>1</w:t>
      </w:r>
      <w:r>
        <w:rPr>
          <w:rFonts w:hint="eastAsia" w:ascii="宋体" w:hAnsi="宋体" w:eastAsia="宋体"/>
          <w:b/>
          <w:bCs/>
          <w:sz w:val="21"/>
          <w:szCs w:val="21"/>
        </w:rPr>
        <w:t>.2.4  供配</w:t>
      </w:r>
      <w:r>
        <w:rPr>
          <w:rFonts w:ascii="宋体" w:hAnsi="宋体" w:eastAsia="宋体"/>
          <w:b/>
          <w:bCs/>
          <w:sz w:val="21"/>
          <w:szCs w:val="21"/>
        </w:rPr>
        <w:t>电要求</w:t>
      </w:r>
      <w:bookmarkEnd w:id="181"/>
      <w:bookmarkEnd w:id="182"/>
      <w:bookmarkEnd w:id="183"/>
    </w:p>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ascii="宋体" w:hAnsi="宋体"/>
          <w:sz w:val="21"/>
          <w:szCs w:val="21"/>
        </w:rPr>
      </w:pPr>
      <w:r>
        <w:rPr>
          <w:rFonts w:hint="eastAsia" w:ascii="宋体" w:hAnsi="宋体"/>
          <w:sz w:val="21"/>
          <w:szCs w:val="21"/>
          <w:lang w:val="en-US" w:eastAsia="zh-CN"/>
        </w:rPr>
        <w:t>（1）</w:t>
      </w:r>
      <w:r>
        <w:rPr>
          <w:rFonts w:hint="eastAsia" w:ascii="宋体" w:hAnsi="宋体"/>
          <w:sz w:val="21"/>
          <w:szCs w:val="21"/>
        </w:rPr>
        <w:t>配电要求</w:t>
      </w:r>
    </w:p>
    <w:p>
      <w:pPr>
        <w:keepNext w:val="0"/>
        <w:keepLines w:val="0"/>
        <w:pageBreakBefore w:val="0"/>
        <w:kinsoku/>
        <w:wordWrap/>
        <w:overflowPunct/>
        <w:topLinePunct w:val="0"/>
        <w:autoSpaceDE/>
        <w:autoSpaceDN/>
        <w:bidi w:val="0"/>
        <w:spacing w:line="400" w:lineRule="exact"/>
        <w:ind w:firstLine="371" w:firstLineChars="177"/>
        <w:textAlignment w:val="auto"/>
        <w:rPr>
          <w:rFonts w:ascii="宋体" w:hAnsi="宋体"/>
          <w:sz w:val="21"/>
          <w:szCs w:val="21"/>
        </w:rPr>
      </w:pPr>
      <w:r>
        <w:rPr>
          <w:rFonts w:hint="eastAsia" w:ascii="宋体" w:hAnsi="宋体"/>
          <w:sz w:val="21"/>
          <w:szCs w:val="21"/>
        </w:rPr>
        <w:t>配电柜进线为三相五线制AC 380V，投</w:t>
      </w:r>
      <w:r>
        <w:rPr>
          <w:rFonts w:ascii="宋体" w:hAnsi="宋体"/>
          <w:sz w:val="21"/>
          <w:szCs w:val="21"/>
        </w:rPr>
        <w:t>标</w:t>
      </w:r>
      <w:r>
        <w:rPr>
          <w:rFonts w:hint="eastAsia" w:ascii="宋体" w:hAnsi="宋体"/>
          <w:sz w:val="21"/>
          <w:szCs w:val="21"/>
        </w:rPr>
        <w:t>方根据项目</w:t>
      </w:r>
      <w:r>
        <w:rPr>
          <w:rFonts w:ascii="宋体" w:hAnsi="宋体"/>
          <w:sz w:val="21"/>
          <w:szCs w:val="21"/>
        </w:rPr>
        <w:t>需求</w:t>
      </w:r>
      <w:r>
        <w:rPr>
          <w:rFonts w:hint="eastAsia" w:ascii="宋体" w:hAnsi="宋体"/>
          <w:sz w:val="21"/>
          <w:szCs w:val="21"/>
        </w:rPr>
        <w:t>自</w:t>
      </w:r>
      <w:r>
        <w:rPr>
          <w:rFonts w:ascii="宋体" w:hAnsi="宋体"/>
          <w:sz w:val="21"/>
          <w:szCs w:val="21"/>
        </w:rPr>
        <w:t>行设计分电箱</w:t>
      </w:r>
      <w:r>
        <w:rPr>
          <w:rFonts w:hint="eastAsia" w:ascii="宋体" w:hAnsi="宋体"/>
          <w:sz w:val="21"/>
          <w:szCs w:val="21"/>
        </w:rPr>
        <w:t>，从配电柜或</w:t>
      </w:r>
      <w:r>
        <w:rPr>
          <w:rFonts w:ascii="宋体" w:hAnsi="宋体"/>
          <w:sz w:val="21"/>
          <w:szCs w:val="21"/>
        </w:rPr>
        <w:t>分电箱</w:t>
      </w:r>
      <w:r>
        <w:rPr>
          <w:rFonts w:hint="eastAsia" w:ascii="宋体" w:hAnsi="宋体"/>
          <w:sz w:val="21"/>
          <w:szCs w:val="21"/>
        </w:rPr>
        <w:t>到显示屏箱体的电源线为单相三线制A</w:t>
      </w:r>
      <w:r>
        <w:rPr>
          <w:rFonts w:ascii="宋体" w:hAnsi="宋体"/>
          <w:sz w:val="21"/>
          <w:szCs w:val="21"/>
        </w:rPr>
        <w:t xml:space="preserve">C </w:t>
      </w:r>
      <w:r>
        <w:rPr>
          <w:rFonts w:hint="eastAsia" w:ascii="宋体" w:hAnsi="宋体"/>
          <w:sz w:val="21"/>
          <w:szCs w:val="21"/>
        </w:rPr>
        <w:t>220V，系统</w:t>
      </w:r>
      <w:r>
        <w:rPr>
          <w:rFonts w:ascii="宋体" w:hAnsi="宋体"/>
          <w:sz w:val="21"/>
          <w:szCs w:val="21"/>
        </w:rPr>
        <w:t>接线</w:t>
      </w:r>
      <w:r>
        <w:rPr>
          <w:rFonts w:hint="eastAsia" w:ascii="宋体" w:hAnsi="宋体"/>
          <w:sz w:val="21"/>
          <w:szCs w:val="21"/>
        </w:rPr>
        <w:t>保证三相平衡。</w:t>
      </w:r>
    </w:p>
    <w:p>
      <w:pPr>
        <w:keepNext w:val="0"/>
        <w:keepLines w:val="0"/>
        <w:pageBreakBefore w:val="0"/>
        <w:kinsoku/>
        <w:wordWrap/>
        <w:overflowPunct/>
        <w:topLinePunct w:val="0"/>
        <w:autoSpaceDE/>
        <w:autoSpaceDN/>
        <w:bidi w:val="0"/>
        <w:spacing w:line="400" w:lineRule="exact"/>
        <w:ind w:firstLine="371" w:firstLineChars="177"/>
        <w:textAlignment w:val="auto"/>
        <w:rPr>
          <w:rFonts w:ascii="宋体" w:hAnsi="宋体"/>
          <w:sz w:val="21"/>
          <w:szCs w:val="21"/>
        </w:rPr>
      </w:pPr>
      <w:r>
        <w:rPr>
          <w:rFonts w:hint="eastAsia" w:ascii="宋体" w:hAnsi="宋体"/>
          <w:sz w:val="21"/>
          <w:szCs w:val="21"/>
        </w:rPr>
        <w:t>管线的路由设计必须合理、可行，屏幕安装布线必须整齐。符</w:t>
      </w:r>
      <w:r>
        <w:rPr>
          <w:rFonts w:ascii="宋体" w:hAnsi="宋体"/>
          <w:sz w:val="21"/>
          <w:szCs w:val="21"/>
        </w:rPr>
        <w:t>合相关国家标准。</w:t>
      </w:r>
    </w:p>
    <w:p>
      <w:pPr>
        <w:keepNext w:val="0"/>
        <w:keepLines w:val="0"/>
        <w:pageBreakBefore w:val="0"/>
        <w:kinsoku/>
        <w:wordWrap/>
        <w:overflowPunct/>
        <w:topLinePunct w:val="0"/>
        <w:autoSpaceDE/>
        <w:autoSpaceDN/>
        <w:bidi w:val="0"/>
        <w:spacing w:line="400" w:lineRule="exact"/>
        <w:ind w:firstLine="371" w:firstLineChars="177"/>
        <w:textAlignment w:val="auto"/>
        <w:rPr>
          <w:rFonts w:ascii="宋体" w:hAnsi="宋体"/>
          <w:sz w:val="21"/>
          <w:szCs w:val="21"/>
        </w:rPr>
      </w:pPr>
      <w:r>
        <w:rPr>
          <w:rFonts w:hint="eastAsia" w:ascii="宋体" w:hAnsi="宋体"/>
          <w:sz w:val="21"/>
          <w:szCs w:val="21"/>
        </w:rPr>
        <w:t>配电柜安装在地上</w:t>
      </w:r>
      <w:r>
        <w:rPr>
          <w:rFonts w:ascii="宋体" w:hAnsi="宋体"/>
          <w:sz w:val="21"/>
          <w:szCs w:val="21"/>
        </w:rPr>
        <w:t>需做基础</w:t>
      </w:r>
      <w:r>
        <w:rPr>
          <w:rFonts w:hint="eastAsia" w:ascii="宋体" w:hAnsi="宋体"/>
          <w:sz w:val="21"/>
          <w:szCs w:val="21"/>
        </w:rPr>
        <w:t>，基础</w:t>
      </w:r>
      <w:r>
        <w:rPr>
          <w:rFonts w:ascii="宋体" w:hAnsi="宋体"/>
          <w:sz w:val="21"/>
          <w:szCs w:val="21"/>
        </w:rPr>
        <w:t>需做接地</w:t>
      </w:r>
      <w:r>
        <w:rPr>
          <w:rFonts w:hint="eastAsia" w:ascii="宋体" w:hAnsi="宋体"/>
          <w:sz w:val="21"/>
          <w:szCs w:val="21"/>
        </w:rPr>
        <w:t>，</w:t>
      </w:r>
      <w:r>
        <w:rPr>
          <w:rFonts w:ascii="宋体" w:hAnsi="宋体"/>
          <w:sz w:val="21"/>
          <w:szCs w:val="21"/>
        </w:rPr>
        <w:t>电柜</w:t>
      </w:r>
      <w:r>
        <w:rPr>
          <w:rFonts w:hint="eastAsia" w:ascii="宋体" w:hAnsi="宋体"/>
          <w:sz w:val="21"/>
          <w:szCs w:val="21"/>
        </w:rPr>
        <w:t>应具有明显</w:t>
      </w:r>
      <w:r>
        <w:rPr>
          <w:rFonts w:ascii="宋体" w:hAnsi="宋体"/>
          <w:sz w:val="21"/>
          <w:szCs w:val="21"/>
        </w:rPr>
        <w:t>的</w:t>
      </w:r>
      <w:r>
        <w:rPr>
          <w:rFonts w:hint="eastAsia" w:ascii="宋体" w:hAnsi="宋体"/>
          <w:sz w:val="21"/>
          <w:szCs w:val="21"/>
        </w:rPr>
        <w:t>安全警告标识</w:t>
      </w:r>
      <w:r>
        <w:rPr>
          <w:rFonts w:ascii="宋体" w:hAnsi="宋体"/>
          <w:sz w:val="21"/>
          <w:szCs w:val="21"/>
        </w:rPr>
        <w:t>。</w:t>
      </w:r>
    </w:p>
    <w:p>
      <w:pPr>
        <w:keepNext w:val="0"/>
        <w:keepLines w:val="0"/>
        <w:pageBreakBefore w:val="0"/>
        <w:kinsoku/>
        <w:wordWrap/>
        <w:overflowPunct/>
        <w:topLinePunct w:val="0"/>
        <w:autoSpaceDE/>
        <w:autoSpaceDN/>
        <w:bidi w:val="0"/>
        <w:spacing w:line="400" w:lineRule="exact"/>
        <w:ind w:firstLine="371" w:firstLineChars="177"/>
        <w:textAlignment w:val="auto"/>
        <w:rPr>
          <w:rFonts w:ascii="宋体" w:hAnsi="宋体"/>
          <w:b w:val="0"/>
          <w:bCs/>
          <w:color w:val="FF0000"/>
          <w:sz w:val="21"/>
          <w:szCs w:val="21"/>
        </w:rPr>
      </w:pPr>
      <w:r>
        <w:rPr>
          <w:rFonts w:hint="eastAsia" w:ascii="宋体" w:hAnsi="宋体"/>
          <w:b w:val="0"/>
          <w:bCs/>
          <w:color w:val="auto"/>
          <w:sz w:val="21"/>
          <w:szCs w:val="21"/>
        </w:rPr>
        <w:t>配</w:t>
      </w:r>
      <w:r>
        <w:rPr>
          <w:rFonts w:ascii="宋体" w:hAnsi="宋体"/>
          <w:b w:val="0"/>
          <w:bCs/>
          <w:color w:val="auto"/>
          <w:sz w:val="21"/>
          <w:szCs w:val="21"/>
        </w:rPr>
        <w:t>电柜</w:t>
      </w:r>
      <w:r>
        <w:rPr>
          <w:rFonts w:hint="eastAsia" w:ascii="宋体" w:hAnsi="宋体"/>
          <w:b w:val="0"/>
          <w:bCs/>
          <w:color w:val="auto"/>
          <w:sz w:val="21"/>
          <w:szCs w:val="21"/>
        </w:rPr>
        <w:t>进线</w:t>
      </w:r>
      <w:r>
        <w:rPr>
          <w:rFonts w:ascii="宋体" w:hAnsi="宋体"/>
          <w:b w:val="0"/>
          <w:bCs/>
          <w:color w:val="auto"/>
          <w:sz w:val="21"/>
          <w:szCs w:val="21"/>
        </w:rPr>
        <w:t>电缆</w:t>
      </w:r>
      <w:r>
        <w:rPr>
          <w:rFonts w:hint="eastAsia" w:ascii="宋体" w:hAnsi="宋体"/>
          <w:b w:val="0"/>
          <w:bCs/>
          <w:color w:val="auto"/>
          <w:sz w:val="21"/>
          <w:szCs w:val="21"/>
        </w:rPr>
        <w:t>（由</w:t>
      </w:r>
      <w:r>
        <w:rPr>
          <w:rFonts w:ascii="宋体" w:hAnsi="宋体"/>
          <w:b w:val="0"/>
          <w:bCs/>
          <w:color w:val="auto"/>
          <w:sz w:val="21"/>
          <w:szCs w:val="21"/>
        </w:rPr>
        <w:t>供电端至配电柜</w:t>
      </w:r>
      <w:r>
        <w:rPr>
          <w:rFonts w:hint="eastAsia" w:ascii="宋体" w:hAnsi="宋体"/>
          <w:b w:val="0"/>
          <w:bCs/>
          <w:color w:val="auto"/>
          <w:sz w:val="21"/>
          <w:szCs w:val="21"/>
        </w:rPr>
        <w:t>主</w:t>
      </w:r>
      <w:r>
        <w:rPr>
          <w:rFonts w:ascii="宋体" w:hAnsi="宋体"/>
          <w:b w:val="0"/>
          <w:bCs/>
          <w:color w:val="auto"/>
          <w:sz w:val="21"/>
          <w:szCs w:val="21"/>
        </w:rPr>
        <w:t>电缆</w:t>
      </w:r>
      <w:r>
        <w:rPr>
          <w:rFonts w:hint="eastAsia" w:ascii="宋体" w:hAnsi="宋体"/>
          <w:b w:val="0"/>
          <w:bCs/>
          <w:color w:val="auto"/>
          <w:sz w:val="21"/>
          <w:szCs w:val="21"/>
        </w:rPr>
        <w:t>），由投</w:t>
      </w:r>
      <w:r>
        <w:rPr>
          <w:rFonts w:ascii="宋体" w:hAnsi="宋体"/>
          <w:b w:val="0"/>
          <w:bCs/>
          <w:color w:val="auto"/>
          <w:sz w:val="21"/>
          <w:szCs w:val="21"/>
        </w:rPr>
        <w:t>标方现场勘察，</w:t>
      </w:r>
      <w:r>
        <w:rPr>
          <w:rFonts w:hint="eastAsia" w:ascii="宋体" w:hAnsi="宋体"/>
          <w:b w:val="0"/>
          <w:bCs/>
          <w:color w:val="auto"/>
          <w:sz w:val="21"/>
          <w:szCs w:val="21"/>
        </w:rPr>
        <w:t>按</w:t>
      </w:r>
      <w:r>
        <w:rPr>
          <w:rFonts w:ascii="宋体" w:hAnsi="宋体"/>
          <w:b w:val="0"/>
          <w:bCs/>
          <w:color w:val="auto"/>
          <w:sz w:val="21"/>
          <w:szCs w:val="21"/>
        </w:rPr>
        <w:t>招标方提供布线通道计算线</w:t>
      </w:r>
      <w:r>
        <w:rPr>
          <w:rFonts w:hint="eastAsia" w:ascii="宋体" w:hAnsi="宋体"/>
          <w:b w:val="0"/>
          <w:bCs/>
          <w:color w:val="auto"/>
          <w:sz w:val="21"/>
          <w:szCs w:val="21"/>
        </w:rPr>
        <w:t>缆</w:t>
      </w:r>
      <w:r>
        <w:rPr>
          <w:rFonts w:ascii="宋体" w:hAnsi="宋体"/>
          <w:b w:val="0"/>
          <w:bCs/>
          <w:color w:val="auto"/>
          <w:sz w:val="21"/>
          <w:szCs w:val="21"/>
        </w:rPr>
        <w:t>长度</w:t>
      </w:r>
      <w:r>
        <w:rPr>
          <w:rFonts w:hint="eastAsia" w:ascii="宋体" w:hAnsi="宋体"/>
          <w:b w:val="0"/>
          <w:bCs/>
          <w:color w:val="auto"/>
          <w:sz w:val="21"/>
          <w:szCs w:val="21"/>
        </w:rPr>
        <w:t>。</w:t>
      </w:r>
    </w:p>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配电</w:t>
      </w:r>
      <w:r>
        <w:rPr>
          <w:rFonts w:ascii="宋体" w:hAnsi="宋体"/>
          <w:sz w:val="21"/>
          <w:szCs w:val="21"/>
        </w:rPr>
        <w:t>柜要求</w:t>
      </w:r>
    </w:p>
    <w:p>
      <w:pPr>
        <w:keepNext w:val="0"/>
        <w:keepLines w:val="0"/>
        <w:pageBreakBefore w:val="0"/>
        <w:numPr>
          <w:ilvl w:val="0"/>
          <w:numId w:val="0"/>
        </w:numPr>
        <w:kinsoku/>
        <w:wordWrap/>
        <w:overflowPunct/>
        <w:topLinePunct w:val="0"/>
        <w:autoSpaceDE/>
        <w:autoSpaceDN/>
        <w:bidi w:val="0"/>
        <w:spacing w:line="400" w:lineRule="exact"/>
        <w:ind w:firstLine="420" w:firstLineChars="200"/>
        <w:jc w:val="left"/>
        <w:textAlignment w:val="auto"/>
        <w:rPr>
          <w:rFonts w:ascii="宋体" w:hAnsi="宋体"/>
          <w:sz w:val="21"/>
          <w:szCs w:val="21"/>
        </w:rPr>
      </w:pPr>
      <w:r>
        <w:rPr>
          <w:rFonts w:hint="eastAsia" w:ascii="宋体" w:hAnsi="宋体"/>
          <w:sz w:val="21"/>
          <w:szCs w:val="21"/>
        </w:rPr>
        <w:t>系统浪涌保护，过压保护，漏电保护；具有过流、短路、过压、欠压保护功能；</w:t>
      </w:r>
    </w:p>
    <w:p>
      <w:pPr>
        <w:keepNext w:val="0"/>
        <w:keepLines w:val="0"/>
        <w:pageBreakBefore w:val="0"/>
        <w:numPr>
          <w:ilvl w:val="0"/>
          <w:numId w:val="0"/>
        </w:numPr>
        <w:kinsoku/>
        <w:wordWrap/>
        <w:overflowPunct/>
        <w:topLinePunct w:val="0"/>
        <w:autoSpaceDE/>
        <w:autoSpaceDN/>
        <w:bidi w:val="0"/>
        <w:spacing w:line="400" w:lineRule="exact"/>
        <w:ind w:firstLine="420" w:firstLineChars="200"/>
        <w:jc w:val="left"/>
        <w:textAlignment w:val="auto"/>
        <w:rPr>
          <w:rFonts w:ascii="宋体" w:hAnsi="宋体"/>
          <w:sz w:val="21"/>
          <w:szCs w:val="21"/>
        </w:rPr>
      </w:pPr>
      <w:r>
        <w:rPr>
          <w:rFonts w:hint="eastAsia" w:ascii="宋体" w:hAnsi="宋体"/>
          <w:sz w:val="21"/>
          <w:szCs w:val="21"/>
        </w:rPr>
        <w:t>配</w:t>
      </w:r>
      <w:r>
        <w:rPr>
          <w:rFonts w:ascii="宋体" w:hAnsi="宋体"/>
          <w:sz w:val="21"/>
          <w:szCs w:val="21"/>
        </w:rPr>
        <w:t>电柜采用</w:t>
      </w:r>
      <w:r>
        <w:rPr>
          <w:rFonts w:hint="eastAsia" w:ascii="宋体" w:hAnsi="宋体"/>
          <w:sz w:val="21"/>
          <w:szCs w:val="21"/>
        </w:rPr>
        <w:t>分步顺序启动</w:t>
      </w:r>
      <w:r>
        <w:rPr>
          <w:rFonts w:ascii="宋体" w:hAnsi="宋体"/>
          <w:sz w:val="21"/>
          <w:szCs w:val="21"/>
        </w:rPr>
        <w:t>；</w:t>
      </w:r>
      <w:r>
        <w:rPr>
          <w:rFonts w:hint="eastAsia" w:ascii="宋体" w:hAnsi="宋体"/>
          <w:sz w:val="21"/>
          <w:szCs w:val="21"/>
        </w:rPr>
        <w:t>配电柜门上配备各支路手动开关和状态指示灯；</w:t>
      </w:r>
    </w:p>
    <w:p>
      <w:pPr>
        <w:keepNext w:val="0"/>
        <w:keepLines w:val="0"/>
        <w:pageBreakBefore w:val="0"/>
        <w:numPr>
          <w:ilvl w:val="0"/>
          <w:numId w:val="0"/>
        </w:numPr>
        <w:kinsoku/>
        <w:wordWrap/>
        <w:overflowPunct/>
        <w:topLinePunct w:val="0"/>
        <w:autoSpaceDE/>
        <w:autoSpaceDN/>
        <w:bidi w:val="0"/>
        <w:spacing w:line="400" w:lineRule="exact"/>
        <w:ind w:firstLine="420" w:firstLineChars="200"/>
        <w:jc w:val="left"/>
        <w:textAlignment w:val="auto"/>
        <w:rPr>
          <w:rFonts w:ascii="宋体" w:hAnsi="宋体"/>
          <w:sz w:val="21"/>
          <w:szCs w:val="21"/>
        </w:rPr>
      </w:pPr>
      <w:r>
        <w:rPr>
          <w:rFonts w:hint="eastAsia" w:ascii="宋体" w:hAnsi="宋体"/>
          <w:sz w:val="21"/>
          <w:szCs w:val="21"/>
        </w:rPr>
        <w:t>支</w:t>
      </w:r>
      <w:r>
        <w:rPr>
          <w:rFonts w:ascii="宋体" w:hAnsi="宋体"/>
          <w:sz w:val="21"/>
          <w:szCs w:val="21"/>
        </w:rPr>
        <w:t>持</w:t>
      </w:r>
      <w:r>
        <w:rPr>
          <w:rFonts w:hint="eastAsia" w:ascii="宋体" w:hAnsi="宋体"/>
          <w:sz w:val="21"/>
          <w:szCs w:val="21"/>
        </w:rPr>
        <w:t>远程控制配电</w:t>
      </w:r>
      <w:r>
        <w:rPr>
          <w:rFonts w:ascii="宋体" w:hAnsi="宋体"/>
          <w:sz w:val="21"/>
          <w:szCs w:val="21"/>
        </w:rPr>
        <w:t>柜开关</w:t>
      </w:r>
      <w:r>
        <w:rPr>
          <w:rFonts w:hint="eastAsia" w:ascii="宋体" w:hAnsi="宋体"/>
          <w:sz w:val="21"/>
          <w:szCs w:val="21"/>
        </w:rPr>
        <w:t>；支持定时控制功能；</w:t>
      </w:r>
    </w:p>
    <w:p>
      <w:pPr>
        <w:keepNext w:val="0"/>
        <w:keepLines w:val="0"/>
        <w:pageBreakBefore w:val="0"/>
        <w:numPr>
          <w:ilvl w:val="0"/>
          <w:numId w:val="0"/>
        </w:numPr>
        <w:kinsoku/>
        <w:wordWrap/>
        <w:overflowPunct/>
        <w:topLinePunct w:val="0"/>
        <w:autoSpaceDE/>
        <w:autoSpaceDN/>
        <w:bidi w:val="0"/>
        <w:spacing w:line="400" w:lineRule="exact"/>
        <w:ind w:firstLine="420" w:firstLineChars="200"/>
        <w:jc w:val="left"/>
        <w:textAlignment w:val="auto"/>
        <w:rPr>
          <w:rFonts w:hint="eastAsia" w:ascii="宋体" w:hAnsi="宋体"/>
          <w:sz w:val="21"/>
          <w:szCs w:val="21"/>
          <w:lang w:eastAsia="zh-CN"/>
        </w:rPr>
      </w:pPr>
      <w:r>
        <w:rPr>
          <w:rFonts w:hint="eastAsia" w:ascii="宋体" w:hAnsi="宋体"/>
          <w:sz w:val="21"/>
          <w:szCs w:val="21"/>
        </w:rPr>
        <w:t>防护等级：满足项目使用要求及相关标准；符合国家标准</w:t>
      </w:r>
      <w:r>
        <w:rPr>
          <w:rFonts w:ascii="宋体" w:hAnsi="宋体"/>
          <w:sz w:val="21"/>
          <w:szCs w:val="21"/>
        </w:rPr>
        <w:t>及规范</w:t>
      </w:r>
      <w:r>
        <w:rPr>
          <w:rFonts w:hint="eastAsia" w:ascii="宋体" w:hAnsi="宋体"/>
          <w:sz w:val="21"/>
          <w:szCs w:val="21"/>
          <w:lang w:eastAsia="zh-CN"/>
        </w:rPr>
        <w:t>。</w:t>
      </w:r>
    </w:p>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ascii="宋体" w:hAnsi="宋体" w:cs="宋体"/>
          <w:b/>
          <w:sz w:val="21"/>
          <w:szCs w:val="21"/>
        </w:rPr>
      </w:pPr>
      <w:r>
        <w:rPr>
          <w:rFonts w:ascii="宋体" w:hAnsi="宋体" w:cs="宋体"/>
          <w:b/>
          <w:sz w:val="21"/>
          <w:szCs w:val="21"/>
        </w:rPr>
        <w:t>1</w:t>
      </w:r>
      <w:r>
        <w:rPr>
          <w:rFonts w:hint="eastAsia" w:ascii="宋体" w:hAnsi="宋体" w:cs="宋体"/>
          <w:b/>
          <w:sz w:val="21"/>
          <w:szCs w:val="21"/>
        </w:rPr>
        <w:t>.3</w:t>
      </w:r>
      <w:r>
        <w:rPr>
          <w:rFonts w:ascii="宋体" w:hAnsi="宋体" w:cs="宋体"/>
          <w:b/>
          <w:sz w:val="21"/>
          <w:szCs w:val="21"/>
        </w:rPr>
        <w:t xml:space="preserve"> </w:t>
      </w:r>
      <w:r>
        <w:rPr>
          <w:rFonts w:hint="eastAsia" w:ascii="宋体" w:hAnsi="宋体" w:cs="宋体"/>
          <w:b/>
          <w:sz w:val="21"/>
          <w:szCs w:val="21"/>
        </w:rPr>
        <w:t>投标产品其它要求</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投标人提供的所有货物，其制造商应有完善的质量检测手段和质量保证体系，产品符合国家标准和行业标准。投标人在投标书中应对质量保证体系做出说明。</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投标人提供的所有技术文件中的技术指标除非在技术指标要求中另作规定外，均应使用相应的国际标准、中国国家标准、各行业的相应标准、国际标准化组织标准。</w:t>
      </w:r>
    </w:p>
    <w:p>
      <w:pPr>
        <w:pStyle w:val="36"/>
        <w:keepNext w:val="0"/>
        <w:keepLines w:val="0"/>
        <w:pageBreakBefore w:val="0"/>
        <w:widowControl/>
        <w:numPr>
          <w:ilvl w:val="0"/>
          <w:numId w:val="0"/>
        </w:numPr>
        <w:kinsoku/>
        <w:wordWrap/>
        <w:overflowPunct/>
        <w:topLinePunct w:val="0"/>
        <w:autoSpaceDE/>
        <w:autoSpaceDN/>
        <w:bidi w:val="0"/>
        <w:spacing w:line="400" w:lineRule="exact"/>
        <w:ind w:left="480" w:leftChars="0"/>
        <w:jc w:val="left"/>
        <w:textAlignment w:val="auto"/>
        <w:rPr>
          <w:rFonts w:hint="eastAsia"/>
          <w:sz w:val="21"/>
          <w:szCs w:val="21"/>
        </w:rPr>
      </w:pPr>
      <w:r>
        <w:rPr>
          <w:rFonts w:hint="eastAsia"/>
          <w:sz w:val="21"/>
          <w:szCs w:val="21"/>
        </w:rPr>
        <w:t>投标人所提供货物应为符合制造商出厂标准的全新合格产品。</w:t>
      </w:r>
    </w:p>
    <w:p>
      <w:pPr>
        <w:pStyle w:val="36"/>
        <w:keepNext w:val="0"/>
        <w:keepLines w:val="0"/>
        <w:pageBreakBefore w:val="0"/>
        <w:widowControl/>
        <w:numPr>
          <w:ilvl w:val="0"/>
          <w:numId w:val="0"/>
        </w:numPr>
        <w:kinsoku/>
        <w:wordWrap/>
        <w:overflowPunct/>
        <w:topLinePunct w:val="0"/>
        <w:autoSpaceDE/>
        <w:autoSpaceDN/>
        <w:bidi w:val="0"/>
        <w:spacing w:line="400" w:lineRule="exact"/>
        <w:jc w:val="left"/>
        <w:textAlignment w:val="auto"/>
        <w:rPr>
          <w:rFonts w:ascii="宋体" w:hAnsi="宋体" w:cs="宋体"/>
          <w:b/>
          <w:sz w:val="21"/>
          <w:szCs w:val="21"/>
        </w:rPr>
      </w:pPr>
      <w:r>
        <w:rPr>
          <w:rFonts w:ascii="宋体" w:hAnsi="宋体" w:cs="宋体"/>
          <w:b/>
          <w:sz w:val="21"/>
          <w:szCs w:val="21"/>
        </w:rPr>
        <w:t>1</w:t>
      </w:r>
      <w:r>
        <w:rPr>
          <w:rFonts w:hint="eastAsia" w:ascii="宋体" w:hAnsi="宋体" w:cs="宋体"/>
          <w:b/>
          <w:sz w:val="21"/>
          <w:szCs w:val="21"/>
        </w:rPr>
        <w:t>.4 投标产品质量保证要求</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人所提供的所有产品必须为投标货物生产厂家提供的原厂设备，包装未开封，而且设备（包括零部件）应是交付前六个月内生产且未被使用过的全新设备，并且是非长期积压的库存商品，同时必须在中国境内具有合法使用权。</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投标设备必须是先进的且必须保证：投标设备完全符合该设备规定的质量、规格和性能的要求，且在正确安装、正常使用和保养条件下，在规定的使用寿命期内性能满足承诺的指标要求。</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投标人必须根据本次采购的实际需求，提供合理和必需的设备配置和报价建议，且必须按照招标文件格式提供投标产品的分项报价及详细的配置清单。</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sz w:val="21"/>
          <w:szCs w:val="21"/>
        </w:rPr>
      </w:pPr>
      <w:r>
        <w:rPr>
          <w:rFonts w:hint="eastAsia"/>
          <w:sz w:val="21"/>
          <w:szCs w:val="21"/>
        </w:rPr>
        <w:t>投标人所提供的各类设备必须能够与用户现有设备实现稳定连接。</w:t>
      </w:r>
    </w:p>
    <w:p>
      <w:pPr>
        <w:pStyle w:val="36"/>
        <w:keepNext w:val="0"/>
        <w:keepLines w:val="0"/>
        <w:pageBreakBefore w:val="0"/>
        <w:widowControl/>
        <w:numPr>
          <w:ilvl w:val="0"/>
          <w:numId w:val="0"/>
        </w:numPr>
        <w:kinsoku/>
        <w:wordWrap/>
        <w:overflowPunct/>
        <w:topLinePunct w:val="0"/>
        <w:autoSpaceDE/>
        <w:autoSpaceDN/>
        <w:bidi w:val="0"/>
        <w:spacing w:line="400" w:lineRule="exact"/>
        <w:ind w:firstLine="420" w:firstLineChars="200"/>
        <w:jc w:val="left"/>
        <w:textAlignment w:val="auto"/>
        <w:rPr>
          <w:rFonts w:hint="eastAsia"/>
          <w:sz w:val="21"/>
          <w:szCs w:val="21"/>
        </w:rPr>
      </w:pPr>
      <w:r>
        <w:rPr>
          <w:rFonts w:hint="eastAsia"/>
          <w:sz w:val="21"/>
          <w:szCs w:val="21"/>
        </w:rPr>
        <w:t>投标人应提供原厂全套安装配件。</w:t>
      </w:r>
    </w:p>
    <w:p>
      <w:pPr>
        <w:jc w:val="left"/>
        <w:rPr>
          <w:rFonts w:hint="eastAsia"/>
          <w:sz w:val="28"/>
          <w:szCs w:val="28"/>
          <w:lang w:eastAsia="zh-CN"/>
        </w:rPr>
      </w:pPr>
      <w:r>
        <w:rPr>
          <w:rFonts w:hint="eastAsia"/>
          <w:sz w:val="21"/>
          <w:szCs w:val="21"/>
        </w:rPr>
        <w:t>要求原厂商或设备提供商必须提出对所提供产品进行系统运行技术保障和维护工作的服务条款和服务承诺。</w:t>
      </w:r>
    </w:p>
    <w:p>
      <w:pPr>
        <w:pStyle w:val="31"/>
        <w:spacing w:line="320" w:lineRule="exact"/>
        <w:ind w:firstLine="560" w:firstLineChars="0"/>
        <w:rPr>
          <w:rFonts w:hint="eastAsia" w:ascii="宋体" w:hAnsi="宋体" w:eastAsia="宋体" w:cs="宋体"/>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unga">
    <w:panose1 w:val="020B0502040204020203"/>
    <w:charset w:val="00"/>
    <w:family w:val="swiss"/>
    <w:pitch w:val="default"/>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96号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1FB"/>
    <w:multiLevelType w:val="multilevel"/>
    <w:tmpl w:val="428641F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29F"/>
    <w:rsid w:val="002C5D0F"/>
    <w:rsid w:val="00A22D1A"/>
    <w:rsid w:val="00AE5A2B"/>
    <w:rsid w:val="00E22C49"/>
    <w:rsid w:val="00E24720"/>
    <w:rsid w:val="00F868B7"/>
    <w:rsid w:val="01794623"/>
    <w:rsid w:val="0182060A"/>
    <w:rsid w:val="01930D7C"/>
    <w:rsid w:val="01E7369E"/>
    <w:rsid w:val="022F7347"/>
    <w:rsid w:val="02343FEC"/>
    <w:rsid w:val="0283529C"/>
    <w:rsid w:val="034E406A"/>
    <w:rsid w:val="04F83125"/>
    <w:rsid w:val="056B5286"/>
    <w:rsid w:val="05E64A2B"/>
    <w:rsid w:val="075A6180"/>
    <w:rsid w:val="07951895"/>
    <w:rsid w:val="079D4E13"/>
    <w:rsid w:val="08116E07"/>
    <w:rsid w:val="08646F10"/>
    <w:rsid w:val="0A8312B2"/>
    <w:rsid w:val="0AD3139E"/>
    <w:rsid w:val="0AF357C2"/>
    <w:rsid w:val="0BB9546F"/>
    <w:rsid w:val="0BF87599"/>
    <w:rsid w:val="0C966FB6"/>
    <w:rsid w:val="0CFD3760"/>
    <w:rsid w:val="0D2B2676"/>
    <w:rsid w:val="0D9B1D15"/>
    <w:rsid w:val="0E397DEE"/>
    <w:rsid w:val="0EF77118"/>
    <w:rsid w:val="0F2812F4"/>
    <w:rsid w:val="0F333CCC"/>
    <w:rsid w:val="0F3417BF"/>
    <w:rsid w:val="0F393FAC"/>
    <w:rsid w:val="0F3F3A5F"/>
    <w:rsid w:val="0FBC046B"/>
    <w:rsid w:val="106F28D9"/>
    <w:rsid w:val="10A71125"/>
    <w:rsid w:val="1129001A"/>
    <w:rsid w:val="1134420A"/>
    <w:rsid w:val="11912A7E"/>
    <w:rsid w:val="11A279A2"/>
    <w:rsid w:val="11C63818"/>
    <w:rsid w:val="12014D43"/>
    <w:rsid w:val="120A147E"/>
    <w:rsid w:val="123E0181"/>
    <w:rsid w:val="12784354"/>
    <w:rsid w:val="127F741C"/>
    <w:rsid w:val="12B06F31"/>
    <w:rsid w:val="1461236A"/>
    <w:rsid w:val="14643E2B"/>
    <w:rsid w:val="14F6131A"/>
    <w:rsid w:val="156D02E7"/>
    <w:rsid w:val="163F793A"/>
    <w:rsid w:val="184E6A38"/>
    <w:rsid w:val="184F5D93"/>
    <w:rsid w:val="1894614F"/>
    <w:rsid w:val="18AE60E9"/>
    <w:rsid w:val="192575E0"/>
    <w:rsid w:val="19310D9D"/>
    <w:rsid w:val="19561D79"/>
    <w:rsid w:val="19A07B05"/>
    <w:rsid w:val="19C574F9"/>
    <w:rsid w:val="19C80328"/>
    <w:rsid w:val="1A1A0911"/>
    <w:rsid w:val="1A2A0D53"/>
    <w:rsid w:val="1A612F19"/>
    <w:rsid w:val="1A9B4F8E"/>
    <w:rsid w:val="1AF84118"/>
    <w:rsid w:val="1BAF484F"/>
    <w:rsid w:val="1BD129CC"/>
    <w:rsid w:val="1BF25AC4"/>
    <w:rsid w:val="1C7A2998"/>
    <w:rsid w:val="1CA1126D"/>
    <w:rsid w:val="1D386F0A"/>
    <w:rsid w:val="1DE64446"/>
    <w:rsid w:val="1E1A4190"/>
    <w:rsid w:val="1E385A70"/>
    <w:rsid w:val="1EE65484"/>
    <w:rsid w:val="1F6F6442"/>
    <w:rsid w:val="1F7D36CB"/>
    <w:rsid w:val="1F7F1DF0"/>
    <w:rsid w:val="1FAF187F"/>
    <w:rsid w:val="1FBE24CF"/>
    <w:rsid w:val="202077DA"/>
    <w:rsid w:val="2075600D"/>
    <w:rsid w:val="209C7D09"/>
    <w:rsid w:val="214B7316"/>
    <w:rsid w:val="217E3535"/>
    <w:rsid w:val="21EB7A25"/>
    <w:rsid w:val="220C3F3F"/>
    <w:rsid w:val="22D95337"/>
    <w:rsid w:val="23694C49"/>
    <w:rsid w:val="23A8559F"/>
    <w:rsid w:val="24831FA1"/>
    <w:rsid w:val="249800C6"/>
    <w:rsid w:val="25AF6039"/>
    <w:rsid w:val="25F05283"/>
    <w:rsid w:val="26227082"/>
    <w:rsid w:val="262537F7"/>
    <w:rsid w:val="26383766"/>
    <w:rsid w:val="26645FAB"/>
    <w:rsid w:val="26A16E16"/>
    <w:rsid w:val="26BB0CCE"/>
    <w:rsid w:val="26EE2C7C"/>
    <w:rsid w:val="270F023A"/>
    <w:rsid w:val="27BF5AB4"/>
    <w:rsid w:val="28E22134"/>
    <w:rsid w:val="28FC44F2"/>
    <w:rsid w:val="29647C86"/>
    <w:rsid w:val="296544C9"/>
    <w:rsid w:val="29B673E4"/>
    <w:rsid w:val="29FD4568"/>
    <w:rsid w:val="2A0662E5"/>
    <w:rsid w:val="2A3C2236"/>
    <w:rsid w:val="2A5E32AB"/>
    <w:rsid w:val="2ACE3699"/>
    <w:rsid w:val="2AD57CC0"/>
    <w:rsid w:val="2B8346E3"/>
    <w:rsid w:val="2C0D3E59"/>
    <w:rsid w:val="2CBA0FF5"/>
    <w:rsid w:val="2D62220A"/>
    <w:rsid w:val="2D833F8F"/>
    <w:rsid w:val="2DB10527"/>
    <w:rsid w:val="2DC03B55"/>
    <w:rsid w:val="2DF14A8B"/>
    <w:rsid w:val="2E3B76BB"/>
    <w:rsid w:val="2ECA6954"/>
    <w:rsid w:val="2F4E23BC"/>
    <w:rsid w:val="308E319A"/>
    <w:rsid w:val="30930AE0"/>
    <w:rsid w:val="30C419B0"/>
    <w:rsid w:val="30E95458"/>
    <w:rsid w:val="31454A3D"/>
    <w:rsid w:val="32124878"/>
    <w:rsid w:val="3251036B"/>
    <w:rsid w:val="328E6718"/>
    <w:rsid w:val="33D34996"/>
    <w:rsid w:val="33E76902"/>
    <w:rsid w:val="34052C33"/>
    <w:rsid w:val="34E521EA"/>
    <w:rsid w:val="35980BD9"/>
    <w:rsid w:val="35DA26C3"/>
    <w:rsid w:val="36082464"/>
    <w:rsid w:val="364A2378"/>
    <w:rsid w:val="36E6087B"/>
    <w:rsid w:val="378652F2"/>
    <w:rsid w:val="378B2209"/>
    <w:rsid w:val="37C239D4"/>
    <w:rsid w:val="37F53B7B"/>
    <w:rsid w:val="391467B5"/>
    <w:rsid w:val="391B2D84"/>
    <w:rsid w:val="395547B6"/>
    <w:rsid w:val="3A0A5E14"/>
    <w:rsid w:val="3AB42FBD"/>
    <w:rsid w:val="3CE006E1"/>
    <w:rsid w:val="3D8257AD"/>
    <w:rsid w:val="3EAD3EEA"/>
    <w:rsid w:val="3F082449"/>
    <w:rsid w:val="3F4871AE"/>
    <w:rsid w:val="3F726E01"/>
    <w:rsid w:val="3FB22D31"/>
    <w:rsid w:val="3FBB083E"/>
    <w:rsid w:val="40EC6DDC"/>
    <w:rsid w:val="417450FE"/>
    <w:rsid w:val="42975AD3"/>
    <w:rsid w:val="42F953CA"/>
    <w:rsid w:val="43BD792F"/>
    <w:rsid w:val="443F17B1"/>
    <w:rsid w:val="4464104B"/>
    <w:rsid w:val="44B27F70"/>
    <w:rsid w:val="44D60966"/>
    <w:rsid w:val="45372001"/>
    <w:rsid w:val="45507635"/>
    <w:rsid w:val="457A777A"/>
    <w:rsid w:val="45984FD7"/>
    <w:rsid w:val="45996446"/>
    <w:rsid w:val="45A5407B"/>
    <w:rsid w:val="45EF6230"/>
    <w:rsid w:val="461920F6"/>
    <w:rsid w:val="462C6948"/>
    <w:rsid w:val="467A7ED0"/>
    <w:rsid w:val="47634434"/>
    <w:rsid w:val="479A0105"/>
    <w:rsid w:val="480C77F8"/>
    <w:rsid w:val="48F43609"/>
    <w:rsid w:val="492A42F6"/>
    <w:rsid w:val="4960333D"/>
    <w:rsid w:val="497644E1"/>
    <w:rsid w:val="4AD12575"/>
    <w:rsid w:val="4AF50ED4"/>
    <w:rsid w:val="4B5125AF"/>
    <w:rsid w:val="4B5C38FD"/>
    <w:rsid w:val="4C777F23"/>
    <w:rsid w:val="4C8F4EA5"/>
    <w:rsid w:val="4CF0753C"/>
    <w:rsid w:val="4DCA3A16"/>
    <w:rsid w:val="4E207A65"/>
    <w:rsid w:val="4EB852FB"/>
    <w:rsid w:val="4EC44FA6"/>
    <w:rsid w:val="4EF36F42"/>
    <w:rsid w:val="4F3658C7"/>
    <w:rsid w:val="4F73213A"/>
    <w:rsid w:val="4FD21072"/>
    <w:rsid w:val="4FE535DF"/>
    <w:rsid w:val="50221449"/>
    <w:rsid w:val="5024289C"/>
    <w:rsid w:val="5115364F"/>
    <w:rsid w:val="517F674F"/>
    <w:rsid w:val="51824063"/>
    <w:rsid w:val="51961E21"/>
    <w:rsid w:val="51A3745D"/>
    <w:rsid w:val="51BC436A"/>
    <w:rsid w:val="52052473"/>
    <w:rsid w:val="52737F8C"/>
    <w:rsid w:val="527F6235"/>
    <w:rsid w:val="532426DE"/>
    <w:rsid w:val="532902AF"/>
    <w:rsid w:val="53536268"/>
    <w:rsid w:val="544874F0"/>
    <w:rsid w:val="54C544F6"/>
    <w:rsid w:val="55980C2E"/>
    <w:rsid w:val="560B7692"/>
    <w:rsid w:val="56490E46"/>
    <w:rsid w:val="57512EBA"/>
    <w:rsid w:val="575A11F6"/>
    <w:rsid w:val="57840326"/>
    <w:rsid w:val="57DF5A10"/>
    <w:rsid w:val="58550FC6"/>
    <w:rsid w:val="599765A7"/>
    <w:rsid w:val="5A8C7845"/>
    <w:rsid w:val="5B6E453C"/>
    <w:rsid w:val="5C452DAB"/>
    <w:rsid w:val="5C4A5AE8"/>
    <w:rsid w:val="5C8B594C"/>
    <w:rsid w:val="5DA177B3"/>
    <w:rsid w:val="5E57255B"/>
    <w:rsid w:val="5EC57E85"/>
    <w:rsid w:val="5EE71AAD"/>
    <w:rsid w:val="5F1D51BA"/>
    <w:rsid w:val="5F8164CD"/>
    <w:rsid w:val="5FB65FBB"/>
    <w:rsid w:val="608C3F88"/>
    <w:rsid w:val="613944E2"/>
    <w:rsid w:val="61623D7F"/>
    <w:rsid w:val="61AE6780"/>
    <w:rsid w:val="62D73A3C"/>
    <w:rsid w:val="635A063A"/>
    <w:rsid w:val="63B42D06"/>
    <w:rsid w:val="640706D8"/>
    <w:rsid w:val="64182FDA"/>
    <w:rsid w:val="64533623"/>
    <w:rsid w:val="64893E9C"/>
    <w:rsid w:val="64A960A9"/>
    <w:rsid w:val="65212235"/>
    <w:rsid w:val="656E6431"/>
    <w:rsid w:val="65B70D02"/>
    <w:rsid w:val="663651D4"/>
    <w:rsid w:val="66501418"/>
    <w:rsid w:val="67795F60"/>
    <w:rsid w:val="68540DFD"/>
    <w:rsid w:val="68C52B76"/>
    <w:rsid w:val="68FE64D8"/>
    <w:rsid w:val="69494A47"/>
    <w:rsid w:val="695218D5"/>
    <w:rsid w:val="696D4097"/>
    <w:rsid w:val="69DF3F03"/>
    <w:rsid w:val="6A4B791D"/>
    <w:rsid w:val="6A847583"/>
    <w:rsid w:val="6B013472"/>
    <w:rsid w:val="6B295089"/>
    <w:rsid w:val="6B5F45B8"/>
    <w:rsid w:val="6B876802"/>
    <w:rsid w:val="6BEA011B"/>
    <w:rsid w:val="6E3707C3"/>
    <w:rsid w:val="6E6B1CD8"/>
    <w:rsid w:val="6EAA27E4"/>
    <w:rsid w:val="6EB3625F"/>
    <w:rsid w:val="6EB40CCD"/>
    <w:rsid w:val="6ECD6CFB"/>
    <w:rsid w:val="6EFC79CB"/>
    <w:rsid w:val="6F391944"/>
    <w:rsid w:val="6F3A01D0"/>
    <w:rsid w:val="70463EE2"/>
    <w:rsid w:val="70627A3A"/>
    <w:rsid w:val="70C604E9"/>
    <w:rsid w:val="70D978AB"/>
    <w:rsid w:val="71EB66FB"/>
    <w:rsid w:val="722C461C"/>
    <w:rsid w:val="724B5159"/>
    <w:rsid w:val="72C06C31"/>
    <w:rsid w:val="72D0325B"/>
    <w:rsid w:val="72D45D79"/>
    <w:rsid w:val="759169EA"/>
    <w:rsid w:val="75D90407"/>
    <w:rsid w:val="76453FA9"/>
    <w:rsid w:val="770022CA"/>
    <w:rsid w:val="775A0DDA"/>
    <w:rsid w:val="778D5392"/>
    <w:rsid w:val="77EA2935"/>
    <w:rsid w:val="786309C6"/>
    <w:rsid w:val="7962770C"/>
    <w:rsid w:val="7A7515DC"/>
    <w:rsid w:val="7ACC5CEF"/>
    <w:rsid w:val="7B384932"/>
    <w:rsid w:val="7B677480"/>
    <w:rsid w:val="7C4F042F"/>
    <w:rsid w:val="7CE01DEC"/>
    <w:rsid w:val="7D1C4E77"/>
    <w:rsid w:val="7D7A70C3"/>
    <w:rsid w:val="7D890306"/>
    <w:rsid w:val="7DBF5EE9"/>
    <w:rsid w:val="7E4551D2"/>
    <w:rsid w:val="7E9F58CF"/>
    <w:rsid w:val="7EA35FD3"/>
    <w:rsid w:val="7EC15CA3"/>
    <w:rsid w:val="7F0E1EC2"/>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3">
    <w:name w:val="heading 2"/>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4">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0">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5">
    <w:name w:val="Normal Indent"/>
    <w:basedOn w:val="1"/>
    <w:qFormat/>
    <w:uiPriority w:val="0"/>
    <w:pPr>
      <w:ind w:firstLine="420"/>
    </w:pPr>
    <w:rPr>
      <w:szCs w:val="20"/>
    </w:rPr>
  </w:style>
  <w:style w:type="paragraph" w:styleId="6">
    <w:name w:val="Body Text"/>
    <w:basedOn w:val="1"/>
    <w:next w:val="7"/>
    <w:qFormat/>
    <w:uiPriority w:val="0"/>
    <w:pPr>
      <w:spacing w:line="360" w:lineRule="exact"/>
    </w:pPr>
    <w:rPr>
      <w:sz w:val="24"/>
    </w:rPr>
  </w:style>
  <w:style w:type="paragraph" w:customStyle="1" w:styleId="7">
    <w:name w:val="一级条标题"/>
    <w:basedOn w:val="8"/>
    <w:next w:val="9"/>
    <w:qFormat/>
    <w:uiPriority w:val="0"/>
    <w:pPr>
      <w:spacing w:line="240" w:lineRule="auto"/>
      <w:ind w:left="420"/>
      <w:outlineLvl w:val="2"/>
    </w:pPr>
  </w:style>
  <w:style w:type="paragraph" w:customStyle="1" w:styleId="8">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2">
    <w:name w:val="Plain Text"/>
    <w:basedOn w:val="1"/>
    <w:qFormat/>
    <w:uiPriority w:val="0"/>
    <w:rPr>
      <w:rFonts w:ascii="宋体" w:hAnsi="Courier New"/>
      <w:szCs w:val="20"/>
    </w:rPr>
  </w:style>
  <w:style w:type="paragraph" w:styleId="13">
    <w:name w:val="Balloon Text"/>
    <w:basedOn w:val="1"/>
    <w:link w:val="25"/>
    <w:qFormat/>
    <w:uiPriority w:val="0"/>
    <w:pPr>
      <w:spacing w:line="240" w:lineRule="auto"/>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19"/>
      <w:jc w:val="left"/>
    </w:pPr>
    <w:rPr>
      <w:rFonts w:ascii="宋体" w:hAnsi="宋体" w:cs="宋体"/>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0"/>
    <w:rPr>
      <w:color w:val="000099"/>
      <w:u w:val="none"/>
    </w:rPr>
  </w:style>
  <w:style w:type="paragraph" w:customStyle="1" w:styleId="24">
    <w:name w:val="列出段落1"/>
    <w:basedOn w:val="1"/>
    <w:qFormat/>
    <w:uiPriority w:val="34"/>
    <w:pPr>
      <w:ind w:firstLine="420"/>
    </w:pPr>
    <w:rPr>
      <w:rFonts w:ascii="Calibri" w:hAnsi="Calibri"/>
    </w:rPr>
  </w:style>
  <w:style w:type="character" w:customStyle="1" w:styleId="25">
    <w:name w:val="批注框文本 Char"/>
    <w:basedOn w:val="20"/>
    <w:link w:val="13"/>
    <w:qFormat/>
    <w:uiPriority w:val="0"/>
    <w:rPr>
      <w:sz w:val="18"/>
      <w:szCs w:val="18"/>
    </w:rPr>
  </w:style>
  <w:style w:type="character" w:customStyle="1" w:styleId="26">
    <w:name w:val="font41"/>
    <w:basedOn w:val="20"/>
    <w:qFormat/>
    <w:uiPriority w:val="0"/>
    <w:rPr>
      <w:rFonts w:hint="default" w:ascii="Tahoma" w:hAnsi="Tahoma" w:eastAsia="Tahoma" w:cs="Tahoma"/>
      <w:color w:val="000000"/>
      <w:sz w:val="18"/>
      <w:szCs w:val="18"/>
      <w:u w:val="none"/>
    </w:rPr>
  </w:style>
  <w:style w:type="character" w:customStyle="1" w:styleId="27">
    <w:name w:val="font11"/>
    <w:basedOn w:val="20"/>
    <w:qFormat/>
    <w:uiPriority w:val="0"/>
    <w:rPr>
      <w:rFonts w:hint="eastAsia" w:ascii="宋体" w:hAnsi="宋体" w:eastAsia="宋体" w:cs="宋体"/>
      <w:color w:val="000000"/>
      <w:sz w:val="24"/>
      <w:szCs w:val="24"/>
      <w:u w:val="none"/>
      <w:vertAlign w:val="subscript"/>
    </w:rPr>
  </w:style>
  <w:style w:type="character" w:customStyle="1" w:styleId="28">
    <w:name w:val="font01"/>
    <w:basedOn w:val="20"/>
    <w:qFormat/>
    <w:uiPriority w:val="0"/>
    <w:rPr>
      <w:rFonts w:hint="eastAsia" w:ascii="宋体" w:hAnsi="宋体" w:eastAsia="宋体" w:cs="宋体"/>
      <w:color w:val="FF0000"/>
      <w:sz w:val="16"/>
      <w:szCs w:val="16"/>
      <w:u w:val="none"/>
    </w:rPr>
  </w:style>
  <w:style w:type="character" w:customStyle="1" w:styleId="29">
    <w:name w:val="font31"/>
    <w:basedOn w:val="20"/>
    <w:qFormat/>
    <w:uiPriority w:val="0"/>
    <w:rPr>
      <w:rFonts w:hint="eastAsia" w:ascii="宋体" w:hAnsi="宋体" w:eastAsia="宋体" w:cs="宋体"/>
      <w:color w:val="000000"/>
      <w:sz w:val="16"/>
      <w:szCs w:val="16"/>
      <w:u w:val="none"/>
    </w:rPr>
  </w:style>
  <w:style w:type="character" w:customStyle="1" w:styleId="30">
    <w:name w:val="font21"/>
    <w:basedOn w:val="20"/>
    <w:qFormat/>
    <w:uiPriority w:val="0"/>
    <w:rPr>
      <w:rFonts w:hint="eastAsia" w:ascii="宋体" w:hAnsi="宋体" w:eastAsia="宋体" w:cs="宋体"/>
      <w:color w:val="FF0000"/>
      <w:sz w:val="32"/>
      <w:szCs w:val="32"/>
      <w:u w:val="none"/>
    </w:rPr>
  </w:style>
  <w:style w:type="paragraph" w:customStyle="1" w:styleId="31">
    <w:name w:val="正文-1"/>
    <w:basedOn w:val="1"/>
    <w:qFormat/>
    <w:uiPriority w:val="0"/>
    <w:pPr>
      <w:spacing w:line="360" w:lineRule="auto"/>
      <w:ind w:firstLine="560"/>
    </w:pPr>
    <w:rPr>
      <w:rFonts w:eastAsia="仿宋_GB2312"/>
      <w:sz w:val="28"/>
      <w:szCs w:val="28"/>
    </w:rPr>
  </w:style>
  <w:style w:type="paragraph" w:customStyle="1" w:styleId="32">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样式 标题 2 + Times1 Char"/>
    <w:link w:val="34"/>
    <w:qFormat/>
    <w:uiPriority w:val="0"/>
    <w:rPr>
      <w:rFonts w:ascii="Times" w:hAnsi="Times"/>
      <w:iCs/>
      <w:kern w:val="0"/>
      <w:sz w:val="28"/>
      <w:szCs w:val="28"/>
    </w:rPr>
  </w:style>
  <w:style w:type="paragraph" w:customStyle="1" w:styleId="34">
    <w:name w:val="样式 标题 2 + Times1"/>
    <w:basedOn w:val="3"/>
    <w:link w:val="33"/>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5">
    <w:name w:val="15"/>
    <w:basedOn w:val="20"/>
    <w:qFormat/>
    <w:uiPriority w:val="0"/>
    <w:rPr>
      <w:rFonts w:hint="eastAsia" w:ascii="宋体" w:hAnsi="宋体" w:eastAsia="宋体"/>
      <w:color w:val="000000"/>
      <w:sz w:val="24"/>
      <w:szCs w:val="24"/>
    </w:rPr>
  </w:style>
  <w:style w:type="paragraph" w:styleId="36">
    <w:name w:val="List Paragraph"/>
    <w:basedOn w:val="1"/>
    <w:qFormat/>
    <w:uiPriority w:val="34"/>
    <w:pPr>
      <w:spacing w:line="360" w:lineRule="auto"/>
    </w:pPr>
    <w:rPr>
      <w:rFonts w:ascii="Calibri" w:hAnsi="Calibri" w:eastAsia="宋体" w:cs="Times New Roman"/>
      <w:sz w:val="21"/>
      <w:szCs w:val="22"/>
    </w:rPr>
  </w:style>
  <w:style w:type="paragraph" w:customStyle="1" w:styleId="37">
    <w:name w:val="列出段落2"/>
    <w:basedOn w:val="1"/>
    <w:qFormat/>
    <w:uiPriority w:val="0"/>
    <w:pPr>
      <w:spacing w:line="360" w:lineRule="auto"/>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25</TotalTime>
  <ScaleCrop>false</ScaleCrop>
  <LinksUpToDate>false</LinksUpToDate>
  <CharactersWithSpaces>23373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Administrator</cp:lastModifiedBy>
  <cp:lastPrinted>2018-01-05T04:13:00Z</cp:lastPrinted>
  <dcterms:modified xsi:type="dcterms:W3CDTF">2019-09-10T08:49:31Z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