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平财采字（竞磋货物）201</w:t>
      </w:r>
      <w:r>
        <w:rPr>
          <w:rFonts w:hint="eastAsia" w:ascii="宋体" w:hAnsi="宋体" w:eastAsia="宋体" w:cs="宋体"/>
          <w:b/>
          <w:color w:val="auto"/>
          <w:sz w:val="36"/>
          <w:szCs w:val="36"/>
          <w:lang w:val="en-US" w:eastAsia="zh-CN"/>
        </w:rPr>
        <w:t>9</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29</w:t>
      </w:r>
      <w:r>
        <w:rPr>
          <w:rFonts w:hint="eastAsia" w:ascii="宋体" w:hAnsi="宋体" w:eastAsia="宋体" w:cs="宋体"/>
          <w:b/>
          <w:color w:val="auto"/>
          <w:sz w:val="36"/>
          <w:szCs w:val="36"/>
          <w:lang w:eastAsia="zh-CN"/>
        </w:rPr>
        <w:t>号</w:t>
      </w:r>
    </w:p>
    <w:p>
      <w:pPr>
        <w:adjustRightInd w:val="0"/>
        <w:spacing w:line="720" w:lineRule="auto"/>
        <w:ind w:left="2530" w:hanging="2530" w:hangingChars="70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海东市平安区妇幼保健计划生育服务中心医疗设备采购安装项目</w:t>
      </w: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2"/>
          <w:szCs w:val="32"/>
          <w:lang w:eastAsia="zh-CN"/>
        </w:rPr>
        <w:t>海东市平安区妇幼保健计划生育服务中心</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201</w:t>
      </w:r>
      <w:r>
        <w:rPr>
          <w:rFonts w:hint="eastAsia" w:ascii="宋体" w:hAnsi="宋体" w:eastAsia="宋体" w:cs="宋体"/>
          <w:b/>
          <w:bCs/>
          <w:color w:val="auto"/>
          <w:sz w:val="36"/>
          <w:szCs w:val="36"/>
          <w:lang w:val="en-US" w:eastAsia="zh-CN"/>
        </w:rPr>
        <w:t>9</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7</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3"/>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8"/>
        <w:spacing w:before="0" w:after="0" w:line="360" w:lineRule="auto"/>
        <w:ind w:firstLine="0" w:firstLineChars="0"/>
        <w:rPr>
          <w:rFonts w:hint="eastAsia"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10"/>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海东市平安区政府采购服务中心（以下均简称“采购代理机构”）受海东市平安区妇幼保健计划生育服务中心（以下均简称“采购人”）委托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海东市平安区妇幼保健计划生育服务中心医疗设备采购安装项目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9"/>
        <w:tblW w:w="10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平财采字（竞磋货物）2019-29号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海东市平安区妇幼保健计划生育服务中心医疗设备采购安装项目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b/>
                <w:bCs/>
                <w:color w:val="auto"/>
                <w:sz w:val="21"/>
                <w:szCs w:val="21"/>
                <w:lang w:val="en-US" w:eastAsia="zh-CN"/>
              </w:rPr>
              <w:t>62.8万</w:t>
            </w:r>
            <w:r>
              <w:rPr>
                <w:rFonts w:hint="eastAsia" w:ascii="宋体" w:hAnsi="宋体" w:eastAsia="宋体" w:cs="宋体"/>
                <w:b/>
                <w:bCs/>
                <w:color w:val="auto"/>
                <w:sz w:val="21"/>
                <w:szCs w:val="21"/>
                <w:lang w:val="zh-CN" w:eastAsia="zh-CN"/>
              </w:rPr>
              <w:t>元（包</w:t>
            </w:r>
            <w:r>
              <w:rPr>
                <w:rFonts w:hint="eastAsia" w:ascii="宋体" w:hAnsi="宋体" w:eastAsia="宋体" w:cs="宋体"/>
                <w:b/>
                <w:bCs/>
                <w:color w:val="auto"/>
                <w:sz w:val="21"/>
                <w:szCs w:val="21"/>
                <w:lang w:val="en-US" w:eastAsia="zh-CN"/>
              </w:rPr>
              <w:t>1：液基细胞制片机一台、听力筛查仪一台、电子阴道镜一台， 预算控制额度为：36.8万元；包2：盆底康复诊疗系统一台，预算控制额度为：26万元</w:t>
            </w:r>
            <w:r>
              <w:rPr>
                <w:rFonts w:hint="eastAsia" w:ascii="宋体" w:hAnsi="宋体" w:eastAsia="宋体" w:cs="宋体"/>
                <w:b/>
                <w:bCs/>
                <w:color w:val="auto"/>
                <w:sz w:val="21"/>
                <w:szCs w:val="21"/>
                <w:lang w:val="zh-C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"http://ufgov.jilin.filedownload.com/" </w:instrText>
            </w:r>
            <w:r>
              <w:rPr>
                <w:rFonts w:hint="eastAsia" w:ascii="宋体" w:hAnsi="宋体" w:eastAsia="宋体" w:cs="宋体"/>
                <w:color w:val="auto"/>
              </w:rPr>
              <w:fldChar w:fldCharType="separate"/>
            </w:r>
            <w:r>
              <w:rPr>
                <w:rStyle w:val="23"/>
                <w:rFonts w:hint="eastAsia" w:ascii="宋体" w:hAnsi="宋体" w:eastAsia="宋体" w:cs="宋体"/>
                <w:color w:val="auto"/>
                <w:sz w:val="24"/>
                <w:szCs w:val="24"/>
                <w:u w:val="single"/>
              </w:rPr>
              <w:t>点击此处下载</w:t>
            </w:r>
            <w:r>
              <w:rPr>
                <w:rStyle w:val="23"/>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4"/>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2019年8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00</w:t>
            </w:r>
            <w:r>
              <w:rPr>
                <w:rFonts w:hint="eastAsia" w:ascii="宋体" w:hAnsi="宋体" w:eastAsia="宋体" w:cs="宋体"/>
                <w:color w:val="auto"/>
                <w:sz w:val="24"/>
                <w:szCs w:val="24"/>
                <w:lang w:val="zh-CN"/>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日下午3:00（北京时间）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海东市平安区妇幼保健计划生育服务中心</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殷女士</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eastAsia"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0972-8612505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2"/>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2"/>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w:t>
            </w:r>
            <w:r>
              <w:rPr>
                <w:rFonts w:hint="eastAsia" w:ascii="宋体" w:hAnsi="宋体" w:eastAsia="宋体" w:cs="宋体"/>
                <w:b/>
                <w:bCs/>
                <w:color w:val="auto"/>
                <w:sz w:val="24"/>
                <w:szCs w:val="24"/>
                <w:lang w:eastAsia="zh-CN"/>
              </w:rPr>
              <w:t>人</w:t>
            </w:r>
            <w:r>
              <w:rPr>
                <w:rFonts w:hint="eastAsia" w:ascii="宋体" w:hAnsi="宋体" w:eastAsia="宋体" w:cs="宋体"/>
                <w:b/>
                <w:bCs/>
                <w:color w:val="auto"/>
                <w:sz w:val="24"/>
                <w:szCs w:val="24"/>
              </w:rPr>
              <w:t>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中国工商银行股份有限公司海东分行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海东市平安区妇幼保健计划生育服务中心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2806035109026429441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w:t>
            </w:r>
            <w:r>
              <w:rPr>
                <w:rFonts w:hint="eastAsia" w:ascii="Arial" w:hAnsi="Arial" w:cs="Arial"/>
                <w:sz w:val="24"/>
                <w:lang w:val="en-US" w:eastAsia="zh-CN"/>
              </w:rPr>
              <w:t>0</w:t>
            </w:r>
            <w:bookmarkStart w:id="182" w:name="_GoBack"/>
            <w:bookmarkEnd w:id="182"/>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auto"/>
          <w:sz w:val="24"/>
          <w:szCs w:val="24"/>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8"/>
        <w:spacing w:before="0" w:after="0" w:line="360" w:lineRule="auto"/>
        <w:ind w:firstLine="0" w:firstLineChars="0"/>
        <w:rPr>
          <w:rFonts w:hint="eastAsia" w:ascii="宋体" w:hAnsi="宋体" w:eastAsia="宋体" w:cs="宋体"/>
          <w:color w:val="auto"/>
          <w:lang w:val="zh-CN"/>
        </w:rPr>
      </w:pPr>
      <w:bookmarkStart w:id="2" w:name="_Toc3201"/>
      <w:bookmarkStart w:id="3" w:name="_Toc19487"/>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Ind w:w="0" w:type="dxa"/>
        <w:tblLayout w:type="fixed"/>
        <w:tblCellMar>
          <w:top w:w="0" w:type="dxa"/>
          <w:left w:w="57" w:type="dxa"/>
          <w:bottom w:w="0" w:type="dxa"/>
          <w:right w:w="57" w:type="dxa"/>
        </w:tblCellMar>
      </w:tblPr>
      <w:tblGrid>
        <w:gridCol w:w="653"/>
        <w:gridCol w:w="2530"/>
        <w:gridCol w:w="7022"/>
      </w:tblGrid>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平财采字（竞磋货物）2019-29号</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海东市平安区妇幼保健计划生育服务中心医疗设备采购安装项目</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海东市平安区妇幼保健计划生育服务中心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b/>
                <w:bCs/>
                <w:color w:val="auto"/>
                <w:sz w:val="21"/>
                <w:szCs w:val="21"/>
                <w:lang w:val="en-US" w:eastAsia="zh-CN"/>
              </w:rPr>
              <w:t>62.8万</w:t>
            </w:r>
            <w:r>
              <w:rPr>
                <w:rFonts w:hint="eastAsia" w:ascii="宋体" w:hAnsi="宋体" w:eastAsia="宋体" w:cs="宋体"/>
                <w:b/>
                <w:bCs/>
                <w:color w:val="auto"/>
                <w:sz w:val="21"/>
                <w:szCs w:val="21"/>
                <w:lang w:val="zh-CN" w:eastAsia="zh-CN"/>
              </w:rPr>
              <w:t>元（包</w:t>
            </w:r>
            <w:r>
              <w:rPr>
                <w:rFonts w:hint="eastAsia" w:ascii="宋体" w:hAnsi="宋体" w:eastAsia="宋体" w:cs="宋体"/>
                <w:b/>
                <w:bCs/>
                <w:color w:val="auto"/>
                <w:sz w:val="21"/>
                <w:szCs w:val="21"/>
                <w:lang w:val="en-US" w:eastAsia="zh-CN"/>
              </w:rPr>
              <w:t>1：液基细胞制片机一台、听力筛查仪一台、电子阴道镜一台， 预算控制额度为：36.8万元；包2：盆底康复诊疗系统一台，预算控制额度为：26万元</w:t>
            </w:r>
            <w:r>
              <w:rPr>
                <w:rFonts w:hint="eastAsia" w:ascii="宋体" w:hAnsi="宋体" w:eastAsia="宋体" w:cs="宋体"/>
                <w:b/>
                <w:bCs/>
                <w:color w:val="auto"/>
                <w:sz w:val="21"/>
                <w:szCs w:val="21"/>
                <w:lang w:val="zh-CN" w:eastAsia="zh-CN"/>
              </w:rPr>
              <w:t>）</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en-US"/>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包1:7000元；包2:5000元。</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收款单位：海东市平安区妇幼保健计划生育服务中心</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开 户 行：</w:t>
            </w:r>
            <w:r>
              <w:rPr>
                <w:rFonts w:hint="eastAsia" w:ascii="宋体" w:hAnsi="宋体" w:eastAsia="宋体" w:cs="宋体"/>
                <w:color w:val="auto"/>
                <w:sz w:val="24"/>
                <w:szCs w:val="24"/>
                <w:lang w:eastAsia="zh-CN"/>
              </w:rPr>
              <w:t>中国工商银行股份有限公司海东分行</w:t>
            </w:r>
          </w:p>
          <w:p>
            <w:pPr>
              <w:autoSpaceDE w:val="0"/>
              <w:autoSpaceDN w:val="0"/>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zh-CN"/>
              </w:rPr>
              <w:t>银行账号：</w:t>
            </w:r>
            <w:r>
              <w:rPr>
                <w:rFonts w:hint="eastAsia" w:ascii="宋体" w:hAnsi="宋体" w:eastAsia="宋体" w:cs="宋体"/>
                <w:color w:val="auto"/>
                <w:sz w:val="24"/>
                <w:szCs w:val="24"/>
                <w:lang w:val="en-US" w:eastAsia="zh-CN"/>
              </w:rPr>
              <w:t>2806035109026429441</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日下午3:00（北京时间）</w:t>
            </w:r>
            <w:r>
              <w:rPr>
                <w:rFonts w:hint="eastAsia" w:ascii="宋体" w:hAnsi="宋体" w:eastAsia="宋体" w:cs="宋体"/>
                <w:color w:val="auto"/>
                <w:sz w:val="24"/>
                <w:szCs w:val="24"/>
                <w:lang w:val="en-US" w:eastAsia="zh-CN"/>
              </w:rPr>
              <w:t xml:space="preserve"> </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日下午3:00（北京时间）</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24622"/>
      <w:bookmarkStart w:id="7" w:name="_Toc376936728"/>
      <w:bookmarkStart w:id="8" w:name="_Toc14943"/>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325725999"/>
      <w:bookmarkStart w:id="14" w:name="_Toc376936730"/>
      <w:bookmarkStart w:id="15" w:name="_Toc21998"/>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（6）营业执照中包含与本次项目相关的经营范围，</w:t>
      </w:r>
      <w:r>
        <w:rPr>
          <w:rFonts w:hint="eastAsia"/>
          <w:lang w:val="zh-CN"/>
        </w:rPr>
        <w:t>医疗器械生产（经营）企业许可证；</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(7)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10649"/>
      <w:bookmarkStart w:id="25" w:name="_Toc376936733"/>
      <w:bookmarkStart w:id="26" w:name="_Toc14153"/>
      <w:bookmarkStart w:id="27" w:name="_Toc325726002"/>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9674"/>
      <w:bookmarkStart w:id="40" w:name="_Toc325726006"/>
      <w:bookmarkStart w:id="41" w:name="_Toc13057"/>
      <w:bookmarkStart w:id="42" w:name="_Toc376936737"/>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376936743"/>
      <w:bookmarkStart w:id="44" w:name="_Toc17093"/>
      <w:bookmarkStart w:id="45" w:name="_Toc21569"/>
      <w:bookmarkStart w:id="46" w:name="_Toc325726012"/>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32704"/>
      <w:bookmarkStart w:id="48" w:name="_Toc376936744"/>
      <w:bookmarkStart w:id="49" w:name="_Toc325726013"/>
      <w:bookmarkStart w:id="50" w:name="_Toc2204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325726008"/>
      <w:bookmarkStart w:id="52" w:name="_Toc376936739"/>
      <w:bookmarkStart w:id="53" w:name="_Toc31915"/>
      <w:bookmarkStart w:id="54" w:name="_Toc16445"/>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373392580"/>
      <w:bookmarkStart w:id="56" w:name="_Toc11377"/>
      <w:bookmarkStart w:id="57" w:name="_Toc412617729"/>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相应的电子文档</w:t>
      </w:r>
      <w:r>
        <w:rPr>
          <w:rFonts w:hint="eastAsia" w:ascii="宋体" w:hAnsi="宋体"/>
          <w:sz w:val="24"/>
        </w:rPr>
        <w:t>1份（U盘，</w:t>
      </w:r>
      <w:r>
        <w:rPr>
          <w:rFonts w:hint="eastAsia" w:ascii="宋体" w:hAnsi="宋体"/>
          <w:sz w:val="24"/>
          <w:lang w:val="zh-CN"/>
        </w:rPr>
        <w:t>电子文档为图片等不可编辑格式，且电子文档</w:t>
      </w:r>
      <w:r>
        <w:rPr>
          <w:rFonts w:hint="eastAsia" w:ascii="宋体" w:hAnsi="宋体"/>
          <w:sz w:val="24"/>
          <w:lang w:val="zh-CN" w:eastAsia="zh-CN"/>
        </w:rPr>
        <w:t>必</w:t>
      </w:r>
      <w:r>
        <w:rPr>
          <w:rFonts w:hint="eastAsia" w:ascii="宋体" w:hAnsi="宋体"/>
          <w:sz w:val="24"/>
          <w:lang w:val="zh-CN"/>
        </w:rPr>
        <w:t>须与响应文件正本一致，包括签字盖章部分），报价一览表1份。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2"/>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412617730"/>
      <w:bookmarkStart w:id="60" w:name="_Toc15102"/>
      <w:bookmarkStart w:id="61" w:name="_Toc376936748"/>
      <w:bookmarkStart w:id="62" w:name="_Toc371090029"/>
    </w:p>
    <w:p>
      <w:pPr>
        <w:pStyle w:val="12"/>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373392582"/>
      <w:bookmarkStart w:id="64" w:name="_Toc1176"/>
      <w:bookmarkStart w:id="65" w:name="_Toc23823"/>
      <w:bookmarkStart w:id="66" w:name="_Toc325726016"/>
      <w:bookmarkStart w:id="67" w:name="_Toc412617731"/>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hAnsi="宋体" w:eastAsia="宋体" w:cs="宋体"/>
          <w:color w:val="auto"/>
          <w:sz w:val="24"/>
          <w:szCs w:val="24"/>
          <w:lang w:val="zh-CN"/>
        </w:rPr>
        <w:t>201</w:t>
      </w:r>
      <w:r>
        <w:rPr>
          <w:rFonts w:hint="eastAsia" w:hAnsi="宋体" w:eastAsia="宋体" w:cs="宋体"/>
          <w:color w:val="auto"/>
          <w:sz w:val="24"/>
          <w:szCs w:val="24"/>
          <w:lang w:val="en-US" w:eastAsia="zh-CN"/>
        </w:rPr>
        <w:t>9</w:t>
      </w:r>
      <w:r>
        <w:rPr>
          <w:rFonts w:hint="eastAsia" w:hAnsi="宋体" w:eastAsia="宋体" w:cs="宋体"/>
          <w:color w:val="auto"/>
          <w:sz w:val="24"/>
          <w:szCs w:val="24"/>
          <w:lang w:val="zh-CN"/>
        </w:rPr>
        <w:t>年</w:t>
      </w:r>
      <w:r>
        <w:rPr>
          <w:rFonts w:hint="eastAsia" w:hAnsi="宋体" w:eastAsia="宋体" w:cs="宋体"/>
          <w:color w:val="auto"/>
          <w:sz w:val="24"/>
          <w:szCs w:val="24"/>
          <w:lang w:val="en-US" w:eastAsia="zh-CN"/>
        </w:rPr>
        <w:t>8</w:t>
      </w:r>
      <w:r>
        <w:rPr>
          <w:rFonts w:hint="eastAsia" w:hAnsi="宋体" w:eastAsia="宋体" w:cs="宋体"/>
          <w:color w:val="auto"/>
          <w:sz w:val="24"/>
          <w:szCs w:val="24"/>
          <w:lang w:val="zh-CN"/>
        </w:rPr>
        <w:t>月</w:t>
      </w:r>
      <w:r>
        <w:rPr>
          <w:rFonts w:hint="eastAsia" w:hAnsi="宋体" w:eastAsia="宋体" w:cs="宋体"/>
          <w:color w:val="auto"/>
          <w:sz w:val="24"/>
          <w:szCs w:val="24"/>
          <w:lang w:val="en-US" w:eastAsia="zh-CN"/>
        </w:rPr>
        <w:t>13</w:t>
      </w:r>
      <w:r>
        <w:rPr>
          <w:rFonts w:hint="eastAsia" w:hAnsi="宋体" w:eastAsia="宋体" w:cs="宋体"/>
          <w:color w:val="auto"/>
          <w:sz w:val="24"/>
          <w:szCs w:val="24"/>
          <w:lang w:val="zh-CN"/>
        </w:rPr>
        <w:t>日下午3:00</w:t>
      </w:r>
      <w:r>
        <w:rPr>
          <w:rFonts w:hint="eastAsia" w:ascii="宋体" w:hAnsi="宋体" w:eastAsia="宋体" w:cs="宋体"/>
          <w:color w:val="auto"/>
          <w:sz w:val="24"/>
          <w:szCs w:val="24"/>
        </w:rPr>
        <w:t>之前不准启封”标签密封。</w:t>
      </w:r>
    </w:p>
    <w:p>
      <w:pPr>
        <w:pStyle w:val="12"/>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73392583"/>
      <w:bookmarkStart w:id="69" w:name="_Toc325726017"/>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2"/>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76936751"/>
      <w:bookmarkStart w:id="80" w:name="_Toc325726020"/>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25726021"/>
      <w:bookmarkStart w:id="84" w:name="_Toc19030"/>
      <w:bookmarkStart w:id="85" w:name="_Toc18107"/>
      <w:bookmarkStart w:id="86" w:name="_Toc376936752"/>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325726022"/>
      <w:bookmarkStart w:id="88" w:name="_Toc376936753"/>
      <w:bookmarkStart w:id="89" w:name="_Toc16935"/>
      <w:bookmarkStart w:id="90" w:name="_Toc26121"/>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27086"/>
      <w:bookmarkStart w:id="92" w:name="_Toc14694"/>
      <w:bookmarkStart w:id="93" w:name="_Toc376936754"/>
      <w:bookmarkStart w:id="94" w:name="_Toc325726023"/>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325726024"/>
      <w:bookmarkStart w:id="96" w:name="_Toc376936755"/>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9"/>
        <w:tblW w:w="1020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投标产品技术参数和配置完全满足或高于招标文件要求的得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分，基本满足招标文件要求，技术参数每有1项负偏离扣5分，直到扣完为止。（此项评分以产品彩页、</w:t>
            </w:r>
            <w:r>
              <w:rPr>
                <w:rFonts w:hAnsi="宋体" w:cs="宋体"/>
                <w:sz w:val="24"/>
                <w:szCs w:val="24"/>
              </w:rPr>
              <w:t>技术白皮书</w:t>
            </w:r>
            <w:r>
              <w:rPr>
                <w:rFonts w:hint="eastAsia" w:hAnsi="宋体" w:cs="宋体"/>
                <w:sz w:val="24"/>
                <w:szCs w:val="24"/>
                <w:lang w:val="en-US" w:eastAsia="zh-CN"/>
              </w:rPr>
              <w:t>(进口设备)、</w:t>
            </w:r>
            <w:r>
              <w:rPr>
                <w:rFonts w:hint="eastAsia" w:ascii="宋体" w:hAnsi="宋体" w:eastAsia="宋体" w:cs="宋体"/>
                <w:color w:val="auto"/>
                <w:sz w:val="24"/>
                <w:szCs w:val="24"/>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2963"/>
      <w:bookmarkStart w:id="109" w:name="_Toc376936759"/>
      <w:bookmarkStart w:id="110" w:name="_Toc2346"/>
      <w:bookmarkStart w:id="111" w:name="_Toc325726028"/>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18063"/>
      <w:bookmarkStart w:id="114" w:name="_Toc376936758"/>
      <w:bookmarkStart w:id="115" w:name="_Toc5556"/>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376936764"/>
      <w:bookmarkStart w:id="133" w:name="_Toc28018"/>
      <w:bookmarkStart w:id="134" w:name="_Toc325726033"/>
      <w:bookmarkStart w:id="135" w:name="_Toc17567"/>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325726034"/>
      <w:bookmarkStart w:id="137" w:name="_Toc376936765"/>
      <w:bookmarkStart w:id="138" w:name="_Toc16406"/>
      <w:bookmarkStart w:id="139" w:name="_Toc19538"/>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10"/>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海东市平安区妇幼保健计划生育服务中心医疗设备采购安装项目</w:t>
      </w:r>
      <w:r>
        <w:rPr>
          <w:rFonts w:hint="eastAsia" w:ascii="宋体" w:hAnsi="宋体" w:eastAsia="宋体" w:cs="宋体"/>
          <w:color w:val="auto"/>
          <w:kern w:val="0"/>
          <w:sz w:val="24"/>
          <w:szCs w:val="24"/>
          <w:u w:val="none" w:color="auto"/>
          <w:lang w:val="zh-CN"/>
        </w:rPr>
        <w:t>（平财采字（竞磋货物）201</w:t>
      </w:r>
      <w:r>
        <w:rPr>
          <w:rFonts w:hint="eastAsia" w:ascii="宋体" w:hAnsi="宋体" w:eastAsia="宋体" w:cs="宋体"/>
          <w:color w:val="auto"/>
          <w:kern w:val="0"/>
          <w:sz w:val="24"/>
          <w:szCs w:val="24"/>
          <w:u w:val="none" w:color="auto"/>
          <w:lang w:val="en-US" w:eastAsia="zh-CN"/>
        </w:rPr>
        <w:t>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u w:val="none" w:color="auto"/>
          <w:lang w:val="en-US" w:eastAsia="zh-CN"/>
        </w:rPr>
        <w:t>29</w:t>
      </w:r>
      <w:r>
        <w:rPr>
          <w:rFonts w:hint="eastAsia" w:ascii="宋体" w:hAnsi="宋体" w:eastAsia="宋体" w:cs="宋体"/>
          <w:color w:val="auto"/>
          <w:kern w:val="0"/>
          <w:sz w:val="24"/>
          <w:szCs w:val="24"/>
          <w:u w:val="none" w:color="auto"/>
          <w:lang w:val="zh-CN"/>
        </w:rPr>
        <w:t>）</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9"/>
        <w:tblW w:w="10205" w:type="dxa"/>
        <w:jc w:val="center"/>
        <w:tblInd w:w="-252" w:type="dxa"/>
        <w:tblLayout w:type="fixed"/>
        <w:tblCellMar>
          <w:top w:w="0" w:type="dxa"/>
          <w:left w:w="57" w:type="dxa"/>
          <w:bottom w:w="0" w:type="dxa"/>
          <w:right w:w="57" w:type="dxa"/>
        </w:tblCellMar>
      </w:tblPr>
      <w:tblGrid>
        <w:gridCol w:w="812"/>
        <w:gridCol w:w="2191"/>
        <w:gridCol w:w="2940"/>
        <w:gridCol w:w="1125"/>
        <w:gridCol w:w="1065"/>
        <w:gridCol w:w="1095"/>
        <w:gridCol w:w="977"/>
      </w:tblGrid>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交货时间：</w:t>
      </w:r>
      <w:r>
        <w:rPr>
          <w:rFonts w:hint="eastAsia" w:ascii="宋体" w:hAnsi="宋体" w:eastAsia="宋体" w:cs="宋体"/>
          <w:color w:val="auto"/>
          <w:kern w:val="0"/>
          <w:sz w:val="24"/>
          <w:szCs w:val="24"/>
          <w:u w:val="single" w:color="auto"/>
          <w:lang w:val="en-US" w:eastAsia="zh-CN"/>
        </w:rPr>
        <w:t>合同签订后20个日历日</w:t>
      </w:r>
      <w:r>
        <w:rPr>
          <w:rFonts w:hint="eastAsia" w:ascii="宋体" w:hAnsi="宋体" w:eastAsia="宋体" w:cs="宋体"/>
          <w:color w:val="auto"/>
          <w:kern w:val="0"/>
          <w:sz w:val="24"/>
          <w:szCs w:val="24"/>
          <w:lang w:val="zh-CN"/>
        </w:rPr>
        <w:t>；交货地点：</w:t>
      </w:r>
      <w:r>
        <w:rPr>
          <w:rFonts w:hint="eastAsia" w:ascii="宋体" w:hAnsi="宋体" w:eastAsia="宋体" w:cs="宋体"/>
          <w:color w:val="auto"/>
          <w:kern w:val="0"/>
          <w:sz w:val="24"/>
          <w:szCs w:val="24"/>
          <w:u w:val="single"/>
          <w:lang w:val="zh-CN"/>
        </w:rPr>
        <w:t>甲方指定地点</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u w:val="single"/>
          <w:lang w:val="en-US" w:eastAsia="zh-CN"/>
        </w:rPr>
        <w:t>4</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w:t>
      </w:r>
      <w:r>
        <w:rPr>
          <w:rFonts w:hint="eastAsia" w:ascii="宋体" w:hAnsi="宋体" w:eastAsia="宋体" w:cs="宋体"/>
          <w:color w:val="auto"/>
          <w:sz w:val="24"/>
          <w:szCs w:val="24"/>
          <w:lang w:val="en-US" w:eastAsia="zh-CN"/>
        </w:rPr>
        <w:t>019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lang w:eastAsia="zh-CN"/>
        </w:rPr>
        <w:t>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9"/>
        <w:tblW w:w="827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8277" w:type="dxa"/>
            <w:gridSpan w:val="2"/>
            <w:vAlign w:val="center"/>
          </w:tcPr>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5"/>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9"/>
        <w:tblW w:w="10205" w:type="dxa"/>
        <w:jc w:val="center"/>
        <w:tblInd w:w="0" w:type="dxa"/>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9"/>
        <w:tblW w:w="8617" w:type="dxa"/>
        <w:jc w:val="center"/>
        <w:tblInd w:w="0" w:type="dxa"/>
        <w:tblLayout w:type="fixed"/>
        <w:tblCellMar>
          <w:top w:w="0" w:type="dxa"/>
          <w:left w:w="28" w:type="dxa"/>
          <w:bottom w:w="0" w:type="dxa"/>
          <w:right w:w="28" w:type="dxa"/>
        </w:tblCellMar>
      </w:tblPr>
      <w:tblGrid>
        <w:gridCol w:w="616"/>
        <w:gridCol w:w="1233"/>
        <w:gridCol w:w="2378"/>
        <w:gridCol w:w="1247"/>
        <w:gridCol w:w="2467"/>
        <w:gridCol w:w="676"/>
      </w:tblGrid>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Layout w:type="fixed"/>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0"/>
        <w:rPr>
          <w:rFonts w:ascii="宋体" w:hAnsi="宋体" w:eastAsia="宋体" w:cs="宋体"/>
          <w:color w:val="auto"/>
          <w:sz w:val="24"/>
          <w:szCs w:val="24"/>
          <w:lang w:val="zh-CN"/>
        </w:rPr>
      </w:pP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法定代表人或委托代理人：        （签字）</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0" w:name="_Toc13693"/>
      <w:bookmarkStart w:id="151" w:name="_Toc14675"/>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2019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平财采字（竞磋货物）2019-29号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173"/>
      <w:bookmarkStart w:id="161" w:name="_Toc11349"/>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19128"/>
      <w:bookmarkStart w:id="168" w:name="_Toc32130"/>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rPr>
        <w:t>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5"/>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6" w:name="_Toc408326292"/>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9"/>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idowControl/>
        <w:snapToGrid w:val="0"/>
        <w:spacing w:line="360" w:lineRule="auto"/>
        <w:ind w:firstLine="0" w:firstLineChars="0"/>
        <w:outlineLvl w:val="1"/>
        <w:rPr>
          <w:rFonts w:hint="eastAsia" w:ascii="宋体"/>
          <w:b/>
          <w:sz w:val="28"/>
          <w:szCs w:val="28"/>
        </w:rPr>
      </w:pPr>
      <w:bookmarkStart w:id="177" w:name="_Toc477438335"/>
      <w:bookmarkStart w:id="178" w:name="_Toc460486440"/>
    </w:p>
    <w:p>
      <w:pPr>
        <w:widowControl/>
        <w:snapToGrid w:val="0"/>
        <w:spacing w:line="360" w:lineRule="auto"/>
        <w:ind w:firstLine="0" w:firstLineChars="0"/>
        <w:outlineLvl w:val="1"/>
        <w:rPr>
          <w:rFonts w:hint="eastAsia" w:ascii="宋体"/>
          <w:b/>
          <w:sz w:val="28"/>
          <w:szCs w:val="28"/>
        </w:rPr>
      </w:pPr>
    </w:p>
    <w:p>
      <w:pPr>
        <w:widowControl/>
        <w:snapToGrid w:val="0"/>
        <w:spacing w:line="360" w:lineRule="auto"/>
        <w:ind w:firstLine="0" w:firstLineChars="0"/>
        <w:outlineLvl w:val="1"/>
        <w:rPr>
          <w:rFonts w:hint="eastAsia" w:ascii="宋体"/>
          <w:b/>
          <w:sz w:val="28"/>
          <w:szCs w:val="28"/>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bookmarkEnd w:id="177"/>
      <w:bookmarkEnd w:id="178"/>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eastAsiaTheme="minorEastAsia"/>
          <w:b/>
          <w:bCs/>
          <w:lang w:eastAsia="zh-CN"/>
        </w:rPr>
      </w:pPr>
      <w:r>
        <w:rPr>
          <w:rFonts w:hint="eastAsia" w:ascii="宋体" w:hAnsi="宋体"/>
          <w:b/>
          <w:bCs/>
        </w:rPr>
        <w:t>致：</w:t>
      </w:r>
      <w:r>
        <w:rPr>
          <w:rFonts w:hint="eastAsia" w:ascii="宋体" w:hAnsi="宋体"/>
          <w:b/>
          <w:bCs/>
          <w:lang w:eastAsia="zh-CN"/>
        </w:rPr>
        <w:t>海东市平安区妇幼保健计划生育服务中心</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平财采字（竞磋货物）2019-29号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2019</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numPr>
          <w:ilvl w:val="0"/>
          <w:numId w:val="3"/>
        </w:num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9" w:name="_Toc26743"/>
      <w:r>
        <w:rPr>
          <w:rFonts w:hint="eastAsia" w:ascii="宋体" w:hAnsi="宋体" w:eastAsia="宋体" w:cs="宋体"/>
          <w:b/>
          <w:color w:val="auto"/>
          <w:kern w:val="28"/>
          <w:sz w:val="36"/>
          <w:szCs w:val="20"/>
        </w:rPr>
        <w:t xml:space="preserve"> </w:t>
      </w:r>
      <w:bookmarkEnd w:id="179"/>
      <w:r>
        <w:rPr>
          <w:rFonts w:hint="eastAsia" w:ascii="宋体" w:hAnsi="宋体" w:eastAsia="宋体" w:cs="宋体"/>
          <w:b/>
          <w:color w:val="auto"/>
          <w:kern w:val="28"/>
          <w:sz w:val="36"/>
          <w:szCs w:val="20"/>
          <w:lang w:eastAsia="zh-CN"/>
        </w:rPr>
        <w:t>采购项目清单及技术参数</w:t>
      </w:r>
    </w:p>
    <w:p>
      <w:pPr>
        <w:numPr>
          <w:ilvl w:val="0"/>
          <w:numId w:val="0"/>
        </w:numPr>
        <w:wordWrap w:val="0"/>
        <w:spacing w:line="360" w:lineRule="auto"/>
        <w:jc w:val="both"/>
        <w:rPr>
          <w:rFonts w:hint="eastAsia" w:ascii="宋体" w:hAnsi="宋体" w:eastAsia="宋体" w:cs="宋体"/>
          <w:b/>
          <w:color w:val="auto"/>
          <w:kern w:val="28"/>
          <w:sz w:val="36"/>
          <w:szCs w:val="20"/>
          <w:lang w:eastAsia="zh-CN"/>
        </w:rPr>
      </w:pPr>
      <w:r>
        <w:rPr>
          <w:rFonts w:hint="eastAsia" w:ascii="宋体" w:hAnsi="宋体" w:eastAsia="宋体" w:cs="宋体"/>
          <w:b/>
          <w:bCs/>
          <w:color w:val="auto"/>
          <w:sz w:val="21"/>
          <w:szCs w:val="21"/>
          <w:lang w:val="zh-CN" w:eastAsia="zh-CN"/>
        </w:rPr>
        <w:t>包</w:t>
      </w:r>
      <w:r>
        <w:rPr>
          <w:rFonts w:hint="eastAsia" w:ascii="宋体" w:hAnsi="宋体" w:eastAsia="宋体" w:cs="宋体"/>
          <w:b/>
          <w:bCs/>
          <w:color w:val="auto"/>
          <w:sz w:val="21"/>
          <w:szCs w:val="21"/>
          <w:lang w:val="en-US" w:eastAsia="zh-CN"/>
        </w:rPr>
        <w:t>1：液基细胞制片机一台、听力筛查仪一台、电子阴道镜一台。</w:t>
      </w:r>
    </w:p>
    <w:p>
      <w:pPr>
        <w:jc w:val="center"/>
        <w:rPr>
          <w:rFonts w:hint="eastAsia" w:ascii="宋体" w:hAnsi="宋体" w:eastAsia="宋体" w:cs="宋体"/>
          <w:b/>
          <w:bCs/>
          <w:sz w:val="24"/>
          <w:szCs w:val="24"/>
        </w:rPr>
      </w:pPr>
      <w:r>
        <w:rPr>
          <w:rFonts w:hint="eastAsia" w:ascii="宋体" w:hAnsi="宋体" w:eastAsia="宋体" w:cs="宋体"/>
          <w:b/>
          <w:bCs/>
          <w:sz w:val="24"/>
          <w:szCs w:val="24"/>
        </w:rPr>
        <w:t>液基细胞制片机（沉降式）</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制片原理：全自动液基薄层细胞制片机（沉降式）将自动按照以下顺序完成整个程序：样本采集系统对标本进行密度梯度离心，将杂质、碎片、粘液等非诊断信息进行分离，保留有诊断价值的信息，排液臂排除离心的上清液，转移臂将细胞稀释液加入到样品杯中，混匀细胞并转移到玻片盘的自然沉降桶中进行自然沉降，染色臂对玻片进行自动染色，完成整个制片染片流程。</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适用范围：用于病理分析前对人体细胞标本的制片和染色，适用于宫颈标本、胸腹水、痰液、尿液、腔积液、脑脊液、穿刺液等标本制片及染片</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制片方法：自然沉降式，支持巴氏染色</w:t>
      </w:r>
      <w:r>
        <w:rPr>
          <w:rFonts w:hint="eastAsia" w:ascii="仿宋" w:hAnsi="仿宋" w:eastAsia="仿宋" w:cs="仿宋"/>
          <w:sz w:val="24"/>
          <w:szCs w:val="24"/>
          <w:lang w:eastAsia="zh-CN"/>
        </w:rPr>
        <w:t>。</w:t>
      </w:r>
      <w:r>
        <w:rPr>
          <w:rFonts w:hint="eastAsia" w:ascii="仿宋" w:hAnsi="仿宋" w:eastAsia="仿宋" w:cs="仿宋"/>
          <w:sz w:val="24"/>
          <w:szCs w:val="24"/>
        </w:rPr>
        <w:t xml:space="preserve"> 制片板：圆盘式，避免加样针频繁、长距离运动而导致耗时长 、交互污染和机械疲劳，可管路自动清洗</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操作系统：流线型一体机， 制片量及速度：批量 24 张/次，1-24张可自由设置，每次批量制片加染色时间≤60分钟,玻片诊断面积直径：≤14mm</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仪器运行模式：有自动运行和交互运行两种模式供选择</w:t>
      </w:r>
      <w:r>
        <w:rPr>
          <w:rFonts w:hint="eastAsia" w:ascii="仿宋" w:hAnsi="仿宋" w:eastAsia="仿宋" w:cs="仿宋"/>
          <w:sz w:val="24"/>
          <w:szCs w:val="24"/>
          <w:lang w:val="en-US" w:eastAsia="zh-CN"/>
        </w:rPr>
        <w:t>.</w:t>
      </w:r>
      <w:r>
        <w:rPr>
          <w:rFonts w:hint="eastAsia" w:ascii="仿宋" w:hAnsi="仿宋" w:eastAsia="仿宋" w:cs="仿宋"/>
          <w:sz w:val="24"/>
          <w:szCs w:val="24"/>
        </w:rPr>
        <w:t>染色模式：可选择妇科标本全自动制片巴氏染色程序、非妇科标本全自动制片HE染色程序四种染色模式</w:t>
      </w:r>
      <w:r>
        <w:rPr>
          <w:rFonts w:hint="eastAsia" w:ascii="仿宋" w:hAnsi="仿宋" w:eastAsia="仿宋" w:cs="仿宋"/>
          <w:sz w:val="24"/>
          <w:szCs w:val="24"/>
          <w:lang w:eastAsia="zh-CN"/>
        </w:rPr>
        <w:t>，</w:t>
      </w:r>
      <w:r>
        <w:rPr>
          <w:rFonts w:hint="eastAsia" w:ascii="仿宋" w:hAnsi="仿宋" w:eastAsia="仿宋" w:cs="仿宋"/>
          <w:sz w:val="24"/>
          <w:szCs w:val="24"/>
        </w:rPr>
        <w:t xml:space="preserve"> 操作系统：流线型一体机，结构严谨，与电脑连接, 提供上位机操作界面，配备标准的LTS病理图文系统，操作快捷，实现标本处理，转移沉降制片一次性完成</w:t>
      </w:r>
      <w:r>
        <w:rPr>
          <w:rFonts w:hint="eastAsia" w:ascii="仿宋" w:hAnsi="仿宋" w:eastAsia="仿宋" w:cs="仿宋"/>
          <w:sz w:val="24"/>
          <w:szCs w:val="24"/>
          <w:lang w:eastAsia="zh-CN"/>
        </w:rPr>
        <w:t>。</w:t>
      </w:r>
    </w:p>
    <w:p>
      <w:pPr>
        <w:ind w:left="0" w:leftChars="0" w:firstLine="482" w:firstLineChars="200"/>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听力筛查仪参数</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测试方法：</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TEOAE</w:t>
      </w:r>
    </w:p>
    <w:p>
      <w:pPr>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评估方法：噪音加权平均、信号峰值计算</w:t>
      </w:r>
      <w:r>
        <w:rPr>
          <w:rFonts w:hint="eastAsia" w:ascii="仿宋" w:hAnsi="仿宋" w:eastAsia="仿宋" w:cs="仿宋"/>
          <w:sz w:val="24"/>
          <w:szCs w:val="24"/>
          <w:lang w:eastAsia="zh-CN"/>
        </w:rPr>
        <w:t>，</w:t>
      </w:r>
      <w:r>
        <w:rPr>
          <w:rFonts w:hint="eastAsia" w:ascii="仿宋" w:hAnsi="仿宋" w:eastAsia="仿宋" w:cs="仿宋"/>
          <w:sz w:val="24"/>
          <w:szCs w:val="24"/>
        </w:rPr>
        <w:t>刺激类型：Click（非线性）</w:t>
      </w:r>
      <w:r>
        <w:rPr>
          <w:rFonts w:hint="eastAsia" w:ascii="仿宋" w:hAnsi="仿宋" w:eastAsia="仿宋" w:cs="仿宋"/>
          <w:sz w:val="24"/>
          <w:szCs w:val="24"/>
          <w:lang w:eastAsia="zh-CN"/>
        </w:rPr>
        <w:t>。</w:t>
      </w:r>
    </w:p>
    <w:p>
      <w:pPr>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TEOAE测试</w:t>
      </w:r>
      <w:r>
        <w:rPr>
          <w:rFonts w:hint="eastAsia" w:ascii="仿宋" w:hAnsi="仿宋" w:eastAsia="仿宋" w:cs="仿宋"/>
          <w:sz w:val="24"/>
          <w:szCs w:val="24"/>
        </w:rPr>
        <w:t>显示：统计波形、测试进程、TEOAE水平、伪迹、稳定性、噪音水平</w:t>
      </w:r>
      <w:bookmarkStart w:id="180" w:name="OLE_LINK8"/>
      <w:bookmarkStart w:id="181" w:name="OLE_LINK7"/>
      <w:r>
        <w:rPr>
          <w:rFonts w:hint="eastAsia" w:ascii="仿宋" w:hAnsi="仿宋" w:eastAsia="仿宋" w:cs="仿宋"/>
          <w:sz w:val="24"/>
          <w:szCs w:val="24"/>
        </w:rPr>
        <w:t>、通过PASS/不通过</w:t>
      </w:r>
      <w:bookmarkEnd w:id="180"/>
      <w:bookmarkEnd w:id="181"/>
      <w:r>
        <w:rPr>
          <w:rFonts w:hint="eastAsia" w:ascii="仿宋" w:hAnsi="仿宋" w:eastAsia="仿宋" w:cs="仿宋"/>
          <w:sz w:val="24"/>
          <w:szCs w:val="24"/>
        </w:rPr>
        <w:t>REFER</w:t>
      </w:r>
      <w:r>
        <w:rPr>
          <w:rFonts w:hint="eastAsia" w:ascii="仿宋" w:hAnsi="仿宋" w:eastAsia="仿宋" w:cs="仿宋"/>
          <w:sz w:val="24"/>
          <w:szCs w:val="24"/>
          <w:lang w:eastAsia="zh-CN"/>
        </w:rPr>
        <w:t>。</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DPOAE</w:t>
      </w:r>
      <w:r>
        <w:rPr>
          <w:rFonts w:hint="eastAsia" w:ascii="仿宋" w:hAnsi="仿宋" w:eastAsia="仿宋" w:cs="仿宋"/>
          <w:sz w:val="24"/>
          <w:szCs w:val="24"/>
        </w:rPr>
        <w:tab/>
      </w:r>
    </w:p>
    <w:p>
      <w:pPr>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评估方法：相位统计法</w:t>
      </w:r>
      <w:r>
        <w:rPr>
          <w:rFonts w:hint="eastAsia" w:ascii="仿宋" w:hAnsi="仿宋" w:eastAsia="仿宋" w:cs="仿宋"/>
          <w:sz w:val="24"/>
          <w:szCs w:val="24"/>
          <w:lang w:eastAsia="zh-CN"/>
        </w:rPr>
        <w:t>，</w:t>
      </w:r>
      <w:r>
        <w:rPr>
          <w:rFonts w:hint="eastAsia" w:ascii="仿宋" w:hAnsi="仿宋" w:eastAsia="仿宋" w:cs="仿宋"/>
          <w:sz w:val="24"/>
          <w:szCs w:val="24"/>
        </w:rPr>
        <w:t>刺激类型：两个基本匹配的纯音，f2/f1＝1.24</w:t>
      </w:r>
      <w:r>
        <w:rPr>
          <w:rFonts w:hint="eastAsia" w:ascii="仿宋" w:hAnsi="仿宋" w:eastAsia="仿宋" w:cs="仿宋"/>
          <w:sz w:val="24"/>
          <w:szCs w:val="24"/>
          <w:lang w:eastAsia="zh-CN"/>
        </w:rPr>
        <w:t>，</w:t>
      </w:r>
      <w:r>
        <w:rPr>
          <w:rFonts w:hint="eastAsia" w:ascii="仿宋" w:hAnsi="仿宋" w:eastAsia="仿宋" w:cs="仿宋"/>
          <w:sz w:val="24"/>
          <w:szCs w:val="24"/>
        </w:rPr>
        <w:t>可用测试频率：f2：1-6kHz（可设置）</w:t>
      </w:r>
      <w:r>
        <w:rPr>
          <w:rFonts w:hint="eastAsia" w:ascii="仿宋" w:hAnsi="仿宋" w:eastAsia="仿宋" w:cs="仿宋"/>
          <w:sz w:val="24"/>
          <w:szCs w:val="24"/>
          <w:lang w:eastAsia="zh-CN"/>
        </w:rPr>
        <w:t>。</w:t>
      </w:r>
    </w:p>
    <w:p>
      <w:pPr>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DPOAE测试</w:t>
      </w:r>
      <w:r>
        <w:rPr>
          <w:rFonts w:hint="eastAsia" w:ascii="仿宋" w:hAnsi="仿宋" w:eastAsia="仿宋" w:cs="仿宋"/>
          <w:sz w:val="24"/>
          <w:szCs w:val="24"/>
        </w:rPr>
        <w:t>显示: DPOAE水平、测试进程、噪音水平、DP-Gram</w:t>
      </w:r>
      <w:r>
        <w:rPr>
          <w:rFonts w:hint="eastAsia" w:ascii="仿宋" w:hAnsi="仿宋" w:eastAsia="仿宋" w:cs="仿宋"/>
          <w:sz w:val="24"/>
          <w:szCs w:val="24"/>
          <w:lang w:eastAsia="zh-CN"/>
        </w:rPr>
        <w:t>。</w:t>
      </w:r>
    </w:p>
    <w:p>
      <w:pPr>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TEOAE/DPOAE测试</w:t>
      </w:r>
      <w:r>
        <w:rPr>
          <w:rFonts w:hint="eastAsia" w:ascii="仿宋" w:hAnsi="仿宋" w:eastAsia="仿宋" w:cs="仿宋"/>
          <w:sz w:val="24"/>
          <w:szCs w:val="24"/>
        </w:rPr>
        <w:t>结果显示：总体：PASS/REFER， DPOAE的DP-Gram及噪音水平</w:t>
      </w:r>
      <w:r>
        <w:rPr>
          <w:rFonts w:hint="eastAsia" w:ascii="仿宋" w:hAnsi="仿宋" w:eastAsia="仿宋" w:cs="仿宋"/>
          <w:sz w:val="24"/>
          <w:szCs w:val="24"/>
          <w:lang w:eastAsia="zh-CN"/>
        </w:rPr>
        <w:t>。</w:t>
      </w:r>
    </w:p>
    <w:p>
      <w:pPr>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★操作语言：全中文测试界面，中文输入</w:t>
      </w:r>
      <w:r>
        <w:rPr>
          <w:rFonts w:hint="eastAsia" w:ascii="仿宋" w:hAnsi="仿宋" w:eastAsia="仿宋" w:cs="仿宋"/>
          <w:sz w:val="24"/>
          <w:szCs w:val="24"/>
          <w:lang w:val="en-US" w:eastAsia="zh-CN"/>
        </w:rPr>
        <w:t>.</w:t>
      </w:r>
      <w:r>
        <w:rPr>
          <w:rFonts w:hint="eastAsia" w:ascii="仿宋" w:hAnsi="仿宋" w:eastAsia="仿宋" w:cs="仿宋"/>
          <w:sz w:val="24"/>
          <w:szCs w:val="24"/>
        </w:rPr>
        <w:t>类型：彩色，TFT，触摸屏</w:t>
      </w:r>
      <w:r>
        <w:rPr>
          <w:rFonts w:hint="eastAsia" w:ascii="仿宋" w:hAnsi="仿宋" w:eastAsia="仿宋" w:cs="仿宋"/>
          <w:sz w:val="24"/>
          <w:szCs w:val="24"/>
          <w:lang w:val="en-US" w:eastAsia="zh-CN"/>
        </w:rPr>
        <w:t>(</w:t>
      </w:r>
      <w:r>
        <w:rPr>
          <w:rFonts w:hint="eastAsia" w:ascii="仿宋" w:hAnsi="仿宋" w:eastAsia="仿宋" w:cs="仿宋"/>
          <w:sz w:val="24"/>
          <w:szCs w:val="24"/>
        </w:rPr>
        <w:t>电阻式触屏按键</w:t>
      </w:r>
      <w:r>
        <w:rPr>
          <w:rFonts w:hint="eastAsia" w:ascii="仿宋" w:hAnsi="仿宋" w:eastAsia="仿宋" w:cs="仿宋"/>
          <w:sz w:val="24"/>
          <w:szCs w:val="24"/>
          <w:lang w:val="en-US" w:eastAsia="zh-CN"/>
        </w:rPr>
        <w:t>)</w:t>
      </w:r>
      <w:r>
        <w:rPr>
          <w:rFonts w:hint="eastAsia" w:ascii="仿宋" w:hAnsi="仿宋" w:eastAsia="仿宋" w:cs="仿宋"/>
          <w:sz w:val="24"/>
          <w:szCs w:val="24"/>
        </w:rPr>
        <w:t>，带有可调节LED背光灯</w:t>
      </w:r>
      <w:r>
        <w:rPr>
          <w:rFonts w:hint="eastAsia" w:ascii="仿宋" w:hAnsi="仿宋" w:eastAsia="仿宋" w:cs="仿宋"/>
          <w:sz w:val="24"/>
          <w:szCs w:val="24"/>
          <w:lang w:eastAsia="zh-CN"/>
        </w:rPr>
        <w:t>。</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数据接口：</w:t>
      </w:r>
    </w:p>
    <w:p>
      <w:pPr>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电脑：IR数据传输至扩展底座-由经由USB数据接口从扩展底座至电脑</w:t>
      </w:r>
      <w:r>
        <w:rPr>
          <w:rFonts w:hint="eastAsia" w:ascii="仿宋" w:hAnsi="仿宋" w:eastAsia="仿宋" w:cs="仿宋"/>
          <w:sz w:val="24"/>
          <w:szCs w:val="24"/>
          <w:lang w:val="en-US" w:eastAsia="zh-CN"/>
        </w:rPr>
        <w:t>,</w:t>
      </w:r>
      <w:r>
        <w:rPr>
          <w:rFonts w:hint="eastAsia" w:ascii="仿宋" w:hAnsi="仿宋" w:eastAsia="仿宋" w:cs="仿宋"/>
          <w:sz w:val="24"/>
          <w:szCs w:val="24"/>
        </w:rPr>
        <w:t>接口类型：USB2.0，全速</w:t>
      </w:r>
      <w:r>
        <w:rPr>
          <w:rFonts w:hint="eastAsia" w:ascii="仿宋" w:hAnsi="仿宋" w:eastAsia="仿宋" w:cs="仿宋"/>
          <w:sz w:val="24"/>
          <w:szCs w:val="24"/>
          <w:lang w:val="en-US" w:eastAsia="zh-CN"/>
        </w:rPr>
        <w:t>.主机电池为：</w:t>
      </w:r>
      <w:r>
        <w:rPr>
          <w:rFonts w:hint="eastAsia" w:ascii="仿宋" w:hAnsi="仿宋" w:eastAsia="仿宋" w:cs="仿宋"/>
          <w:sz w:val="24"/>
          <w:szCs w:val="24"/>
        </w:rPr>
        <w:t>可充电锂电池</w:t>
      </w:r>
      <w:r>
        <w:rPr>
          <w:rFonts w:hint="eastAsia" w:ascii="仿宋" w:hAnsi="仿宋" w:eastAsia="仿宋" w:cs="仿宋"/>
          <w:sz w:val="24"/>
          <w:szCs w:val="24"/>
          <w:lang w:eastAsia="zh-CN"/>
        </w:rPr>
        <w:t>。</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探头线：</w:t>
      </w:r>
    </w:p>
    <w:p>
      <w:pPr>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长度约120cm （约55英寸）的柔韧屏蔽线</w:t>
      </w:r>
      <w:r>
        <w:rPr>
          <w:rFonts w:hint="eastAsia" w:ascii="仿宋" w:hAnsi="仿宋" w:eastAsia="仿宋" w:cs="仿宋"/>
          <w:sz w:val="24"/>
          <w:szCs w:val="24"/>
          <w:lang w:eastAsia="zh-CN"/>
        </w:rPr>
        <w:t>。</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患者安全：</w:t>
      </w:r>
    </w:p>
    <w:p>
      <w:pPr>
        <w:ind w:left="0" w:leftChars="0"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EN60601-1，内部供电，BF型，IPXO、IEC 60601-1-26、IEC 60601-2-40</w:t>
      </w:r>
      <w:r>
        <w:rPr>
          <w:rFonts w:hint="eastAsia" w:ascii="仿宋" w:hAnsi="仿宋" w:eastAsia="仿宋" w:cs="仿宋"/>
          <w:sz w:val="24"/>
          <w:szCs w:val="24"/>
          <w:lang w:eastAsia="zh-CN"/>
        </w:rPr>
        <w:t>。</w:t>
      </w:r>
    </w:p>
    <w:p>
      <w:pPr>
        <w:ind w:left="0" w:leftChars="0"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电子阴道镜参数</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镜头性能要求：</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镜头具有光学连续变焦、自动聚焦和高清CCD成像功能，整机成像系统水平分辨率≥500线，空间分辨率：≥10 lpm, 图像几何失真度≤2%，色彩还原度：95%~120%； </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放大倍数支持 1～36倍(可选1～50倍)连续变倍，镜头须提供单独按键控制放大倍数显示或关闭功能，并可在打印报告中显示对图像的倍数标记；</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为方便临床检查操作，可通过镜头按键操作实现：对观察图像视野变换（放大/缩小）、手动可视焦距调节（+/-）、变色温观察（白光三级）、电子滤镜观察（绿光三级）、计时显示和图像冻结功能，支持镜头手柄按键控制图像采集；</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★亮度可调的环形LED组光源，与镜头集成一体，LED组≥38颗，工作距离30CM处光源照度≥1650Lux，须提供能证明其功能的外观；</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提供镜头按键控制的醋酸试验计时标记显示和关闭功能，为检查过程提供量化评估依据，可在打印报告中显示图像的醋酸反映时间标记；</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采用全金属结构可升降直立式支架，确保其使用的稳定性和升降固定的可靠性； </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二、阴道镜工作站性能要求：</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★提供满足多功能应用阴道镜工作站系统，集显示观察、键盘输入、图文报告输出等功能于一体，可支持打印机前置，可选多种类型的打印机（如惠普、佳能、爱普生）；</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具有病例重点关注功能，医生可根据醒目的颜色和标记快速发现需要重点关注的患者，同时提供查询功能，便于医生快速查找患者信息；</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能将阴道镜检查过程中所采集的图像按时间顺序同屏显示（图像数量≥6幅），方便医生对比分析患者病变部位醋白变化和碘染色的关联，提供能证明其功能的软件界面照片并加盖公司确认印章；</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提供R-way阴道镜诊断评估方法，具有阴道镜操作提醒及自动采图功能，量化检查流程，提供基于三种不同溶液实验结果关联“特征”的智能评估和报告系统，便于医生规范阴道镜检查流程和拟诊结果，同时简化了阴道镜检查技术的培训难度，更适合基层医院使用。提供不少于50例病理确诊的病例资料供操作练习，可提供进修培训其临床应用功能的教学医院；</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★可对阴道镜检查、手术治疗进行针对性的记录和随访管理，提供不少于6种打印报告模版，提交患者打印报告后系统自动生成PDF文件备份,便于医疗纠纷的追述；</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可对拟诊结果、病理结果、实验室检查结果、检查医生和开单医生的工作量等进行统计分析，统计结果可以拼图、直方图和折线图形式进行显示，并可输出到Excel表；</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三、网络应用功能</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基于患者为中心的网络数据库系统，对不同阴道镜检查的数据进行统一管理。对患者的阴道镜转诊检查指征、所有的历史病例、诊断术语等进行规范化管理，保证患者数据的一致性；</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提供数据信息的自动备份与恢复功能； </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★为确保网络阴道镜系统使用的安全性及可靠性，在断网情况下，阴道镜也能支持单机运行，网络连通后单机阴道镜能自动恢复与服务器数据同步；</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转诊信息和病理结果信息综合管理网络化应用，方便门诊业务的统计分析；</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提供示教系统，支持阴道镜检查室/LEEP手术治疗室观察和检查视频在示教室同步输出；并提供双向语音交流，方便教学；</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★护士工作站提供门诊叫号系统，便于对阴道镜检查患者的分流处理。</w:t>
      </w:r>
    </w:p>
    <w:p>
      <w:pPr>
        <w:ind w:left="0" w:leftChars="0"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包2：盆底康复诊疗系统一台。</w:t>
      </w:r>
    </w:p>
    <w:p>
      <w:pPr>
        <w:ind w:left="0" w:leftChars="0"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盆底康复诊疗系统</w:t>
      </w:r>
      <w:r>
        <w:rPr>
          <w:rFonts w:hint="eastAsia" w:ascii="仿宋" w:hAnsi="仿宋" w:eastAsia="仿宋" w:cs="仿宋"/>
          <w:b/>
          <w:bCs/>
          <w:sz w:val="24"/>
          <w:szCs w:val="24"/>
        </w:rPr>
        <w:t>参数</w:t>
      </w:r>
    </w:p>
    <w:p>
      <w:pPr>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（一）硬件主机(整机原装进口)</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★通道数≥3个，（1个反馈通道；1个反馈/刺激通道；1个压力通道）。</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反馈/刺激通道，灵敏度调节范围：0ｕV～600ｕV；频带范围：120HZ-450HZ。</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刺激脉冲宽度：200US～500US,连续可调。分辨率小于0.2uV (r.m.s)</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★具备同厂家原装进口配套耗材，阴道刺激/肌电探头、肛门刺激/肌电探头。</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刺激频率：5Hz ～100Hz，在常规允许范围内可上调至200Hz，刺激波形可调。</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刺激转换线；反馈连接接线，各一条。</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★配压力评估系统，包括：压力传感器1套，压力测量灵敏度调节范围：0 cmH2O～600 cmH2O， 压力探头，可以套上避孕套使用，防止交叉感染.</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（二）软件系统</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★具有压力筛查系统，压力探头可以套上避孕套使用。在同一台设备中同时具有治疗系统。</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电脑中文软件操作评估分析系统，包括生物反馈反馈操作系统，原厂开发，同一品牌，集成了盆底调查问卷。</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评估系统：</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A,肌电评估，全面评估盆底肌肉功能状况及其趋势状况，实时评估盆底肌肉的基线值，持续收缩值，快速收缩值，反射值，腹部阈值，最大值、最小值、平均值、标准差等参数，同时可以片段分析患者每个数据参数。 </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B，压力评估，同时具有压力检测分析功能。</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治疗方案：预设了多种治疗方案，同时也可以根据患者病症自定义治疗程序。</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具有启动提示按纽，治疗系统启动、暂停、停止，可以相互切换。</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生物反馈功能</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A, 肌电通道和压力通道可以实时快速标定</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B,每个患者的阶段数据可以每次自动存储，并提供最大值、最小值、平均值、标准差等参数。</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C,每个通道曲线显示的颜色，宽度以及曲线显示方式都可以调节。</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D,每个通道曲线上升和下降的同时，具有可以自定义的卡通动画图提示。 </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E,可以自定义背景音乐，同时肌肉在收缩和放松时具有不同的声音提示。</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F,小儿动画同步训练，包括：森林动画；海洋动画；天空动画。同时背景图案及内容可以实时调节移动速度。 </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刺激模式：具有多种刺激模式，包括：患者被动接受刺激模式及患者盆底肌收缩后启动刺激模式。刺激波形，刺激频率，可自定义参数。</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刺激强度在电脑中文操作系统中可以实时调节</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电极诊断功能：具有电极自动检测系统提示功能，诊断电极连接是否正常。</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 xml:space="preserve">压力测定系统：具有测压连接导管与生物反馈刺激仪同一厂家生产。  </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生物反馈刺激仪网络版系统，医院有2台以上同类设备，可以提供网络系统，数据可以共享，（如果某一个患者来治疗时，她以前使用的设备正在被其他患者使用，她可以在任何闲置的设备上使用，她以前的治疗方案及数据可以在该设备上调出来使用）。内置云模块，与治疗设备无线自动互联，同步数据。</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12.电脑操作系统中，可以打印出相应生物反馈系统收费报告。</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13. 服务功能：通过一套远程服务软件系统，可以完成远程调试，维修设备服务；同时具有远程临床技术指导操作功能。</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14.★在操作系统中具有同步尿动力检测系统，同一品牌，具有相应的注册证，尿流率及尿流量与2组肌电图在同一界面同步检测。</w:t>
      </w:r>
    </w:p>
    <w:p>
      <w:pPr>
        <w:ind w:left="0" w:leftChars="0" w:firstLine="240" w:firstLineChars="100"/>
        <w:rPr>
          <w:rFonts w:hint="eastAsia" w:ascii="仿宋" w:hAnsi="仿宋" w:eastAsia="仿宋" w:cs="仿宋"/>
          <w:sz w:val="24"/>
          <w:szCs w:val="24"/>
        </w:rPr>
      </w:pPr>
      <w:r>
        <w:rPr>
          <w:rFonts w:hint="eastAsia" w:ascii="仿宋" w:hAnsi="仿宋" w:eastAsia="仿宋" w:cs="仿宋"/>
          <w:sz w:val="24"/>
          <w:szCs w:val="24"/>
        </w:rPr>
        <w:t>（三）电脑工作站</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高品质最新型计算机控制系统，双核CPU ,高速硬盘500G，2G内存，10M/100M自适应网络接口，19寸高分辨率彩色液晶显示器，全防水，防尘人体工学键盘，3D鼠标， USB接 口，提供大容量病人资料高速存储刻录系统 。</w:t>
      </w:r>
    </w:p>
    <w:p>
      <w:pPr>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（四）售后服务</w:t>
      </w:r>
      <w:r>
        <w:rPr>
          <w:rFonts w:hint="eastAsia" w:ascii="仿宋" w:hAnsi="仿宋" w:eastAsia="仿宋" w:cs="仿宋"/>
          <w:sz w:val="24"/>
          <w:szCs w:val="24"/>
          <w:lang w:eastAsia="zh-CN"/>
        </w:rPr>
        <w:t>：</w:t>
      </w:r>
      <w:r>
        <w:rPr>
          <w:rFonts w:hint="eastAsia" w:ascii="仿宋" w:hAnsi="仿宋" w:eastAsia="仿宋" w:cs="仿宋"/>
          <w:sz w:val="24"/>
          <w:szCs w:val="24"/>
        </w:rPr>
        <w:t>厂家直接在中国设有售后服务中心，具有专业的厂家工程师及培训师。</w:t>
      </w:r>
    </w:p>
    <w:p>
      <w:pPr>
        <w:ind w:left="0" w:leftChars="0" w:firstLine="480" w:firstLineChars="200"/>
        <w:rPr>
          <w:rFonts w:hint="eastAsia" w:ascii="仿宋" w:hAnsi="仿宋" w:eastAsia="仿宋" w:cs="仿宋"/>
          <w:sz w:val="24"/>
          <w:szCs w:val="24"/>
        </w:rPr>
      </w:pPr>
    </w:p>
    <w:p>
      <w:pPr>
        <w:ind w:left="0" w:leftChars="0" w:firstLine="480" w:firstLineChars="200"/>
        <w:rPr>
          <w:rFonts w:hint="eastAsia" w:ascii="仿宋" w:hAnsi="仿宋" w:eastAsia="仿宋" w:cs="仿宋"/>
          <w:sz w:val="24"/>
          <w:szCs w:val="24"/>
          <w:lang w:val="en-US" w:eastAsia="zh-CN"/>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平财采字（竞磋货物）201</w:t>
    </w:r>
    <w:r>
      <w:rPr>
        <w:rFonts w:hint="eastAsia" w:ascii="宋体" w:hAnsi="宋体" w:eastAsia="宋体" w:cs="宋体"/>
        <w:sz w:val="21"/>
        <w:szCs w:val="21"/>
        <w:u w:val="single"/>
        <w:lang w:val="en-US" w:eastAsia="zh-CN"/>
      </w:rPr>
      <w:t>9</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29号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6207"/>
    <w:multiLevelType w:val="singleLevel"/>
    <w:tmpl w:val="24616207"/>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2C5D0F"/>
    <w:rsid w:val="00A22D1A"/>
    <w:rsid w:val="00AE5A2B"/>
    <w:rsid w:val="00E22C49"/>
    <w:rsid w:val="00E24720"/>
    <w:rsid w:val="01794623"/>
    <w:rsid w:val="0182060A"/>
    <w:rsid w:val="01930D7C"/>
    <w:rsid w:val="022F7347"/>
    <w:rsid w:val="02343FEC"/>
    <w:rsid w:val="0283529C"/>
    <w:rsid w:val="034E406A"/>
    <w:rsid w:val="04A2249C"/>
    <w:rsid w:val="04F83125"/>
    <w:rsid w:val="075A6180"/>
    <w:rsid w:val="07951895"/>
    <w:rsid w:val="079D4E13"/>
    <w:rsid w:val="08116E07"/>
    <w:rsid w:val="08646F10"/>
    <w:rsid w:val="0A0A4A48"/>
    <w:rsid w:val="0A8312B2"/>
    <w:rsid w:val="0AD3139E"/>
    <w:rsid w:val="0AF357C2"/>
    <w:rsid w:val="0B14278B"/>
    <w:rsid w:val="0B933853"/>
    <w:rsid w:val="0BB9546F"/>
    <w:rsid w:val="0BF87599"/>
    <w:rsid w:val="0C966FB6"/>
    <w:rsid w:val="0CFD3760"/>
    <w:rsid w:val="0D2B2676"/>
    <w:rsid w:val="0D89160B"/>
    <w:rsid w:val="0E397DEE"/>
    <w:rsid w:val="0EF77118"/>
    <w:rsid w:val="0F333CCC"/>
    <w:rsid w:val="0F3417BF"/>
    <w:rsid w:val="0F393FAC"/>
    <w:rsid w:val="0FBC046B"/>
    <w:rsid w:val="0FC23B8F"/>
    <w:rsid w:val="10087C61"/>
    <w:rsid w:val="106F28D9"/>
    <w:rsid w:val="10A71125"/>
    <w:rsid w:val="1129001A"/>
    <w:rsid w:val="1134420A"/>
    <w:rsid w:val="11912A7E"/>
    <w:rsid w:val="11A279A2"/>
    <w:rsid w:val="120A147E"/>
    <w:rsid w:val="123E0181"/>
    <w:rsid w:val="12784354"/>
    <w:rsid w:val="14201F9B"/>
    <w:rsid w:val="14643E2B"/>
    <w:rsid w:val="14F6131A"/>
    <w:rsid w:val="1539701F"/>
    <w:rsid w:val="156D02E7"/>
    <w:rsid w:val="184E6A38"/>
    <w:rsid w:val="1894614F"/>
    <w:rsid w:val="18AE60E9"/>
    <w:rsid w:val="192575E0"/>
    <w:rsid w:val="19C574F9"/>
    <w:rsid w:val="1A1A0911"/>
    <w:rsid w:val="1A846FA9"/>
    <w:rsid w:val="1A9B4F8E"/>
    <w:rsid w:val="1AF84118"/>
    <w:rsid w:val="1B810475"/>
    <w:rsid w:val="1BAF484F"/>
    <w:rsid w:val="1BD129CC"/>
    <w:rsid w:val="1C356D38"/>
    <w:rsid w:val="1C7A2998"/>
    <w:rsid w:val="1CA1126D"/>
    <w:rsid w:val="1D386F0A"/>
    <w:rsid w:val="1DE64446"/>
    <w:rsid w:val="1E1A4190"/>
    <w:rsid w:val="1EE65484"/>
    <w:rsid w:val="1F752BE7"/>
    <w:rsid w:val="1F7D36CB"/>
    <w:rsid w:val="1FAF187F"/>
    <w:rsid w:val="1FBE24CF"/>
    <w:rsid w:val="202077DA"/>
    <w:rsid w:val="209C7D09"/>
    <w:rsid w:val="214B7316"/>
    <w:rsid w:val="217E3535"/>
    <w:rsid w:val="21EB7A25"/>
    <w:rsid w:val="22D95337"/>
    <w:rsid w:val="23694C49"/>
    <w:rsid w:val="23A8559F"/>
    <w:rsid w:val="24831FA1"/>
    <w:rsid w:val="253110AD"/>
    <w:rsid w:val="254A6D8C"/>
    <w:rsid w:val="25AF6039"/>
    <w:rsid w:val="25F05283"/>
    <w:rsid w:val="26227082"/>
    <w:rsid w:val="262537F7"/>
    <w:rsid w:val="26645FAB"/>
    <w:rsid w:val="26A16E16"/>
    <w:rsid w:val="26EE2C7C"/>
    <w:rsid w:val="270F023A"/>
    <w:rsid w:val="27B660C9"/>
    <w:rsid w:val="27BF5AB4"/>
    <w:rsid w:val="28AF2E7A"/>
    <w:rsid w:val="28E22134"/>
    <w:rsid w:val="293066F3"/>
    <w:rsid w:val="29647C86"/>
    <w:rsid w:val="29B673E4"/>
    <w:rsid w:val="29FD4568"/>
    <w:rsid w:val="2A0662E5"/>
    <w:rsid w:val="2A5E32AB"/>
    <w:rsid w:val="2ACE3699"/>
    <w:rsid w:val="2B8346E3"/>
    <w:rsid w:val="2C0D3E59"/>
    <w:rsid w:val="2C2148D7"/>
    <w:rsid w:val="2CBA0FF5"/>
    <w:rsid w:val="2D25374F"/>
    <w:rsid w:val="2D62220A"/>
    <w:rsid w:val="2D833F8F"/>
    <w:rsid w:val="2DB10527"/>
    <w:rsid w:val="2DC03B55"/>
    <w:rsid w:val="2DF14A8B"/>
    <w:rsid w:val="2ECA6954"/>
    <w:rsid w:val="2F991B90"/>
    <w:rsid w:val="308E319A"/>
    <w:rsid w:val="30AF618B"/>
    <w:rsid w:val="30C419B0"/>
    <w:rsid w:val="31454A3D"/>
    <w:rsid w:val="32124878"/>
    <w:rsid w:val="3251036B"/>
    <w:rsid w:val="33D34996"/>
    <w:rsid w:val="33E76902"/>
    <w:rsid w:val="34052C33"/>
    <w:rsid w:val="34982262"/>
    <w:rsid w:val="35057AF3"/>
    <w:rsid w:val="35980BD9"/>
    <w:rsid w:val="35DA26C3"/>
    <w:rsid w:val="364A2378"/>
    <w:rsid w:val="36E6087B"/>
    <w:rsid w:val="378652F2"/>
    <w:rsid w:val="37C239D4"/>
    <w:rsid w:val="37F53B7B"/>
    <w:rsid w:val="391B2D84"/>
    <w:rsid w:val="395547B6"/>
    <w:rsid w:val="3AB42FBD"/>
    <w:rsid w:val="3C4277F8"/>
    <w:rsid w:val="3D8257AD"/>
    <w:rsid w:val="3EAD3EEA"/>
    <w:rsid w:val="3F082449"/>
    <w:rsid w:val="3F4871AE"/>
    <w:rsid w:val="3F726E01"/>
    <w:rsid w:val="3FAE7B44"/>
    <w:rsid w:val="406B33F2"/>
    <w:rsid w:val="40EC6DDC"/>
    <w:rsid w:val="417450FE"/>
    <w:rsid w:val="41905E09"/>
    <w:rsid w:val="43BD792F"/>
    <w:rsid w:val="443F17B1"/>
    <w:rsid w:val="4464104B"/>
    <w:rsid w:val="44B27F70"/>
    <w:rsid w:val="44DD08BE"/>
    <w:rsid w:val="45372001"/>
    <w:rsid w:val="45984FD7"/>
    <w:rsid w:val="45996446"/>
    <w:rsid w:val="45A5407B"/>
    <w:rsid w:val="45EF6230"/>
    <w:rsid w:val="461920F6"/>
    <w:rsid w:val="462C6948"/>
    <w:rsid w:val="47634434"/>
    <w:rsid w:val="480C77F8"/>
    <w:rsid w:val="48B13900"/>
    <w:rsid w:val="497644E1"/>
    <w:rsid w:val="49A95493"/>
    <w:rsid w:val="4AD12575"/>
    <w:rsid w:val="4AF50ED4"/>
    <w:rsid w:val="4B5C38FD"/>
    <w:rsid w:val="4C777F23"/>
    <w:rsid w:val="4C8F4EA5"/>
    <w:rsid w:val="4CF0753C"/>
    <w:rsid w:val="4D7C0F5F"/>
    <w:rsid w:val="4E207A65"/>
    <w:rsid w:val="4EB852FB"/>
    <w:rsid w:val="4EBD1896"/>
    <w:rsid w:val="4EC44FA6"/>
    <w:rsid w:val="4EF36F42"/>
    <w:rsid w:val="4F73213A"/>
    <w:rsid w:val="4FE535DF"/>
    <w:rsid w:val="5024289C"/>
    <w:rsid w:val="517F674F"/>
    <w:rsid w:val="51824063"/>
    <w:rsid w:val="51961E21"/>
    <w:rsid w:val="51A3745D"/>
    <w:rsid w:val="51F26948"/>
    <w:rsid w:val="52052473"/>
    <w:rsid w:val="52737F8C"/>
    <w:rsid w:val="527F6235"/>
    <w:rsid w:val="532426DE"/>
    <w:rsid w:val="532902AF"/>
    <w:rsid w:val="53536268"/>
    <w:rsid w:val="544874F0"/>
    <w:rsid w:val="548E561A"/>
    <w:rsid w:val="54C544F6"/>
    <w:rsid w:val="55130238"/>
    <w:rsid w:val="560B7692"/>
    <w:rsid w:val="57840326"/>
    <w:rsid w:val="57DF5A10"/>
    <w:rsid w:val="58550FC6"/>
    <w:rsid w:val="599765A7"/>
    <w:rsid w:val="5A8C7845"/>
    <w:rsid w:val="5AE53BB8"/>
    <w:rsid w:val="5C452DAB"/>
    <w:rsid w:val="5C8B594C"/>
    <w:rsid w:val="5DA177B3"/>
    <w:rsid w:val="5E57255B"/>
    <w:rsid w:val="5EC57E85"/>
    <w:rsid w:val="5EE71AAD"/>
    <w:rsid w:val="5FB65FBB"/>
    <w:rsid w:val="608C3F88"/>
    <w:rsid w:val="613944E2"/>
    <w:rsid w:val="61623D7F"/>
    <w:rsid w:val="61AE6780"/>
    <w:rsid w:val="620C0CD0"/>
    <w:rsid w:val="634C230A"/>
    <w:rsid w:val="63B42D06"/>
    <w:rsid w:val="640706D8"/>
    <w:rsid w:val="64182FDA"/>
    <w:rsid w:val="64533623"/>
    <w:rsid w:val="64A960A9"/>
    <w:rsid w:val="65212235"/>
    <w:rsid w:val="656E6431"/>
    <w:rsid w:val="65B70D02"/>
    <w:rsid w:val="663651D4"/>
    <w:rsid w:val="66501418"/>
    <w:rsid w:val="66CA1438"/>
    <w:rsid w:val="67795F60"/>
    <w:rsid w:val="6828236D"/>
    <w:rsid w:val="68332EC1"/>
    <w:rsid w:val="68A93AFF"/>
    <w:rsid w:val="68FE64D8"/>
    <w:rsid w:val="695218D5"/>
    <w:rsid w:val="696D4097"/>
    <w:rsid w:val="69DF3F03"/>
    <w:rsid w:val="6A321A3F"/>
    <w:rsid w:val="6A4B791D"/>
    <w:rsid w:val="6A847583"/>
    <w:rsid w:val="6B013472"/>
    <w:rsid w:val="6B295089"/>
    <w:rsid w:val="6B5F45B8"/>
    <w:rsid w:val="6B7F3A9C"/>
    <w:rsid w:val="6BEA011B"/>
    <w:rsid w:val="6C473DE6"/>
    <w:rsid w:val="6E6B1CD8"/>
    <w:rsid w:val="6EAA27E4"/>
    <w:rsid w:val="6EB3625F"/>
    <w:rsid w:val="6EB40CCD"/>
    <w:rsid w:val="6EFC79CB"/>
    <w:rsid w:val="6F391944"/>
    <w:rsid w:val="6F3A01D0"/>
    <w:rsid w:val="6FA75983"/>
    <w:rsid w:val="70C604E9"/>
    <w:rsid w:val="70D978AB"/>
    <w:rsid w:val="71EB66FB"/>
    <w:rsid w:val="720179CD"/>
    <w:rsid w:val="724B5159"/>
    <w:rsid w:val="72C06C31"/>
    <w:rsid w:val="72D45D79"/>
    <w:rsid w:val="72F66B12"/>
    <w:rsid w:val="7344064B"/>
    <w:rsid w:val="74964AF1"/>
    <w:rsid w:val="76453FA9"/>
    <w:rsid w:val="76770EAA"/>
    <w:rsid w:val="76A4040A"/>
    <w:rsid w:val="778D5392"/>
    <w:rsid w:val="77EA2935"/>
    <w:rsid w:val="786309C6"/>
    <w:rsid w:val="78CC3F15"/>
    <w:rsid w:val="7962770C"/>
    <w:rsid w:val="79D66A12"/>
    <w:rsid w:val="7A7515DC"/>
    <w:rsid w:val="7ACC5CEF"/>
    <w:rsid w:val="7B384932"/>
    <w:rsid w:val="7B677480"/>
    <w:rsid w:val="7C4F042F"/>
    <w:rsid w:val="7D1C4E77"/>
    <w:rsid w:val="7D6505FB"/>
    <w:rsid w:val="7D68224C"/>
    <w:rsid w:val="7D890306"/>
    <w:rsid w:val="7DBF5EE9"/>
    <w:rsid w:val="7E9F58CF"/>
    <w:rsid w:val="7EA35FD3"/>
    <w:rsid w:val="7EC15CA3"/>
    <w:rsid w:val="7F1C65AF"/>
    <w:rsid w:val="7F523C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4">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0">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5"/>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99"/>
      <w:u w:val="none"/>
    </w:rPr>
  </w:style>
  <w:style w:type="paragraph" w:customStyle="1" w:styleId="24">
    <w:name w:val="列出段落1"/>
    <w:basedOn w:val="1"/>
    <w:qFormat/>
    <w:uiPriority w:val="34"/>
    <w:pPr>
      <w:ind w:firstLine="420"/>
    </w:pPr>
    <w:rPr>
      <w:rFonts w:ascii="Calibri" w:hAnsi="Calibri"/>
    </w:rPr>
  </w:style>
  <w:style w:type="character" w:customStyle="1" w:styleId="25">
    <w:name w:val="批注框文本 Char"/>
    <w:basedOn w:val="20"/>
    <w:link w:val="13"/>
    <w:qFormat/>
    <w:uiPriority w:val="0"/>
    <w:rPr>
      <w:sz w:val="18"/>
      <w:szCs w:val="18"/>
    </w:rPr>
  </w:style>
  <w:style w:type="character" w:customStyle="1" w:styleId="26">
    <w:name w:val="font41"/>
    <w:basedOn w:val="20"/>
    <w:qFormat/>
    <w:uiPriority w:val="0"/>
    <w:rPr>
      <w:rFonts w:hint="default" w:ascii="Tahoma" w:hAnsi="Tahoma" w:eastAsia="Tahoma" w:cs="Tahoma"/>
      <w:color w:val="000000"/>
      <w:sz w:val="18"/>
      <w:szCs w:val="18"/>
      <w:u w:val="none"/>
    </w:rPr>
  </w:style>
  <w:style w:type="character" w:customStyle="1" w:styleId="27">
    <w:name w:val="font11"/>
    <w:basedOn w:val="20"/>
    <w:qFormat/>
    <w:uiPriority w:val="0"/>
    <w:rPr>
      <w:rFonts w:hint="eastAsia" w:ascii="宋体" w:hAnsi="宋体" w:eastAsia="宋体" w:cs="宋体"/>
      <w:color w:val="000000"/>
      <w:sz w:val="24"/>
      <w:szCs w:val="24"/>
      <w:u w:val="none"/>
      <w:vertAlign w:val="subscript"/>
    </w:rPr>
  </w:style>
  <w:style w:type="character" w:customStyle="1" w:styleId="28">
    <w:name w:val="font01"/>
    <w:basedOn w:val="20"/>
    <w:qFormat/>
    <w:uiPriority w:val="0"/>
    <w:rPr>
      <w:rFonts w:hint="eastAsia" w:ascii="宋体" w:hAnsi="宋体" w:eastAsia="宋体" w:cs="宋体"/>
      <w:color w:val="FF0000"/>
      <w:sz w:val="16"/>
      <w:szCs w:val="16"/>
      <w:u w:val="none"/>
    </w:rPr>
  </w:style>
  <w:style w:type="character" w:customStyle="1" w:styleId="29">
    <w:name w:val="font31"/>
    <w:basedOn w:val="20"/>
    <w:qFormat/>
    <w:uiPriority w:val="0"/>
    <w:rPr>
      <w:rFonts w:hint="eastAsia" w:ascii="宋体" w:hAnsi="宋体" w:eastAsia="宋体" w:cs="宋体"/>
      <w:color w:val="000000"/>
      <w:sz w:val="16"/>
      <w:szCs w:val="16"/>
      <w:u w:val="none"/>
    </w:rPr>
  </w:style>
  <w:style w:type="character" w:customStyle="1" w:styleId="30">
    <w:name w:val="font21"/>
    <w:basedOn w:val="20"/>
    <w:qFormat/>
    <w:uiPriority w:val="0"/>
    <w:rPr>
      <w:rFonts w:hint="eastAsia" w:ascii="宋体" w:hAnsi="宋体" w:eastAsia="宋体" w:cs="宋体"/>
      <w:color w:val="FF0000"/>
      <w:sz w:val="32"/>
      <w:szCs w:val="32"/>
      <w:u w:val="none"/>
    </w:rPr>
  </w:style>
  <w:style w:type="paragraph" w:customStyle="1" w:styleId="31">
    <w:name w:val="正文-1"/>
    <w:basedOn w:val="1"/>
    <w:qFormat/>
    <w:uiPriority w:val="0"/>
    <w:pPr>
      <w:spacing w:line="360" w:lineRule="auto"/>
      <w:ind w:firstLine="560"/>
    </w:pPr>
    <w:rPr>
      <w:rFonts w:eastAsia="仿宋_GB2312"/>
      <w:sz w:val="28"/>
      <w:szCs w:val="28"/>
    </w:rPr>
  </w:style>
  <w:style w:type="paragraph" w:customStyle="1" w:styleId="3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样式 标题 2 + Times1 Char"/>
    <w:link w:val="34"/>
    <w:qFormat/>
    <w:uiPriority w:val="0"/>
    <w:rPr>
      <w:rFonts w:ascii="Times" w:hAnsi="Times"/>
      <w:iCs/>
      <w:kern w:val="0"/>
      <w:sz w:val="28"/>
      <w:szCs w:val="28"/>
    </w:rPr>
  </w:style>
  <w:style w:type="paragraph" w:customStyle="1" w:styleId="34">
    <w:name w:val="样式 标题 2 + Times1"/>
    <w:basedOn w:val="3"/>
    <w:link w:val="33"/>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34</TotalTime>
  <ScaleCrop>false</ScaleCrop>
  <LinksUpToDate>false</LinksUpToDate>
  <CharactersWithSpaces>23373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2019-08-01T09:21:00Z</cp:lastPrinted>
  <dcterms:modified xsi:type="dcterms:W3CDTF">2019-08-01T09:46:13Z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