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56</w:t>
      </w:r>
      <w:r>
        <w:rPr>
          <w:rFonts w:hint="eastAsia" w:ascii="宋体" w:hAnsi="宋体" w:eastAsia="宋体" w:cs="宋体"/>
          <w:b/>
          <w:color w:val="auto"/>
          <w:sz w:val="36"/>
          <w:szCs w:val="36"/>
          <w:lang w:eastAsia="zh-CN"/>
        </w:rPr>
        <w:t>号</w:t>
      </w:r>
    </w:p>
    <w:p>
      <w:pPr>
        <w:adjustRightInd w:val="0"/>
        <w:spacing w:line="720" w:lineRule="auto"/>
        <w:ind w:left="2530" w:hanging="2530" w:hangingChars="700"/>
        <w:textAlignment w:val="baseline"/>
        <w:rPr>
          <w:rFonts w:hint="default" w:ascii="宋体" w:hAnsi="宋体" w:eastAsia="宋体" w:cs="宋体"/>
          <w:b/>
          <w:color w:val="auto"/>
          <w:sz w:val="36"/>
          <w:szCs w:val="36"/>
          <w:lang w:val="en-US"/>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海东市平安区洪水泉回族乡周转房配套设备</w:t>
      </w:r>
      <w:r>
        <w:rPr>
          <w:rFonts w:hint="eastAsia" w:ascii="宋体" w:hAnsi="宋体" w:eastAsia="宋体" w:cs="宋体"/>
          <w:b/>
          <w:color w:val="auto"/>
          <w:sz w:val="36"/>
          <w:szCs w:val="36"/>
          <w:lang w:val="en-US" w:eastAsia="zh-CN"/>
        </w:rPr>
        <w:t>项目</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2"/>
          <w:szCs w:val="32"/>
          <w:lang w:eastAsia="zh-CN"/>
        </w:rPr>
        <w:t>海东市平安区洪水泉回族乡人民政府</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8</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2"/>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0"/>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海东市平安区政府采购服务中心（以下均简称“采购代理机构”）受海东市平安区洪水泉回族乡人民政府（以下均简称“采购人”）委托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海东市平安区洪水泉回族乡周转房配套设备项目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平财采字（竞磋货物）2019-56号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海东市平安区洪水泉回族乡周转房配套设备项目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16.2120万元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2019年</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0-12:00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下午2:30-</w:t>
            </w:r>
            <w:r>
              <w:rPr>
                <w:rFonts w:hint="eastAsia" w:ascii="宋体" w:hAnsi="宋体" w:eastAsia="宋体" w:cs="宋体"/>
                <w:color w:val="000000" w:themeColor="text1"/>
                <w:sz w:val="24"/>
                <w:lang w:val="en-US" w:eastAsia="zh-CN"/>
                <w14:textFill>
                  <w14:solidFill>
                    <w14:schemeClr w14:val="tx1"/>
                  </w14:solidFill>
                </w14:textFill>
              </w:rPr>
              <w:t>6</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海东市平安区洪水泉回族乡人民政府</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张先生</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13519728438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2"/>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2"/>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2019年8月9日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2"/>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平财采字（竞磋货物）2019-56号</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海东市平安区洪水泉回族乡周转房配套设备项目</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海东市平安区洪水泉回族乡人民政府</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16.2120万元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此项目无磋商保证金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日下午3:00（北京时间）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日下午3:00（北京时间）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single"/>
                <w:lang w:val="en-US" w:eastAsia="zh-CN"/>
              </w:rPr>
              <w:t>15</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376936728"/>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25725999"/>
      <w:bookmarkStart w:id="14" w:name="_Toc376936730"/>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376936743"/>
      <w:bookmarkStart w:id="44" w:name="_Toc17093"/>
      <w:bookmarkStart w:id="45" w:name="_Toc21569"/>
      <w:bookmarkStart w:id="46" w:name="_Toc325726012"/>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2"/>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25726016"/>
      <w:bookmarkStart w:id="64" w:name="_Toc23823"/>
      <w:bookmarkStart w:id="65" w:name="_Toc1176"/>
      <w:bookmarkStart w:id="66" w:name="_Toc373392582"/>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2"/>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201</w:t>
      </w:r>
      <w:r>
        <w:rPr>
          <w:rFonts w:hint="eastAsia" w:hAnsi="宋体" w:eastAsia="宋体" w:cs="宋体"/>
          <w:color w:val="000000" w:themeColor="text1"/>
          <w:sz w:val="24"/>
          <w:szCs w:val="24"/>
          <w:lang w:val="en-US" w:eastAsia="zh-CN"/>
          <w14:textFill>
            <w14:solidFill>
              <w14:schemeClr w14:val="tx1"/>
            </w14:solidFill>
          </w14:textFill>
        </w:rPr>
        <w:t>9</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8</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日下午3:00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2"/>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0756"/>
      <w:bookmarkStart w:id="69" w:name="_Toc412617732"/>
      <w:bookmarkStart w:id="70" w:name="_Toc373392583"/>
      <w:bookmarkStart w:id="71" w:name="_Toc325726017"/>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18107"/>
      <w:bookmarkStart w:id="85" w:name="_Toc325726021"/>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26121"/>
      <w:bookmarkStart w:id="88" w:name="_Toc16935"/>
      <w:bookmarkStart w:id="89" w:name="_Toc376936753"/>
      <w:bookmarkStart w:id="90" w:name="_Toc325726022"/>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325726023"/>
      <w:bookmarkStart w:id="92" w:name="_Toc376936754"/>
      <w:bookmarkStart w:id="93" w:name="_Toc14694"/>
      <w:bookmarkStart w:id="94" w:name="_Toc27086"/>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20611"/>
      <w:bookmarkStart w:id="96" w:name="_Toc13668"/>
      <w:bookmarkStart w:id="97" w:name="_Toc376936755"/>
      <w:bookmarkStart w:id="98" w:name="_Toc325726024"/>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完为止。（此项评分以产品彩页</w:t>
            </w:r>
            <w:r>
              <w:rPr>
                <w:rFonts w:hint="eastAsia" w:ascii="宋体" w:hAnsi="宋体" w:eastAsia="宋体" w:cs="宋体"/>
                <w:color w:val="000000" w:themeColor="text1"/>
                <w:sz w:val="24"/>
                <w:szCs w:val="24"/>
                <w:lang w:eastAsia="zh-CN"/>
                <w14:textFill>
                  <w14:solidFill>
                    <w14:schemeClr w14:val="tx1"/>
                  </w14:solidFill>
                </w14:textFill>
              </w:rPr>
              <w:t>或彩色图片、</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5556"/>
      <w:bookmarkStart w:id="114" w:name="_Toc18063"/>
      <w:bookmarkStart w:id="115" w:name="_Toc376936758"/>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325726029"/>
      <w:bookmarkStart w:id="117" w:name="_Toc921"/>
      <w:bookmarkStart w:id="118" w:name="_Toc376936760"/>
      <w:bookmarkStart w:id="119" w:name="_Toc28394"/>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海东市平安区洪水泉回族乡周转房配套设备项目</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56</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Ind w:w="-252" w:type="dxa"/>
        <w:tblLayout w:type="fixed"/>
        <w:tblCellMar>
          <w:top w:w="0" w:type="dxa"/>
          <w:left w:w="57" w:type="dxa"/>
          <w:bottom w:w="0" w:type="dxa"/>
          <w:right w:w="57" w:type="dxa"/>
        </w:tblCellMar>
      </w:tblPr>
      <w:tblGrid>
        <w:gridCol w:w="812"/>
        <w:gridCol w:w="2191"/>
        <w:gridCol w:w="2940"/>
        <w:gridCol w:w="1125"/>
        <w:gridCol w:w="1065"/>
        <w:gridCol w:w="1095"/>
        <w:gridCol w:w="977"/>
      </w:tblGrid>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bookmarkStart w:id="178" w:name="_GoBack"/>
      <w:bookmarkEnd w:id="178"/>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合同签订后15个日历日交付使用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平财采字（竞磋货物）210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8277" w:type="dxa"/>
            <w:gridSpan w:val="2"/>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Ind w:w="0" w:type="dxa"/>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3693"/>
      <w:bookmarkStart w:id="151" w:name="_Toc14675"/>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8"/>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平财采字（竞磋货物）2019-56号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2018年度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3"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：供应商最后报价表</w:t>
      </w:r>
      <w:bookmarkEnd w:id="173"/>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4" w:name="_Toc408326292"/>
      <w:r>
        <w:rPr>
          <w:rFonts w:hint="eastAsia" w:ascii="宋体" w:hAnsi="宋体" w:eastAsia="宋体" w:cs="宋体"/>
          <w:b/>
          <w:color w:val="auto"/>
          <w:sz w:val="24"/>
          <w:szCs w:val="24"/>
        </w:rPr>
        <w:t>供应商最后报价表</w:t>
      </w:r>
      <w:bookmarkEnd w:id="174"/>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5" w:name="_Toc477438335"/>
      <w:bookmarkStart w:id="176" w:name="_Toc460486440"/>
    </w:p>
    <w:bookmarkEnd w:id="175"/>
    <w:bookmarkEnd w:id="176"/>
    <w:p>
      <w:pPr>
        <w:ind w:left="0" w:leftChars="0" w:firstLine="0" w:firstLineChars="0"/>
        <w:rPr>
          <w:rFonts w:hint="eastAsia" w:ascii="宋体" w:hAnsi="宋体" w:eastAsia="宋体" w:cs="宋体"/>
          <w:b/>
          <w:color w:val="auto"/>
          <w:sz w:val="24"/>
          <w:szCs w:val="24"/>
        </w:rPr>
      </w:pPr>
    </w:p>
    <w:p>
      <w:pPr>
        <w:numPr>
          <w:ilvl w:val="0"/>
          <w:numId w:val="3"/>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7" w:name="_Toc26743"/>
      <w:r>
        <w:rPr>
          <w:rFonts w:hint="eastAsia" w:ascii="宋体" w:hAnsi="宋体" w:eastAsia="宋体" w:cs="宋体"/>
          <w:b/>
          <w:color w:val="auto"/>
          <w:kern w:val="28"/>
          <w:sz w:val="36"/>
          <w:szCs w:val="20"/>
        </w:rPr>
        <w:t xml:space="preserve"> </w:t>
      </w:r>
      <w:bookmarkEnd w:id="177"/>
      <w:r>
        <w:rPr>
          <w:rFonts w:hint="eastAsia" w:ascii="宋体" w:hAnsi="宋体" w:eastAsia="宋体" w:cs="宋体"/>
          <w:b/>
          <w:color w:val="auto"/>
          <w:kern w:val="28"/>
          <w:sz w:val="36"/>
          <w:szCs w:val="20"/>
          <w:lang w:eastAsia="zh-CN"/>
        </w:rPr>
        <w:t>采购项目清单及技术参数</w:t>
      </w:r>
    </w:p>
    <w:tbl>
      <w:tblPr>
        <w:tblStyle w:val="19"/>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20"/>
        <w:gridCol w:w="735"/>
        <w:gridCol w:w="692"/>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20"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序号</w:t>
            </w:r>
          </w:p>
        </w:tc>
        <w:tc>
          <w:tcPr>
            <w:tcW w:w="720" w:type="dxa"/>
            <w:vAlign w:val="top"/>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名称</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单位</w:t>
            </w:r>
          </w:p>
        </w:tc>
        <w:tc>
          <w:tcPr>
            <w:tcW w:w="692"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数量</w:t>
            </w:r>
          </w:p>
        </w:tc>
        <w:tc>
          <w:tcPr>
            <w:tcW w:w="5411" w:type="dxa"/>
            <w:vAlign w:val="center"/>
          </w:tcPr>
          <w:p>
            <w:pPr>
              <w:jc w:val="center"/>
              <w:rPr>
                <w:rFonts w:hint="eastAsia"/>
                <w:sz w:val="24"/>
                <w:szCs w:val="24"/>
                <w:vertAlign w:val="baseline"/>
                <w:lang w:eastAsia="zh-CN"/>
              </w:rPr>
            </w:pPr>
            <w:r>
              <w:rPr>
                <w:rFonts w:hint="eastAsia"/>
                <w:sz w:val="24"/>
                <w:szCs w:val="24"/>
                <w:vertAlign w:val="baseline"/>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1</w:t>
            </w:r>
          </w:p>
        </w:tc>
        <w:tc>
          <w:tcPr>
            <w:tcW w:w="720" w:type="dxa"/>
            <w:vAlign w:val="center"/>
          </w:tcPr>
          <w:p>
            <w:pPr>
              <w:bidi w:val="0"/>
              <w:ind w:left="0" w:leftChars="0" w:firstLine="0" w:firstLineChars="0"/>
              <w:jc w:val="both"/>
              <w:rPr>
                <w:rFonts w:hint="eastAsia"/>
                <w:lang w:val="en-US" w:eastAsia="zh-CN"/>
              </w:rPr>
            </w:pPr>
            <w:r>
              <w:rPr>
                <w:rFonts w:hint="eastAsia"/>
                <w:lang w:val="en-US" w:eastAsia="zh-CN"/>
              </w:rPr>
              <w:t>桌子</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张</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ind w:left="0" w:leftChars="0" w:firstLine="0" w:firstLineChars="0"/>
              <w:jc w:val="left"/>
              <w:rPr>
                <w:rFonts w:hint="eastAsia"/>
                <w:sz w:val="24"/>
                <w:szCs w:val="24"/>
              </w:rPr>
            </w:pPr>
            <w:r>
              <w:rPr>
                <w:rFonts w:hint="eastAsia"/>
                <w:sz w:val="24"/>
                <w:szCs w:val="24"/>
              </w:rPr>
              <w:t>1、基材：选用国家环保级优质</w:t>
            </w:r>
            <w:r>
              <w:rPr>
                <w:rFonts w:hint="eastAsia"/>
                <w:sz w:val="24"/>
                <w:szCs w:val="24"/>
                <w:lang w:eastAsia="zh-CN"/>
              </w:rPr>
              <w:t>三聚氰胺板</w:t>
            </w:r>
            <w:r>
              <w:rPr>
                <w:rFonts w:hint="eastAsia"/>
                <w:sz w:val="24"/>
                <w:szCs w:val="24"/>
              </w:rPr>
              <w:t>，甲醛释放量≤8.0mg/100g，含水率3.0%-13.0%，密度：0.65g/cm3-0.8g/ cm3所检项目符合GB/T11718-2009标准要求。</w:t>
            </w:r>
          </w:p>
          <w:p>
            <w:pPr>
              <w:ind w:left="0" w:leftChars="0" w:firstLine="0" w:firstLineChars="0"/>
              <w:jc w:val="left"/>
              <w:rPr>
                <w:rFonts w:hint="eastAsia"/>
                <w:sz w:val="24"/>
                <w:szCs w:val="24"/>
              </w:rPr>
            </w:pPr>
            <w:r>
              <w:rPr>
                <w:rFonts w:hint="eastAsia"/>
                <w:sz w:val="24"/>
                <w:szCs w:val="24"/>
              </w:rPr>
              <w:t>2、木皮：为优质天然实木木皮，厚度≥0.6mm，无结疤、腐杇、裂纹、虫眼、夹皮、变色等缺陷，含水率8%-16%，甲醛释放量E1≤1.5mg/L，同一件产品必须纹理协调一致，无色差，明显接缝不超过2次。</w:t>
            </w:r>
          </w:p>
          <w:p>
            <w:pPr>
              <w:ind w:left="0" w:leftChars="0" w:firstLine="0" w:firstLineChars="0"/>
              <w:jc w:val="left"/>
              <w:rPr>
                <w:rFonts w:hint="eastAsia"/>
                <w:sz w:val="24"/>
                <w:szCs w:val="24"/>
              </w:rPr>
            </w:pPr>
            <w:r>
              <w:rPr>
                <w:rFonts w:hint="eastAsia"/>
                <w:sz w:val="24"/>
                <w:szCs w:val="24"/>
              </w:rPr>
              <w:t>3、油漆：符合使用环保绿色的品牌，油漆采用五底三面油漆工艺，油漆表面饱满，手感柔和，耐热、耐磨、耐腐蚀、苯含量≤0.3%，甲苯、二甲苯、乙苯含量总和≤30%，挥发有机化合物（VOC）含量≤670g/L,卤代烃含量≤0.1%，游离二异氰酸酯（TDI、HDI）含量总和≤0.4%，可溶性重金属含量：镉（Cd）≤75mg/kg，铅（Pb）≤90mg/kg，汞（Hg）≤60mg/kg，铬（Cr）≤60 mg/kg</w:t>
            </w:r>
          </w:p>
          <w:p>
            <w:pPr>
              <w:jc w:val="left"/>
              <w:rPr>
                <w:rFonts w:hint="eastAsia"/>
                <w:sz w:val="24"/>
                <w:szCs w:val="24"/>
              </w:rPr>
            </w:pPr>
            <w:r>
              <w:rPr>
                <w:rFonts w:hint="eastAsia"/>
                <w:sz w:val="24"/>
                <w:szCs w:val="24"/>
              </w:rPr>
              <w:t>4、五金：优质五金配件，三合一偏心连接件偏心体抗压强度≥240N，三合一偏心连接件预埋螺母抗拉强度≥550N</w:t>
            </w:r>
          </w:p>
          <w:p>
            <w:pPr>
              <w:keepNext w:val="0"/>
              <w:keepLines w:val="0"/>
              <w:widowControl/>
              <w:suppressLineNumbers w:val="0"/>
              <w:ind w:left="0" w:leftChars="0" w:firstLine="0" w:firstLineChars="0"/>
              <w:jc w:val="left"/>
              <w:rPr>
                <w:rFonts w:hint="default" w:eastAsiaTheme="minorEastAsia"/>
                <w:sz w:val="24"/>
                <w:szCs w:val="24"/>
                <w:vertAlign w:val="baseline"/>
                <w:lang w:val="en-US" w:eastAsia="zh-CN"/>
              </w:rPr>
            </w:pPr>
            <w:r>
              <w:rPr>
                <w:rFonts w:hint="eastAsia"/>
                <w:sz w:val="24"/>
                <w:szCs w:val="24"/>
                <w:lang w:val="en-US" w:eastAsia="zh-CN"/>
              </w:rPr>
              <w:t>规格：1200</w:t>
            </w:r>
            <w:r>
              <w:rPr>
                <w:rFonts w:hint="eastAsia"/>
                <w:sz w:val="24"/>
                <w:szCs w:val="24"/>
              </w:rPr>
              <w:t>*</w:t>
            </w:r>
            <w:r>
              <w:rPr>
                <w:rFonts w:hint="eastAsia"/>
                <w:sz w:val="24"/>
                <w:szCs w:val="24"/>
                <w:lang w:val="en-US" w:eastAsia="zh-CN"/>
              </w:rPr>
              <w:t>8</w:t>
            </w:r>
            <w:r>
              <w:rPr>
                <w:rFonts w:hint="eastAsia"/>
                <w:sz w:val="24"/>
                <w:szCs w:val="24"/>
              </w:rPr>
              <w:t>00*</w:t>
            </w:r>
            <w:r>
              <w:rPr>
                <w:rFonts w:hint="eastAsia"/>
                <w:sz w:val="24"/>
                <w:szCs w:val="24"/>
                <w:lang w:val="en-US" w:eastAsia="zh-C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720" w:type="dxa"/>
            <w:vAlign w:val="center"/>
          </w:tcPr>
          <w:p>
            <w:pPr>
              <w:ind w:left="0" w:leftChars="0" w:firstLine="0" w:firstLineChars="0"/>
              <w:jc w:val="both"/>
              <w:rPr>
                <w:rFonts w:hint="eastAsia" w:asciiTheme="minorHAnsi" w:hAnsiTheme="minorHAnsi" w:eastAsiaTheme="minorEastAsia" w:cstheme="minorBidi"/>
                <w:sz w:val="21"/>
                <w:szCs w:val="22"/>
                <w:lang w:val="en-US" w:eastAsia="zh-CN" w:bidi="ar-SA"/>
              </w:rPr>
            </w:pPr>
            <w:r>
              <w:rPr>
                <w:rFonts w:hint="eastAsia" w:cstheme="minorBidi"/>
                <w:sz w:val="21"/>
                <w:szCs w:val="22"/>
                <w:lang w:val="en-US" w:eastAsia="zh-CN" w:bidi="ar-SA"/>
              </w:rPr>
              <w:t>沙发</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套</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ind w:left="0" w:leftChars="0" w:firstLine="0" w:firstLineChars="0"/>
              <w:jc w:val="left"/>
              <w:rPr>
                <w:rFonts w:hint="eastAsia"/>
                <w:sz w:val="24"/>
                <w:szCs w:val="24"/>
              </w:rPr>
            </w:pPr>
            <w:r>
              <w:rPr>
                <w:rFonts w:hint="eastAsia"/>
                <w:sz w:val="24"/>
                <w:szCs w:val="24"/>
              </w:rPr>
              <w:t>1、基材：优质橡木，木材含水率：8%-15.9%，甲醛释放量≤1.5mg/L,木制件外观无贯通裂缝，无腐朽材，无树脂囊等，所检项目符合检验依据要求。</w:t>
            </w:r>
          </w:p>
          <w:p>
            <w:pPr>
              <w:ind w:left="0" w:leftChars="0" w:firstLine="0" w:firstLineChars="0"/>
              <w:jc w:val="left"/>
              <w:rPr>
                <w:rFonts w:hint="eastAsia"/>
                <w:sz w:val="24"/>
                <w:szCs w:val="24"/>
              </w:rPr>
            </w:pPr>
            <w:r>
              <w:rPr>
                <w:rFonts w:hint="eastAsia"/>
                <w:sz w:val="24"/>
                <w:szCs w:val="24"/>
              </w:rPr>
              <w:t>2、面料：采用优质头层牛皮，厚度1.2mm以上，撕裂力达到≥75N以上，涂层粘着牢度≥2.5N/10mm，游离甲醛含量（分光光度法）≤75mg/kg，所检项目符合检验依据要求。</w:t>
            </w:r>
          </w:p>
          <w:p>
            <w:pPr>
              <w:ind w:left="0" w:leftChars="0" w:firstLine="0" w:firstLineChars="0"/>
              <w:jc w:val="left"/>
              <w:rPr>
                <w:rFonts w:hint="eastAsia"/>
                <w:sz w:val="24"/>
                <w:szCs w:val="24"/>
              </w:rPr>
            </w:pPr>
            <w:r>
              <w:rPr>
                <w:rFonts w:hint="eastAsia"/>
                <w:sz w:val="24"/>
                <w:szCs w:val="24"/>
              </w:rPr>
              <w:t>3、海棉：拉伸强度≥90kPa，伸长率≥130%，回弹率≥35%，撕裂强度≥2.0N/cm，干热老化后拉伸强度≥55kPa，甲醛释放量≤0.120mg/m2h,TVOC≤0.5mg/m2h，所检项目符合检验依据要求。</w:t>
            </w:r>
          </w:p>
          <w:p>
            <w:pPr>
              <w:ind w:left="0" w:leftChars="0" w:firstLine="0" w:firstLineChars="0"/>
              <w:jc w:val="left"/>
              <w:rPr>
                <w:rFonts w:hint="eastAsia"/>
                <w:sz w:val="24"/>
                <w:szCs w:val="24"/>
                <w:lang w:eastAsia="zh-CN"/>
              </w:rPr>
            </w:pPr>
            <w:r>
              <w:rPr>
                <w:rFonts w:hint="eastAsia"/>
                <w:sz w:val="24"/>
                <w:szCs w:val="24"/>
              </w:rPr>
              <w:t>4、油漆：符合使用环保绿色的品牌，油漆采用五底三面，油漆工艺，油漆表面饱满，手感柔和，耐热、耐磨、耐腐蚀、苯含量≤0.3%，甲苯、二甲苯、乙苯含量总和≤30%，挥发有机化合物（VOC）含量≤670g/L，卤代烃含量≤0.1%，游离二异氰酸酯（TDI、HDI）含量总和≤0.4%，可溶性重金属含量：镉（Cd）≤75mg/kg，铅（Pb）≤90mg/kg，汞（Hg）≤60mg/kg，铬（Cr）≤60 mg/kg</w:t>
            </w:r>
            <w:r>
              <w:rPr>
                <w:rFonts w:hint="eastAsia"/>
                <w:sz w:val="24"/>
                <w:szCs w:val="24"/>
                <w:lang w:eastAsia="zh-CN"/>
              </w:rPr>
              <w:t>。</w:t>
            </w:r>
          </w:p>
          <w:p>
            <w:pPr>
              <w:jc w:val="left"/>
              <w:rPr>
                <w:rFonts w:hint="default"/>
                <w:sz w:val="24"/>
                <w:szCs w:val="24"/>
                <w:lang w:val="en-US" w:eastAsia="zh-CN"/>
              </w:rPr>
            </w:pPr>
            <w:r>
              <w:rPr>
                <w:rFonts w:hint="eastAsia"/>
                <w:sz w:val="24"/>
                <w:szCs w:val="24"/>
                <w:lang w:eastAsia="zh-CN"/>
              </w:rPr>
              <w:t>规格：三人沙发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720"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茶几</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个</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ind w:left="0" w:leftChars="0" w:firstLine="0" w:firstLineChars="0"/>
              <w:jc w:val="left"/>
              <w:rPr>
                <w:rFonts w:hint="eastAsia"/>
                <w:sz w:val="24"/>
                <w:szCs w:val="24"/>
              </w:rPr>
            </w:pPr>
            <w:r>
              <w:rPr>
                <w:rFonts w:hint="eastAsia"/>
                <w:sz w:val="24"/>
                <w:szCs w:val="24"/>
              </w:rPr>
              <w:t>1、基材：选用国家环保级优质E1级纤维板，甲醛释放量≤8.0mg/100g，含水率3.0%-13.0%，密度：0.65g/cm3-0.8g/ cm3所检项目符合GB/T11718-2009标准要求。</w:t>
            </w:r>
          </w:p>
          <w:p>
            <w:pPr>
              <w:ind w:left="0" w:leftChars="0" w:firstLine="0" w:firstLineChars="0"/>
              <w:jc w:val="left"/>
              <w:rPr>
                <w:rFonts w:hint="eastAsia"/>
                <w:sz w:val="24"/>
                <w:szCs w:val="24"/>
              </w:rPr>
            </w:pPr>
            <w:r>
              <w:rPr>
                <w:rFonts w:hint="eastAsia"/>
                <w:sz w:val="24"/>
                <w:szCs w:val="24"/>
              </w:rPr>
              <w:t>2、木皮：为优质天然实木木皮，厚度≥0.6mm，无结疤、腐杇、裂纹、虫眼、夹皮、变色等缺陷，含水率8%-16%，甲醛释放量E1≤1.5mg/L，同一件产品必须纹理协调一致，无色差，明显接缝不超过2次。</w:t>
            </w:r>
          </w:p>
          <w:p>
            <w:pPr>
              <w:ind w:left="0" w:leftChars="0" w:firstLine="0" w:firstLineChars="0"/>
              <w:jc w:val="left"/>
              <w:rPr>
                <w:rFonts w:hint="eastAsia"/>
                <w:sz w:val="24"/>
                <w:szCs w:val="24"/>
              </w:rPr>
            </w:pPr>
            <w:r>
              <w:rPr>
                <w:rFonts w:hint="eastAsia"/>
                <w:sz w:val="24"/>
                <w:szCs w:val="24"/>
              </w:rPr>
              <w:t>3、油漆：符合使用环保绿色的品牌，油漆采用五底三面油漆工艺，油漆表面饱满，手感柔和，耐热、耐磨、耐腐蚀、苯含量≤0.3%，甲苯、二甲苯、乙苯含量总和≤30%，挥发有机化合物（VOC）含量≤670g/L,卤代烃含量≤0.1%，游离二异氰酸酯（TDI、HDI）含量总和≤0.4%，可溶性重金属含量：镉（Cd）≤75mg/kg，铅（Pb）≤90mg/kg，汞（Hg）≤60mg/kg，铬（Cr）≤60 mg/kg</w:t>
            </w:r>
          </w:p>
          <w:p>
            <w:pPr>
              <w:ind w:left="0" w:leftChars="0" w:firstLine="0" w:firstLineChars="0"/>
              <w:jc w:val="left"/>
              <w:rPr>
                <w:rFonts w:hint="eastAsia"/>
                <w:sz w:val="24"/>
                <w:szCs w:val="24"/>
              </w:rPr>
            </w:pPr>
            <w:r>
              <w:rPr>
                <w:rFonts w:hint="eastAsia"/>
                <w:sz w:val="24"/>
                <w:szCs w:val="24"/>
              </w:rPr>
              <w:t>4、五金：优质五金配件，三合一偏心连接件偏心体抗压强度≥240N，三合一偏心连接件预埋螺母抗拉强度≥550N</w:t>
            </w:r>
          </w:p>
          <w:p>
            <w:pPr>
              <w:ind w:left="0" w:leftChars="0" w:firstLine="0" w:firstLineChars="0"/>
              <w:jc w:val="left"/>
              <w:rPr>
                <w:rFonts w:hint="default"/>
                <w:sz w:val="24"/>
                <w:szCs w:val="24"/>
                <w:lang w:val="en-US" w:eastAsia="zh-CN"/>
              </w:rPr>
            </w:pPr>
            <w:r>
              <w:rPr>
                <w:rFonts w:hint="eastAsia"/>
                <w:sz w:val="24"/>
                <w:szCs w:val="24"/>
                <w:lang w:val="en-US" w:eastAsia="zh-CN"/>
              </w:rPr>
              <w:t>规格：</w:t>
            </w:r>
            <w:r>
              <w:rPr>
                <w:rFonts w:hint="eastAsia"/>
                <w:sz w:val="24"/>
                <w:szCs w:val="24"/>
              </w:rPr>
              <w:t>1200*600*450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4</w:t>
            </w:r>
          </w:p>
        </w:tc>
        <w:tc>
          <w:tcPr>
            <w:tcW w:w="720"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椅子</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把</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jc w:val="left"/>
              <w:rPr>
                <w:rStyle w:val="35"/>
                <w:rFonts w:hint="default"/>
                <w:sz w:val="24"/>
                <w:szCs w:val="24"/>
              </w:rPr>
            </w:pPr>
            <w:r>
              <w:rPr>
                <w:rFonts w:hint="eastAsia" w:ascii="宋体" w:hAnsi="宋体"/>
                <w:color w:val="000000"/>
                <w:kern w:val="0"/>
                <w:sz w:val="24"/>
                <w:szCs w:val="24"/>
              </w:rPr>
              <w:t xml:space="preserve">基材：采用优质进口西皮饰面，细腻，使用时间长，光泽度好，厚度适中；              </w:t>
            </w:r>
            <w:r>
              <w:rPr>
                <w:rStyle w:val="35"/>
                <w:rFonts w:hint="default"/>
                <w:sz w:val="24"/>
                <w:szCs w:val="24"/>
              </w:rPr>
              <w:t xml:space="preserve">             </w:t>
            </w:r>
          </w:p>
          <w:p>
            <w:pPr>
              <w:jc w:val="left"/>
              <w:rPr>
                <w:rStyle w:val="35"/>
                <w:rFonts w:hint="default"/>
                <w:sz w:val="24"/>
                <w:szCs w:val="24"/>
              </w:rPr>
            </w:pPr>
            <w:r>
              <w:rPr>
                <w:rStyle w:val="35"/>
                <w:rFonts w:hint="default"/>
                <w:sz w:val="24"/>
                <w:szCs w:val="24"/>
              </w:rPr>
              <w:t xml:space="preserve">海棉：采用高弹力海棉；                       </w:t>
            </w:r>
          </w:p>
          <w:p>
            <w:pPr>
              <w:jc w:val="left"/>
              <w:rPr>
                <w:rStyle w:val="35"/>
                <w:rFonts w:hint="default"/>
                <w:sz w:val="24"/>
                <w:szCs w:val="24"/>
              </w:rPr>
            </w:pPr>
            <w:r>
              <w:rPr>
                <w:rStyle w:val="35"/>
                <w:rFonts w:hint="default"/>
                <w:sz w:val="24"/>
                <w:szCs w:val="24"/>
              </w:rPr>
              <w:t xml:space="preserve">油漆：采用环保华润牌聚脂漆，不变色、不含铅，抗冲力、耐热和耐缩涨性能好；                       </w:t>
            </w:r>
          </w:p>
          <w:p>
            <w:pPr>
              <w:jc w:val="left"/>
              <w:rPr>
                <w:rStyle w:val="35"/>
                <w:rFonts w:hint="default"/>
                <w:sz w:val="24"/>
                <w:szCs w:val="24"/>
              </w:rPr>
            </w:pPr>
            <w:r>
              <w:rPr>
                <w:rStyle w:val="35"/>
                <w:rFonts w:hint="default"/>
                <w:sz w:val="24"/>
                <w:szCs w:val="24"/>
              </w:rPr>
              <w:t>优质实木框架，根据人体工学设计</w:t>
            </w:r>
          </w:p>
          <w:p>
            <w:pPr>
              <w:jc w:val="left"/>
              <w:rPr>
                <w:rStyle w:val="35"/>
                <w:rFonts w:hint="eastAsia" w:eastAsia="宋体"/>
                <w:sz w:val="24"/>
                <w:szCs w:val="24"/>
                <w:lang w:eastAsia="zh-CN"/>
              </w:rPr>
            </w:pPr>
            <w:r>
              <w:rPr>
                <w:rStyle w:val="35"/>
                <w:rFonts w:hint="eastAsia" w:eastAsia="宋体"/>
                <w:sz w:val="24"/>
                <w:szCs w:val="24"/>
                <w:lang w:eastAsia="zh-CN"/>
              </w:rPr>
              <w:t>规格：常规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720"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衣柜</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个</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jc w:val="left"/>
              <w:rPr>
                <w:rFonts w:hint="eastAsia" w:ascii="宋体" w:hAnsi="宋体"/>
                <w:sz w:val="24"/>
                <w:szCs w:val="24"/>
              </w:rPr>
            </w:pPr>
            <w:r>
              <w:rPr>
                <w:rFonts w:hint="eastAsia" w:ascii="宋体" w:hAnsi="宋体"/>
                <w:sz w:val="24"/>
                <w:szCs w:val="24"/>
              </w:rPr>
              <w:t>1、面材：采用优质0.6mm红棕色木皮饰面；</w:t>
            </w:r>
          </w:p>
          <w:p>
            <w:pPr>
              <w:jc w:val="left"/>
              <w:rPr>
                <w:rFonts w:hint="eastAsia" w:ascii="宋体" w:hAnsi="宋体"/>
                <w:sz w:val="24"/>
                <w:szCs w:val="24"/>
              </w:rPr>
            </w:pPr>
            <w:r>
              <w:rPr>
                <w:rFonts w:hint="eastAsia" w:ascii="宋体" w:hAnsi="宋体"/>
                <w:sz w:val="24"/>
                <w:szCs w:val="24"/>
              </w:rPr>
              <w:t>2、封边：饰面及附件均用实木封边；</w:t>
            </w:r>
          </w:p>
          <w:p>
            <w:pPr>
              <w:jc w:val="left"/>
              <w:rPr>
                <w:rFonts w:hint="eastAsia" w:ascii="宋体" w:hAnsi="宋体"/>
                <w:sz w:val="24"/>
                <w:szCs w:val="24"/>
              </w:rPr>
            </w:pPr>
            <w:r>
              <w:rPr>
                <w:rFonts w:hint="eastAsia" w:ascii="宋体" w:hAnsi="宋体"/>
                <w:sz w:val="24"/>
                <w:szCs w:val="24"/>
              </w:rPr>
              <w:t>3、基材：采用E1级高密度中纤板</w:t>
            </w:r>
          </w:p>
          <w:p>
            <w:pPr>
              <w:jc w:val="left"/>
              <w:rPr>
                <w:rFonts w:hint="eastAsia" w:ascii="宋体" w:hAnsi="宋体"/>
                <w:sz w:val="24"/>
                <w:szCs w:val="24"/>
              </w:rPr>
            </w:pPr>
            <w:r>
              <w:rPr>
                <w:rFonts w:hint="eastAsia" w:ascii="宋体" w:hAnsi="宋体"/>
                <w:sz w:val="24"/>
                <w:szCs w:val="24"/>
              </w:rPr>
              <w:t>4、五金配件：采用  优质五金产品，</w:t>
            </w:r>
          </w:p>
          <w:p>
            <w:pPr>
              <w:jc w:val="left"/>
              <w:rPr>
                <w:rFonts w:hint="eastAsia" w:ascii="宋体" w:hAnsi="宋体"/>
                <w:sz w:val="24"/>
                <w:szCs w:val="24"/>
              </w:rPr>
            </w:pPr>
            <w:r>
              <w:rPr>
                <w:rFonts w:hint="eastAsia" w:ascii="宋体" w:hAnsi="宋体"/>
                <w:sz w:val="24"/>
                <w:szCs w:val="24"/>
              </w:rPr>
              <w:t>5、油漆：采用优质环保油漆，色泽美观，永不变色，光滑耐磨；</w:t>
            </w:r>
          </w:p>
          <w:p>
            <w:pPr>
              <w:jc w:val="left"/>
              <w:rPr>
                <w:rFonts w:hint="default" w:ascii="宋体" w:hAnsi="宋体" w:eastAsiaTheme="minorEastAsia"/>
                <w:sz w:val="24"/>
                <w:szCs w:val="24"/>
                <w:lang w:val="en-US" w:eastAsia="zh-CN"/>
              </w:rPr>
            </w:pPr>
            <w:r>
              <w:rPr>
                <w:rFonts w:hint="eastAsia" w:ascii="宋体" w:hAnsi="宋体"/>
                <w:sz w:val="24"/>
                <w:szCs w:val="24"/>
                <w:lang w:eastAsia="zh-CN"/>
              </w:rPr>
              <w:t>规格：</w:t>
            </w:r>
            <w:r>
              <w:rPr>
                <w:rFonts w:hint="eastAsia" w:ascii="宋体" w:hAnsi="宋体"/>
                <w:sz w:val="24"/>
                <w:szCs w:val="24"/>
                <w:lang w:val="en-US" w:eastAsia="zh-CN"/>
              </w:rPr>
              <w:t>2门衣柜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2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720" w:type="dxa"/>
            <w:vAlign w:val="center"/>
          </w:tcPr>
          <w:p>
            <w:pPr>
              <w:ind w:left="0" w:leftChars="0" w:firstLine="0" w:firstLineChars="0"/>
              <w:jc w:val="both"/>
              <w:rPr>
                <w:rFonts w:hint="eastAsia" w:eastAsiaTheme="minorEastAsia"/>
                <w:sz w:val="24"/>
                <w:szCs w:val="24"/>
                <w:vertAlign w:val="baseline"/>
                <w:lang w:val="en-US" w:eastAsia="zh-CN"/>
              </w:rPr>
            </w:pPr>
            <w:r>
              <w:rPr>
                <w:rFonts w:hint="eastAsia"/>
                <w:sz w:val="24"/>
                <w:szCs w:val="24"/>
                <w:vertAlign w:val="baseline"/>
                <w:lang w:val="en-US" w:eastAsia="zh-CN"/>
              </w:rPr>
              <w:t>电视机</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台</w:t>
            </w:r>
          </w:p>
        </w:tc>
        <w:tc>
          <w:tcPr>
            <w:tcW w:w="692" w:type="dxa"/>
            <w:vAlign w:val="center"/>
          </w:tcPr>
          <w:p>
            <w:pPr>
              <w:ind w:left="0" w:leftChars="0" w:firstLine="0" w:firstLineChars="0"/>
              <w:jc w:val="both"/>
              <w:rPr>
                <w:rFonts w:hint="default" w:asciiTheme="minorHAnsi" w:hAnsiTheme="minorHAnsi" w:eastAsiaTheme="minorEastAsia" w:cstheme="minorBidi"/>
                <w:sz w:val="21"/>
                <w:szCs w:val="22"/>
                <w:lang w:val="en-US" w:eastAsia="zh-CN" w:bidi="ar-SA"/>
              </w:rPr>
            </w:pPr>
            <w:r>
              <w:rPr>
                <w:rFonts w:hint="eastAsia" w:cstheme="minorBidi"/>
                <w:sz w:val="21"/>
                <w:szCs w:val="22"/>
                <w:lang w:val="en-US" w:eastAsia="zh-CN" w:bidi="ar-SA"/>
              </w:rPr>
              <w:t>8</w:t>
            </w:r>
          </w:p>
        </w:tc>
        <w:tc>
          <w:tcPr>
            <w:tcW w:w="5411" w:type="dxa"/>
            <w:vAlign w:val="center"/>
          </w:tcPr>
          <w:p>
            <w:pPr>
              <w:jc w:val="left"/>
              <w:rPr>
                <w:rFonts w:hint="eastAsia"/>
                <w:lang w:val="en-US" w:eastAsia="zh-CN"/>
              </w:rPr>
            </w:pPr>
            <w:r>
              <w:rPr>
                <w:rFonts w:hint="eastAsia"/>
                <w:lang w:eastAsia="zh-CN"/>
              </w:rPr>
              <w:t>规格：</w:t>
            </w:r>
            <w:r>
              <w:rPr>
                <w:rFonts w:hint="eastAsia"/>
                <w:lang w:val="en-US" w:eastAsia="zh-CN"/>
              </w:rPr>
              <w:t>43寸</w:t>
            </w:r>
          </w:p>
          <w:p>
            <w:pPr>
              <w:jc w:val="left"/>
              <w:rPr>
                <w:rFonts w:hint="eastAsia" w:ascii="宋体" w:hAnsi="宋体"/>
              </w:rPr>
            </w:pPr>
            <w:r>
              <w:rPr>
                <w:rFonts w:hint="eastAsia" w:ascii="宋体" w:hAnsi="宋体"/>
              </w:rPr>
              <w:t>面板类型</w:t>
            </w:r>
            <w:r>
              <w:rPr>
                <w:rFonts w:hint="eastAsia" w:ascii="宋体" w:hAnsi="宋体"/>
                <w:lang w:val="en-US" w:eastAsia="zh-CN"/>
              </w:rPr>
              <w:t>:</w:t>
            </w:r>
            <w:r>
              <w:rPr>
                <w:rFonts w:hint="eastAsia" w:ascii="宋体" w:hAnsi="宋体"/>
              </w:rPr>
              <w:t>LG A+</w:t>
            </w:r>
          </w:p>
          <w:p>
            <w:pPr>
              <w:jc w:val="left"/>
              <w:rPr>
                <w:rFonts w:hint="eastAsia" w:ascii="宋体" w:hAnsi="宋体"/>
              </w:rPr>
            </w:pPr>
            <w:r>
              <w:rPr>
                <w:rFonts w:hint="eastAsia" w:ascii="宋体" w:hAnsi="宋体"/>
              </w:rPr>
              <w:t>刷新频率</w:t>
            </w:r>
            <w:r>
              <w:rPr>
                <w:rFonts w:hint="eastAsia" w:ascii="宋体" w:hAnsi="宋体"/>
                <w:lang w:val="en-US" w:eastAsia="zh-CN"/>
              </w:rPr>
              <w:t>:</w:t>
            </w:r>
            <w:r>
              <w:rPr>
                <w:rFonts w:hint="eastAsia" w:ascii="宋体" w:hAnsi="宋体"/>
              </w:rPr>
              <w:t>60Hz</w:t>
            </w:r>
          </w:p>
          <w:p>
            <w:pPr>
              <w:jc w:val="left"/>
              <w:rPr>
                <w:rFonts w:hint="eastAsia" w:ascii="宋体" w:hAnsi="宋体"/>
              </w:rPr>
            </w:pPr>
            <w:r>
              <w:rPr>
                <w:rFonts w:hint="eastAsia" w:ascii="宋体" w:hAnsi="宋体"/>
              </w:rPr>
              <w:t>使用寿命</w:t>
            </w:r>
            <w:r>
              <w:rPr>
                <w:rFonts w:hint="eastAsia" w:ascii="宋体" w:hAnsi="宋体"/>
                <w:lang w:val="en-US" w:eastAsia="zh-CN"/>
              </w:rPr>
              <w:t>:</w:t>
            </w:r>
            <w:r>
              <w:rPr>
                <w:rFonts w:hint="eastAsia" w:ascii="宋体" w:hAnsi="宋体"/>
              </w:rPr>
              <w:t>50000小时</w:t>
            </w:r>
          </w:p>
          <w:p>
            <w:pPr>
              <w:jc w:val="left"/>
              <w:rPr>
                <w:rFonts w:hint="eastAsia" w:ascii="宋体" w:hAnsi="宋体"/>
              </w:rPr>
            </w:pPr>
            <w:r>
              <w:rPr>
                <w:rFonts w:hint="eastAsia" w:ascii="宋体" w:hAnsi="宋体"/>
              </w:rPr>
              <w:t>扫描方式</w:t>
            </w:r>
            <w:r>
              <w:rPr>
                <w:rFonts w:hint="eastAsia" w:ascii="宋体" w:hAnsi="宋体"/>
                <w:lang w:val="en-US" w:eastAsia="zh-CN"/>
              </w:rPr>
              <w:t>:</w:t>
            </w:r>
            <w:r>
              <w:rPr>
                <w:rFonts w:hint="eastAsia" w:ascii="宋体" w:hAnsi="宋体"/>
              </w:rPr>
              <w:t>逐行</w:t>
            </w:r>
          </w:p>
          <w:p>
            <w:pPr>
              <w:jc w:val="left"/>
              <w:rPr>
                <w:rFonts w:hint="eastAsia" w:ascii="宋体" w:hAnsi="宋体"/>
              </w:rPr>
            </w:pPr>
            <w:r>
              <w:rPr>
                <w:rFonts w:hint="eastAsia" w:ascii="宋体" w:hAnsi="宋体"/>
              </w:rPr>
              <w:t>3D</w:t>
            </w:r>
            <w:r>
              <w:rPr>
                <w:rFonts w:hint="eastAsia" w:ascii="宋体" w:hAnsi="宋体"/>
                <w:lang w:val="en-US" w:eastAsia="zh-CN"/>
              </w:rPr>
              <w:t>:</w:t>
            </w:r>
            <w:r>
              <w:rPr>
                <w:rFonts w:hint="eastAsia" w:ascii="宋体" w:hAnsi="宋体"/>
              </w:rPr>
              <w:t>不支持</w:t>
            </w:r>
          </w:p>
          <w:p>
            <w:pPr>
              <w:jc w:val="left"/>
              <w:rPr>
                <w:rFonts w:ascii="宋体" w:hAnsi="宋体"/>
              </w:rPr>
            </w:pPr>
            <w:r>
              <w:rPr>
                <w:rFonts w:hint="eastAsia" w:ascii="宋体" w:hAnsi="宋体"/>
              </w:rPr>
              <w:t>分辨率</w:t>
            </w:r>
            <w:r>
              <w:rPr>
                <w:rFonts w:hint="eastAsia" w:ascii="宋体" w:hAnsi="宋体"/>
                <w:lang w:val="en-US" w:eastAsia="zh-CN"/>
              </w:rPr>
              <w:t>:</w:t>
            </w:r>
            <w:r>
              <w:rPr>
                <w:rFonts w:hint="eastAsia" w:ascii="宋体" w:hAnsi="宋体"/>
              </w:rPr>
              <w:t>全高清（</w:t>
            </w:r>
            <w:r>
              <w:rPr>
                <w:rFonts w:ascii="宋体" w:hAnsi="宋体"/>
              </w:rPr>
              <w:t>1</w:t>
            </w:r>
            <w:r>
              <w:rPr>
                <w:rFonts w:hint="eastAsia" w:ascii="宋体" w:hAnsi="宋体"/>
              </w:rPr>
              <w:t>920x1080</w:t>
            </w:r>
            <w:r>
              <w:rPr>
                <w:rFonts w:ascii="宋体" w:hAnsi="宋体"/>
              </w:rPr>
              <w:t>）</w:t>
            </w:r>
          </w:p>
          <w:p>
            <w:pPr>
              <w:jc w:val="left"/>
              <w:rPr>
                <w:rFonts w:hint="eastAsia" w:ascii="宋体" w:hAnsi="宋体"/>
              </w:rPr>
            </w:pPr>
            <w:r>
              <w:rPr>
                <w:rFonts w:hint="eastAsia" w:ascii="宋体" w:hAnsi="宋体"/>
              </w:rPr>
              <w:t>背光灯使用寿命</w:t>
            </w:r>
            <w:r>
              <w:rPr>
                <w:rFonts w:hint="eastAsia" w:ascii="宋体" w:hAnsi="宋体"/>
                <w:lang w:val="en-US" w:eastAsia="zh-CN"/>
              </w:rPr>
              <w:t>:</w:t>
            </w:r>
            <w:r>
              <w:rPr>
                <w:rFonts w:hint="eastAsia" w:ascii="宋体" w:hAnsi="宋体"/>
              </w:rPr>
              <w:t>50000小时</w:t>
            </w:r>
          </w:p>
          <w:p>
            <w:pPr>
              <w:jc w:val="left"/>
              <w:rPr>
                <w:rFonts w:hint="eastAsia" w:ascii="宋体" w:hAnsi="宋体"/>
              </w:rPr>
            </w:pPr>
            <w:r>
              <w:rPr>
                <w:rFonts w:hint="eastAsia" w:ascii="宋体" w:hAnsi="宋体"/>
              </w:rPr>
              <w:t>能效等级</w:t>
            </w:r>
            <w:r>
              <w:rPr>
                <w:rFonts w:hint="eastAsia" w:ascii="宋体" w:hAnsi="宋体"/>
                <w:lang w:val="en-US" w:eastAsia="zh-CN"/>
              </w:rPr>
              <w:t>:</w:t>
            </w:r>
            <w:r>
              <w:rPr>
                <w:rFonts w:hint="eastAsia" w:ascii="宋体" w:hAnsi="宋体"/>
              </w:rPr>
              <w:t>2</w:t>
            </w:r>
          </w:p>
          <w:p>
            <w:pPr>
              <w:jc w:val="left"/>
              <w:rPr>
                <w:rFonts w:hint="eastAsia" w:ascii="宋体" w:hAnsi="宋体"/>
              </w:rPr>
            </w:pPr>
            <w:r>
              <w:rPr>
                <w:rFonts w:hint="eastAsia" w:ascii="宋体" w:hAnsi="宋体"/>
              </w:rPr>
              <w:t>响应速度</w:t>
            </w:r>
            <w:r>
              <w:rPr>
                <w:rFonts w:hint="eastAsia" w:ascii="宋体" w:hAnsi="宋体"/>
                <w:lang w:val="en-US" w:eastAsia="zh-CN"/>
              </w:rPr>
              <w:t>:</w:t>
            </w:r>
            <w:r>
              <w:rPr>
                <w:rFonts w:hint="eastAsia" w:ascii="宋体" w:hAnsi="宋体"/>
              </w:rPr>
              <w:t>8ms</w:t>
            </w:r>
          </w:p>
          <w:p>
            <w:pPr>
              <w:jc w:val="left"/>
              <w:rPr>
                <w:rFonts w:hint="eastAsia" w:ascii="宋体" w:hAnsi="宋体"/>
              </w:rPr>
            </w:pPr>
            <w:r>
              <w:rPr>
                <w:rFonts w:hint="eastAsia" w:ascii="宋体" w:hAnsi="宋体"/>
              </w:rPr>
              <w:t>屏幕比例</w:t>
            </w:r>
            <w:r>
              <w:rPr>
                <w:rFonts w:hint="eastAsia" w:ascii="宋体" w:hAnsi="宋体"/>
                <w:lang w:val="en-US" w:eastAsia="zh-CN"/>
              </w:rPr>
              <w:t>:</w:t>
            </w:r>
            <w:r>
              <w:rPr>
                <w:rFonts w:hint="eastAsia" w:ascii="宋体" w:hAnsi="宋体"/>
              </w:rPr>
              <w:t>16:9</w:t>
            </w:r>
          </w:p>
          <w:p>
            <w:pPr>
              <w:jc w:val="left"/>
              <w:rPr>
                <w:rFonts w:hint="eastAsia" w:ascii="宋体" w:hAnsi="宋体"/>
              </w:rPr>
            </w:pPr>
            <w:r>
              <w:rPr>
                <w:rFonts w:hint="eastAsia" w:ascii="宋体" w:hAnsi="宋体"/>
              </w:rPr>
              <w:t>可视角度</w:t>
            </w:r>
            <w:r>
              <w:rPr>
                <w:rFonts w:hint="eastAsia" w:ascii="宋体" w:hAnsi="宋体"/>
                <w:lang w:val="en-US" w:eastAsia="zh-CN"/>
              </w:rPr>
              <w:t>:</w:t>
            </w:r>
            <w:r>
              <w:rPr>
                <w:rFonts w:hint="eastAsia" w:ascii="宋体" w:hAnsi="宋体"/>
              </w:rPr>
              <w:t>±178º</w:t>
            </w:r>
          </w:p>
          <w:p>
            <w:pPr>
              <w:jc w:val="left"/>
              <w:rPr>
                <w:rFonts w:hint="eastAsia" w:ascii="宋体" w:hAnsi="宋体"/>
              </w:rPr>
            </w:pPr>
            <w:r>
              <w:rPr>
                <w:rFonts w:hint="eastAsia" w:ascii="宋体" w:hAnsi="宋体"/>
              </w:rPr>
              <w:t>背光技术</w:t>
            </w:r>
            <w:r>
              <w:rPr>
                <w:rFonts w:hint="eastAsia" w:ascii="宋体" w:hAnsi="宋体"/>
                <w:lang w:eastAsia="zh-CN"/>
              </w:rPr>
              <w:t>：</w:t>
            </w:r>
            <w:r>
              <w:rPr>
                <w:rFonts w:hint="eastAsia" w:ascii="宋体" w:hAnsi="宋体"/>
              </w:rPr>
              <w:t>D-LED</w:t>
            </w:r>
          </w:p>
          <w:p>
            <w:pPr>
              <w:jc w:val="left"/>
              <w:rPr>
                <w:rFonts w:hint="eastAsia" w:ascii="宋体" w:hAnsi="宋体"/>
              </w:rPr>
            </w:pPr>
            <w:r>
              <w:rPr>
                <w:rFonts w:hint="eastAsia" w:ascii="宋体" w:hAnsi="宋体"/>
              </w:rPr>
              <w:t>峰值亮度</w:t>
            </w:r>
            <w:r>
              <w:rPr>
                <w:rFonts w:hint="eastAsia" w:ascii="宋体" w:hAnsi="宋体"/>
                <w:lang w:eastAsia="zh-CN"/>
              </w:rPr>
              <w:t>：</w:t>
            </w:r>
            <w:r>
              <w:rPr>
                <w:rFonts w:hint="eastAsia" w:ascii="宋体" w:hAnsi="宋体"/>
              </w:rPr>
              <w:t>典型值280nit</w:t>
            </w:r>
          </w:p>
          <w:p>
            <w:pPr>
              <w:jc w:val="left"/>
              <w:rPr>
                <w:rFonts w:hint="eastAsia" w:ascii="宋体" w:hAnsi="宋体"/>
              </w:rPr>
            </w:pPr>
            <w:r>
              <w:rPr>
                <w:rFonts w:hint="eastAsia" w:ascii="宋体" w:hAnsi="宋体"/>
              </w:rPr>
              <w:t>动态对比度</w:t>
            </w:r>
            <w:r>
              <w:rPr>
                <w:rFonts w:hint="eastAsia" w:ascii="宋体" w:hAnsi="宋体"/>
                <w:lang w:eastAsia="zh-CN"/>
              </w:rPr>
              <w:t>：</w:t>
            </w:r>
            <w:r>
              <w:rPr>
                <w:rFonts w:hint="eastAsia" w:ascii="宋体" w:hAnsi="宋体"/>
              </w:rPr>
              <w:t>800:1</w:t>
            </w:r>
          </w:p>
          <w:p>
            <w:pPr>
              <w:bidi w:val="0"/>
              <w:jc w:val="left"/>
              <w:rPr>
                <w:rFonts w:hint="default"/>
                <w:lang w:val="en-US" w:eastAsia="zh-CN"/>
              </w:rPr>
            </w:pPr>
            <w:r>
              <w:rPr>
                <w:rFonts w:hint="eastAsia" w:ascii="宋体" w:hAnsi="宋体"/>
              </w:rPr>
              <w:t>静态对比度</w:t>
            </w:r>
            <w:r>
              <w:rPr>
                <w:rFonts w:hint="eastAsia" w:ascii="宋体" w:hAnsi="宋体"/>
                <w:lang w:val="en-US" w:eastAsia="zh-CN"/>
              </w:rPr>
              <w:t>:</w:t>
            </w:r>
            <w:r>
              <w:rPr>
                <w:rFonts w:hint="eastAsia" w:ascii="宋体" w:hAnsi="宋体"/>
              </w:rPr>
              <w:t>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820"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7</w:t>
            </w:r>
          </w:p>
        </w:tc>
        <w:tc>
          <w:tcPr>
            <w:tcW w:w="720" w:type="dxa"/>
            <w:vAlign w:val="center"/>
          </w:tcPr>
          <w:p>
            <w:pPr>
              <w:ind w:left="0" w:leftChars="0" w:firstLine="0" w:firstLineChars="0"/>
              <w:jc w:val="both"/>
              <w:rPr>
                <w:rFonts w:hint="eastAsia"/>
                <w:sz w:val="24"/>
                <w:szCs w:val="24"/>
                <w:vertAlign w:val="baseline"/>
                <w:lang w:val="en-US" w:eastAsia="zh-CN"/>
              </w:rPr>
            </w:pPr>
            <w:r>
              <w:rPr>
                <w:rFonts w:hint="eastAsia"/>
                <w:sz w:val="24"/>
                <w:szCs w:val="24"/>
                <w:vertAlign w:val="baseline"/>
                <w:lang w:val="en-US" w:eastAsia="zh-CN"/>
              </w:rPr>
              <w:t>电视机</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台</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1</w:t>
            </w:r>
          </w:p>
        </w:tc>
        <w:tc>
          <w:tcPr>
            <w:tcW w:w="5411" w:type="dxa"/>
            <w:vAlign w:val="center"/>
          </w:tcPr>
          <w:p>
            <w:pPr>
              <w:bidi w:val="0"/>
              <w:jc w:val="left"/>
              <w:rPr>
                <w:rFonts w:hint="eastAsia"/>
                <w:lang w:val="en-US" w:eastAsia="zh-CN"/>
              </w:rPr>
            </w:pPr>
            <w:r>
              <w:rPr>
                <w:rFonts w:hint="eastAsia"/>
                <w:lang w:val="en-US" w:eastAsia="zh-CN"/>
              </w:rPr>
              <w:t>规格：65寸</w:t>
            </w:r>
          </w:p>
          <w:p>
            <w:pPr>
              <w:jc w:val="left"/>
              <w:rPr>
                <w:rFonts w:hint="eastAsia" w:ascii="宋体" w:hAnsi="宋体"/>
              </w:rPr>
            </w:pPr>
            <w:r>
              <w:rPr>
                <w:rFonts w:hint="eastAsia" w:ascii="宋体" w:hAnsi="宋体"/>
              </w:rPr>
              <w:t>面板类型</w:t>
            </w:r>
            <w:r>
              <w:rPr>
                <w:rFonts w:hint="eastAsia" w:ascii="宋体" w:hAnsi="宋体"/>
                <w:lang w:val="en-US" w:eastAsia="zh-CN"/>
              </w:rPr>
              <w:t>:</w:t>
            </w:r>
            <w:r>
              <w:rPr>
                <w:rFonts w:hint="eastAsia" w:ascii="宋体" w:hAnsi="宋体"/>
              </w:rPr>
              <w:t>LED</w:t>
            </w:r>
          </w:p>
          <w:p>
            <w:pPr>
              <w:jc w:val="left"/>
              <w:rPr>
                <w:rFonts w:hint="eastAsia" w:ascii="宋体" w:hAnsi="宋体"/>
              </w:rPr>
            </w:pPr>
            <w:r>
              <w:rPr>
                <w:rFonts w:hint="eastAsia" w:ascii="宋体" w:hAnsi="宋体"/>
              </w:rPr>
              <w:t>刷新频率</w:t>
            </w:r>
            <w:r>
              <w:rPr>
                <w:rFonts w:hint="eastAsia" w:ascii="宋体" w:hAnsi="宋体"/>
                <w:lang w:val="en-US" w:eastAsia="zh-CN"/>
              </w:rPr>
              <w:t>:</w:t>
            </w:r>
            <w:r>
              <w:rPr>
                <w:rFonts w:hint="eastAsia" w:ascii="宋体" w:hAnsi="宋体"/>
              </w:rPr>
              <w:t>60Hz</w:t>
            </w:r>
          </w:p>
          <w:p>
            <w:pPr>
              <w:jc w:val="left"/>
              <w:rPr>
                <w:rFonts w:hint="eastAsia" w:ascii="宋体" w:hAnsi="宋体"/>
              </w:rPr>
            </w:pPr>
            <w:r>
              <w:rPr>
                <w:rFonts w:hint="eastAsia" w:ascii="宋体" w:hAnsi="宋体"/>
              </w:rPr>
              <w:t>使用寿命</w:t>
            </w:r>
            <w:r>
              <w:rPr>
                <w:rFonts w:hint="eastAsia" w:ascii="宋体" w:hAnsi="宋体"/>
                <w:lang w:val="en-US" w:eastAsia="zh-CN"/>
              </w:rPr>
              <w:t>:</w:t>
            </w:r>
            <w:r>
              <w:rPr>
                <w:rFonts w:hint="eastAsia" w:ascii="宋体" w:hAnsi="宋体"/>
              </w:rPr>
              <w:t>50000小时</w:t>
            </w:r>
          </w:p>
          <w:p>
            <w:pPr>
              <w:jc w:val="left"/>
              <w:rPr>
                <w:rFonts w:hint="eastAsia" w:ascii="宋体" w:hAnsi="宋体"/>
              </w:rPr>
            </w:pPr>
            <w:r>
              <w:rPr>
                <w:rFonts w:hint="eastAsia" w:ascii="宋体" w:hAnsi="宋体"/>
              </w:rPr>
              <w:t>扫描方式</w:t>
            </w:r>
            <w:r>
              <w:rPr>
                <w:rFonts w:hint="eastAsia" w:ascii="宋体" w:hAnsi="宋体"/>
                <w:lang w:val="en-US" w:eastAsia="zh-CN"/>
              </w:rPr>
              <w:t>:</w:t>
            </w:r>
            <w:r>
              <w:rPr>
                <w:rFonts w:hint="eastAsia" w:ascii="宋体" w:hAnsi="宋体"/>
              </w:rPr>
              <w:t>逐行</w:t>
            </w:r>
          </w:p>
          <w:p>
            <w:pPr>
              <w:jc w:val="left"/>
              <w:rPr>
                <w:rFonts w:hint="eastAsia" w:ascii="宋体" w:hAnsi="宋体"/>
              </w:rPr>
            </w:pPr>
            <w:r>
              <w:rPr>
                <w:rFonts w:hint="eastAsia" w:ascii="宋体" w:hAnsi="宋体"/>
              </w:rPr>
              <w:t>3D</w:t>
            </w:r>
            <w:r>
              <w:rPr>
                <w:rFonts w:hint="eastAsia" w:ascii="宋体" w:hAnsi="宋体"/>
                <w:lang w:val="en-US" w:eastAsia="zh-CN"/>
              </w:rPr>
              <w:t>:</w:t>
            </w:r>
            <w:r>
              <w:rPr>
                <w:rFonts w:hint="eastAsia" w:ascii="宋体" w:hAnsi="宋体"/>
              </w:rPr>
              <w:t>不支持</w:t>
            </w:r>
          </w:p>
          <w:p>
            <w:pPr>
              <w:jc w:val="left"/>
              <w:rPr>
                <w:rFonts w:hint="eastAsia" w:ascii="宋体" w:hAnsi="宋体"/>
              </w:rPr>
            </w:pPr>
            <w:r>
              <w:rPr>
                <w:rFonts w:hint="eastAsia" w:ascii="宋体" w:hAnsi="宋体"/>
              </w:rPr>
              <w:t>分辨率</w:t>
            </w:r>
            <w:r>
              <w:rPr>
                <w:rFonts w:hint="eastAsia" w:ascii="宋体" w:hAnsi="宋体"/>
                <w:lang w:val="en-US" w:eastAsia="zh-CN"/>
              </w:rPr>
              <w:t>:</w:t>
            </w:r>
            <w:r>
              <w:rPr>
                <w:rFonts w:hint="eastAsia" w:ascii="宋体" w:hAnsi="宋体"/>
              </w:rPr>
              <w:t>3840*2160</w:t>
            </w:r>
          </w:p>
          <w:p>
            <w:pPr>
              <w:jc w:val="left"/>
              <w:rPr>
                <w:rFonts w:hint="eastAsia" w:ascii="宋体" w:hAnsi="宋体"/>
              </w:rPr>
            </w:pPr>
            <w:r>
              <w:rPr>
                <w:rFonts w:hint="eastAsia" w:ascii="宋体" w:hAnsi="宋体"/>
              </w:rPr>
              <w:t>背光灯使用寿命</w:t>
            </w:r>
            <w:r>
              <w:rPr>
                <w:rFonts w:hint="eastAsia" w:ascii="宋体" w:hAnsi="宋体"/>
                <w:lang w:val="en-US" w:eastAsia="zh-CN"/>
              </w:rPr>
              <w:t>:</w:t>
            </w:r>
            <w:r>
              <w:rPr>
                <w:rFonts w:hint="eastAsia" w:ascii="宋体" w:hAnsi="宋体"/>
              </w:rPr>
              <w:t>50000小时</w:t>
            </w:r>
          </w:p>
          <w:p>
            <w:pPr>
              <w:jc w:val="left"/>
              <w:rPr>
                <w:rFonts w:hint="eastAsia" w:ascii="宋体" w:hAnsi="宋体"/>
              </w:rPr>
            </w:pPr>
            <w:r>
              <w:rPr>
                <w:rFonts w:hint="eastAsia" w:ascii="宋体" w:hAnsi="宋体"/>
              </w:rPr>
              <w:t>能效等级</w:t>
            </w:r>
            <w:r>
              <w:rPr>
                <w:rFonts w:hint="eastAsia" w:ascii="宋体" w:hAnsi="宋体"/>
                <w:lang w:val="en-US" w:eastAsia="zh-CN"/>
              </w:rPr>
              <w:t>:</w:t>
            </w:r>
            <w:r>
              <w:rPr>
                <w:rFonts w:hint="eastAsia" w:ascii="宋体" w:hAnsi="宋体"/>
              </w:rPr>
              <w:t>二级（新标）</w:t>
            </w:r>
          </w:p>
          <w:p>
            <w:pPr>
              <w:jc w:val="left"/>
              <w:rPr>
                <w:rFonts w:hint="eastAsia" w:ascii="宋体" w:hAnsi="宋体"/>
              </w:rPr>
            </w:pPr>
            <w:r>
              <w:rPr>
                <w:rFonts w:hint="eastAsia" w:ascii="宋体" w:hAnsi="宋体"/>
              </w:rPr>
              <w:t>响应速度</w:t>
            </w:r>
            <w:r>
              <w:rPr>
                <w:rFonts w:hint="eastAsia" w:ascii="宋体" w:hAnsi="宋体"/>
                <w:lang w:val="en-US" w:eastAsia="zh-CN"/>
              </w:rPr>
              <w:t>:</w:t>
            </w:r>
            <w:r>
              <w:rPr>
                <w:rFonts w:hint="eastAsia" w:ascii="宋体" w:hAnsi="宋体"/>
              </w:rPr>
              <w:t>8ms</w:t>
            </w:r>
          </w:p>
          <w:p>
            <w:pPr>
              <w:jc w:val="left"/>
              <w:rPr>
                <w:rFonts w:hint="eastAsia" w:ascii="宋体" w:hAnsi="宋体"/>
              </w:rPr>
            </w:pPr>
            <w:r>
              <w:rPr>
                <w:rFonts w:hint="eastAsia" w:ascii="宋体" w:hAnsi="宋体"/>
              </w:rPr>
              <w:t>屏幕比例</w:t>
            </w:r>
            <w:r>
              <w:rPr>
                <w:rFonts w:hint="eastAsia" w:ascii="宋体" w:hAnsi="宋体"/>
                <w:lang w:val="en-US" w:eastAsia="zh-CN"/>
              </w:rPr>
              <w:t>:</w:t>
            </w:r>
            <w:r>
              <w:rPr>
                <w:rFonts w:hint="eastAsia" w:ascii="宋体" w:hAnsi="宋体"/>
              </w:rPr>
              <w:t>16:9</w:t>
            </w:r>
          </w:p>
          <w:p>
            <w:pPr>
              <w:jc w:val="left"/>
              <w:rPr>
                <w:rFonts w:hint="eastAsia" w:ascii="宋体" w:hAnsi="宋体"/>
              </w:rPr>
            </w:pPr>
            <w:r>
              <w:rPr>
                <w:rFonts w:hint="eastAsia" w:ascii="宋体" w:hAnsi="宋体"/>
              </w:rPr>
              <w:t>可视角度</w:t>
            </w:r>
            <w:r>
              <w:rPr>
                <w:rFonts w:hint="eastAsia" w:ascii="宋体" w:hAnsi="宋体"/>
                <w:lang w:eastAsia="zh-CN"/>
              </w:rPr>
              <w:t>：</w:t>
            </w:r>
            <w:r>
              <w:rPr>
                <w:rFonts w:hint="eastAsia" w:ascii="宋体" w:hAnsi="宋体"/>
              </w:rPr>
              <w:t>±178°</w:t>
            </w:r>
          </w:p>
          <w:p>
            <w:pPr>
              <w:jc w:val="left"/>
              <w:rPr>
                <w:rFonts w:hint="eastAsia" w:ascii="宋体" w:hAnsi="宋体"/>
              </w:rPr>
            </w:pPr>
            <w:r>
              <w:rPr>
                <w:rFonts w:hint="eastAsia" w:ascii="宋体" w:hAnsi="宋体"/>
              </w:rPr>
              <w:t>背光技术</w:t>
            </w:r>
            <w:r>
              <w:rPr>
                <w:rFonts w:hint="eastAsia" w:ascii="宋体" w:hAnsi="宋体"/>
                <w:lang w:eastAsia="zh-CN"/>
              </w:rPr>
              <w:t>：</w:t>
            </w:r>
            <w:r>
              <w:rPr>
                <w:rFonts w:hint="eastAsia" w:ascii="宋体" w:hAnsi="宋体"/>
              </w:rPr>
              <w:t>D-LED</w:t>
            </w:r>
          </w:p>
          <w:p>
            <w:pPr>
              <w:jc w:val="left"/>
              <w:rPr>
                <w:rFonts w:hint="eastAsia" w:ascii="宋体" w:hAnsi="宋体"/>
              </w:rPr>
            </w:pPr>
            <w:r>
              <w:rPr>
                <w:rFonts w:hint="eastAsia" w:ascii="宋体" w:hAnsi="宋体"/>
              </w:rPr>
              <w:t>峰值亮度</w:t>
            </w:r>
            <w:r>
              <w:rPr>
                <w:rFonts w:hint="eastAsia" w:ascii="宋体" w:hAnsi="宋体"/>
                <w:lang w:eastAsia="zh-CN"/>
              </w:rPr>
              <w:t>：</w:t>
            </w:r>
            <w:r>
              <w:rPr>
                <w:rFonts w:hint="eastAsia" w:ascii="宋体" w:hAnsi="宋体"/>
              </w:rPr>
              <w:t>330nit</w:t>
            </w:r>
          </w:p>
          <w:p>
            <w:pPr>
              <w:jc w:val="left"/>
              <w:rPr>
                <w:rFonts w:hint="eastAsia" w:ascii="宋体" w:hAnsi="宋体"/>
              </w:rPr>
            </w:pPr>
            <w:r>
              <w:rPr>
                <w:rFonts w:hint="eastAsia" w:ascii="宋体" w:hAnsi="宋体"/>
              </w:rPr>
              <w:t>动态对比度</w:t>
            </w:r>
            <w:r>
              <w:rPr>
                <w:rFonts w:hint="eastAsia" w:ascii="宋体" w:hAnsi="宋体"/>
                <w:lang w:eastAsia="zh-CN"/>
              </w:rPr>
              <w:t>：</w:t>
            </w:r>
            <w:r>
              <w:rPr>
                <w:rFonts w:hint="eastAsia" w:ascii="宋体" w:hAnsi="宋体"/>
              </w:rPr>
              <w:t>1000:1</w:t>
            </w:r>
          </w:p>
          <w:p>
            <w:pPr>
              <w:jc w:val="left"/>
              <w:rPr>
                <w:rFonts w:hint="eastAsia" w:ascii="宋体" w:hAnsi="宋体" w:cs="Arial"/>
                <w:szCs w:val="21"/>
              </w:rPr>
            </w:pPr>
            <w:r>
              <w:rPr>
                <w:rFonts w:hint="eastAsia" w:ascii="宋体" w:hAnsi="宋体"/>
              </w:rPr>
              <w:t>静态对比度</w:t>
            </w:r>
            <w:r>
              <w:rPr>
                <w:rFonts w:hint="eastAsia" w:ascii="宋体" w:hAnsi="宋体"/>
                <w:lang w:eastAsia="zh-CN"/>
              </w:rPr>
              <w:t>：</w:t>
            </w:r>
            <w:r>
              <w:rPr>
                <w:rFonts w:hint="eastAsia" w:ascii="宋体" w:hAnsi="宋体"/>
              </w:rPr>
              <w:t>4000:1</w:t>
            </w:r>
            <w:r>
              <w:rPr>
                <w:rFonts w:hint="eastAsia" w:ascii="宋体" w:hAnsi="宋体" w:cs="Arial"/>
                <w:szCs w:val="21"/>
              </w:rPr>
              <w:t>机芯</w:t>
            </w:r>
            <w:r>
              <w:rPr>
                <w:rFonts w:hint="eastAsia" w:ascii="宋体" w:hAnsi="宋体" w:cs="Arial"/>
                <w:szCs w:val="21"/>
                <w:lang w:val="en-US" w:eastAsia="zh-CN"/>
              </w:rPr>
              <w:t>:</w:t>
            </w:r>
            <w:r>
              <w:rPr>
                <w:rFonts w:hint="eastAsia" w:ascii="宋体" w:hAnsi="宋体" w:cs="Arial"/>
                <w:szCs w:val="21"/>
              </w:rPr>
              <w:t>ZLH74G-i-17(V551)  65＇</w:t>
            </w:r>
          </w:p>
          <w:p>
            <w:pPr>
              <w:jc w:val="left"/>
              <w:rPr>
                <w:rFonts w:hint="eastAsia" w:ascii="宋体" w:hAnsi="宋体"/>
              </w:rPr>
            </w:pPr>
            <w:r>
              <w:rPr>
                <w:rFonts w:hint="eastAsia" w:ascii="宋体" w:hAnsi="宋体" w:cs="Arial"/>
                <w:szCs w:val="21"/>
              </w:rPr>
              <w:t>操作系统</w:t>
            </w:r>
            <w:r>
              <w:rPr>
                <w:rFonts w:hint="eastAsia" w:ascii="宋体" w:hAnsi="宋体" w:cs="Arial"/>
                <w:szCs w:val="21"/>
                <w:lang w:val="en-US" w:eastAsia="zh-CN"/>
              </w:rPr>
              <w:t>:</w:t>
            </w:r>
            <w:r>
              <w:rPr>
                <w:rFonts w:hint="eastAsia" w:ascii="宋体" w:hAnsi="宋体"/>
              </w:rPr>
              <w:t>Android 5.1</w:t>
            </w:r>
          </w:p>
          <w:p>
            <w:pPr>
              <w:jc w:val="left"/>
              <w:rPr>
                <w:rFonts w:hint="eastAsia" w:cs="Arial"/>
                <w:szCs w:val="21"/>
              </w:rPr>
            </w:pPr>
            <w:r>
              <w:rPr>
                <w:rFonts w:hint="eastAsia" w:ascii="宋体" w:hAnsi="宋体" w:cs="Arial"/>
                <w:szCs w:val="21"/>
              </w:rPr>
              <w:t>CPU</w:t>
            </w:r>
            <w:r>
              <w:rPr>
                <w:rFonts w:hint="eastAsia" w:ascii="宋体" w:hAnsi="宋体" w:cs="Arial"/>
                <w:szCs w:val="21"/>
                <w:lang w:val="en-US" w:eastAsia="zh-CN"/>
              </w:rPr>
              <w:t>:</w:t>
            </w:r>
            <w:r>
              <w:rPr>
                <w:rFonts w:hint="eastAsia" w:cs="Arial"/>
                <w:szCs w:val="21"/>
              </w:rPr>
              <w:t>ARM Cortex-73*2</w:t>
            </w:r>
          </w:p>
          <w:p>
            <w:pPr>
              <w:jc w:val="left"/>
              <w:rPr>
                <w:rFonts w:hint="eastAsia" w:ascii="宋体" w:hAnsi="宋体"/>
              </w:rPr>
            </w:pPr>
            <w:r>
              <w:rPr>
                <w:rFonts w:hint="eastAsia" w:ascii="宋体" w:hAnsi="宋体" w:cs="Arial"/>
                <w:szCs w:val="21"/>
              </w:rPr>
              <w:t>CPU支持的功能</w:t>
            </w:r>
            <w:r>
              <w:rPr>
                <w:rFonts w:hint="eastAsia" w:ascii="宋体" w:hAnsi="宋体" w:cs="Arial"/>
                <w:szCs w:val="21"/>
                <w:lang w:val="en-US" w:eastAsia="zh-CN"/>
              </w:rPr>
              <w:t>:</w:t>
            </w:r>
            <w:r>
              <w:rPr>
                <w:rFonts w:hint="eastAsia" w:ascii="宋体" w:hAnsi="宋体"/>
              </w:rPr>
              <w:t>H.265</w:t>
            </w:r>
          </w:p>
          <w:p>
            <w:pPr>
              <w:jc w:val="left"/>
              <w:rPr>
                <w:rFonts w:hint="eastAsia" w:ascii="宋体" w:hAnsi="宋体" w:cs="Arial"/>
                <w:szCs w:val="21"/>
              </w:rPr>
            </w:pPr>
            <w:r>
              <w:rPr>
                <w:rFonts w:hint="eastAsia" w:ascii="宋体" w:hAnsi="宋体" w:cs="Arial"/>
                <w:szCs w:val="21"/>
              </w:rPr>
              <w:t>GPU</w:t>
            </w:r>
            <w:r>
              <w:rPr>
                <w:rFonts w:hint="eastAsia" w:ascii="宋体" w:hAnsi="宋体" w:cs="Arial"/>
                <w:szCs w:val="21"/>
                <w:lang w:val="en-US" w:eastAsia="zh-CN"/>
              </w:rPr>
              <w:t>:</w:t>
            </w:r>
            <w:r>
              <w:rPr>
                <w:rFonts w:hint="eastAsia" w:ascii="宋体" w:hAnsi="宋体" w:cs="Arial"/>
                <w:szCs w:val="21"/>
              </w:rPr>
              <w:t xml:space="preserve">5核Mali 450 </w:t>
            </w:r>
          </w:p>
          <w:p>
            <w:pPr>
              <w:jc w:val="left"/>
              <w:rPr>
                <w:rFonts w:hint="eastAsia" w:ascii="宋体" w:hAnsi="宋体"/>
              </w:rPr>
            </w:pPr>
            <w:r>
              <w:rPr>
                <w:rFonts w:hint="eastAsia" w:ascii="宋体" w:hAnsi="宋体" w:cs="Arial"/>
                <w:szCs w:val="21"/>
              </w:rPr>
              <w:t>DDR/Flash</w:t>
            </w:r>
            <w:r>
              <w:rPr>
                <w:rFonts w:hint="eastAsia" w:ascii="宋体" w:hAnsi="宋体" w:cs="Arial"/>
                <w:szCs w:val="21"/>
                <w:lang w:val="en-US" w:eastAsia="zh-CN"/>
              </w:rPr>
              <w:t>:</w:t>
            </w:r>
            <w:r>
              <w:rPr>
                <w:rFonts w:hint="eastAsia" w:ascii="宋体" w:hAnsi="宋体"/>
              </w:rPr>
              <w:t xml:space="preserve">DDR4 1.5GB / 8GB EMMC </w:t>
            </w:r>
          </w:p>
          <w:p>
            <w:pPr>
              <w:jc w:val="left"/>
              <w:rPr>
                <w:rFonts w:hint="eastAsia"/>
                <w:color w:val="000000" w:themeColor="text1"/>
                <w14:textFill>
                  <w14:solidFill>
                    <w14:schemeClr w14:val="tx1"/>
                  </w14:solidFill>
                </w14:textFill>
              </w:rPr>
            </w:pPr>
            <w:r>
              <w:rPr>
                <w:rFonts w:hint="eastAsia" w:ascii="宋体" w:hAnsi="宋体" w:cs="Arial"/>
                <w:szCs w:val="21"/>
              </w:rPr>
              <w:t>数字电视</w:t>
            </w:r>
            <w:r>
              <w:rPr>
                <w:rFonts w:hint="eastAsia" w:ascii="宋体" w:hAnsi="宋体" w:cs="Arial"/>
                <w:szCs w:val="21"/>
                <w:lang w:val="en-US" w:eastAsia="zh-CN"/>
              </w:rPr>
              <w:t>:</w:t>
            </w:r>
            <w:r>
              <w:rPr>
                <w:rFonts w:hint="eastAsia" w:ascii="宋体" w:hAnsi="宋体"/>
              </w:rPr>
              <w:t>DTMB/DVB-C清流</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解码未加密的DVBC信号)</w:t>
            </w:r>
          </w:p>
          <w:p>
            <w:pPr>
              <w:jc w:val="left"/>
              <w:rPr>
                <w:rFonts w:hint="eastAsia" w:ascii="宋体" w:hAnsi="宋体"/>
                <w:color w:val="000000"/>
              </w:rPr>
            </w:pPr>
            <w:r>
              <w:rPr>
                <w:rFonts w:hint="eastAsia" w:ascii="宋体" w:hAnsi="宋体" w:cs="Arial"/>
                <w:color w:val="000000"/>
                <w:szCs w:val="21"/>
              </w:rPr>
              <w:t>图像处理技术</w:t>
            </w:r>
            <w:r>
              <w:rPr>
                <w:rFonts w:hint="eastAsia" w:ascii="宋体" w:hAnsi="宋体" w:cs="Arial"/>
                <w:color w:val="000000"/>
                <w:szCs w:val="21"/>
                <w:lang w:val="en-US" w:eastAsia="zh-CN"/>
              </w:rPr>
              <w:t>:</w:t>
            </w:r>
            <w:r>
              <w:rPr>
                <w:rFonts w:hint="eastAsia" w:ascii="宋体" w:hAnsi="宋体"/>
                <w:color w:val="000000"/>
              </w:rPr>
              <w:t>HDR10、BT2020、支持4K@60Hz 10bit解码、点阵光控、七色靓彩等</w:t>
            </w:r>
          </w:p>
          <w:p>
            <w:pPr>
              <w:jc w:val="left"/>
              <w:rPr>
                <w:rFonts w:hint="eastAsia" w:ascii="宋体" w:hAnsi="宋体"/>
                <w:color w:val="000000"/>
              </w:rPr>
            </w:pPr>
            <w:r>
              <w:rPr>
                <w:rFonts w:hint="eastAsia" w:ascii="宋体" w:hAnsi="宋体"/>
                <w:color w:val="000000"/>
              </w:rPr>
              <w:t>MEMC动态补偿技术</w:t>
            </w:r>
            <w:r>
              <w:rPr>
                <w:rFonts w:hint="eastAsia" w:ascii="宋体" w:hAnsi="宋体"/>
                <w:color w:val="000000"/>
                <w:lang w:val="en-US" w:eastAsia="zh-CN"/>
              </w:rPr>
              <w:t>:</w:t>
            </w:r>
            <w:r>
              <w:rPr>
                <w:rFonts w:hint="eastAsia" w:ascii="宋体" w:hAnsi="宋体"/>
                <w:color w:val="000000"/>
              </w:rPr>
              <w:t>不支持</w:t>
            </w:r>
          </w:p>
          <w:p>
            <w:pPr>
              <w:jc w:val="left"/>
              <w:rPr>
                <w:rFonts w:hint="eastAsia" w:ascii="宋体" w:hAnsi="宋体"/>
              </w:rPr>
            </w:pPr>
            <w:r>
              <w:rPr>
                <w:rFonts w:hint="eastAsia" w:ascii="宋体" w:hAnsi="宋体"/>
              </w:rPr>
              <w:t>彩色制式（接收制式）</w:t>
            </w:r>
            <w:r>
              <w:rPr>
                <w:rFonts w:hint="eastAsia" w:ascii="宋体" w:hAnsi="宋体"/>
                <w:lang w:val="en-US" w:eastAsia="zh-CN"/>
              </w:rPr>
              <w:t>:</w:t>
            </w:r>
            <w:r>
              <w:rPr>
                <w:rFonts w:hint="eastAsia" w:ascii="宋体" w:hAnsi="宋体"/>
              </w:rPr>
              <w:t>PAL/NTSC</w:t>
            </w:r>
          </w:p>
          <w:p>
            <w:pPr>
              <w:jc w:val="left"/>
              <w:rPr>
                <w:rFonts w:hint="eastAsia" w:ascii="宋体" w:hAnsi="宋体"/>
              </w:rPr>
            </w:pPr>
            <w:r>
              <w:rPr>
                <w:rFonts w:hint="eastAsia" w:ascii="宋体" w:hAnsi="宋体"/>
              </w:rPr>
              <w:t>视频解码（USB支持）</w:t>
            </w:r>
            <w:r>
              <w:rPr>
                <w:rFonts w:hint="eastAsia" w:ascii="宋体" w:hAnsi="宋体"/>
                <w:lang w:val="en-US" w:eastAsia="zh-CN"/>
              </w:rPr>
              <w:t>:</w:t>
            </w:r>
            <w:r>
              <w:rPr>
                <w:rFonts w:hint="eastAsia" w:ascii="宋体" w:hAnsi="宋体"/>
              </w:rPr>
              <w:t>H.264/AVC、H.265/HEAC、TS、AVI、MPG、MKV、MOV、MP4、RM、RMVB、FLV等常见多媒体视频格式</w:t>
            </w:r>
          </w:p>
          <w:p>
            <w:pPr>
              <w:bidi w:val="0"/>
              <w:jc w:val="left"/>
              <w:rPr>
                <w:rFonts w:hint="default"/>
                <w:lang w:val="en-US" w:eastAsia="zh-CN"/>
              </w:rPr>
            </w:pPr>
            <w:r>
              <w:rPr>
                <w:rFonts w:hint="eastAsia" w:ascii="宋体" w:hAnsi="宋体"/>
              </w:rPr>
              <w:t>图片格式（USB支持）</w:t>
            </w:r>
            <w:r>
              <w:rPr>
                <w:rFonts w:hint="eastAsia" w:ascii="宋体" w:hAnsi="宋体"/>
                <w:lang w:val="en-US" w:eastAsia="zh-CN"/>
              </w:rPr>
              <w:t>:</w:t>
            </w:r>
            <w:r>
              <w:rPr>
                <w:rFonts w:hint="eastAsia" w:ascii="宋体" w:hAnsi="宋体"/>
              </w:rPr>
              <w:t>JPEG、PNG、BMP等常见图片格式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82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720"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电视柜</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个</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ind w:left="0" w:leftChars="0" w:firstLine="0" w:firstLineChars="0"/>
              <w:jc w:val="left"/>
              <w:rPr>
                <w:rFonts w:hint="eastAsia"/>
                <w:sz w:val="24"/>
                <w:szCs w:val="24"/>
              </w:rPr>
            </w:pPr>
            <w:r>
              <w:rPr>
                <w:rFonts w:hint="eastAsia"/>
                <w:sz w:val="24"/>
                <w:szCs w:val="24"/>
              </w:rPr>
              <w:t>1、面材：采用优质0.6mm</w:t>
            </w:r>
            <w:r>
              <w:rPr>
                <w:rFonts w:hint="eastAsia"/>
                <w:sz w:val="24"/>
                <w:szCs w:val="24"/>
                <w:lang w:eastAsia="zh-CN"/>
              </w:rPr>
              <w:t>白色</w:t>
            </w:r>
            <w:r>
              <w:rPr>
                <w:rFonts w:hint="eastAsia"/>
                <w:sz w:val="24"/>
                <w:szCs w:val="24"/>
              </w:rPr>
              <w:t>木皮饰面；</w:t>
            </w:r>
          </w:p>
          <w:p>
            <w:pPr>
              <w:ind w:left="0" w:leftChars="0" w:firstLine="0" w:firstLineChars="0"/>
              <w:jc w:val="left"/>
              <w:rPr>
                <w:rFonts w:hint="eastAsia"/>
                <w:sz w:val="24"/>
                <w:szCs w:val="24"/>
              </w:rPr>
            </w:pPr>
            <w:r>
              <w:rPr>
                <w:rFonts w:hint="eastAsia"/>
                <w:sz w:val="24"/>
                <w:szCs w:val="24"/>
              </w:rPr>
              <w:t>2、封边：台面及附件均用实木封边；</w:t>
            </w:r>
          </w:p>
          <w:p>
            <w:pPr>
              <w:ind w:left="0" w:leftChars="0" w:firstLine="0" w:firstLineChars="0"/>
              <w:jc w:val="left"/>
              <w:rPr>
                <w:rFonts w:hint="eastAsia"/>
                <w:sz w:val="24"/>
                <w:szCs w:val="24"/>
              </w:rPr>
            </w:pPr>
            <w:r>
              <w:rPr>
                <w:rFonts w:hint="eastAsia"/>
                <w:sz w:val="24"/>
                <w:szCs w:val="24"/>
              </w:rPr>
              <w:t>3、基材：采用E1级高密度中纤板</w:t>
            </w:r>
          </w:p>
          <w:p>
            <w:pPr>
              <w:ind w:left="0" w:leftChars="0" w:firstLine="0" w:firstLineChars="0"/>
              <w:jc w:val="left"/>
              <w:rPr>
                <w:rFonts w:hint="eastAsia"/>
                <w:sz w:val="24"/>
                <w:szCs w:val="24"/>
              </w:rPr>
            </w:pPr>
            <w:r>
              <w:rPr>
                <w:rFonts w:hint="eastAsia"/>
                <w:sz w:val="24"/>
                <w:szCs w:val="24"/>
              </w:rPr>
              <w:t>4、五金配件：采用  优质五金产品，</w:t>
            </w:r>
          </w:p>
          <w:p>
            <w:pPr>
              <w:ind w:left="0" w:leftChars="0" w:firstLine="0" w:firstLineChars="0"/>
              <w:jc w:val="left"/>
              <w:rPr>
                <w:rFonts w:hint="eastAsia"/>
                <w:sz w:val="24"/>
                <w:szCs w:val="24"/>
              </w:rPr>
            </w:pPr>
            <w:r>
              <w:rPr>
                <w:rFonts w:hint="eastAsia"/>
                <w:sz w:val="24"/>
                <w:szCs w:val="24"/>
              </w:rPr>
              <w:t>5、油漆：采用优质环保油漆，色泽美观，永不变色，光滑耐磨；</w:t>
            </w:r>
          </w:p>
          <w:p>
            <w:pPr>
              <w:ind w:left="0" w:leftChars="0" w:firstLine="0" w:firstLineChars="0"/>
              <w:jc w:val="left"/>
              <w:rPr>
                <w:rFonts w:hint="default" w:eastAsiaTheme="minorEastAsia"/>
                <w:sz w:val="24"/>
                <w:szCs w:val="24"/>
                <w:lang w:val="en-US" w:eastAsia="zh-CN"/>
              </w:rPr>
            </w:pPr>
            <w:r>
              <w:rPr>
                <w:rFonts w:hint="eastAsia"/>
                <w:sz w:val="24"/>
                <w:szCs w:val="24"/>
                <w:lang w:eastAsia="zh-CN"/>
              </w:rPr>
              <w:t>规格：</w:t>
            </w:r>
            <w:r>
              <w:rPr>
                <w:rFonts w:hint="eastAsia"/>
                <w:sz w:val="24"/>
                <w:szCs w:val="24"/>
                <w:lang w:val="en-US" w:eastAsia="zh-CN"/>
              </w:rPr>
              <w:t>1600*300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0"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9</w:t>
            </w:r>
          </w:p>
        </w:tc>
        <w:tc>
          <w:tcPr>
            <w:tcW w:w="720"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衣架</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个</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ind w:left="0" w:leftChars="0" w:firstLine="0" w:firstLineChars="0"/>
              <w:jc w:val="left"/>
              <w:rPr>
                <w:rFonts w:hint="eastAsia"/>
                <w:sz w:val="24"/>
                <w:szCs w:val="24"/>
              </w:rPr>
            </w:pPr>
            <w:r>
              <w:rPr>
                <w:rFonts w:hint="eastAsia"/>
                <w:sz w:val="24"/>
                <w:szCs w:val="24"/>
              </w:rPr>
              <w:t>实木，高级环保油漆</w:t>
            </w:r>
          </w:p>
          <w:p>
            <w:pPr>
              <w:jc w:val="left"/>
              <w:rPr>
                <w:rFonts w:hint="eastAsia" w:eastAsiaTheme="minorEastAsia"/>
                <w:sz w:val="24"/>
                <w:szCs w:val="24"/>
                <w:lang w:eastAsia="zh-CN"/>
              </w:rPr>
            </w:pPr>
            <w:r>
              <w:rPr>
                <w:rFonts w:hint="eastAsia"/>
                <w:sz w:val="24"/>
                <w:szCs w:val="24"/>
                <w:lang w:eastAsia="zh-CN"/>
              </w:rPr>
              <w:t>规格：常规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820"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10</w:t>
            </w:r>
          </w:p>
        </w:tc>
        <w:tc>
          <w:tcPr>
            <w:tcW w:w="720"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烧水壶</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个</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spacing w:line="240" w:lineRule="exact"/>
              <w:ind w:left="0" w:leftChars="0" w:firstLine="0" w:firstLineChars="0"/>
              <w:jc w:val="left"/>
              <w:rPr>
                <w:rFonts w:hint="default" w:eastAsiaTheme="minorEastAsia"/>
                <w:sz w:val="24"/>
                <w:szCs w:val="24"/>
                <w:vertAlign w:val="baseline"/>
                <w:lang w:val="en-US" w:eastAsia="zh-CN"/>
              </w:rPr>
            </w:pPr>
            <w:r>
              <w:rPr>
                <w:rFonts w:hint="eastAsia"/>
                <w:sz w:val="24"/>
                <w:szCs w:val="24"/>
              </w:rPr>
              <w:t>采用免优发热原件，整体不锈钢</w:t>
            </w:r>
            <w:r>
              <w:rPr>
                <w:rFonts w:hint="eastAsia"/>
                <w:sz w:val="24"/>
                <w:szCs w:val="24"/>
                <w:lang w:eastAsia="zh-CN"/>
              </w:rPr>
              <w:t>、带保温</w:t>
            </w:r>
            <w:r>
              <w:rPr>
                <w:rFonts w:hint="eastAsia"/>
                <w:sz w:val="24"/>
                <w:szCs w:val="24"/>
                <w:lang w:val="en-US" w:eastAsia="zh-CN"/>
              </w:rPr>
              <w:t>1.8升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820"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11</w:t>
            </w:r>
          </w:p>
        </w:tc>
        <w:tc>
          <w:tcPr>
            <w:tcW w:w="720" w:type="dxa"/>
            <w:vAlign w:val="center"/>
          </w:tcPr>
          <w:p>
            <w:pPr>
              <w:ind w:left="0" w:leftChars="0" w:firstLine="0" w:firstLineChars="0"/>
              <w:jc w:val="both"/>
              <w:rPr>
                <w:rFonts w:hint="eastAsia" w:eastAsiaTheme="minorEastAsia"/>
                <w:sz w:val="24"/>
                <w:szCs w:val="24"/>
                <w:vertAlign w:val="baseline"/>
                <w:lang w:val="en-US" w:eastAsia="zh-CN"/>
              </w:rPr>
            </w:pPr>
            <w:r>
              <w:rPr>
                <w:rFonts w:hint="eastAsia"/>
                <w:sz w:val="24"/>
                <w:szCs w:val="24"/>
                <w:vertAlign w:val="baseline"/>
                <w:lang w:val="en-US" w:eastAsia="zh-CN"/>
              </w:rPr>
              <w:t>台灯</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个</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bidi w:val="0"/>
              <w:ind w:left="0" w:leftChars="0" w:firstLine="0" w:firstLineChars="0"/>
              <w:jc w:val="left"/>
              <w:rPr>
                <w:rFonts w:hint="eastAsia"/>
              </w:rPr>
            </w:pPr>
            <w:r>
              <w:rPr>
                <w:rFonts w:hint="eastAsia"/>
                <w:lang w:val="en-US" w:eastAsia="zh-CN"/>
              </w:rPr>
              <w:t>光源：</w:t>
            </w:r>
            <w:r>
              <w:rPr>
                <w:rFonts w:hint="eastAsia"/>
              </w:rPr>
              <w:t>LED</w:t>
            </w:r>
          </w:p>
          <w:p>
            <w:pPr>
              <w:bidi w:val="0"/>
              <w:ind w:left="0" w:leftChars="0" w:firstLine="0" w:firstLineChars="0"/>
              <w:jc w:val="left"/>
              <w:rPr>
                <w:rFonts w:hint="eastAsia"/>
              </w:rPr>
            </w:pPr>
            <w:r>
              <w:rPr>
                <w:rFonts w:hint="eastAsia"/>
                <w:lang w:val="en-US" w:eastAsia="zh-CN"/>
              </w:rPr>
              <w:t>灯罩材质：</w:t>
            </w:r>
            <w:r>
              <w:rPr>
                <w:rFonts w:hint="eastAsia"/>
              </w:rPr>
              <w:t>塑料</w:t>
            </w:r>
          </w:p>
          <w:p>
            <w:pPr>
              <w:bidi w:val="0"/>
              <w:ind w:left="0" w:leftChars="0" w:firstLine="0" w:firstLineChars="0"/>
              <w:jc w:val="left"/>
              <w:rPr>
                <w:rFonts w:hint="eastAsia"/>
              </w:rPr>
            </w:pPr>
            <w:r>
              <w:rPr>
                <w:rFonts w:hint="eastAsia"/>
              </w:rPr>
              <w:t>触</w:t>
            </w:r>
            <w:r>
              <w:rPr>
                <w:rFonts w:hint="eastAsia"/>
                <w:lang w:eastAsia="zh-CN"/>
              </w:rPr>
              <w:t>开关方式</w:t>
            </w:r>
            <w:r>
              <w:rPr>
                <w:rFonts w:hint="eastAsia"/>
              </w:rPr>
              <w:t>摸式</w:t>
            </w:r>
          </w:p>
          <w:p>
            <w:pPr>
              <w:bidi w:val="0"/>
              <w:ind w:left="0" w:leftChars="0" w:firstLine="0" w:firstLineChars="0"/>
              <w:jc w:val="left"/>
              <w:rPr>
                <w:rFonts w:hint="eastAsia"/>
              </w:rPr>
            </w:pPr>
            <w:r>
              <w:rPr>
                <w:rFonts w:hint="eastAsia"/>
                <w:lang w:val="en-US" w:eastAsia="zh-CN"/>
              </w:rPr>
              <w:t>风格：</w:t>
            </w:r>
            <w:r>
              <w:rPr>
                <w:rFonts w:hint="eastAsia"/>
              </w:rPr>
              <w:t>简约现代</w:t>
            </w:r>
          </w:p>
          <w:p>
            <w:pPr>
              <w:bidi w:val="0"/>
              <w:ind w:left="0" w:leftChars="0" w:firstLine="0" w:firstLineChars="0"/>
              <w:jc w:val="left"/>
              <w:rPr>
                <w:rFonts w:hint="default"/>
                <w:lang w:val="en-US" w:eastAsia="zh-CN"/>
              </w:rPr>
            </w:pPr>
            <w:r>
              <w:rPr>
                <w:rFonts w:hint="eastAsia"/>
                <w:lang w:val="en-US" w:eastAsia="zh-CN"/>
              </w:rPr>
              <w:t>电压：36V</w:t>
            </w:r>
          </w:p>
          <w:p>
            <w:pPr>
              <w:ind w:left="0" w:leftChars="0" w:firstLine="0" w:firstLineChars="0"/>
              <w:jc w:val="left"/>
              <w:rPr>
                <w:rFonts w:hint="eastAsia"/>
                <w:lang w:eastAsia="zh-CN"/>
              </w:rPr>
            </w:pPr>
            <w:r>
              <w:rPr>
                <w:rFonts w:hint="eastAsia"/>
                <w:lang w:eastAsia="zh-CN"/>
              </w:rPr>
              <w:t>尺寸：</w:t>
            </w:r>
            <w:r>
              <w:rPr>
                <w:rFonts w:hint="eastAsia"/>
              </w:rPr>
              <w:t>200*200*455mm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820"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10</w:t>
            </w:r>
          </w:p>
        </w:tc>
        <w:tc>
          <w:tcPr>
            <w:tcW w:w="720"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毛巾架</w:t>
            </w:r>
          </w:p>
        </w:tc>
        <w:tc>
          <w:tcPr>
            <w:tcW w:w="735" w:type="dxa"/>
            <w:vAlign w:val="center"/>
          </w:tcPr>
          <w:p>
            <w:pPr>
              <w:ind w:left="0" w:leftChars="0" w:firstLine="0" w:firstLineChars="0"/>
              <w:jc w:val="both"/>
              <w:rPr>
                <w:rFonts w:hint="eastAsia"/>
                <w:sz w:val="24"/>
                <w:szCs w:val="24"/>
                <w:vertAlign w:val="baseline"/>
                <w:lang w:eastAsia="zh-CN"/>
              </w:rPr>
            </w:pPr>
            <w:r>
              <w:rPr>
                <w:rFonts w:hint="eastAsia"/>
                <w:sz w:val="24"/>
                <w:szCs w:val="24"/>
                <w:vertAlign w:val="baseline"/>
                <w:lang w:eastAsia="zh-CN"/>
              </w:rPr>
              <w:t>个</w:t>
            </w:r>
          </w:p>
        </w:tc>
        <w:tc>
          <w:tcPr>
            <w:tcW w:w="692" w:type="dxa"/>
            <w:vAlign w:val="center"/>
          </w:tcPr>
          <w:p>
            <w:pPr>
              <w:ind w:left="0" w:leftChars="0" w:firstLine="0" w:firstLineChars="0"/>
              <w:jc w:val="both"/>
              <w:rPr>
                <w:rFonts w:hint="default"/>
                <w:sz w:val="24"/>
                <w:szCs w:val="24"/>
                <w:vertAlign w:val="baseline"/>
                <w:lang w:val="en-US" w:eastAsia="zh-CN"/>
              </w:rPr>
            </w:pPr>
            <w:r>
              <w:rPr>
                <w:rFonts w:hint="eastAsia"/>
                <w:sz w:val="24"/>
                <w:szCs w:val="24"/>
                <w:vertAlign w:val="baseline"/>
                <w:lang w:val="en-US" w:eastAsia="zh-CN"/>
              </w:rPr>
              <w:t>24</w:t>
            </w:r>
          </w:p>
        </w:tc>
        <w:tc>
          <w:tcPr>
            <w:tcW w:w="5411" w:type="dxa"/>
            <w:vAlign w:val="center"/>
          </w:tcPr>
          <w:p>
            <w:pPr>
              <w:bidi w:val="0"/>
              <w:ind w:left="0" w:leftChars="0" w:firstLine="0" w:firstLineChars="0"/>
              <w:jc w:val="left"/>
              <w:rPr>
                <w:rFonts w:hint="eastAsia"/>
                <w:sz w:val="24"/>
                <w:szCs w:val="24"/>
                <w:vertAlign w:val="baseline"/>
                <w:lang w:eastAsia="zh-CN"/>
              </w:rPr>
            </w:pPr>
            <w:r>
              <w:rPr>
                <w:rFonts w:hint="eastAsia"/>
                <w:sz w:val="24"/>
                <w:szCs w:val="24"/>
                <w:vertAlign w:val="baseline"/>
                <w:lang w:eastAsia="zh-CN"/>
              </w:rPr>
              <w:t>双层不锈钢</w:t>
            </w:r>
          </w:p>
        </w:tc>
      </w:tr>
    </w:tbl>
    <w:p>
      <w:pPr>
        <w:jc w:val="left"/>
        <w:rPr>
          <w:rFonts w:hint="eastAsia"/>
          <w:sz w:val="28"/>
          <w:szCs w:val="28"/>
          <w:lang w:eastAsia="zh-CN"/>
        </w:rPr>
      </w:pPr>
    </w:p>
    <w:p>
      <w:pPr>
        <w:pStyle w:val="31"/>
        <w:spacing w:line="320" w:lineRule="exact"/>
        <w:ind w:firstLine="560" w:firstLineChars="0"/>
        <w:rPr>
          <w:rFonts w:hint="eastAsia" w:ascii="宋体" w:hAnsi="宋体" w:eastAsia="宋体" w:cs="宋体"/>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56号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29F"/>
    <w:rsid w:val="002C5D0F"/>
    <w:rsid w:val="00A22D1A"/>
    <w:rsid w:val="00AE5A2B"/>
    <w:rsid w:val="00E22C49"/>
    <w:rsid w:val="00E24720"/>
    <w:rsid w:val="01794623"/>
    <w:rsid w:val="0182060A"/>
    <w:rsid w:val="01930D7C"/>
    <w:rsid w:val="01E7369E"/>
    <w:rsid w:val="022F7347"/>
    <w:rsid w:val="02343FEC"/>
    <w:rsid w:val="0283529C"/>
    <w:rsid w:val="034E406A"/>
    <w:rsid w:val="04F83125"/>
    <w:rsid w:val="075A6180"/>
    <w:rsid w:val="07951895"/>
    <w:rsid w:val="079D4E13"/>
    <w:rsid w:val="08116E07"/>
    <w:rsid w:val="08646F10"/>
    <w:rsid w:val="0A8312B2"/>
    <w:rsid w:val="0AD3139E"/>
    <w:rsid w:val="0AF357C2"/>
    <w:rsid w:val="0BB9546F"/>
    <w:rsid w:val="0BF87599"/>
    <w:rsid w:val="0C966FB6"/>
    <w:rsid w:val="0CFD3760"/>
    <w:rsid w:val="0D2B2676"/>
    <w:rsid w:val="0E397DEE"/>
    <w:rsid w:val="0EF77118"/>
    <w:rsid w:val="0F2812F4"/>
    <w:rsid w:val="0F333CCC"/>
    <w:rsid w:val="0F3417BF"/>
    <w:rsid w:val="0F393FAC"/>
    <w:rsid w:val="0FBC046B"/>
    <w:rsid w:val="106F28D9"/>
    <w:rsid w:val="10A71125"/>
    <w:rsid w:val="1129001A"/>
    <w:rsid w:val="1134420A"/>
    <w:rsid w:val="11912A7E"/>
    <w:rsid w:val="11A279A2"/>
    <w:rsid w:val="11C63818"/>
    <w:rsid w:val="12014D43"/>
    <w:rsid w:val="120A147E"/>
    <w:rsid w:val="123E0181"/>
    <w:rsid w:val="12784354"/>
    <w:rsid w:val="127F741C"/>
    <w:rsid w:val="12B06F31"/>
    <w:rsid w:val="14643E2B"/>
    <w:rsid w:val="14F6131A"/>
    <w:rsid w:val="156D02E7"/>
    <w:rsid w:val="163F793A"/>
    <w:rsid w:val="184E6A38"/>
    <w:rsid w:val="184F5D93"/>
    <w:rsid w:val="1894614F"/>
    <w:rsid w:val="18AE60E9"/>
    <w:rsid w:val="192575E0"/>
    <w:rsid w:val="19A07B05"/>
    <w:rsid w:val="19C574F9"/>
    <w:rsid w:val="19C80328"/>
    <w:rsid w:val="1A1A0911"/>
    <w:rsid w:val="1A2A0D53"/>
    <w:rsid w:val="1A9B4F8E"/>
    <w:rsid w:val="1AF84118"/>
    <w:rsid w:val="1BAF484F"/>
    <w:rsid w:val="1BD129CC"/>
    <w:rsid w:val="1BF25AC4"/>
    <w:rsid w:val="1C7A2998"/>
    <w:rsid w:val="1CA1126D"/>
    <w:rsid w:val="1D386F0A"/>
    <w:rsid w:val="1DE64446"/>
    <w:rsid w:val="1E1A4190"/>
    <w:rsid w:val="1E385A70"/>
    <w:rsid w:val="1EE65484"/>
    <w:rsid w:val="1F6F6442"/>
    <w:rsid w:val="1F7D36CB"/>
    <w:rsid w:val="1F7F1DF0"/>
    <w:rsid w:val="1FAF187F"/>
    <w:rsid w:val="1FBE24CF"/>
    <w:rsid w:val="202077DA"/>
    <w:rsid w:val="2075600D"/>
    <w:rsid w:val="209C7D09"/>
    <w:rsid w:val="214B7316"/>
    <w:rsid w:val="217E3535"/>
    <w:rsid w:val="21EB7A25"/>
    <w:rsid w:val="22D95337"/>
    <w:rsid w:val="23694C49"/>
    <w:rsid w:val="23A8559F"/>
    <w:rsid w:val="24831FA1"/>
    <w:rsid w:val="249800C6"/>
    <w:rsid w:val="25AF6039"/>
    <w:rsid w:val="25F05283"/>
    <w:rsid w:val="26227082"/>
    <w:rsid w:val="262537F7"/>
    <w:rsid w:val="26383766"/>
    <w:rsid w:val="26645FAB"/>
    <w:rsid w:val="26A16E16"/>
    <w:rsid w:val="26EE2C7C"/>
    <w:rsid w:val="270F023A"/>
    <w:rsid w:val="27BF5AB4"/>
    <w:rsid w:val="28E22134"/>
    <w:rsid w:val="29647C86"/>
    <w:rsid w:val="296544C9"/>
    <w:rsid w:val="29B673E4"/>
    <w:rsid w:val="29FD4568"/>
    <w:rsid w:val="2A0662E5"/>
    <w:rsid w:val="2A5E32AB"/>
    <w:rsid w:val="2ACE3699"/>
    <w:rsid w:val="2B8346E3"/>
    <w:rsid w:val="2C0D3E59"/>
    <w:rsid w:val="2CBA0FF5"/>
    <w:rsid w:val="2D62220A"/>
    <w:rsid w:val="2D833F8F"/>
    <w:rsid w:val="2DB10527"/>
    <w:rsid w:val="2DC03B55"/>
    <w:rsid w:val="2DF14A8B"/>
    <w:rsid w:val="2ECA6954"/>
    <w:rsid w:val="308E319A"/>
    <w:rsid w:val="30C419B0"/>
    <w:rsid w:val="31454A3D"/>
    <w:rsid w:val="32124878"/>
    <w:rsid w:val="3251036B"/>
    <w:rsid w:val="33D34996"/>
    <w:rsid w:val="33E76902"/>
    <w:rsid w:val="34052C33"/>
    <w:rsid w:val="35980BD9"/>
    <w:rsid w:val="35DA26C3"/>
    <w:rsid w:val="36082464"/>
    <w:rsid w:val="364A2378"/>
    <w:rsid w:val="36E6087B"/>
    <w:rsid w:val="378652F2"/>
    <w:rsid w:val="378B2209"/>
    <w:rsid w:val="37C239D4"/>
    <w:rsid w:val="37F53B7B"/>
    <w:rsid w:val="391467B5"/>
    <w:rsid w:val="391B2D84"/>
    <w:rsid w:val="395547B6"/>
    <w:rsid w:val="3AB42FBD"/>
    <w:rsid w:val="3CE006E1"/>
    <w:rsid w:val="3D8257AD"/>
    <w:rsid w:val="3EAD3EEA"/>
    <w:rsid w:val="3F082449"/>
    <w:rsid w:val="3F4871AE"/>
    <w:rsid w:val="3F726E01"/>
    <w:rsid w:val="3FB22D31"/>
    <w:rsid w:val="40EC6DDC"/>
    <w:rsid w:val="417450FE"/>
    <w:rsid w:val="42975AD3"/>
    <w:rsid w:val="43BD792F"/>
    <w:rsid w:val="443F17B1"/>
    <w:rsid w:val="4464104B"/>
    <w:rsid w:val="44B27F70"/>
    <w:rsid w:val="45372001"/>
    <w:rsid w:val="45507635"/>
    <w:rsid w:val="45984FD7"/>
    <w:rsid w:val="45996446"/>
    <w:rsid w:val="45A5407B"/>
    <w:rsid w:val="45EF6230"/>
    <w:rsid w:val="461920F6"/>
    <w:rsid w:val="462C6948"/>
    <w:rsid w:val="47634434"/>
    <w:rsid w:val="479A0105"/>
    <w:rsid w:val="480C77F8"/>
    <w:rsid w:val="492A42F6"/>
    <w:rsid w:val="4960333D"/>
    <w:rsid w:val="497644E1"/>
    <w:rsid w:val="4AD12575"/>
    <w:rsid w:val="4AF50ED4"/>
    <w:rsid w:val="4B5C38FD"/>
    <w:rsid w:val="4C777F23"/>
    <w:rsid w:val="4C8F4EA5"/>
    <w:rsid w:val="4CF0753C"/>
    <w:rsid w:val="4DCA3A16"/>
    <w:rsid w:val="4E207A65"/>
    <w:rsid w:val="4EB852FB"/>
    <w:rsid w:val="4EC44FA6"/>
    <w:rsid w:val="4EF36F42"/>
    <w:rsid w:val="4F73213A"/>
    <w:rsid w:val="4FE535DF"/>
    <w:rsid w:val="50221449"/>
    <w:rsid w:val="5024289C"/>
    <w:rsid w:val="5115364F"/>
    <w:rsid w:val="517F674F"/>
    <w:rsid w:val="51824063"/>
    <w:rsid w:val="51961E21"/>
    <w:rsid w:val="51A3745D"/>
    <w:rsid w:val="51BC436A"/>
    <w:rsid w:val="52052473"/>
    <w:rsid w:val="52737F8C"/>
    <w:rsid w:val="527F6235"/>
    <w:rsid w:val="532426DE"/>
    <w:rsid w:val="532902AF"/>
    <w:rsid w:val="53536268"/>
    <w:rsid w:val="544874F0"/>
    <w:rsid w:val="54C544F6"/>
    <w:rsid w:val="560B7692"/>
    <w:rsid w:val="57840326"/>
    <w:rsid w:val="57DF5A10"/>
    <w:rsid w:val="58550FC6"/>
    <w:rsid w:val="599765A7"/>
    <w:rsid w:val="5A8C7845"/>
    <w:rsid w:val="5B6E453C"/>
    <w:rsid w:val="5C452DAB"/>
    <w:rsid w:val="5C8B594C"/>
    <w:rsid w:val="5DA177B3"/>
    <w:rsid w:val="5E57255B"/>
    <w:rsid w:val="5EC57E85"/>
    <w:rsid w:val="5EE71AAD"/>
    <w:rsid w:val="5FB65FBB"/>
    <w:rsid w:val="608C3F88"/>
    <w:rsid w:val="613944E2"/>
    <w:rsid w:val="61623D7F"/>
    <w:rsid w:val="61AE6780"/>
    <w:rsid w:val="62D73A3C"/>
    <w:rsid w:val="635A063A"/>
    <w:rsid w:val="63B42D06"/>
    <w:rsid w:val="640706D8"/>
    <w:rsid w:val="64182FDA"/>
    <w:rsid w:val="64533623"/>
    <w:rsid w:val="64A960A9"/>
    <w:rsid w:val="65212235"/>
    <w:rsid w:val="656E6431"/>
    <w:rsid w:val="65B70D02"/>
    <w:rsid w:val="663651D4"/>
    <w:rsid w:val="66501418"/>
    <w:rsid w:val="67795F60"/>
    <w:rsid w:val="68540DFD"/>
    <w:rsid w:val="68C52B76"/>
    <w:rsid w:val="68FE64D8"/>
    <w:rsid w:val="69494A47"/>
    <w:rsid w:val="695218D5"/>
    <w:rsid w:val="696D4097"/>
    <w:rsid w:val="69DF3F03"/>
    <w:rsid w:val="6A4B791D"/>
    <w:rsid w:val="6A847583"/>
    <w:rsid w:val="6B013472"/>
    <w:rsid w:val="6B295089"/>
    <w:rsid w:val="6B5F45B8"/>
    <w:rsid w:val="6B876802"/>
    <w:rsid w:val="6BEA011B"/>
    <w:rsid w:val="6E6B1CD8"/>
    <w:rsid w:val="6EAA27E4"/>
    <w:rsid w:val="6EB3625F"/>
    <w:rsid w:val="6EB40CCD"/>
    <w:rsid w:val="6ECD6CFB"/>
    <w:rsid w:val="6EFC79CB"/>
    <w:rsid w:val="6F391944"/>
    <w:rsid w:val="6F3A01D0"/>
    <w:rsid w:val="70463EE2"/>
    <w:rsid w:val="70627A3A"/>
    <w:rsid w:val="70C604E9"/>
    <w:rsid w:val="70D978AB"/>
    <w:rsid w:val="71EB66FB"/>
    <w:rsid w:val="724B5159"/>
    <w:rsid w:val="72C06C31"/>
    <w:rsid w:val="72D45D79"/>
    <w:rsid w:val="75D90407"/>
    <w:rsid w:val="76453FA9"/>
    <w:rsid w:val="778D5392"/>
    <w:rsid w:val="77EA2935"/>
    <w:rsid w:val="786309C6"/>
    <w:rsid w:val="7962770C"/>
    <w:rsid w:val="7A7515DC"/>
    <w:rsid w:val="7ACC5CEF"/>
    <w:rsid w:val="7B384932"/>
    <w:rsid w:val="7B677480"/>
    <w:rsid w:val="7C4F042F"/>
    <w:rsid w:val="7D1C4E77"/>
    <w:rsid w:val="7D890306"/>
    <w:rsid w:val="7DBF5EE9"/>
    <w:rsid w:val="7E9F58CF"/>
    <w:rsid w:val="7EA35FD3"/>
    <w:rsid w:val="7EC15CA3"/>
    <w:rsid w:val="7F1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4">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6"/>
      <w:szCs w:val="32"/>
    </w:r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5"/>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3"/>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3"/>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5">
    <w:name w:val="15"/>
    <w:basedOn w:val="2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20</TotalTime>
  <ScaleCrop>false</ScaleCrop>
  <LinksUpToDate>false</LinksUpToDate>
  <CharactersWithSpaces>23373</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2018-01-05T04:13:00Z</cp:lastPrinted>
  <dcterms:modified xsi:type="dcterms:W3CDTF">2019-08-09T07:45:59Z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