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分项报价报价表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投标单位名称：西宁华讯佳捷数码科技有限公司       单位：人民币（元）</w:t>
      </w:r>
    </w:p>
    <w:tbl>
      <w:tblPr>
        <w:tblW w:w="86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635"/>
        <w:gridCol w:w="825"/>
        <w:gridCol w:w="1635"/>
        <w:gridCol w:w="915"/>
        <w:gridCol w:w="1245"/>
        <w:gridCol w:w="1063"/>
        <w:gridCol w:w="52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数量及单位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一、显示系统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会议触控一体机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HiBoard-98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PC模块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HiBoard-I5PC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无线传屏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HiBoard-SM0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视频控制器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AS-5408UHM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触控会议套件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DH-VCS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二、专业扩声系统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专业功放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AS-350PI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专业音箱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AS-606H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调音台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AS-12P-2S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音频处理器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AS-P260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网络定时型电源时序器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AS-28424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抑制器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三、数字会议系统、升降系统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会议系统主机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AS-5500M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21136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会议控制系统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AS-3300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26512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会议终端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AS-3185FMT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流媒体服务器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AS-3308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四、辅助材料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装配式机柜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宽600*深600*高2055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6520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卡侬头（母）-卡侬头（公）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RVVP2*0.5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300芯*2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RVV2*1.5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PVC25管材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Ф25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五、配套设备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笔记本电脑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T490S 20NX000RCD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12台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114600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六、预算监督室装修、配套部分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装修改造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21900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木窗帘盒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塑胶板楼地面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复合木地板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9537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墙面装饰板（木质吸音板墙面)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抹灰面油漆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拆除及垃圾清运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不锈钢踢脚线腰线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电子屏钢结构焊接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主电缆引入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荣誉墙改造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书柜墙改造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根据客户要求定制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27360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投标总价： 877396      大写：捌拾柒万柒仟叁佰玖拾陆元整         小写： 877396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44AE"/>
    <w:rsid w:val="083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2019-05-27T03:33:00Z</dcterms:created>
  <dc:creator>℡︶︸﹊尐情緒つ</dc:creator>
  <cp:lastModifiedBy>℡︶︸﹊尐情緒つ</cp:lastModifiedBy>
  <dcterms:modified xsi:type="dcterms:W3CDTF">2019-05-27T03:39:27Z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