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1446" w:firstLineChars="450"/>
        <w:rPr>
          <w:rFonts w:ascii="方正行楷简体" w:hAnsi="新宋体" w:eastAsia="方正行楷简体"/>
          <w:b/>
          <w:sz w:val="52"/>
          <w:szCs w:val="52"/>
        </w:rPr>
      </w:pPr>
      <w:r>
        <w:rPr>
          <w:rFonts w:hint="eastAsia" w:ascii="宋体" w:hAnsi="宋体" w:cs="宋体"/>
          <w:b/>
          <w:bCs/>
          <w:color w:val="000000"/>
          <w:kern w:val="0"/>
          <w:sz w:val="32"/>
          <w:szCs w:val="32"/>
        </w:rPr>
        <w:t xml:space="preserve">      </w:t>
      </w:r>
      <w:r>
        <w:rPr>
          <w:rFonts w:hint="eastAsia" w:ascii="方正行楷简体" w:hAnsi="新宋体" w:eastAsia="方正行楷简体" w:cs="华文行楷"/>
          <w:b/>
          <w:sz w:val="52"/>
          <w:szCs w:val="52"/>
          <w:lang w:val="zh-CN"/>
        </w:rPr>
        <w:t>西宁市政府采购</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2108" w:firstLineChars="250"/>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utoSpaceDE w:val="0"/>
        <w:autoSpaceDN w:val="0"/>
        <w:adjustRightInd w:val="0"/>
        <w:spacing w:line="360" w:lineRule="auto"/>
        <w:rPr>
          <w:rFonts w:ascii="宋体" w:hAnsi="宋体" w:cs="宋体"/>
          <w:color w:val="000000"/>
          <w:kern w:val="0"/>
          <w:sz w:val="36"/>
          <w:szCs w:val="36"/>
        </w:rPr>
      </w:pPr>
      <w:r>
        <w:rPr>
          <w:rFonts w:hint="eastAsia" w:ascii="宋体" w:hAnsi="宋体" w:cs="宋体"/>
          <w:color w:val="000000"/>
          <w:kern w:val="0"/>
          <w:sz w:val="36"/>
          <w:szCs w:val="36"/>
        </w:rPr>
        <w:t xml:space="preserve"> </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采购项目编号：宁政采公招（货物）2019-05</w:t>
      </w:r>
      <w:r>
        <w:rPr>
          <w:rFonts w:hint="eastAsia" w:ascii="宋体" w:hAnsi="宋体" w:cs="宋体"/>
          <w:b/>
          <w:bCs/>
          <w:color w:val="000000"/>
          <w:kern w:val="0"/>
          <w:sz w:val="30"/>
          <w:szCs w:val="30"/>
          <w:lang w:val="en-US" w:eastAsia="zh-CN"/>
        </w:rPr>
        <w:t>9</w:t>
      </w:r>
      <w:r>
        <w:rPr>
          <w:rFonts w:hint="eastAsia" w:ascii="宋体" w:hAnsi="宋体" w:cs="宋体"/>
          <w:b/>
          <w:bCs/>
          <w:color w:val="000000"/>
          <w:kern w:val="0"/>
          <w:sz w:val="30"/>
          <w:szCs w:val="30"/>
          <w:lang w:val="zh-CN"/>
        </w:rPr>
        <w:t>号</w:t>
      </w:r>
    </w:p>
    <w:p>
      <w:pPr>
        <w:autoSpaceDE w:val="0"/>
        <w:autoSpaceDN w:val="0"/>
        <w:adjustRightInd w:val="0"/>
        <w:spacing w:line="360" w:lineRule="auto"/>
        <w:ind w:left="2108" w:hanging="2108" w:hangingChars="700"/>
        <w:jc w:val="left"/>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28"/>
          <w:szCs w:val="28"/>
          <w:lang w:val="zh-CN"/>
        </w:rPr>
        <w:t>西宁市第一人民医院北川分院服务器设备采购项目（二次）</w:t>
      </w:r>
    </w:p>
    <w:p>
      <w:pPr>
        <w:autoSpaceDE w:val="0"/>
        <w:autoSpaceDN w:val="0"/>
        <w:adjustRightInd w:val="0"/>
        <w:spacing w:line="360" w:lineRule="auto"/>
        <w:jc w:val="left"/>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采购人：西宁市第一人民医院</w:t>
      </w:r>
    </w:p>
    <w:p>
      <w:pPr>
        <w:autoSpaceDE w:val="0"/>
        <w:autoSpaceDN w:val="0"/>
        <w:adjustRightInd w:val="0"/>
        <w:spacing w:line="360" w:lineRule="auto"/>
        <w:jc w:val="left"/>
        <w:rPr>
          <w:rFonts w:ascii="宋体" w:hAnsi="宋体" w:cs="宋体"/>
          <w:b/>
          <w:bCs/>
          <w:color w:val="000000"/>
          <w:kern w:val="0"/>
          <w:sz w:val="30"/>
          <w:szCs w:val="30"/>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采购代理机构：西宁市政府采购中心</w:t>
      </w: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2019年</w:t>
      </w:r>
      <w:r>
        <w:rPr>
          <w:rFonts w:hint="eastAsia" w:ascii="宋体" w:hAnsi="宋体" w:cs="宋体"/>
          <w:b/>
          <w:bCs/>
          <w:color w:val="000000"/>
          <w:kern w:val="0"/>
          <w:sz w:val="30"/>
          <w:szCs w:val="30"/>
          <w:lang w:val="en-US" w:eastAsia="zh-CN"/>
        </w:rPr>
        <w:t>8</w:t>
      </w:r>
      <w:r>
        <w:rPr>
          <w:rFonts w:hint="eastAsia" w:ascii="宋体" w:hAnsi="宋体" w:cs="宋体"/>
          <w:b/>
          <w:bCs/>
          <w:color w:val="000000"/>
          <w:kern w:val="0"/>
          <w:sz w:val="30"/>
          <w:szCs w:val="30"/>
          <w:lang w:val="zh-CN"/>
        </w:rPr>
        <w:t>月</w:t>
      </w:r>
    </w:p>
    <w:p>
      <w:pPr>
        <w:autoSpaceDE w:val="0"/>
        <w:autoSpaceDN w:val="0"/>
        <w:adjustRightInd w:val="0"/>
        <w:spacing w:line="360" w:lineRule="auto"/>
        <w:rPr>
          <w:rFonts w:ascii="宋体" w:hAnsi="宋体" w:cs="宋体"/>
          <w:color w:val="000000"/>
          <w:kern w:val="0"/>
          <w:sz w:val="36"/>
          <w:szCs w:val="36"/>
        </w:rPr>
      </w:pPr>
    </w:p>
    <w:p>
      <w:pPr>
        <w:adjustRightInd w:val="0"/>
        <w:spacing w:line="360" w:lineRule="auto"/>
        <w:textAlignment w:val="baseline"/>
        <w:rPr>
          <w:rFonts w:ascii="宋体" w:hAnsi="宋体" w:cs="宋体"/>
          <w:color w:val="000000"/>
          <w:sz w:val="40"/>
          <w:szCs w:val="30"/>
        </w:rPr>
      </w:pPr>
      <w:r>
        <w:rPr>
          <w:rFonts w:hint="eastAsia" w:ascii="宋体" w:hAnsi="宋体" w:cs="宋体"/>
          <w:b/>
          <w:color w:val="000000"/>
          <w:sz w:val="40"/>
          <w:szCs w:val="30"/>
        </w:rPr>
        <w:t xml:space="preserve">                    </w:t>
      </w:r>
      <w:r>
        <w:rPr>
          <w:rFonts w:hint="eastAsia" w:ascii="宋体" w:hAnsi="宋体" w:cs="宋体"/>
          <w:color w:val="000000"/>
          <w:sz w:val="40"/>
          <w:szCs w:val="30"/>
        </w:rPr>
        <w:t>目  录</w:t>
      </w:r>
    </w:p>
    <w:p>
      <w:pPr>
        <w:pStyle w:val="18"/>
        <w:tabs>
          <w:tab w:val="right" w:leader="dot" w:pos="8233"/>
        </w:tabs>
        <w:ind w:firstLine="480"/>
        <w:rPr>
          <w:b w:val="0"/>
          <w:bCs w:val="0"/>
          <w:caps w:val="0"/>
          <w:sz w:val="21"/>
          <w:szCs w:val="22"/>
        </w:rPr>
      </w:pPr>
      <w:r>
        <w:rPr>
          <w:rFonts w:hint="eastAsia" w:ascii="宋体" w:hAnsi="宋体" w:cs="宋体"/>
          <w:b w:val="0"/>
          <w:bCs w:val="0"/>
          <w:color w:val="000000"/>
          <w:kern w:val="0"/>
          <w:szCs w:val="24"/>
        </w:rPr>
        <w:fldChar w:fldCharType="begin"/>
      </w:r>
      <w:r>
        <w:rPr>
          <w:rStyle w:val="28"/>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"_Toc519260345" </w:instrText>
      </w:r>
      <w:r>
        <w:fldChar w:fldCharType="separate"/>
      </w:r>
      <w:r>
        <w:rPr>
          <w:rStyle w:val="28"/>
          <w:rFonts w:hint="eastAsia" w:ascii="宋体" w:hAnsi="宋体" w:cs="宋体"/>
          <w:lang w:val="zh-CN"/>
        </w:rPr>
        <w:t>第一部分</w:t>
      </w:r>
      <w:r>
        <w:rPr>
          <w:rStyle w:val="28"/>
          <w:rFonts w:ascii="宋体" w:hAnsi="宋体" w:cs="宋体"/>
          <w:lang w:val="zh-CN"/>
        </w:rPr>
        <w:t xml:space="preserve">  </w:t>
      </w:r>
      <w:r>
        <w:rPr>
          <w:rStyle w:val="28"/>
          <w:rFonts w:hint="eastAsia" w:ascii="宋体" w:hAnsi="宋体" w:cs="宋体"/>
          <w:lang w:val="zh-CN"/>
        </w:rPr>
        <w:t>投标邀请</w:t>
      </w:r>
      <w:r>
        <w:tab/>
      </w:r>
      <w:r>
        <w:fldChar w:fldCharType="begin"/>
      </w:r>
      <w:r>
        <w:instrText xml:space="preserve"> PAGEREF _Toc519260345 \h </w:instrText>
      </w:r>
      <w:r>
        <w:fldChar w:fldCharType="separate"/>
      </w:r>
      <w:r>
        <w:t>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"_Toc519260346" </w:instrText>
      </w:r>
      <w:r>
        <w:fldChar w:fldCharType="separate"/>
      </w:r>
      <w:r>
        <w:rPr>
          <w:rStyle w:val="28"/>
          <w:rFonts w:hint="eastAsia" w:ascii="宋体" w:hAnsi="宋体" w:cs="宋体"/>
          <w:lang w:val="zh-CN"/>
        </w:rPr>
        <w:t>第二部分</w:t>
      </w:r>
      <w:r>
        <w:rPr>
          <w:rStyle w:val="28"/>
          <w:rFonts w:ascii="宋体" w:hAnsi="宋体" w:cs="宋体"/>
          <w:lang w:val="zh-CN"/>
        </w:rPr>
        <w:t xml:space="preserve">  </w:t>
      </w:r>
      <w:r>
        <w:rPr>
          <w:rStyle w:val="28"/>
          <w:rFonts w:hint="eastAsia" w:ascii="宋体" w:hAnsi="宋体" w:cs="宋体"/>
          <w:lang w:val="zh-CN"/>
        </w:rPr>
        <w:t>投标人须知</w:t>
      </w:r>
      <w:r>
        <w:tab/>
      </w:r>
      <w:r>
        <w:fldChar w:fldCharType="begin"/>
      </w:r>
      <w:r>
        <w:instrText xml:space="preserve"> PAGEREF _Toc519260346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"_Toc519260347" </w:instrText>
      </w:r>
      <w:r>
        <w:fldChar w:fldCharType="separate"/>
      </w:r>
      <w:r>
        <w:rPr>
          <w:rStyle w:val="28"/>
          <w:rFonts w:hint="eastAsia" w:ascii="宋体" w:hAnsi="宋体" w:cs="宋体"/>
          <w:lang w:val="zh-CN"/>
        </w:rPr>
        <w:t>一、说明</w:t>
      </w:r>
      <w:r>
        <w:tab/>
      </w:r>
      <w:r>
        <w:fldChar w:fldCharType="begin"/>
      </w:r>
      <w:r>
        <w:instrText xml:space="preserve"> PAGEREF _Toc519260347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"_Toc519260348"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_Toc519260348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"_Toc519260349"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_Toc519260349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"_Toc519260350" </w:instrText>
      </w:r>
      <w:r>
        <w:fldChar w:fldCharType="separate"/>
      </w:r>
      <w:r>
        <w:rPr>
          <w:rStyle w:val="28"/>
          <w:rFonts w:ascii="宋体" w:hAnsi="宋体" w:cs="宋体"/>
          <w:lang w:val="zh-CN"/>
        </w:rPr>
        <w:t>3.</w:t>
      </w:r>
      <w:r>
        <w:rPr>
          <w:rStyle w:val="28"/>
          <w:rFonts w:hint="eastAsia" w:ascii="宋体" w:hAnsi="宋体" w:cs="宋体"/>
          <w:lang w:val="zh-CN"/>
        </w:rPr>
        <w:t>投标费用</w:t>
      </w:r>
      <w:r>
        <w:tab/>
      </w:r>
      <w:r>
        <w:fldChar w:fldCharType="begin"/>
      </w:r>
      <w:r>
        <w:instrText xml:space="preserve"> PAGEREF _Toc519260350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"_Toc519260351" </w:instrText>
      </w:r>
      <w:r>
        <w:fldChar w:fldCharType="separate"/>
      </w:r>
      <w:r>
        <w:rPr>
          <w:rStyle w:val="28"/>
          <w:rFonts w:hint="eastAsia" w:ascii="宋体" w:hAnsi="宋体" w:cs="宋体"/>
          <w:lang w:val="zh-CN"/>
        </w:rPr>
        <w:t>二、招标文件说明</w:t>
      </w:r>
      <w:r>
        <w:tab/>
      </w:r>
      <w:r>
        <w:fldChar w:fldCharType="begin"/>
      </w:r>
      <w:r>
        <w:instrText xml:space="preserve"> PAGEREF _Toc519260351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"_Toc519260352" </w:instrText>
      </w:r>
      <w:r>
        <w:fldChar w:fldCharType="separate"/>
      </w:r>
      <w:r>
        <w:rPr>
          <w:rStyle w:val="28"/>
          <w:rFonts w:ascii="宋体" w:hAnsi="宋体" w:cs="宋体"/>
          <w:lang w:val="zh-CN"/>
        </w:rPr>
        <w:t>4.</w:t>
      </w:r>
      <w:r>
        <w:rPr>
          <w:rStyle w:val="28"/>
          <w:rFonts w:hint="eastAsia" w:ascii="宋体" w:hAnsi="宋体" w:cs="宋体"/>
          <w:lang w:val="zh-CN"/>
        </w:rPr>
        <w:t>招标文件的构成</w:t>
      </w:r>
      <w:r>
        <w:tab/>
      </w:r>
      <w:r>
        <w:fldChar w:fldCharType="begin"/>
      </w:r>
      <w:r>
        <w:instrText xml:space="preserve"> PAGEREF _Toc519260352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"_Toc519260353" </w:instrText>
      </w:r>
      <w:r>
        <w:fldChar w:fldCharType="separate"/>
      </w:r>
      <w:r>
        <w:rPr>
          <w:rStyle w:val="28"/>
          <w:rFonts w:ascii="宋体" w:hAnsi="宋体" w:cs="宋体"/>
          <w:lang w:val="zh-CN"/>
        </w:rPr>
        <w:t>5.</w:t>
      </w:r>
      <w:r>
        <w:rPr>
          <w:rStyle w:val="28"/>
          <w:rFonts w:hint="eastAsia" w:ascii="宋体" w:hAnsi="宋体" w:cs="宋体"/>
          <w:lang w:val="zh-CN"/>
        </w:rPr>
        <w:t>招标文件、采购活动和中标结果的质疑</w:t>
      </w:r>
      <w:r>
        <w:tab/>
      </w:r>
      <w:r>
        <w:fldChar w:fldCharType="begin"/>
      </w:r>
      <w:r>
        <w:instrText xml:space="preserve"> PAGEREF _Toc519260353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"_Toc519260354" </w:instrText>
      </w:r>
      <w:r>
        <w:fldChar w:fldCharType="separate"/>
      </w:r>
      <w:r>
        <w:rPr>
          <w:rStyle w:val="28"/>
          <w:rFonts w:ascii="宋体" w:hAnsi="宋体" w:cs="宋体"/>
          <w:lang w:val="zh-CN"/>
        </w:rPr>
        <w:t>6.</w:t>
      </w:r>
      <w:r>
        <w:rPr>
          <w:rStyle w:val="28"/>
          <w:rFonts w:hint="eastAsia" w:ascii="宋体" w:hAnsi="宋体" w:cs="宋体"/>
          <w:lang w:val="zh-CN"/>
        </w:rPr>
        <w:t>招标文件的澄清或修改</w:t>
      </w:r>
      <w:r>
        <w:tab/>
      </w:r>
      <w:r>
        <w:fldChar w:fldCharType="begin"/>
      </w:r>
      <w:r>
        <w:instrText xml:space="preserve"> PAGEREF _Toc519260354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"_Toc519260355" </w:instrText>
      </w:r>
      <w:r>
        <w:fldChar w:fldCharType="separate"/>
      </w:r>
      <w:r>
        <w:rPr>
          <w:rStyle w:val="28"/>
          <w:rFonts w:hint="eastAsia" w:ascii="宋体" w:hAnsi="宋体" w:cs="宋体"/>
          <w:lang w:val="zh-CN"/>
        </w:rPr>
        <w:t>三、投标文件的编制</w:t>
      </w:r>
      <w:r>
        <w:tab/>
      </w:r>
      <w:r>
        <w:fldChar w:fldCharType="begin"/>
      </w:r>
      <w:r>
        <w:instrText xml:space="preserve"> PAGEREF _Toc519260355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"_Toc519260356" </w:instrText>
      </w:r>
      <w:r>
        <w:fldChar w:fldCharType="separate"/>
      </w:r>
      <w:r>
        <w:rPr>
          <w:rStyle w:val="28"/>
          <w:rFonts w:ascii="宋体" w:hAnsi="宋体" w:cs="宋体"/>
          <w:lang w:val="zh-CN"/>
        </w:rPr>
        <w:t>7.</w:t>
      </w:r>
      <w:r>
        <w:rPr>
          <w:rStyle w:val="28"/>
          <w:rFonts w:hint="eastAsia" w:ascii="宋体" w:hAnsi="宋体" w:cs="宋体"/>
          <w:lang w:val="zh-CN"/>
        </w:rPr>
        <w:t>投标文件的语言及度量衡单位</w:t>
      </w:r>
      <w:r>
        <w:tab/>
      </w:r>
      <w:r>
        <w:fldChar w:fldCharType="begin"/>
      </w:r>
      <w:r>
        <w:instrText xml:space="preserve"> PAGEREF _Toc519260356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"_Toc519260357" </w:instrText>
      </w:r>
      <w:r>
        <w:fldChar w:fldCharType="separate"/>
      </w:r>
      <w:r>
        <w:rPr>
          <w:rStyle w:val="28"/>
          <w:rFonts w:ascii="宋体" w:hAnsi="宋体" w:cs="宋体"/>
          <w:lang w:val="zh-CN"/>
        </w:rPr>
        <w:t>8.</w:t>
      </w:r>
      <w:r>
        <w:rPr>
          <w:rStyle w:val="28"/>
          <w:rFonts w:hint="eastAsia" w:ascii="宋体" w:hAnsi="宋体" w:cs="宋体"/>
          <w:lang w:val="zh-CN"/>
        </w:rPr>
        <w:t>投标报价及币种</w:t>
      </w:r>
      <w:r>
        <w:tab/>
      </w:r>
      <w:r>
        <w:fldChar w:fldCharType="begin"/>
      </w:r>
      <w:r>
        <w:instrText xml:space="preserve"> PAGEREF _Toc519260357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"_Toc519260358" </w:instrText>
      </w:r>
      <w:r>
        <w:fldChar w:fldCharType="separate"/>
      </w:r>
      <w:r>
        <w:rPr>
          <w:rStyle w:val="28"/>
          <w:rFonts w:ascii="宋体" w:hAnsi="宋体" w:cs="宋体"/>
          <w:lang w:val="zh-CN"/>
        </w:rPr>
        <w:t>9.</w:t>
      </w:r>
      <w:r>
        <w:rPr>
          <w:rStyle w:val="28"/>
          <w:rFonts w:hint="eastAsia" w:ascii="宋体" w:hAnsi="宋体" w:cs="宋体"/>
          <w:lang w:val="zh-CN"/>
        </w:rPr>
        <w:t>投标保证金</w:t>
      </w:r>
      <w:r>
        <w:tab/>
      </w:r>
      <w:r>
        <w:fldChar w:fldCharType="begin"/>
      </w:r>
      <w:r>
        <w:instrText xml:space="preserve"> PAGEREF _Toc519260358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"_Toc519260359" </w:instrText>
      </w:r>
      <w:r>
        <w:fldChar w:fldCharType="separate"/>
      </w:r>
      <w:r>
        <w:rPr>
          <w:rStyle w:val="28"/>
          <w:rFonts w:ascii="宋体" w:hAnsi="宋体" w:cs="宋体"/>
          <w:lang w:val="zh-CN"/>
        </w:rPr>
        <w:t>10.</w:t>
      </w:r>
      <w:r>
        <w:rPr>
          <w:rStyle w:val="28"/>
          <w:rFonts w:hint="eastAsia" w:ascii="宋体" w:hAnsi="宋体" w:cs="宋体"/>
          <w:lang w:val="zh-CN"/>
        </w:rPr>
        <w:t>投标有效期</w:t>
      </w:r>
      <w:r>
        <w:tab/>
      </w:r>
      <w:r>
        <w:fldChar w:fldCharType="begin"/>
      </w:r>
      <w:r>
        <w:instrText xml:space="preserve"> PAGEREF _Toc519260359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"_Toc519260360" </w:instrText>
      </w:r>
      <w:r>
        <w:fldChar w:fldCharType="separate"/>
      </w:r>
      <w:r>
        <w:rPr>
          <w:rStyle w:val="28"/>
          <w:rFonts w:ascii="宋体" w:hAnsi="宋体" w:cs="宋体"/>
          <w:lang w:val="zh-CN"/>
        </w:rPr>
        <w:t>11.</w:t>
      </w:r>
      <w:r>
        <w:rPr>
          <w:rStyle w:val="28"/>
          <w:rFonts w:hint="eastAsia" w:ascii="宋体" w:hAnsi="宋体" w:cs="宋体"/>
          <w:lang w:val="zh-CN"/>
        </w:rPr>
        <w:t>投标文件构成</w:t>
      </w:r>
      <w:r>
        <w:tab/>
      </w:r>
      <w:r>
        <w:fldChar w:fldCharType="begin"/>
      </w:r>
      <w:r>
        <w:instrText xml:space="preserve"> PAGEREF _Toc519260360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"_Toc519260361" </w:instrText>
      </w:r>
      <w:r>
        <w:fldChar w:fldCharType="separate"/>
      </w:r>
      <w:r>
        <w:rPr>
          <w:rStyle w:val="28"/>
          <w:rFonts w:ascii="宋体" w:hAnsi="宋体" w:cs="宋体"/>
          <w:lang w:val="zh-CN"/>
        </w:rPr>
        <w:t>12.</w:t>
      </w:r>
      <w:r>
        <w:rPr>
          <w:rStyle w:val="28"/>
          <w:rFonts w:hint="eastAsia" w:ascii="宋体" w:hAnsi="宋体" w:cs="宋体"/>
          <w:lang w:val="zh-CN"/>
        </w:rPr>
        <w:t>投标文件的编制要求</w:t>
      </w:r>
      <w:r>
        <w:tab/>
      </w:r>
      <w:r>
        <w:fldChar w:fldCharType="begin"/>
      </w:r>
      <w:r>
        <w:instrText xml:space="preserve"> PAGEREF _Toc519260361 \h </w:instrText>
      </w:r>
      <w:r>
        <w:fldChar w:fldCharType="separate"/>
      </w:r>
      <w:r>
        <w:t>10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"_Toc519260362" </w:instrText>
      </w:r>
      <w:r>
        <w:fldChar w:fldCharType="separate"/>
      </w:r>
      <w:r>
        <w:rPr>
          <w:rStyle w:val="28"/>
          <w:rFonts w:hint="eastAsia" w:ascii="宋体" w:hAnsi="宋体" w:cs="宋体"/>
          <w:lang w:val="zh-CN"/>
        </w:rPr>
        <w:t>四、投标文件的提交</w:t>
      </w:r>
      <w:r>
        <w:tab/>
      </w:r>
      <w:r>
        <w:fldChar w:fldCharType="begin"/>
      </w:r>
      <w:r>
        <w:instrText xml:space="preserve"> PAGEREF _Toc519260362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"_Toc519260363" </w:instrText>
      </w:r>
      <w:r>
        <w:fldChar w:fldCharType="separate"/>
      </w:r>
      <w:r>
        <w:rPr>
          <w:rStyle w:val="28"/>
          <w:rFonts w:ascii="宋体" w:hAnsi="宋体" w:cs="宋体"/>
          <w:lang w:val="zh-CN"/>
        </w:rPr>
        <w:t>13.</w:t>
      </w:r>
      <w:r>
        <w:rPr>
          <w:rStyle w:val="28"/>
          <w:rFonts w:hint="eastAsia" w:ascii="宋体" w:hAnsi="宋体" w:cs="宋体"/>
          <w:lang w:val="zh-CN"/>
        </w:rPr>
        <w:t>投标文件的密封和标记</w:t>
      </w:r>
      <w:r>
        <w:tab/>
      </w:r>
      <w:r>
        <w:fldChar w:fldCharType="begin"/>
      </w:r>
      <w:r>
        <w:instrText xml:space="preserve"> PAGEREF _Toc519260363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"_Toc519260364" </w:instrText>
      </w:r>
      <w:r>
        <w:fldChar w:fldCharType="separate"/>
      </w:r>
      <w:r>
        <w:rPr>
          <w:rStyle w:val="28"/>
          <w:rFonts w:ascii="宋体" w:hAnsi="宋体" w:cs="宋体"/>
          <w:lang w:val="zh-CN"/>
        </w:rPr>
        <w:t>14.</w:t>
      </w:r>
      <w:r>
        <w:rPr>
          <w:rStyle w:val="28"/>
          <w:rFonts w:hint="eastAsia" w:ascii="宋体" w:hAnsi="宋体" w:cs="宋体"/>
          <w:lang w:val="zh-CN"/>
        </w:rPr>
        <w:t>提交投标文件的时间、地点、方式</w:t>
      </w:r>
      <w:r>
        <w:tab/>
      </w:r>
      <w:r>
        <w:fldChar w:fldCharType="begin"/>
      </w:r>
      <w:r>
        <w:instrText xml:space="preserve"> PAGEREF _Toc519260364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"_Toc519260365" </w:instrText>
      </w:r>
      <w:r>
        <w:fldChar w:fldCharType="separate"/>
      </w:r>
      <w:r>
        <w:rPr>
          <w:rStyle w:val="28"/>
          <w:rFonts w:ascii="宋体" w:hAnsi="宋体" w:cs="宋体"/>
          <w:lang w:val="zh-CN"/>
        </w:rPr>
        <w:t>15.</w:t>
      </w:r>
      <w:r>
        <w:rPr>
          <w:rStyle w:val="28"/>
          <w:rFonts w:hint="eastAsia" w:ascii="宋体" w:hAnsi="宋体" w:cs="宋体"/>
          <w:lang w:val="zh-CN"/>
        </w:rPr>
        <w:t>投标文件的补充、修改或者撤回</w:t>
      </w:r>
      <w:r>
        <w:tab/>
      </w:r>
      <w:r>
        <w:fldChar w:fldCharType="begin"/>
      </w:r>
      <w:r>
        <w:instrText xml:space="preserve"> PAGEREF _Toc519260365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"_Toc519260366" </w:instrText>
      </w:r>
      <w:r>
        <w:fldChar w:fldCharType="separate"/>
      </w:r>
      <w:r>
        <w:rPr>
          <w:rStyle w:val="28"/>
          <w:rFonts w:hint="eastAsia" w:ascii="宋体" w:hAnsi="宋体" w:cs="宋体"/>
          <w:lang w:val="zh-CN"/>
        </w:rPr>
        <w:t>五、开标</w:t>
      </w:r>
      <w:r>
        <w:tab/>
      </w:r>
      <w:r>
        <w:fldChar w:fldCharType="begin"/>
      </w:r>
      <w:r>
        <w:instrText xml:space="preserve"> PAGEREF _Toc519260366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"_Toc519260367" </w:instrText>
      </w:r>
      <w:r>
        <w:fldChar w:fldCharType="separate"/>
      </w:r>
      <w:r>
        <w:rPr>
          <w:rStyle w:val="28"/>
          <w:rFonts w:ascii="宋体" w:hAnsi="宋体" w:cs="宋体"/>
          <w:lang w:val="zh-CN"/>
        </w:rPr>
        <w:t>16.</w:t>
      </w:r>
      <w:r>
        <w:rPr>
          <w:rStyle w:val="28"/>
          <w:rFonts w:hint="eastAsia" w:ascii="宋体" w:hAnsi="宋体" w:cs="宋体"/>
          <w:lang w:val="zh-CN"/>
        </w:rPr>
        <w:t>开标</w:t>
      </w:r>
      <w:r>
        <w:tab/>
      </w:r>
      <w:r>
        <w:fldChar w:fldCharType="begin"/>
      </w:r>
      <w:r>
        <w:instrText xml:space="preserve"> PAGEREF _Toc519260367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"_Toc519260368" </w:instrText>
      </w:r>
      <w:r>
        <w:fldChar w:fldCharType="separate"/>
      </w:r>
      <w:r>
        <w:rPr>
          <w:rStyle w:val="28"/>
          <w:rFonts w:hint="eastAsia" w:ascii="宋体" w:hAnsi="宋体" w:cs="宋体"/>
          <w:kern w:val="0"/>
        </w:rPr>
        <w:t>六、资格</w:t>
      </w:r>
      <w:r>
        <w:rPr>
          <w:rStyle w:val="28"/>
          <w:rFonts w:hint="eastAsia" w:ascii="宋体" w:hAnsi="宋体" w:cs="宋体"/>
          <w:lang w:val="zh-CN"/>
        </w:rPr>
        <w:t>审查</w:t>
      </w:r>
      <w:r>
        <w:rPr>
          <w:rStyle w:val="28"/>
          <w:rFonts w:hint="eastAsia" w:ascii="宋体" w:hAnsi="宋体" w:cs="宋体"/>
          <w:kern w:val="0"/>
        </w:rPr>
        <w:t>程序</w:t>
      </w:r>
      <w:r>
        <w:tab/>
      </w:r>
      <w:r>
        <w:fldChar w:fldCharType="begin"/>
      </w:r>
      <w:r>
        <w:instrText xml:space="preserve"> PAGEREF _Toc519260368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"_Toc519260369" </w:instrText>
      </w:r>
      <w:r>
        <w:fldChar w:fldCharType="separate"/>
      </w:r>
      <w:r>
        <w:rPr>
          <w:rStyle w:val="28"/>
          <w:rFonts w:ascii="宋体" w:hAnsi="宋体" w:cs="宋体"/>
        </w:rPr>
        <w:t>17.</w:t>
      </w:r>
      <w:r>
        <w:rPr>
          <w:rStyle w:val="28"/>
          <w:rFonts w:hint="eastAsia" w:ascii="宋体" w:hAnsi="宋体" w:cs="宋体"/>
        </w:rPr>
        <w:t>资格审查</w:t>
      </w:r>
      <w:r>
        <w:tab/>
      </w:r>
      <w:r>
        <w:fldChar w:fldCharType="begin"/>
      </w:r>
      <w:r>
        <w:instrText xml:space="preserve"> PAGEREF _Toc519260369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"_Toc519260370" </w:instrText>
      </w:r>
      <w:r>
        <w:fldChar w:fldCharType="separate"/>
      </w:r>
      <w:r>
        <w:rPr>
          <w:rStyle w:val="28"/>
          <w:rFonts w:hint="eastAsia" w:ascii="宋体" w:hAnsi="宋体" w:cs="宋体"/>
          <w:lang w:val="zh-CN"/>
        </w:rPr>
        <w:t>七、评审程序及方法</w:t>
      </w:r>
      <w:r>
        <w:tab/>
      </w:r>
      <w:r>
        <w:fldChar w:fldCharType="begin"/>
      </w:r>
      <w:r>
        <w:instrText xml:space="preserve"> PAGEREF _Toc519260370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"_Toc519260371" </w:instrText>
      </w:r>
      <w:r>
        <w:fldChar w:fldCharType="separate"/>
      </w:r>
      <w:r>
        <w:rPr>
          <w:rStyle w:val="28"/>
          <w:rFonts w:ascii="宋体" w:hAnsi="宋体" w:cs="宋体"/>
          <w:lang w:val="zh-CN"/>
        </w:rPr>
        <w:t>1</w:t>
      </w:r>
      <w:r>
        <w:rPr>
          <w:rStyle w:val="28"/>
          <w:rFonts w:ascii="宋体" w:hAnsi="宋体" w:cs="宋体"/>
        </w:rPr>
        <w:t>8</w:t>
      </w:r>
      <w:r>
        <w:rPr>
          <w:rStyle w:val="28"/>
          <w:rFonts w:ascii="宋体" w:hAnsi="宋体" w:cs="宋体"/>
          <w:lang w:val="zh-CN"/>
        </w:rPr>
        <w:t>.</w:t>
      </w:r>
      <w:r>
        <w:rPr>
          <w:rStyle w:val="28"/>
          <w:rFonts w:hint="eastAsia" w:ascii="宋体" w:hAnsi="宋体" w:cs="宋体"/>
          <w:lang w:val="zh-CN"/>
        </w:rPr>
        <w:t>评标委员会</w:t>
      </w:r>
      <w:r>
        <w:tab/>
      </w:r>
      <w:r>
        <w:fldChar w:fldCharType="begin"/>
      </w:r>
      <w:r>
        <w:instrText xml:space="preserve"> PAGEREF _Toc519260371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"_Toc519260372" </w:instrText>
      </w:r>
      <w:r>
        <w:fldChar w:fldCharType="separate"/>
      </w:r>
      <w:r>
        <w:rPr>
          <w:rStyle w:val="28"/>
          <w:rFonts w:ascii="宋体" w:hAnsi="宋体" w:cs="宋体"/>
        </w:rPr>
        <w:t>19</w:t>
      </w:r>
      <w:r>
        <w:rPr>
          <w:rStyle w:val="28"/>
          <w:rFonts w:ascii="宋体" w:hAnsi="宋体" w:cs="宋体"/>
          <w:lang w:val="zh-CN"/>
        </w:rPr>
        <w:t>.</w:t>
      </w:r>
      <w:r>
        <w:rPr>
          <w:rStyle w:val="28"/>
          <w:rFonts w:hint="eastAsia" w:ascii="宋体" w:hAnsi="宋体" w:cs="宋体"/>
          <w:lang w:val="zh-CN"/>
        </w:rPr>
        <w:t>评审工作程序</w:t>
      </w:r>
      <w:r>
        <w:tab/>
      </w:r>
      <w:r>
        <w:fldChar w:fldCharType="begin"/>
      </w:r>
      <w:r>
        <w:instrText xml:space="preserve"> PAGEREF _Toc519260372 \h </w:instrText>
      </w:r>
      <w:r>
        <w:fldChar w:fldCharType="separate"/>
      </w:r>
      <w:r>
        <w:t>14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"_Toc519260373" </w:instrText>
      </w:r>
      <w:r>
        <w:fldChar w:fldCharType="separate"/>
      </w:r>
      <w:r>
        <w:rPr>
          <w:rStyle w:val="28"/>
          <w:rFonts w:ascii="宋体" w:hAnsi="宋体" w:cs="宋体"/>
        </w:rPr>
        <w:t>20</w:t>
      </w:r>
      <w:r>
        <w:rPr>
          <w:rStyle w:val="28"/>
          <w:rFonts w:ascii="宋体" w:hAnsi="宋体" w:cs="宋体"/>
          <w:lang w:val="zh-CN"/>
        </w:rPr>
        <w:t>.</w:t>
      </w:r>
      <w:r>
        <w:rPr>
          <w:rStyle w:val="28"/>
          <w:rFonts w:hint="eastAsia" w:ascii="宋体" w:hAnsi="宋体" w:cs="宋体"/>
          <w:lang w:val="zh-CN"/>
        </w:rPr>
        <w:t>评审方法和标准</w:t>
      </w:r>
      <w:r>
        <w:tab/>
      </w:r>
      <w:r>
        <w:fldChar w:fldCharType="begin"/>
      </w:r>
      <w:r>
        <w:instrText xml:space="preserve"> PAGEREF _Toc519260373 \h </w:instrText>
      </w:r>
      <w:r>
        <w:fldChar w:fldCharType="separate"/>
      </w:r>
      <w:r>
        <w:t>16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"_Toc519260374" </w:instrText>
      </w:r>
      <w:r>
        <w:fldChar w:fldCharType="separate"/>
      </w:r>
      <w:r>
        <w:rPr>
          <w:rStyle w:val="28"/>
          <w:rFonts w:hint="eastAsia" w:ascii="宋体" w:hAnsi="宋体" w:cs="宋体"/>
          <w:lang w:val="zh-CN"/>
        </w:rPr>
        <w:t>八、中标</w:t>
      </w:r>
      <w:r>
        <w:tab/>
      </w:r>
      <w:r>
        <w:fldChar w:fldCharType="begin"/>
      </w:r>
      <w:r>
        <w:instrText xml:space="preserve"> PAGEREF _Toc519260374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"_Toc519260375" </w:instrText>
      </w:r>
      <w:r>
        <w:fldChar w:fldCharType="separate"/>
      </w:r>
      <w:r>
        <w:rPr>
          <w:rStyle w:val="28"/>
          <w:rFonts w:ascii="宋体" w:hAnsi="宋体" w:cs="宋体"/>
          <w:lang w:val="zh-CN"/>
        </w:rPr>
        <w:t>2</w:t>
      </w:r>
      <w:r>
        <w:rPr>
          <w:rStyle w:val="28"/>
          <w:rFonts w:ascii="宋体" w:hAnsi="宋体" w:cs="宋体"/>
        </w:rPr>
        <w:t>1</w:t>
      </w:r>
      <w:r>
        <w:rPr>
          <w:rStyle w:val="28"/>
          <w:rFonts w:ascii="宋体" w:hAnsi="宋体" w:cs="宋体"/>
          <w:lang w:val="zh-CN"/>
        </w:rPr>
        <w:t>.</w:t>
      </w:r>
      <w:r>
        <w:rPr>
          <w:rStyle w:val="28"/>
          <w:rFonts w:hint="eastAsia" w:ascii="宋体" w:hAnsi="宋体" w:cs="宋体"/>
          <w:lang w:val="zh-CN"/>
        </w:rPr>
        <w:t>推荐并确定中标人</w:t>
      </w:r>
      <w:r>
        <w:tab/>
      </w:r>
      <w:r>
        <w:fldChar w:fldCharType="begin"/>
      </w:r>
      <w:r>
        <w:instrText xml:space="preserve"> PAGEREF _Toc519260375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"_Toc519260376" </w:instrText>
      </w:r>
      <w:r>
        <w:fldChar w:fldCharType="separate"/>
      </w:r>
      <w:r>
        <w:rPr>
          <w:rStyle w:val="28"/>
          <w:rFonts w:ascii="宋体" w:hAnsi="宋体" w:cs="宋体"/>
          <w:lang w:val="zh-CN"/>
        </w:rPr>
        <w:t>2</w:t>
      </w:r>
      <w:r>
        <w:rPr>
          <w:rStyle w:val="28"/>
          <w:rFonts w:ascii="宋体" w:hAnsi="宋体" w:cs="宋体"/>
        </w:rPr>
        <w:t>2</w:t>
      </w:r>
      <w:r>
        <w:rPr>
          <w:rStyle w:val="28"/>
          <w:rFonts w:ascii="宋体" w:hAnsi="宋体" w:cs="宋体"/>
          <w:lang w:val="zh-CN"/>
        </w:rPr>
        <w:t>.</w:t>
      </w:r>
      <w:r>
        <w:rPr>
          <w:rStyle w:val="28"/>
          <w:rFonts w:hint="eastAsia" w:ascii="宋体" w:hAnsi="宋体" w:cs="宋体"/>
          <w:lang w:val="zh-CN"/>
        </w:rPr>
        <w:t>中标通知</w:t>
      </w:r>
      <w:r>
        <w:tab/>
      </w:r>
      <w:r>
        <w:fldChar w:fldCharType="begin"/>
      </w:r>
      <w:r>
        <w:instrText xml:space="preserve"> PAGEREF _Toc519260376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"_Toc519260377" </w:instrText>
      </w:r>
      <w:r>
        <w:fldChar w:fldCharType="separate"/>
      </w:r>
      <w:r>
        <w:rPr>
          <w:rStyle w:val="28"/>
          <w:rFonts w:hint="eastAsia" w:ascii="宋体" w:hAnsi="宋体" w:cs="宋体"/>
          <w:lang w:val="zh-CN"/>
        </w:rPr>
        <w:t>九、授予合同</w:t>
      </w:r>
      <w:r>
        <w:tab/>
      </w:r>
      <w:r>
        <w:fldChar w:fldCharType="begin"/>
      </w:r>
      <w:r>
        <w:instrText xml:space="preserve"> PAGEREF _Toc519260377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"_Toc519260378" </w:instrText>
      </w:r>
      <w:r>
        <w:fldChar w:fldCharType="separate"/>
      </w:r>
      <w:r>
        <w:rPr>
          <w:rStyle w:val="28"/>
          <w:rFonts w:ascii="宋体" w:hAnsi="宋体" w:cs="宋体"/>
          <w:lang w:val="zh-CN"/>
        </w:rPr>
        <w:t>2</w:t>
      </w:r>
      <w:r>
        <w:rPr>
          <w:rStyle w:val="28"/>
          <w:rFonts w:ascii="宋体" w:hAnsi="宋体" w:cs="宋体"/>
        </w:rPr>
        <w:t>3</w:t>
      </w:r>
      <w:r>
        <w:rPr>
          <w:rStyle w:val="28"/>
          <w:rFonts w:ascii="宋体" w:hAnsi="宋体" w:cs="宋体"/>
          <w:lang w:val="zh-CN"/>
        </w:rPr>
        <w:t>.</w:t>
      </w:r>
      <w:r>
        <w:rPr>
          <w:rStyle w:val="28"/>
          <w:rFonts w:hint="eastAsia" w:ascii="宋体" w:hAnsi="宋体" w:cs="宋体"/>
          <w:lang w:val="zh-CN"/>
        </w:rPr>
        <w:t>签订合同</w:t>
      </w:r>
      <w:r>
        <w:tab/>
      </w:r>
      <w:r>
        <w:fldChar w:fldCharType="begin"/>
      </w:r>
      <w:r>
        <w:instrText xml:space="preserve"> PAGEREF _Toc519260378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"_Toc519260379" </w:instrText>
      </w:r>
      <w:r>
        <w:fldChar w:fldCharType="separate"/>
      </w:r>
      <w:r>
        <w:rPr>
          <w:rStyle w:val="28"/>
          <w:rFonts w:hint="eastAsia" w:ascii="宋体" w:hAnsi="宋体" w:cs="宋体"/>
          <w:lang w:val="zh-CN"/>
        </w:rPr>
        <w:t>十、其他</w:t>
      </w:r>
      <w:r>
        <w:tab/>
      </w:r>
      <w:r>
        <w:fldChar w:fldCharType="begin"/>
      </w:r>
      <w:r>
        <w:instrText xml:space="preserve"> PAGEREF _Toc519260379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"_Toc519260380" </w:instrText>
      </w:r>
      <w:r>
        <w:fldChar w:fldCharType="separate"/>
      </w:r>
      <w:r>
        <w:rPr>
          <w:rStyle w:val="28"/>
          <w:rFonts w:ascii="宋体" w:hAnsi="宋体" w:cs="宋体"/>
        </w:rPr>
        <w:t xml:space="preserve">24. </w:t>
      </w:r>
      <w:r>
        <w:rPr>
          <w:rStyle w:val="28"/>
          <w:rFonts w:hint="eastAsia" w:ascii="宋体" w:hAnsi="宋体" w:cs="宋体"/>
        </w:rPr>
        <w:t>串通投标的情形</w:t>
      </w:r>
      <w:r>
        <w:tab/>
      </w:r>
      <w:r>
        <w:fldChar w:fldCharType="begin"/>
      </w:r>
      <w:r>
        <w:instrText xml:space="preserve"> PAGEREF _Toc519260380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"_Toc519260381" </w:instrText>
      </w:r>
      <w:r>
        <w:fldChar w:fldCharType="separate"/>
      </w:r>
      <w:r>
        <w:rPr>
          <w:rStyle w:val="28"/>
          <w:rFonts w:ascii="宋体" w:hAnsi="宋体" w:cs="宋体"/>
        </w:rPr>
        <w:t xml:space="preserve">25. </w:t>
      </w:r>
      <w:r>
        <w:rPr>
          <w:rStyle w:val="28"/>
          <w:rFonts w:hint="eastAsia" w:ascii="宋体" w:hAnsi="宋体" w:cs="宋体"/>
        </w:rPr>
        <w:t>废标</w:t>
      </w:r>
      <w:r>
        <w:tab/>
      </w:r>
      <w:r>
        <w:fldChar w:fldCharType="begin"/>
      </w:r>
      <w:r>
        <w:instrText xml:space="preserve"> PAGEREF _Toc519260381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"_Toc519260382" </w:instrText>
      </w:r>
      <w:r>
        <w:fldChar w:fldCharType="separate"/>
      </w:r>
      <w:r>
        <w:rPr>
          <w:rStyle w:val="28"/>
          <w:rFonts w:hint="eastAsia" w:ascii="宋体" w:hAnsi="宋体" w:cs="宋体"/>
          <w:lang w:val="zh-CN"/>
        </w:rPr>
        <w:t>第三部分</w:t>
      </w:r>
      <w:r>
        <w:rPr>
          <w:rStyle w:val="28"/>
          <w:rFonts w:ascii="宋体" w:hAnsi="宋体" w:cs="宋体"/>
          <w:lang w:val="zh-CN"/>
        </w:rPr>
        <w:t xml:space="preserve"> </w:t>
      </w:r>
      <w:r>
        <w:rPr>
          <w:rStyle w:val="28"/>
          <w:rFonts w:ascii="宋体" w:hAnsi="宋体" w:cs="宋体"/>
        </w:rPr>
        <w:t xml:space="preserve"> </w:t>
      </w:r>
      <w:r>
        <w:rPr>
          <w:rStyle w:val="28"/>
          <w:rFonts w:hint="eastAsia" w:ascii="宋体" w:hAnsi="宋体" w:cs="宋体"/>
          <w:lang w:val="zh-CN"/>
        </w:rPr>
        <w:t>西宁市政府采购项目合同书范本</w:t>
      </w:r>
      <w:r>
        <w:tab/>
      </w:r>
      <w:r>
        <w:fldChar w:fldCharType="begin"/>
      </w:r>
      <w:r>
        <w:instrText xml:space="preserve"> PAGEREF _Toc519260382 \h </w:instrText>
      </w:r>
      <w:r>
        <w:fldChar w:fldCharType="separate"/>
      </w:r>
      <w:r>
        <w:t>22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"_Toc519260383" </w:instrText>
      </w:r>
      <w:r>
        <w:fldChar w:fldCharType="separate"/>
      </w:r>
      <w:r>
        <w:rPr>
          <w:rStyle w:val="28"/>
          <w:rFonts w:hint="eastAsia" w:ascii="宋体" w:hAnsi="宋体" w:cs="宋体"/>
          <w:lang w:val="zh-CN"/>
        </w:rPr>
        <w:t>第四部分</w:t>
      </w:r>
      <w:r>
        <w:rPr>
          <w:rStyle w:val="28"/>
          <w:rFonts w:ascii="宋体" w:hAnsi="宋体" w:cs="宋体"/>
          <w:lang w:val="zh-CN"/>
        </w:rPr>
        <w:t xml:space="preserve">  </w:t>
      </w:r>
      <w:r>
        <w:rPr>
          <w:rStyle w:val="28"/>
          <w:rFonts w:hint="eastAsia" w:ascii="宋体" w:hAnsi="宋体" w:cs="宋体"/>
          <w:lang w:val="zh-CN"/>
        </w:rPr>
        <w:t>投标文件格式</w:t>
      </w:r>
      <w:r>
        <w:tab/>
      </w:r>
      <w:r>
        <w:fldChar w:fldCharType="begin"/>
      </w:r>
      <w:r>
        <w:instrText xml:space="preserve"> PAGEREF _Toc519260383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"_Toc519260384" </w:instrText>
      </w:r>
      <w:r>
        <w:fldChar w:fldCharType="separate"/>
      </w:r>
      <w:r>
        <w:rPr>
          <w:rStyle w:val="28"/>
          <w:rFonts w:hint="eastAsia" w:ascii="宋体" w:hAnsi="宋体" w:cs="宋体"/>
          <w:lang w:val="zh-CN"/>
        </w:rPr>
        <w:t>封面（上册）</w:t>
      </w:r>
      <w:r>
        <w:tab/>
      </w:r>
      <w:r>
        <w:fldChar w:fldCharType="begin"/>
      </w:r>
      <w:r>
        <w:instrText xml:space="preserve"> PAGEREF _Toc519260384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"_Toc519260385" </w:instrText>
      </w:r>
      <w:r>
        <w:fldChar w:fldCharType="separate"/>
      </w:r>
      <w:r>
        <w:rPr>
          <w:rStyle w:val="28"/>
          <w:rFonts w:hint="eastAsia" w:ascii="宋体" w:hAnsi="宋体" w:cs="宋体"/>
          <w:lang w:val="zh-CN"/>
        </w:rPr>
        <w:t>目录（上册）</w:t>
      </w:r>
      <w:r>
        <w:tab/>
      </w:r>
      <w:r>
        <w:fldChar w:fldCharType="begin"/>
      </w:r>
      <w:r>
        <w:instrText xml:space="preserve"> PAGEREF _Toc519260385 \h </w:instrText>
      </w:r>
      <w:r>
        <w:fldChar w:fldCharType="separate"/>
      </w:r>
      <w:r>
        <w:t>36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"_Toc519260386" </w:instrText>
      </w:r>
      <w:r>
        <w:fldChar w:fldCharType="separate"/>
      </w:r>
      <w:r>
        <w:rPr>
          <w:rStyle w:val="28"/>
          <w:rFonts w:hint="eastAsia" w:ascii="宋体" w:hAnsi="宋体" w:cs="宋体"/>
        </w:rPr>
        <w:t>（</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投标函</w:t>
      </w:r>
      <w:r>
        <w:tab/>
      </w:r>
      <w:r>
        <w:fldChar w:fldCharType="begin"/>
      </w:r>
      <w:r>
        <w:instrText xml:space="preserve"> PAGEREF _Toc519260386 \h </w:instrText>
      </w:r>
      <w:r>
        <w:fldChar w:fldCharType="separate"/>
      </w:r>
      <w:r>
        <w:t>37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"_Toc519260387" </w:instrText>
      </w:r>
      <w:r>
        <w:fldChar w:fldCharType="separate"/>
      </w:r>
      <w:r>
        <w:rPr>
          <w:rStyle w:val="28"/>
          <w:rFonts w:hint="eastAsia" w:ascii="宋体" w:hAnsi="宋体" w:cs="宋体"/>
          <w:kern w:val="0"/>
          <w:lang w:val="zh-CN"/>
        </w:rPr>
        <w:t>（</w:t>
      </w:r>
      <w:r>
        <w:rPr>
          <w:rStyle w:val="28"/>
          <w:rFonts w:ascii="宋体" w:hAnsi="宋体" w:cs="宋体"/>
          <w:kern w:val="0"/>
        </w:rPr>
        <w:t>2</w:t>
      </w:r>
      <w:r>
        <w:rPr>
          <w:rStyle w:val="28"/>
          <w:rFonts w:hint="eastAsia" w:ascii="宋体" w:hAnsi="宋体" w:cs="宋体"/>
          <w:kern w:val="0"/>
          <w:lang w:val="zh-CN"/>
        </w:rPr>
        <w:t>）</w:t>
      </w:r>
      <w:r>
        <w:rPr>
          <w:rStyle w:val="28"/>
          <w:rFonts w:hint="eastAsia" w:ascii="宋体" w:hAnsi="宋体" w:cs="宋体"/>
        </w:rPr>
        <w:t>法定代表人证明书</w:t>
      </w:r>
      <w:r>
        <w:tab/>
      </w:r>
      <w:r>
        <w:fldChar w:fldCharType="begin"/>
      </w:r>
      <w:r>
        <w:instrText xml:space="preserve"> PAGEREF _Toc519260387 \h </w:instrText>
      </w:r>
      <w:r>
        <w:fldChar w:fldCharType="separate"/>
      </w:r>
      <w:r>
        <w:t>38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"_Toc519260388" </w:instrText>
      </w:r>
      <w:r>
        <w:fldChar w:fldCharType="separate"/>
      </w:r>
      <w:r>
        <w:rPr>
          <w:rStyle w:val="28"/>
          <w:rFonts w:hint="eastAsia" w:ascii="宋体" w:hAnsi="宋体" w:cs="宋体"/>
        </w:rPr>
        <w:t>（</w:t>
      </w:r>
      <w:r>
        <w:rPr>
          <w:rStyle w:val="28"/>
          <w:rFonts w:ascii="宋体" w:hAnsi="宋体" w:cs="宋体"/>
        </w:rPr>
        <w:t>3</w:t>
      </w:r>
      <w:r>
        <w:rPr>
          <w:rStyle w:val="28"/>
          <w:rFonts w:hint="eastAsia" w:ascii="宋体" w:hAnsi="宋体" w:cs="宋体"/>
        </w:rPr>
        <w:t>）</w:t>
      </w:r>
      <w:r>
        <w:rPr>
          <w:rStyle w:val="28"/>
          <w:rFonts w:hint="eastAsia" w:ascii="宋体" w:hAnsi="宋体" w:cs="宋体"/>
          <w:lang w:val="zh-CN"/>
        </w:rPr>
        <w:t>法定代表人授权书</w:t>
      </w:r>
      <w:r>
        <w:tab/>
      </w:r>
      <w:r>
        <w:fldChar w:fldCharType="begin"/>
      </w:r>
      <w:r>
        <w:instrText xml:space="preserve"> PAGEREF _Toc519260388 \h </w:instrText>
      </w:r>
      <w:r>
        <w:fldChar w:fldCharType="separate"/>
      </w:r>
      <w:r>
        <w:t>39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"_Toc519260389" </w:instrText>
      </w:r>
      <w:r>
        <w:fldChar w:fldCharType="separate"/>
      </w:r>
      <w:r>
        <w:rPr>
          <w:rStyle w:val="28"/>
          <w:rFonts w:hint="eastAsia" w:ascii="宋体" w:hAnsi="宋体" w:cs="宋体"/>
        </w:rPr>
        <w:t>（</w:t>
      </w:r>
      <w:r>
        <w:rPr>
          <w:rStyle w:val="28"/>
          <w:rFonts w:ascii="宋体" w:hAnsi="宋体" w:cs="宋体"/>
        </w:rPr>
        <w:t>4</w:t>
      </w:r>
      <w:r>
        <w:rPr>
          <w:rStyle w:val="28"/>
          <w:rFonts w:hint="eastAsia" w:ascii="宋体" w:hAnsi="宋体" w:cs="宋体"/>
        </w:rPr>
        <w:t>）</w:t>
      </w:r>
      <w:r>
        <w:rPr>
          <w:rStyle w:val="28"/>
          <w:rFonts w:hint="eastAsia" w:ascii="宋体" w:hAnsi="宋体" w:cs="宋体"/>
          <w:lang w:val="zh-CN"/>
        </w:rPr>
        <w:t>投标人承诺函</w:t>
      </w:r>
      <w:r>
        <w:tab/>
      </w:r>
      <w:r>
        <w:fldChar w:fldCharType="begin"/>
      </w:r>
      <w:r>
        <w:instrText xml:space="preserve"> PAGEREF _Toc519260389 \h </w:instrText>
      </w:r>
      <w:r>
        <w:fldChar w:fldCharType="separate"/>
      </w:r>
      <w:r>
        <w:t>40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"_Toc519260390" </w:instrText>
      </w:r>
      <w:r>
        <w:fldChar w:fldCharType="separate"/>
      </w:r>
      <w:r>
        <w:rPr>
          <w:rStyle w:val="28"/>
          <w:rFonts w:hint="eastAsia" w:ascii="宋体" w:hAnsi="宋体" w:cs="宋体"/>
        </w:rPr>
        <w:t>（</w:t>
      </w:r>
      <w:r>
        <w:rPr>
          <w:rStyle w:val="28"/>
          <w:rFonts w:ascii="宋体" w:hAnsi="宋体" w:cs="宋体"/>
        </w:rPr>
        <w:t>5</w:t>
      </w:r>
      <w:r>
        <w:rPr>
          <w:rStyle w:val="28"/>
          <w:rFonts w:hint="eastAsia" w:ascii="宋体" w:hAnsi="宋体" w:cs="宋体"/>
        </w:rPr>
        <w:t>）</w:t>
      </w:r>
      <w:r>
        <w:rPr>
          <w:rStyle w:val="28"/>
          <w:rFonts w:hint="eastAsia" w:ascii="宋体" w:hAnsi="宋体" w:cs="宋体"/>
          <w:lang w:val="zh-CN"/>
        </w:rPr>
        <w:t>投标人诚信承诺书</w:t>
      </w:r>
      <w:r>
        <w:tab/>
      </w:r>
      <w:r>
        <w:fldChar w:fldCharType="begin"/>
      </w:r>
      <w:r>
        <w:instrText xml:space="preserve"> PAGEREF _Toc519260390 \h </w:instrText>
      </w:r>
      <w:r>
        <w:fldChar w:fldCharType="separate"/>
      </w:r>
      <w:r>
        <w:t>41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"_Toc519260391" </w:instrText>
      </w:r>
      <w:r>
        <w:fldChar w:fldCharType="separate"/>
      </w:r>
      <w:r>
        <w:rPr>
          <w:rStyle w:val="28"/>
          <w:rFonts w:hint="eastAsia" w:ascii="宋体" w:hAnsi="宋体" w:cs="宋体"/>
        </w:rPr>
        <w:t>（</w:t>
      </w:r>
      <w:r>
        <w:rPr>
          <w:rStyle w:val="28"/>
          <w:rFonts w:ascii="宋体" w:hAnsi="宋体" w:cs="宋体"/>
        </w:rPr>
        <w:t>6</w:t>
      </w:r>
      <w:r>
        <w:rPr>
          <w:rStyle w:val="28"/>
          <w:rFonts w:hint="eastAsia" w:ascii="宋体" w:hAnsi="宋体" w:cs="宋体"/>
        </w:rPr>
        <w:t>）</w:t>
      </w:r>
      <w:r>
        <w:rPr>
          <w:rStyle w:val="28"/>
          <w:rFonts w:hint="eastAsia" w:ascii="宋体" w:hAnsi="宋体" w:cs="宋体"/>
          <w:lang w:val="zh-CN"/>
        </w:rPr>
        <w:t>资格证明材料</w:t>
      </w:r>
      <w:r>
        <w:tab/>
      </w:r>
      <w:r>
        <w:fldChar w:fldCharType="begin"/>
      </w:r>
      <w:r>
        <w:instrText xml:space="preserve"> PAGEREF _Toc519260391 \h </w:instrText>
      </w:r>
      <w:r>
        <w:fldChar w:fldCharType="separate"/>
      </w:r>
      <w:r>
        <w:t>42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"_Toc519260392" </w:instrText>
      </w:r>
      <w:r>
        <w:fldChar w:fldCharType="separate"/>
      </w:r>
      <w:r>
        <w:rPr>
          <w:rStyle w:val="28"/>
          <w:rFonts w:hint="eastAsia" w:ascii="宋体" w:hAnsi="宋体" w:cs="宋体"/>
        </w:rPr>
        <w:t>（</w:t>
      </w:r>
      <w:r>
        <w:rPr>
          <w:rStyle w:val="28"/>
          <w:rFonts w:ascii="宋体" w:hAnsi="宋体" w:cs="宋体"/>
        </w:rPr>
        <w:t>7</w:t>
      </w:r>
      <w:r>
        <w:rPr>
          <w:rStyle w:val="28"/>
          <w:rFonts w:hint="eastAsia" w:ascii="宋体" w:hAnsi="宋体" w:cs="宋体"/>
        </w:rPr>
        <w:t>）</w:t>
      </w:r>
      <w:r>
        <w:rPr>
          <w:rStyle w:val="28"/>
          <w:rFonts w:hint="eastAsia" w:ascii="宋体" w:hAnsi="宋体" w:cs="宋体"/>
          <w:lang w:val="zh-CN"/>
        </w:rPr>
        <w:t>财务状况报告，依法缴纳税收和社会保障资金的相关材料</w:t>
      </w:r>
      <w:r>
        <w:tab/>
      </w:r>
      <w:r>
        <w:fldChar w:fldCharType="begin"/>
      </w:r>
      <w:r>
        <w:instrText xml:space="preserve"> PAGEREF _Toc519260392 \h </w:instrText>
      </w:r>
      <w:r>
        <w:fldChar w:fldCharType="separate"/>
      </w:r>
      <w:r>
        <w:t>43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"_Toc519260393" </w:instrText>
      </w:r>
      <w:r>
        <w:fldChar w:fldCharType="separate"/>
      </w:r>
      <w:r>
        <w:rPr>
          <w:rStyle w:val="28"/>
          <w:rFonts w:hint="eastAsia" w:ascii="宋体" w:hAnsi="宋体" w:cs="宋体"/>
        </w:rPr>
        <w:t>（</w:t>
      </w:r>
      <w:r>
        <w:rPr>
          <w:rStyle w:val="28"/>
          <w:rFonts w:ascii="宋体" w:hAnsi="宋体" w:cs="宋体"/>
        </w:rPr>
        <w:t>8</w:t>
      </w:r>
      <w:r>
        <w:rPr>
          <w:rStyle w:val="28"/>
          <w:rFonts w:hint="eastAsia" w:ascii="宋体" w:hAnsi="宋体" w:cs="宋体"/>
        </w:rPr>
        <w:t>）</w:t>
      </w:r>
      <w:r>
        <w:rPr>
          <w:rStyle w:val="28"/>
          <w:rFonts w:hint="eastAsia" w:ascii="宋体" w:hAnsi="宋体" w:cs="宋体"/>
          <w:lang w:val="zh-CN"/>
        </w:rPr>
        <w:t>具备履行合同所必需的设备和专业技术能力的证明材料</w:t>
      </w:r>
      <w:r>
        <w:tab/>
      </w:r>
      <w:r>
        <w:fldChar w:fldCharType="begin"/>
      </w:r>
      <w:r>
        <w:instrText xml:space="preserve"> PAGEREF _Toc519260393 \h </w:instrText>
      </w:r>
      <w:r>
        <w:fldChar w:fldCharType="separate"/>
      </w:r>
      <w:r>
        <w:t>44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"_Toc519260394" </w:instrText>
      </w:r>
      <w:r>
        <w:fldChar w:fldCharType="separate"/>
      </w:r>
      <w:r>
        <w:rPr>
          <w:rStyle w:val="28"/>
          <w:rFonts w:hint="eastAsia" w:ascii="宋体" w:hAnsi="宋体" w:cs="宋体"/>
        </w:rPr>
        <w:t>（</w:t>
      </w:r>
      <w:r>
        <w:rPr>
          <w:rStyle w:val="28"/>
          <w:rFonts w:ascii="宋体" w:hAnsi="宋体" w:cs="宋体"/>
        </w:rPr>
        <w:t>9</w:t>
      </w:r>
      <w:r>
        <w:rPr>
          <w:rStyle w:val="28"/>
          <w:rFonts w:hint="eastAsia" w:ascii="宋体" w:hAnsi="宋体" w:cs="宋体"/>
        </w:rPr>
        <w:t>）</w:t>
      </w:r>
      <w:r>
        <w:rPr>
          <w:rStyle w:val="28"/>
          <w:rFonts w:hint="eastAsia" w:ascii="宋体" w:hAnsi="宋体" w:cs="宋体"/>
          <w:lang w:val="zh-CN"/>
        </w:rPr>
        <w:t>无重大违法记录声明</w:t>
      </w:r>
      <w:r>
        <w:tab/>
      </w:r>
      <w:r>
        <w:fldChar w:fldCharType="begin"/>
      </w:r>
      <w:r>
        <w:instrText xml:space="preserve"> PAGEREF _Toc519260394 \h </w:instrText>
      </w:r>
      <w:r>
        <w:fldChar w:fldCharType="separate"/>
      </w:r>
      <w:r>
        <w:t>45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"_Toc519260395" </w:instrText>
      </w:r>
      <w:r>
        <w:fldChar w:fldCharType="separate"/>
      </w:r>
      <w:r>
        <w:rPr>
          <w:rStyle w:val="28"/>
          <w:rFonts w:hint="eastAsia" w:ascii="宋体" w:hAnsi="宋体" w:cs="宋体"/>
        </w:rPr>
        <w:t>（</w:t>
      </w:r>
      <w:r>
        <w:rPr>
          <w:rStyle w:val="28"/>
          <w:rFonts w:ascii="宋体" w:hAnsi="宋体" w:cs="宋体"/>
        </w:rPr>
        <w:t>10</w:t>
      </w:r>
      <w:r>
        <w:rPr>
          <w:rStyle w:val="28"/>
          <w:rFonts w:hint="eastAsia" w:ascii="宋体" w:hAnsi="宋体" w:cs="宋体"/>
        </w:rPr>
        <w:t>）</w:t>
      </w:r>
      <w:r>
        <w:rPr>
          <w:rStyle w:val="28"/>
          <w:rFonts w:hint="eastAsia" w:ascii="宋体" w:hAnsi="宋体" w:cs="宋体"/>
          <w:lang w:val="zh-CN"/>
        </w:rPr>
        <w:t>投标保证金证明</w:t>
      </w:r>
      <w:r>
        <w:tab/>
      </w:r>
      <w:r>
        <w:fldChar w:fldCharType="begin"/>
      </w:r>
      <w:r>
        <w:instrText xml:space="preserve"> PAGEREF _Toc519260395 \h </w:instrText>
      </w:r>
      <w:r>
        <w:fldChar w:fldCharType="separate"/>
      </w:r>
      <w:r>
        <w:t>46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"_Toc519260396" </w:instrText>
      </w:r>
      <w:r>
        <w:fldChar w:fldCharType="separate"/>
      </w:r>
      <w:r>
        <w:rPr>
          <w:rStyle w:val="28"/>
          <w:rFonts w:hint="eastAsia" w:ascii="宋体" w:hAnsi="宋体" w:cs="宋体"/>
          <w:lang w:val="zh-CN"/>
        </w:rPr>
        <w:t>目录（下册）</w:t>
      </w:r>
      <w:r>
        <w:tab/>
      </w:r>
      <w:r>
        <w:fldChar w:fldCharType="begin"/>
      </w:r>
      <w:r>
        <w:instrText xml:space="preserve"> PAGEREF _Toc519260396 \h </w:instrText>
      </w:r>
      <w:r>
        <w:fldChar w:fldCharType="separate"/>
      </w:r>
      <w:r>
        <w:t>48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"_Toc519260397" </w:instrText>
      </w:r>
      <w:r>
        <w:fldChar w:fldCharType="separate"/>
      </w:r>
      <w:r>
        <w:rPr>
          <w:rStyle w:val="28"/>
          <w:rFonts w:hint="eastAsia" w:ascii="宋体" w:hAnsi="宋体" w:cs="宋体"/>
        </w:rPr>
        <w:t>（</w:t>
      </w:r>
      <w:r>
        <w:rPr>
          <w:rStyle w:val="28"/>
          <w:rFonts w:ascii="宋体" w:hAnsi="宋体" w:cs="宋体"/>
        </w:rPr>
        <w:t>11</w:t>
      </w:r>
      <w:r>
        <w:rPr>
          <w:rStyle w:val="28"/>
          <w:rFonts w:hint="eastAsia" w:ascii="宋体" w:hAnsi="宋体" w:cs="宋体"/>
        </w:rPr>
        <w:t>）</w:t>
      </w:r>
      <w:r>
        <w:rPr>
          <w:rStyle w:val="28"/>
          <w:rFonts w:hint="eastAsia" w:ascii="宋体" w:hAnsi="宋体" w:cs="宋体"/>
          <w:lang w:val="zh-CN"/>
        </w:rPr>
        <w:t>评分对照表</w:t>
      </w:r>
      <w:r>
        <w:tab/>
      </w:r>
      <w:r>
        <w:fldChar w:fldCharType="begin"/>
      </w:r>
      <w:r>
        <w:instrText xml:space="preserve"> PAGEREF _Toc519260397 \h </w:instrText>
      </w:r>
      <w:r>
        <w:fldChar w:fldCharType="separate"/>
      </w:r>
      <w:r>
        <w:t>49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"_Toc519260398" </w:instrText>
      </w:r>
      <w:r>
        <w:fldChar w:fldCharType="separate"/>
      </w:r>
      <w:r>
        <w:rPr>
          <w:rStyle w:val="28"/>
          <w:rFonts w:hint="eastAsia" w:ascii="宋体" w:hAnsi="宋体" w:cs="宋体"/>
        </w:rPr>
        <w:t>（</w:t>
      </w:r>
      <w:r>
        <w:rPr>
          <w:rStyle w:val="28"/>
          <w:rFonts w:ascii="宋体" w:hAnsi="宋体" w:cs="宋体"/>
        </w:rPr>
        <w:t>12</w:t>
      </w:r>
      <w:r>
        <w:rPr>
          <w:rStyle w:val="28"/>
          <w:rFonts w:hint="eastAsia" w:ascii="宋体" w:hAnsi="宋体" w:cs="宋体"/>
        </w:rPr>
        <w:t>）</w:t>
      </w:r>
      <w:r>
        <w:rPr>
          <w:rStyle w:val="28"/>
          <w:rFonts w:hint="eastAsia" w:ascii="宋体" w:hAnsi="宋体" w:cs="宋体"/>
          <w:lang w:val="zh-CN"/>
        </w:rPr>
        <w:t>开标一览表（报价表）</w:t>
      </w:r>
      <w:r>
        <w:tab/>
      </w:r>
      <w:r>
        <w:fldChar w:fldCharType="begin"/>
      </w:r>
      <w:r>
        <w:instrText xml:space="preserve"> PAGEREF _Toc519260398 \h </w:instrText>
      </w:r>
      <w:r>
        <w:fldChar w:fldCharType="separate"/>
      </w:r>
      <w:r>
        <w:t>50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"_Toc519260399" </w:instrText>
      </w:r>
      <w:r>
        <w:fldChar w:fldCharType="separate"/>
      </w:r>
      <w:r>
        <w:rPr>
          <w:rStyle w:val="28"/>
          <w:rFonts w:hint="eastAsia" w:ascii="宋体" w:hAnsi="宋体" w:cs="宋体"/>
        </w:rPr>
        <w:t>（</w:t>
      </w:r>
      <w:r>
        <w:rPr>
          <w:rStyle w:val="28"/>
          <w:rFonts w:ascii="宋体" w:hAnsi="宋体" w:cs="宋体"/>
        </w:rPr>
        <w:t>13</w:t>
      </w:r>
      <w:r>
        <w:rPr>
          <w:rStyle w:val="28"/>
          <w:rFonts w:hint="eastAsia" w:ascii="宋体" w:hAnsi="宋体" w:cs="宋体"/>
        </w:rPr>
        <w:t>）</w:t>
      </w:r>
      <w:r>
        <w:rPr>
          <w:rStyle w:val="28"/>
          <w:rFonts w:hint="eastAsia" w:ascii="宋体" w:hAnsi="宋体" w:cs="宋体"/>
          <w:lang w:val="zh-CN"/>
        </w:rPr>
        <w:t>分项报价表</w:t>
      </w:r>
      <w:r>
        <w:tab/>
      </w:r>
      <w:r>
        <w:fldChar w:fldCharType="begin"/>
      </w:r>
      <w:r>
        <w:instrText xml:space="preserve"> PAGEREF _Toc519260399 \h </w:instrText>
      </w:r>
      <w:r>
        <w:fldChar w:fldCharType="separate"/>
      </w:r>
      <w:r>
        <w:t>51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"_Toc519260400" </w:instrText>
      </w:r>
      <w:r>
        <w:fldChar w:fldCharType="separate"/>
      </w:r>
      <w:r>
        <w:rPr>
          <w:rStyle w:val="28"/>
          <w:rFonts w:hint="eastAsia" w:ascii="宋体" w:hAnsi="宋体" w:cs="宋体"/>
        </w:rPr>
        <w:t>（</w:t>
      </w:r>
      <w:r>
        <w:rPr>
          <w:rStyle w:val="28"/>
          <w:rFonts w:ascii="宋体" w:hAnsi="宋体" w:cs="宋体"/>
        </w:rPr>
        <w:t>14</w:t>
      </w:r>
      <w:r>
        <w:rPr>
          <w:rStyle w:val="28"/>
          <w:rFonts w:hint="eastAsia" w:ascii="宋体" w:hAnsi="宋体" w:cs="宋体"/>
        </w:rPr>
        <w:t>）</w:t>
      </w:r>
      <w:r>
        <w:rPr>
          <w:rStyle w:val="28"/>
          <w:rFonts w:hint="eastAsia" w:ascii="宋体" w:hAnsi="宋体" w:cs="宋体"/>
          <w:lang w:val="zh-CN"/>
        </w:rPr>
        <w:t>技术规格响应表</w:t>
      </w:r>
      <w:r>
        <w:tab/>
      </w:r>
      <w:r>
        <w:fldChar w:fldCharType="begin"/>
      </w:r>
      <w:r>
        <w:instrText xml:space="preserve"> PAGEREF _Toc519260400 \h </w:instrText>
      </w:r>
      <w:r>
        <w:fldChar w:fldCharType="separate"/>
      </w:r>
      <w:r>
        <w:t>52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"_Toc519260401" </w:instrText>
      </w:r>
      <w:r>
        <w:fldChar w:fldCharType="separate"/>
      </w:r>
      <w:r>
        <w:rPr>
          <w:rStyle w:val="28"/>
          <w:rFonts w:hint="eastAsia" w:ascii="宋体" w:hAnsi="宋体" w:cs="宋体"/>
        </w:rPr>
        <w:t>（</w:t>
      </w:r>
      <w:r>
        <w:rPr>
          <w:rStyle w:val="28"/>
          <w:rFonts w:ascii="宋体" w:hAnsi="宋体" w:cs="宋体"/>
        </w:rPr>
        <w:t>15</w:t>
      </w:r>
      <w:r>
        <w:rPr>
          <w:rStyle w:val="28"/>
          <w:rFonts w:hint="eastAsia" w:ascii="宋体" w:hAnsi="宋体" w:cs="宋体"/>
        </w:rPr>
        <w:t>）</w:t>
      </w:r>
      <w:r>
        <w:rPr>
          <w:rStyle w:val="28"/>
          <w:rFonts w:hint="eastAsia" w:ascii="宋体" w:hAnsi="宋体" w:cs="宋体"/>
          <w:lang w:val="zh-CN"/>
        </w:rPr>
        <w:t>投标产品相关资料</w:t>
      </w:r>
      <w:r>
        <w:tab/>
      </w:r>
      <w:r>
        <w:fldChar w:fldCharType="begin"/>
      </w:r>
      <w:r>
        <w:instrText xml:space="preserve"> PAGEREF _Toc519260401 \h </w:instrText>
      </w:r>
      <w:r>
        <w:fldChar w:fldCharType="separate"/>
      </w:r>
      <w:r>
        <w:t>53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"_Toc519260402" </w:instrText>
      </w:r>
      <w:r>
        <w:fldChar w:fldCharType="separate"/>
      </w:r>
      <w:r>
        <w:rPr>
          <w:rStyle w:val="28"/>
          <w:rFonts w:hint="eastAsia" w:ascii="宋体" w:hAnsi="宋体" w:cs="宋体"/>
        </w:rPr>
        <w:t>（</w:t>
      </w:r>
      <w:r>
        <w:rPr>
          <w:rStyle w:val="28"/>
          <w:rFonts w:ascii="宋体" w:hAnsi="宋体" w:cs="宋体"/>
        </w:rPr>
        <w:t>16</w:t>
      </w:r>
      <w:r>
        <w:rPr>
          <w:rStyle w:val="28"/>
          <w:rFonts w:hint="eastAsia" w:ascii="宋体" w:hAnsi="宋体" w:cs="宋体"/>
        </w:rPr>
        <w:t>）</w:t>
      </w:r>
      <w:r>
        <w:rPr>
          <w:rStyle w:val="28"/>
          <w:rFonts w:hint="eastAsia" w:ascii="宋体" w:hAnsi="宋体" w:cs="宋体"/>
          <w:lang w:val="zh-CN"/>
        </w:rPr>
        <w:t>投标人的类似业绩证明材料</w:t>
      </w:r>
      <w:r>
        <w:tab/>
      </w:r>
      <w:r>
        <w:fldChar w:fldCharType="begin"/>
      </w:r>
      <w:r>
        <w:instrText xml:space="preserve"> PAGEREF _Toc519260402 \h </w:instrText>
      </w:r>
      <w:r>
        <w:fldChar w:fldCharType="separate"/>
      </w:r>
      <w:r>
        <w:t>54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"_Toc519260403" </w:instrText>
      </w:r>
      <w:r>
        <w:fldChar w:fldCharType="separate"/>
      </w:r>
      <w:r>
        <w:rPr>
          <w:rStyle w:val="28"/>
          <w:rFonts w:hint="eastAsia" w:ascii="宋体" w:hAnsi="宋体" w:cs="宋体"/>
        </w:rPr>
        <w:t>（</w:t>
      </w:r>
      <w:r>
        <w:rPr>
          <w:rStyle w:val="28"/>
          <w:rFonts w:ascii="宋体" w:hAnsi="宋体" w:cs="宋体"/>
        </w:rPr>
        <w:t>17.1</w:t>
      </w:r>
      <w:r>
        <w:rPr>
          <w:rStyle w:val="28"/>
          <w:rFonts w:hint="eastAsia" w:ascii="宋体" w:hAnsi="宋体" w:cs="宋体"/>
        </w:rPr>
        <w:t>）</w:t>
      </w:r>
      <w:r>
        <w:rPr>
          <w:rStyle w:val="28"/>
          <w:rFonts w:hint="eastAsia" w:ascii="宋体" w:hAnsi="宋体" w:cs="宋体"/>
          <w:lang w:val="zh-CN"/>
        </w:rPr>
        <w:t>制造（生产）企业小型、微型企业声明函</w:t>
      </w:r>
      <w:r>
        <w:tab/>
      </w:r>
      <w:r>
        <w:fldChar w:fldCharType="begin"/>
      </w:r>
      <w:r>
        <w:instrText xml:space="preserve"> PAGEREF _Toc519260403 \h </w:instrText>
      </w:r>
      <w:r>
        <w:fldChar w:fldCharType="separate"/>
      </w:r>
      <w:r>
        <w:t>55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"_Toc519260404" </w:instrText>
      </w:r>
      <w:r>
        <w:fldChar w:fldCharType="separate"/>
      </w:r>
      <w:r>
        <w:rPr>
          <w:rStyle w:val="28"/>
          <w:rFonts w:hint="eastAsia" w:ascii="宋体" w:hAnsi="宋体" w:cs="宋体"/>
        </w:rPr>
        <w:t>（</w:t>
      </w:r>
      <w:r>
        <w:rPr>
          <w:rStyle w:val="28"/>
          <w:rFonts w:ascii="宋体" w:hAnsi="宋体" w:cs="宋体"/>
        </w:rPr>
        <w:t>17.2</w:t>
      </w:r>
      <w:r>
        <w:rPr>
          <w:rStyle w:val="28"/>
          <w:rFonts w:hint="eastAsia" w:ascii="宋体" w:hAnsi="宋体" w:cs="宋体"/>
        </w:rPr>
        <w:t>）</w:t>
      </w:r>
      <w:r>
        <w:rPr>
          <w:rStyle w:val="28"/>
          <w:rFonts w:hint="eastAsia" w:ascii="宋体" w:hAnsi="宋体" w:cs="宋体"/>
          <w:lang w:val="zh-CN"/>
        </w:rPr>
        <w:t>从业人员声明函</w:t>
      </w:r>
      <w:r>
        <w:tab/>
      </w:r>
      <w:r>
        <w:fldChar w:fldCharType="begin"/>
      </w:r>
      <w:r>
        <w:instrText xml:space="preserve"> PAGEREF _Toc519260404 \h </w:instrText>
      </w:r>
      <w:r>
        <w:fldChar w:fldCharType="separate"/>
      </w:r>
      <w:r>
        <w:t>56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"_Toc519260405" </w:instrText>
      </w:r>
      <w:r>
        <w:fldChar w:fldCharType="separate"/>
      </w:r>
      <w:r>
        <w:rPr>
          <w:rStyle w:val="28"/>
          <w:rFonts w:hint="eastAsia" w:ascii="宋体" w:hAnsi="宋体" w:cs="宋体"/>
          <w:lang w:val="zh-CN"/>
        </w:rPr>
        <w:t>（</w:t>
      </w:r>
      <w:r>
        <w:rPr>
          <w:rStyle w:val="28"/>
          <w:rFonts w:ascii="宋体" w:hAnsi="宋体" w:cs="宋体"/>
        </w:rPr>
        <w:t>18</w:t>
      </w:r>
      <w:r>
        <w:rPr>
          <w:rStyle w:val="28"/>
          <w:rFonts w:hint="eastAsia" w:ascii="宋体" w:hAnsi="宋体" w:cs="宋体"/>
          <w:lang w:val="zh-CN"/>
        </w:rPr>
        <w:t>）残疾人</w:t>
      </w:r>
      <w:r>
        <w:rPr>
          <w:rStyle w:val="28"/>
          <w:rFonts w:hint="eastAsia" w:ascii="宋体" w:hAnsi="宋体" w:cs="宋体"/>
        </w:rPr>
        <w:t>福利性单位声明函</w:t>
      </w:r>
      <w:r>
        <w:tab/>
      </w:r>
      <w:r>
        <w:fldChar w:fldCharType="begin"/>
      </w:r>
      <w:r>
        <w:instrText xml:space="preserve"> PAGEREF _Toc519260405 \h </w:instrText>
      </w:r>
      <w:r>
        <w:fldChar w:fldCharType="separate"/>
      </w:r>
      <w:r>
        <w:t>57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"_Toc519260406" </w:instrText>
      </w:r>
      <w:r>
        <w:fldChar w:fldCharType="separate"/>
      </w:r>
      <w:r>
        <w:rPr>
          <w:rStyle w:val="28"/>
          <w:rFonts w:hint="eastAsia" w:ascii="宋体" w:hAnsi="宋体" w:cs="宋体"/>
        </w:rPr>
        <w:t>（</w:t>
      </w:r>
      <w:r>
        <w:rPr>
          <w:rStyle w:val="28"/>
          <w:rFonts w:ascii="宋体" w:hAnsi="宋体" w:cs="宋体"/>
        </w:rPr>
        <w:t>19</w:t>
      </w:r>
      <w:r>
        <w:rPr>
          <w:rStyle w:val="28"/>
          <w:rFonts w:hint="eastAsia" w:ascii="宋体" w:hAnsi="宋体" w:cs="宋体"/>
        </w:rPr>
        <w:t>）</w:t>
      </w:r>
      <w:r>
        <w:rPr>
          <w:rStyle w:val="28"/>
          <w:rFonts w:hint="eastAsia" w:ascii="宋体" w:hAnsi="宋体" w:cs="宋体"/>
          <w:lang w:val="zh-CN"/>
        </w:rPr>
        <w:t>投标人认为在其他方面有必要说明的事项</w:t>
      </w:r>
      <w:r>
        <w:tab/>
      </w:r>
      <w:r>
        <w:fldChar w:fldCharType="begin"/>
      </w:r>
      <w:r>
        <w:instrText xml:space="preserve"> PAGEREF _Toc519260406 \h </w:instrText>
      </w:r>
      <w:r>
        <w:fldChar w:fldCharType="separate"/>
      </w:r>
      <w:r>
        <w:t>58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"_Toc519260407" </w:instrText>
      </w:r>
      <w:r>
        <w:fldChar w:fldCharType="separate"/>
      </w:r>
      <w:r>
        <w:rPr>
          <w:rStyle w:val="28"/>
          <w:rFonts w:hint="eastAsia" w:ascii="宋体" w:hAnsi="宋体" w:cs="宋体"/>
          <w:lang w:val="zh-CN"/>
        </w:rPr>
        <w:t>第五部分</w:t>
      </w:r>
      <w:r>
        <w:rPr>
          <w:rStyle w:val="28"/>
          <w:rFonts w:ascii="宋体" w:hAnsi="宋体" w:cs="宋体"/>
          <w:lang w:val="zh-CN"/>
        </w:rPr>
        <w:t xml:space="preserve">  </w:t>
      </w:r>
      <w:r>
        <w:rPr>
          <w:rStyle w:val="28"/>
          <w:rFonts w:hint="eastAsia" w:ascii="宋体" w:hAnsi="宋体" w:cs="宋体"/>
          <w:lang w:val="zh-CN"/>
        </w:rPr>
        <w:t>采购项目要求及技术参数</w:t>
      </w:r>
      <w:r>
        <w:tab/>
      </w:r>
      <w:r>
        <w:fldChar w:fldCharType="begin"/>
      </w:r>
      <w:r>
        <w:instrText xml:space="preserve"> PAGEREF _Toc519260407 \h </w:instrText>
      </w:r>
      <w:r>
        <w:fldChar w:fldCharType="separate"/>
      </w:r>
      <w:r>
        <w:t>59</w:t>
      </w:r>
      <w:r>
        <w:fldChar w:fldCharType="end"/>
      </w:r>
      <w: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519260345"/>
      <w:r>
        <w:rPr>
          <w:rFonts w:hint="eastAsia" w:ascii="宋体" w:hAnsi="宋体" w:cs="宋体"/>
          <w:color w:val="000000"/>
          <w:szCs w:val="36"/>
          <w:lang w:val="zh-CN"/>
        </w:rPr>
        <w:t>第一部分  投标邀请</w:t>
      </w:r>
      <w:bookmarkEnd w:id="0"/>
    </w:p>
    <w:p>
      <w:pPr>
        <w:jc w:val="center"/>
        <w:rPr>
          <w:sz w:val="44"/>
        </w:rPr>
      </w:pPr>
      <w:r>
        <w:rPr>
          <w:rFonts w:hint="eastAsia"/>
          <w:sz w:val="44"/>
        </w:rPr>
        <w:t>公开招标公告</w:t>
      </w:r>
    </w:p>
    <w:p>
      <w:pPr>
        <w:rPr>
          <w:lang w:val="zh-CN"/>
        </w:rPr>
      </w:pPr>
    </w:p>
    <w:tbl>
      <w:tblPr>
        <w:tblStyle w:val="22"/>
        <w:tblW w:w="9657" w:type="dxa"/>
        <w:jc w:val="center"/>
        <w:tblInd w:w="0" w:type="dxa"/>
        <w:tblLayout w:type="fixed"/>
        <w:tblCellMar>
          <w:top w:w="0" w:type="dxa"/>
          <w:left w:w="108" w:type="dxa"/>
          <w:bottom w:w="0" w:type="dxa"/>
          <w:right w:w="108" w:type="dxa"/>
        </w:tblCellMar>
      </w:tblPr>
      <w:tblGrid>
        <w:gridCol w:w="2711"/>
        <w:gridCol w:w="6946"/>
      </w:tblGrid>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bookmarkStart w:id="1" w:name="OLE_LINK1"/>
            <w:r>
              <w:rPr>
                <w:rFonts w:hint="eastAsia" w:ascii="宋体" w:hAnsi="宋体" w:cs="宋体"/>
                <w:color w:val="000000"/>
                <w:kern w:val="0"/>
                <w:lang w:val="zh-CN"/>
              </w:rPr>
              <w:t>采购项目编号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宁政采公招（货物）2019-05</w:t>
            </w:r>
            <w:r>
              <w:rPr>
                <w:rFonts w:hint="eastAsia" w:ascii="宋体" w:hAnsi="宋体" w:cs="宋体"/>
                <w:color w:val="000000"/>
                <w:kern w:val="0"/>
                <w:lang w:val="en-US" w:eastAsia="zh-CN"/>
              </w:rPr>
              <w:t>9</w:t>
            </w:r>
            <w:r>
              <w:rPr>
                <w:rFonts w:hint="eastAsia" w:ascii="宋体" w:hAnsi="宋体" w:cs="宋体"/>
                <w:color w:val="000000"/>
                <w:kern w:val="0"/>
                <w:lang w:val="zh-CN"/>
              </w:rPr>
              <w:t>号</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西宁市第一人民医院北川分院服务器设备采购项目（二次）</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公开招标</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340</w:t>
            </w:r>
            <w:r>
              <w:rPr>
                <w:rFonts w:hint="eastAsia" w:ascii="宋体" w:hAnsi="宋体" w:cs="宋体"/>
                <w:color w:val="000000"/>
                <w:kern w:val="0"/>
                <w:lang w:val="zh-CN"/>
              </w:rPr>
              <w:t>万元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340</w:t>
            </w:r>
            <w:r>
              <w:rPr>
                <w:rFonts w:hint="eastAsia" w:ascii="宋体" w:hAnsi="宋体" w:cs="宋体"/>
                <w:color w:val="000000"/>
                <w:kern w:val="0"/>
                <w:lang w:val="zh-CN"/>
              </w:rPr>
              <w:t>万元整</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1</w:t>
            </w:r>
          </w:p>
        </w:tc>
      </w:tr>
      <w:tr>
        <w:tblPrEx>
          <w:tblLayout w:type="fixed"/>
          <w:tblCellMar>
            <w:top w:w="0" w:type="dxa"/>
            <w:left w:w="108" w:type="dxa"/>
            <w:bottom w:w="0" w:type="dxa"/>
            <w:right w:w="108" w:type="dxa"/>
          </w:tblCellMar>
        </w:tblPrEx>
        <w:trPr>
          <w:trHeight w:val="90"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具体内容详见《招标文件》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ascii="宋体" w:hAnsi="宋体" w:cs="宋体"/>
                <w:b/>
                <w:color w:val="000000"/>
                <w:kern w:val="0"/>
                <w:lang w:val="zh-CN"/>
              </w:rPr>
            </w:pPr>
            <w:r>
              <w:rPr>
                <w:rFonts w:ascii="宋体" w:hAnsi="宋体" w:cs="宋体"/>
                <w:b/>
                <w:color w:val="000000"/>
                <w:kern w:val="0"/>
                <w:lang w:val="zh-CN"/>
              </w:rPr>
              <w:t>2</w:t>
            </w:r>
            <w:r>
              <w:rPr>
                <w:rFonts w:hint="eastAsia" w:ascii="宋体" w:hAnsi="宋体" w:cs="宋体"/>
                <w:b/>
                <w:color w:val="000000"/>
                <w:kern w:val="0"/>
                <w:lang w:val="zh-CN"/>
              </w:rPr>
              <w:t>、</w:t>
            </w:r>
            <w:r>
              <w:rPr>
                <w:rFonts w:hint="eastAsia" w:ascii="宋体" w:hAnsi="宋体" w:cs="宋体"/>
                <w:b/>
                <w:kern w:val="0"/>
              </w:rPr>
              <w:t xml:space="preserve"> 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w:t>
            </w:r>
            <w:r>
              <w:rPr>
                <w:rFonts w:hint="eastAsia" w:ascii="宋体" w:hAnsi="宋体" w:cs="宋体"/>
                <w:b/>
                <w:color w:val="000000"/>
                <w:kern w:val="0"/>
              </w:rPr>
              <w:t>投标截止时间前20天内</w:t>
            </w:r>
            <w:r>
              <w:rPr>
                <w:rFonts w:hint="eastAsia" w:ascii="宋体" w:hAnsi="宋体" w:cs="宋体"/>
                <w:b/>
                <w:kern w:val="0"/>
              </w:rPr>
              <w:t>）</w:t>
            </w:r>
            <w:r>
              <w:rPr>
                <w:rFonts w:hint="eastAsia" w:ascii="宋体" w:hAnsi="宋体" w:cs="宋体"/>
                <w:b/>
                <w:color w:val="000000"/>
                <w:kern w:val="0"/>
              </w:rPr>
              <w:t>；</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、本项目不接受联合体方式进行投标；</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6、 满足招标文件的其他资质条件：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14</w:t>
            </w:r>
            <w:r>
              <w:rPr>
                <w:rFonts w:hint="eastAsia" w:ascii="宋体" w:hAnsi="宋体" w:cs="宋体"/>
                <w:color w:val="000000"/>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15</w:t>
            </w:r>
            <w:r>
              <w:rPr>
                <w:rFonts w:hint="eastAsia" w:ascii="宋体" w:hAnsi="宋体" w:cs="宋体"/>
                <w:color w:val="000000"/>
                <w:kern w:val="0"/>
                <w:lang w:val="zh-CN"/>
              </w:rPr>
              <w:t>日至</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21</w:t>
            </w:r>
            <w:r>
              <w:rPr>
                <w:rFonts w:hint="eastAsia" w:ascii="宋体" w:hAnsi="宋体" w:cs="宋体"/>
                <w:color w:val="000000"/>
                <w:kern w:val="0"/>
                <w:lang w:val="zh-CN"/>
              </w:rPr>
              <w:t>日，每天上午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00</w:t>
            </w:r>
            <w:r>
              <w:rPr>
                <w:rFonts w:hint="eastAsia" w:ascii="宋体" w:hAnsi="宋体" w:cs="宋体"/>
                <w:color w:val="000000"/>
                <w:kern w:val="0"/>
                <w:lang w:val="zh-CN"/>
              </w:rPr>
              <w:t>-1</w:t>
            </w:r>
            <w:r>
              <w:rPr>
                <w:rFonts w:hint="eastAsia" w:ascii="宋体" w:hAnsi="宋体" w:cs="宋体"/>
                <w:color w:val="000000"/>
                <w:kern w:val="0"/>
                <w:lang w:val="en-US" w:eastAsia="zh-CN"/>
              </w:rPr>
              <w:t>1</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0,下午2:30-</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lang w:val="en-US" w:eastAsia="zh-CN"/>
              </w:rPr>
              <w:t>00</w:t>
            </w:r>
            <w:r>
              <w:rPr>
                <w:rFonts w:hint="eastAsia" w:ascii="宋体" w:hAnsi="宋体" w:cs="宋体"/>
                <w:color w:val="000000"/>
                <w:kern w:val="0"/>
                <w:lang w:val="zh-CN"/>
              </w:rPr>
              <w:t>（午休、节假日除外）</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Tahoma"/>
                <w:kern w:val="0"/>
              </w:rPr>
              <w:t>现场报名。《</w:t>
            </w:r>
            <w:r>
              <w:rPr>
                <w:rFonts w:hint="eastAsia"/>
                <w:kern w:val="0"/>
              </w:rPr>
              <w:t>青海政府采购网</w:t>
            </w:r>
            <w:r>
              <w:rPr>
                <w:rFonts w:hint="eastAsia" w:ascii="宋体" w:hAnsi="宋体" w:cs="Tahoma"/>
                <w:kern w:val="0"/>
              </w:rPr>
              <w:t>》</w:t>
            </w:r>
            <w:r>
              <w:rPr>
                <w:rFonts w:hint="eastAsia"/>
                <w:kern w:val="0"/>
              </w:rPr>
              <w:t>自行下载招标文件。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宋体"/>
                <w:color w:val="000000"/>
                <w:kern w:val="0"/>
                <w:lang w:val="zh-CN"/>
              </w:rPr>
              <w:t>0.00</w:t>
            </w:r>
          </w:p>
        </w:tc>
      </w:tr>
      <w:tr>
        <w:tblPrEx>
          <w:tblLayout w:type="fixed"/>
          <w:tblCellMar>
            <w:top w:w="0" w:type="dxa"/>
            <w:left w:w="108" w:type="dxa"/>
            <w:bottom w:w="0" w:type="dxa"/>
            <w:right w:w="108" w:type="dxa"/>
          </w:tblCellMar>
        </w:tblPrEx>
        <w:trPr>
          <w:trHeight w:val="989"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rPr>
            </w:pPr>
            <w:r>
              <w:rPr>
                <w:rFonts w:hint="eastAsia" w:ascii="宋体" w:hAnsi="宋体"/>
              </w:rPr>
              <w:t>西宁市政府采购中心（西宁市公共资源交易中心二楼政府采购部</w:t>
            </w:r>
            <w:r>
              <w:rPr>
                <w:rFonts w:ascii="宋体" w:hAnsi="宋体" w:cs="宋体"/>
                <w:color w:val="000000"/>
                <w:kern w:val="0"/>
                <w:lang w:val="zh-CN"/>
              </w:rPr>
              <w:t>）</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Tahoma"/>
                <w:kern w:val="0"/>
              </w:rPr>
              <w:t>单位介绍信、营业执照</w:t>
            </w:r>
            <w:r>
              <w:rPr>
                <w:rFonts w:hint="eastAsia" w:ascii="宋体" w:hAnsi="宋体" w:cs="Tahoma"/>
                <w:b/>
                <w:kern w:val="0"/>
              </w:rPr>
              <w:t>复印件（复印件需加盖单位公章）。</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9</w:t>
            </w:r>
            <w:r>
              <w:rPr>
                <w:rFonts w:hint="eastAsia" w:ascii="宋体" w:hAnsi="宋体" w:cs="宋体"/>
                <w:color w:val="000000"/>
                <w:kern w:val="0"/>
                <w:lang w:val="zh-CN"/>
              </w:rPr>
              <w:t>月</w:t>
            </w:r>
            <w:r>
              <w:rPr>
                <w:rFonts w:hint="eastAsia" w:ascii="宋体" w:hAnsi="宋体" w:cs="宋体"/>
                <w:color w:val="000000"/>
                <w:kern w:val="0"/>
                <w:lang w:val="en-US" w:eastAsia="zh-CN"/>
              </w:rPr>
              <w:t>6</w:t>
            </w:r>
            <w:r>
              <w:rPr>
                <w:rFonts w:hint="eastAsia" w:ascii="宋体" w:hAnsi="宋体" w:cs="宋体"/>
                <w:color w:val="000000"/>
                <w:kern w:val="0"/>
                <w:lang w:val="zh-CN"/>
              </w:rPr>
              <w:t>日9时30分（北京时间）</w:t>
            </w:r>
          </w:p>
        </w:tc>
      </w:tr>
      <w:tr>
        <w:tblPrEx>
          <w:tblLayout w:type="fixed"/>
          <w:tblCellMar>
            <w:top w:w="0" w:type="dxa"/>
            <w:left w:w="108" w:type="dxa"/>
            <w:bottom w:w="0" w:type="dxa"/>
            <w:right w:w="108" w:type="dxa"/>
          </w:tblCellMar>
        </w:tblPrEx>
        <w:trPr>
          <w:trHeight w:val="301"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西宁市公共资源交易中心二楼开标室(详见大屏)</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联系人：胡先生</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联系电话：0971-</w:t>
            </w:r>
            <w:r>
              <w:rPr>
                <w:rFonts w:hint="eastAsia" w:ascii="宋体" w:hAnsi="宋体" w:cs="宋体"/>
                <w:color w:val="000000"/>
                <w:kern w:val="0"/>
                <w:lang w:val="en-US" w:eastAsia="zh-CN"/>
              </w:rPr>
              <w:t>7914019</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集中</w:t>
            </w:r>
            <w:r>
              <w:rPr>
                <w:rFonts w:ascii="宋体" w:hAnsi="宋体" w:cs="宋体"/>
                <w:kern w:val="0"/>
              </w:rPr>
              <w:t>采购机构及联系人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ascii="宋体" w:hAnsi="宋体" w:cs="宋体"/>
                <w:kern w:val="0"/>
                <w:szCs w:val="21"/>
              </w:rPr>
              <w:t>联系人：</w:t>
            </w:r>
            <w:r>
              <w:rPr>
                <w:rFonts w:hint="eastAsia" w:ascii="宋体" w:hAnsi="宋体" w:cs="宋体"/>
                <w:kern w:val="0"/>
                <w:szCs w:val="21"/>
                <w:lang w:eastAsia="zh-CN"/>
              </w:rPr>
              <w:t>尚女士</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联系电话：0971-7661369</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西宁农商银行海西路支行</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Cambria" w:cs="宋体"/>
                <w:kern w:val="0"/>
                <w:szCs w:val="21"/>
                <w:lang w:val="zh-CN"/>
              </w:rPr>
              <w:t>82010000000267563</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投标保证金必须以投标申请人的单位基本账户转账，不接收现金。投标人在投标截止期前缴纳投标保证金</w:t>
            </w:r>
            <w:r>
              <w:rPr>
                <w:rFonts w:hint="eastAsia" w:ascii="宋体" w:hAnsi="宋体" w:cs="宋体"/>
                <w:b/>
                <w:kern w:val="0"/>
                <w:szCs w:val="21"/>
                <w:lang w:eastAsia="zh-CN"/>
              </w:rPr>
              <w:t>伍万元整</w:t>
            </w:r>
            <w:r>
              <w:rPr>
                <w:rFonts w:hint="eastAsia" w:ascii="仿宋" w:hAnsi="仿宋" w:eastAsia="仿宋"/>
                <w:szCs w:val="21"/>
              </w:rPr>
              <w:t>。</w:t>
            </w:r>
            <w:r>
              <w:rPr>
                <w:rFonts w:hint="eastAsia" w:ascii="宋体" w:hAnsi="宋体"/>
                <w:szCs w:val="21"/>
              </w:rPr>
              <w:t>资格后审</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 xml:space="preserve">西宁市财政局   </w:t>
            </w:r>
            <w:r>
              <w:rPr>
                <w:rFonts w:hint="eastAsia" w:ascii="宋体" w:hAnsi="宋体" w:cs="宋体"/>
                <w:color w:val="000000"/>
                <w:kern w:val="0"/>
              </w:rPr>
              <w:t xml:space="preserve">   </w:t>
            </w:r>
            <w:r>
              <w:rPr>
                <w:rFonts w:hint="eastAsia" w:ascii="宋体" w:hAnsi="宋体" w:cs="宋体"/>
                <w:color w:val="000000"/>
                <w:kern w:val="0"/>
                <w:lang w:val="zh-CN"/>
              </w:rPr>
              <w:t>联系电话：0971-6304026</w:t>
            </w:r>
          </w:p>
        </w:tc>
      </w:tr>
      <w:bookmarkEnd w:id="1"/>
    </w:tbl>
    <w:p>
      <w:pPr>
        <w:pStyle w:val="21"/>
        <w:spacing w:before="0" w:after="0" w:line="360" w:lineRule="auto"/>
        <w:rPr>
          <w:rFonts w:ascii="宋体" w:hAnsi="宋体" w:cs="宋体"/>
          <w:color w:val="000000"/>
          <w:szCs w:val="36"/>
        </w:rPr>
      </w:pPr>
      <w:bookmarkStart w:id="2" w:name="_Toc428180535"/>
      <w:r>
        <w:rPr>
          <w:rFonts w:hint="eastAsia" w:ascii="宋体" w:hAnsi="宋体" w:cs="宋体"/>
          <w:color w:val="000000"/>
          <w:lang w:val="zh-CN"/>
        </w:rPr>
        <w:t xml:space="preserve"> </w:t>
      </w:r>
      <w:r>
        <w:rPr>
          <w:rFonts w:hint="eastAsia" w:ascii="宋体" w:hAnsi="宋体" w:cs="宋体"/>
          <w:color w:val="000000"/>
          <w:lang w:val="zh-CN"/>
        </w:rPr>
        <w:br w:type="page"/>
      </w:r>
      <w:bookmarkEnd w:id="2"/>
      <w:bookmarkStart w:id="3" w:name="_Toc519260346"/>
      <w:r>
        <w:rPr>
          <w:rFonts w:hint="eastAsia" w:ascii="宋体" w:hAnsi="宋体" w:cs="宋体"/>
          <w:color w:val="000000"/>
          <w:szCs w:val="36"/>
          <w:lang w:val="zh-CN"/>
        </w:rPr>
        <w:t>第二部分  投标人须知</w:t>
      </w:r>
      <w:bookmarkEnd w:id="3"/>
    </w:p>
    <w:p>
      <w:pPr>
        <w:pStyle w:val="21"/>
        <w:spacing w:before="0" w:after="0" w:line="360" w:lineRule="auto"/>
        <w:rPr>
          <w:rFonts w:ascii="宋体" w:hAnsi="宋体" w:cs="宋体"/>
          <w:color w:val="000000"/>
        </w:rPr>
      </w:pPr>
      <w:bookmarkStart w:id="4" w:name="_Toc519260347"/>
      <w:r>
        <w:rPr>
          <w:rFonts w:hint="eastAsia" w:ascii="宋体" w:hAnsi="宋体" w:cs="宋体"/>
          <w:color w:val="000000"/>
          <w:lang w:val="zh-CN"/>
        </w:rPr>
        <w:t>一、说明</w:t>
      </w:r>
      <w:bookmarkEnd w:id="4"/>
    </w:p>
    <w:p>
      <w:pPr>
        <w:pStyle w:val="21"/>
        <w:spacing w:before="0" w:after="0" w:line="360" w:lineRule="auto"/>
        <w:jc w:val="left"/>
        <w:rPr>
          <w:rFonts w:ascii="宋体" w:hAnsi="宋体" w:cs="宋体"/>
          <w:color w:val="000000"/>
          <w:lang w:val="zh-CN"/>
        </w:rPr>
      </w:pPr>
      <w:bookmarkStart w:id="5" w:name="_Toc519260348"/>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1"/>
        <w:spacing w:before="0" w:after="0" w:line="360" w:lineRule="auto"/>
        <w:jc w:val="left"/>
        <w:rPr>
          <w:rFonts w:ascii="宋体" w:hAnsi="宋体" w:cs="宋体"/>
          <w:color w:val="000000"/>
          <w:lang w:val="zh-CN"/>
        </w:rPr>
      </w:pPr>
      <w:bookmarkStart w:id="6" w:name="_Toc519260349"/>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1"/>
        <w:spacing w:before="0" w:after="0" w:line="360" w:lineRule="auto"/>
        <w:jc w:val="left"/>
        <w:rPr>
          <w:rFonts w:ascii="宋体" w:hAnsi="宋体" w:cs="宋体"/>
          <w:color w:val="000000"/>
          <w:lang w:val="zh-CN"/>
        </w:rPr>
      </w:pPr>
      <w:bookmarkStart w:id="7" w:name="_Toc519260350"/>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1"/>
        <w:spacing w:before="0" w:after="0" w:line="360" w:lineRule="auto"/>
        <w:rPr>
          <w:rFonts w:ascii="宋体" w:hAnsi="宋体" w:cs="宋体"/>
          <w:color w:val="000000"/>
        </w:rPr>
      </w:pPr>
      <w:bookmarkStart w:id="8" w:name="_Toc519260351"/>
      <w:r>
        <w:rPr>
          <w:rFonts w:hint="eastAsia" w:ascii="宋体" w:hAnsi="宋体" w:cs="宋体"/>
          <w:color w:val="000000"/>
          <w:lang w:val="zh-CN"/>
        </w:rPr>
        <w:t>二、招标文件说明</w:t>
      </w:r>
      <w:bookmarkEnd w:id="8"/>
    </w:p>
    <w:p>
      <w:pPr>
        <w:pStyle w:val="21"/>
        <w:spacing w:before="0" w:after="0" w:line="360" w:lineRule="auto"/>
        <w:jc w:val="left"/>
        <w:rPr>
          <w:rFonts w:ascii="宋体" w:hAnsi="宋体" w:cs="宋体"/>
          <w:color w:val="000000"/>
          <w:lang w:val="zh-CN"/>
        </w:rPr>
      </w:pPr>
      <w:bookmarkStart w:id="9" w:name="_Toc519260352"/>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）西宁市政府采购项目合同书范本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hAnsi="宋体" w:cs="宋体"/>
          <w:color w:val="000000"/>
          <w:sz w:val="28"/>
          <w:szCs w:val="28"/>
          <w:lang w:val="zh-CN"/>
        </w:rPr>
      </w:pPr>
      <w:bookmarkStart w:id="10" w:name="_Toc519260353"/>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西宁市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采购人或集采中心</w:t>
      </w:r>
      <w:r>
        <w:rPr>
          <w:rFonts w:hint="eastAsia" w:ascii="宋体" w:hAnsi="宋体" w:cs="宋体"/>
          <w:color w:val="000000"/>
          <w:kern w:val="0"/>
          <w:lang w:val="zh-CN"/>
        </w:rPr>
        <w:t>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西宁市政府采购中心应按照规定填写《西宁市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1"/>
        <w:spacing w:before="0" w:after="0" w:line="360" w:lineRule="auto"/>
        <w:jc w:val="left"/>
        <w:rPr>
          <w:rFonts w:ascii="宋体" w:hAnsi="宋体" w:cs="宋体"/>
          <w:color w:val="000000"/>
          <w:lang w:val="zh-CN"/>
        </w:rPr>
      </w:pPr>
      <w:bookmarkStart w:id="11" w:name="_Toc519260354"/>
      <w:r>
        <w:rPr>
          <w:rFonts w:hint="eastAsia" w:ascii="宋体" w:hAnsi="宋体" w:cs="宋体"/>
          <w:color w:val="000000"/>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集采中心可以对已发出的招标文件进行必要的澄清或者修改，但不得改变采购标的和资格条件。澄清或者修改应当在原公告发布媒体上发布澄清公告。澄清或者修改的内容为招标文件的组成部分。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澄清或者修改的内容可能影响投标文件编制的，集采中心应当在投标截止时间至少15日前，以书面形式通知所有获取招标文件的潜在投标人，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；不足15日的，集采中心应当顺延提交投标文件的截止时间。</w:t>
      </w:r>
    </w:p>
    <w:p>
      <w:pPr>
        <w:pStyle w:val="21"/>
        <w:spacing w:before="0" w:after="0" w:line="360" w:lineRule="auto"/>
        <w:rPr>
          <w:rFonts w:ascii="宋体" w:hAnsi="宋体" w:cs="宋体"/>
          <w:color w:val="000000"/>
        </w:rPr>
      </w:pPr>
      <w:bookmarkStart w:id="12" w:name="_Toc519260355"/>
      <w:r>
        <w:rPr>
          <w:rFonts w:hint="eastAsia" w:ascii="宋体" w:hAnsi="宋体" w:cs="宋体"/>
          <w:color w:val="000000"/>
          <w:lang w:val="zh-CN"/>
        </w:rPr>
        <w:t>三、投标文件的编制</w:t>
      </w:r>
      <w:bookmarkEnd w:id="12"/>
    </w:p>
    <w:p>
      <w:pPr>
        <w:pStyle w:val="21"/>
        <w:spacing w:before="0" w:after="0" w:line="360" w:lineRule="auto"/>
        <w:jc w:val="left"/>
        <w:rPr>
          <w:rFonts w:ascii="宋体" w:hAnsi="宋体" w:cs="宋体"/>
          <w:color w:val="000000"/>
          <w:lang w:val="zh-CN"/>
        </w:rPr>
      </w:pPr>
      <w:bookmarkStart w:id="13" w:name="_Toc519260356"/>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投标人提交的投标文件以及投标人与集采中心就此投标发生的所有来往函电均应使用简体中文。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hAnsi="宋体" w:cs="宋体"/>
          <w:color w:val="000000"/>
          <w:lang w:val="zh-CN"/>
        </w:rPr>
      </w:pPr>
      <w:bookmarkStart w:id="14" w:name="_Toc519260357"/>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投标报价为投标总价。投标报价必须包括：保险费、安装费、调试费、培训费、税金及不可预见费等全部费用。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1"/>
        <w:spacing w:before="0" w:after="0" w:line="360" w:lineRule="auto"/>
        <w:jc w:val="left"/>
        <w:rPr>
          <w:rFonts w:ascii="宋体" w:hAnsi="宋体" w:cs="宋体"/>
          <w:color w:val="000000"/>
          <w:lang w:val="zh-CN"/>
        </w:rPr>
      </w:pPr>
      <w:bookmarkStart w:id="15" w:name="_Toc519260358"/>
      <w:r>
        <w:rPr>
          <w:rFonts w:hint="eastAsia" w:ascii="宋体" w:hAnsi="宋体" w:cs="宋体"/>
          <w:color w:val="000000"/>
          <w:sz w:val="28"/>
          <w:szCs w:val="28"/>
          <w:lang w:val="zh-CN"/>
        </w:rPr>
        <w:t>9.投标保证金</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w:t>
      </w:r>
      <w:r>
        <w:rPr>
          <w:rFonts w:hint="eastAsia" w:ascii="宋体" w:hAnsi="宋体" w:cs="宋体"/>
          <w:color w:val="000000"/>
          <w:kern w:val="0"/>
          <w:lang w:val="en-US" w:eastAsia="zh-CN"/>
        </w:rPr>
        <w:t>50000</w:t>
      </w:r>
      <w:r>
        <w:rPr>
          <w:rFonts w:hint="eastAsia" w:ascii="宋体" w:hAnsi="宋体" w:cs="宋体"/>
          <w:color w:val="000000"/>
          <w:kern w:val="0"/>
          <w:lang w:val="zh-CN"/>
        </w:rPr>
        <w:t>.00元整（大写：伍万元整）；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缴费方式：投标保证金应当以转账方式转入指定账户。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投标保证金退还：投标人在投标截止时间前撤回已提交的投标文件的，集采中心应当自收到投标人书面撤回通知之日起５个工作日内，退还已收取的投标保证金，但因投标人自身原因导致无法及时退还的除外。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投标有效期内投标人撤销投标文件的，集采中心可以不退还投标保证金。</w:t>
      </w:r>
    </w:p>
    <w:p>
      <w:pPr>
        <w:pStyle w:val="21"/>
        <w:spacing w:before="0" w:after="0" w:line="360" w:lineRule="auto"/>
        <w:jc w:val="left"/>
        <w:rPr>
          <w:rFonts w:ascii="宋体" w:hAnsi="宋体" w:cs="宋体"/>
          <w:color w:val="000000"/>
          <w:lang w:val="zh-CN"/>
        </w:rPr>
      </w:pPr>
      <w:bookmarkStart w:id="16" w:name="_Toc519260359"/>
      <w:r>
        <w:rPr>
          <w:rFonts w:hint="eastAsia" w:ascii="宋体" w:hAnsi="宋体" w:cs="宋体"/>
          <w:color w:val="000000"/>
          <w:sz w:val="28"/>
          <w:szCs w:val="28"/>
          <w:lang w:val="zh-CN"/>
        </w:rPr>
        <w:t>10.投标有效期</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60日历日。投标文件中承诺的投标有效期应当不少于招标文件中载明的投标有效期。</w:t>
      </w:r>
    </w:p>
    <w:p>
      <w:pPr>
        <w:pStyle w:val="21"/>
        <w:spacing w:before="0" w:after="0" w:line="360" w:lineRule="auto"/>
        <w:jc w:val="left"/>
        <w:rPr>
          <w:rFonts w:ascii="宋体" w:hAnsi="宋体" w:cs="宋体"/>
          <w:color w:val="000000"/>
          <w:lang w:val="zh-CN"/>
        </w:rPr>
      </w:pPr>
      <w:bookmarkStart w:id="17" w:name="_Toc519260360"/>
      <w:r>
        <w:rPr>
          <w:rFonts w:hint="eastAsia" w:ascii="宋体" w:hAnsi="宋体" w:cs="宋体"/>
          <w:color w:val="000000"/>
          <w:sz w:val="28"/>
          <w:szCs w:val="28"/>
          <w:lang w:val="zh-CN"/>
        </w:rPr>
        <w:t>11.投标文件构成</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hAnsi="宋体" w:cs="宋体"/>
          <w:color w:val="000000"/>
          <w:lang w:val="zh-CN"/>
        </w:rPr>
      </w:pPr>
      <w:bookmarkStart w:id="18" w:name="_Toc519260361"/>
      <w:r>
        <w:rPr>
          <w:rFonts w:hint="eastAsia" w:ascii="宋体" w:hAnsi="宋体" w:cs="宋体"/>
          <w:color w:val="000000"/>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2" w:firstLineChars="200"/>
        <w:rPr>
          <w:rFonts w:ascii="宋体" w:hAnsi="宋体" w:cs="宋体"/>
          <w:b/>
          <w:color w:val="000000"/>
          <w:kern w:val="0"/>
          <w:lang w:val="zh-CN"/>
        </w:rPr>
      </w:pPr>
      <w:r>
        <w:rPr>
          <w:rFonts w:hint="eastAsia" w:ascii="宋体" w:hAnsi="宋体" w:cs="宋体"/>
          <w:b/>
          <w:color w:val="000000"/>
          <w:kern w:val="0"/>
          <w:lang w:val="zh-CN"/>
        </w:rPr>
        <w:t>12.2</w:t>
      </w:r>
      <w:r>
        <w:rPr>
          <w:rFonts w:hint="eastAsia" w:ascii="宋体" w:hAnsi="宋体" w:cs="宋体"/>
          <w:b/>
          <w:color w:val="000000"/>
          <w:kern w:val="0"/>
        </w:rPr>
        <w:t xml:space="preserve"> </w:t>
      </w:r>
      <w:r>
        <w:rPr>
          <w:rFonts w:hint="eastAsia" w:ascii="宋体" w:hAnsi="宋体" w:cs="宋体"/>
          <w:b/>
          <w:color w:val="000000"/>
          <w:kern w:val="0"/>
          <w:lang w:val="zh-CN"/>
        </w:rPr>
        <w:t>投标人应准备纸质投标文件正本1份</w:t>
      </w:r>
      <w:r>
        <w:rPr>
          <w:rFonts w:hint="eastAsia" w:ascii="宋体" w:hAnsi="宋体" w:cs="宋体"/>
          <w:b/>
          <w:color w:val="000000"/>
          <w:kern w:val="0"/>
        </w:rPr>
        <w:t>(上、下册)</w:t>
      </w:r>
      <w:r>
        <w:rPr>
          <w:rFonts w:hint="eastAsia" w:ascii="宋体" w:hAnsi="宋体" w:cs="宋体"/>
          <w:b/>
          <w:color w:val="000000"/>
          <w:kern w:val="0"/>
          <w:lang w:val="zh-CN"/>
        </w:rPr>
        <w:t>、副本</w:t>
      </w:r>
      <w:r>
        <w:rPr>
          <w:rFonts w:hint="eastAsia" w:ascii="宋体" w:hAnsi="宋体" w:cs="宋体"/>
          <w:b/>
          <w:color w:val="000000"/>
          <w:kern w:val="0"/>
          <w:u w:val="dashDotHeavy"/>
          <w:lang w:val="zh-CN"/>
        </w:rPr>
        <w:t>1</w:t>
      </w:r>
      <w:r>
        <w:rPr>
          <w:rFonts w:hint="eastAsia" w:ascii="宋体" w:hAnsi="宋体" w:cs="宋体"/>
          <w:b/>
          <w:color w:val="000000"/>
          <w:kern w:val="0"/>
          <w:lang w:val="zh-CN"/>
        </w:rPr>
        <w:t>份</w:t>
      </w:r>
      <w:r>
        <w:rPr>
          <w:rFonts w:hint="eastAsia" w:ascii="宋体" w:hAnsi="宋体" w:cs="宋体"/>
          <w:b/>
          <w:color w:val="000000"/>
          <w:kern w:val="0"/>
        </w:rPr>
        <w:t>(上、下册)</w:t>
      </w:r>
      <w:r>
        <w:rPr>
          <w:rFonts w:hint="eastAsia" w:ascii="宋体" w:hAnsi="宋体" w:cs="宋体"/>
          <w:b/>
          <w:color w:val="000000"/>
          <w:kern w:val="0"/>
          <w:lang w:val="zh-CN"/>
        </w:rPr>
        <w:t>，电子（光盘或U盘）文档1份</w:t>
      </w:r>
      <w:r>
        <w:rPr>
          <w:rFonts w:hint="eastAsia" w:ascii="宋体" w:hAnsi="宋体" w:cs="宋体"/>
          <w:b/>
          <w:color w:val="000000"/>
          <w:kern w:val="0"/>
        </w:rPr>
        <w:t>(上、下册)</w:t>
      </w:r>
      <w:r>
        <w:rPr>
          <w:rFonts w:hint="eastAsia" w:ascii="宋体" w:hAnsi="宋体" w:cs="宋体"/>
          <w:b/>
          <w:color w:val="000000"/>
          <w:kern w:val="0"/>
          <w:lang w:val="zh-CN"/>
        </w:rPr>
        <w:t>。若发生正本和副本不符，以正本为准。投标文件统一使用A4幅面的纸张印制，必须胶装成</w:t>
      </w:r>
      <w:r>
        <w:rPr>
          <w:rFonts w:hint="eastAsia" w:ascii="宋体" w:hAnsi="宋体" w:cs="宋体"/>
          <w:b/>
          <w:color w:val="000000"/>
          <w:kern w:val="0"/>
        </w:rPr>
        <w:t>上、下两</w:t>
      </w:r>
      <w:r>
        <w:rPr>
          <w:rFonts w:hint="eastAsia" w:ascii="宋体" w:hAnsi="宋体" w:cs="宋体"/>
          <w:b/>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用光盘或U盘制作，采用不可修改文档格式（如：PDF格式），内容应当与纸质投标文件正本</w:t>
      </w:r>
      <w:r>
        <w:rPr>
          <w:rFonts w:hint="eastAsia" w:ascii="宋体" w:hAnsi="宋体" w:cs="宋体"/>
          <w:color w:val="000000"/>
          <w:kern w:val="0"/>
        </w:rPr>
        <w:t>(上、下册)</w:t>
      </w:r>
      <w:r>
        <w:rPr>
          <w:rFonts w:hint="eastAsia" w:ascii="宋体" w:hAnsi="宋体" w:cs="宋体"/>
          <w:color w:val="000000"/>
          <w:kern w:val="0"/>
          <w:lang w:val="zh-CN"/>
        </w:rPr>
        <w:t>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1"/>
        <w:spacing w:before="0" w:after="0" w:line="360" w:lineRule="auto"/>
        <w:rPr>
          <w:rFonts w:ascii="宋体" w:hAnsi="宋体" w:cs="宋体"/>
          <w:color w:val="000000"/>
        </w:rPr>
      </w:pPr>
      <w:bookmarkStart w:id="19" w:name="_Toc519260362"/>
      <w:r>
        <w:rPr>
          <w:rFonts w:hint="eastAsia" w:ascii="宋体" w:hAnsi="宋体" w:cs="宋体"/>
          <w:color w:val="000000"/>
          <w:lang w:val="zh-CN"/>
        </w:rPr>
        <w:t>四、投标文件的提交</w:t>
      </w:r>
      <w:bookmarkEnd w:id="19"/>
    </w:p>
    <w:p>
      <w:pPr>
        <w:pStyle w:val="21"/>
        <w:spacing w:before="0" w:after="0" w:line="360" w:lineRule="auto"/>
        <w:jc w:val="left"/>
        <w:rPr>
          <w:rFonts w:ascii="宋体" w:hAnsi="宋体" w:cs="宋体"/>
          <w:color w:val="000000"/>
          <w:lang w:val="zh-CN"/>
        </w:rPr>
      </w:pPr>
      <w:bookmarkStart w:id="20" w:name="_Toc519260363"/>
      <w:r>
        <w:rPr>
          <w:rFonts w:hint="eastAsia" w:ascii="宋体" w:hAnsi="宋体" w:cs="宋体"/>
          <w:color w:val="000000"/>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密封后的投标文件密封袋用“于2019年X月XX日XX时XX分（北京时间）之前不准启封”的标签密封。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1"/>
        <w:spacing w:before="0" w:after="0" w:line="360" w:lineRule="auto"/>
        <w:jc w:val="left"/>
        <w:rPr>
          <w:rFonts w:ascii="宋体" w:hAnsi="宋体" w:cs="宋体"/>
          <w:color w:val="000000"/>
          <w:lang w:val="zh-CN"/>
        </w:rPr>
      </w:pPr>
      <w:bookmarkStart w:id="21" w:name="_Toc519260364"/>
      <w:r>
        <w:rPr>
          <w:rFonts w:hint="eastAsia" w:ascii="宋体" w:hAnsi="宋体" w:cs="宋体"/>
          <w:color w:val="000000"/>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集采中心收到投标文件后，应当如实记载投标文件的送达时间和密封情况，签收保存，并向投标人出具签收回执。任何单位和个人不得在开标前开启投标文件。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1"/>
        <w:spacing w:before="0" w:after="0" w:line="360" w:lineRule="auto"/>
        <w:jc w:val="left"/>
        <w:rPr>
          <w:rFonts w:ascii="宋体" w:hAnsi="宋体" w:cs="宋体"/>
          <w:color w:val="000000"/>
          <w:lang w:val="zh-CN"/>
        </w:rPr>
      </w:pPr>
      <w:bookmarkStart w:id="22" w:name="_Toc519260365"/>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投标人在投标截止时间前，可以对所递交的投标文件进行补充、修改或者撤回，并书面通知西宁市政府采购中心。补充、修改的内容应当按照招标文件要求签署、盖章、密封后，作为投标文件的组成部分。</w:t>
      </w:r>
    </w:p>
    <w:p>
      <w:pPr>
        <w:pStyle w:val="21"/>
        <w:spacing w:before="0" w:after="0" w:line="360" w:lineRule="auto"/>
        <w:rPr>
          <w:rFonts w:ascii="宋体" w:hAnsi="宋体" w:cs="宋体"/>
          <w:color w:val="000000"/>
          <w:highlight w:val="green"/>
        </w:rPr>
      </w:pPr>
      <w:bookmarkStart w:id="23" w:name="_Toc519260366"/>
      <w:r>
        <w:rPr>
          <w:rFonts w:hint="eastAsia" w:ascii="宋体" w:hAnsi="宋体" w:cs="宋体"/>
          <w:color w:val="000000"/>
          <w:lang w:val="zh-CN"/>
        </w:rPr>
        <w:t>五、开标</w:t>
      </w:r>
      <w:bookmarkEnd w:id="23"/>
    </w:p>
    <w:p>
      <w:pPr>
        <w:pStyle w:val="21"/>
        <w:spacing w:before="0" w:after="0" w:line="360" w:lineRule="auto"/>
        <w:jc w:val="left"/>
        <w:rPr>
          <w:rFonts w:ascii="宋体" w:hAnsi="宋体" w:cs="宋体"/>
          <w:color w:val="000000"/>
          <w:lang w:val="zh-CN"/>
        </w:rPr>
      </w:pPr>
      <w:bookmarkStart w:id="24" w:name="_Toc519260367"/>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开标应当在招标文件确定的提交投标文件截止时间的同一时间进行。西宁市政府采购中心应当按本文件中确定的时间和地点组织开标活动。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集采中心</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lang w:val="zh-CN"/>
        </w:rPr>
        <w:t>集采中心</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lang w:val="zh-CN"/>
        </w:rPr>
        <w:t>集采中心</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1"/>
        <w:spacing w:before="0" w:after="0" w:line="360" w:lineRule="auto"/>
        <w:rPr>
          <w:rFonts w:ascii="宋体" w:hAnsi="宋体" w:cs="宋体"/>
          <w:color w:val="000000"/>
          <w:kern w:val="0"/>
        </w:rPr>
      </w:pPr>
      <w:bookmarkStart w:id="25" w:name="_Toc496004006"/>
      <w:bookmarkStart w:id="26" w:name="_Toc519260368"/>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21"/>
        <w:spacing w:before="0" w:after="0" w:line="360" w:lineRule="auto"/>
        <w:jc w:val="left"/>
        <w:rPr>
          <w:rFonts w:ascii="宋体" w:hAnsi="宋体" w:cs="宋体"/>
          <w:color w:val="000000"/>
          <w:sz w:val="28"/>
          <w:szCs w:val="28"/>
        </w:rPr>
      </w:pPr>
      <w:bookmarkStart w:id="27" w:name="_Toc519260369"/>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497503249"/>
      <w:bookmarkStart w:id="29" w:name="_Toc497503315"/>
      <w:bookmarkStart w:id="30" w:name="_Toc497503449"/>
      <w:bookmarkStart w:id="31" w:name="_Toc497503516"/>
      <w:bookmarkStart w:id="32" w:name="_Toc3080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1"/>
        <w:spacing w:before="0" w:after="0" w:line="360" w:lineRule="auto"/>
        <w:rPr>
          <w:rFonts w:ascii="宋体" w:hAnsi="宋体" w:cs="宋体"/>
          <w:color w:val="000000"/>
        </w:rPr>
      </w:pPr>
      <w:bookmarkStart w:id="33" w:name="_Toc519260370"/>
      <w:r>
        <w:rPr>
          <w:rFonts w:hint="eastAsia" w:ascii="宋体" w:hAnsi="宋体" w:cs="宋体"/>
          <w:color w:val="000000"/>
          <w:lang w:val="zh-CN"/>
        </w:rPr>
        <w:t>七、评审程序及方法</w:t>
      </w:r>
      <w:bookmarkEnd w:id="33"/>
    </w:p>
    <w:p>
      <w:pPr>
        <w:pStyle w:val="21"/>
        <w:spacing w:before="0" w:after="0" w:line="360" w:lineRule="auto"/>
        <w:jc w:val="left"/>
        <w:rPr>
          <w:rFonts w:ascii="宋体" w:hAnsi="宋体" w:cs="宋体"/>
          <w:color w:val="000000"/>
          <w:lang w:val="zh-CN"/>
        </w:rPr>
      </w:pPr>
      <w:bookmarkStart w:id="34" w:name="_Toc51926037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西宁市政府采购中心负责组织评标工作，并履行下列职责：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现采购文件内容违反国家有关强制性规定或者采购文件存在歧义、重大缺陷导致评审工作无法进行时,应当停止评审并向西宁市政府采购中心书面说明情况</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集采中心</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西宁市政府采购中心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w:t>
      </w:r>
      <w:r>
        <w:rPr>
          <w:rFonts w:hint="eastAsia" w:ascii="宋体" w:hAnsi="宋体" w:cs="宋体"/>
          <w:color w:val="000000"/>
          <w:kern w:val="0"/>
        </w:rPr>
        <w:t>应当将变更、重新组建评标委员会的情况予以记录，并随采购文件一并存档。</w:t>
      </w:r>
    </w:p>
    <w:p>
      <w:pPr>
        <w:pStyle w:val="21"/>
        <w:spacing w:before="0" w:after="0" w:line="360" w:lineRule="auto"/>
        <w:jc w:val="left"/>
        <w:rPr>
          <w:rFonts w:ascii="宋体" w:hAnsi="宋体" w:cs="宋体"/>
          <w:color w:val="000000"/>
          <w:lang w:val="zh-CN"/>
        </w:rPr>
      </w:pPr>
      <w:bookmarkStart w:id="35" w:name="_Toc519260372"/>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pPr>
        <w:numPr>
          <w:ilvl w:val="0"/>
          <w:numId w:val="7"/>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服务时间不能满足招标文件要求的；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before="0" w:after="0" w:line="360" w:lineRule="auto"/>
        <w:jc w:val="left"/>
        <w:rPr>
          <w:rFonts w:ascii="宋体" w:hAnsi="宋体" w:cs="宋体"/>
          <w:color w:val="000000"/>
          <w:sz w:val="28"/>
          <w:szCs w:val="28"/>
          <w:lang w:val="zh-CN"/>
        </w:rPr>
      </w:pPr>
      <w:bookmarkStart w:id="36" w:name="_Toc519260373"/>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tabs>
          <w:tab w:val="left" w:pos="417"/>
        </w:tabs>
        <w:spacing w:before="156" w:line="360" w:lineRule="auto"/>
        <w:ind w:firstLine="480"/>
        <w:jc w:val="center"/>
        <w:rPr>
          <w:rFonts w:hint="eastAsia" w:ascii="宋体" w:hAnsi="宋体" w:cs="宋体"/>
          <w:lang w:val="zh-CN"/>
        </w:rPr>
      </w:pPr>
      <w:r>
        <w:rPr>
          <w:rFonts w:hint="eastAsia" w:ascii="宋体" w:hAnsi="宋体"/>
        </w:rPr>
        <w:t>评审标准和分值分配：</w:t>
      </w:r>
      <w:r>
        <w:rPr>
          <w:rFonts w:hint="eastAsia" w:ascii="宋体" w:hAnsi="宋体" w:cs="宋体"/>
          <w:lang w:val="zh-CN"/>
        </w:rPr>
        <w:t xml:space="preserve"> </w:t>
      </w:r>
    </w:p>
    <w:tbl>
      <w:tblPr>
        <w:tblStyle w:val="22"/>
        <w:tblW w:w="92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8"/>
        <w:gridCol w:w="3164"/>
        <w:gridCol w:w="3018"/>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序号</w:t>
            </w:r>
          </w:p>
        </w:tc>
        <w:tc>
          <w:tcPr>
            <w:tcW w:w="6182"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rPr>
            </w:pPr>
            <w:r>
              <w:rPr>
                <w:rFonts w:hint="eastAsia" w:ascii="宋体" w:hAnsi="宋体"/>
              </w:rPr>
              <w:t>评审项目</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rPr>
            </w:pPr>
            <w:r>
              <w:rPr>
                <w:rFonts w:hint="eastAsia" w:ascii="宋体" w:hAnsi="宋体"/>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480"/>
              <w:rPr>
                <w:rFonts w:ascii="宋体" w:hAnsi="宋体"/>
              </w:rPr>
            </w:pPr>
            <w:r>
              <w:rPr>
                <w:rFonts w:hint="eastAsia" w:ascii="宋体" w:hAnsi="宋体"/>
              </w:rPr>
              <w:t>Ⅰ</w:t>
            </w:r>
          </w:p>
        </w:tc>
        <w:tc>
          <w:tcPr>
            <w:tcW w:w="3164" w:type="dxa"/>
            <w:tcBorders>
              <w:top w:val="single" w:color="auto" w:sz="4" w:space="0"/>
              <w:left w:val="single" w:color="auto" w:sz="4" w:space="0"/>
              <w:bottom w:val="single" w:color="auto" w:sz="4" w:space="0"/>
              <w:right w:val="single" w:color="auto" w:sz="4" w:space="0"/>
            </w:tcBorders>
            <w:noWrap w:val="0"/>
            <w:vAlign w:val="center"/>
          </w:tcPr>
          <w:p>
            <w:pPr>
              <w:ind w:firstLine="480"/>
              <w:rPr>
                <w:rFonts w:ascii="宋体" w:hAnsi="宋体"/>
              </w:rPr>
            </w:pPr>
            <w:r>
              <w:rPr>
                <w:rFonts w:hint="eastAsia" w:ascii="宋体" w:hAnsi="宋体"/>
              </w:rPr>
              <w:t>商务部分（满分40分）</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1、投标报价</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rPr>
            </w:pPr>
            <w:r>
              <w:rPr>
                <w:rFonts w:hint="eastAsia" w:ascii="宋体" w:hAnsi="宋体"/>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3" w:hRule="atLeast"/>
          <w:jc w:val="center"/>
        </w:trPr>
        <w:tc>
          <w:tcPr>
            <w:tcW w:w="1158"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80"/>
              <w:rPr>
                <w:rFonts w:ascii="宋体" w:hAnsi="宋体"/>
              </w:rPr>
            </w:pPr>
            <w:r>
              <w:rPr>
                <w:rFonts w:hint="eastAsia" w:ascii="宋体" w:hAnsi="宋体"/>
              </w:rPr>
              <w:t>Ⅱ</w:t>
            </w:r>
          </w:p>
        </w:tc>
        <w:tc>
          <w:tcPr>
            <w:tcW w:w="3164"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80"/>
              <w:rPr>
                <w:rFonts w:ascii="宋体" w:hAnsi="宋体"/>
              </w:rPr>
            </w:pPr>
            <w:r>
              <w:rPr>
                <w:rFonts w:hint="eastAsia" w:ascii="宋体" w:hAnsi="宋体"/>
              </w:rPr>
              <w:t>技术部分（满分60分）</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1、技术质量方面</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color w:val="FF0000"/>
                <w:u w:val="single"/>
              </w:rPr>
            </w:pPr>
            <w:r>
              <w:rPr>
                <w:rFonts w:hint="eastAsia" w:ascii="宋体" w:hAnsi="宋体"/>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rPr>
                <w:rFonts w:ascii="宋体" w:hAnsi="宋体"/>
              </w:rPr>
            </w:pPr>
          </w:p>
        </w:tc>
        <w:tc>
          <w:tcPr>
            <w:tcW w:w="3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rPr>
                <w:rFonts w:ascii="宋体" w:hAnsi="宋体"/>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2、销售及服务、类似业绩及对磋商文件的响应情况</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rPr>
            </w:pPr>
            <w:r>
              <w:rPr>
                <w:rFonts w:hint="eastAsia" w:ascii="宋体" w:hAnsi="宋体"/>
              </w:rPr>
              <w:t>20</w:t>
            </w:r>
          </w:p>
        </w:tc>
      </w:tr>
    </w:tbl>
    <w:p>
      <w:pPr>
        <w:pStyle w:val="2"/>
      </w:pPr>
    </w:p>
    <w:p>
      <w:pPr>
        <w:spacing w:before="156" w:line="360" w:lineRule="auto"/>
        <w:ind w:firstLine="480"/>
        <w:rPr>
          <w:rFonts w:ascii="宋体" w:hAnsi="宋体"/>
        </w:rPr>
      </w:pPr>
      <w:r>
        <w:rPr>
          <w:rFonts w:hint="eastAsia" w:ascii="宋体" w:hAnsi="宋体"/>
        </w:rPr>
        <w:t>具体项目及评分细则：</w:t>
      </w:r>
    </w:p>
    <w:tbl>
      <w:tblPr>
        <w:tblStyle w:val="22"/>
        <w:tblW w:w="9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类别</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投标报价40分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报价分</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40</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40%）×100（四舍五入后保留小数点后两位）。</w:t>
            </w:r>
          </w:p>
          <w:p>
            <w:pPr>
              <w:ind w:firstLine="0" w:firstLineChars="0"/>
              <w:rPr>
                <w:rFonts w:hint="eastAsia" w:ascii="宋体" w:hAnsi="宋体"/>
                <w:color w:val="000000"/>
                <w:sz w:val="21"/>
                <w:szCs w:val="21"/>
              </w:rPr>
            </w:pPr>
            <w:r>
              <w:rPr>
                <w:rFonts w:hint="eastAsia" w:ascii="宋体" w:hAnsi="宋体"/>
                <w:sz w:val="21"/>
                <w:szCs w:val="21"/>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技术质量方面</w:t>
            </w:r>
          </w:p>
          <w:p>
            <w:pPr>
              <w:ind w:firstLine="0" w:firstLineChars="0"/>
              <w:rPr>
                <w:rFonts w:hint="eastAsia" w:ascii="宋体" w:hAnsi="宋体"/>
                <w:color w:val="FF0000"/>
                <w:sz w:val="21"/>
                <w:szCs w:val="21"/>
                <w:u w:val="single"/>
              </w:rPr>
            </w:pPr>
            <w:r>
              <w:rPr>
                <w:rFonts w:hint="eastAsia" w:ascii="宋体" w:hAnsi="宋体"/>
                <w:sz w:val="21"/>
                <w:szCs w:val="21"/>
              </w:rPr>
              <w:t>40分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技术参数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1"/>
                <w:szCs w:val="21"/>
              </w:rPr>
            </w:pPr>
            <w:r>
              <w:rPr>
                <w:rFonts w:hint="eastAsia" w:ascii="宋体" w:hAnsi="宋体"/>
                <w:sz w:val="21"/>
                <w:szCs w:val="21"/>
              </w:rPr>
              <w:t>35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hAnsi="宋体"/>
                <w:color w:val="FF0000"/>
                <w:sz w:val="21"/>
                <w:szCs w:val="21"/>
                <w:u w:val="single"/>
              </w:rPr>
            </w:pPr>
            <w:r>
              <w:rPr>
                <w:rFonts w:hint="eastAsia" w:ascii="宋体" w:hAnsi="宋体"/>
                <w:sz w:val="21"/>
                <w:szCs w:val="21"/>
              </w:rPr>
              <w:t>投标产品技术参数和配置完全满足或高于招标文件要求的，得35分；每有一项负偏离扣3分；扣完为止。满分35分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认证证书</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jc w:val="both"/>
              <w:rPr>
                <w:rFonts w:hint="eastAsia" w:ascii="宋体" w:hAnsi="宋体"/>
                <w:sz w:val="21"/>
                <w:szCs w:val="21"/>
              </w:rPr>
            </w:pPr>
            <w:r>
              <w:rPr>
                <w:rFonts w:hint="eastAsia" w:ascii="宋体" w:hAnsi="宋体"/>
                <w:sz w:val="21"/>
                <w:szCs w:val="21"/>
              </w:rPr>
              <w:t>3</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rPr>
                <w:rFonts w:ascii="宋体" w:hAnsi="宋体"/>
                <w:kern w:val="0"/>
                <w:sz w:val="21"/>
                <w:szCs w:val="21"/>
              </w:rPr>
            </w:pPr>
            <w:r>
              <w:rPr>
                <w:rFonts w:hint="eastAsia" w:ascii="宋体" w:hAnsi="宋体"/>
                <w:sz w:val="21"/>
                <w:szCs w:val="21"/>
              </w:rPr>
              <w:t>投标产品具有环保认证证书的，得</w:t>
            </w:r>
            <w:r>
              <w:rPr>
                <w:rFonts w:hint="eastAsia" w:ascii="宋体" w:hAnsi="宋体"/>
                <w:sz w:val="21"/>
                <w:szCs w:val="21"/>
                <w:lang w:val="en-US" w:eastAsia="zh-CN"/>
              </w:rPr>
              <w:t>1.5</w:t>
            </w:r>
            <w:r>
              <w:rPr>
                <w:rFonts w:hint="eastAsia" w:ascii="宋体" w:hAnsi="宋体"/>
                <w:sz w:val="21"/>
                <w:szCs w:val="21"/>
              </w:rPr>
              <w:t>分；具有节能认证证书的，得</w:t>
            </w:r>
            <w:r>
              <w:rPr>
                <w:rFonts w:hint="eastAsia" w:ascii="宋体" w:hAnsi="宋体"/>
                <w:sz w:val="21"/>
                <w:szCs w:val="21"/>
                <w:lang w:val="en-US" w:eastAsia="zh-CN"/>
              </w:rPr>
              <w:t>1.5</w:t>
            </w:r>
            <w:r>
              <w:rPr>
                <w:rFonts w:hint="eastAsia" w:ascii="宋体" w:hAnsi="宋体"/>
                <w:sz w:val="21"/>
                <w:szCs w:val="21"/>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986" w:type="dxa"/>
            <w:vMerge w:val="continue"/>
            <w:tcBorders>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自主创新产品</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jc w:val="both"/>
              <w:rPr>
                <w:rFonts w:hint="eastAsia" w:ascii="宋体" w:hAnsi="宋体"/>
                <w:sz w:val="21"/>
                <w:szCs w:val="21"/>
              </w:rPr>
            </w:pPr>
            <w:r>
              <w:rPr>
                <w:rFonts w:hint="eastAsia" w:ascii="宋体" w:hAnsi="宋体"/>
                <w:sz w:val="21"/>
                <w:szCs w:val="21"/>
              </w:rPr>
              <w:t>2</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投标产品属自主知识产权的，得2分；反之不得分。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销售及服务、类似业绩及对磋商文件的响应情况20分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设置了项目管理机构，并且有科学、具体的项目管理措施，能够结合项目特点制定实施方案好的，得5分；一般的，得3分；差的不得分。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8"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售后服务计划、措施及服务承诺</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针对该项目须有详尽的组织配送、验收、售后等方面的服务能力、措施及相关承诺。所述内容响应磋商文件要求好的，得5分；一般的，得3分；未响应磋商文件的不得分。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本地化服务能力</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3</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在西宁市有服务机构的，得3分；有合作性服务机构的，得1.5分；没有的不得分。（需提供相关证明材料）。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noWrap w:val="0"/>
            <w:vAlign w:val="center"/>
          </w:tcPr>
          <w:p>
            <w:pPr>
              <w:ind w:firstLine="0" w:firstLineChars="0"/>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sz w:val="21"/>
                <w:szCs w:val="21"/>
              </w:rPr>
            </w:pPr>
            <w:r>
              <w:rPr>
                <w:rFonts w:hint="eastAsia" w:ascii="宋体" w:hAnsi="宋体"/>
                <w:sz w:val="21"/>
                <w:szCs w:val="21"/>
              </w:rPr>
              <w:t>提供自201</w:t>
            </w:r>
            <w:r>
              <w:rPr>
                <w:rFonts w:hint="eastAsia" w:ascii="宋体" w:hAnsi="宋体"/>
                <w:sz w:val="21"/>
                <w:szCs w:val="21"/>
                <w:lang w:val="en-US" w:eastAsia="zh-CN"/>
              </w:rPr>
              <w:t>6</w:t>
            </w:r>
            <w:r>
              <w:rPr>
                <w:rFonts w:hint="eastAsia" w:ascii="宋体" w:hAnsi="宋体"/>
                <w:sz w:val="21"/>
                <w:szCs w:val="21"/>
              </w:rPr>
              <w:t>年以来的类似业绩证明材料。每提供1项得1分；不提供不得分。满分5分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noWrap w:val="0"/>
            <w:vAlign w:val="center"/>
          </w:tcPr>
          <w:p>
            <w:pPr>
              <w:ind w:firstLine="0" w:firstLineChars="0"/>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sz w:val="21"/>
                <w:szCs w:val="21"/>
              </w:rPr>
            </w:pPr>
            <w:r>
              <w:rPr>
                <w:rFonts w:hint="eastAsia" w:ascii="宋体" w:hAnsi="宋体"/>
                <w:sz w:val="21"/>
                <w:szCs w:val="21"/>
              </w:rPr>
              <w:t>对磋商文件规范性响应程度</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2</w:t>
            </w:r>
          </w:p>
        </w:tc>
        <w:tc>
          <w:tcPr>
            <w:tcW w:w="5985"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sz w:val="21"/>
                <w:szCs w:val="21"/>
              </w:rPr>
            </w:pPr>
            <w:r>
              <w:rPr>
                <w:rFonts w:hint="eastAsia" w:ascii="宋体" w:hAnsi="宋体"/>
                <w:sz w:val="21"/>
                <w:szCs w:val="21"/>
              </w:rPr>
              <w:t>投标文件完全响应</w:t>
            </w:r>
            <w:r>
              <w:rPr>
                <w:rFonts w:hint="eastAsia" w:ascii="宋体" w:hAnsi="宋体"/>
                <w:sz w:val="21"/>
                <w:szCs w:val="21"/>
                <w:lang w:eastAsia="zh-CN"/>
              </w:rPr>
              <w:t>招标</w:t>
            </w:r>
            <w:r>
              <w:rPr>
                <w:rFonts w:hint="eastAsia" w:ascii="宋体" w:hAnsi="宋体"/>
                <w:sz w:val="21"/>
                <w:szCs w:val="21"/>
              </w:rPr>
              <w:t>文件编排要求的得2分；一般的得1分；编排混乱的不得分。</w:t>
            </w:r>
          </w:p>
        </w:tc>
      </w:tr>
    </w:tbl>
    <w:p>
      <w:pPr>
        <w:autoSpaceDE w:val="0"/>
        <w:autoSpaceDN w:val="0"/>
        <w:spacing w:line="360" w:lineRule="auto"/>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西宁市政府采购中心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投标人对以上情形提出质疑的，西宁市政府采购中心可以组织原评标委员会进行重新评审，重新评审改变评标结果的，应当书面报告本级财政部门。</w:t>
      </w:r>
    </w:p>
    <w:p>
      <w:pPr>
        <w:pStyle w:val="21"/>
        <w:spacing w:before="0" w:after="0" w:line="360" w:lineRule="auto"/>
        <w:rPr>
          <w:rFonts w:ascii="宋体" w:hAnsi="宋体" w:cs="宋体"/>
          <w:color w:val="000000"/>
          <w:lang w:val="zh-CN"/>
        </w:rPr>
      </w:pPr>
      <w:bookmarkStart w:id="37" w:name="_Toc519260374"/>
      <w:r>
        <w:rPr>
          <w:rFonts w:hint="eastAsia" w:ascii="宋体" w:hAnsi="宋体" w:cs="宋体"/>
          <w:color w:val="000000"/>
          <w:lang w:val="zh-CN"/>
        </w:rPr>
        <w:t>八、中标</w:t>
      </w:r>
      <w:bookmarkEnd w:id="37"/>
    </w:p>
    <w:p>
      <w:pPr>
        <w:pStyle w:val="21"/>
        <w:spacing w:before="0" w:after="0" w:line="360" w:lineRule="auto"/>
        <w:jc w:val="left"/>
        <w:rPr>
          <w:rFonts w:ascii="宋体" w:hAnsi="宋体" w:cs="宋体"/>
          <w:color w:val="000000"/>
          <w:lang w:val="zh-CN"/>
        </w:rPr>
      </w:pPr>
      <w:bookmarkStart w:id="38" w:name="_Toc519260375"/>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hAnsi="宋体" w:cs="宋体"/>
          <w:color w:val="000000"/>
          <w:lang w:val="zh-CN"/>
        </w:rPr>
      </w:pPr>
      <w:bookmarkStart w:id="39" w:name="_Toc519260376"/>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西宁市政府采购中心应当自中标人确定之日起2个工作日内，在省级以上财政部门指定的媒体上公告中标结果。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西宁市政府采购中心</w:t>
      </w:r>
      <w:r>
        <w:rPr>
          <w:rFonts w:hint="eastAsia" w:ascii="宋体" w:hAnsi="宋体" w:cs="宋体"/>
          <w:color w:val="000000"/>
          <w:kern w:val="0"/>
        </w:rPr>
        <w:t>应当向中标人发出中标通知书；对投标无效的投标人，西宁市政府采购中心应当告知其投标无效的原因；采用综合评分法评审的，还应当告知未中标人本人的评审得分与排序。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1"/>
        <w:spacing w:before="0" w:after="0" w:line="360" w:lineRule="auto"/>
        <w:rPr>
          <w:rFonts w:ascii="宋体" w:hAnsi="宋体" w:cs="宋体"/>
          <w:color w:val="000000"/>
          <w:lang w:val="zh-CN"/>
        </w:rPr>
      </w:pPr>
      <w:bookmarkStart w:id="40" w:name="_Toc519260377"/>
      <w:r>
        <w:rPr>
          <w:rFonts w:hint="eastAsia" w:ascii="宋体" w:hAnsi="宋体" w:cs="宋体"/>
          <w:color w:val="000000"/>
          <w:lang w:val="zh-CN"/>
        </w:rPr>
        <w:t>九、授予合同</w:t>
      </w:r>
      <w:bookmarkEnd w:id="40"/>
    </w:p>
    <w:p>
      <w:pPr>
        <w:pStyle w:val="21"/>
        <w:spacing w:before="0" w:after="0" w:line="360" w:lineRule="auto"/>
        <w:jc w:val="left"/>
        <w:rPr>
          <w:rFonts w:ascii="宋体" w:hAnsi="宋体" w:cs="宋体"/>
          <w:color w:val="000000"/>
          <w:kern w:val="0"/>
          <w:sz w:val="24"/>
        </w:rPr>
      </w:pPr>
      <w:bookmarkStart w:id="41" w:name="_Toc519260378"/>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西宁市政府采购中心应当按照政府采购合同规定的技术、服务、安全标准组织对供应商履约情况进行验收，并出具验收书。验收书应当包括每一项技术、服务、安全标准的履约情况。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1"/>
        <w:spacing w:before="0" w:after="0" w:line="360" w:lineRule="auto"/>
        <w:rPr>
          <w:rFonts w:ascii="宋体" w:hAnsi="宋体" w:cs="宋体"/>
          <w:color w:val="000000"/>
          <w:lang w:val="zh-CN"/>
        </w:rPr>
      </w:pPr>
      <w:bookmarkStart w:id="42" w:name="_Toc519260379"/>
    </w:p>
    <w:p>
      <w:pPr>
        <w:pStyle w:val="21"/>
        <w:spacing w:before="0" w:after="0" w:line="360" w:lineRule="auto"/>
        <w:rPr>
          <w:rFonts w:ascii="宋体" w:hAnsi="宋体" w:cs="宋体"/>
          <w:color w:val="000000"/>
          <w:lang w:val="zh-CN"/>
        </w:rPr>
      </w:pPr>
      <w:r>
        <w:rPr>
          <w:rFonts w:hint="eastAsia" w:ascii="宋体" w:hAnsi="宋体" w:cs="宋体"/>
          <w:color w:val="000000"/>
          <w:lang w:val="zh-CN"/>
        </w:rPr>
        <w:t>十、其他</w:t>
      </w:r>
      <w:bookmarkEnd w:id="42"/>
    </w:p>
    <w:p>
      <w:pPr>
        <w:pStyle w:val="21"/>
        <w:spacing w:before="0" w:after="0" w:line="360" w:lineRule="auto"/>
        <w:jc w:val="left"/>
        <w:rPr>
          <w:rFonts w:ascii="宋体" w:hAnsi="宋体" w:cs="宋体"/>
          <w:color w:val="000000"/>
          <w:sz w:val="28"/>
          <w:szCs w:val="28"/>
        </w:rPr>
      </w:pPr>
      <w:bookmarkStart w:id="43" w:name="_Toc519260380"/>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1"/>
        <w:spacing w:before="0" w:after="0" w:line="360" w:lineRule="auto"/>
        <w:jc w:val="left"/>
        <w:rPr>
          <w:rFonts w:ascii="宋体" w:hAnsi="宋体" w:cs="宋体"/>
          <w:color w:val="000000"/>
          <w:sz w:val="28"/>
          <w:szCs w:val="28"/>
        </w:rPr>
      </w:pPr>
      <w:bookmarkStart w:id="44" w:name="_Toc519260381"/>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废标后，由西宁市政府采购中心发布废标公告。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pStyle w:val="21"/>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5" w:name="_Toc519260382"/>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西宁市政府采购项目合同书范本</w:t>
      </w:r>
      <w:bookmarkEnd w:id="45"/>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西宁市政府采购项目合同书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3"/>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）的招标文件要求和集采中心出具的《中标通知书》，并经双方协商一致，签订本合同协议书。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2"/>
        <w:tblW w:w="6718" w:type="dxa"/>
        <w:jc w:val="center"/>
        <w:tblInd w:w="0" w:type="dxa"/>
        <w:tblLayout w:type="fixed"/>
        <w:tblCellMar>
          <w:top w:w="0" w:type="dxa"/>
          <w:left w:w="108" w:type="dxa"/>
          <w:bottom w:w="0" w:type="dxa"/>
          <w:right w:w="108" w:type="dxa"/>
        </w:tblCellMar>
      </w:tblPr>
      <w:tblGrid>
        <w:gridCol w:w="731"/>
        <w:gridCol w:w="2271"/>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三、服务时间、地点和要求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乙方所提供的服务由甲方验收，验收合格后由甲方报同级财政监管部门，申请资金拨付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jc w:val="center"/>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b/>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r>
        <w:rPr>
          <w:rFonts w:hint="eastAsia" w:ascii="宋体" w:hAnsi="宋体" w:cs="宋体"/>
          <w:b/>
          <w:color w:val="000000"/>
          <w:kern w:val="0"/>
          <w:lang w:val="zh-CN"/>
        </w:rPr>
        <w:t>（注：招标文件对工期有具体要求的以招标文件要求的交货期为准）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交货日期：所有货物运抵现场并经双方开箱验收、安装合格之日。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本合同条款下的付款方法和条件在“西宁市政府采购项目合同书”中具体规定。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6" w:name="_Toc519260383"/>
      <w:r>
        <w:rPr>
          <w:rFonts w:hint="eastAsia" w:ascii="宋体" w:hAnsi="宋体" w:cs="宋体"/>
          <w:color w:val="000000"/>
          <w:szCs w:val="36"/>
          <w:lang w:val="zh-CN"/>
        </w:rPr>
        <w:t>第四部分  投标文件格式</w:t>
      </w:r>
      <w:bookmarkEnd w:id="46"/>
    </w:p>
    <w:p>
      <w:pPr>
        <w:pStyle w:val="21"/>
        <w:spacing w:before="0" w:after="0" w:line="360" w:lineRule="auto"/>
        <w:jc w:val="left"/>
        <w:outlineLvl w:val="1"/>
        <w:rPr>
          <w:rFonts w:ascii="宋体" w:hAnsi="宋体" w:cs="宋体"/>
          <w:color w:val="000000"/>
        </w:rPr>
      </w:pPr>
      <w:bookmarkStart w:id="47" w:name="_Toc11851"/>
      <w:bookmarkStart w:id="48" w:name="_Toc519260384"/>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49" w:name="_Toc519260385"/>
      <w:bookmarkStart w:id="50" w:name="_Toc29902"/>
      <w:bookmarkStart w:id="51" w:name="_Toc8514"/>
      <w:r>
        <w:rPr>
          <w:rFonts w:hint="eastAsia" w:ascii="宋体" w:hAnsi="宋体" w:cs="宋体"/>
          <w:color w:val="000000"/>
          <w:sz w:val="30"/>
          <w:szCs w:val="30"/>
          <w:lang w:val="zh-CN"/>
        </w:rPr>
        <w:t>目录（上册）</w:t>
      </w:r>
      <w:bookmarkEnd w:id="49"/>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21"/>
        <w:spacing w:before="0" w:after="0" w:line="360" w:lineRule="auto"/>
        <w:jc w:val="left"/>
        <w:outlineLvl w:val="1"/>
        <w:rPr>
          <w:rFonts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51926038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60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4" w:name="_Toc519260387"/>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5"/>
      <w:bookmarkStart w:id="56" w:name="_Toc519260388"/>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8" w:name="_Toc51926038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519260390"/>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为了诚实、客观、有序地参与西宁市政府采购活动，愿就以下内容作出承诺：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7"/>
      <w:bookmarkStart w:id="60" w:name="_Toc519260391"/>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2" w:name="_Toc519260392"/>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1、投标人需</w:t>
      </w:r>
      <w:r>
        <w:rPr>
          <w:rFonts w:ascii="宋体" w:hAnsi="宋体" w:cs="宋体"/>
          <w:color w:val="000000"/>
          <w:kern w:val="0"/>
          <w:lang w:val="zh-CN"/>
        </w:rPr>
        <w:t>提供</w:t>
      </w:r>
      <w:r>
        <w:rPr>
          <w:rFonts w:hint="eastAsia" w:ascii="宋体" w:hAnsi="宋体" w:cs="宋体"/>
          <w:color w:val="000000"/>
          <w:kern w:val="0"/>
          <w:u w:val="single"/>
          <w:lang w:val="zh-CN"/>
        </w:rPr>
        <w:t>上一年度（</w:t>
      </w:r>
      <w:r>
        <w:rPr>
          <w:rFonts w:hint="eastAsia" w:ascii="宋体" w:hAnsi="宋体" w:cs="宋体"/>
          <w:color w:val="000000"/>
          <w:kern w:val="0"/>
          <w:u w:val="single"/>
        </w:rPr>
        <w:t>2018年度</w:t>
      </w:r>
      <w:r>
        <w:rPr>
          <w:rFonts w:hint="eastAsia" w:ascii="宋体" w:hAnsi="宋体" w:cs="宋体"/>
          <w:color w:val="000000"/>
          <w:kern w:val="0"/>
          <w:u w:val="single"/>
          <w:lang w:val="zh-CN"/>
        </w:rPr>
        <w:t>）</w:t>
      </w:r>
      <w:r>
        <w:rPr>
          <w:rFonts w:hint="eastAsia" w:ascii="宋体" w:hAnsi="宋体"/>
          <w:u w:val="single"/>
        </w:rPr>
        <w:t>经</w:t>
      </w:r>
      <w:r>
        <w:rPr>
          <w:rFonts w:hint="eastAsia" w:ascii="宋体" w:hAnsi="宋体"/>
        </w:rPr>
        <w:t>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投标人是其他组织和自然人或新成立不足1年的企业，没有经审计的财务报告，可以提供基本开户银行出具的资信证明（同时提供基本存款账户开户许可证）。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连续2个月的依法缴纳税收和缴纳职工社会保障资金记录的证明材料（需附社保机构打印的人员名单及缴纳月份）；依法免税或不需要缴纳社会保障资金的投标人须提供相应文件证明其依法免税或不需要缴纳社会保障资金。</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1"/>
      <w:bookmarkStart w:id="63" w:name="_Toc519260393"/>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5" w:name="_Toc519260394"/>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kern w:val="0"/>
          <w:u w:val="single"/>
          <w:lang w:val="zh-CN"/>
        </w:rPr>
        <w:t>西宁市政府采购中心</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rPr>
      </w:pPr>
    </w:p>
    <w:p>
      <w:pPr>
        <w:autoSpaceDE w:val="0"/>
        <w:autoSpaceDN w:val="0"/>
        <w:spacing w:line="360" w:lineRule="auto"/>
        <w:ind w:firstLine="482" w:firstLineChars="200"/>
        <w:jc w:val="left"/>
        <w:rPr>
          <w:rFonts w:ascii="宋体" w:hAnsi="宋体" w:cs="宋体"/>
          <w:b/>
          <w:color w:val="000000"/>
          <w:kern w:val="0"/>
        </w:rPr>
      </w:pPr>
      <w:r>
        <w:rPr>
          <w:rFonts w:hint="eastAsia" w:ascii="宋体" w:hAnsi="宋体" w:cs="宋体"/>
          <w:b/>
          <w:color w:val="000000"/>
          <w:kern w:val="0"/>
          <w:lang w:val="zh-CN"/>
        </w:rPr>
        <w:t>附</w:t>
      </w:r>
      <w:r>
        <w:rPr>
          <w:rFonts w:hint="eastAsia" w:ascii="宋体" w:hAnsi="宋体" w:cs="宋体"/>
          <w:b/>
          <w:color w:val="000000"/>
          <w:kern w:val="0"/>
        </w:rPr>
        <w:t>“</w:t>
      </w:r>
      <w:r>
        <w:rPr>
          <w:rFonts w:hint="eastAsia" w:ascii="宋体" w:hAnsi="宋体" w:cs="宋体"/>
          <w:b/>
          <w:color w:val="000000"/>
          <w:kern w:val="0"/>
          <w:lang w:val="zh-CN"/>
        </w:rPr>
        <w:t>信用中国</w:t>
      </w:r>
      <w:r>
        <w:rPr>
          <w:rFonts w:hint="eastAsia" w:ascii="宋体" w:hAnsi="宋体" w:cs="宋体"/>
          <w:b/>
          <w:kern w:val="0"/>
        </w:rPr>
        <w:t>（www.creditchina.gov.cn）</w:t>
      </w:r>
      <w:r>
        <w:rPr>
          <w:rFonts w:hint="eastAsia" w:ascii="宋体" w:hAnsi="宋体" w:cs="宋体"/>
          <w:b/>
          <w:color w:val="000000"/>
          <w:kern w:val="0"/>
        </w:rPr>
        <w:t>”</w:t>
      </w:r>
      <w:r>
        <w:rPr>
          <w:rFonts w:hint="eastAsia" w:ascii="宋体" w:hAnsi="宋体" w:cs="宋体"/>
          <w:b/>
          <w:color w:val="000000"/>
          <w:kern w:val="0"/>
          <w:lang w:val="zh-CN"/>
        </w:rPr>
        <w:t>、</w:t>
      </w:r>
      <w:r>
        <w:rPr>
          <w:rFonts w:hint="eastAsia" w:ascii="宋体" w:hAnsi="宋体" w:cs="宋体"/>
          <w:b/>
          <w:color w:val="000000"/>
          <w:kern w:val="0"/>
        </w:rPr>
        <w:t>“</w:t>
      </w:r>
      <w:r>
        <w:rPr>
          <w:rFonts w:hint="eastAsia" w:ascii="宋体" w:hAnsi="宋体" w:cs="宋体"/>
          <w:b/>
          <w:color w:val="000000"/>
          <w:kern w:val="0"/>
          <w:lang w:val="zh-CN"/>
        </w:rPr>
        <w:t>政府采购网</w:t>
      </w:r>
      <w:r>
        <w:rPr>
          <w:rFonts w:hint="eastAsia" w:ascii="宋体" w:hAnsi="宋体" w:cs="宋体"/>
          <w:b/>
          <w:kern w:val="0"/>
        </w:rPr>
        <w:t>（www.ccgp.gov.cn）</w:t>
      </w:r>
      <w:r>
        <w:rPr>
          <w:rFonts w:hint="eastAsia" w:ascii="宋体" w:hAnsi="宋体" w:cs="宋体"/>
          <w:b/>
          <w:color w:val="000000"/>
          <w:kern w:val="0"/>
        </w:rPr>
        <w:t>”</w:t>
      </w:r>
      <w:r>
        <w:rPr>
          <w:rFonts w:hint="eastAsia" w:ascii="宋体" w:hAnsi="宋体" w:cs="宋体"/>
          <w:b/>
          <w:color w:val="000000"/>
          <w:kern w:val="0"/>
          <w:lang w:val="zh-CN"/>
        </w:rPr>
        <w:t>网站查询截图</w:t>
      </w:r>
      <w:r>
        <w:rPr>
          <w:rFonts w:hint="eastAsia" w:ascii="宋体" w:hAnsi="宋体" w:cs="宋体"/>
          <w:b/>
          <w:color w:val="000000"/>
          <w:kern w:val="0"/>
        </w:rPr>
        <w:t>，</w:t>
      </w:r>
      <w:r>
        <w:rPr>
          <w:rFonts w:hint="eastAsia" w:ascii="宋体" w:hAnsi="宋体" w:cs="宋体"/>
          <w:b/>
          <w:color w:val="000000"/>
          <w:kern w:val="0"/>
          <w:lang w:val="zh-CN"/>
        </w:rPr>
        <w:t>时间为投标截止时间前</w:t>
      </w:r>
      <w:r>
        <w:rPr>
          <w:rFonts w:hint="eastAsia" w:ascii="宋体" w:hAnsi="宋体" w:cs="宋体"/>
          <w:b/>
          <w:color w:val="000000"/>
          <w:kern w:val="0"/>
        </w:rPr>
        <w:t>20</w:t>
      </w:r>
      <w:r>
        <w:rPr>
          <w:rFonts w:hint="eastAsia" w:ascii="宋体" w:hAnsi="宋体" w:cs="宋体"/>
          <w:b/>
          <w:color w:val="000000"/>
          <w:kern w:val="0"/>
          <w:lang w:val="zh-CN"/>
        </w:rPr>
        <w:t>天内。</w:t>
      </w: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6" w:name="_Toc29764"/>
      <w:bookmarkStart w:id="67" w:name="_Toc519260395"/>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附件：保证金交款证明复印件（加盖公章）、基本账户开户许可证复印件</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8" w:name="_Toc519260396"/>
      <w:r>
        <w:rPr>
          <w:rFonts w:hint="eastAsia" w:ascii="宋体" w:hAnsi="宋体" w:cs="宋体"/>
          <w:color w:val="000000"/>
          <w:sz w:val="30"/>
          <w:szCs w:val="30"/>
          <w:lang w:val="zh-CN"/>
        </w:rPr>
        <w:t>目录（下册）</w:t>
      </w:r>
      <w:bookmarkEnd w:id="68"/>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0"/>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0"/>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9" w:name="_Toc519260397"/>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1"/>
        <w:spacing w:before="0" w:after="0" w:line="360" w:lineRule="auto"/>
        <w:jc w:val="left"/>
        <w:outlineLvl w:val="1"/>
        <w:rPr>
          <w:rFonts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519260398"/>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9"/>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9"/>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2.“投标报价”为投标总价。投标报价必须包括：保险费、培训费、税金及不可预见费等全部费用。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3.“交货时间”是指产品能够交付使用的具体时间（日历日）。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bookmarkEnd w:id="70"/>
    <w:p>
      <w:pPr>
        <w:pStyle w:val="21"/>
        <w:spacing w:before="0" w:after="0" w:line="360" w:lineRule="auto"/>
        <w:jc w:val="left"/>
        <w:outlineLvl w:val="1"/>
        <w:rPr>
          <w:rFonts w:ascii="宋体" w:hAnsi="宋体" w:cs="宋体"/>
          <w:color w:val="000000"/>
          <w:kern w:val="0"/>
          <w:lang w:val="zh-CN"/>
        </w:rPr>
      </w:pPr>
    </w:p>
    <w:p>
      <w:pPr>
        <w:pStyle w:val="21"/>
        <w:spacing w:before="0" w:after="0" w:line="360" w:lineRule="auto"/>
        <w:jc w:val="left"/>
        <w:outlineLvl w:val="1"/>
        <w:rPr>
          <w:rFonts w:ascii="宋体" w:hAnsi="宋体" w:cs="宋体"/>
          <w:color w:val="000000"/>
        </w:rPr>
      </w:pPr>
      <w:bookmarkStart w:id="73" w:name="_Toc14290"/>
      <w:r>
        <w:rPr>
          <w:rFonts w:hint="eastAsia" w:ascii="宋体" w:hAnsi="宋体" w:cs="宋体"/>
          <w:color w:val="000000"/>
          <w:lang w:val="zh-CN"/>
        </w:rPr>
        <w:br w:type="page"/>
      </w:r>
      <w:bookmarkStart w:id="74" w:name="_Toc515908222"/>
      <w:bookmarkStart w:id="75" w:name="_Toc519260399"/>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4"/>
      <w:bookmarkEnd w:id="75"/>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2"/>
        <w:tblW w:w="8551" w:type="dxa"/>
        <w:jc w:val="center"/>
        <w:tblInd w:w="0" w:type="dxa"/>
        <w:tblLayout w:type="fixed"/>
        <w:tblCellMar>
          <w:top w:w="0" w:type="dxa"/>
          <w:left w:w="28" w:type="dxa"/>
          <w:bottom w:w="0" w:type="dxa"/>
          <w:right w:w="28" w:type="dxa"/>
        </w:tblCellMar>
      </w:tblPr>
      <w:tblGrid>
        <w:gridCol w:w="628"/>
        <w:gridCol w:w="1563"/>
        <w:gridCol w:w="1065"/>
        <w:gridCol w:w="759"/>
        <w:gridCol w:w="1101"/>
        <w:gridCol w:w="992"/>
        <w:gridCol w:w="850"/>
        <w:gridCol w:w="1593"/>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10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1593"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21"/>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6" w:name="_Toc519260400"/>
      <w:bookmarkStart w:id="77" w:name="_Toc515908223"/>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2"/>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1"/>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1"/>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78" w:name="_Toc515908224"/>
      <w:bookmarkStart w:id="79" w:name="_Toc519260401"/>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8"/>
      <w:bookmarkEnd w:id="7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both"/>
        <w:outlineLvl w:val="1"/>
        <w:rPr>
          <w:rFonts w:ascii="宋体" w:hAnsi="宋体" w:cs="宋体"/>
          <w:color w:val="000000"/>
          <w:lang w:val="zh-CN"/>
        </w:rPr>
      </w:pPr>
      <w:r>
        <w:rPr>
          <w:rFonts w:hint="eastAsia" w:ascii="宋体" w:hAnsi="宋体" w:cs="宋体"/>
          <w:color w:val="000000"/>
          <w:lang w:val="zh-CN"/>
        </w:rPr>
        <w:br w:type="page"/>
      </w:r>
    </w:p>
    <w:p>
      <w:pPr>
        <w:pStyle w:val="21"/>
        <w:spacing w:before="0" w:after="0" w:line="360" w:lineRule="auto"/>
        <w:jc w:val="both"/>
        <w:outlineLvl w:val="1"/>
        <w:rPr>
          <w:rFonts w:ascii="宋体" w:hAnsi="宋体" w:cs="宋体"/>
          <w:color w:val="000000"/>
          <w:sz w:val="30"/>
          <w:szCs w:val="30"/>
        </w:rPr>
      </w:pPr>
      <w:bookmarkStart w:id="80" w:name="_Toc519260402"/>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3"/>
      <w:bookmarkEnd w:id="8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2016  </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需提供包含合同首页、标的及金额所在页、供货合同签字盖章页的扫描（或复印）件。</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1" w:name="_Toc519260403"/>
      <w:bookmarkStart w:id="82" w:name="_Toc10010"/>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81"/>
      <w:bookmarkEnd w:id="8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3" w:name="_Toc51926040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3"/>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4" w:name="_Toc519260405"/>
      <w:bookmarkStart w:id="85"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4"/>
    </w:p>
    <w:p>
      <w:pPr>
        <w:jc w:val="center"/>
        <w:rPr>
          <w:rFonts w:ascii="宋体" w:hAnsi="宋体" w:cs="宋体"/>
          <w:b/>
          <w:sz w:val="36"/>
          <w:szCs w:val="36"/>
        </w:rPr>
      </w:pPr>
      <w:bookmarkStart w:id="86" w:name="OLE_LINK13"/>
      <w:bookmarkStart w:id="87"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86"/>
    <w:bookmarkEnd w:id="87"/>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西宁市政府采购中心</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1"/>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8" w:name="_Toc519260406"/>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5"/>
      <w:bookmarkEnd w:id="8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21"/>
        <w:spacing w:before="0" w:after="0" w:line="360" w:lineRule="auto"/>
        <w:rPr>
          <w:rFonts w:ascii="宋体" w:hAnsi="宋体" w:cs="宋体"/>
          <w:color w:val="000000"/>
          <w:szCs w:val="36"/>
          <w:lang w:val="zh-CN"/>
        </w:rPr>
      </w:pPr>
      <w:r>
        <w:rPr>
          <w:rFonts w:hint="eastAsia" w:ascii="宋体" w:hAnsi="宋体" w:cs="宋体"/>
          <w:color w:val="000000"/>
          <w:lang w:val="zh-CN"/>
        </w:rPr>
        <w:br w:type="page"/>
      </w:r>
      <w:bookmarkStart w:id="89" w:name="_Toc18752"/>
      <w:bookmarkStart w:id="90" w:name="_Toc519260407"/>
      <w:r>
        <w:rPr>
          <w:rFonts w:hint="eastAsia" w:ascii="宋体" w:hAnsi="宋体" w:cs="宋体"/>
          <w:color w:val="000000"/>
          <w:szCs w:val="36"/>
          <w:lang w:val="zh-CN"/>
        </w:rPr>
        <w:t>第五部分  采购项目要求及技术参数</w:t>
      </w:r>
      <w:bookmarkEnd w:id="89"/>
      <w:bookmarkEnd w:id="90"/>
    </w:p>
    <w:p>
      <w:pPr>
        <w:pStyle w:val="21"/>
        <w:spacing w:before="0" w:after="0" w:line="360" w:lineRule="auto"/>
        <w:jc w:val="left"/>
        <w:outlineLvl w:val="1"/>
        <w:rPr>
          <w:rFonts w:ascii="宋体" w:hAnsi="宋体" w:cs="宋体"/>
          <w:color w:val="000000"/>
          <w:lang w:val="zh-CN"/>
        </w:rPr>
      </w:pPr>
      <w:bookmarkStart w:id="91" w:name="_Toc4601"/>
      <w:bookmarkStart w:id="92" w:name="_Toc515908232"/>
      <w:bookmarkStart w:id="93" w:name="_Toc493512670"/>
      <w:r>
        <w:rPr>
          <w:rFonts w:hint="eastAsia" w:ascii="宋体" w:hAnsi="宋体" w:cs="宋体"/>
          <w:color w:val="000000"/>
          <w:sz w:val="28"/>
          <w:szCs w:val="28"/>
          <w:lang w:val="zh-CN"/>
        </w:rPr>
        <w:t>1.投标说明</w:t>
      </w:r>
      <w:bookmarkEnd w:id="91"/>
      <w:bookmarkEnd w:id="9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招标内容中未特别标注为“进口”或“原装进口”字样的产品，投标人必须投国产产品；标注为“进口”或“原装进口”字样的产品，投标人应当投进口产品。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w:t>
      </w:r>
    </w:p>
    <w:p>
      <w:pPr>
        <w:pStyle w:val="21"/>
        <w:spacing w:before="0" w:after="0" w:line="360" w:lineRule="auto"/>
        <w:jc w:val="left"/>
        <w:outlineLvl w:val="1"/>
        <w:rPr>
          <w:rFonts w:ascii="宋体" w:hAnsi="宋体" w:cs="宋体"/>
          <w:color w:val="000000"/>
          <w:lang w:val="zh-CN"/>
        </w:rPr>
      </w:pPr>
      <w:bookmarkStart w:id="94" w:name="_Toc26125"/>
      <w:bookmarkStart w:id="95" w:name="_Toc515908233"/>
      <w:r>
        <w:rPr>
          <w:rFonts w:hint="eastAsia" w:ascii="宋体" w:hAnsi="宋体" w:cs="宋体"/>
          <w:color w:val="000000"/>
          <w:sz w:val="28"/>
          <w:szCs w:val="28"/>
        </w:rPr>
        <w:t>2.</w:t>
      </w:r>
      <w:bookmarkEnd w:id="94"/>
      <w:bookmarkStart w:id="96" w:name="_Toc1475"/>
      <w:r>
        <w:rPr>
          <w:rFonts w:hint="eastAsia" w:ascii="宋体" w:hAnsi="宋体" w:cs="宋体"/>
          <w:color w:val="000000"/>
          <w:sz w:val="28"/>
          <w:szCs w:val="28"/>
          <w:lang w:val="zh-CN"/>
        </w:rPr>
        <w:t>重要指标</w:t>
      </w:r>
      <w:bookmarkEnd w:id="95"/>
      <w:bookmarkEnd w:id="96"/>
    </w:p>
    <w:p>
      <w:pPr>
        <w:autoSpaceDE w:val="0"/>
        <w:autoSpaceDN w:val="0"/>
        <w:spacing w:line="360" w:lineRule="auto"/>
        <w:ind w:firstLine="480" w:firstLineChars="200"/>
        <w:rPr>
          <w:rFonts w:ascii="宋体" w:hAnsi="宋体" w:cs="宋体"/>
          <w:b/>
          <w:bCs/>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宋体" w:hAnsi="宋体"/>
          <w:kern w:val="0"/>
        </w:rPr>
        <w:t>★</w:t>
      </w:r>
      <w:r>
        <w:rPr>
          <w:rFonts w:hint="eastAsia" w:ascii="宋体" w:hAnsi="宋体" w:cs="宋体"/>
          <w:b/>
          <w:bCs/>
          <w:color w:val="000000"/>
          <w:kern w:val="0"/>
          <w:lang w:val="zh-CN"/>
        </w:rPr>
        <w:t>”符号标注的属于重要技术参数、指标。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招标文件中凡需与原有设备、系统并机、兼容、匹配等要求的，请主动和采购人联系，取得原有设备、系统相关资料。若有招标文件未提及或变更内容的，请及时与西宁市政府采购中心联系。</w:t>
      </w:r>
    </w:p>
    <w:p>
      <w:pPr>
        <w:autoSpaceDE w:val="0"/>
        <w:autoSpaceDN w:val="0"/>
        <w:spacing w:line="360" w:lineRule="auto"/>
        <w:ind w:firstLine="480" w:firstLineChars="200"/>
        <w:rPr>
          <w:rFonts w:ascii="宋体" w:hAnsi="宋体" w:cs="宋体"/>
          <w:color w:val="000000"/>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西宁市第一人民医院北川分院</w:t>
      </w:r>
    </w:p>
    <w:p>
      <w:pPr>
        <w:spacing w:line="600" w:lineRule="exact"/>
        <w:jc w:val="center"/>
        <w:rPr>
          <w:rFonts w:ascii="宋体" w:hAnsi="宋体"/>
          <w:sz w:val="24"/>
          <w:szCs w:val="24"/>
        </w:rPr>
      </w:pPr>
      <w:r>
        <w:rPr>
          <w:rFonts w:hint="eastAsia" w:ascii="宋体" w:hAnsi="宋体" w:eastAsia="宋体" w:cs="宋体"/>
          <w:b/>
          <w:bCs/>
          <w:sz w:val="44"/>
          <w:szCs w:val="44"/>
        </w:rPr>
        <w:t>服务器设备项目招标参数</w:t>
      </w:r>
    </w:p>
    <w:tbl>
      <w:tblPr>
        <w:tblStyle w:val="22"/>
        <w:tblW w:w="9782" w:type="dxa"/>
        <w:tblInd w:w="-742" w:type="dxa"/>
        <w:tblLayout w:type="fixed"/>
        <w:tblCellMar>
          <w:top w:w="0" w:type="dxa"/>
          <w:left w:w="108" w:type="dxa"/>
          <w:bottom w:w="0" w:type="dxa"/>
          <w:right w:w="108" w:type="dxa"/>
        </w:tblCellMar>
      </w:tblPr>
      <w:tblGrid>
        <w:gridCol w:w="709"/>
        <w:gridCol w:w="354"/>
        <w:gridCol w:w="1349"/>
        <w:gridCol w:w="6661"/>
        <w:gridCol w:w="709"/>
      </w:tblGrid>
      <w:tr>
        <w:tblPrEx>
          <w:tblLayout w:type="fixed"/>
          <w:tblCellMar>
            <w:top w:w="0" w:type="dxa"/>
            <w:left w:w="108" w:type="dxa"/>
            <w:bottom w:w="0" w:type="dxa"/>
            <w:right w:w="108" w:type="dxa"/>
          </w:tblCellMar>
        </w:tblPrEx>
        <w:trPr>
          <w:trHeight w:val="324"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rPr>
            </w:pPr>
            <w:r>
              <w:rPr>
                <w:rFonts w:hint="eastAsia" w:ascii="宋体" w:hAnsi="宋体" w:cs="宋体"/>
                <w:b/>
                <w:bCs/>
                <w:kern w:val="0"/>
              </w:rPr>
              <w:t>序号</w:t>
            </w:r>
          </w:p>
        </w:tc>
        <w:tc>
          <w:tcPr>
            <w:tcW w:w="1703"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rPr>
            </w:pPr>
            <w:r>
              <w:rPr>
                <w:rFonts w:hint="eastAsia" w:ascii="宋体" w:hAnsi="宋体" w:cs="宋体"/>
                <w:b/>
                <w:bCs/>
                <w:kern w:val="0"/>
              </w:rPr>
              <w:t>用途</w:t>
            </w:r>
          </w:p>
        </w:tc>
        <w:tc>
          <w:tcPr>
            <w:tcW w:w="6661"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rPr>
            </w:pPr>
            <w:r>
              <w:rPr>
                <w:rFonts w:hint="eastAsia" w:ascii="宋体" w:hAnsi="宋体" w:cs="宋体"/>
                <w:b/>
                <w:bCs/>
                <w:kern w:val="0"/>
              </w:rPr>
              <w:t>系统配置</w:t>
            </w:r>
          </w:p>
        </w:tc>
        <w:tc>
          <w:tcPr>
            <w:tcW w:w="70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rPr>
            </w:pPr>
            <w:r>
              <w:rPr>
                <w:rFonts w:hint="eastAsia" w:ascii="宋体" w:hAnsi="宋体" w:cs="宋体"/>
                <w:b/>
                <w:bCs/>
                <w:kern w:val="0"/>
              </w:rPr>
              <w:t>数量</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cs="宋体"/>
                <w:b/>
                <w:bCs/>
                <w:kern w:val="0"/>
              </w:rPr>
            </w:pPr>
            <w:r>
              <w:rPr>
                <w:rFonts w:hint="eastAsia" w:ascii="宋体" w:hAnsi="宋体" w:cs="宋体"/>
                <w:b/>
                <w:bCs/>
                <w:kern w:val="0"/>
              </w:rPr>
              <w:t>一</w:t>
            </w:r>
            <w:r>
              <w:rPr>
                <w:rFonts w:ascii="宋体" w:hAnsi="宋体" w:cs="宋体"/>
                <w:b/>
                <w:bCs/>
                <w:kern w:val="0"/>
              </w:rPr>
              <w:t>、硬件</w:t>
            </w:r>
            <w:r>
              <w:rPr>
                <w:rFonts w:hint="eastAsia" w:ascii="宋体" w:hAnsi="宋体" w:cs="宋体"/>
                <w:b/>
                <w:bCs/>
                <w:kern w:val="0"/>
              </w:rPr>
              <w:t>部分</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rPr>
              <w:t>1、数据库系统</w:t>
            </w:r>
          </w:p>
        </w:tc>
        <w:tc>
          <w:tcPr>
            <w:tcW w:w="709" w:type="dxa"/>
            <w:tcBorders>
              <w:top w:val="nil"/>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7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703"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rPr>
              <w:t>HIS核心数据库服务器</w:t>
            </w:r>
          </w:p>
        </w:tc>
        <w:tc>
          <w:tcPr>
            <w:tcW w:w="666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rPr>
            </w:pPr>
            <w:r>
              <w:rPr>
                <w:rFonts w:hint="eastAsia" w:ascii="宋体" w:hAnsi="宋体" w:cs="宋体"/>
                <w:kern w:val="0"/>
              </w:rPr>
              <w:t xml:space="preserve">规格：19英寸工业标准4U机架式服务器，全模块化设计，前后可维护 </w:t>
            </w:r>
            <w:r>
              <w:rPr>
                <w:rFonts w:hint="eastAsia" w:ascii="宋体" w:hAnsi="宋体" w:cs="宋体"/>
                <w:kern w:val="0"/>
              </w:rPr>
              <w:br w:type="textWrapping"/>
            </w:r>
            <w:r>
              <w:rPr>
                <w:rFonts w:hint="eastAsia" w:ascii="宋体" w:hAnsi="宋体" w:cs="宋体"/>
                <w:kern w:val="0"/>
              </w:rPr>
              <w:t xml:space="preserve">支持8个Intel至强可扩展处理器家族金牌及铂金处理器产品。 </w:t>
            </w:r>
            <w:r>
              <w:rPr>
                <w:rFonts w:hint="eastAsia" w:ascii="宋体" w:hAnsi="宋体" w:cs="宋体"/>
                <w:kern w:val="0"/>
              </w:rPr>
              <w:br w:type="textWrapping"/>
            </w:r>
            <w:r>
              <w:rPr>
                <w:rFonts w:hint="eastAsia" w:ascii="宋体" w:hAnsi="宋体" w:cs="宋体"/>
                <w:kern w:val="0"/>
              </w:rPr>
              <w:t>处理器：本次配置4颗Intel Xeon Gold 6126 12C 2.6 GHz 处理器，未来可扩展支持8颗处理器。</w:t>
            </w:r>
            <w:r>
              <w:rPr>
                <w:rFonts w:hint="eastAsia" w:ascii="宋体" w:hAnsi="宋体" w:cs="宋体"/>
                <w:kern w:val="0"/>
              </w:rPr>
              <w:br w:type="textWrapping"/>
            </w:r>
            <w:r>
              <w:rPr>
                <w:rFonts w:hint="eastAsia" w:ascii="宋体" w:hAnsi="宋体" w:cs="宋体"/>
                <w:kern w:val="0"/>
              </w:rPr>
              <w:t>内存：配置384 GB RDIMM ECC 2666 MHZ内存，最大支持96根内存插槽扩展</w:t>
            </w:r>
            <w:r>
              <w:rPr>
                <w:rFonts w:hint="eastAsia" w:ascii="宋体" w:hAnsi="宋体" w:cs="宋体"/>
                <w:kern w:val="0"/>
              </w:rPr>
              <w:br w:type="textWrapping"/>
            </w:r>
            <w:r>
              <w:rPr>
                <w:rFonts w:hint="eastAsia" w:ascii="宋体" w:hAnsi="宋体" w:cs="宋体"/>
                <w:kern w:val="0"/>
              </w:rPr>
              <w:t>硬盘：3块 1.2 TB 10 K 12Gb SAS 2.5寸硬盘，支持内置两个M.2 且支持RAID 0/1，最大支持24块硬盘扩展</w:t>
            </w:r>
            <w:r>
              <w:rPr>
                <w:rFonts w:hint="eastAsia" w:ascii="宋体" w:hAnsi="宋体" w:cs="宋体"/>
                <w:kern w:val="0"/>
              </w:rPr>
              <w:br w:type="textWrapping"/>
            </w:r>
            <w:r>
              <w:rPr>
                <w:rFonts w:hint="eastAsia" w:ascii="宋体" w:hAnsi="宋体" w:cs="宋体"/>
                <w:kern w:val="0"/>
              </w:rPr>
              <w:t>RAID功能：配置1块2GB缓存12Gb Raid卡，支持0/1/10/5/50 RAID级别，可选RAID 6/60。</w:t>
            </w:r>
            <w:r>
              <w:rPr>
                <w:rFonts w:hint="eastAsia" w:ascii="宋体" w:hAnsi="宋体" w:cs="宋体"/>
                <w:kern w:val="0"/>
              </w:rPr>
              <w:br w:type="textWrapping"/>
            </w:r>
            <w:r>
              <w:rPr>
                <w:rFonts w:hint="eastAsia" w:ascii="宋体" w:hAnsi="宋体" w:cs="宋体"/>
                <w:kern w:val="0"/>
              </w:rPr>
              <w:t>网卡：标配2口千兆以太网控制器，1块双口万兆光纤网卡（含光纤模块），1个独享的管理端口</w:t>
            </w:r>
            <w:r>
              <w:rPr>
                <w:rFonts w:hint="eastAsia" w:ascii="宋体" w:hAnsi="宋体" w:cs="宋体"/>
                <w:kern w:val="0"/>
              </w:rPr>
              <w:br w:type="textWrapping"/>
            </w:r>
            <w:r>
              <w:rPr>
                <w:rFonts w:hint="eastAsia" w:ascii="宋体" w:hAnsi="宋体" w:cs="宋体"/>
                <w:kern w:val="0"/>
              </w:rPr>
              <w:t>HBA卡：配置双口16Gb HBA卡</w:t>
            </w:r>
            <w:r>
              <w:rPr>
                <w:rFonts w:hint="eastAsia" w:ascii="宋体" w:hAnsi="宋体" w:cs="宋体"/>
                <w:kern w:val="0"/>
              </w:rPr>
              <w:br w:type="textWrapping"/>
            </w:r>
            <w:r>
              <w:rPr>
                <w:rFonts w:hint="eastAsia" w:ascii="宋体" w:hAnsi="宋体" w:cs="宋体"/>
                <w:kern w:val="0"/>
              </w:rPr>
              <w:t>配件：机架安装滑动导轨</w:t>
            </w:r>
            <w:r>
              <w:rPr>
                <w:rFonts w:hint="eastAsia" w:ascii="宋体" w:hAnsi="宋体" w:cs="宋体"/>
                <w:kern w:val="0"/>
              </w:rPr>
              <w:br w:type="textWrapping"/>
            </w:r>
            <w:r>
              <w:rPr>
                <w:rFonts w:hint="eastAsia" w:ascii="宋体" w:hAnsi="宋体" w:cs="宋体"/>
                <w:kern w:val="0"/>
              </w:rPr>
              <w:t>电源：实配电源输出功率≥1100W 80+铂金电源，2+2热插拔冗余电源，并提供配套的电源连接线</w:t>
            </w:r>
            <w:r>
              <w:rPr>
                <w:rFonts w:hint="eastAsia" w:ascii="宋体" w:hAnsi="宋体" w:cs="宋体"/>
                <w:kern w:val="0"/>
              </w:rPr>
              <w:br w:type="textWrapping"/>
            </w:r>
            <w:r>
              <w:rPr>
                <w:rFonts w:hint="eastAsia" w:ascii="宋体" w:hAnsi="宋体" w:cs="宋体"/>
                <w:kern w:val="0"/>
              </w:rPr>
              <w:t>管理功能：提供硬件集中式资源管理系统，可自动发现、清点、跟踪、监控和配置服务器、网络和存储硬件，提供如下功能：</w:t>
            </w:r>
            <w:r>
              <w:rPr>
                <w:rFonts w:hint="eastAsia" w:ascii="宋体" w:hAnsi="宋体" w:cs="宋体"/>
                <w:kern w:val="0"/>
              </w:rPr>
              <w:br w:type="textWrapping"/>
            </w:r>
            <w:r>
              <w:rPr>
                <w:rFonts w:hint="eastAsia" w:ascii="宋体" w:hAnsi="宋体" w:cs="宋体"/>
                <w:kern w:val="0"/>
              </w:rPr>
              <w:t>1）硬件管理：可免代理进行硬件管理，可自动发现可管理的设备（包括服务器、网络和存储硬件），收集受管设备的清单数据，包括查看状态和属性、配置系统和网络设置、启动管理界面、打开和关闭电源以及远程控制；展示机架视图将受管设备进行分组</w:t>
            </w:r>
            <w:r>
              <w:rPr>
                <w:rFonts w:hint="eastAsia" w:ascii="宋体" w:hAnsi="宋体" w:cs="宋体"/>
                <w:kern w:val="0"/>
              </w:rPr>
              <w:br w:type="textWrapping"/>
            </w:r>
            <w:r>
              <w:rPr>
                <w:rFonts w:hint="eastAsia" w:ascii="宋体" w:hAnsi="宋体" w:cs="宋体"/>
                <w:kern w:val="0"/>
              </w:rPr>
              <w:t>2）硬件监控：可集中查看从受管设备生成的所有事件和警报，事件或警报将传递到集中管理平台，并显示在事件或警报日志中，可从仪表板和状态栏中查看所有事件和警报的摘要，同时可查看特定设备的警报和事件详细信息。</w:t>
            </w:r>
            <w:r>
              <w:rPr>
                <w:rFonts w:hint="eastAsia" w:ascii="宋体" w:hAnsi="宋体" w:cs="宋体"/>
                <w:kern w:val="0"/>
              </w:rPr>
              <w:br w:type="textWrapping"/>
            </w:r>
            <w:r>
              <w:rPr>
                <w:rFonts w:hint="eastAsia" w:ascii="宋体" w:hAnsi="宋体" w:cs="宋体"/>
                <w:kern w:val="0"/>
              </w:rPr>
              <w:t>3）可批量部署操作系统</w:t>
            </w:r>
            <w:r>
              <w:rPr>
                <w:rFonts w:hint="eastAsia" w:ascii="宋体" w:hAnsi="宋体" w:cs="宋体"/>
                <w:kern w:val="0"/>
              </w:rPr>
              <w:br w:type="textWrapping"/>
            </w:r>
            <w:r>
              <w:rPr>
                <w:rFonts w:ascii="宋体" w:hAnsi="宋体" w:cs="宋体"/>
                <w:kern w:val="0"/>
              </w:rPr>
              <w:t>4</w:t>
            </w:r>
            <w:r>
              <w:rPr>
                <w:rFonts w:hint="eastAsia" w:ascii="宋体" w:hAnsi="宋体" w:cs="宋体"/>
                <w:kern w:val="0"/>
              </w:rPr>
              <w:t>）移动APP管理功能：提供支持Android和 iOS的移动APP，通过APP可以集中监控查看设备的状态、审计日志和报警信息，以及执行设备电源开关动作等</w:t>
            </w:r>
            <w:r>
              <w:rPr>
                <w:rFonts w:hint="eastAsia" w:ascii="宋体" w:hAnsi="宋体" w:cs="宋体"/>
                <w:kern w:val="0"/>
              </w:rPr>
              <w:br w:type="textWrapping"/>
            </w:r>
            <w:r>
              <w:rPr>
                <w:rFonts w:hint="eastAsia" w:ascii="宋体" w:hAnsi="宋体" w:cs="宋体"/>
                <w:kern w:val="0"/>
              </w:rPr>
              <w:t>工作温度最高支持45°C。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2台</w:t>
            </w:r>
          </w:p>
        </w:tc>
      </w:tr>
      <w:tr>
        <w:tblPrEx>
          <w:tblLayout w:type="fixed"/>
          <w:tblCellMar>
            <w:top w:w="0" w:type="dxa"/>
            <w:left w:w="108" w:type="dxa"/>
            <w:bottom w:w="0" w:type="dxa"/>
            <w:right w:w="108" w:type="dxa"/>
          </w:tblCellMar>
        </w:tblPrEx>
        <w:trPr>
          <w:trHeight w:val="8184"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rPr>
              <w:t>PACS核心数据库服务器</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cs="宋体"/>
                <w:kern w:val="0"/>
              </w:rPr>
            </w:pPr>
            <w:r>
              <w:rPr>
                <w:rFonts w:hint="eastAsia" w:ascii="宋体" w:hAnsi="宋体" w:cs="宋体"/>
                <w:kern w:val="0"/>
              </w:rPr>
              <w:t>规格：19英寸工业标准4U机架式服务器</w:t>
            </w:r>
            <w:r>
              <w:rPr>
                <w:rFonts w:hint="eastAsia" w:ascii="宋体" w:hAnsi="宋体" w:cs="宋体"/>
                <w:kern w:val="0"/>
              </w:rPr>
              <w:br w:type="textWrapping"/>
            </w:r>
            <w:r>
              <w:rPr>
                <w:rFonts w:hint="eastAsia" w:ascii="宋体" w:hAnsi="宋体" w:cs="宋体"/>
                <w:kern w:val="0"/>
              </w:rPr>
              <w:t>支持Intel至强可扩展处理器家族铜牌、银牌、金牌及铂金处理器产品。</w:t>
            </w:r>
            <w:r>
              <w:rPr>
                <w:rFonts w:hint="eastAsia" w:ascii="宋体" w:hAnsi="宋体" w:cs="宋体"/>
                <w:kern w:val="0"/>
              </w:rPr>
              <w:br w:type="textWrapping"/>
            </w:r>
            <w:r>
              <w:rPr>
                <w:rFonts w:hint="eastAsia" w:ascii="宋体" w:hAnsi="宋体" w:cs="宋体"/>
                <w:kern w:val="0"/>
              </w:rPr>
              <w:t>处理器：4颗Intel Xeon Gold 6126 12C 2.6 GHz 处理器</w:t>
            </w:r>
            <w:r>
              <w:rPr>
                <w:rFonts w:hint="eastAsia" w:ascii="宋体" w:hAnsi="宋体" w:cs="宋体"/>
                <w:kern w:val="0"/>
              </w:rPr>
              <w:br w:type="textWrapping"/>
            </w:r>
            <w:r>
              <w:rPr>
                <w:rFonts w:hint="eastAsia" w:ascii="宋体" w:hAnsi="宋体" w:cs="宋体"/>
                <w:kern w:val="0"/>
              </w:rPr>
              <w:t>内存：192 GB RDIMM ECC 2666 MHZ DDR4 内存，48条扩展插槽</w:t>
            </w:r>
            <w:r>
              <w:rPr>
                <w:rFonts w:hint="eastAsia" w:ascii="宋体" w:hAnsi="宋体" w:cs="宋体"/>
                <w:kern w:val="0"/>
              </w:rPr>
              <w:br w:type="textWrapping"/>
            </w:r>
            <w:r>
              <w:rPr>
                <w:rFonts w:hint="eastAsia" w:ascii="宋体" w:hAnsi="宋体" w:cs="宋体"/>
                <w:kern w:val="0"/>
              </w:rPr>
              <w:t>硬盘：3块1.2 TB 10 K 12Gb SAS 2.5寸硬盘，支持内置两个M.2 且支持RAID 0/1，最大支持16块硬盘扩展</w:t>
            </w:r>
            <w:r>
              <w:rPr>
                <w:rFonts w:hint="eastAsia" w:ascii="宋体" w:hAnsi="宋体" w:cs="宋体"/>
                <w:kern w:val="0"/>
              </w:rPr>
              <w:br w:type="textWrapping"/>
            </w:r>
            <w:r>
              <w:rPr>
                <w:rFonts w:hint="eastAsia" w:ascii="宋体" w:hAnsi="宋体" w:cs="宋体"/>
                <w:kern w:val="0"/>
              </w:rPr>
              <w:t>RAID功能：配置1块2GB缓存12Gb Raid卡，支持0/1/10/5/50 RAID级别，可选RAID 6/60。</w:t>
            </w:r>
            <w:r>
              <w:rPr>
                <w:rFonts w:hint="eastAsia" w:ascii="宋体" w:hAnsi="宋体" w:cs="宋体"/>
                <w:kern w:val="0"/>
              </w:rPr>
              <w:br w:type="textWrapping"/>
            </w:r>
            <w:r>
              <w:rPr>
                <w:rFonts w:hint="eastAsia" w:ascii="宋体" w:hAnsi="宋体" w:cs="宋体"/>
                <w:kern w:val="0"/>
              </w:rPr>
              <w:t>网卡：标配2口千兆以太网控制器，1块双口万兆光纤网卡（含光纤模块），1个独享的管理端口</w:t>
            </w:r>
            <w:r>
              <w:rPr>
                <w:rFonts w:hint="eastAsia" w:ascii="宋体" w:hAnsi="宋体" w:cs="宋体"/>
                <w:kern w:val="0"/>
              </w:rPr>
              <w:br w:type="textWrapping"/>
            </w:r>
            <w:r>
              <w:rPr>
                <w:rFonts w:hint="eastAsia" w:ascii="宋体" w:hAnsi="宋体" w:cs="宋体"/>
                <w:kern w:val="0"/>
              </w:rPr>
              <w:t>HBA卡：配置双口16Gb HBA卡</w:t>
            </w:r>
            <w:r>
              <w:rPr>
                <w:rFonts w:hint="eastAsia" w:ascii="宋体" w:hAnsi="宋体" w:cs="宋体"/>
                <w:kern w:val="0"/>
              </w:rPr>
              <w:br w:type="textWrapping"/>
            </w:r>
            <w:r>
              <w:rPr>
                <w:rFonts w:hint="eastAsia" w:ascii="宋体" w:hAnsi="宋体" w:cs="宋体"/>
                <w:kern w:val="0"/>
              </w:rPr>
              <w:t>配件：机架安装滑动导轨</w:t>
            </w:r>
            <w:r>
              <w:rPr>
                <w:rFonts w:hint="eastAsia" w:ascii="宋体" w:hAnsi="宋体" w:cs="宋体"/>
                <w:kern w:val="0"/>
              </w:rPr>
              <w:br w:type="textWrapping"/>
            </w:r>
            <w:r>
              <w:rPr>
                <w:rFonts w:hint="eastAsia" w:ascii="宋体" w:hAnsi="宋体" w:cs="宋体"/>
                <w:kern w:val="0"/>
              </w:rPr>
              <w:t>电源：电源输出功率750W 80+铂金电源，1+1冗余电源，支持主备模式。</w:t>
            </w:r>
          </w:p>
          <w:p>
            <w:pPr>
              <w:widowControl/>
              <w:spacing w:after="240"/>
              <w:jc w:val="left"/>
              <w:rPr>
                <w:rFonts w:ascii="宋体" w:hAnsi="宋体" w:cs="宋体"/>
                <w:kern w:val="0"/>
              </w:rPr>
            </w:pPr>
            <w:r>
              <w:rPr>
                <w:rFonts w:hint="eastAsia" w:ascii="宋体" w:hAnsi="宋体" w:cs="宋体"/>
                <w:kern w:val="0"/>
              </w:rPr>
              <w:t>签订合同时提供软件著作权证书，可自动发现、清点、跟踪、监控和配置服务器、网络和存储硬件，提供如下功能：</w:t>
            </w:r>
            <w:r>
              <w:rPr>
                <w:rFonts w:hint="eastAsia" w:ascii="宋体" w:hAnsi="宋体" w:cs="宋体"/>
                <w:kern w:val="0"/>
              </w:rPr>
              <w:br w:type="textWrapping"/>
            </w:r>
            <w:r>
              <w:rPr>
                <w:rFonts w:hint="eastAsia" w:ascii="宋体" w:hAnsi="宋体" w:cs="宋体"/>
                <w:kern w:val="0"/>
              </w:rPr>
              <w:t>1）硬件管理：可免代理进行硬件管理，可自动发现可管理的设备（包括服务器、网络和存储硬件），收集受管设备的清单数据，包括查看状态和属性、配置系统和网络设置、启动管理界面、打开和关闭电源以及远程控制；展示机架视图将受管设备进行分组</w:t>
            </w:r>
            <w:r>
              <w:rPr>
                <w:rFonts w:hint="eastAsia" w:ascii="宋体" w:hAnsi="宋体" w:cs="宋体"/>
                <w:kern w:val="0"/>
              </w:rPr>
              <w:br w:type="textWrapping"/>
            </w:r>
            <w:r>
              <w:rPr>
                <w:rFonts w:hint="eastAsia" w:ascii="宋体" w:hAnsi="宋体" w:cs="宋体"/>
                <w:kern w:val="0"/>
              </w:rPr>
              <w:t>2）硬件监控：可集中查看从受管设备生成的所有事件和警报，事件或警报将传递到集中管理平台，并显示在事件或警报日志中，可从仪表板和状态栏中查看所有事件和警报的摘要，同时可查看特定设备的警报和事件详细信息。</w:t>
            </w:r>
            <w:r>
              <w:rPr>
                <w:rFonts w:hint="eastAsia" w:ascii="宋体" w:hAnsi="宋体" w:cs="宋体"/>
                <w:kern w:val="0"/>
              </w:rPr>
              <w:br w:type="textWrapping"/>
            </w:r>
            <w:r>
              <w:rPr>
                <w:rFonts w:hint="eastAsia" w:ascii="宋体" w:hAnsi="宋体" w:cs="宋体"/>
                <w:kern w:val="0"/>
              </w:rPr>
              <w:t>3）可批量部署操作系统</w:t>
            </w:r>
            <w:r>
              <w:rPr>
                <w:rFonts w:hint="eastAsia" w:ascii="宋体" w:hAnsi="宋体" w:cs="宋体"/>
                <w:kern w:val="0"/>
              </w:rPr>
              <w:br w:type="textWrapping"/>
            </w:r>
            <w:r>
              <w:rPr>
                <w:rFonts w:ascii="宋体" w:hAnsi="宋体" w:cs="宋体"/>
                <w:kern w:val="0"/>
              </w:rPr>
              <w:t>4</w:t>
            </w:r>
            <w:r>
              <w:rPr>
                <w:rFonts w:hint="eastAsia" w:ascii="宋体" w:hAnsi="宋体" w:cs="宋体"/>
                <w:kern w:val="0"/>
              </w:rPr>
              <w:t>）移动APP管理功能：提供支持Android和 iOS的移动APP，通过APP可以集中监控查看设备的状态、审计日志和报警信息，以及执行设备电源开关动作等</w:t>
            </w:r>
            <w:r>
              <w:rPr>
                <w:rFonts w:hint="eastAsia" w:ascii="宋体" w:hAnsi="宋体" w:cs="宋体"/>
                <w:kern w:val="0"/>
              </w:rPr>
              <w:br w:type="textWrapping"/>
            </w:r>
            <w:r>
              <w:rPr>
                <w:rFonts w:hint="eastAsia" w:ascii="宋体" w:hAnsi="宋体" w:cs="宋体"/>
                <w:kern w:val="0"/>
              </w:rPr>
              <w:t>工作温度最高支持45°C。</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2台</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rPr>
            </w:pPr>
            <w:r>
              <w:rPr>
                <w:rFonts w:hint="eastAsia" w:ascii="宋体" w:hAnsi="宋体" w:cs="宋体"/>
                <w:b/>
                <w:bCs/>
                <w:kern w:val="0"/>
              </w:rPr>
              <w:t>2、虚拟化应用服务器</w:t>
            </w:r>
          </w:p>
        </w:tc>
        <w:tc>
          <w:tcPr>
            <w:tcW w:w="709"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7536"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rPr>
              <w:t>虚拟化服务器</w:t>
            </w:r>
          </w:p>
        </w:tc>
        <w:tc>
          <w:tcPr>
            <w:tcW w:w="666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rPr>
            </w:pPr>
            <w:r>
              <w:rPr>
                <w:rFonts w:hint="eastAsia" w:ascii="宋体" w:hAnsi="宋体" w:cs="宋体"/>
                <w:kern w:val="0"/>
              </w:rPr>
              <w:t>规格：19英寸工业标准2U机架式服务器</w:t>
            </w:r>
          </w:p>
          <w:p>
            <w:pPr>
              <w:widowControl/>
              <w:jc w:val="left"/>
              <w:rPr>
                <w:rFonts w:ascii="宋体" w:hAnsi="宋体" w:cs="宋体"/>
                <w:kern w:val="0"/>
              </w:rPr>
            </w:pPr>
            <w:r>
              <w:rPr>
                <w:rFonts w:hint="eastAsia" w:ascii="宋体" w:hAnsi="宋体" w:cs="宋体"/>
                <w:kern w:val="0"/>
              </w:rPr>
              <w:t>支持Intel至强可扩展处理器家族铜牌、银牌、金牌及铂金处理器产品。</w:t>
            </w:r>
            <w:r>
              <w:rPr>
                <w:rFonts w:hint="eastAsia" w:ascii="宋体" w:hAnsi="宋体" w:cs="宋体"/>
                <w:kern w:val="0"/>
              </w:rPr>
              <w:br w:type="textWrapping"/>
            </w:r>
            <w:r>
              <w:rPr>
                <w:rFonts w:hint="eastAsia" w:ascii="宋体" w:hAnsi="宋体" w:cs="宋体"/>
                <w:kern w:val="0"/>
              </w:rPr>
              <w:t>处理器：2颗Intel Xeon Gold 5120 14C 2.0 GHz 处理器</w:t>
            </w:r>
            <w:r>
              <w:rPr>
                <w:rFonts w:hint="eastAsia" w:ascii="宋体" w:hAnsi="宋体" w:cs="宋体"/>
                <w:kern w:val="0"/>
              </w:rPr>
              <w:br w:type="textWrapping"/>
            </w:r>
            <w:r>
              <w:rPr>
                <w:rFonts w:hint="eastAsia" w:ascii="宋体" w:hAnsi="宋体" w:cs="宋体"/>
                <w:kern w:val="0"/>
              </w:rPr>
              <w:t>内存：256 GB DDR4 2666 MHz（2Rx8 1.2V），24条扩展插槽，支持内存保护技术</w:t>
            </w:r>
            <w:r>
              <w:rPr>
                <w:rFonts w:hint="eastAsia" w:ascii="宋体" w:hAnsi="宋体" w:cs="宋体"/>
                <w:kern w:val="0"/>
              </w:rPr>
              <w:br w:type="textWrapping"/>
            </w:r>
            <w:r>
              <w:rPr>
                <w:rFonts w:hint="eastAsia" w:ascii="宋体" w:hAnsi="宋体" w:cs="宋体"/>
                <w:kern w:val="0"/>
              </w:rPr>
              <w:t>硬盘：3*2.5 英寸 1.2 TB 10K SAS 12Gb 热插硬盘，最大支持24块2.5寸硬盘扩展。支持内置两个M.2 且支持RAID 0/1</w:t>
            </w:r>
          </w:p>
          <w:p>
            <w:pPr>
              <w:widowControl/>
              <w:jc w:val="left"/>
              <w:rPr>
                <w:rFonts w:ascii="宋体" w:hAnsi="宋体" w:cs="宋体"/>
                <w:kern w:val="0"/>
              </w:rPr>
            </w:pPr>
            <w:r>
              <w:rPr>
                <w:rFonts w:hint="eastAsia" w:ascii="宋体" w:hAnsi="宋体" w:cs="宋体"/>
                <w:kern w:val="0"/>
              </w:rPr>
              <w:t>RAID功能：配置1块 12Gb Raid卡1GB缓存，支持0/1/10/5/50 RAID级别</w:t>
            </w:r>
            <w:r>
              <w:rPr>
                <w:rFonts w:hint="eastAsia" w:ascii="宋体" w:hAnsi="宋体" w:cs="宋体"/>
                <w:kern w:val="0"/>
              </w:rPr>
              <w:br w:type="textWrapping"/>
            </w:r>
            <w:r>
              <w:rPr>
                <w:rFonts w:hint="eastAsia" w:ascii="宋体" w:hAnsi="宋体" w:cs="宋体"/>
                <w:kern w:val="0"/>
              </w:rPr>
              <w:t>网卡：标配2口千兆以太网控制器，1块双口万兆光纤网卡（含光纤模块），1个独享的管理端口</w:t>
            </w:r>
            <w:r>
              <w:rPr>
                <w:rFonts w:hint="eastAsia" w:ascii="宋体" w:hAnsi="宋体" w:cs="宋体"/>
                <w:kern w:val="0"/>
              </w:rPr>
              <w:br w:type="textWrapping"/>
            </w:r>
            <w:r>
              <w:rPr>
                <w:rFonts w:hint="eastAsia" w:ascii="宋体" w:hAnsi="宋体" w:cs="宋体"/>
                <w:kern w:val="0"/>
              </w:rPr>
              <w:t>HBA卡：配置1块双口16Gb HBA卡</w:t>
            </w:r>
            <w:r>
              <w:rPr>
                <w:rFonts w:hint="eastAsia" w:ascii="宋体" w:hAnsi="宋体" w:cs="宋体"/>
                <w:kern w:val="0"/>
              </w:rPr>
              <w:br w:type="textWrapping"/>
            </w:r>
            <w:r>
              <w:rPr>
                <w:rFonts w:hint="eastAsia" w:ascii="宋体" w:hAnsi="宋体" w:cs="宋体"/>
                <w:kern w:val="0"/>
              </w:rPr>
              <w:t>配件：机架安装滑动导轨</w:t>
            </w:r>
            <w:r>
              <w:rPr>
                <w:rFonts w:hint="eastAsia" w:ascii="宋体" w:hAnsi="宋体" w:cs="宋体"/>
                <w:kern w:val="0"/>
              </w:rPr>
              <w:br w:type="textWrapping"/>
            </w:r>
            <w:r>
              <w:rPr>
                <w:rFonts w:hint="eastAsia" w:ascii="宋体" w:hAnsi="宋体" w:cs="宋体"/>
                <w:kern w:val="0"/>
              </w:rPr>
              <w:t>最大支持7个PCIe3.0插槽，可支持GPU卡扩展</w:t>
            </w:r>
            <w:r>
              <w:rPr>
                <w:rFonts w:hint="eastAsia" w:ascii="宋体" w:hAnsi="宋体" w:cs="宋体"/>
                <w:kern w:val="0"/>
              </w:rPr>
              <w:br w:type="textWrapping"/>
            </w:r>
            <w:r>
              <w:rPr>
                <w:rFonts w:hint="eastAsia" w:ascii="宋体" w:hAnsi="宋体" w:cs="宋体"/>
                <w:kern w:val="0"/>
              </w:rPr>
              <w:t>电源：电源输出功率750W 80+铂金电源，1+1冗余电源，支持主备模式</w:t>
            </w:r>
          </w:p>
          <w:p>
            <w:pPr>
              <w:widowControl/>
              <w:jc w:val="left"/>
              <w:rPr>
                <w:rFonts w:ascii="宋体" w:hAnsi="宋体" w:cs="宋体"/>
                <w:kern w:val="0"/>
              </w:rPr>
            </w:pPr>
            <w:r>
              <w:rPr>
                <w:rFonts w:hint="eastAsia" w:ascii="宋体" w:hAnsi="宋体" w:cs="宋体"/>
                <w:kern w:val="0"/>
              </w:rPr>
              <w:t>管理功能：提供硬件集中式资源管理系统，可自动发现、清点、跟踪、监控和配置服务器、网络和存储硬件，提供如下功能：</w:t>
            </w:r>
            <w:r>
              <w:rPr>
                <w:rFonts w:hint="eastAsia" w:ascii="宋体" w:hAnsi="宋体" w:cs="宋体"/>
                <w:kern w:val="0"/>
              </w:rPr>
              <w:br w:type="textWrapping"/>
            </w:r>
            <w:r>
              <w:rPr>
                <w:rFonts w:hint="eastAsia" w:ascii="宋体" w:hAnsi="宋体" w:cs="宋体"/>
                <w:kern w:val="0"/>
              </w:rPr>
              <w:t>1）硬件管理：可免代理进行硬件管理，可自动发现可管理的设备（包括服务器、网络和存储硬件），收集受管设备的清单数据，包括查看状态和属性、配置系统和网络设置、启动管理界面、打开和关闭电源以及远程控制；展示机架视图将受管设备进行分组</w:t>
            </w:r>
            <w:r>
              <w:rPr>
                <w:rFonts w:hint="eastAsia" w:ascii="宋体" w:hAnsi="宋体" w:cs="宋体"/>
                <w:kern w:val="0"/>
              </w:rPr>
              <w:br w:type="textWrapping"/>
            </w:r>
            <w:r>
              <w:rPr>
                <w:rFonts w:hint="eastAsia" w:ascii="宋体" w:hAnsi="宋体" w:cs="宋体"/>
                <w:kern w:val="0"/>
              </w:rPr>
              <w:t>2）硬件监控：可集中查看从受管设备生成的所有事件和警报，事件或警报将传递到集中管理平台，并显示在事件或警报日志中，可从仪表板和状态栏中查看所有事件和警报的摘要，同时可查看特定设备的警报和事件详细信息。</w:t>
            </w:r>
            <w:r>
              <w:rPr>
                <w:rFonts w:hint="eastAsia" w:ascii="宋体" w:hAnsi="宋体" w:cs="宋体"/>
                <w:kern w:val="0"/>
              </w:rPr>
              <w:br w:type="textWrapping"/>
            </w:r>
            <w:r>
              <w:rPr>
                <w:rFonts w:hint="eastAsia" w:ascii="宋体" w:hAnsi="宋体" w:cs="宋体"/>
                <w:kern w:val="0"/>
              </w:rPr>
              <w:t>3）可批量部署操作系统</w:t>
            </w:r>
            <w:r>
              <w:rPr>
                <w:rFonts w:hint="eastAsia" w:ascii="宋体" w:hAnsi="宋体" w:cs="宋体"/>
                <w:kern w:val="0"/>
              </w:rPr>
              <w:br w:type="textWrapping"/>
            </w:r>
            <w:r>
              <w:rPr>
                <w:rFonts w:ascii="宋体" w:hAnsi="宋体" w:cs="宋体"/>
                <w:kern w:val="0"/>
              </w:rPr>
              <w:t>4</w:t>
            </w:r>
            <w:r>
              <w:rPr>
                <w:rFonts w:hint="eastAsia" w:ascii="宋体" w:hAnsi="宋体" w:cs="宋体"/>
                <w:kern w:val="0"/>
              </w:rPr>
              <w:t>）移动APP管理功能：提供支持Android和 iOS的移动APP，通过APP可以集中监控查看设备的状态、审计日志和报警信息，以及执行设备电源开关动作等</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4台</w:t>
            </w:r>
          </w:p>
        </w:tc>
      </w:tr>
      <w:tr>
        <w:tblPrEx>
          <w:tblLayout w:type="fixed"/>
          <w:tblCellMar>
            <w:top w:w="0" w:type="dxa"/>
            <w:left w:w="108" w:type="dxa"/>
            <w:bottom w:w="0" w:type="dxa"/>
            <w:right w:w="108" w:type="dxa"/>
          </w:tblCellMar>
        </w:tblPrEx>
        <w:trPr>
          <w:trHeight w:val="285" w:hRule="atLeast"/>
        </w:trPr>
        <w:tc>
          <w:tcPr>
            <w:tcW w:w="907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rPr>
            </w:pPr>
            <w:r>
              <w:rPr>
                <w:rFonts w:hint="eastAsia" w:ascii="宋体" w:hAnsi="宋体" w:cs="宋体"/>
                <w:b/>
                <w:bCs/>
                <w:kern w:val="0"/>
              </w:rPr>
              <w:t xml:space="preserve">  3、物理服务器</w:t>
            </w:r>
          </w:p>
        </w:tc>
        <w:tc>
          <w:tcPr>
            <w:tcW w:w="709"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4101"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rPr>
              <w:t>前置机服务器</w:t>
            </w:r>
          </w:p>
        </w:tc>
        <w:tc>
          <w:tcPr>
            <w:tcW w:w="666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rPr>
            </w:pPr>
            <w:r>
              <w:rPr>
                <w:rFonts w:hint="eastAsia" w:ascii="宋体" w:hAnsi="宋体" w:cs="宋体"/>
                <w:kern w:val="0"/>
              </w:rPr>
              <w:t>规格：19英寸工业标准2U机架式服务器</w:t>
            </w:r>
            <w:r>
              <w:rPr>
                <w:rFonts w:hint="eastAsia" w:ascii="宋体" w:hAnsi="宋体" w:cs="宋体"/>
                <w:kern w:val="0"/>
              </w:rPr>
              <w:br w:type="textWrapping"/>
            </w:r>
            <w:r>
              <w:rPr>
                <w:rFonts w:hint="eastAsia" w:ascii="宋体" w:hAnsi="宋体" w:cs="宋体"/>
                <w:kern w:val="0"/>
              </w:rPr>
              <w:t>处理器：2颗Intel Xeon Silver 4110 8C 2.1 GHz 处理器</w:t>
            </w:r>
            <w:r>
              <w:rPr>
                <w:rFonts w:hint="eastAsia" w:ascii="宋体" w:hAnsi="宋体" w:cs="宋体"/>
                <w:kern w:val="0"/>
              </w:rPr>
              <w:br w:type="textWrapping"/>
            </w:r>
            <w:r>
              <w:rPr>
                <w:rFonts w:hint="eastAsia" w:ascii="宋体" w:hAnsi="宋体" w:cs="宋体"/>
                <w:kern w:val="0"/>
              </w:rPr>
              <w:t>内存：64 GB DDR4 2666 MHz（2Rx8 1.2V），支持12条内存扩展插槽，支持内存保护技术</w:t>
            </w:r>
            <w:r>
              <w:rPr>
                <w:rFonts w:hint="eastAsia" w:ascii="宋体" w:hAnsi="宋体" w:cs="宋体"/>
                <w:kern w:val="0"/>
              </w:rPr>
              <w:br w:type="textWrapping"/>
            </w:r>
            <w:r>
              <w:rPr>
                <w:rFonts w:hint="eastAsia" w:ascii="宋体" w:hAnsi="宋体" w:cs="宋体"/>
                <w:kern w:val="0"/>
              </w:rPr>
              <w:t>硬盘：3*2.5 英寸 1.2 TB 10K SAS 12Gb 热插硬盘</w:t>
            </w:r>
            <w:r>
              <w:rPr>
                <w:rFonts w:hint="eastAsia" w:ascii="宋体" w:hAnsi="宋体" w:cs="宋体"/>
                <w:kern w:val="0"/>
              </w:rPr>
              <w:br w:type="textWrapping"/>
            </w:r>
            <w:r>
              <w:rPr>
                <w:rFonts w:hint="eastAsia" w:ascii="宋体" w:hAnsi="宋体" w:cs="宋体"/>
                <w:kern w:val="0"/>
              </w:rPr>
              <w:t>RAID功能：配置1块12Gb Raid卡，支持0/1/10/5/50 RAID级别</w:t>
            </w:r>
            <w:r>
              <w:rPr>
                <w:rFonts w:hint="eastAsia" w:ascii="宋体" w:hAnsi="宋体" w:cs="宋体"/>
                <w:kern w:val="0"/>
              </w:rPr>
              <w:br w:type="textWrapping"/>
            </w:r>
            <w:r>
              <w:rPr>
                <w:rFonts w:hint="eastAsia" w:ascii="宋体" w:hAnsi="宋体" w:cs="宋体"/>
                <w:kern w:val="0"/>
              </w:rPr>
              <w:t>网卡：标配2口千兆以太网控制器，1块双口万兆光纤网卡（含光纤模块），1个独享的管理端口</w:t>
            </w:r>
            <w:r>
              <w:rPr>
                <w:rFonts w:hint="eastAsia" w:ascii="宋体" w:hAnsi="宋体" w:cs="宋体"/>
                <w:kern w:val="0"/>
              </w:rPr>
              <w:br w:type="textWrapping"/>
            </w:r>
            <w:r>
              <w:rPr>
                <w:rFonts w:hint="eastAsia" w:ascii="宋体" w:hAnsi="宋体" w:cs="宋体"/>
                <w:kern w:val="0"/>
              </w:rPr>
              <w:t>配件：机架安装滑动导轨</w:t>
            </w:r>
            <w:r>
              <w:rPr>
                <w:rFonts w:hint="eastAsia" w:ascii="宋体" w:hAnsi="宋体" w:cs="宋体"/>
                <w:kern w:val="0"/>
              </w:rPr>
              <w:br w:type="textWrapping"/>
            </w:r>
            <w:r>
              <w:rPr>
                <w:rFonts w:hint="eastAsia" w:ascii="宋体" w:hAnsi="宋体" w:cs="宋体"/>
                <w:kern w:val="0"/>
              </w:rPr>
              <w:t>工作温度最高支持45°C。</w:t>
            </w:r>
            <w:r>
              <w:rPr>
                <w:rFonts w:hint="eastAsia" w:ascii="宋体" w:hAnsi="宋体" w:cs="宋体"/>
                <w:kern w:val="0"/>
              </w:rPr>
              <w:br w:type="textWrapping"/>
            </w:r>
            <w:r>
              <w:rPr>
                <w:rFonts w:hint="eastAsia" w:ascii="宋体" w:hAnsi="宋体" w:cs="宋体"/>
                <w:kern w:val="0"/>
              </w:rPr>
              <w:t>电源：电源输出功率550W 80+铂金电源，1+1冗余电源，支持主备模式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5台</w:t>
            </w:r>
          </w:p>
        </w:tc>
      </w:tr>
      <w:tr>
        <w:tblPrEx>
          <w:tblLayout w:type="fixed"/>
          <w:tblCellMar>
            <w:top w:w="0" w:type="dxa"/>
            <w:left w:w="108" w:type="dxa"/>
            <w:bottom w:w="0" w:type="dxa"/>
            <w:right w:w="108" w:type="dxa"/>
          </w:tblCellMar>
        </w:tblPrEx>
        <w:trPr>
          <w:trHeight w:val="4308"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34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rPr>
              <w:t>物理服务器</w:t>
            </w:r>
          </w:p>
        </w:tc>
        <w:tc>
          <w:tcPr>
            <w:tcW w:w="666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rPr>
            </w:pPr>
            <w:r>
              <w:rPr>
                <w:rFonts w:hint="eastAsia" w:ascii="宋体" w:hAnsi="宋体" w:cs="宋体"/>
                <w:kern w:val="0"/>
              </w:rPr>
              <w:t>规格：19英寸工业标准2U机架式服务器</w:t>
            </w:r>
            <w:r>
              <w:rPr>
                <w:rFonts w:hint="eastAsia" w:ascii="宋体" w:hAnsi="宋体" w:cs="宋体"/>
                <w:kern w:val="0"/>
              </w:rPr>
              <w:br w:type="textWrapping"/>
            </w:r>
            <w:r>
              <w:rPr>
                <w:rFonts w:hint="eastAsia" w:ascii="宋体" w:hAnsi="宋体" w:cs="宋体"/>
                <w:kern w:val="0"/>
              </w:rPr>
              <w:t>处理器：2颗Intel Xeon Silver 4110 8C 2.1 GHz 处理器</w:t>
            </w:r>
            <w:r>
              <w:rPr>
                <w:rFonts w:hint="eastAsia" w:ascii="宋体" w:hAnsi="宋体" w:cs="宋体"/>
                <w:kern w:val="0"/>
              </w:rPr>
              <w:br w:type="textWrapping"/>
            </w:r>
            <w:r>
              <w:rPr>
                <w:rFonts w:hint="eastAsia" w:ascii="宋体" w:hAnsi="宋体" w:cs="宋体"/>
                <w:kern w:val="0"/>
              </w:rPr>
              <w:t>内存：64 GB DDR4 2666 MHz（2Rx8 1.2V），支持12条内存扩展插槽，支持内存保护技术</w:t>
            </w:r>
            <w:r>
              <w:rPr>
                <w:rFonts w:hint="eastAsia" w:ascii="宋体" w:hAnsi="宋体" w:cs="宋体"/>
                <w:kern w:val="0"/>
              </w:rPr>
              <w:br w:type="textWrapping"/>
            </w:r>
            <w:r>
              <w:rPr>
                <w:rFonts w:hint="eastAsia" w:ascii="宋体" w:hAnsi="宋体" w:cs="宋体"/>
                <w:kern w:val="0"/>
              </w:rPr>
              <w:t>硬盘：3*2.5 英寸 1.2 TB 10K SAS 12Gb 热插硬盘</w:t>
            </w:r>
            <w:r>
              <w:rPr>
                <w:rFonts w:hint="eastAsia" w:ascii="宋体" w:hAnsi="宋体" w:cs="宋体"/>
                <w:kern w:val="0"/>
              </w:rPr>
              <w:br w:type="textWrapping"/>
            </w:r>
            <w:r>
              <w:rPr>
                <w:rFonts w:hint="eastAsia" w:ascii="宋体" w:hAnsi="宋体" w:cs="宋体"/>
                <w:kern w:val="0"/>
              </w:rPr>
              <w:t>RAID功能：配置1块12Gb Raid卡，支持0/1/10/5/50 RAID级别</w:t>
            </w:r>
            <w:r>
              <w:rPr>
                <w:rFonts w:hint="eastAsia" w:ascii="宋体" w:hAnsi="宋体" w:cs="宋体"/>
                <w:kern w:val="0"/>
              </w:rPr>
              <w:br w:type="textWrapping"/>
            </w:r>
            <w:r>
              <w:rPr>
                <w:rFonts w:hint="eastAsia" w:ascii="宋体" w:hAnsi="宋体" w:cs="宋体"/>
                <w:bCs/>
                <w:kern w:val="0"/>
              </w:rPr>
              <w:t>HBA卡：双口16Gb HBA卡</w:t>
            </w:r>
            <w:r>
              <w:rPr>
                <w:rFonts w:hint="eastAsia" w:ascii="宋体" w:hAnsi="宋体" w:cs="宋体"/>
                <w:kern w:val="0"/>
              </w:rPr>
              <w:br w:type="textWrapping"/>
            </w:r>
            <w:r>
              <w:rPr>
                <w:rFonts w:hint="eastAsia" w:ascii="宋体" w:hAnsi="宋体" w:cs="宋体"/>
                <w:kern w:val="0"/>
              </w:rPr>
              <w:t>网卡：标配2口千兆以太网控制器，1块双口万兆光纤网卡（含光纤模块），1个独享的管理端口</w:t>
            </w:r>
            <w:r>
              <w:rPr>
                <w:rFonts w:hint="eastAsia" w:ascii="宋体" w:hAnsi="宋体" w:cs="宋体"/>
                <w:kern w:val="0"/>
              </w:rPr>
              <w:br w:type="textWrapping"/>
            </w:r>
            <w:r>
              <w:rPr>
                <w:rFonts w:hint="eastAsia" w:ascii="宋体" w:hAnsi="宋体" w:cs="宋体"/>
                <w:kern w:val="0"/>
              </w:rPr>
              <w:t>配件：机架安装滑动导轨</w:t>
            </w:r>
            <w:r>
              <w:rPr>
                <w:rFonts w:hint="eastAsia" w:ascii="宋体" w:hAnsi="宋体" w:cs="宋体"/>
                <w:kern w:val="0"/>
              </w:rPr>
              <w:br w:type="textWrapping"/>
            </w:r>
            <w:r>
              <w:rPr>
                <w:rFonts w:hint="eastAsia" w:ascii="宋体" w:hAnsi="宋体" w:cs="宋体"/>
                <w:kern w:val="0"/>
              </w:rPr>
              <w:t>工作温度最高支持45°C。</w:t>
            </w:r>
            <w:r>
              <w:rPr>
                <w:rFonts w:hint="eastAsia" w:ascii="宋体" w:hAnsi="宋体" w:cs="宋体"/>
                <w:kern w:val="0"/>
              </w:rPr>
              <w:br w:type="textWrapping"/>
            </w:r>
            <w:r>
              <w:rPr>
                <w:rFonts w:hint="eastAsia" w:ascii="宋体" w:hAnsi="宋体" w:cs="宋体"/>
                <w:kern w:val="0"/>
              </w:rPr>
              <w:t>电源：电源输出功率550W 80+铂金电源，1+1冗余电源，支持主备模式</w:t>
            </w:r>
            <w:r>
              <w:rPr>
                <w:rFonts w:hint="eastAsia" w:ascii="宋体" w:hAnsi="宋体" w:cs="宋体"/>
                <w:kern w:val="0"/>
              </w:rPr>
              <w:br w:type="textWrapping"/>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5台</w:t>
            </w:r>
          </w:p>
        </w:tc>
      </w:tr>
      <w:tr>
        <w:tblPrEx>
          <w:tblLayout w:type="fixed"/>
          <w:tblCellMar>
            <w:top w:w="0" w:type="dxa"/>
            <w:left w:w="108" w:type="dxa"/>
            <w:bottom w:w="0" w:type="dxa"/>
            <w:right w:w="108" w:type="dxa"/>
          </w:tblCellMar>
        </w:tblPrEx>
        <w:trPr>
          <w:trHeight w:val="288" w:hRule="atLeast"/>
        </w:trPr>
        <w:tc>
          <w:tcPr>
            <w:tcW w:w="9073"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rPr>
            </w:pPr>
            <w:r>
              <w:rPr>
                <w:rFonts w:hint="eastAsia" w:ascii="宋体" w:hAnsi="宋体" w:cs="宋体"/>
                <w:b/>
                <w:bCs/>
                <w:kern w:val="0"/>
              </w:rPr>
              <w:t xml:space="preserve">  4、系统扩容</w:t>
            </w:r>
          </w:p>
        </w:tc>
        <w:tc>
          <w:tcPr>
            <w:tcW w:w="709" w:type="dxa"/>
            <w:tcBorders>
              <w:top w:val="nil"/>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684"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rPr>
            </w:pPr>
            <w:r>
              <w:rPr>
                <w:rFonts w:hint="eastAsia" w:ascii="宋体" w:hAnsi="宋体" w:cs="宋体"/>
                <w:kern w:val="0"/>
              </w:rPr>
              <w:t>服务器内存扩容</w:t>
            </w:r>
          </w:p>
        </w:tc>
        <w:tc>
          <w:tcPr>
            <w:tcW w:w="666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rPr>
            </w:pPr>
            <w:r>
              <w:rPr>
                <w:rFonts w:hint="eastAsia" w:ascii="宋体" w:hAnsi="宋体" w:cs="宋体"/>
                <w:kern w:val="0"/>
              </w:rPr>
              <w:t>16GB DDR4 2400MHZ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60条</w:t>
            </w:r>
          </w:p>
        </w:tc>
      </w:tr>
      <w:tr>
        <w:tblPrEx>
          <w:tblLayout w:type="fixed"/>
          <w:tblCellMar>
            <w:top w:w="0" w:type="dxa"/>
            <w:left w:w="108" w:type="dxa"/>
            <w:bottom w:w="0" w:type="dxa"/>
            <w:right w:w="108" w:type="dxa"/>
          </w:tblCellMar>
        </w:tblPrEx>
        <w:trPr>
          <w:trHeight w:val="684"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34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rPr>
            </w:pPr>
            <w:r>
              <w:rPr>
                <w:rFonts w:hint="eastAsia" w:ascii="宋体" w:hAnsi="宋体" w:cs="宋体"/>
                <w:kern w:val="0"/>
              </w:rPr>
              <w:t>存储、磁盘阵列升级</w:t>
            </w:r>
          </w:p>
        </w:tc>
        <w:tc>
          <w:tcPr>
            <w:tcW w:w="6661"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rPr>
            </w:pPr>
            <w:r>
              <w:rPr>
                <w:rFonts w:hint="eastAsia" w:ascii="宋体" w:hAnsi="宋体" w:cs="宋体"/>
                <w:kern w:val="0"/>
              </w:rPr>
              <w:t>1.8TB SAS 10K 硬盘，与原有存储（V5030）的扩展级联(含存储扩展柜)</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24块</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rPr>
            </w:pPr>
            <w:r>
              <w:rPr>
                <w:rFonts w:hint="eastAsia" w:ascii="宋体" w:hAnsi="宋体" w:cs="宋体"/>
                <w:b/>
                <w:bCs/>
                <w:kern w:val="0"/>
              </w:rPr>
              <w:t xml:space="preserve">   5、存储系统</w:t>
            </w:r>
          </w:p>
        </w:tc>
        <w:tc>
          <w:tcPr>
            <w:tcW w:w="709" w:type="dxa"/>
            <w:tcBorders>
              <w:top w:val="nil"/>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10366"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5.1</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rPr>
              <w:t>主数据库存储系统</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cs="宋体"/>
                <w:kern w:val="0"/>
              </w:rPr>
            </w:pPr>
            <w:r>
              <w:rPr>
                <w:rFonts w:hint="eastAsia" w:ascii="宋体" w:hAnsi="宋体" w:cs="宋体"/>
                <w:kern w:val="0"/>
              </w:rPr>
              <w:t>统一存储架构，在一套系统下既支持SAN又支持NAS系统</w:t>
            </w:r>
            <w:r>
              <w:rPr>
                <w:rFonts w:hint="eastAsia" w:ascii="宋体" w:hAnsi="宋体" w:cs="宋体"/>
                <w:kern w:val="0"/>
              </w:rPr>
              <w:br w:type="textWrapping"/>
            </w:r>
            <w:r>
              <w:rPr>
                <w:rFonts w:hint="eastAsia" w:ascii="宋体" w:hAnsi="宋体" w:cs="宋体"/>
                <w:kern w:val="0"/>
              </w:rPr>
              <w:t>集群式存储架构最高可扩展24个控制器，双活冗余SAN+NAS控制器，双冗余</w:t>
            </w:r>
            <w:r>
              <w:rPr>
                <w:rFonts w:ascii="宋体" w:hAnsi="宋体" w:cs="宋体"/>
                <w:kern w:val="0"/>
              </w:rPr>
              <w:t xml:space="preserve"> 910W 电源，4个冗余风扇</w:t>
            </w:r>
            <w:r>
              <w:rPr>
                <w:rFonts w:hint="eastAsia" w:ascii="宋体" w:hAnsi="宋体" w:cs="宋体"/>
                <w:kern w:val="0"/>
              </w:rPr>
              <w:t>,冗余风扇和电源保护，整体架构设计无单点故障</w:t>
            </w:r>
            <w:r>
              <w:rPr>
                <w:rFonts w:hint="eastAsia" w:ascii="宋体" w:hAnsi="宋体" w:cs="宋体"/>
                <w:kern w:val="0"/>
              </w:rPr>
              <w:br w:type="textWrapping"/>
            </w:r>
            <w:r>
              <w:rPr>
                <w:rFonts w:hint="eastAsia" w:ascii="宋体" w:hAnsi="宋体" w:cs="宋体"/>
                <w:kern w:val="0"/>
              </w:rPr>
              <w:t>配备控制器，单个控制器缓存32GB，总计64GB（不含任何性能加速模块或NAS缓存、FlashCache、PAM卡，SSDCache等）</w:t>
            </w:r>
            <w:r>
              <w:rPr>
                <w:rFonts w:hint="eastAsia" w:ascii="宋体" w:hAnsi="宋体" w:cs="宋体"/>
                <w:kern w:val="0"/>
              </w:rPr>
              <w:br w:type="textWrapping"/>
            </w:r>
            <w:r>
              <w:rPr>
                <w:rFonts w:hint="eastAsia" w:ascii="宋体" w:hAnsi="宋体" w:cs="宋体"/>
                <w:kern w:val="0"/>
              </w:rPr>
              <w:t>提供基于闪存技术的二级可用缓存配置2TB</w:t>
            </w:r>
            <w:r>
              <w:rPr>
                <w:rFonts w:hint="eastAsia" w:ascii="宋体" w:hAnsi="宋体" w:cs="宋体"/>
                <w:kern w:val="0"/>
              </w:rPr>
              <w:br w:type="textWrapping"/>
            </w:r>
            <w:r>
              <w:rPr>
                <w:rFonts w:hint="eastAsia" w:ascii="宋体" w:hAnsi="宋体" w:cs="宋体"/>
                <w:kern w:val="0"/>
              </w:rPr>
              <w:t>配置8个16Gb/s FC主机接口、配置4个10Gb NAS主机接口</w:t>
            </w:r>
            <w:r>
              <w:rPr>
                <w:rFonts w:hint="eastAsia" w:ascii="宋体" w:hAnsi="宋体" w:cs="宋体"/>
                <w:kern w:val="0"/>
              </w:rPr>
              <w:br w:type="textWrapping"/>
            </w:r>
            <w:r>
              <w:rPr>
                <w:rFonts w:hint="eastAsia" w:ascii="宋体" w:hAnsi="宋体" w:cs="宋体"/>
                <w:bCs/>
                <w:kern w:val="0"/>
              </w:rPr>
              <w:t>配置24块1.8TB SAS硬盘</w:t>
            </w:r>
            <w:r>
              <w:rPr>
                <w:rFonts w:hint="eastAsia" w:ascii="宋体" w:hAnsi="宋体" w:cs="宋体"/>
                <w:kern w:val="0"/>
              </w:rPr>
              <w:t>，双控最大可扩充磁盘数≥144块，控制器集群最大可扩充磁盘数≥1728块。</w:t>
            </w:r>
            <w:r>
              <w:rPr>
                <w:rFonts w:hint="eastAsia" w:ascii="宋体" w:hAnsi="宋体" w:cs="宋体"/>
                <w:kern w:val="0"/>
              </w:rPr>
              <w:br w:type="textWrapping"/>
            </w:r>
            <w:r>
              <w:rPr>
                <w:rFonts w:hint="eastAsia" w:ascii="宋体" w:hAnsi="宋体" w:cs="宋体"/>
                <w:kern w:val="0"/>
              </w:rPr>
              <w:t>要求存储设备支持全局动态热备盘，根据磁盘容量需求，合理配置全局动态备盘数目，且在无需重新启动系统的条件下，能自动用事先配置的热备份硬盘接替故障硬盘实现连续工作；热备盘位置不固定，且重构后无需回构</w:t>
            </w:r>
            <w:r>
              <w:rPr>
                <w:rFonts w:hint="eastAsia" w:ascii="宋体" w:hAnsi="宋体" w:cs="宋体"/>
                <w:kern w:val="0"/>
              </w:rPr>
              <w:br w:type="textWrapping"/>
            </w:r>
            <w:r>
              <w:rPr>
                <w:rFonts w:hint="eastAsia" w:ascii="宋体" w:hAnsi="宋体" w:cs="宋体"/>
                <w:kern w:val="0"/>
              </w:rPr>
              <w:t>支持多种工业标准RAID存储方式，包括单盘失效、双盘失效和三盘失效保护技术，支持RAID组动态扩展，在线升级等</w:t>
            </w:r>
            <w:r>
              <w:rPr>
                <w:rFonts w:hint="eastAsia" w:ascii="宋体" w:hAnsi="宋体" w:cs="宋体"/>
                <w:kern w:val="0"/>
              </w:rPr>
              <w:br w:type="textWrapping"/>
            </w:r>
            <w:r>
              <w:rPr>
                <w:rFonts w:hint="eastAsia" w:ascii="宋体" w:hAnsi="宋体" w:cs="宋体"/>
                <w:kern w:val="0"/>
              </w:rPr>
              <w:t>配置FC、NFS、CIFS等网路连接协议</w:t>
            </w:r>
            <w:r>
              <w:rPr>
                <w:rFonts w:hint="eastAsia" w:ascii="宋体" w:hAnsi="宋体" w:cs="宋体"/>
                <w:kern w:val="0"/>
              </w:rPr>
              <w:br w:type="textWrapping"/>
            </w:r>
            <w:r>
              <w:rPr>
                <w:rFonts w:hint="eastAsia" w:ascii="宋体" w:hAnsi="宋体" w:cs="宋体"/>
                <w:kern w:val="0"/>
              </w:rPr>
              <w:t>针对前端不同级别的应用提供存储资源的优先分配功能</w:t>
            </w:r>
            <w:r>
              <w:rPr>
                <w:rFonts w:hint="eastAsia" w:ascii="宋体" w:hAnsi="宋体" w:cs="宋体"/>
                <w:kern w:val="0"/>
              </w:rPr>
              <w:br w:type="textWrapping"/>
            </w:r>
            <w:r>
              <w:rPr>
                <w:rFonts w:hint="eastAsia" w:ascii="宋体" w:hAnsi="宋体" w:cs="宋体"/>
                <w:kern w:val="0"/>
              </w:rPr>
              <w:t>提供在线\线后重复数据删除功能，要求支持SAN和NAS多种数据，且最小颗粒度≤4K，支持按需开启和关闭</w:t>
            </w:r>
            <w:r>
              <w:rPr>
                <w:rFonts w:hint="eastAsia" w:ascii="宋体" w:hAnsi="宋体" w:cs="宋体"/>
                <w:kern w:val="0"/>
              </w:rPr>
              <w:br w:type="textWrapping"/>
            </w:r>
            <w:r>
              <w:rPr>
                <w:rFonts w:hint="eastAsia" w:ascii="宋体" w:hAnsi="宋体" w:cs="宋体"/>
                <w:kern w:val="0"/>
              </w:rPr>
              <w:t>提供在线数\线后数据压缩，要求支持SAN和NAS多种数据</w:t>
            </w:r>
            <w:r>
              <w:rPr>
                <w:rFonts w:hint="eastAsia" w:ascii="宋体" w:hAnsi="宋体" w:cs="宋体"/>
                <w:kern w:val="0"/>
              </w:rPr>
              <w:br w:type="textWrapping"/>
            </w:r>
            <w:r>
              <w:rPr>
                <w:rFonts w:hint="eastAsia" w:ascii="宋体" w:hAnsi="宋体" w:cs="宋体"/>
                <w:kern w:val="0"/>
              </w:rPr>
              <w:t xml:space="preserve">配置连续数据保护功能软件，可设定的任意历史点数据快速恢复，实时的字节级增量数据捕捉，支持异机跨平台数据复制，包括Windows和Linux版本，且目标机只需安装基本的操作系统和软件就能对服务器进行远程恢复。提供异步字节级别的持续复制功能 </w:t>
            </w:r>
            <w:r>
              <w:rPr>
                <w:rFonts w:hint="eastAsia" w:ascii="宋体" w:hAnsi="宋体" w:cs="宋体"/>
                <w:kern w:val="0"/>
              </w:rPr>
              <w:br w:type="textWrapping"/>
            </w:r>
            <w:r>
              <w:rPr>
                <w:rFonts w:hint="eastAsia" w:ascii="宋体" w:hAnsi="宋体" w:cs="宋体"/>
                <w:kern w:val="0"/>
              </w:rPr>
              <w:t>支持数据跨低端-中端-高端平台远程复制功能，用于不同型号、不同档次的存储设备之间进行数据复制；</w:t>
            </w:r>
            <w:r>
              <w:rPr>
                <w:rFonts w:hint="eastAsia" w:ascii="宋体" w:hAnsi="宋体" w:cs="宋体"/>
                <w:kern w:val="0"/>
              </w:rPr>
              <w:br w:type="textWrapping"/>
            </w:r>
            <w:r>
              <w:rPr>
                <w:rFonts w:hint="eastAsia" w:ascii="宋体" w:hAnsi="宋体" w:cs="宋体"/>
                <w:kern w:val="0"/>
              </w:rPr>
              <w:t>支持SAN和NAS数据的在线重删，且最小颗粒度≤4K，支持按需开启和关闭</w:t>
            </w:r>
            <w:r>
              <w:rPr>
                <w:rFonts w:hint="eastAsia" w:ascii="宋体" w:hAnsi="宋体" w:cs="宋体"/>
                <w:kern w:val="0"/>
              </w:rPr>
              <w:br w:type="textWrapping"/>
            </w:r>
            <w:r>
              <w:rPr>
                <w:rFonts w:hint="eastAsia" w:ascii="宋体" w:hAnsi="宋体" w:cs="宋体"/>
                <w:kern w:val="0"/>
              </w:rPr>
              <w:t>支持通过控制器实现数据容灾功能，提供应用及高可靠性，单一站点的故障对应用系统没有影响，同时实现SAN和NAS的双活，存储双活功能无容量限制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10617"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PACS及虚拟化存储系统</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cs="宋体"/>
                <w:kern w:val="0"/>
              </w:rPr>
            </w:pPr>
            <w:r>
              <w:rPr>
                <w:rFonts w:hint="eastAsia" w:ascii="宋体" w:hAnsi="宋体" w:cs="宋体"/>
                <w:kern w:val="0"/>
              </w:rPr>
              <w:t>统一存储架构，在一套系统下既支持SAN又支持NAS系统</w:t>
            </w:r>
            <w:r>
              <w:rPr>
                <w:rFonts w:hint="eastAsia" w:ascii="宋体" w:hAnsi="宋体" w:cs="宋体"/>
                <w:kern w:val="0"/>
              </w:rPr>
              <w:br w:type="textWrapping"/>
            </w:r>
            <w:r>
              <w:rPr>
                <w:rFonts w:hint="eastAsia" w:ascii="宋体" w:hAnsi="宋体" w:cs="宋体"/>
                <w:kern w:val="0"/>
              </w:rPr>
              <w:t>集群式存储架构最高可扩展24个控制器，双活冗余SAN+NAS控制器，</w:t>
            </w:r>
            <w:r>
              <w:rPr>
                <w:rFonts w:ascii="宋体" w:hAnsi="宋体" w:cs="宋体"/>
                <w:kern w:val="0"/>
              </w:rPr>
              <w:t>双冗余 910W 电源，4个冗余风扇</w:t>
            </w:r>
            <w:r>
              <w:rPr>
                <w:rFonts w:hint="eastAsia" w:ascii="宋体" w:hAnsi="宋体" w:cs="宋体"/>
                <w:kern w:val="0"/>
              </w:rPr>
              <w:t>,冗余风扇和电源保护，整体架构设计无单点故障</w:t>
            </w:r>
            <w:r>
              <w:rPr>
                <w:rFonts w:hint="eastAsia" w:ascii="宋体" w:hAnsi="宋体" w:cs="宋体"/>
                <w:kern w:val="0"/>
              </w:rPr>
              <w:br w:type="textWrapping"/>
            </w:r>
            <w:r>
              <w:rPr>
                <w:rFonts w:hint="eastAsia" w:ascii="宋体" w:hAnsi="宋体" w:cs="宋体"/>
                <w:kern w:val="0"/>
              </w:rPr>
              <w:t>配备控制器，单个控制器缓存32GB，总计64GB（不含任何性能加速模块或NAS缓存、FlashCache、PAM卡，SSDCache等）</w:t>
            </w:r>
            <w:r>
              <w:rPr>
                <w:rFonts w:hint="eastAsia" w:ascii="宋体" w:hAnsi="宋体" w:cs="宋体"/>
                <w:kern w:val="0"/>
              </w:rPr>
              <w:br w:type="textWrapping"/>
            </w:r>
            <w:r>
              <w:rPr>
                <w:rFonts w:hint="eastAsia" w:ascii="宋体" w:hAnsi="宋体" w:cs="宋体"/>
                <w:kern w:val="0"/>
              </w:rPr>
              <w:t>提供基于闪存技术的二级可用缓存配置2TB</w:t>
            </w:r>
            <w:r>
              <w:rPr>
                <w:rFonts w:hint="eastAsia" w:ascii="宋体" w:hAnsi="宋体" w:cs="宋体"/>
                <w:kern w:val="0"/>
              </w:rPr>
              <w:br w:type="textWrapping"/>
            </w:r>
            <w:r>
              <w:rPr>
                <w:rFonts w:hint="eastAsia" w:ascii="宋体" w:hAnsi="宋体" w:cs="宋体"/>
                <w:kern w:val="0"/>
              </w:rPr>
              <w:t>配置8个16Gb/s FC主机接口、配置4个10Gb NAS主机接口</w:t>
            </w:r>
            <w:r>
              <w:rPr>
                <w:rFonts w:hint="eastAsia" w:ascii="宋体" w:hAnsi="宋体" w:cs="宋体"/>
                <w:kern w:val="0"/>
              </w:rPr>
              <w:br w:type="textWrapping"/>
            </w:r>
            <w:r>
              <w:rPr>
                <w:rFonts w:hint="eastAsia" w:ascii="宋体" w:hAnsi="宋体" w:cs="宋体"/>
                <w:bCs/>
                <w:kern w:val="0"/>
              </w:rPr>
              <w:t>配置36块1.8TB SAS硬盘，12块8TB SATA 硬盘，</w:t>
            </w:r>
            <w:r>
              <w:rPr>
                <w:rFonts w:hint="eastAsia" w:ascii="宋体" w:hAnsi="宋体" w:cs="宋体"/>
                <w:kern w:val="0"/>
              </w:rPr>
              <w:t xml:space="preserve"> 双控最大可扩充磁盘数≥144块，控制器集群最大可扩充磁盘数≥1728块。</w:t>
            </w:r>
            <w:r>
              <w:rPr>
                <w:rFonts w:hint="eastAsia" w:ascii="宋体" w:hAnsi="宋体" w:cs="宋体"/>
                <w:kern w:val="0"/>
              </w:rPr>
              <w:br w:type="textWrapping"/>
            </w:r>
            <w:r>
              <w:rPr>
                <w:rFonts w:hint="eastAsia" w:ascii="宋体" w:hAnsi="宋体" w:cs="宋体"/>
                <w:kern w:val="0"/>
              </w:rPr>
              <w:t>要求存储设备支持全局动态热备盘，根据磁盘容量需求，合理配置全局动态备盘数目，且在无需重新启动系统的条件下，能自动用事先配置的热备份硬盘接替故障硬盘实现连续工作；热备盘位置不固定，且重构后无需回构</w:t>
            </w:r>
            <w:r>
              <w:rPr>
                <w:rFonts w:hint="eastAsia" w:ascii="宋体" w:hAnsi="宋体" w:cs="宋体"/>
                <w:kern w:val="0"/>
              </w:rPr>
              <w:br w:type="textWrapping"/>
            </w:r>
            <w:r>
              <w:rPr>
                <w:rFonts w:hint="eastAsia" w:ascii="宋体" w:hAnsi="宋体" w:cs="宋体"/>
                <w:kern w:val="0"/>
              </w:rPr>
              <w:t>支持多种工业标准RAID存储方式，包括单盘失效、双盘失效和三盘失效保护技术，支持RAID组动态扩展，在线升级等</w:t>
            </w:r>
            <w:r>
              <w:rPr>
                <w:rFonts w:hint="eastAsia" w:ascii="宋体" w:hAnsi="宋体" w:cs="宋体"/>
                <w:kern w:val="0"/>
              </w:rPr>
              <w:br w:type="textWrapping"/>
            </w:r>
            <w:r>
              <w:rPr>
                <w:rFonts w:hint="eastAsia" w:ascii="宋体" w:hAnsi="宋体" w:cs="宋体"/>
                <w:kern w:val="0"/>
              </w:rPr>
              <w:t>配置FC、NFS、CIFS等网路连接协议</w:t>
            </w:r>
            <w:r>
              <w:rPr>
                <w:rFonts w:hint="eastAsia" w:ascii="宋体" w:hAnsi="宋体" w:cs="宋体"/>
                <w:kern w:val="0"/>
              </w:rPr>
              <w:br w:type="textWrapping"/>
            </w:r>
            <w:r>
              <w:rPr>
                <w:rFonts w:hint="eastAsia" w:ascii="宋体" w:hAnsi="宋体" w:cs="宋体"/>
                <w:kern w:val="0"/>
              </w:rPr>
              <w:t>针对前端不同级别的应用提供存储资源的优先分配功能</w:t>
            </w:r>
            <w:r>
              <w:rPr>
                <w:rFonts w:hint="eastAsia" w:ascii="宋体" w:hAnsi="宋体" w:cs="宋体"/>
                <w:kern w:val="0"/>
              </w:rPr>
              <w:br w:type="textWrapping"/>
            </w:r>
            <w:r>
              <w:rPr>
                <w:rFonts w:hint="eastAsia" w:ascii="宋体" w:hAnsi="宋体" w:cs="宋体"/>
                <w:kern w:val="0"/>
              </w:rPr>
              <w:t>提供在线\线后重复数据删除功能，要求支持SAN和NAS多种数据，且最小颗粒度≤4K，支持按需开启和关闭</w:t>
            </w:r>
            <w:r>
              <w:rPr>
                <w:rFonts w:hint="eastAsia" w:ascii="宋体" w:hAnsi="宋体" w:cs="宋体"/>
                <w:kern w:val="0"/>
              </w:rPr>
              <w:br w:type="textWrapping"/>
            </w:r>
            <w:r>
              <w:rPr>
                <w:rFonts w:hint="eastAsia" w:ascii="宋体" w:hAnsi="宋体" w:cs="宋体"/>
                <w:kern w:val="0"/>
              </w:rPr>
              <w:t>提供在线数\线后数据压缩，要求支持SAN和NAS多种数据</w:t>
            </w:r>
            <w:r>
              <w:rPr>
                <w:rFonts w:hint="eastAsia" w:ascii="宋体" w:hAnsi="宋体" w:cs="宋体"/>
                <w:kern w:val="0"/>
              </w:rPr>
              <w:br w:type="textWrapping"/>
            </w:r>
            <w:r>
              <w:rPr>
                <w:rFonts w:hint="eastAsia" w:ascii="宋体" w:hAnsi="宋体" w:cs="宋体"/>
                <w:kern w:val="0"/>
              </w:rPr>
              <w:t xml:space="preserve">配置连续数据保护功能软件，可设定的任意历史点数据快速恢复，实时的字节级增量数据捕捉，支持异机跨平台数据复制，包括Windows和Linux版本，且目标机只需安装基本的操作系统和软件就能对服务器进行远程恢复。提供异步字节级别的持续复制功能 </w:t>
            </w:r>
            <w:r>
              <w:rPr>
                <w:rFonts w:hint="eastAsia" w:ascii="宋体" w:hAnsi="宋体" w:cs="宋体"/>
                <w:kern w:val="0"/>
              </w:rPr>
              <w:br w:type="textWrapping"/>
            </w:r>
            <w:r>
              <w:rPr>
                <w:rFonts w:hint="eastAsia" w:ascii="宋体" w:hAnsi="宋体" w:cs="宋体"/>
                <w:kern w:val="0"/>
              </w:rPr>
              <w:t>支持数据跨低端-中端-高端平台远程复制功能，用于不同型号、不同档次的存储设备之间进行数据复制；</w:t>
            </w:r>
            <w:r>
              <w:rPr>
                <w:rFonts w:hint="eastAsia" w:ascii="宋体" w:hAnsi="宋体" w:cs="宋体"/>
                <w:kern w:val="0"/>
              </w:rPr>
              <w:br w:type="textWrapping"/>
            </w:r>
            <w:r>
              <w:rPr>
                <w:rFonts w:hint="eastAsia" w:ascii="宋体" w:hAnsi="宋体" w:cs="宋体"/>
                <w:kern w:val="0"/>
              </w:rPr>
              <w:t>支持SAN和NAS数据的在线重删，且最小颗粒度≤4K，支持按需开启和关闭</w:t>
            </w:r>
            <w:r>
              <w:rPr>
                <w:rFonts w:hint="eastAsia" w:ascii="宋体" w:hAnsi="宋体" w:cs="宋体"/>
                <w:kern w:val="0"/>
              </w:rPr>
              <w:br w:type="textWrapping"/>
            </w:r>
            <w:r>
              <w:rPr>
                <w:rFonts w:hint="eastAsia" w:ascii="宋体" w:hAnsi="宋体" w:cs="宋体"/>
                <w:kern w:val="0"/>
              </w:rPr>
              <w:t>支持通过控制器实现数据容灾功能，提供应用及高可靠性，单一站点的故障对应用系统没有影响，同时实现SAN和NAS的双活，存储双活功能无容量限制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10812"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异地容灾存储系统</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cs="宋体"/>
                <w:kern w:val="0"/>
              </w:rPr>
            </w:pPr>
            <w:r>
              <w:rPr>
                <w:rFonts w:hint="eastAsia" w:ascii="宋体" w:hAnsi="宋体" w:cs="宋体"/>
                <w:kern w:val="0"/>
              </w:rPr>
              <w:t>统一存储架构，在一套系统下既支持SAN又支持NAS系统</w:t>
            </w:r>
            <w:r>
              <w:rPr>
                <w:rFonts w:hint="eastAsia" w:ascii="宋体" w:hAnsi="宋体" w:cs="宋体"/>
                <w:kern w:val="0"/>
              </w:rPr>
              <w:br w:type="textWrapping"/>
            </w:r>
            <w:r>
              <w:rPr>
                <w:rFonts w:hint="eastAsia" w:ascii="宋体" w:hAnsi="宋体" w:cs="宋体"/>
                <w:kern w:val="0"/>
              </w:rPr>
              <w:t>双活冗余SAN+NAS控制器，</w:t>
            </w:r>
            <w:r>
              <w:rPr>
                <w:rFonts w:ascii="宋体" w:hAnsi="宋体" w:cs="宋体"/>
                <w:kern w:val="0"/>
              </w:rPr>
              <w:t>双冗余 910W 电源，4个冗余风扇，</w:t>
            </w:r>
            <w:r>
              <w:rPr>
                <w:rFonts w:hint="eastAsia" w:ascii="宋体" w:hAnsi="宋体" w:cs="宋体"/>
                <w:kern w:val="0"/>
              </w:rPr>
              <w:t>冗余风扇和电源保护，整体架构设计无单点故障</w:t>
            </w:r>
            <w:r>
              <w:rPr>
                <w:rFonts w:hint="eastAsia" w:ascii="宋体" w:hAnsi="宋体" w:cs="宋体"/>
                <w:kern w:val="0"/>
              </w:rPr>
              <w:br w:type="textWrapping"/>
            </w:r>
            <w:r>
              <w:rPr>
                <w:rFonts w:hint="eastAsia" w:ascii="宋体" w:hAnsi="宋体" w:cs="宋体"/>
                <w:kern w:val="0"/>
              </w:rPr>
              <w:t>配备控制器，单个控制器缓存32GB，总计64GB（不含任何性能加速模块或NAS缓存、FlashCache、PAM卡，SSDCache等）</w:t>
            </w:r>
            <w:r>
              <w:rPr>
                <w:rFonts w:hint="eastAsia" w:ascii="宋体" w:hAnsi="宋体" w:cs="宋体"/>
                <w:kern w:val="0"/>
              </w:rPr>
              <w:br w:type="textWrapping"/>
            </w:r>
            <w:r>
              <w:rPr>
                <w:rFonts w:hint="eastAsia" w:ascii="宋体" w:hAnsi="宋体" w:cs="宋体"/>
                <w:kern w:val="0"/>
              </w:rPr>
              <w:t>提供基于闪存技术的二级可用缓存配置2TB</w:t>
            </w:r>
            <w:r>
              <w:rPr>
                <w:rFonts w:hint="eastAsia" w:ascii="宋体" w:hAnsi="宋体" w:cs="宋体"/>
                <w:kern w:val="0"/>
              </w:rPr>
              <w:br w:type="textWrapping"/>
            </w:r>
            <w:r>
              <w:rPr>
                <w:rFonts w:hint="eastAsia" w:ascii="宋体" w:hAnsi="宋体" w:cs="宋体"/>
                <w:kern w:val="0"/>
              </w:rPr>
              <w:t>配置8个16Gb/s FC主机接口、配置4个10Gb NAS主机接口</w:t>
            </w:r>
            <w:r>
              <w:rPr>
                <w:rFonts w:hint="eastAsia" w:ascii="宋体" w:hAnsi="宋体" w:cs="宋体"/>
                <w:kern w:val="0"/>
              </w:rPr>
              <w:br w:type="textWrapping"/>
            </w:r>
            <w:r>
              <w:rPr>
                <w:rFonts w:hint="eastAsia" w:ascii="宋体" w:hAnsi="宋体" w:cs="宋体"/>
                <w:bCs/>
                <w:kern w:val="0"/>
              </w:rPr>
              <w:t>配置12块4 TB SATA硬盘，</w:t>
            </w:r>
            <w:r>
              <w:rPr>
                <w:rFonts w:hint="eastAsia" w:ascii="宋体" w:hAnsi="宋体" w:cs="宋体"/>
                <w:kern w:val="0"/>
              </w:rPr>
              <w:t>双控最大可扩充磁盘数≥144块</w:t>
            </w:r>
            <w:r>
              <w:rPr>
                <w:rFonts w:hint="eastAsia" w:ascii="宋体" w:hAnsi="宋体" w:cs="宋体"/>
                <w:kern w:val="0"/>
              </w:rPr>
              <w:br w:type="textWrapping"/>
            </w:r>
            <w:r>
              <w:rPr>
                <w:rFonts w:hint="eastAsia" w:ascii="宋体" w:hAnsi="宋体" w:cs="宋体"/>
                <w:kern w:val="0"/>
              </w:rPr>
              <w:t>要求存储设备支持全局动态热备盘，根据磁盘容量需求，合理配置全局动态备盘数目，且在无需重新启动系统的条件下，能自动用事先配置的热备份硬盘接替故障硬盘实现连续工作；热备盘位置不固定，且重构后无需回构</w:t>
            </w:r>
            <w:r>
              <w:rPr>
                <w:rFonts w:hint="eastAsia" w:ascii="宋体" w:hAnsi="宋体" w:cs="宋体"/>
                <w:kern w:val="0"/>
              </w:rPr>
              <w:br w:type="textWrapping"/>
            </w:r>
            <w:r>
              <w:rPr>
                <w:rFonts w:hint="eastAsia" w:ascii="宋体" w:hAnsi="宋体" w:cs="宋体"/>
                <w:kern w:val="0"/>
              </w:rPr>
              <w:t>支持多种工业标准RAID存储方式，包括单盘失效、双盘失效和三盘失效保护技术，支持RAID组动态扩展，在线升级等</w:t>
            </w:r>
            <w:r>
              <w:rPr>
                <w:rFonts w:hint="eastAsia" w:ascii="宋体" w:hAnsi="宋体" w:cs="宋体"/>
                <w:kern w:val="0"/>
              </w:rPr>
              <w:br w:type="textWrapping"/>
            </w:r>
            <w:r>
              <w:rPr>
                <w:rFonts w:hint="eastAsia" w:ascii="宋体" w:hAnsi="宋体" w:cs="宋体"/>
                <w:kern w:val="0"/>
              </w:rPr>
              <w:t>配置FC、NFS、CIFS等网路连接协议</w:t>
            </w:r>
            <w:r>
              <w:rPr>
                <w:rFonts w:hint="eastAsia" w:ascii="宋体" w:hAnsi="宋体" w:cs="宋体"/>
                <w:kern w:val="0"/>
              </w:rPr>
              <w:br w:type="textWrapping"/>
            </w:r>
            <w:r>
              <w:rPr>
                <w:rFonts w:hint="eastAsia" w:ascii="宋体" w:hAnsi="宋体" w:cs="宋体"/>
                <w:kern w:val="0"/>
              </w:rPr>
              <w:t>针对前端不同级别的应用提供存储资源的优先分配功能</w:t>
            </w:r>
            <w:r>
              <w:rPr>
                <w:rFonts w:hint="eastAsia" w:ascii="宋体" w:hAnsi="宋体" w:cs="宋体"/>
                <w:kern w:val="0"/>
              </w:rPr>
              <w:br w:type="textWrapping"/>
            </w:r>
            <w:r>
              <w:rPr>
                <w:rFonts w:hint="eastAsia" w:ascii="宋体" w:hAnsi="宋体" w:cs="宋体"/>
                <w:kern w:val="0"/>
              </w:rPr>
              <w:t>配置基于存储控制器的容灾软件，容灾复制无容量许可限制，支持同步、半同步和异步复制模式，同时支持FC和IP链路，支持卷和文件系统的复制</w:t>
            </w:r>
            <w:r>
              <w:rPr>
                <w:rFonts w:hint="eastAsia" w:ascii="宋体" w:hAnsi="宋体" w:cs="宋体"/>
                <w:kern w:val="0"/>
              </w:rPr>
              <w:br w:type="textWrapping"/>
            </w:r>
            <w:r>
              <w:rPr>
                <w:rFonts w:hint="eastAsia" w:ascii="宋体" w:hAnsi="宋体" w:cs="宋体"/>
                <w:kern w:val="0"/>
              </w:rPr>
              <w:t>提供在线\线后重复数据删除功能，要求支持SAN和NAS多种数据，且最小颗粒度≤4K，支持按需开启和关闭</w:t>
            </w:r>
            <w:r>
              <w:rPr>
                <w:rFonts w:hint="eastAsia" w:ascii="宋体" w:hAnsi="宋体" w:cs="宋体"/>
                <w:kern w:val="0"/>
              </w:rPr>
              <w:br w:type="textWrapping"/>
            </w:r>
            <w:r>
              <w:rPr>
                <w:rFonts w:hint="eastAsia" w:ascii="宋体" w:hAnsi="宋体" w:cs="宋体"/>
                <w:kern w:val="0"/>
              </w:rPr>
              <w:t>提供在线数\线后数据压缩，要求支持SAN和NAS多种数据</w:t>
            </w:r>
            <w:r>
              <w:rPr>
                <w:rFonts w:hint="eastAsia" w:ascii="宋体" w:hAnsi="宋体" w:cs="宋体"/>
                <w:kern w:val="0"/>
              </w:rPr>
              <w:br w:type="textWrapping"/>
            </w:r>
            <w:r>
              <w:rPr>
                <w:rFonts w:hint="eastAsia" w:ascii="宋体" w:hAnsi="宋体" w:cs="宋体"/>
                <w:kern w:val="0"/>
              </w:rPr>
              <w:t xml:space="preserve">配置连续数据保护功能软件，可设定的任意历史点数据快速恢复，实时的字节级增量数据捕捉，支持异机跨平台数据复制，包括Windows和Linux版本，且目标机只需安装基本的操作系统和软件就能对服务器进行远程恢复。提供异步字节级别的持续复制功能 </w:t>
            </w:r>
            <w:r>
              <w:rPr>
                <w:rFonts w:hint="eastAsia" w:ascii="宋体" w:hAnsi="宋体" w:cs="宋体"/>
                <w:kern w:val="0"/>
              </w:rPr>
              <w:br w:type="textWrapping"/>
            </w:r>
            <w:r>
              <w:rPr>
                <w:rFonts w:hint="eastAsia" w:ascii="宋体" w:hAnsi="宋体" w:cs="宋体"/>
                <w:kern w:val="0"/>
              </w:rPr>
              <w:t>支持数据跨低端-中端-高端平台远程复制功能，用于不同型号、不同档次的存储设备之间进行数据复制；</w:t>
            </w:r>
            <w:r>
              <w:rPr>
                <w:rFonts w:hint="eastAsia" w:ascii="宋体" w:hAnsi="宋体" w:cs="宋体"/>
                <w:kern w:val="0"/>
              </w:rPr>
              <w:br w:type="textWrapping"/>
            </w:r>
            <w:r>
              <w:rPr>
                <w:rFonts w:hint="eastAsia" w:ascii="宋体" w:hAnsi="宋体" w:cs="宋体"/>
                <w:kern w:val="0"/>
              </w:rPr>
              <w:t>支持SAN和NAS数据的在线重删，且最小颗粒度≤4K，支持按需开启和关闭</w:t>
            </w:r>
          </w:p>
          <w:p>
            <w:pPr>
              <w:widowControl/>
              <w:spacing w:after="240"/>
              <w:jc w:val="left"/>
              <w:rPr>
                <w:rFonts w:ascii="宋体" w:hAnsi="宋体" w:cs="宋体"/>
                <w:kern w:val="0"/>
              </w:rPr>
            </w:pPr>
            <w:r>
              <w:rPr>
                <w:rFonts w:hint="eastAsia" w:ascii="宋体" w:hAnsi="宋体" w:cs="宋体"/>
                <w:kern w:val="0"/>
              </w:rPr>
              <w:t>支持通过控制器实现数据容灾功能，提供应用及高可靠性，单一站点的故障对应用系统没有影响，同时实现SAN和NAS的双活，存储双活功能无容量限制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10486"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本地备份存储系统</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cs="宋体"/>
                <w:kern w:val="0"/>
              </w:rPr>
            </w:pPr>
            <w:r>
              <w:rPr>
                <w:rFonts w:hint="eastAsia" w:ascii="宋体" w:hAnsi="宋体" w:cs="宋体"/>
                <w:kern w:val="0"/>
              </w:rPr>
              <w:t>统一存储架构，在一套系统下既支持SAN又支持NAS系统</w:t>
            </w:r>
            <w:r>
              <w:rPr>
                <w:rFonts w:hint="eastAsia" w:ascii="宋体" w:hAnsi="宋体" w:cs="宋体"/>
                <w:kern w:val="0"/>
              </w:rPr>
              <w:br w:type="textWrapping"/>
            </w:r>
            <w:r>
              <w:rPr>
                <w:rFonts w:hint="eastAsia" w:ascii="宋体" w:hAnsi="宋体" w:cs="宋体"/>
                <w:kern w:val="0"/>
              </w:rPr>
              <w:t>双活冗余SAN+NAS控制器，</w:t>
            </w:r>
            <w:r>
              <w:rPr>
                <w:rFonts w:ascii="宋体" w:hAnsi="宋体" w:cs="宋体"/>
                <w:kern w:val="0"/>
              </w:rPr>
              <w:t>双冗余 910W 电源，4个冗余风扇，</w:t>
            </w:r>
            <w:r>
              <w:rPr>
                <w:rFonts w:hint="eastAsia" w:ascii="宋体" w:hAnsi="宋体" w:cs="宋体"/>
                <w:kern w:val="0"/>
              </w:rPr>
              <w:t>冗余风扇和电源保护，整体架构设计无单点故障</w:t>
            </w:r>
            <w:r>
              <w:rPr>
                <w:rFonts w:hint="eastAsia" w:ascii="宋体" w:hAnsi="宋体" w:cs="宋体"/>
                <w:kern w:val="0"/>
              </w:rPr>
              <w:br w:type="textWrapping"/>
            </w:r>
            <w:r>
              <w:rPr>
                <w:rFonts w:hint="eastAsia" w:ascii="宋体" w:hAnsi="宋体" w:cs="宋体"/>
                <w:kern w:val="0"/>
              </w:rPr>
              <w:t>配备控制器，单个控制器缓存32GB，总计64GB（不含任何性能加速模块或NAS缓存、FlashCache、PAM卡，SSDCache等）</w:t>
            </w:r>
            <w:r>
              <w:rPr>
                <w:rFonts w:hint="eastAsia" w:ascii="宋体" w:hAnsi="宋体" w:cs="宋体"/>
                <w:kern w:val="0"/>
              </w:rPr>
              <w:br w:type="textWrapping"/>
            </w:r>
            <w:r>
              <w:rPr>
                <w:rFonts w:hint="eastAsia" w:ascii="宋体" w:hAnsi="宋体" w:cs="宋体"/>
                <w:kern w:val="0"/>
              </w:rPr>
              <w:t>提供基于闪存技术的二级可用缓存配置2TB</w:t>
            </w:r>
            <w:r>
              <w:rPr>
                <w:rFonts w:hint="eastAsia" w:ascii="宋体" w:hAnsi="宋体" w:cs="宋体"/>
                <w:kern w:val="0"/>
              </w:rPr>
              <w:br w:type="textWrapping"/>
            </w:r>
            <w:r>
              <w:rPr>
                <w:rFonts w:hint="eastAsia" w:ascii="宋体" w:hAnsi="宋体" w:cs="宋体"/>
                <w:kern w:val="0"/>
              </w:rPr>
              <w:t>配置8个16Gb/s FC主机接口、配置4个10Gb NAS主机接口</w:t>
            </w:r>
            <w:r>
              <w:rPr>
                <w:rFonts w:hint="eastAsia" w:ascii="宋体" w:hAnsi="宋体" w:cs="宋体"/>
                <w:kern w:val="0"/>
              </w:rPr>
              <w:br w:type="textWrapping"/>
            </w:r>
            <w:r>
              <w:rPr>
                <w:rFonts w:hint="eastAsia" w:ascii="宋体" w:hAnsi="宋体" w:cs="宋体"/>
                <w:bCs/>
                <w:kern w:val="0"/>
              </w:rPr>
              <w:t>配置12块10 TB SATA硬盘</w:t>
            </w:r>
            <w:r>
              <w:rPr>
                <w:rFonts w:hint="eastAsia" w:ascii="宋体" w:hAnsi="宋体" w:cs="宋体"/>
                <w:kern w:val="0"/>
              </w:rPr>
              <w:t>，双控最大可扩充磁盘数≥144块</w:t>
            </w:r>
            <w:r>
              <w:rPr>
                <w:rFonts w:hint="eastAsia" w:ascii="宋体" w:hAnsi="宋体" w:cs="宋体"/>
                <w:kern w:val="0"/>
              </w:rPr>
              <w:br w:type="textWrapping"/>
            </w:r>
            <w:r>
              <w:rPr>
                <w:rFonts w:hint="eastAsia" w:ascii="宋体" w:hAnsi="宋体" w:cs="宋体"/>
                <w:kern w:val="0"/>
              </w:rPr>
              <w:t>要求存储设备支持全局动态热备盘，根据磁盘容量需求，合理配置全局动态备盘数目，且在无需重新启动系统的条件下，能自动用事先配置的热备份硬盘接替故障硬盘实现连续工作；热备盘位置不固定，且重构后无需回构</w:t>
            </w:r>
            <w:r>
              <w:rPr>
                <w:rFonts w:hint="eastAsia" w:ascii="宋体" w:hAnsi="宋体" w:cs="宋体"/>
                <w:kern w:val="0"/>
              </w:rPr>
              <w:br w:type="textWrapping"/>
            </w:r>
            <w:r>
              <w:rPr>
                <w:rFonts w:hint="eastAsia" w:ascii="宋体" w:hAnsi="宋体" w:cs="宋体"/>
                <w:kern w:val="0"/>
              </w:rPr>
              <w:t>支持多种工业标准RAID存储方式，包括单盘失效、双盘失效和三盘失效保护技术，支持RAID组动态扩展，在线升级等</w:t>
            </w:r>
            <w:r>
              <w:rPr>
                <w:rFonts w:hint="eastAsia" w:ascii="宋体" w:hAnsi="宋体" w:cs="宋体"/>
                <w:kern w:val="0"/>
              </w:rPr>
              <w:br w:type="textWrapping"/>
            </w:r>
            <w:r>
              <w:rPr>
                <w:rFonts w:hint="eastAsia" w:ascii="宋体" w:hAnsi="宋体" w:cs="宋体"/>
                <w:kern w:val="0"/>
              </w:rPr>
              <w:t>配置FC、NFS、CIFS等网路连接协议</w:t>
            </w:r>
            <w:r>
              <w:rPr>
                <w:rFonts w:hint="eastAsia" w:ascii="宋体" w:hAnsi="宋体" w:cs="宋体"/>
                <w:kern w:val="0"/>
              </w:rPr>
              <w:br w:type="textWrapping"/>
            </w:r>
            <w:r>
              <w:rPr>
                <w:rFonts w:hint="eastAsia" w:ascii="宋体" w:hAnsi="宋体" w:cs="宋体"/>
                <w:kern w:val="0"/>
              </w:rPr>
              <w:t>针对前端不同级别的应用提供存储资源的优先分配功能</w:t>
            </w:r>
            <w:r>
              <w:rPr>
                <w:rFonts w:hint="eastAsia" w:ascii="宋体" w:hAnsi="宋体" w:cs="宋体"/>
                <w:kern w:val="0"/>
              </w:rPr>
              <w:br w:type="textWrapping"/>
            </w:r>
            <w:r>
              <w:rPr>
                <w:rFonts w:hint="eastAsia" w:ascii="宋体" w:hAnsi="宋体" w:cs="宋体"/>
                <w:kern w:val="0"/>
              </w:rPr>
              <w:t>配置基于存储控制器的容灾软件，容灾复制无容量许可限制，支持同步、半同步和异步复制模式，同时支持FC和IP链路，支持卷和文件系统的复制</w:t>
            </w:r>
            <w:r>
              <w:rPr>
                <w:rFonts w:hint="eastAsia" w:ascii="宋体" w:hAnsi="宋体" w:cs="宋体"/>
                <w:kern w:val="0"/>
              </w:rPr>
              <w:br w:type="textWrapping"/>
            </w:r>
            <w:r>
              <w:rPr>
                <w:rFonts w:hint="eastAsia" w:ascii="宋体" w:hAnsi="宋体" w:cs="宋体"/>
                <w:kern w:val="0"/>
              </w:rPr>
              <w:t>提供在线\线后重复数据删除功能，要求支持SAN和NAS多种数据，且最小颗粒度≤4K，支持按需开启和关闭</w:t>
            </w:r>
            <w:r>
              <w:rPr>
                <w:rFonts w:hint="eastAsia" w:ascii="宋体" w:hAnsi="宋体" w:cs="宋体"/>
                <w:kern w:val="0"/>
              </w:rPr>
              <w:br w:type="textWrapping"/>
            </w:r>
            <w:r>
              <w:rPr>
                <w:rFonts w:hint="eastAsia" w:ascii="宋体" w:hAnsi="宋体" w:cs="宋体"/>
                <w:kern w:val="0"/>
              </w:rPr>
              <w:t>提供在线数\线后数据压缩，要求支持SAN和NAS多种数据</w:t>
            </w:r>
            <w:r>
              <w:rPr>
                <w:rFonts w:hint="eastAsia" w:ascii="宋体" w:hAnsi="宋体" w:cs="宋体"/>
                <w:kern w:val="0"/>
              </w:rPr>
              <w:br w:type="textWrapping"/>
            </w:r>
            <w:r>
              <w:rPr>
                <w:rFonts w:hint="eastAsia" w:ascii="宋体" w:hAnsi="宋体" w:cs="宋体"/>
                <w:kern w:val="0"/>
              </w:rPr>
              <w:t xml:space="preserve">配置连续数据保护功能软件，可设定的任意历史点数据快速恢复，实时的字节级增量数据捕捉，支持异机跨平台数据复制，包括Windows和Linux版本，且目标机只需安装基本的操作系统和软件就能对服务器进行远程恢复。提供异步字节级别的持续复制功能 </w:t>
            </w:r>
            <w:r>
              <w:rPr>
                <w:rFonts w:hint="eastAsia" w:ascii="宋体" w:hAnsi="宋体" w:cs="宋体"/>
                <w:kern w:val="0"/>
              </w:rPr>
              <w:br w:type="textWrapping"/>
            </w:r>
            <w:r>
              <w:rPr>
                <w:rFonts w:hint="eastAsia" w:ascii="宋体" w:hAnsi="宋体" w:cs="宋体"/>
                <w:kern w:val="0"/>
              </w:rPr>
              <w:t>支持分布式卷，单个卷大小可扩展至≥20PB</w:t>
            </w:r>
            <w:r>
              <w:rPr>
                <w:rFonts w:hint="eastAsia" w:ascii="宋体" w:hAnsi="宋体" w:cs="宋体"/>
                <w:kern w:val="0"/>
              </w:rPr>
              <w:br w:type="textWrapping"/>
            </w:r>
            <w:r>
              <w:rPr>
                <w:rFonts w:hint="eastAsia" w:ascii="宋体" w:hAnsi="宋体" w:cs="宋体"/>
                <w:kern w:val="0"/>
              </w:rPr>
              <w:t>支持SAN和NAS数据的在线重删，且最小颗粒度≤4K，支持按需开启和关闭</w:t>
            </w:r>
          </w:p>
          <w:p>
            <w:pPr>
              <w:widowControl/>
              <w:spacing w:after="240"/>
              <w:jc w:val="left"/>
              <w:rPr>
                <w:rFonts w:ascii="宋体" w:hAnsi="宋体" w:cs="宋体"/>
                <w:kern w:val="0"/>
              </w:rPr>
            </w:pPr>
            <w:r>
              <w:rPr>
                <w:rFonts w:hint="eastAsia" w:ascii="宋体" w:hAnsi="宋体" w:cs="宋体"/>
                <w:kern w:val="0"/>
              </w:rPr>
              <w:t>支持通过控制器实现数据容灾功能，提供应用及高可靠性，单一站点的故障对应用系统没有影响，同时实现SAN和NAS的双活，存储双活功能无容量限制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2756"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34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计算机</w:t>
            </w:r>
          </w:p>
        </w:tc>
        <w:tc>
          <w:tcPr>
            <w:tcW w:w="6661" w:type="dxa"/>
            <w:tcBorders>
              <w:top w:val="nil"/>
              <w:left w:val="nil"/>
              <w:bottom w:val="single" w:color="auto" w:sz="4" w:space="0"/>
              <w:right w:val="single" w:color="auto" w:sz="4" w:space="0"/>
            </w:tcBorders>
            <w:shd w:val="clear" w:color="auto" w:fill="auto"/>
          </w:tcPr>
          <w:p>
            <w:pPr>
              <w:widowControl/>
              <w:spacing w:after="240"/>
              <w:jc w:val="left"/>
              <w:rPr>
                <w:rFonts w:ascii="宋体" w:hAnsi="宋体" w:cs="宋体"/>
                <w:kern w:val="0"/>
              </w:rPr>
            </w:pPr>
            <w:r>
              <w:rPr>
                <w:rFonts w:hint="eastAsia" w:ascii="宋体" w:hAnsi="宋体" w:cs="宋体"/>
                <w:kern w:val="0"/>
              </w:rPr>
              <w:t>处理器≥英特尔酷睿I5系列 主频≥2.0GHz/内核Skylake /制程工艺14纳米/核心数量线程数双核心四线程 ；内存≥</w:t>
            </w:r>
            <w:r>
              <w:rPr>
                <w:rFonts w:ascii="宋体" w:hAnsi="宋体" w:cs="宋体"/>
                <w:kern w:val="0"/>
              </w:rPr>
              <w:t>8</w:t>
            </w:r>
            <w:r>
              <w:rPr>
                <w:rFonts w:hint="eastAsia" w:ascii="宋体" w:hAnsi="宋体" w:cs="宋体"/>
                <w:kern w:val="0"/>
              </w:rPr>
              <w:t>GB DDR4 2400MHz；硬盘≥</w:t>
            </w:r>
            <w:r>
              <w:rPr>
                <w:rFonts w:ascii="宋体" w:hAnsi="宋体" w:cs="宋体"/>
                <w:kern w:val="0"/>
              </w:rPr>
              <w:t>250G</w:t>
            </w:r>
            <w:r>
              <w:rPr>
                <w:rFonts w:hint="eastAsia" w:ascii="宋体" w:hAnsi="宋体" w:cs="宋体"/>
                <w:kern w:val="0"/>
              </w:rPr>
              <w:t xml:space="preserve"> 固态硬盘；板载高性能显卡或同级别显卡；显示屏≥21.5英寸LED背光屏（1920*1080）；集成10/100/1000MB自适应网卡；集成5.1声道声卡，板载集成 ALC662芯片；USB接口要求侧2后3（至少4个USB3.0）；主机同品牌USB光电鼠标、防水键盘； 1个RJ45网络接口；电源不高于120W；采用光触媒风扇，声压指标不高于11.5分贝；前置开关，高效散热静音。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8</w:t>
            </w:r>
            <w:r>
              <w:rPr>
                <w:rFonts w:hint="eastAsia" w:ascii="宋体" w:hAnsi="宋体" w:cs="宋体"/>
                <w:kern w:val="0"/>
                <w:sz w:val="20"/>
                <w:szCs w:val="20"/>
              </w:rPr>
              <w:t>套</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tabs>
                <w:tab w:val="left" w:pos="2204"/>
              </w:tabs>
              <w:jc w:val="left"/>
              <w:rPr>
                <w:rFonts w:ascii="宋体" w:hAnsi="宋体" w:cs="宋体"/>
                <w:b/>
                <w:bCs/>
                <w:kern w:val="0"/>
              </w:rPr>
            </w:pPr>
            <w:r>
              <w:rPr>
                <w:rFonts w:hint="eastAsia" w:ascii="宋体" w:hAnsi="宋体" w:cs="宋体"/>
                <w:b/>
                <w:bCs/>
                <w:kern w:val="0"/>
              </w:rPr>
              <w:t>6、交换机设备</w:t>
            </w:r>
            <w:r>
              <w:rPr>
                <w:rFonts w:ascii="宋体" w:hAnsi="宋体" w:cs="宋体"/>
                <w:b/>
                <w:bCs/>
                <w:kern w:val="0"/>
              </w:rPr>
              <w:tab/>
            </w:r>
          </w:p>
        </w:tc>
        <w:tc>
          <w:tcPr>
            <w:tcW w:w="709" w:type="dxa"/>
            <w:tcBorders>
              <w:top w:val="nil"/>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1296"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管理交换机</w:t>
            </w:r>
          </w:p>
          <w:p>
            <w:pPr>
              <w:widowControl/>
              <w:jc w:val="left"/>
              <w:rPr>
                <w:rFonts w:ascii="宋体" w:hAnsi="宋体" w:cs="宋体"/>
                <w:kern w:val="0"/>
              </w:rPr>
            </w:pP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二层功能TOR千兆交换机，48口千兆以太端口，4个10GbE SFP+端口；延迟率低于3.3微秒，高达176Gbps 的最大端口吞吐量；支持active-active双活模式；支持冗余电源和风扇，功耗不高于68W；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2台</w:t>
            </w:r>
          </w:p>
        </w:tc>
      </w:tr>
      <w:tr>
        <w:tblPrEx>
          <w:tblLayout w:type="fixed"/>
          <w:tblCellMar>
            <w:top w:w="0" w:type="dxa"/>
            <w:left w:w="108" w:type="dxa"/>
            <w:bottom w:w="0" w:type="dxa"/>
            <w:right w:w="108" w:type="dxa"/>
          </w:tblCellMar>
        </w:tblPrEx>
        <w:trPr>
          <w:trHeight w:val="1041"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虚拟化交换机</w:t>
            </w: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三层功能TOR万兆交换机，交换容量≥640Gbps，延迟&lt; 760ns，10G端口SFP+ ≥32个，本次配置20个万兆SFP+光模块</w:t>
            </w:r>
            <w:r>
              <w:rPr>
                <w:rFonts w:hint="eastAsia" w:ascii="宋体" w:hAnsi="宋体" w:cs="宋体"/>
                <w:kern w:val="0"/>
              </w:rPr>
              <w:br w:type="textWrapping"/>
            </w:r>
            <w:r>
              <w:rPr>
                <w:rFonts w:hint="eastAsia" w:ascii="宋体" w:hAnsi="宋体" w:cs="宋体"/>
                <w:kern w:val="0"/>
              </w:rPr>
              <w:t>前向后或后向前通风方式，2个热插拔模块化电源，形成冗余。</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2台</w:t>
            </w:r>
          </w:p>
        </w:tc>
      </w:tr>
      <w:tr>
        <w:tblPrEx>
          <w:tblLayout w:type="fixed"/>
          <w:tblCellMar>
            <w:top w:w="0" w:type="dxa"/>
            <w:left w:w="108" w:type="dxa"/>
            <w:bottom w:w="0" w:type="dxa"/>
            <w:right w:w="108" w:type="dxa"/>
          </w:tblCellMar>
        </w:tblPrEx>
        <w:trPr>
          <w:trHeight w:val="912"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光纤交换机</w:t>
            </w: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企业级光纤交换机，本次配置24口16GbFC 端口，端口全部激活，含双冗余电源， 支持与原有利旧光纤交换机进行级联使用。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2台</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cs="宋体"/>
                <w:b/>
                <w:bCs/>
                <w:kern w:val="0"/>
              </w:rPr>
            </w:pPr>
            <w:r>
              <w:rPr>
                <w:rFonts w:hint="eastAsia" w:ascii="宋体" w:hAnsi="宋体" w:cs="宋体"/>
                <w:b/>
                <w:bCs/>
                <w:kern w:val="0"/>
              </w:rPr>
              <w:t>二、</w:t>
            </w:r>
            <w:r>
              <w:rPr>
                <w:rFonts w:ascii="宋体" w:hAnsi="宋体" w:cs="宋体"/>
                <w:b/>
                <w:bCs/>
                <w:kern w:val="0"/>
              </w:rPr>
              <w:t>软件部分</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rPr>
            </w:pPr>
            <w:r>
              <w:rPr>
                <w:rFonts w:hint="eastAsia" w:ascii="宋体" w:hAnsi="宋体" w:cs="宋体"/>
                <w:b/>
                <w:bCs/>
                <w:kern w:val="0"/>
              </w:rPr>
              <w:t>7、软件</w:t>
            </w:r>
          </w:p>
        </w:tc>
        <w:tc>
          <w:tcPr>
            <w:tcW w:w="709" w:type="dxa"/>
            <w:tcBorders>
              <w:top w:val="nil"/>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1975"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7.1</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虚拟化软件</w:t>
            </w:r>
          </w:p>
          <w:p>
            <w:pPr>
              <w:widowControl/>
              <w:rPr>
                <w:rFonts w:ascii="宋体" w:hAnsi="宋体" w:cs="宋体"/>
                <w:kern w:val="0"/>
              </w:rPr>
            </w:pP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与原有虚拟化平台系统完全兼容，采用企业级虚拟化软件6.7标准版</w:t>
            </w:r>
            <w:r>
              <w:rPr>
                <w:rFonts w:hint="eastAsia" w:ascii="宋体" w:hAnsi="宋体" w:cs="宋体"/>
                <w:kern w:val="0"/>
              </w:rPr>
              <w:br w:type="textWrapping"/>
            </w:r>
            <w:r>
              <w:rPr>
                <w:rFonts w:hint="eastAsia" w:ascii="宋体" w:hAnsi="宋体" w:cs="宋体"/>
                <w:kern w:val="0"/>
              </w:rPr>
              <w:t>采用裸金属架构，无需绑定操作系统即可搭建虚拟化平台。为保证稳定性要求采用企业级产品，非基于OpenStack、KVM等开源软件开发。提供软件安装底层截图。</w:t>
            </w:r>
            <w:r>
              <w:rPr>
                <w:rFonts w:hint="eastAsia" w:ascii="宋体" w:hAnsi="宋体" w:cs="宋体"/>
                <w:kern w:val="0"/>
              </w:rPr>
              <w:br w:type="textWrapping"/>
            </w:r>
            <w:r>
              <w:rPr>
                <w:rFonts w:hint="eastAsia" w:ascii="宋体" w:hAnsi="宋体" w:cs="宋体"/>
                <w:kern w:val="0"/>
              </w:rPr>
              <w:t>虚拟化平台具备虚拟机容错机制。一旦出现硬件故障，容错机制就会自动触发故障切换，确保零停机并防止数据丢失，要求启用此功能的虚拟机CPU配置支持不低于4vCPU</w:t>
            </w:r>
            <w:r>
              <w:rPr>
                <w:rFonts w:hint="eastAsia" w:ascii="宋体" w:hAnsi="宋体" w:cs="宋体"/>
                <w:kern w:val="0"/>
              </w:rPr>
              <w:br w:type="textWrapping"/>
            </w:r>
            <w:r>
              <w:rPr>
                <w:rFonts w:hint="eastAsia" w:ascii="宋体" w:hAnsi="宋体" w:cs="宋体"/>
                <w:kern w:val="0"/>
              </w:rPr>
              <w:t>支持虚拟机在本地存储以及共享存储之间在线迁移，保障业务连续性。支持跨不同存储类型(如FC、NAS、IPSAN等)以及不同厂商存储产品之间在线迁移。</w:t>
            </w:r>
            <w:r>
              <w:rPr>
                <w:rFonts w:hint="eastAsia" w:ascii="宋体" w:hAnsi="宋体" w:cs="宋体"/>
                <w:kern w:val="0"/>
              </w:rPr>
              <w:br w:type="textWrapping"/>
            </w:r>
            <w:r>
              <w:rPr>
                <w:rFonts w:hint="eastAsia" w:ascii="宋体" w:hAnsi="宋体" w:cs="宋体"/>
                <w:kern w:val="0"/>
              </w:rPr>
              <w:t>虚拟机支持跨虚拟交换机在线复制、迁移功能，同时虚拟机支持跨管理中心迁移</w:t>
            </w:r>
            <w:r>
              <w:rPr>
                <w:rFonts w:hint="eastAsia" w:ascii="宋体" w:hAnsi="宋体" w:cs="宋体"/>
                <w:kern w:val="0"/>
              </w:rPr>
              <w:br w:type="textWrapping"/>
            </w:r>
            <w:r>
              <w:rPr>
                <w:rFonts w:hint="eastAsia" w:ascii="宋体" w:hAnsi="宋体" w:cs="宋体"/>
                <w:kern w:val="0"/>
              </w:rPr>
              <w:t>支持虚拟机在本地存储和共享存储之间在线迁移，保障业务连续性。支持跨不同存储类型以及不同厂商存储产品之间进行在线迁移</w:t>
            </w:r>
            <w:r>
              <w:rPr>
                <w:rFonts w:hint="eastAsia" w:ascii="宋体" w:hAnsi="宋体" w:cs="宋体"/>
                <w:kern w:val="0"/>
              </w:rPr>
              <w:br w:type="textWrapping"/>
            </w:r>
            <w:r>
              <w:rPr>
                <w:rFonts w:hint="eastAsia" w:ascii="宋体" w:hAnsi="宋体" w:cs="宋体"/>
                <w:kern w:val="0"/>
              </w:rPr>
              <w:t>提供虚拟机CPU、内存、网卡、硬盘的热添加功能，无需中断或停机即可根据需要向虚拟机添加CPU和内存、磁盘、网卡等</w:t>
            </w:r>
            <w:r>
              <w:rPr>
                <w:rFonts w:hint="eastAsia" w:ascii="宋体" w:hAnsi="宋体" w:cs="宋体"/>
                <w:kern w:val="0"/>
              </w:rPr>
              <w:br w:type="textWrapping"/>
            </w:r>
            <w:r>
              <w:rPr>
                <w:rFonts w:hint="eastAsia" w:ascii="宋体" w:hAnsi="宋体" w:cs="宋体"/>
                <w:kern w:val="0"/>
              </w:rPr>
              <w:t>支持分布式存储功能，以嵌入式方式部署，并能根据每个业务系统设置不同存储策略，同时支持重删、纠错等功能</w:t>
            </w:r>
            <w:r>
              <w:rPr>
                <w:rFonts w:hint="eastAsia" w:ascii="宋体" w:hAnsi="宋体" w:cs="宋体"/>
                <w:kern w:val="0"/>
              </w:rPr>
              <w:br w:type="textWrapping"/>
            </w:r>
            <w:r>
              <w:rPr>
                <w:rFonts w:hint="eastAsia" w:ascii="宋体" w:hAnsi="宋体" w:cs="宋体"/>
                <w:kern w:val="0"/>
              </w:rPr>
              <w:t>单个虚拟机支持128个vCPU和4TB内存，每台虚拟化物理主机支持480个逻辑CPU和4096个虚拟CPU</w:t>
            </w:r>
            <w:r>
              <w:rPr>
                <w:rFonts w:hint="eastAsia" w:ascii="宋体" w:hAnsi="宋体" w:cs="宋体"/>
                <w:kern w:val="0"/>
              </w:rPr>
              <w:br w:type="textWrapping"/>
            </w:r>
            <w:r>
              <w:rPr>
                <w:rFonts w:hint="eastAsia" w:ascii="宋体" w:hAnsi="宋体" w:cs="宋体"/>
                <w:kern w:val="0"/>
              </w:rPr>
              <w:t>提供虚拟机存储的动态负载平衡功能，通过存储特征来确定虚拟机数据在创建和使用时的最佳驻留位置，可根据存储卷性能及容量情况进行无中断自动迁移，消除存储隐患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4套</w:t>
            </w:r>
          </w:p>
        </w:tc>
      </w:tr>
      <w:tr>
        <w:tblPrEx>
          <w:tblLayout w:type="fixed"/>
          <w:tblCellMar>
            <w:top w:w="0" w:type="dxa"/>
            <w:left w:w="108" w:type="dxa"/>
            <w:bottom w:w="0" w:type="dxa"/>
            <w:right w:w="108" w:type="dxa"/>
          </w:tblCellMar>
        </w:tblPrEx>
        <w:trPr>
          <w:trHeight w:val="699"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7.2</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管理中心</w:t>
            </w:r>
          </w:p>
        </w:tc>
        <w:tc>
          <w:tcPr>
            <w:tcW w:w="66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企业级虚拟化管理中心，适用于虚拟化架构、物理架构上的操作系统的运营管理。平台支持横向扩展</w:t>
            </w:r>
            <w:r>
              <w:rPr>
                <w:rFonts w:hint="eastAsia" w:ascii="宋体" w:hAnsi="宋体" w:cs="宋体"/>
                <w:kern w:val="0"/>
              </w:rPr>
              <w:br w:type="textWrapping"/>
            </w:r>
            <w:r>
              <w:rPr>
                <w:rFonts w:hint="eastAsia" w:ascii="宋体" w:hAnsi="宋体" w:cs="宋体"/>
                <w:kern w:val="0"/>
              </w:rPr>
              <w:t>对关键指标进行KPI分析，配合不同的颜色标示，清晰的展现系统性能状态</w:t>
            </w:r>
            <w:r>
              <w:rPr>
                <w:rFonts w:hint="eastAsia" w:ascii="宋体" w:hAnsi="宋体" w:cs="宋体"/>
                <w:kern w:val="0"/>
              </w:rPr>
              <w:br w:type="textWrapping"/>
            </w:r>
            <w:r>
              <w:rPr>
                <w:rFonts w:hint="eastAsia" w:ascii="宋体" w:hAnsi="宋体" w:cs="宋体"/>
                <w:kern w:val="0"/>
              </w:rPr>
              <w:t>以直观的图形方式（如仪表盘、面板等等）展示系统架构的运行状态和健康状况。应对于主要的环境资源，包括CPU，内存，网络以及存储I/O等，进行使用情况汇总。优化资源与负载分配，提高基础架构的利用率。</w:t>
            </w:r>
            <w:r>
              <w:rPr>
                <w:rFonts w:hint="eastAsia" w:ascii="宋体" w:hAnsi="宋体" w:cs="宋体"/>
                <w:kern w:val="0"/>
              </w:rPr>
              <w:br w:type="textWrapping"/>
            </w:r>
            <w:r>
              <w:rPr>
                <w:rFonts w:hint="eastAsia" w:ascii="宋体" w:hAnsi="宋体" w:cs="宋体"/>
                <w:kern w:val="0"/>
              </w:rPr>
              <w:t>可以对系统中存在事故隐患生成具有前瞻性的预警，以便管理员尽快做出响应，降低风险。</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240"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7.3</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HIS 数据库HA软件</w:t>
            </w:r>
          </w:p>
        </w:tc>
        <w:tc>
          <w:tcPr>
            <w:tcW w:w="66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企业级HA双机热备软件，与原有HIS系统HA软件兼容，支持共享存储，支持Redhat、Centos等主流Linux版本</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2套</w:t>
            </w:r>
          </w:p>
        </w:tc>
      </w:tr>
      <w:tr>
        <w:tblPrEx>
          <w:tblLayout w:type="fixed"/>
          <w:tblCellMar>
            <w:top w:w="0" w:type="dxa"/>
            <w:left w:w="108" w:type="dxa"/>
            <w:bottom w:w="0" w:type="dxa"/>
            <w:right w:w="108" w:type="dxa"/>
          </w:tblCellMar>
        </w:tblPrEx>
        <w:trPr>
          <w:trHeight w:val="24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7.4</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PACS 数据库HA软件</w:t>
            </w:r>
          </w:p>
        </w:tc>
        <w:tc>
          <w:tcPr>
            <w:tcW w:w="66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HA双机热备软件，与原有PACS系统HA软件兼容，支持共享存储，支持Windows 2008 R2,Windows 2012，Windows 2016等版本</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2套</w:t>
            </w:r>
          </w:p>
        </w:tc>
      </w:tr>
      <w:tr>
        <w:tblPrEx>
          <w:tblLayout w:type="fixed"/>
          <w:tblCellMar>
            <w:top w:w="0" w:type="dxa"/>
            <w:left w:w="108" w:type="dxa"/>
            <w:bottom w:w="0" w:type="dxa"/>
            <w:right w:w="108" w:type="dxa"/>
          </w:tblCellMar>
        </w:tblPrEx>
        <w:trPr>
          <w:trHeight w:val="24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7.5</w:t>
            </w:r>
          </w:p>
        </w:tc>
        <w:tc>
          <w:tcPr>
            <w:tcW w:w="13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操作系统</w:t>
            </w:r>
          </w:p>
        </w:tc>
        <w:tc>
          <w:tcPr>
            <w:tcW w:w="66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Windows 2016 R2 标准版，可降级Windows2012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24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7.6</w:t>
            </w:r>
          </w:p>
        </w:tc>
        <w:tc>
          <w:tcPr>
            <w:tcW w:w="13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操作系统</w:t>
            </w:r>
          </w:p>
        </w:tc>
        <w:tc>
          <w:tcPr>
            <w:tcW w:w="66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Redhat Linux</w:t>
            </w:r>
            <w:r>
              <w:rPr>
                <w:rFonts w:ascii="宋体" w:hAnsi="宋体" w:cs="宋体"/>
                <w:kern w:val="0"/>
              </w:rPr>
              <w:t>7.0</w:t>
            </w:r>
            <w:r>
              <w:rPr>
                <w:rFonts w:hint="eastAsia" w:ascii="宋体" w:hAnsi="宋体" w:cs="宋体"/>
                <w:kern w:val="0"/>
              </w:rPr>
              <w:t>企业版操作系统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1266"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7.7</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系统监控软件</w:t>
            </w:r>
          </w:p>
        </w:tc>
        <w:tc>
          <w:tcPr>
            <w:tcW w:w="66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数据中心统一管理软件，支持和网管软件的整合，提供多种整合方式，包括数据整合、事件整合、界面整合，通过整合来最大程度保护用户投资，提高系统的可扩展性。</w:t>
            </w:r>
            <w:r>
              <w:rPr>
                <w:rFonts w:hint="eastAsia" w:ascii="宋体" w:hAnsi="宋体" w:cs="宋体"/>
                <w:kern w:val="0"/>
              </w:rPr>
              <w:br w:type="textWrapping"/>
            </w:r>
            <w:r>
              <w:rPr>
                <w:rFonts w:hint="eastAsia" w:ascii="宋体" w:hAnsi="宋体" w:cs="宋体"/>
                <w:kern w:val="0"/>
              </w:rPr>
              <w:t>支持分布式管理。一套系统可实现总院和分院的统一监控，所有监控内容通过统一的B/S的Portal展现；</w:t>
            </w:r>
            <w:r>
              <w:rPr>
                <w:rFonts w:hint="eastAsia" w:ascii="宋体" w:hAnsi="宋体" w:cs="宋体"/>
                <w:kern w:val="0"/>
              </w:rPr>
              <w:br w:type="textWrapping"/>
            </w:r>
            <w:r>
              <w:rPr>
                <w:rFonts w:hint="eastAsia" w:ascii="宋体" w:hAnsi="宋体" w:cs="宋体"/>
                <w:kern w:val="0"/>
              </w:rPr>
              <w:t>提供网络设备分布及Web 界面的拓扑展示；</w:t>
            </w:r>
            <w:r>
              <w:rPr>
                <w:rFonts w:hint="eastAsia" w:ascii="宋体" w:hAnsi="宋体" w:cs="宋体"/>
                <w:kern w:val="0"/>
              </w:rPr>
              <w:br w:type="textWrapping"/>
            </w:r>
            <w:r>
              <w:rPr>
                <w:rFonts w:hint="eastAsia" w:ascii="宋体" w:hAnsi="宋体" w:cs="宋体"/>
                <w:kern w:val="0"/>
              </w:rPr>
              <w:t>提供多种拓扑显示：包括IP拓扑、设备拓扑视图、业务拓扑视图和自定义拓扑视图；管理员可在各个视图间进行切换；各个拓扑视图中实时显示网络元素和链路的状态。用不同颜色标识不同状态；</w:t>
            </w:r>
            <w:r>
              <w:rPr>
                <w:rFonts w:hint="eastAsia" w:ascii="宋体" w:hAnsi="宋体" w:cs="宋体"/>
                <w:kern w:val="0"/>
              </w:rPr>
              <w:br w:type="textWrapping"/>
            </w:r>
            <w:r>
              <w:rPr>
                <w:rFonts w:hint="eastAsia" w:ascii="宋体" w:hAnsi="宋体" w:cs="宋体"/>
                <w:kern w:val="0"/>
              </w:rPr>
              <w:t>应支持目前主流网络及安全设备（如：CISCO、华为、Radware、F5、Juniper、Nokia等）的监控，监控项目应包含但不限于流量、时延、设备健康，并可以根据预设进行自动报警。</w:t>
            </w:r>
            <w:r>
              <w:rPr>
                <w:rFonts w:hint="eastAsia" w:ascii="宋体" w:hAnsi="宋体" w:cs="宋体"/>
                <w:kern w:val="0"/>
              </w:rPr>
              <w:br w:type="textWrapping"/>
            </w:r>
            <w:r>
              <w:rPr>
                <w:rFonts w:hint="eastAsia" w:ascii="宋体" w:hAnsi="宋体" w:cs="宋体"/>
                <w:kern w:val="0"/>
              </w:rPr>
              <w:t>服务器监控支持但不限于Solaris、HP UX、AIX、RHAS、CentOS、Windows操作系统，支持但不限于IBM、HP、SUN、DELL等主机。支持监控操作系统运行状况（CPU、内存、硬盘、事件、系统进程、日志文件、网络状态等）。</w:t>
            </w:r>
            <w:r>
              <w:rPr>
                <w:rFonts w:hint="eastAsia" w:ascii="宋体" w:hAnsi="宋体" w:cs="宋体"/>
                <w:kern w:val="0"/>
              </w:rPr>
              <w:br w:type="textWrapping"/>
            </w:r>
            <w:r>
              <w:rPr>
                <w:rFonts w:hint="eastAsia" w:ascii="宋体" w:hAnsi="宋体" w:cs="宋体"/>
                <w:kern w:val="0"/>
              </w:rPr>
              <w:t>支持的存储设备包括对EMC、HDS、NetApp存储、IBM 存储、ADIC磁带机、DELL磁带机的监测.对于存储设备与服务器硬件信息需要采用Agent方式监控。必须包括EMC DMX、VMAX、IBM DS8000高端系列监控包括：电池、通道、电源、风扇、端口等状态。</w:t>
            </w:r>
            <w:r>
              <w:rPr>
                <w:rFonts w:hint="eastAsia" w:ascii="宋体" w:hAnsi="宋体" w:cs="宋体"/>
                <w:kern w:val="0"/>
              </w:rPr>
              <w:br w:type="textWrapping"/>
            </w:r>
            <w:r>
              <w:rPr>
                <w:rFonts w:hint="eastAsia" w:ascii="宋体" w:hAnsi="宋体" w:cs="宋体"/>
                <w:kern w:val="0"/>
              </w:rPr>
              <w:t>支持的服务器硬件状态监测，支持的品牌包括IBM、HP、DELL、Sun、Cisco UCS。监测的内容包括：电源、风扇、CPU、RAID、内存等物理状态。</w:t>
            </w:r>
            <w:r>
              <w:rPr>
                <w:rFonts w:hint="eastAsia" w:ascii="宋体" w:hAnsi="宋体" w:cs="宋体"/>
                <w:kern w:val="0"/>
              </w:rPr>
              <w:br w:type="textWrapping"/>
            </w:r>
            <w:r>
              <w:rPr>
                <w:rFonts w:hint="eastAsia" w:ascii="宋体" w:hAnsi="宋体" w:cs="宋体"/>
                <w:kern w:val="0"/>
              </w:rPr>
              <w:t>数据库支持但不限于MSSQL、MYSQL、Oracle、DB2等主流数据库，应用应支持但不限于Apusic(金蝶中间件)、Tuxedu、Websphere、Jboss、IBM GMD、IBM CICS、IBM HACMP、Vmware、Apache、IIS、WebLogic、Tomcat等应用，监控项目应包含但不限于健康性，并可以根据预设进行自动报警。</w:t>
            </w:r>
            <w:r>
              <w:rPr>
                <w:rFonts w:hint="eastAsia" w:ascii="宋体" w:hAnsi="宋体" w:cs="宋体"/>
                <w:kern w:val="0"/>
              </w:rPr>
              <w:br w:type="textWrapping"/>
            </w:r>
            <w:r>
              <w:rPr>
                <w:rFonts w:hint="eastAsia" w:ascii="宋体" w:hAnsi="宋体" w:cs="宋体"/>
                <w:kern w:val="0"/>
              </w:rPr>
              <w:t>支持的对Vmware、KVM虚拟化平台的监测，监测内容应该包括有: 物理机的基础信息，物理机资源状态及使用情况（CPU、内存、网卡流量），虚拟机一览表，网卡流量曲线图、并且要能够动态监控物理机与虚拟机之间的动态漂移。</w:t>
            </w:r>
            <w:r>
              <w:rPr>
                <w:rFonts w:hint="eastAsia" w:ascii="宋体" w:hAnsi="宋体" w:cs="宋体"/>
                <w:kern w:val="0"/>
              </w:rPr>
              <w:br w:type="textWrapping"/>
            </w:r>
            <w:r>
              <w:rPr>
                <w:rFonts w:hint="eastAsia" w:ascii="宋体" w:hAnsi="宋体" w:cs="宋体"/>
                <w:kern w:val="0"/>
              </w:rPr>
              <w:t>具备灵活扩展性，能快速适应管理需求变更、有效控制上线后需求变更扩展的全周期性价比；全中文WEB界面，简单直观的配置方式和人性化的界面与流程。</w:t>
            </w:r>
            <w:r>
              <w:rPr>
                <w:rFonts w:hint="eastAsia" w:ascii="宋体" w:hAnsi="宋体" w:cs="宋体"/>
                <w:kern w:val="0"/>
              </w:rPr>
              <w:br w:type="textWrapping"/>
            </w:r>
            <w:r>
              <w:rPr>
                <w:rFonts w:hint="eastAsia" w:ascii="宋体" w:hAnsi="宋体" w:cs="宋体"/>
                <w:kern w:val="0"/>
              </w:rPr>
              <w:t>对于每个告警从产生到确认、评注、清除的响应时间都能够记录、统计、查询，可以作为监控人员岗位考核的指标</w:t>
            </w:r>
            <w:r>
              <w:rPr>
                <w:rFonts w:hint="eastAsia" w:ascii="宋体" w:hAnsi="宋体" w:cs="宋体"/>
                <w:kern w:val="0"/>
              </w:rPr>
              <w:br w:type="textWrapping"/>
            </w:r>
            <w:r>
              <w:rPr>
                <w:rFonts w:hint="eastAsia" w:ascii="宋体" w:hAnsi="宋体" w:cs="宋体"/>
                <w:kern w:val="0"/>
              </w:rPr>
              <w:t>能够根据用户需要自定义或开发统计报表，可以按照设备或应用类型以及时间来灵活定义，如：系统可用性报表、网络流量报表等。</w:t>
            </w:r>
            <w:r>
              <w:rPr>
                <w:rFonts w:hint="eastAsia" w:ascii="宋体" w:hAnsi="宋体" w:cs="宋体"/>
                <w:kern w:val="0"/>
              </w:rPr>
              <w:br w:type="textWrapping"/>
            </w:r>
            <w:r>
              <w:rPr>
                <w:rFonts w:hint="eastAsia" w:ascii="宋体" w:hAnsi="宋体" w:cs="宋体"/>
                <w:kern w:val="0"/>
              </w:rPr>
              <w:t>提供SNMP扫描工具，可以监测被管资源是否开放SNMP协议，以及支持的程度。并应该集成SnmpWalk工具，可以方便的获取被管资源的SNMP输出信息。</w:t>
            </w:r>
            <w:r>
              <w:rPr>
                <w:rFonts w:hint="eastAsia" w:ascii="宋体" w:hAnsi="宋体" w:cs="宋体"/>
                <w:kern w:val="0"/>
              </w:rPr>
              <w:br w:type="textWrapping"/>
            </w:r>
            <w:r>
              <w:rPr>
                <w:rFonts w:hint="eastAsia" w:ascii="宋体" w:hAnsi="宋体" w:cs="宋体"/>
                <w:kern w:val="0"/>
              </w:rPr>
              <w:t>厂商具有二次开发能力，可以根据要求对用户的具体网络监测需求进行定制开发；</w:t>
            </w:r>
            <w:r>
              <w:rPr>
                <w:rFonts w:hint="eastAsia" w:ascii="宋体" w:hAnsi="宋体" w:cs="宋体"/>
                <w:kern w:val="0"/>
              </w:rPr>
              <w:br w:type="textWrapping"/>
            </w:r>
            <w:r>
              <w:rPr>
                <w:rFonts w:hint="eastAsia" w:ascii="宋体" w:hAnsi="宋体" w:cs="宋体"/>
                <w:kern w:val="0"/>
              </w:rPr>
              <w:t>系统提供多种报表模板，但若需要新的报表模板，可以定制开发；</w:t>
            </w:r>
            <w:r>
              <w:rPr>
                <w:rFonts w:hint="eastAsia" w:ascii="宋体" w:hAnsi="宋体" w:cs="宋体"/>
                <w:kern w:val="0"/>
              </w:rPr>
              <w:br w:type="textWrapping"/>
            </w:r>
            <w:r>
              <w:rPr>
                <w:rFonts w:hint="eastAsia" w:ascii="宋体" w:hAnsi="宋体" w:cs="宋体"/>
                <w:kern w:val="0"/>
              </w:rPr>
              <w:t>客户应该可以通过该系统的API接口能够与其它的管理系统进行整合开发。</w:t>
            </w:r>
          </w:p>
          <w:p>
            <w:pPr>
              <w:widowControl/>
              <w:jc w:val="left"/>
              <w:rPr>
                <w:rFonts w:ascii="宋体" w:hAnsi="宋体" w:cs="宋体"/>
                <w:kern w:val="0"/>
              </w:rPr>
            </w:pPr>
            <w:r>
              <w:rPr>
                <w:rFonts w:hint="eastAsia" w:ascii="宋体" w:hAnsi="宋体" w:cs="宋体"/>
                <w:kern w:val="0"/>
              </w:rPr>
              <w:t>提供满足本次数据中心所以硬件设备数量的监控许可</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716"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8</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终端管理</w:t>
            </w:r>
            <w:r>
              <w:rPr>
                <w:rFonts w:ascii="宋体" w:hAnsi="宋体" w:cs="宋体"/>
                <w:kern w:val="0"/>
              </w:rPr>
              <w:t>软件</w:t>
            </w:r>
          </w:p>
        </w:tc>
        <w:tc>
          <w:tcPr>
            <w:tcW w:w="66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需支持</w:t>
            </w:r>
            <w:r>
              <w:rPr>
                <w:rFonts w:ascii="宋体" w:hAnsi="宋体" w:cs="宋体"/>
                <w:kern w:val="0"/>
              </w:rPr>
              <w:t>windows 2000/XP/2003/vista/7/8/10/2008 /2012等系列操作系统，包括32/64位系统，</w:t>
            </w:r>
            <w:r>
              <w:rPr>
                <w:rFonts w:hint="eastAsia" w:ascii="宋体" w:hAnsi="宋体" w:cs="宋体"/>
                <w:kern w:val="0"/>
              </w:rPr>
              <w:t>需</w:t>
            </w:r>
            <w:r>
              <w:rPr>
                <w:rFonts w:ascii="宋体" w:hAnsi="宋体" w:cs="宋体"/>
                <w:kern w:val="0"/>
              </w:rPr>
              <w:t>支持C/S架构。</w:t>
            </w:r>
          </w:p>
          <w:p>
            <w:pPr>
              <w:widowControl/>
              <w:jc w:val="left"/>
              <w:rPr>
                <w:rFonts w:ascii="宋体" w:hAnsi="宋体" w:cs="宋体"/>
                <w:kern w:val="0"/>
              </w:rPr>
            </w:pPr>
            <w:r>
              <w:rPr>
                <w:rFonts w:ascii="宋体" w:hAnsi="宋体" w:cs="宋体"/>
                <w:kern w:val="0"/>
              </w:rPr>
              <w:t>1、服务器</w:t>
            </w:r>
            <w:r>
              <w:rPr>
                <w:rFonts w:hint="eastAsia" w:ascii="宋体" w:hAnsi="宋体" w:cs="宋体"/>
                <w:kern w:val="0"/>
              </w:rPr>
              <w:t>需</w:t>
            </w:r>
            <w:r>
              <w:rPr>
                <w:rFonts w:ascii="宋体" w:hAnsi="宋体" w:cs="宋体"/>
                <w:kern w:val="0"/>
              </w:rPr>
              <w:t>支持分布式级联部署，实现跨区域管理；</w:t>
            </w:r>
          </w:p>
          <w:p>
            <w:pPr>
              <w:widowControl/>
              <w:jc w:val="left"/>
              <w:rPr>
                <w:rFonts w:ascii="宋体" w:hAnsi="宋体" w:cs="宋体"/>
                <w:kern w:val="0"/>
              </w:rPr>
            </w:pPr>
            <w:r>
              <w:rPr>
                <w:rFonts w:ascii="宋体" w:hAnsi="宋体" w:cs="宋体"/>
                <w:kern w:val="0"/>
              </w:rPr>
              <w:t>2、客户端</w:t>
            </w:r>
            <w:r>
              <w:rPr>
                <w:rFonts w:hint="eastAsia" w:ascii="宋体" w:hAnsi="宋体" w:cs="宋体"/>
                <w:kern w:val="0"/>
              </w:rPr>
              <w:t>需</w:t>
            </w:r>
            <w:r>
              <w:rPr>
                <w:rFonts w:ascii="宋体" w:hAnsi="宋体" w:cs="宋体"/>
                <w:kern w:val="0"/>
              </w:rPr>
              <w:t>支持手动安装、域脚本安装、远程安装等方式；</w:t>
            </w:r>
          </w:p>
          <w:p>
            <w:pPr>
              <w:widowControl/>
              <w:jc w:val="left"/>
              <w:rPr>
                <w:rFonts w:ascii="宋体" w:hAnsi="宋体" w:cs="宋体"/>
                <w:kern w:val="0"/>
              </w:rPr>
            </w:pPr>
            <w:r>
              <w:rPr>
                <w:rFonts w:ascii="宋体" w:hAnsi="宋体" w:cs="宋体"/>
                <w:kern w:val="0"/>
              </w:rPr>
              <w:t>3、</w:t>
            </w:r>
            <w:r>
              <w:rPr>
                <w:rFonts w:hint="eastAsia" w:ascii="宋体" w:hAnsi="宋体" w:cs="宋体"/>
                <w:kern w:val="0"/>
              </w:rPr>
              <w:t>需</w:t>
            </w:r>
            <w:r>
              <w:rPr>
                <w:rFonts w:ascii="宋体" w:hAnsi="宋体" w:cs="宋体"/>
                <w:kern w:val="0"/>
              </w:rPr>
              <w:t>支持与AD域结合，实现组织架构同步；</w:t>
            </w:r>
          </w:p>
          <w:p>
            <w:pPr>
              <w:widowControl/>
              <w:jc w:val="left"/>
              <w:rPr>
                <w:rFonts w:ascii="宋体" w:hAnsi="宋体" w:cs="宋体"/>
                <w:kern w:val="0"/>
              </w:rPr>
            </w:pPr>
            <w:r>
              <w:rPr>
                <w:rFonts w:ascii="宋体" w:hAnsi="宋体" w:cs="宋体"/>
                <w:kern w:val="0"/>
              </w:rPr>
              <w:t>4、</w:t>
            </w:r>
            <w:r>
              <w:rPr>
                <w:rFonts w:hint="eastAsia" w:ascii="宋体" w:hAnsi="宋体" w:cs="宋体"/>
                <w:kern w:val="0"/>
              </w:rPr>
              <w:t>需</w:t>
            </w:r>
            <w:r>
              <w:rPr>
                <w:rFonts w:ascii="宋体" w:hAnsi="宋体" w:cs="宋体"/>
                <w:kern w:val="0"/>
              </w:rPr>
              <w:t>支持按“计算机模式”、“用户模式”、“角色”进行管理；</w:t>
            </w:r>
          </w:p>
          <w:p>
            <w:pPr>
              <w:widowControl/>
              <w:jc w:val="left"/>
              <w:rPr>
                <w:rFonts w:ascii="宋体" w:hAnsi="宋体" w:cs="宋体"/>
                <w:kern w:val="0"/>
              </w:rPr>
            </w:pPr>
            <w:r>
              <w:rPr>
                <w:rFonts w:ascii="宋体" w:hAnsi="宋体" w:cs="宋体"/>
                <w:kern w:val="0"/>
              </w:rPr>
              <w:t>5、</w:t>
            </w:r>
            <w:r>
              <w:rPr>
                <w:rFonts w:hint="eastAsia" w:ascii="宋体" w:hAnsi="宋体" w:cs="宋体"/>
                <w:kern w:val="0"/>
              </w:rPr>
              <w:t>需</w:t>
            </w:r>
            <w:r>
              <w:rPr>
                <w:rFonts w:ascii="宋体" w:hAnsi="宋体" w:cs="宋体"/>
                <w:kern w:val="0"/>
              </w:rPr>
              <w:t>支持终端服务器、无盘工作站、虚拟化（vmware、citrix）等工作模式；</w:t>
            </w:r>
          </w:p>
          <w:p>
            <w:pPr>
              <w:widowControl/>
              <w:jc w:val="left"/>
              <w:rPr>
                <w:rFonts w:ascii="宋体" w:hAnsi="宋体" w:cs="宋体"/>
                <w:kern w:val="0"/>
              </w:rPr>
            </w:pPr>
            <w:r>
              <w:rPr>
                <w:rFonts w:ascii="宋体" w:hAnsi="宋体" w:cs="宋体"/>
                <w:kern w:val="0"/>
              </w:rPr>
              <w:t>6、</w:t>
            </w:r>
            <w:r>
              <w:rPr>
                <w:rFonts w:hint="eastAsia" w:ascii="宋体" w:hAnsi="宋体" w:cs="宋体"/>
                <w:kern w:val="0"/>
              </w:rPr>
              <w:t>需</w:t>
            </w:r>
            <w:r>
              <w:rPr>
                <w:rFonts w:ascii="宋体" w:hAnsi="宋体" w:cs="宋体"/>
                <w:kern w:val="0"/>
              </w:rPr>
              <w:t>支持用同一个客户端程序、同一个管理控制台实现所有功能；</w:t>
            </w:r>
          </w:p>
          <w:p>
            <w:pPr>
              <w:widowControl/>
              <w:jc w:val="left"/>
              <w:rPr>
                <w:rFonts w:ascii="宋体" w:hAnsi="宋体" w:cs="宋体"/>
                <w:kern w:val="0"/>
              </w:rPr>
            </w:pPr>
            <w:r>
              <w:rPr>
                <w:rFonts w:ascii="宋体" w:hAnsi="宋体" w:cs="宋体"/>
                <w:kern w:val="0"/>
              </w:rPr>
              <w:t>7、</w:t>
            </w:r>
            <w:r>
              <w:rPr>
                <w:rFonts w:hint="eastAsia" w:ascii="宋体" w:hAnsi="宋体" w:cs="宋体"/>
                <w:kern w:val="0"/>
              </w:rPr>
              <w:t>需</w:t>
            </w:r>
            <w:r>
              <w:rPr>
                <w:rFonts w:ascii="宋体" w:hAnsi="宋体" w:cs="宋体"/>
                <w:kern w:val="0"/>
              </w:rPr>
              <w:t>提供不少于200个终端。</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1套</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cs="宋体"/>
                <w:b/>
                <w:bCs/>
                <w:kern w:val="0"/>
              </w:rPr>
            </w:pPr>
            <w:r>
              <w:rPr>
                <w:rFonts w:hint="eastAsia" w:ascii="宋体" w:hAnsi="宋体" w:cs="宋体"/>
                <w:b/>
                <w:bCs/>
                <w:kern w:val="0"/>
              </w:rPr>
              <w:t>三</w:t>
            </w:r>
            <w:r>
              <w:rPr>
                <w:rFonts w:ascii="宋体" w:hAnsi="宋体" w:cs="宋体"/>
                <w:b/>
                <w:bCs/>
                <w:kern w:val="0"/>
              </w:rPr>
              <w:t>、配件部分</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rPr>
            </w:pPr>
            <w:r>
              <w:rPr>
                <w:rFonts w:hint="eastAsia" w:ascii="宋体" w:hAnsi="宋体" w:cs="宋体"/>
                <w:b/>
                <w:bCs/>
                <w:kern w:val="0"/>
              </w:rPr>
              <w:t>8、配件</w:t>
            </w:r>
          </w:p>
        </w:tc>
        <w:tc>
          <w:tcPr>
            <w:tcW w:w="709" w:type="dxa"/>
            <w:tcBorders>
              <w:top w:val="nil"/>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40"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8.1</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配件</w:t>
            </w:r>
          </w:p>
        </w:tc>
        <w:tc>
          <w:tcPr>
            <w:tcW w:w="66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提供相应的配件，主要包含以下设备及数量</w:t>
            </w:r>
          </w:p>
          <w:p>
            <w:pPr>
              <w:pStyle w:val="51"/>
              <w:widowControl/>
              <w:numPr>
                <w:ilvl w:val="0"/>
                <w:numId w:val="12"/>
              </w:numPr>
              <w:ind w:firstLineChars="0"/>
              <w:jc w:val="left"/>
              <w:rPr>
                <w:rFonts w:ascii="宋体" w:hAnsi="宋体" w:cs="宋体"/>
                <w:kern w:val="0"/>
              </w:rPr>
            </w:pPr>
            <w:r>
              <w:rPr>
                <w:rFonts w:hint="eastAsia" w:ascii="宋体" w:hAnsi="宋体" w:cs="宋体"/>
                <w:kern w:val="0"/>
              </w:rPr>
              <w:t>提供</w:t>
            </w:r>
            <w:r>
              <w:rPr>
                <w:rFonts w:ascii="宋体" w:hAnsi="宋体" w:cs="宋体"/>
                <w:kern w:val="0"/>
              </w:rPr>
              <w:t>56</w:t>
            </w:r>
            <w:r>
              <w:rPr>
                <w:rFonts w:hint="eastAsia" w:ascii="宋体" w:hAnsi="宋体" w:cs="宋体"/>
                <w:kern w:val="0"/>
              </w:rPr>
              <w:t>根原厂OM3及以上</w:t>
            </w:r>
            <w:r>
              <w:rPr>
                <w:rFonts w:ascii="宋体" w:hAnsi="宋体" w:cs="宋体"/>
                <w:kern w:val="0"/>
              </w:rPr>
              <w:t>LC-LC 5</w:t>
            </w:r>
            <w:r>
              <w:rPr>
                <w:rFonts w:hint="eastAsia" w:ascii="宋体" w:hAnsi="宋体" w:cs="宋体"/>
                <w:kern w:val="0"/>
              </w:rPr>
              <w:t>米光纤线缆</w:t>
            </w:r>
          </w:p>
          <w:p>
            <w:pPr>
              <w:pStyle w:val="51"/>
              <w:widowControl/>
              <w:numPr>
                <w:ilvl w:val="0"/>
                <w:numId w:val="12"/>
              </w:numPr>
              <w:ind w:firstLineChars="0"/>
              <w:jc w:val="left"/>
              <w:rPr>
                <w:rFonts w:ascii="宋体" w:hAnsi="宋体" w:cs="宋体"/>
                <w:kern w:val="0"/>
              </w:rPr>
            </w:pPr>
            <w:r>
              <w:rPr>
                <w:rFonts w:hint="eastAsia" w:ascii="宋体" w:hAnsi="宋体" w:cs="宋体"/>
                <w:kern w:val="0"/>
              </w:rPr>
              <w:t>提供42根原厂OM3及以上</w:t>
            </w:r>
            <w:r>
              <w:rPr>
                <w:rFonts w:ascii="宋体" w:hAnsi="宋体" w:cs="宋体"/>
                <w:kern w:val="0"/>
              </w:rPr>
              <w:t>LC-LC 10</w:t>
            </w:r>
            <w:r>
              <w:rPr>
                <w:rFonts w:hint="eastAsia" w:ascii="宋体" w:hAnsi="宋体" w:cs="宋体"/>
                <w:kern w:val="0"/>
              </w:rPr>
              <w:t>米光纤线缆</w:t>
            </w:r>
          </w:p>
          <w:p>
            <w:pPr>
              <w:pStyle w:val="51"/>
              <w:widowControl/>
              <w:numPr>
                <w:ilvl w:val="0"/>
                <w:numId w:val="12"/>
              </w:numPr>
              <w:ind w:firstLineChars="0"/>
              <w:jc w:val="left"/>
              <w:rPr>
                <w:rFonts w:ascii="宋体" w:hAnsi="宋体" w:cs="宋体"/>
                <w:kern w:val="0"/>
              </w:rPr>
            </w:pPr>
            <w:r>
              <w:rPr>
                <w:rFonts w:hint="eastAsia" w:ascii="宋体" w:hAnsi="宋体" w:cs="宋体"/>
                <w:kern w:val="0"/>
              </w:rPr>
              <w:t>提供48根原厂非屏蔽六类双绞线（成品）</w:t>
            </w:r>
            <w:r>
              <w:rPr>
                <w:rFonts w:ascii="宋体" w:hAnsi="宋体" w:cs="宋体"/>
                <w:kern w:val="0"/>
              </w:rPr>
              <w:t xml:space="preserve">RJ45 </w:t>
            </w:r>
            <w:r>
              <w:rPr>
                <w:rFonts w:hint="eastAsia" w:ascii="宋体" w:hAnsi="宋体" w:cs="宋体"/>
                <w:kern w:val="0"/>
              </w:rPr>
              <w:t>10米线缆</w:t>
            </w:r>
          </w:p>
          <w:p>
            <w:pPr>
              <w:pStyle w:val="3"/>
              <w:keepNext/>
              <w:keepLines/>
              <w:pageBreakBefore w:val="0"/>
              <w:widowControl w:val="0"/>
              <w:numPr>
                <w:ilvl w:val="0"/>
                <w:numId w:val="12"/>
              </w:numPr>
              <w:shd w:val="clear" w:color="auto" w:fill="FFFFFF"/>
              <w:kinsoku/>
              <w:wordWrap/>
              <w:overflowPunct/>
              <w:topLinePunct w:val="0"/>
              <w:autoSpaceDE/>
              <w:autoSpaceDN/>
              <w:bidi w:val="0"/>
              <w:adjustRightInd/>
              <w:snapToGrid/>
              <w:spacing w:before="0" w:after="0" w:line="240" w:lineRule="auto"/>
              <w:ind w:left="363" w:hanging="363"/>
              <w:textAlignment w:val="auto"/>
              <w:rPr>
                <w:b w:val="0"/>
                <w:bCs w:val="0"/>
                <w:kern w:val="0"/>
                <w:sz w:val="21"/>
                <w:szCs w:val="24"/>
              </w:rPr>
            </w:pPr>
            <w:r>
              <w:rPr>
                <w:rFonts w:hint="eastAsia" w:ascii="宋体" w:hAnsi="宋体" w:eastAsia="宋体" w:cs="宋体"/>
                <w:b w:val="0"/>
                <w:bCs w:val="0"/>
                <w:kern w:val="0"/>
                <w:sz w:val="24"/>
                <w:szCs w:val="24"/>
                <w:lang w:val="en-US" w:eastAsia="zh-CN" w:bidi="ar-SA"/>
              </w:rPr>
              <w:t>提供机4套42U机柜网络48口六类网络配线架RJ45非屏蔽网线跳线架</w:t>
            </w:r>
          </w:p>
          <w:p>
            <w:pPr>
              <w:pStyle w:val="3"/>
              <w:keepNext/>
              <w:keepLines/>
              <w:pageBreakBefore w:val="0"/>
              <w:widowControl w:val="0"/>
              <w:numPr>
                <w:ilvl w:val="0"/>
                <w:numId w:val="12"/>
              </w:numPr>
              <w:shd w:val="clear" w:color="auto" w:fill="FFFFFF"/>
              <w:kinsoku/>
              <w:wordWrap/>
              <w:overflowPunct/>
              <w:topLinePunct w:val="0"/>
              <w:autoSpaceDE/>
              <w:autoSpaceDN/>
              <w:bidi w:val="0"/>
              <w:adjustRightInd/>
              <w:snapToGrid/>
              <w:spacing w:before="0" w:after="0" w:line="240" w:lineRule="auto"/>
              <w:ind w:left="363" w:hanging="363"/>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提供4套42U标准机柜网络理线架</w:t>
            </w:r>
          </w:p>
          <w:p>
            <w:pPr>
              <w:pStyle w:val="3"/>
              <w:keepNext/>
              <w:keepLines/>
              <w:pageBreakBefore w:val="0"/>
              <w:widowControl w:val="0"/>
              <w:numPr>
                <w:ilvl w:val="0"/>
                <w:numId w:val="12"/>
              </w:numPr>
              <w:shd w:val="clear" w:color="auto" w:fill="FFFFFF"/>
              <w:kinsoku/>
              <w:wordWrap/>
              <w:overflowPunct/>
              <w:topLinePunct w:val="0"/>
              <w:autoSpaceDE/>
              <w:autoSpaceDN/>
              <w:bidi w:val="0"/>
              <w:adjustRightInd/>
              <w:snapToGrid/>
              <w:spacing w:before="0" w:after="0" w:line="240" w:lineRule="auto"/>
              <w:ind w:left="363" w:hanging="363"/>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提供1套网络信号测试仪，1箱100米RJ45六类双绞线及100个RJ45水晶头</w:t>
            </w:r>
          </w:p>
          <w:p>
            <w:pPr>
              <w:pStyle w:val="3"/>
              <w:keepNext/>
              <w:keepLines/>
              <w:pageBreakBefore w:val="0"/>
              <w:widowControl w:val="0"/>
              <w:numPr>
                <w:ilvl w:val="0"/>
                <w:numId w:val="12"/>
              </w:numPr>
              <w:shd w:val="clear" w:color="auto" w:fill="FFFFFF"/>
              <w:kinsoku/>
              <w:wordWrap/>
              <w:overflowPunct/>
              <w:topLinePunct w:val="0"/>
              <w:autoSpaceDE/>
              <w:autoSpaceDN/>
              <w:bidi w:val="0"/>
              <w:adjustRightInd/>
              <w:snapToGrid/>
              <w:spacing w:before="0" w:after="0" w:line="240" w:lineRule="auto"/>
              <w:ind w:left="363" w:hanging="363"/>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提供100套线标及20套设备标签</w:t>
            </w:r>
          </w:p>
          <w:p>
            <w:pPr>
              <w:pStyle w:val="3"/>
              <w:keepNext/>
              <w:keepLines/>
              <w:pageBreakBefore w:val="0"/>
              <w:widowControl w:val="0"/>
              <w:numPr>
                <w:ilvl w:val="0"/>
                <w:numId w:val="12"/>
              </w:numPr>
              <w:shd w:val="clear" w:color="auto" w:fill="FFFFFF"/>
              <w:kinsoku/>
              <w:wordWrap/>
              <w:overflowPunct/>
              <w:topLinePunct w:val="0"/>
              <w:autoSpaceDE/>
              <w:autoSpaceDN/>
              <w:bidi w:val="0"/>
              <w:adjustRightInd/>
              <w:snapToGrid/>
              <w:spacing w:before="0" w:after="0" w:line="240" w:lineRule="auto"/>
              <w:ind w:left="363" w:hanging="363"/>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所有设备需提供国标PDU电源</w:t>
            </w:r>
          </w:p>
          <w:p>
            <w:pPr>
              <w:pStyle w:val="3"/>
              <w:keepNext/>
              <w:keepLines/>
              <w:pageBreakBefore w:val="0"/>
              <w:widowControl w:val="0"/>
              <w:numPr>
                <w:ilvl w:val="0"/>
                <w:numId w:val="12"/>
              </w:numPr>
              <w:shd w:val="clear" w:color="auto" w:fill="FFFFFF"/>
              <w:kinsoku/>
              <w:wordWrap/>
              <w:overflowPunct/>
              <w:topLinePunct w:val="0"/>
              <w:autoSpaceDE/>
              <w:autoSpaceDN/>
              <w:bidi w:val="0"/>
              <w:adjustRightInd/>
              <w:snapToGrid/>
              <w:spacing w:before="0" w:after="0" w:line="240" w:lineRule="auto"/>
              <w:ind w:left="363" w:hanging="363"/>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所有设备需提供导轨（支持网络机柜）</w:t>
            </w:r>
          </w:p>
          <w:p>
            <w:pPr>
              <w:pStyle w:val="3"/>
              <w:keepNext/>
              <w:keepLines/>
              <w:pageBreakBefore w:val="0"/>
              <w:widowControl w:val="0"/>
              <w:shd w:val="clear" w:color="auto" w:fill="FFFFFF"/>
              <w:kinsoku/>
              <w:wordWrap/>
              <w:overflowPunct/>
              <w:topLinePunct w:val="0"/>
              <w:autoSpaceDE/>
              <w:autoSpaceDN/>
              <w:bidi w:val="0"/>
              <w:adjustRightInd/>
              <w:snapToGrid/>
              <w:spacing w:before="0" w:after="0" w:line="240" w:lineRule="auto"/>
              <w:textAlignment w:val="auto"/>
              <w:rPr>
                <w:snapToGrid w:val="0"/>
                <w:kern w:val="0"/>
                <w:sz w:val="21"/>
                <w:szCs w:val="24"/>
              </w:rPr>
            </w:pPr>
            <w:r>
              <w:rPr>
                <w:rFonts w:hint="eastAsia"/>
                <w:snapToGrid w:val="0"/>
                <w:kern w:val="0"/>
                <w:sz w:val="21"/>
                <w:szCs w:val="24"/>
              </w:rPr>
              <w:t>本次系统所涉及的光纤线缆及所有辅材（以</w:t>
            </w:r>
            <w:r>
              <w:rPr>
                <w:snapToGrid w:val="0"/>
                <w:kern w:val="0"/>
                <w:sz w:val="21"/>
                <w:szCs w:val="24"/>
              </w:rPr>
              <w:t>上</w:t>
            </w:r>
            <w:r>
              <w:rPr>
                <w:rFonts w:hint="eastAsia"/>
                <w:snapToGrid w:val="0"/>
                <w:kern w:val="0"/>
                <w:sz w:val="21"/>
                <w:szCs w:val="24"/>
              </w:rPr>
              <w:t>未</w:t>
            </w:r>
            <w:r>
              <w:rPr>
                <w:snapToGrid w:val="0"/>
                <w:kern w:val="0"/>
                <w:sz w:val="21"/>
                <w:szCs w:val="24"/>
              </w:rPr>
              <w:t>列</w:t>
            </w:r>
            <w:r>
              <w:rPr>
                <w:rFonts w:hint="eastAsia"/>
                <w:snapToGrid w:val="0"/>
                <w:kern w:val="0"/>
                <w:sz w:val="21"/>
                <w:szCs w:val="24"/>
              </w:rPr>
              <w:t>入</w:t>
            </w:r>
            <w:r>
              <w:rPr>
                <w:snapToGrid w:val="0"/>
                <w:kern w:val="0"/>
                <w:sz w:val="21"/>
                <w:szCs w:val="24"/>
              </w:rPr>
              <w:t>或数量不</w:t>
            </w:r>
            <w:r>
              <w:rPr>
                <w:rFonts w:hint="eastAsia"/>
                <w:snapToGrid w:val="0"/>
                <w:kern w:val="0"/>
                <w:sz w:val="21"/>
                <w:szCs w:val="24"/>
              </w:rPr>
              <w:t>足</w:t>
            </w:r>
            <w:r>
              <w:rPr>
                <w:snapToGrid w:val="0"/>
                <w:kern w:val="0"/>
                <w:sz w:val="21"/>
                <w:szCs w:val="24"/>
              </w:rPr>
              <w:t>）</w:t>
            </w:r>
            <w:r>
              <w:rPr>
                <w:rFonts w:hint="eastAsia"/>
                <w:snapToGrid w:val="0"/>
                <w:kern w:val="0"/>
                <w:sz w:val="21"/>
                <w:szCs w:val="24"/>
              </w:rPr>
              <w:t>均由中标</w:t>
            </w:r>
            <w:r>
              <w:rPr>
                <w:snapToGrid w:val="0"/>
                <w:kern w:val="0"/>
                <w:sz w:val="21"/>
                <w:szCs w:val="24"/>
              </w:rPr>
              <w:t>方</w:t>
            </w:r>
            <w:r>
              <w:rPr>
                <w:rFonts w:hint="eastAsia"/>
                <w:snapToGrid w:val="0"/>
                <w:kern w:val="0"/>
                <w:sz w:val="21"/>
                <w:szCs w:val="24"/>
              </w:rPr>
              <w:t>统一在此项目合同中提供，品牌由甲乙双方协商，不再收取额外费用。</w:t>
            </w:r>
          </w:p>
          <w:p>
            <w:pPr>
              <w:pStyle w:val="3"/>
              <w:keepNext/>
              <w:keepLines/>
              <w:pageBreakBefore w:val="0"/>
              <w:widowControl w:val="0"/>
              <w:shd w:val="clear" w:color="auto" w:fill="FFFFFF"/>
              <w:kinsoku/>
              <w:wordWrap/>
              <w:overflowPunct/>
              <w:topLinePunct w:val="0"/>
              <w:autoSpaceDE/>
              <w:autoSpaceDN/>
              <w:bidi w:val="0"/>
              <w:adjustRightInd/>
              <w:snapToGrid/>
              <w:spacing w:before="0" w:after="0" w:line="240" w:lineRule="auto"/>
              <w:textAlignment w:val="auto"/>
              <w:rPr>
                <w:b w:val="0"/>
                <w:bCs w:val="0"/>
                <w:kern w:val="0"/>
                <w:sz w:val="24"/>
                <w:szCs w:val="24"/>
              </w:rPr>
            </w:pPr>
            <w:r>
              <w:rPr>
                <w:rFonts w:hint="eastAsia"/>
                <w:snapToGrid w:val="0"/>
                <w:kern w:val="0"/>
                <w:sz w:val="21"/>
                <w:szCs w:val="24"/>
              </w:rPr>
              <w:t>本次项目采用交钥匙工程，由中标方负责系统平台的正常运行。</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1批</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cs="宋体"/>
                <w:b/>
                <w:bCs/>
                <w:kern w:val="0"/>
              </w:rPr>
            </w:pPr>
            <w:r>
              <w:rPr>
                <w:rFonts w:hint="eastAsia" w:ascii="宋体" w:hAnsi="宋体" w:cs="宋体"/>
                <w:b/>
                <w:bCs/>
                <w:kern w:val="0"/>
              </w:rPr>
              <w:t>四</w:t>
            </w:r>
            <w:r>
              <w:rPr>
                <w:rFonts w:ascii="宋体" w:hAnsi="宋体" w:cs="宋体"/>
                <w:b/>
                <w:bCs/>
                <w:kern w:val="0"/>
              </w:rPr>
              <w:t>、服务部分</w:t>
            </w:r>
          </w:p>
        </w:tc>
        <w:tc>
          <w:tcPr>
            <w:tcW w:w="709" w:type="dxa"/>
            <w:tcBorders>
              <w:top w:val="single" w:color="auto" w:sz="4" w:space="0"/>
              <w:left w:val="nil"/>
              <w:bottom w:val="single" w:color="auto" w:sz="4" w:space="0"/>
              <w:right w:val="single" w:color="auto" w:sz="4" w:space="0"/>
            </w:tcBorders>
            <w:shd w:val="clear" w:color="000000" w:fill="00B0F0"/>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rPr>
            </w:pPr>
            <w:r>
              <w:rPr>
                <w:rFonts w:hint="eastAsia" w:ascii="宋体" w:hAnsi="宋体" w:cs="宋体"/>
                <w:b/>
                <w:bCs/>
                <w:kern w:val="0"/>
              </w:rPr>
              <w:t>9、服务</w:t>
            </w:r>
          </w:p>
        </w:tc>
        <w:tc>
          <w:tcPr>
            <w:tcW w:w="709" w:type="dxa"/>
            <w:tcBorders>
              <w:top w:val="nil"/>
              <w:left w:val="nil"/>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280"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9.1</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rPr>
            </w:pPr>
            <w:r>
              <w:rPr>
                <w:rFonts w:hint="eastAsia" w:ascii="宋体" w:hAnsi="宋体" w:cs="宋体"/>
                <w:kern w:val="0"/>
              </w:rPr>
              <w:t>系统集成及售后服务</w:t>
            </w:r>
          </w:p>
        </w:tc>
        <w:tc>
          <w:tcPr>
            <w:tcW w:w="66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本次提供的硬件设</w:t>
            </w:r>
            <w:r>
              <w:rPr>
                <w:rFonts w:hint="eastAsia" w:ascii="宋体" w:hAnsi="宋体" w:cs="宋体"/>
                <w:color w:val="auto"/>
                <w:kern w:val="0"/>
              </w:rPr>
              <w:t>备需要中标供应商提交整体</w:t>
            </w:r>
            <w:r>
              <w:rPr>
                <w:rFonts w:hint="eastAsia" w:ascii="宋体" w:hAnsi="宋体" w:cs="宋体"/>
                <w:kern w:val="0"/>
              </w:rPr>
              <w:t>方面的集成及实施能力。</w:t>
            </w:r>
            <w:r>
              <w:rPr>
                <w:rFonts w:hint="eastAsia" w:ascii="宋体" w:hAnsi="宋体" w:cs="宋体"/>
                <w:kern w:val="0"/>
              </w:rPr>
              <w:br w:type="textWrapping"/>
            </w:r>
            <w:r>
              <w:rPr>
                <w:rFonts w:hint="eastAsia" w:ascii="宋体" w:hAnsi="宋体" w:cs="宋体"/>
                <w:kern w:val="0"/>
              </w:rPr>
              <w:t>需要提供以下集成服务：</w:t>
            </w:r>
          </w:p>
          <w:p>
            <w:pPr>
              <w:widowControl/>
              <w:jc w:val="left"/>
              <w:rPr>
                <w:rFonts w:ascii="宋体" w:hAnsi="宋体" w:cs="宋体"/>
                <w:kern w:val="0"/>
              </w:rPr>
            </w:pPr>
            <w:r>
              <w:rPr>
                <w:rFonts w:hint="eastAsia" w:ascii="宋体" w:hAnsi="宋体" w:cs="宋体"/>
                <w:kern w:val="0"/>
              </w:rPr>
              <w:t>1.提供完整的实施</w:t>
            </w:r>
            <w:r>
              <w:rPr>
                <w:rFonts w:hint="eastAsia" w:ascii="宋体" w:hAnsi="宋体" w:cs="宋体"/>
                <w:color w:val="auto"/>
                <w:kern w:val="0"/>
              </w:rPr>
              <w:t>方案及西宁市和</w:t>
            </w:r>
            <w:r>
              <w:rPr>
                <w:rFonts w:ascii="宋体" w:hAnsi="宋体" w:cs="宋体"/>
                <w:color w:val="auto"/>
                <w:kern w:val="0"/>
              </w:rPr>
              <w:t>大通县</w:t>
            </w:r>
            <w:r>
              <w:rPr>
                <w:rFonts w:hint="eastAsia" w:ascii="宋体" w:hAnsi="宋体" w:cs="宋体"/>
                <w:color w:val="auto"/>
                <w:kern w:val="0"/>
              </w:rPr>
              <w:t>两地双活</w:t>
            </w:r>
            <w:r>
              <w:rPr>
                <w:rFonts w:hint="eastAsia" w:ascii="宋体" w:hAnsi="宋体" w:cs="宋体"/>
                <w:kern w:val="0"/>
              </w:rPr>
              <w:t>容灾方案</w:t>
            </w:r>
            <w:r>
              <w:rPr>
                <w:rFonts w:hint="eastAsia" w:ascii="宋体" w:hAnsi="宋体" w:cs="宋体"/>
                <w:kern w:val="0"/>
              </w:rPr>
              <w:br w:type="textWrapping"/>
            </w:r>
            <w:r>
              <w:rPr>
                <w:rFonts w:ascii="宋体" w:hAnsi="宋体" w:cs="宋体"/>
                <w:kern w:val="0"/>
              </w:rPr>
              <w:t>2</w:t>
            </w:r>
            <w:r>
              <w:rPr>
                <w:rFonts w:hint="eastAsia" w:ascii="宋体" w:hAnsi="宋体" w:cs="宋体"/>
                <w:kern w:val="0"/>
              </w:rPr>
              <w:t>.对集团数据中心原有的双活引擎及光纤交换机设备进行迁移，并重新部署在本次北川分院的中心，提供与原有集团数据中心的同城双活存储配置</w:t>
            </w:r>
            <w:r>
              <w:rPr>
                <w:rFonts w:hint="eastAsia" w:ascii="宋体" w:hAnsi="宋体" w:cs="宋体"/>
                <w:kern w:val="0"/>
              </w:rPr>
              <w:br w:type="textWrapping"/>
            </w:r>
            <w:r>
              <w:rPr>
                <w:rFonts w:ascii="宋体" w:hAnsi="宋体" w:cs="宋体"/>
                <w:kern w:val="0"/>
              </w:rPr>
              <w:t>3</w:t>
            </w:r>
            <w:r>
              <w:rPr>
                <w:rFonts w:hint="eastAsia" w:ascii="宋体" w:hAnsi="宋体" w:cs="宋体"/>
                <w:kern w:val="0"/>
              </w:rPr>
              <w:t>.需要充分了解目前医院数据中心部署模式，通过设备利旧方式，实现本次数据中心与集团数据中心的同城双活容灾系统建设，提供RPO约等于0的详细方案。提供原厂技术服务，实现两地容灾中心的波分复用设备连接、链路延迟检查、双活存储镜像配置、同步、异步数据策略、容灾演练等服务。</w:t>
            </w:r>
            <w:r>
              <w:rPr>
                <w:rFonts w:hint="eastAsia" w:ascii="宋体" w:hAnsi="宋体" w:cs="宋体"/>
                <w:kern w:val="0"/>
              </w:rPr>
              <w:br w:type="textWrapping"/>
            </w:r>
            <w:r>
              <w:rPr>
                <w:rFonts w:ascii="宋体" w:hAnsi="宋体" w:cs="宋体"/>
                <w:kern w:val="0"/>
              </w:rPr>
              <w:t>4</w:t>
            </w:r>
            <w:r>
              <w:rPr>
                <w:rFonts w:hint="eastAsia" w:ascii="宋体" w:hAnsi="宋体" w:cs="宋体"/>
                <w:kern w:val="0"/>
              </w:rPr>
              <w:t>.提供原厂针对本次数据库平台集群部署，虚拟化平台系统部署，存储数据备份等实施工作</w:t>
            </w:r>
          </w:p>
          <w:p>
            <w:pPr>
              <w:rPr>
                <w:rFonts w:ascii="宋体" w:hAnsi="宋体" w:cs="宋体"/>
                <w:kern w:val="0"/>
              </w:rPr>
            </w:pPr>
            <w:r>
              <w:rPr>
                <w:rFonts w:hint="eastAsia" w:ascii="宋体" w:hAnsi="宋体" w:cs="宋体"/>
                <w:kern w:val="0"/>
              </w:rPr>
              <w:t>5.本</w:t>
            </w:r>
            <w:r>
              <w:rPr>
                <w:rFonts w:ascii="宋体" w:hAnsi="宋体" w:cs="宋体"/>
                <w:kern w:val="0"/>
              </w:rPr>
              <w:t>次采购的硬件</w:t>
            </w:r>
            <w:r>
              <w:rPr>
                <w:rFonts w:hint="eastAsia" w:ascii="宋体" w:hAnsi="宋体" w:cs="宋体"/>
                <w:kern w:val="0"/>
              </w:rPr>
              <w:t>必须能够</w:t>
            </w:r>
            <w:r>
              <w:rPr>
                <w:rFonts w:ascii="宋体" w:hAnsi="宋体" w:cs="宋体"/>
                <w:kern w:val="0"/>
              </w:rPr>
              <w:t>支持本次采购的操作系统。</w:t>
            </w:r>
          </w:p>
          <w:p>
            <w:pPr>
              <w:rPr>
                <w:rFonts w:ascii="宋体" w:hAnsi="宋体" w:cs="宋体"/>
                <w:kern w:val="0"/>
              </w:rPr>
            </w:pPr>
            <w:r>
              <w:rPr>
                <w:rFonts w:hint="eastAsia" w:ascii="宋体" w:hAnsi="宋体" w:cs="宋体"/>
                <w:kern w:val="0"/>
              </w:rPr>
              <w:t>6.本</w:t>
            </w:r>
            <w:r>
              <w:rPr>
                <w:rFonts w:ascii="宋体" w:hAnsi="宋体" w:cs="宋体"/>
                <w:kern w:val="0"/>
              </w:rPr>
              <w:t>次采购的硬件设备安装</w:t>
            </w:r>
            <w:r>
              <w:rPr>
                <w:rFonts w:hint="eastAsia" w:ascii="宋体" w:hAnsi="宋体" w:cs="宋体"/>
                <w:kern w:val="0"/>
              </w:rPr>
              <w:t>时</w:t>
            </w:r>
            <w:r>
              <w:rPr>
                <w:rFonts w:ascii="宋体" w:hAnsi="宋体" w:cs="宋体"/>
                <w:kern w:val="0"/>
              </w:rPr>
              <w:t>所需</w:t>
            </w:r>
            <w:r>
              <w:rPr>
                <w:rFonts w:hint="eastAsia" w:ascii="宋体" w:hAnsi="宋体" w:cs="宋体"/>
                <w:kern w:val="0"/>
              </w:rPr>
              <w:t>的各</w:t>
            </w:r>
            <w:r>
              <w:rPr>
                <w:rFonts w:ascii="宋体" w:hAnsi="宋体" w:cs="宋体"/>
                <w:kern w:val="0"/>
              </w:rPr>
              <w:t>种</w:t>
            </w:r>
            <w:r>
              <w:rPr>
                <w:rFonts w:hint="eastAsia" w:ascii="宋体" w:hAnsi="宋体" w:cs="宋体"/>
                <w:kern w:val="0"/>
              </w:rPr>
              <w:t>必要</w:t>
            </w:r>
            <w:r>
              <w:rPr>
                <w:rFonts w:ascii="宋体" w:hAnsi="宋体" w:cs="宋体"/>
                <w:kern w:val="0"/>
              </w:rPr>
              <w:t>配件均由中标方</w:t>
            </w:r>
            <w:r>
              <w:rPr>
                <w:rFonts w:hint="eastAsia" w:ascii="宋体" w:hAnsi="宋体" w:cs="宋体"/>
                <w:kern w:val="0"/>
              </w:rPr>
              <w:t>无</w:t>
            </w:r>
            <w:r>
              <w:rPr>
                <w:rFonts w:ascii="宋体" w:hAnsi="宋体" w:cs="宋体"/>
                <w:kern w:val="0"/>
              </w:rPr>
              <w:t>偿提供</w:t>
            </w:r>
            <w:r>
              <w:rPr>
                <w:rFonts w:hint="eastAsia" w:ascii="宋体" w:hAnsi="宋体" w:cs="宋体"/>
                <w:kern w:val="0"/>
              </w:rPr>
              <w:t>，以</w:t>
            </w:r>
            <w:r>
              <w:rPr>
                <w:rFonts w:ascii="宋体" w:hAnsi="宋体" w:cs="宋体"/>
                <w:kern w:val="0"/>
              </w:rPr>
              <w:t>保证采购方能正常使用</w:t>
            </w:r>
            <w:r>
              <w:rPr>
                <w:rFonts w:hint="eastAsia" w:ascii="宋体" w:hAnsi="宋体" w:cs="宋体"/>
                <w:kern w:val="0"/>
              </w:rPr>
              <w:t>中</w:t>
            </w:r>
            <w:r>
              <w:rPr>
                <w:rFonts w:ascii="宋体" w:hAnsi="宋体" w:cs="宋体"/>
                <w:kern w:val="0"/>
              </w:rPr>
              <w:t>标方提供的设备。</w:t>
            </w:r>
          </w:p>
          <w:p>
            <w:pPr>
              <w:rPr>
                <w:rFonts w:ascii="宋体" w:hAnsi="宋体" w:cs="宋体"/>
                <w:kern w:val="0"/>
              </w:rPr>
            </w:pPr>
            <w:r>
              <w:rPr>
                <w:rFonts w:ascii="宋体" w:hAnsi="宋体" w:cs="宋体"/>
                <w:kern w:val="0"/>
              </w:rPr>
              <w:t>7.</w:t>
            </w:r>
            <w:r>
              <w:rPr>
                <w:rFonts w:hint="eastAsia" w:ascii="宋体" w:hAnsi="宋体" w:cs="宋体"/>
                <w:color w:val="auto"/>
                <w:kern w:val="0"/>
              </w:rPr>
              <w:t xml:space="preserve"> 本</w:t>
            </w:r>
            <w:r>
              <w:rPr>
                <w:rFonts w:ascii="宋体" w:hAnsi="宋体" w:cs="宋体"/>
                <w:color w:val="auto"/>
                <w:kern w:val="0"/>
              </w:rPr>
              <w:t>次采购的</w:t>
            </w:r>
            <w:r>
              <w:rPr>
                <w:rFonts w:hint="eastAsia" w:ascii="宋体" w:hAnsi="宋体" w:cs="宋体"/>
                <w:color w:val="auto"/>
                <w:kern w:val="0"/>
              </w:rPr>
              <w:t>所有</w:t>
            </w:r>
            <w:r>
              <w:rPr>
                <w:rFonts w:ascii="宋体" w:hAnsi="宋体" w:cs="宋体"/>
                <w:color w:val="auto"/>
                <w:kern w:val="0"/>
              </w:rPr>
              <w:t>软件需</w:t>
            </w:r>
            <w:r>
              <w:rPr>
                <w:rFonts w:hint="eastAsia" w:ascii="宋体" w:hAnsi="宋体" w:cs="宋体"/>
                <w:color w:val="auto"/>
                <w:kern w:val="0"/>
              </w:rPr>
              <w:t>提供</w:t>
            </w:r>
            <w:r>
              <w:rPr>
                <w:rFonts w:ascii="宋体" w:hAnsi="宋体" w:cs="宋体"/>
                <w:color w:val="auto"/>
                <w:kern w:val="0"/>
              </w:rPr>
              <w:t>1</w:t>
            </w:r>
            <w:r>
              <w:rPr>
                <w:rFonts w:hint="eastAsia" w:ascii="宋体" w:hAnsi="宋体" w:cs="宋体"/>
                <w:color w:val="auto"/>
                <w:kern w:val="0"/>
              </w:rPr>
              <w:t>年原厂7X24小时服务；所有</w:t>
            </w:r>
            <w:r>
              <w:rPr>
                <w:rFonts w:ascii="宋体" w:hAnsi="宋体" w:cs="宋体"/>
                <w:color w:val="auto"/>
                <w:kern w:val="0"/>
              </w:rPr>
              <w:t>硬件需</w:t>
            </w:r>
            <w:r>
              <w:rPr>
                <w:rFonts w:hint="eastAsia" w:ascii="宋体" w:hAnsi="宋体" w:cs="宋体"/>
                <w:color w:val="auto"/>
                <w:kern w:val="0"/>
              </w:rPr>
              <w:t>提供3年7x24免费人工上门服务及4小</w:t>
            </w:r>
            <w:r>
              <w:rPr>
                <w:rFonts w:ascii="宋体" w:hAnsi="宋体" w:cs="宋体"/>
                <w:color w:val="auto"/>
                <w:kern w:val="0"/>
              </w:rPr>
              <w:t>时</w:t>
            </w:r>
            <w:r>
              <w:rPr>
                <w:rFonts w:hint="eastAsia" w:ascii="宋体" w:hAnsi="宋体" w:cs="宋体"/>
                <w:color w:val="auto"/>
                <w:kern w:val="0"/>
              </w:rPr>
              <w:t>到</w:t>
            </w:r>
            <w:r>
              <w:rPr>
                <w:rFonts w:ascii="宋体" w:hAnsi="宋体" w:cs="宋体"/>
                <w:color w:val="auto"/>
                <w:kern w:val="0"/>
              </w:rPr>
              <w:t>现场</w:t>
            </w:r>
            <w:r>
              <w:rPr>
                <w:rFonts w:hint="eastAsia" w:ascii="宋体" w:hAnsi="宋体" w:cs="宋体"/>
                <w:color w:val="auto"/>
                <w:kern w:val="0"/>
              </w:rPr>
              <w:t>响</w:t>
            </w:r>
            <w:r>
              <w:rPr>
                <w:rFonts w:ascii="宋体" w:hAnsi="宋体" w:cs="宋体"/>
                <w:color w:val="auto"/>
                <w:kern w:val="0"/>
              </w:rPr>
              <w:t>应服务</w:t>
            </w:r>
            <w:r>
              <w:rPr>
                <w:rFonts w:hint="eastAsia" w:ascii="宋体" w:hAnsi="宋体" w:cs="宋体"/>
                <w:color w:val="auto"/>
                <w:kern w:val="0"/>
              </w:rPr>
              <w:t>，所有配</w:t>
            </w:r>
            <w:r>
              <w:rPr>
                <w:rFonts w:ascii="宋体" w:hAnsi="宋体" w:cs="宋体"/>
                <w:color w:val="auto"/>
                <w:kern w:val="0"/>
              </w:rPr>
              <w:t>件需</w:t>
            </w:r>
            <w:r>
              <w:rPr>
                <w:rFonts w:hint="eastAsia" w:ascii="宋体" w:hAnsi="宋体" w:cs="宋体"/>
                <w:color w:val="auto"/>
                <w:kern w:val="0"/>
              </w:rPr>
              <w:t>提供</w:t>
            </w:r>
            <w:r>
              <w:rPr>
                <w:rFonts w:ascii="宋体" w:hAnsi="宋体" w:cs="宋体"/>
                <w:color w:val="auto"/>
                <w:kern w:val="0"/>
              </w:rPr>
              <w:t>1</w:t>
            </w:r>
            <w:r>
              <w:rPr>
                <w:rFonts w:hint="eastAsia" w:ascii="宋体" w:hAnsi="宋体" w:cs="宋体"/>
                <w:color w:val="auto"/>
                <w:kern w:val="0"/>
              </w:rPr>
              <w:t>年质保服务；</w:t>
            </w:r>
            <w:r>
              <w:rPr>
                <w:rFonts w:hint="eastAsia" w:ascii="宋体" w:hAnsi="宋体" w:cs="宋体"/>
                <w:color w:val="auto"/>
                <w:kern w:val="0"/>
                <w:lang w:eastAsia="zh-CN"/>
              </w:rPr>
              <w:t>签订合同时</w:t>
            </w:r>
            <w:r>
              <w:rPr>
                <w:rFonts w:hint="eastAsia" w:ascii="宋体" w:hAnsi="宋体" w:cs="宋体"/>
                <w:color w:val="auto"/>
                <w:kern w:val="0"/>
              </w:rPr>
              <w:t>提供针对本项目的原厂售后服务承诺函及本地供货证明。</w:t>
            </w:r>
          </w:p>
          <w:p>
            <w:pPr>
              <w:spacing w:line="276" w:lineRule="auto"/>
              <w:rPr>
                <w:rFonts w:ascii="宋体" w:hAnsi="宋体" w:cs="宋体"/>
                <w:kern w:val="0"/>
              </w:rPr>
            </w:pPr>
            <w:r>
              <w:rPr>
                <w:rFonts w:hint="eastAsia" w:ascii="宋体" w:hAnsi="宋体" w:cs="宋体"/>
                <w:kern w:val="0"/>
              </w:rPr>
              <w:t>8</w:t>
            </w:r>
            <w:r>
              <w:rPr>
                <w:rFonts w:ascii="宋体" w:hAnsi="宋体" w:cs="宋体"/>
                <w:kern w:val="0"/>
              </w:rPr>
              <w:t>.</w:t>
            </w:r>
            <w:r>
              <w:rPr>
                <w:rFonts w:hint="eastAsia" w:ascii="宋体" w:hAnsi="宋体" w:cs="宋体"/>
                <w:kern w:val="0"/>
              </w:rPr>
              <w:t xml:space="preserve"> 中标供应商负责免费培训甲方指定的一到两名IT运维人员，需要达到硬件及软件基本故障解决能力水平。</w:t>
            </w:r>
          </w:p>
          <w:p>
            <w:pPr>
              <w:rPr>
                <w:rFonts w:ascii="宋体" w:hAnsi="宋体" w:cs="宋体"/>
                <w:kern w:val="0"/>
              </w:rPr>
            </w:pPr>
            <w:r>
              <w:rPr>
                <w:rFonts w:hint="eastAsia" w:ascii="宋体" w:hAnsi="宋体" w:cs="宋体"/>
                <w:kern w:val="0"/>
              </w:rPr>
              <w:t>9</w:t>
            </w:r>
            <w:r>
              <w:rPr>
                <w:rFonts w:ascii="宋体" w:hAnsi="宋体" w:cs="宋体"/>
                <w:kern w:val="0"/>
              </w:rPr>
              <w:t>.</w:t>
            </w:r>
            <w:r>
              <w:rPr>
                <w:rFonts w:hint="eastAsia" w:ascii="宋体" w:hAnsi="宋体" w:cs="宋体"/>
                <w:kern w:val="0"/>
              </w:rPr>
              <w:t>投标方需在系统安装实施完成后及进入运营阶段前交付以下文档，并制定包括培训在内的知识转移方案</w:t>
            </w:r>
          </w:p>
          <w:p>
            <w:pPr>
              <w:ind w:firstLine="240" w:firstLineChars="100"/>
              <w:rPr>
                <w:rFonts w:ascii="宋体" w:hAnsi="宋体" w:cs="宋体"/>
                <w:kern w:val="0"/>
              </w:rPr>
            </w:pPr>
            <w:r>
              <w:rPr>
                <w:rFonts w:ascii="宋体" w:hAnsi="宋体" w:cs="宋体"/>
                <w:kern w:val="0"/>
              </w:rPr>
              <w:t>9.1)系统整体设计包括逻辑拓扑图、物理拓扑图、应用拓扑图、网络拓扑图及相关说明等</w:t>
            </w:r>
          </w:p>
          <w:p>
            <w:pPr>
              <w:ind w:firstLine="240" w:firstLineChars="100"/>
              <w:rPr>
                <w:rFonts w:ascii="宋体" w:hAnsi="宋体" w:cs="宋体"/>
                <w:kern w:val="0"/>
              </w:rPr>
            </w:pPr>
            <w:r>
              <w:rPr>
                <w:rFonts w:ascii="宋体" w:hAnsi="宋体" w:cs="宋体"/>
                <w:kern w:val="0"/>
              </w:rPr>
              <w:t>9.2)系统整体和各子系统网络规划</w:t>
            </w:r>
          </w:p>
          <w:p>
            <w:pPr>
              <w:ind w:firstLine="240" w:firstLineChars="100"/>
              <w:rPr>
                <w:rFonts w:ascii="宋体" w:hAnsi="宋体" w:cs="宋体"/>
                <w:kern w:val="0"/>
              </w:rPr>
            </w:pPr>
            <w:r>
              <w:rPr>
                <w:rFonts w:ascii="宋体" w:hAnsi="宋体" w:cs="宋体"/>
                <w:kern w:val="0"/>
              </w:rPr>
              <w:t>9.3)系统整体和各子系统详细设计</w:t>
            </w:r>
          </w:p>
          <w:p>
            <w:pPr>
              <w:ind w:firstLine="240" w:firstLineChars="100"/>
              <w:rPr>
                <w:rFonts w:ascii="宋体" w:hAnsi="宋体" w:cs="宋体"/>
                <w:kern w:val="0"/>
              </w:rPr>
            </w:pPr>
            <w:r>
              <w:rPr>
                <w:rFonts w:ascii="宋体" w:hAnsi="宋体" w:cs="宋体"/>
                <w:kern w:val="0"/>
              </w:rPr>
              <w:t>9.4)系统整体和各子系统安装手册</w:t>
            </w:r>
          </w:p>
          <w:p>
            <w:pPr>
              <w:ind w:firstLine="240" w:firstLineChars="100"/>
              <w:rPr>
                <w:rFonts w:ascii="宋体" w:hAnsi="宋体" w:cs="宋体"/>
                <w:kern w:val="0"/>
              </w:rPr>
            </w:pPr>
            <w:r>
              <w:rPr>
                <w:rFonts w:ascii="宋体" w:hAnsi="宋体" w:cs="宋体"/>
                <w:kern w:val="0"/>
              </w:rPr>
              <w:t>9.5)系统整体和各子系统配置手册</w:t>
            </w:r>
          </w:p>
          <w:p>
            <w:pPr>
              <w:ind w:firstLine="240" w:firstLineChars="100"/>
              <w:rPr>
                <w:rFonts w:ascii="宋体" w:hAnsi="宋体" w:cs="宋体"/>
                <w:kern w:val="0"/>
              </w:rPr>
            </w:pPr>
            <w:r>
              <w:rPr>
                <w:rFonts w:ascii="宋体" w:hAnsi="宋体" w:cs="宋体"/>
                <w:kern w:val="0"/>
              </w:rPr>
              <w:t>9.6)系统整体和各子系统运营管理手册</w:t>
            </w:r>
          </w:p>
          <w:p>
            <w:pPr>
              <w:ind w:firstLine="240" w:firstLineChars="100"/>
              <w:rPr>
                <w:rFonts w:ascii="宋体" w:hAnsi="宋体" w:cs="宋体"/>
                <w:kern w:val="0"/>
              </w:rPr>
            </w:pPr>
            <w:r>
              <w:rPr>
                <w:rFonts w:ascii="宋体" w:hAnsi="宋体" w:cs="宋体"/>
                <w:kern w:val="0"/>
              </w:rPr>
              <w:t>9.7)系统整体和各子系统培训手册</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bl>
    <w:p>
      <w:pPr>
        <w:rPr>
          <w:rFonts w:hint="eastAsia" w:ascii="宋体" w:hAnsi="宋体"/>
          <w:b/>
          <w:kern w:val="0"/>
          <w:lang w:eastAsia="zh-CN"/>
        </w:rPr>
      </w:pPr>
    </w:p>
    <w:p>
      <w:pPr>
        <w:rPr>
          <w:rFonts w:hint="eastAsia" w:ascii="宋体" w:hAnsi="宋体"/>
          <w:b/>
          <w:kern w:val="0"/>
          <w:lang w:val="en-US" w:eastAsia="zh-CN"/>
        </w:rPr>
      </w:pPr>
      <w:r>
        <w:rPr>
          <w:rFonts w:hint="eastAsia" w:ascii="宋体" w:hAnsi="宋体"/>
          <w:b/>
          <w:kern w:val="0"/>
          <w:lang w:eastAsia="zh-CN"/>
        </w:rPr>
        <w:t>备注</w:t>
      </w:r>
      <w:r>
        <w:rPr>
          <w:rFonts w:hint="eastAsia" w:ascii="宋体" w:hAnsi="宋体"/>
          <w:b/>
          <w:kern w:val="0"/>
          <w:lang w:val="en-US" w:eastAsia="zh-CN"/>
        </w:rPr>
        <w:t>: 1.</w:t>
      </w:r>
      <w:r>
        <w:rPr>
          <w:rFonts w:hint="eastAsia" w:ascii="宋体" w:hAnsi="宋体"/>
          <w:b/>
          <w:kern w:val="0"/>
        </w:rPr>
        <w:t>供货期</w:t>
      </w:r>
      <w:r>
        <w:rPr>
          <w:rFonts w:hint="eastAsia" w:ascii="宋体" w:hAnsi="宋体"/>
          <w:b/>
          <w:kern w:val="0"/>
          <w:lang w:val="en-US" w:eastAsia="zh-CN"/>
        </w:rPr>
        <w:t>15天；</w:t>
      </w:r>
    </w:p>
    <w:p>
      <w:pPr>
        <w:ind w:firstLine="706" w:firstLineChars="293"/>
        <w:rPr>
          <w:rFonts w:ascii="宋体" w:hAnsi="宋体"/>
          <w:b/>
          <w:bCs/>
          <w:kern w:val="0"/>
          <w:sz w:val="36"/>
          <w:szCs w:val="36"/>
        </w:rPr>
      </w:pPr>
      <w:r>
        <w:rPr>
          <w:rFonts w:hint="eastAsia" w:ascii="宋体" w:hAnsi="宋体"/>
          <w:b/>
          <w:kern w:val="0"/>
          <w:lang w:val="en-US" w:eastAsia="zh-CN"/>
        </w:rPr>
        <w:t>2.</w:t>
      </w:r>
      <w:r>
        <w:rPr>
          <w:rFonts w:hint="eastAsia" w:ascii="宋体" w:hAnsi="宋体"/>
          <w:b/>
          <w:kern w:val="0"/>
        </w:rPr>
        <w:t>中标供应商在签订合同时向采购单位提供原厂授权及售后服务承诺</w:t>
      </w:r>
      <w:r>
        <w:rPr>
          <w:rFonts w:hint="eastAsia" w:ascii="宋体" w:hAnsi="宋体"/>
          <w:b/>
          <w:kern w:val="0"/>
          <w:lang w:eastAsia="zh-CN"/>
        </w:rPr>
        <w:t>。</w:t>
      </w:r>
      <w:bookmarkEnd w:id="93"/>
      <w:bookmarkStart w:id="97" w:name="_GoBack"/>
      <w:bookmarkEnd w:id="97"/>
    </w:p>
    <w:sectPr>
      <w:footerReference r:id="rId6" w:type="default"/>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t xml:space="preserve">第 </w:t>
                </w:r>
                <w:r>
                  <w:fldChar w:fldCharType="begin"/>
                </w:r>
                <w:r>
                  <w:instrText xml:space="preserve"> PAGE  \* MERGEFORMAT </w:instrText>
                </w:r>
                <w:r>
                  <w:fldChar w:fldCharType="separate"/>
                </w:r>
                <w:r>
                  <w:t>59</w:t>
                </w:r>
                <w: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6"/>
      </w:rPr>
    </w:pPr>
    <w:r>
      <w:fldChar w:fldCharType="begin"/>
    </w:r>
    <w:r>
      <w:rPr>
        <w:rStyle w:val="2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85</w:t>
    </w:r>
    <w:r>
      <w:rPr>
        <w:b/>
        <w:sz w:val="24"/>
        <w:szCs w:val="24"/>
      </w:rPr>
      <w:fldChar w:fldCharType="end"/>
    </w:r>
  </w:p>
  <w:p>
    <w:pPr>
      <w:tabs>
        <w:tab w:val="right" w:pos="8243"/>
      </w:tabs>
      <w:ind w:firstLine="12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B50"/>
    <w:multiLevelType w:val="multilevel"/>
    <w:tmpl w:val="0C443B50"/>
    <w:lvl w:ilvl="0" w:tentative="0">
      <w:start w:val="1"/>
      <w:numFmt w:val="bullet"/>
      <w:pStyle w:val="120"/>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20837B69"/>
    <w:multiLevelType w:val="multilevel"/>
    <w:tmpl w:val="20837B69"/>
    <w:lvl w:ilvl="0" w:tentative="0">
      <w:start w:val="1"/>
      <w:numFmt w:val="decimal"/>
      <w:pStyle w:val="121"/>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4EE565AF"/>
    <w:multiLevelType w:val="multilevel"/>
    <w:tmpl w:val="4EE565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abstractNum w:abstractNumId="11">
    <w:nsid w:val="67B841CC"/>
    <w:multiLevelType w:val="multilevel"/>
    <w:tmpl w:val="67B841CC"/>
    <w:lvl w:ilvl="0" w:tentative="0">
      <w:start w:val="1"/>
      <w:numFmt w:val="decimal"/>
      <w:pStyle w:val="6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1"/>
  </w:num>
  <w:num w:numId="2">
    <w:abstractNumId w:val="0"/>
  </w:num>
  <w:num w:numId="3">
    <w:abstractNumId w:val="1"/>
  </w:num>
  <w:num w:numId="4">
    <w:abstractNumId w:val="5"/>
  </w:num>
  <w:num w:numId="5">
    <w:abstractNumId w:val="6"/>
  </w:num>
  <w:num w:numId="6">
    <w:abstractNumId w:val="7"/>
  </w:num>
  <w:num w:numId="7">
    <w:abstractNumId w:val="8"/>
  </w:num>
  <w:num w:numId="8">
    <w:abstractNumId w:val="9"/>
  </w:num>
  <w:num w:numId="9">
    <w:abstractNumId w:val="4"/>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240"/>
  <w:drawingGridVerticalSpacing w:val="199"/>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401E"/>
    <w:rsid w:val="00017D90"/>
    <w:rsid w:val="0002777A"/>
    <w:rsid w:val="000504BE"/>
    <w:rsid w:val="00053F84"/>
    <w:rsid w:val="000568FB"/>
    <w:rsid w:val="000742F2"/>
    <w:rsid w:val="0007570E"/>
    <w:rsid w:val="000875EB"/>
    <w:rsid w:val="000A2265"/>
    <w:rsid w:val="000A3592"/>
    <w:rsid w:val="000B0B57"/>
    <w:rsid w:val="000B2F29"/>
    <w:rsid w:val="000B652B"/>
    <w:rsid w:val="000C0D8F"/>
    <w:rsid w:val="000C2C06"/>
    <w:rsid w:val="000C38E9"/>
    <w:rsid w:val="000D2AAD"/>
    <w:rsid w:val="000D5A34"/>
    <w:rsid w:val="000D750D"/>
    <w:rsid w:val="000F51BE"/>
    <w:rsid w:val="00102BAF"/>
    <w:rsid w:val="001056D2"/>
    <w:rsid w:val="00146D26"/>
    <w:rsid w:val="00150ABF"/>
    <w:rsid w:val="00151A00"/>
    <w:rsid w:val="0016507E"/>
    <w:rsid w:val="001702F6"/>
    <w:rsid w:val="00187EC5"/>
    <w:rsid w:val="001941E9"/>
    <w:rsid w:val="00194B5F"/>
    <w:rsid w:val="001B3699"/>
    <w:rsid w:val="001B603E"/>
    <w:rsid w:val="001C2819"/>
    <w:rsid w:val="001D3F2D"/>
    <w:rsid w:val="001F5C10"/>
    <w:rsid w:val="001F67C5"/>
    <w:rsid w:val="00206051"/>
    <w:rsid w:val="002133D4"/>
    <w:rsid w:val="00236F6F"/>
    <w:rsid w:val="00240473"/>
    <w:rsid w:val="00255D41"/>
    <w:rsid w:val="00263DEA"/>
    <w:rsid w:val="00267527"/>
    <w:rsid w:val="00267E32"/>
    <w:rsid w:val="00271C7E"/>
    <w:rsid w:val="00283FF2"/>
    <w:rsid w:val="00286755"/>
    <w:rsid w:val="002956D5"/>
    <w:rsid w:val="002A6A11"/>
    <w:rsid w:val="002C1242"/>
    <w:rsid w:val="002C5D73"/>
    <w:rsid w:val="002D2150"/>
    <w:rsid w:val="002E2303"/>
    <w:rsid w:val="002E4BCC"/>
    <w:rsid w:val="002F7DFB"/>
    <w:rsid w:val="003046DB"/>
    <w:rsid w:val="00307F9D"/>
    <w:rsid w:val="00310C3C"/>
    <w:rsid w:val="003127AA"/>
    <w:rsid w:val="00317F1F"/>
    <w:rsid w:val="003256AA"/>
    <w:rsid w:val="00325D44"/>
    <w:rsid w:val="00342CCF"/>
    <w:rsid w:val="0036431D"/>
    <w:rsid w:val="00372DCF"/>
    <w:rsid w:val="00375CF6"/>
    <w:rsid w:val="0038064F"/>
    <w:rsid w:val="003850AB"/>
    <w:rsid w:val="003A02BF"/>
    <w:rsid w:val="003A0ED3"/>
    <w:rsid w:val="003A6D16"/>
    <w:rsid w:val="003A7F21"/>
    <w:rsid w:val="003B3214"/>
    <w:rsid w:val="003C010A"/>
    <w:rsid w:val="003D3BFB"/>
    <w:rsid w:val="003F4A31"/>
    <w:rsid w:val="00401BBF"/>
    <w:rsid w:val="004029E9"/>
    <w:rsid w:val="00403B1A"/>
    <w:rsid w:val="00404E12"/>
    <w:rsid w:val="0041505E"/>
    <w:rsid w:val="004173C4"/>
    <w:rsid w:val="00424B16"/>
    <w:rsid w:val="00430DAC"/>
    <w:rsid w:val="00456BAD"/>
    <w:rsid w:val="00475E14"/>
    <w:rsid w:val="00486C9B"/>
    <w:rsid w:val="0048778F"/>
    <w:rsid w:val="004901E4"/>
    <w:rsid w:val="00491643"/>
    <w:rsid w:val="004918CC"/>
    <w:rsid w:val="004919C2"/>
    <w:rsid w:val="00494E6F"/>
    <w:rsid w:val="004A1525"/>
    <w:rsid w:val="004A1CBF"/>
    <w:rsid w:val="004B35C8"/>
    <w:rsid w:val="004E296C"/>
    <w:rsid w:val="004E71AC"/>
    <w:rsid w:val="004F10D5"/>
    <w:rsid w:val="00514D7A"/>
    <w:rsid w:val="00545FDC"/>
    <w:rsid w:val="0055204B"/>
    <w:rsid w:val="00556094"/>
    <w:rsid w:val="00556718"/>
    <w:rsid w:val="00565A69"/>
    <w:rsid w:val="00571E62"/>
    <w:rsid w:val="00580E9F"/>
    <w:rsid w:val="00585952"/>
    <w:rsid w:val="005860DE"/>
    <w:rsid w:val="005874DF"/>
    <w:rsid w:val="00594F92"/>
    <w:rsid w:val="005A6901"/>
    <w:rsid w:val="005A724E"/>
    <w:rsid w:val="005B5287"/>
    <w:rsid w:val="005C2BFE"/>
    <w:rsid w:val="005F7B02"/>
    <w:rsid w:val="00624D92"/>
    <w:rsid w:val="00636112"/>
    <w:rsid w:val="00647C37"/>
    <w:rsid w:val="00650919"/>
    <w:rsid w:val="0065456E"/>
    <w:rsid w:val="006557C8"/>
    <w:rsid w:val="00656977"/>
    <w:rsid w:val="006610D8"/>
    <w:rsid w:val="00680CDE"/>
    <w:rsid w:val="006825AC"/>
    <w:rsid w:val="00684316"/>
    <w:rsid w:val="00686935"/>
    <w:rsid w:val="00694657"/>
    <w:rsid w:val="006A5595"/>
    <w:rsid w:val="006C46CC"/>
    <w:rsid w:val="006C6DEC"/>
    <w:rsid w:val="006D2B28"/>
    <w:rsid w:val="006D340B"/>
    <w:rsid w:val="007012EC"/>
    <w:rsid w:val="00715120"/>
    <w:rsid w:val="00723C48"/>
    <w:rsid w:val="007253AC"/>
    <w:rsid w:val="00725A21"/>
    <w:rsid w:val="007262EE"/>
    <w:rsid w:val="0075045E"/>
    <w:rsid w:val="0077318D"/>
    <w:rsid w:val="00773BE6"/>
    <w:rsid w:val="00776220"/>
    <w:rsid w:val="00777958"/>
    <w:rsid w:val="00783D95"/>
    <w:rsid w:val="007D4F9E"/>
    <w:rsid w:val="007D66DC"/>
    <w:rsid w:val="007E2872"/>
    <w:rsid w:val="007E790F"/>
    <w:rsid w:val="007F221C"/>
    <w:rsid w:val="007F25EE"/>
    <w:rsid w:val="007F5E2E"/>
    <w:rsid w:val="008004A5"/>
    <w:rsid w:val="00800714"/>
    <w:rsid w:val="00815E84"/>
    <w:rsid w:val="00816D7C"/>
    <w:rsid w:val="00822CCA"/>
    <w:rsid w:val="00823282"/>
    <w:rsid w:val="00825C9D"/>
    <w:rsid w:val="00826D51"/>
    <w:rsid w:val="00857398"/>
    <w:rsid w:val="00863600"/>
    <w:rsid w:val="00871646"/>
    <w:rsid w:val="0088679E"/>
    <w:rsid w:val="00891F05"/>
    <w:rsid w:val="00894E70"/>
    <w:rsid w:val="008A504B"/>
    <w:rsid w:val="008A7884"/>
    <w:rsid w:val="008D0E0B"/>
    <w:rsid w:val="008D128B"/>
    <w:rsid w:val="008D16B3"/>
    <w:rsid w:val="008D6341"/>
    <w:rsid w:val="008F6B95"/>
    <w:rsid w:val="0090105F"/>
    <w:rsid w:val="00915D8E"/>
    <w:rsid w:val="009304CE"/>
    <w:rsid w:val="00942454"/>
    <w:rsid w:val="009518EC"/>
    <w:rsid w:val="00960E65"/>
    <w:rsid w:val="0097673F"/>
    <w:rsid w:val="009852AE"/>
    <w:rsid w:val="0099074C"/>
    <w:rsid w:val="00997DAD"/>
    <w:rsid w:val="009A371F"/>
    <w:rsid w:val="009B1754"/>
    <w:rsid w:val="009C5114"/>
    <w:rsid w:val="009E3D4D"/>
    <w:rsid w:val="009E776D"/>
    <w:rsid w:val="009F412D"/>
    <w:rsid w:val="009F4C02"/>
    <w:rsid w:val="009F4D00"/>
    <w:rsid w:val="009F7D4B"/>
    <w:rsid w:val="00A2722E"/>
    <w:rsid w:val="00A27B25"/>
    <w:rsid w:val="00A30A2D"/>
    <w:rsid w:val="00A338E3"/>
    <w:rsid w:val="00A35CC8"/>
    <w:rsid w:val="00A37D9E"/>
    <w:rsid w:val="00A41442"/>
    <w:rsid w:val="00A45FF3"/>
    <w:rsid w:val="00A46D59"/>
    <w:rsid w:val="00A51F53"/>
    <w:rsid w:val="00A55CA7"/>
    <w:rsid w:val="00A60305"/>
    <w:rsid w:val="00A73F74"/>
    <w:rsid w:val="00A80A3F"/>
    <w:rsid w:val="00A8401A"/>
    <w:rsid w:val="00A95B30"/>
    <w:rsid w:val="00A970B8"/>
    <w:rsid w:val="00AA07F7"/>
    <w:rsid w:val="00AB2B55"/>
    <w:rsid w:val="00AC7B33"/>
    <w:rsid w:val="00AD39F5"/>
    <w:rsid w:val="00AE7E9E"/>
    <w:rsid w:val="00B04ABF"/>
    <w:rsid w:val="00B055EE"/>
    <w:rsid w:val="00B13061"/>
    <w:rsid w:val="00B13A3B"/>
    <w:rsid w:val="00B26540"/>
    <w:rsid w:val="00B270AA"/>
    <w:rsid w:val="00B40038"/>
    <w:rsid w:val="00B41C7E"/>
    <w:rsid w:val="00B42641"/>
    <w:rsid w:val="00B46F91"/>
    <w:rsid w:val="00B602F3"/>
    <w:rsid w:val="00B6212F"/>
    <w:rsid w:val="00B64F65"/>
    <w:rsid w:val="00B738C9"/>
    <w:rsid w:val="00B81C5A"/>
    <w:rsid w:val="00B84075"/>
    <w:rsid w:val="00B851BE"/>
    <w:rsid w:val="00BA77AD"/>
    <w:rsid w:val="00BC0429"/>
    <w:rsid w:val="00BE18A1"/>
    <w:rsid w:val="00BE6400"/>
    <w:rsid w:val="00BF0E15"/>
    <w:rsid w:val="00BF1378"/>
    <w:rsid w:val="00BF63A4"/>
    <w:rsid w:val="00C00458"/>
    <w:rsid w:val="00C02A98"/>
    <w:rsid w:val="00C233C9"/>
    <w:rsid w:val="00C36690"/>
    <w:rsid w:val="00C41BC3"/>
    <w:rsid w:val="00C44013"/>
    <w:rsid w:val="00C569E9"/>
    <w:rsid w:val="00C65A11"/>
    <w:rsid w:val="00C713FA"/>
    <w:rsid w:val="00C84863"/>
    <w:rsid w:val="00C91EC9"/>
    <w:rsid w:val="00C93F6C"/>
    <w:rsid w:val="00C96ADB"/>
    <w:rsid w:val="00CB2817"/>
    <w:rsid w:val="00CB6446"/>
    <w:rsid w:val="00CC74BE"/>
    <w:rsid w:val="00CD2D66"/>
    <w:rsid w:val="00CD6B45"/>
    <w:rsid w:val="00CE1056"/>
    <w:rsid w:val="00D133A6"/>
    <w:rsid w:val="00D13F4F"/>
    <w:rsid w:val="00D14FE2"/>
    <w:rsid w:val="00D167A0"/>
    <w:rsid w:val="00D302F3"/>
    <w:rsid w:val="00D45D77"/>
    <w:rsid w:val="00D9016E"/>
    <w:rsid w:val="00DA389F"/>
    <w:rsid w:val="00DA7B8E"/>
    <w:rsid w:val="00DB57FA"/>
    <w:rsid w:val="00DE02D0"/>
    <w:rsid w:val="00DE181E"/>
    <w:rsid w:val="00DE415F"/>
    <w:rsid w:val="00E02CE7"/>
    <w:rsid w:val="00E221F9"/>
    <w:rsid w:val="00E2268D"/>
    <w:rsid w:val="00E25C10"/>
    <w:rsid w:val="00E26645"/>
    <w:rsid w:val="00E32A0E"/>
    <w:rsid w:val="00E37125"/>
    <w:rsid w:val="00E42DEE"/>
    <w:rsid w:val="00E43C84"/>
    <w:rsid w:val="00E67C6C"/>
    <w:rsid w:val="00E708CF"/>
    <w:rsid w:val="00E76349"/>
    <w:rsid w:val="00E95285"/>
    <w:rsid w:val="00EC5226"/>
    <w:rsid w:val="00ED7415"/>
    <w:rsid w:val="00EE4B74"/>
    <w:rsid w:val="00EE7A1D"/>
    <w:rsid w:val="00EF00CF"/>
    <w:rsid w:val="00F00116"/>
    <w:rsid w:val="00F01717"/>
    <w:rsid w:val="00F03A51"/>
    <w:rsid w:val="00F33751"/>
    <w:rsid w:val="00F3453D"/>
    <w:rsid w:val="00F40EFE"/>
    <w:rsid w:val="00F7498F"/>
    <w:rsid w:val="00F7613F"/>
    <w:rsid w:val="00F859CD"/>
    <w:rsid w:val="00F87026"/>
    <w:rsid w:val="00F9486C"/>
    <w:rsid w:val="00FB102E"/>
    <w:rsid w:val="00FB134B"/>
    <w:rsid w:val="00FB484C"/>
    <w:rsid w:val="00FD0595"/>
    <w:rsid w:val="00FE07EF"/>
    <w:rsid w:val="00FE6885"/>
    <w:rsid w:val="00FF10DA"/>
    <w:rsid w:val="00FF2DDF"/>
    <w:rsid w:val="00FF3EB9"/>
    <w:rsid w:val="018117C1"/>
    <w:rsid w:val="01CF32DE"/>
    <w:rsid w:val="01DF6AA8"/>
    <w:rsid w:val="03083283"/>
    <w:rsid w:val="039D426C"/>
    <w:rsid w:val="0583332C"/>
    <w:rsid w:val="05840130"/>
    <w:rsid w:val="074D4254"/>
    <w:rsid w:val="07686CA8"/>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49A7EF5"/>
    <w:rsid w:val="29690152"/>
    <w:rsid w:val="29CB3C83"/>
    <w:rsid w:val="2AEB4A25"/>
    <w:rsid w:val="2D2F6528"/>
    <w:rsid w:val="2F3926C8"/>
    <w:rsid w:val="305F259A"/>
    <w:rsid w:val="30914BF5"/>
    <w:rsid w:val="311350AC"/>
    <w:rsid w:val="31314733"/>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2B1B26"/>
    <w:rsid w:val="4AFE29C3"/>
    <w:rsid w:val="4CDA1D3F"/>
    <w:rsid w:val="4EF625AF"/>
    <w:rsid w:val="4F2B6157"/>
    <w:rsid w:val="4F9230A4"/>
    <w:rsid w:val="50AA1A16"/>
    <w:rsid w:val="50D4451E"/>
    <w:rsid w:val="519A2A2F"/>
    <w:rsid w:val="522D2622"/>
    <w:rsid w:val="54562C35"/>
    <w:rsid w:val="552C0A96"/>
    <w:rsid w:val="554A28A3"/>
    <w:rsid w:val="581970B6"/>
    <w:rsid w:val="581E6EFC"/>
    <w:rsid w:val="59AC13E6"/>
    <w:rsid w:val="5A975865"/>
    <w:rsid w:val="5AB93F1D"/>
    <w:rsid w:val="5B71145A"/>
    <w:rsid w:val="5BC91427"/>
    <w:rsid w:val="5D771F1C"/>
    <w:rsid w:val="5E6554CB"/>
    <w:rsid w:val="5F216990"/>
    <w:rsid w:val="5F580684"/>
    <w:rsid w:val="61285BD1"/>
    <w:rsid w:val="63776E7B"/>
    <w:rsid w:val="66A302D7"/>
    <w:rsid w:val="66C22D3A"/>
    <w:rsid w:val="67DD3829"/>
    <w:rsid w:val="690A4AA4"/>
    <w:rsid w:val="6A462CC6"/>
    <w:rsid w:val="6AF01164"/>
    <w:rsid w:val="6BA208AA"/>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9911173"/>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9"/>
    <w:unhideWhenUsed/>
    <w:qFormat/>
    <w:uiPriority w:val="0"/>
    <w:pPr>
      <w:keepNext/>
      <w:keepLines/>
      <w:spacing w:beforeLines="50" w:after="260" w:line="360" w:lineRule="auto"/>
      <w:ind w:left="1571" w:right="240" w:rightChars="100"/>
      <w:outlineLvl w:val="2"/>
    </w:pPr>
    <w:rPr>
      <w:rFonts w:ascii="等线" w:hAnsi="等线"/>
      <w:b/>
      <w:bCs/>
      <w:sz w:val="28"/>
      <w:szCs w:val="32"/>
    </w:rPr>
  </w:style>
  <w:style w:type="paragraph" w:styleId="6">
    <w:name w:val="heading 4"/>
    <w:basedOn w:val="1"/>
    <w:next w:val="1"/>
    <w:link w:val="60"/>
    <w:unhideWhenUsed/>
    <w:qFormat/>
    <w:uiPriority w:val="9"/>
    <w:pPr>
      <w:keepNext/>
      <w:keepLines/>
      <w:spacing w:beforeLines="50" w:after="290" w:line="376" w:lineRule="auto"/>
      <w:ind w:left="1997"/>
      <w:outlineLvl w:val="3"/>
    </w:pPr>
    <w:rPr>
      <w:rFonts w:ascii="等线 Light" w:hAnsi="等线 Light" w:eastAsia="等线 Light"/>
      <w:b/>
      <w:bCs/>
      <w:sz w:val="28"/>
      <w:szCs w:val="28"/>
    </w:rPr>
  </w:style>
  <w:style w:type="paragraph" w:styleId="7">
    <w:name w:val="heading 5"/>
    <w:basedOn w:val="1"/>
    <w:next w:val="1"/>
    <w:link w:val="61"/>
    <w:semiHidden/>
    <w:unhideWhenUsed/>
    <w:qFormat/>
    <w:uiPriority w:val="9"/>
    <w:pPr>
      <w:keepNext/>
      <w:keepLines/>
      <w:spacing w:beforeLines="50" w:after="290" w:line="376" w:lineRule="auto"/>
      <w:ind w:firstLine="200" w:firstLineChars="200"/>
      <w:outlineLvl w:val="4"/>
    </w:pPr>
    <w:rPr>
      <w:rFonts w:ascii="等线" w:hAnsi="等线"/>
      <w:b/>
      <w:bCs/>
      <w:sz w:val="28"/>
      <w:szCs w:val="28"/>
    </w:rPr>
  </w:style>
  <w:style w:type="paragraph" w:styleId="8">
    <w:name w:val="heading 6"/>
    <w:basedOn w:val="1"/>
    <w:next w:val="1"/>
    <w:link w:val="62"/>
    <w:semiHidden/>
    <w:unhideWhenUsed/>
    <w:qFormat/>
    <w:uiPriority w:val="9"/>
    <w:pPr>
      <w:keepNext/>
      <w:keepLines/>
      <w:spacing w:beforeLines="50" w:after="64" w:line="320" w:lineRule="auto"/>
      <w:ind w:firstLine="200" w:firstLineChars="200"/>
      <w:outlineLvl w:val="5"/>
    </w:pPr>
    <w:rPr>
      <w:rFonts w:ascii="等线 Light" w:hAnsi="等线 Light" w:eastAsia="等线 Light"/>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9"/>
    <w:uiPriority w:val="99"/>
    <w:pPr>
      <w:tabs>
        <w:tab w:val="center" w:pos="4153"/>
        <w:tab w:val="right" w:pos="8306"/>
      </w:tabs>
      <w:snapToGrid w:val="0"/>
      <w:jc w:val="left"/>
    </w:pPr>
    <w:rPr>
      <w:sz w:val="18"/>
      <w:szCs w:val="18"/>
    </w:rPr>
  </w:style>
  <w:style w:type="paragraph" w:styleId="9">
    <w:name w:val="Normal Indent"/>
    <w:basedOn w:val="1"/>
    <w:qFormat/>
    <w:uiPriority w:val="0"/>
    <w:pPr>
      <w:ind w:firstLine="420"/>
    </w:pPr>
    <w:rPr>
      <w:szCs w:val="20"/>
    </w:rPr>
  </w:style>
  <w:style w:type="paragraph" w:styleId="10">
    <w:name w:val="Document Map"/>
    <w:basedOn w:val="1"/>
    <w:semiHidden/>
    <w:uiPriority w:val="0"/>
    <w:pPr>
      <w:shd w:val="clear" w:color="auto" w:fill="000080"/>
    </w:pPr>
  </w:style>
  <w:style w:type="paragraph" w:styleId="11">
    <w:name w:val="annotation text"/>
    <w:basedOn w:val="1"/>
    <w:link w:val="50"/>
    <w:qFormat/>
    <w:uiPriority w:val="0"/>
    <w:pPr>
      <w:jc w:val="left"/>
    </w:pPr>
  </w:style>
  <w:style w:type="paragraph" w:styleId="12">
    <w:name w:val="Body Text"/>
    <w:basedOn w:val="1"/>
    <w:link w:val="58"/>
    <w:qFormat/>
    <w:uiPriority w:val="0"/>
    <w:pPr>
      <w:spacing w:after="120"/>
    </w:pPr>
  </w:style>
  <w:style w:type="paragraph" w:styleId="13">
    <w:name w:val="Body Text Indent"/>
    <w:basedOn w:val="1"/>
    <w:link w:val="31"/>
    <w:qFormat/>
    <w:uiPriority w:val="0"/>
    <w:pPr>
      <w:spacing w:after="120"/>
      <w:ind w:left="420" w:leftChars="200"/>
    </w:pPr>
    <w:rPr>
      <w:sz w:val="21"/>
    </w:rPr>
  </w:style>
  <w:style w:type="paragraph" w:styleId="14">
    <w:name w:val="Plain Text"/>
    <w:basedOn w:val="1"/>
    <w:link w:val="43"/>
    <w:qFormat/>
    <w:uiPriority w:val="0"/>
    <w:rPr>
      <w:rFonts w:ascii="宋体" w:hAnsi="Courier New"/>
      <w:sz w:val="21"/>
      <w:szCs w:val="21"/>
    </w:rPr>
  </w:style>
  <w:style w:type="paragraph" w:styleId="15">
    <w:name w:val="Date"/>
    <w:basedOn w:val="1"/>
    <w:next w:val="1"/>
    <w:link w:val="57"/>
    <w:qFormat/>
    <w:uiPriority w:val="0"/>
    <w:pPr>
      <w:ind w:left="100" w:leftChars="2500"/>
    </w:pPr>
    <w:rPr>
      <w:rFonts w:eastAsia="仿宋_GB2312"/>
      <w:sz w:val="32"/>
    </w:rPr>
  </w:style>
  <w:style w:type="paragraph" w:styleId="16">
    <w:name w:val="Balloon Text"/>
    <w:basedOn w:val="1"/>
    <w:link w:val="65"/>
    <w:qFormat/>
    <w:uiPriority w:val="99"/>
    <w:rPr>
      <w:sz w:val="18"/>
      <w:szCs w:val="18"/>
    </w:rPr>
  </w:style>
  <w:style w:type="paragraph" w:styleId="17">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0"/>
    <w:qFormat/>
    <w:uiPriority w:val="10"/>
    <w:pPr>
      <w:spacing w:before="240" w:after="60"/>
      <w:jc w:val="center"/>
      <w:outlineLvl w:val="0"/>
    </w:pPr>
    <w:rPr>
      <w:rFonts w:ascii="Cambria" w:hAnsi="Cambria"/>
      <w:b/>
      <w:bCs/>
      <w:sz w:val="36"/>
      <w:szCs w:val="3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Emphasis"/>
    <w:qFormat/>
    <w:uiPriority w:val="20"/>
  </w:style>
  <w:style w:type="character" w:styleId="28">
    <w:name w:val="Hyperlink"/>
    <w:qFormat/>
    <w:uiPriority w:val="99"/>
    <w:rPr>
      <w:color w:val="000000"/>
      <w:u w:val="none"/>
    </w:rPr>
  </w:style>
  <w:style w:type="character" w:customStyle="1" w:styleId="29">
    <w:name w:val="访问过的超链接"/>
    <w:qFormat/>
    <w:uiPriority w:val="99"/>
    <w:rPr>
      <w:color w:val="000000"/>
      <w:u w:val="none"/>
    </w:rPr>
  </w:style>
  <w:style w:type="character" w:customStyle="1" w:styleId="30">
    <w:name w:val="标题 1 Char"/>
    <w:link w:val="3"/>
    <w:qFormat/>
    <w:uiPriority w:val="0"/>
    <w:rPr>
      <w:b/>
      <w:bCs/>
      <w:kern w:val="44"/>
      <w:sz w:val="30"/>
      <w:szCs w:val="44"/>
    </w:rPr>
  </w:style>
  <w:style w:type="character" w:customStyle="1" w:styleId="31">
    <w:name w:val="正文文本缩进 Char"/>
    <w:link w:val="13"/>
    <w:qFormat/>
    <w:uiPriority w:val="0"/>
    <w:rPr>
      <w:kern w:val="2"/>
      <w:sz w:val="21"/>
      <w:szCs w:val="24"/>
    </w:rPr>
  </w:style>
  <w:style w:type="character" w:customStyle="1" w:styleId="32">
    <w:name w:val="bg01"/>
    <w:basedOn w:val="24"/>
    <w:qFormat/>
    <w:uiPriority w:val="0"/>
  </w:style>
  <w:style w:type="character" w:customStyle="1" w:styleId="33">
    <w:name w:val="more"/>
    <w:qFormat/>
    <w:uiPriority w:val="0"/>
    <w:rPr>
      <w:color w:val="666666"/>
      <w:sz w:val="18"/>
      <w:szCs w:val="18"/>
    </w:rPr>
  </w:style>
  <w:style w:type="character" w:customStyle="1" w:styleId="34">
    <w:name w:val="副标题 Char1"/>
    <w:qFormat/>
    <w:uiPriority w:val="0"/>
    <w:rPr>
      <w:rFonts w:ascii="Cambria" w:hAnsi="Cambria" w:cs="Times New Roman"/>
      <w:b/>
      <w:bCs/>
      <w:kern w:val="28"/>
      <w:sz w:val="32"/>
      <w:szCs w:val="32"/>
    </w:rPr>
  </w:style>
  <w:style w:type="character" w:customStyle="1" w:styleId="35">
    <w:name w:val="tabg"/>
    <w:qFormat/>
    <w:uiPriority w:val="0"/>
    <w:rPr>
      <w:rFonts w:ascii="微软雅黑" w:hAnsi="微软雅黑" w:eastAsia="微软雅黑" w:cs="微软雅黑"/>
      <w:color w:val="FFFFFF"/>
      <w:sz w:val="27"/>
      <w:szCs w:val="27"/>
    </w:rPr>
  </w:style>
  <w:style w:type="character" w:customStyle="1" w:styleId="36">
    <w:name w:val="bg02"/>
    <w:basedOn w:val="24"/>
    <w:qFormat/>
    <w:uiPriority w:val="0"/>
  </w:style>
  <w:style w:type="character" w:customStyle="1" w:styleId="37">
    <w:name w:val="标题 Char1"/>
    <w:qFormat/>
    <w:uiPriority w:val="0"/>
    <w:rPr>
      <w:rFonts w:ascii="Cambria" w:hAnsi="Cambria" w:cs="Times New Roman"/>
      <w:b/>
      <w:bCs/>
      <w:kern w:val="2"/>
      <w:sz w:val="32"/>
      <w:szCs w:val="32"/>
    </w:rPr>
  </w:style>
  <w:style w:type="character" w:customStyle="1" w:styleId="38">
    <w:name w:val="副标题 Char"/>
    <w:link w:val="19"/>
    <w:qFormat/>
    <w:uiPriority w:val="0"/>
    <w:rPr>
      <w:rFonts w:ascii="Cambria" w:hAnsi="Cambria"/>
      <w:b/>
      <w:bCs/>
      <w:kern w:val="28"/>
      <w:sz w:val="32"/>
      <w:szCs w:val="32"/>
    </w:rPr>
  </w:style>
  <w:style w:type="character" w:customStyle="1" w:styleId="39">
    <w:name w:val="页脚 Char"/>
    <w:link w:val="2"/>
    <w:qFormat/>
    <w:uiPriority w:val="99"/>
    <w:rPr>
      <w:kern w:val="2"/>
      <w:sz w:val="18"/>
      <w:szCs w:val="18"/>
    </w:rPr>
  </w:style>
  <w:style w:type="character" w:customStyle="1" w:styleId="40">
    <w:name w:val="标题 Char"/>
    <w:link w:val="21"/>
    <w:qFormat/>
    <w:uiPriority w:val="10"/>
    <w:rPr>
      <w:rFonts w:ascii="Cambria" w:hAnsi="Cambria"/>
      <w:b/>
      <w:bCs/>
      <w:kern w:val="2"/>
      <w:sz w:val="36"/>
      <w:szCs w:val="32"/>
    </w:rPr>
  </w:style>
  <w:style w:type="character" w:customStyle="1" w:styleId="41">
    <w:name w:val="页眉 Char"/>
    <w:link w:val="17"/>
    <w:qFormat/>
    <w:uiPriority w:val="99"/>
    <w:rPr>
      <w:kern w:val="2"/>
      <w:sz w:val="18"/>
      <w:szCs w:val="18"/>
    </w:rPr>
  </w:style>
  <w:style w:type="character" w:customStyle="1" w:styleId="42">
    <w:name w:val="标题 2 Char"/>
    <w:link w:val="4"/>
    <w:qFormat/>
    <w:uiPriority w:val="0"/>
    <w:rPr>
      <w:rFonts w:ascii="Cambria" w:hAnsi="Cambria"/>
      <w:b/>
      <w:bCs/>
      <w:kern w:val="2"/>
      <w:sz w:val="32"/>
      <w:szCs w:val="32"/>
    </w:rPr>
  </w:style>
  <w:style w:type="character" w:customStyle="1" w:styleId="43">
    <w:name w:val="纯文本 Char"/>
    <w:link w:val="14"/>
    <w:qFormat/>
    <w:uiPriority w:val="0"/>
    <w:rPr>
      <w:rFonts w:ascii="宋体" w:hAnsi="Courier New" w:cs="Courier New"/>
      <w:kern w:val="2"/>
      <w:sz w:val="21"/>
      <w:szCs w:val="21"/>
    </w:rPr>
  </w:style>
  <w:style w:type="paragraph" w:customStyle="1" w:styleId="44">
    <w:name w:val="_Style 31"/>
    <w:basedOn w:val="10"/>
    <w:qFormat/>
    <w:uiPriority w:val="0"/>
    <w:rPr>
      <w:szCs w:val="20"/>
      <w:shd w:val="clear" w:color="auto" w:fill="00008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样式3"/>
    <w:basedOn w:val="46"/>
    <w:qFormat/>
    <w:uiPriority w:val="0"/>
    <w:pPr>
      <w:jc w:val="center"/>
    </w:pPr>
  </w:style>
  <w:style w:type="paragraph" w:customStyle="1" w:styleId="49">
    <w:name w:val="正文 New"/>
    <w:qFormat/>
    <w:uiPriority w:val="0"/>
    <w:pPr>
      <w:widowControl w:val="0"/>
      <w:jc w:val="both"/>
    </w:pPr>
    <w:rPr>
      <w:rFonts w:ascii="宋体" w:hAnsi="宋体" w:eastAsia="宋体" w:cs="Times New Roman"/>
      <w:kern w:val="16"/>
      <w:sz w:val="21"/>
      <w:szCs w:val="24"/>
      <w:lang w:val="en-US" w:eastAsia="zh-CN" w:bidi="ar-SA"/>
    </w:rPr>
  </w:style>
  <w:style w:type="character" w:customStyle="1" w:styleId="50">
    <w:name w:val="批注文字 Char"/>
    <w:link w:val="11"/>
    <w:qFormat/>
    <w:uiPriority w:val="0"/>
    <w:rPr>
      <w:kern w:val="2"/>
      <w:sz w:val="24"/>
      <w:szCs w:val="24"/>
    </w:rPr>
  </w:style>
  <w:style w:type="paragraph" w:styleId="51">
    <w:name w:val="List Paragraph"/>
    <w:basedOn w:val="1"/>
    <w:link w:val="71"/>
    <w:qFormat/>
    <w:uiPriority w:val="34"/>
    <w:pPr>
      <w:ind w:firstLine="420" w:firstLineChars="200"/>
    </w:pPr>
    <w:rPr>
      <w:rFonts w:ascii="Calibri" w:hAnsi="Calibri"/>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53">
    <w:name w:val="列出段落1"/>
    <w:basedOn w:val="1"/>
    <w:qFormat/>
    <w:uiPriority w:val="0"/>
    <w:pPr>
      <w:ind w:firstLine="420" w:firstLineChars="200"/>
    </w:pPr>
    <w:rPr>
      <w:rFonts w:ascii="Calibri" w:hAnsi="Calibri"/>
      <w:sz w:val="21"/>
      <w:szCs w:val="22"/>
    </w:rPr>
  </w:style>
  <w:style w:type="paragraph" w:customStyle="1" w:styleId="54">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1"/>
      <w:szCs w:val="20"/>
    </w:rPr>
  </w:style>
  <w:style w:type="paragraph" w:customStyle="1" w:styleId="55">
    <w:name w:val="_Style 2"/>
    <w:qFormat/>
    <w:uiPriority w:val="1"/>
    <w:pPr>
      <w:widowControl w:val="0"/>
      <w:ind w:firstLine="200" w:firstLineChars="200"/>
      <w:jc w:val="both"/>
    </w:pPr>
    <w:rPr>
      <w:rFonts w:ascii="Times New Roman" w:hAnsi="Times New Roman" w:eastAsia="宋体" w:cs="Times New Roman"/>
      <w:sz w:val="24"/>
      <w:szCs w:val="24"/>
      <w:lang w:val="en-US" w:eastAsia="zh-CN" w:bidi="ar-SA"/>
    </w:rPr>
  </w:style>
  <w:style w:type="paragraph" w:customStyle="1" w:styleId="56">
    <w:name w:val="_Style 1"/>
    <w:basedOn w:val="1"/>
    <w:qFormat/>
    <w:uiPriority w:val="0"/>
    <w:pPr>
      <w:ind w:firstLine="200" w:firstLineChars="200"/>
    </w:pPr>
    <w:rPr>
      <w:kern w:val="0"/>
      <w:szCs w:val="20"/>
    </w:rPr>
  </w:style>
  <w:style w:type="character" w:customStyle="1" w:styleId="57">
    <w:name w:val="日期 Char"/>
    <w:basedOn w:val="24"/>
    <w:link w:val="15"/>
    <w:qFormat/>
    <w:uiPriority w:val="0"/>
    <w:rPr>
      <w:rFonts w:eastAsia="仿宋_GB2312"/>
      <w:kern w:val="2"/>
      <w:sz w:val="32"/>
      <w:szCs w:val="24"/>
    </w:rPr>
  </w:style>
  <w:style w:type="character" w:customStyle="1" w:styleId="58">
    <w:name w:val="正文文本 Char"/>
    <w:basedOn w:val="24"/>
    <w:link w:val="12"/>
    <w:qFormat/>
    <w:uiPriority w:val="0"/>
    <w:rPr>
      <w:kern w:val="2"/>
      <w:sz w:val="24"/>
      <w:szCs w:val="24"/>
    </w:rPr>
  </w:style>
  <w:style w:type="character" w:customStyle="1" w:styleId="59">
    <w:name w:val="标题 3 Char"/>
    <w:basedOn w:val="24"/>
    <w:link w:val="5"/>
    <w:qFormat/>
    <w:uiPriority w:val="0"/>
    <w:rPr>
      <w:rFonts w:ascii="等线" w:hAnsi="等线"/>
      <w:b/>
      <w:bCs/>
      <w:kern w:val="2"/>
      <w:sz w:val="28"/>
      <w:szCs w:val="32"/>
    </w:rPr>
  </w:style>
  <w:style w:type="character" w:customStyle="1" w:styleId="60">
    <w:name w:val="标题 4 Char"/>
    <w:basedOn w:val="24"/>
    <w:link w:val="6"/>
    <w:qFormat/>
    <w:uiPriority w:val="9"/>
    <w:rPr>
      <w:rFonts w:ascii="等线 Light" w:hAnsi="等线 Light" w:eastAsia="等线 Light"/>
      <w:b/>
      <w:bCs/>
      <w:kern w:val="2"/>
      <w:sz w:val="28"/>
      <w:szCs w:val="28"/>
    </w:rPr>
  </w:style>
  <w:style w:type="character" w:customStyle="1" w:styleId="61">
    <w:name w:val="标题 5 Char"/>
    <w:basedOn w:val="24"/>
    <w:link w:val="7"/>
    <w:semiHidden/>
    <w:qFormat/>
    <w:uiPriority w:val="9"/>
    <w:rPr>
      <w:rFonts w:ascii="等线" w:hAnsi="等线"/>
      <w:b/>
      <w:bCs/>
      <w:kern w:val="2"/>
      <w:sz w:val="28"/>
      <w:szCs w:val="28"/>
    </w:rPr>
  </w:style>
  <w:style w:type="character" w:customStyle="1" w:styleId="62">
    <w:name w:val="标题 6 Char"/>
    <w:basedOn w:val="24"/>
    <w:link w:val="8"/>
    <w:semiHidden/>
    <w:qFormat/>
    <w:uiPriority w:val="9"/>
    <w:rPr>
      <w:rFonts w:ascii="等线 Light" w:hAnsi="等线 Light" w:eastAsia="等线 Light"/>
      <w:b/>
      <w:bCs/>
      <w:kern w:val="2"/>
      <w:sz w:val="24"/>
      <w:szCs w:val="24"/>
    </w:rPr>
  </w:style>
  <w:style w:type="paragraph" w:styleId="63">
    <w:name w:val="No Spacing"/>
    <w:qFormat/>
    <w:uiPriority w:val="1"/>
    <w:pPr>
      <w:widowControl w:val="0"/>
      <w:spacing w:beforeLines="50"/>
      <w:ind w:firstLine="200" w:firstLineChars="200"/>
      <w:jc w:val="both"/>
    </w:pPr>
    <w:rPr>
      <w:rFonts w:ascii="等线" w:hAnsi="等线" w:eastAsia="宋体" w:cs="Times New Roman"/>
      <w:kern w:val="2"/>
      <w:sz w:val="24"/>
      <w:szCs w:val="22"/>
      <w:lang w:val="en-US" w:eastAsia="zh-CN" w:bidi="ar-SA"/>
    </w:rPr>
  </w:style>
  <w:style w:type="paragraph" w:customStyle="1" w:styleId="64">
    <w:name w:val="列举"/>
    <w:basedOn w:val="51"/>
    <w:qFormat/>
    <w:uiPriority w:val="0"/>
    <w:pPr>
      <w:widowControl/>
      <w:numPr>
        <w:ilvl w:val="0"/>
        <w:numId w:val="1"/>
      </w:numPr>
      <w:spacing w:beforeLines="50" w:after="200" w:line="276" w:lineRule="auto"/>
      <w:ind w:firstLine="0" w:firstLineChars="0"/>
      <w:jc w:val="left"/>
    </w:pPr>
    <w:rPr>
      <w:rFonts w:cs="黑体"/>
      <w:kern w:val="0"/>
      <w:szCs w:val="20"/>
      <w:lang w:bidi="en-US"/>
    </w:rPr>
  </w:style>
  <w:style w:type="character" w:customStyle="1" w:styleId="65">
    <w:name w:val="批注框文本 Char"/>
    <w:link w:val="16"/>
    <w:qFormat/>
    <w:uiPriority w:val="99"/>
    <w:rPr>
      <w:kern w:val="2"/>
      <w:sz w:val="18"/>
      <w:szCs w:val="18"/>
    </w:rPr>
  </w:style>
  <w:style w:type="character" w:customStyle="1" w:styleId="66">
    <w:name w:val="批注框文本 字符1"/>
    <w:semiHidden/>
    <w:qFormat/>
    <w:uiPriority w:val="99"/>
    <w:rPr>
      <w:sz w:val="18"/>
      <w:szCs w:val="18"/>
    </w:rPr>
  </w:style>
  <w:style w:type="character" w:customStyle="1" w:styleId="67">
    <w:name w:val="批注框文本 Char1"/>
    <w:semiHidden/>
    <w:qFormat/>
    <w:uiPriority w:val="99"/>
    <w:rPr>
      <w:rFonts w:ascii="Calibri" w:hAnsi="Calibri" w:eastAsia="宋体" w:cs="黑体"/>
      <w:kern w:val="0"/>
      <w:sz w:val="18"/>
      <w:szCs w:val="18"/>
      <w:lang w:eastAsia="en-US" w:bidi="en-US"/>
    </w:rPr>
  </w:style>
  <w:style w:type="paragraph" w:customStyle="1" w:styleId="68">
    <w:name w:val="图表文字"/>
    <w:qFormat/>
    <w:uiPriority w:val="0"/>
    <w:pPr>
      <w:jc w:val="center"/>
    </w:pPr>
    <w:rPr>
      <w:rFonts w:ascii="宋体" w:hAnsi="宋体" w:eastAsia="宋体" w:cs="Times New Roman"/>
      <w:sz w:val="21"/>
      <w:szCs w:val="21"/>
      <w:lang w:val="en-US" w:eastAsia="zh-CN" w:bidi="ar-SA"/>
    </w:rPr>
  </w:style>
  <w:style w:type="character" w:customStyle="1" w:styleId="69">
    <w:name w:val="不明显强调1"/>
    <w:qFormat/>
    <w:uiPriority w:val="19"/>
    <w:rPr>
      <w:i/>
      <w:iCs/>
      <w:color w:val="404040"/>
    </w:rPr>
  </w:style>
  <w:style w:type="paragraph" w:customStyle="1" w:styleId="70">
    <w:name w:val="_Style 9"/>
    <w:basedOn w:val="1"/>
    <w:qFormat/>
    <w:uiPriority w:val="0"/>
    <w:pPr>
      <w:ind w:firstLine="420" w:firstLineChars="200"/>
    </w:pPr>
    <w:rPr>
      <w:sz w:val="21"/>
    </w:rPr>
  </w:style>
  <w:style w:type="character" w:customStyle="1" w:styleId="71">
    <w:name w:val="列出段落 Char1"/>
    <w:link w:val="51"/>
    <w:qFormat/>
    <w:locked/>
    <w:uiPriority w:val="34"/>
    <w:rPr>
      <w:rFonts w:ascii="Calibri" w:hAnsi="Calibri"/>
      <w:kern w:val="2"/>
      <w:sz w:val="24"/>
      <w:szCs w:val="24"/>
    </w:rPr>
  </w:style>
  <w:style w:type="character" w:customStyle="1" w:styleId="72">
    <w:name w:val="正文文本样式 Char"/>
    <w:link w:val="73"/>
    <w:qFormat/>
    <w:uiPriority w:val="0"/>
    <w:rPr>
      <w:rFonts w:cs="宋体"/>
      <w:sz w:val="24"/>
    </w:rPr>
  </w:style>
  <w:style w:type="paragraph" w:customStyle="1" w:styleId="73">
    <w:name w:val="正文文本样式"/>
    <w:basedOn w:val="1"/>
    <w:link w:val="72"/>
    <w:qFormat/>
    <w:uiPriority w:val="0"/>
    <w:pPr>
      <w:spacing w:line="360" w:lineRule="auto"/>
      <w:ind w:firstLine="482"/>
    </w:pPr>
    <w:rPr>
      <w:kern w:val="0"/>
      <w:szCs w:val="20"/>
    </w:rPr>
  </w:style>
  <w:style w:type="paragraph" w:customStyle="1" w:styleId="74">
    <w:name w:val="font5"/>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5">
    <w:name w:val="font6"/>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6">
    <w:name w:val="font7"/>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7">
    <w:name w:val="xl67"/>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78">
    <w:name w:val="xl68"/>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79">
    <w:name w:val="xl69"/>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0">
    <w:name w:val="xl70"/>
    <w:basedOn w:val="1"/>
    <w:qFormat/>
    <w:uiPriority w:val="0"/>
    <w:pPr>
      <w:widowControl/>
      <w:pBdr>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1">
    <w:name w:val="xl71"/>
    <w:basedOn w:val="1"/>
    <w:qFormat/>
    <w:uiPriority w:val="0"/>
    <w:pPr>
      <w:widowControl/>
      <w:spacing w:beforeAutospacing="1" w:after="100" w:afterAutospacing="1"/>
      <w:jc w:val="left"/>
    </w:pPr>
    <w:rPr>
      <w:rFonts w:ascii="微软雅黑" w:hAnsi="微软雅黑" w:eastAsia="微软雅黑" w:cs="宋体"/>
      <w:b/>
      <w:bCs/>
      <w:kern w:val="0"/>
      <w:sz w:val="20"/>
      <w:szCs w:val="20"/>
    </w:rPr>
  </w:style>
  <w:style w:type="paragraph" w:customStyle="1" w:styleId="82">
    <w:name w:val="xl72"/>
    <w:basedOn w:val="1"/>
    <w:qFormat/>
    <w:uiPriority w:val="0"/>
    <w:pPr>
      <w:widowControl/>
      <w:spacing w:beforeAutospacing="1" w:after="100" w:afterAutospacing="1"/>
      <w:jc w:val="center"/>
    </w:pPr>
    <w:rPr>
      <w:rFonts w:ascii="微软雅黑" w:hAnsi="微软雅黑" w:eastAsia="微软雅黑" w:cs="宋体"/>
      <w:b/>
      <w:bCs/>
      <w:kern w:val="0"/>
      <w:sz w:val="20"/>
      <w:szCs w:val="20"/>
    </w:rPr>
  </w:style>
  <w:style w:type="paragraph" w:customStyle="1" w:styleId="83">
    <w:name w:val="xl73"/>
    <w:basedOn w:val="1"/>
    <w:qFormat/>
    <w:uiPriority w:val="0"/>
    <w:pPr>
      <w:widowControl/>
      <w:pBdr>
        <w:top w:val="single" w:color="auto" w:sz="4" w:space="0"/>
        <w:left w:val="single" w:color="002266" w:sz="4" w:space="0"/>
        <w:bottom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84">
    <w:name w:val="xl74"/>
    <w:basedOn w:val="1"/>
    <w:qFormat/>
    <w:uiPriority w:val="0"/>
    <w:pPr>
      <w:widowControl/>
      <w:spacing w:beforeAutospacing="1" w:after="100" w:afterAutospacing="1"/>
      <w:jc w:val="left"/>
    </w:pPr>
    <w:rPr>
      <w:rFonts w:ascii="微软雅黑" w:hAnsi="微软雅黑" w:eastAsia="微软雅黑" w:cs="宋体"/>
      <w:kern w:val="0"/>
      <w:sz w:val="20"/>
      <w:szCs w:val="20"/>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7">
    <w:name w:val="xl77"/>
    <w:basedOn w:val="1"/>
    <w:qFormat/>
    <w:uiPriority w:val="0"/>
    <w:pPr>
      <w:widowControl/>
      <w:pBdr>
        <w:left w:val="single" w:color="002266"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8">
    <w:name w:val="xl78"/>
    <w:basedOn w:val="1"/>
    <w:qFormat/>
    <w:uiPriority w:val="0"/>
    <w:pPr>
      <w:widowControl/>
      <w:pBdr>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9">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90">
    <w:name w:val="xl80"/>
    <w:basedOn w:val="1"/>
    <w:qFormat/>
    <w:uiPriority w:val="0"/>
    <w:pPr>
      <w:widowControl/>
      <w:pBdr>
        <w:top w:val="single" w:color="002266" w:sz="4" w:space="0"/>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1">
    <w:name w:val="xl81"/>
    <w:basedOn w:val="1"/>
    <w:qFormat/>
    <w:uiPriority w:val="0"/>
    <w:pPr>
      <w:widowControl/>
      <w:pBdr>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2">
    <w:name w:val="xl82"/>
    <w:basedOn w:val="1"/>
    <w:qFormat/>
    <w:uiPriority w:val="0"/>
    <w:pPr>
      <w:widowControl/>
      <w:pBdr>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3">
    <w:name w:val="xl83"/>
    <w:basedOn w:val="1"/>
    <w:qFormat/>
    <w:uiPriority w:val="0"/>
    <w:pPr>
      <w:widowControl/>
      <w:pBdr>
        <w:top w:val="single" w:color="auto" w:sz="4" w:space="0"/>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4">
    <w:name w:val="xl84"/>
    <w:basedOn w:val="1"/>
    <w:qFormat/>
    <w:uiPriority w:val="0"/>
    <w:pPr>
      <w:widowControl/>
      <w:pBdr>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5">
    <w:name w:val="xl85"/>
    <w:basedOn w:val="1"/>
    <w:qFormat/>
    <w:uiPriority w:val="0"/>
    <w:pPr>
      <w:widowControl/>
      <w:pBdr>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6">
    <w:name w:val="xl86"/>
    <w:basedOn w:val="1"/>
    <w:qFormat/>
    <w:uiPriority w:val="0"/>
    <w:pPr>
      <w:widowControl/>
      <w:pBdr>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7">
    <w:name w:val="xl87"/>
    <w:basedOn w:val="1"/>
    <w:qFormat/>
    <w:uiPriority w:val="0"/>
    <w:pPr>
      <w:widowControl/>
      <w:pBdr>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8">
    <w:name w:val="xl88"/>
    <w:basedOn w:val="1"/>
    <w:qFormat/>
    <w:uiPriority w:val="0"/>
    <w:pPr>
      <w:widowControl/>
      <w:pBdr>
        <w:top w:val="single" w:color="002266" w:sz="4" w:space="0"/>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9">
    <w:name w:val="xl89"/>
    <w:basedOn w:val="1"/>
    <w:qFormat/>
    <w:uiPriority w:val="0"/>
    <w:pPr>
      <w:widowControl/>
      <w:pBdr>
        <w:top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0">
    <w:name w:val="xl90"/>
    <w:basedOn w:val="1"/>
    <w:qFormat/>
    <w:uiPriority w:val="0"/>
    <w:pPr>
      <w:widowControl/>
      <w:pBdr>
        <w:top w:val="single" w:color="002266" w:sz="4" w:space="0"/>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1">
    <w:name w:val="xl91"/>
    <w:basedOn w:val="1"/>
    <w:qFormat/>
    <w:uiPriority w:val="0"/>
    <w:pPr>
      <w:widowControl/>
      <w:pBdr>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02">
    <w:name w:val="xl92"/>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3">
    <w:name w:val="xl93"/>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04">
    <w:name w:val="xl94"/>
    <w:basedOn w:val="1"/>
    <w:qFormat/>
    <w:uiPriority w:val="0"/>
    <w:pPr>
      <w:widowControl/>
      <w:pBdr>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105">
    <w:name w:val="xl95"/>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06">
    <w:name w:val="xl96"/>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7">
    <w:name w:val="xl97"/>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8">
    <w:name w:val="xl65"/>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9">
    <w:name w:val="xl66"/>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0">
    <w:name w:val="xl98"/>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11">
    <w:name w:val="xl99"/>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2">
    <w:name w:val="xl100"/>
    <w:basedOn w:val="1"/>
    <w:qFormat/>
    <w:uiPriority w:val="0"/>
    <w:pPr>
      <w:widowControl/>
      <w:pBdr>
        <w:top w:val="single" w:color="002266" w:sz="4" w:space="0"/>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3">
    <w:name w:val="xl101"/>
    <w:basedOn w:val="1"/>
    <w:qFormat/>
    <w:uiPriority w:val="0"/>
    <w:pPr>
      <w:widowControl/>
      <w:pBdr>
        <w:top w:val="single" w:color="auto" w:sz="4" w:space="0"/>
        <w:left w:val="single" w:color="auto" w:sz="4" w:space="0"/>
        <w:bottom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4">
    <w:name w:val="xl102"/>
    <w:basedOn w:val="1"/>
    <w:qFormat/>
    <w:uiPriority w:val="0"/>
    <w:pPr>
      <w:widowControl/>
      <w:pBdr>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5">
    <w:name w:val="xl103"/>
    <w:basedOn w:val="1"/>
    <w:qFormat/>
    <w:uiPriority w:val="0"/>
    <w:pPr>
      <w:widowControl/>
      <w:pBdr>
        <w:top w:val="single" w:color="auto" w:sz="4" w:space="0"/>
        <w:left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116">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7">
    <w:name w:val="xl105"/>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18">
    <w:name w:val="xl106"/>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19">
    <w:name w:val="xl107"/>
    <w:basedOn w:val="1"/>
    <w:qFormat/>
    <w:uiPriority w:val="0"/>
    <w:pPr>
      <w:widowControl/>
      <w:pBdr>
        <w:right w:val="single" w:color="auto"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20">
    <w:name w:val="项目符号1"/>
    <w:basedOn w:val="73"/>
    <w:qFormat/>
    <w:uiPriority w:val="0"/>
    <w:pPr>
      <w:numPr>
        <w:ilvl w:val="0"/>
        <w:numId w:val="2"/>
      </w:numPr>
      <w:ind w:left="0" w:firstLine="482"/>
    </w:pPr>
  </w:style>
  <w:style w:type="paragraph" w:customStyle="1" w:styleId="121">
    <w:name w:val="规范正文 数字列表"/>
    <w:basedOn w:val="1"/>
    <w:qFormat/>
    <w:uiPriority w:val="0"/>
    <w:pPr>
      <w:numPr>
        <w:ilvl w:val="0"/>
        <w:numId w:val="3"/>
      </w:numPr>
      <w:tabs>
        <w:tab w:val="left" w:pos="1597"/>
      </w:tabs>
      <w:adjustRightInd w:val="0"/>
      <w:spacing w:line="360" w:lineRule="auto"/>
      <w:ind w:firstLine="0"/>
      <w:textAlignment w:val="baseline"/>
    </w:pPr>
    <w:rPr>
      <w:kern w:val="0"/>
      <w:szCs w:val="20"/>
    </w:rPr>
  </w:style>
  <w:style w:type="character" w:customStyle="1" w:styleId="122">
    <w:name w:val="列出段落 Char"/>
    <w:qFormat/>
    <w:locked/>
    <w:uiPriority w:val="34"/>
    <w:rPr>
      <w:rFonts w:ascii="Calibri" w:hAnsi="Calibri"/>
      <w:kern w:val="2"/>
      <w:sz w:val="21"/>
      <w:szCs w:val="22"/>
    </w:rPr>
  </w:style>
  <w:style w:type="character" w:customStyle="1" w:styleId="123">
    <w:name w:val="列出段落 字符4"/>
    <w:qFormat/>
    <w:uiPriority w:val="34"/>
    <w:rPr>
      <w:rFonts w:ascii="Calibri" w:hAnsi="Calibri"/>
    </w:rPr>
  </w:style>
  <w:style w:type="paragraph" w:customStyle="1" w:styleId="124">
    <w:name w:val="样式 标题 3 + 首行缩进:  0.5 字符"/>
    <w:basedOn w:val="5"/>
    <w:qFormat/>
    <w:uiPriority w:val="0"/>
    <w:pPr>
      <w:tabs>
        <w:tab w:val="left" w:pos="360"/>
        <w:tab w:val="left" w:pos="1370"/>
        <w:tab w:val="left" w:pos="1665"/>
      </w:tabs>
      <w:spacing w:beforeLines="0"/>
      <w:ind w:left="1654" w:right="0" w:rightChars="0" w:hanging="709"/>
    </w:pPr>
    <w:rPr>
      <w:rFonts w:ascii="Arial" w:hAnsi="Arial" w:cs="宋体"/>
      <w:kern w:val="0"/>
      <w:szCs w:val="20"/>
    </w:rPr>
  </w:style>
  <w:style w:type="paragraph" w:customStyle="1" w:styleId="125">
    <w:name w:val="样式 标题 2 + 首行缩进:  0.5 字符"/>
    <w:basedOn w:val="4"/>
    <w:qFormat/>
    <w:uiPriority w:val="0"/>
    <w:pPr>
      <w:tabs>
        <w:tab w:val="left" w:pos="360"/>
        <w:tab w:val="left" w:pos="1370"/>
        <w:tab w:val="left" w:pos="1512"/>
        <w:tab w:val="left" w:pos="2100"/>
      </w:tabs>
      <w:spacing w:before="156" w:line="360" w:lineRule="auto"/>
    </w:pPr>
    <w:rPr>
      <w:rFonts w:ascii="Arial" w:hAnsi="Arial" w:cs="宋体"/>
      <w:sz w:val="30"/>
      <w:szCs w:val="20"/>
    </w:rPr>
  </w:style>
  <w:style w:type="paragraph" w:customStyle="1" w:styleId="126">
    <w:name w:val="样式 标题 6 + 左侧:  2 字符 悬挂缩进: 2.75 字符"/>
    <w:basedOn w:val="8"/>
    <w:qFormat/>
    <w:uiPriority w:val="0"/>
    <w:pPr>
      <w:tabs>
        <w:tab w:val="left" w:pos="360"/>
        <w:tab w:val="left" w:pos="1370"/>
        <w:tab w:val="left" w:pos="2079"/>
        <w:tab w:val="left" w:pos="3780"/>
      </w:tabs>
      <w:spacing w:beforeLines="0" w:line="360" w:lineRule="auto"/>
      <w:ind w:firstLine="0" w:firstLineChars="0"/>
    </w:pPr>
    <w:rPr>
      <w:rFonts w:ascii="Arial" w:hAnsi="Arial" w:eastAsia="宋体" w:cs="宋体"/>
      <w:kern w:val="0"/>
      <w:szCs w:val="20"/>
    </w:rPr>
  </w:style>
  <w:style w:type="paragraph" w:customStyle="1" w:styleId="127">
    <w:name w:val="样式 标题 4 + 左侧:  1.5 字符 悬挂缩进: 1.5 字符"/>
    <w:basedOn w:val="6"/>
    <w:qFormat/>
    <w:uiPriority w:val="0"/>
    <w:pPr>
      <w:tabs>
        <w:tab w:val="left" w:pos="360"/>
        <w:tab w:val="left" w:pos="907"/>
        <w:tab w:val="left" w:pos="1370"/>
        <w:tab w:val="left" w:pos="2940"/>
      </w:tabs>
      <w:spacing w:beforeLines="0" w:line="360" w:lineRule="auto"/>
      <w:ind w:left="2940" w:hanging="420"/>
    </w:pPr>
    <w:rPr>
      <w:rFonts w:ascii="Arial" w:hAnsi="Arial" w:eastAsia="宋体" w:cs="宋体"/>
      <w:sz w:val="24"/>
      <w:szCs w:val="20"/>
    </w:rPr>
  </w:style>
  <w:style w:type="paragraph" w:customStyle="1" w:styleId="128">
    <w:name w:val="样式 标题 5 + 左侧:  1.75 字符 悬挂缩进: 2.5 字符"/>
    <w:basedOn w:val="7"/>
    <w:qFormat/>
    <w:uiPriority w:val="0"/>
    <w:pPr>
      <w:tabs>
        <w:tab w:val="left" w:pos="360"/>
        <w:tab w:val="left" w:pos="1254"/>
        <w:tab w:val="left" w:pos="1370"/>
        <w:tab w:val="left" w:pos="3360"/>
      </w:tabs>
      <w:spacing w:beforeLines="0" w:line="360" w:lineRule="auto"/>
      <w:ind w:firstLine="0" w:firstLineChars="0"/>
    </w:pPr>
    <w:rPr>
      <w:rFonts w:ascii="Arial" w:hAnsi="Arial" w:cs="宋体"/>
      <w:kern w:val="0"/>
      <w:sz w:val="24"/>
      <w:szCs w:val="24"/>
    </w:rPr>
  </w:style>
  <w:style w:type="paragraph" w:customStyle="1" w:styleId="129">
    <w:name w:val="样式 标题 1 + 首行缩进:  0.5 字符1"/>
    <w:basedOn w:val="3"/>
    <w:qFormat/>
    <w:uiPriority w:val="0"/>
    <w:pPr>
      <w:keepNext w:val="0"/>
      <w:keepLines w:val="0"/>
      <w:tabs>
        <w:tab w:val="left" w:pos="360"/>
        <w:tab w:val="left" w:pos="1370"/>
      </w:tabs>
      <w:spacing w:before="156" w:line="360" w:lineRule="auto"/>
      <w:ind w:left="1370" w:hanging="425"/>
    </w:pPr>
    <w:rPr>
      <w:rFonts w:ascii="Arial" w:hAnsi="Arial" w:cs="宋体"/>
      <w:sz w:val="44"/>
      <w:szCs w:val="20"/>
    </w:rPr>
  </w:style>
  <w:style w:type="character" w:customStyle="1" w:styleId="130">
    <w:name w:val="批注文字 Char2"/>
    <w:qFormat/>
    <w:uiPriority w:val="0"/>
    <w:rPr>
      <w:rFonts w:ascii="Times New Roman" w:hAnsi="Times New Roman" w:eastAsia="宋体" w:cs="Times New Roman"/>
      <w:szCs w:val="20"/>
    </w:rPr>
  </w:style>
  <w:style w:type="character" w:customStyle="1" w:styleId="131">
    <w:name w:val="apple-converted-space"/>
    <w:basedOn w:val="24"/>
    <w:qFormat/>
    <w:uiPriority w:val="0"/>
  </w:style>
  <w:style w:type="character" w:customStyle="1" w:styleId="132">
    <w:name w:val="纯文本 Char1"/>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1</Pages>
  <Words>8997</Words>
  <Characters>51287</Characters>
  <Lines>427</Lines>
  <Paragraphs>120</Paragraphs>
  <TotalTime>3</TotalTime>
  <ScaleCrop>false</ScaleCrop>
  <LinksUpToDate>false</LinksUpToDate>
  <CharactersWithSpaces>60164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2019-07-10T07:42:00Z</dcterms:created>
  <dc:creator>太子弹琴</dc:creator>
  <cp:lastModifiedBy>x</cp:lastModifiedBy>
  <cp:lastPrinted>2019-07-11T03:21:00Z</cp:lastPrinted>
  <dcterms:modified xsi:type="dcterms:W3CDTF">2019-08-14T02:48:56Z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