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446" w:firstLineChars="450"/>
        <w:rPr>
          <w:rFonts w:ascii="方正行楷简体" w:hAnsi="新宋体" w:eastAsia="方正行楷简体"/>
          <w:b/>
          <w:sz w:val="52"/>
          <w:szCs w:val="52"/>
        </w:rPr>
      </w:pPr>
      <w:r>
        <w:rPr>
          <w:rFonts w:hint="eastAsia" w:ascii="宋体" w:hAnsi="宋体" w:cs="宋体"/>
          <w:b/>
          <w:bCs/>
          <w:color w:val="000000"/>
          <w:kern w:val="0"/>
          <w:sz w:val="32"/>
          <w:szCs w:val="32"/>
        </w:rPr>
        <w:t xml:space="preserve">      </w:t>
      </w:r>
      <w:r>
        <w:rPr>
          <w:rFonts w:hint="eastAsia" w:ascii="方正行楷简体" w:hAnsi="新宋体" w:eastAsia="方正行楷简体" w:cs="华文行楷"/>
          <w:b/>
          <w:sz w:val="52"/>
          <w:szCs w:val="52"/>
          <w:lang w:val="zh-CN"/>
        </w:rPr>
        <w:t>西宁市政府采购</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utoSpaceDE w:val="0"/>
        <w:autoSpaceDN w:val="0"/>
        <w:adjustRightInd w:val="0"/>
        <w:spacing w:line="360" w:lineRule="auto"/>
        <w:rPr>
          <w:rFonts w:ascii="宋体" w:hAnsi="宋体" w:cs="宋体"/>
          <w:color w:val="000000"/>
          <w:kern w:val="0"/>
          <w:sz w:val="36"/>
          <w:szCs w:val="36"/>
        </w:rPr>
      </w:pPr>
      <w:r>
        <w:rPr>
          <w:rFonts w:hint="eastAsia" w:ascii="宋体" w:hAnsi="宋体" w:cs="宋体"/>
          <w:color w:val="000000"/>
          <w:kern w:val="0"/>
          <w:sz w:val="36"/>
          <w:szCs w:val="36"/>
        </w:rPr>
        <w:t xml:space="preserve"> </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采购项目编号：宁政采公招（货物）2019-</w:t>
      </w:r>
      <w:r>
        <w:rPr>
          <w:rFonts w:hint="eastAsia" w:ascii="宋体" w:hAnsi="宋体" w:cs="宋体"/>
          <w:b/>
          <w:bCs/>
          <w:color w:val="000000"/>
          <w:kern w:val="0"/>
          <w:sz w:val="30"/>
          <w:szCs w:val="30"/>
          <w:lang w:val="en-US" w:eastAsia="zh-CN"/>
        </w:rPr>
        <w:t>178</w:t>
      </w:r>
      <w:r>
        <w:rPr>
          <w:rFonts w:hint="eastAsia" w:ascii="宋体" w:hAnsi="宋体" w:cs="宋体"/>
          <w:b/>
          <w:bCs/>
          <w:color w:val="000000"/>
          <w:kern w:val="0"/>
          <w:sz w:val="30"/>
          <w:szCs w:val="30"/>
          <w:lang w:val="zh-CN"/>
        </w:rPr>
        <w:t>号</w:t>
      </w:r>
    </w:p>
    <w:p>
      <w:pPr>
        <w:autoSpaceDE w:val="0"/>
        <w:autoSpaceDN w:val="0"/>
        <w:adjustRightInd w:val="0"/>
        <w:spacing w:line="360" w:lineRule="auto"/>
        <w:ind w:left="2108" w:hanging="2108" w:hangingChars="700"/>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采购项目名称：西宁市教育局局属电脑及多媒体教室建设项目</w:t>
      </w:r>
    </w:p>
    <w:p>
      <w:pPr>
        <w:autoSpaceDE w:val="0"/>
        <w:autoSpaceDN w:val="0"/>
        <w:adjustRightInd w:val="0"/>
        <w:spacing w:line="360" w:lineRule="auto"/>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采购人：西宁市教育局</w:t>
      </w:r>
    </w:p>
    <w:p>
      <w:pPr>
        <w:autoSpaceDE w:val="0"/>
        <w:autoSpaceDN w:val="0"/>
        <w:adjustRightInd w:val="0"/>
        <w:spacing w:line="360" w:lineRule="auto"/>
        <w:jc w:val="left"/>
        <w:rPr>
          <w:rFonts w:ascii="宋体" w:hAnsi="宋体" w:cs="宋体"/>
          <w:b/>
          <w:bCs/>
          <w:color w:val="000000"/>
          <w:kern w:val="0"/>
          <w:sz w:val="30"/>
          <w:szCs w:val="30"/>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采购代理机构：西宁市政府采购中心</w:t>
      </w: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2019年</w:t>
      </w:r>
      <w:r>
        <w:rPr>
          <w:rFonts w:hint="eastAsia" w:ascii="宋体" w:hAnsi="宋体" w:cs="宋体"/>
          <w:b/>
          <w:bCs/>
          <w:color w:val="000000"/>
          <w:kern w:val="0"/>
          <w:sz w:val="30"/>
          <w:szCs w:val="30"/>
          <w:lang w:val="en-US" w:eastAsia="zh-CN"/>
        </w:rPr>
        <w:t>12</w:t>
      </w:r>
      <w:r>
        <w:rPr>
          <w:rFonts w:hint="eastAsia" w:ascii="宋体" w:hAnsi="宋体" w:cs="宋体"/>
          <w:b/>
          <w:bCs/>
          <w:color w:val="000000"/>
          <w:kern w:val="0"/>
          <w:sz w:val="30"/>
          <w:szCs w:val="30"/>
          <w:lang w:val="zh-CN"/>
        </w:rPr>
        <w:t>月</w:t>
      </w:r>
    </w:p>
    <w:p>
      <w:pPr>
        <w:autoSpaceDE w:val="0"/>
        <w:autoSpaceDN w:val="0"/>
        <w:adjustRightInd w:val="0"/>
        <w:spacing w:line="360" w:lineRule="auto"/>
        <w:rPr>
          <w:rFonts w:ascii="宋体" w:hAnsi="宋体" w:cs="宋体"/>
          <w:color w:val="000000"/>
          <w:kern w:val="0"/>
          <w:sz w:val="36"/>
          <w:szCs w:val="36"/>
        </w:rPr>
      </w:pPr>
    </w:p>
    <w:p>
      <w:pPr>
        <w:adjustRightInd w:val="0"/>
        <w:spacing w:line="360" w:lineRule="auto"/>
        <w:textAlignment w:val="baseline"/>
        <w:rPr>
          <w:rFonts w:ascii="宋体" w:hAnsi="宋体" w:cs="宋体"/>
          <w:color w:val="000000"/>
          <w:sz w:val="40"/>
          <w:szCs w:val="30"/>
        </w:rPr>
      </w:pPr>
      <w:r>
        <w:rPr>
          <w:rFonts w:hint="eastAsia" w:ascii="宋体" w:hAnsi="宋体" w:cs="宋体"/>
          <w:b/>
          <w:color w:val="000000"/>
          <w:sz w:val="40"/>
          <w:szCs w:val="30"/>
        </w:rPr>
        <w:t xml:space="preserve">                    </w:t>
      </w:r>
      <w:r>
        <w:rPr>
          <w:rFonts w:hint="eastAsia" w:ascii="宋体" w:hAnsi="宋体" w:cs="宋体"/>
          <w:color w:val="000000"/>
          <w:sz w:val="40"/>
          <w:szCs w:val="30"/>
        </w:rPr>
        <w:t>目  录</w:t>
      </w:r>
    </w:p>
    <w:p>
      <w:pPr>
        <w:pStyle w:val="18"/>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26"/>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"_Toc519260345" </w:instrText>
      </w:r>
      <w:r>
        <w:fldChar w:fldCharType="separate"/>
      </w:r>
      <w:r>
        <w:rPr>
          <w:rStyle w:val="26"/>
          <w:rFonts w:hint="eastAsia" w:ascii="宋体" w:hAnsi="宋体" w:cs="宋体"/>
          <w:lang w:val="zh-CN"/>
        </w:rPr>
        <w:t>第一部分</w:t>
      </w:r>
      <w:r>
        <w:rPr>
          <w:rStyle w:val="26"/>
          <w:rFonts w:ascii="宋体" w:hAnsi="宋体" w:cs="宋体"/>
          <w:lang w:val="zh-CN"/>
        </w:rPr>
        <w:t xml:space="preserve">  </w:t>
      </w:r>
      <w:r>
        <w:rPr>
          <w:rStyle w:val="26"/>
          <w:rFonts w:hint="eastAsia" w:ascii="宋体" w:hAnsi="宋体" w:cs="宋体"/>
          <w:lang w:val="zh-CN"/>
        </w:rPr>
        <w:t>投标邀请</w:t>
      </w:r>
      <w:r>
        <w:tab/>
      </w:r>
      <w:r>
        <w:fldChar w:fldCharType="begin"/>
      </w:r>
      <w:r>
        <w:instrText xml:space="preserve"> PAGEREF _Toc519260345 \h </w:instrText>
      </w:r>
      <w:r>
        <w:fldChar w:fldCharType="separate"/>
      </w:r>
      <w:r>
        <w:t>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"_Toc519260346" </w:instrText>
      </w:r>
      <w:r>
        <w:fldChar w:fldCharType="separate"/>
      </w:r>
      <w:r>
        <w:rPr>
          <w:rStyle w:val="26"/>
          <w:rFonts w:hint="eastAsia" w:ascii="宋体" w:hAnsi="宋体" w:cs="宋体"/>
          <w:lang w:val="zh-CN"/>
        </w:rPr>
        <w:t>第二部分</w:t>
      </w:r>
      <w:r>
        <w:rPr>
          <w:rStyle w:val="26"/>
          <w:rFonts w:ascii="宋体" w:hAnsi="宋体" w:cs="宋体"/>
          <w:lang w:val="zh-CN"/>
        </w:rPr>
        <w:t xml:space="preserve">  </w:t>
      </w:r>
      <w:r>
        <w:rPr>
          <w:rStyle w:val="26"/>
          <w:rFonts w:hint="eastAsia" w:ascii="宋体" w:hAnsi="宋体" w:cs="宋体"/>
          <w:lang w:val="zh-CN"/>
        </w:rPr>
        <w:t>投标人须知</w:t>
      </w:r>
      <w:r>
        <w:tab/>
      </w:r>
      <w:r>
        <w:fldChar w:fldCharType="begin"/>
      </w:r>
      <w:r>
        <w:instrText xml:space="preserve"> PAGEREF _Toc519260346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"_Toc519260347" </w:instrText>
      </w:r>
      <w:r>
        <w:fldChar w:fldCharType="separate"/>
      </w:r>
      <w:r>
        <w:rPr>
          <w:rStyle w:val="26"/>
          <w:rFonts w:hint="eastAsia" w:ascii="宋体" w:hAnsi="宋体" w:cs="宋体"/>
          <w:lang w:val="zh-CN"/>
        </w:rPr>
        <w:t>一、说明</w:t>
      </w:r>
      <w:r>
        <w:tab/>
      </w:r>
      <w:r>
        <w:fldChar w:fldCharType="begin"/>
      </w:r>
      <w:r>
        <w:instrText xml:space="preserve"> PAGEREF _Toc519260347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"_Toc519260348" </w:instrText>
      </w:r>
      <w:r>
        <w:fldChar w:fldCharType="separate"/>
      </w:r>
      <w:r>
        <w:rPr>
          <w:rStyle w:val="26"/>
          <w:rFonts w:ascii="宋体" w:hAnsi="宋体" w:cs="宋体"/>
          <w:lang w:val="zh-CN"/>
        </w:rPr>
        <w:t>1.</w:t>
      </w:r>
      <w:r>
        <w:rPr>
          <w:rStyle w:val="26"/>
          <w:rFonts w:hint="eastAsia" w:ascii="宋体" w:hAnsi="宋体" w:cs="宋体"/>
          <w:lang w:val="zh-CN"/>
        </w:rPr>
        <w:t>适用范围</w:t>
      </w:r>
      <w:r>
        <w:tab/>
      </w:r>
      <w:r>
        <w:fldChar w:fldCharType="begin"/>
      </w:r>
      <w:r>
        <w:instrText xml:space="preserve"> PAGEREF _Toc519260348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"_Toc519260349" </w:instrText>
      </w:r>
      <w:r>
        <w:fldChar w:fldCharType="separate"/>
      </w:r>
      <w:r>
        <w:rPr>
          <w:rStyle w:val="26"/>
          <w:rFonts w:ascii="宋体" w:hAnsi="宋体" w:cs="宋体"/>
          <w:lang w:val="zh-CN"/>
        </w:rPr>
        <w:t>2.</w:t>
      </w:r>
      <w:r>
        <w:rPr>
          <w:rStyle w:val="26"/>
          <w:rFonts w:hint="eastAsia" w:ascii="宋体" w:hAnsi="宋体" w:cs="宋体"/>
          <w:lang w:val="zh-CN"/>
        </w:rPr>
        <w:t>采购方式、合格的投标人</w:t>
      </w:r>
      <w:r>
        <w:tab/>
      </w:r>
      <w:r>
        <w:fldChar w:fldCharType="begin"/>
      </w:r>
      <w:r>
        <w:instrText xml:space="preserve"> PAGEREF _Toc519260349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"_Toc519260350" </w:instrText>
      </w:r>
      <w:r>
        <w:fldChar w:fldCharType="separate"/>
      </w:r>
      <w:r>
        <w:rPr>
          <w:rStyle w:val="26"/>
          <w:rFonts w:ascii="宋体" w:hAnsi="宋体" w:cs="宋体"/>
          <w:lang w:val="zh-CN"/>
        </w:rPr>
        <w:t>3.</w:t>
      </w:r>
      <w:r>
        <w:rPr>
          <w:rStyle w:val="26"/>
          <w:rFonts w:hint="eastAsia" w:ascii="宋体" w:hAnsi="宋体" w:cs="宋体"/>
          <w:lang w:val="zh-CN"/>
        </w:rPr>
        <w:t>投标费用</w:t>
      </w:r>
      <w:r>
        <w:tab/>
      </w:r>
      <w:r>
        <w:fldChar w:fldCharType="begin"/>
      </w:r>
      <w:r>
        <w:instrText xml:space="preserve"> PAGEREF _Toc519260350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"_Toc519260351" </w:instrText>
      </w:r>
      <w:r>
        <w:fldChar w:fldCharType="separate"/>
      </w:r>
      <w:r>
        <w:rPr>
          <w:rStyle w:val="26"/>
          <w:rFonts w:hint="eastAsia" w:ascii="宋体" w:hAnsi="宋体" w:cs="宋体"/>
          <w:lang w:val="zh-CN"/>
        </w:rPr>
        <w:t>二、招标文件说明</w:t>
      </w:r>
      <w:r>
        <w:tab/>
      </w:r>
      <w:r>
        <w:fldChar w:fldCharType="begin"/>
      </w:r>
      <w:r>
        <w:instrText xml:space="preserve"> PAGEREF _Toc519260351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"_Toc519260352" </w:instrText>
      </w:r>
      <w:r>
        <w:fldChar w:fldCharType="separate"/>
      </w:r>
      <w:r>
        <w:rPr>
          <w:rStyle w:val="26"/>
          <w:rFonts w:ascii="宋体" w:hAnsi="宋体" w:cs="宋体"/>
          <w:lang w:val="zh-CN"/>
        </w:rPr>
        <w:t>4.</w:t>
      </w:r>
      <w:r>
        <w:rPr>
          <w:rStyle w:val="26"/>
          <w:rFonts w:hint="eastAsia" w:ascii="宋体" w:hAnsi="宋体" w:cs="宋体"/>
          <w:lang w:val="zh-CN"/>
        </w:rPr>
        <w:t>招标文件的构成</w:t>
      </w:r>
      <w:r>
        <w:tab/>
      </w:r>
      <w:r>
        <w:fldChar w:fldCharType="begin"/>
      </w:r>
      <w:r>
        <w:instrText xml:space="preserve"> PAGEREF _Toc519260352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"_Toc519260353" </w:instrText>
      </w:r>
      <w:r>
        <w:fldChar w:fldCharType="separate"/>
      </w:r>
      <w:r>
        <w:rPr>
          <w:rStyle w:val="26"/>
          <w:rFonts w:ascii="宋体" w:hAnsi="宋体" w:cs="宋体"/>
          <w:lang w:val="zh-CN"/>
        </w:rPr>
        <w:t>5.</w:t>
      </w:r>
      <w:r>
        <w:rPr>
          <w:rStyle w:val="26"/>
          <w:rFonts w:hint="eastAsia" w:ascii="宋体" w:hAnsi="宋体" w:cs="宋体"/>
          <w:lang w:val="zh-CN"/>
        </w:rPr>
        <w:t>招标文件、采购活动和中标结果的质疑</w:t>
      </w:r>
      <w:r>
        <w:tab/>
      </w:r>
      <w:r>
        <w:fldChar w:fldCharType="begin"/>
      </w:r>
      <w:r>
        <w:instrText xml:space="preserve"> PAGEREF _Toc519260353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"_Toc519260354" </w:instrText>
      </w:r>
      <w:r>
        <w:fldChar w:fldCharType="separate"/>
      </w:r>
      <w:r>
        <w:rPr>
          <w:rStyle w:val="26"/>
          <w:rFonts w:ascii="宋体" w:hAnsi="宋体" w:cs="宋体"/>
          <w:lang w:val="zh-CN"/>
        </w:rPr>
        <w:t>6.</w:t>
      </w:r>
      <w:r>
        <w:rPr>
          <w:rStyle w:val="26"/>
          <w:rFonts w:hint="eastAsia" w:ascii="宋体" w:hAnsi="宋体" w:cs="宋体"/>
          <w:lang w:val="zh-CN"/>
        </w:rPr>
        <w:t>招标文件的澄清或修改</w:t>
      </w:r>
      <w:r>
        <w:tab/>
      </w:r>
      <w:r>
        <w:fldChar w:fldCharType="begin"/>
      </w:r>
      <w:r>
        <w:instrText xml:space="preserve"> PAGEREF _Toc519260354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"_Toc519260355" </w:instrText>
      </w:r>
      <w:r>
        <w:fldChar w:fldCharType="separate"/>
      </w:r>
      <w:r>
        <w:rPr>
          <w:rStyle w:val="26"/>
          <w:rFonts w:hint="eastAsia" w:ascii="宋体" w:hAnsi="宋体" w:cs="宋体"/>
          <w:lang w:val="zh-CN"/>
        </w:rPr>
        <w:t>三、投标文件的编制</w:t>
      </w:r>
      <w:r>
        <w:tab/>
      </w:r>
      <w:r>
        <w:fldChar w:fldCharType="begin"/>
      </w:r>
      <w:r>
        <w:instrText xml:space="preserve"> PAGEREF _Toc519260355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"_Toc519260356" </w:instrText>
      </w:r>
      <w:r>
        <w:fldChar w:fldCharType="separate"/>
      </w:r>
      <w:r>
        <w:rPr>
          <w:rStyle w:val="26"/>
          <w:rFonts w:ascii="宋体" w:hAnsi="宋体" w:cs="宋体"/>
          <w:lang w:val="zh-CN"/>
        </w:rPr>
        <w:t>7.</w:t>
      </w:r>
      <w:r>
        <w:rPr>
          <w:rStyle w:val="26"/>
          <w:rFonts w:hint="eastAsia" w:ascii="宋体" w:hAnsi="宋体" w:cs="宋体"/>
          <w:lang w:val="zh-CN"/>
        </w:rPr>
        <w:t>投标文件的语言及度量衡单位</w:t>
      </w:r>
      <w:r>
        <w:tab/>
      </w:r>
      <w:r>
        <w:fldChar w:fldCharType="begin"/>
      </w:r>
      <w:r>
        <w:instrText xml:space="preserve"> PAGEREF _Toc519260356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"_Toc519260357" </w:instrText>
      </w:r>
      <w:r>
        <w:fldChar w:fldCharType="separate"/>
      </w:r>
      <w:r>
        <w:rPr>
          <w:rStyle w:val="26"/>
          <w:rFonts w:ascii="宋体" w:hAnsi="宋体" w:cs="宋体"/>
          <w:lang w:val="zh-CN"/>
        </w:rPr>
        <w:t>8.</w:t>
      </w:r>
      <w:r>
        <w:rPr>
          <w:rStyle w:val="26"/>
          <w:rFonts w:hint="eastAsia" w:ascii="宋体" w:hAnsi="宋体" w:cs="宋体"/>
          <w:lang w:val="zh-CN"/>
        </w:rPr>
        <w:t>投标报价及币种</w:t>
      </w:r>
      <w:r>
        <w:tab/>
      </w:r>
      <w:r>
        <w:fldChar w:fldCharType="begin"/>
      </w:r>
      <w:r>
        <w:instrText xml:space="preserve"> PAGEREF _Toc519260357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"_Toc519260358" </w:instrText>
      </w:r>
      <w:r>
        <w:fldChar w:fldCharType="separate"/>
      </w:r>
      <w:r>
        <w:rPr>
          <w:rStyle w:val="26"/>
          <w:rFonts w:ascii="宋体" w:hAnsi="宋体" w:cs="宋体"/>
          <w:lang w:val="zh-CN"/>
        </w:rPr>
        <w:t>9.</w:t>
      </w:r>
      <w:r>
        <w:rPr>
          <w:rStyle w:val="26"/>
          <w:rFonts w:hint="eastAsia" w:ascii="宋体" w:hAnsi="宋体" w:cs="宋体"/>
          <w:lang w:val="zh-CN"/>
        </w:rPr>
        <w:t>投标保证金</w:t>
      </w:r>
      <w:r>
        <w:tab/>
      </w:r>
      <w:r>
        <w:fldChar w:fldCharType="begin"/>
      </w:r>
      <w:r>
        <w:instrText xml:space="preserve"> PAGEREF _Toc519260358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"_Toc519260359" </w:instrText>
      </w:r>
      <w:r>
        <w:fldChar w:fldCharType="separate"/>
      </w:r>
      <w:r>
        <w:rPr>
          <w:rStyle w:val="26"/>
          <w:rFonts w:ascii="宋体" w:hAnsi="宋体" w:cs="宋体"/>
          <w:lang w:val="zh-CN"/>
        </w:rPr>
        <w:t>10.</w:t>
      </w:r>
      <w:r>
        <w:rPr>
          <w:rStyle w:val="26"/>
          <w:rFonts w:hint="eastAsia" w:ascii="宋体" w:hAnsi="宋体" w:cs="宋体"/>
          <w:lang w:val="zh-CN"/>
        </w:rPr>
        <w:t>投标有效期</w:t>
      </w:r>
      <w:r>
        <w:tab/>
      </w:r>
      <w:r>
        <w:fldChar w:fldCharType="begin"/>
      </w:r>
      <w:r>
        <w:instrText xml:space="preserve"> PAGEREF _Toc519260359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"_Toc519260360" </w:instrText>
      </w:r>
      <w:r>
        <w:fldChar w:fldCharType="separate"/>
      </w:r>
      <w:r>
        <w:rPr>
          <w:rStyle w:val="26"/>
          <w:rFonts w:ascii="宋体" w:hAnsi="宋体" w:cs="宋体"/>
          <w:lang w:val="zh-CN"/>
        </w:rPr>
        <w:t>11.</w:t>
      </w:r>
      <w:r>
        <w:rPr>
          <w:rStyle w:val="26"/>
          <w:rFonts w:hint="eastAsia" w:ascii="宋体" w:hAnsi="宋体" w:cs="宋体"/>
          <w:lang w:val="zh-CN"/>
        </w:rPr>
        <w:t>投标文件构成</w:t>
      </w:r>
      <w:r>
        <w:tab/>
      </w:r>
      <w:r>
        <w:fldChar w:fldCharType="begin"/>
      </w:r>
      <w:r>
        <w:instrText xml:space="preserve"> PAGEREF _Toc519260360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"_Toc519260361" </w:instrText>
      </w:r>
      <w:r>
        <w:fldChar w:fldCharType="separate"/>
      </w:r>
      <w:r>
        <w:rPr>
          <w:rStyle w:val="26"/>
          <w:rFonts w:ascii="宋体" w:hAnsi="宋体" w:cs="宋体"/>
          <w:lang w:val="zh-CN"/>
        </w:rPr>
        <w:t>12.</w:t>
      </w:r>
      <w:r>
        <w:rPr>
          <w:rStyle w:val="26"/>
          <w:rFonts w:hint="eastAsia" w:ascii="宋体" w:hAnsi="宋体" w:cs="宋体"/>
          <w:lang w:val="zh-CN"/>
        </w:rPr>
        <w:t>投标文件的编制要求</w:t>
      </w:r>
      <w:r>
        <w:tab/>
      </w:r>
      <w:r>
        <w:fldChar w:fldCharType="begin"/>
      </w:r>
      <w:r>
        <w:instrText xml:space="preserve"> PAGEREF _Toc519260361 \h </w:instrText>
      </w:r>
      <w:r>
        <w:fldChar w:fldCharType="separate"/>
      </w:r>
      <w:r>
        <w:t>10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"_Toc519260362" </w:instrText>
      </w:r>
      <w:r>
        <w:fldChar w:fldCharType="separate"/>
      </w:r>
      <w:r>
        <w:rPr>
          <w:rStyle w:val="26"/>
          <w:rFonts w:hint="eastAsia" w:ascii="宋体" w:hAnsi="宋体" w:cs="宋体"/>
          <w:lang w:val="zh-CN"/>
        </w:rPr>
        <w:t>四、投标文件的提交</w:t>
      </w:r>
      <w:r>
        <w:tab/>
      </w:r>
      <w:r>
        <w:fldChar w:fldCharType="begin"/>
      </w:r>
      <w:r>
        <w:instrText xml:space="preserve"> PAGEREF _Toc519260362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"_Toc519260363" </w:instrText>
      </w:r>
      <w:r>
        <w:fldChar w:fldCharType="separate"/>
      </w:r>
      <w:r>
        <w:rPr>
          <w:rStyle w:val="26"/>
          <w:rFonts w:ascii="宋体" w:hAnsi="宋体" w:cs="宋体"/>
          <w:lang w:val="zh-CN"/>
        </w:rPr>
        <w:t>13.</w:t>
      </w:r>
      <w:r>
        <w:rPr>
          <w:rStyle w:val="26"/>
          <w:rFonts w:hint="eastAsia" w:ascii="宋体" w:hAnsi="宋体" w:cs="宋体"/>
          <w:lang w:val="zh-CN"/>
        </w:rPr>
        <w:t>投标文件的密封和标记</w:t>
      </w:r>
      <w:r>
        <w:tab/>
      </w:r>
      <w:r>
        <w:fldChar w:fldCharType="begin"/>
      </w:r>
      <w:r>
        <w:instrText xml:space="preserve"> PAGEREF _Toc519260363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"_Toc519260364" </w:instrText>
      </w:r>
      <w:r>
        <w:fldChar w:fldCharType="separate"/>
      </w:r>
      <w:r>
        <w:rPr>
          <w:rStyle w:val="26"/>
          <w:rFonts w:ascii="宋体" w:hAnsi="宋体" w:cs="宋体"/>
          <w:lang w:val="zh-CN"/>
        </w:rPr>
        <w:t>14.</w:t>
      </w:r>
      <w:r>
        <w:rPr>
          <w:rStyle w:val="26"/>
          <w:rFonts w:hint="eastAsia" w:ascii="宋体" w:hAnsi="宋体" w:cs="宋体"/>
          <w:lang w:val="zh-CN"/>
        </w:rPr>
        <w:t>提交投标文件的时间、地点、方式</w:t>
      </w:r>
      <w:r>
        <w:tab/>
      </w:r>
      <w:r>
        <w:fldChar w:fldCharType="begin"/>
      </w:r>
      <w:r>
        <w:instrText xml:space="preserve"> PAGEREF _Toc519260364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"_Toc519260365" </w:instrText>
      </w:r>
      <w:r>
        <w:fldChar w:fldCharType="separate"/>
      </w:r>
      <w:r>
        <w:rPr>
          <w:rStyle w:val="26"/>
          <w:rFonts w:ascii="宋体" w:hAnsi="宋体" w:cs="宋体"/>
          <w:lang w:val="zh-CN"/>
        </w:rPr>
        <w:t>15.</w:t>
      </w:r>
      <w:r>
        <w:rPr>
          <w:rStyle w:val="26"/>
          <w:rFonts w:hint="eastAsia" w:ascii="宋体" w:hAnsi="宋体" w:cs="宋体"/>
          <w:lang w:val="zh-CN"/>
        </w:rPr>
        <w:t>投标文件的补充、修改或者撤回</w:t>
      </w:r>
      <w:r>
        <w:tab/>
      </w:r>
      <w:r>
        <w:fldChar w:fldCharType="begin"/>
      </w:r>
      <w:r>
        <w:instrText xml:space="preserve"> PAGEREF _Toc519260365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"_Toc519260366" </w:instrText>
      </w:r>
      <w:r>
        <w:fldChar w:fldCharType="separate"/>
      </w:r>
      <w:r>
        <w:rPr>
          <w:rStyle w:val="26"/>
          <w:rFonts w:hint="eastAsia" w:ascii="宋体" w:hAnsi="宋体" w:cs="宋体"/>
          <w:lang w:val="zh-CN"/>
        </w:rPr>
        <w:t>五、开标</w:t>
      </w:r>
      <w:r>
        <w:tab/>
      </w:r>
      <w:r>
        <w:fldChar w:fldCharType="begin"/>
      </w:r>
      <w:r>
        <w:instrText xml:space="preserve"> PAGEREF _Toc519260366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"_Toc519260367" </w:instrText>
      </w:r>
      <w:r>
        <w:fldChar w:fldCharType="separate"/>
      </w:r>
      <w:r>
        <w:rPr>
          <w:rStyle w:val="26"/>
          <w:rFonts w:ascii="宋体" w:hAnsi="宋体" w:cs="宋体"/>
          <w:lang w:val="zh-CN"/>
        </w:rPr>
        <w:t>16.</w:t>
      </w:r>
      <w:r>
        <w:rPr>
          <w:rStyle w:val="26"/>
          <w:rFonts w:hint="eastAsia" w:ascii="宋体" w:hAnsi="宋体" w:cs="宋体"/>
          <w:lang w:val="zh-CN"/>
        </w:rPr>
        <w:t>开标</w:t>
      </w:r>
      <w:r>
        <w:tab/>
      </w:r>
      <w:r>
        <w:fldChar w:fldCharType="begin"/>
      </w:r>
      <w:r>
        <w:instrText xml:space="preserve"> PAGEREF _Toc519260367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"_Toc519260368" </w:instrText>
      </w:r>
      <w:r>
        <w:fldChar w:fldCharType="separate"/>
      </w:r>
      <w:r>
        <w:rPr>
          <w:rStyle w:val="26"/>
          <w:rFonts w:hint="eastAsia" w:ascii="宋体" w:hAnsi="宋体" w:cs="宋体"/>
          <w:kern w:val="0"/>
        </w:rPr>
        <w:t>六、资格</w:t>
      </w:r>
      <w:r>
        <w:rPr>
          <w:rStyle w:val="26"/>
          <w:rFonts w:hint="eastAsia" w:ascii="宋体" w:hAnsi="宋体" w:cs="宋体"/>
          <w:lang w:val="zh-CN"/>
        </w:rPr>
        <w:t>审查</w:t>
      </w:r>
      <w:r>
        <w:rPr>
          <w:rStyle w:val="26"/>
          <w:rFonts w:hint="eastAsia" w:ascii="宋体" w:hAnsi="宋体" w:cs="宋体"/>
          <w:kern w:val="0"/>
        </w:rPr>
        <w:t>程序</w:t>
      </w:r>
      <w:r>
        <w:tab/>
      </w:r>
      <w:r>
        <w:fldChar w:fldCharType="begin"/>
      </w:r>
      <w:r>
        <w:instrText xml:space="preserve"> PAGEREF _Toc519260368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"_Toc519260369" </w:instrText>
      </w:r>
      <w:r>
        <w:fldChar w:fldCharType="separate"/>
      </w:r>
      <w:r>
        <w:rPr>
          <w:rStyle w:val="26"/>
          <w:rFonts w:ascii="宋体" w:hAnsi="宋体" w:cs="宋体"/>
        </w:rPr>
        <w:t>17.</w:t>
      </w:r>
      <w:r>
        <w:rPr>
          <w:rStyle w:val="26"/>
          <w:rFonts w:hint="eastAsia" w:ascii="宋体" w:hAnsi="宋体" w:cs="宋体"/>
        </w:rPr>
        <w:t>资格审查</w:t>
      </w:r>
      <w:r>
        <w:tab/>
      </w:r>
      <w:r>
        <w:fldChar w:fldCharType="begin"/>
      </w:r>
      <w:r>
        <w:instrText xml:space="preserve"> PAGEREF _Toc519260369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"_Toc519260370" </w:instrText>
      </w:r>
      <w:r>
        <w:fldChar w:fldCharType="separate"/>
      </w:r>
      <w:r>
        <w:rPr>
          <w:rStyle w:val="26"/>
          <w:rFonts w:hint="eastAsia" w:ascii="宋体" w:hAnsi="宋体" w:cs="宋体"/>
          <w:lang w:val="zh-CN"/>
        </w:rPr>
        <w:t>七、评审程序及方法</w:t>
      </w:r>
      <w:r>
        <w:tab/>
      </w:r>
      <w:r>
        <w:fldChar w:fldCharType="begin"/>
      </w:r>
      <w:r>
        <w:instrText xml:space="preserve"> PAGEREF _Toc519260370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"_Toc519260371" </w:instrText>
      </w:r>
      <w:r>
        <w:fldChar w:fldCharType="separate"/>
      </w:r>
      <w:r>
        <w:rPr>
          <w:rStyle w:val="26"/>
          <w:rFonts w:ascii="宋体" w:hAnsi="宋体" w:cs="宋体"/>
          <w:lang w:val="zh-CN"/>
        </w:rPr>
        <w:t>1</w:t>
      </w:r>
      <w:r>
        <w:rPr>
          <w:rStyle w:val="26"/>
          <w:rFonts w:ascii="宋体" w:hAnsi="宋体" w:cs="宋体"/>
        </w:rPr>
        <w:t>8</w:t>
      </w:r>
      <w:r>
        <w:rPr>
          <w:rStyle w:val="26"/>
          <w:rFonts w:ascii="宋体" w:hAnsi="宋体" w:cs="宋体"/>
          <w:lang w:val="zh-CN"/>
        </w:rPr>
        <w:t>.</w:t>
      </w:r>
      <w:r>
        <w:rPr>
          <w:rStyle w:val="26"/>
          <w:rFonts w:hint="eastAsia" w:ascii="宋体" w:hAnsi="宋体" w:cs="宋体"/>
          <w:lang w:val="zh-CN"/>
        </w:rPr>
        <w:t>评标委员会</w:t>
      </w:r>
      <w:r>
        <w:tab/>
      </w:r>
      <w:r>
        <w:fldChar w:fldCharType="begin"/>
      </w:r>
      <w:r>
        <w:instrText xml:space="preserve"> PAGEREF _Toc519260371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"_Toc519260372" </w:instrText>
      </w:r>
      <w:r>
        <w:fldChar w:fldCharType="separate"/>
      </w:r>
      <w:r>
        <w:rPr>
          <w:rStyle w:val="26"/>
          <w:rFonts w:ascii="宋体" w:hAnsi="宋体" w:cs="宋体"/>
        </w:rPr>
        <w:t>19</w:t>
      </w:r>
      <w:r>
        <w:rPr>
          <w:rStyle w:val="26"/>
          <w:rFonts w:ascii="宋体" w:hAnsi="宋体" w:cs="宋体"/>
          <w:lang w:val="zh-CN"/>
        </w:rPr>
        <w:t>.</w:t>
      </w:r>
      <w:r>
        <w:rPr>
          <w:rStyle w:val="26"/>
          <w:rFonts w:hint="eastAsia" w:ascii="宋体" w:hAnsi="宋体" w:cs="宋体"/>
          <w:lang w:val="zh-CN"/>
        </w:rPr>
        <w:t>评审工作程序</w:t>
      </w:r>
      <w:r>
        <w:tab/>
      </w:r>
      <w:r>
        <w:fldChar w:fldCharType="begin"/>
      </w:r>
      <w:r>
        <w:instrText xml:space="preserve"> PAGEREF _Toc519260372 \h </w:instrText>
      </w:r>
      <w:r>
        <w:fldChar w:fldCharType="separate"/>
      </w:r>
      <w:r>
        <w:t>14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"_Toc519260373" </w:instrText>
      </w:r>
      <w:r>
        <w:fldChar w:fldCharType="separate"/>
      </w:r>
      <w:r>
        <w:rPr>
          <w:rStyle w:val="26"/>
          <w:rFonts w:ascii="宋体" w:hAnsi="宋体" w:cs="宋体"/>
        </w:rPr>
        <w:t>20</w:t>
      </w:r>
      <w:r>
        <w:rPr>
          <w:rStyle w:val="26"/>
          <w:rFonts w:ascii="宋体" w:hAnsi="宋体" w:cs="宋体"/>
          <w:lang w:val="zh-CN"/>
        </w:rPr>
        <w:t>.</w:t>
      </w:r>
      <w:r>
        <w:rPr>
          <w:rStyle w:val="26"/>
          <w:rFonts w:hint="eastAsia" w:ascii="宋体" w:hAnsi="宋体" w:cs="宋体"/>
          <w:lang w:val="zh-CN"/>
        </w:rPr>
        <w:t>评审方法和标准</w:t>
      </w:r>
      <w:r>
        <w:tab/>
      </w:r>
      <w:r>
        <w:fldChar w:fldCharType="begin"/>
      </w:r>
      <w:r>
        <w:instrText xml:space="preserve"> PAGEREF _Toc519260373 \h </w:instrText>
      </w:r>
      <w:r>
        <w:fldChar w:fldCharType="separate"/>
      </w:r>
      <w:r>
        <w:t>16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"_Toc519260374" </w:instrText>
      </w:r>
      <w:r>
        <w:fldChar w:fldCharType="separate"/>
      </w:r>
      <w:r>
        <w:rPr>
          <w:rStyle w:val="26"/>
          <w:rFonts w:hint="eastAsia" w:ascii="宋体" w:hAnsi="宋体" w:cs="宋体"/>
          <w:lang w:val="zh-CN"/>
        </w:rPr>
        <w:t>八、中标</w:t>
      </w:r>
      <w:r>
        <w:tab/>
      </w:r>
      <w:r>
        <w:fldChar w:fldCharType="begin"/>
      </w:r>
      <w:r>
        <w:instrText xml:space="preserve"> PAGEREF _Toc519260374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"_Toc519260375" </w:instrText>
      </w:r>
      <w:r>
        <w:fldChar w:fldCharType="separate"/>
      </w:r>
      <w:r>
        <w:rPr>
          <w:rStyle w:val="26"/>
          <w:rFonts w:ascii="宋体" w:hAnsi="宋体" w:cs="宋体"/>
          <w:lang w:val="zh-CN"/>
        </w:rPr>
        <w:t>2</w:t>
      </w:r>
      <w:r>
        <w:rPr>
          <w:rStyle w:val="26"/>
          <w:rFonts w:ascii="宋体" w:hAnsi="宋体" w:cs="宋体"/>
        </w:rPr>
        <w:t>1</w:t>
      </w:r>
      <w:r>
        <w:rPr>
          <w:rStyle w:val="26"/>
          <w:rFonts w:ascii="宋体" w:hAnsi="宋体" w:cs="宋体"/>
          <w:lang w:val="zh-CN"/>
        </w:rPr>
        <w:t>.</w:t>
      </w:r>
      <w:r>
        <w:rPr>
          <w:rStyle w:val="26"/>
          <w:rFonts w:hint="eastAsia" w:ascii="宋体" w:hAnsi="宋体" w:cs="宋体"/>
          <w:lang w:val="zh-CN"/>
        </w:rPr>
        <w:t>推荐并确定中标人</w:t>
      </w:r>
      <w:r>
        <w:tab/>
      </w:r>
      <w:r>
        <w:fldChar w:fldCharType="begin"/>
      </w:r>
      <w:r>
        <w:instrText xml:space="preserve"> PAGEREF _Toc519260375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"_Toc519260376" </w:instrText>
      </w:r>
      <w:r>
        <w:fldChar w:fldCharType="separate"/>
      </w:r>
      <w:r>
        <w:rPr>
          <w:rStyle w:val="26"/>
          <w:rFonts w:ascii="宋体" w:hAnsi="宋体" w:cs="宋体"/>
          <w:lang w:val="zh-CN"/>
        </w:rPr>
        <w:t>2</w:t>
      </w:r>
      <w:r>
        <w:rPr>
          <w:rStyle w:val="26"/>
          <w:rFonts w:ascii="宋体" w:hAnsi="宋体" w:cs="宋体"/>
        </w:rPr>
        <w:t>2</w:t>
      </w:r>
      <w:r>
        <w:rPr>
          <w:rStyle w:val="26"/>
          <w:rFonts w:ascii="宋体" w:hAnsi="宋体" w:cs="宋体"/>
          <w:lang w:val="zh-CN"/>
        </w:rPr>
        <w:t>.</w:t>
      </w:r>
      <w:r>
        <w:rPr>
          <w:rStyle w:val="26"/>
          <w:rFonts w:hint="eastAsia" w:ascii="宋体" w:hAnsi="宋体" w:cs="宋体"/>
          <w:lang w:val="zh-CN"/>
        </w:rPr>
        <w:t>中标通知</w:t>
      </w:r>
      <w:r>
        <w:tab/>
      </w:r>
      <w:r>
        <w:fldChar w:fldCharType="begin"/>
      </w:r>
      <w:r>
        <w:instrText xml:space="preserve"> PAGEREF _Toc519260376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"_Toc519260377" </w:instrText>
      </w:r>
      <w:r>
        <w:fldChar w:fldCharType="separate"/>
      </w:r>
      <w:r>
        <w:rPr>
          <w:rStyle w:val="26"/>
          <w:rFonts w:hint="eastAsia" w:ascii="宋体" w:hAnsi="宋体" w:cs="宋体"/>
          <w:lang w:val="zh-CN"/>
        </w:rPr>
        <w:t>九、授予合同</w:t>
      </w:r>
      <w:r>
        <w:tab/>
      </w:r>
      <w:r>
        <w:fldChar w:fldCharType="begin"/>
      </w:r>
      <w:r>
        <w:instrText xml:space="preserve"> PAGEREF _Toc519260377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"_Toc519260378" </w:instrText>
      </w:r>
      <w:r>
        <w:fldChar w:fldCharType="separate"/>
      </w:r>
      <w:r>
        <w:rPr>
          <w:rStyle w:val="26"/>
          <w:rFonts w:ascii="宋体" w:hAnsi="宋体" w:cs="宋体"/>
          <w:lang w:val="zh-CN"/>
        </w:rPr>
        <w:t>2</w:t>
      </w:r>
      <w:r>
        <w:rPr>
          <w:rStyle w:val="26"/>
          <w:rFonts w:ascii="宋体" w:hAnsi="宋体" w:cs="宋体"/>
        </w:rPr>
        <w:t>3</w:t>
      </w:r>
      <w:r>
        <w:rPr>
          <w:rStyle w:val="26"/>
          <w:rFonts w:ascii="宋体" w:hAnsi="宋体" w:cs="宋体"/>
          <w:lang w:val="zh-CN"/>
        </w:rPr>
        <w:t>.</w:t>
      </w:r>
      <w:r>
        <w:rPr>
          <w:rStyle w:val="26"/>
          <w:rFonts w:hint="eastAsia" w:ascii="宋体" w:hAnsi="宋体" w:cs="宋体"/>
          <w:lang w:val="zh-CN"/>
        </w:rPr>
        <w:t>签订合同</w:t>
      </w:r>
      <w:r>
        <w:tab/>
      </w:r>
      <w:r>
        <w:fldChar w:fldCharType="begin"/>
      </w:r>
      <w:r>
        <w:instrText xml:space="preserve"> PAGEREF _Toc519260378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"_Toc519260379" </w:instrText>
      </w:r>
      <w:r>
        <w:fldChar w:fldCharType="separate"/>
      </w:r>
      <w:r>
        <w:rPr>
          <w:rStyle w:val="26"/>
          <w:rFonts w:hint="eastAsia" w:ascii="宋体" w:hAnsi="宋体" w:cs="宋体"/>
          <w:lang w:val="zh-CN"/>
        </w:rPr>
        <w:t>十、其他</w:t>
      </w:r>
      <w:r>
        <w:tab/>
      </w:r>
      <w:r>
        <w:fldChar w:fldCharType="begin"/>
      </w:r>
      <w:r>
        <w:instrText xml:space="preserve"> PAGEREF _Toc519260379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"_Toc519260380" </w:instrText>
      </w:r>
      <w:r>
        <w:fldChar w:fldCharType="separate"/>
      </w:r>
      <w:r>
        <w:rPr>
          <w:rStyle w:val="26"/>
          <w:rFonts w:ascii="宋体" w:hAnsi="宋体" w:cs="宋体"/>
        </w:rPr>
        <w:t xml:space="preserve">24. </w:t>
      </w:r>
      <w:r>
        <w:rPr>
          <w:rStyle w:val="26"/>
          <w:rFonts w:hint="eastAsia" w:ascii="宋体" w:hAnsi="宋体" w:cs="宋体"/>
        </w:rPr>
        <w:t>串通投标的情形</w:t>
      </w:r>
      <w:r>
        <w:tab/>
      </w:r>
      <w:r>
        <w:fldChar w:fldCharType="begin"/>
      </w:r>
      <w:r>
        <w:instrText xml:space="preserve"> PAGEREF _Toc519260380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"_Toc519260381" </w:instrText>
      </w:r>
      <w:r>
        <w:fldChar w:fldCharType="separate"/>
      </w:r>
      <w:r>
        <w:rPr>
          <w:rStyle w:val="26"/>
          <w:rFonts w:ascii="宋体" w:hAnsi="宋体" w:cs="宋体"/>
        </w:rPr>
        <w:t xml:space="preserve">25. </w:t>
      </w:r>
      <w:r>
        <w:rPr>
          <w:rStyle w:val="26"/>
          <w:rFonts w:hint="eastAsia" w:ascii="宋体" w:hAnsi="宋体" w:cs="宋体"/>
        </w:rPr>
        <w:t>废标</w:t>
      </w:r>
      <w:r>
        <w:tab/>
      </w:r>
      <w:r>
        <w:fldChar w:fldCharType="begin"/>
      </w:r>
      <w:r>
        <w:instrText xml:space="preserve"> PAGEREF _Toc519260381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"_Toc519260382" </w:instrText>
      </w:r>
      <w:r>
        <w:fldChar w:fldCharType="separate"/>
      </w:r>
      <w:r>
        <w:rPr>
          <w:rStyle w:val="26"/>
          <w:rFonts w:hint="eastAsia" w:ascii="宋体" w:hAnsi="宋体" w:cs="宋体"/>
          <w:lang w:val="zh-CN"/>
        </w:rPr>
        <w:t>第三部分</w:t>
      </w:r>
      <w:r>
        <w:rPr>
          <w:rStyle w:val="26"/>
          <w:rFonts w:ascii="宋体" w:hAnsi="宋体" w:cs="宋体"/>
          <w:lang w:val="zh-CN"/>
        </w:rPr>
        <w:t xml:space="preserve"> </w:t>
      </w:r>
      <w:r>
        <w:rPr>
          <w:rStyle w:val="26"/>
          <w:rFonts w:ascii="宋体" w:hAnsi="宋体" w:cs="宋体"/>
        </w:rPr>
        <w:t xml:space="preserve"> </w:t>
      </w:r>
      <w:r>
        <w:rPr>
          <w:rStyle w:val="26"/>
          <w:rFonts w:hint="eastAsia" w:ascii="宋体" w:hAnsi="宋体" w:cs="宋体"/>
          <w:lang w:val="zh-CN"/>
        </w:rPr>
        <w:t>西宁市政府采购项目合同书范本</w:t>
      </w:r>
      <w:r>
        <w:tab/>
      </w:r>
      <w:r>
        <w:fldChar w:fldCharType="begin"/>
      </w:r>
      <w:r>
        <w:instrText xml:space="preserve"> PAGEREF _Toc519260382 \h </w:instrText>
      </w:r>
      <w:r>
        <w:fldChar w:fldCharType="separate"/>
      </w:r>
      <w:r>
        <w:t>22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"_Toc519260383" </w:instrText>
      </w:r>
      <w:r>
        <w:fldChar w:fldCharType="separate"/>
      </w:r>
      <w:r>
        <w:rPr>
          <w:rStyle w:val="26"/>
          <w:rFonts w:hint="eastAsia" w:ascii="宋体" w:hAnsi="宋体" w:cs="宋体"/>
          <w:lang w:val="zh-CN"/>
        </w:rPr>
        <w:t>第四部分</w:t>
      </w:r>
      <w:r>
        <w:rPr>
          <w:rStyle w:val="26"/>
          <w:rFonts w:ascii="宋体" w:hAnsi="宋体" w:cs="宋体"/>
          <w:lang w:val="zh-CN"/>
        </w:rPr>
        <w:t xml:space="preserve">  </w:t>
      </w:r>
      <w:r>
        <w:rPr>
          <w:rStyle w:val="26"/>
          <w:rFonts w:hint="eastAsia" w:ascii="宋体" w:hAnsi="宋体" w:cs="宋体"/>
          <w:lang w:val="zh-CN"/>
        </w:rPr>
        <w:t>投标文件格式</w:t>
      </w:r>
      <w:r>
        <w:tab/>
      </w:r>
      <w:r>
        <w:fldChar w:fldCharType="begin"/>
      </w:r>
      <w:r>
        <w:instrText xml:space="preserve"> PAGEREF _Toc519260383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"_Toc519260384" </w:instrText>
      </w:r>
      <w:r>
        <w:fldChar w:fldCharType="separate"/>
      </w:r>
      <w:r>
        <w:rPr>
          <w:rStyle w:val="26"/>
          <w:rFonts w:hint="eastAsia" w:ascii="宋体" w:hAnsi="宋体" w:cs="宋体"/>
          <w:lang w:val="zh-CN"/>
        </w:rPr>
        <w:t>封面（上册）</w:t>
      </w:r>
      <w:r>
        <w:tab/>
      </w:r>
      <w:r>
        <w:fldChar w:fldCharType="begin"/>
      </w:r>
      <w:r>
        <w:instrText xml:space="preserve"> PAGEREF _Toc519260384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"_Toc519260385" </w:instrText>
      </w:r>
      <w:r>
        <w:fldChar w:fldCharType="separate"/>
      </w:r>
      <w:r>
        <w:rPr>
          <w:rStyle w:val="26"/>
          <w:rFonts w:hint="eastAsia" w:ascii="宋体" w:hAnsi="宋体" w:cs="宋体"/>
          <w:lang w:val="zh-CN"/>
        </w:rPr>
        <w:t>目录（上册）</w:t>
      </w:r>
      <w:r>
        <w:tab/>
      </w:r>
      <w:r>
        <w:fldChar w:fldCharType="begin"/>
      </w:r>
      <w:r>
        <w:instrText xml:space="preserve"> PAGEREF _Toc519260385 \h </w:instrText>
      </w:r>
      <w:r>
        <w:fldChar w:fldCharType="separate"/>
      </w:r>
      <w:r>
        <w:t>36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"_Toc519260386" </w:instrText>
      </w:r>
      <w:r>
        <w:fldChar w:fldCharType="separate"/>
      </w:r>
      <w:r>
        <w:rPr>
          <w:rStyle w:val="26"/>
          <w:rFonts w:hint="eastAsia" w:ascii="宋体" w:hAnsi="宋体" w:cs="宋体"/>
        </w:rPr>
        <w:t>（</w:t>
      </w:r>
      <w:r>
        <w:rPr>
          <w:rStyle w:val="26"/>
          <w:rFonts w:ascii="宋体" w:hAnsi="宋体" w:cs="宋体"/>
        </w:rPr>
        <w:t>1</w:t>
      </w:r>
      <w:r>
        <w:rPr>
          <w:rStyle w:val="26"/>
          <w:rFonts w:hint="eastAsia" w:ascii="宋体" w:hAnsi="宋体" w:cs="宋体"/>
        </w:rPr>
        <w:t>）</w:t>
      </w:r>
      <w:r>
        <w:rPr>
          <w:rStyle w:val="26"/>
          <w:rFonts w:hint="eastAsia" w:ascii="宋体" w:hAnsi="宋体" w:cs="宋体"/>
          <w:lang w:val="zh-CN"/>
        </w:rPr>
        <w:t>投标函</w:t>
      </w:r>
      <w:r>
        <w:tab/>
      </w:r>
      <w:r>
        <w:fldChar w:fldCharType="begin"/>
      </w:r>
      <w:r>
        <w:instrText xml:space="preserve"> PAGEREF _Toc519260386 \h </w:instrText>
      </w:r>
      <w:r>
        <w:fldChar w:fldCharType="separate"/>
      </w:r>
      <w:r>
        <w:t>37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"_Toc519260387" </w:instrText>
      </w:r>
      <w:r>
        <w:fldChar w:fldCharType="separate"/>
      </w:r>
      <w:r>
        <w:rPr>
          <w:rStyle w:val="26"/>
          <w:rFonts w:hint="eastAsia" w:ascii="宋体" w:hAnsi="宋体" w:cs="宋体"/>
          <w:kern w:val="0"/>
          <w:lang w:val="zh-CN"/>
        </w:rPr>
        <w:t>（</w:t>
      </w:r>
      <w:r>
        <w:rPr>
          <w:rStyle w:val="26"/>
          <w:rFonts w:ascii="宋体" w:hAnsi="宋体" w:cs="宋体"/>
          <w:kern w:val="0"/>
        </w:rPr>
        <w:t>2</w:t>
      </w:r>
      <w:r>
        <w:rPr>
          <w:rStyle w:val="26"/>
          <w:rFonts w:hint="eastAsia" w:ascii="宋体" w:hAnsi="宋体" w:cs="宋体"/>
          <w:kern w:val="0"/>
          <w:lang w:val="zh-CN"/>
        </w:rPr>
        <w:t>）</w:t>
      </w:r>
      <w:r>
        <w:rPr>
          <w:rStyle w:val="26"/>
          <w:rFonts w:hint="eastAsia" w:ascii="宋体" w:hAnsi="宋体" w:cs="宋体"/>
        </w:rPr>
        <w:t>法定代表人证明书</w:t>
      </w:r>
      <w:r>
        <w:tab/>
      </w:r>
      <w:r>
        <w:fldChar w:fldCharType="begin"/>
      </w:r>
      <w:r>
        <w:instrText xml:space="preserve"> PAGEREF _Toc519260387 \h </w:instrText>
      </w:r>
      <w:r>
        <w:fldChar w:fldCharType="separate"/>
      </w:r>
      <w:r>
        <w:t>38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"_Toc519260388" </w:instrText>
      </w:r>
      <w:r>
        <w:fldChar w:fldCharType="separate"/>
      </w:r>
      <w:r>
        <w:rPr>
          <w:rStyle w:val="26"/>
          <w:rFonts w:hint="eastAsia" w:ascii="宋体" w:hAnsi="宋体" w:cs="宋体"/>
        </w:rPr>
        <w:t>（</w:t>
      </w:r>
      <w:r>
        <w:rPr>
          <w:rStyle w:val="26"/>
          <w:rFonts w:ascii="宋体" w:hAnsi="宋体" w:cs="宋体"/>
        </w:rPr>
        <w:t>3</w:t>
      </w:r>
      <w:r>
        <w:rPr>
          <w:rStyle w:val="26"/>
          <w:rFonts w:hint="eastAsia" w:ascii="宋体" w:hAnsi="宋体" w:cs="宋体"/>
        </w:rPr>
        <w:t>）</w:t>
      </w:r>
      <w:r>
        <w:rPr>
          <w:rStyle w:val="26"/>
          <w:rFonts w:hint="eastAsia" w:ascii="宋体" w:hAnsi="宋体" w:cs="宋体"/>
          <w:lang w:val="zh-CN"/>
        </w:rPr>
        <w:t>法定代表人授权书</w:t>
      </w:r>
      <w:r>
        <w:tab/>
      </w:r>
      <w:r>
        <w:fldChar w:fldCharType="begin"/>
      </w:r>
      <w:r>
        <w:instrText xml:space="preserve"> PAGEREF _Toc519260388 \h </w:instrText>
      </w:r>
      <w:r>
        <w:fldChar w:fldCharType="separate"/>
      </w:r>
      <w:r>
        <w:t>39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"_Toc519260389" </w:instrText>
      </w:r>
      <w:r>
        <w:fldChar w:fldCharType="separate"/>
      </w:r>
      <w:r>
        <w:rPr>
          <w:rStyle w:val="26"/>
          <w:rFonts w:hint="eastAsia" w:ascii="宋体" w:hAnsi="宋体" w:cs="宋体"/>
        </w:rPr>
        <w:t>（</w:t>
      </w:r>
      <w:r>
        <w:rPr>
          <w:rStyle w:val="26"/>
          <w:rFonts w:ascii="宋体" w:hAnsi="宋体" w:cs="宋体"/>
        </w:rPr>
        <w:t>4</w:t>
      </w:r>
      <w:r>
        <w:rPr>
          <w:rStyle w:val="26"/>
          <w:rFonts w:hint="eastAsia" w:ascii="宋体" w:hAnsi="宋体" w:cs="宋体"/>
        </w:rPr>
        <w:t>）</w:t>
      </w:r>
      <w:r>
        <w:rPr>
          <w:rStyle w:val="26"/>
          <w:rFonts w:hint="eastAsia" w:ascii="宋体" w:hAnsi="宋体" w:cs="宋体"/>
          <w:lang w:val="zh-CN"/>
        </w:rPr>
        <w:t>投标人承诺函</w:t>
      </w:r>
      <w:r>
        <w:tab/>
      </w:r>
      <w:r>
        <w:fldChar w:fldCharType="begin"/>
      </w:r>
      <w:r>
        <w:instrText xml:space="preserve"> PAGEREF _Toc519260389 \h </w:instrText>
      </w:r>
      <w:r>
        <w:fldChar w:fldCharType="separate"/>
      </w:r>
      <w:r>
        <w:t>40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"_Toc519260390" </w:instrText>
      </w:r>
      <w:r>
        <w:fldChar w:fldCharType="separate"/>
      </w:r>
      <w:r>
        <w:rPr>
          <w:rStyle w:val="26"/>
          <w:rFonts w:hint="eastAsia" w:ascii="宋体" w:hAnsi="宋体" w:cs="宋体"/>
        </w:rPr>
        <w:t>（</w:t>
      </w:r>
      <w:r>
        <w:rPr>
          <w:rStyle w:val="26"/>
          <w:rFonts w:ascii="宋体" w:hAnsi="宋体" w:cs="宋体"/>
        </w:rPr>
        <w:t>5</w:t>
      </w:r>
      <w:r>
        <w:rPr>
          <w:rStyle w:val="26"/>
          <w:rFonts w:hint="eastAsia" w:ascii="宋体" w:hAnsi="宋体" w:cs="宋体"/>
        </w:rPr>
        <w:t>）</w:t>
      </w:r>
      <w:r>
        <w:rPr>
          <w:rStyle w:val="26"/>
          <w:rFonts w:hint="eastAsia" w:ascii="宋体" w:hAnsi="宋体" w:cs="宋体"/>
          <w:lang w:val="zh-CN"/>
        </w:rPr>
        <w:t>投标人诚信承诺书</w:t>
      </w:r>
      <w:r>
        <w:tab/>
      </w:r>
      <w:r>
        <w:fldChar w:fldCharType="begin"/>
      </w:r>
      <w:r>
        <w:instrText xml:space="preserve"> PAGEREF _Toc519260390 \h </w:instrText>
      </w:r>
      <w:r>
        <w:fldChar w:fldCharType="separate"/>
      </w:r>
      <w:r>
        <w:t>41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"_Toc519260391" </w:instrText>
      </w:r>
      <w:r>
        <w:fldChar w:fldCharType="separate"/>
      </w:r>
      <w:r>
        <w:rPr>
          <w:rStyle w:val="26"/>
          <w:rFonts w:hint="eastAsia" w:ascii="宋体" w:hAnsi="宋体" w:cs="宋体"/>
        </w:rPr>
        <w:t>（</w:t>
      </w:r>
      <w:r>
        <w:rPr>
          <w:rStyle w:val="26"/>
          <w:rFonts w:ascii="宋体" w:hAnsi="宋体" w:cs="宋体"/>
        </w:rPr>
        <w:t>6</w:t>
      </w:r>
      <w:r>
        <w:rPr>
          <w:rStyle w:val="26"/>
          <w:rFonts w:hint="eastAsia" w:ascii="宋体" w:hAnsi="宋体" w:cs="宋体"/>
        </w:rPr>
        <w:t>）</w:t>
      </w:r>
      <w:r>
        <w:rPr>
          <w:rStyle w:val="26"/>
          <w:rFonts w:hint="eastAsia" w:ascii="宋体" w:hAnsi="宋体" w:cs="宋体"/>
          <w:lang w:val="zh-CN"/>
        </w:rPr>
        <w:t>资格证明材料</w:t>
      </w:r>
      <w:r>
        <w:tab/>
      </w:r>
      <w:r>
        <w:fldChar w:fldCharType="begin"/>
      </w:r>
      <w:r>
        <w:instrText xml:space="preserve"> PAGEREF _Toc519260391 \h </w:instrText>
      </w:r>
      <w:r>
        <w:fldChar w:fldCharType="separate"/>
      </w:r>
      <w:r>
        <w:t>42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"_Toc519260392" </w:instrText>
      </w:r>
      <w:r>
        <w:fldChar w:fldCharType="separate"/>
      </w:r>
      <w:r>
        <w:rPr>
          <w:rStyle w:val="26"/>
          <w:rFonts w:hint="eastAsia" w:ascii="宋体" w:hAnsi="宋体" w:cs="宋体"/>
        </w:rPr>
        <w:t>（</w:t>
      </w:r>
      <w:r>
        <w:rPr>
          <w:rStyle w:val="26"/>
          <w:rFonts w:ascii="宋体" w:hAnsi="宋体" w:cs="宋体"/>
        </w:rPr>
        <w:t>7</w:t>
      </w:r>
      <w:r>
        <w:rPr>
          <w:rStyle w:val="26"/>
          <w:rFonts w:hint="eastAsia" w:ascii="宋体" w:hAnsi="宋体" w:cs="宋体"/>
        </w:rPr>
        <w:t>）</w:t>
      </w:r>
      <w:r>
        <w:rPr>
          <w:rStyle w:val="26"/>
          <w:rFonts w:hint="eastAsia" w:ascii="宋体" w:hAnsi="宋体" w:cs="宋体"/>
          <w:lang w:val="zh-CN"/>
        </w:rPr>
        <w:t>财务状况报告，依法缴纳税收和社会保障资金的相关材料</w:t>
      </w:r>
      <w:r>
        <w:tab/>
      </w:r>
      <w:r>
        <w:fldChar w:fldCharType="begin"/>
      </w:r>
      <w:r>
        <w:instrText xml:space="preserve"> PAGEREF _Toc519260392 \h </w:instrText>
      </w:r>
      <w:r>
        <w:fldChar w:fldCharType="separate"/>
      </w:r>
      <w:r>
        <w:t>43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"_Toc519260393" </w:instrText>
      </w:r>
      <w:r>
        <w:fldChar w:fldCharType="separate"/>
      </w:r>
      <w:r>
        <w:rPr>
          <w:rStyle w:val="26"/>
          <w:rFonts w:hint="eastAsia" w:ascii="宋体" w:hAnsi="宋体" w:cs="宋体"/>
        </w:rPr>
        <w:t>（</w:t>
      </w:r>
      <w:r>
        <w:rPr>
          <w:rStyle w:val="26"/>
          <w:rFonts w:ascii="宋体" w:hAnsi="宋体" w:cs="宋体"/>
        </w:rPr>
        <w:t>8</w:t>
      </w:r>
      <w:r>
        <w:rPr>
          <w:rStyle w:val="26"/>
          <w:rFonts w:hint="eastAsia" w:ascii="宋体" w:hAnsi="宋体" w:cs="宋体"/>
        </w:rPr>
        <w:t>）</w:t>
      </w:r>
      <w:r>
        <w:rPr>
          <w:rStyle w:val="26"/>
          <w:rFonts w:hint="eastAsia" w:ascii="宋体" w:hAnsi="宋体" w:cs="宋体"/>
          <w:lang w:val="zh-CN"/>
        </w:rPr>
        <w:t>具备履行合同所必需的设备和专业技术能力的证明材料</w:t>
      </w:r>
      <w:r>
        <w:tab/>
      </w:r>
      <w:r>
        <w:fldChar w:fldCharType="begin"/>
      </w:r>
      <w:r>
        <w:instrText xml:space="preserve"> PAGEREF _Toc519260393 \h </w:instrText>
      </w:r>
      <w:r>
        <w:fldChar w:fldCharType="separate"/>
      </w:r>
      <w:r>
        <w:t>44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"_Toc519260394" </w:instrText>
      </w:r>
      <w:r>
        <w:fldChar w:fldCharType="separate"/>
      </w:r>
      <w:r>
        <w:rPr>
          <w:rStyle w:val="26"/>
          <w:rFonts w:hint="eastAsia" w:ascii="宋体" w:hAnsi="宋体" w:cs="宋体"/>
        </w:rPr>
        <w:t>（</w:t>
      </w:r>
      <w:r>
        <w:rPr>
          <w:rStyle w:val="26"/>
          <w:rFonts w:ascii="宋体" w:hAnsi="宋体" w:cs="宋体"/>
        </w:rPr>
        <w:t>9</w:t>
      </w:r>
      <w:r>
        <w:rPr>
          <w:rStyle w:val="26"/>
          <w:rFonts w:hint="eastAsia" w:ascii="宋体" w:hAnsi="宋体" w:cs="宋体"/>
        </w:rPr>
        <w:t>）</w:t>
      </w:r>
      <w:r>
        <w:rPr>
          <w:rStyle w:val="26"/>
          <w:rFonts w:hint="eastAsia" w:ascii="宋体" w:hAnsi="宋体" w:cs="宋体"/>
          <w:lang w:val="zh-CN"/>
        </w:rPr>
        <w:t>无重大违法记录声明</w:t>
      </w:r>
      <w:r>
        <w:tab/>
      </w:r>
      <w:r>
        <w:fldChar w:fldCharType="begin"/>
      </w:r>
      <w:r>
        <w:instrText xml:space="preserve"> PAGEREF _Toc519260394 \h </w:instrText>
      </w:r>
      <w:r>
        <w:fldChar w:fldCharType="separate"/>
      </w:r>
      <w:r>
        <w:t>45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"_Toc519260395" </w:instrText>
      </w:r>
      <w:r>
        <w:fldChar w:fldCharType="separate"/>
      </w:r>
      <w:r>
        <w:rPr>
          <w:rStyle w:val="26"/>
          <w:rFonts w:hint="eastAsia" w:ascii="宋体" w:hAnsi="宋体" w:cs="宋体"/>
        </w:rPr>
        <w:t>（</w:t>
      </w:r>
      <w:r>
        <w:rPr>
          <w:rStyle w:val="26"/>
          <w:rFonts w:ascii="宋体" w:hAnsi="宋体" w:cs="宋体"/>
        </w:rPr>
        <w:t>10</w:t>
      </w:r>
      <w:r>
        <w:rPr>
          <w:rStyle w:val="26"/>
          <w:rFonts w:hint="eastAsia" w:ascii="宋体" w:hAnsi="宋体" w:cs="宋体"/>
        </w:rPr>
        <w:t>）</w:t>
      </w:r>
      <w:r>
        <w:rPr>
          <w:rStyle w:val="26"/>
          <w:rFonts w:hint="eastAsia" w:ascii="宋体" w:hAnsi="宋体" w:cs="宋体"/>
          <w:lang w:val="zh-CN"/>
        </w:rPr>
        <w:t>投标保证金证明</w:t>
      </w:r>
      <w:r>
        <w:tab/>
      </w:r>
      <w:r>
        <w:fldChar w:fldCharType="begin"/>
      </w:r>
      <w:r>
        <w:instrText xml:space="preserve"> PAGEREF _Toc519260395 \h </w:instrText>
      </w:r>
      <w:r>
        <w:fldChar w:fldCharType="separate"/>
      </w:r>
      <w:r>
        <w:t>46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"_Toc519260396" </w:instrText>
      </w:r>
      <w:r>
        <w:fldChar w:fldCharType="separate"/>
      </w:r>
      <w:r>
        <w:rPr>
          <w:rStyle w:val="26"/>
          <w:rFonts w:hint="eastAsia" w:ascii="宋体" w:hAnsi="宋体" w:cs="宋体"/>
          <w:lang w:val="zh-CN"/>
        </w:rPr>
        <w:t>目录（下册）</w:t>
      </w:r>
      <w:r>
        <w:tab/>
      </w:r>
      <w:r>
        <w:fldChar w:fldCharType="begin"/>
      </w:r>
      <w:r>
        <w:instrText xml:space="preserve"> PAGEREF _Toc519260396 \h </w:instrText>
      </w:r>
      <w:r>
        <w:fldChar w:fldCharType="separate"/>
      </w:r>
      <w:r>
        <w:t>48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"_Toc519260397" </w:instrText>
      </w:r>
      <w:r>
        <w:fldChar w:fldCharType="separate"/>
      </w:r>
      <w:r>
        <w:rPr>
          <w:rStyle w:val="26"/>
          <w:rFonts w:hint="eastAsia" w:ascii="宋体" w:hAnsi="宋体" w:cs="宋体"/>
        </w:rPr>
        <w:t>（</w:t>
      </w:r>
      <w:r>
        <w:rPr>
          <w:rStyle w:val="26"/>
          <w:rFonts w:ascii="宋体" w:hAnsi="宋体" w:cs="宋体"/>
        </w:rPr>
        <w:t>11</w:t>
      </w:r>
      <w:r>
        <w:rPr>
          <w:rStyle w:val="26"/>
          <w:rFonts w:hint="eastAsia" w:ascii="宋体" w:hAnsi="宋体" w:cs="宋体"/>
        </w:rPr>
        <w:t>）</w:t>
      </w:r>
      <w:r>
        <w:rPr>
          <w:rStyle w:val="26"/>
          <w:rFonts w:hint="eastAsia" w:ascii="宋体" w:hAnsi="宋体" w:cs="宋体"/>
          <w:lang w:val="zh-CN"/>
        </w:rPr>
        <w:t>评分对照表</w:t>
      </w:r>
      <w:r>
        <w:tab/>
      </w:r>
      <w:r>
        <w:fldChar w:fldCharType="begin"/>
      </w:r>
      <w:r>
        <w:instrText xml:space="preserve"> PAGEREF _Toc519260397 \h </w:instrText>
      </w:r>
      <w:r>
        <w:fldChar w:fldCharType="separate"/>
      </w:r>
      <w:r>
        <w:t>49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"_Toc519260398" </w:instrText>
      </w:r>
      <w:r>
        <w:fldChar w:fldCharType="separate"/>
      </w:r>
      <w:r>
        <w:rPr>
          <w:rStyle w:val="26"/>
          <w:rFonts w:hint="eastAsia" w:ascii="宋体" w:hAnsi="宋体" w:cs="宋体"/>
        </w:rPr>
        <w:t>（</w:t>
      </w:r>
      <w:r>
        <w:rPr>
          <w:rStyle w:val="26"/>
          <w:rFonts w:ascii="宋体" w:hAnsi="宋体" w:cs="宋体"/>
        </w:rPr>
        <w:t>12</w:t>
      </w:r>
      <w:r>
        <w:rPr>
          <w:rStyle w:val="26"/>
          <w:rFonts w:hint="eastAsia" w:ascii="宋体" w:hAnsi="宋体" w:cs="宋体"/>
        </w:rPr>
        <w:t>）</w:t>
      </w:r>
      <w:r>
        <w:rPr>
          <w:rStyle w:val="26"/>
          <w:rFonts w:hint="eastAsia" w:ascii="宋体" w:hAnsi="宋体" w:cs="宋体"/>
          <w:lang w:val="zh-CN"/>
        </w:rPr>
        <w:t>开标一览表（报价表）</w:t>
      </w:r>
      <w:r>
        <w:tab/>
      </w:r>
      <w:r>
        <w:fldChar w:fldCharType="begin"/>
      </w:r>
      <w:r>
        <w:instrText xml:space="preserve"> PAGEREF _Toc519260398 \h </w:instrText>
      </w:r>
      <w:r>
        <w:fldChar w:fldCharType="separate"/>
      </w:r>
      <w:r>
        <w:t>50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"_Toc519260399" </w:instrText>
      </w:r>
      <w:r>
        <w:fldChar w:fldCharType="separate"/>
      </w:r>
      <w:r>
        <w:rPr>
          <w:rStyle w:val="26"/>
          <w:rFonts w:hint="eastAsia" w:ascii="宋体" w:hAnsi="宋体" w:cs="宋体"/>
        </w:rPr>
        <w:t>（</w:t>
      </w:r>
      <w:r>
        <w:rPr>
          <w:rStyle w:val="26"/>
          <w:rFonts w:ascii="宋体" w:hAnsi="宋体" w:cs="宋体"/>
        </w:rPr>
        <w:t>13</w:t>
      </w:r>
      <w:r>
        <w:rPr>
          <w:rStyle w:val="26"/>
          <w:rFonts w:hint="eastAsia" w:ascii="宋体" w:hAnsi="宋体" w:cs="宋体"/>
        </w:rPr>
        <w:t>）</w:t>
      </w:r>
      <w:r>
        <w:rPr>
          <w:rStyle w:val="26"/>
          <w:rFonts w:hint="eastAsia" w:ascii="宋体" w:hAnsi="宋体" w:cs="宋体"/>
          <w:lang w:val="zh-CN"/>
        </w:rPr>
        <w:t>分项报价表</w:t>
      </w:r>
      <w:r>
        <w:tab/>
      </w:r>
      <w:r>
        <w:fldChar w:fldCharType="begin"/>
      </w:r>
      <w:r>
        <w:instrText xml:space="preserve"> PAGEREF _Toc519260399 \h </w:instrText>
      </w:r>
      <w:r>
        <w:fldChar w:fldCharType="separate"/>
      </w:r>
      <w:r>
        <w:t>51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"_Toc519260400" </w:instrText>
      </w:r>
      <w:r>
        <w:fldChar w:fldCharType="separate"/>
      </w:r>
      <w:r>
        <w:rPr>
          <w:rStyle w:val="26"/>
          <w:rFonts w:hint="eastAsia" w:ascii="宋体" w:hAnsi="宋体" w:cs="宋体"/>
        </w:rPr>
        <w:t>（</w:t>
      </w:r>
      <w:r>
        <w:rPr>
          <w:rStyle w:val="26"/>
          <w:rFonts w:ascii="宋体" w:hAnsi="宋体" w:cs="宋体"/>
        </w:rPr>
        <w:t>14</w:t>
      </w:r>
      <w:r>
        <w:rPr>
          <w:rStyle w:val="26"/>
          <w:rFonts w:hint="eastAsia" w:ascii="宋体" w:hAnsi="宋体" w:cs="宋体"/>
        </w:rPr>
        <w:t>）</w:t>
      </w:r>
      <w:r>
        <w:rPr>
          <w:rStyle w:val="26"/>
          <w:rFonts w:hint="eastAsia" w:ascii="宋体" w:hAnsi="宋体" w:cs="宋体"/>
          <w:lang w:val="zh-CN"/>
        </w:rPr>
        <w:t>技术规格响应表</w:t>
      </w:r>
      <w:r>
        <w:tab/>
      </w:r>
      <w:r>
        <w:fldChar w:fldCharType="begin"/>
      </w:r>
      <w:r>
        <w:instrText xml:space="preserve"> PAGEREF _Toc519260400 \h </w:instrText>
      </w:r>
      <w:r>
        <w:fldChar w:fldCharType="separate"/>
      </w:r>
      <w:r>
        <w:t>52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"_Toc519260401" </w:instrText>
      </w:r>
      <w:r>
        <w:fldChar w:fldCharType="separate"/>
      </w:r>
      <w:r>
        <w:rPr>
          <w:rStyle w:val="26"/>
          <w:rFonts w:hint="eastAsia" w:ascii="宋体" w:hAnsi="宋体" w:cs="宋体"/>
        </w:rPr>
        <w:t>（</w:t>
      </w:r>
      <w:r>
        <w:rPr>
          <w:rStyle w:val="26"/>
          <w:rFonts w:ascii="宋体" w:hAnsi="宋体" w:cs="宋体"/>
        </w:rPr>
        <w:t>15</w:t>
      </w:r>
      <w:r>
        <w:rPr>
          <w:rStyle w:val="26"/>
          <w:rFonts w:hint="eastAsia" w:ascii="宋体" w:hAnsi="宋体" w:cs="宋体"/>
        </w:rPr>
        <w:t>）</w:t>
      </w:r>
      <w:r>
        <w:rPr>
          <w:rStyle w:val="26"/>
          <w:rFonts w:hint="eastAsia" w:ascii="宋体" w:hAnsi="宋体" w:cs="宋体"/>
          <w:lang w:val="zh-CN"/>
        </w:rPr>
        <w:t>投标产品相关资料</w:t>
      </w:r>
      <w:r>
        <w:tab/>
      </w:r>
      <w:r>
        <w:fldChar w:fldCharType="begin"/>
      </w:r>
      <w:r>
        <w:instrText xml:space="preserve"> PAGEREF _Toc519260401 \h </w:instrText>
      </w:r>
      <w:r>
        <w:fldChar w:fldCharType="separate"/>
      </w:r>
      <w:r>
        <w:t>53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"_Toc519260402" </w:instrText>
      </w:r>
      <w:r>
        <w:fldChar w:fldCharType="separate"/>
      </w:r>
      <w:r>
        <w:rPr>
          <w:rStyle w:val="26"/>
          <w:rFonts w:hint="eastAsia" w:ascii="宋体" w:hAnsi="宋体" w:cs="宋体"/>
        </w:rPr>
        <w:t>（</w:t>
      </w:r>
      <w:r>
        <w:rPr>
          <w:rStyle w:val="26"/>
          <w:rFonts w:ascii="宋体" w:hAnsi="宋体" w:cs="宋体"/>
        </w:rPr>
        <w:t>16</w:t>
      </w:r>
      <w:r>
        <w:rPr>
          <w:rStyle w:val="26"/>
          <w:rFonts w:hint="eastAsia" w:ascii="宋体" w:hAnsi="宋体" w:cs="宋体"/>
        </w:rPr>
        <w:t>）</w:t>
      </w:r>
      <w:r>
        <w:rPr>
          <w:rStyle w:val="26"/>
          <w:rFonts w:hint="eastAsia" w:ascii="宋体" w:hAnsi="宋体" w:cs="宋体"/>
          <w:lang w:val="zh-CN"/>
        </w:rPr>
        <w:t>投标人的类似业绩证明材料</w:t>
      </w:r>
      <w:r>
        <w:tab/>
      </w:r>
      <w:r>
        <w:fldChar w:fldCharType="begin"/>
      </w:r>
      <w:r>
        <w:instrText xml:space="preserve"> PAGEREF _Toc519260402 \h </w:instrText>
      </w:r>
      <w:r>
        <w:fldChar w:fldCharType="separate"/>
      </w:r>
      <w:r>
        <w:t>54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"_Toc519260403" </w:instrText>
      </w:r>
      <w:r>
        <w:fldChar w:fldCharType="separate"/>
      </w:r>
      <w:r>
        <w:rPr>
          <w:rStyle w:val="26"/>
          <w:rFonts w:hint="eastAsia" w:ascii="宋体" w:hAnsi="宋体" w:cs="宋体"/>
        </w:rPr>
        <w:t>（</w:t>
      </w:r>
      <w:r>
        <w:rPr>
          <w:rStyle w:val="26"/>
          <w:rFonts w:ascii="宋体" w:hAnsi="宋体" w:cs="宋体"/>
        </w:rPr>
        <w:t>17.1</w:t>
      </w:r>
      <w:r>
        <w:rPr>
          <w:rStyle w:val="26"/>
          <w:rFonts w:hint="eastAsia" w:ascii="宋体" w:hAnsi="宋体" w:cs="宋体"/>
        </w:rPr>
        <w:t>）</w:t>
      </w:r>
      <w:r>
        <w:rPr>
          <w:rStyle w:val="26"/>
          <w:rFonts w:hint="eastAsia" w:ascii="宋体" w:hAnsi="宋体" w:cs="宋体"/>
          <w:lang w:val="zh-CN"/>
        </w:rPr>
        <w:t>制造（生产）企业小型、微型企业声明函</w:t>
      </w:r>
      <w:r>
        <w:tab/>
      </w:r>
      <w:r>
        <w:fldChar w:fldCharType="begin"/>
      </w:r>
      <w:r>
        <w:instrText xml:space="preserve"> PAGEREF _Toc519260403 \h </w:instrText>
      </w:r>
      <w:r>
        <w:fldChar w:fldCharType="separate"/>
      </w:r>
      <w:r>
        <w:t>55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"_Toc519260404" </w:instrText>
      </w:r>
      <w:r>
        <w:fldChar w:fldCharType="separate"/>
      </w:r>
      <w:r>
        <w:rPr>
          <w:rStyle w:val="26"/>
          <w:rFonts w:hint="eastAsia" w:ascii="宋体" w:hAnsi="宋体" w:cs="宋体"/>
        </w:rPr>
        <w:t>（</w:t>
      </w:r>
      <w:r>
        <w:rPr>
          <w:rStyle w:val="26"/>
          <w:rFonts w:ascii="宋体" w:hAnsi="宋体" w:cs="宋体"/>
        </w:rPr>
        <w:t>17.2</w:t>
      </w:r>
      <w:r>
        <w:rPr>
          <w:rStyle w:val="26"/>
          <w:rFonts w:hint="eastAsia" w:ascii="宋体" w:hAnsi="宋体" w:cs="宋体"/>
        </w:rPr>
        <w:t>）</w:t>
      </w:r>
      <w:r>
        <w:rPr>
          <w:rStyle w:val="26"/>
          <w:rFonts w:hint="eastAsia" w:ascii="宋体" w:hAnsi="宋体" w:cs="宋体"/>
          <w:lang w:val="zh-CN"/>
        </w:rPr>
        <w:t>从业人员声明函</w:t>
      </w:r>
      <w:r>
        <w:tab/>
      </w:r>
      <w:r>
        <w:fldChar w:fldCharType="begin"/>
      </w:r>
      <w:r>
        <w:instrText xml:space="preserve"> PAGEREF _Toc519260404 \h </w:instrText>
      </w:r>
      <w:r>
        <w:fldChar w:fldCharType="separate"/>
      </w:r>
      <w:r>
        <w:t>56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"_Toc519260405" </w:instrText>
      </w:r>
      <w:r>
        <w:fldChar w:fldCharType="separate"/>
      </w:r>
      <w:r>
        <w:rPr>
          <w:rStyle w:val="26"/>
          <w:rFonts w:hint="eastAsia" w:ascii="宋体" w:hAnsi="宋体" w:cs="宋体"/>
          <w:lang w:val="zh-CN"/>
        </w:rPr>
        <w:t>（</w:t>
      </w:r>
      <w:r>
        <w:rPr>
          <w:rStyle w:val="26"/>
          <w:rFonts w:ascii="宋体" w:hAnsi="宋体" w:cs="宋体"/>
        </w:rPr>
        <w:t>18</w:t>
      </w:r>
      <w:r>
        <w:rPr>
          <w:rStyle w:val="26"/>
          <w:rFonts w:hint="eastAsia" w:ascii="宋体" w:hAnsi="宋体" w:cs="宋体"/>
          <w:lang w:val="zh-CN"/>
        </w:rPr>
        <w:t>）残疾人</w:t>
      </w:r>
      <w:r>
        <w:rPr>
          <w:rStyle w:val="26"/>
          <w:rFonts w:hint="eastAsia" w:ascii="宋体" w:hAnsi="宋体" w:cs="宋体"/>
        </w:rPr>
        <w:t>福利性单位声明函</w:t>
      </w:r>
      <w:r>
        <w:tab/>
      </w:r>
      <w:r>
        <w:fldChar w:fldCharType="begin"/>
      </w:r>
      <w:r>
        <w:instrText xml:space="preserve"> PAGEREF _Toc519260405 \h </w:instrText>
      </w:r>
      <w:r>
        <w:fldChar w:fldCharType="separate"/>
      </w:r>
      <w:r>
        <w:t>57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"_Toc519260406" </w:instrText>
      </w:r>
      <w:r>
        <w:fldChar w:fldCharType="separate"/>
      </w:r>
      <w:r>
        <w:rPr>
          <w:rStyle w:val="26"/>
          <w:rFonts w:hint="eastAsia" w:ascii="宋体" w:hAnsi="宋体" w:cs="宋体"/>
        </w:rPr>
        <w:t>（</w:t>
      </w:r>
      <w:r>
        <w:rPr>
          <w:rStyle w:val="26"/>
          <w:rFonts w:ascii="宋体" w:hAnsi="宋体" w:cs="宋体"/>
        </w:rPr>
        <w:t>19</w:t>
      </w:r>
      <w:r>
        <w:rPr>
          <w:rStyle w:val="26"/>
          <w:rFonts w:hint="eastAsia" w:ascii="宋体" w:hAnsi="宋体" w:cs="宋体"/>
        </w:rPr>
        <w:t>）</w:t>
      </w:r>
      <w:r>
        <w:rPr>
          <w:rStyle w:val="26"/>
          <w:rFonts w:hint="eastAsia" w:ascii="宋体" w:hAnsi="宋体" w:cs="宋体"/>
          <w:lang w:val="zh-CN"/>
        </w:rPr>
        <w:t>投标人认为在其他方面有必要说明的事项</w:t>
      </w:r>
      <w:r>
        <w:tab/>
      </w:r>
      <w:r>
        <w:fldChar w:fldCharType="begin"/>
      </w:r>
      <w:r>
        <w:instrText xml:space="preserve"> PAGEREF _Toc519260406 \h </w:instrText>
      </w:r>
      <w:r>
        <w:fldChar w:fldCharType="separate"/>
      </w:r>
      <w:r>
        <w:t>58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"_Toc519260407" </w:instrText>
      </w:r>
      <w:r>
        <w:fldChar w:fldCharType="separate"/>
      </w:r>
      <w:r>
        <w:rPr>
          <w:rStyle w:val="26"/>
          <w:rFonts w:hint="eastAsia" w:ascii="宋体" w:hAnsi="宋体" w:cs="宋体"/>
          <w:lang w:val="zh-CN"/>
        </w:rPr>
        <w:t>第五部分</w:t>
      </w:r>
      <w:r>
        <w:rPr>
          <w:rStyle w:val="26"/>
          <w:rFonts w:ascii="宋体" w:hAnsi="宋体" w:cs="宋体"/>
          <w:lang w:val="zh-CN"/>
        </w:rPr>
        <w:t xml:space="preserve">  </w:t>
      </w:r>
      <w:r>
        <w:rPr>
          <w:rStyle w:val="26"/>
          <w:rFonts w:hint="eastAsia" w:ascii="宋体" w:hAnsi="宋体" w:cs="宋体"/>
          <w:lang w:val="zh-CN"/>
        </w:rPr>
        <w:t>采购项目要求及技术参数</w:t>
      </w:r>
      <w:r>
        <w:tab/>
      </w:r>
      <w:r>
        <w:fldChar w:fldCharType="begin"/>
      </w:r>
      <w:r>
        <w:instrText xml:space="preserve"> PAGEREF _Toc519260407 \h </w:instrText>
      </w:r>
      <w:r>
        <w:fldChar w:fldCharType="separate"/>
      </w:r>
      <w:r>
        <w:t>59</w:t>
      </w:r>
      <w:r>
        <w:fldChar w:fldCharType="end"/>
      </w:r>
      <w: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519260345"/>
      <w:r>
        <w:rPr>
          <w:rFonts w:hint="eastAsia" w:ascii="宋体" w:hAnsi="宋体" w:cs="宋体"/>
          <w:color w:val="000000"/>
          <w:szCs w:val="36"/>
          <w:lang w:val="zh-CN"/>
        </w:rPr>
        <w:t>第一部分  投标邀请</w:t>
      </w:r>
      <w:bookmarkEnd w:id="0"/>
    </w:p>
    <w:p>
      <w:pPr>
        <w:jc w:val="center"/>
        <w:rPr>
          <w:sz w:val="44"/>
        </w:rPr>
      </w:pPr>
      <w:r>
        <w:rPr>
          <w:rFonts w:hint="eastAsia"/>
          <w:sz w:val="44"/>
        </w:rPr>
        <w:t>公开招标公告</w:t>
      </w:r>
    </w:p>
    <w:p>
      <w:pPr>
        <w:rPr>
          <w:lang w:val="zh-CN"/>
        </w:rPr>
      </w:pPr>
    </w:p>
    <w:tbl>
      <w:tblPr>
        <w:tblStyle w:val="27"/>
        <w:tblW w:w="9657" w:type="dxa"/>
        <w:jc w:val="center"/>
        <w:tblInd w:w="0" w:type="dxa"/>
        <w:tblLayout w:type="fixed"/>
        <w:tblCellMar>
          <w:top w:w="0" w:type="dxa"/>
          <w:left w:w="108" w:type="dxa"/>
          <w:bottom w:w="0" w:type="dxa"/>
          <w:right w:w="108" w:type="dxa"/>
        </w:tblCellMar>
      </w:tblPr>
      <w:tblGrid>
        <w:gridCol w:w="2711"/>
        <w:gridCol w:w="6946"/>
      </w:tblGrid>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bookmarkStart w:id="1" w:name="OLE_LINK1"/>
            <w:r>
              <w:rPr>
                <w:rFonts w:hint="eastAsia" w:ascii="宋体" w:hAnsi="宋体" w:cs="宋体"/>
                <w:color w:val="000000"/>
                <w:kern w:val="0"/>
                <w:lang w:val="zh-CN"/>
              </w:rPr>
              <w:t>采购项目编号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olor w:val="000000"/>
                <w:spacing w:val="-2"/>
                <w:kern w:val="16"/>
              </w:rPr>
              <w:t>宁政采公招（货物）2019-</w:t>
            </w:r>
            <w:r>
              <w:rPr>
                <w:rFonts w:hint="eastAsia" w:ascii="宋体" w:hAnsi="宋体"/>
                <w:color w:val="000000"/>
                <w:spacing w:val="-2"/>
                <w:kern w:val="16"/>
                <w:lang w:val="en-US" w:eastAsia="zh-CN"/>
              </w:rPr>
              <w:t>178</w:t>
            </w:r>
            <w:r>
              <w:rPr>
                <w:rFonts w:hint="eastAsia" w:ascii="宋体" w:hAnsi="宋体"/>
                <w:color w:val="000000"/>
                <w:spacing w:val="-2"/>
                <w:kern w:val="16"/>
              </w:rPr>
              <w:t>号</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西宁市教育局局属电脑及多媒体教室建设项目</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lang w:val="zh-CN" w:eastAsia="zh-CN"/>
              </w:rPr>
            </w:pPr>
            <w:r>
              <w:rPr>
                <w:rFonts w:hint="eastAsia"/>
                <w:lang w:val="zh-CN" w:eastAsia="zh-CN"/>
              </w:rPr>
              <w:t>采购预算额度</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lang w:val="en-US" w:eastAsia="zh-CN"/>
              </w:rPr>
            </w:pPr>
            <w:r>
              <w:rPr>
                <w:rFonts w:hint="eastAsia" w:ascii="宋体" w:hAnsi="宋体" w:cs="宋体"/>
                <w:color w:val="000000"/>
                <w:kern w:val="0"/>
                <w:lang w:val="en-US" w:eastAsia="zh-CN"/>
              </w:rPr>
              <w:t>1350.1655万元整</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en-US" w:eastAsia="zh-CN"/>
              </w:rPr>
              <w:t>1350.1655万元整</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1</w:t>
            </w:r>
          </w:p>
        </w:tc>
      </w:tr>
      <w:tr>
        <w:tblPrEx>
          <w:tblLayout w:type="fixed"/>
          <w:tblCellMar>
            <w:top w:w="0" w:type="dxa"/>
            <w:left w:w="108" w:type="dxa"/>
            <w:bottom w:w="0" w:type="dxa"/>
            <w:right w:w="108" w:type="dxa"/>
          </w:tblCellMar>
        </w:tblPrEx>
        <w:trPr>
          <w:trHeight w:val="90"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numPr>
                <w:ilvl w:val="0"/>
                <w:numId w:val="4"/>
              </w:numPr>
              <w:autoSpaceDE w:val="0"/>
              <w:autoSpaceDN w:val="0"/>
              <w:spacing w:line="360" w:lineRule="auto"/>
              <w:rPr>
                <w:rFonts w:hint="eastAsia" w:ascii="宋体" w:hAnsi="宋体" w:cs="宋体"/>
                <w:b/>
                <w:color w:val="000000"/>
                <w:kern w:val="0"/>
              </w:rPr>
            </w:pPr>
            <w:r>
              <w:rPr>
                <w:rFonts w:hint="eastAsia" w:ascii="宋体" w:hAnsi="宋体" w:cs="宋体"/>
                <w:b/>
                <w:kern w:val="0"/>
              </w:rPr>
              <w:t>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w:t>
            </w:r>
            <w:r>
              <w:rPr>
                <w:rFonts w:hint="eastAsia" w:ascii="宋体" w:hAnsi="宋体" w:cs="宋体"/>
                <w:b/>
                <w:color w:val="000000"/>
                <w:kern w:val="0"/>
              </w:rPr>
              <w:t>投标截止时间前20天内</w:t>
            </w:r>
            <w:r>
              <w:rPr>
                <w:rFonts w:hint="eastAsia" w:ascii="宋体" w:hAnsi="宋体" w:cs="宋体"/>
                <w:b/>
                <w:kern w:val="0"/>
              </w:rPr>
              <w:t>）</w:t>
            </w:r>
            <w:r>
              <w:rPr>
                <w:rFonts w:hint="eastAsia" w:ascii="宋体" w:hAnsi="宋体" w:cs="宋体"/>
                <w:b/>
                <w:color w:val="000000"/>
                <w:kern w:val="0"/>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、本项目不接受联合体方式进行投标；</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lang w:val="zh-CN"/>
              </w:rPr>
              <w:t>、 满足招标文件的其他资质条件：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12</w:t>
            </w:r>
            <w:r>
              <w:rPr>
                <w:rFonts w:hint="eastAsia" w:ascii="宋体" w:hAnsi="宋体" w:cs="宋体"/>
                <w:color w:val="000000"/>
                <w:kern w:val="0"/>
                <w:lang w:val="zh-CN"/>
              </w:rPr>
              <w:t>月</w:t>
            </w:r>
            <w:r>
              <w:rPr>
                <w:rFonts w:hint="eastAsia" w:ascii="宋体" w:hAnsi="宋体" w:cs="宋体"/>
                <w:color w:val="000000"/>
                <w:kern w:val="0"/>
                <w:lang w:val="en-US" w:eastAsia="zh-CN"/>
              </w:rPr>
              <w:t>4</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12</w:t>
            </w:r>
            <w:r>
              <w:rPr>
                <w:rFonts w:hint="eastAsia" w:ascii="宋体" w:hAnsi="宋体" w:cs="宋体"/>
                <w:color w:val="000000"/>
                <w:kern w:val="0"/>
                <w:lang w:val="zh-CN"/>
              </w:rPr>
              <w:t>月</w:t>
            </w:r>
            <w:r>
              <w:rPr>
                <w:rFonts w:hint="eastAsia" w:ascii="宋体" w:hAnsi="宋体" w:cs="宋体"/>
                <w:color w:val="000000"/>
                <w:kern w:val="0"/>
                <w:lang w:val="en-US" w:eastAsia="zh-CN"/>
              </w:rPr>
              <w:t>5</w:t>
            </w:r>
            <w:r>
              <w:rPr>
                <w:rFonts w:hint="eastAsia" w:ascii="宋体" w:hAnsi="宋体" w:cs="宋体"/>
                <w:color w:val="000000"/>
                <w:kern w:val="0"/>
                <w:lang w:val="zh-CN"/>
              </w:rPr>
              <w:t>日至</w:t>
            </w:r>
            <w:r>
              <w:rPr>
                <w:rFonts w:hint="eastAsia" w:ascii="宋体" w:hAnsi="宋体" w:cs="宋体"/>
                <w:color w:val="000000"/>
                <w:kern w:val="0"/>
                <w:lang w:val="en-US" w:eastAsia="zh-CN"/>
              </w:rPr>
              <w:t>12</w:t>
            </w:r>
            <w:r>
              <w:rPr>
                <w:rFonts w:hint="eastAsia" w:ascii="宋体" w:hAnsi="宋体" w:cs="宋体"/>
                <w:color w:val="000000"/>
                <w:kern w:val="0"/>
                <w:lang w:val="zh-CN"/>
              </w:rPr>
              <w:t>月</w:t>
            </w:r>
            <w:r>
              <w:rPr>
                <w:rFonts w:hint="eastAsia" w:ascii="宋体" w:hAnsi="宋体" w:cs="宋体"/>
                <w:color w:val="000000"/>
                <w:kern w:val="0"/>
                <w:lang w:val="en-US" w:eastAsia="zh-CN"/>
              </w:rPr>
              <w:t>11</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-1</w:t>
            </w:r>
            <w:r>
              <w:rPr>
                <w:rFonts w:hint="eastAsia" w:ascii="宋体" w:hAnsi="宋体" w:cs="宋体"/>
                <w:color w:val="000000"/>
                <w:kern w:val="0"/>
                <w:lang w:val="en-US" w:eastAsia="zh-CN"/>
              </w:rPr>
              <w:t>1</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0,下午2:30-</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lang w:val="en-US" w:eastAsia="zh-CN"/>
              </w:rPr>
              <w:t>00</w:t>
            </w:r>
            <w:r>
              <w:rPr>
                <w:rFonts w:hint="eastAsia" w:ascii="宋体" w:hAnsi="宋体" w:cs="宋体"/>
                <w:color w:val="000000"/>
                <w:kern w:val="0"/>
                <w:lang w:val="zh-CN"/>
              </w:rPr>
              <w:t>（午休、节假日除外）</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Tahoma"/>
                <w:kern w:val="0"/>
              </w:rPr>
              <w:t>现场报名。《</w:t>
            </w:r>
            <w:r>
              <w:rPr>
                <w:rFonts w:hint="eastAsia"/>
                <w:kern w:val="0"/>
              </w:rPr>
              <w:t>青海政府采购网</w:t>
            </w:r>
            <w:r>
              <w:rPr>
                <w:rFonts w:hint="eastAsia" w:ascii="宋体" w:hAnsi="宋体" w:cs="Tahoma"/>
                <w:kern w:val="0"/>
              </w:rPr>
              <w:t>》</w:t>
            </w:r>
            <w:r>
              <w:rPr>
                <w:rFonts w:hint="eastAsia"/>
                <w:kern w:val="0"/>
              </w:rPr>
              <w:t>自行下载招标文件。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宋体"/>
                <w:color w:val="000000"/>
                <w:kern w:val="0"/>
                <w:lang w:val="zh-CN"/>
              </w:rPr>
              <w:t>0.00</w:t>
            </w:r>
          </w:p>
        </w:tc>
      </w:tr>
      <w:tr>
        <w:tblPrEx>
          <w:tblLayout w:type="fixed"/>
          <w:tblCellMar>
            <w:top w:w="0" w:type="dxa"/>
            <w:left w:w="108" w:type="dxa"/>
            <w:bottom w:w="0" w:type="dxa"/>
            <w:right w:w="108" w:type="dxa"/>
          </w:tblCellMar>
        </w:tblPrEx>
        <w:trPr>
          <w:trHeight w:val="989"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hint="eastAsia" w:ascii="宋体" w:hAnsi="宋体" w:eastAsia="宋体"/>
                <w:lang w:eastAsia="zh-CN"/>
              </w:rPr>
            </w:pPr>
            <w:r>
              <w:rPr>
                <w:rFonts w:hint="eastAsia" w:ascii="宋体" w:hAnsi="宋体"/>
                <w:lang w:eastAsia="zh-CN"/>
              </w:rPr>
              <w:t>西宁市政府采购中心（</w:t>
            </w:r>
            <w:r>
              <w:rPr>
                <w:rFonts w:hint="eastAsia" w:ascii="宋体" w:hAnsi="宋体"/>
              </w:rPr>
              <w:t>西宁市市民中心四楼政府采购部</w:t>
            </w:r>
            <w:r>
              <w:rPr>
                <w:rFonts w:hint="eastAsia" w:ascii="宋体" w:hAnsi="宋体"/>
                <w:lang w:eastAsia="zh-CN"/>
              </w:rPr>
              <w:t>办公室）</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Tahoma"/>
                <w:kern w:val="0"/>
              </w:rPr>
              <w:t>单位介绍信、营业执照</w:t>
            </w:r>
            <w:r>
              <w:rPr>
                <w:rFonts w:hint="eastAsia" w:ascii="宋体" w:hAnsi="宋体" w:cs="Tahoma"/>
                <w:b/>
                <w:kern w:val="0"/>
              </w:rPr>
              <w:t>复印件（复印件需加盖单位公章）。</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12</w:t>
            </w:r>
            <w:r>
              <w:rPr>
                <w:rFonts w:hint="eastAsia" w:ascii="宋体" w:hAnsi="宋体" w:cs="宋体"/>
                <w:color w:val="000000"/>
                <w:kern w:val="0"/>
                <w:lang w:val="zh-CN"/>
              </w:rPr>
              <w:t>月</w:t>
            </w:r>
            <w:r>
              <w:rPr>
                <w:rFonts w:hint="eastAsia" w:ascii="宋体" w:hAnsi="宋体" w:cs="宋体"/>
                <w:color w:val="000000"/>
                <w:kern w:val="0"/>
                <w:lang w:val="en-US" w:eastAsia="zh-CN"/>
              </w:rPr>
              <w:t>26</w:t>
            </w:r>
            <w:r>
              <w:rPr>
                <w:rFonts w:hint="eastAsia" w:ascii="宋体" w:hAnsi="宋体" w:cs="宋体"/>
                <w:color w:val="000000"/>
                <w:kern w:val="0"/>
                <w:lang w:val="zh-CN"/>
              </w:rPr>
              <w:t>日9时30分（北京时间）</w:t>
            </w:r>
          </w:p>
        </w:tc>
      </w:tr>
      <w:tr>
        <w:tblPrEx>
          <w:tblLayout w:type="fixed"/>
          <w:tblCellMar>
            <w:top w:w="0" w:type="dxa"/>
            <w:left w:w="108" w:type="dxa"/>
            <w:bottom w:w="0" w:type="dxa"/>
            <w:right w:w="108" w:type="dxa"/>
          </w:tblCellMar>
        </w:tblPrEx>
        <w:trPr>
          <w:trHeight w:val="301"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kern w:val="0"/>
                <w:szCs w:val="21"/>
              </w:rPr>
              <w:t>西宁市市民中心</w:t>
            </w:r>
            <w:r>
              <w:rPr>
                <w:rFonts w:hint="eastAsia" w:ascii="宋体" w:hAnsi="宋体" w:cs="宋体"/>
                <w:kern w:val="0"/>
                <w:szCs w:val="21"/>
                <w:lang w:eastAsia="zh-CN"/>
              </w:rPr>
              <w:t>四楼</w:t>
            </w:r>
            <w:r>
              <w:rPr>
                <w:rFonts w:hint="eastAsia" w:ascii="宋体" w:hAnsi="宋体" w:cs="宋体"/>
                <w:kern w:val="0"/>
                <w:szCs w:val="21"/>
              </w:rPr>
              <w:t>西宁市公共资源交易中心</w:t>
            </w:r>
            <w:r>
              <w:rPr>
                <w:rFonts w:hint="eastAsia" w:ascii="宋体" w:hAnsi="宋体" w:cs="宋体"/>
                <w:kern w:val="0"/>
                <w:szCs w:val="21"/>
                <w:lang w:val="en-US" w:eastAsia="zh-CN"/>
              </w:rPr>
              <w:t>8号</w:t>
            </w:r>
            <w:r>
              <w:rPr>
                <w:rFonts w:hint="eastAsia" w:ascii="宋体" w:hAnsi="宋体" w:cs="宋体"/>
                <w:kern w:val="0"/>
                <w:szCs w:val="21"/>
              </w:rPr>
              <w:t>开标室，南川西路沈家寨省团校对面</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联系人：高老师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联系电话：0971-</w:t>
            </w:r>
            <w:r>
              <w:rPr>
                <w:rFonts w:hint="eastAsia" w:ascii="宋体" w:hAnsi="宋体" w:cs="宋体"/>
                <w:color w:val="000000"/>
                <w:kern w:val="0"/>
                <w:lang w:val="en-US" w:eastAsia="zh-CN"/>
              </w:rPr>
              <w:t>4393022</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集中</w:t>
            </w:r>
            <w:r>
              <w:rPr>
                <w:rFonts w:ascii="宋体" w:hAnsi="宋体" w:cs="宋体"/>
                <w:kern w:val="0"/>
              </w:rPr>
              <w:t>采购机构及联系人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szCs w:val="21"/>
              </w:rPr>
              <w:t>联系人：</w:t>
            </w:r>
            <w:r>
              <w:rPr>
                <w:rFonts w:hint="eastAsia" w:ascii="宋体" w:hAnsi="宋体" w:cs="宋体"/>
                <w:kern w:val="0"/>
                <w:szCs w:val="21"/>
                <w:lang w:eastAsia="zh-CN"/>
              </w:rPr>
              <w:t>尚女士</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联系电话：0971-7661369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西宁农商银行海西路支行</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Cambria" w:cs="宋体"/>
                <w:kern w:val="0"/>
                <w:szCs w:val="21"/>
                <w:lang w:val="zh-CN"/>
              </w:rPr>
              <w:t>82010000000267563</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投标保证金必须以投标申请人的单位基本账户转账，不接收现金。投标人在投标截止期前缴纳投标保证金</w:t>
            </w:r>
            <w:r>
              <w:rPr>
                <w:rFonts w:hint="eastAsia" w:ascii="宋体" w:hAnsi="宋体" w:cs="宋体"/>
                <w:b/>
                <w:kern w:val="0"/>
                <w:szCs w:val="21"/>
                <w:lang w:eastAsia="zh-CN"/>
              </w:rPr>
              <w:t>贰拾伍万元整</w:t>
            </w:r>
            <w:r>
              <w:rPr>
                <w:rFonts w:hint="eastAsia" w:ascii="仿宋" w:hAnsi="仿宋" w:eastAsia="仿宋"/>
                <w:szCs w:val="21"/>
              </w:rPr>
              <w:t>。</w:t>
            </w:r>
            <w:r>
              <w:rPr>
                <w:rFonts w:hint="eastAsia" w:ascii="宋体" w:hAnsi="宋体"/>
                <w:szCs w:val="21"/>
              </w:rPr>
              <w:t>资格后审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西宁市财政局   </w:t>
            </w:r>
            <w:r>
              <w:rPr>
                <w:rFonts w:hint="eastAsia" w:ascii="宋体" w:hAnsi="宋体" w:cs="宋体"/>
                <w:color w:val="000000"/>
                <w:kern w:val="0"/>
              </w:rPr>
              <w:t xml:space="preserve">   </w:t>
            </w:r>
            <w:r>
              <w:rPr>
                <w:rFonts w:hint="eastAsia" w:ascii="宋体" w:hAnsi="宋体" w:cs="宋体"/>
                <w:color w:val="000000"/>
                <w:kern w:val="0"/>
                <w:lang w:val="zh-CN"/>
              </w:rPr>
              <w:t>联系电话：0971-6304026</w:t>
            </w:r>
          </w:p>
        </w:tc>
      </w:tr>
      <w:bookmarkEnd w:id="1"/>
    </w:tbl>
    <w:p>
      <w:pPr>
        <w:pStyle w:val="21"/>
        <w:spacing w:before="0" w:after="0" w:line="360" w:lineRule="auto"/>
        <w:rPr>
          <w:rFonts w:ascii="宋体" w:hAnsi="宋体" w:cs="宋体"/>
          <w:color w:val="000000"/>
          <w:szCs w:val="36"/>
        </w:rPr>
      </w:pPr>
      <w:bookmarkStart w:id="2" w:name="_Toc428180535"/>
      <w:r>
        <w:rPr>
          <w:rFonts w:hint="eastAsia" w:ascii="宋体" w:hAnsi="宋体" w:cs="宋体"/>
          <w:color w:val="000000"/>
          <w:lang w:val="zh-CN"/>
        </w:rPr>
        <w:t xml:space="preserve"> </w:t>
      </w:r>
      <w:r>
        <w:rPr>
          <w:rFonts w:hint="eastAsia" w:ascii="宋体" w:hAnsi="宋体" w:cs="宋体"/>
          <w:color w:val="000000"/>
          <w:lang w:val="zh-CN"/>
        </w:rPr>
        <w:br w:type="page"/>
      </w:r>
      <w:bookmarkEnd w:id="2"/>
      <w:bookmarkStart w:id="3" w:name="_Toc519260346"/>
      <w:r>
        <w:rPr>
          <w:rFonts w:hint="eastAsia" w:ascii="宋体" w:hAnsi="宋体" w:cs="宋体"/>
          <w:color w:val="000000"/>
          <w:szCs w:val="36"/>
          <w:lang w:val="zh-CN"/>
        </w:rPr>
        <w:t>第二部分  投标人须知</w:t>
      </w:r>
      <w:bookmarkEnd w:id="3"/>
    </w:p>
    <w:p>
      <w:pPr>
        <w:pStyle w:val="21"/>
        <w:spacing w:before="0" w:after="0" w:line="360" w:lineRule="auto"/>
        <w:rPr>
          <w:rFonts w:ascii="宋体" w:hAnsi="宋体" w:cs="宋体"/>
          <w:color w:val="000000"/>
        </w:rPr>
      </w:pPr>
      <w:bookmarkStart w:id="4" w:name="_Toc519260347"/>
      <w:r>
        <w:rPr>
          <w:rFonts w:hint="eastAsia" w:ascii="宋体" w:hAnsi="宋体" w:cs="宋体"/>
          <w:color w:val="000000"/>
          <w:lang w:val="zh-CN"/>
        </w:rPr>
        <w:t>一、说明</w:t>
      </w:r>
      <w:bookmarkEnd w:id="4"/>
    </w:p>
    <w:p>
      <w:pPr>
        <w:pStyle w:val="21"/>
        <w:spacing w:before="0" w:after="0" w:line="360" w:lineRule="auto"/>
        <w:jc w:val="left"/>
        <w:rPr>
          <w:rFonts w:ascii="宋体" w:hAnsi="宋体" w:cs="宋体"/>
          <w:color w:val="000000"/>
          <w:lang w:val="zh-CN"/>
        </w:rPr>
      </w:pPr>
      <w:bookmarkStart w:id="5" w:name="_Toc519260348"/>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1"/>
        <w:spacing w:before="0" w:after="0" w:line="360" w:lineRule="auto"/>
        <w:jc w:val="left"/>
        <w:rPr>
          <w:rFonts w:ascii="宋体" w:hAnsi="宋体" w:cs="宋体"/>
          <w:color w:val="000000"/>
          <w:lang w:val="zh-CN"/>
        </w:rPr>
      </w:pPr>
      <w:bookmarkStart w:id="6" w:name="_Toc519260349"/>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1"/>
        <w:spacing w:before="0" w:after="0" w:line="360" w:lineRule="auto"/>
        <w:jc w:val="left"/>
        <w:rPr>
          <w:rFonts w:ascii="宋体" w:hAnsi="宋体" w:cs="宋体"/>
          <w:color w:val="000000"/>
          <w:lang w:val="zh-CN"/>
        </w:rPr>
      </w:pPr>
      <w:bookmarkStart w:id="7" w:name="_Toc51926035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1"/>
        <w:spacing w:before="0" w:after="0" w:line="360" w:lineRule="auto"/>
        <w:rPr>
          <w:rFonts w:ascii="宋体" w:hAnsi="宋体" w:cs="宋体"/>
          <w:color w:val="000000"/>
        </w:rPr>
      </w:pPr>
      <w:bookmarkStart w:id="8" w:name="_Toc519260351"/>
      <w:r>
        <w:rPr>
          <w:rFonts w:hint="eastAsia" w:ascii="宋体" w:hAnsi="宋体" w:cs="宋体"/>
          <w:color w:val="000000"/>
          <w:lang w:val="zh-CN"/>
        </w:rPr>
        <w:t>二、招标文件说明</w:t>
      </w:r>
      <w:bookmarkEnd w:id="8"/>
    </w:p>
    <w:p>
      <w:pPr>
        <w:pStyle w:val="21"/>
        <w:spacing w:before="0" w:after="0" w:line="360" w:lineRule="auto"/>
        <w:jc w:val="left"/>
        <w:rPr>
          <w:rFonts w:ascii="宋体" w:hAnsi="宋体" w:cs="宋体"/>
          <w:color w:val="000000"/>
          <w:lang w:val="zh-CN"/>
        </w:rPr>
      </w:pPr>
      <w:bookmarkStart w:id="9" w:name="_Toc519260352"/>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）西宁市政府采购项目合同书范本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hAnsi="宋体" w:cs="宋体"/>
          <w:color w:val="000000"/>
          <w:sz w:val="28"/>
          <w:szCs w:val="28"/>
          <w:lang w:val="zh-CN"/>
        </w:rPr>
      </w:pPr>
      <w:bookmarkStart w:id="10" w:name="_Toc51926035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西宁市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采购人或集采中心</w:t>
      </w:r>
      <w:r>
        <w:rPr>
          <w:rFonts w:hint="eastAsia" w:ascii="宋体" w:hAnsi="宋体" w:cs="宋体"/>
          <w:color w:val="000000"/>
          <w:kern w:val="0"/>
          <w:lang w:val="zh-CN"/>
        </w:rPr>
        <w:t>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西宁市政府采购中心应按照规定填写《西宁市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1"/>
        <w:spacing w:before="0" w:after="0" w:line="360" w:lineRule="auto"/>
        <w:jc w:val="left"/>
        <w:rPr>
          <w:rFonts w:ascii="宋体" w:hAnsi="宋体" w:cs="宋体"/>
          <w:color w:val="000000"/>
          <w:lang w:val="zh-CN"/>
        </w:rPr>
      </w:pPr>
      <w:bookmarkStart w:id="11" w:name="_Toc51926035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集采中心可以对已发出的招标文件进行必要的澄清或者修改，但不得改变采购标的和资格条件。澄清或者修改应当在原公告发布媒体上发布澄清公告。澄清或者修改的内容为招标文件的组成部分。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澄清或者修改的内容可能影响投标文件编制的，集采中心应当在投标截止时间至少15日前，以书面形式通知所有获取招标文件的潜在投标人，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；不足15日的，集采中心应当顺延提交投标文件的截止时间。</w:t>
      </w:r>
    </w:p>
    <w:p>
      <w:pPr>
        <w:pStyle w:val="21"/>
        <w:spacing w:before="0" w:after="0" w:line="360" w:lineRule="auto"/>
        <w:rPr>
          <w:rFonts w:ascii="宋体" w:hAnsi="宋体" w:cs="宋体"/>
          <w:color w:val="000000"/>
        </w:rPr>
      </w:pPr>
      <w:bookmarkStart w:id="12" w:name="_Toc519260355"/>
      <w:r>
        <w:rPr>
          <w:rFonts w:hint="eastAsia" w:ascii="宋体" w:hAnsi="宋体" w:cs="宋体"/>
          <w:color w:val="000000"/>
          <w:lang w:val="zh-CN"/>
        </w:rPr>
        <w:t>三、投标文件的编制</w:t>
      </w:r>
      <w:bookmarkEnd w:id="12"/>
    </w:p>
    <w:p>
      <w:pPr>
        <w:pStyle w:val="21"/>
        <w:spacing w:before="0" w:after="0" w:line="360" w:lineRule="auto"/>
        <w:jc w:val="left"/>
        <w:rPr>
          <w:rFonts w:ascii="宋体" w:hAnsi="宋体" w:cs="宋体"/>
          <w:color w:val="000000"/>
          <w:lang w:val="zh-CN"/>
        </w:rPr>
      </w:pPr>
      <w:bookmarkStart w:id="13" w:name="_Toc519260356"/>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投标人提交的投标文件以及投标人与集采中心就此投标发生的所有来往函电均应使用简体中文。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hAnsi="宋体" w:cs="宋体"/>
          <w:color w:val="000000"/>
          <w:lang w:val="zh-CN"/>
        </w:rPr>
      </w:pPr>
      <w:bookmarkStart w:id="14" w:name="_Toc51926035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1"/>
        <w:spacing w:before="0" w:after="0" w:line="360" w:lineRule="auto"/>
        <w:jc w:val="left"/>
        <w:rPr>
          <w:rFonts w:ascii="宋体" w:hAnsi="宋体" w:cs="宋体"/>
          <w:color w:val="000000"/>
          <w:lang w:val="zh-CN"/>
        </w:rPr>
      </w:pPr>
      <w:bookmarkStart w:id="15" w:name="_Toc519260358"/>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rPr>
          <w:rFonts w:hint="default" w:eastAsia="宋体"/>
          <w:lang w:val="en-US" w:eastAsia="zh-CN"/>
        </w:rPr>
      </w:pPr>
      <w:r>
        <w:rPr>
          <w:rFonts w:hint="eastAsia" w:ascii="宋体" w:hAnsi="宋体" w:cs="宋体"/>
          <w:color w:val="000000"/>
          <w:kern w:val="0"/>
          <w:lang w:val="en-US" w:eastAsia="zh-CN"/>
        </w:rPr>
        <w:t xml:space="preserve">    </w:t>
      </w:r>
      <w:r>
        <w:rPr>
          <w:rFonts w:hint="eastAsia" w:ascii="宋体" w:hAnsi="宋体" w:cs="宋体"/>
          <w:color w:val="000000"/>
          <w:kern w:val="0"/>
          <w:lang w:val="zh-CN"/>
        </w:rPr>
        <w:t>投标保证金：</w:t>
      </w:r>
      <w:r>
        <w:rPr>
          <w:rFonts w:hint="eastAsia" w:ascii="宋体" w:hAnsi="宋体" w:cs="宋体"/>
          <w:color w:val="000000"/>
          <w:kern w:val="0"/>
          <w:lang w:val="en-US" w:eastAsia="zh-CN"/>
        </w:rPr>
        <w:t>250000.00</w:t>
      </w:r>
      <w:r>
        <w:rPr>
          <w:rFonts w:hint="eastAsia" w:ascii="宋体" w:hAnsi="宋体" w:cs="宋体"/>
          <w:color w:val="000000"/>
          <w:kern w:val="0"/>
          <w:lang w:val="zh-CN"/>
        </w:rPr>
        <w:t>元整（大写：贰拾伍万元整）；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缴费方式：投标保证金应当以银行转账、汇票、本票或者金融机构、担保机构出具的保函等非现金形式提交。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投标保证金退还：投标人在投标截止时间前撤回已提交的投标文件的，集采中心应当自收到投标人书面撤回通知之日起５个工作日内，退还已收取的投标保证金，但因投标人自身原因导致无法及时退还的除外。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投标有效期内投标人撤销投标文件的，集采中心可以不退还投标保证金。</w:t>
      </w:r>
    </w:p>
    <w:p>
      <w:pPr>
        <w:pStyle w:val="21"/>
        <w:spacing w:before="0" w:after="0" w:line="360" w:lineRule="auto"/>
        <w:jc w:val="left"/>
        <w:rPr>
          <w:rFonts w:ascii="宋体" w:hAnsi="宋体" w:cs="宋体"/>
          <w:color w:val="000000"/>
          <w:lang w:val="zh-CN"/>
        </w:rPr>
      </w:pPr>
      <w:bookmarkStart w:id="16" w:name="_Toc519260359"/>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1"/>
        <w:spacing w:before="0" w:after="0" w:line="360" w:lineRule="auto"/>
        <w:jc w:val="left"/>
        <w:rPr>
          <w:rFonts w:ascii="宋体" w:hAnsi="宋体" w:cs="宋体"/>
          <w:color w:val="000000"/>
          <w:lang w:val="zh-CN"/>
        </w:rPr>
      </w:pPr>
      <w:bookmarkStart w:id="17" w:name="_Toc519260360"/>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hAnsi="宋体" w:cs="宋体"/>
          <w:color w:val="000000"/>
          <w:lang w:val="zh-CN"/>
        </w:rPr>
      </w:pPr>
      <w:bookmarkStart w:id="18" w:name="_Toc519260361"/>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2" w:firstLineChars="200"/>
        <w:rPr>
          <w:rFonts w:ascii="宋体" w:hAnsi="宋体" w:cs="宋体"/>
          <w:b/>
          <w:color w:val="000000"/>
          <w:kern w:val="0"/>
          <w:lang w:val="zh-CN"/>
        </w:rPr>
      </w:pPr>
      <w:r>
        <w:rPr>
          <w:rFonts w:hint="eastAsia" w:ascii="宋体" w:hAnsi="宋体" w:cs="宋体"/>
          <w:b/>
          <w:color w:val="000000"/>
          <w:kern w:val="0"/>
          <w:lang w:val="zh-CN"/>
        </w:rPr>
        <w:t>12.2</w:t>
      </w:r>
      <w:r>
        <w:rPr>
          <w:rFonts w:hint="eastAsia" w:ascii="宋体" w:hAnsi="宋体" w:cs="宋体"/>
          <w:b/>
          <w:color w:val="000000"/>
          <w:kern w:val="0"/>
        </w:rPr>
        <w:t xml:space="preserve"> </w:t>
      </w:r>
      <w:r>
        <w:rPr>
          <w:rFonts w:hint="eastAsia" w:ascii="宋体" w:hAnsi="宋体" w:cs="宋体"/>
          <w:b/>
          <w:color w:val="000000"/>
          <w:kern w:val="0"/>
          <w:lang w:val="zh-CN"/>
        </w:rPr>
        <w:t>投标人应准备纸质投标文件正本1份</w:t>
      </w:r>
      <w:r>
        <w:rPr>
          <w:rFonts w:hint="eastAsia" w:ascii="宋体" w:hAnsi="宋体" w:cs="宋体"/>
          <w:b/>
          <w:color w:val="000000"/>
          <w:kern w:val="0"/>
        </w:rPr>
        <w:t>(上、下册)</w:t>
      </w:r>
      <w:r>
        <w:rPr>
          <w:rFonts w:hint="eastAsia" w:ascii="宋体" w:hAnsi="宋体" w:cs="宋体"/>
          <w:b/>
          <w:color w:val="000000"/>
          <w:kern w:val="0"/>
          <w:lang w:val="zh-CN"/>
        </w:rPr>
        <w:t>、副本</w:t>
      </w:r>
      <w:r>
        <w:rPr>
          <w:rFonts w:hint="eastAsia" w:ascii="宋体" w:hAnsi="宋体" w:cs="宋体"/>
          <w:b/>
          <w:color w:val="000000"/>
          <w:kern w:val="0"/>
          <w:u w:val="dashDotHeavy"/>
          <w:lang w:val="zh-CN"/>
        </w:rPr>
        <w:t>1</w:t>
      </w:r>
      <w:r>
        <w:rPr>
          <w:rFonts w:hint="eastAsia" w:ascii="宋体" w:hAnsi="宋体" w:cs="宋体"/>
          <w:b/>
          <w:color w:val="000000"/>
          <w:kern w:val="0"/>
          <w:lang w:val="zh-CN"/>
        </w:rPr>
        <w:t>份</w:t>
      </w:r>
      <w:r>
        <w:rPr>
          <w:rFonts w:hint="eastAsia" w:ascii="宋体" w:hAnsi="宋体" w:cs="宋体"/>
          <w:b/>
          <w:color w:val="000000"/>
          <w:kern w:val="0"/>
        </w:rPr>
        <w:t>(上、下册)</w:t>
      </w:r>
      <w:r>
        <w:rPr>
          <w:rFonts w:hint="eastAsia" w:ascii="宋体" w:hAnsi="宋体" w:cs="宋体"/>
          <w:b/>
          <w:color w:val="000000"/>
          <w:kern w:val="0"/>
          <w:lang w:val="zh-CN"/>
        </w:rPr>
        <w:t>，</w:t>
      </w:r>
      <w:r>
        <w:rPr>
          <w:rFonts w:hint="eastAsia" w:hAnsi="宋体"/>
          <w:b/>
          <w:sz w:val="24"/>
          <w:szCs w:val="24"/>
          <w:lang w:eastAsia="zh-CN"/>
        </w:rPr>
        <w:t>PDF格式</w:t>
      </w:r>
      <w:r>
        <w:rPr>
          <w:rFonts w:hint="eastAsia" w:hAnsi="宋体" w:cs="宋体"/>
          <w:b/>
          <w:sz w:val="24"/>
          <w:szCs w:val="24"/>
        </w:rPr>
        <w:t>电子版</w:t>
      </w:r>
      <w:r>
        <w:rPr>
          <w:rFonts w:hint="eastAsia" w:ascii="宋体" w:hAnsi="宋体" w:cs="宋体"/>
          <w:b/>
          <w:color w:val="000000"/>
          <w:kern w:val="0"/>
          <w:lang w:val="zh-CN"/>
        </w:rPr>
        <w:t>（光盘或U盘）投标文件1份</w:t>
      </w:r>
      <w:r>
        <w:rPr>
          <w:rFonts w:hint="eastAsia" w:ascii="宋体" w:hAnsi="宋体" w:cs="宋体"/>
          <w:b/>
          <w:color w:val="000000"/>
          <w:kern w:val="0"/>
        </w:rPr>
        <w:t>(上、下册)</w:t>
      </w:r>
      <w:r>
        <w:rPr>
          <w:rFonts w:hint="eastAsia" w:ascii="宋体" w:hAnsi="宋体" w:cs="宋体"/>
          <w:b/>
          <w:color w:val="000000"/>
          <w:kern w:val="0"/>
          <w:lang w:val="zh-CN"/>
        </w:rPr>
        <w:t>。若发生正本和副本不符，以正本为准。投标文件统一使用A4幅面的纸张印制，必须胶装成</w:t>
      </w:r>
      <w:r>
        <w:rPr>
          <w:rFonts w:hint="eastAsia" w:ascii="宋体" w:hAnsi="宋体" w:cs="宋体"/>
          <w:b/>
          <w:color w:val="000000"/>
          <w:kern w:val="0"/>
        </w:rPr>
        <w:t>上、下两</w:t>
      </w:r>
      <w:r>
        <w:rPr>
          <w:rFonts w:hint="eastAsia" w:ascii="宋体" w:hAnsi="宋体" w:cs="宋体"/>
          <w:b/>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用光盘或U盘制作，采用不可修改文档格式（如：PDF格式），内容应当与纸质投标文件正本</w:t>
      </w:r>
      <w:r>
        <w:rPr>
          <w:rFonts w:hint="eastAsia" w:ascii="宋体" w:hAnsi="宋体" w:cs="宋体"/>
          <w:color w:val="000000"/>
          <w:kern w:val="0"/>
        </w:rPr>
        <w:t>(上、下册)</w:t>
      </w:r>
      <w:r>
        <w:rPr>
          <w:rFonts w:hint="eastAsia" w:ascii="宋体" w:hAnsi="宋体" w:cs="宋体"/>
          <w:color w:val="000000"/>
          <w:kern w:val="0"/>
          <w:lang w:val="zh-CN"/>
        </w:rPr>
        <w:t>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1"/>
        <w:spacing w:before="0" w:after="0" w:line="360" w:lineRule="auto"/>
        <w:rPr>
          <w:rFonts w:ascii="宋体" w:hAnsi="宋体" w:cs="宋体"/>
          <w:color w:val="000000"/>
        </w:rPr>
      </w:pPr>
      <w:bookmarkStart w:id="19" w:name="_Toc519260362"/>
      <w:r>
        <w:rPr>
          <w:rFonts w:hint="eastAsia" w:ascii="宋体" w:hAnsi="宋体" w:cs="宋体"/>
          <w:color w:val="000000"/>
          <w:lang w:val="zh-CN"/>
        </w:rPr>
        <w:t>四、投标文件的提交</w:t>
      </w:r>
      <w:bookmarkEnd w:id="19"/>
    </w:p>
    <w:p>
      <w:pPr>
        <w:pStyle w:val="21"/>
        <w:spacing w:before="0" w:after="0" w:line="360" w:lineRule="auto"/>
        <w:jc w:val="left"/>
        <w:rPr>
          <w:rFonts w:ascii="宋体" w:hAnsi="宋体" w:cs="宋体"/>
          <w:color w:val="000000"/>
          <w:lang w:val="zh-CN"/>
        </w:rPr>
      </w:pPr>
      <w:bookmarkStart w:id="20" w:name="_Toc51926036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密封后的投标文件密封袋用“于2019年X月XX日XX时XX分（北京时间）之前不准启封”的标签密封。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1"/>
        <w:spacing w:before="0" w:after="0" w:line="360" w:lineRule="auto"/>
        <w:jc w:val="left"/>
        <w:rPr>
          <w:rFonts w:ascii="宋体" w:hAnsi="宋体" w:cs="宋体"/>
          <w:color w:val="000000"/>
          <w:lang w:val="zh-CN"/>
        </w:rPr>
      </w:pPr>
      <w:bookmarkStart w:id="21" w:name="_Toc519260364"/>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集采中心收到投标文件后，应当如实记载投标文件的送达时间和密封情况，签收保存，并向投标人出具签收回执。任何单位和个人不得在开标前开启投标文件。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1"/>
        <w:spacing w:before="0" w:after="0" w:line="360" w:lineRule="auto"/>
        <w:jc w:val="left"/>
        <w:rPr>
          <w:rFonts w:ascii="宋体" w:hAnsi="宋体" w:cs="宋体"/>
          <w:color w:val="000000"/>
          <w:lang w:val="zh-CN"/>
        </w:rPr>
      </w:pPr>
      <w:bookmarkStart w:id="22" w:name="_Toc519260365"/>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投标人在投标截止时间前，可以对所递交的投标文件进行补充、修改或者撤回，并书面通知西宁市政府采购中心。补充、修改的内容应当按照招标文件要求签署、盖章、密封后，作为投标文件的组成部分。</w:t>
      </w:r>
    </w:p>
    <w:p>
      <w:pPr>
        <w:pStyle w:val="21"/>
        <w:spacing w:before="0" w:after="0" w:line="360" w:lineRule="auto"/>
        <w:rPr>
          <w:rFonts w:ascii="宋体" w:hAnsi="宋体" w:cs="宋体"/>
          <w:color w:val="000000"/>
          <w:highlight w:val="green"/>
        </w:rPr>
      </w:pPr>
      <w:bookmarkStart w:id="23" w:name="_Toc519260366"/>
      <w:r>
        <w:rPr>
          <w:rFonts w:hint="eastAsia" w:ascii="宋体" w:hAnsi="宋体" w:cs="宋体"/>
          <w:color w:val="000000"/>
          <w:lang w:val="zh-CN"/>
        </w:rPr>
        <w:t>五、开标</w:t>
      </w:r>
      <w:bookmarkEnd w:id="23"/>
    </w:p>
    <w:p>
      <w:pPr>
        <w:pStyle w:val="21"/>
        <w:spacing w:before="0" w:after="0" w:line="360" w:lineRule="auto"/>
        <w:jc w:val="left"/>
        <w:rPr>
          <w:rFonts w:ascii="宋体" w:hAnsi="宋体" w:cs="宋体"/>
          <w:color w:val="000000"/>
          <w:lang w:val="zh-CN"/>
        </w:rPr>
      </w:pPr>
      <w:bookmarkStart w:id="24" w:name="_Toc51926036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开标应当在招标文件确定的提交投标文件截止时间的同一时间进行。西宁市政府采购中心应当按本文件中确定的时间和地点组织开标活动。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集采中心</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集采中心</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lang w:val="zh-CN"/>
        </w:rPr>
        <w:t>集采中心</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1"/>
        <w:spacing w:before="0" w:after="0" w:line="360" w:lineRule="auto"/>
        <w:rPr>
          <w:rFonts w:ascii="宋体" w:hAnsi="宋体" w:cs="宋体"/>
          <w:color w:val="000000"/>
          <w:kern w:val="0"/>
        </w:rPr>
      </w:pPr>
      <w:bookmarkStart w:id="25" w:name="_Toc519260368"/>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1"/>
        <w:spacing w:before="0" w:after="0" w:line="360" w:lineRule="auto"/>
        <w:jc w:val="left"/>
        <w:rPr>
          <w:rFonts w:ascii="宋体" w:hAnsi="宋体" w:cs="宋体"/>
          <w:color w:val="000000"/>
          <w:sz w:val="28"/>
          <w:szCs w:val="28"/>
        </w:rPr>
      </w:pPr>
      <w:bookmarkStart w:id="27" w:name="_Toc519260369"/>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30809"/>
      <w:bookmarkStart w:id="29" w:name="_Toc497503249"/>
      <w:bookmarkStart w:id="30" w:name="_Toc497503315"/>
      <w:bookmarkStart w:id="31" w:name="_Toc497503449"/>
      <w:bookmarkStart w:id="32" w:name="_Toc497503516"/>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6"/>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6"/>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6"/>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6"/>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6"/>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6"/>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6"/>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1"/>
        <w:spacing w:before="0" w:after="0" w:line="360" w:lineRule="auto"/>
        <w:rPr>
          <w:rFonts w:ascii="宋体" w:hAnsi="宋体" w:cs="宋体"/>
          <w:color w:val="000000"/>
        </w:rPr>
      </w:pPr>
      <w:bookmarkStart w:id="33" w:name="_Toc519260370"/>
      <w:r>
        <w:rPr>
          <w:rFonts w:hint="eastAsia" w:ascii="宋体" w:hAnsi="宋体" w:cs="宋体"/>
          <w:color w:val="000000"/>
          <w:lang w:val="zh-CN"/>
        </w:rPr>
        <w:t>七、评审程序及方法</w:t>
      </w:r>
      <w:bookmarkEnd w:id="33"/>
    </w:p>
    <w:p>
      <w:pPr>
        <w:pStyle w:val="21"/>
        <w:spacing w:before="0" w:after="0" w:line="360" w:lineRule="auto"/>
        <w:jc w:val="left"/>
        <w:rPr>
          <w:rFonts w:ascii="宋体" w:hAnsi="宋体" w:cs="宋体"/>
          <w:color w:val="000000"/>
          <w:lang w:val="zh-CN"/>
        </w:rPr>
      </w:pPr>
      <w:bookmarkStart w:id="34" w:name="_Toc51926037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西宁市政府采购中心负责组织评标工作，并履行下列职责：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现采购文件内容违反国家有关强制性规定或者采购文件存在歧义、重大缺陷导致评审工作无法进行时,应当停止评审并向西宁市政府采购中心书面说明情况</w:t>
      </w:r>
      <w:r>
        <w:rPr>
          <w:rFonts w:hint="eastAsia" w:ascii="宋体" w:hAnsi="宋体" w:cs="宋体"/>
          <w:color w:val="000000"/>
          <w:kern w:val="0"/>
          <w:lang w:val="zh-CN"/>
        </w:rPr>
        <w:t>；</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7"/>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集采中心</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西宁市政府采购中心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w:t>
      </w:r>
      <w:r>
        <w:rPr>
          <w:rFonts w:hint="eastAsia" w:ascii="宋体" w:hAnsi="宋体" w:cs="宋体"/>
          <w:color w:val="000000"/>
          <w:kern w:val="0"/>
        </w:rPr>
        <w:t>应当将变更、重新组建评标委员会的情况予以记录，并随采购文件一并存档。</w:t>
      </w:r>
    </w:p>
    <w:p>
      <w:pPr>
        <w:pStyle w:val="21"/>
        <w:spacing w:before="0" w:after="0" w:line="360" w:lineRule="auto"/>
        <w:jc w:val="left"/>
        <w:rPr>
          <w:rFonts w:ascii="宋体" w:hAnsi="宋体" w:cs="宋体"/>
          <w:color w:val="000000"/>
          <w:lang w:val="zh-CN"/>
        </w:rPr>
      </w:pPr>
      <w:bookmarkStart w:id="35" w:name="_Toc51926037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pPr>
        <w:numPr>
          <w:ilvl w:val="0"/>
          <w:numId w:val="8"/>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服务时间不能满足招标文件要求的；</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8"/>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0" w:after="0" w:line="360" w:lineRule="auto"/>
        <w:jc w:val="left"/>
        <w:rPr>
          <w:rFonts w:ascii="宋体" w:hAnsi="宋体" w:cs="宋体"/>
          <w:color w:val="000000"/>
          <w:sz w:val="28"/>
          <w:szCs w:val="28"/>
          <w:lang w:val="zh-CN"/>
        </w:rPr>
      </w:pPr>
      <w:bookmarkStart w:id="36" w:name="_Toc519260373"/>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before="156" w:line="360" w:lineRule="auto"/>
        <w:ind w:firstLine="480"/>
        <w:rPr>
          <w:rFonts w:hint="eastAsia" w:ascii="宋体" w:hAnsi="宋体"/>
        </w:rPr>
      </w:pPr>
      <w:r>
        <w:rPr>
          <w:rFonts w:hint="eastAsia" w:ascii="宋体" w:hAnsi="宋体"/>
        </w:rPr>
        <w:t>具体项目及评分细则：</w:t>
      </w:r>
    </w:p>
    <w:tbl>
      <w:tblPr>
        <w:tblStyle w:val="27"/>
        <w:tblW w:w="97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185"/>
        <w:gridCol w:w="765"/>
        <w:gridCol w:w="6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类别</w:t>
            </w: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项目</w:t>
            </w:r>
          </w:p>
        </w:tc>
        <w:tc>
          <w:tcPr>
            <w:tcW w:w="76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投标报价</w:t>
            </w:r>
            <w:r>
              <w:rPr>
                <w:rFonts w:hint="eastAsia" w:ascii="宋体" w:hAnsi="宋体"/>
                <w:sz w:val="21"/>
                <w:szCs w:val="21"/>
                <w:lang w:val="en-US" w:eastAsia="zh-CN"/>
              </w:rPr>
              <w:t>30</w:t>
            </w:r>
            <w:r>
              <w:rPr>
                <w:rFonts w:hint="eastAsia" w:ascii="宋体" w:hAnsi="宋体"/>
                <w:sz w:val="21"/>
                <w:szCs w:val="21"/>
              </w:rPr>
              <w:t>分</w:t>
            </w: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报价分</w:t>
            </w:r>
          </w:p>
        </w:tc>
        <w:tc>
          <w:tcPr>
            <w:tcW w:w="76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w:t>
            </w:r>
            <w:r>
              <w:rPr>
                <w:rFonts w:hint="eastAsia" w:ascii="宋体" w:hAnsi="宋体"/>
                <w:sz w:val="21"/>
                <w:szCs w:val="21"/>
                <w:lang w:val="en-US" w:eastAsia="zh-CN"/>
              </w:rPr>
              <w:t>30</w:t>
            </w:r>
            <w:r>
              <w:rPr>
                <w:rFonts w:hint="eastAsia" w:ascii="宋体" w:hAnsi="宋体"/>
                <w:sz w:val="21"/>
                <w:szCs w:val="21"/>
              </w:rPr>
              <w:t>%）×100（四舍五入后保留小数点后两位）。</w:t>
            </w:r>
          </w:p>
          <w:p>
            <w:pPr>
              <w:ind w:firstLine="0" w:firstLineChars="0"/>
              <w:rPr>
                <w:rFonts w:hint="eastAsia" w:ascii="宋体" w:hAnsi="宋体"/>
                <w:color w:val="000000"/>
                <w:sz w:val="21"/>
                <w:szCs w:val="21"/>
              </w:rPr>
            </w:pPr>
            <w:r>
              <w:rPr>
                <w:rFonts w:hint="eastAsia" w:ascii="宋体" w:hAnsi="宋体"/>
                <w:sz w:val="21"/>
                <w:szCs w:val="21"/>
              </w:rPr>
              <w:t>注：根据《政府采购促进中小企业发展暂行办法》的相关规定，对小型和微型企业制造（生产）产品的价格给予6%的扣除，用扣除后的价格参与评审。（残疾人</w:t>
            </w:r>
            <w:r>
              <w:rPr>
                <w:rFonts w:hint="eastAsia" w:ascii="宋体" w:hAnsi="宋体"/>
                <w:sz w:val="21"/>
                <w:szCs w:val="21"/>
                <w:lang w:eastAsia="zh-CN"/>
              </w:rPr>
              <w:t>福利企业</w:t>
            </w:r>
            <w:r>
              <w:rPr>
                <w:rFonts w:hint="eastAsia" w:ascii="宋体" w:hAnsi="宋体"/>
                <w:sz w:val="21"/>
                <w:szCs w:val="21"/>
              </w:rPr>
              <w:t>与中小微企业不重复享受优惠政策）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010" w:type="dxa"/>
            <w:vMerge w:val="restart"/>
            <w:tcBorders>
              <w:top w:val="single" w:color="auto" w:sz="4" w:space="0"/>
              <w:left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技术质量方面</w:t>
            </w:r>
          </w:p>
          <w:p>
            <w:pPr>
              <w:ind w:firstLine="0" w:firstLineChars="0"/>
              <w:rPr>
                <w:rFonts w:hint="eastAsia" w:ascii="宋体" w:hAnsi="宋体"/>
                <w:color w:val="FF0000"/>
                <w:sz w:val="21"/>
                <w:szCs w:val="21"/>
                <w:u w:val="single"/>
              </w:rPr>
            </w:pPr>
            <w:r>
              <w:rPr>
                <w:rFonts w:hint="eastAsia" w:ascii="宋体" w:hAnsi="宋体"/>
                <w:sz w:val="21"/>
                <w:szCs w:val="21"/>
              </w:rPr>
              <w:t>4</w:t>
            </w:r>
            <w:r>
              <w:rPr>
                <w:rFonts w:hint="eastAsia" w:ascii="宋体" w:hAnsi="宋体"/>
                <w:sz w:val="21"/>
                <w:szCs w:val="21"/>
                <w:lang w:val="en-US" w:eastAsia="zh-CN"/>
              </w:rPr>
              <w:t>2</w:t>
            </w:r>
            <w:r>
              <w:rPr>
                <w:rFonts w:hint="eastAsia" w:ascii="宋体" w:hAnsi="宋体"/>
                <w:sz w:val="21"/>
                <w:szCs w:val="21"/>
              </w:rPr>
              <w:t>分</w:t>
            </w: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技术参数</w:t>
            </w:r>
          </w:p>
        </w:tc>
        <w:tc>
          <w:tcPr>
            <w:tcW w:w="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sz w:val="21"/>
                <w:szCs w:val="21"/>
              </w:rPr>
            </w:pPr>
            <w:r>
              <w:rPr>
                <w:rFonts w:hint="eastAsia" w:ascii="宋体" w:hAnsi="宋体"/>
                <w:sz w:val="21"/>
                <w:szCs w:val="21"/>
              </w:rPr>
              <w:t>35</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hAnsi="宋体"/>
                <w:color w:val="FF0000"/>
                <w:sz w:val="21"/>
                <w:szCs w:val="21"/>
                <w:u w:val="single"/>
              </w:rPr>
            </w:pPr>
            <w:r>
              <w:rPr>
                <w:rFonts w:hint="eastAsia" w:ascii="宋体" w:hAnsi="宋体"/>
                <w:sz w:val="21"/>
                <w:szCs w:val="21"/>
              </w:rPr>
              <w:t>投标产品技术参数和配置完全满足或高于招标文件要求的，得35分；每有一项负偏离扣3分；扣完为止。满分35分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jc w:val="center"/>
        </w:trPr>
        <w:tc>
          <w:tcPr>
            <w:tcW w:w="1010" w:type="dxa"/>
            <w:vMerge w:val="continue"/>
            <w:tcBorders>
              <w:left w:val="single" w:color="auto" w:sz="4" w:space="0"/>
              <w:right w:val="single" w:color="auto" w:sz="4" w:space="0"/>
            </w:tcBorders>
            <w:vAlign w:val="center"/>
          </w:tcPr>
          <w:p>
            <w:pPr>
              <w:ind w:firstLine="420"/>
              <w:jc w:val="center"/>
              <w:rPr>
                <w:rFonts w:ascii="宋体" w:hAnsi="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认证证书</w:t>
            </w:r>
          </w:p>
        </w:tc>
        <w:tc>
          <w:tcPr>
            <w:tcW w:w="765" w:type="dxa"/>
            <w:tcBorders>
              <w:top w:val="single" w:color="auto" w:sz="4" w:space="0"/>
              <w:left w:val="single" w:color="auto" w:sz="4" w:space="0"/>
              <w:bottom w:val="single" w:color="auto" w:sz="4" w:space="0"/>
              <w:right w:val="single" w:color="auto" w:sz="4" w:space="0"/>
            </w:tcBorders>
            <w:vAlign w:val="center"/>
          </w:tcPr>
          <w:p>
            <w:pPr>
              <w:ind w:firstLine="199" w:firstLineChars="95"/>
              <w:jc w:val="both"/>
              <w:rPr>
                <w:rFonts w:hint="eastAsia" w:ascii="宋体" w:hAnsi="宋体" w:eastAsia="宋体"/>
                <w:sz w:val="21"/>
                <w:szCs w:val="21"/>
                <w:lang w:eastAsia="zh-CN"/>
              </w:rPr>
            </w:pPr>
            <w:r>
              <w:rPr>
                <w:rFonts w:hint="eastAsia" w:ascii="宋体" w:hAnsi="宋体"/>
                <w:sz w:val="21"/>
                <w:szCs w:val="21"/>
                <w:lang w:val="en-US" w:eastAsia="zh-CN"/>
              </w:rPr>
              <w:t>7</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投标产品具有环保认证证书的，得</w:t>
            </w:r>
            <w:r>
              <w:rPr>
                <w:rFonts w:hint="eastAsia" w:ascii="宋体" w:hAnsi="宋体"/>
                <w:sz w:val="21"/>
                <w:szCs w:val="21"/>
                <w:lang w:val="en-US" w:eastAsia="zh-CN"/>
              </w:rPr>
              <w:t>2</w:t>
            </w:r>
            <w:r>
              <w:rPr>
                <w:rFonts w:hint="eastAsia" w:ascii="宋体" w:hAnsi="宋体"/>
                <w:sz w:val="21"/>
                <w:szCs w:val="21"/>
              </w:rPr>
              <w:t>分；具有节能认证证书的，得</w:t>
            </w:r>
            <w:r>
              <w:rPr>
                <w:rFonts w:hint="eastAsia" w:ascii="宋体" w:hAnsi="宋体"/>
                <w:sz w:val="21"/>
                <w:szCs w:val="21"/>
                <w:lang w:val="en-US" w:eastAsia="zh-CN"/>
              </w:rPr>
              <w:t>2</w:t>
            </w:r>
            <w:r>
              <w:rPr>
                <w:rFonts w:hint="eastAsia" w:ascii="宋体" w:hAnsi="宋体"/>
                <w:sz w:val="21"/>
                <w:szCs w:val="21"/>
              </w:rPr>
              <w:t>分；未提供不得分。（该项得分的认定以提供政府采购环保/节能清单所在页的扫描&lt;或复印&gt;件为准）</w:t>
            </w:r>
          </w:p>
          <w:p>
            <w:pPr>
              <w:ind w:firstLine="0" w:firstLineChars="0"/>
              <w:rPr>
                <w:rFonts w:ascii="宋体" w:hAnsi="宋体"/>
                <w:kern w:val="0"/>
                <w:sz w:val="21"/>
                <w:szCs w:val="21"/>
              </w:rPr>
            </w:pPr>
            <w:r>
              <w:rPr>
                <w:rFonts w:hint="eastAsia" w:ascii="宋体" w:hAnsi="宋体"/>
                <w:sz w:val="21"/>
                <w:szCs w:val="21"/>
              </w:rPr>
              <w:t>具有ISO9001质量管理体系认证证书，ISO 14001环境管理体系认证证书， GB/T28001-2011职业健康安全管理体系认证, 每提供1份得1分，最高得</w:t>
            </w:r>
            <w:r>
              <w:rPr>
                <w:rFonts w:hint="eastAsia" w:ascii="宋体" w:hAnsi="宋体"/>
                <w:sz w:val="21"/>
                <w:szCs w:val="21"/>
                <w:lang w:val="en-US" w:eastAsia="zh-CN"/>
              </w:rPr>
              <w:t>3</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1010" w:type="dxa"/>
            <w:vMerge w:val="continue"/>
            <w:tcBorders>
              <w:left w:val="single" w:color="auto" w:sz="4" w:space="0"/>
              <w:bottom w:val="single" w:color="auto" w:sz="4" w:space="0"/>
              <w:right w:val="single" w:color="auto" w:sz="4" w:space="0"/>
            </w:tcBorders>
            <w:vAlign w:val="center"/>
          </w:tcPr>
          <w:p>
            <w:pPr>
              <w:ind w:firstLine="420"/>
              <w:jc w:val="center"/>
              <w:rPr>
                <w:rFonts w:ascii="宋体" w:hAnsi="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自主创新产品</w:t>
            </w:r>
          </w:p>
        </w:tc>
        <w:tc>
          <w:tcPr>
            <w:tcW w:w="765" w:type="dxa"/>
            <w:tcBorders>
              <w:top w:val="single" w:color="auto" w:sz="4" w:space="0"/>
              <w:left w:val="single" w:color="auto" w:sz="4" w:space="0"/>
              <w:bottom w:val="single" w:color="auto" w:sz="4" w:space="0"/>
              <w:right w:val="single" w:color="auto" w:sz="4" w:space="0"/>
            </w:tcBorders>
            <w:vAlign w:val="center"/>
          </w:tcPr>
          <w:p>
            <w:pPr>
              <w:ind w:firstLine="199" w:firstLineChars="95"/>
              <w:jc w:val="both"/>
              <w:rPr>
                <w:rFonts w:hint="eastAsia" w:ascii="宋体" w:hAnsi="宋体" w:eastAsia="宋体"/>
                <w:sz w:val="21"/>
                <w:szCs w:val="21"/>
                <w:lang w:eastAsia="zh-CN"/>
              </w:rPr>
            </w:pPr>
            <w:r>
              <w:rPr>
                <w:rFonts w:hint="eastAsia" w:ascii="宋体" w:hAnsi="宋体"/>
                <w:sz w:val="21"/>
                <w:szCs w:val="21"/>
                <w:lang w:val="en-US" w:eastAsia="zh-CN"/>
              </w:rPr>
              <w:t>3</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投标产品属自主知识产权的，得</w:t>
            </w:r>
            <w:r>
              <w:rPr>
                <w:rFonts w:hint="eastAsia" w:ascii="宋体" w:hAnsi="宋体"/>
                <w:sz w:val="21"/>
                <w:szCs w:val="21"/>
                <w:lang w:val="en-US" w:eastAsia="zh-CN"/>
              </w:rPr>
              <w:t>3</w:t>
            </w:r>
            <w:r>
              <w:rPr>
                <w:rFonts w:hint="eastAsia" w:ascii="宋体" w:hAnsi="宋体"/>
                <w:sz w:val="21"/>
                <w:szCs w:val="21"/>
              </w:rPr>
              <w:t>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1010" w:type="dxa"/>
            <w:vMerge w:val="restart"/>
            <w:tcBorders>
              <w:top w:val="single" w:color="auto" w:sz="4" w:space="0"/>
              <w:left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销售及服务、类似业绩及对磋商文件的响应情况</w:t>
            </w:r>
            <w:r>
              <w:rPr>
                <w:rFonts w:hint="eastAsia" w:ascii="宋体" w:hAnsi="宋体"/>
                <w:sz w:val="21"/>
                <w:szCs w:val="21"/>
                <w:lang w:val="en-US" w:eastAsia="zh-CN"/>
              </w:rPr>
              <w:t>28</w:t>
            </w:r>
            <w:r>
              <w:rPr>
                <w:rFonts w:hint="eastAsia" w:ascii="宋体" w:hAnsi="宋体"/>
                <w:sz w:val="21"/>
                <w:szCs w:val="21"/>
              </w:rPr>
              <w:t>分</w:t>
            </w: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项目管理及实施方案</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设置了项目管理机构，并且有科学、具体的项目管理措施，能够结合项目特点制定实施方案好的，得</w:t>
            </w:r>
            <w:r>
              <w:rPr>
                <w:rFonts w:hint="eastAsia" w:ascii="宋体" w:hAnsi="宋体"/>
                <w:sz w:val="21"/>
                <w:szCs w:val="21"/>
                <w:lang w:val="en-US" w:eastAsia="zh-CN"/>
              </w:rPr>
              <w:t>7</w:t>
            </w:r>
            <w:r>
              <w:rPr>
                <w:rFonts w:hint="eastAsia" w:ascii="宋体" w:hAnsi="宋体"/>
                <w:sz w:val="21"/>
                <w:szCs w:val="21"/>
              </w:rPr>
              <w:t>分；一般的，得</w:t>
            </w:r>
            <w:r>
              <w:rPr>
                <w:rFonts w:hint="eastAsia" w:ascii="宋体" w:hAnsi="宋体"/>
                <w:sz w:val="21"/>
                <w:szCs w:val="21"/>
                <w:lang w:val="en-US" w:eastAsia="zh-CN"/>
              </w:rPr>
              <w:t>4</w:t>
            </w:r>
            <w:r>
              <w:rPr>
                <w:rFonts w:hint="eastAsia" w:ascii="宋体" w:hAnsi="宋体"/>
                <w:sz w:val="21"/>
                <w:szCs w:val="21"/>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1010" w:type="dxa"/>
            <w:vMerge w:val="continue"/>
            <w:tcBorders>
              <w:left w:val="single" w:color="auto" w:sz="4" w:space="0"/>
              <w:right w:val="single" w:color="auto" w:sz="4" w:space="0"/>
            </w:tcBorders>
            <w:vAlign w:val="center"/>
          </w:tcPr>
          <w:p>
            <w:pPr>
              <w:ind w:firstLine="420"/>
              <w:jc w:val="center"/>
              <w:rPr>
                <w:rFonts w:ascii="宋体" w:hAnsi="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售后服务计划、措施及服务承诺</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lang w:eastAsia="zh-CN"/>
              </w:rPr>
            </w:pPr>
            <w:r>
              <w:rPr>
                <w:rFonts w:hint="eastAsia" w:ascii="宋体" w:hAnsi="宋体"/>
                <w:sz w:val="18"/>
                <w:szCs w:val="18"/>
                <w:lang w:val="en-US" w:eastAsia="zh-CN"/>
              </w:rPr>
              <w:t>7</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针对该项目须有详尽的组织配送、验收、售后等方面的服务能力、措施及相关承诺。所述内容响应磋商文件要求好的，得</w:t>
            </w:r>
            <w:r>
              <w:rPr>
                <w:rFonts w:hint="eastAsia" w:ascii="宋体" w:hAnsi="宋体"/>
                <w:sz w:val="21"/>
                <w:szCs w:val="21"/>
                <w:lang w:val="en-US" w:eastAsia="zh-CN"/>
              </w:rPr>
              <w:t>7</w:t>
            </w:r>
            <w:r>
              <w:rPr>
                <w:rFonts w:hint="eastAsia" w:ascii="宋体" w:hAnsi="宋体"/>
                <w:sz w:val="21"/>
                <w:szCs w:val="21"/>
              </w:rPr>
              <w:t>分；一般的，得</w:t>
            </w:r>
            <w:r>
              <w:rPr>
                <w:rFonts w:hint="eastAsia" w:ascii="宋体" w:hAnsi="宋体"/>
                <w:sz w:val="21"/>
                <w:szCs w:val="21"/>
                <w:lang w:val="en-US" w:eastAsia="zh-CN"/>
              </w:rPr>
              <w:t>4</w:t>
            </w:r>
            <w:r>
              <w:rPr>
                <w:rFonts w:hint="eastAsia" w:ascii="宋体" w:hAnsi="宋体"/>
                <w:sz w:val="21"/>
                <w:szCs w:val="21"/>
              </w:rPr>
              <w:t>分；未响应磋商文件的不得分。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1010" w:type="dxa"/>
            <w:vMerge w:val="continue"/>
            <w:tcBorders>
              <w:left w:val="single" w:color="auto" w:sz="4" w:space="0"/>
              <w:right w:val="single" w:color="auto" w:sz="4" w:space="0"/>
            </w:tcBorders>
            <w:vAlign w:val="center"/>
          </w:tcPr>
          <w:p>
            <w:pPr>
              <w:ind w:firstLine="420"/>
              <w:jc w:val="center"/>
              <w:rPr>
                <w:rFonts w:ascii="宋体" w:hAnsi="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本地化服务能力</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both"/>
              <w:rPr>
                <w:rFonts w:hint="eastAsia" w:ascii="宋体" w:hAnsi="宋体" w:eastAsia="宋体"/>
                <w:sz w:val="21"/>
                <w:szCs w:val="21"/>
                <w:lang w:eastAsia="zh-CN"/>
              </w:rPr>
            </w:pPr>
            <w:r>
              <w:rPr>
                <w:rFonts w:hint="eastAsia" w:ascii="宋体" w:hAnsi="宋体"/>
                <w:sz w:val="21"/>
                <w:szCs w:val="21"/>
                <w:lang w:val="en-US" w:eastAsia="zh-CN"/>
              </w:rPr>
              <w:t>3</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在西宁市有服务机构的，得</w:t>
            </w:r>
            <w:r>
              <w:rPr>
                <w:rFonts w:hint="eastAsia" w:ascii="宋体" w:hAnsi="宋体"/>
                <w:sz w:val="21"/>
                <w:szCs w:val="21"/>
                <w:lang w:val="en-US" w:eastAsia="zh-CN"/>
              </w:rPr>
              <w:t>3</w:t>
            </w:r>
            <w:r>
              <w:rPr>
                <w:rFonts w:hint="eastAsia" w:ascii="宋体" w:hAnsi="宋体"/>
                <w:sz w:val="21"/>
                <w:szCs w:val="21"/>
              </w:rPr>
              <w:t>分；有合作性服务机构的，得</w:t>
            </w:r>
            <w:r>
              <w:rPr>
                <w:rFonts w:hint="eastAsia" w:ascii="宋体" w:hAnsi="宋体"/>
                <w:sz w:val="21"/>
                <w:szCs w:val="21"/>
                <w:lang w:val="en-US" w:eastAsia="zh-CN"/>
              </w:rPr>
              <w:t>1.5</w:t>
            </w:r>
            <w:r>
              <w:rPr>
                <w:rFonts w:hint="eastAsia" w:ascii="宋体" w:hAnsi="宋体"/>
                <w:sz w:val="21"/>
                <w:szCs w:val="21"/>
              </w:rPr>
              <w:t>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1010" w:type="dxa"/>
            <w:vMerge w:val="continue"/>
            <w:tcBorders>
              <w:left w:val="single" w:color="auto" w:sz="4" w:space="0"/>
              <w:right w:val="single" w:color="auto" w:sz="4" w:space="0"/>
            </w:tcBorders>
            <w:vAlign w:val="center"/>
          </w:tcPr>
          <w:p>
            <w:pPr>
              <w:ind w:firstLine="0" w:firstLineChars="0"/>
              <w:rPr>
                <w:rFonts w:ascii="宋体" w:hAnsi="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6768" w:type="dxa"/>
            <w:tcBorders>
              <w:top w:val="single" w:color="auto" w:sz="4" w:space="0"/>
              <w:left w:val="single" w:color="auto" w:sz="4" w:space="0"/>
              <w:bottom w:val="single" w:color="auto" w:sz="4" w:space="0"/>
              <w:right w:val="single" w:color="auto" w:sz="4" w:space="0"/>
            </w:tcBorders>
            <w:vAlign w:val="top"/>
          </w:tcPr>
          <w:p>
            <w:pPr>
              <w:ind w:firstLine="0" w:firstLineChars="0"/>
              <w:rPr>
                <w:rFonts w:hint="eastAsia" w:ascii="宋体" w:hAnsi="宋体"/>
                <w:sz w:val="21"/>
                <w:szCs w:val="21"/>
              </w:rPr>
            </w:pPr>
            <w:r>
              <w:rPr>
                <w:rFonts w:hint="eastAsia" w:ascii="宋体" w:hAnsi="宋体"/>
                <w:sz w:val="21"/>
                <w:szCs w:val="21"/>
              </w:rPr>
              <w:t>提供自2016年以来的相关类似有效业绩证明材料，每提供1份得1分，最高得</w:t>
            </w:r>
            <w:r>
              <w:rPr>
                <w:rFonts w:hint="eastAsia" w:ascii="宋体" w:hAnsi="宋体"/>
                <w:sz w:val="21"/>
                <w:szCs w:val="21"/>
                <w:lang w:val="en-US" w:eastAsia="zh-CN"/>
              </w:rPr>
              <w:t>5</w:t>
            </w:r>
            <w:r>
              <w:rPr>
                <w:rFonts w:hint="eastAsia" w:ascii="宋体" w:hAnsi="宋体"/>
                <w:sz w:val="21"/>
                <w:szCs w:val="21"/>
              </w:rPr>
              <w:t>分，不提供不得分。（需提供合同首页、标的及金额所在页、签字盖章页的合同复印件的证明材料）。满分</w:t>
            </w:r>
            <w:r>
              <w:rPr>
                <w:rFonts w:hint="eastAsia" w:ascii="宋体" w:hAnsi="宋体"/>
                <w:sz w:val="21"/>
                <w:szCs w:val="21"/>
                <w:lang w:val="en-US" w:eastAsia="zh-CN"/>
              </w:rPr>
              <w:t>5</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jc w:val="center"/>
        </w:trPr>
        <w:tc>
          <w:tcPr>
            <w:tcW w:w="1010" w:type="dxa"/>
            <w:vMerge w:val="continue"/>
            <w:tcBorders>
              <w:left w:val="single" w:color="auto" w:sz="4" w:space="0"/>
              <w:right w:val="single" w:color="auto" w:sz="4" w:space="0"/>
            </w:tcBorders>
            <w:vAlign w:val="center"/>
          </w:tcPr>
          <w:p>
            <w:pPr>
              <w:ind w:firstLine="0" w:firstLineChars="0"/>
              <w:rPr>
                <w:rFonts w:ascii="宋体" w:hAnsi="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对磋商文件规范性响应程度</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both"/>
              <w:rPr>
                <w:rFonts w:hint="default" w:ascii="宋体" w:hAnsi="宋体" w:eastAsia="宋体"/>
                <w:sz w:val="21"/>
                <w:szCs w:val="21"/>
                <w:lang w:val="en-US" w:eastAsia="zh-CN"/>
              </w:rPr>
            </w:pPr>
            <w:r>
              <w:rPr>
                <w:rFonts w:hint="eastAsia" w:ascii="宋体" w:hAnsi="宋体"/>
                <w:sz w:val="21"/>
                <w:szCs w:val="21"/>
                <w:lang w:val="en-US" w:eastAsia="zh-CN"/>
              </w:rPr>
              <w:t>3</w:t>
            </w:r>
          </w:p>
        </w:tc>
        <w:tc>
          <w:tcPr>
            <w:tcW w:w="6768" w:type="dxa"/>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ascii="宋体" w:hAnsi="宋体"/>
                <w:sz w:val="21"/>
                <w:szCs w:val="21"/>
              </w:rPr>
            </w:pPr>
            <w:r>
              <w:rPr>
                <w:rFonts w:hint="eastAsia" w:ascii="宋体" w:hAnsi="宋体"/>
                <w:sz w:val="21"/>
                <w:szCs w:val="21"/>
              </w:rPr>
              <w:t>投标文件完全响应</w:t>
            </w:r>
            <w:r>
              <w:rPr>
                <w:rFonts w:hint="eastAsia" w:ascii="宋体" w:hAnsi="宋体"/>
                <w:sz w:val="21"/>
                <w:szCs w:val="21"/>
                <w:lang w:eastAsia="zh-CN"/>
              </w:rPr>
              <w:t>招标</w:t>
            </w:r>
            <w:r>
              <w:rPr>
                <w:rFonts w:hint="eastAsia" w:ascii="宋体" w:hAnsi="宋体"/>
                <w:sz w:val="21"/>
                <w:szCs w:val="21"/>
              </w:rPr>
              <w:t>文件编排要求的得</w:t>
            </w:r>
            <w:r>
              <w:rPr>
                <w:rFonts w:hint="eastAsia" w:ascii="宋体" w:hAnsi="宋体"/>
                <w:sz w:val="21"/>
                <w:szCs w:val="21"/>
                <w:lang w:val="en-US" w:eastAsia="zh-CN"/>
              </w:rPr>
              <w:t>3</w:t>
            </w:r>
            <w:r>
              <w:rPr>
                <w:rFonts w:hint="eastAsia" w:ascii="宋体" w:hAnsi="宋体"/>
                <w:sz w:val="21"/>
                <w:szCs w:val="21"/>
              </w:rPr>
              <w:t>分；一般的得</w:t>
            </w:r>
            <w:r>
              <w:rPr>
                <w:rFonts w:hint="eastAsia" w:ascii="宋体" w:hAnsi="宋体"/>
                <w:sz w:val="21"/>
                <w:szCs w:val="21"/>
                <w:lang w:val="en-US" w:eastAsia="zh-CN"/>
              </w:rPr>
              <w:t>1.5</w:t>
            </w:r>
            <w:r>
              <w:rPr>
                <w:rFonts w:hint="eastAsia" w:ascii="宋体" w:hAnsi="宋体"/>
                <w:sz w:val="21"/>
                <w:szCs w:val="21"/>
              </w:rPr>
              <w:t>分；编排混乱的不得分。</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西宁市政府采购中心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投标人对以上情形提出质疑的，西宁市政府采购中心可以组织原评标委员会进行重新评审，重新评审改变评标结果的，应当书面报告本级财政部门。</w:t>
      </w:r>
    </w:p>
    <w:p>
      <w:pPr>
        <w:pStyle w:val="21"/>
        <w:spacing w:before="0" w:after="0" w:line="360" w:lineRule="auto"/>
        <w:rPr>
          <w:rFonts w:ascii="宋体" w:hAnsi="宋体" w:cs="宋体"/>
          <w:color w:val="000000"/>
          <w:lang w:val="zh-CN"/>
        </w:rPr>
      </w:pPr>
      <w:bookmarkStart w:id="37" w:name="_Toc519260374"/>
      <w:r>
        <w:rPr>
          <w:rFonts w:hint="eastAsia" w:ascii="宋体" w:hAnsi="宋体" w:cs="宋体"/>
          <w:color w:val="000000"/>
          <w:lang w:val="zh-CN"/>
        </w:rPr>
        <w:t>八、中标</w:t>
      </w:r>
      <w:bookmarkEnd w:id="37"/>
    </w:p>
    <w:p>
      <w:pPr>
        <w:pStyle w:val="21"/>
        <w:spacing w:before="0" w:after="0" w:line="360" w:lineRule="auto"/>
        <w:jc w:val="left"/>
        <w:rPr>
          <w:rFonts w:ascii="宋体" w:hAnsi="宋体" w:cs="宋体"/>
          <w:color w:val="000000"/>
          <w:lang w:val="zh-CN"/>
        </w:rPr>
      </w:pPr>
      <w:bookmarkStart w:id="38" w:name="_Toc519260375"/>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hAnsi="宋体" w:cs="宋体"/>
          <w:color w:val="000000"/>
          <w:lang w:val="zh-CN"/>
        </w:rPr>
      </w:pPr>
      <w:bookmarkStart w:id="39" w:name="_Toc51926037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西宁市政府采购中心应当自中标人确定之日起2个工作日内，在省级以上财政部门指定的媒体上公告中标结果。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西宁市政府采购中心</w:t>
      </w:r>
      <w:r>
        <w:rPr>
          <w:rFonts w:hint="eastAsia" w:ascii="宋体" w:hAnsi="宋体" w:cs="宋体"/>
          <w:color w:val="000000"/>
          <w:kern w:val="0"/>
        </w:rPr>
        <w:t>应当向中标人发出中标通知书；对投标无效的投标人，西宁市政府采购中心应当告知其投标无效的原因；采用综合评分法评审的，还应当告知未中标人本人的评审得分与排序。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1"/>
        <w:spacing w:before="0" w:after="0" w:line="360" w:lineRule="auto"/>
        <w:rPr>
          <w:rFonts w:ascii="宋体" w:hAnsi="宋体" w:cs="宋体"/>
          <w:color w:val="000000"/>
          <w:lang w:val="zh-CN"/>
        </w:rPr>
      </w:pPr>
      <w:bookmarkStart w:id="40" w:name="_Toc519260377"/>
      <w:r>
        <w:rPr>
          <w:rFonts w:hint="eastAsia" w:ascii="宋体" w:hAnsi="宋体" w:cs="宋体"/>
          <w:color w:val="000000"/>
          <w:lang w:val="zh-CN"/>
        </w:rPr>
        <w:t>九、授予合同</w:t>
      </w:r>
      <w:bookmarkEnd w:id="40"/>
    </w:p>
    <w:p>
      <w:pPr>
        <w:pStyle w:val="21"/>
        <w:spacing w:before="0" w:after="0" w:line="360" w:lineRule="auto"/>
        <w:jc w:val="left"/>
        <w:rPr>
          <w:rFonts w:ascii="宋体" w:hAnsi="宋体" w:cs="宋体"/>
          <w:color w:val="000000"/>
          <w:kern w:val="0"/>
          <w:sz w:val="24"/>
        </w:rPr>
      </w:pPr>
      <w:bookmarkStart w:id="41" w:name="_Toc51926037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西宁市政府采购中心应当按照政府采购合同规定的技术、服务、安全标准组织对供应商履约情况进行验收，并出具验收书。验收书应当包括每一项技术、服务、安全标准的履约情况。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1"/>
        <w:spacing w:before="0" w:after="0" w:line="360" w:lineRule="auto"/>
        <w:rPr>
          <w:rFonts w:ascii="宋体" w:hAnsi="宋体" w:cs="宋体"/>
          <w:color w:val="000000"/>
          <w:lang w:val="zh-CN"/>
        </w:rPr>
      </w:pPr>
      <w:bookmarkStart w:id="42" w:name="_Toc519260379"/>
    </w:p>
    <w:p>
      <w:pPr>
        <w:pStyle w:val="21"/>
        <w:spacing w:before="0" w:after="0" w:line="360" w:lineRule="auto"/>
        <w:rPr>
          <w:rFonts w:ascii="宋体" w:hAnsi="宋体" w:cs="宋体"/>
          <w:color w:val="000000"/>
          <w:lang w:val="zh-CN"/>
        </w:rPr>
      </w:pPr>
      <w:r>
        <w:rPr>
          <w:rFonts w:hint="eastAsia" w:ascii="宋体" w:hAnsi="宋体" w:cs="宋体"/>
          <w:color w:val="000000"/>
          <w:lang w:val="zh-CN"/>
        </w:rPr>
        <w:t>十、其他</w:t>
      </w:r>
      <w:bookmarkEnd w:id="42"/>
    </w:p>
    <w:p>
      <w:pPr>
        <w:pStyle w:val="21"/>
        <w:spacing w:before="0" w:after="0" w:line="360" w:lineRule="auto"/>
        <w:jc w:val="left"/>
        <w:rPr>
          <w:rFonts w:ascii="宋体" w:hAnsi="宋体" w:cs="宋体"/>
          <w:color w:val="000000"/>
          <w:sz w:val="28"/>
          <w:szCs w:val="28"/>
        </w:rPr>
      </w:pPr>
      <w:bookmarkStart w:id="43" w:name="_Toc51926038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1"/>
        <w:spacing w:before="0" w:after="0" w:line="360" w:lineRule="auto"/>
        <w:jc w:val="left"/>
        <w:rPr>
          <w:rFonts w:ascii="宋体" w:hAnsi="宋体" w:cs="宋体"/>
          <w:color w:val="000000"/>
          <w:sz w:val="28"/>
          <w:szCs w:val="28"/>
        </w:rPr>
      </w:pPr>
      <w:bookmarkStart w:id="44" w:name="_Toc519260381"/>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废标后，由西宁市政府采购中心发布废标公告。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21"/>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51926038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西宁市政府采购项目合同书范本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西宁市政府采购项目合同书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）的招标文件要求和集采中心出具的《中标通知书》，并经双方协商一致，签订本合同协议书。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7"/>
        <w:tblW w:w="6718" w:type="dxa"/>
        <w:jc w:val="center"/>
        <w:tblInd w:w="0" w:type="dxa"/>
        <w:tblLayout w:type="fixed"/>
        <w:tblCellMar>
          <w:top w:w="0" w:type="dxa"/>
          <w:left w:w="108" w:type="dxa"/>
          <w:bottom w:w="0" w:type="dxa"/>
          <w:right w:w="108" w:type="dxa"/>
        </w:tblCellMar>
      </w:tblPr>
      <w:tblGrid>
        <w:gridCol w:w="731"/>
        <w:gridCol w:w="2271"/>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三、服务时间、地点和要求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b/>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r>
        <w:rPr>
          <w:rFonts w:hint="eastAsia" w:ascii="宋体" w:hAnsi="宋体" w:cs="宋体"/>
          <w:b/>
          <w:color w:val="000000"/>
          <w:kern w:val="0"/>
          <w:lang w:val="zh-CN"/>
        </w:rPr>
        <w:t>（注：招标文件对工期有具体要求的以招标文件要求的交货期为准）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交货日期：所有货物运抵现场并经双方开箱验收、安装合格之日。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本合同条款下的付款方法和条件在“西宁市政府采购项目合同书”中具体规定。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519260383"/>
      <w:r>
        <w:rPr>
          <w:rFonts w:hint="eastAsia" w:ascii="宋体" w:hAnsi="宋体" w:cs="宋体"/>
          <w:color w:val="000000"/>
          <w:szCs w:val="36"/>
          <w:lang w:val="zh-CN"/>
        </w:rPr>
        <w:t>第四部分  投标文件格式</w:t>
      </w:r>
      <w:bookmarkEnd w:id="46"/>
    </w:p>
    <w:p>
      <w:pPr>
        <w:pStyle w:val="21"/>
        <w:spacing w:before="0" w:after="0" w:line="360" w:lineRule="auto"/>
        <w:jc w:val="left"/>
        <w:outlineLvl w:val="1"/>
        <w:rPr>
          <w:rFonts w:ascii="宋体" w:hAnsi="宋体" w:cs="宋体"/>
          <w:color w:val="000000"/>
        </w:rPr>
      </w:pPr>
      <w:bookmarkStart w:id="47" w:name="_Toc11851"/>
      <w:bookmarkStart w:id="48" w:name="_Toc519260384"/>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519260385"/>
      <w:bookmarkStart w:id="50" w:name="_Toc8514"/>
      <w:bookmarkStart w:id="51" w:name="_Toc29902"/>
      <w:r>
        <w:rPr>
          <w:rFonts w:hint="eastAsia" w:ascii="宋体" w:hAnsi="宋体" w:cs="宋体"/>
          <w:color w:val="000000"/>
          <w:sz w:val="30"/>
          <w:szCs w:val="30"/>
          <w:lang w:val="zh-CN"/>
        </w:rPr>
        <w:t>目录（上册）</w:t>
      </w:r>
      <w:bookmarkEnd w:id="49"/>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21"/>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926038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519260387"/>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519260388"/>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51926038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1926039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为了诚实、客观、有序地参与西宁市政府采购活动，愿就以下内容作出承诺：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51926039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10"/>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51926039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1、投标人需</w:t>
      </w:r>
      <w:r>
        <w:rPr>
          <w:rFonts w:ascii="宋体" w:hAnsi="宋体" w:cs="宋体"/>
          <w:color w:val="000000"/>
          <w:kern w:val="0"/>
          <w:lang w:val="zh-CN"/>
        </w:rPr>
        <w:t>提供</w:t>
      </w:r>
      <w:r>
        <w:rPr>
          <w:rFonts w:hint="eastAsia" w:ascii="宋体" w:hAnsi="宋体" w:cs="宋体"/>
          <w:color w:val="000000"/>
          <w:kern w:val="0"/>
          <w:u w:val="single"/>
          <w:lang w:val="zh-CN"/>
        </w:rPr>
        <w:t>上一年度（</w:t>
      </w:r>
      <w:r>
        <w:rPr>
          <w:rFonts w:hint="eastAsia" w:ascii="宋体" w:hAnsi="宋体" w:cs="宋体"/>
          <w:color w:val="000000"/>
          <w:kern w:val="0"/>
          <w:u w:val="single"/>
        </w:rPr>
        <w:t>2018年度</w:t>
      </w:r>
      <w:r>
        <w:rPr>
          <w:rFonts w:hint="eastAsia" w:ascii="宋体" w:hAnsi="宋体" w:cs="宋体"/>
          <w:color w:val="000000"/>
          <w:kern w:val="0"/>
          <w:u w:val="single"/>
          <w:lang w:val="zh-CN"/>
        </w:rPr>
        <w:t>）</w:t>
      </w:r>
      <w:r>
        <w:rPr>
          <w:rFonts w:hint="eastAsia" w:ascii="宋体" w:hAnsi="宋体"/>
          <w:u w:val="single"/>
        </w:rPr>
        <w:t>经</w:t>
      </w:r>
      <w:r>
        <w:rPr>
          <w:rFonts w:hint="eastAsia" w:ascii="宋体" w:hAnsi="宋体"/>
        </w:rPr>
        <w:t>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投标人是其他组织和自然人或新成立不足1年的企业，没有经审计的财务报告，可以提供基本开户银行出具的资信证明（同时提供基本存款账户开户许可证）。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连续2个月的依法缴纳税收和缴纳职工社会保障资金记录的证明材料（需附社保机构打印的人员名单及缴纳月份）；依法免税或不需要缴纳社会保障资金的投标人须提供相应文件证明其依法免税或不需要缴纳社会保障资金。</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519260393"/>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519260394"/>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西宁市政府采购中心</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rPr>
      </w:pPr>
    </w:p>
    <w:p>
      <w:pPr>
        <w:autoSpaceDE w:val="0"/>
        <w:autoSpaceDN w:val="0"/>
        <w:spacing w:line="360" w:lineRule="auto"/>
        <w:ind w:firstLine="482" w:firstLineChars="200"/>
        <w:jc w:val="left"/>
        <w:rPr>
          <w:rFonts w:ascii="宋体" w:hAnsi="宋体" w:cs="宋体"/>
          <w:b/>
          <w:color w:val="000000"/>
          <w:kern w:val="0"/>
        </w:rPr>
      </w:pPr>
      <w:r>
        <w:rPr>
          <w:rFonts w:hint="eastAsia" w:ascii="宋体" w:hAnsi="宋体" w:cs="宋体"/>
          <w:b/>
          <w:color w:val="000000"/>
          <w:kern w:val="0"/>
          <w:lang w:val="zh-CN"/>
        </w:rPr>
        <w:t>附</w:t>
      </w:r>
      <w:r>
        <w:rPr>
          <w:rFonts w:hint="eastAsia" w:ascii="宋体" w:hAnsi="宋体" w:cs="宋体"/>
          <w:b/>
          <w:color w:val="000000"/>
          <w:kern w:val="0"/>
        </w:rPr>
        <w:t>“</w:t>
      </w:r>
      <w:r>
        <w:rPr>
          <w:rFonts w:hint="eastAsia" w:ascii="宋体" w:hAnsi="宋体" w:cs="宋体"/>
          <w:b/>
          <w:color w:val="000000"/>
          <w:kern w:val="0"/>
          <w:lang w:val="zh-CN"/>
        </w:rPr>
        <w:t>信用中国</w:t>
      </w:r>
      <w:r>
        <w:rPr>
          <w:rFonts w:hint="eastAsia" w:ascii="宋体" w:hAnsi="宋体" w:cs="宋体"/>
          <w:b/>
          <w:kern w:val="0"/>
        </w:rPr>
        <w:t>（www.creditchina.gov.cn）</w:t>
      </w:r>
      <w:r>
        <w:rPr>
          <w:rFonts w:hint="eastAsia" w:ascii="宋体" w:hAnsi="宋体" w:cs="宋体"/>
          <w:b/>
          <w:color w:val="000000"/>
          <w:kern w:val="0"/>
        </w:rPr>
        <w:t>”</w:t>
      </w:r>
      <w:r>
        <w:rPr>
          <w:rFonts w:hint="eastAsia" w:ascii="宋体" w:hAnsi="宋体" w:cs="宋体"/>
          <w:b/>
          <w:color w:val="000000"/>
          <w:kern w:val="0"/>
          <w:lang w:val="zh-CN"/>
        </w:rPr>
        <w:t>、</w:t>
      </w:r>
      <w:r>
        <w:rPr>
          <w:rFonts w:hint="eastAsia" w:ascii="宋体" w:hAnsi="宋体" w:cs="宋体"/>
          <w:b/>
          <w:color w:val="000000"/>
          <w:kern w:val="0"/>
        </w:rPr>
        <w:t>“</w:t>
      </w:r>
      <w:r>
        <w:rPr>
          <w:rFonts w:hint="eastAsia" w:ascii="宋体" w:hAnsi="宋体" w:cs="宋体"/>
          <w:b/>
          <w:color w:val="000000"/>
          <w:kern w:val="0"/>
          <w:lang w:val="zh-CN"/>
        </w:rPr>
        <w:t>政府采购网</w:t>
      </w:r>
      <w:r>
        <w:rPr>
          <w:rFonts w:hint="eastAsia" w:ascii="宋体" w:hAnsi="宋体" w:cs="宋体"/>
          <w:b/>
          <w:kern w:val="0"/>
        </w:rPr>
        <w:t>（www.ccgp.gov.cn）</w:t>
      </w:r>
      <w:r>
        <w:rPr>
          <w:rFonts w:hint="eastAsia" w:ascii="宋体" w:hAnsi="宋体" w:cs="宋体"/>
          <w:b/>
          <w:color w:val="000000"/>
          <w:kern w:val="0"/>
        </w:rPr>
        <w:t>”</w:t>
      </w:r>
      <w:r>
        <w:rPr>
          <w:rFonts w:hint="eastAsia" w:ascii="宋体" w:hAnsi="宋体" w:cs="宋体"/>
          <w:b/>
          <w:color w:val="000000"/>
          <w:kern w:val="0"/>
          <w:lang w:val="zh-CN"/>
        </w:rPr>
        <w:t>网站查询截图</w:t>
      </w:r>
      <w:r>
        <w:rPr>
          <w:rFonts w:hint="eastAsia" w:ascii="宋体" w:hAnsi="宋体" w:cs="宋体"/>
          <w:b/>
          <w:color w:val="000000"/>
          <w:kern w:val="0"/>
        </w:rPr>
        <w:t>，</w:t>
      </w:r>
      <w:r>
        <w:rPr>
          <w:rFonts w:hint="eastAsia" w:ascii="宋体" w:hAnsi="宋体" w:cs="宋体"/>
          <w:b/>
          <w:color w:val="000000"/>
          <w:kern w:val="0"/>
          <w:lang w:val="zh-CN"/>
        </w:rPr>
        <w:t>时间为投标截止时间前</w:t>
      </w:r>
      <w:r>
        <w:rPr>
          <w:rFonts w:hint="eastAsia" w:ascii="宋体" w:hAnsi="宋体" w:cs="宋体"/>
          <w:b/>
          <w:color w:val="000000"/>
          <w:kern w:val="0"/>
        </w:rPr>
        <w:t>20</w:t>
      </w:r>
      <w:r>
        <w:rPr>
          <w:rFonts w:hint="eastAsia" w:ascii="宋体" w:hAnsi="宋体" w:cs="宋体"/>
          <w:b/>
          <w:color w:val="000000"/>
          <w:kern w:val="0"/>
          <w:lang w:val="zh-CN"/>
        </w:rPr>
        <w:t>天内。</w:t>
      </w: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51926039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附件：保证金交款证明复印件（加盖公章）、基本账户开户许可证复印件</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b/>
          <w:color w:val="000000"/>
          <w:kern w:val="0"/>
          <w:lang w:val="zh-CN"/>
        </w:rPr>
      </w:pPr>
      <w:r>
        <w:rPr>
          <w:rFonts w:hint="eastAsia" w:ascii="宋体" w:hAnsi="宋体" w:cs="宋体"/>
          <w:b/>
          <w:color w:val="000000"/>
          <w:kern w:val="0"/>
          <w:lang w:val="zh-CN"/>
        </w:rPr>
        <w:t>注：此表单独填写一份和投标文件正本放在一起，方便退还投标保证金。</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519260396"/>
      <w:r>
        <w:rPr>
          <w:rFonts w:hint="eastAsia" w:ascii="宋体" w:hAnsi="宋体" w:cs="宋体"/>
          <w:color w:val="000000"/>
          <w:sz w:val="30"/>
          <w:szCs w:val="30"/>
          <w:lang w:val="zh-CN"/>
        </w:rPr>
        <w:t>目录（下册）</w:t>
      </w:r>
      <w:bookmarkEnd w:id="68"/>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1"/>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1"/>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519260397"/>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7"/>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1"/>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19260398"/>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7"/>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9"/>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3.“交货时间”是指产品能够交付使用的具体时间（日历日）。</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pStyle w:val="2"/>
        <w:rPr>
          <w:rFonts w:hint="default" w:eastAsia="宋体"/>
          <w:lang w:val="en-US" w:eastAsia="zh-CN"/>
        </w:rPr>
      </w:pPr>
      <w:r>
        <w:rPr>
          <w:rFonts w:hint="eastAsia" w:ascii="宋体" w:hAnsi="宋体" w:cs="宋体"/>
          <w:color w:val="000000"/>
          <w:kern w:val="0"/>
          <w:lang w:val="en-US" w:eastAsia="zh-CN"/>
        </w:rPr>
        <w:t xml:space="preserve">   </w:t>
      </w:r>
    </w:p>
    <w:p>
      <w:pPr>
        <w:pStyle w:val="2"/>
        <w:rPr>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bookmarkEnd w:id="70"/>
    <w:p>
      <w:pPr>
        <w:pStyle w:val="21"/>
        <w:spacing w:before="0" w:after="0" w:line="360" w:lineRule="auto"/>
        <w:jc w:val="left"/>
        <w:outlineLvl w:val="1"/>
        <w:rPr>
          <w:rFonts w:ascii="宋体" w:hAnsi="宋体" w:cs="宋体"/>
          <w:color w:val="000000"/>
          <w:kern w:val="0"/>
          <w:lang w:val="zh-CN"/>
        </w:rPr>
      </w:pPr>
    </w:p>
    <w:p>
      <w:pPr>
        <w:pStyle w:val="21"/>
        <w:spacing w:before="0" w:after="0" w:line="360" w:lineRule="auto"/>
        <w:jc w:val="left"/>
        <w:outlineLvl w:val="1"/>
        <w:rPr>
          <w:rFonts w:ascii="宋体" w:hAnsi="宋体" w:cs="宋体"/>
          <w:color w:val="000000"/>
        </w:rPr>
      </w:pPr>
      <w:bookmarkStart w:id="73" w:name="_Toc14290"/>
      <w:r>
        <w:rPr>
          <w:rFonts w:hint="eastAsia" w:ascii="宋体" w:hAnsi="宋体" w:cs="宋体"/>
          <w:color w:val="000000"/>
          <w:lang w:val="zh-CN"/>
        </w:rPr>
        <w:br w:type="page"/>
      </w:r>
      <w:bookmarkStart w:id="74" w:name="_Toc519260399"/>
      <w:bookmarkStart w:id="75" w:name="_Toc515908222"/>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4"/>
      <w:bookmarkEnd w:id="7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27"/>
        <w:tblW w:w="8551" w:type="dxa"/>
        <w:jc w:val="center"/>
        <w:tblInd w:w="0" w:type="dxa"/>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0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1"/>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6" w:name="_Toc515908223"/>
      <w:bookmarkStart w:id="77" w:name="_Toc519260400"/>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7"/>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标办法处理。</w:t>
      </w:r>
    </w:p>
    <w:p>
      <w:pPr>
        <w:numPr>
          <w:ilvl w:val="0"/>
          <w:numId w:val="1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8" w:name="_Toc519260401"/>
      <w:bookmarkStart w:id="79" w:name="_Toc515908224"/>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8"/>
      <w:bookmarkEnd w:id="7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both"/>
        <w:outlineLvl w:val="1"/>
        <w:rPr>
          <w:rFonts w:ascii="宋体" w:hAnsi="宋体" w:cs="宋体"/>
          <w:color w:val="000000"/>
          <w:lang w:val="zh-CN"/>
        </w:rPr>
      </w:pPr>
      <w:r>
        <w:rPr>
          <w:rFonts w:hint="eastAsia" w:ascii="宋体" w:hAnsi="宋体" w:cs="宋体"/>
          <w:color w:val="000000"/>
          <w:lang w:val="zh-CN"/>
        </w:rPr>
        <w:br w:type="page"/>
      </w:r>
    </w:p>
    <w:p>
      <w:pPr>
        <w:pStyle w:val="21"/>
        <w:spacing w:before="0" w:after="0" w:line="360" w:lineRule="auto"/>
        <w:jc w:val="both"/>
        <w:outlineLvl w:val="1"/>
        <w:rPr>
          <w:rFonts w:ascii="宋体" w:hAnsi="宋体" w:cs="宋体"/>
          <w:color w:val="000000"/>
          <w:sz w:val="30"/>
          <w:szCs w:val="30"/>
        </w:rPr>
      </w:pPr>
      <w:bookmarkStart w:id="80" w:name="_Toc519260402"/>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3"/>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2016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1" w:name="_Toc10010"/>
      <w:bookmarkStart w:id="82" w:name="_Toc519260403"/>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81"/>
      <w:bookmarkEnd w:id="8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3" w:name="_Toc51926040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3"/>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4" w:name="_Toc519260405"/>
      <w:bookmarkStart w:id="8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4"/>
    </w:p>
    <w:p>
      <w:pPr>
        <w:jc w:val="center"/>
        <w:rPr>
          <w:rFonts w:ascii="宋体" w:hAnsi="宋体" w:cs="宋体"/>
          <w:b/>
          <w:sz w:val="36"/>
          <w:szCs w:val="36"/>
        </w:rPr>
      </w:pPr>
      <w:bookmarkStart w:id="86" w:name="OLE_LINK13"/>
      <w:bookmarkStart w:id="87"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西宁市政府采购中心</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1"/>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8" w:name="_Toc51926040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5"/>
      <w:bookmarkEnd w:id="8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1"/>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9" w:name="_Toc18752"/>
      <w:bookmarkStart w:id="90" w:name="_Toc519260407"/>
      <w:r>
        <w:rPr>
          <w:rFonts w:hint="eastAsia" w:ascii="宋体" w:hAnsi="宋体" w:cs="宋体"/>
          <w:color w:val="000000"/>
          <w:szCs w:val="36"/>
          <w:lang w:val="zh-CN"/>
        </w:rPr>
        <w:t>第五部分  采购项目要求及技术参数</w:t>
      </w:r>
      <w:bookmarkEnd w:id="89"/>
      <w:bookmarkEnd w:id="90"/>
    </w:p>
    <w:p>
      <w:pPr>
        <w:pStyle w:val="21"/>
        <w:spacing w:before="0" w:after="0" w:line="360" w:lineRule="auto"/>
        <w:jc w:val="left"/>
        <w:outlineLvl w:val="1"/>
        <w:rPr>
          <w:rFonts w:ascii="宋体" w:hAnsi="宋体" w:cs="宋体"/>
          <w:color w:val="000000"/>
          <w:lang w:val="zh-CN"/>
        </w:rPr>
      </w:pPr>
      <w:bookmarkStart w:id="91" w:name="_Toc4601"/>
      <w:bookmarkStart w:id="92" w:name="_Toc515908232"/>
      <w:bookmarkStart w:id="93" w:name="_Toc493512670"/>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招标内容中未特别标注为“进口”或“原装进口”字样的产品，投标人必须投国产产品；标注为“进口”或“原装进口”字样的产品，投标人应当投进口产品。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21"/>
        <w:spacing w:before="0" w:after="0" w:line="360" w:lineRule="auto"/>
        <w:jc w:val="left"/>
        <w:outlineLvl w:val="1"/>
        <w:rPr>
          <w:rFonts w:ascii="宋体" w:hAnsi="宋体" w:cs="宋体"/>
          <w:color w:val="000000"/>
          <w:lang w:val="zh-CN"/>
        </w:rPr>
      </w:pPr>
      <w:bookmarkStart w:id="94" w:name="_Toc26125"/>
      <w:bookmarkStart w:id="95" w:name="_Toc515908233"/>
      <w:r>
        <w:rPr>
          <w:rFonts w:hint="eastAsia" w:ascii="宋体" w:hAnsi="宋体" w:cs="宋体"/>
          <w:color w:val="000000"/>
          <w:sz w:val="28"/>
          <w:szCs w:val="28"/>
        </w:rPr>
        <w:t>2.</w:t>
      </w:r>
      <w:bookmarkEnd w:id="94"/>
      <w:bookmarkStart w:id="96" w:name="_Toc1475"/>
      <w:r>
        <w:rPr>
          <w:rFonts w:hint="eastAsia" w:ascii="宋体" w:hAnsi="宋体" w:cs="宋体"/>
          <w:color w:val="000000"/>
          <w:sz w:val="28"/>
          <w:szCs w:val="28"/>
          <w:lang w:val="zh-CN"/>
        </w:rPr>
        <w:t>重要指标</w:t>
      </w:r>
      <w:bookmarkEnd w:id="95"/>
      <w:bookmarkEnd w:id="9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1</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招标文件中凡需与原有设备、系统并机、兼容、匹配等要求的，请主动和采购人联系，取得原有设备、系统相关资料。若有招标文件未提及或变更内容的，请及时与西宁市政府采购中心联系。</w:t>
      </w:r>
    </w:p>
    <w:p>
      <w:pPr>
        <w:autoSpaceDE w:val="0"/>
        <w:autoSpaceDN w:val="0"/>
        <w:spacing w:line="360" w:lineRule="auto"/>
        <w:ind w:firstLine="480" w:firstLineChars="200"/>
        <w:rPr>
          <w:rFonts w:ascii="宋体" w:hAnsi="宋体" w:cs="宋体"/>
          <w:color w:val="000000"/>
        </w:rPr>
        <w:sectPr>
          <w:headerReference r:id="rId3" w:type="default"/>
          <w:footerReference r:id="rId4" w:type="default"/>
          <w:footerReference r:id="rId5" w:type="even"/>
          <w:pgSz w:w="11849" w:h="16781"/>
          <w:pgMar w:top="1440" w:right="1803" w:bottom="1440" w:left="1803" w:header="851" w:footer="992" w:gutter="0"/>
          <w:pgNumType w:fmt="decimal" w:start="1"/>
          <w:cols w:space="720" w:num="1"/>
          <w:docGrid w:linePitch="397" w:charSpace="0"/>
        </w:sect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2</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after="0"/>
        <w:jc w:val="center"/>
        <w:rPr>
          <w:rFonts w:ascii="仿宋" w:hAnsi="仿宋" w:eastAsia="仿宋"/>
        </w:rPr>
      </w:pPr>
      <w:r>
        <w:rPr>
          <w:rFonts w:hint="eastAsia" w:asciiTheme="majorEastAsia" w:hAnsiTheme="majorEastAsia" w:eastAsiaTheme="majorEastAsia" w:cstheme="majorEastAsia"/>
          <w:b/>
          <w:bCs/>
          <w:sz w:val="36"/>
          <w:szCs w:val="36"/>
        </w:rPr>
        <w:t>西宁市教育局局属学校云桌面计算机设备参数表</w:t>
      </w:r>
    </w:p>
    <w:tbl>
      <w:tblPr>
        <w:tblStyle w:val="27"/>
        <w:tblW w:w="9494" w:type="dxa"/>
        <w:jc w:val="center"/>
        <w:tblInd w:w="0" w:type="dxa"/>
        <w:tblLayout w:type="fixed"/>
        <w:tblCellMar>
          <w:top w:w="0" w:type="dxa"/>
          <w:left w:w="28" w:type="dxa"/>
          <w:bottom w:w="0" w:type="dxa"/>
          <w:right w:w="28" w:type="dxa"/>
        </w:tblCellMar>
      </w:tblPr>
      <w:tblGrid>
        <w:gridCol w:w="503"/>
        <w:gridCol w:w="567"/>
        <w:gridCol w:w="7888"/>
        <w:gridCol w:w="536"/>
      </w:tblGrid>
      <w:tr>
        <w:tblPrEx>
          <w:tblLayout w:type="fixed"/>
          <w:tblCellMar>
            <w:top w:w="0" w:type="dxa"/>
            <w:left w:w="28" w:type="dxa"/>
            <w:bottom w:w="0" w:type="dxa"/>
            <w:right w:w="28" w:type="dxa"/>
          </w:tblCellMar>
        </w:tblPrEx>
        <w:trPr>
          <w:trHeight w:val="267" w:hRule="atLeast"/>
          <w:jc w:val="center"/>
        </w:trPr>
        <w:tc>
          <w:tcPr>
            <w:tcW w:w="9494"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云机房备注：云机房55座（学生机54台+教师机1台），共17间。</w:t>
            </w:r>
          </w:p>
        </w:tc>
      </w:tr>
      <w:tr>
        <w:tblPrEx>
          <w:tblLayout w:type="fixed"/>
          <w:tblCellMar>
            <w:top w:w="0" w:type="dxa"/>
            <w:left w:w="28" w:type="dxa"/>
            <w:bottom w:w="0" w:type="dxa"/>
            <w:right w:w="28" w:type="dxa"/>
          </w:tblCellMar>
        </w:tblPrEx>
        <w:trPr>
          <w:trHeight w:val="267"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名称</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技术参数及配置</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数量</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交互智能平板</w:t>
            </w:r>
          </w:p>
          <w:p>
            <w:pPr>
              <w:spacing w:after="0"/>
              <w:rPr>
                <w:rFonts w:hint="eastAsia" w:asciiTheme="minorEastAsia" w:hAnsiTheme="minorEastAsia" w:eastAsiaTheme="minorEastAsia" w:cstheme="minorEastAsia"/>
                <w:color w:val="auto"/>
                <w:sz w:val="24"/>
                <w:szCs w:val="24"/>
              </w:rPr>
            </w:pP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一、整体设计</w:t>
            </w:r>
          </w:p>
          <w:p>
            <w:pPr>
              <w:spacing w:after="0" w:line="60" w:lineRule="atLeas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全金属外观，一体化设计，外部无任何可见内部功能模块连接线。整机屏幕采用≥80英寸 LED 液晶屏，显示比例16:9，具备防眩光效果。采用红外触控技术，支持在Windows与安卓系统中进行十点触控及十点书写。电源要求：AC 100V～240V，输入端子:≥1路VGA；≥1路Audio；≥1路AV；≥1路YPbPr；≥2路HDMI；≥1路TV RF；≥2路USB,至少一路可随通道自动切换，方便外接其他设备时在任意通道均可使用；≥1路Line in；≥1路RS232接口；≥1路RJ45。安全可靠性要求：（</w:t>
            </w:r>
            <w:r>
              <w:rPr>
                <w:rFonts w:hint="eastAsia" w:asciiTheme="minorEastAsia" w:hAnsiTheme="minorEastAsia" w:eastAsiaTheme="minorEastAsia" w:cstheme="minorEastAsia"/>
                <w:color w:val="auto"/>
                <w:sz w:val="24"/>
                <w:szCs w:val="24"/>
                <w:lang w:eastAsia="zh-CN"/>
              </w:rPr>
              <w:t>提供权威检测报告</w:t>
            </w:r>
            <w:r>
              <w:rPr>
                <w:rFonts w:hint="eastAsia" w:asciiTheme="minorEastAsia" w:hAnsiTheme="minorEastAsia" w:eastAsiaTheme="minorEastAsia" w:cstheme="minorEastAsia"/>
                <w:color w:val="auto"/>
                <w:sz w:val="24"/>
                <w:szCs w:val="24"/>
              </w:rPr>
              <w:t>）整机符合浪涌（冲击）抗扰度、静电放电抗扰度、射频电磁场辐射抗扰度、电快速瞬变脉冲群抗扰度、射频场感应的传导抗扰度等要求，确保整机使用安全。机身具备防盐雾锈蚀特性，且满足GB4943.1-2011标准中的防火要求。整机具备抗振动、防跌落特性，保证整机运输或使用过程中不易受损。整机在0℃—40℃环境下可正常工作，在-20℃—60℃的环境下可正常贮存且贮存后功能无损。自动节能功能：当设备在五分钟内处于无信号接收状态时，将会自动关机，节省能耗。（</w:t>
            </w:r>
            <w:r>
              <w:rPr>
                <w:rFonts w:hint="eastAsia" w:asciiTheme="minorEastAsia" w:hAnsiTheme="minorEastAsia" w:eastAsiaTheme="minorEastAsia" w:cstheme="minorEastAsia"/>
                <w:color w:val="auto"/>
                <w:sz w:val="24"/>
                <w:szCs w:val="24"/>
                <w:lang w:eastAsia="zh-CN"/>
              </w:rPr>
              <w:t>提供权威检测报告</w:t>
            </w:r>
            <w:r>
              <w:rPr>
                <w:rFonts w:hint="eastAsia" w:asciiTheme="minorEastAsia" w:hAnsiTheme="minorEastAsia" w:eastAsiaTheme="minorEastAsia" w:cstheme="minorEastAsia"/>
                <w:color w:val="auto"/>
                <w:sz w:val="24"/>
                <w:szCs w:val="24"/>
              </w:rPr>
              <w:t>）智能亮度调节：整机能感应并自动调节屏幕亮度来达到在不同光照环境下的不同亮度显示效果，此功能可自行开启或关闭。（</w:t>
            </w:r>
            <w:r>
              <w:rPr>
                <w:rFonts w:hint="eastAsia" w:asciiTheme="minorEastAsia" w:hAnsiTheme="minorEastAsia" w:eastAsiaTheme="minorEastAsia" w:cstheme="minorEastAsia"/>
                <w:color w:val="auto"/>
                <w:sz w:val="24"/>
                <w:szCs w:val="24"/>
                <w:lang w:eastAsia="zh-CN"/>
              </w:rPr>
              <w:t>提供权威检测报告</w:t>
            </w:r>
            <w:r>
              <w:rPr>
                <w:rFonts w:hint="eastAsia" w:asciiTheme="minorEastAsia" w:hAnsiTheme="minorEastAsia" w:eastAsiaTheme="minorEastAsia" w:cstheme="minorEastAsia"/>
                <w:color w:val="auto"/>
                <w:sz w:val="24"/>
                <w:szCs w:val="24"/>
              </w:rPr>
              <w:t>）内置非独立外扩展的摄像头，支持二维码扫码识别功能，帮助用户调用在线资源。整机只需连接一根网线，即可实现Windows及Android系统同时联网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提供第三方权威检测机构所出具的检测报告</w:t>
            </w:r>
            <w:r>
              <w:rPr>
                <w:rFonts w:hint="eastAsia" w:asciiTheme="minorEastAsia" w:hAnsiTheme="minorEastAsia" w:eastAsiaTheme="minorEastAsia" w:cstheme="minorEastAsia"/>
                <w:color w:val="auto"/>
                <w:sz w:val="24"/>
                <w:szCs w:val="24"/>
                <w:highlight w:val="none"/>
              </w:rPr>
              <w:t>）。</w:t>
            </w:r>
          </w:p>
          <w:p>
            <w:pPr>
              <w:spacing w:after="0" w:line="60" w:lineRule="atLeas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二、主要功能</w:t>
            </w:r>
          </w:p>
          <w:p>
            <w:pPr>
              <w:spacing w:after="0" w:line="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整机电视开关、电脑开关和节能待机键三合一，确保用户操作便捷。一键调整PPT画面比例：可通过机身前置按钮对PPT课件实现一键切换画面显示比例。（</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整机具备至少3路前置USB3.0接口,且前置USB接口全部支持Windows及Android双系统读取，将U盘插入任意前置USB接口，均能被Windows及Android系统识别，防止老师误操作当外接电脑设备时，如整机处于关机上电状态，则接上外接电脑后自动开机。如整机处于正常使用状态，则设备能自动识别并切换到对应的VGA/HDMI信号源通道，且断开后能回到上一通道。自动跳转前支持选择确认，待确认后再跳转。 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支持智能U盘锁功能，整机可设置触摸及按键自动锁定，保证无关人士无法自由操作，需要使用时只需插入USB key即可解锁。音乐课工具：整机处于任意通道下，在屏幕侧边可调出节拍器功能，可自由调整节拍类型、快慢等，适应更多课堂场景快速通道跳转：整机处于非内置PC通道下，在屏幕侧边可调出PC通道按钮，支持用户一键回到PC通道；同时支持用户自定义设置常用快捷通道，可从侧边栏一键进入该通道，提升老师教学效率（</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）。整机处于任意通道下，可调用互动课堂功能，整机支持任意通道下通过手势识别调出板擦工具进行擦除，且能够根据手与屏幕的接触面积自动调整板擦工具的大小。（</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）整机支持任意通道画面放大功能，可在整机任意通道下将画面冻结并双击画面任一部分进行放大，放大后的屏幕画面可进行任意拖拽。（</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支持用户在嵌入式系统下自定义侧边菜单，适应不同老师的使用习惯：侧边菜单栏：支持自定义侧边菜单的显示位置与有效通道；用户可根据不同教学场景，设置侧边菜单中显示的功能应用及其有效通道，在Android、PC或其他通道下快捷调取快捷白板、批注、截图、冻屏等功能，并支持根据用户习惯任意调整显示顺序。快速切换Android/PC通道：用户可自定义在任意通道下通过侧边菜单中的主页键功能，快速进入Android或PC通道的系统桌面。快捷小工具：支持自定义侧边菜单中的小工具功能，用户在任意通道下可调取板中板、聚光灯、秒表、倒计时、倒计日等小工具，并支持根据用户习惯任意调整显示顺序。 支持开机画面自定义，方便学校根据需要，设置特定的开机欢迎语。整机具备DTMB数字接收功能，可接收地面波数字信号。手势识别：支持用户自定义手势操作，在任意通道下可自动识别上、下、左、右方向的五指滑动，快速实现返回、截图、冻屏、息屏等功能。</w:t>
            </w:r>
          </w:p>
          <w:p>
            <w:pPr>
              <w:spacing w:after="0" w:line="60" w:lineRule="atLeas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三、嵌入式系统</w:t>
            </w:r>
          </w:p>
          <w:p>
            <w:pPr>
              <w:spacing w:after="0" w:line="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PC状态下，嵌入式安卓操作系统可实现windows系统中常用的教学应用功能，如白板书写、Office软件使用、网页浏览等。在嵌入式安卓操作系统下，能对TV多媒体USB所读取到的课件文件进行自动归类，可快速分类查找office文档、多媒体、图片等文件，检索后可直接在界面中打开。（</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）无PC状态下，嵌入式互动白板支持书写及手掌擦除（手掌擦除识别面积根据手掌与屏幕的接触面大小自动调整），支持10种以上平面图形工具，及8种以上立体图形工具，白板书写内容可导出PDF、 iwb、svg等格式。支持单点书写和多点书写的切换，满足老师的不同使用习惯（</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）。无PC状态下，嵌入式安卓操作系统支持超级计算器功能，可进行初级计算、方程（组）智能求解、自动求导求积分等操作；该计算器还可根据用户输入的函数，智能绘制函数图像，提升老师课堂效率（</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）。无PC状态下，嵌入式互动白板支持不同背景颜色，同时提供学科专用背景，如：五线谱、信纸、田字格、英文格、篮球和足球场地平面图等。</w:t>
            </w:r>
          </w:p>
          <w:p>
            <w:pPr>
              <w:spacing w:after="0" w:line="60" w:lineRule="atLeas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四、Windows系统（内置电脑）</w:t>
            </w:r>
          </w:p>
          <w:p>
            <w:pPr>
              <w:spacing w:after="0" w:line="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采用模块化电脑方案，抽拉内置式，按压式卡扣，无需工具即可快速拆卸电脑模块。采用120pin或以上接口，实现无单独接线的插拔。处理器：Intel Core i5,主频为四核四线程，内存：4G DDR4笔记本内存或以上配置，硬盘：128G或以上SSD固态硬盘。操作系统：WIN 10 专业版.具有独立非外扩展的电脑USB接口：电脑上至少6个USB接口，其中至少包含2个USB3.0接口。提供微软出具的授权教育合作伙伴资质证明（AEP）。具有独立非外扩展的视频输出接口：≥1路HDMI ；≥1路DP。具有标准PC防盗锁孔，确保电脑模块安全防盗。内置网卡：支持10M/100M/1000M自适应</w:t>
            </w:r>
          </w:p>
          <w:p>
            <w:pPr>
              <w:widowControl w:val="0"/>
              <w:numPr>
                <w:ilvl w:val="0"/>
                <w:numId w:val="13"/>
              </w:numPr>
              <w:adjustRightInd/>
              <w:snapToGrid/>
              <w:spacing w:after="0" w:line="60" w:lineRule="atLeas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软件功能</w:t>
            </w:r>
          </w:p>
          <w:p>
            <w:pPr>
              <w:spacing w:after="0" w:line="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1.备授课一体化，具有备课模式及授课模式，且操作界面根据备课和授课使用场景不同而区别设计，符合用户使用需求。支持老师个人账号注册登录使用，也可通过USB key进行身份快速识别登录。课件云存储，无需使用U盘等存储设备，老师只需联网登录即可获取云课件。2. 数学学科工具：（1）几何图形绘制：支持输入任意长度线条，并可设置为线段、射线；支持输入任意边数及角度的图形，可显示或隐藏角度大小，并可直接通过修改角度编辑图形；支持输入任 意角度的扇形及圆形，可显示角度大小；支持绘制立方体、圆柱体等立体几何图形；支 持任意调节立体几何图形的尺寸，改变长宽高比例支持为长方体6个面分别涂色，并且可通过任意旋转观察涂色与未涂色的表面。提供中央电化教育馆教学资源库授权说明函。（2）支持复杂数学公式输入，提供不少于20个数学符号及模板，输出的公式内容支持不同颜色标记及二次编辑。包含一次函数、二次函数、幂函数、指数函数、对数函数、三角 函数等，覆盖小学、初中、高中所有的常见函数类型。可缩放函数图像与坐标轴，可显 示坐标网格，函数图生成后可重新编辑，支持输入函数表达式后，即时生成对应的函数 图像，软件自带专业函数输入键盘，包含数学学科常用的各类函数符号，如sin、cos、 tan、log、ln、e、π、根号、绝对值符号等；支持同时绘制6个及以上函数表达式，可显示函数与函数图像彼此相交、函数与坐标轴相交的交点坐标。3. 地理学科教学工具：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4.思维导图：提供思维导图、鱼骨图及组织结构图编辑功能，可轻松增删或拖拽编辑内容节点，并支持在节点上插入图片、音频、视频、网页链接、课件页面链接。支持思维导 图逐级、逐个节点展开，并可任意缩放，满足不同演示需求。5.化学方程式编辑器：支持化学方程式快速编辑，当输入一个化学元素时，软件界面将自动显示出和该元素相关的多个常用化学反应方程式，老师可直接选择使用。插入后的化学方程式可重新编辑。要求提供触摸式菜单设置管理软件、多媒体课件制作展示软件、在线资源服务管理网站系统的软件著作权登记证书（并提供网络截图验证）6、移动互联系统（移动展台功能）：支持Android 4.0及IOS 7.0以上版本系统。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 u盘文件直读、一键切换电脑窗口文件、模拟鼠标等功能；，方便教师及时分享各类资源。要求提供无线互联应用软件著作权证书</w:t>
            </w:r>
            <w:r>
              <w:rPr>
                <w:rFonts w:hint="eastAsia" w:asciiTheme="minorEastAsia" w:hAnsiTheme="minorEastAsia" w:eastAsiaTheme="minorEastAsia" w:cstheme="minorEastAsia"/>
                <w:color w:val="auto"/>
                <w:sz w:val="24"/>
                <w:szCs w:val="24"/>
                <w:lang w:eastAsia="zh-CN"/>
              </w:rPr>
              <w:t>复印件</w:t>
            </w:r>
            <w:r>
              <w:rPr>
                <w:rFonts w:hint="eastAsia" w:asciiTheme="minorEastAsia" w:hAnsiTheme="minorEastAsia" w:eastAsiaTheme="minorEastAsia" w:cstheme="minorEastAsia"/>
                <w:color w:val="auto"/>
                <w:sz w:val="24"/>
                <w:szCs w:val="24"/>
              </w:rPr>
              <w:t>。提供软件成熟度认证证书</w:t>
            </w:r>
            <w:r>
              <w:rPr>
                <w:rFonts w:hint="eastAsia" w:asciiTheme="minorEastAsia" w:hAnsiTheme="minorEastAsia" w:eastAsiaTheme="minorEastAsia" w:cstheme="minorEastAsia"/>
                <w:color w:val="auto"/>
                <w:sz w:val="24"/>
                <w:szCs w:val="24"/>
                <w:lang w:eastAsia="zh-CN"/>
              </w:rPr>
              <w:t>复印件</w:t>
            </w:r>
            <w:r>
              <w:rPr>
                <w:rFonts w:hint="eastAsia" w:asciiTheme="minorEastAsia" w:hAnsiTheme="minorEastAsia" w:eastAsiaTheme="minorEastAsia" w:cstheme="minorEastAsia"/>
                <w:color w:val="auto"/>
                <w:sz w:val="24"/>
                <w:szCs w:val="24"/>
              </w:rPr>
              <w:t>。</w:t>
            </w:r>
          </w:p>
          <w:p>
            <w:pPr>
              <w:spacing w:after="0" w:line="60" w:lineRule="atLeas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六、其他要求</w:t>
            </w:r>
          </w:p>
          <w:p>
            <w:pPr>
              <w:spacing w:after="0" w:line="60" w:lineRule="atLeas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产品制造商需具备自主创新品牌。（2）设备使用培训服务：要求商认证培训讲师针对此项目设备开展的操作使用培训课（逐校，培训会为止），每次培训不低于2课时，供货前提供厂商针对培训服务的承诺函。设备硬件要求质保3年.</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壁挂式展台</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铝合金外壳，无锐角无利边设计。壁挂式安装，防盗防破坏。采用折叠开合式托板，展开后托板尺寸≥A4面积，收起时小巧不占空间。采用USB高速接口，单根USB线实现供电、高清数据传输需求。展台像素≥800万，自动对焦摄像头，A4拍摄幅面，输入输出分辨率1080P,1080P动态视频刷新率≥25帧/秒，光学变焦≥10X,数码≥10X，输出格式为MJPG等。解析度中间1600线，四周1400线。展台按键可实现一键启动展台画面、画面放大、画面缩小、画面旋转、拍照截图等功能，同时也支持在一体机或电脑上进行同样的操作。整机自带均光罩LED补光灯，光线不足时可进行亮度补充，亮度均匀。为保证兼容性及稳定性，视频展台需与交互智能平板为同一品牌厂家，提供视频展台的3C证书复印件。要求配套软件支持对展台实时画面进行放大、缩小、旋转、自适应、满屏、截图、锁定等操作。支持展台画面实时批注，预设多种笔划粗细及颜色供选择，且支持对展台画面联同批注内容进行同步缩放、移动。支持展台画面拍照截图并进行多图预览，可对任一图片进行全屏显示、删除等操作。可选择图像、文本或动态等多种情景模式，适应不同展示内容。</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推拉黑板</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一、外形尺寸：4000mm*1200mm。</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 产品结构：内外双层结构，根据所配一体机适当调整。</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 边框：外框铝型材正面尺寸≥68mm，壁厚≥1.2mm,香槟色工业铝型材。耐腐蚀、耐磨性达到GB/T5237-2008标准。内框铝型材正面尺寸≥50mm,壁厚1.0mm，香槟色工业铝型材，耐腐蚀、耐磨性达到GB/T5237-2008标准 。</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 书写板面：采用厚度为0.30mm高档墨绿色金属烤漆书写板，表面细致光洁，书写流畅，抗撞击、磨损、刮擦、不褪色，使用寿命10年以上。</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 采用环保型双组份聚氨酯胶水，自动化流水线覆板作业，确保粘接牢固板面平整，甲醛释放量≤0.2mg/L，符合GB/T 28231-2011《书写板安全卫生要求》。</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 夹层：采用高密度聚苯乙烯板做夹层，厚度≥18mm，面层平整，无折痕，不变形，吸音强且环保，书写无噪音。</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 背板：采用高档优质镀锌板，厚度≥0.27mm，板面平整，镀层牢固、光滑而均匀。</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 外框四角与绿板四角采用ABS工程塑料，模具一次成型，抗冲击力强。</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 整套书写板的两端装置固定挡板，并设有滑动缓冲胶垫，缓解滑动发出的噪音以及强烈碰撞造成的损坏。配置带拉手的高档锌合金镶嵌式钩锁。</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十、 滑轨与外框整体成型，具备独立、隐形的特点。滑轮采用隐形安装、传动，不露一根螺钉。滑轮后置，隔离滑轮与粉笔灰的接触面，杜绝长期使用后，因粉笔灰沉积导致书写板推拉困难，杜绝滑轮脱轨。          </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签订合同时提供</w:t>
            </w:r>
            <w:r>
              <w:rPr>
                <w:rFonts w:hint="eastAsia" w:asciiTheme="minorEastAsia" w:hAnsiTheme="minorEastAsia" w:eastAsiaTheme="minorEastAsia" w:cstheme="minorEastAsia"/>
                <w:color w:val="auto"/>
                <w:sz w:val="24"/>
                <w:szCs w:val="24"/>
              </w:rPr>
              <w:t>投标产品制造厂家的授权书及售后服务承诺原件。</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2、通过GB6675.1-2014–可迁移元素检测。</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3、通过GB/T2912.1-2009甲醛安全检测。</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4、具有环境标志（II）型产品认证证书。</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无线传屏</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1、可实现外部电脑音视频高清信号实时传输到触摸一体机上（无论一体机处于任何显示通道），且可支持触摸信号回传。2、支持操作系统：Win7/Win10/MacOS（</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）3、传输延迟小于120ms，帧率达到15fps-25fps，无线频段：IEEE 802.11 a/b/g/n，5.8GHz4、采用USB接口进行传输，可兼容市面上具备通用USB接口的各类电脑。（</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）5、采用单按键设计，只需按一下即可传屏，无需在触摸一体机上做任何操作。（</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）6、支持同时八个传屏发射端对应一个接收端，可通过按键切换传输不同外部电脑的画面及声音。（</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）7、支持外部电脑在触摸一体机上做扩展屏显示。（</w:t>
            </w:r>
            <w:r>
              <w:rPr>
                <w:rFonts w:hint="eastAsia" w:asciiTheme="minorEastAsia" w:hAnsiTheme="minorEastAsia" w:eastAsiaTheme="minorEastAsia" w:cstheme="minorEastAsia"/>
                <w:color w:val="auto"/>
                <w:sz w:val="24"/>
                <w:szCs w:val="24"/>
                <w:lang w:eastAsia="zh-CN"/>
              </w:rPr>
              <w:t>提供第三方权威检测机构所出具的检测报告</w:t>
            </w:r>
            <w:r>
              <w:rPr>
                <w:rFonts w:hint="eastAsia" w:asciiTheme="minorEastAsia" w:hAnsiTheme="minorEastAsia" w:eastAsiaTheme="minorEastAsia" w:cstheme="minorEastAsia"/>
                <w:color w:val="auto"/>
                <w:sz w:val="24"/>
                <w:szCs w:val="24"/>
              </w:rPr>
              <w:t>）8、无线传屏接收端与整机显示终端之间无任何连接线。</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提供第三方权威检测机构所出具的检测报告</w:t>
            </w:r>
            <w:r>
              <w:rPr>
                <w:rFonts w:hint="eastAsia" w:asciiTheme="minorEastAsia" w:hAnsiTheme="minorEastAsia" w:eastAsiaTheme="minorEastAsia" w:cstheme="minorEastAsia"/>
                <w:color w:val="auto"/>
                <w:sz w:val="24"/>
                <w:szCs w:val="24"/>
                <w:highlight w:val="none"/>
              </w:rPr>
              <w:t>）</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云教师机</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1.为保证教学软件及考试系统的兼容效果和稳定运行，所有终端均需采用x86架构，且为国内自主品牌；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2.云终端要求内置虚拟桌面系统，能够做到免身份验证登录虚拟桌面，避免使用时的麻烦问题；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3.配置≥Intel第八代四核四线程处理器（处理器主频≥3.6GHz）；内存≥8GB，显卡≥Intel HD 630；本地存储≥256 GB SSD；</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4.配置≥21.5寸显示器，分辨率≥1920×1080；</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5.USB接口≥6个（包含≥2个USB 3.0接口），≥1个千兆网口，≥1个HDMI接口，≥1对音频输入输出接口；</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6.配置≥1个内存扩展槽，≥1个SATA扩展接口，可扩展1个2.5英寸硬盘；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7.具备独立的关屏功能键，可实现一键关闭屏幕显示，但系统不会休眠或者关机，方便用户打开显示器后的流畅使用体验，要求提供产品实物图，并标注清楚关屏功能键和电源键的位置；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8.为保障所投设备质量优异，可靠性高，要求所投设备平均故障间隔时间（MTBF）不低于120000小时，并提供第三方权威证书和测试报告复印件，其中证书需官方可查并提供官方查询链接。</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9.配置铝合金一体化压铸底座；</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10.为了保证产品质量，所投设备需要具备CCC认证并提供证书复印件。</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11．配置云桌面原厂商键盘鼠标。</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云学生终端</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1.为保证教学软件及考试系统运行的兼容稳定，所有终端均需采用x86架构，且为国内自主品牌；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2.云终端要求内置虚拟桌面客户端程序，能够做到免身份验证登录虚拟桌面，避免使用时的麻烦问题；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3.处理器不低于4核心，主频1.44 GHz，睿频1.92 GHz缓存2M；要求配置内存容量≥2GB，内置存储空间≥32GB；</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4.USB接口≥6个（包含≥1个USB 3.0接口），≥1个千兆网口，≥1个VGA接口，≥1个HDMI接口，≥1对音频输入输出接口；</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5.产品为避免固资丢失，所投产品要求设计有防盗功能，防盗设计需要简洁美观，与显示器融合一体，节省空间；</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6.为保证产品便于安装摆放，产品需提供支持VESA标准背挂装置；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7.为保证设备可以在更多复杂场景使用，尤其是设备需要在封闭的不易触碰开关的环境中使用，设备需提供可延长外接开关的接口，提供设计说明图；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8.为简化管理，云终端要求为低功耗无风扇设计，平均功耗≤6W；</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为保证最佳兼容体验，终端底层要求提供windows操作系统，应用软件可以安装在终端本地windows系统中，并且本地软件和虚拟桌面的软件可以同时使用。提供添加本地软件界面截图、本地软件和虚拟桌面软件同时运行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10.为保障课堂教学可靠性，当终端与云主机网络中断后，仅虚拟桌面断开，本地软件仍可继续使用，维持教学状态。提供断网后本地软件运行的截图；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11.为保障教学效果，在54个桌面并发时，需支持Scraino、3Done、爱剪辑软件流畅运行；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12.为降低管理维护工作量，在1台终端安装软件后，支持在Web后台制作终端系统ISO文件，云主机批量将系统包下发至所有终端即可完成软件安装。提供终端系统ISO制作和终端批量升级界面截图；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13.支持挂载云主机中的虚拟磁盘，实现虚拟桌面和本地系统数据互通，在虚拟桌面和本地系统中均可以读取、存储磁盘中的数据。提供操作界面截图；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14.管理员可以设置终端是否启用本地系统桌面，启用后可以一键切换虚拟桌面和本地桌面，提供设置页面截图；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15.支持U盘智能识别挂载，虚拟桌面关闭时自动加载到本地系统，虚拟桌面开启时自动加载到虚拟桌面中，提供操作界面截图；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16.为方便教学，支持教师在教学管理软件中控制切换本地桌面与虚拟桌面，提供软件界面截图；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17.提供3C认证证书。</w:t>
            </w:r>
          </w:p>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 配置云桌面原厂商键盘鼠标。</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918台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云教学管理软件</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要求提供多种教学模式以应对不同的教学需求，包括信息课模式、考试模式等多种模式，并可根据学校实际教学需求增加自定义场景模式，每个模式下提供不同的教学镜像，切换模式时，云终端硬件无需重新启动，要求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为简化管理和使用方面，要求一套教学管理软件能够实现教学业务，同时能够进行终端管理，比如禁网、终端参数配置、终端编号等，不接受在教师机上安装多个软件来实现教学管理和终端管理功能，要求提供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通过教学管理软件，一键关闭云终端后，所有终端自动关闭（虚拟机与物理终端同时关闭）；通过教学管理软件，一键开启所有云终端后，终端自动启动并进入对那个的课程镜像桌面；通过教学管理软件，一键关闭服务器和云终端后，服务器和云终端都被关闭，针对此功能需提供权威测试机构出具的检验报告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4.为简化教学，教学管理软件需要提供远程终端编号功能，并与云桌面编号一一对应，方便上课前的学生点名等，针对此功能需提供权威测试机构出具的检验报告复印件；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支持老师将选中的文件分发给学生，可以分发给所有学生，也可以分发给指定学生；同时支持学生直接将文件提交给老师，使用100M的rar文件，60台传输时间在55s以内，针对此功能需提供权威测试机构出具的检验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6.支持老师对单一、部分、全体学生进行黑屏操作，黑屏状态下，学生的机器被锁定，要求提供功能截图；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为保证正常教学使用，教师机和学生终端完成正常开机，服务器处于关闭状态，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针对此功能需提供权威测试机构出具的检验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8.为方便教学控制，支持通过教学管理软件实现一键禁止任意分学生上网，禁网同时需要支持屏幕广播、屏幕查看等正常教学应用；</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最小化托盘：为方便教师课堂教学时进行快捷操作，支持教学管理软件一键切换为托盘状态，托盘上应有屏幕广播，发送文件，随堂测试，作业空间，以及禁网、禁USB、锁屏等常用教学功能。为保证后续使用效果需提供上述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教学管理软件默认提供作业布置、批改、管理和成绩统计功能组件，提供学生作业的归档和打包下载；支持老师在作业空间为多个或单个班级的学生布置作业，布置内容可支持各种文件格式。老师可以对作业上交截止时间进行设置；支持学生通过学生客户端将作业交给老师，学生可以看到自己是第几名提交作业的人，第一个提交的学生可以看到表扬的提示语；</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11.支持老师在作业空间选择要布置的班级和年级，可以上传附件，完成作业布置后，学生账号登陆后立即能看到老师布置的作业，无延时；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12.支持老师在线打开学生作业，格式至少包括Word、Flash、Excel、PPT、图片。在线查看学生作业后，可以在作业空间中打分并录入评语，为保证后续使用效果需提供上述功能截图；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分组教学：支持老师对学生进行分组，分组时老师可以在软件界面根据学生姓名分组，每个班可以保存分组信息。老师可以指定小组组长，组名可以由组长和老师重命名。可记录小组总得分与小组内成员对小组的贡献值，同一组内的学生可以相互传送文件，针对此功能需提供权威测试机构出具的检验报告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14.为避免U-Key丢失和兼容性以及安全性问题，授权方式必须为文件授权方式，而非U-Key授权的方式。针对授权方式需要提供服务器文件授权界面截图；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15.教学管理软件必须为自主研发，非OEM 产品，要求提供中华人民共和国国家版权局颁发的软件著作权登记证证书复印件；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16.为保证售后服务一致性，要求云教室服务器、云学生终端、云教师机、显示器、键盘鼠标、云教学管理软件、网络连通设备同一品牌，保证平台联动时的兼容性和可靠性。</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云教室服务器</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1.为简化维护管理，要求云服务器为软硬一体化国产品牌设备，不接受软硬拆分方案；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2.云服务器要求为19英寸工业标准2U机架式服务器，能够支持至少60用户虚拟桌面并发；</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3.CPU配置不低于2颗Intel Xeon E5-2650 V4处理器，单颗CPU不低于12核心，主频不低于2.2GHz，30MB缓存；内存插槽数≥20个，配置内存≥128GB DDR4，内存要求支持ECC，速率不低于2400MHz，支持最大内存≥640GB；可插拔硬盘槽位≥8个，同时兼容2.5英寸和3.5英寸尺寸硬盘，本次要求配置SSD容量≥480GB; 配置机械硬盘≥2TB 7200转128M缓存的SATA3.0企业级硬盘。配置≥550W高效能白金80Plus服务器电源，标配滑动式机柜导轨；</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4.要求主板集成RAID控制器，能够支持0/1/10级别RAID；</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5.为了保证产品质量，所投云服务器需要具备CCC认证并提供证书及测试报告的复印件；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6.为防止人体触电，要求所投服务器产品满足抗电强度要求：电源初级与地之间施加AC1500V产品无击穿现象，针对此功能需提供权威测试机构出具的证书复印件；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为防止静电干扰导致服务器出现宕机状态，要求所投服务器产品满足静电放电抗扰度要求：（1）对EUT施加接触放电±4KV，设备不会出现异常现象；（2）空气放电±8KV，设备不会出现异常现象，针对此功能需提供权威测试机构出具的证书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8.云服务器管理平台支持服务器CPU、内存、硬盘占用率数据，需提供管理界面截图；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9.云服务器要求出厂预装服务器虚拟化软件等桌面云组件，无需单独购买和配置虚拟化软件；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10.云服务器要求能够满足多种操作系统镜像发布，以满足学校教学使用，Windows系统必须包含Windows XP、Windows 7、Windows 8、Windows 10，Linux系统必须包含Ubuntu、Centos、Fedora系统，提供功能截图；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11.所有课程镜像要求通过云服务器后台管理界面实现统一管理，要能够实现镜像系统上传，镜像添加、快照、修改、复制、备份和删除等功能，提供功能截图；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12.要求云服务器能够支持多种考试场景，如国家计算机一、二级等级考试，学业水平考试等；</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13.提供内置账号管理功能，无需依赖第三方身份系统，能够实现学生和老师账号集中管理，包括账号创建、批量导入、修改、删除等操作；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14.云服务器后台提供消息管理功能，能够对接收的消息进行存储和查看，当信息未读时能够在后台进行标识提醒，提供功能截图；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15.云服务器要求支持设置定时任务，能够定时关闭云主机、重启云主机、关闭云终端，可按照每天或者每周设置周期性任务，具体时间点能够设置到时分秒，提供功能截图；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16.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提供功能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17.云服务器支持在线升级，云服务器可以检测更新可升级版本，可以对版本信息进行查看（包括但不限于升级包含的组件、升级包的版本号、版本描述、版本新特性等），对于检测到的升级版本，可以根据客户需要进行升级或删除，提供功能操作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18.云服务器底层虚拟化系统必须为自主研发系统，要求提供中华人民共和国国家版权局颁发的云服务器底层操作系统的软件著作权登记证证书复印件。</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显示器</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1.配置≥21.5寸 WLED，分辨率≥1920×1080，≥1个VGA接口 ，≥1个DVI接口；</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2.硬件形态：为保障使用时的动态清晰度、色彩还原准确、可视角度等方面的体验，需采用IPS屏，水平及垂直可视角度≥178°，亮度≥250 cd/m²，对比度≥1,000:1；</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3.为了保证产品质量，所投设备提供三年质保；</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4.为了保证产品质量，所投设备需要具备CCC认证并提供证书复印件。</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918台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48口交换机</w:t>
            </w:r>
          </w:p>
        </w:tc>
        <w:tc>
          <w:tcPr>
            <w:tcW w:w="7888" w:type="dxa"/>
            <w:tcBorders>
              <w:top w:val="single" w:color="000000" w:sz="6" w:space="0"/>
              <w:left w:val="single" w:color="000000" w:sz="6" w:space="0"/>
              <w:bottom w:val="single" w:color="000000" w:sz="6" w:space="0"/>
              <w:right w:val="single" w:color="000000" w:sz="6" w:space="0"/>
            </w:tcBorders>
            <w:vAlign w:val="center"/>
          </w:tcPr>
          <w:p>
            <w:pPr>
              <w:pStyle w:val="53"/>
              <w:spacing w:before="0" w:after="0" w:line="60" w:lineRule="atLeast"/>
              <w:ind w:left="0" w:firstLine="0" w:firstLineChars="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rPr>
              <w:t>1. 交换容量≥3.3Tbps ，转发性能≥165Mpps；</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2. 固化10/100/1000M以太网端口≥48，固化1G SFP光接口≥4个；整机最大可用千兆口≥52；</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3. 要求所投设备MAC地址≥16K，ARP表项≥1000条,FIB表项≥500；</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4. 要求所投产品必须涂装三防漆，充分提升设备绝缘、防潮、防腐蚀、防霉、防盐雾等性能,提供官网截图及查询链接；</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5. 要求所投产品支持防雷等级≥10KV，要求提供官网截图及测试报告作为证明；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6. 支持静态路由、RIP/RIPng、OSPFv2/OSPFv3等三层路由协议, 支持SNMPv1/v2C/v3、CLI(Telnet/Console)、RMON(1,2,3,9)、SSH、Syslog、NTP/SNTP、FTP、TFTP、Web；</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7. 支持专门基础网络保护机制的NFPP功能，支持多种类型的防护，如ARP防护，当ARP速率超过攻击水线，对有攻击行为的用户进行隔离，保证设备和整网的安全稳定运行，提供第三方权威机构检验报告证明；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8. 支持专门针对CPU的保护机制，能够针对发往CPU处理的各种报文进行流量控制和优先级处理，保护交换机在各种环境下稳定工作；</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10.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提供第三方权威机构检验报告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11. 要求所投产品支持openflow 1.3协议；</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12. 提供工信部设备进网许可证；</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24口交换机</w:t>
            </w:r>
          </w:p>
        </w:tc>
        <w:tc>
          <w:tcPr>
            <w:tcW w:w="7888" w:type="dxa"/>
            <w:tcBorders>
              <w:top w:val="single" w:color="000000" w:sz="6" w:space="0"/>
              <w:left w:val="single" w:color="000000" w:sz="6" w:space="0"/>
              <w:bottom w:val="single" w:color="000000" w:sz="6" w:space="0"/>
              <w:right w:val="single" w:color="000000" w:sz="6" w:space="0"/>
            </w:tcBorders>
            <w:vAlign w:val="center"/>
          </w:tcPr>
          <w:p>
            <w:pPr>
              <w:pStyle w:val="53"/>
              <w:spacing w:before="0" w:after="0" w:line="60" w:lineRule="atLeast"/>
              <w:ind w:left="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rPr>
              <w:t>1. 交换容量≥3.3Tbps ，转发性能≥125Mpps；</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2. 固化10/100/1000M以太网端口≥24，固化1G SFP光接口≥4个，整机最大可用千兆口≥28；</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3. 要求所投设备MAC地址≥16K，ARP表项≥1000条,FIB表项≥500；</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4. 为提升设备适应恶劣环境能力，采用无风扇设计，减少外部污染物的流入，提供官网截图；</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5. 要求所投产品支持防雷等级≥10KV，要求提供官网截图及测试报告作为证明；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6. 支持静态路由、RIP/RIPng、OSPFv2/OSPFv3等三层路由协议, 支持SNMPv1/v2C/v3、CLI(Telnet/Console)、RMON(1,2,3,9)、SSH、Syslog、NTP/SNTP、FTP、TFTP、Web；</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7. 支持专门基础网络保护机制的NFPP功能，支持多种类型的防护，如ARP防护，当ARP速率超过攻击水线，对有攻击行为的用户进行隔离，保证设备和整网的安全稳定运行，提供第三方权威机构检验报告证明；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8. 支持专门针对CPU的保护机制，能够针对发往CPU处理的各种报文进行流量控制和优先级处理，保护交换机在各种环境下稳定工作；</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10.支持虚拟化功能，最多可将9台物理设备虚拟化为一台逻辑设备统一管理，并且链路故障的收敛时间≤30ms，提供第三方权威机构检验报告证明；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11.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提供第三方权威机构检验报告证明；</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12. 要求所投产品支持openflow 1.3协议；</w:t>
            </w:r>
            <w:r>
              <w:rPr>
                <w:rFonts w:hint="eastAsia" w:asciiTheme="minorEastAsia" w:hAnsiTheme="minorEastAsia" w:eastAsiaTheme="minorEastAsia" w:cstheme="minorEastAsia"/>
                <w:color w:val="auto"/>
                <w:sz w:val="24"/>
                <w:szCs w:val="24"/>
                <w:lang w:val="en-US"/>
              </w:rPr>
              <w:br w:type="textWrapping"/>
            </w:r>
            <w:r>
              <w:rPr>
                <w:rFonts w:hint="eastAsia" w:asciiTheme="minorEastAsia" w:hAnsiTheme="minorEastAsia" w:eastAsiaTheme="minorEastAsia" w:cstheme="minorEastAsia"/>
                <w:color w:val="auto"/>
                <w:sz w:val="24"/>
                <w:szCs w:val="24"/>
                <w:lang w:val="en-US"/>
              </w:rPr>
              <w:t>13. 提供工信部设备进网许可证。</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机柜</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1.外形尺寸：宽600深1000高22U。</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2.标准：本机柜符合ANSI/EIA RS-310-D、IEC297-2、DIN41491;PART1、DIN41494;PART7、GB/T3047.2-92标准；兼容ETSI标准。</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3.基材：方孔条与安装梁：耐指纹敷铝锌板，厚度：设备安装方孔条2.0MM，框架1.5MM，其它1.2MM；其余：全部采用SPCC优质冷轧钢板。</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4.侧门及顶部：可方便拆卸的左右侧门和后门，顶部可按需要安装配有4只风扇的风扇模块，一次解决机械保护，通风散热，机械防尘的使用要求。</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5.前后门：单开平板六角网孔前后门，网孔通风率为75%，前后门免焊加强筋结构，美观牢固，前后门配高级典雅锁。</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6.框架：全新拼装式焊接框架,牢固可靠。</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7.方孔条：2.0MM镀锌方孔条，使得安装在方孔条上设备消除静电干扰，保护设备安全。方孔条上清晰的U位丝印和凹口定位，方便设备安装。</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8.承重：400KG。</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9.并柜：可提供专业组件实现多柜并柜安装。</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10.表面处理：脱脂、陶化、静电喷塑。</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11.涂层：哑光波纹塑粉涂层，颜色：采用流行色RAL7035或RAL9004。</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12.外表面无明显划伤、碰伤、针孔、颗粒，无附着性污渍，涂层无裂纹、起泡、起皮、掉漆现象，内表面及角弯处无喷涂露底。涂层均匀，纹路大小一致，各部件无明显色差。</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13.机柜外观：外观及内部做工精细，折弯线条平直，门板平整，角弯处整洁，无毛刺、焊渣, 不划伤设备表面保护安装操作维护人员双手。零件没有非正常变形。门开启灵活，无擦碰，无异响。</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14.接地：机柜制有M6接地螺柱和M5接地螺柱安装孔所有零件可以用接地线套件（选配件）接地互联，接地保护安全可靠，另可按客户要求增加接地铜排。</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15.安装尺寸精度：19”标准安装，精准的尺寸，保障用户设备顺利安装。</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16.方孔条任意一个单元内相邻两安装孔中心距：12.7±0.2mm。</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17.方孔条任意相邻两个单元中心距：44.45±0.3mm。</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18.方孔条任意两个单元中心距误差：&lt;±0.4mm。</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19.相邻两方孔条安装孔中心距：465±1.6mm。</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20.紧固件：不锈钢或表面镀彩锌，24小时盐雾试验不锈蚀。</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21.风扇：3C认证风扇，噪声小于60分贝，无安装板振动声。</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22.排插：3C认证排插，保障用户的设备安全无忧。</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23.标配：8位国标电源排插1个,固定板部件1块, 2"重型脚轮4只,M12支脚4只,M6方螺母螺钉40套,内六角扳手1只。</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24.所提供的产品通过泰尔认证，第三方检测报告，3C等。</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超六类双绞线</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选用高质量的材料制成，保证25年性能不变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精确的不同线对扭绞节距搭配和平衡设计，减小了近端串扰损耗（NEXT）。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所有使用聚氯乙烯(PVC)材质，放射性有害金属控制在国际最严格标准内。</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若护套材料使用聚乙烯(PE)材质则适用于室外架空或管道等场地，可防止潮气入侵，护套上有清楚的品牌、公司、长度标记，方便确认和施工。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阻抗： (f=1-250MHz)100±15%Ω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物理带宽： 250MHz</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工作电容：≤5.0nF/100米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延迟偏差：≤45ns/100m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额定传输速率(NVP):：68%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电缆直径 ：6.2±0.2mm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绝缘电阻 ：≥ 5000MΩ/km (+20℃ DC (100-500)</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操作温度 ：-20~60℃</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抗拉力 ：13.5MPa / 10MPa </w:t>
            </w:r>
            <w:bookmarkStart w:id="97" w:name="_GoBack"/>
            <w:bookmarkEnd w:id="97"/>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护套材料 ：室内：聚氯乙烯(PVC)或低烟无卤（LSZH） 室外：聚乙烯(PE)</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绝缘材料 ：HDPE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导体材料和直径：无氧圆铜线（纯度99.99%）23AWG 0.57±0.01mm</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最小弯曲半径：室内/室外：4/10倍电缆外径</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符合标准：GB 50311-2016; ISO/IEC 11801-2011; EIA/TIA 568C.2;YD/T 1019-2013等</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提供近一年内网线单体第三方检测报告以及近两年内信道及永久链路检测报告加盖公章复印件，提供近一年内六节点信道及永久链路检测报告加盖公章复印件。</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68箱</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桌椅</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名称：双人电脑桌</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结构：钢木结构</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规格：1200*600*750</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1.台面：采用25mm厚E1级三聚氰胺板,  满足室内装饰材料人造板及其制品中的甲醛释放量标准要求并能够提供检测报告；1.5mm厚PVC本色封边,易清洁、耐磨、耐烟酌、抗污染，经久耐用，造型美观等特点，台面上带有穿线盒。</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2.台面颜色：胡桃木色</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台身：立腿框架采用40*40*1.0mm厚优质方管，立腿下封板采用0.6mm厚优质冷轧钢板。桌后背板钢制带通气孔，高度不小于400mm。上封板采用18mm厚三聚氰胺板带穿线孔。桌面下部后方设有接线托板，托板上带有方便连接主机的穿线孔，可架线。</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4.结构：每张桌可供2座，带有两个塑料键盘。</w:t>
            </w:r>
          </w:p>
          <w:p>
            <w:pPr>
              <w:spacing w:after="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名称：方凳</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结构：钢木结构</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规格：340*240*440</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1.凳面：采用25mm厚E1三聚氰胺板，环保无异味，易清洁、耐磨、耐烟酌、抗污染，经久耐用，造型美观等特点。</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2.凳面颜色：胡桃木色</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3.凳架：立腿采用25*25*1.2mm优质方管，上下部一圈焊接有20*20*1.0mm优质方管，从而保证了方凳的稳固、结实、耐用。</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4.连接：方凳面和凳架采用6颗自攻螺丝连接，立腿下部分别带有PP工程塑料内套和外套，耐磨、无噪音。</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具有环境标志（II）型产品认证证书， 2019教育装备会员证,400售后服务电话。</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line="6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476套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水晶头</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支持所有语音通讯,数据传输系统、多媒体等方面的高速应用。</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产品特性：</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1、先径：适用于多股线和单股线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2、符合T568A和T568B线序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3、适用于设备间或水平子系统的现场端接，外壳材料采用高密度聚乙烯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4、性能超过TIA/  EIA568C.2超五类/六类等相应标准  </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5、颜色：常规有透明、黄色、蓝色、红色、白色和黄绿色</w:t>
            </w:r>
          </w:p>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6、提供第三方检测报告，并提供证明文件。</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34盒</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插座板</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四位三相插孔，额定电流：10A 额定电压:250V 额定功率：2500W。</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510个</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布线槽</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所有线路用pvc线槽铺设，强弱电分离。</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电源线</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不小于4平方铜线，地线不小于2.5平方铜线，三色区分。</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136卷</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灭火器</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3公斤二氧化碳。</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34个</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系统集成</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17间教室强电弱电综合布线，所有设备安装调试及培训。</w:t>
            </w:r>
          </w:p>
        </w:tc>
        <w:tc>
          <w:tcPr>
            <w:tcW w:w="5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17套</w:t>
            </w:r>
          </w:p>
        </w:tc>
      </w:tr>
      <w:tr>
        <w:tblPrEx>
          <w:tblLayout w:type="fixed"/>
          <w:tblCellMar>
            <w:top w:w="0" w:type="dxa"/>
            <w:left w:w="28" w:type="dxa"/>
            <w:bottom w:w="0" w:type="dxa"/>
            <w:right w:w="28" w:type="dxa"/>
          </w:tblCellMar>
        </w:tblPrEx>
        <w:trPr>
          <w:trHeight w:val="1" w:hRule="atLeast"/>
          <w:jc w:val="center"/>
        </w:trPr>
        <w:tc>
          <w:tcPr>
            <w:tcW w:w="9494"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0" w:line="60" w:lineRule="atLeas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B云办公机备注：教室办公用机共945台，配发8所学校。</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服务器汇聚交换机</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固化端口：≥28个10/100/1000Mbps电口，≥4个复用千兆电口，≥4个SFP+光口，支持28*Gbe+4*10GbE 100%线速转发，设备可提供2个扩展槽，提供官网描述截图；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 交换容量≥5.9Tbps，包转发率≥340Mpps；</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 整机采用绿色环保设计，满负荷情况下电源功率≤50W，要求提供官网截图。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 工作温度0-50°，要求提供官网截图及链接；</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 为提升设备适应环境的能力，保证寿命更长，要求所投产品必须涂装三防漆，充分提升设备防腐蚀能力，符合GB-T2423.51标准，需提供第三方权威机构测试报告；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 支持RIP，OSPF，BGP，RIPng，OSPFv3，BGP4+，支持IGMP v1/v2/v3，IGMP v1/v2/v3 Snooping，支持PIM-DM，PIM-SM，PIM-SSM，PIM for IPv6 ；</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7.支持内置AC功能，实现有线无线一体化，最大可管理256个AP，同时支持集群功能，在主AC故障后可以切换到备AC，当主AC故障恢复后可切换回主AC，提供第三方权威机构检验报告证明；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 要求所投设备MAC地址≥64K，ARP表项≥20K，FIB表项≥12K，以</w:t>
            </w:r>
            <w:r>
              <w:rPr>
                <w:rFonts w:hint="eastAsia" w:asciiTheme="minorEastAsia" w:hAnsiTheme="minorEastAsia" w:eastAsiaTheme="minorEastAsia" w:cstheme="minorEastAsia"/>
                <w:color w:val="auto"/>
                <w:sz w:val="24"/>
                <w:szCs w:val="24"/>
                <w:lang w:eastAsia="zh-CN"/>
              </w:rPr>
              <w:t>第三方</w:t>
            </w:r>
            <w:r>
              <w:rPr>
                <w:rFonts w:hint="eastAsia" w:asciiTheme="minorEastAsia" w:hAnsiTheme="minorEastAsia" w:eastAsiaTheme="minorEastAsia" w:cstheme="minorEastAsia"/>
                <w:color w:val="auto"/>
                <w:sz w:val="24"/>
                <w:szCs w:val="24"/>
              </w:rPr>
              <w:t>权威评测机构的测试报告为准；</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 支持专门基础网络保护机制的NFPP功能，支持多种类型的防护，如ARP防护，当ARP速率超过攻击水线，对有攻击行为的用户进行隔离，保证设备和整网的安全稳定运行，提供第三方权威机构检验报告证明；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 提供工信部IPv4/IPv6 三层设备进网许可证；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 要求所投产品支持openflow 1.3协议；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 要求所投设备支持IPv6 Ready第二阶段认证证书；</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24口交换机</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交换容量≥3.3Tbps ，转发性能≥125Mpps；</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 固化10/100/1000M以太网端口≥24，固化1G SFP光接口≥4个，整机最大可用千兆口≥28；</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 要求所投设备MAC地址≥16K，ARP表项≥1000条,FIB表项≥500；</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 为提升设备适应恶劣环境能力，采用无风扇设计，减少外部污染物的流入，提供官网截图；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 要求所投产品支持防雷等级≥10KV，要求提供官网截图及测试报告作为证明；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 支持静态路由、RIP/RIPng、OSPFv2/OSPFv3等三层路由协议, 支持SNMPv1/v2C/v3、CLI(Telnet/Console)、RMON(1,2,3,9)、SSH、Syslog、NTP/SNTP、FTP、TFTP、Web；</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 支持专门基础网络保护机制的NFPP功能，支持多种类型的防护，如ARP防护，当ARP速率超过攻击水线，对有攻击行为的用户进行隔离，保证设备和整网的安全稳定运行，提供第三方权威机构检验报告证明；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 支持专门针对CPU的保护机制，能够针对发往CPU处理的各种报文进行流量控制和优先级处理，保护交换机在各种环境下稳定工作；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10.支持虚拟化功能，最多可将9台物理设备虚拟化为一台逻辑设备统一管理，并且链路故障的收敛时间≤30ms，提供第三方权威机构检验报告证明；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 要求所投产品支持openflow 1.3协议；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 提供工信部设备进网许可证。</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48口交换机</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交换容量≥3.3Tbps ，转发性能≥165Mpps；</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 固化10/100/1000M以太网端口≥48，固化1G SFP光接口≥4个；整机最大可用千兆口≥52；</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 要求所投设备MAC地址≥16K，ARP表项≥1000条,FIB表项≥500；</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 要求所投产品必须涂装三防漆，充分提升设备绝缘、防潮、防腐蚀、防霉、防盐雾等性能,提供官网截图及查询链接；</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 要求所投产品支持防雷等级≥10KV，要求提供官网截图及测试报告作为证明；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 支持静态路由、RIP/RIPng、OSPFv2/OSPFv3等三层路由协议, 支持SNMPv1/v2C/v3、CLI(Telnet/Console)、RMON(1,2,3,9)、SSH、Syslog、NTP/SNTP、FTP、TFTP、Web；</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 支持专门基础网络保护机制的NFPP功能，支持多种类型的防护，如ARP防护，当ARP速率超过攻击水线，对有攻击行为的用户进行隔离，保证设备和整网的安全稳定运行，提供第三方权威机构检验报告证明；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 支持专门针对CPU的保护机制，能够针对发往CPU处理的各种报文进行流量控制和优先级处理，保护交换机在各种环境下稳定工作；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提供第三方权威机构检验报告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 要求所投产品支持openflow 1.3协议；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 提供工信部设备进网许可证；</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云办公终端</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1.为保证办公环境软件稳定运行，所有终端均需采用x86架构，且为国内自主品牌；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2.云终端要求内置虚拟桌面系统，能够做到免身份验证登录虚拟桌面，避免使用时的麻烦问题；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3.配置≥Intel第八代四核四线程处理器（处理器主频≥3.6GHz），内存≥8GB，显卡≥Intel HD 630，本地存储≥256 GB SSD；</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4.配置≥21.5寸显示器，分辨率≥1920×1080；</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5.USB接口≥6个（包含≥2个USB 3.0接口），≥1个千兆网口，≥1个HDMI接口，≥1对音频输入输出接口；</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6.配置≥1个内存扩展槽，≥1个SATA扩展接口，可扩展1个2.5英寸硬盘；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7.具备独立的关屏功能键，可实现一键关闭屏幕显示，但系统不会休眠或者关机，方便用户打开显示器后的流畅使用体验，要求提供产品实物图，并标注清楚关屏功能键和电源键的位置；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8.具备屏幕亮度调节功能键。可实现屏幕亮度增加、减弱功能；</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9.配置铝合金一体化压铸底座；</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10.为保障所投设备质量优异，可靠性高，要求所投设备平均故障间隔时间（MTBF）不低于120000小时，并提供第三方权威机构证书和测试报告复印件并加盖公章，其中证书需官方可查并提供官方查询链接；</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11.终端支持完全离线模式，即在云办公服务器故障时，依然可使用当前正在使用的镜像环境，保障业务连续性。（需提供功能界面截图）；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12.支持终端显卡透传，能够将终端物理显卡透传至虚拟机中。（需提供功能界面截图）；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13.支持主流图形设计类软件，如autoCAD、3DMAX、PS等流畅运行，保障业务平稳开展。（需提供功能界面截图）；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14.为了适用不同的业务应用场景，终端支持多种模式切换，包含但不限于个人桌面使用的个性化模式、公共桌面使用的还原模式、公共查询端使用的无账号公用模式。要求提供实际操作截图；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15.终端支持在第八代CPU下运行XP及win7等老系统。要求提供实际操作截图；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16.终端支持U盘传输镜像，并可将终端转化为镜像分发服务端，对外快速分发镜像。要求提供实际操作截图；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17.支持双屏扩展显示， 双屏异显（扩展屏）、双屏同显（复制屏）；</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18.配套云桌面原厂商键盘鼠标、投标终端提供3C证书。</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945套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r>
      <w:tr>
        <w:tblPrEx>
          <w:tblLayout w:type="fixed"/>
          <w:tblCellMar>
            <w:top w:w="0" w:type="dxa"/>
            <w:left w:w="28" w:type="dxa"/>
            <w:bottom w:w="0" w:type="dxa"/>
            <w:right w:w="28" w:type="dxa"/>
          </w:tblCellMar>
        </w:tblPrEx>
        <w:trPr>
          <w:trHeight w:val="90"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云办公管理软件</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1.可以与云桌面实现联动，在用户登录云桌面时自动登录，不需二次身份认证；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2.提供个人存储空间，实现个人云盘文件的存储、分享等功能，以上功能需提供实际操作截图，为方便后续老师办公使用，本次云服务器下挂所有云终端，每个终端至少分配35G云盘空间；</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可根据实际情况建立不同的分组，分组由群主进行管理，可删除文件，群组成员可在组内进行资源上传、查看、下载等操作。文件内容可支持文本、图片、PPT、WORD、EXCEL、音频等种文件格式。支持按照用户组织结构自动创建分组，以上功能需提供实际操作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4.客户端支持在普通电脑的windows系统上直接安装，网络可达条件下，实现和云桌面同步获取云盘数据，便于用户在家中、出差中、办公室等地方访问云盘数据。</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5.为保证功能无缝兼容，要求与本次投标的云办公终端及云办公服务器统一品牌。</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8套</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云办公服务器</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1.软硬件一体化1U设备，配置≥1颗Intel Xeon E3-1230 V5/V6，主频不低于3.4GHz,物理核心数不少于4颗，缓存不低于8MB；</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2.内存插槽≥4个,3.5寸SATA硬盘插槽≥4个，2.5寸SATA硬盘插槽≥2个,M.2插槽≥2个，PCIE插槽≥1个；</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3.≥1*16GB DDR4内存，≥1*240GB SSD固态硬盘，≥3*4T SATA 3.O机械硬盘；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4.≥4个千兆网口，≥6个USB接口；</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5.服务器需提供3C认证、云主机内置的虚拟化软件提供软件著作权登记证书；</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所投交付体检工具软件可一键式对整体云桌面环境进行软硬件检查、修复部分常见问题，并能生成相应的云办公体检报告，支持软件安装向导功能，可通过向导，引导使用者顺利完成在云桌面系统中为所有用户安装软件的安装操作，支持故障排查功能，提供常见问题及解决方法的资源汇总。提供权威测试机构出具的证书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7.单台控制器同时支持≥1000路终端的连接、管理；</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8.提供B/S架构的云主机统一管理界面，提供向导式的部署方法，可实时显示在线终端列表和云主机的负载情况，显示云终端的使用活跃度（按周期统计），云终端的闲置率，支持对于所有终端实现一键关机功能。提供云终端活跃度、闲置率功能截图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9.提供镜像管理功能，在管理控制器制作操作系统镜像。可将镜像设置为公用镜像为所有公用云终端提供系统模板。也可将镜像绑定给特定用户或者用户组，实现为用户定制操作系统的功能。提供管理控制器制作镜像功能截图证明，提供将镜像设置为公用镜像功能截图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10.提供用户管理功能，支持用户自由创建用户或者用户组，可为用户或用户组设置虚拟机镜像，从而实现办公环境多样化的系统环境。提供用户或用户组与镜像绑定功能截图证明；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11.可为用户设置个人云盘，并制定云盘大小，用户在终端登录个人账号，自动挂载数据盘至“我的电脑”中，实现数据漫游。提供云盘挂载配置及挂载效果截图证明；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12.提供终端管理功能，支持终端按物理安放位置进行分组，并能够显示终端登入类型、绑定用户、当前镜像、终端IP、在线状态等信息。提供终端管理配置界面截图证明；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13.支持云终端无账号登陆模式，该模式下云终端可从云主机下载公用镜像，部署在公共场合使用。提供无账号登录模式截图证明；</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14.支持管理员使用应用分层技术，通过镜像统一管理和更新个性模式的云桌面。实现对云桌面环境的统一管理与维护，包含统一安装系统补丁和应用软件，同时个性桌面下用户自行安装的软件和数据不受影响。要求提供操作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15.支持windows正版授权，云桌面可通过后台进行正版激活。要求提供操作界面截图；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16.提供打印机管理功能，能够将打印机配置上传至云端，使得还原桌面无需重复配置打印机。要求提供操作界面截图；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17.支持用户自定义登录页面背景及LOGO，要求提供操作界面截图。</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8台</w:t>
            </w:r>
          </w:p>
        </w:tc>
      </w:tr>
      <w:tr>
        <w:tblPrEx>
          <w:tblLayout w:type="fixed"/>
          <w:tblCellMar>
            <w:top w:w="0" w:type="dxa"/>
            <w:left w:w="28" w:type="dxa"/>
            <w:bottom w:w="0" w:type="dxa"/>
            <w:right w:w="28" w:type="dxa"/>
          </w:tblCellMar>
        </w:tblPrEx>
        <w:trPr>
          <w:trHeight w:val="1" w:hRule="atLeast"/>
          <w:jc w:val="center"/>
        </w:trPr>
        <w:tc>
          <w:tcPr>
            <w:tcW w:w="503"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系统集成服务</w:t>
            </w:r>
          </w:p>
        </w:tc>
        <w:tc>
          <w:tcPr>
            <w:tcW w:w="7888"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所有设备安装调试及培训，含运维三年服务费。</w:t>
            </w:r>
          </w:p>
        </w:tc>
        <w:tc>
          <w:tcPr>
            <w:tcW w:w="536" w:type="dxa"/>
            <w:tcBorders>
              <w:top w:val="single" w:color="000000" w:sz="6" w:space="0"/>
              <w:left w:val="single" w:color="000000" w:sz="6" w:space="0"/>
              <w:bottom w:val="single" w:color="000000" w:sz="6" w:space="0"/>
              <w:right w:val="single" w:color="000000" w:sz="6" w:space="0"/>
            </w:tcBorders>
            <w:vAlign w:val="center"/>
          </w:tcPr>
          <w:p>
            <w:pPr>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8套</w:t>
            </w:r>
          </w:p>
        </w:tc>
      </w:tr>
    </w:tbl>
    <w:p>
      <w:pPr>
        <w:rPr>
          <w:rFonts w:hint="eastAsia" w:ascii="宋体" w:hAnsi="宋体"/>
          <w:b/>
          <w:kern w:val="0"/>
          <w:lang w:val="en-US" w:eastAsia="zh-CN"/>
        </w:rPr>
      </w:pPr>
      <w:r>
        <w:rPr>
          <w:rFonts w:hint="eastAsia" w:ascii="宋体" w:hAnsi="宋体"/>
          <w:b/>
          <w:kern w:val="0"/>
          <w:lang w:eastAsia="zh-CN"/>
        </w:rPr>
        <w:t>备注</w:t>
      </w:r>
      <w:r>
        <w:rPr>
          <w:rFonts w:hint="eastAsia" w:ascii="宋体" w:hAnsi="宋体"/>
          <w:b/>
          <w:kern w:val="0"/>
          <w:lang w:val="en-US" w:eastAsia="zh-CN"/>
        </w:rPr>
        <w:t>: 1.</w:t>
      </w:r>
      <w:r>
        <w:rPr>
          <w:rFonts w:hint="eastAsia" w:ascii="宋体" w:hAnsi="宋体"/>
          <w:b/>
          <w:kern w:val="0"/>
        </w:rPr>
        <w:t>供货期：</w:t>
      </w:r>
      <w:r>
        <w:rPr>
          <w:rFonts w:hint="eastAsia" w:ascii="宋体" w:hAnsi="宋体"/>
          <w:b/>
          <w:kern w:val="0"/>
          <w:lang w:val="en-US" w:eastAsia="zh-CN"/>
        </w:rPr>
        <w:t>60天；</w:t>
      </w:r>
    </w:p>
    <w:p>
      <w:pPr>
        <w:ind w:firstLine="723" w:firstLineChars="300"/>
        <w:rPr>
          <w:rFonts w:ascii="宋体" w:hAnsi="宋体"/>
          <w:b/>
          <w:bCs/>
          <w:kern w:val="0"/>
          <w:sz w:val="36"/>
          <w:szCs w:val="36"/>
        </w:rPr>
      </w:pPr>
      <w:r>
        <w:rPr>
          <w:rFonts w:hint="eastAsia" w:ascii="宋体" w:hAnsi="宋体"/>
          <w:b/>
          <w:kern w:val="0"/>
          <w:lang w:val="en-US" w:eastAsia="zh-CN"/>
        </w:rPr>
        <w:t>2.</w:t>
      </w:r>
      <w:r>
        <w:rPr>
          <w:rFonts w:hint="eastAsia" w:ascii="宋体" w:hAnsi="宋体"/>
          <w:b/>
          <w:kern w:val="0"/>
        </w:rPr>
        <w:t>中标供应商在签订合同时向采购单位提供原厂授权及售后服务承诺</w:t>
      </w:r>
      <w:r>
        <w:rPr>
          <w:rFonts w:hint="eastAsia" w:ascii="宋体" w:hAnsi="宋体"/>
          <w:b/>
          <w:kern w:val="0"/>
          <w:lang w:eastAsia="zh-CN"/>
        </w:rPr>
        <w:t>。</w:t>
      </w:r>
      <w:bookmarkEnd w:id="93"/>
    </w:p>
    <w:sectPr>
      <w:footerReference r:id="rId6" w:type="default"/>
      <w:pgSz w:w="11849" w:h="16781"/>
      <w:pgMar w:top="1440" w:right="1803" w:bottom="1440" w:left="1803" w:header="851" w:footer="992" w:gutter="0"/>
      <w:pgNumType w:fmt="decimal" w:start="6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4"/>
      </w:rPr>
    </w:pPr>
    <w:r>
      <w:fldChar w:fldCharType="begin"/>
    </w:r>
    <w:r>
      <w:rPr>
        <w:rStyle w:val="24"/>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v:textbox>
        </v:shape>
      </w:pict>
    </w:r>
  </w:p>
  <w:p>
    <w:pPr>
      <w:tabs>
        <w:tab w:val="right" w:pos="8243"/>
      </w:tabs>
      <w:ind w:firstLine="12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D57B9"/>
    <w:multiLevelType w:val="singleLevel"/>
    <w:tmpl w:val="B8FD57B9"/>
    <w:lvl w:ilvl="0" w:tentative="0">
      <w:start w:val="5"/>
      <w:numFmt w:val="chineseCounting"/>
      <w:suff w:val="nothing"/>
      <w:lvlText w:val="%1、"/>
      <w:lvlJc w:val="left"/>
      <w:rPr>
        <w:rFonts w:hint="eastAsia"/>
      </w:rPr>
    </w:lvl>
  </w:abstractNum>
  <w:abstractNum w:abstractNumId="1">
    <w:nsid w:val="C7577AE6"/>
    <w:multiLevelType w:val="singleLevel"/>
    <w:tmpl w:val="C7577AE6"/>
    <w:lvl w:ilvl="0" w:tentative="0">
      <w:start w:val="2"/>
      <w:numFmt w:val="decimal"/>
      <w:suff w:val="space"/>
      <w:lvlText w:val="%1、"/>
      <w:lvlJc w:val="left"/>
    </w:lvl>
  </w:abstractNum>
  <w:abstractNum w:abstractNumId="2">
    <w:nsid w:val="0C443B50"/>
    <w:multiLevelType w:val="multilevel"/>
    <w:tmpl w:val="0C443B50"/>
    <w:lvl w:ilvl="0" w:tentative="0">
      <w:start w:val="1"/>
      <w:numFmt w:val="bullet"/>
      <w:pStyle w:val="120"/>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20837B69"/>
    <w:multiLevelType w:val="multilevel"/>
    <w:tmpl w:val="20837B69"/>
    <w:lvl w:ilvl="0" w:tentative="0">
      <w:start w:val="1"/>
      <w:numFmt w:val="decimal"/>
      <w:pStyle w:val="121"/>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suff w:val="nothing"/>
      <w:lvlText w:val="（%1）"/>
      <w:lvlJc w:val="left"/>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1"/>
      <w:numFmt w:val="decimal"/>
      <w:suff w:val="nothing"/>
      <w:lvlText w:val="（%1）"/>
      <w:lvlJc w:val="left"/>
    </w:lvl>
  </w:abstractNum>
  <w:abstractNum w:abstractNumId="12">
    <w:nsid w:val="67B841CC"/>
    <w:multiLevelType w:val="multilevel"/>
    <w:tmpl w:val="67B841CC"/>
    <w:lvl w:ilvl="0" w:tentative="0">
      <w:start w:val="1"/>
      <w:numFmt w:val="decimal"/>
      <w:pStyle w:val="6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2"/>
  </w:num>
  <w:num w:numId="2">
    <w:abstractNumId w:val="2"/>
  </w:num>
  <w:num w:numId="3">
    <w:abstractNumId w:val="3"/>
  </w:num>
  <w:num w:numId="4">
    <w:abstractNumId w:val="1"/>
  </w:num>
  <w:num w:numId="5">
    <w:abstractNumId w:val="6"/>
  </w:num>
  <w:num w:numId="6">
    <w:abstractNumId w:val="7"/>
  </w:num>
  <w:num w:numId="7">
    <w:abstractNumId w:val="8"/>
  </w:num>
  <w:num w:numId="8">
    <w:abstractNumId w:val="9"/>
  </w:num>
  <w:num w:numId="9">
    <w:abstractNumId w:val="10"/>
  </w:num>
  <w:num w:numId="10">
    <w:abstractNumId w:val="5"/>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935"/>
    <w:rsid w:val="00010F33"/>
    <w:rsid w:val="0001401E"/>
    <w:rsid w:val="00017D90"/>
    <w:rsid w:val="0002777A"/>
    <w:rsid w:val="000504BE"/>
    <w:rsid w:val="00053F84"/>
    <w:rsid w:val="000568FB"/>
    <w:rsid w:val="000742F2"/>
    <w:rsid w:val="0007570E"/>
    <w:rsid w:val="000875EB"/>
    <w:rsid w:val="000A2265"/>
    <w:rsid w:val="000A3592"/>
    <w:rsid w:val="000B0B57"/>
    <w:rsid w:val="000B2F29"/>
    <w:rsid w:val="000B652B"/>
    <w:rsid w:val="000C0D8F"/>
    <w:rsid w:val="000C2C06"/>
    <w:rsid w:val="000C38E9"/>
    <w:rsid w:val="000D2AAD"/>
    <w:rsid w:val="000D5A34"/>
    <w:rsid w:val="000D750D"/>
    <w:rsid w:val="000F51BE"/>
    <w:rsid w:val="00102BAF"/>
    <w:rsid w:val="001056D2"/>
    <w:rsid w:val="00146D26"/>
    <w:rsid w:val="00150ABF"/>
    <w:rsid w:val="00151A00"/>
    <w:rsid w:val="0016507E"/>
    <w:rsid w:val="001702F6"/>
    <w:rsid w:val="00187EC5"/>
    <w:rsid w:val="001941E9"/>
    <w:rsid w:val="00194B5F"/>
    <w:rsid w:val="001B3699"/>
    <w:rsid w:val="001B603E"/>
    <w:rsid w:val="001C2819"/>
    <w:rsid w:val="001D3F2D"/>
    <w:rsid w:val="001F5C10"/>
    <w:rsid w:val="001F67C5"/>
    <w:rsid w:val="00206051"/>
    <w:rsid w:val="002133D4"/>
    <w:rsid w:val="00236F6F"/>
    <w:rsid w:val="00240473"/>
    <w:rsid w:val="00255D41"/>
    <w:rsid w:val="00263DEA"/>
    <w:rsid w:val="00267527"/>
    <w:rsid w:val="00267E32"/>
    <w:rsid w:val="00271C7E"/>
    <w:rsid w:val="00283FF2"/>
    <w:rsid w:val="00286755"/>
    <w:rsid w:val="002956D5"/>
    <w:rsid w:val="002A6A11"/>
    <w:rsid w:val="002C1242"/>
    <w:rsid w:val="002C5D73"/>
    <w:rsid w:val="002D2150"/>
    <w:rsid w:val="002E2303"/>
    <w:rsid w:val="002E4BCC"/>
    <w:rsid w:val="002F7DFB"/>
    <w:rsid w:val="003046DB"/>
    <w:rsid w:val="00307F9D"/>
    <w:rsid w:val="00310C3C"/>
    <w:rsid w:val="003127AA"/>
    <w:rsid w:val="00317F1F"/>
    <w:rsid w:val="003256AA"/>
    <w:rsid w:val="00325D44"/>
    <w:rsid w:val="00342CCF"/>
    <w:rsid w:val="0036431D"/>
    <w:rsid w:val="00372DCF"/>
    <w:rsid w:val="00375CF6"/>
    <w:rsid w:val="0038064F"/>
    <w:rsid w:val="003850AB"/>
    <w:rsid w:val="003A02BF"/>
    <w:rsid w:val="003A0ED3"/>
    <w:rsid w:val="003A6D16"/>
    <w:rsid w:val="003A7F21"/>
    <w:rsid w:val="003B3214"/>
    <w:rsid w:val="003C010A"/>
    <w:rsid w:val="003D3BFB"/>
    <w:rsid w:val="003F4A31"/>
    <w:rsid w:val="00401BBF"/>
    <w:rsid w:val="004029E9"/>
    <w:rsid w:val="00403B1A"/>
    <w:rsid w:val="00404E12"/>
    <w:rsid w:val="0041505E"/>
    <w:rsid w:val="004173C4"/>
    <w:rsid w:val="00424B16"/>
    <w:rsid w:val="00430DAC"/>
    <w:rsid w:val="00456BAD"/>
    <w:rsid w:val="00475E14"/>
    <w:rsid w:val="00486C9B"/>
    <w:rsid w:val="0048778F"/>
    <w:rsid w:val="004901E4"/>
    <w:rsid w:val="00491643"/>
    <w:rsid w:val="004918CC"/>
    <w:rsid w:val="004919C2"/>
    <w:rsid w:val="00494E6F"/>
    <w:rsid w:val="004A1525"/>
    <w:rsid w:val="004A1CBF"/>
    <w:rsid w:val="004B35C8"/>
    <w:rsid w:val="004E296C"/>
    <w:rsid w:val="004E71AC"/>
    <w:rsid w:val="004F10D5"/>
    <w:rsid w:val="00514D7A"/>
    <w:rsid w:val="00545FDC"/>
    <w:rsid w:val="0055204B"/>
    <w:rsid w:val="00556094"/>
    <w:rsid w:val="00556718"/>
    <w:rsid w:val="00565A69"/>
    <w:rsid w:val="00571E62"/>
    <w:rsid w:val="00580E9F"/>
    <w:rsid w:val="00585952"/>
    <w:rsid w:val="005860DE"/>
    <w:rsid w:val="005874DF"/>
    <w:rsid w:val="00594F92"/>
    <w:rsid w:val="005A6901"/>
    <w:rsid w:val="005A724E"/>
    <w:rsid w:val="005B5287"/>
    <w:rsid w:val="005C2BFE"/>
    <w:rsid w:val="005F7B02"/>
    <w:rsid w:val="00624D92"/>
    <w:rsid w:val="00636112"/>
    <w:rsid w:val="00647C37"/>
    <w:rsid w:val="00650919"/>
    <w:rsid w:val="0065456E"/>
    <w:rsid w:val="006557C8"/>
    <w:rsid w:val="00656977"/>
    <w:rsid w:val="006610D8"/>
    <w:rsid w:val="00680CDE"/>
    <w:rsid w:val="006825AC"/>
    <w:rsid w:val="00684316"/>
    <w:rsid w:val="00686935"/>
    <w:rsid w:val="00694657"/>
    <w:rsid w:val="006A5595"/>
    <w:rsid w:val="006C46CC"/>
    <w:rsid w:val="006C6DEC"/>
    <w:rsid w:val="006D2B28"/>
    <w:rsid w:val="006D340B"/>
    <w:rsid w:val="007012EC"/>
    <w:rsid w:val="00715120"/>
    <w:rsid w:val="00723C48"/>
    <w:rsid w:val="007253AC"/>
    <w:rsid w:val="00725A21"/>
    <w:rsid w:val="007262EE"/>
    <w:rsid w:val="0075045E"/>
    <w:rsid w:val="0077318D"/>
    <w:rsid w:val="00773BE6"/>
    <w:rsid w:val="00776220"/>
    <w:rsid w:val="00777958"/>
    <w:rsid w:val="00783D95"/>
    <w:rsid w:val="007D4F9E"/>
    <w:rsid w:val="007D66DC"/>
    <w:rsid w:val="007E2872"/>
    <w:rsid w:val="007E790F"/>
    <w:rsid w:val="007F221C"/>
    <w:rsid w:val="007F25EE"/>
    <w:rsid w:val="007F5E2E"/>
    <w:rsid w:val="008004A5"/>
    <w:rsid w:val="00800714"/>
    <w:rsid w:val="00815E84"/>
    <w:rsid w:val="00816D7C"/>
    <w:rsid w:val="00822CCA"/>
    <w:rsid w:val="00823282"/>
    <w:rsid w:val="00825C9D"/>
    <w:rsid w:val="00826D51"/>
    <w:rsid w:val="00857398"/>
    <w:rsid w:val="00863600"/>
    <w:rsid w:val="00871646"/>
    <w:rsid w:val="0088679E"/>
    <w:rsid w:val="00891F05"/>
    <w:rsid w:val="00894E70"/>
    <w:rsid w:val="008A504B"/>
    <w:rsid w:val="008A7884"/>
    <w:rsid w:val="008D0E0B"/>
    <w:rsid w:val="008D128B"/>
    <w:rsid w:val="008D16B3"/>
    <w:rsid w:val="008D6341"/>
    <w:rsid w:val="008F6B95"/>
    <w:rsid w:val="0090105F"/>
    <w:rsid w:val="00915D8E"/>
    <w:rsid w:val="009304CE"/>
    <w:rsid w:val="00942454"/>
    <w:rsid w:val="009518EC"/>
    <w:rsid w:val="00960E65"/>
    <w:rsid w:val="0097673F"/>
    <w:rsid w:val="009852AE"/>
    <w:rsid w:val="0099074C"/>
    <w:rsid w:val="00997DAD"/>
    <w:rsid w:val="009A371F"/>
    <w:rsid w:val="009B1754"/>
    <w:rsid w:val="009C5114"/>
    <w:rsid w:val="009E3D4D"/>
    <w:rsid w:val="009E776D"/>
    <w:rsid w:val="009F412D"/>
    <w:rsid w:val="009F4C02"/>
    <w:rsid w:val="009F4D00"/>
    <w:rsid w:val="009F7D4B"/>
    <w:rsid w:val="00A2722E"/>
    <w:rsid w:val="00A27B25"/>
    <w:rsid w:val="00A30A2D"/>
    <w:rsid w:val="00A338E3"/>
    <w:rsid w:val="00A35CC8"/>
    <w:rsid w:val="00A37D9E"/>
    <w:rsid w:val="00A41442"/>
    <w:rsid w:val="00A45FF3"/>
    <w:rsid w:val="00A46D59"/>
    <w:rsid w:val="00A51F53"/>
    <w:rsid w:val="00A55CA7"/>
    <w:rsid w:val="00A60305"/>
    <w:rsid w:val="00A73F74"/>
    <w:rsid w:val="00A80A3F"/>
    <w:rsid w:val="00A8401A"/>
    <w:rsid w:val="00A95B30"/>
    <w:rsid w:val="00A970B8"/>
    <w:rsid w:val="00AA07F7"/>
    <w:rsid w:val="00AB2B55"/>
    <w:rsid w:val="00AC7B33"/>
    <w:rsid w:val="00AD39F5"/>
    <w:rsid w:val="00AE7E9E"/>
    <w:rsid w:val="00B04ABF"/>
    <w:rsid w:val="00B055EE"/>
    <w:rsid w:val="00B13061"/>
    <w:rsid w:val="00B13A3B"/>
    <w:rsid w:val="00B26540"/>
    <w:rsid w:val="00B270AA"/>
    <w:rsid w:val="00B40038"/>
    <w:rsid w:val="00B41C7E"/>
    <w:rsid w:val="00B42641"/>
    <w:rsid w:val="00B46F91"/>
    <w:rsid w:val="00B602F3"/>
    <w:rsid w:val="00B6212F"/>
    <w:rsid w:val="00B64F65"/>
    <w:rsid w:val="00B738C9"/>
    <w:rsid w:val="00B81C5A"/>
    <w:rsid w:val="00B84075"/>
    <w:rsid w:val="00B851BE"/>
    <w:rsid w:val="00BA77AD"/>
    <w:rsid w:val="00BC0429"/>
    <w:rsid w:val="00BE18A1"/>
    <w:rsid w:val="00BE6400"/>
    <w:rsid w:val="00BF0E15"/>
    <w:rsid w:val="00BF1378"/>
    <w:rsid w:val="00BF63A4"/>
    <w:rsid w:val="00C00458"/>
    <w:rsid w:val="00C02A98"/>
    <w:rsid w:val="00C233C9"/>
    <w:rsid w:val="00C36690"/>
    <w:rsid w:val="00C41BC3"/>
    <w:rsid w:val="00C44013"/>
    <w:rsid w:val="00C569E9"/>
    <w:rsid w:val="00C65A11"/>
    <w:rsid w:val="00C713FA"/>
    <w:rsid w:val="00C84863"/>
    <w:rsid w:val="00C91EC9"/>
    <w:rsid w:val="00C93F6C"/>
    <w:rsid w:val="00C96ADB"/>
    <w:rsid w:val="00CB2817"/>
    <w:rsid w:val="00CB6446"/>
    <w:rsid w:val="00CC74BE"/>
    <w:rsid w:val="00CD2D66"/>
    <w:rsid w:val="00CD6B45"/>
    <w:rsid w:val="00CE1056"/>
    <w:rsid w:val="00D133A6"/>
    <w:rsid w:val="00D13F4F"/>
    <w:rsid w:val="00D14FE2"/>
    <w:rsid w:val="00D167A0"/>
    <w:rsid w:val="00D302F3"/>
    <w:rsid w:val="00D45D77"/>
    <w:rsid w:val="00D9016E"/>
    <w:rsid w:val="00DA389F"/>
    <w:rsid w:val="00DA7B8E"/>
    <w:rsid w:val="00DB57FA"/>
    <w:rsid w:val="00DE02D0"/>
    <w:rsid w:val="00DE181E"/>
    <w:rsid w:val="00DE415F"/>
    <w:rsid w:val="00E02CE7"/>
    <w:rsid w:val="00E221F9"/>
    <w:rsid w:val="00E2268D"/>
    <w:rsid w:val="00E25C10"/>
    <w:rsid w:val="00E26645"/>
    <w:rsid w:val="00E32A0E"/>
    <w:rsid w:val="00E37125"/>
    <w:rsid w:val="00E42DEE"/>
    <w:rsid w:val="00E43C84"/>
    <w:rsid w:val="00E67C6C"/>
    <w:rsid w:val="00E708CF"/>
    <w:rsid w:val="00E76349"/>
    <w:rsid w:val="00E95285"/>
    <w:rsid w:val="00EC5226"/>
    <w:rsid w:val="00ED7415"/>
    <w:rsid w:val="00EE4B74"/>
    <w:rsid w:val="00EE7A1D"/>
    <w:rsid w:val="00EF00CF"/>
    <w:rsid w:val="00F00116"/>
    <w:rsid w:val="00F01717"/>
    <w:rsid w:val="00F03A51"/>
    <w:rsid w:val="00F33751"/>
    <w:rsid w:val="00F3453D"/>
    <w:rsid w:val="00F40EFE"/>
    <w:rsid w:val="00F7498F"/>
    <w:rsid w:val="00F7613F"/>
    <w:rsid w:val="00F859CD"/>
    <w:rsid w:val="00F87026"/>
    <w:rsid w:val="00F9486C"/>
    <w:rsid w:val="00FB102E"/>
    <w:rsid w:val="00FB134B"/>
    <w:rsid w:val="00FB484C"/>
    <w:rsid w:val="00FD0595"/>
    <w:rsid w:val="00FE07EF"/>
    <w:rsid w:val="00FE6885"/>
    <w:rsid w:val="00FF10DA"/>
    <w:rsid w:val="00FF2DDF"/>
    <w:rsid w:val="00FF3EB9"/>
    <w:rsid w:val="018117C1"/>
    <w:rsid w:val="01CF32DE"/>
    <w:rsid w:val="01DF6AA8"/>
    <w:rsid w:val="023721E9"/>
    <w:rsid w:val="03083283"/>
    <w:rsid w:val="039D426C"/>
    <w:rsid w:val="049A54D4"/>
    <w:rsid w:val="04FC1970"/>
    <w:rsid w:val="05666A0C"/>
    <w:rsid w:val="0583332C"/>
    <w:rsid w:val="05840130"/>
    <w:rsid w:val="074D4254"/>
    <w:rsid w:val="07686CA8"/>
    <w:rsid w:val="07FC2C5A"/>
    <w:rsid w:val="082E6D53"/>
    <w:rsid w:val="08CB50A1"/>
    <w:rsid w:val="09D52343"/>
    <w:rsid w:val="0A9B0135"/>
    <w:rsid w:val="0AA52EBD"/>
    <w:rsid w:val="0B145DFC"/>
    <w:rsid w:val="0B45278C"/>
    <w:rsid w:val="0D0E6342"/>
    <w:rsid w:val="0DE574AF"/>
    <w:rsid w:val="0F710E41"/>
    <w:rsid w:val="0F873614"/>
    <w:rsid w:val="0F9D28CF"/>
    <w:rsid w:val="0FD81EB4"/>
    <w:rsid w:val="0FF13A21"/>
    <w:rsid w:val="10456858"/>
    <w:rsid w:val="10516791"/>
    <w:rsid w:val="12AD19F7"/>
    <w:rsid w:val="146E2E34"/>
    <w:rsid w:val="1519109A"/>
    <w:rsid w:val="153A3C2D"/>
    <w:rsid w:val="172D217E"/>
    <w:rsid w:val="17F45E20"/>
    <w:rsid w:val="191826BE"/>
    <w:rsid w:val="1AB21051"/>
    <w:rsid w:val="1B7104CB"/>
    <w:rsid w:val="1BDD0528"/>
    <w:rsid w:val="1C414DC6"/>
    <w:rsid w:val="1D73442E"/>
    <w:rsid w:val="1DDB2360"/>
    <w:rsid w:val="1E920021"/>
    <w:rsid w:val="1ECD061A"/>
    <w:rsid w:val="1F806305"/>
    <w:rsid w:val="1FE77F4A"/>
    <w:rsid w:val="209154A8"/>
    <w:rsid w:val="21D01A69"/>
    <w:rsid w:val="21E26745"/>
    <w:rsid w:val="229A019D"/>
    <w:rsid w:val="23B03722"/>
    <w:rsid w:val="24184528"/>
    <w:rsid w:val="2488627F"/>
    <w:rsid w:val="269A6695"/>
    <w:rsid w:val="285A6B42"/>
    <w:rsid w:val="29690152"/>
    <w:rsid w:val="29786EDF"/>
    <w:rsid w:val="29CB3C83"/>
    <w:rsid w:val="2AA924A3"/>
    <w:rsid w:val="2AEB4A25"/>
    <w:rsid w:val="2B904A4F"/>
    <w:rsid w:val="2BB10503"/>
    <w:rsid w:val="2CC708DA"/>
    <w:rsid w:val="2D2F6528"/>
    <w:rsid w:val="2E683577"/>
    <w:rsid w:val="2F3926C8"/>
    <w:rsid w:val="2F3A0F61"/>
    <w:rsid w:val="2FE21A1B"/>
    <w:rsid w:val="305F259A"/>
    <w:rsid w:val="30914BF5"/>
    <w:rsid w:val="311350AC"/>
    <w:rsid w:val="31314733"/>
    <w:rsid w:val="318B58EE"/>
    <w:rsid w:val="31AD3D6F"/>
    <w:rsid w:val="32E21EBD"/>
    <w:rsid w:val="32FD2735"/>
    <w:rsid w:val="334D0F34"/>
    <w:rsid w:val="33814BD7"/>
    <w:rsid w:val="33F17F05"/>
    <w:rsid w:val="33FF13EE"/>
    <w:rsid w:val="34EF2A8C"/>
    <w:rsid w:val="35DA6166"/>
    <w:rsid w:val="36626C16"/>
    <w:rsid w:val="37102095"/>
    <w:rsid w:val="373759DA"/>
    <w:rsid w:val="37620F2B"/>
    <w:rsid w:val="37C970E8"/>
    <w:rsid w:val="37D470DF"/>
    <w:rsid w:val="38331A1A"/>
    <w:rsid w:val="39BB7CA8"/>
    <w:rsid w:val="3A072C82"/>
    <w:rsid w:val="3AAB2D42"/>
    <w:rsid w:val="3B11739C"/>
    <w:rsid w:val="3C0256F9"/>
    <w:rsid w:val="3C385593"/>
    <w:rsid w:val="3C493E09"/>
    <w:rsid w:val="3DBC79D2"/>
    <w:rsid w:val="3DC21AB7"/>
    <w:rsid w:val="3E3D2C79"/>
    <w:rsid w:val="3F8C11CB"/>
    <w:rsid w:val="3FA0000A"/>
    <w:rsid w:val="40391CF5"/>
    <w:rsid w:val="463E26A5"/>
    <w:rsid w:val="47D143BA"/>
    <w:rsid w:val="48551E4B"/>
    <w:rsid w:val="48931989"/>
    <w:rsid w:val="48972E18"/>
    <w:rsid w:val="498D5A32"/>
    <w:rsid w:val="4A2B1B26"/>
    <w:rsid w:val="4AFE29C3"/>
    <w:rsid w:val="4CDA1D3F"/>
    <w:rsid w:val="4ED476E0"/>
    <w:rsid w:val="4EF625AF"/>
    <w:rsid w:val="4F175C7A"/>
    <w:rsid w:val="4F2B6157"/>
    <w:rsid w:val="4F9230A4"/>
    <w:rsid w:val="4FA9025E"/>
    <w:rsid w:val="509152EB"/>
    <w:rsid w:val="50AA1A16"/>
    <w:rsid w:val="50D4451E"/>
    <w:rsid w:val="519A2A2F"/>
    <w:rsid w:val="522D2622"/>
    <w:rsid w:val="533A49A2"/>
    <w:rsid w:val="539D27C5"/>
    <w:rsid w:val="5429573A"/>
    <w:rsid w:val="54562C35"/>
    <w:rsid w:val="552C0A96"/>
    <w:rsid w:val="554A28A3"/>
    <w:rsid w:val="57713778"/>
    <w:rsid w:val="581970B6"/>
    <w:rsid w:val="581E6EFC"/>
    <w:rsid w:val="58E33AE8"/>
    <w:rsid w:val="5A754847"/>
    <w:rsid w:val="5A975865"/>
    <w:rsid w:val="5AB93F1D"/>
    <w:rsid w:val="5B71145A"/>
    <w:rsid w:val="5BC91427"/>
    <w:rsid w:val="5D771F1C"/>
    <w:rsid w:val="5E6554CB"/>
    <w:rsid w:val="5FCE75E1"/>
    <w:rsid w:val="61285BD1"/>
    <w:rsid w:val="61705B9B"/>
    <w:rsid w:val="61D94B50"/>
    <w:rsid w:val="63776E7B"/>
    <w:rsid w:val="64A62B52"/>
    <w:rsid w:val="66A302D7"/>
    <w:rsid w:val="66C22D3A"/>
    <w:rsid w:val="6776508C"/>
    <w:rsid w:val="678527C0"/>
    <w:rsid w:val="67DD3829"/>
    <w:rsid w:val="684E4FD6"/>
    <w:rsid w:val="690A4AA4"/>
    <w:rsid w:val="6A462CC6"/>
    <w:rsid w:val="6AC76562"/>
    <w:rsid w:val="6AF01164"/>
    <w:rsid w:val="6BBC1336"/>
    <w:rsid w:val="6D2F0485"/>
    <w:rsid w:val="6DBD0123"/>
    <w:rsid w:val="701915FF"/>
    <w:rsid w:val="70783D6C"/>
    <w:rsid w:val="714325E3"/>
    <w:rsid w:val="714571EE"/>
    <w:rsid w:val="71C15A3B"/>
    <w:rsid w:val="71C4488E"/>
    <w:rsid w:val="73683F57"/>
    <w:rsid w:val="7513212E"/>
    <w:rsid w:val="75572054"/>
    <w:rsid w:val="75EB36D0"/>
    <w:rsid w:val="769B55BF"/>
    <w:rsid w:val="76B35000"/>
    <w:rsid w:val="76D9368D"/>
    <w:rsid w:val="770671F4"/>
    <w:rsid w:val="77A349E9"/>
    <w:rsid w:val="77AD08D9"/>
    <w:rsid w:val="77F0278B"/>
    <w:rsid w:val="7878508A"/>
    <w:rsid w:val="78887081"/>
    <w:rsid w:val="7966563E"/>
    <w:rsid w:val="796D5468"/>
    <w:rsid w:val="79911173"/>
    <w:rsid w:val="79964EB1"/>
    <w:rsid w:val="7AF02001"/>
    <w:rsid w:val="7C396B93"/>
    <w:rsid w:val="7DFB4006"/>
    <w:rsid w:val="7EB0162C"/>
    <w:rsid w:val="7EF243D5"/>
    <w:rsid w:val="7FB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unhideWhenUsed/>
    <w:qFormat/>
    <w:uiPriority w:val="0"/>
    <w:pPr>
      <w:keepNext/>
      <w:keepLines/>
      <w:spacing w:beforeLines="50" w:after="260" w:line="360" w:lineRule="auto"/>
      <w:ind w:left="1571" w:right="240" w:rightChars="100"/>
      <w:outlineLvl w:val="2"/>
    </w:pPr>
    <w:rPr>
      <w:rFonts w:ascii="等线" w:hAnsi="等线"/>
      <w:b/>
      <w:bCs/>
      <w:sz w:val="28"/>
      <w:szCs w:val="32"/>
    </w:rPr>
  </w:style>
  <w:style w:type="paragraph" w:styleId="6">
    <w:name w:val="heading 4"/>
    <w:basedOn w:val="1"/>
    <w:next w:val="1"/>
    <w:link w:val="60"/>
    <w:unhideWhenUsed/>
    <w:qFormat/>
    <w:uiPriority w:val="9"/>
    <w:pPr>
      <w:keepNext/>
      <w:keepLines/>
      <w:spacing w:beforeLines="50" w:after="290" w:line="376" w:lineRule="auto"/>
      <w:ind w:left="1997"/>
      <w:outlineLvl w:val="3"/>
    </w:pPr>
    <w:rPr>
      <w:rFonts w:ascii="等线 Light" w:hAnsi="等线 Light" w:eastAsia="等线 Light"/>
      <w:b/>
      <w:bCs/>
      <w:sz w:val="28"/>
      <w:szCs w:val="28"/>
    </w:rPr>
  </w:style>
  <w:style w:type="paragraph" w:styleId="7">
    <w:name w:val="heading 5"/>
    <w:basedOn w:val="1"/>
    <w:next w:val="1"/>
    <w:link w:val="61"/>
    <w:semiHidden/>
    <w:unhideWhenUsed/>
    <w:qFormat/>
    <w:uiPriority w:val="9"/>
    <w:pPr>
      <w:keepNext/>
      <w:keepLines/>
      <w:spacing w:beforeLines="50" w:after="290" w:line="376" w:lineRule="auto"/>
      <w:ind w:firstLine="200" w:firstLineChars="200"/>
      <w:outlineLvl w:val="4"/>
    </w:pPr>
    <w:rPr>
      <w:rFonts w:ascii="等线" w:hAnsi="等线"/>
      <w:b/>
      <w:bCs/>
      <w:sz w:val="28"/>
      <w:szCs w:val="28"/>
    </w:rPr>
  </w:style>
  <w:style w:type="paragraph" w:styleId="8">
    <w:name w:val="heading 6"/>
    <w:basedOn w:val="1"/>
    <w:next w:val="1"/>
    <w:link w:val="62"/>
    <w:semiHidden/>
    <w:unhideWhenUsed/>
    <w:qFormat/>
    <w:uiPriority w:val="9"/>
    <w:pPr>
      <w:keepNext/>
      <w:keepLines/>
      <w:spacing w:beforeLines="50" w:after="64" w:line="320" w:lineRule="auto"/>
      <w:ind w:firstLine="200" w:firstLineChars="200"/>
      <w:outlineLvl w:val="5"/>
    </w:pPr>
    <w:rPr>
      <w:rFonts w:ascii="等线 Light" w:hAnsi="等线 Light" w:eastAsia="等线 Light"/>
      <w:b/>
      <w:bCs/>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9"/>
    <w:qFormat/>
    <w:uiPriority w:val="99"/>
    <w:pPr>
      <w:tabs>
        <w:tab w:val="center" w:pos="4153"/>
        <w:tab w:val="right" w:pos="8306"/>
      </w:tabs>
      <w:snapToGrid w:val="0"/>
      <w:jc w:val="left"/>
    </w:pPr>
    <w:rPr>
      <w:sz w:val="18"/>
      <w:szCs w:val="18"/>
    </w:rPr>
  </w:style>
  <w:style w:type="paragraph" w:styleId="9">
    <w:name w:val="Normal Indent"/>
    <w:basedOn w:val="1"/>
    <w:qFormat/>
    <w:uiPriority w:val="0"/>
    <w:pPr>
      <w:ind w:firstLine="420"/>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50"/>
    <w:qFormat/>
    <w:uiPriority w:val="0"/>
    <w:pPr>
      <w:jc w:val="left"/>
    </w:pPr>
  </w:style>
  <w:style w:type="paragraph" w:styleId="12">
    <w:name w:val="Body Text"/>
    <w:basedOn w:val="1"/>
    <w:link w:val="58"/>
    <w:qFormat/>
    <w:uiPriority w:val="0"/>
    <w:pPr>
      <w:spacing w:after="120"/>
    </w:pPr>
  </w:style>
  <w:style w:type="paragraph" w:styleId="13">
    <w:name w:val="Body Text Indent"/>
    <w:basedOn w:val="1"/>
    <w:link w:val="31"/>
    <w:qFormat/>
    <w:uiPriority w:val="0"/>
    <w:pPr>
      <w:spacing w:after="120"/>
      <w:ind w:left="420" w:leftChars="200"/>
    </w:pPr>
    <w:rPr>
      <w:sz w:val="21"/>
    </w:rPr>
  </w:style>
  <w:style w:type="paragraph" w:styleId="14">
    <w:name w:val="Plain Text"/>
    <w:basedOn w:val="1"/>
    <w:link w:val="43"/>
    <w:qFormat/>
    <w:uiPriority w:val="0"/>
    <w:rPr>
      <w:rFonts w:ascii="宋体" w:hAnsi="Courier New"/>
      <w:sz w:val="21"/>
      <w:szCs w:val="21"/>
    </w:rPr>
  </w:style>
  <w:style w:type="paragraph" w:styleId="15">
    <w:name w:val="Date"/>
    <w:basedOn w:val="1"/>
    <w:next w:val="1"/>
    <w:link w:val="57"/>
    <w:qFormat/>
    <w:uiPriority w:val="0"/>
    <w:pPr>
      <w:ind w:left="100" w:leftChars="2500"/>
    </w:pPr>
    <w:rPr>
      <w:rFonts w:eastAsia="仿宋_GB2312"/>
      <w:sz w:val="32"/>
    </w:rPr>
  </w:style>
  <w:style w:type="paragraph" w:styleId="16">
    <w:name w:val="Balloon Text"/>
    <w:basedOn w:val="1"/>
    <w:link w:val="65"/>
    <w:qFormat/>
    <w:uiPriority w:val="99"/>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10"/>
    <w:pPr>
      <w:spacing w:before="240" w:after="60"/>
      <w:jc w:val="center"/>
      <w:outlineLvl w:val="0"/>
    </w:pPr>
    <w:rPr>
      <w:rFonts w:ascii="Cambria" w:hAnsi="Cambria"/>
      <w:b/>
      <w:bCs/>
      <w:sz w:val="36"/>
      <w:szCs w:val="32"/>
    </w:rPr>
  </w:style>
  <w:style w:type="character" w:styleId="23">
    <w:name w:val="Strong"/>
    <w:qFormat/>
    <w:uiPriority w:val="0"/>
    <w:rPr>
      <w:b/>
      <w:bCs/>
    </w:rPr>
  </w:style>
  <w:style w:type="character" w:styleId="24">
    <w:name w:val="page number"/>
    <w:basedOn w:val="22"/>
    <w:qFormat/>
    <w:uiPriority w:val="0"/>
  </w:style>
  <w:style w:type="character" w:styleId="25">
    <w:name w:val="Emphasis"/>
    <w:qFormat/>
    <w:uiPriority w:val="20"/>
  </w:style>
  <w:style w:type="character" w:styleId="26">
    <w:name w:val="Hyperlink"/>
    <w:qFormat/>
    <w:uiPriority w:val="99"/>
    <w:rPr>
      <w:color w:val="000000"/>
      <w:u w:val="none"/>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访问过的超链接"/>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3"/>
    <w:qFormat/>
    <w:uiPriority w:val="0"/>
    <w:rPr>
      <w:kern w:val="2"/>
      <w:sz w:val="21"/>
      <w:szCs w:val="24"/>
    </w:rPr>
  </w:style>
  <w:style w:type="character" w:customStyle="1" w:styleId="32">
    <w:name w:val="bg01"/>
    <w:basedOn w:val="22"/>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2"/>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9"/>
    <w:qFormat/>
    <w:uiPriority w:val="0"/>
    <w:rPr>
      <w:rFonts w:ascii="Cambria" w:hAnsi="Cambria"/>
      <w:b/>
      <w:bCs/>
      <w:kern w:val="28"/>
      <w:sz w:val="32"/>
      <w:szCs w:val="32"/>
    </w:rPr>
  </w:style>
  <w:style w:type="character" w:customStyle="1" w:styleId="39">
    <w:name w:val="页脚 Char"/>
    <w:link w:val="2"/>
    <w:qFormat/>
    <w:uiPriority w:val="99"/>
    <w:rPr>
      <w:kern w:val="2"/>
      <w:sz w:val="18"/>
      <w:szCs w:val="18"/>
    </w:rPr>
  </w:style>
  <w:style w:type="character" w:customStyle="1" w:styleId="40">
    <w:name w:val="标题 Char"/>
    <w:link w:val="21"/>
    <w:qFormat/>
    <w:uiPriority w:val="10"/>
    <w:rPr>
      <w:rFonts w:ascii="Cambria" w:hAnsi="Cambria"/>
      <w:b/>
      <w:bCs/>
      <w:kern w:val="2"/>
      <w:sz w:val="36"/>
      <w:szCs w:val="32"/>
    </w:rPr>
  </w:style>
  <w:style w:type="character" w:customStyle="1" w:styleId="41">
    <w:name w:val="页眉 Char"/>
    <w:link w:val="17"/>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4"/>
    <w:qFormat/>
    <w:uiPriority w:val="0"/>
    <w:rPr>
      <w:rFonts w:ascii="宋体" w:hAnsi="Courier New" w:cs="Courier New"/>
      <w:kern w:val="2"/>
      <w:sz w:val="21"/>
      <w:szCs w:val="21"/>
    </w:rPr>
  </w:style>
  <w:style w:type="paragraph" w:customStyle="1" w:styleId="44">
    <w:name w:val="_Style 31"/>
    <w:basedOn w:val="10"/>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customStyle="1" w:styleId="49">
    <w:name w:val="正文 New"/>
    <w:qFormat/>
    <w:uiPriority w:val="0"/>
    <w:pPr>
      <w:widowControl w:val="0"/>
      <w:jc w:val="both"/>
    </w:pPr>
    <w:rPr>
      <w:rFonts w:ascii="宋体" w:hAnsi="宋体" w:eastAsia="宋体" w:cs="Times New Roman"/>
      <w:kern w:val="16"/>
      <w:sz w:val="21"/>
      <w:szCs w:val="24"/>
      <w:lang w:val="en-US" w:eastAsia="zh-CN" w:bidi="ar-SA"/>
    </w:rPr>
  </w:style>
  <w:style w:type="character" w:customStyle="1" w:styleId="50">
    <w:name w:val="批注文字 Char"/>
    <w:link w:val="11"/>
    <w:qFormat/>
    <w:uiPriority w:val="0"/>
    <w:rPr>
      <w:kern w:val="2"/>
      <w:sz w:val="24"/>
      <w:szCs w:val="24"/>
    </w:rPr>
  </w:style>
  <w:style w:type="paragraph" w:styleId="51">
    <w:name w:val="List Paragraph"/>
    <w:basedOn w:val="1"/>
    <w:link w:val="71"/>
    <w:qFormat/>
    <w:uiPriority w:val="34"/>
    <w:pPr>
      <w:ind w:firstLine="420" w:firstLineChars="200"/>
    </w:pPr>
    <w:rPr>
      <w:rFonts w:ascii="Calibri" w:hAnsi="Calibri"/>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53">
    <w:name w:val="列出段落1"/>
    <w:basedOn w:val="1"/>
    <w:qFormat/>
    <w:uiPriority w:val="0"/>
    <w:pPr>
      <w:ind w:firstLine="420" w:firstLineChars="200"/>
    </w:pPr>
    <w:rPr>
      <w:rFonts w:ascii="Calibri" w:hAnsi="Calibri"/>
      <w:sz w:val="21"/>
      <w:szCs w:val="22"/>
    </w:rPr>
  </w:style>
  <w:style w:type="paragraph" w:customStyle="1" w:styleId="54">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1"/>
      <w:szCs w:val="20"/>
    </w:rPr>
  </w:style>
  <w:style w:type="paragraph" w:customStyle="1" w:styleId="55">
    <w:name w:val="_Style 2"/>
    <w:qFormat/>
    <w:uiPriority w:val="1"/>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56">
    <w:name w:val="_Style 1"/>
    <w:basedOn w:val="1"/>
    <w:qFormat/>
    <w:uiPriority w:val="0"/>
    <w:pPr>
      <w:ind w:firstLine="200" w:firstLineChars="200"/>
    </w:pPr>
    <w:rPr>
      <w:kern w:val="0"/>
      <w:szCs w:val="20"/>
    </w:rPr>
  </w:style>
  <w:style w:type="character" w:customStyle="1" w:styleId="57">
    <w:name w:val="日期 Char"/>
    <w:basedOn w:val="22"/>
    <w:link w:val="15"/>
    <w:qFormat/>
    <w:uiPriority w:val="0"/>
    <w:rPr>
      <w:rFonts w:eastAsia="仿宋_GB2312"/>
      <w:kern w:val="2"/>
      <w:sz w:val="32"/>
      <w:szCs w:val="24"/>
    </w:rPr>
  </w:style>
  <w:style w:type="character" w:customStyle="1" w:styleId="58">
    <w:name w:val="正文文本 Char"/>
    <w:basedOn w:val="22"/>
    <w:link w:val="12"/>
    <w:qFormat/>
    <w:uiPriority w:val="0"/>
    <w:rPr>
      <w:kern w:val="2"/>
      <w:sz w:val="24"/>
      <w:szCs w:val="24"/>
    </w:rPr>
  </w:style>
  <w:style w:type="character" w:customStyle="1" w:styleId="59">
    <w:name w:val="标题 3 Char"/>
    <w:basedOn w:val="22"/>
    <w:link w:val="5"/>
    <w:qFormat/>
    <w:uiPriority w:val="0"/>
    <w:rPr>
      <w:rFonts w:ascii="等线" w:hAnsi="等线"/>
      <w:b/>
      <w:bCs/>
      <w:kern w:val="2"/>
      <w:sz w:val="28"/>
      <w:szCs w:val="32"/>
    </w:rPr>
  </w:style>
  <w:style w:type="character" w:customStyle="1" w:styleId="60">
    <w:name w:val="标题 4 Char"/>
    <w:basedOn w:val="22"/>
    <w:link w:val="6"/>
    <w:qFormat/>
    <w:uiPriority w:val="9"/>
    <w:rPr>
      <w:rFonts w:ascii="等线 Light" w:hAnsi="等线 Light" w:eastAsia="等线 Light"/>
      <w:b/>
      <w:bCs/>
      <w:kern w:val="2"/>
      <w:sz w:val="28"/>
      <w:szCs w:val="28"/>
    </w:rPr>
  </w:style>
  <w:style w:type="character" w:customStyle="1" w:styleId="61">
    <w:name w:val="标题 5 Char"/>
    <w:basedOn w:val="22"/>
    <w:link w:val="7"/>
    <w:semiHidden/>
    <w:qFormat/>
    <w:uiPriority w:val="9"/>
    <w:rPr>
      <w:rFonts w:ascii="等线" w:hAnsi="等线"/>
      <w:b/>
      <w:bCs/>
      <w:kern w:val="2"/>
      <w:sz w:val="28"/>
      <w:szCs w:val="28"/>
    </w:rPr>
  </w:style>
  <w:style w:type="character" w:customStyle="1" w:styleId="62">
    <w:name w:val="标题 6 Char"/>
    <w:basedOn w:val="22"/>
    <w:link w:val="8"/>
    <w:semiHidden/>
    <w:qFormat/>
    <w:uiPriority w:val="9"/>
    <w:rPr>
      <w:rFonts w:ascii="等线 Light" w:hAnsi="等线 Light" w:eastAsia="等线 Light"/>
      <w:b/>
      <w:bCs/>
      <w:kern w:val="2"/>
      <w:sz w:val="24"/>
      <w:szCs w:val="24"/>
    </w:rPr>
  </w:style>
  <w:style w:type="paragraph" w:styleId="63">
    <w:name w:val="No Spacing"/>
    <w:qFormat/>
    <w:uiPriority w:val="1"/>
    <w:pPr>
      <w:widowControl w:val="0"/>
      <w:spacing w:beforeLines="50"/>
      <w:ind w:firstLine="200" w:firstLineChars="200"/>
      <w:jc w:val="both"/>
    </w:pPr>
    <w:rPr>
      <w:rFonts w:ascii="等线" w:hAnsi="等线" w:eastAsia="宋体" w:cs="Times New Roman"/>
      <w:kern w:val="2"/>
      <w:sz w:val="24"/>
      <w:szCs w:val="22"/>
      <w:lang w:val="en-US" w:eastAsia="zh-CN" w:bidi="ar-SA"/>
    </w:rPr>
  </w:style>
  <w:style w:type="paragraph" w:customStyle="1" w:styleId="64">
    <w:name w:val="列举"/>
    <w:basedOn w:val="51"/>
    <w:qFormat/>
    <w:uiPriority w:val="0"/>
    <w:pPr>
      <w:widowControl/>
      <w:numPr>
        <w:ilvl w:val="0"/>
        <w:numId w:val="1"/>
      </w:numPr>
      <w:spacing w:beforeLines="50" w:after="200" w:line="276" w:lineRule="auto"/>
      <w:ind w:firstLine="0" w:firstLineChars="0"/>
      <w:jc w:val="left"/>
    </w:pPr>
    <w:rPr>
      <w:rFonts w:cs="黑体"/>
      <w:kern w:val="0"/>
      <w:szCs w:val="20"/>
      <w:lang w:bidi="en-US"/>
    </w:rPr>
  </w:style>
  <w:style w:type="character" w:customStyle="1" w:styleId="65">
    <w:name w:val="批注框文本 Char"/>
    <w:link w:val="16"/>
    <w:qFormat/>
    <w:uiPriority w:val="99"/>
    <w:rPr>
      <w:kern w:val="2"/>
      <w:sz w:val="18"/>
      <w:szCs w:val="18"/>
    </w:rPr>
  </w:style>
  <w:style w:type="character" w:customStyle="1" w:styleId="66">
    <w:name w:val="批注框文本 字符1"/>
    <w:semiHidden/>
    <w:qFormat/>
    <w:uiPriority w:val="99"/>
    <w:rPr>
      <w:sz w:val="18"/>
      <w:szCs w:val="18"/>
    </w:rPr>
  </w:style>
  <w:style w:type="character" w:customStyle="1" w:styleId="67">
    <w:name w:val="批注框文本 Char1"/>
    <w:semiHidden/>
    <w:qFormat/>
    <w:uiPriority w:val="99"/>
    <w:rPr>
      <w:rFonts w:ascii="Calibri" w:hAnsi="Calibri" w:eastAsia="宋体" w:cs="黑体"/>
      <w:kern w:val="0"/>
      <w:sz w:val="18"/>
      <w:szCs w:val="18"/>
      <w:lang w:eastAsia="en-US" w:bidi="en-US"/>
    </w:rPr>
  </w:style>
  <w:style w:type="paragraph" w:customStyle="1" w:styleId="68">
    <w:name w:val="图表文字"/>
    <w:qFormat/>
    <w:uiPriority w:val="0"/>
    <w:pPr>
      <w:jc w:val="center"/>
    </w:pPr>
    <w:rPr>
      <w:rFonts w:ascii="宋体" w:hAnsi="宋体" w:eastAsia="宋体" w:cs="Times New Roman"/>
      <w:sz w:val="21"/>
      <w:szCs w:val="21"/>
      <w:lang w:val="en-US" w:eastAsia="zh-CN" w:bidi="ar-SA"/>
    </w:rPr>
  </w:style>
  <w:style w:type="character" w:customStyle="1" w:styleId="69">
    <w:name w:val="不明显强调1"/>
    <w:qFormat/>
    <w:uiPriority w:val="19"/>
    <w:rPr>
      <w:i/>
      <w:iCs/>
      <w:color w:val="404040"/>
    </w:rPr>
  </w:style>
  <w:style w:type="paragraph" w:customStyle="1" w:styleId="70">
    <w:name w:val="_Style 9"/>
    <w:basedOn w:val="1"/>
    <w:qFormat/>
    <w:uiPriority w:val="0"/>
    <w:pPr>
      <w:ind w:firstLine="420" w:firstLineChars="200"/>
    </w:pPr>
    <w:rPr>
      <w:sz w:val="21"/>
    </w:rPr>
  </w:style>
  <w:style w:type="character" w:customStyle="1" w:styleId="71">
    <w:name w:val="列出段落 Char1"/>
    <w:link w:val="51"/>
    <w:qFormat/>
    <w:locked/>
    <w:uiPriority w:val="34"/>
    <w:rPr>
      <w:rFonts w:ascii="Calibri" w:hAnsi="Calibri"/>
      <w:kern w:val="2"/>
      <w:sz w:val="24"/>
      <w:szCs w:val="24"/>
    </w:rPr>
  </w:style>
  <w:style w:type="character" w:customStyle="1" w:styleId="72">
    <w:name w:val="正文文本样式 Char"/>
    <w:link w:val="73"/>
    <w:qFormat/>
    <w:uiPriority w:val="0"/>
    <w:rPr>
      <w:rFonts w:cs="宋体"/>
      <w:sz w:val="24"/>
    </w:rPr>
  </w:style>
  <w:style w:type="paragraph" w:customStyle="1" w:styleId="73">
    <w:name w:val="正文文本样式"/>
    <w:basedOn w:val="1"/>
    <w:link w:val="72"/>
    <w:qFormat/>
    <w:uiPriority w:val="0"/>
    <w:pPr>
      <w:spacing w:line="360" w:lineRule="auto"/>
      <w:ind w:firstLine="482"/>
    </w:pPr>
    <w:rPr>
      <w:kern w:val="0"/>
      <w:szCs w:val="20"/>
    </w:rPr>
  </w:style>
  <w:style w:type="paragraph" w:customStyle="1" w:styleId="74">
    <w:name w:val="font5"/>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5">
    <w:name w:val="font6"/>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6">
    <w:name w:val="font7"/>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7">
    <w:name w:val="xl67"/>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78">
    <w:name w:val="xl68"/>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79">
    <w:name w:val="xl69"/>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0">
    <w:name w:val="xl70"/>
    <w:basedOn w:val="1"/>
    <w:qFormat/>
    <w:uiPriority w:val="0"/>
    <w:pPr>
      <w:widowControl/>
      <w:pBdr>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1">
    <w:name w:val="xl71"/>
    <w:basedOn w:val="1"/>
    <w:qFormat/>
    <w:uiPriority w:val="0"/>
    <w:pPr>
      <w:widowControl/>
      <w:spacing w:beforeAutospacing="1" w:after="100" w:afterAutospacing="1"/>
      <w:jc w:val="left"/>
    </w:pPr>
    <w:rPr>
      <w:rFonts w:ascii="微软雅黑" w:hAnsi="微软雅黑" w:eastAsia="微软雅黑" w:cs="宋体"/>
      <w:b/>
      <w:bCs/>
      <w:kern w:val="0"/>
      <w:sz w:val="20"/>
      <w:szCs w:val="20"/>
    </w:rPr>
  </w:style>
  <w:style w:type="paragraph" w:customStyle="1" w:styleId="82">
    <w:name w:val="xl72"/>
    <w:basedOn w:val="1"/>
    <w:qFormat/>
    <w:uiPriority w:val="0"/>
    <w:pPr>
      <w:widowControl/>
      <w:spacing w:beforeAutospacing="1" w:after="100" w:afterAutospacing="1"/>
      <w:jc w:val="center"/>
    </w:pPr>
    <w:rPr>
      <w:rFonts w:ascii="微软雅黑" w:hAnsi="微软雅黑" w:eastAsia="微软雅黑" w:cs="宋体"/>
      <w:b/>
      <w:bCs/>
      <w:kern w:val="0"/>
      <w:sz w:val="20"/>
      <w:szCs w:val="20"/>
    </w:rPr>
  </w:style>
  <w:style w:type="paragraph" w:customStyle="1" w:styleId="83">
    <w:name w:val="xl73"/>
    <w:basedOn w:val="1"/>
    <w:qFormat/>
    <w:uiPriority w:val="0"/>
    <w:pPr>
      <w:widowControl/>
      <w:pBdr>
        <w:top w:val="single" w:color="auto" w:sz="4" w:space="0"/>
        <w:left w:val="single" w:color="002266" w:sz="4" w:space="0"/>
        <w:bottom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84">
    <w:name w:val="xl74"/>
    <w:basedOn w:val="1"/>
    <w:qFormat/>
    <w:uiPriority w:val="0"/>
    <w:pPr>
      <w:widowControl/>
      <w:spacing w:beforeAutospacing="1" w:after="100" w:afterAutospacing="1"/>
      <w:jc w:val="left"/>
    </w:pPr>
    <w:rPr>
      <w:rFonts w:ascii="微软雅黑" w:hAnsi="微软雅黑" w:eastAsia="微软雅黑" w:cs="宋体"/>
      <w:kern w:val="0"/>
      <w:sz w:val="20"/>
      <w:szCs w:val="20"/>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7">
    <w:name w:val="xl77"/>
    <w:basedOn w:val="1"/>
    <w:qFormat/>
    <w:uiPriority w:val="0"/>
    <w:pPr>
      <w:widowControl/>
      <w:pBdr>
        <w:left w:val="single" w:color="002266"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8">
    <w:name w:val="xl78"/>
    <w:basedOn w:val="1"/>
    <w:qFormat/>
    <w:uiPriority w:val="0"/>
    <w:pPr>
      <w:widowControl/>
      <w:pBdr>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90">
    <w:name w:val="xl80"/>
    <w:basedOn w:val="1"/>
    <w:qFormat/>
    <w:uiPriority w:val="0"/>
    <w:pPr>
      <w:widowControl/>
      <w:pBdr>
        <w:top w:val="single" w:color="002266" w:sz="4" w:space="0"/>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1">
    <w:name w:val="xl81"/>
    <w:basedOn w:val="1"/>
    <w:qFormat/>
    <w:uiPriority w:val="0"/>
    <w:pPr>
      <w:widowControl/>
      <w:pBdr>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2">
    <w:name w:val="xl82"/>
    <w:basedOn w:val="1"/>
    <w:qFormat/>
    <w:uiPriority w:val="0"/>
    <w:pPr>
      <w:widowControl/>
      <w:pBdr>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3">
    <w:name w:val="xl83"/>
    <w:basedOn w:val="1"/>
    <w:qFormat/>
    <w:uiPriority w:val="0"/>
    <w:pPr>
      <w:widowControl/>
      <w:pBdr>
        <w:top w:val="single" w:color="auto" w:sz="4" w:space="0"/>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4">
    <w:name w:val="xl84"/>
    <w:basedOn w:val="1"/>
    <w:qFormat/>
    <w:uiPriority w:val="0"/>
    <w:pPr>
      <w:widowControl/>
      <w:pBdr>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5">
    <w:name w:val="xl85"/>
    <w:basedOn w:val="1"/>
    <w:qFormat/>
    <w:uiPriority w:val="0"/>
    <w:pPr>
      <w:widowControl/>
      <w:pBdr>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6">
    <w:name w:val="xl86"/>
    <w:basedOn w:val="1"/>
    <w:qFormat/>
    <w:uiPriority w:val="0"/>
    <w:pPr>
      <w:widowControl/>
      <w:pBdr>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7">
    <w:name w:val="xl87"/>
    <w:basedOn w:val="1"/>
    <w:qFormat/>
    <w:uiPriority w:val="0"/>
    <w:pPr>
      <w:widowControl/>
      <w:pBdr>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8">
    <w:name w:val="xl88"/>
    <w:basedOn w:val="1"/>
    <w:qFormat/>
    <w:uiPriority w:val="0"/>
    <w:pPr>
      <w:widowControl/>
      <w:pBdr>
        <w:top w:val="single" w:color="002266" w:sz="4" w:space="0"/>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9">
    <w:name w:val="xl89"/>
    <w:basedOn w:val="1"/>
    <w:qFormat/>
    <w:uiPriority w:val="0"/>
    <w:pPr>
      <w:widowControl/>
      <w:pBdr>
        <w:top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0">
    <w:name w:val="xl90"/>
    <w:basedOn w:val="1"/>
    <w:qFormat/>
    <w:uiPriority w:val="0"/>
    <w:pPr>
      <w:widowControl/>
      <w:pBdr>
        <w:top w:val="single" w:color="002266" w:sz="4" w:space="0"/>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1">
    <w:name w:val="xl91"/>
    <w:basedOn w:val="1"/>
    <w:qFormat/>
    <w:uiPriority w:val="0"/>
    <w:pPr>
      <w:widowControl/>
      <w:pBdr>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02">
    <w:name w:val="xl92"/>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3">
    <w:name w:val="xl93"/>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04">
    <w:name w:val="xl94"/>
    <w:basedOn w:val="1"/>
    <w:qFormat/>
    <w:uiPriority w:val="0"/>
    <w:pPr>
      <w:widowControl/>
      <w:pBdr>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105">
    <w:name w:val="xl95"/>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06">
    <w:name w:val="xl96"/>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7">
    <w:name w:val="xl97"/>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8">
    <w:name w:val="xl65"/>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9">
    <w:name w:val="xl66"/>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0">
    <w:name w:val="xl98"/>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11">
    <w:name w:val="xl99"/>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2">
    <w:name w:val="xl100"/>
    <w:basedOn w:val="1"/>
    <w:qFormat/>
    <w:uiPriority w:val="0"/>
    <w:pPr>
      <w:widowControl/>
      <w:pBdr>
        <w:top w:val="single" w:color="002266" w:sz="4" w:space="0"/>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4">
    <w:name w:val="xl102"/>
    <w:basedOn w:val="1"/>
    <w:qFormat/>
    <w:uiPriority w:val="0"/>
    <w:pPr>
      <w:widowControl/>
      <w:pBdr>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5">
    <w:name w:val="xl103"/>
    <w:basedOn w:val="1"/>
    <w:qFormat/>
    <w:uiPriority w:val="0"/>
    <w:pPr>
      <w:widowControl/>
      <w:pBdr>
        <w:top w:val="single" w:color="auto" w:sz="4" w:space="0"/>
        <w:left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116">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7">
    <w:name w:val="xl105"/>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18">
    <w:name w:val="xl106"/>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19">
    <w:name w:val="xl107"/>
    <w:basedOn w:val="1"/>
    <w:qFormat/>
    <w:uiPriority w:val="0"/>
    <w:pPr>
      <w:widowControl/>
      <w:pBdr>
        <w:right w:val="single" w:color="auto"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20">
    <w:name w:val="项目符号1"/>
    <w:basedOn w:val="73"/>
    <w:qFormat/>
    <w:uiPriority w:val="0"/>
    <w:pPr>
      <w:numPr>
        <w:ilvl w:val="0"/>
        <w:numId w:val="2"/>
      </w:numPr>
      <w:ind w:left="0" w:firstLine="482"/>
    </w:pPr>
  </w:style>
  <w:style w:type="paragraph" w:customStyle="1" w:styleId="121">
    <w:name w:val="规范正文 数字列表"/>
    <w:basedOn w:val="1"/>
    <w:qFormat/>
    <w:uiPriority w:val="0"/>
    <w:pPr>
      <w:numPr>
        <w:ilvl w:val="0"/>
        <w:numId w:val="3"/>
      </w:numPr>
      <w:tabs>
        <w:tab w:val="left" w:pos="1597"/>
      </w:tabs>
      <w:adjustRightInd w:val="0"/>
      <w:spacing w:line="360" w:lineRule="auto"/>
      <w:ind w:firstLine="0"/>
      <w:textAlignment w:val="baseline"/>
    </w:pPr>
    <w:rPr>
      <w:kern w:val="0"/>
      <w:szCs w:val="20"/>
    </w:rPr>
  </w:style>
  <w:style w:type="character" w:customStyle="1" w:styleId="122">
    <w:name w:val="列出段落 Char"/>
    <w:qFormat/>
    <w:locked/>
    <w:uiPriority w:val="34"/>
    <w:rPr>
      <w:rFonts w:ascii="Calibri" w:hAnsi="Calibri"/>
      <w:kern w:val="2"/>
      <w:sz w:val="21"/>
      <w:szCs w:val="22"/>
    </w:rPr>
  </w:style>
  <w:style w:type="character" w:customStyle="1" w:styleId="123">
    <w:name w:val="列出段落 字符4"/>
    <w:qFormat/>
    <w:uiPriority w:val="34"/>
    <w:rPr>
      <w:rFonts w:ascii="Calibri" w:hAnsi="Calibri"/>
    </w:rPr>
  </w:style>
  <w:style w:type="paragraph" w:customStyle="1" w:styleId="124">
    <w:name w:val="样式 标题 3 + 首行缩进:  0.5 字符"/>
    <w:basedOn w:val="5"/>
    <w:qFormat/>
    <w:uiPriority w:val="0"/>
    <w:pPr>
      <w:tabs>
        <w:tab w:val="left" w:pos="360"/>
        <w:tab w:val="left" w:pos="1370"/>
        <w:tab w:val="left" w:pos="1665"/>
      </w:tabs>
      <w:spacing w:beforeLines="0"/>
      <w:ind w:left="1654" w:right="0" w:rightChars="0" w:hanging="709"/>
    </w:pPr>
    <w:rPr>
      <w:rFonts w:ascii="Arial" w:hAnsi="Arial" w:cs="宋体"/>
      <w:kern w:val="0"/>
      <w:szCs w:val="20"/>
    </w:rPr>
  </w:style>
  <w:style w:type="paragraph" w:customStyle="1" w:styleId="125">
    <w:name w:val="样式 标题 2 + 首行缩进:  0.5 字符"/>
    <w:basedOn w:val="4"/>
    <w:qFormat/>
    <w:uiPriority w:val="0"/>
    <w:pPr>
      <w:tabs>
        <w:tab w:val="left" w:pos="360"/>
        <w:tab w:val="left" w:pos="1370"/>
        <w:tab w:val="left" w:pos="1512"/>
        <w:tab w:val="left" w:pos="2100"/>
      </w:tabs>
      <w:spacing w:before="156" w:line="360" w:lineRule="auto"/>
    </w:pPr>
    <w:rPr>
      <w:rFonts w:ascii="Arial" w:hAnsi="Arial" w:cs="宋体"/>
      <w:sz w:val="30"/>
      <w:szCs w:val="20"/>
    </w:rPr>
  </w:style>
  <w:style w:type="paragraph" w:customStyle="1" w:styleId="126">
    <w:name w:val="样式 标题 6 + 左侧:  2 字符 悬挂缩进: 2.75 字符"/>
    <w:basedOn w:val="8"/>
    <w:qFormat/>
    <w:uiPriority w:val="0"/>
    <w:pPr>
      <w:tabs>
        <w:tab w:val="left" w:pos="360"/>
        <w:tab w:val="left" w:pos="1370"/>
        <w:tab w:val="left" w:pos="2079"/>
        <w:tab w:val="left" w:pos="3780"/>
      </w:tabs>
      <w:spacing w:beforeLines="0" w:line="360" w:lineRule="auto"/>
      <w:ind w:firstLine="0" w:firstLineChars="0"/>
    </w:pPr>
    <w:rPr>
      <w:rFonts w:ascii="Arial" w:hAnsi="Arial" w:eastAsia="宋体" w:cs="宋体"/>
      <w:kern w:val="0"/>
      <w:szCs w:val="20"/>
    </w:rPr>
  </w:style>
  <w:style w:type="paragraph" w:customStyle="1" w:styleId="127">
    <w:name w:val="样式 标题 4 + 左侧:  1.5 字符 悬挂缩进: 1.5 字符"/>
    <w:basedOn w:val="6"/>
    <w:qFormat/>
    <w:uiPriority w:val="0"/>
    <w:pPr>
      <w:tabs>
        <w:tab w:val="left" w:pos="360"/>
        <w:tab w:val="left" w:pos="907"/>
        <w:tab w:val="left" w:pos="1370"/>
        <w:tab w:val="left" w:pos="2940"/>
      </w:tabs>
      <w:spacing w:beforeLines="0" w:line="360" w:lineRule="auto"/>
      <w:ind w:left="2940" w:hanging="420"/>
    </w:pPr>
    <w:rPr>
      <w:rFonts w:ascii="Arial" w:hAnsi="Arial" w:eastAsia="宋体" w:cs="宋体"/>
      <w:sz w:val="24"/>
      <w:szCs w:val="20"/>
    </w:rPr>
  </w:style>
  <w:style w:type="paragraph" w:customStyle="1" w:styleId="128">
    <w:name w:val="样式 标题 5 + 左侧:  1.75 字符 悬挂缩进: 2.5 字符"/>
    <w:basedOn w:val="7"/>
    <w:qFormat/>
    <w:uiPriority w:val="0"/>
    <w:pPr>
      <w:tabs>
        <w:tab w:val="left" w:pos="360"/>
        <w:tab w:val="left" w:pos="1254"/>
        <w:tab w:val="left" w:pos="1370"/>
        <w:tab w:val="left" w:pos="3360"/>
      </w:tabs>
      <w:spacing w:beforeLines="0" w:line="360" w:lineRule="auto"/>
      <w:ind w:firstLine="0" w:firstLineChars="0"/>
    </w:pPr>
    <w:rPr>
      <w:rFonts w:ascii="Arial" w:hAnsi="Arial" w:cs="宋体"/>
      <w:kern w:val="0"/>
      <w:sz w:val="24"/>
      <w:szCs w:val="24"/>
    </w:rPr>
  </w:style>
  <w:style w:type="paragraph" w:customStyle="1" w:styleId="129">
    <w:name w:val="样式 标题 1 + 首行缩进:  0.5 字符1"/>
    <w:basedOn w:val="3"/>
    <w:qFormat/>
    <w:uiPriority w:val="0"/>
    <w:pPr>
      <w:keepNext w:val="0"/>
      <w:keepLines w:val="0"/>
      <w:tabs>
        <w:tab w:val="left" w:pos="360"/>
        <w:tab w:val="left" w:pos="1370"/>
      </w:tabs>
      <w:spacing w:before="156" w:line="360" w:lineRule="auto"/>
      <w:ind w:left="1370" w:hanging="425"/>
    </w:pPr>
    <w:rPr>
      <w:rFonts w:ascii="Arial" w:hAnsi="Arial" w:cs="宋体"/>
      <w:sz w:val="44"/>
      <w:szCs w:val="20"/>
    </w:rPr>
  </w:style>
  <w:style w:type="character" w:customStyle="1" w:styleId="130">
    <w:name w:val="批注文字 Char2"/>
    <w:qFormat/>
    <w:uiPriority w:val="0"/>
    <w:rPr>
      <w:rFonts w:ascii="Times New Roman" w:hAnsi="Times New Roman" w:eastAsia="宋体" w:cs="Times New Roman"/>
      <w:szCs w:val="20"/>
    </w:rPr>
  </w:style>
  <w:style w:type="character" w:customStyle="1" w:styleId="131">
    <w:name w:val="apple-converted-space"/>
    <w:basedOn w:val="22"/>
    <w:qFormat/>
    <w:uiPriority w:val="0"/>
  </w:style>
  <w:style w:type="character" w:customStyle="1" w:styleId="132">
    <w:name w:val="纯文本 Char1"/>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Pages>
  <Words>8997</Words>
  <Characters>51287</Characters>
  <Lines>427</Lines>
  <Paragraphs>120</Paragraphs>
  <TotalTime>0</TotalTime>
  <ScaleCrop>false</ScaleCrop>
  <LinksUpToDate>false</LinksUpToDate>
  <CharactersWithSpaces>60164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2019-07-10T07:42:00Z</dcterms:created>
  <dc:creator>太子弹琴</dc:creator>
  <cp:lastModifiedBy>Administrator</cp:lastModifiedBy>
  <cp:lastPrinted>2019-07-11T03:21:00Z</cp:lastPrinted>
  <dcterms:modified xsi:type="dcterms:W3CDTF">2019-12-04T11:42:24Z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