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" w:line="413" w:lineRule="auto"/>
        <w:ind w:left="-199" w:leftChars="-95" w:firstLine="2573" w:firstLineChars="80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单一来源采购征求意见公示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13" w:lineRule="auto"/>
        <w:ind w:left="-420" w:leftChars="-200" w:right="-313" w:rightChars="-149" w:firstLine="321" w:firstLineChars="100"/>
        <w:textAlignment w:val="auto"/>
        <w:rPr>
          <w:rFonts w:hint="eastAsia" w:ascii="宋体" w:hAnsi="宋体" w:eastAsia="宋体" w:cs="宋体"/>
          <w:color w:val="000000"/>
          <w:kern w:val="0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（2019年湟中县田家寨镇非贫困村发展壮大村集体经济项目）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采购单位：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湟中县田家寨镇人民政府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项目内容：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2019年湟中县田家寨镇非贫困村发展壮大村集体经济项目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拟定供应商：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青海勇伟焱房地产开发有限公司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采购金额：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367.28万元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单一来源采购理由：</w:t>
      </w:r>
    </w:p>
    <w:p>
      <w:pPr>
        <w:keepNext w:val="0"/>
        <w:keepLines w:val="0"/>
        <w:widowControl/>
        <w:suppressLineNumbers w:val="0"/>
        <w:spacing w:line="480" w:lineRule="auto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为做好我省农村发展壮大村集体经济工作，根据湟中县扶贫开发局{关于转发《关于同意（田家寨镇14个村2019年发展壮大村集体经济项目实施方案）的批复》的通知}（湟扶〔2019〕141号）；湟中县人民政府文件 湟中县人民政府 关于同意《田家寨镇14个村2019年发展壮大集体经济项目实施方案》的批复（湟政〔2019〕231号）；根据湟中县人民政府 关于同意《田家寨镇14个村2019年发展壮大集体经济项目实施方案》的批复及湟中县扶贫开发局 {关于转发《关于同意（田家寨镇14个村2019年发展壮大村集体经济项目实施方案）的批复》的通知}现需采购：田家寨镇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毛家台村、泗洱河村、谢家村、甘家村、石沟村、梁家村、新村、李家庄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村、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公牙村、喇家村、毛一村、毛二村、河湾村、李家台村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上述14个村：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公牙村、喇家村、毛一村、毛二村、河湾村、李家台村统一在西宁城中区南京路48号河湟麒麟名都1幢1层购置商铺约100平方米。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湟中田家寨镇八村委购买的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“麒麟名都”商铺位于西宁市城中区城南中心地带，商业繁荣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，人口流量大，有较好的发展前景和升值空间，而且项目的实施也能使国家资金得以安全、持续、长久。通过收取租金能有效壮大各村集体经济，增加村民收入，增强群众获得感和幸福指数。特申请单一来源采购。</w:t>
      </w:r>
    </w:p>
    <w:p>
      <w:pPr>
        <w:widowControl/>
        <w:numPr>
          <w:ilvl w:val="0"/>
          <w:numId w:val="0"/>
        </w:numPr>
        <w:wordWrap w:val="0"/>
        <w:spacing w:line="360" w:lineRule="auto"/>
        <w:ind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现就上述内容向潜在政府采购供应商征求意见，任何供应商、单位或者个人对上述项目采用单一来源采购方式有异议的，请于公示期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内以实名书面（包括联系人、地址、联系电话）形式将意见反馈至田家寨镇人民政府（联系人：张镇长，联系电话：13709751859 ，湟中县财政局政府采购监督管理办公室地址：湟中县鲁沙尔镇，联系电话：0971-2232485）。 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　　　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公示期：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 w:bidi="ar"/>
        </w:rPr>
        <w:t>2019年09月18日至2019年09月24日。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附：专家论证意见表 　　　　 　　　　 </w:t>
      </w:r>
    </w:p>
    <w:p>
      <w:pPr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2019年09月17日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numPr>
          <w:ilvl w:val="0"/>
          <w:numId w:val="0"/>
        </w:numPr>
        <w:wordWrap w:val="0"/>
        <w:spacing w:line="360" w:lineRule="auto"/>
        <w:ind w:leftChars="0" w:firstLine="480" w:firstLineChars="20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单一来源论证专家成员名单(6个村）</w:t>
      </w:r>
    </w:p>
    <w:tbl>
      <w:tblPr>
        <w:tblStyle w:val="4"/>
        <w:tblpPr w:leftFromText="180" w:rightFromText="180" w:vertAnchor="text" w:horzAnchor="page" w:tblpXSpec="center" w:tblpY="472"/>
        <w:tblOverlap w:val="never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20"/>
        <w:gridCol w:w="2751"/>
        <w:gridCol w:w="1447"/>
        <w:gridCol w:w="211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9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专家姓名</w:t>
            </w:r>
          </w:p>
        </w:tc>
        <w:tc>
          <w:tcPr>
            <w:tcW w:w="27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技术职称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9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郭德海</w:t>
            </w:r>
          </w:p>
        </w:tc>
        <w:tc>
          <w:tcPr>
            <w:tcW w:w="27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省建材公司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高经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13086296166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李峰</w:t>
            </w:r>
          </w:p>
        </w:tc>
        <w:tc>
          <w:tcPr>
            <w:tcW w:w="27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青海通宁设计公司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高工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13327675097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陈昌海</w:t>
            </w:r>
          </w:p>
        </w:tc>
        <w:tc>
          <w:tcPr>
            <w:tcW w:w="27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省路桥六公司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高工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13909718922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技术类</w:t>
            </w:r>
          </w:p>
        </w:tc>
      </w:tr>
    </w:tbl>
    <w:p>
      <w:pP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  <w:br w:type="page"/>
      </w:r>
    </w:p>
    <w:p>
      <w:pPr>
        <w:widowControl/>
        <w:wordWrap w:val="0"/>
        <w:spacing w:line="270" w:lineRule="atLeast"/>
        <w:ind w:left="302"/>
        <w:jc w:val="center"/>
        <w:rPr>
          <w:rFonts w:ascii="宋体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  <w:t>2019年湟中县田家寨镇非贫困村发展壮大村集体经济项目</w:t>
      </w: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单一来源</w:t>
      </w: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  <w:t>专家论证意见表</w:t>
      </w:r>
    </w:p>
    <w:tbl>
      <w:tblPr>
        <w:tblStyle w:val="3"/>
        <w:tblW w:w="86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单位（采购人）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公牙村民委员会、喇家村民委员会、毛一村民委员会、毛二村民委员会、河湾村民委员会、李家台村民委员会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hint="default" w:ascii="宋体" w:eastAsia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实施内容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hint="default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公牙村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喇家村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毛一村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毛二村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河湾村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李家台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村统一在西宁城中区南京路48号河湟麒麟名都1幢1层购置商铺约100平方米。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预算金额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所属项目名称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湟中县田家寨镇非贫困村发展壮大村集体经济项目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所属项目金额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</w:trPr>
        <w:tc>
          <w:tcPr>
            <w:tcW w:w="8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论证意见：</w:t>
            </w:r>
          </w:p>
          <w:p>
            <w:pPr>
              <w:widowControl/>
              <w:tabs>
                <w:tab w:val="left" w:pos="2167"/>
              </w:tabs>
              <w:wordWrap w:val="0"/>
              <w:spacing w:line="360" w:lineRule="auto"/>
              <w:ind w:hanging="2"/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湟中田家寨镇六村委购买西宁城中麒麟名都商铺位于城南中心地带，商业繁荣，人口流量大，有较好的发展空间和经济效益，也使国家资金得以安全、持续、长久产生经济效益，能使各村每年都有稳定的租金效益，增加集体的经济收入，购买此商铺也有不动产升值潜力。</w:t>
            </w:r>
          </w:p>
          <w:p>
            <w:pPr>
              <w:widowControl/>
              <w:tabs>
                <w:tab w:val="left" w:pos="2167"/>
              </w:tabs>
              <w:wordWrap w:val="0"/>
              <w:spacing w:line="360" w:lineRule="auto"/>
              <w:ind w:left="239" w:leftChars="114" w:firstLine="477" w:firstLineChars="199"/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综上所述：建议采用单一来源采购方式。</w:t>
            </w: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ab/>
            </w: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27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专家签字：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郭德海</w:t>
            </w:r>
          </w:p>
          <w:p>
            <w:pPr>
              <w:widowControl/>
              <w:wordWrap w:val="0"/>
              <w:spacing w:line="270" w:lineRule="atLeast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270" w:lineRule="atLeast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882"/>
              </w:tabs>
              <w:wordWrap w:val="0"/>
              <w:spacing w:line="360" w:lineRule="auto"/>
              <w:ind w:hanging="2"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widowControl/>
        <w:wordWrap w:val="0"/>
        <w:spacing w:line="270" w:lineRule="atLeast"/>
        <w:ind w:left="302"/>
        <w:jc w:val="center"/>
        <w:rPr>
          <w:rFonts w:ascii="宋体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  <w:t>2019年湟中县田家寨镇非贫困村发展壮大村集体经济项目</w:t>
      </w: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单一来源</w:t>
      </w: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  <w:t>专家论证意见表</w:t>
      </w:r>
    </w:p>
    <w:tbl>
      <w:tblPr>
        <w:tblStyle w:val="3"/>
        <w:tblW w:w="86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单位（采购人）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公牙村民委员会、喇家村民委员会、毛一村民委员会、毛二村民委员会、河湾村民委员会、李家台村民委员会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1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公牙村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喇家村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毛一村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毛二村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河湾村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李家台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村统一在西宁城中区南京路48号河湟麒麟名都1幢1层购置商铺约100平方米。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预算金额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所属项目名称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湟中县田家寨镇非贫困村发展壮大村集体经济项目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所属项目金额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7" w:hRule="atLeast"/>
        </w:trPr>
        <w:tc>
          <w:tcPr>
            <w:tcW w:w="86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论证意见：</w:t>
            </w:r>
          </w:p>
          <w:p>
            <w:pPr>
              <w:widowControl/>
              <w:wordWrap w:val="0"/>
              <w:spacing w:line="360" w:lineRule="auto"/>
              <w:ind w:left="239" w:leftChars="114" w:firstLine="237" w:firstLineChars="9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公乐村等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村无经济实体，目前在西宁城中区中心地带购置的“麒麟名都”商铺是较好的选择，项目区人流量大，具有较好的发展和升值空间，而且通过收取租金能有效壮大集体经济发展，增加村民收入，增强群众获得感和幸福指数，故建议采用单一来源采购方式。</w:t>
            </w:r>
          </w:p>
          <w:p>
            <w:pPr>
              <w:widowControl/>
              <w:wordWrap w:val="0"/>
              <w:spacing w:line="360" w:lineRule="auto"/>
              <w:ind w:hanging="2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ab/>
            </w: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27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专家签字：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李峰</w:t>
            </w:r>
          </w:p>
          <w:p>
            <w:pPr>
              <w:widowControl/>
              <w:wordWrap w:val="0"/>
              <w:spacing w:line="270" w:lineRule="atLeast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270" w:lineRule="atLeast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882"/>
              </w:tabs>
              <w:wordWrap w:val="0"/>
              <w:spacing w:line="360" w:lineRule="auto"/>
              <w:ind w:hanging="2"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widowControl/>
        <w:wordWrap w:val="0"/>
        <w:spacing w:line="270" w:lineRule="atLeast"/>
        <w:ind w:left="302"/>
        <w:jc w:val="center"/>
        <w:rPr>
          <w:rFonts w:ascii="宋体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  <w:t>2019年湟中县田家寨镇非贫困村发展壮大村集体经济项目</w:t>
      </w: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单一来源</w:t>
      </w:r>
      <w:r>
        <w:rPr>
          <w:rFonts w:hint="eastAsia" w:ascii="Times New Roman" w:hAnsi="Times New Roman" w:cs="宋体"/>
          <w:b/>
          <w:bCs/>
          <w:color w:val="000000"/>
          <w:kern w:val="0"/>
          <w:sz w:val="36"/>
          <w:szCs w:val="36"/>
          <w:shd w:val="clear" w:color="auto" w:fill="FFFFFF"/>
        </w:rPr>
        <w:t>专家论证意见表</w:t>
      </w:r>
    </w:p>
    <w:tbl>
      <w:tblPr>
        <w:tblStyle w:val="3"/>
        <w:tblW w:w="86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单位（采购人）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公牙村民委员会、喇家村民委员会、毛一村民委员会、毛二村民委员会、河湾村民委员会、李家台村民委员会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公牙村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喇家村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毛一村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毛二村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河湾村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李家台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村统一在西宁城中区南京路48号河湟麒麟名都1幢1层购置商铺约100平方米。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采购进口产品预算金额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所属项目名称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湟中县田家寨镇非贫困村发展壮大村集体经济项目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所属项目金额</w:t>
            </w:r>
          </w:p>
        </w:tc>
        <w:tc>
          <w:tcPr>
            <w:tcW w:w="6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8" w:hRule="atLeast"/>
        </w:trPr>
        <w:tc>
          <w:tcPr>
            <w:tcW w:w="86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论证意见：</w:t>
            </w:r>
          </w:p>
          <w:p>
            <w:pPr>
              <w:widowControl/>
              <w:wordWrap w:val="0"/>
              <w:spacing w:line="360" w:lineRule="auto"/>
              <w:ind w:hanging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此项目地理位置较好，人流密集，发展前境好，有较高的升值空间，能更好的促进村集体经济持续发展，壮大村集体经济起到一定的示范和带动作用，建议采用单一来源采购方式。</w:t>
            </w: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ab/>
            </w: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2847"/>
              </w:tabs>
              <w:wordWrap w:val="0"/>
              <w:spacing w:line="360" w:lineRule="auto"/>
              <w:ind w:hanging="2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360" w:lineRule="auto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27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专家签字：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陈昌海</w:t>
            </w:r>
          </w:p>
          <w:p>
            <w:pPr>
              <w:widowControl/>
              <w:wordWrap w:val="0"/>
              <w:spacing w:line="270" w:lineRule="atLeast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270" w:lineRule="atLeast"/>
              <w:ind w:hanging="2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tabs>
                <w:tab w:val="left" w:pos="882"/>
              </w:tabs>
              <w:wordWrap w:val="0"/>
              <w:spacing w:line="360" w:lineRule="auto"/>
              <w:ind w:hanging="2"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eastAsia="zh-CN"/>
        </w:rPr>
        <w:t>2019年湟中县田家寨镇非贫困村发展壮大村集体经济项目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单一来源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eastAsia="zh-CN"/>
        </w:rPr>
        <w:t>专家论证意见表</w:t>
      </w:r>
    </w:p>
    <w:tbl>
      <w:tblPr>
        <w:tblStyle w:val="4"/>
        <w:tblW w:w="8960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项目建设单位（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公牙村民委员会、喇家村民委员会、毛一村民委员会、毛二村民委员会、河湾村民委员会、李家台村民委员会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6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2019年湟中县田家寨镇非贫困村发展壮大村集体经济项目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预算金额</w:t>
            </w:r>
          </w:p>
        </w:tc>
        <w:tc>
          <w:tcPr>
            <w:tcW w:w="67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所属项目金额</w:t>
            </w:r>
          </w:p>
        </w:tc>
        <w:tc>
          <w:tcPr>
            <w:tcW w:w="679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367.28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67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公牙村、喇家村、毛一村、毛二村、河湾村、李家台村统一在西宁城中区南京路48号河湟麒麟名都1幢1层购置商铺约100平方米。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89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一）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项目建设</w:t>
            </w:r>
            <w:r>
              <w:rPr>
                <w:rFonts w:hint="eastAsia"/>
                <w:color w:val="auto"/>
                <w:sz w:val="24"/>
                <w:szCs w:val="32"/>
                <w:lang w:eastAsia="zh-CN"/>
              </w:rPr>
              <w:t>理由：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6个项目村无经济实体，项目选择空间小，村里无可用于发展村集体经济项目的建设用地。目前统一购置商铺是较好的选择，而且麒麟名都位于西宁市城中区城南中心地带，人流量大，具有较好的发展前景，通过收取租金能稳定增加村集体经济收入，并且商铺有升职空间，能更好的促进村集体经济发展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专家组论证意见汇总：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 xml:space="preserve">           湟中县田家寨镇六村委购买的“麒麟名都”商铺位于西宁市城中区城南中心地带，商业繁荣，人口流量大，有较好的发展前景和升值空间，而且项目的实施也能使国家资金得以安全、持续、长久。通过收取租金能有效壮大村集体经济，增加村民收入。增强群众获得感和幸福指数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综上所述，建议采用单一来源采购方式。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专家签字: 郭德海  陈昌海  李峰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     2019年9 月12日  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135" cy="5848350"/>
            <wp:effectExtent l="0" t="0" r="0" b="5715"/>
            <wp:docPr id="12" name="图片 12" descr="img-220035334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-220035334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113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  <w:bookmarkStart w:id="0" w:name="_GoBack"/>
      <w:bookmarkEnd w:id="0"/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135" cy="7456805"/>
            <wp:effectExtent l="0" t="0" r="5715" b="10795"/>
            <wp:docPr id="21" name="图片 21" descr="img-220035334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-220035334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135" cy="7456805"/>
            <wp:effectExtent l="0" t="0" r="5715" b="10795"/>
            <wp:docPr id="20" name="图片 20" descr="img-220035334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-220035334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135" cy="7456805"/>
            <wp:effectExtent l="0" t="0" r="5715" b="10795"/>
            <wp:docPr id="19" name="图片 19" descr="img-220035334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-220035334-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135" cy="7456805"/>
            <wp:effectExtent l="0" t="0" r="5715" b="10795"/>
            <wp:docPr id="18" name="图片 18" descr="img-220035334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-220035334-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19E0"/>
    <w:multiLevelType w:val="singleLevel"/>
    <w:tmpl w:val="6FF219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0407D"/>
    <w:rsid w:val="04C262F1"/>
    <w:rsid w:val="0EE83471"/>
    <w:rsid w:val="18B56A94"/>
    <w:rsid w:val="210E38EE"/>
    <w:rsid w:val="21655B6E"/>
    <w:rsid w:val="231157EC"/>
    <w:rsid w:val="27243190"/>
    <w:rsid w:val="32016A18"/>
    <w:rsid w:val="32143018"/>
    <w:rsid w:val="334C6592"/>
    <w:rsid w:val="3399183B"/>
    <w:rsid w:val="34697590"/>
    <w:rsid w:val="3A822003"/>
    <w:rsid w:val="3DD21987"/>
    <w:rsid w:val="3DED3864"/>
    <w:rsid w:val="3DFD5555"/>
    <w:rsid w:val="3F112B38"/>
    <w:rsid w:val="4716679A"/>
    <w:rsid w:val="47923C04"/>
    <w:rsid w:val="483604E4"/>
    <w:rsid w:val="4AA30B74"/>
    <w:rsid w:val="4BCA706D"/>
    <w:rsid w:val="4D695A8E"/>
    <w:rsid w:val="4E590816"/>
    <w:rsid w:val="50642C75"/>
    <w:rsid w:val="53D13D5C"/>
    <w:rsid w:val="548247A5"/>
    <w:rsid w:val="54CB7BA9"/>
    <w:rsid w:val="55742C9B"/>
    <w:rsid w:val="59973B21"/>
    <w:rsid w:val="5D0B42C0"/>
    <w:rsid w:val="5D5F227D"/>
    <w:rsid w:val="5EB2266F"/>
    <w:rsid w:val="63BE702D"/>
    <w:rsid w:val="6830407D"/>
    <w:rsid w:val="70A679F2"/>
    <w:rsid w:val="73F20651"/>
    <w:rsid w:val="79FC3E46"/>
    <w:rsid w:val="7FD01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2019-08-28T07:36:00Z</dcterms:created>
  <dc:creator>〆See  You  Again</dc:creator>
  <cp:lastModifiedBy>Administrator</cp:lastModifiedBy>
  <dcterms:modified xsi:type="dcterms:W3CDTF">2019-09-17T10:17:24Z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