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附件：1</w:t>
      </w:r>
    </w:p>
    <w:p>
      <w:pPr>
        <w:pStyle w:val="2"/>
        <w:jc w:val="center"/>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大通县人民检察院安防监控及视频会议系统设备采购项目参数表</w:t>
      </w:r>
    </w:p>
    <w:p>
      <w:pPr>
        <w:jc w:val="center"/>
        <w:rPr>
          <w:rFonts w:ascii="宋体" w:hAnsi="宋体" w:cs="宋体"/>
          <w:sz w:val="22"/>
          <w:szCs w:val="22"/>
        </w:rPr>
      </w:pPr>
      <w:r>
        <w:rPr>
          <w:rFonts w:hint="eastAsia" w:ascii="宋体" w:hAnsi="宋体" w:cs="宋体"/>
          <w:color w:val="000000"/>
          <w:kern w:val="0"/>
          <w:sz w:val="28"/>
          <w:szCs w:val="28"/>
        </w:rPr>
        <w:t>1.安防监控参数表</w:t>
      </w:r>
    </w:p>
    <w:tbl>
      <w:tblPr>
        <w:tblStyle w:val="21"/>
        <w:tblW w:w="15195" w:type="dxa"/>
        <w:tblInd w:w="93" w:type="dxa"/>
        <w:tblLayout w:type="autofit"/>
        <w:tblCellMar>
          <w:top w:w="0" w:type="dxa"/>
          <w:left w:w="108" w:type="dxa"/>
          <w:bottom w:w="0" w:type="dxa"/>
          <w:right w:w="108" w:type="dxa"/>
        </w:tblCellMar>
      </w:tblPr>
      <w:tblGrid>
        <w:gridCol w:w="589"/>
        <w:gridCol w:w="2684"/>
        <w:gridCol w:w="10362"/>
        <w:gridCol w:w="862"/>
        <w:gridCol w:w="698"/>
      </w:tblGrid>
      <w:tr>
        <w:tblPrEx>
          <w:tblCellMar>
            <w:top w:w="0" w:type="dxa"/>
            <w:left w:w="108" w:type="dxa"/>
            <w:bottom w:w="0" w:type="dxa"/>
            <w:right w:w="108" w:type="dxa"/>
          </w:tblCellMar>
        </w:tblPrEx>
        <w:trPr>
          <w:trHeight w:val="270" w:hRule="atLeast"/>
        </w:trPr>
        <w:tc>
          <w:tcPr>
            <w:tcW w:w="58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序号</w:t>
            </w:r>
          </w:p>
        </w:tc>
        <w:tc>
          <w:tcPr>
            <w:tcW w:w="26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设备名称</w:t>
            </w:r>
          </w:p>
        </w:tc>
        <w:tc>
          <w:tcPr>
            <w:tcW w:w="103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技术参数</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数量</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单位</w:t>
            </w:r>
          </w:p>
        </w:tc>
      </w:tr>
      <w:tr>
        <w:tblPrEx>
          <w:tblCellMar>
            <w:top w:w="0" w:type="dxa"/>
            <w:left w:w="108" w:type="dxa"/>
            <w:bottom w:w="0" w:type="dxa"/>
            <w:right w:w="108" w:type="dxa"/>
          </w:tblCellMar>
        </w:tblPrEx>
        <w:trPr>
          <w:trHeight w:val="4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半球摄像机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视频分辨率和帧率≥2560x1440、25帧/秒，视频压缩标准需支持H.265/H.264；内置GPU芯片，内置电动变焦镜头，电动变焦范围不小于3-12mm；最低照度彩色≤0.005  lx；宽动态范围≥120dB；</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需具备区域入侵、越界入侵、进入区域、离开区域等功能，并可将分析目标设置为人、车辆、人和车辆三种，可对布防时间和联动报警方式进行设置；（需提供公安部所属检验机构出具的检测报告复印件证明）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需具备智能分析抗干扰功能，当篮球、小狗、树叶等非人或车辆目标经过检测区域时，不会触发报警；支持声音报警功能，报警声音类型不小于10种，报警声级及报警次数可设置；（需提供公安部所属检验机构出具的检测报告复印件证明）需内置麦克风和扬声器；需支持PoE供电，具有DC12V电源输出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需支持快捷配置功能，可在预览画面开启/关闭快捷配置页面，对曝光参数、OSD、智能资源分配模式等参数进行配置，并可一键恢复为默认设置；（需提供公安部所属检验机构出具的检测报告复印件证明）需支持像素显示功能，可实时显示监控画面上选定区域的水平像素大小和垂直像素大小；（需提供公安部所属检验机构出具的检测报告复印件证明），需具有≥1个10M/100M自适应以太网口、≥1对音频输入/输出接口、≥1对报警输入输出接口；内置红外补光灯，红外补光距离需≥30米；防护等级不低于IP66，防暴等级需≥IK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51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筒形摄像机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具有400万像素 CMOS传感器。内置GPU芯片。内置麦克风和喇叭。最低照度彩色：0.001 lx，黑白:0.0001 lx，最大亮度鉴别等级（灰度等级）不小于11级。需支持双码流技术，主码流最高2560x1440@25fps，子码流640x480@25fps。在2560x1440 @ 25fps下，清晰度不小于1400TVL。支持H.264、H.265、MJPEG视频编码格式，其中H.264支持Baseline/Main/High Profile。信噪比不小于62dB。具有白光补光、混合补光模式，在仅开启白光灯进行补光时，可输出彩色视频图像；支持自动和手动亮度调节模式，当在自动模式下,补光灯开启时，样机可跟据被摄物的距离自动调节补光灯亮度。支持检出两眼瞳距20像素点以上的人脸图片。支持最佳抓拍和快速抓拍2种人脸图片抓拍模式设置选项。需具备区域入侵、越界入侵、进入区域、离开区域等功能，报警检测目标可设置为人体、车辆、人体和车辆三种类别。（公安部检验报告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支持声音报警功能，报警声音类型不小于10种，报警音量及重复次数可设置。（公安部检验报告证明）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需具备智能报警防干扰功能，当在设定的检测范围内出现光线明暗变化、篮球滚动、狗行走、树摇晃时，不触发报警。（公安部检验报告证明）不低于IP67防尘防水等级。需支持DC12V供电，且在不小于DC12V±30%范围内变化时可以正常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7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全景摄像机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枪球一体机，可输出全景和细节两路视频图像，全景视频图像内置≥2个镜头，细节视频图像内置≥1个镜头，内置2颗GPU芯片，全景通道和细节通道均有独立的补光灯；（需提供公安部所属检验机构出具的检测报告复印件证明）</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全景视频分辨率和帧率≥3840×1080@25fps，细节视频分辨率和帧率≥2560x1440@25fps，最低照度彩色≤0.0005lx，黑白≤0.0001lx；细节镜头传感器靶面尺寸需≥1/1.9英寸，支持≥25倍光学变倍，最大焦距≥145mm，支持水平及垂直电动旋转，支持水平360°连续旋转，垂直旋转范围≥90°，支持自动翻转；支持在预览画面及抓拍图片中叠加人员和车辆的移动轨迹，轨迹颜色支持红色、黄色、蓝色、绿色等颜色，轨迹末尾具有一个方向箭头，指向目标离开的方向，抓拍图片大小≤500KB；（需提供公安部所属检验机构出具的检测报告复印件证明）支持人脸人体车辆同时抓拍，人脸人体关联输出，支持对人脸、人体、车辆结构化属性特征信息提，支持全景、细节关联跟踪；全景通道可输出两个镜头无缝拼接的全景图像，拼接偏差像素≤4个像素，全景画面水平视场角≥185°，全景通道支持垂直旋转，旋转范围≥10°可调；（需提供公安部所属检验机构出具的检测报告复印件证明）具备AR标签管理功能，可对监控区域的常规点位、卡口点位、人脸点位、重点道路、重点场所等进行标签标注，最多可添加≥500个标签，当云台明显抖动、转动、或进行镜头变倍时，标签应跟随标定的目标物移动，并在画面中与目标物保持相对静止；（需提供公安部所属检验机构出具的检测报告复印件证明）支持备声音警戒功能，可设置≥10种警戒音、提示音、自定义语音，报警次数≥1～50次可设；可通过区域入侵侦测、越界侦测、进入区域侦测、离开区域侦测等报警事件，联动声音报警；（需提供公安部所属检验机构出具的检测报告复印件证明）支持添加≥20个物体标签，可开启或关闭标签显示功能，显示透明度可配置，添加的物体标签可在全景和细节画面中显示，细节画面的标签不会跟随云台的旋转而发生偏移；（需提供公安部所属检验机构出具的检测报告复印件证明）具有≥1对音频输入/输出接口、≥5路报警输入、≥2路报警输出、≥1个RS485接口、≥1个存储卡接口，内置红外补光灯，补光距离≥200m，工作温度范围≥-30℃-65℃，防水防尘等级≥IP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67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网络存储设备</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网络存储主机，可接入硬盘≥48块，配置不少于48块8T企业级硬盘，≥8GB内存，内存支持扩展到≥256GB，≥4个千兆以太网口，支持网口扩展，≥4个USB3.0接口，不低于1+1冗余电源；控制单元≥2颗64位多核处理器，支持1TB、2TB、4TB、6TB、8TB、10TB、12TB、14TB、16TB、18TB、20TB等容量硬盘，支持氦气硬盘和空气硬盘，支持硬盘交错/分时启动；（需提供公安部所属检验机构出具的检测报告复印件证明）支持RAID0、1、5、6、10、50，支持全局、局部等多种热备选择，支持坏盘自动重构；支持当磁盘处于非工作状态下，进入休眠状态，进行读写操作时可被唤醒，增加磁盘寿命；支持智能风扇调速，支持智能CPU调频等功能；接入带宽≥2000Mbps，支持对视音频、图片、智能流进行混合直存，无须存储服务器和图片服务器的参与，平台服务器宕机时，存储业务正常；支持纠删码技术，支持多台存储设备组建网络RAID，允许每组RAID中不低于任意12个或以内磁盘发生故障，数据不丢失，存储服务不中断，允许每组RAID中任意≥13块硬盘发生故障，业务不中断；（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根据业务需要设置重构速度，至少具有低、中、高、全速等重构速度配置，支持显示重构速度，当RAID内某一块硬盘发生故障，热备盘替换或更换该硬盘时，RAID重构可自动进行，当RAID处于降级或重构状态下，不影响数据写入，支持损坏的RAID按照RAID损坏等级进行重构；（需提供公安部所属检验机构出具的检测报告复印件证明）支持灯光报警，支持按照故障紧急程度分级报警，不同级别闪烁不同颜色灯，灯闪烁频率、时长可设；支持系统盘更换，更换系统盘并配置好信息后，再次开机无需人工介入，业务自动恢复，不丢历史数据；（需提供公安部所属检验机构出具的检测报告复印件证明）支持硬盘体检功能，支持查看硬盘体检报告、硬盘深度体检、磁盘档案等，支持单个或批量硬盘的报告的下载，支持按时间显示硬盘的温度、坏扇区、振动变化等趋势的曲线图，支持输出硬盘体检报告，支持查看硬盘体检的历史记录、硬盘健康状态，包括故障、亚健康、健康等；（需提供公安部所属检验机构出具的检测报告复印件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4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LCD拼接屏</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55英寸液晶拼接屏，对角线尺寸≥55英寸，物理分辨率≥1920×1080，响应时间≤8ms；</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物理拼缝≤3.5mm，亮度≥500cd/㎡，对比度≥1200:1，水平、垂直视场角均≥178°；</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输入接口≥1个HDMI、≥1个DVI、≥1个VGA、≥1个DP，输出接口≥1个HDMI，可选配HDbaseT等接口；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图像显示灰度等级提升技术，使8bit液晶屏实现≥10bit的显示效果，灰度等级从256级增加到≥1024级，画面层次丰富、色彩逼真；（需提供首页具有CNAS标识的检测报告复印件并加盖制造商鲜章证明）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校正后色坐标误差≤±0.001，亮度误差≤±10nit,0-255灰阶中32灰阶以上，每阶之间色温误差≤±500K；（需提供首页具有CNAS标识的检测报告复印件并加盖制造商鲜章证明）支持以像素点为单位进行矫正，能够消除屏幕局部亮暗不均现象，屏幕所有像素点亮度均一性≥80%；（需提供首页具有CNAS标识的检测报告复印件并加盖制造商鲜章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支持不低于十级灰阶色度、亮度校正的功能，使各灰阶整墙一致性≥80%，支持屏幕边缘渐进修正功能，修正屏间边缘颜色过渡不均匀；（需提供首页具有CNAS标识的检测报告复印件并加盖制造商鲜章证明）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支持检测并匹配与输入信源相同的颜色空间的功能，使显示画面不丢失暗阶、亮阶细节；（需提供首页具有CNAS标识的检测报告复印件并加盖制造商鲜章证明）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支持不少于R、G、B、C、M、Y、FLESH、Y-G、C-G、F、F-R、F-LIP、F-Y-HAIR、F-MEAT、F-DARK独立调节功能，使画面颜色显示更加准确；（需提供首页具有CNAS标识的检测报告复印件并加盖制造商鲜章证明）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块</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拼接屏支架</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拼接屏支架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大屏线缆</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HDMI电缆,7m,黑色</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根</w:t>
            </w:r>
          </w:p>
        </w:tc>
      </w:tr>
      <w:tr>
        <w:tblPrEx>
          <w:tblCellMar>
            <w:top w:w="0" w:type="dxa"/>
            <w:left w:w="108" w:type="dxa"/>
            <w:bottom w:w="0" w:type="dxa"/>
            <w:right w:w="108" w:type="dxa"/>
          </w:tblCellMar>
        </w:tblPrEx>
        <w:trPr>
          <w:trHeight w:val="6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解码器</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解码设备采用嵌入式架构，专用Linux系统，机架式设计，高度≤2U；具有≥10个HDMI输出接口、≥1个VGA输入接口、≥1个DVI-I输入接口、≥2个千兆网口、≥2个光口、≥1路语音输入、≥1路语音输出接口，≥1个RS232接口，≥1个RS485接口，≥6路报警输入、≥6路报警输出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输出分辨率支持1920×1080、3840×2160；支持画面分割、拼接、开窗漫游功能，支持1、2、4、6、8、9、10、12、16、25、36等画面分割显示，支持将显示窗口在多个显示屏间进行拖动或跨屏显示，支持调节显示窗口大小；</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支持ONVIF、GB28181协议接入设备，支持RTP\RTSP协议进行预览；支持H.265、H.264、MPEG4、MJPEG等视频编码格式，支持TS、PS、RTPTS等封装格式，支持AAC、G.722、G.711A、G.726、G.711U等音频格式；</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解码能力支持≥10路4000×3000（20fps）、或≥20路4096×2160（25fps）、或≥20路3840×2160（25fps）、或≥30路为2592×1944（30fps）、或≥80路1920×1080（30fps）、或≥160路1280×720（30fps）分辨率的H.264、H.265、MPEG4视频图像解码输出；</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通过设备抓屏软件，将远程电脑桌面实时解码上墙显示，画面帧率应支持≥30fps，支持同时抓取≥8个任务上墙、≥8个4K信号，不消耗CPU性能，支持在电视墙进行8画面分割同时显示，支持对桌面进行整屏、单窗口、自定义区域抓屏上墙；（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支持PC软件客户端、WEB 浏览器客户端、平台客户端、IPAD、可视化触控平台方式访问管理；（需提供公安部所属检验机构出具的检测报告复印件证明）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支持对输入的视频画面进行90°、180°、270°旋转显示；支持回字形拼接，支持对解码的IPC输出的画面进行旋转，支持90°、180°左旋和90°、180°右旋；（需提供公安部所属检验机构出具的检测报告复印件证明）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前端接入智能摄像机，直连前端人脸检测设备，可实时展示人脸检测结果，包括年龄、性别、是否戴眼镜等人脸属性信息，属性可直接叠加画面显示；（需提供公安部所属检验机构出具的检测报告复印件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4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综合安防平台</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最大支持用户200000个，最大支持500个用户并发登录请求以及5000个用户同时在线（以检测报告为准）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多样的人员信息采集途径，并支持人脸照片质量评分。采集途径包括但不限于：①通过多功能采集设备在线采集人脸、指纹、身份证信息；②在公网或内网环境下，通过APP方式实现人脸照片采集；③通过人证比对设备实现离线或在线自助采集人脸照片；④通过平台批量导入人脸照片，人脸照片可通过人脸照片预处理工具校验照片命名、大小和质量是否符合规范⑤人脸采集还可以通过h5页面进行采集（以检测报告为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支持全景摄像机，实现360度的全景监控，可以对全景区域内的多个目标进行穿越警戒面、区域入侵、进入区域、离开区域行为的检测（以检测报告为准）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支持视频画面叠加水印，包括视频预览、录像回放、即时回放、录像剪辑、紧急录像和录像下载时叠加 （以检测报告为准）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支持人脸建模的大规模批量下发；支持初始化全量下发、增量异动下发 （以检测报告为准）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支持可设置门禁权限为长期有效；权限时间支持精确到秒；门禁权限手动冻结、解冻；自动清理长期未使用的门禁权限 （以检测报告为准）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支持人员通行记录区分：内部人员、外部人员、陌生人员（以检测报告为准）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套</w:t>
            </w:r>
          </w:p>
        </w:tc>
      </w:tr>
      <w:tr>
        <w:tblPrEx>
          <w:tblCellMar>
            <w:top w:w="0" w:type="dxa"/>
            <w:left w:w="108" w:type="dxa"/>
            <w:bottom w:w="0" w:type="dxa"/>
            <w:right w:w="108" w:type="dxa"/>
          </w:tblCellMar>
        </w:tblPrEx>
        <w:trPr>
          <w:trHeight w:val="2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服务器</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2U双路标准机架式服务器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CPU：≥2颗intel至强系列处理器，核数≥10核，主频≥2.2GHz</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内存：≥64G D下·DR4，16根内存插槽，最大支持扩展至2TB内存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硬盘：≥4块600G 10K 2.5寸 SAS硬盘</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阵列卡：SAS_HBA卡, 支持RAID 0/1/10</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PCIE扩展：最大可支持6个PCIE扩展插槽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网口：≥2个千兆电口，≥2个万兆光口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其他接口：1个RJ45管理接口，后置2个USB 3.0接口，前置2个USB2.0接口，1个VGA接口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电源：标配550W（1+1）高效铂金CRPS冗余电源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59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全结构化球机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网络高清智能球型摄像机，最大分辨率和帧率≥2560×1440@25fps，支持H.265、H.264编码，最低照度彩色≤0.0005lx，黑白≤0.0001lx；</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传感器靶面尺寸需≥1/1.9英寸，支持≥40倍光学变倍，最大焦距≥240mm，支持水平及垂直电动旋转，支持水平360°连续旋转，垂直旋转范围≥90°，支持自动翻转；</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支持人脸、人体、车辆同时抓拍，支持人脸、人体关联输出，支持对人脸、人体、车辆结构化属性特征信息提取；</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对镜头前盖玻璃进行加热，支持倍率自动调整功能，通过标定校准可检测当前镜头方向与地平面夹角，并根据夹角变化自动调整倍率；（需提供公安部所属检验机构出具的检测报告复印件证明）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通过平台下发布控的人脸及人体信息、布控时间等参数，检测到布控名单中的人脸或人体信息时，可联动抓拍、跟踪、分析、显示及上传人脸及人体的属性信息，并向平台上传报警信息；（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设备可根据环境光照度自动切换黑白/彩色模式，切换灵敏度不低于1-7档可设，灵敏度为最高档时，切换时间≤2s；（需提供公安部所属检验机构出具的检测报告复印件证明）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设备运动结束静止时，其水平和垂直角度方向受到外力作用发生偏移时，能够检测角度改变并产生报警信息，报警信息可在OSD上叠加，水平和垂直角度方向均可以自动恢复到偏移前的位置；（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具有运动位置矫正功能，云台在转动过程中，当由于外力导致云台发生失步，转动结束后镜头的实际位置与理想位置存在偏差时，可自动对位置进行矫正，矫正过程中，如果对云台进行手动控制，可自动停止矫正行为，同时响应控制命令；（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具有≥1对音频输入/输出接口、≥5路报警输入、≥2路报警输出、≥1个RS485接口、≥1个存储卡接口，内置红外补光灯，补光距离≥240m，工作温度范围≥-30℃-65℃，防水防尘等级≥IP67。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核心交换机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可用千兆电接口数量≥24，复用的千兆光口数量≥8，非复用万兆光接口数量≥4，支持1个扩展槽位，支持40G（QSFP+）端口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支持独立的console管理串口，≥1个带外管理口</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交换容量：756Gbps/7.56Tbps，转发性能：222Mpps/396Mpps</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MAC地址表≥64K，ARP表≥32K，端口MAC地址缓存能力≥2048个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18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24口POE交换机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22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可用千兆PoE电接口数量≥24，千兆电口数量≥1，千兆光口数≥1</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交换容量≥52 Gbps</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转发性能≥38.688 Mpps</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16口POE交换机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220"/>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可用千兆PoE电接口数量≥16，千兆电口数量≥1，千兆光口数≥1</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交换容量≥36 Gbps</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转发性能≥26.784 Mpps</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支持自适应802.3af/at供电标准，支持PoE最大输出功率≥225 W</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2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操作电脑</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支持多显卡调度，支持在同一应用中同时使用双显卡工作， 支持视频客户端实现画中画显示，支持将2个IPC画面合成1个画面，支持在1个大画面叠加小画面；（需提供公安部所属检验机构出具的检测报告复印件证明）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播放多种视频格式，支持不少于全屏、单屏、2分屏、4分屏、9分屏、16分屏播放，支持不低于16个窗口同时1或2倍速播放，或9个窗口同时4倍速播放，或4个窗口同时8倍速或16倍速播放；（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不低于i5 10400处理器，内存≥8GB，≥128GB SSD+1TB HDD硬盘，≥21.5英寸显示器，不低于2G独显，不大于12L立式机箱，含光驱、键盘、鼠标。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70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人脸识别门禁</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人脸门禁一体机，设备采用≥7英寸触摸显示屏，屏幕分辨率≥1024*600，可显示软件界面及操作提示，设备实时检测最大人脸，具有人脸框提示设计，方便校准。</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不少于2个摄像头（1个可见光摄像头+1个红外摄像头），码流支持≥1920×1080@25帧/秒，适应强光、逆光、弱光等条件下的人脸识别，支持通过人脸及人体测光，快速调节图像亮度</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设备支持≥10000张人脸白名单、≥50000张卡片，≥150000条本地出入记录，支持通过韦根接口外接门禁主机或韦根读卡器；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屏幕采用不低于水滴屏全贴合工艺，玻璃屏占比≥90%，屏幕流明度≥600cd/m2，具有指示灯支持固定频率的亮起和熄灭（呼吸状态）及识别状态提示；（需提供公安部所属检验机构出具的检测报告复印件证明）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前面板防破坏能力不低于 IK07 ，后壳防破坏能力不低于IK10 ，防护等级不低于IP66，支持选择嵌入式、壁挂、桌面、立式、人员通道安装；（需提供公安部所属检验机构出具的检测报告复印件证明）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支持刷卡+密码、指纹+密码、指纹+刷卡、人脸+指纹、人脸+密码、人脸+刷卡、指纹+刷卡+密码、人脸+指纹+刷卡、人脸+密码+指纹等复合认证；（需提供公安部所属检验机构出具的检测报告复印件证明）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人脸1:1对比平均时间≤120ms ，认假率≤0.0002% ，拒真率≤1%，准确率≥99%；（需提供公安部所属检验机构出具的检测报告复印件证明）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支持与管理平台或客户端中心、室内机、管理机、手机 APP 可视对讲，支持配置一键呼叫管理机或室内机的可视对讲，支持与广播主机呼叫对讲，支持中心广播主机向设备广播喊话，支持在管理中心远程视频预览，支持接入NVR设备实现视频监控录像；（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支持设备信息查询、用户信息管理、设备时间管理、系统维护、安全操作管理、技术参数配置、 设备图像参数配置、图像美颜参数配置、待机广告界面图片下发及播放时间配置，支持比对结果提示语音自定义配置，支持按时段配置自定义语音，支持不少于8 个时段自定义；（需提供公安部所属检验机构出具的检测报告复印件证明）</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具有≥1个RS485、≥1个wiegand 、≥1个typeC、≥1个门磁、≥2个报警输入、≥1个防拆、≥1个开门按钮、≥1个电锁、≥1个报警输出，内置扬声器，工作温度范围不低于-30℃～60℃；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室内机电源（带机箱）</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门禁电源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1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门控安全模块</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通讯方式：RS485与门禁一体机通讯；</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硬件接口：不低于RS485*1、韦根*1、电锁输出*1、门磁输入*1、开门按钮*1、报警输入*2，报警输出*1、消防信号输入*1；</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具有1路硬件消防联动干接点接口，可硬联动门锁打开。</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具有防拆报警功能；</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工作电压：DC 12V；</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135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USB相机</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200万USB电视摄像机</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内置麦克风，拾音清晰</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支持自动电子增益功能，亮度自适应</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支持标准USB 2.0接口，免驱设计，即插即用</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支持Type-A接口，标准USB2.0协议，免驱设计，即插即用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台</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闭门器</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适装门重：60-85KG 适装门宽 ≤ 1100mm 闭门力量：EN4 开门角度 ≤ 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开门按钮</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结构：塑料面板；</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性能：最大耐电流1.25A，电压250V；</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输出：常开；</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类型：适合埋入式电器盒使用；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个</w:t>
            </w:r>
          </w:p>
        </w:tc>
      </w:tr>
      <w:tr>
        <w:tblPrEx>
          <w:tblCellMar>
            <w:top w:w="0" w:type="dxa"/>
            <w:left w:w="108" w:type="dxa"/>
            <w:bottom w:w="0" w:type="dxa"/>
            <w:right w:w="108"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280Kg单门磁力锁</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最大静态直线拉力：280kg ± 5%；</w:t>
            </w:r>
            <w:r>
              <w:rPr>
                <w:rFonts w:hint="eastAsia" w:ascii="宋体" w:hAnsi="宋体" w:cs="宋体"/>
                <w:color w:val="000000"/>
                <w:kern w:val="0"/>
                <w:sz w:val="22"/>
                <w:szCs w:val="22"/>
                <w:lang w:bidi="ar"/>
              </w:rPr>
              <w:br w:type="textWrapping"/>
            </w:r>
            <w:r>
              <w:rPr>
                <w:rFonts w:hint="eastAsia" w:ascii="宋体" w:hAnsi="宋体" w:cs="宋体"/>
                <w:color w:val="000000"/>
                <w:kern w:val="0"/>
                <w:sz w:val="22"/>
                <w:szCs w:val="22"/>
                <w:lang w:bidi="ar"/>
              </w:rPr>
              <w:t>断电开锁，满足消防要求；</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280Kg磁力锁LZ支架</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磁力锁配套支架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支</w:t>
            </w: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辅材</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lang w:bidi="ar"/>
              </w:rPr>
              <w:t>系统集成</w:t>
            </w:r>
          </w:p>
        </w:tc>
        <w:tc>
          <w:tcPr>
            <w:tcW w:w="103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r>
    </w:tbl>
    <w:p>
      <w:pPr>
        <w:pStyle w:val="2"/>
        <w:rPr>
          <w:rFonts w:ascii="宋体" w:hAnsi="宋体" w:cs="宋体"/>
          <w:sz w:val="22"/>
          <w:szCs w:val="22"/>
        </w:rPr>
      </w:pPr>
    </w:p>
    <w:p>
      <w:pPr>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rPr>
          <w:rFonts w:ascii="宋体" w:hAnsi="宋体" w:cs="宋体"/>
          <w:sz w:val="22"/>
          <w:szCs w:val="22"/>
        </w:rPr>
      </w:pPr>
    </w:p>
    <w:p>
      <w:pPr>
        <w:rPr>
          <w:rFonts w:ascii="宋体" w:hAnsi="宋体" w:cs="宋体"/>
          <w:sz w:val="22"/>
          <w:szCs w:val="22"/>
        </w:rPr>
      </w:pPr>
    </w:p>
    <w:p>
      <w:pPr>
        <w:pStyle w:val="2"/>
      </w:pPr>
    </w:p>
    <w:p>
      <w:pPr>
        <w:jc w:val="center"/>
        <w:rPr>
          <w:rFonts w:ascii="宋体" w:hAnsi="宋体" w:cs="宋体"/>
          <w:sz w:val="28"/>
          <w:szCs w:val="28"/>
          <w:highlight w:val="none"/>
        </w:rPr>
      </w:pPr>
      <w:r>
        <w:rPr>
          <w:rFonts w:hint="eastAsia" w:ascii="宋体" w:hAnsi="宋体" w:cs="宋体"/>
          <w:sz w:val="28"/>
          <w:szCs w:val="28"/>
          <w:highlight w:val="none"/>
        </w:rPr>
        <w:t>2.视频会议系统与同步录音录像系统参数表</w:t>
      </w:r>
    </w:p>
    <w:tbl>
      <w:tblPr>
        <w:tblStyle w:val="21"/>
        <w:tblW w:w="14625" w:type="dxa"/>
        <w:tblInd w:w="93" w:type="dxa"/>
        <w:tblLayout w:type="autofit"/>
        <w:tblCellMar>
          <w:top w:w="0" w:type="dxa"/>
          <w:left w:w="108" w:type="dxa"/>
          <w:bottom w:w="0" w:type="dxa"/>
          <w:right w:w="108" w:type="dxa"/>
        </w:tblCellMar>
      </w:tblPr>
      <w:tblGrid>
        <w:gridCol w:w="640"/>
        <w:gridCol w:w="2650"/>
        <w:gridCol w:w="8530"/>
        <w:gridCol w:w="876"/>
        <w:gridCol w:w="1929"/>
      </w:tblGrid>
      <w:tr>
        <w:tblPrEx>
          <w:tblCellMar>
            <w:top w:w="0" w:type="dxa"/>
            <w:left w:w="108" w:type="dxa"/>
            <w:bottom w:w="0" w:type="dxa"/>
            <w:right w:w="108" w:type="dxa"/>
          </w:tblCellMar>
        </w:tblPrEx>
        <w:trPr>
          <w:trHeight w:val="330" w:hRule="atLeast"/>
        </w:trPr>
        <w:tc>
          <w:tcPr>
            <w:tcW w:w="64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序号</w:t>
            </w:r>
          </w:p>
        </w:tc>
        <w:tc>
          <w:tcPr>
            <w:tcW w:w="26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设备名称</w:t>
            </w:r>
          </w:p>
        </w:tc>
        <w:tc>
          <w:tcPr>
            <w:tcW w:w="853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技术参数</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数量</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单位</w:t>
            </w:r>
          </w:p>
        </w:tc>
      </w:tr>
      <w:tr>
        <w:tblPrEx>
          <w:tblCellMar>
            <w:top w:w="0" w:type="dxa"/>
            <w:left w:w="108" w:type="dxa"/>
            <w:bottom w:w="0" w:type="dxa"/>
            <w:right w:w="108" w:type="dxa"/>
          </w:tblCellMar>
        </w:tblPrEx>
        <w:trPr>
          <w:trHeight w:val="330" w:hRule="atLeast"/>
        </w:trPr>
        <w:tc>
          <w:tcPr>
            <w:tcW w:w="0" w:type="auto"/>
            <w:gridSpan w:val="5"/>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办案工作区同步录音录像系统</w:t>
            </w:r>
          </w:p>
        </w:tc>
      </w:tr>
      <w:tr>
        <w:tblPrEx>
          <w:tblCellMar>
            <w:top w:w="0" w:type="dxa"/>
            <w:left w:w="108" w:type="dxa"/>
            <w:bottom w:w="0" w:type="dxa"/>
            <w:right w:w="108" w:type="dxa"/>
          </w:tblCellMar>
        </w:tblPrEx>
        <w:trPr>
          <w:trHeight w:val="4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监控半球摄像机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18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视频分辨率和帧率≥1920×1080、25帧/秒，视频压缩标准需支持H.265/H.264；传感器靶面尺寸需≥1/2.8英寸，内置GPU芯片，内置电动变焦镜头，电动变焦范围不小于3-12mm；最低照度彩色≤0.002  lx；宽动态范围≥120dB；需具备区域入侵、越界入侵、进入区域、离开区域等功能，并可将分析目标设置为人、车辆、人和车辆三种，可对布防时间和联动报警方式进行设置；（需提供公安部所属检验机构出具的检测报告复印件证明）需具备智能分析抗干扰功能，当篮球、小狗、树叶等非人或车辆目标经过检测区域时，不会触发报警；（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 xml:space="preserve">需支持快捷配置功能，可在预览画面开启/关闭快捷配置页面，对曝光参数、OSD、智能资源分配模式等参数进行配置，并可一键恢复为默认设置；（需提供公安部所属检验机构出具的检测报告复印件证明）需支持像素显示功能，可实时显示监控画面上选定区域的水平像素大小和垂直像素大小；（需提供公安部所属检验机构出具的检测报告复印件证明）需具有≥1个10M/100M自适应以太网口、≥1对音频输入/输出接口、≥1对报警输入输出接口；需内置麦克风和扬声器；需支持PoE供电，具有DC12V电源输出接口；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内置红外补光灯，红外补光距离需≥30米；防护等级不低于IP66，防暴等级需≥IK10。</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39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全景摄像机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智能网络半球摄像机，最大分辨率和帧率≥2560×1440@25fps，内置电动变焦镜头，电动变焦范围≥3-12mm，最低照度需满足彩色≤0.0005  lx，黑白≤0.0001  lx，宽动态能力综合评价得分≥140；</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支持不少于3种智能资源切换，支持同时检测并且抓拍≥30张人脸，支持对人脸进行检测、跟踪、抓拍、评分、筛选输出最优图片；</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图像传感器不低于1/1.8英寸CMOS芯片，像元尺寸≥3.0um×3.0um，内置CPU、GPU、NPU芯片或者集CPU、GPU、NPU于一体的深度学习算法芯片；（需提供公安部所属检验机构出具的检测报告复印件证明）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固件安全功能，支持硬件微引导程序OTP写入保护机制，uboot的FLASH存储空间具有防篡改功能，非法修改FLASH中的内容，支持异常报错，uboot无法正常启动；（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PoE供电，具有DC12V电源输出接口，内置存储卡插槽，不少于1个RS-485、2个麦克风、1个扬声器、1个音频输入、1个音频输出、2个报警输入、2个报警输出接口，红外补光距离≥30米，防护等级≥IP67，防暴等级≥IK10。</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4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特写摄像机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视频输出支持≥2560×1440@60fps（以公安部检验报告为准）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支持≥4倍光学变倍，≥16倍数字变倍</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支持最低照度可达彩色0.006Lux，黑白0.0003Lux</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球机应具备本机存储功能，支持SD卡热插拔，最大支持256GB（以公安部检验报告为准）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具备较好的电源适应性，电压在DC12V±25%范围内变化时，设备可正常工作。（以公安部检验报告为准）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支持单场景同时检出不少于30张人脸图片，并支持面部跟踪。（以公安部检验报告为准）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支持IK10防暴等级。（公安部型式检验报告证明）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支持人数异常检验，可通过IE浏览器在监视画面中设置1个检测区域，当检测区域中告警人数达到设置的阈值且满足按照报警模式设置的条件时，可触发报警。（以公安部检验报告为准）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支持剧烈运动检验，可通过IE浏览器在监视画面中设置1个检测区域，当检测区域中人员剧烈运动时可触发报警，灵敏度可设。（以公安部检验报告为准）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支持检出两眼瞳距20像素点以上的人脸图片，人脸检出率不小于99%。（以公安部检验报告为准）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支持攀高检测，可通过IE浏览器设置最多9段的折线段，当人员攀高超过设置的折线段高度时可触发报警。（以公安部检验报告为准）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当通过IE浏览器手动点击或框选预览画面中的人脸时，设备能通过PTZ转动将人脸置于画面中心，并对人脸进行抓拍。（以公安部检验报告为准）</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4</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电源适配器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DC12V电源适配器</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10</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个</w:t>
            </w:r>
          </w:p>
        </w:tc>
      </w:tr>
      <w:tr>
        <w:tblPrEx>
          <w:tblCellMar>
            <w:top w:w="0" w:type="dxa"/>
            <w:left w:w="108" w:type="dxa"/>
            <w:bottom w:w="0" w:type="dxa"/>
            <w:right w:w="108" w:type="dxa"/>
          </w:tblCellMar>
        </w:tblPrEx>
        <w:trPr>
          <w:trHeight w:val="3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全向拾音器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灵敏度 -41±1dB</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动态范围 ≥104dB</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过载声压 ≥114dB</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信噪比 ≥85dB</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拾音范围 R=5米（1kHz@60dB SPL SN≥30dB）</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频率响应 150Hz～20KHz（1kHz@85dB SPL）</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失真度 ≤1%（1kHz@85dB SPL）</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采样率 44.1k（AD/DA处理器）</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信号处理 数字音频处理器</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音频算法 ANC降噪算法</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个</w:t>
            </w:r>
          </w:p>
        </w:tc>
      </w:tr>
      <w:tr>
        <w:tblPrEx>
          <w:tblCellMar>
            <w:top w:w="0" w:type="dxa"/>
            <w:left w:w="108" w:type="dxa"/>
            <w:bottom w:w="0" w:type="dxa"/>
            <w:right w:w="108" w:type="dxa"/>
          </w:tblCellMar>
        </w:tblPrEx>
        <w:trPr>
          <w:trHeight w:val="3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6</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防暴可视对讲报警分机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采用嵌入式Linux操作系统,高性能嵌入式SOC处理器，系统运行稳定可靠；</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设备支持网口链路、无线链路；PSTN电话链路传输；</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支持GB/T28181协议接入；设备支持不低于2路音频输入和2路音频输出；音频输入和音频输出关系可自由配置，内部含高灵敏度麦克风，拾音距离应达到10米，语音清晰，内置3W扬声器；</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支持同时进行多方实时对讲通话，多台前端设备与多台中心管理机实时多方通话；</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支持可视对讲功能：按下紧急求助按键后呼叫中心管理机，呼叫过程中能听到相应提示音；通话过程中中心能看到设备处实时视频，支持实时全双工双向语音对讲和视频通话功能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支持将音视频同步存储到设备SD卡中，当在双向对讲通话时录像存储为双向通过混音的音视频复合流；</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设备前置≥200万CMOS高清摄像头；</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防护等级不低于IP65；</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工作环境:温度-40℃～70℃,湿度小于93%环境下稳定工作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7</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房间状态智能显示终端</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液晶屏 ≥10.1英寸TFT LCD触控屏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分辨率 ≥1024*600显示分辨率</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网络接口 1个，100M/1000M自适应以太网口</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Wifi 支持</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USB接口 2个，USB 2.0</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电源 DC12V/POE供电</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功耗 ≤15W</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工作温度 0℃--＋45℃</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工作湿度 10％--90％</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8</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电子指纹签名一体机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3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9</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通道式安检门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6防区，数码管</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功耗 ＜15W</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工作温度 -25℃─55℃</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工作湿度 95%，无冷凝</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外接电源 187V～242V，50/60Hz</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超高检测灵敏度：可检测到半个回形针大小的金属，不会漏报和串报。</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智能分辨：能区分铁磁质和非铁磁质金属物品。</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多区域独立探测：≥6个独立探测区域，每个区域300级灵敏度等级调节。</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多区位报警功能：人体不同位置的多个金属通过安检门时同时报警，并可以指示多个金属的位置。</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开机自诊断功能：开机时对系统进行自检，并显示检测结果。</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4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10</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16口交换机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18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网管型交换机，≥16个千兆电口；支持存储转发，交换容量≥32Gbps，包转发率≥23Mpps；</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支持通过管理平台和手机APP对交换机进行远程控制、状态查看、系统拓扑展示、管理、远程升级、远程重启；（需提供封面具有CNAS标识的检测报告复印件并加原厂印章证明）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管理平台对交换机间不同的连接方式进行系统拓扑识别，至少包括网线连接、光纤连接、无线连接；支持通过管理平台展示交换机间链路详情，包括传输速率、链路两端设备信息和链路带宽告警展示；（需提供封面具有CNAS标识的检测报告复印件并加原厂印章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管理平台和手机APP在网络拓扑中展示交换机详情，至少包括基本信息、交换机性能使用信息、交换机面板状态、端口信息；支持通过管理平台和手机APP在系统异常时实时推送交换机告警信息并展示告警内容；（需提供封面具有CNAS标识的检测报告复印件并加原厂印章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管理平台对交换机进行端口远距离传输配置，最远传输距离≥240米；支持对交换机进行高优先级端口配置，处于高优先级端口的数据会被优先转发。（需提供封面具有CNAS标识的检测报告复印件并加原厂印章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br w:type="textWrapping"/>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3</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网络电源时序器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cs="宋体"/>
                <w:color w:val="000000"/>
                <w:sz w:val="22"/>
                <w:szCs w:val="22"/>
                <w:highlight w:val="none"/>
              </w:rPr>
            </w:pPr>
            <w:r>
              <w:rPr>
                <w:rFonts w:hint="eastAsia" w:ascii="宋体" w:hAnsi="宋体" w:cs="宋体"/>
                <w:color w:val="000000"/>
                <w:sz w:val="22"/>
                <w:szCs w:val="22"/>
                <w:highlight w:val="none"/>
              </w:rPr>
              <w:t>国标</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可视对讲报警主机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紧急报警管理机，≥ 10寸触摸屏集成视频查看、双向对讲、呼叫前端等功能，用于管理前端一键求助报警产品。</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 4路开关量输入，≥ 4路继电器输出，≥ 1路3.5mm音频输入，≥ 1路3.5mm音频输出；</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支持1080P视频显示，支持H.264/H.265解码，支持最大128G Micro SD卡存储；</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话柄、鹅颈话筒杆可拆卸，支持DC12V、PoE供电；</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HDMI和VGA接口扩展显示关联视频通道，支持前端设备呼叫中心管理机时，通过呼叫转移功能将呼叫信息转移到其他中心后端管理机上；并支持将呼叫信息通过电话网关转接至座机或手机终端。（需提供公安部所属检验机构出具的检测报告复印件证明）</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59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高清解码器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18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解码设备采用嵌入式架构，专用Linux系统，机架式设计，高度≤2U；</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设备具有≥1个HDMI视频输入接口，≥1个DVI-I视频输入接口、≥4个HDMI输出接口、≥4个音频输出，视频输出分辨率支持1920×1080、3840×2160；</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支持开窗、窗口漫游功能，支持1、2、4、6、8、9、10、12、16画面分割显示，可通过客户端软件将显示窗口在多个显示屏间进行拖动或跨屏显示，并可调节显示窗口大小；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支持ONVIF、GB28181协议接入设备，支持RTP\RTSP协议进行预览；支持H.265、H.264、MPEG4、MJPEG等视频编码格式，支持TS、PS、RTPTS等封装格式，支持AAC、G.722、G.711A、G.726、G.711U等音频格式；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解码能力支持≥2路8000×3000（25fps）、或≥8路3840×2160（25fps）、或≥12路为2592×1944（30fps）、或≥32路1920×1080（30fps）分辨率的H.264、H.265、MPEG4视频图像解码输出；（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设备抓屏软件，将远程电脑桌面实时解码上墙显示，画面帧率应支持≥30fps，支持同时抓取≥8个任务上墙、≥8个4K信号，不消耗CPU性能，支持在电视墙进行8画面分割同时显示，支持对桌面进行整屏、单窗口、自定义区域抓屏上墙；（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每个输出接口支持任意开窗、漫游，任意一路信号显示画面可进行任意漫游、缩放，可在单屏或者多屏的任意位置上叠加显示，图层最大不少于64层；（需提供公安部所属检验机构出具的检测报告复印件证明）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支持回字形拼接，支持对解码的IPC输出的画面进行旋转，支持90°、180°左旋和90°、180°右旋；（需提供公安部所属检验机构出具的检测报告复印件证明）</w:t>
            </w:r>
            <w:r>
              <w:rPr>
                <w:rFonts w:hint="eastAsia" w:ascii="宋体" w:hAnsi="宋体" w:cs="宋体"/>
                <w:color w:val="000000"/>
                <w:kern w:val="0"/>
                <w:sz w:val="22"/>
                <w:szCs w:val="22"/>
                <w:highlight w:val="none"/>
                <w:lang w:bidi="ar"/>
              </w:rPr>
              <w:br w:type="textWrapping"/>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427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14</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专用监视器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显示尺寸：42.5 inch；响应时间：8 ms</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像素间距：0.490 mm × 0.490 mm；亮度：450 cd/㎡</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连续使用时间：7 × 24 H；背光源类型：D-LED</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物理分辨率：1920 × 1080</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 xml:space="preserve">为保证产品显示效果良好，监视器需满足灰度等级≥16级；在95K Lux亮度下能正常工作。提供封面首页具有CNAS、CMA、ilac-MRA标识检测报告复印件。 </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监视器内置黑白精显模式，可将彩色信号转换成黑白灰度模式并提高图像细节辨认能力。提供封面首页具有CNAS、CMA、CAL标识的第三方检测报告复印件。</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监视器可外接手势摄像头，根据手势动作，完成识别开关机、调用屏幕菜单、设置屏幕参数等显示单元控制操作。提供封面首页具有CNAS、CMA、CAL标识的第三方检测报告复印件。</w:t>
            </w:r>
          </w:p>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监视器待机功耗≤0.3W。提供封面首页具有CNAS、CMA、CAL标识的第三方检测报告复印件</w:t>
            </w:r>
          </w:p>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具有调整γ曲线的功能。提供封面首页具有CNAS、CMA、CAL标识的第三方检测报告复印件。</w:t>
            </w:r>
          </w:p>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监视器支持软关机记忆功能，若屏幕在断电前处于待机状态，下一次上电后，仍然处于待机状态。提供封面首页具有CNAS、CMA、CAL标识的第三方检测报告复印件。</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显示单元具备透雾处理功能，显示单元具备智能透雾处理技术，支持9个等级的去雾处理能力。提供封面首页具有CNAS、CMA、CAL标识的第三方检测报告复印件。</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具备智能光感护眼功能，显示单元可自动识别环境光强弱，根据环境光变化调节屏幕亮度。提供封面首页具有CNAS、CMA、CAL标识的第三方检测报告复印件。</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刷卡密码门禁一体机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人脸门禁一体机，设备采用≥7英寸触摸显示屏，屏幕分辨率≥1024*600，可显示软件界面及操作提示，设备实时检测最大人脸，具有人脸框提示设计，方便校准。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不少于2个摄像头（1个可见光摄像头+1个红外摄像头），码流支持≥1920×1080@25帧/秒，适应强光、逆光、弱光等条件下的人脸识别，支持通过人脸及人体测光，快速调节图像亮度，设备支持≥10000张人脸白名单、≥50000张卡片，≥150000条本地出入记录，支持通过韦根接口外接门禁主机或韦根读卡器；屏幕采用不低于水滴屏全贴合工艺，玻璃屏占比≥90%，屏幕流明度≥600cd/m2，具有指示灯支持固定频率的亮起和熄灭（呼吸状态）及识别状态提示；（需提供公安部所属检验机构出具的检测报告复印件证明）前面板防破坏能力不低于 IK07 ，后壳防破坏能力不低于IK10 ，防护等级不低于IP66，支持选择嵌入式、壁挂、桌面、立式、人员通道安装；（需提供公安部所属检验机构出具的检测报告复印件证明）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人脸1:1对比平均时间≤120ms ，认假率≤0.0002% ，拒真率≤1%，准确率≥99%；（需提供公安部所属检验机构出具的检测报告复印件证明）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 IC 卡识读，支持配置防卡片复制安全机制，第三方卡片或复制卡片可屏蔽识读；支持识读模块的扩展功能，形成一体化识别终端，扩展模块支持二维码、蓝牙和指纹识读，支持type C热插拔连接；（需提供公安部所属检验机构出具的检测报告复印件证明）支持刷卡+密码、指纹+密码、指纹+刷卡、人脸+指纹、人脸+密码、人脸+刷卡、指纹+刷卡+密码、人脸+指纹+刷卡、人脸+密码+指纹等复合认证；（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支持与管理平台或客户端中心、室内机、管理机、手机 APP 可视对讲，支持配置一键呼叫管理机或室内机的可视对讲，支持与广播主机呼叫对讲，支持中心广播主机向设备广播喊话，支持在管理中心远程视频预览，支持接入NVR设备实现视频监控录像；（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支持设备信息查询、用户信息管理、设备时间管理、系统维护、安全操作管理、技术参数配置、 设备图像参数配置、图像美颜参数配置、待机广告界面图片下发及播放时间配置，支持比对结果提示语音自定义配置，支持按时段配置自定义语音，支持不少于8 个时段自定义；（需提供公安部所属检验机构出具的检测报告复印件证明）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具有≥1个RS485、≥1个wiegand 、≥1个typeC、≥1个门磁、≥2个报警输入、≥1个防拆、≥1个开门按钮、≥1个电锁、≥1个报警输出，内置扬声器，工作温度范围不低于-30℃～60℃；</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密码刷卡器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门禁读卡器，不少于12个物理按键，支持RS485、Wiegand协议，不低于IP65。</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个</w:t>
            </w:r>
          </w:p>
        </w:tc>
      </w:tr>
      <w:tr>
        <w:tblPrEx>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16</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单门磁力锁</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最大静态直线拉力：280kg ± 5%；</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断电开锁，满足消防要求；</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9</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闭门器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适装门重：60-85KG 适装门宽 ≤ 1100mm 闭门力量：EN4 开门角度 ≤ 180°</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256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17</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管理平台服务器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2U双路标准机架式服务器</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CPU：≥2颗intel至强系列处理器，核数≥10核，主频≥2.2GHz</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内存：≥128G DDR4，16根内存插槽，最大支持扩展至2TB内存</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硬盘：≥4块480G SSD 硬盘</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阵列卡：SAS_HBA卡, 支持RAID 0/1/10</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PCIE扩展：最大可支持6个PCIE扩展插槽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网口：≥2个千兆电口，2个万兆光口</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其他接口：≥1个RJ45管理接口，后置2个USB 3.0接口，前置2个USB2.0接口，1个VGA接口</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电源：标配550W（1+1）高效铂金CRPS冗余电源</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3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18</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检察专用综合管理平台软件</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支持在平台门户界面中以标签页的方式显示打开的应用，最多可打开20个标签页</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支持查看平台目录组织树及组织下的资源点位，可进行点位收藏、播放、回放及资源树定位</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支持创建收藏夹分组；支持多层分组，各层分组支持修改、删除、分享等操作</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支持在预览界面对单个画面抓图或对全部画面分别抓图并保存至本地，支持对所抓图片利用自带图片编辑工具标注名称、类型、备注等信息</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支持预览画面电子放大，具有开启/关闭音频播放设置选项，实时预览支持切换主码流或子码流</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视频预览和录像回放支持1×1、2×2、3×3画面布局，支持自定义布局，支持画面自适应宽高比例（16:9和4:3自动切换）和全屏显示</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支持按刻录打印一体机任务名称、刻录时间段、刻录状态检索刻录任务；支持查看刻录任务详情，包括基本信息、刻录进度、错误信息、光盘信息</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支持取消刻录任务；支持对已结束、已取消、异常结束的任务进行删除</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支持通过案件名称、案件编号、审讯对象、审讯类型、审讯地点、审讯开始时间对审讯记录进行检索</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支持查看审讯记录详情，包括案件名称、案件编号、承办人、审讯地点、被讯问对象、审讯时间等信息</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支持审讯记录附件进行增加、删除、下载操作</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支持入区登记信息的录入/编辑；支持人证比对设备读取外来人员的身份证件信息及现场人脸抓拍信息；其它办案信息手动编辑录入</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570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19</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审讯主机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混合模式下，最大可接入4路HD-SDI/ 模拟视频+4 路数字网络视频信号（分 辨率为1920 ×1080）+1路HDMI视频信号（分辨率为1920 ×1080）+1路VGA 视频信号（分辨率 为 1920 ×1080）</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支持画中画功能，支持1大7小、1大5小、1大4小、1大3小、1大2小、1大1小等多种画中画模式，画中画大小和位置任意调整。</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支持6个SATA口，支持4盘位硬盘接入，每个SATA口容量支持最大8T硬盘，支持raid0、raid1、raid5、raid10（以检测报告为准）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支持单通道双光盘同时刻录、双通道双光盘刻录、单通道双光盘轮流刻录等功能；支持按光盘时间和按审讯码率两种刻录方式，刻录时间可选1至12小时（以检测报告为准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采用7寸触摸屏，可实现实时视频预览、主机硬盘录像回放及光盘录像回放；可实现显示主机刻录状态、硬盘信息、刻录剩余时间、内存使用率、异常检测标识等；支持在液晶屏上控制设备，完成一键刻录，参数配置等操作。（以检测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异常检测功能，支持审讯刻录异常、硬盘错误、网络断开、IP冲突、录像异常、非法访问的异常报警检测与上传（以检测报告为准）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设备最大接入带宽256Mbps，IPC主码流接入支持1280×720、1920×1080、2560×1440和2560×1920分辨率。（以检测报告为准）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支持光盘不间断刻录，在更换光盘时设备具有缓存机制，支持刻录光盘出错后，放入新光盘实时追刻，确保数据不丢失（以检测报告为准）</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一键式操作，支持一键式开始/结束审讯，开启/结束录像，切换画面（以检测报告为准）</w:t>
            </w:r>
          </w:p>
          <w:p>
            <w:pPr>
              <w:pStyle w:val="2"/>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余量提醒，支持数据存储余量不足提醒，当数据余量不足30min，10min，5min时均可提醒（以检测报告为准）</w:t>
            </w:r>
          </w:p>
          <w:p>
            <w:pPr>
              <w:pStyle w:val="2"/>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支持生命体征仪接入，支持在画中画通道视频中实时显示体征仪波形数据以及血压、心律、血氧等数据信息，显示位置可调节，可在画中画通道录像回放中查看相关信息（以检测报告为准）</w:t>
            </w:r>
          </w:p>
          <w:p>
            <w:pPr>
              <w:pStyle w:val="2"/>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异常检测功能，支持审讯刻录异常、硬盘错误、网络断开、IP冲突、录像异常、非法访问的异常报警检测与上传（以检测报告为准）</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20</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硬盘</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highlight w:val="none"/>
              </w:rPr>
            </w:pPr>
            <w:r>
              <w:rPr>
                <w:rFonts w:ascii="宋体" w:hAnsi="宋体" w:cs="宋体"/>
                <w:color w:val="000000"/>
                <w:sz w:val="22"/>
                <w:szCs w:val="22"/>
                <w:highlight w:val="none"/>
              </w:rPr>
              <w:t>SEAGATE,SKYHAWK,6TB,256MB,SATA 6Gb/s</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FF0000"/>
                <w:sz w:val="22"/>
                <w:szCs w:val="22"/>
                <w:highlight w:val="none"/>
              </w:rPr>
            </w:pPr>
            <w:r>
              <w:rPr>
                <w:rFonts w:hint="eastAsia" w:ascii="宋体" w:hAnsi="宋体" w:cs="宋体"/>
                <w:color w:val="FF0000"/>
                <w:kern w:val="0"/>
                <w:sz w:val="22"/>
                <w:szCs w:val="22"/>
                <w:highlight w:val="none"/>
                <w:lang w:bidi="ar"/>
              </w:rPr>
              <w:t>8</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块</w:t>
            </w:r>
          </w:p>
        </w:tc>
      </w:tr>
      <w:tr>
        <w:tblPrEx>
          <w:tblCellMar>
            <w:top w:w="0" w:type="dxa"/>
            <w:left w:w="108" w:type="dxa"/>
            <w:bottom w:w="0" w:type="dxa"/>
            <w:right w:w="108" w:type="dxa"/>
          </w:tblCellMar>
        </w:tblPrEx>
        <w:trPr>
          <w:trHeight w:val="819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监控存储NVR</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180"/>
              <w:jc w:val="left"/>
              <w:textAlignment w:val="cente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嵌入式网络硬盘录像机，19英寸标准机箱，≥8个硬盘槽位，含≥8块4T监控级硬盘，支持RAID0、1、5、10，支持全局热备盘；支持≥64路H.264、H.265视频流混合接入，输入带宽≥320M，支持4K高清网络视频的接入、存储、预览和回放；需支持≥16路1080P视频同时解码输出，≥1个HDMI支持 4K 高清分辨率输出；应支持手动录像、定时录像、事件录像、移动侦测录像、报警录像，支持重要录像文件加锁保护功能；支持硬盘配额和硬盘盘组两种存储模式，可对不同通道分配不同的录像保存容量或周期；</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本地预览权限的配置，设置权限后的通道只有登录后才会出现预览画面；需支持远程预览加密，只有输入密钥才能解开视频。需支持码流加密；WEB界面远程登录设备，30分钟无操作，设备需支持自动退出登录；需支持设置远程访问IP地址和MAC地址黑</w:t>
            </w:r>
          </w:p>
          <w:p>
            <w:pPr>
              <w:widowControl/>
              <w:spacing w:after="18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白名单；WEB端需支持设置开启HTTPS安全链接、SSH；（需提供公安部所属检验机构出具的检测报告复印件证明），支持在视频图像上叠加≥10行文字，每行可输入≥22个汉字，OSD属性至少可设置透明闪烁、透明不闪烁、不透明不闪烁、不透明闪烁；配合相应摄像机，支持3D定位功能，可以在全景通道上任意选取点位，球机通道可变倍定位；；（需提供公安部所属检验机构出具的检测报告复印件证明），支持组合报警模式，可设置将NVR的报警输入口关联IPC的报警事件，只有当两个报警事件同时触发才能产生报警，组合报警模式支持遮挡报警、移动侦测、人脸抓拍、人脸侦测、车辆检测、越界侦测、区域入侵侦测、进入/离开区域侦测、人员聚集侦测、快速移动侦测、物品遗留侦测、物品拿取侦测、停车侦测、徘徊侦测、场景变更侦测、虚焦侦测、音频异常侦测报警事件；（需提供公安部所属检验机构出具的检测报告复印件证明），支持报警事件、异常事件实时计数提醒，并以图标形式在监控界面上提醒用户。用户可以点击报警图标，查看报警详情列表，可在列表中快速查看报警关联的录像。当有新事件发生时计数自动累加，当用户查看后计数自动清零；（需提供公安部所属检验机构出具的检测报告复印件证明）支持接入具有人脸抓拍功能的门禁设备，可预览门禁主机的视频画面，触发人脸抓拍时，可设定报警提示并联动录像、弹出报警画面、声音告警、发生邮件；（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≥2个HDMI、≥2个VGA接口，支持不少于2组屏异源输出视频图像；具有≥2个千兆网口、≥3个USB接口（其中USB3.0接口≥1个）、≥1个eSATA接口，≥16路报警输入、≥4路报警输出接口。</w:t>
            </w:r>
            <w:r>
              <w:rPr>
                <w:rFonts w:hint="eastAsia" w:ascii="宋体" w:hAnsi="宋体" w:cs="宋体"/>
                <w:color w:val="000000"/>
                <w:kern w:val="0"/>
                <w:sz w:val="22"/>
                <w:szCs w:val="22"/>
                <w:highlight w:val="none"/>
                <w:lang w:bidi="ar"/>
              </w:rPr>
              <w:br w:type="textWrapping"/>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硬盘</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highlight w:val="none"/>
              </w:rPr>
            </w:pPr>
            <w:r>
              <w:rPr>
                <w:rFonts w:ascii="宋体" w:hAnsi="宋体" w:cs="宋体"/>
                <w:color w:val="000000"/>
                <w:sz w:val="22"/>
                <w:szCs w:val="22"/>
                <w:highlight w:val="none"/>
              </w:rPr>
              <w:t>SEAGATE,SKYHAWK,6TB,256MB,SATA 6Gb/s</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8</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块</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光盘打印刻录一体机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二个DVD/CD刻录机，100片光盘容量，USB 3.0接口，最高4800dpi 喷墨打印，100-240 VAC</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313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24</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48口交换机</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可用千兆电接口数量≥48，万兆光接口数≥4</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支持独立的console管理串口</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交换容量：432Gbps/4.32Tbps</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转发性能：144Mpps/166Mpps</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支持802.3ad规定的链路聚合功能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支持MAC地址绑定功能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 IPv4/IPv6 静态路由，支持 ND、Pingv6、Telnetv6、FTPv6、TFTPv6、ICMPv6</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支持STP/RSTP功能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支持基于源MAC地址、目的MAC地址的流分类功能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可以为远程连接用户提供访问控制，拒绝未通过验证的连接</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UPS电源</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高频在线式UPS主机</w:t>
            </w:r>
          </w:p>
          <w:p>
            <w:pPr>
              <w:pStyle w:val="2"/>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额定容量≥15KW/15KVA</w:t>
            </w:r>
          </w:p>
          <w:p>
            <w:pPr>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告警功能：具备LCD和蜂鸣器声光告警</w:t>
            </w:r>
          </w:p>
          <w:p>
            <w:pPr>
              <w:pStyle w:val="2"/>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保护功能：具备输出过载、短路；电池欠压、过压；充电过温、短路；交流输入电压、频率、相序异常；UPS过温、风机故障等</w:t>
            </w:r>
          </w:p>
          <w:p>
            <w:pPr>
              <w:rPr>
                <w:rFonts w:hint="eastAsia"/>
                <w:highlight w:val="none"/>
              </w:rPr>
            </w:pPr>
            <w:r>
              <w:rPr>
                <w:rFonts w:hint="eastAsia" w:ascii="宋体" w:hAnsi="宋体" w:cs="宋体"/>
                <w:color w:val="000000"/>
                <w:kern w:val="0"/>
                <w:sz w:val="22"/>
                <w:szCs w:val="22"/>
                <w:highlight w:val="none"/>
                <w:lang w:bidi="ar"/>
              </w:rPr>
              <w:t>支持后备电不低于2小时</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26</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服务器机柜</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kern w:val="0"/>
                <w:sz w:val="22"/>
                <w:szCs w:val="22"/>
                <w:highlight w:val="none"/>
                <w:lang w:bidi="ar"/>
              </w:rPr>
            </w:pPr>
            <w:r>
              <w:rPr>
                <w:rFonts w:hint="eastAsia" w:ascii="宋体" w:hAnsi="宋体" w:cs="宋体"/>
                <w:color w:val="000000"/>
                <w:kern w:val="0"/>
                <w:sz w:val="22"/>
                <w:szCs w:val="22"/>
                <w:highlight w:val="none"/>
                <w:lang w:bidi="ar"/>
              </w:rPr>
              <w:t>≥42U，网孔门，落地 空机柜</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承重：静态≥1000KG</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前后门材质：前单开网孔门，后双开网孔门</w:t>
            </w:r>
          </w:p>
          <w:p>
            <w:pPr>
              <w:pStyle w:val="2"/>
              <w:rPr>
                <w:rFonts w:hint="eastAsia"/>
                <w:highlight w:val="none"/>
              </w:rPr>
            </w:pPr>
            <w:r>
              <w:rPr>
                <w:rFonts w:hint="eastAsia" w:ascii="宋体" w:hAnsi="宋体" w:cs="宋体"/>
                <w:color w:val="000000"/>
                <w:kern w:val="0"/>
                <w:sz w:val="22"/>
                <w:szCs w:val="22"/>
                <w:highlight w:val="none"/>
                <w:lang w:bidi="ar"/>
              </w:rPr>
              <w:t>支持滚轮、脚撑</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4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27</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LCD液晶显示单元</w:t>
            </w:r>
            <w:r>
              <w:rPr>
                <w:rFonts w:hint="eastAsia" w:ascii="宋体" w:hAnsi="宋体" w:cs="宋体"/>
                <w:color w:val="FF0000"/>
                <w:kern w:val="0"/>
                <w:sz w:val="22"/>
                <w:szCs w:val="22"/>
                <w:highlight w:val="none"/>
                <w:lang w:bidi="ar"/>
              </w:rPr>
              <w:t>46</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46英寸液晶拼接屏，对角线尺寸≥46英寸，物理分辨率≥1920×1080，响应时间≤8ms；</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物理拼缝≤3.5mm，亮度≥500cd/㎡，对比度≥1200:1，水平、垂直视场角均≥178°；</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输入接口≥1个HDMI、≥1个DVI、≥1个VGA；输出接口≥1个HDMI、≥1个VGA；</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图像显示灰度等级提升技术，使8bit液晶屏实现≥10bit的显示效果，灰度等级从256级增加到≥1024级，画面层次丰富、色彩逼真；（需提供首页具有CNAS标识的检测报告复印件证明）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支持校正后色坐标误差≤±0.001，亮度误差≤±10nit,0-255灰阶中32灰阶以上，每阶之间色温误差≤±500K；（需提供首页具有CNAS标识的检测报告复印件证明）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支持不低于十级灰阶色度、亮度校正的功能，使各灰阶整墙一致性≥80%，支持屏幕边缘渐进修正功能，修正屏间边缘颜色过渡不均匀；（需提供首页具有CNAS标识的检测报告复印件证明）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支持不少于R、G、B、C、M、Y、FLESH、Y-G、C-G、F、F-R、F-LIP、F-Y-HAIR、F-MEAT、F-DARK独立调节功能，使画面颜色显示更加准确；（需提供首页具有CNAS标识的检测报告复印件证明）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支持检测并匹配与输入信源相同的颜色空间的功能，使显示画面不丢失暗阶、亮阶细节；（需提供首页具有CNAS标识的检测报告复印件证明）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设备通过GB/T 26125-2011、GB/T 26572-2011认证，具有中国合格评定国家认可委员会认可机构出具的电器电子产品有害物质限制使用产品认证证书。</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28</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拼接屏专用支架</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LCD液晶屏配套支架</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6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29</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高清解码器</w:t>
            </w:r>
            <w:r>
              <w:rPr>
                <w:rFonts w:hint="eastAsia" w:ascii="宋体" w:hAnsi="宋体" w:cs="宋体"/>
                <w:color w:val="FF0000"/>
                <w:kern w:val="0"/>
                <w:sz w:val="22"/>
                <w:szCs w:val="22"/>
                <w:highlight w:val="none"/>
                <w:lang w:bidi="ar"/>
              </w:rPr>
              <w:t>8</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after="180"/>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解码设备采用嵌入式架构，专用Linux系统，机架式设计，高度≤2U；具有≥8个HDMI输出接口、≥1个VGA输入接口、≥1个DVI-I输入接口、≥2个千兆网口、≥2个光口、≥1路语音输入、≥1路语音输出接口，≥1个RS232接口，≥1个RS485接口，≥6路报警输入、≥6路报警输出接口；</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输出分辨率支持1920×1080、3840×2160；支持画面分割、拼接、开窗漫游功能，支持1、2、4、6、8、9、10、12、16、25、36等画面分割显示，支持将显示窗口在多个显示屏间进行拖动或跨屏显示，支持调节显示窗口大小；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支持ONVIF、GB28181协议接入设备，支持RTP\RTSP协议进行预览；支持H.265、H.264、MPEG4、MJPEG等视频编码格式，支持TS、PS、RTPTS等封装格式，支持AAC、G.722、G.711A、G.726、G.711U等音频格式；</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解码能力支持≥8路4000×3000（20fps）、或≥16路4096×2160（25fps）、或≥16路3840×2160（25fps）、或≥24路为2592×1944（30fps）、或≥64路1920×1080（30fps）、或≥128路1280×720（30fps）分辨率的H.264、H.265、MPEG4视频图像解码输出；</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支持黑白名单功能，可设置≥256个黑白名单；当设置白名单时，只允许白名单IP访问设备；当设置黑名单时，黑名单内IP无法访问设备；（需提供公安部所属检验机构出具的检测报告复印件证明）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设备抓屏软件，将远程电脑桌面实时解码上墙显示，画面帧率应支持≥30fps，支持同时抓取≥8个任务上墙、≥8个4K信号，不消耗CPU性能，支持在电视墙进行8画面分割同时显示，支持对桌面进行整屏、单窗口、自定义区域抓屏上墙；（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支持对输入的视频画面进行90°、180°、270°旋转显示；支持回字形拼接，支持对解码的IPC输出的画面进行旋转，支持90°、180°左旋和90°、180°右旋；（需提供公安部所属检验机构出具的检测报告复印件证明）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br w:type="textWrapping"/>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30</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HDMI线缆</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HDMI电缆,HDMI/AM转HDMI/AM,15m</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根</w:t>
            </w:r>
          </w:p>
        </w:tc>
      </w:tr>
      <w:tr>
        <w:tblPrEx>
          <w:tblCellMar>
            <w:top w:w="0" w:type="dxa"/>
            <w:left w:w="108" w:type="dxa"/>
            <w:bottom w:w="0" w:type="dxa"/>
            <w:right w:w="108" w:type="dxa"/>
          </w:tblCellMar>
        </w:tblPrEx>
        <w:trPr>
          <w:trHeight w:val="513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31</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网络键盘</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四维摇杆触控网络键盘，Android操作系统，具有≥1个100M/1000M自适应以太网口、≥2个USB接口、≥1个HDMI接口、≥1个DVI接口、≥1对3.5mm音频输入输出接口，支持WiFi、支持POE供电；</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支持在触摸屏幕上预览前端图像，支持4路1080P视频解码显示，最大16画面分割显示；</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支持上下、左右、变倍和抓图四维控制功能，支持接入DVR、DVS、NVR、网络摄像机、球机设备；</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支持通过摇杆或触控屏实现云台设备控制功能，支持预置位、自动巡航、模式路径、光圈调节、变焦、雨刷、灯光等功能；</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屏幕尺寸＞10英寸，分辨率≥1280*720，支持DVI和HDMI接口外接显示设备实现图像预览；（需提供公安部所属检验机构出具的检测报告复印件证明）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屏幕区和摇杆区采用可拆分结构，摇杆和触控屏可分离使用；（需提供公安部所属检验机构出具的检测报告复印件证明）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支持添加设备数量≥8000，≥两级用户权限，支持≥32个用户；（需提供公安部所属检验机构出具的检测报告复印件证明）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支持切换前端输入通道或输入组到解码器、视频综合平台等设备，支持画面分割、场景切换、轮巡显示、开/关显示窗口、窗口漫游、放到/缩小等功能；（需提供公安部所属检验机构出具的检测报告复印件证明）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支持在键盘显示屏上显示电视墙当前整体布局；（需提供公安部所属检验机构出具的检测报告复印件证明）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工作温度≥10℃--＋55℃，功耗≤15W</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1140"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32</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平台式操作台</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控制台面板：台面25mm新型环保板材，以高分子聚合热化学反应方式成板，台面前端黑色钢琴烤漆。台面无缝拼接；</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控制台框架：框架镀锌钢板厚度1.2mm，前后门板厚度1.0mm；控制台依靠带弹性胶垫固定底座与地面固定，有调节功能；</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联</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33</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线缆及辅材</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批</w:t>
            </w:r>
          </w:p>
        </w:tc>
      </w:tr>
      <w:tr>
        <w:tblPrEx>
          <w:tblCellMar>
            <w:top w:w="0" w:type="dxa"/>
            <w:left w:w="108" w:type="dxa"/>
            <w:bottom w:w="0" w:type="dxa"/>
            <w:right w:w="108"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34</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项目集成调试费</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cs="宋体"/>
                <w:color w:val="000000"/>
                <w:sz w:val="22"/>
                <w:szCs w:val="22"/>
                <w:highlight w:val="none"/>
              </w:rPr>
            </w:pP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1</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项</w:t>
            </w:r>
          </w:p>
        </w:tc>
      </w:tr>
      <w:tr>
        <w:tblPrEx>
          <w:tblCellMar>
            <w:top w:w="0" w:type="dxa"/>
            <w:left w:w="108" w:type="dxa"/>
            <w:bottom w:w="0" w:type="dxa"/>
            <w:right w:w="108" w:type="dxa"/>
          </w:tblCellMar>
        </w:tblPrEx>
        <w:trPr>
          <w:trHeight w:val="5640" w:hRule="atLeast"/>
        </w:trPr>
        <w:tc>
          <w:tcPr>
            <w:tcW w:w="0" w:type="auto"/>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35</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LCD液晶显示单元</w:t>
            </w:r>
            <w:r>
              <w:rPr>
                <w:rFonts w:hint="eastAsia" w:ascii="宋体" w:hAnsi="宋体" w:cs="宋体"/>
                <w:color w:val="FF0000"/>
                <w:kern w:val="0"/>
                <w:sz w:val="22"/>
                <w:szCs w:val="22"/>
                <w:highlight w:val="none"/>
                <w:lang w:bidi="ar"/>
              </w:rPr>
              <w:t>46</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46英寸液晶拼接屏，对角线尺寸≥46英寸，物理分辨率≥1920×1080，响应时间≤8ms；</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物理拼缝≤3.5mm，亮度≥500cd/㎡，对比度≥1200:1，水平、垂直视场角均≥178°；</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输入接口≥1个HDMI、≥1个DVI、≥1个VGA；输出接口≥1个HDMI、≥1个VGA；</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图像显示灰度等级提升技术，使8bit液晶屏实现≥10bit的显示效果，灰度等级从256级增加到≥1024级，画面层次丰富、色彩逼真；（需提供首页具有CNAS标识的检测报告复印件证明）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支持校正后色坐标误差≤±0.001，亮度误差≤±10nit,0-255灰阶中32灰阶以上，每阶之间色温误差≤±500K；（需提供首页具有CNAS标识的检测报告复印件证明）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支持不低于十级灰阶色度、亮度校正的功能，使各灰阶整墙一致性≥80%，支持屏幕边缘渐进修正功能，修正屏间边缘颜色过渡不均匀；（需提供首页具有CNAS标识的检测报告复印件证明）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支持不少于R、G、B、C、M、Y、FLESH、Y-G、C-G、F、F-R、F-LIP、F-Y-HAIR、F-MEAT、F-DARK独立调节功能，使画面颜色显示更加准确；（需提供首页具有CNAS标识的检测报告复印件证明）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支持检测并匹配与输入信源相同的颜色空间的功能，使显示画面不丢失暗阶、亮阶细节；（需提供首页具有CNAS标识的检测报告复印件证明）</w:t>
            </w:r>
            <w:r>
              <w:rPr>
                <w:rFonts w:hint="eastAsia" w:ascii="宋体" w:hAnsi="宋体" w:cs="宋体"/>
                <w:color w:val="000000"/>
                <w:kern w:val="0"/>
                <w:sz w:val="22"/>
                <w:szCs w:val="22"/>
                <w:highlight w:val="none"/>
                <w:lang w:bidi="ar"/>
              </w:rPr>
              <w:br w:type="textWrapping"/>
            </w:r>
            <w:r>
              <w:rPr>
                <w:rFonts w:hint="eastAsia" w:ascii="宋体" w:hAnsi="宋体" w:cs="宋体"/>
                <w:color w:val="000000"/>
                <w:kern w:val="0"/>
                <w:sz w:val="22"/>
                <w:szCs w:val="22"/>
                <w:highlight w:val="none"/>
                <w:lang w:bidi="ar"/>
              </w:rPr>
              <w:t>设备通过GB/T 26125-2011、GB/T 26572-2011认证，具有中国合格评定国家认可委员会认可机构出具的电器电子产品有害物质限制使用产品认证证书。</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28</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台</w:t>
            </w:r>
          </w:p>
        </w:tc>
      </w:tr>
      <w:tr>
        <w:tblPrEx>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36</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拼接屏专用支架</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LCD液晶屏配套支架</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7</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套</w:t>
            </w:r>
          </w:p>
        </w:tc>
      </w:tr>
      <w:tr>
        <w:tblPrEx>
          <w:tblCellMar>
            <w:top w:w="0" w:type="dxa"/>
            <w:left w:w="108" w:type="dxa"/>
            <w:bottom w:w="0" w:type="dxa"/>
            <w:right w:w="108" w:type="dxa"/>
          </w:tblCellMar>
        </w:tblPrEx>
        <w:trPr>
          <w:trHeight w:val="725" w:hRule="atLeast"/>
        </w:trPr>
        <w:tc>
          <w:tcPr>
            <w:tcW w:w="0" w:type="auto"/>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37</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拼接屏专用支架</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LCD液晶屏配套支架</w:t>
            </w:r>
          </w:p>
        </w:tc>
        <w:tc>
          <w:tcPr>
            <w:tcW w:w="876" w:type="dxa"/>
            <w:tcBorders>
              <w:top w:val="single" w:color="000000" w:sz="4" w:space="0"/>
              <w:left w:val="nil"/>
              <w:bottom w:val="single" w:color="000000" w:sz="4" w:space="0"/>
              <w:right w:val="nil"/>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28</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支</w:t>
            </w:r>
          </w:p>
        </w:tc>
      </w:tr>
      <w:tr>
        <w:tblPrEx>
          <w:tblCellMar>
            <w:top w:w="0" w:type="dxa"/>
            <w:left w:w="108" w:type="dxa"/>
            <w:bottom w:w="0" w:type="dxa"/>
            <w:right w:w="108" w:type="dxa"/>
          </w:tblCellMar>
        </w:tblPrEx>
        <w:trPr>
          <w:trHeight w:val="1830" w:hRule="atLeast"/>
        </w:trPr>
        <w:tc>
          <w:tcPr>
            <w:tcW w:w="0" w:type="auto"/>
            <w:tcBorders>
              <w:top w:val="single" w:color="000000" w:sz="4" w:space="0"/>
              <w:left w:val="single" w:color="000000" w:sz="4" w:space="0"/>
              <w:bottom w:val="single" w:color="000000" w:sz="4" w:space="0"/>
              <w:right w:val="nil"/>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38</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HDMI线缆</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HDMI电缆,HDMI/AM转HDMI/AM,15m</w:t>
            </w:r>
          </w:p>
        </w:tc>
        <w:tc>
          <w:tcPr>
            <w:tcW w:w="87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根</w:t>
            </w:r>
          </w:p>
        </w:tc>
      </w:tr>
      <w:tr>
        <w:tblPrEx>
          <w:tblCellMar>
            <w:top w:w="0" w:type="dxa"/>
            <w:left w:w="108" w:type="dxa"/>
            <w:bottom w:w="0" w:type="dxa"/>
            <w:right w:w="108" w:type="dxa"/>
          </w:tblCellMar>
        </w:tblPrEx>
        <w:trPr>
          <w:trHeight w:val="8095" w:hRule="atLeast"/>
        </w:trPr>
        <w:tc>
          <w:tcPr>
            <w:tcW w:w="640" w:type="dxa"/>
            <w:tcBorders>
              <w:top w:val="single" w:color="000000" w:sz="4" w:space="0"/>
              <w:left w:val="single" w:color="000000" w:sz="4" w:space="0"/>
              <w:right w:val="single" w:color="000000" w:sz="4" w:space="0"/>
            </w:tcBorders>
            <w:shd w:val="clear" w:color="auto" w:fill="FFFFFF"/>
            <w:noWrap/>
            <w:vAlign w:val="center"/>
          </w:tcPr>
          <w:p>
            <w:pPr>
              <w:widowControl/>
              <w:jc w:val="center"/>
              <w:textAlignment w:val="center"/>
              <w:rPr>
                <w:rFonts w:ascii="宋体" w:hAnsi="宋体" w:cs="宋体"/>
                <w:b/>
                <w:bCs/>
                <w:color w:val="000000"/>
                <w:sz w:val="22"/>
                <w:szCs w:val="22"/>
                <w:highlight w:val="none"/>
              </w:rPr>
            </w:pPr>
            <w:r>
              <w:rPr>
                <w:rFonts w:hint="eastAsia" w:ascii="宋体" w:hAnsi="宋体" w:cs="宋体"/>
                <w:b/>
                <w:bCs/>
                <w:color w:val="000000"/>
                <w:kern w:val="0"/>
                <w:sz w:val="22"/>
                <w:szCs w:val="22"/>
                <w:highlight w:val="none"/>
                <w:lang w:bidi="ar"/>
              </w:rPr>
              <w:t>39</w:t>
            </w:r>
          </w:p>
        </w:tc>
        <w:tc>
          <w:tcPr>
            <w:tcW w:w="265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视频拼接控制器</w:t>
            </w:r>
          </w:p>
        </w:tc>
        <w:tc>
          <w:tcPr>
            <w:tcW w:w="85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标准机架式设计，运营级ATCA机箱系统，支持模拟及数字视频的矩阵切换、视音频编解码、集中存储管理、网络实时预览等功能。</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19英寸标准机箱，机箱高度≤8U；具有≥5个业务槽位，单槽位应支持≥8路高清输入输出业务板卡，业务模块支持热插拔；</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应能通过手动或自动操作，对前端设备的各种动作进行遥控；应能设定控制的优先级，对级别高的用户请求应保证优先响应。可提供对前端设备进行独占性控制的锁定及解锁功能，锁定和解锁方式可设定；（需提供公安部所属检验机构出具的检测报告复印件证明）</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支持网络的和模拟的矩阵接入互联，通过网络或者通讯串口来实现相互之间的通讯和控制</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可通过配置不同的业务板，支持HD-SDI、3G-SDI、光纤、BNC、VGA、DVI、HDMI、YPbPr、HDBaseT、DP、TVI、模拟高线的视频信号接入编码，支持DVI、HDMI、3G-SDI、VGA、BNC、HDBaseT输出显示；</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支持通过多个视频输出端口组合显示视频输入图像，支持任意输出板卡之间的拼接或集群内任意设备输出口拼接功能；支持1、2、4、6、8、9、12、16、25、32、36、48、64画面分割显示；（需提供公安部所属检验机构出具的检测报告复印件证明）</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信号源采集后经过高速背板总线到输出显示所用时间应≤35ms；图像切换时间应＜20ms（需提供公安部所属检验机构出具的检测报告复印件证明）</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支持开窗和漫游功能，支持512个窗口，窗口支持1/4/6/8/9/16画面分割级联时支持256个显示屏的任意大屏拼接</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应支持基于光纤信号实现集群功能。可通过集群节点进行统一管理；支持多台设备信号源不经过编解码实现相互调用功能，图像可以跨设备进行拼接、漫游等操作；可支持16台设备统一管理控制。并且集群节点支持热备功能，故障后支持自动切换（需提供公安部所属检验机构出具的检测报告复印件证明）</w:t>
            </w:r>
          </w:p>
          <w:p>
            <w:pPr>
              <w:widowControl/>
              <w:jc w:val="left"/>
              <w:textAlignment w:val="center"/>
              <w:rPr>
                <w:rFonts w:hint="eastAsia" w:ascii="宋体" w:hAnsi="宋体" w:cs="宋体"/>
                <w:color w:val="000000"/>
                <w:sz w:val="22"/>
                <w:szCs w:val="22"/>
                <w:highlight w:val="none"/>
              </w:rPr>
            </w:pPr>
            <w:r>
              <w:rPr>
                <w:rFonts w:hint="eastAsia" w:ascii="宋体" w:hAnsi="宋体" w:cs="宋体"/>
                <w:color w:val="000000"/>
                <w:sz w:val="22"/>
                <w:szCs w:val="22"/>
                <w:highlight w:val="none"/>
              </w:rPr>
              <w:t>支持GB 28181协议接入平台实现</w:t>
            </w:r>
            <w:bookmarkStart w:id="0" w:name="_GoBack"/>
            <w:bookmarkEnd w:id="0"/>
            <w:r>
              <w:rPr>
                <w:rFonts w:hint="eastAsia" w:ascii="宋体" w:hAnsi="宋体" w:cs="宋体"/>
                <w:color w:val="000000"/>
                <w:sz w:val="22"/>
                <w:szCs w:val="22"/>
                <w:highlight w:val="none"/>
              </w:rPr>
              <w:t>管理和操作</w:t>
            </w:r>
          </w:p>
          <w:p>
            <w:pPr>
              <w:widowControl/>
              <w:jc w:val="left"/>
              <w:textAlignment w:val="center"/>
              <w:rPr>
                <w:rFonts w:ascii="宋体" w:hAnsi="宋体" w:cs="宋体"/>
                <w:color w:val="000000"/>
                <w:sz w:val="22"/>
                <w:szCs w:val="22"/>
                <w:highlight w:val="none"/>
              </w:rPr>
            </w:pPr>
            <w:r>
              <w:rPr>
                <w:rFonts w:hint="eastAsia" w:ascii="宋体" w:hAnsi="宋体" w:cs="宋体"/>
                <w:color w:val="000000"/>
                <w:sz w:val="22"/>
                <w:szCs w:val="22"/>
                <w:highlight w:val="none"/>
              </w:rPr>
              <w:t>具备≥6个10M/100M/1000M自适应以太网口、≥6个千兆光口，支持链路聚合，支持NAT功能；内置模块化冗余双电源，支持智能风扇自动调温；</w:t>
            </w:r>
          </w:p>
          <w:p>
            <w:pPr>
              <w:pStyle w:val="2"/>
              <w:rPr>
                <w:rFonts w:hint="eastAsia"/>
                <w:highlight w:val="none"/>
              </w:rPr>
            </w:pPr>
            <w:r>
              <w:rPr>
                <w:rFonts w:hint="eastAsia"/>
                <w:highlight w:val="none"/>
              </w:rPr>
              <w:t>设备含输入板、输出板</w:t>
            </w:r>
          </w:p>
        </w:tc>
        <w:tc>
          <w:tcPr>
            <w:tcW w:w="876" w:type="dxa"/>
            <w:tcBorders>
              <w:top w:val="single" w:color="000000" w:sz="4" w:space="0"/>
              <w:left w:val="single" w:color="000000" w:sz="4" w:space="0"/>
              <w:right w:val="single" w:color="000000" w:sz="4" w:space="0"/>
            </w:tcBorders>
            <w:shd w:val="clear" w:color="auto" w:fill="FFFFFF"/>
            <w:vAlign w:val="center"/>
          </w:tcPr>
          <w:p>
            <w:pPr>
              <w:widowControl/>
              <w:jc w:val="center"/>
              <w:textAlignment w:val="center"/>
              <w:rPr>
                <w:rFonts w:hint="eastAsia" w:ascii="宋体" w:hAnsi="宋体" w:cs="宋体"/>
                <w:color w:val="000000"/>
                <w:kern w:val="0"/>
                <w:sz w:val="22"/>
                <w:szCs w:val="22"/>
                <w:highlight w:val="none"/>
                <w:lang w:bidi="ar"/>
              </w:rPr>
            </w:pPr>
          </w:p>
          <w:p>
            <w:pPr>
              <w:widowControl/>
              <w:jc w:val="center"/>
              <w:textAlignment w:val="center"/>
              <w:rPr>
                <w:rFonts w:ascii="宋体" w:hAnsi="宋体" w:cs="宋体"/>
                <w:color w:val="000000"/>
                <w:sz w:val="22"/>
                <w:szCs w:val="22"/>
                <w:highlight w:val="none"/>
              </w:rPr>
            </w:pPr>
          </w:p>
          <w:p>
            <w:pPr>
              <w:widowControl/>
              <w:jc w:val="center"/>
              <w:textAlignment w:val="center"/>
              <w:rPr>
                <w:rFonts w:ascii="宋体" w:hAnsi="宋体" w:cs="宋体"/>
                <w:color w:val="000000"/>
                <w:sz w:val="22"/>
                <w:szCs w:val="22"/>
                <w:highlight w:val="none"/>
              </w:rPr>
            </w:pPr>
            <w:r>
              <w:rPr>
                <w:rFonts w:hint="eastAsia" w:ascii="宋体" w:hAnsi="宋体" w:cs="宋体"/>
                <w:color w:val="000000"/>
                <w:kern w:val="0"/>
                <w:sz w:val="22"/>
                <w:szCs w:val="22"/>
                <w:highlight w:val="none"/>
                <w:lang w:bidi="ar"/>
              </w:rPr>
              <w:t>4</w:t>
            </w:r>
          </w:p>
        </w:tc>
        <w:tc>
          <w:tcPr>
            <w:tcW w:w="192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color w:val="000000"/>
                <w:sz w:val="22"/>
                <w:szCs w:val="22"/>
                <w:highlight w:val="none"/>
                <w:lang w:val="en-US" w:eastAsia="zh-CN"/>
              </w:rPr>
            </w:pPr>
            <w:r>
              <w:rPr>
                <w:rFonts w:hint="eastAsia" w:ascii="宋体" w:hAnsi="宋体" w:cs="宋体"/>
                <w:color w:val="000000"/>
                <w:sz w:val="22"/>
                <w:szCs w:val="22"/>
                <w:highlight w:val="none"/>
                <w:lang w:val="en-US" w:eastAsia="zh-CN"/>
              </w:rPr>
              <w:t>台</w:t>
            </w:r>
          </w:p>
        </w:tc>
      </w:tr>
    </w:tbl>
    <w:p>
      <w:pPr>
        <w:pStyle w:val="2"/>
        <w:rPr>
          <w:rFonts w:ascii="宋体" w:hAnsi="宋体" w:cs="宋体"/>
          <w:sz w:val="22"/>
          <w:szCs w:val="22"/>
        </w:rPr>
      </w:pPr>
    </w:p>
    <w:p>
      <w:pPr>
        <w:pStyle w:val="4"/>
        <w:spacing w:before="0"/>
        <w:rPr>
          <w:rFonts w:ascii="宋体" w:hAnsi="宋体" w:cs="宋体"/>
          <w:color w:val="000000" w:themeColor="text1"/>
          <w:kern w:val="0"/>
          <w:sz w:val="22"/>
          <w:szCs w:val="22"/>
          <w:highlight w:val="none"/>
          <w14:textFill>
            <w14:solidFill>
              <w14:schemeClr w14:val="tx1"/>
            </w14:solidFill>
          </w14:textFill>
        </w:rPr>
      </w:pPr>
      <w:r>
        <w:rPr>
          <w:rFonts w:hint="eastAsia" w:ascii="宋体" w:hAnsi="宋体" w:cs="宋体"/>
          <w:color w:val="000000" w:themeColor="text1"/>
          <w:kern w:val="0"/>
          <w:sz w:val="22"/>
          <w:szCs w:val="22"/>
          <w:highlight w:val="none"/>
          <w14:textFill>
            <w14:solidFill>
              <w14:schemeClr w14:val="tx1"/>
            </w14:solidFill>
          </w14:textFill>
        </w:rPr>
        <w:t>注：1.交货时间：10月31日前   ；      2.交货地点： 大通县人民检察院   。</w:t>
      </w:r>
    </w:p>
    <w:p>
      <w:pPr>
        <w:pStyle w:val="4"/>
        <w:spacing w:before="0"/>
        <w:rPr>
          <w:rFonts w:ascii="仿宋" w:hAnsi="仿宋" w:eastAsia="仿宋" w:cs="仿宋"/>
          <w:kern w:val="0"/>
          <w:sz w:val="24"/>
          <w:szCs w:val="24"/>
        </w:rPr>
      </w:pPr>
    </w:p>
    <w:sectPr>
      <w:headerReference r:id="rId4" w:type="first"/>
      <w:headerReference r:id="rId3" w:type="default"/>
      <w:footerReference r:id="rId5" w:type="default"/>
      <w:pgSz w:w="16840" w:h="11907" w:orient="landscape"/>
      <w:pgMar w:top="1689" w:right="1440" w:bottom="1633" w:left="1440" w:header="851" w:footer="992" w:gutter="0"/>
      <w:cols w:space="0" w:num="1"/>
      <w:titlePg/>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00735" cy="147955"/>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800735" cy="147955"/>
                      </a:xfrm>
                      <a:prstGeom prst="rect">
                        <a:avLst/>
                      </a:prstGeom>
                      <a:noFill/>
                      <a:ln>
                        <a:noFill/>
                      </a:ln>
                    </wps:spPr>
                    <wps:txbx>
                      <w:txbxContent>
                        <w:p>
                          <w:pPr>
                            <w:pStyle w:val="14"/>
                          </w:pPr>
                          <w:r>
                            <w:rPr>
                              <w:rFonts w:hint="eastAsia"/>
                            </w:rPr>
                            <w:t>第</w:t>
                          </w:r>
                          <w:r>
                            <w:fldChar w:fldCharType="begin"/>
                          </w:r>
                          <w:r>
                            <w:instrText xml:space="preserve"> PAGE  \* MERGEFORMAT </w:instrText>
                          </w:r>
                          <w:r>
                            <w:fldChar w:fldCharType="separate"/>
                          </w:r>
                          <w:r>
                            <w:t>92</w:t>
                          </w:r>
                          <w:r>
                            <w:fldChar w:fldCharType="end"/>
                          </w:r>
                          <w:r>
                            <w:rPr>
                              <w:rFonts w:hint="eastAsia"/>
                            </w:rPr>
                            <w:t>页共</w:t>
                          </w:r>
                          <w:r>
                            <w:fldChar w:fldCharType="begin"/>
                          </w:r>
                          <w:r>
                            <w:instrText xml:space="preserve"> NUMPAGES  \* MERGEFORMAT </w:instrText>
                          </w:r>
                          <w:r>
                            <w:fldChar w:fldCharType="separate"/>
                          </w:r>
                          <w:r>
                            <w:t>92</w:t>
                          </w:r>
                          <w:r>
                            <w:fldChar w:fldCharType="end"/>
                          </w:r>
                          <w:r>
                            <w:rPr>
                              <w:rFonts w:hint="eastAsia"/>
                            </w:rPr>
                            <w:t>页</w:t>
                          </w:r>
                        </w:p>
                      </w:txbxContent>
                    </wps:txbx>
                    <wps:bodyPr rot="0" vert="horz" wrap="none" lIns="0" tIns="0" rIns="0" bIns="0" anchor="t" anchorCtr="0" upright="1">
                      <a:spAutoFit/>
                    </wps:bodyPr>
                  </wps:wsp>
                </a:graphicData>
              </a:graphic>
            </wp:anchor>
          </w:drawing>
        </mc:Choice>
        <mc:Fallback>
          <w:pict>
            <v:shape id="Text Box 2" o:spid="_x0000_s1026" o:spt="202" type="#_x0000_t202" style="position:absolute;left:0pt;margin-top:0pt;height:11.65pt;width:63.05pt;mso-position-horizontal:center;mso-position-horizontal-relative:margin;mso-wrap-style:none;z-index:251659264;mso-width-relative:page;mso-height-relative:page;" filled="f" stroked="f" coordsize="21600,21600" o:gfxdata="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CdoCXRAAAABAEAAA8AAAAAAAAAAQAgAAAAIgAAAGRycy9kb3ducmV2LnhtbFBLAQIU&#10;ABQAAAAIAIdO4kAAj2dq+gEAAAEEAAAOAAAAAAAAAAEAIAAAACABAABkcnMvZTJvRG9jLnhtbFBL&#10;BQYAAAAABgAGAFkBAACMBQAAAAA=&#10;">
              <v:fill on="f" focussize="0,0"/>
              <v:stroke on="f"/>
              <v:imagedata o:title=""/>
              <o:lock v:ext="edit" aspectratio="f"/>
              <v:textbox inset="0mm,0mm,0mm,0mm" style="mso-fit-shape-to-text:t;">
                <w:txbxContent>
                  <w:p>
                    <w:pPr>
                      <w:pStyle w:val="14"/>
                    </w:pPr>
                    <w:r>
                      <w:rPr>
                        <w:rFonts w:hint="eastAsia"/>
                      </w:rPr>
                      <w:t>第</w:t>
                    </w:r>
                    <w:r>
                      <w:fldChar w:fldCharType="begin"/>
                    </w:r>
                    <w:r>
                      <w:instrText xml:space="preserve"> PAGE  \* MERGEFORMAT </w:instrText>
                    </w:r>
                    <w:r>
                      <w:fldChar w:fldCharType="separate"/>
                    </w:r>
                    <w:r>
                      <w:t>92</w:t>
                    </w:r>
                    <w:r>
                      <w:fldChar w:fldCharType="end"/>
                    </w:r>
                    <w:r>
                      <w:rPr>
                        <w:rFonts w:hint="eastAsia"/>
                      </w:rPr>
                      <w:t>页共</w:t>
                    </w:r>
                    <w:r>
                      <w:fldChar w:fldCharType="begin"/>
                    </w:r>
                    <w:r>
                      <w:instrText xml:space="preserve"> NUMPAGES  \* MERGEFORMAT </w:instrText>
                    </w:r>
                    <w:r>
                      <w:fldChar w:fldCharType="separate"/>
                    </w:r>
                    <w:r>
                      <w:t>92</w:t>
                    </w:r>
                    <w:r>
                      <w:fldChar w:fldCharType="end"/>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rPr>
        <w:rFonts w:ascii="仿宋_GB2312" w:eastAsia="仿宋_GB2312"/>
        <w:b/>
        <w:i/>
        <w:sz w:val="24"/>
        <w:szCs w:val="24"/>
        <w:u w:val="single"/>
      </w:rPr>
    </w:pPr>
    <w:r>
      <w:rPr>
        <w:rFonts w:hint="eastAsia" w:ascii="仿宋_GB2312" w:eastAsia="仿宋_GB2312"/>
        <w:b/>
        <w:i/>
        <w:sz w:val="24"/>
        <w:szCs w:val="24"/>
        <w:u w:val="single"/>
      </w:rPr>
      <w:t>大通县政府采购竞争性磋商文件       大政采竞磋（货物）2022-11号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20"/>
  <w:drawingGridVerticalSpacing w:val="19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NiODVhMmIwNDc3YWNhMmYwNjMyZWYxYjMwYTk1YmIifQ=="/>
  </w:docVars>
  <w:rsids>
    <w:rsidRoot w:val="00B43A35"/>
    <w:rsid w:val="00035841"/>
    <w:rsid w:val="000417F2"/>
    <w:rsid w:val="0005117E"/>
    <w:rsid w:val="000D2293"/>
    <w:rsid w:val="000D6A22"/>
    <w:rsid w:val="00107E8E"/>
    <w:rsid w:val="00156113"/>
    <w:rsid w:val="001616A8"/>
    <w:rsid w:val="0019110A"/>
    <w:rsid w:val="001E6EBD"/>
    <w:rsid w:val="00203EEF"/>
    <w:rsid w:val="002641C9"/>
    <w:rsid w:val="00292DD3"/>
    <w:rsid w:val="00297101"/>
    <w:rsid w:val="00297E81"/>
    <w:rsid w:val="002A2E15"/>
    <w:rsid w:val="002D0851"/>
    <w:rsid w:val="002E0EE2"/>
    <w:rsid w:val="002E22DF"/>
    <w:rsid w:val="002F64CA"/>
    <w:rsid w:val="00365D7D"/>
    <w:rsid w:val="00385FC3"/>
    <w:rsid w:val="003A22F5"/>
    <w:rsid w:val="003A656B"/>
    <w:rsid w:val="004A51DD"/>
    <w:rsid w:val="004C661A"/>
    <w:rsid w:val="004E356A"/>
    <w:rsid w:val="004F7BE3"/>
    <w:rsid w:val="00516C7F"/>
    <w:rsid w:val="005858AA"/>
    <w:rsid w:val="00625682"/>
    <w:rsid w:val="00627FD7"/>
    <w:rsid w:val="00685742"/>
    <w:rsid w:val="006A3586"/>
    <w:rsid w:val="006D06F6"/>
    <w:rsid w:val="00702192"/>
    <w:rsid w:val="00704FE5"/>
    <w:rsid w:val="00741DF5"/>
    <w:rsid w:val="0074204E"/>
    <w:rsid w:val="00747283"/>
    <w:rsid w:val="00761AA5"/>
    <w:rsid w:val="007A6100"/>
    <w:rsid w:val="007B0FA8"/>
    <w:rsid w:val="007B5983"/>
    <w:rsid w:val="008134CE"/>
    <w:rsid w:val="00830BD8"/>
    <w:rsid w:val="00851AAC"/>
    <w:rsid w:val="00851AE2"/>
    <w:rsid w:val="0088280E"/>
    <w:rsid w:val="00887EEC"/>
    <w:rsid w:val="00911572"/>
    <w:rsid w:val="00915EF8"/>
    <w:rsid w:val="009356EE"/>
    <w:rsid w:val="009B3CA5"/>
    <w:rsid w:val="00A10809"/>
    <w:rsid w:val="00A171EF"/>
    <w:rsid w:val="00A219D5"/>
    <w:rsid w:val="00A62914"/>
    <w:rsid w:val="00AC51A9"/>
    <w:rsid w:val="00AD5BAC"/>
    <w:rsid w:val="00B43A35"/>
    <w:rsid w:val="00B51E3E"/>
    <w:rsid w:val="00B53CF7"/>
    <w:rsid w:val="00B743C6"/>
    <w:rsid w:val="00B97EC1"/>
    <w:rsid w:val="00BD3E4E"/>
    <w:rsid w:val="00C05E73"/>
    <w:rsid w:val="00C37F51"/>
    <w:rsid w:val="00C470E5"/>
    <w:rsid w:val="00CF48FB"/>
    <w:rsid w:val="00CF735E"/>
    <w:rsid w:val="00D3193F"/>
    <w:rsid w:val="00D72D26"/>
    <w:rsid w:val="00DB06BB"/>
    <w:rsid w:val="00DE2887"/>
    <w:rsid w:val="00DE6AFE"/>
    <w:rsid w:val="00E12A57"/>
    <w:rsid w:val="00EA064C"/>
    <w:rsid w:val="00EA378B"/>
    <w:rsid w:val="00EB055E"/>
    <w:rsid w:val="00EE4B08"/>
    <w:rsid w:val="00F1303D"/>
    <w:rsid w:val="00F31587"/>
    <w:rsid w:val="00FB4000"/>
    <w:rsid w:val="00FD11E1"/>
    <w:rsid w:val="00FF2E62"/>
    <w:rsid w:val="00FF37C1"/>
    <w:rsid w:val="021077A2"/>
    <w:rsid w:val="031776D1"/>
    <w:rsid w:val="040940B5"/>
    <w:rsid w:val="04176A8D"/>
    <w:rsid w:val="047543AC"/>
    <w:rsid w:val="0739649A"/>
    <w:rsid w:val="075F3B39"/>
    <w:rsid w:val="07720FFF"/>
    <w:rsid w:val="08AD4285"/>
    <w:rsid w:val="092763AC"/>
    <w:rsid w:val="0B775619"/>
    <w:rsid w:val="0BF77C52"/>
    <w:rsid w:val="0C606EB6"/>
    <w:rsid w:val="116B56A7"/>
    <w:rsid w:val="11AB339B"/>
    <w:rsid w:val="1274051B"/>
    <w:rsid w:val="12AE4C3D"/>
    <w:rsid w:val="12C53CA4"/>
    <w:rsid w:val="145A737F"/>
    <w:rsid w:val="16E24E1C"/>
    <w:rsid w:val="18B0167E"/>
    <w:rsid w:val="1964337B"/>
    <w:rsid w:val="1B022F91"/>
    <w:rsid w:val="1C747F39"/>
    <w:rsid w:val="1D892143"/>
    <w:rsid w:val="1DF30C4E"/>
    <w:rsid w:val="1F34477D"/>
    <w:rsid w:val="24E15E82"/>
    <w:rsid w:val="255D282B"/>
    <w:rsid w:val="25B845F8"/>
    <w:rsid w:val="27C733F7"/>
    <w:rsid w:val="27E75D60"/>
    <w:rsid w:val="2C670D75"/>
    <w:rsid w:val="2C966805"/>
    <w:rsid w:val="2D88205F"/>
    <w:rsid w:val="2E06270D"/>
    <w:rsid w:val="2EB671E0"/>
    <w:rsid w:val="2F2B0C15"/>
    <w:rsid w:val="33325775"/>
    <w:rsid w:val="35982C3A"/>
    <w:rsid w:val="38BA7991"/>
    <w:rsid w:val="3A4F6A7C"/>
    <w:rsid w:val="3A50219E"/>
    <w:rsid w:val="3B895CD0"/>
    <w:rsid w:val="3DE15179"/>
    <w:rsid w:val="3F826562"/>
    <w:rsid w:val="3FB1287E"/>
    <w:rsid w:val="3FED7CC5"/>
    <w:rsid w:val="401E5216"/>
    <w:rsid w:val="411368F5"/>
    <w:rsid w:val="41A625C5"/>
    <w:rsid w:val="44233420"/>
    <w:rsid w:val="453B489C"/>
    <w:rsid w:val="487D0579"/>
    <w:rsid w:val="4C3C3E4A"/>
    <w:rsid w:val="4DEA0B7F"/>
    <w:rsid w:val="4DF610CD"/>
    <w:rsid w:val="4E65211B"/>
    <w:rsid w:val="5357208F"/>
    <w:rsid w:val="53746E0E"/>
    <w:rsid w:val="53E46182"/>
    <w:rsid w:val="56C1680E"/>
    <w:rsid w:val="57EC6CDD"/>
    <w:rsid w:val="599417E9"/>
    <w:rsid w:val="5A3E279F"/>
    <w:rsid w:val="5B26638B"/>
    <w:rsid w:val="5CCC38D1"/>
    <w:rsid w:val="5E017B14"/>
    <w:rsid w:val="5E71743E"/>
    <w:rsid w:val="5FE87EB4"/>
    <w:rsid w:val="5FF84EDA"/>
    <w:rsid w:val="604B6C62"/>
    <w:rsid w:val="608816FB"/>
    <w:rsid w:val="63483A56"/>
    <w:rsid w:val="65036A60"/>
    <w:rsid w:val="65CF5355"/>
    <w:rsid w:val="6A656DC6"/>
    <w:rsid w:val="6AF86836"/>
    <w:rsid w:val="6C2663C4"/>
    <w:rsid w:val="6F6B69FD"/>
    <w:rsid w:val="73827A0B"/>
    <w:rsid w:val="74306971"/>
    <w:rsid w:val="76EA2DC0"/>
    <w:rsid w:val="79963097"/>
    <w:rsid w:val="7AA57E99"/>
    <w:rsid w:val="7ADF17BB"/>
    <w:rsid w:val="7B8B5ABE"/>
    <w:rsid w:val="7CE00EED"/>
    <w:rsid w:val="7E8D31CF"/>
    <w:rsid w:val="7F6965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qFormat="1" w:unhideWhenUsed="0" w:uiPriority="99" w:semiHidden="0" w:name="toc 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0"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ocked="1"/>
    <w:lsdException w:qFormat="1" w:uiPriority="35" w:name="caption" w:locked="1"/>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qFormat="1" w:unhideWhenUsed="0" w:uiPriority="99" w:semiHidden="0" w:name="page number"/>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99" w:semiHidden="0" w:name="Title"/>
    <w:lsdException w:uiPriority="0" w:name="Closing" w:locked="1"/>
    <w:lsdException w:uiPriority="0" w:name="Signature" w:locked="1"/>
    <w:lsdException w:qFormat="1" w:uiPriority="1" w:name="Default Paragraph Font"/>
    <w:lsdException w:qFormat="1" w:unhideWhenUsed="0" w:uiPriority="99" w:semiHidden="0" w:name="Body Text" w:locked="1"/>
    <w:lsdException w:qFormat="1" w:unhideWhenUsed="0" w:uiPriority="99" w:semiHidden="0" w:name="Body Text Indent"/>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99" w:semiHidden="0" w:name="Subtitle"/>
    <w:lsdException w:uiPriority="0" w:name="Salutation" w:locked="1"/>
    <w:lsdException w:qFormat="1" w:unhideWhenUsed="0" w:uiPriority="99" w:semiHidden="0" w:name="Date"/>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qFormat="1" w:unhideWhenUsed="0" w:uiPriority="99" w:name="Body Text Indent 3"/>
    <w:lsdException w:qFormat="1" w:unhideWhenUsed="0" w:uiPriority="0" w:semiHidden="0"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0" w:name="E-mail Signature" w:locked="1"/>
    <w:lsdException w:qFormat="1" w:unhideWhenUsed="0" w:uiPriority="99" w:semiHidden="0" w:name="Normal (Web)"/>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99" w:name="Normal Table"/>
    <w:lsdException w:uiPriority="0"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29"/>
    <w:qFormat/>
    <w:uiPriority w:val="99"/>
    <w:pPr>
      <w:keepNext/>
      <w:keepLines/>
      <w:spacing w:before="340" w:after="330" w:line="576" w:lineRule="auto"/>
      <w:outlineLvl w:val="0"/>
    </w:pPr>
    <w:rPr>
      <w:b/>
      <w:kern w:val="44"/>
      <w:sz w:val="44"/>
      <w:szCs w:val="20"/>
    </w:rPr>
  </w:style>
  <w:style w:type="paragraph" w:styleId="4">
    <w:name w:val="heading 2"/>
    <w:basedOn w:val="1"/>
    <w:next w:val="1"/>
    <w:link w:val="31"/>
    <w:qFormat/>
    <w:uiPriority w:val="99"/>
    <w:pPr>
      <w:keepNext/>
      <w:keepLines/>
      <w:spacing w:before="260" w:after="260" w:line="415" w:lineRule="auto"/>
      <w:outlineLvl w:val="1"/>
    </w:pPr>
    <w:rPr>
      <w:rFonts w:ascii="Cambria" w:hAnsi="Cambria"/>
      <w:b/>
      <w:sz w:val="32"/>
      <w:szCs w:val="20"/>
    </w:rPr>
  </w:style>
  <w:style w:type="paragraph" w:styleId="5">
    <w:name w:val="heading 4"/>
    <w:basedOn w:val="1"/>
    <w:next w:val="1"/>
    <w:link w:val="30"/>
    <w:semiHidden/>
    <w:unhideWhenUsed/>
    <w:qFormat/>
    <w:locked/>
    <w:uiPriority w:val="9"/>
    <w:pPr>
      <w:keepNext/>
      <w:keepLines/>
      <w:spacing w:before="280" w:after="290" w:line="376" w:lineRule="auto"/>
      <w:outlineLvl w:val="3"/>
    </w:pPr>
    <w:rPr>
      <w:rFonts w:ascii="Cambria" w:hAnsi="Cambria"/>
      <w:b/>
      <w:bCs/>
      <w:sz w:val="28"/>
      <w:szCs w:val="28"/>
    </w:rPr>
  </w:style>
  <w:style w:type="character" w:default="1" w:styleId="23">
    <w:name w:val="Default Paragraph Font"/>
    <w:semiHidden/>
    <w:unhideWhenUsed/>
    <w:qFormat/>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next w:val="1"/>
    <w:link w:val="43"/>
    <w:qFormat/>
    <w:locked/>
    <w:uiPriority w:val="99"/>
    <w:pPr>
      <w:spacing w:after="120"/>
    </w:pPr>
    <w:rPr>
      <w:sz w:val="21"/>
      <w:szCs w:val="20"/>
    </w:rPr>
  </w:style>
  <w:style w:type="paragraph" w:styleId="6">
    <w:name w:val="Normal Indent"/>
    <w:basedOn w:val="1"/>
    <w:qFormat/>
    <w:uiPriority w:val="99"/>
    <w:pPr>
      <w:ind w:firstLine="420"/>
    </w:pPr>
    <w:rPr>
      <w:szCs w:val="20"/>
    </w:rPr>
  </w:style>
  <w:style w:type="paragraph" w:styleId="7">
    <w:name w:val="Document Map"/>
    <w:basedOn w:val="1"/>
    <w:link w:val="41"/>
    <w:semiHidden/>
    <w:qFormat/>
    <w:uiPriority w:val="99"/>
    <w:pPr>
      <w:shd w:val="clear" w:color="auto" w:fill="000080"/>
    </w:pPr>
    <w:rPr>
      <w:kern w:val="0"/>
      <w:sz w:val="2"/>
      <w:szCs w:val="20"/>
    </w:rPr>
  </w:style>
  <w:style w:type="paragraph" w:styleId="8">
    <w:name w:val="annotation text"/>
    <w:basedOn w:val="1"/>
    <w:link w:val="42"/>
    <w:qFormat/>
    <w:uiPriority w:val="99"/>
    <w:pPr>
      <w:jc w:val="left"/>
    </w:pPr>
    <w:rPr>
      <w:kern w:val="0"/>
    </w:rPr>
  </w:style>
  <w:style w:type="paragraph" w:styleId="9">
    <w:name w:val="Body Text Indent"/>
    <w:basedOn w:val="1"/>
    <w:link w:val="44"/>
    <w:qFormat/>
    <w:uiPriority w:val="99"/>
    <w:pPr>
      <w:spacing w:after="120"/>
      <w:ind w:left="420" w:leftChars="200"/>
    </w:pPr>
    <w:rPr>
      <w:szCs w:val="20"/>
    </w:rPr>
  </w:style>
  <w:style w:type="paragraph" w:styleId="10">
    <w:name w:val="Block Text"/>
    <w:basedOn w:val="1"/>
    <w:qFormat/>
    <w:locked/>
    <w:uiPriority w:val="0"/>
    <w:pPr>
      <w:spacing w:after="120"/>
    </w:pPr>
    <w:rPr>
      <w:sz w:val="21"/>
    </w:rPr>
  </w:style>
  <w:style w:type="paragraph" w:styleId="11">
    <w:name w:val="Plain Text"/>
    <w:basedOn w:val="1"/>
    <w:link w:val="45"/>
    <w:qFormat/>
    <w:uiPriority w:val="99"/>
    <w:rPr>
      <w:rFonts w:ascii="宋体" w:hAnsi="Courier New"/>
      <w:sz w:val="21"/>
      <w:szCs w:val="20"/>
    </w:rPr>
  </w:style>
  <w:style w:type="paragraph" w:styleId="12">
    <w:name w:val="Date"/>
    <w:basedOn w:val="1"/>
    <w:next w:val="1"/>
    <w:link w:val="46"/>
    <w:qFormat/>
    <w:uiPriority w:val="99"/>
    <w:pPr>
      <w:ind w:left="100" w:leftChars="2500"/>
    </w:pPr>
    <w:rPr>
      <w:kern w:val="0"/>
    </w:rPr>
  </w:style>
  <w:style w:type="paragraph" w:styleId="13">
    <w:name w:val="Balloon Text"/>
    <w:basedOn w:val="1"/>
    <w:link w:val="47"/>
    <w:qFormat/>
    <w:uiPriority w:val="99"/>
    <w:rPr>
      <w:kern w:val="0"/>
      <w:sz w:val="2"/>
      <w:szCs w:val="20"/>
    </w:rPr>
  </w:style>
  <w:style w:type="paragraph" w:styleId="14">
    <w:name w:val="footer"/>
    <w:basedOn w:val="1"/>
    <w:link w:val="48"/>
    <w:qFormat/>
    <w:uiPriority w:val="99"/>
    <w:pPr>
      <w:tabs>
        <w:tab w:val="center" w:pos="4153"/>
        <w:tab w:val="right" w:pos="8306"/>
      </w:tabs>
      <w:snapToGrid w:val="0"/>
      <w:jc w:val="left"/>
    </w:pPr>
    <w:rPr>
      <w:sz w:val="18"/>
      <w:szCs w:val="20"/>
    </w:rPr>
  </w:style>
  <w:style w:type="paragraph" w:styleId="15">
    <w:name w:val="header"/>
    <w:basedOn w:val="1"/>
    <w:link w:val="49"/>
    <w:qFormat/>
    <w:uiPriority w:val="99"/>
    <w:pPr>
      <w:pBdr>
        <w:bottom w:val="single" w:color="auto" w:sz="6" w:space="1"/>
      </w:pBdr>
      <w:tabs>
        <w:tab w:val="center" w:pos="4153"/>
        <w:tab w:val="right" w:pos="8306"/>
      </w:tabs>
      <w:snapToGrid w:val="0"/>
      <w:jc w:val="center"/>
    </w:pPr>
    <w:rPr>
      <w:sz w:val="18"/>
      <w:szCs w:val="20"/>
    </w:rPr>
  </w:style>
  <w:style w:type="paragraph" w:styleId="16">
    <w:name w:val="toc 1"/>
    <w:basedOn w:val="1"/>
    <w:next w:val="1"/>
    <w:qFormat/>
    <w:uiPriority w:val="99"/>
    <w:pPr>
      <w:spacing w:before="120" w:after="120" w:line="400" w:lineRule="exact"/>
      <w:ind w:firstLine="200" w:firstLineChars="200"/>
      <w:jc w:val="left"/>
    </w:pPr>
    <w:rPr>
      <w:rFonts w:ascii="Calibri" w:hAnsi="Calibri"/>
      <w:b/>
      <w:bCs/>
      <w:caps/>
      <w:szCs w:val="20"/>
    </w:rPr>
  </w:style>
  <w:style w:type="paragraph" w:styleId="17">
    <w:name w:val="Subtitle"/>
    <w:basedOn w:val="1"/>
    <w:next w:val="1"/>
    <w:link w:val="50"/>
    <w:qFormat/>
    <w:uiPriority w:val="99"/>
    <w:pPr>
      <w:spacing w:before="240" w:after="60" w:line="312" w:lineRule="auto"/>
      <w:jc w:val="center"/>
      <w:outlineLvl w:val="1"/>
    </w:pPr>
    <w:rPr>
      <w:rFonts w:ascii="Cambria" w:hAnsi="Cambria"/>
      <w:b/>
      <w:kern w:val="28"/>
      <w:sz w:val="32"/>
      <w:szCs w:val="20"/>
    </w:rPr>
  </w:style>
  <w:style w:type="paragraph" w:styleId="18">
    <w:name w:val="Body Text Indent 3"/>
    <w:basedOn w:val="1"/>
    <w:link w:val="51"/>
    <w:semiHidden/>
    <w:qFormat/>
    <w:uiPriority w:val="99"/>
    <w:pPr>
      <w:spacing w:after="120"/>
      <w:ind w:left="420" w:leftChars="200"/>
    </w:pPr>
    <w:rPr>
      <w:sz w:val="16"/>
      <w:szCs w:val="16"/>
    </w:rPr>
  </w:style>
  <w:style w:type="paragraph" w:styleId="19">
    <w:name w:val="Normal (Web)"/>
    <w:basedOn w:val="1"/>
    <w:qFormat/>
    <w:uiPriority w:val="99"/>
    <w:pPr>
      <w:spacing w:before="100" w:beforeAutospacing="1" w:after="100" w:afterAutospacing="1"/>
      <w:jc w:val="left"/>
    </w:pPr>
    <w:rPr>
      <w:kern w:val="0"/>
    </w:rPr>
  </w:style>
  <w:style w:type="paragraph" w:styleId="20">
    <w:name w:val="Title"/>
    <w:basedOn w:val="1"/>
    <w:next w:val="1"/>
    <w:link w:val="52"/>
    <w:qFormat/>
    <w:uiPriority w:val="99"/>
    <w:pPr>
      <w:spacing w:before="240" w:after="60"/>
      <w:jc w:val="center"/>
      <w:outlineLvl w:val="0"/>
    </w:pPr>
    <w:rPr>
      <w:rFonts w:ascii="Cambria" w:hAnsi="Cambria"/>
      <w:b/>
      <w:sz w:val="32"/>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99"/>
    <w:rPr>
      <w:rFonts w:cs="Times New Roman"/>
      <w:b/>
    </w:rPr>
  </w:style>
  <w:style w:type="character" w:styleId="25">
    <w:name w:val="page number"/>
    <w:qFormat/>
    <w:uiPriority w:val="99"/>
    <w:rPr>
      <w:rFonts w:cs="Times New Roman"/>
    </w:rPr>
  </w:style>
  <w:style w:type="character" w:styleId="26">
    <w:name w:val="FollowedHyperlink"/>
    <w:qFormat/>
    <w:uiPriority w:val="99"/>
    <w:rPr>
      <w:rFonts w:cs="Times New Roman"/>
      <w:color w:val="000000"/>
      <w:u w:val="none"/>
    </w:rPr>
  </w:style>
  <w:style w:type="character" w:styleId="27">
    <w:name w:val="Emphasis"/>
    <w:qFormat/>
    <w:uiPriority w:val="99"/>
    <w:rPr>
      <w:rFonts w:cs="Times New Roman"/>
    </w:rPr>
  </w:style>
  <w:style w:type="character" w:styleId="28">
    <w:name w:val="Hyperlink"/>
    <w:qFormat/>
    <w:uiPriority w:val="99"/>
    <w:rPr>
      <w:rFonts w:cs="Times New Roman"/>
      <w:color w:val="000000"/>
      <w:u w:val="none"/>
    </w:rPr>
  </w:style>
  <w:style w:type="character" w:customStyle="1" w:styleId="29">
    <w:name w:val="标题 1 字符"/>
    <w:link w:val="3"/>
    <w:qFormat/>
    <w:locked/>
    <w:uiPriority w:val="99"/>
    <w:rPr>
      <w:rFonts w:cs="Times New Roman"/>
      <w:b/>
      <w:kern w:val="44"/>
      <w:sz w:val="44"/>
    </w:rPr>
  </w:style>
  <w:style w:type="character" w:customStyle="1" w:styleId="30">
    <w:name w:val="标题 4 字符"/>
    <w:link w:val="5"/>
    <w:semiHidden/>
    <w:qFormat/>
    <w:uiPriority w:val="9"/>
    <w:rPr>
      <w:rFonts w:ascii="Cambria" w:hAnsi="Cambria" w:eastAsia="宋体"/>
      <w:b/>
      <w:bCs/>
      <w:kern w:val="2"/>
      <w:sz w:val="28"/>
      <w:szCs w:val="28"/>
    </w:rPr>
  </w:style>
  <w:style w:type="character" w:customStyle="1" w:styleId="31">
    <w:name w:val="标题 2 字符"/>
    <w:link w:val="4"/>
    <w:qFormat/>
    <w:locked/>
    <w:uiPriority w:val="99"/>
    <w:rPr>
      <w:rFonts w:ascii="Cambria" w:hAnsi="Cambria" w:cs="Times New Roman"/>
      <w:b/>
      <w:kern w:val="2"/>
      <w:sz w:val="32"/>
    </w:rPr>
  </w:style>
  <w:style w:type="paragraph" w:customStyle="1" w:styleId="32">
    <w:name w:val="_Style 31"/>
    <w:basedOn w:val="7"/>
    <w:qFormat/>
    <w:uiPriority w:val="99"/>
    <w:rPr>
      <w:shd w:val="clear" w:color="auto" w:fill="000080"/>
    </w:rPr>
  </w:style>
  <w:style w:type="paragraph" w:customStyle="1" w:styleId="33">
    <w:name w:val="Char"/>
    <w:basedOn w:val="1"/>
    <w:qFormat/>
    <w:uiPriority w:val="99"/>
    <w:rPr>
      <w:szCs w:val="21"/>
    </w:rPr>
  </w:style>
  <w:style w:type="paragraph" w:customStyle="1" w:styleId="34">
    <w:name w:val="样式2"/>
    <w:basedOn w:val="1"/>
    <w:qFormat/>
    <w:uiPriority w:val="99"/>
    <w:rPr>
      <w:rFonts w:eastAsia="华文中宋"/>
      <w:sz w:val="44"/>
    </w:rPr>
  </w:style>
  <w:style w:type="paragraph" w:customStyle="1" w:styleId="35">
    <w:name w:val="样式1"/>
    <w:basedOn w:val="1"/>
    <w:qFormat/>
    <w:uiPriority w:val="99"/>
    <w:rPr>
      <w:rFonts w:eastAsia="仿宋_GB2312"/>
      <w:sz w:val="32"/>
    </w:rPr>
  </w:style>
  <w:style w:type="paragraph" w:customStyle="1" w:styleId="36">
    <w:name w:val="样式3"/>
    <w:basedOn w:val="34"/>
    <w:qFormat/>
    <w:uiPriority w:val="99"/>
    <w:pPr>
      <w:jc w:val="center"/>
    </w:pPr>
  </w:style>
  <w:style w:type="paragraph" w:customStyle="1" w:styleId="37">
    <w:name w:val="列出段落1"/>
    <w:basedOn w:val="1"/>
    <w:link w:val="59"/>
    <w:qFormat/>
    <w:uiPriority w:val="99"/>
    <w:pPr>
      <w:ind w:firstLine="420" w:firstLineChars="200"/>
    </w:pPr>
    <w:rPr>
      <w:szCs w:val="20"/>
    </w:rPr>
  </w:style>
  <w:style w:type="paragraph" w:customStyle="1" w:styleId="38">
    <w:name w:val="正文缩进1"/>
    <w:basedOn w:val="1"/>
    <w:qFormat/>
    <w:uiPriority w:val="99"/>
    <w:pPr>
      <w:widowControl/>
      <w:spacing w:before="120" w:after="120" w:line="320" w:lineRule="atLeast"/>
      <w:ind w:left="2336" w:leftChars="200"/>
    </w:pPr>
    <w:rPr>
      <w:sz w:val="21"/>
      <w:szCs w:val="20"/>
    </w:rPr>
  </w:style>
  <w:style w:type="paragraph" w:customStyle="1" w:styleId="39">
    <w:name w:val="符号1.1（天云科技）"/>
    <w:basedOn w:val="1"/>
    <w:next w:val="37"/>
    <w:link w:val="61"/>
    <w:qFormat/>
    <w:uiPriority w:val="99"/>
    <w:pPr>
      <w:ind w:firstLine="420" w:firstLineChars="200"/>
    </w:pPr>
    <w:rPr>
      <w:szCs w:val="20"/>
    </w:rPr>
  </w:style>
  <w:style w:type="paragraph" w:customStyle="1" w:styleId="40">
    <w:name w:val="_Style 2"/>
    <w:basedOn w:val="1"/>
    <w:qFormat/>
    <w:uiPriority w:val="34"/>
    <w:pPr>
      <w:ind w:firstLine="420" w:firstLineChars="200"/>
    </w:pPr>
    <w:rPr>
      <w:sz w:val="21"/>
    </w:rPr>
  </w:style>
  <w:style w:type="character" w:customStyle="1" w:styleId="41">
    <w:name w:val="文档结构图 字符"/>
    <w:link w:val="7"/>
    <w:semiHidden/>
    <w:qFormat/>
    <w:locked/>
    <w:uiPriority w:val="99"/>
    <w:rPr>
      <w:rFonts w:cs="Times New Roman"/>
      <w:sz w:val="2"/>
    </w:rPr>
  </w:style>
  <w:style w:type="character" w:customStyle="1" w:styleId="42">
    <w:name w:val="批注文字 字符"/>
    <w:link w:val="8"/>
    <w:semiHidden/>
    <w:qFormat/>
    <w:locked/>
    <w:uiPriority w:val="99"/>
    <w:rPr>
      <w:rFonts w:cs="Times New Roman"/>
      <w:sz w:val="24"/>
    </w:rPr>
  </w:style>
  <w:style w:type="character" w:customStyle="1" w:styleId="43">
    <w:name w:val="正文文本 字符"/>
    <w:link w:val="2"/>
    <w:qFormat/>
    <w:locked/>
    <w:uiPriority w:val="99"/>
    <w:rPr>
      <w:rFonts w:cs="Times New Roman"/>
      <w:kern w:val="2"/>
      <w:sz w:val="21"/>
    </w:rPr>
  </w:style>
  <w:style w:type="character" w:customStyle="1" w:styleId="44">
    <w:name w:val="正文文本缩进 字符"/>
    <w:link w:val="9"/>
    <w:qFormat/>
    <w:locked/>
    <w:uiPriority w:val="99"/>
    <w:rPr>
      <w:rFonts w:cs="Times New Roman"/>
      <w:kern w:val="2"/>
      <w:sz w:val="24"/>
    </w:rPr>
  </w:style>
  <w:style w:type="character" w:customStyle="1" w:styleId="45">
    <w:name w:val="纯文本 字符"/>
    <w:link w:val="11"/>
    <w:qFormat/>
    <w:locked/>
    <w:uiPriority w:val="99"/>
    <w:rPr>
      <w:rFonts w:ascii="宋体" w:hAnsi="Courier New" w:cs="Times New Roman"/>
      <w:kern w:val="2"/>
      <w:sz w:val="21"/>
    </w:rPr>
  </w:style>
  <w:style w:type="character" w:customStyle="1" w:styleId="46">
    <w:name w:val="日期 字符"/>
    <w:link w:val="12"/>
    <w:semiHidden/>
    <w:qFormat/>
    <w:locked/>
    <w:uiPriority w:val="99"/>
    <w:rPr>
      <w:rFonts w:cs="Times New Roman"/>
      <w:sz w:val="24"/>
    </w:rPr>
  </w:style>
  <w:style w:type="character" w:customStyle="1" w:styleId="47">
    <w:name w:val="批注框文本 字符"/>
    <w:link w:val="13"/>
    <w:semiHidden/>
    <w:qFormat/>
    <w:locked/>
    <w:uiPriority w:val="99"/>
    <w:rPr>
      <w:rFonts w:cs="Times New Roman"/>
      <w:sz w:val="2"/>
    </w:rPr>
  </w:style>
  <w:style w:type="character" w:customStyle="1" w:styleId="48">
    <w:name w:val="页脚 字符"/>
    <w:link w:val="14"/>
    <w:qFormat/>
    <w:locked/>
    <w:uiPriority w:val="99"/>
    <w:rPr>
      <w:rFonts w:cs="Times New Roman"/>
      <w:kern w:val="2"/>
      <w:sz w:val="18"/>
    </w:rPr>
  </w:style>
  <w:style w:type="character" w:customStyle="1" w:styleId="49">
    <w:name w:val="页眉 字符"/>
    <w:link w:val="15"/>
    <w:qFormat/>
    <w:locked/>
    <w:uiPriority w:val="99"/>
    <w:rPr>
      <w:rFonts w:cs="Times New Roman"/>
      <w:kern w:val="2"/>
      <w:sz w:val="18"/>
    </w:rPr>
  </w:style>
  <w:style w:type="character" w:customStyle="1" w:styleId="50">
    <w:name w:val="副标题 字符"/>
    <w:link w:val="17"/>
    <w:qFormat/>
    <w:locked/>
    <w:uiPriority w:val="99"/>
    <w:rPr>
      <w:rFonts w:ascii="Cambria" w:hAnsi="Cambria" w:cs="Times New Roman"/>
      <w:b/>
      <w:kern w:val="28"/>
      <w:sz w:val="32"/>
    </w:rPr>
  </w:style>
  <w:style w:type="character" w:customStyle="1" w:styleId="51">
    <w:name w:val="正文文本缩进 3 字符"/>
    <w:link w:val="18"/>
    <w:qFormat/>
    <w:locked/>
    <w:uiPriority w:val="99"/>
    <w:rPr>
      <w:rFonts w:cs="Times New Roman"/>
      <w:kern w:val="2"/>
      <w:sz w:val="16"/>
    </w:rPr>
  </w:style>
  <w:style w:type="character" w:customStyle="1" w:styleId="52">
    <w:name w:val="标题 字符"/>
    <w:link w:val="20"/>
    <w:qFormat/>
    <w:locked/>
    <w:uiPriority w:val="99"/>
    <w:rPr>
      <w:rFonts w:ascii="Cambria" w:hAnsi="Cambria" w:cs="Times New Roman"/>
      <w:b/>
      <w:kern w:val="2"/>
      <w:sz w:val="32"/>
    </w:rPr>
  </w:style>
  <w:style w:type="character" w:customStyle="1" w:styleId="53">
    <w:name w:val="bg01"/>
    <w:qFormat/>
    <w:uiPriority w:val="99"/>
  </w:style>
  <w:style w:type="character" w:customStyle="1" w:styleId="54">
    <w:name w:val="more"/>
    <w:qFormat/>
    <w:uiPriority w:val="99"/>
    <w:rPr>
      <w:color w:val="666666"/>
      <w:sz w:val="18"/>
    </w:rPr>
  </w:style>
  <w:style w:type="character" w:customStyle="1" w:styleId="55">
    <w:name w:val="副标题 Char1"/>
    <w:qFormat/>
    <w:uiPriority w:val="99"/>
    <w:rPr>
      <w:rFonts w:ascii="Cambria" w:hAnsi="Cambria"/>
      <w:b/>
      <w:kern w:val="28"/>
      <w:sz w:val="32"/>
    </w:rPr>
  </w:style>
  <w:style w:type="character" w:customStyle="1" w:styleId="56">
    <w:name w:val="tabg"/>
    <w:qFormat/>
    <w:uiPriority w:val="99"/>
    <w:rPr>
      <w:rFonts w:ascii="微软雅黑" w:hAnsi="微软雅黑" w:eastAsia="微软雅黑"/>
      <w:color w:val="FFFFFF"/>
      <w:sz w:val="27"/>
    </w:rPr>
  </w:style>
  <w:style w:type="character" w:customStyle="1" w:styleId="57">
    <w:name w:val="bg02"/>
    <w:qFormat/>
    <w:uiPriority w:val="99"/>
  </w:style>
  <w:style w:type="character" w:customStyle="1" w:styleId="58">
    <w:name w:val="标题 Char1"/>
    <w:qFormat/>
    <w:uiPriority w:val="99"/>
    <w:rPr>
      <w:rFonts w:ascii="Cambria" w:hAnsi="Cambria"/>
      <w:b/>
      <w:kern w:val="2"/>
      <w:sz w:val="32"/>
    </w:rPr>
  </w:style>
  <w:style w:type="character" w:customStyle="1" w:styleId="59">
    <w:name w:val="列出段落 Char"/>
    <w:link w:val="37"/>
    <w:qFormat/>
    <w:locked/>
    <w:uiPriority w:val="99"/>
    <w:rPr>
      <w:kern w:val="2"/>
      <w:sz w:val="24"/>
    </w:rPr>
  </w:style>
  <w:style w:type="character" w:customStyle="1" w:styleId="60">
    <w:name w:val="纯文本 Char2"/>
    <w:qFormat/>
    <w:uiPriority w:val="99"/>
    <w:rPr>
      <w:rFonts w:ascii="宋体" w:hAnsi="Courier New"/>
      <w:kern w:val="2"/>
      <w:sz w:val="24"/>
    </w:rPr>
  </w:style>
  <w:style w:type="character" w:customStyle="1" w:styleId="61">
    <w:name w:val="列出段落 字符"/>
    <w:link w:val="39"/>
    <w:qFormat/>
    <w:locked/>
    <w:uiPriority w:val="99"/>
    <w:rPr>
      <w:rFonts w:eastAsia="宋体"/>
      <w:kern w:val="2"/>
      <w:sz w:val="24"/>
      <w:lang w:val="en-US" w:eastAsia="zh-CN"/>
    </w:rPr>
  </w:style>
  <w:style w:type="paragraph" w:styleId="62">
    <w:name w:val="List Paragraph"/>
    <w:basedOn w:val="1"/>
    <w:qFormat/>
    <w:uiPriority w:val="34"/>
    <w:pPr>
      <w:ind w:firstLine="420" w:firstLineChars="200"/>
    </w:pPr>
    <w:rPr>
      <w:rFonts w:ascii="Cambria" w:hAnsi="Cambria"/>
    </w:rPr>
  </w:style>
  <w:style w:type="character" w:customStyle="1" w:styleId="63">
    <w:name w:val="font101"/>
    <w:qFormat/>
    <w:uiPriority w:val="0"/>
    <w:rPr>
      <w:rFonts w:hint="eastAsia" w:ascii="宋体" w:hAnsi="宋体" w:eastAsia="宋体" w:cs="宋体"/>
      <w:color w:val="auto"/>
      <w:sz w:val="20"/>
      <w:szCs w:val="20"/>
      <w:u w:val="none"/>
    </w:rPr>
  </w:style>
  <w:style w:type="character" w:customStyle="1" w:styleId="64">
    <w:name w:val="font71"/>
    <w:qFormat/>
    <w:uiPriority w:val="0"/>
    <w:rPr>
      <w:rFonts w:hint="eastAsia" w:ascii="宋体" w:hAnsi="宋体" w:eastAsia="宋体" w:cs="宋体"/>
      <w:color w:val="auto"/>
      <w:sz w:val="20"/>
      <w:szCs w:val="20"/>
      <w:u w:val="none"/>
    </w:rPr>
  </w:style>
  <w:style w:type="character" w:customStyle="1" w:styleId="65">
    <w:name w:val="font61"/>
    <w:qFormat/>
    <w:uiPriority w:val="0"/>
    <w:rPr>
      <w:rFonts w:hint="eastAsia" w:ascii="宋体" w:hAnsi="宋体" w:eastAsia="宋体" w:cs="宋体"/>
      <w:color w:val="auto"/>
      <w:sz w:val="20"/>
      <w:szCs w:val="20"/>
      <w:u w:val="none"/>
    </w:rPr>
  </w:style>
  <w:style w:type="character" w:customStyle="1" w:styleId="66">
    <w:name w:val="font121"/>
    <w:qFormat/>
    <w:uiPriority w:val="0"/>
    <w:rPr>
      <w:rFonts w:hint="eastAsia" w:ascii="宋体" w:hAnsi="宋体" w:eastAsia="宋体" w:cs="宋体"/>
      <w:b/>
      <w:color w:val="auto"/>
      <w:sz w:val="20"/>
      <w:szCs w:val="20"/>
      <w:u w:val="none"/>
    </w:rPr>
  </w:style>
  <w:style w:type="character" w:customStyle="1" w:styleId="67">
    <w:name w:val="font51"/>
    <w:qFormat/>
    <w:uiPriority w:val="0"/>
    <w:rPr>
      <w:rFonts w:hint="eastAsia" w:ascii="宋体" w:hAnsi="宋体" w:eastAsia="宋体" w:cs="宋体"/>
      <w:b/>
      <w:color w:val="auto"/>
      <w:sz w:val="20"/>
      <w:szCs w:val="20"/>
      <w:u w:val="none"/>
    </w:rPr>
  </w:style>
  <w:style w:type="character" w:customStyle="1" w:styleId="68">
    <w:name w:val="font11"/>
    <w:basedOn w:val="23"/>
    <w:uiPriority w:val="0"/>
    <w:rPr>
      <w:rFonts w:hint="eastAsia" w:ascii="宋体" w:hAnsi="宋体" w:eastAsia="宋体" w:cs="宋体"/>
      <w:color w:val="000000"/>
      <w:sz w:val="20"/>
      <w:szCs w:val="20"/>
      <w:u w:val="none"/>
    </w:rPr>
  </w:style>
  <w:style w:type="character" w:customStyle="1" w:styleId="69">
    <w:name w:val="font21"/>
    <w:basedOn w:val="23"/>
    <w:qFormat/>
    <w:uiPriority w:val="0"/>
    <w:rPr>
      <w:rFonts w:hint="eastAsia" w:ascii="宋体" w:hAnsi="宋体" w:eastAsia="宋体" w:cs="宋体"/>
      <w:color w:val="000000"/>
      <w:sz w:val="20"/>
      <w:szCs w:val="20"/>
      <w:u w:val="none"/>
    </w:rPr>
  </w:style>
  <w:style w:type="paragraph" w:customStyle="1" w:styleId="70">
    <w:name w:val="表格文字"/>
    <w:basedOn w:val="1"/>
    <w:qFormat/>
    <w:uiPriority w:val="0"/>
    <w:pPr>
      <w:spacing w:before="25" w:after="25"/>
    </w:pPr>
    <w:rPr>
      <w:bCs/>
      <w:spacing w:val="10"/>
      <w:kern w:val="0"/>
    </w:rPr>
  </w:style>
  <w:style w:type="character" w:customStyle="1" w:styleId="71">
    <w:name w:val="font81"/>
    <w:basedOn w:val="23"/>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033505-1A32-4332-A302-69410922372E}">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18842</Words>
  <Characters>22037</Characters>
  <Lines>392</Lines>
  <Paragraphs>110</Paragraphs>
  <TotalTime>1</TotalTime>
  <ScaleCrop>false</ScaleCrop>
  <LinksUpToDate>false</LinksUpToDate>
  <CharactersWithSpaces>22209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2022-06-20T11:17:00Z</dcterms:created>
  <dc:creator>太子弹琴</dc:creator>
  <cp:lastModifiedBy>陈登贵</cp:lastModifiedBy>
  <cp:lastPrinted>2022-04-15T01:26:00Z</cp:lastPrinted>
  <dcterms:modified xsi:type="dcterms:W3CDTF">2022-06-21T06:49:30Z</dcterms:modified>
  <dc:title>大通县政府采购中心</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C3C277D1944B4DDF86171A55F406EC10</vt:lpwstr>
  </property>
</Properties>
</file>