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1"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采购项目编号：大政采竞磋（货物）2022-11号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大通县人民检察院安防监控及视频会议系统设备采购项目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采购人：大通县人民检察院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rPr>
        <w:t>6</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大通县政府采购服务中心（以下均简称“采购代理机构”）受大通县人民检察院（以下均简称“采购人”）的</w:t>
      </w:r>
      <w:r>
        <w:rPr>
          <w:rFonts w:hint="eastAsia"/>
          <w:lang w:val="zh-CN"/>
        </w:rPr>
        <w:t>委托，拟</w:t>
      </w:r>
      <w:r>
        <w:rPr>
          <w:rFonts w:hint="eastAsia" w:ascii="宋体" w:hAnsi="宋体" w:cs="宋体"/>
          <w:kern w:val="0"/>
          <w:lang w:val="zh-CN"/>
        </w:rPr>
        <w:t>对“大通县人民检察院安防监控及视频会议系统设备采购项目，采购项目编号：大政采竞磋（货物）2022-11号”进行国内竞争性磋商采购，现予以公告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大通县人民检察院安防监控及视频会议系统设备采购项目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大政采竞磋（货物）2022-11号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231.00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1个包采购预算控制额度：</w:t>
            </w:r>
            <w:r>
              <w:rPr>
                <w:rFonts w:hint="eastAsia" w:ascii="宋体" w:hAnsi="宋体" w:cs="宋体"/>
                <w:kern w:val="0"/>
              </w:rPr>
              <w:t>231.00</w:t>
            </w:r>
            <w:r>
              <w:rPr>
                <w:rFonts w:hint="eastAsia"/>
              </w:rPr>
              <w:t>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20</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20</w:t>
            </w:r>
            <w:r>
              <w:rPr>
                <w:rFonts w:hint="eastAsia" w:ascii="宋体" w:hAnsi="宋体" w:cs="宋体"/>
                <w:kern w:val="0"/>
                <w:lang w:val="zh-CN"/>
              </w:rPr>
              <w:t>日至</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24</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rPr>
            </w:pPr>
            <w:r>
              <w:rPr>
                <w:rFonts w:hint="eastAsia" w:ascii="宋体" w:hAnsi="宋体"/>
                <w:color w:val="000000" w:themeColor="text1"/>
                <w:kern w:val="2"/>
                <w14:textFill>
                  <w14:solidFill>
                    <w14:schemeClr w14:val="tx1"/>
                  </w14:solidFill>
                </w14:textFill>
              </w:rPr>
              <w:t>投标供应商2022年6月29日17:30分（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rPr>
              <w:t>46000</w:t>
            </w:r>
            <w:r>
              <w:rPr>
                <w:rFonts w:ascii="宋体" w:cs="宋体"/>
                <w:lang w:val="zh-CN"/>
              </w:rPr>
              <w:t>.00</w:t>
            </w:r>
            <w:r>
              <w:rPr>
                <w:rFonts w:hint="eastAsia" w:ascii="宋体" w:hAnsi="宋体" w:cs="宋体"/>
                <w:lang w:val="zh-CN"/>
              </w:rPr>
              <w:t>元（大写：</w:t>
            </w:r>
            <w:r>
              <w:rPr>
                <w:rFonts w:hint="eastAsia" w:ascii="宋体" w:hAnsi="宋体" w:cs="宋体"/>
              </w:rPr>
              <w:t>肆万陆仟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30</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30</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、密封后的磋商响应文件密封袋用“于2022年6月30日</w:t>
            </w:r>
            <w:r>
              <w:rPr>
                <w:rFonts w:ascii="宋体" w:hAnsi="宋体"/>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rPr>
              <w:t>张先生</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rPr>
              <w:t>0971-2720410</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联系地址：大通县人民检察院</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本次采购受大通县人民检察院的委托，仅适用于本竞争性磋商文件（以下简称“磋商文件”）中所叙述的项目。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37664016"/>
      <w:bookmarkStart w:id="24" w:name="_Toc14913"/>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449"/>
      <w:bookmarkStart w:id="28" w:name="_Toc30809"/>
      <w:bookmarkStart w:id="29" w:name="_Toc497503516"/>
      <w:bookmarkStart w:id="30" w:name="_Toc497503249"/>
      <w:bookmarkStart w:id="31" w:name="_Toc497503315"/>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1"/>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bookmarkStart w:id="37" w:name="_Toc37664023"/>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continue"/>
            <w:tcBorders>
              <w:right w:val="single" w:color="auto" w:sz="4" w:space="0"/>
            </w:tcBorders>
            <w:vAlign w:val="center"/>
          </w:tcPr>
          <w:p>
            <w:pPr>
              <w:pStyle w:val="19"/>
              <w:widowControl/>
              <w:spacing w:before="0" w:beforeAutospacing="0" w:after="0" w:afterAutospacing="0" w:line="360" w:lineRule="auto"/>
              <w:jc w:val="center"/>
              <w:rPr>
                <w:rFonts w:ascii="宋体" w:hAns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10</w:t>
            </w:r>
          </w:p>
        </w:tc>
        <w:tc>
          <w:tcPr>
            <w:tcW w:w="5677" w:type="dxa"/>
            <w:tcBorders>
              <w:top w:val="single" w:color="auto" w:sz="4" w:space="0"/>
              <w:left w:val="single" w:color="auto" w:sz="4" w:space="0"/>
              <w:bottom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sz w:val="18"/>
                <w:szCs w:val="18"/>
                <w:shd w:val="clear" w:color="auto" w:fill="FFFFFF"/>
              </w:rPr>
              <w:t>1.针对招标项目有详尽的配送、安装、调试、验收、使用培训、维护等方面的售后服务计划、措施及相关承诺，所述内容对招标文件要求</w:t>
            </w:r>
            <w:r>
              <w:rPr>
                <w:rFonts w:hint="eastAsia" w:ascii="宋体" w:hAnsi="宋体" w:cs="宋体"/>
                <w:color w:val="000000"/>
                <w:kern w:val="0"/>
                <w:sz w:val="22"/>
                <w:szCs w:val="22"/>
                <w:lang w:bidi="ar"/>
              </w:rPr>
              <w:t>响应好的得4分；一般的得2分；没有的不得分。</w:t>
            </w:r>
          </w:p>
          <w:p>
            <w:pPr>
              <w:widowControl/>
              <w:jc w:val="left"/>
              <w:textAlignment w:val="center"/>
              <w:rPr>
                <w:rFonts w:ascii="宋体" w:hAnsi="宋体" w:cs="宋体"/>
                <w:sz w:val="18"/>
                <w:szCs w:val="18"/>
                <w:shd w:val="clear" w:color="auto" w:fill="FFFFFF"/>
              </w:rPr>
            </w:pPr>
            <w:r>
              <w:rPr>
                <w:rFonts w:hint="eastAsia" w:ascii="宋体" w:hAnsi="宋体" w:cs="宋体"/>
                <w:sz w:val="18"/>
                <w:szCs w:val="18"/>
                <w:shd w:val="clear" w:color="auto" w:fill="FFFFFF"/>
              </w:rPr>
              <w:t>2.本地化服务能力，在青海省有服务机构的得4分；有合作性服务机构的得2分；没有的不得分。</w:t>
            </w:r>
          </w:p>
          <w:p>
            <w:pPr>
              <w:widowControl/>
              <w:jc w:val="left"/>
              <w:textAlignment w:val="center"/>
              <w:rPr>
                <w:rFonts w:ascii="宋体" w:hAnsi="宋体" w:cs="宋体"/>
                <w:sz w:val="18"/>
                <w:szCs w:val="18"/>
                <w:shd w:val="clear" w:color="auto" w:fill="FFFFFF"/>
              </w:rPr>
            </w:pPr>
            <w:r>
              <w:rPr>
                <w:rFonts w:hint="eastAsia" w:ascii="宋体" w:hAnsi="宋体" w:cs="宋体"/>
                <w:sz w:val="18"/>
                <w:szCs w:val="18"/>
                <w:shd w:val="clear" w:color="auto" w:fill="FFFFFF"/>
              </w:rPr>
              <w:t>本地化服务能力应包括机构性质、人员配置、服务能力、售后服务工程师联系方式等（需提供相关证明材料复印件，原件携带备查；</w:t>
            </w:r>
          </w:p>
          <w:p>
            <w:pPr>
              <w:widowControl/>
              <w:jc w:val="left"/>
              <w:textAlignment w:val="center"/>
              <w:rPr>
                <w:rFonts w:ascii="宋体" w:hAnsi="宋体" w:cs="宋体"/>
                <w:sz w:val="18"/>
                <w:szCs w:val="18"/>
                <w:shd w:val="clear" w:color="auto" w:fill="FFFFFF"/>
              </w:rPr>
            </w:pPr>
            <w:r>
              <w:rPr>
                <w:rFonts w:hint="eastAsia" w:ascii="宋体" w:hAnsi="宋体" w:cs="宋体"/>
                <w:sz w:val="18"/>
                <w:szCs w:val="18"/>
                <w:shd w:val="clear" w:color="auto" w:fill="FFFFFF"/>
              </w:rPr>
              <w:t>投标供应商拟派负责该项目的项目经理同时具有信息系统项目管理师和软件设计师证书的得2分，提供一个得1分，不提供不得分。</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证明材料包括在本地服务机构</w:t>
            </w:r>
            <w:r>
              <w:rPr>
                <w:rFonts w:hint="eastAsia" w:ascii="宋体" w:hAnsi="宋体" w:cs="宋体"/>
                <w:sz w:val="18"/>
                <w:szCs w:val="18"/>
                <w:shd w:val="clear" w:color="auto" w:fill="FFFFFF"/>
                <w:lang w:val="en-US" w:eastAsia="zh-CN"/>
              </w:rPr>
              <w:t>人员</w:t>
            </w:r>
            <w:r>
              <w:rPr>
                <w:rFonts w:hint="eastAsia" w:ascii="宋体" w:hAnsi="宋体" w:cs="宋体"/>
                <w:sz w:val="18"/>
                <w:szCs w:val="18"/>
                <w:shd w:val="clear" w:color="auto" w:fill="FFFFFF"/>
              </w:rPr>
              <w:t>最近连续三个月缴纳社保证明材料）。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rPr>
              <w:t>9年以来的类似业绩证明材料须提供包含合同首页、标的及金额所在页、签字盖章页的合同复印件并加盖投标人公章）每提供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rPr>
          <w:szCs w:val="21"/>
        </w:rPr>
      </w:pPr>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189563"/>
      <w:bookmarkStart w:id="44" w:name="_Toc37664029"/>
      <w:bookmarkStart w:id="45" w:name="_Toc496626225"/>
      <w:bookmarkStart w:id="46" w:name="_Toc496004020"/>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25726031"/>
      <w:bookmarkStart w:id="51" w:name="_Toc376936762"/>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25726033"/>
      <w:bookmarkStart w:id="56" w:name="_Toc37664033"/>
      <w:bookmarkStart w:id="57" w:name="_Toc494439629"/>
      <w:bookmarkStart w:id="58" w:name="_Toc37693676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494439630"/>
      <w:bookmarkStart w:id="60" w:name="_Toc325726034"/>
      <w:bookmarkStart w:id="61" w:name="_Toc376936765"/>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0"/>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lang w:val="zh-CN"/>
        </w:rPr>
      </w:pPr>
    </w:p>
    <w:p>
      <w:pPr>
        <w:autoSpaceDE w:val="0"/>
        <w:autoSpaceDN w:val="0"/>
        <w:adjustRightInd w:val="0"/>
        <w:spacing w:line="360" w:lineRule="auto"/>
        <w:rPr>
          <w:rFonts w:ascii="宋体" w:hAnsi="宋体" w:cs="宋体"/>
          <w:b/>
          <w:bCs/>
          <w:kern w:val="0"/>
          <w:sz w:val="30"/>
          <w:szCs w:val="30"/>
          <w:lang w:val="zh-CN"/>
        </w:rPr>
      </w:pP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交货时间：</w:t>
      </w:r>
      <w:r>
        <w:rPr>
          <w:rFonts w:hint="eastAsia" w:ascii="宋体" w:hAnsi="宋体" w:cs="宋体"/>
          <w:color w:val="000000" w:themeColor="text1"/>
          <w:kern w:val="0"/>
          <w:highlight w:val="none"/>
          <w14:textFill>
            <w14:solidFill>
              <w14:schemeClr w14:val="tx1"/>
            </w14:solidFill>
          </w14:textFill>
        </w:rPr>
        <w:t>2022年10月31日前</w:t>
      </w:r>
      <w:r>
        <w:rPr>
          <w:rFonts w:hint="eastAsia" w:ascii="宋体" w:hAnsi="宋体" w:cs="宋体"/>
          <w:color w:val="000000" w:themeColor="text1"/>
          <w:kern w:val="0"/>
          <w:highlight w:val="none"/>
          <w:lang w:val="zh-CN"/>
          <w14:textFill>
            <w14:solidFill>
              <w14:schemeClr w14:val="tx1"/>
            </w14:solidFill>
          </w14:textFill>
        </w:rPr>
        <w:t>；交货地点：</w:t>
      </w:r>
      <w:r>
        <w:rPr>
          <w:rFonts w:hint="eastAsia" w:ascii="宋体" w:hAnsi="宋体" w:cs="宋体"/>
          <w:color w:val="000000" w:themeColor="text1"/>
          <w:kern w:val="0"/>
          <w:highlight w:val="none"/>
          <w14:textFill>
            <w14:solidFill>
              <w14:schemeClr w14:val="tx1"/>
            </w14:solidFill>
          </w14:textFill>
        </w:rPr>
        <w:t xml:space="preserve"> 大通县人民检察院</w:t>
      </w:r>
      <w:r>
        <w:rPr>
          <w:rFonts w:hint="eastAsia" w:ascii="宋体" w:hAnsi="宋体" w:cs="宋体"/>
          <w:color w:val="000000" w:themeColor="text1"/>
          <w:kern w:val="0"/>
          <w:highlight w:val="none"/>
          <w:lang w:val="zh-CN"/>
          <w14:textFill>
            <w14:solidFill>
              <w14:schemeClr w14:val="tx1"/>
            </w14:solidFill>
          </w14:textFill>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color w:val="FF0000"/>
          <w:highlight w:val="red"/>
        </w:rPr>
      </w:pPr>
      <w:r>
        <w:rPr>
          <w:rFonts w:hint="eastAsia" w:ascii="宋体" w:hAnsi="宋体"/>
          <w:color w:val="000000" w:themeColor="text1"/>
          <w:highlight w:val="none"/>
          <w14:textFill>
            <w14:solidFill>
              <w14:schemeClr w14:val="tx1"/>
            </w14:solidFill>
          </w14:textFill>
        </w:rPr>
        <w:t>交货日期：   2022年10月31日前 。</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采购项目编号：大政采竞磋（货物）2022-11号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采购项目名称：大通县人民检察院安防监控及视频会议系统设备采购项目</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hAnsi="宋体" w:cs="宋体"/>
          <w:sz w:val="30"/>
          <w:szCs w:val="30"/>
          <w:lang w:val="zh-CN"/>
        </w:rPr>
      </w:pPr>
      <w:bookmarkStart w:id="71" w:name="_Toc37664038"/>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hAnsi="宋体" w:cs="宋体"/>
          <w:sz w:val="30"/>
          <w:szCs w:val="30"/>
          <w:lang w:val="zh-CN"/>
        </w:rPr>
      </w:pPr>
      <w:bookmarkStart w:id="75" w:name="_Toc37664039"/>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日大政采竞磋（货物）2022-11号采购项目，本签字人愿意参加磋商，提供采购项目服务要求的所有服务，并证实提交的所有资料是准确的和真实的。同时，我代表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2"/>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496626240"/>
      <w:bookmarkStart w:id="81" w:name="_Toc376640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2284572"/>
      <w:bookmarkStart w:id="83" w:name="_Toc491781021"/>
      <w:bookmarkStart w:id="84" w:name="_Toc490122951"/>
      <w:bookmarkStart w:id="85" w:name="_Toc48217631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Pr>
        <w:pStyle w:val="2"/>
      </w:pPr>
    </w:p>
    <w:p/>
    <w:p/>
    <w:p/>
    <w:p/>
    <w:p/>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20年或</w:t>
      </w:r>
      <w:r>
        <w:rPr>
          <w:rFonts w:ascii="宋体" w:hAnsi="宋体"/>
        </w:rPr>
        <w:t>20</w:t>
      </w:r>
      <w:r>
        <w:rPr>
          <w:rFonts w:hint="eastAsia" w:ascii="宋体" w:hAnsi="宋体"/>
        </w:rPr>
        <w:t>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采购项目编号：大政采竞磋（货物）2022-11号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采购项目名称：大通县人民检察院安防监控及视频会议系统设备采购项目</w:t>
      </w:r>
    </w:p>
    <w:p>
      <w:pPr>
        <w:autoSpaceDE w:val="0"/>
        <w:autoSpaceDN w:val="0"/>
        <w:spacing w:line="360" w:lineRule="auto"/>
        <w:rPr>
          <w:rFonts w:asci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494439637"/>
      <w:bookmarkStart w:id="94" w:name="_Toc3766404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427748095"/>
      <w:bookmarkStart w:id="99" w:name="_Toc494439638"/>
      <w:bookmarkStart w:id="100" w:name="_Toc37664048"/>
      <w:r>
        <w:rPr>
          <w:rFonts w:hint="eastAsia" w:ascii="宋体" w:hAnsi="宋体" w:cs="宋体"/>
          <w:sz w:val="30"/>
          <w:szCs w:val="30"/>
          <w:lang w:val="zh-CN"/>
        </w:rPr>
        <w:t>附件</w:t>
      </w:r>
      <w:bookmarkStart w:id="101" w:name="_Toc376936771"/>
      <w:bookmarkStart w:id="102" w:name="_Toc325726040"/>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27748102"/>
      <w:bookmarkStart w:id="108" w:name="_Toc494439646"/>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28726"/>
      <w:bookmarkStart w:id="115" w:name="_Toc494439650"/>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494439651"/>
      <w:bookmarkStart w:id="117" w:name="_Toc13751"/>
      <w:bookmarkStart w:id="118" w:name="_Toc37664052"/>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120"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94439652"/>
      <w:bookmarkStart w:id="120" w:name="_Toc474913501"/>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right="480" w:firstLine="2961" w:firstLineChars="1229"/>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 xml:space="preserve">    年    月    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37664055"/>
      <w:bookmarkStart w:id="127" w:name="_Toc496004047"/>
      <w:bookmarkStart w:id="128" w:name="_Toc496626253"/>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致：大通县政府采购服务中心</w:t>
      </w:r>
    </w:p>
    <w:p>
      <w:pPr>
        <w:spacing w:after="120"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大政采竞磋（货物）2022-11号</w:t>
      </w:r>
      <w:r>
        <w:rPr>
          <w:rFonts w:hint="eastAsia" w:ascii="宋体" w:hAnsi="宋体"/>
        </w:rPr>
        <w:t>）投标所提交的投标保证金（大写），已按磋商文件要求于</w:t>
      </w:r>
      <w:r>
        <w:rPr>
          <w:rFonts w:ascii="宋体" w:hAnsi="宋体"/>
        </w:rPr>
        <w:t>202</w:t>
      </w:r>
      <w:r>
        <w:rPr>
          <w:rFonts w:hint="eastAsia" w:ascii="宋体" w:hAnsi="宋体"/>
        </w:rPr>
        <w:t>2年月日以汇款方式汇入指定账户。请贵中心退还时汇入下列账号：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p>
    <w:p>
      <w:pPr>
        <w:spacing w:after="120" w:afterLines="50" w:line="360" w:lineRule="auto"/>
        <w:ind w:firstLine="480" w:firstLineChars="200"/>
        <w:rPr>
          <w:rFonts w:ascii="宋体"/>
          <w:u w:val="single"/>
        </w:rPr>
      </w:pPr>
      <w:r>
        <w:rPr>
          <w:rFonts w:hint="eastAsia" w:ascii="宋体" w:hAnsi="宋体"/>
        </w:rPr>
        <w:t>开户银行：</w:t>
      </w:r>
    </w:p>
    <w:p>
      <w:pPr>
        <w:spacing w:after="120" w:afterLines="50" w:line="360" w:lineRule="auto"/>
        <w:ind w:firstLine="480" w:firstLineChars="200"/>
        <w:rPr>
          <w:rFonts w:ascii="宋体"/>
          <w:u w:val="single"/>
        </w:rPr>
      </w:pPr>
      <w:r>
        <w:rPr>
          <w:rFonts w:hint="eastAsia" w:ascii="宋体" w:hAnsi="宋体"/>
        </w:rPr>
        <w:t>账号：</w:t>
      </w:r>
    </w:p>
    <w:p>
      <w:pPr>
        <w:spacing w:after="120" w:afterLines="50" w:line="360" w:lineRule="auto"/>
        <w:ind w:firstLine="480" w:firstLineChars="200"/>
        <w:rPr>
          <w:rFonts w:ascii="宋体"/>
          <w:u w:val="single"/>
        </w:rPr>
      </w:pPr>
      <w:r>
        <w:rPr>
          <w:rFonts w:hint="eastAsia" w:ascii="宋体" w:hAnsi="宋体"/>
        </w:rPr>
        <w:t>联系人：联系电话：</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37664056"/>
      <w:bookmarkStart w:id="130" w:name="_Toc18752"/>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9451"/>
      <w:bookmarkStart w:id="132" w:name="_Toc37664057"/>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4601"/>
      <w:bookmarkStart w:id="134" w:name="_Toc37664058"/>
      <w:bookmarkStart w:id="135" w:name="_Toc515889460"/>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418665424"/>
      <w:bookmarkStart w:id="137" w:name="_Toc376936785"/>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0"/>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37664060"/>
      <w:bookmarkStart w:id="142" w:name="_Toc376936786"/>
      <w:bookmarkStart w:id="143" w:name="_Toc494439658"/>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lang w:val="zh-CN"/>
        </w:rPr>
      </w:pPr>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pStyle w:val="2"/>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大通县人民检察院安防监控及视频会议系统设备采购项目参数表</w:t>
      </w:r>
    </w:p>
    <w:p>
      <w:pPr>
        <w:jc w:val="center"/>
        <w:rPr>
          <w:rFonts w:ascii="宋体" w:hAnsi="宋体" w:cs="宋体"/>
          <w:sz w:val="22"/>
          <w:szCs w:val="22"/>
        </w:rPr>
      </w:pPr>
      <w:r>
        <w:rPr>
          <w:rFonts w:hint="eastAsia" w:ascii="宋体" w:hAnsi="宋体" w:cs="宋体"/>
          <w:color w:val="000000"/>
          <w:kern w:val="0"/>
          <w:sz w:val="28"/>
          <w:szCs w:val="28"/>
        </w:rPr>
        <w:t>1.安防监控参数表</w:t>
      </w:r>
    </w:p>
    <w:tbl>
      <w:tblPr>
        <w:tblStyle w:val="21"/>
        <w:tblW w:w="15195" w:type="dxa"/>
        <w:tblInd w:w="93" w:type="dxa"/>
        <w:tblLayout w:type="autofit"/>
        <w:tblCellMar>
          <w:top w:w="0" w:type="dxa"/>
          <w:left w:w="108" w:type="dxa"/>
          <w:bottom w:w="0" w:type="dxa"/>
          <w:right w:w="108" w:type="dxa"/>
        </w:tblCellMar>
      </w:tblPr>
      <w:tblGrid>
        <w:gridCol w:w="589"/>
        <w:gridCol w:w="2684"/>
        <w:gridCol w:w="10362"/>
        <w:gridCol w:w="862"/>
        <w:gridCol w:w="698"/>
      </w:tblGrid>
      <w:tr>
        <w:tblPrEx>
          <w:tblCellMar>
            <w:top w:w="0" w:type="dxa"/>
            <w:left w:w="108" w:type="dxa"/>
            <w:bottom w:w="0" w:type="dxa"/>
            <w:right w:w="108" w:type="dxa"/>
          </w:tblCellMar>
        </w:tblPrEx>
        <w:trPr>
          <w:trHeight w:val="27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0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技术参数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r>
      <w:tr>
        <w:tblPrEx>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半球摄像机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视频分辨率和帧率≥2560x1440、25帧/秒，视频压缩标准需支持H.265/H.264；内置GPU芯片，内置电动变焦镜头，电动变焦范围不小于3-12mm；最低照度彩色≤0.005  lx；宽动态范围≥120dB；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需具备区域入侵、越界入侵、进入区域、离开区域等功能，并可将分析目标设置为人、车辆、人和车辆三种，可对布防时间和联动报警方式进行设置；（需提供公安部所属检验机构出具的检测报告复印件证明）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具备智能分析抗干扰功能，当篮球、小狗、树叶等非人或车辆目标经过检测区域时，不会触发报警；支持声音报警功能，报警声音类型不小于10种，报警声级及报警次数可设置；（需提供公安部所属检验机构出具的检测报告复印件证明）需内置麦克风和扬声器；需支持PoE供电，具有DC12V电源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支持快捷配置功能，可在预览画面开启/关闭快捷配置页面，对曝光参数、OSD、智能资源分配模式等参数进行配置，并可一键恢复为默认设置；（需提供公安部所属检验机构出具的检测报告复印件证明）需支持像素显示功能，可实时显示监控画面上选定区域的水平像素大小和垂直像素大小；（需提供公安部所属检验机构出具的检测报告复印件证明），需具有≥1个10M/100M自适应以太网口、≥1对音频输入/输出接口、≥1对报警输入输出接口；内置红外补光灯，红外补光距离需≥30米；防护等级不低于IP66，防暴等级需≥IK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筒形摄像机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具有400万像素 CMOS传感器。内置GPU芯片。内置麦克风和喇叭。最低照度彩色：0.001 lx，黑白:0.0001 lx，最大亮度鉴别等级（灰度等级）不小于11级。需支持双码流技术，主码流最高2560x1440@25fps，子码流640x480@25fps。在2560x1440 @ 25fps下，清晰度不小于1400TVL。支持H.264、H.265、MJPEG视频编码格式，其中H.264支持Baseline/Main/High Profile。信噪比不小于62dB。具有白光补光、混合补光模式，在仅开启白光灯进行补光时，可输出彩色视频图像；支持自动和手动亮度调节模式，当在自动模式下,补光灯开启时，样机可跟据被摄物的距离自动调节补光灯亮度。支持检出两眼瞳距20像素点以上的人脸图片。支持最佳抓拍和快速抓拍2种人脸图片抓拍模式设置选项。需具备区域入侵、越界入侵、进入区域、离开区域等功能，报警检测目标可设置为人体、车辆、人体和车辆三种类别。（公安部检验报告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支持声音报警功能，报警声音类型不小于10种，报警音量及重复次数可设置。（公安部检验报告证明）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需具备智能报警防干扰功能，当在设定的检测范围内出现光线明暗变化、篮球滚动、狗行走、树摇晃时，不触发报警。（公安部检验报告证明）不低于IP67防尘防水等级。需支持DC12V供电，且在不小于DC12V±30%范围内变化时可以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7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全景摄像机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枪球一体机，可输出全景和细节两路视频图像，全景视频图像内置≥2个镜头，细节视频图像内置≥1个镜头，内置2颗GPU芯片，全景通道和细节通道均有独立的补光灯；（需提供公安部所属检验机构出具的检测报告复印件证明）</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景视频分辨率和帧率≥3840×1080@25fps，细节视频分辨率和帧率≥2560x1440@25fps，最低照度彩色≤0.0005lx，黑白≤0.0001lx；细节镜头传感器靶面尺寸需≥1/1.9英寸，支持≥25倍光学变倍，最大焦距≥145mm，支持水平及垂直电动旋转，支持水平360°连续旋转，垂直旋转范围≥90°，支持自动翻转；支持在预览画面及抓拍图片中叠加人员和车辆的移动轨迹，轨迹颜色支持红色、黄色、蓝色、绿色等颜色，轨迹末尾具有一个方向箭头，指向目标离开的方向，抓拍图片大小≤500KB；（需提供公安部所属检验机构出具的检测报告复印件证明）支持人脸人体车辆同时抓拍，人脸人体关联输出，支持对人脸、人体、车辆结构化属性特征信息提，支持全景、细节关联跟踪；全景通道可输出两个镜头无缝拼接的全景图像，拼接偏差像素≤4个像素，全景画面水平视场角≥185°，全景通道支持垂直旋转，旋转范围≥10°可调；（需提供公安部所属检验机构出具的检测报告复印件证明）具备AR标签管理功能，可对监控区域的常规点位、卡口点位、人脸点位、重点道路、重点场所等进行标签标注，最多可添加≥500个标签，当云台明显抖动、转动、或进行镜头变倍时，标签应跟随标定的目标物移动，并在画面中与目标物保持相对静止；（需提供公安部所属检验机构出具的检测报告复印件证明）支持备声音警戒功能，可设置≥10种警戒音、提示音、自定义语音，报警次数≥1～50次可设；可通过区域入侵侦测、越界侦测、进入区域侦测、离开区域侦测等报警事件，联动声音报警；（需提供公安部所属检验机构出具的检测报告复印件证明）支持添加≥20个物体标签，可开启或关闭标签显示功能，显示透明度可配置，添加的物体标签可在全景和细节画面中显示，细节画面的标签不会跟随云台的旋转而发生偏移；（需提供公安部所属检验机构出具的检测报告复印件证明）具有≥1对音频输入/输出接口、≥5路报警输入、≥2路报警输出、≥1个RS485接口、≥1个存储卡接口，内置红外补光灯，补光距离≥200m，工作温度范围≥-30℃-65℃，防水防尘等级≥IP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6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网络存储设备</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存储主机，可接入硬盘≥48块，配置不少于48块8T企业级硬盘，≥8GB内存，内存支持扩展到≥256GB，≥4个千兆以太网口，支持网口扩展，≥4个USB3.0接口，不低于1+1冗余电源；控制单元≥2颗64位多核处理器，支持1TB、2TB、4TB、6TB、8TB、10TB、12TB、14TB、16TB、18TB、20TB等容量硬盘，支持氦气硬盘和空气硬盘，支持硬盘交错/分时启动；（需提供公安部所属检验机构出具的检测报告复印件证明）支持RAID0、1、5、6、10、50，支持全局、局部等多种热备选择，支持坏盘自动重构；支持当磁盘处于非工作状态下，进入休眠状态，进行读写操作时可被唤醒，增加磁盘寿命；支持智能风扇调速，支持智能CPU调频等功能；接入带宽≥2000Mbps，支持对视音频、图片、智能流进行混合直存，无须存储服务器和图片服务器的参与，平台服务器宕机时，存储业务正常；支持纠删码技术，支持多台存储设备组建网络RAID，允许每组RAID中不低于任意12个或以内磁盘发生故障，数据不丢失，存储服务不中断，允许每组RAID中任意≥13块硬盘发生故障，业务不中断；（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根据业务需要设置重构速度，至少具有低、中、高、全速等重构速度配置，支持显示重构速度，当RAID内某一块硬盘发生故障，热备盘替换或更换该硬盘时，RAID重构可自动进行，当RAID处于降级或重构状态下，不影响数据写入，支持损坏的RAID按照RAID损坏等级进行重构；（需提供公安部所属检验机构出具的检测报告复印件证明）支持灯光报警，支持按照故障紧急程度分级报警，不同级别闪烁不同颜色灯，灯闪烁频率、时长可设；支持系统盘更换，更换系统盘并配置好信息后，再次开机无需人工介入，业务自动恢复，不丢历史数据；（需提供公安部所属检验机构出具的检测报告复印件证明）支持硬盘体检功能，支持查看硬盘体检报告、硬盘深度体检、磁盘档案等，支持单个或批量硬盘的报告的下载，支持按时间显示硬盘的温度、坏扇区、振动变化等趋势的曲线图，支持输出硬盘体检报告，支持查看硬盘体检的历史记录、硬盘健康状态，包括故障、亚健康、健康等；（需提供公安部所属检验机构出具的检测报告复印件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LCD拼接屏</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55英寸液晶拼接屏，对角线尺寸≥55英寸，物理分辨率≥1920×1080，响应时间≤8ms；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物理拼缝≤3.5mm，亮度≥500cd/㎡，对比度≥1200:1，水平、垂直视场角均≥178°；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输入接口≥1个HDMI、≥1个DVI、≥1个VGA、≥1个DP，输出接口≥1个HDMI，可选配HDbaseT等接口；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图像显示灰度等级提升技术，使8bit液晶屏实现≥10bit的显示效果，灰度等级从256级增加到≥1024级，画面层次丰富、色彩逼真；（需提供首页具有CNAS标识的检测报告复印件并加盖制造商鲜章证明）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校正后色坐标误差≤±0.001，亮度误差≤±10nit,0-255灰阶中32灰阶以上，每阶之间色温误差≤±500K；（需提供首页具有CNAS标识的检测报告复印件并加盖制造商鲜章证明）支持以像素点为单位进行矫正，能够消除屏幕局部亮暗不均现象，屏幕所有像素点亮度均一性≥80%；（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支持不低于十级灰阶色度、亮度校正的功能，使各灰阶整墙一致性≥80%，支持屏幕边缘渐进修正功能，修正屏间边缘颜色过渡不均匀；（需提供首页具有CNAS标识的检测报告复印件并加盖制造商鲜章证明）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支持检测并匹配与输入信源相同的颜色空间的功能，使显示画面不丢失暗阶、亮阶细节；（需提供首页具有CNAS标识的检测报告复印件并加盖制造商鲜章证明）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支持不少于R、G、B、C、M、Y、FLESH、Y-G、C-G、F、F-R、F-LIP、F-Y-HAIR、F-MEAT、F-DARK独立调节功能，使画面颜色显示更加准确；（需提供首页具有CNAS标识的检测报告复印件并加盖制造商鲜章证明）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拼接屏支架</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大屏线缆</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HDMI电缆,7m,黑色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r>
      <w:tr>
        <w:tblPrEx>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解码器</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设备采用嵌入式架构，专用Linux系统，机架式设计，高度≤2U；具有≥10个HDMI输出接口、≥1个VGA输入接口、≥1个DVI-I输入接口、≥2个千兆网口、≥2个光口、≥1路语音输入、≥1路语音输出接口，≥1个RS232接口，≥1个RS485接口，≥6路报警输入、≥6路报警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输出分辨率支持1920×1080、3840×2160；支持画面分割、拼接、开窗漫游功能，支持1、2、4、6、8、9、10、12、16、25、36等画面分割显示，支持将显示窗口在多个显示屏间进行拖动或跨屏显示，支持调节显示窗口大小；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支持ONVIF、GB28181协议接入设备，支持RTP\RTSP协议进行预览；支持H.265、H.264、MPEG4、MJPEG等视频编码格式，支持TS、PS、RTPTS等封装格式，支持AAC、G.722、G.711A、G.726、G.711U等音频格式；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能力支持≥10路4000×3000（20fps）、或≥20路4096×2160（25fps）、或≥20路3840×2160（25fps）、或≥30路为2592×1944（30fps）、或≥80路1920×1080（30fps）、或≥160路1280×720（30fps）分辨率的H.264、H.265、MPEG4视频图像解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设备抓屏软件，将远程电脑桌面实时解码上墙显示，画面帧率应支持≥30fps，支持同时抓取≥8个任务上墙、≥8个4K信号，不消耗CPU性能，支持在电视墙进行8画面分割同时显示，支持对桌面进行整屏、单窗口、自定义区域抓屏上墙；（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支持PC软件客户端、WEB 浏览器客户端、平台客户端、IPAD、可视化触控平台方式访问管理；（需提供公安部所属检验机构出具的检测报告复印件证明）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支持对输入的视频画面进行90°、180°、270°旋转显示；支持回字形拼接，支持对解码的IPC输出的画面进行旋转，支持90°、180°左旋和90°、180°右旋；（需提供公安部所属检验机构出具的检测报告复印件证明）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前端接入智能摄像机，直连前端人脸检测设备，可实时展示人脸检测结果，包括年龄、性别、是否戴眼镜等人脸属性信息，属性可直接叠加画面显示；（需提供公安部所属检验机构出具的检测报告复印件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综合安防平台</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最大支持用户200000个，最大支持500个用户并发登录请求以及5000个用户同时在线（以检测报告为准）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⑤人脸采集还可以通过h5页面进行采集（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支持全景摄像机，实现360度的全景监控，可以对全景区域内的多个目标进行穿越警戒面、区域入侵、进入区域、离开区域行为的检测（以检测报告为准）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支持视频画面叠加水印，包括视频预览、录像回放、即时回放、录像剪辑、紧急录像和录像下载时叠加 （以检测报告为准）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支持人脸建模的大规模批量下发；支持初始化全量下发、增量异动下发 （以检测报告为准）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支持可设置门禁权限为长期有效；权限时间支持精确到秒；门禁权限手动冻结、解冻；自动清理长期未使用的门禁权限 （以检测报告为准）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支持人员通行记录区分：内部人员、外部人员、陌生人员（以检测报告为准）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2U双路标准机架式服务器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CPU：≥2颗intel至强系列处理器，核数≥10核，主频≥2.2GHz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内存：≥64G D下·DR4，16根内存插槽，最大支持扩展至2TB内存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硬盘：≥4块600G 10K 2.5寸 SAS硬盘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阵列卡：SAS_HBA卡, 支持RAID 0/1/10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PCIE扩展：最大可支持6个PCIE扩展插槽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网口：≥2个千兆电口，≥2个万兆光口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其他接口：1个RJ45管理接口，后置2个USB 3.0接口，前置2个USB2.0接口，1个VGA接口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电源：标配550W（1+1）高效铂金CRPS冗余电源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全结构化球机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网络高清智能球型摄像机，最大分辨率和帧率≥2560×1440@25fps，支持H.265、H.264编码，最低照度彩色≤0.0005lx，黑白≤0.0001lx；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传感器靶面尺寸需≥1/1.9英寸，支持≥40倍光学变倍，最大焦距≥240mm，支持水平及垂直电动旋转，支持水平360°连续旋转，垂直旋转范围≥90°，支持自动翻转；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支持人脸、人体、车辆同时抓拍，支持人脸、人体关联输出，支持对人脸、人体、车辆结构化属性特征信息提取；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对镜头前盖玻璃进行加热，支持倍率自动调整功能，通过标定校准可检测当前镜头方向与地平面夹角，并根据夹角变化自动调整倍率；（需提供公安部所属检验机构出具的检测报告复印件证明）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平台下发布控的人脸及人体信息、布控时间等参数，检测到布控名单中的人脸或人体信息时，可联动抓拍、跟踪、分析、显示及上传人脸及人体的属性信息，并向平台上传报警信息；（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设备可根据环境光照度自动切换黑白/彩色模式，切换灵敏度不低于1-7档可设，灵敏度为最高档时，切换时间≤2s；（需提供公安部所属检验机构出具的检测报告复印件证明）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运动结束静止时，其水平和垂直角度方向受到外力作用发生偏移时，能够检测角度改变并产生报警信息，报警信息可在OSD上叠加，水平和垂直角度方向均可以自动恢复到偏移前的位置；（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运动位置矫正功能，云台在转动过程中，当由于外力导致云台发生失步，转动结束后镜头的实际位置与理想位置存在偏差时，可自动对位置进行矫正，矫正过程中，如果对云台进行手动控制，可自动停止矫正行为，同时响应控制命令；（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具有≥1对音频输入/输出接口、≥5路报警输入、≥2路报警输出、≥1个RS485接口、≥1个存储卡接口，内置红外补光灯，补光距离≥240m，工作温度范围≥-30℃-65℃，防水防尘等级≥IP67。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核心交换机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可用千兆电接口数量≥24，复用的千兆光口数量≥8，非复用万兆光接口数量≥4，支持1个扩展槽位，支持40G（QSFP+）端口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支持独立的console管理串口，≥1个带外管理口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交换容量：756Gbps/7.56Tbps，转发性能：222Mpps/396Mpps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MAC地址表≥64K，ARP表≥32K，端口MAC地址缓存能力≥2048个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24口POE交换机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可用千兆PoE电接口数量≥24，千兆电口数量≥1，千兆光口数≥1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交换容量≥52 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转发性能≥38.688 Mpps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16口POE交换机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2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可用千兆PoE电接口数量≥16，千兆电口数量≥1，千兆光口数≥1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交换容量≥36 Gbps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转发性能≥26.784 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支持自适应802.3af/at供电标准，支持PoE最大输出功率≥225 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操作电脑</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支持多显卡调度，支持在同一应用中同时使用双显卡工作， 支持视频客户端实现画中画显示，支持将2个IPC画面合成1个画面，支持在1个大画面叠加小画面；（需提供公安部所属检验机构出具的检测报告复印件证明）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播放多种视频格式，支持不少于全屏、单屏、2分屏、4分屏、9分屏、16分屏播放，支持不低于16个窗口同时1或2倍速播放，或9个窗口同时4倍速播放，或4个窗口同时8倍速或16倍速播放；（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不低于i5 10400处理器，内存≥8GB，≥128GB SSD+1TB HDD硬盘，≥21.5英寸显示器，不低于2G独显，不大于12L立式机箱，含光驱、键盘、鼠标。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7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人脸识别门禁</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人脸门禁一体机，设备采用≥7英寸触摸显示屏，屏幕分辨率≥1024*600，可显示软件界面及操作提示，设备实时检测最大人脸，具有人脸框提示设计，方便校准。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不少于2个摄像头（1个可见光摄像头+1个红外摄像头），码流支持≥1920×1080@25帧/秒，适应强光、逆光、弱光等条件下的人脸识别，支持通过人脸及人体测光，快速调节图像亮度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设备支持≥10000张人脸白名单、≥50000张卡片，≥150000条本地出入记录，支持通过韦根接口外接门禁主机或韦根读卡器；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屏幕采用不低于水滴屏全贴合工艺，玻璃屏占比≥90%，屏幕流明度≥600cd/m2，具有指示灯支持固定频率的亮起和熄灭（呼吸状态）及识别状态提示；（需提供公安部所属检验机构出具的检测报告复印件证明）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前面板防破坏能力不低于 IK07 ，后壳防破坏能力不低于IK10 ，防护等级不低于IP66，支持选择嵌入式、壁挂、桌面、立式、人员通道安装；（需提供公安部所属检验机构出具的检测报告复印件证明）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支持刷卡+密码、指纹+密码、指纹+刷卡、人脸+指纹、人脸+密码、人脸+刷卡、指纹+刷卡+密码、人脸+指纹+刷卡、人脸+密码+指纹等复合认证；（需提供公安部所属检验机构出具的检测报告复印件证明）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人脸1:1对比平均时间≤120ms ，认假率≤0.0002% ，拒真率≤1%，准确率≥99%；（需提供公安部所属检验机构出具的检测报告复印件证明）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具有≥1个RS485、≥1个wiegand 、≥1个typeC、≥1个门磁、≥2个报警输入、≥1个防拆、≥1个开门按钮、≥1个电锁、≥1个报警输出，内置扬声器，工作温度范围不低于-30℃～60℃；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室内机电源（带机箱）</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门控安全模块</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通讯方式：RS485与门禁一体机通讯；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硬件接口：不低于RS485*1、韦根*1、电锁输出*1、门磁输入*1、开门按钮*1、报警输入*2，报警输出*1、消防信号输入*1；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具有1路硬件消防联动干接点接口，可硬联动门锁打开。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具有防拆报警功能；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工作电压：DC 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USB相机</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200万USB电视摄像机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内置麦克风，拾音清晰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支持自动电子增益功能，亮度自适应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支持标准USB 2.0接口，免驱设计，即插即用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支持Type-A接口，标准USB2.0协议，免驱设计，即插即用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闭门器</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适装门重：60-85KG 适装门宽 ≤ 1100mm 闭门力量：EN4 开门角度 ≤ 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开门按钮</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结构：塑料面板；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性能：最大耐电流1.25A，电压250V；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输出：常开；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类型：适合埋入式电器盒使用；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280Kg单门磁力锁</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最大静态直线拉力：280kg ± 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280Kg磁力锁LZ支架</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磁力锁配套支架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辅材</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系统集成</w:t>
            </w:r>
          </w:p>
        </w:tc>
        <w:tc>
          <w:tcPr>
            <w:tcW w:w="10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pStyle w:val="2"/>
        <w:rPr>
          <w:rFonts w:ascii="宋体" w:hAnsi="宋体" w:cs="宋体"/>
          <w:sz w:val="22"/>
          <w:szCs w:val="22"/>
        </w:rPr>
      </w:pPr>
    </w:p>
    <w:p>
      <w:pPr>
        <w:rPr>
          <w:rFonts w:ascii="宋体" w:hAnsi="宋体" w:cs="宋体"/>
          <w:sz w:val="22"/>
          <w:szCs w:val="22"/>
        </w:rPr>
      </w:pPr>
    </w:p>
    <w:p>
      <w:pPr>
        <w:pStyle w:val="2"/>
        <w:rPr>
          <w:rFonts w:ascii="宋体" w:hAnsi="宋体" w:cs="宋体"/>
          <w:sz w:val="22"/>
          <w:szCs w:val="22"/>
        </w:rPr>
      </w:pPr>
    </w:p>
    <w:p>
      <w:pPr>
        <w:rPr>
          <w:rFonts w:ascii="宋体" w:hAnsi="宋体" w:cs="宋体"/>
          <w:sz w:val="22"/>
          <w:szCs w:val="22"/>
        </w:rPr>
      </w:pPr>
    </w:p>
    <w:p>
      <w:pPr>
        <w:pStyle w:val="2"/>
        <w:rPr>
          <w:rFonts w:ascii="宋体" w:hAnsi="宋体" w:cs="宋体"/>
          <w:sz w:val="22"/>
          <w:szCs w:val="22"/>
        </w:rPr>
      </w:pPr>
    </w:p>
    <w:p>
      <w:pPr>
        <w:rPr>
          <w:rFonts w:ascii="宋体" w:hAnsi="宋体" w:cs="宋体"/>
          <w:sz w:val="22"/>
          <w:szCs w:val="22"/>
        </w:rPr>
      </w:pPr>
    </w:p>
    <w:p>
      <w:pPr>
        <w:pStyle w:val="2"/>
      </w:pPr>
    </w:p>
    <w:p>
      <w:pPr>
        <w:jc w:val="center"/>
        <w:rPr>
          <w:rFonts w:ascii="宋体" w:hAnsi="宋体" w:cs="宋体"/>
          <w:sz w:val="28"/>
          <w:szCs w:val="28"/>
        </w:rPr>
      </w:pPr>
      <w:r>
        <w:rPr>
          <w:rFonts w:hint="eastAsia" w:ascii="宋体" w:hAnsi="宋体" w:cs="宋体"/>
          <w:sz w:val="28"/>
          <w:szCs w:val="28"/>
        </w:rPr>
        <w:t>2.视频会议系统与同步录音录像系统参数表</w:t>
      </w:r>
    </w:p>
    <w:tbl>
      <w:tblPr>
        <w:tblStyle w:val="21"/>
        <w:tblW w:w="14625" w:type="dxa"/>
        <w:tblInd w:w="93" w:type="dxa"/>
        <w:tblLayout w:type="autofit"/>
        <w:tblCellMar>
          <w:top w:w="0" w:type="dxa"/>
          <w:left w:w="108" w:type="dxa"/>
          <w:bottom w:w="0" w:type="dxa"/>
          <w:right w:w="108" w:type="dxa"/>
        </w:tblCellMar>
      </w:tblPr>
      <w:tblGrid>
        <w:gridCol w:w="640"/>
        <w:gridCol w:w="2650"/>
        <w:gridCol w:w="8530"/>
        <w:gridCol w:w="876"/>
        <w:gridCol w:w="1929"/>
      </w:tblGrid>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8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r>
      <w:tr>
        <w:tblPrEx>
          <w:tblCellMar>
            <w:top w:w="0" w:type="dxa"/>
            <w:left w:w="108" w:type="dxa"/>
            <w:bottom w:w="0" w:type="dxa"/>
            <w:right w:w="108" w:type="dxa"/>
          </w:tblCellMar>
        </w:tblPrEx>
        <w:trPr>
          <w:trHeight w:val="330"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办案工作区同步录音录像系统</w:t>
            </w:r>
          </w:p>
        </w:tc>
      </w:tr>
      <w:tr>
        <w:tblPrEx>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监控半球摄像机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视频分辨率和帧率≥1920×1080、25帧/秒，视频压缩标准需支持H.265/H.264；传感器靶面尺寸需≥1/2.8英寸，内置GPU芯片，内置电动变焦镜头，电动变焦范围不小于3-12mm；最低照度彩色≤0.002  lx；宽动态范围≥120dB；需具备区域入侵、越界入侵、进入区域、离开区域等功能，并可将分析目标设置为人、车辆、人和车辆三种，可对布防时间和联动报警方式进行设置；（需提供公安部所属检验机构出具的检测报告复印件证明）需具备智能分析抗干扰功能，当篮球、小狗、树叶等非人或车辆目标经过检测区域时，不会触发报警；（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需支持快捷配置功能，可在预览画面开启/关闭快捷配置页面，对曝光参数、OSD、智能资源分配模式等参数进行配置，并可一键恢复为默认设置；（需提供公安部所属检验机构出具的检测报告复印件证明）需支持像素显示功能，可实时显示监控画面上选定区域的水平像素大小和垂直像素大小；（需提供公安部所属检验机构出具的检测报告复印件证明）需具有≥1个10M/100M自适应以太网口、≥1对音频输入/输出接口、≥1对报警输入输出接口；需内置麦克风和扬声器；需支持PoE供电，具有DC12V电源输出接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内置红外补光灯，红外补光距离需≥30米；防护等级不低于IP66，防暴等级需≥IK10。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3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全景摄像机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智能网络半球摄像机，最大分辨率和帧率≥2560×1440@25fps，内置电动变焦镜头，电动变焦范围≥3-12mm，最低照度需满足彩色≤0.0005  lx，黑白≤0.0001  lx，宽动态能力综合评价得分≥140；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支持不少于3种智能资源切换，支持同时检测并且抓拍≥30张人脸，支持对人脸进行检测、跟踪、抓拍、评分、筛选输出最优图片；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图像传感器不低于1/1.8英寸CMOS芯片，像元尺寸≥3.0um×3.0um，内置CPU、GPU、NPU芯片或者集CPU、GPU、NPU于一体的深度学习算法芯片；（需提供公安部所属检验机构出具的检测报告复印件证明）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固件安全功能，支持硬件微引导程序OTP写入保护机制，uboot的FLASH存储空间具有防篡改功能，非法修改FLASH中的内容，支持异常报错，uboot无法正常启动；（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PoE供电，具有DC12V电源输出接口，内置存储卡插槽，不少于1个RS-485、2个麦克风、1个扬声器、1个音频输入、1个音频输出、2个报警输入、2个报警输出接口，红外补光距离≥30米，防护等级≥IP67，防暴等级≥IK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特写摄像机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视频输出支持≥2560×1440@60fps（以公安部检验报告为准）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支持≥4倍光学变倍，≥16倍数字变倍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支持最低照度可达彩色0.006Lux，黑白0.0003Lux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球机应具备本机存储功能，支持SD卡热插拔，最大支持256GB（以公安部检验报告为准）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具备较好的电源适应性，电压在DC12V±25%范围内变化时，设备可正常工作。（以公安部检验报告为准）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支持单场景同时检出不少于30张人脸图片，并支持面部跟踪。（以公安部检验报告为准）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支持IK10防暴等级。（公安部型式检验报告证明）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支持人数异常检验，可通过IE浏览器在监视画面中设置1个检测区域，当检测区域中告警人数达到设置的阈值且满足按照报警模式设置的条件时，可触发报警。（以公安部检验报告为准）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支持剧烈运动检验，可通过IE浏览器在监视画面中设置1个检测区域，当检测区域中人员剧烈运动时可触发报警，灵敏度可设。（以公安部检验报告为准）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支持检出两眼瞳距20像素点以上的人脸图片，人脸检出率不小于99%。（以公安部检验报告为准）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支持攀高检测，可通过IE浏览器设置最多9段的折线段，当人员攀高超过设置的折线段高度时可触发报警。（以公安部检验报告为准）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当通过IE浏览器手动点击或框选预览画面中的人脸时，设备能通过PTZ转动将人脸置于画面中心，并对人脸进行抓拍。（以公安部检验报告为准）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电源适配器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DC12V电源适配器</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全向拾音器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灵敏度 -41±1dB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动态范围 ≥104dB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过载声压 ≥114dB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信噪比 ≥85dB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拾音范围 R=5米（1kHz@60dB SPL SN≥30dB）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频率响应 150Hz～20KHz（1kHz@85dB SPL）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失真度 ≤1%（1kHz@85dB SPL）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采样率 44.1k（AD/DA处理器）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信号处理 数字音频处理器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音频算法 ANC降噪算法</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防暴可视对讲报警分机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采用嵌入式Linux操作系统,高性能嵌入式SOC处理器，系统运行稳定可靠；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设备支持网口链路、无线链路；PSTN电话链路传输；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支持GB/T28181协议接入；设备支持不低于2路音频输入和2路音频输出；音频输入和音频输出关系可自由配置，内部含高灵敏度麦克风，拾音距离应达到10米，语音清晰，内置3W扬声器；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支持同时进行多方实时对讲通话，多台前端设备与多台中心管理机实时多方通话；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支持将音视频同步存储到设备SD卡中，当在双向对讲通话时录像存储为双向通过混音的音视频复合流；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设备前置≥200万CMOS高清摄像头；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防护等级不低于IP65；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工作环境:温度-40℃～70℃,湿度小于93%环境下稳定工作</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房间状态智能显示终端</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液晶屏 ≥10.1英寸TFT LCD触控屏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分辨率 ≥1024*600显示分辨率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网络接口 1个，100M/1000M自适应以太网口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Wifi 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USB接口 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 DC12V/POE供电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功耗 ≤15W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工作温度 0℃--＋45℃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工作湿度 10％--90％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电子指纹签名一体机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通道式安检门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6防区，数码管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功耗 ＜15W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工作温度 -25℃─55℃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工作湿度 95%，无冷凝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外接电源 187V～242V，50/60Hz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超高检测灵敏度：可检测到半个回形针大小的金属，不会漏报和串报。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智能分辨：能区分铁磁质和非铁磁质金属物品。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多区域独立探测：≥6个独立探测区域，每个区域300级灵敏度等级调节。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多区位报警功能：人体不同位置的多个金属通过安检门时同时报警，并可以指示多个金属的位置。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开机自诊断功能：开机时对系统进行自检，并显示检测结果。</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16口交换机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网管型交换机，≥16个千兆电口；支持存储转发，交换容量≥32Gbps，包转发率≥23Mpps；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支持通过管理平台和手机APP对交换机进行远程控制、状态查看、系统拓扑展示、管理、远程升级、远程重启；（需提供封面具有CNAS标识的检测报告复印件并加原厂印章证明）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管理平台对交换机间不同的连接方式进行系统拓扑识别，至少包括网线连接、光纤连接、无线连接；支持通过管理平台展示交换机间链路详情，包括传输速率、链路两端设备信息和链路带宽告警展示；（需提供封面具有CNAS标识的检测报告复印件并加原厂印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管理平台和手机APP在网络拓扑中展示交换机详情，至少包括基本信息、交换机性能使用信息、交换机面板状态、端口信息；支持通过管理平台和手机APP在系统异常时实时推送交换机告警信息并展示告警内容；（需提供封面具有CNAS标识的检测报告复印件并加原厂印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管理平台对交换机进行端口远距离传输配置，最远传输距离≥240米；支持对交换机进行高优先级端口配置，处于高优先级端口的数据会被优先转发。（需提供封面具有CNAS标识的检测报告复印件并加原厂印章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网络电源时序器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可视对讲报警主机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紧急报警管理机，≥ 10寸触摸屏集成视频查看、双向对讲、呼叫前端等功能，用于管理前端一键求助报警产品。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 4路开关量输入，≥ 4路继电器输出，≥ 1路3.5mm音频输入，≥ 1路3.5mm音频输出；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支持1080P视频显示，支持H.264/H.265解码，支持最大128G Micro SD卡存储；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话柄、鹅颈话筒杆可拆卸，支持DC12V、PoE供电；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HDMI和VGA接口扩展显示关联视频通道，支持前端设备呼叫中心管理机时，通过呼叫转移功能将呼叫信息转移到其他中心后端管理机上；并支持将呼叫信息通过电话网关转接至座机或手机终端。（需提供公安部所属检验机构出具的检测报告复印件证明）</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5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高清解码器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解码设备采用嵌入式架构，专用Linux系统，机架式设计，高度≤2U；</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设备具有≥1个HDMI视频输入接口，≥1个DVI-I视频输入接口、≥4个HDMI输出接口、≥4个音频输出，视频输出分辨率支持1920×1080、3840×2160；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支持开窗、窗口漫游功能，支持1、2、4、6、8、9、10、12、16画面分割显示，可通过客户端软件将显示窗口在多个显示屏间进行拖动或跨屏显示，并可调节显示窗口大小；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支持ONVIF、GB28181协议接入设备，支持RTP\RTSP协议进行预览；支持H.265、H.264、MPEG4、MJPEG等视频编码格式，支持TS、PS、RTPTS等封装格式，支持AAC、G.722、G.711A、G.726、G.711U等音频格式；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能力支持≥2路8000×3000（25fps）、或≥8路3840×2160（25fps）、或≥12路为2592×1944（30fps）、或≥32路1920×1080（30fps）分辨率的H.264、H.265、MPEG4视频图像解码输出；（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设备抓屏软件，将远程电脑桌面实时解码上墙显示，画面帧率应支持≥30fps，支持同时抓取≥8个任务上墙、≥8个4K信号，不消耗CPU性能，支持在电视墙进行8画面分割同时显示，支持对桌面进行整屏、单窗口、自定义区域抓屏上墙；（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每个输出接口支持任意开窗、漫游，任意一路信号显示画面可进行任意漫游、缩放，可在单屏或者多屏的任意位置上叠加显示，图层最大不少于64层；（需提供公安部所属检验机构出具的检测报告复印件证明）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支持回字形拼接，支持对解码的IPC输出的画面进行旋转，支持90°、180°左旋和90°、180°右旋；（需提供公安部所属检验机构出具的检测报告复印件证明）</w:t>
            </w:r>
            <w:r>
              <w:rPr>
                <w:rFonts w:hint="eastAsia" w:ascii="宋体" w:hAnsi="宋体" w:cs="宋体"/>
                <w:color w:val="000000"/>
                <w:kern w:val="0"/>
                <w:sz w:val="22"/>
                <w:szCs w:val="22"/>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专用监视器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显示尺寸：42.5 inch；响应时间：8 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像素间距：0.490 mm × 0.490 mm；亮度：450 cd/㎡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连续使用时间：7 × 24 H；背光源类型：D-LED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物理分辨率：1920 × 1080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为保证产品显示效果良好，监视器需满足灰度等级≥16级；在95K Lux亮度下能正常工作。提供封面首页具有CNAS、CMA、ilac-MRA标识检测报告复印件。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监视器内置黑白精显模式，可将彩色信号转换成黑白灰度模式并提高图像细节辨认能力。提供封面首页具有CNAS、CMA、CAL标识的第三方检测报告复印件。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监视器可外接手势摄像头，根据手势动作，完成识别开关机、调用屏幕菜单、设置屏幕参数等显示单元控制操作。提供封面首页具有CNAS、CMA、CAL标识的第三方检测报告复印件。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监视器待机功耗≤0.3W。提供封面首页具有CNAS、CMA、CAL标识的第三方检测报告复印件</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具有调整γ曲线的功能。提供封面首页具有CNAS、CMA、CAL标识的第三方检测报告复印件。</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监视器支持软关机记忆功能，若屏幕在断电前处于待机状态，下一次上电后，仍然处于待机状态。提供封面首页具有CNAS、CMA、CAL标识的第三方检测报告复印件。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显示单元具备透雾处理功能，显示单元具备智能透雾处理技术，支持9个等级的去雾处理能力。提供封面首页具有CNAS、CMA、CAL标识的第三方检测报告复印件。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具备智能光感护眼功能，显示单元可自动识别环境光强弱，根据环境光变化调节屏幕亮度。提供封面首页具有CNAS、CMA、CAL标识的第三方检测报告复印件。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刷卡密码门禁一体机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人脸门禁一体机，设备采用≥7英寸触摸显示屏，屏幕分辨率≥1024*600，可显示软件界面及操作提示，设备实时检测最大人脸，具有人脸框提示设计，方便校准。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不少于2个摄像头（1个可见光摄像头+1个红外摄像头），码流支持≥1920×1080@25帧/秒，适应强光、逆光、弱光等条件下的人脸识别，支持通过人脸及人体测光，快速调节图像亮度，设备支持≥10000张人脸白名单、≥50000张卡片，≥150000条本地出入记录，支持通过韦根接口外接门禁主机或韦根读卡器；屏幕采用不低于水滴屏全贴合工艺，玻璃屏占比≥90%，屏幕流明度≥600cd/m2，具有指示灯支持固定频率的亮起和熄灭（呼吸状态）及识别状态提示；（需提供公安部所属检验机构出具的检测报告复印件证明）前面板防破坏能力不低于 IK07 ，后壳防破坏能力不低于IK10 ，防护等级不低于IP66，支持选择嵌入式、壁挂、桌面、立式、人员通道安装；（需提供公安部所属检验机构出具的检测报告复印件证明）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人脸1:1对比平均时间≤120ms ，认假率≤0.0002% ，拒真率≤1%，准确率≥99%；（需提供公安部所属检验机构出具的检测报告复印件证明）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 IC 卡识读，支持配置防卡片复制安全机制，第三方卡片或复制卡片可屏蔽识读；支持识读模块的扩展功能，形成一体化识别终端，扩展模块支持二维码、蓝牙和指纹识读，支持type C热插拔连接；（需提供公安部所属检验机构出具的检测报告复印件证明）支持刷卡+密码、指纹+密码、指纹+刷卡、人脸+指纹、人脸+密码、人脸+刷卡、指纹+刷卡+密码、人脸+指纹+刷卡、人脸+密码+指纹等复合认证；（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具有≥1个RS485、≥1个wiegand 、≥1个typeC、≥1个门磁、≥2个报警输入、≥1个防拆、≥1个开门按钮、≥1个电锁、≥1个报警输出，内置扬声器，工作温度范围不低于-30℃～60℃；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密码刷卡器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门禁读卡器，不少于12个物理按键，支持RS485、Wiegand协议，不低于IP65。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单门磁力锁</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最大静态直线拉力：280kg ± 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闭门器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适装门重：60-85KG 适装门宽 ≤ 1100mm 闭门力量：EN4 开门角度 ≤ 180°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5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管理平台服务器</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2U双路标准机架式服务器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CPU：≥2颗intel至强系列处理器，核数≥10核，主频≥2.2GHz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内存：≥128G DDR4，16根内存插槽，最大支持扩展至2TB内存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硬盘：≥4块480G SSD 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阵列卡：SAS_HBA卡, 支持RAID 0/1/10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PCIE扩展：最大可支持6个PCIE扩展插槽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网口：≥2个千兆电口，2个万兆光口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其他接口：≥1个RJ45管理接口，后置2个USB 3.0接口，前置2个USB2.0接口，1个VGA接口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电源：标配550W（1+1）高效铂金CRPS冗余电源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检察专用综合管理平台软件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支持在平台门户界面中以标签页的方式显示打开的应用，最多可打开20个标签页</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支持查看平台目录组织树及组织下的资源点位，可进行点位收藏、播放、回放及资源树定位</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支持创建收藏夹分组；支持多层分组，各层分组支持修改、删除、分享等操作</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支持在预览界面对单个画面抓图或对全部画面分别抓图并保存至本地，支持对所抓图片利用自带图片编辑工具标注名称、类型、备注等信息</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支持预览画面电子放大，具有开启/关闭音频播放设置选项，实时预览支持切换主码流或子码流</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视频预览和录像回放支持1×1、2×2、3×3画面布局，支持自定义布局，支持画面自适应宽高比例（16:9和4:3自动切换）和全屏显示</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支持按刻录打印一体机任务名称、刻录时间段、刻录状态检索刻录任务；支持查看刻录任务详情，包括基本信息、刻录进度、错误信息、光盘信息</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支持取消刻录任务；支持对已结束、已取消、异常结束的任务进行删除</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支持通过案件名称、案件编号、审讯对象、审讯类型、审讯地点、审讯开始时间对审讯记录进行检索</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支持查看审讯记录详情，包括案件名称、案件编号、承办人、审讯地点、被讯问对象、审讯时间等信息</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支持审讯记录附件进行增加、删除、下载操作</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支持入区登记信息的录入/编辑；支持人证比对设备读取外来人员的身份证件信息及现场人脸抓拍信息；其它办案信息手动编辑录入</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5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审讯主机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混合模式下，最大可接入4路HD-SDI/ 模拟视频+4 路数字网络视频信号（分 辨率为1920 ×1080）+1路HDMI视频信号（分辨率为1920 ×1080）+1路VGA 视频信号（分辨率 为 1920 ×1080）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支持画中画功能，支持1大7小、1大5小、1大4小、1大3小、1大2小、1大1小等多种画中画模式，画中画大小和位置任意调整。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支持6个SATA口，支持4盘位硬盘接入，每个SATA口容量支持最大8T硬盘，支持raid0、raid1、raid5、raid10（以检测报告为准）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支持单通道双光盘同时刻录、双通道双光盘刻录、单通道双光盘轮流刻录等功能；支持按光盘时间和按审讯码率两种刻录方式，刻录时间可选1至12小时（以检测报告为准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7寸触摸屏，可实现实时视频预览、主机硬盘录像回放及光盘录像回放；可实现显示主机刻录状态、硬盘信息、刻录剩余时间、内存使用率、异常检测标识等；支持在液晶屏上控制设备，完成一键刻录，参数配置等操作。（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异常检测功能，支持审讯刻录异常、硬盘错误、网络断开、IP冲突、录像异常、非法访问的异常报警检测与上传（以检测报告为准）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设备最大接入带宽256Mbps，IPC主码流接入支持1280×720、1920×1080、2560×1440和2560×1920分辨率。（以检测报告为准）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支持光盘不间断刻录，在更换光盘时设备具有缓存机制，支持刻录光盘出错后，放入新光盘实时追刻，确保数据不丢失（以检测报告为准）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一键式操作，支持一键式开始/结束审讯，开启/结束录像，切换画面（以检测报告为准）</w:t>
            </w:r>
          </w:p>
          <w:p>
            <w:pPr>
              <w:pStyle w:val="2"/>
              <w:rPr>
                <w:rFonts w:ascii="宋体" w:hAnsi="宋体" w:cs="宋体"/>
                <w:color w:val="000000"/>
                <w:kern w:val="0"/>
                <w:sz w:val="22"/>
                <w:szCs w:val="22"/>
                <w:lang w:bidi="ar"/>
              </w:rPr>
            </w:pPr>
            <w:r>
              <w:rPr>
                <w:rFonts w:hint="eastAsia" w:ascii="宋体" w:hAnsi="宋体" w:cs="宋体"/>
                <w:color w:val="000000"/>
                <w:kern w:val="0"/>
                <w:sz w:val="22"/>
                <w:szCs w:val="22"/>
                <w:lang w:bidi="ar"/>
              </w:rPr>
              <w:t>余量提醒，支持数据存储余量不足提醒，当数据余量不足30min，10min，5min时均可提醒（以检测报告为准）</w:t>
            </w:r>
          </w:p>
          <w:p>
            <w:pPr>
              <w:pStyle w:val="2"/>
              <w:rPr>
                <w:rFonts w:ascii="宋体" w:hAnsi="宋体" w:cs="宋体"/>
                <w:color w:val="000000"/>
                <w:kern w:val="0"/>
                <w:sz w:val="22"/>
                <w:szCs w:val="22"/>
                <w:lang w:bidi="ar"/>
              </w:rPr>
            </w:pPr>
            <w:r>
              <w:rPr>
                <w:rFonts w:hint="eastAsia" w:ascii="宋体" w:hAnsi="宋体" w:cs="宋体"/>
                <w:color w:val="000000"/>
                <w:kern w:val="0"/>
                <w:sz w:val="22"/>
                <w:szCs w:val="22"/>
                <w:lang w:bidi="ar"/>
              </w:rPr>
              <w:t>支持生命体征仪接入，支持在画中画通道视频中实时显示体征仪波形数据以及血压、心律、血氧等数据信息，显示位置可调节，可在画中画通道录像回放中查看相关信息（以检测报告为准）</w:t>
            </w:r>
          </w:p>
          <w:p>
            <w:pPr>
              <w:pStyle w:val="2"/>
              <w:rPr>
                <w:rFonts w:ascii="宋体" w:hAnsi="宋体" w:cs="宋体"/>
                <w:color w:val="000000"/>
                <w:kern w:val="0"/>
                <w:sz w:val="22"/>
                <w:szCs w:val="22"/>
                <w:lang w:bidi="ar"/>
              </w:rPr>
            </w:pPr>
            <w:r>
              <w:rPr>
                <w:rFonts w:hint="eastAsia" w:ascii="宋体" w:hAnsi="宋体" w:cs="宋体"/>
                <w:color w:val="000000"/>
                <w:kern w:val="0"/>
                <w:sz w:val="22"/>
                <w:szCs w:val="22"/>
                <w:lang w:bidi="ar"/>
              </w:rPr>
              <w:t>异常检测功能，支持审讯刻录异常、硬盘错误、网络断开、IP冲突、录像异常、非法访问的异常报警检测与上传（以检测报告为准）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20</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硬盘</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r>
      <w:tr>
        <w:tblPrEx>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监控存储NVR</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嵌入式网络硬盘录像机，19英寸标准机箱，≥8个硬盘槽位，含≥8块4T监控级硬盘，支持RAID0、1、5、10，支持全局热备盘；支持≥64路H.264、H.265视频流混合接入，输入带宽≥320M，支持4K高清网络视频的接入、存储、预览和回放；需支持≥16路1080P视频同时解码输出，≥1个HDMI支持 4K 高清分辨率输出；应支持手动录像、定时录像、事件录像、移动侦测录像、报警录像，支持重要录像文件加锁保护功能；支持硬盘配额和硬盘盘组两种存储模式，可对不同通道分配不同的录像保存容量或周期；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本地预览权限的配置，设置权限后的通道只有登录后才会出现预览画面；需支持远程预览加密，只有输入密钥才能解开视频。需支持码流加密；WEB界面远程登录设备，30分钟无操作，设备需支持自动退出登录；需支持设置远程访问IP地址和MAC地址黑</w:t>
            </w:r>
          </w:p>
          <w:p>
            <w:pPr>
              <w:widowControl/>
              <w:spacing w:after="18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白名单；WEB端需支持设置开启HTTPS安全链接、SSH；（需提供公安部所属检验机构出具的检测报告复印件证明），支持在视频图像上叠加≥10行文字，每行可输入≥22个汉字，OSD属性至少可设置透明闪烁、透明不闪烁、不透明不闪烁、不透明闪烁；配合相应摄像机，支持3D定位功能，可以在全景通道上任意选取点位，球机通道可变倍定位；；（需提供公安部所属检验机构出具的检测报告复印件证明），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需提供公安部所属检验机构出具的检测报告复印件证明），支持报警事件、异常事件实时计数提醒，并以图标形式在监控界面上提醒用户。用户可以点击报警图标，查看报警详情列表，可在列表中快速查看报警关联的录像。当有新事件发生时计数自动累加，当用户查看后计数自动清零；（需提供公安部所属检验机构出具的检测报告复印件证明）支持接入具有人脸抓拍功能的门禁设备，可预览门禁主机的视频画面，触发人脸抓拍时，可设定报警提示并联动录像、弹出报警画面、声音告警、发生邮件；（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≥2个HDMI、≥2个VGA接口，支持不少于2组屏异源输出视频图像；具有≥2个千兆网口、≥3个USB接口（其中USB3.0接口≥1个）、≥1个eSATA接口，≥16路报警输入、≥4路报警输出接口。</w:t>
            </w:r>
            <w:r>
              <w:rPr>
                <w:rFonts w:hint="eastAsia" w:ascii="宋体" w:hAnsi="宋体" w:cs="宋体"/>
                <w:color w:val="000000"/>
                <w:kern w:val="0"/>
                <w:sz w:val="22"/>
                <w:szCs w:val="22"/>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硬盘</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光盘打印刻录一体机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二个DVD/CD刻录机，100片光盘容量，USB 3.0接口，最高4800dpi 喷墨打印，100-240 VAC</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48口交换机</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可用千兆电接口数量≥48，万兆光接口数≥4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支持独立的console管理串口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交换容量：432Gbps/4.32Tbps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转发性能：144Mpps/166Mpps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支持802.3ad规定的链路聚合功能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支持MAC地址绑定功能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 IPv4/IPv6 静态路由，支持 ND、Pingv6、Telnetv6、FTPv6、TFTPv6、ICMPv6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支持STP/RSTP功能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支持基于源MAC地址、目的MAC地址的流分类功能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可以为远程连接用户提供访问控制，拒绝未通过验证的连接</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UPS电源</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服务器机柜</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LCD液晶显示单元</w:t>
            </w:r>
            <w:r>
              <w:rPr>
                <w:rFonts w:hint="eastAsia" w:ascii="宋体" w:hAnsi="宋体" w:cs="宋体"/>
                <w:color w:val="FF0000"/>
                <w:kern w:val="0"/>
                <w:sz w:val="22"/>
                <w:szCs w:val="22"/>
                <w:lang w:bidi="ar"/>
              </w:rPr>
              <w:t>46</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46英寸液晶拼接屏，对角线尺寸≥46英寸，物理分辨率≥1920×1080，响应时间≤8ms；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物理拼缝≤3.5mm，亮度≥500cd/㎡，对比度≥1200:1，水平、垂直视场角均≥178°；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输入接口≥1个HDMI、≥1个DVI、≥1个VGA；输出接口≥1个HDMI、≥1个VGA；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图像显示灰度等级提升技术，使8bit液晶屏实现≥10bit的显示效果，灰度等级从256级增加到≥1024级，画面层次丰富、色彩逼真；（需提供首页具有CNAS标识的检测报告复印件证明）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支持校正后色坐标误差≤±0.001，亮度误差≤±10nit,0-255灰阶中32灰阶以上，每阶之间色温误差≤±500K；（需提供首页具有CNAS标识的检测报告复印件证明）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支持不低于十级灰阶色度、亮度校正的功能，使各灰阶整墙一致性≥80%，支持屏幕边缘渐进修正功能，修正屏间边缘颜色过渡不均匀；（需提供首页具有CNAS标识的检测报告复印件证明）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支持不少于R、G、B、C、M、Y、FLESH、Y-G、C-G、F、F-R、F-LIP、F-Y-HAIR、F-MEAT、F-DARK独立调节功能，使画面颜色显示更加准确；（需提供首页具有CNAS标识的检测报告复印件证明）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支持检测并匹配与输入信源相同的颜色空间的功能，使显示画面不丢失暗阶、亮阶细节；（需提供首页具有CNAS标识的检测报告复印件证明）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设备通过GB/T 26125-2011、GB/T 26572-2011认证，具有中国合格评定国家认可委员会认可机构出具的电器电子产品有害物质限制使用产品认证证书。</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拼接屏专用支架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LCD液晶屏配套支架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6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29</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高清解码器</w:t>
            </w:r>
            <w:r>
              <w:rPr>
                <w:rFonts w:hint="eastAsia" w:ascii="宋体" w:hAnsi="宋体" w:cs="宋体"/>
                <w:color w:val="FF0000"/>
                <w:kern w:val="0"/>
                <w:sz w:val="22"/>
                <w:szCs w:val="22"/>
                <w:lang w:bidi="ar"/>
              </w:rPr>
              <w:t>8</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解码设备采用嵌入式架构，专用Linux系统，机架式设计，高度≤2U；具有≥8个HDMI输出接口、≥1个VGA输入接口、≥1个DVI-I输入接口、≥2个千兆网口、≥2个光口、≥1路语音输入、≥1路语音输出接口，≥1个RS232接口，≥1个RS485接口，≥6路报警输入、≥6路报警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输出分辨率支持1920×1080、3840×2160；支持画面分割、拼接、开窗漫游功能，支持1、2、4、6、8、9、10、12、16、25、36等画面分割显示，支持将显示窗口在多个显示屏间进行拖动或跨屏显示，支持调节显示窗口大小；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支持ONVIF、GB28181协议接入设备，支持RTP\RTSP协议进行预览；支持H.265、H.264、MPEG4、MJPEG等视频编码格式，支持TS、PS、RTPTS等封装格式，支持AAC、G.722、G.711A、G.726、G.711U等音频格式；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能力支持≥8路4000×3000（20fps）、或≥16路4096×2160（25fps）、或≥16路3840×2160（25fps）、或≥24路为2592×1944（30fps）、或≥64路1920×1080（30fps）、或≥128路1280×720（30fps）分辨率的H.264、H.265、MPEG4视频图像解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支持黑白名单功能，可设置≥256个黑白名单；当设置白名单时，只允许白名单IP访问设备；当设置黑名单时，黑名单内IP无法访问设备；（需提供公安部所属检验机构出具的检测报告复印件证明）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设备抓屏软件，将远程电脑桌面实时解码上墙显示，画面帧率应支持≥30fps，支持同时抓取≥8个任务上墙、≥8个4K信号，不消耗CPU性能，支持在电视墙进行8画面分割同时显示，支持对桌面进行整屏、单窗口、自定义区域抓屏上墙；（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支持对输入的视频画面进行90°、180°、270°旋转显示；支持回字形拼接，支持对解码的IPC输出的画面进行旋转，支持90°、180°左旋和90°、180°右旋；（需提供公安部所属检验机构出具的检测报告复印件证明）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30</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HDMI线缆</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HDMI电缆,HDMI/AM转HDMI/AM,15m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r>
      <w:tr>
        <w:tblPrEx>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31</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网络键盘</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四维摇杆触控网络键盘，Android操作系统，具有≥1个100M/1000M自适应以太网口、≥2个USB接口、≥1个HDMI接口、≥1个DVI接口、≥1对3.5mm音频输入输出接口，支持WiFi、支持POE供电；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支持在触摸屏幕上预览前端图像，支持4路1080P视频解码显示，最大16画面分割显示；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支持上下、左右、变倍和抓图四维控制功能，支持接入DVR、DVS、NVR、网络摄像机、球机设备；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支持通过摇杆或触控屏实现云台设备控制功能，支持预置位、自动巡航、模式路径、光圈调节、变焦、雨刷、灯光等功能；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屏幕尺寸＞10英寸，分辨率≥1280*720，支持DVI和HDMI接口外接显示设备实现图像预览；（需提供公安部所属检验机构出具的检测报告复印件证明）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屏幕区和摇杆区采用可拆分结构，摇杆和触控屏可分离使用；（需提供公安部所属检验机构出具的检测报告复印件证明）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支持添加设备数量≥8000，≥两级用户权限，支持≥32个用户；（需提供公安部所属检验机构出具的检测报告复印件证明）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支持切换前端输入通道或输入组到解码器、视频综合平台等设备，支持画面分割、场景切换、轮巡显示、开/关显示窗口、窗口漫游、放到/缩小等功能；（需提供公安部所属检验机构出具的检测报告复印件证明）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支持在键盘显示屏上显示电视墙当前整体布局；（需提供公安部所属检验机构出具的检测报告复印件证明）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工作温度≥10℃--＋55℃，功耗≤15W</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32</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平台式操作台</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控制台面板：台面25mm新型环保板材，以高分子聚合热化学反应方式成板，台面前端黑色钢琴烤漆。台面无缝拼接；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控制台框架：框架镀锌钢板厚度1.2mm，前后门板厚度1.0mm；控制台依靠带弹性胶垫固定底座与地面固定，有调节功能；</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33</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线缆及辅材</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34</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项目集成调试费</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r>
      <w:tr>
        <w:tblPrEx>
          <w:tblCellMar>
            <w:top w:w="0" w:type="dxa"/>
            <w:left w:w="108" w:type="dxa"/>
            <w:bottom w:w="0" w:type="dxa"/>
            <w:right w:w="108" w:type="dxa"/>
          </w:tblCellMar>
        </w:tblPrEx>
        <w:trPr>
          <w:trHeight w:val="5640"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LCD液晶显示单元</w:t>
            </w:r>
            <w:r>
              <w:rPr>
                <w:rFonts w:hint="eastAsia" w:ascii="宋体" w:hAnsi="宋体" w:cs="宋体"/>
                <w:color w:val="FF0000"/>
                <w:kern w:val="0"/>
                <w:sz w:val="22"/>
                <w:szCs w:val="22"/>
                <w:lang w:bidi="ar"/>
              </w:rPr>
              <w:t>46</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46英寸液晶拼接屏，对角线尺寸≥46英寸，物理分辨率≥1920×1080，响应时间≤8ms；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物理拼缝≤3.5mm，亮度≥500cd/㎡，对比度≥1200:1，水平、垂直视场角均≥178°；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输入接口≥1个HDMI、≥1个DVI、≥1个VGA；输出接口≥1个HDMI、≥1个VGA；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图像显示灰度等级提升技术，使8bit液晶屏实现≥10bit的显示效果，灰度等级从256级增加到≥1024级，画面层次丰富、色彩逼真；（需提供首页具有CNAS标识的检测报告复印件证明）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支持校正后色坐标误差≤±0.001，亮度误差≤±10nit,0-255灰阶中32灰阶以上，每阶之间色温误差≤±500K；（需提供首页具有CNAS标识的检测报告复印件证明）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支持不低于十级灰阶色度、亮度校正的功能，使各灰阶整墙一致性≥80%，支持屏幕边缘渐进修正功能，修正屏间边缘颜色过渡不均匀；（需提供首页具有CNAS标识的检测报告复印件证明）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支持不少于R、G、B、C、M、Y、FLESH、Y-G、C-G、F、F-R、F-LIP、F-Y-HAIR、F-MEAT、F-DARK独立调节功能，使画面颜色显示更加准确；（需提供首页具有CNAS标识的检测报告复印件证明）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支持检测并匹配与输入信源相同的颜色空间的功能，使显示画面不丢失暗阶、亮阶细节；（需提供首页具有CNAS标识的检测报告复印件证明）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设备通过GB/T 26125-2011、GB/T 26572-2011认证，具有中国合格评定国家认可委员会认可机构出具的电器电子产品有害物质限制使用产品认证证书。</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36</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拼接屏专用支架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LCD液晶屏配套支架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r>
      <w:tr>
        <w:tblPrEx>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37</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拼接屏专用支架</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LCD液晶屏配套支架</w:t>
            </w:r>
          </w:p>
        </w:tc>
        <w:tc>
          <w:tcPr>
            <w:tcW w:w="876" w:type="dxa"/>
            <w:tcBorders>
              <w:top w:val="single" w:color="000000" w:sz="4" w:space="0"/>
              <w:left w:val="nil"/>
              <w:bottom w:val="single" w:color="000000" w:sz="4" w:space="0"/>
              <w:right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r>
      <w:tr>
        <w:tblPrEx>
          <w:tblCellMar>
            <w:top w:w="0" w:type="dxa"/>
            <w:left w:w="108" w:type="dxa"/>
            <w:bottom w:w="0" w:type="dxa"/>
            <w:right w:w="108" w:type="dxa"/>
          </w:tblCellMar>
        </w:tblPrEx>
        <w:trPr>
          <w:trHeight w:val="1830"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38</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HDMI线缆</w:t>
            </w:r>
          </w:p>
        </w:tc>
        <w:tc>
          <w:tcPr>
            <w:tcW w:w="8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HDMI电缆,HDMI/AM转HDMI/AM,15m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r>
      <w:tr>
        <w:tblPrEx>
          <w:tblCellMar>
            <w:top w:w="0" w:type="dxa"/>
            <w:left w:w="108" w:type="dxa"/>
            <w:bottom w:w="0" w:type="dxa"/>
            <w:right w:w="108" w:type="dxa"/>
          </w:tblCellMar>
        </w:tblPrEx>
        <w:trPr>
          <w:trHeight w:val="285" w:hRule="atLeast"/>
        </w:trPr>
        <w:tc>
          <w:tcPr>
            <w:tcW w:w="640"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39</w:t>
            </w: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视频拼接控制器</w:t>
            </w:r>
          </w:p>
        </w:tc>
        <w:tc>
          <w:tcPr>
            <w:tcW w:w="85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投标产品需提供权威机构所出具的CCC、RoHS、CE、FCC检测报告。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的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YPbPr/YCbCr输入板（8个视频输入接口，8个音频输入接口）。（提供公安部出具的型式检验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多设备之间的视频数据通过光纤级联传输延时≤100ms。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投标产品主控板具有16个串口支持挂载128个RS485控制设备，可将IP数据发送至串口。主控板具有7个RJ45网络接口、6个光纤接口、1个USB接口。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投标产品应支持超高分辨率输入能力须满足或超过以下分辨率：支持接入4096x4320、8192x2160、15360x6480、15360x8460、16384x6480等分辨率图像信号。（提供公安部出具的封面具有CNAS标志的报告复印件加盖原厂商公章）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1、2、4、6、8、9、12、16、25、32、36、48、64画面分割显示。投标产品支持显示预案功能，可将样机的视频输出状态保存为场景，可设置多个场景并可对每个场景进行配置、清空、复制、修改、切换等操作，可实现多个场景轮巡切换、（预案）轮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投标产品支持虚拟云台控制功能，具备虚拟云台控制按键，可调整球机和云台的运行速度和方向，并且支持多用户云台抢占、云台控制锁定功能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投标产品支持手动视频切换功能，支持将选定的视频输入切换到选定的视频输出，支持视音频同步切换、异步切换，画面切换时不出现黑屏。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投标产品支持视音频同步输出，支持多组轮巡同步切换。（提供公安部出具的型式检验报告复印件加盖原厂商公章）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投标产品音频编码功能：具备G.722、G.711u、G.711A、PCM格式编码选项。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投标产品支持多个视频输出拼接画面上编辑字符信息功能。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分辨率应具备但不限于1024x768、1280x720、1280x1024、1280x800、1280x960、1366x768、1440x900、1400x1050、1680x1050、1920x1080、1600x1200、1920x1200、3840x2160、7680x1080、5760x1080、3840x1080、1920x2160、1920x3240、1920x4320等输出分辨率信号（提供公安部出具的封面具有CNAS标志的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投标产品具有同一输入通道的视频图像在不同输出端口显示的失步误差小于1ms。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应支持基于光纤信号实现集群功能。可通过集群节点进行统一管理；支持多台设备信号源不经过编解码实现相互调用功能，图像可以跨设备进行拼接、漫游等操作；可支持16台设备统一管理控制。并且集群节点支持热备功能，故障后支持自动切换。（提供公安部出具的封面具有CNAS标志的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支持超显功能：即支持输出最大1个64x1920x1080分辨率的电脑桌面或者输出8个分辨率小于8x1920x1080的电脑桌面；支持PPT、Excel、Word、TXT、JPEG、BMP、PNG、CAD等图形界面显示功能；支持设置800x600-15360x8640分辨率，并且可以自定义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单块输出板卡应具备但不限于4路6912x2800或12路4000x3000或16路4096x2160或16路3840x2160或10路3072x2048或16路2592x2048或20路2048x1536或96路1920x1080或192路1280x720或384路704x576分辨率视频解码能力（少支持一个种分辨扣0.5分，扣完为止）；还应支持多块解码板资源共享功能，支持解码资源动态分配，支持单块解码板所有输出口同时进行16画面分割解码1080P图像。（提供公安部出具的封面具有CNAS标志的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应支持在任一视频输出显示画面上叠加显示多个不同视频输入信号的显示窗口，单个输出通道最少支持32个窗口叠加显示，单个输出板卡应可以支持128个漫游窗口叠加；并且窗口图像应支持置顶、置底操作。（提供公安部出具的封面具有CNAS标志的报告复印件加盖原厂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投标产品的拼接功能不仅应在多个视频输出端口组合显示视频输入图像，同时应支持在多台产品组成的集群内任意设备输出口实现拼接功能。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投标产品应能通过手动或自动操作，对前端设备的各种动作进行遥控；应能设定控制的优先级，对级别高的用户请求应保证优先响应。可提供对前端设备进行独占性控制的锁定及解锁功能，锁定和解锁方式可设定。</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DS-B20-S05-A</w:t>
            </w:r>
          </w:p>
        </w:tc>
      </w:tr>
      <w:tr>
        <w:tblPrEx>
          <w:tblCellMar>
            <w:top w:w="0" w:type="dxa"/>
            <w:left w:w="108" w:type="dxa"/>
            <w:bottom w:w="0" w:type="dxa"/>
            <w:right w:w="108" w:type="dxa"/>
          </w:tblCellMar>
        </w:tblPrEx>
        <w:trPr>
          <w:trHeight w:val="1425" w:hRule="atLeast"/>
        </w:trPr>
        <w:tc>
          <w:tcPr>
            <w:tcW w:w="640" w:type="dxa"/>
            <w:vMerge w:val="continue"/>
            <w:tcBorders>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2"/>
                <w:szCs w:val="22"/>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8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DS-6408HFH-B20H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p>
        </w:tc>
      </w:tr>
      <w:tr>
        <w:tblPrEx>
          <w:tblCellMar>
            <w:top w:w="0" w:type="dxa"/>
            <w:left w:w="108" w:type="dxa"/>
            <w:bottom w:w="0" w:type="dxa"/>
            <w:right w:w="108" w:type="dxa"/>
          </w:tblCellMar>
        </w:tblPrEx>
        <w:trPr>
          <w:trHeight w:val="1425" w:hRule="atLeast"/>
        </w:trPr>
        <w:tc>
          <w:tcPr>
            <w:tcW w:w="640" w:type="dxa"/>
            <w:vMerge w:val="continue"/>
            <w:tcBorders>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2"/>
                <w:szCs w:val="22"/>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8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DS-6916UD-B20H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p>
        </w:tc>
      </w:tr>
    </w:tbl>
    <w:p>
      <w:pPr>
        <w:pStyle w:val="2"/>
        <w:rPr>
          <w:rFonts w:ascii="宋体" w:hAnsi="宋体" w:cs="宋体"/>
          <w:sz w:val="22"/>
          <w:szCs w:val="22"/>
        </w:rPr>
      </w:pPr>
    </w:p>
    <w:p>
      <w:pPr>
        <w:pStyle w:val="4"/>
        <w:spacing w:before="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注：1.交货时间：10月31日前   ；      2.交货地点： 大通县人民检察院   。</w:t>
      </w:r>
    </w:p>
    <w:p>
      <w:pPr>
        <w:pStyle w:val="4"/>
        <w:spacing w:before="0"/>
        <w:rPr>
          <w:rFonts w:ascii="仿宋" w:hAnsi="仿宋" w:eastAsia="仿宋" w:cs="仿宋"/>
          <w:kern w:val="0"/>
          <w:sz w:val="24"/>
          <w:szCs w:val="24"/>
        </w:rPr>
      </w:pPr>
    </w:p>
    <w:sectPr>
      <w:headerReference r:id="rId8" w:type="first"/>
      <w:headerReference r:id="rId7" w:type="default"/>
      <w:footerReference r:id="rId9"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00735" cy="147955"/>
              <wp:effectExtent l="0" t="0" r="0" b="0"/>
              <wp:wrapNone/>
              <wp:docPr id="2" name="Quad Arrow 1"/>
              <wp:cNvGraphicFramePr/>
              <a:graphic xmlns:a="http://schemas.openxmlformats.org/drawingml/2006/main">
                <a:graphicData uri="http://schemas.microsoft.com/office/word/2010/wordprocessingShape">
                  <wps:wsp>
                    <wps:cNvSpPr txBox="1">
                      <a:spLocks noChangeArrowheads="1"/>
                    </wps:cNvSpPr>
                    <wps:spPr bwMode="auto">
                      <a:xfrm>
                        <a:off x="0" y="0"/>
                        <a:ext cx="800735" cy="147955"/>
                      </a:xfrm>
                      <a:prstGeom prst="rect">
                        <a:avLst/>
                      </a:prstGeom>
                      <a:noFill/>
                      <a:ln>
                        <a:noFill/>
                      </a:ln>
                    </wps:spPr>
                    <wps:txbx>
                      <w:txbxContent>
                        <w:p>
                          <w:pPr>
                            <w:pStyle w:val="14"/>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93</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Quad Arrow 1" o:spid="_x0000_s1026" o:spt="202" type="#_x0000_t202" style="position:absolute;left:0pt;margin-top:0pt;height:11.65pt;width:63.05pt;mso-position-horizontal:center;mso-position-horizontal-relative:margin;mso-wrap-style:none;z-index:251659264;mso-width-relative:page;mso-height-relative:page;" filled="f" stroked="f" coordsize="21600,21600" o:gfxdata="UEsDBAoAAAAAAIdO4kAAAAAAAAAAAAAAAAAEAAAAZHJzL1BLAwQUAAAACACHTuJA4J2gJd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alOCOCmo1muQbSP/&#10;w7c/UEsDBBQAAAAIAIdO4kCIoA30+wEAAAMEAAAOAAAAZHJzL2Uyb0RvYy54bWytU02P0zAQvSPx&#10;HyzfadJC2SVqulq2KkJavrTwAxzHSSxijzV2m5Rfz9hpyrJc9sDFGtszz++9GW9uRtOzo0KvwZZ8&#10;ucg5U1ZCrW1b8h/f96+uOfNB2Fr0YFXJT8rzm+3LF5vBFWoFHfS1QkYg1heDK3kXgiuyzMtOGeEX&#10;4JSlywbQiEBbbLMaxUDops9Wef42GwBrhyCV93S6my75GRGfAwhNo6XagTwYZcOEiqoXgST5TjvP&#10;t4lt0ygZvjSNV4H1JSelIa30CMVVXLPtRhQtCtdpeaYgnkPhiSYjtKVHL1A7EQQ7oP4HymiJ4KEJ&#10;Cwkmm4QkR0jFMn/izUMnnEpayGrvLqb7/wcrPx+/ItN1yVecWWGo4d8Ooma3iDCwZfRncL6gtAdH&#10;iWF8DyNNTdLq3T3In55ZuOuEbVWq6ZSoiV+qzB6VTjg+glTDJ6jpIXEIkIDGBk00j+xghE69OV16&#10;o8bAJB1e5/nV6zVnkq6Wb67erdeRWyaKudihDx8UGBaDkiO1PoGL470PU+qcEt+ysNd9n9rf278O&#10;CDOeJPKR78Q8jNV4NqOC+kQyEKZpor9EQQf4i7OBJqnklj4OZ/1HS0bEoZsDnINqDoSVVFjywNkU&#10;3oVpOA8OddsR7mz1LZm110lIdHXicGZJs5GsOM9xHL7H+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naAl0QAAAAQBAAAPAAAAAAAAAAEAIAAAACIAAABkcnMvZG93bnJldi54bWxQSwEC&#10;FAAUAAAACACHTuJAiKAN9PsBAAADBAAADgAAAAAAAAABACAAAAAgAQAAZHJzL2Uyb0RvYy54bWxQ&#10;SwUGAAAAAAYABgBZAQAAjQU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93</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00735" cy="14795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0735" cy="147955"/>
                      </a:xfrm>
                      <a:prstGeom prst="rect">
                        <a:avLst/>
                      </a:prstGeom>
                      <a:noFill/>
                      <a:ln>
                        <a:noFill/>
                      </a:ln>
                    </wps:spPr>
                    <wps:txbx>
                      <w:txbxContent>
                        <w:p>
                          <w:pPr>
                            <w:pStyle w:val="14"/>
                          </w:pPr>
                          <w:r>
                            <w:rPr>
                              <w:rFonts w:hint="eastAsia"/>
                            </w:rPr>
                            <w:t>第</w:t>
                          </w:r>
                          <w:r>
                            <w:fldChar w:fldCharType="begin"/>
                          </w:r>
                          <w:r>
                            <w:instrText xml:space="preserve"> PAGE  \* MERGEFORMAT </w:instrText>
                          </w:r>
                          <w:r>
                            <w:fldChar w:fldCharType="separate"/>
                          </w:r>
                          <w:r>
                            <w:t>93</w:t>
                          </w:r>
                          <w:r>
                            <w:fldChar w:fldCharType="end"/>
                          </w:r>
                          <w:r>
                            <w:rPr>
                              <w:rFonts w:hint="eastAsia"/>
                            </w:rPr>
                            <w:t>页共</w:t>
                          </w:r>
                          <w:r>
                            <w:fldChar w:fldCharType="begin"/>
                          </w:r>
                          <w:r>
                            <w:instrText xml:space="preserve"> NUMPAGES  \* MERGEFORMAT </w:instrText>
                          </w:r>
                          <w:r>
                            <w:fldChar w:fldCharType="separate"/>
                          </w:r>
                          <w:r>
                            <w:t>93</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63.05pt;mso-position-horizontal:center;mso-position-horizontal-relative:margin;mso-wrap-style:none;z-index:251660288;mso-width-relative:page;mso-height-relative:page;" filled="f" stroked="f" coordsize="21600,21600" o:gfxdata="UEsDBAoAAAAAAIdO4kAAAAAAAAAAAAAAAAAEAAAAZHJzL1BLAwQUAAAACACHTuJA4J2gJd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alOCOCmo1muQbSP/&#10;w7c/UEsDBBQAAAAIAIdO4kAAj2dq+gEAAAEEAAAOAAAAZHJzL2Uyb0RvYy54bWytU01v2zAMvQ/Y&#10;fxB0X+xky9oZcYquQYYB3QfQ7gfIshwLs0SBUmJnv36UbGddd+lhF4OmqMf3HqnNzWA6dlLoNdiS&#10;Lxc5Z8pKqLU9lPzH4/7NNWc+CFuLDqwq+Vl5frN9/WrTu0KtoIWuVsgIxPqidyVvQ3BFlnnZKiP8&#10;ApyydNgAGhHoFw9ZjaIndNNlqzx/n/WAtUOQynvK7sZDPiHiSwChabRUO5BHo2wYUVF1IpAk32rn&#10;+TaxbRolw7em8SqwruSkNKQvNaG4it9suxHFAYVrtZwoiJdQeKbJCG2p6QVqJ4JgR9T/QBktETw0&#10;YSHBZKOQ5AipWObPvHlohVNJC1nt3cV0//9g5dfTd2S6pk3gzApDA39UQ2AfYWCr6E7vfEFFD47K&#10;wkDpWBmVencP8qdnFu5aYQ/qFhH6Voma2C3jzezJ1RHHR5Cq/wI1tRHHAAloaNBEQDKDETpN5nyZ&#10;TKQiKXmd51dv15xJOlq+u/qwXqcOopgvO/ThkwLDYlBypMEncHG69yGSEcVcEntZ2OuuS8Pv7F8J&#10;KoyZRD7yHZmHoRomMyqozyQDYdwlekkUtIC/OOtpj0pu6dlw1n22ZERcuTnAOajmQFhJF0seOBvD&#10;uzCu5tGhPrSEO1t9S2btdRISXR05TCxpM5K+aYvj6j39T1V/Xu7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doCXRAAAABAEAAA8AAAAAAAAAAQAgAAAAIgAAAGRycy9kb3ducmV2LnhtbFBLAQIU&#10;ABQAAAAIAIdO4kAAj2dq+gEAAAEEAAAOAAAAAAAAAAEAIAAAACABAABkcnMvZTJvRG9jLnhtbFBL&#10;BQYAAAAABgAGAFkBAACM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93</w:t>
                    </w:r>
                    <w:r>
                      <w:fldChar w:fldCharType="end"/>
                    </w:r>
                    <w:r>
                      <w:rPr>
                        <w:rFonts w:hint="eastAsia"/>
                      </w:rPr>
                      <w:t>页共</w:t>
                    </w:r>
                    <w:r>
                      <w:fldChar w:fldCharType="begin"/>
                    </w:r>
                    <w:r>
                      <w:instrText xml:space="preserve"> NUMPAGES  \* MERGEFORMAT </w:instrText>
                    </w:r>
                    <w:r>
                      <w:fldChar w:fldCharType="separate"/>
                    </w:r>
                    <w:r>
                      <w:t>93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大政采竞磋（货物）2022-11号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大政采竞磋（货物）2022-11号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00B43A35"/>
    <w:rsid w:val="00024DEE"/>
    <w:rsid w:val="00035841"/>
    <w:rsid w:val="000417F2"/>
    <w:rsid w:val="0005117E"/>
    <w:rsid w:val="000D2293"/>
    <w:rsid w:val="000D6A22"/>
    <w:rsid w:val="0010486A"/>
    <w:rsid w:val="00107E8E"/>
    <w:rsid w:val="00156113"/>
    <w:rsid w:val="001616A8"/>
    <w:rsid w:val="0019110A"/>
    <w:rsid w:val="001E6EBD"/>
    <w:rsid w:val="001E77D9"/>
    <w:rsid w:val="00203EEF"/>
    <w:rsid w:val="002641C9"/>
    <w:rsid w:val="00292DD3"/>
    <w:rsid w:val="00297101"/>
    <w:rsid w:val="00297E81"/>
    <w:rsid w:val="002A2E15"/>
    <w:rsid w:val="002D0851"/>
    <w:rsid w:val="002E22DF"/>
    <w:rsid w:val="002F64CA"/>
    <w:rsid w:val="00365D7D"/>
    <w:rsid w:val="00385FC3"/>
    <w:rsid w:val="00393391"/>
    <w:rsid w:val="003A22F5"/>
    <w:rsid w:val="003A656B"/>
    <w:rsid w:val="004A51DD"/>
    <w:rsid w:val="004C661A"/>
    <w:rsid w:val="004E356A"/>
    <w:rsid w:val="004F7BE3"/>
    <w:rsid w:val="00516C7F"/>
    <w:rsid w:val="005858AA"/>
    <w:rsid w:val="00625682"/>
    <w:rsid w:val="00627FD7"/>
    <w:rsid w:val="00685742"/>
    <w:rsid w:val="006A3586"/>
    <w:rsid w:val="006D06F6"/>
    <w:rsid w:val="00702192"/>
    <w:rsid w:val="00704FE5"/>
    <w:rsid w:val="0074204E"/>
    <w:rsid w:val="00747283"/>
    <w:rsid w:val="00761AA5"/>
    <w:rsid w:val="007B0FA8"/>
    <w:rsid w:val="007B5983"/>
    <w:rsid w:val="008134CE"/>
    <w:rsid w:val="00830BD8"/>
    <w:rsid w:val="00851AAC"/>
    <w:rsid w:val="00851AE2"/>
    <w:rsid w:val="0088280E"/>
    <w:rsid w:val="00887EEC"/>
    <w:rsid w:val="00911572"/>
    <w:rsid w:val="00915EF8"/>
    <w:rsid w:val="009356EE"/>
    <w:rsid w:val="009B3CA5"/>
    <w:rsid w:val="00A10809"/>
    <w:rsid w:val="00A171EF"/>
    <w:rsid w:val="00A219D5"/>
    <w:rsid w:val="00A45DE9"/>
    <w:rsid w:val="00A62914"/>
    <w:rsid w:val="00AB02DB"/>
    <w:rsid w:val="00AD5BAC"/>
    <w:rsid w:val="00B43A35"/>
    <w:rsid w:val="00B51E3E"/>
    <w:rsid w:val="00B53CF7"/>
    <w:rsid w:val="00B743C6"/>
    <w:rsid w:val="00B97EC1"/>
    <w:rsid w:val="00BD3E4E"/>
    <w:rsid w:val="00C05E73"/>
    <w:rsid w:val="00C470E5"/>
    <w:rsid w:val="00CF48FB"/>
    <w:rsid w:val="00CF735E"/>
    <w:rsid w:val="00D72D26"/>
    <w:rsid w:val="00DB06BB"/>
    <w:rsid w:val="00DE2887"/>
    <w:rsid w:val="00DE6AFE"/>
    <w:rsid w:val="00E12A57"/>
    <w:rsid w:val="00EA064C"/>
    <w:rsid w:val="00EA378B"/>
    <w:rsid w:val="00EB055E"/>
    <w:rsid w:val="00EE4B08"/>
    <w:rsid w:val="00F1303D"/>
    <w:rsid w:val="00F31587"/>
    <w:rsid w:val="00FB4000"/>
    <w:rsid w:val="00FF2E62"/>
    <w:rsid w:val="00FF37C1"/>
    <w:rsid w:val="021077A2"/>
    <w:rsid w:val="040940B5"/>
    <w:rsid w:val="04176A8D"/>
    <w:rsid w:val="047543AC"/>
    <w:rsid w:val="0739649A"/>
    <w:rsid w:val="07720FFF"/>
    <w:rsid w:val="08AD4285"/>
    <w:rsid w:val="092763AC"/>
    <w:rsid w:val="0B775619"/>
    <w:rsid w:val="0BF77C52"/>
    <w:rsid w:val="0C606EB6"/>
    <w:rsid w:val="116B56A7"/>
    <w:rsid w:val="11AB339B"/>
    <w:rsid w:val="1274051B"/>
    <w:rsid w:val="12AE4C3D"/>
    <w:rsid w:val="12C53CA4"/>
    <w:rsid w:val="145A737F"/>
    <w:rsid w:val="16E24E1C"/>
    <w:rsid w:val="185A1BAA"/>
    <w:rsid w:val="18B0167E"/>
    <w:rsid w:val="1964337B"/>
    <w:rsid w:val="1A6B4FB8"/>
    <w:rsid w:val="1B022F91"/>
    <w:rsid w:val="1C747F39"/>
    <w:rsid w:val="1D892143"/>
    <w:rsid w:val="1DF30C4E"/>
    <w:rsid w:val="1F34477D"/>
    <w:rsid w:val="24E15E82"/>
    <w:rsid w:val="255D282B"/>
    <w:rsid w:val="25B845F8"/>
    <w:rsid w:val="27C733F7"/>
    <w:rsid w:val="27E75D60"/>
    <w:rsid w:val="2C670D75"/>
    <w:rsid w:val="2C966805"/>
    <w:rsid w:val="2D88205F"/>
    <w:rsid w:val="2E06270D"/>
    <w:rsid w:val="2EB671E0"/>
    <w:rsid w:val="2F2B0C15"/>
    <w:rsid w:val="33325775"/>
    <w:rsid w:val="35982C3A"/>
    <w:rsid w:val="38BA7991"/>
    <w:rsid w:val="3A4F6A7C"/>
    <w:rsid w:val="3A50219E"/>
    <w:rsid w:val="3B895CD0"/>
    <w:rsid w:val="3DE15179"/>
    <w:rsid w:val="3F826562"/>
    <w:rsid w:val="3FB1287E"/>
    <w:rsid w:val="3FED7CC5"/>
    <w:rsid w:val="401E5216"/>
    <w:rsid w:val="411368F5"/>
    <w:rsid w:val="41A625C5"/>
    <w:rsid w:val="453B489C"/>
    <w:rsid w:val="487D0579"/>
    <w:rsid w:val="48C65294"/>
    <w:rsid w:val="4A8016E5"/>
    <w:rsid w:val="4C3C3E4A"/>
    <w:rsid w:val="4DEA0B7F"/>
    <w:rsid w:val="4DF610CD"/>
    <w:rsid w:val="4E65211B"/>
    <w:rsid w:val="5357208F"/>
    <w:rsid w:val="53746E0E"/>
    <w:rsid w:val="53E46182"/>
    <w:rsid w:val="567F7702"/>
    <w:rsid w:val="56C1680E"/>
    <w:rsid w:val="57EC6CDD"/>
    <w:rsid w:val="599417E9"/>
    <w:rsid w:val="5A3E279F"/>
    <w:rsid w:val="5B26638B"/>
    <w:rsid w:val="5CCC38D1"/>
    <w:rsid w:val="5E017B14"/>
    <w:rsid w:val="5E71743E"/>
    <w:rsid w:val="5FE87EB4"/>
    <w:rsid w:val="5FF84EDA"/>
    <w:rsid w:val="604B6C62"/>
    <w:rsid w:val="608816FB"/>
    <w:rsid w:val="63483A56"/>
    <w:rsid w:val="65036A60"/>
    <w:rsid w:val="65CF5355"/>
    <w:rsid w:val="6A656DC6"/>
    <w:rsid w:val="6AF86836"/>
    <w:rsid w:val="6BEB18D4"/>
    <w:rsid w:val="6C2663C4"/>
    <w:rsid w:val="6F6B69FD"/>
    <w:rsid w:val="73827A0B"/>
    <w:rsid w:val="74306971"/>
    <w:rsid w:val="79963097"/>
    <w:rsid w:val="7ADF17BB"/>
    <w:rsid w:val="7B8B5ABE"/>
    <w:rsid w:val="7CE00EED"/>
    <w:rsid w:val="7E8D31CF"/>
    <w:rsid w:val="7F696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Char"/>
    <w:link w:val="3"/>
    <w:qFormat/>
    <w:locked/>
    <w:uiPriority w:val="99"/>
    <w:rPr>
      <w:rFonts w:cs="Times New Roman"/>
      <w:b/>
      <w:kern w:val="44"/>
      <w:sz w:val="44"/>
    </w:rPr>
  </w:style>
  <w:style w:type="character" w:customStyle="1" w:styleId="30">
    <w:name w:val="标题 4 Char"/>
    <w:link w:val="5"/>
    <w:semiHidden/>
    <w:qFormat/>
    <w:uiPriority w:val="9"/>
    <w:rPr>
      <w:rFonts w:ascii="Cambria" w:hAnsi="Cambria" w:eastAsia="宋体"/>
      <w:b/>
      <w:bCs/>
      <w:kern w:val="2"/>
      <w:sz w:val="28"/>
      <w:szCs w:val="28"/>
    </w:rPr>
  </w:style>
  <w:style w:type="character" w:customStyle="1" w:styleId="31">
    <w:name w:val="标题 2 Char"/>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Char"/>
    <w:link w:val="7"/>
    <w:semiHidden/>
    <w:qFormat/>
    <w:locked/>
    <w:uiPriority w:val="99"/>
    <w:rPr>
      <w:rFonts w:cs="Times New Roman"/>
      <w:sz w:val="2"/>
    </w:rPr>
  </w:style>
  <w:style w:type="character" w:customStyle="1" w:styleId="42">
    <w:name w:val="批注文字 Char"/>
    <w:link w:val="8"/>
    <w:semiHidden/>
    <w:qFormat/>
    <w:locked/>
    <w:uiPriority w:val="99"/>
    <w:rPr>
      <w:rFonts w:cs="Times New Roman"/>
      <w:sz w:val="24"/>
    </w:rPr>
  </w:style>
  <w:style w:type="character" w:customStyle="1" w:styleId="43">
    <w:name w:val="正文文本 Char"/>
    <w:link w:val="2"/>
    <w:qFormat/>
    <w:locked/>
    <w:uiPriority w:val="99"/>
    <w:rPr>
      <w:rFonts w:cs="Times New Roman"/>
      <w:kern w:val="2"/>
      <w:sz w:val="21"/>
    </w:rPr>
  </w:style>
  <w:style w:type="character" w:customStyle="1" w:styleId="44">
    <w:name w:val="正文文本缩进 Char"/>
    <w:link w:val="9"/>
    <w:qFormat/>
    <w:locked/>
    <w:uiPriority w:val="99"/>
    <w:rPr>
      <w:rFonts w:cs="Times New Roman"/>
      <w:kern w:val="2"/>
      <w:sz w:val="24"/>
    </w:rPr>
  </w:style>
  <w:style w:type="character" w:customStyle="1" w:styleId="45">
    <w:name w:val="纯文本 Char"/>
    <w:link w:val="11"/>
    <w:qFormat/>
    <w:locked/>
    <w:uiPriority w:val="99"/>
    <w:rPr>
      <w:rFonts w:ascii="宋体" w:hAnsi="Courier New" w:cs="Times New Roman"/>
      <w:kern w:val="2"/>
      <w:sz w:val="21"/>
    </w:rPr>
  </w:style>
  <w:style w:type="character" w:customStyle="1" w:styleId="46">
    <w:name w:val="日期 Char"/>
    <w:link w:val="12"/>
    <w:semiHidden/>
    <w:qFormat/>
    <w:locked/>
    <w:uiPriority w:val="99"/>
    <w:rPr>
      <w:rFonts w:cs="Times New Roman"/>
      <w:sz w:val="24"/>
    </w:rPr>
  </w:style>
  <w:style w:type="character" w:customStyle="1" w:styleId="47">
    <w:name w:val="批注框文本 Char"/>
    <w:link w:val="13"/>
    <w:semiHidden/>
    <w:qFormat/>
    <w:locked/>
    <w:uiPriority w:val="99"/>
    <w:rPr>
      <w:rFonts w:cs="Times New Roman"/>
      <w:sz w:val="2"/>
    </w:rPr>
  </w:style>
  <w:style w:type="character" w:customStyle="1" w:styleId="48">
    <w:name w:val="页脚 Char"/>
    <w:link w:val="14"/>
    <w:qFormat/>
    <w:locked/>
    <w:uiPriority w:val="99"/>
    <w:rPr>
      <w:rFonts w:cs="Times New Roman"/>
      <w:kern w:val="2"/>
      <w:sz w:val="18"/>
    </w:rPr>
  </w:style>
  <w:style w:type="character" w:customStyle="1" w:styleId="49">
    <w:name w:val="页眉 Char"/>
    <w:link w:val="15"/>
    <w:qFormat/>
    <w:locked/>
    <w:uiPriority w:val="99"/>
    <w:rPr>
      <w:rFonts w:cs="Times New Roman"/>
      <w:kern w:val="2"/>
      <w:sz w:val="18"/>
    </w:rPr>
  </w:style>
  <w:style w:type="character" w:customStyle="1" w:styleId="50">
    <w:name w:val="副标题 Char"/>
    <w:link w:val="17"/>
    <w:qFormat/>
    <w:locked/>
    <w:uiPriority w:val="99"/>
    <w:rPr>
      <w:rFonts w:ascii="Cambria" w:hAnsi="Cambria" w:cs="Times New Roman"/>
      <w:b/>
      <w:kern w:val="28"/>
      <w:sz w:val="32"/>
    </w:rPr>
  </w:style>
  <w:style w:type="character" w:customStyle="1" w:styleId="51">
    <w:name w:val="正文文本缩进 3 Char"/>
    <w:link w:val="18"/>
    <w:qFormat/>
    <w:locked/>
    <w:uiPriority w:val="99"/>
    <w:rPr>
      <w:rFonts w:cs="Times New Roman"/>
      <w:kern w:val="2"/>
      <w:sz w:val="16"/>
    </w:rPr>
  </w:style>
  <w:style w:type="character" w:customStyle="1" w:styleId="52">
    <w:name w:val="标题 Char"/>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qFormat/>
    <w:uiPriority w:val="0"/>
    <w:rPr>
      <w:rFonts w:hint="eastAsia" w:ascii="宋体" w:hAnsi="宋体" w:eastAsia="宋体" w:cs="宋体"/>
      <w:color w:val="000000"/>
      <w:sz w:val="20"/>
      <w:szCs w:val="20"/>
      <w:u w:val="none"/>
    </w:rPr>
  </w:style>
  <w:style w:type="character" w:customStyle="1" w:styleId="69">
    <w:name w:val="font21"/>
    <w:basedOn w:val="23"/>
    <w:qFormat/>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 w:type="character" w:customStyle="1" w:styleId="71">
    <w:name w:val="font81"/>
    <w:basedOn w:val="23"/>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44916</Words>
  <Characters>49571</Characters>
  <Lines>400</Lines>
  <Paragraphs>112</Paragraphs>
  <TotalTime>130</TotalTime>
  <ScaleCrop>false</ScaleCrop>
  <LinksUpToDate>false</LinksUpToDate>
  <CharactersWithSpaces>50101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2022-06-15T14:16:00Z</dcterms:created>
  <dc:creator>太子弹琴</dc:creator>
  <cp:lastModifiedBy>陈登贵</cp:lastModifiedBy>
  <cp:lastPrinted>2022-06-20T04:09:00Z</cp:lastPrinted>
  <dcterms:modified xsi:type="dcterms:W3CDTF">2022-06-20T07:43:02Z</dcterms:modified>
  <dc:title>大通县政府采购中心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07C593D073934A13AC41961526286C46</vt:lpwstr>
  </property>
</Properties>
</file>