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rPr>
          <w:rFonts w:hint="eastAsia"/>
          <w:color w:val="auto"/>
          <w:lang w:val="zh-CN"/>
        </w:rPr>
      </w:pPr>
    </w:p>
    <w:p>
      <w:pPr>
        <w:rPr>
          <w:rFonts w:hint="eastAsia"/>
          <w:color w:val="auto"/>
          <w:lang w:val="zh-CN"/>
        </w:rPr>
      </w:pPr>
    </w:p>
    <w:p>
      <w:pPr>
        <w:rPr>
          <w:rFonts w:hint="eastAsia"/>
          <w:color w:val="auto"/>
          <w:lang w:val="zh-CN"/>
        </w:rPr>
      </w:pPr>
    </w:p>
    <w:p>
      <w:pPr>
        <w:rPr>
          <w:rFonts w:hint="eastAsia"/>
          <w:color w:val="auto"/>
          <w:lang w:val="zh-CN"/>
        </w:rPr>
      </w:pPr>
    </w:p>
    <w:p>
      <w:pPr>
        <w:rPr>
          <w:rFonts w:hint="eastAsia"/>
          <w:color w:val="auto"/>
          <w:lang w:val="zh-CN"/>
        </w:rPr>
      </w:pPr>
    </w:p>
    <w:p>
      <w:pPr>
        <w:rPr>
          <w:rFonts w:hint="eastAsia"/>
          <w:color w:val="auto"/>
          <w:lang w:val="zh-CN"/>
        </w:rPr>
      </w:pPr>
    </w:p>
    <w:p>
      <w:pPr>
        <w:rPr>
          <w:rFonts w:hint="eastAsia"/>
          <w:color w:val="auto"/>
          <w:lang w:val="zh-CN"/>
        </w:rPr>
      </w:pPr>
    </w:p>
    <w:p>
      <w:pPr>
        <w:rPr>
          <w:rFonts w:hint="eastAsia"/>
          <w:color w:val="auto"/>
          <w:lang w:val="zh-CN"/>
        </w:rPr>
      </w:pPr>
    </w:p>
    <w:p>
      <w:pPr>
        <w:rPr>
          <w:rFonts w:hint="eastAsia"/>
          <w:color w:val="auto"/>
          <w:lang w:val="zh-CN"/>
        </w:rPr>
      </w:pPr>
    </w:p>
    <w:p>
      <w:pPr>
        <w:rPr>
          <w:rFonts w:hint="eastAsia"/>
          <w:color w:val="auto"/>
          <w:lang w:val="zh-CN"/>
        </w:rPr>
      </w:pPr>
    </w:p>
    <w:p>
      <w:pPr>
        <w:autoSpaceDE w:val="0"/>
        <w:autoSpaceDN w:val="0"/>
        <w:adjustRightInd w:val="0"/>
        <w:spacing w:line="360" w:lineRule="auto"/>
        <w:jc w:val="center"/>
        <w:rPr>
          <w:rFonts w:hint="eastAsia" w:ascii="宋体" w:hAnsi="宋体" w:cs="宋体"/>
          <w:b/>
          <w:bCs/>
          <w:color w:val="auto"/>
          <w:kern w:val="0"/>
          <w:sz w:val="84"/>
          <w:szCs w:val="84"/>
        </w:rPr>
      </w:pPr>
      <w:r>
        <w:rPr>
          <w:rFonts w:hint="eastAsia" w:ascii="宋体" w:hAnsi="宋体" w:cs="宋体"/>
          <w:b/>
          <w:bCs/>
          <w:color w:val="auto"/>
          <w:kern w:val="0"/>
          <w:sz w:val="84"/>
          <w:szCs w:val="84"/>
          <w:lang w:val="zh-CN"/>
        </w:rPr>
        <w:t>公开招标文件</w:t>
      </w:r>
    </w:p>
    <w:p>
      <w:pPr>
        <w:autoSpaceDE w:val="0"/>
        <w:autoSpaceDN w:val="0"/>
        <w:adjustRightInd w:val="0"/>
        <w:spacing w:line="360" w:lineRule="auto"/>
        <w:jc w:val="center"/>
        <w:rPr>
          <w:rFonts w:hint="eastAsia" w:ascii="宋体" w:hAnsi="宋体" w:cs="宋体"/>
          <w:color w:val="auto"/>
          <w:kern w:val="0"/>
          <w:sz w:val="36"/>
          <w:szCs w:val="36"/>
        </w:rPr>
      </w:pPr>
    </w:p>
    <w:p>
      <w:pPr>
        <w:autoSpaceDE w:val="0"/>
        <w:autoSpaceDN w:val="0"/>
        <w:adjustRightInd w:val="0"/>
        <w:spacing w:line="360" w:lineRule="auto"/>
        <w:jc w:val="left"/>
        <w:rPr>
          <w:rFonts w:hint="eastAsia" w:ascii="宋体" w:hAnsi="宋体" w:cs="宋体"/>
          <w:color w:val="auto"/>
          <w:kern w:val="0"/>
          <w:sz w:val="36"/>
          <w:szCs w:val="36"/>
          <w:u w:val="dotDash"/>
        </w:rPr>
      </w:pPr>
    </w:p>
    <w:p>
      <w:pPr>
        <w:autoSpaceDE w:val="0"/>
        <w:autoSpaceDN w:val="0"/>
        <w:adjustRightInd w:val="0"/>
        <w:spacing w:line="360" w:lineRule="auto"/>
        <w:jc w:val="left"/>
        <w:rPr>
          <w:rFonts w:hint="eastAsia" w:ascii="宋体" w:hAnsi="宋体" w:cs="宋体"/>
          <w:color w:val="auto"/>
          <w:kern w:val="0"/>
          <w:sz w:val="36"/>
          <w:szCs w:val="36"/>
          <w:u w:val="dotDash"/>
        </w:rPr>
      </w:pPr>
    </w:p>
    <w:p>
      <w:pPr>
        <w:autoSpaceDE w:val="0"/>
        <w:autoSpaceDN w:val="0"/>
        <w:adjustRightInd w:val="0"/>
        <w:spacing w:line="360" w:lineRule="auto"/>
        <w:jc w:val="left"/>
        <w:rPr>
          <w:rFonts w:hint="default" w:ascii="宋体" w:hAnsi="宋体" w:eastAsia="宋体" w:cs="宋体"/>
          <w:b/>
          <w:bCs/>
          <w:color w:val="auto"/>
          <w:kern w:val="0"/>
          <w:sz w:val="32"/>
          <w:szCs w:val="32"/>
          <w:lang w:val="en-US" w:eastAsia="zh-CN"/>
        </w:rPr>
      </w:pPr>
      <w:r>
        <w:rPr>
          <w:rFonts w:hint="eastAsia" w:ascii="宋体" w:hAnsi="宋体" w:cs="宋体"/>
          <w:b/>
          <w:bCs/>
          <w:color w:val="auto"/>
          <w:kern w:val="0"/>
          <w:sz w:val="32"/>
          <w:szCs w:val="32"/>
          <w:lang w:val="zh-CN"/>
        </w:rPr>
        <w:t>项</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val="zh-CN"/>
        </w:rPr>
        <w:t>目</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val="zh-CN"/>
        </w:rPr>
        <w:t>编</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val="zh-CN"/>
        </w:rPr>
        <w:t>号</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val="zh-CN"/>
        </w:rPr>
        <w:t>：青海旭诚公招（货物）2023-027</w:t>
      </w:r>
    </w:p>
    <w:p>
      <w:pPr>
        <w:autoSpaceDE w:val="0"/>
        <w:autoSpaceDN w:val="0"/>
        <w:adjustRightInd w:val="0"/>
        <w:spacing w:line="360" w:lineRule="auto"/>
        <w:ind w:left="2249" w:hanging="2249" w:hangingChars="700"/>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lang w:val="zh-CN"/>
        </w:rPr>
        <w:t>项</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val="zh-CN"/>
        </w:rPr>
        <w:t>目</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val="zh-CN"/>
        </w:rPr>
        <w:t>名</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val="zh-CN"/>
        </w:rPr>
        <w:t>称</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lang w:val="zh-CN"/>
        </w:rPr>
        <w:t>：青海柴达木职业技术学院应用化工技术专业群双高建设项目</w:t>
      </w:r>
    </w:p>
    <w:p>
      <w:pPr>
        <w:autoSpaceDE w:val="0"/>
        <w:autoSpaceDN w:val="0"/>
        <w:adjustRightInd w:val="0"/>
        <w:spacing w:line="360" w:lineRule="auto"/>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lang w:eastAsia="zh-CN"/>
        </w:rPr>
        <w:t>招</w:t>
      </w:r>
      <w:r>
        <w:rPr>
          <w:rFonts w:hint="eastAsia" w:ascii="宋体" w:hAnsi="宋体" w:cs="宋体"/>
          <w:b/>
          <w:bCs/>
          <w:color w:val="auto"/>
          <w:kern w:val="0"/>
          <w:sz w:val="32"/>
          <w:szCs w:val="32"/>
        </w:rPr>
        <w:t xml:space="preserve">   </w:t>
      </w:r>
      <w:r>
        <w:rPr>
          <w:rFonts w:hint="eastAsia" w:ascii="宋体" w:hAnsi="宋体" w:cs="宋体"/>
          <w:b/>
          <w:bCs/>
          <w:color w:val="auto"/>
          <w:kern w:val="0"/>
          <w:sz w:val="32"/>
          <w:szCs w:val="32"/>
          <w:lang w:eastAsia="zh-CN"/>
        </w:rPr>
        <w:t>标</w:t>
      </w:r>
      <w:r>
        <w:rPr>
          <w:rFonts w:hint="eastAsia" w:ascii="宋体" w:hAnsi="宋体" w:cs="宋体"/>
          <w:b/>
          <w:bCs/>
          <w:color w:val="auto"/>
          <w:kern w:val="0"/>
          <w:sz w:val="32"/>
          <w:szCs w:val="32"/>
        </w:rPr>
        <w:t xml:space="preserve">   </w:t>
      </w:r>
      <w:r>
        <w:rPr>
          <w:rFonts w:hint="eastAsia" w:ascii="宋体" w:hAnsi="宋体" w:cs="宋体"/>
          <w:b/>
          <w:bCs/>
          <w:color w:val="auto"/>
          <w:kern w:val="0"/>
          <w:sz w:val="32"/>
          <w:szCs w:val="32"/>
          <w:lang w:val="zh-CN"/>
        </w:rPr>
        <w:t>人：</w:t>
      </w:r>
      <w:r>
        <w:rPr>
          <w:rFonts w:hint="eastAsia" w:ascii="宋体" w:hAnsi="宋体" w:cs="宋体"/>
          <w:b/>
          <w:bCs/>
          <w:color w:val="auto"/>
          <w:kern w:val="0"/>
          <w:sz w:val="32"/>
          <w:szCs w:val="32"/>
          <w:lang w:val="en-US" w:eastAsia="zh-CN"/>
        </w:rPr>
        <w:t>青海柴达木职业技术学院</w:t>
      </w:r>
      <w:r>
        <w:rPr>
          <w:rFonts w:hint="eastAsia" w:ascii="宋体" w:hAnsi="宋体" w:cs="宋体"/>
          <w:b/>
          <w:bCs/>
          <w:color w:val="auto"/>
          <w:kern w:val="0"/>
          <w:sz w:val="32"/>
          <w:szCs w:val="32"/>
          <w:lang w:eastAsia="zh-CN"/>
        </w:rPr>
        <w:t xml:space="preserve"> </w:t>
      </w:r>
    </w:p>
    <w:p>
      <w:pPr>
        <w:autoSpaceDE w:val="0"/>
        <w:autoSpaceDN w:val="0"/>
        <w:adjustRightInd w:val="0"/>
        <w:spacing w:line="360" w:lineRule="auto"/>
        <w:rPr>
          <w:rFonts w:hint="eastAsia" w:ascii="宋体" w:hAnsi="宋体" w:cs="宋体"/>
          <w:b/>
          <w:bCs/>
          <w:color w:val="auto"/>
          <w:kern w:val="0"/>
          <w:sz w:val="32"/>
          <w:szCs w:val="32"/>
          <w:lang w:val="zh-CN"/>
        </w:rPr>
      </w:pPr>
      <w:r>
        <w:rPr>
          <w:rFonts w:hint="eastAsia" w:ascii="宋体" w:hAnsi="宋体" w:cs="宋体"/>
          <w:b/>
          <w:bCs/>
          <w:color w:val="auto"/>
          <w:kern w:val="0"/>
          <w:sz w:val="32"/>
          <w:szCs w:val="32"/>
          <w:lang w:val="zh-CN"/>
        </w:rPr>
        <w:t>招标代理机构：青海旭诚工程项目管理有限公司</w:t>
      </w:r>
    </w:p>
    <w:p>
      <w:pPr>
        <w:autoSpaceDE w:val="0"/>
        <w:autoSpaceDN w:val="0"/>
        <w:adjustRightInd w:val="0"/>
        <w:spacing w:line="360" w:lineRule="auto"/>
        <w:jc w:val="center"/>
        <w:rPr>
          <w:rFonts w:hint="eastAsia" w:ascii="宋体" w:hAnsi="宋体" w:cs="宋体"/>
          <w:b/>
          <w:bCs/>
          <w:color w:val="auto"/>
          <w:kern w:val="0"/>
          <w:sz w:val="32"/>
          <w:szCs w:val="32"/>
          <w:lang w:val="zh-CN"/>
        </w:rPr>
      </w:pPr>
    </w:p>
    <w:p>
      <w:pPr>
        <w:autoSpaceDE w:val="0"/>
        <w:autoSpaceDN w:val="0"/>
        <w:adjustRightInd w:val="0"/>
        <w:spacing w:line="360" w:lineRule="auto"/>
        <w:jc w:val="center"/>
        <w:rPr>
          <w:rFonts w:hint="eastAsia" w:ascii="宋体" w:hAnsi="宋体" w:cs="宋体"/>
          <w:b/>
          <w:bCs/>
          <w:color w:val="auto"/>
          <w:kern w:val="0"/>
          <w:sz w:val="32"/>
          <w:szCs w:val="32"/>
          <w:lang w:val="zh-CN"/>
        </w:rPr>
      </w:pPr>
    </w:p>
    <w:p>
      <w:pPr>
        <w:autoSpaceDE w:val="0"/>
        <w:autoSpaceDN w:val="0"/>
        <w:adjustRightInd w:val="0"/>
        <w:spacing w:line="360" w:lineRule="auto"/>
        <w:jc w:val="center"/>
        <w:rPr>
          <w:rFonts w:hint="eastAsia" w:ascii="宋体" w:hAnsi="宋体" w:cs="宋体"/>
          <w:b/>
          <w:color w:val="auto"/>
          <w:sz w:val="40"/>
          <w:szCs w:val="30"/>
        </w:rPr>
      </w:pPr>
      <w:r>
        <w:rPr>
          <w:rFonts w:hint="eastAsia" w:ascii="宋体" w:hAnsi="宋体" w:cs="宋体"/>
          <w:b/>
          <w:bCs/>
          <w:color w:val="auto"/>
          <w:kern w:val="0"/>
          <w:sz w:val="32"/>
          <w:szCs w:val="32"/>
          <w:highlight w:val="none"/>
          <w:lang w:val="en-US" w:eastAsia="zh-CN"/>
        </w:rPr>
        <w:t>2023</w:t>
      </w:r>
      <w:r>
        <w:rPr>
          <w:rFonts w:hint="eastAsia" w:ascii="宋体" w:hAnsi="宋体" w:cs="宋体"/>
          <w:b/>
          <w:bCs/>
          <w:color w:val="auto"/>
          <w:kern w:val="0"/>
          <w:sz w:val="32"/>
          <w:szCs w:val="32"/>
          <w:highlight w:val="none"/>
          <w:lang w:val="zh-CN" w:eastAsia="zh-CN"/>
        </w:rPr>
        <w:t>年</w:t>
      </w:r>
      <w:r>
        <w:rPr>
          <w:rFonts w:hint="eastAsia" w:ascii="宋体" w:hAnsi="宋体" w:cs="宋体"/>
          <w:b/>
          <w:bCs/>
          <w:color w:val="auto"/>
          <w:kern w:val="0"/>
          <w:sz w:val="32"/>
          <w:szCs w:val="32"/>
          <w:highlight w:val="none"/>
          <w:lang w:val="en-US" w:eastAsia="zh-CN"/>
        </w:rPr>
        <w:t>7</w:t>
      </w:r>
      <w:r>
        <w:rPr>
          <w:rFonts w:hint="eastAsia" w:ascii="宋体" w:hAnsi="宋体" w:cs="宋体"/>
          <w:b/>
          <w:bCs/>
          <w:color w:val="auto"/>
          <w:kern w:val="0"/>
          <w:sz w:val="32"/>
          <w:szCs w:val="32"/>
          <w:highlight w:val="none"/>
          <w:lang w:val="zh-CN" w:eastAsia="zh-CN"/>
        </w:rPr>
        <w:t>月</w:t>
      </w:r>
      <w:r>
        <w:rPr>
          <w:rFonts w:hint="eastAsia" w:ascii="宋体" w:hAnsi="宋体" w:cs="宋体"/>
          <w:b/>
          <w:color w:val="auto"/>
          <w:sz w:val="40"/>
          <w:szCs w:val="30"/>
        </w:rPr>
        <w:br w:type="page"/>
      </w:r>
    </w:p>
    <w:p>
      <w:pPr>
        <w:rPr>
          <w:rFonts w:hint="eastAsia"/>
          <w:color w:val="auto"/>
        </w:rPr>
      </w:pPr>
    </w:p>
    <w:p>
      <w:pPr>
        <w:rPr>
          <w:rFonts w:hint="eastAsia"/>
          <w:color w:val="auto"/>
        </w:rPr>
      </w:pPr>
    </w:p>
    <w:p>
      <w:pPr>
        <w:autoSpaceDE w:val="0"/>
        <w:autoSpaceDN w:val="0"/>
        <w:adjustRightInd w:val="0"/>
        <w:spacing w:line="360" w:lineRule="auto"/>
        <w:jc w:val="center"/>
        <w:rPr>
          <w:rFonts w:hint="eastAsia" w:ascii="宋体" w:hAnsi="宋体" w:cs="宋体"/>
          <w:b/>
          <w:color w:val="auto"/>
          <w:sz w:val="40"/>
          <w:szCs w:val="30"/>
        </w:rPr>
      </w:pPr>
      <w:r>
        <w:rPr>
          <w:rFonts w:hint="eastAsia" w:ascii="宋体" w:hAnsi="宋体" w:cs="宋体"/>
          <w:b/>
          <w:color w:val="auto"/>
          <w:sz w:val="40"/>
          <w:szCs w:val="30"/>
        </w:rPr>
        <w:t>目  录</w:t>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bCs w:val="0"/>
          <w:color w:val="auto"/>
          <w:kern w:val="0"/>
          <w:sz w:val="21"/>
          <w:szCs w:val="21"/>
        </w:rPr>
        <w:fldChar w:fldCharType="begin"/>
      </w:r>
      <w:r>
        <w:rPr>
          <w:rStyle w:val="36"/>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color w:val="auto"/>
          <w:kern w:val="0"/>
          <w:sz w:val="21"/>
          <w:szCs w:val="21"/>
        </w:rPr>
        <w:fldChar w:fldCharType="separate"/>
      </w:r>
      <w:r>
        <w:rPr>
          <w:rFonts w:hint="eastAsia" w:ascii="宋体" w:hAnsi="宋体" w:cs="宋体"/>
          <w:b w:val="0"/>
          <w:color w:val="auto"/>
          <w:kern w:val="0"/>
          <w:szCs w:val="21"/>
        </w:rPr>
        <w:fldChar w:fldCharType="begin"/>
      </w:r>
      <w:r>
        <w:rPr>
          <w:rFonts w:hint="eastAsia" w:ascii="宋体" w:hAnsi="宋体" w:cs="宋体"/>
          <w:b w:val="0"/>
          <w:color w:val="auto"/>
          <w:kern w:val="0"/>
          <w:szCs w:val="21"/>
        </w:rPr>
        <w:instrText xml:space="preserve"> HYPERLINK \l _Toc15510 </w:instrText>
      </w:r>
      <w:r>
        <w:rPr>
          <w:rFonts w:hint="eastAsia" w:ascii="宋体" w:hAnsi="宋体" w:cs="宋体"/>
          <w:b w:val="0"/>
          <w:color w:val="auto"/>
          <w:kern w:val="0"/>
          <w:szCs w:val="21"/>
        </w:rPr>
        <w:fldChar w:fldCharType="separate"/>
      </w:r>
      <w:r>
        <w:rPr>
          <w:rFonts w:hint="eastAsia" w:ascii="宋体" w:hAnsi="宋体" w:cs="宋体"/>
          <w:b w:val="0"/>
          <w:color w:val="auto"/>
          <w:szCs w:val="36"/>
          <w:lang w:val="zh-CN"/>
        </w:rPr>
        <w:t>第一部分  投标邀请</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_Toc15510 </w:instrText>
      </w:r>
      <w:r>
        <w:rPr>
          <w:rFonts w:hint="eastAsia" w:ascii="宋体" w:hAnsi="宋体" w:cs="宋体"/>
          <w:b w:val="0"/>
          <w:color w:val="auto"/>
        </w:rPr>
        <w:fldChar w:fldCharType="separate"/>
      </w:r>
      <w:r>
        <w:rPr>
          <w:rFonts w:hint="eastAsia" w:ascii="宋体" w:hAnsi="宋体" w:cs="宋体"/>
          <w:b w:val="0"/>
          <w:color w:val="auto"/>
        </w:rPr>
        <w:t>5</w:t>
      </w:r>
      <w:r>
        <w:rPr>
          <w:rFonts w:hint="eastAsia" w:ascii="宋体" w:hAnsi="宋体" w:cs="宋体"/>
          <w:b w:val="0"/>
          <w:color w:val="auto"/>
        </w:rPr>
        <w:fldChar w:fldCharType="end"/>
      </w:r>
      <w:r>
        <w:rPr>
          <w:rFonts w:hint="eastAsia" w:ascii="宋体" w:hAnsi="宋体" w:cs="宋体"/>
          <w:b w:val="0"/>
          <w:color w:val="auto"/>
          <w:kern w:val="0"/>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_Toc21334 </w:instrText>
      </w:r>
      <w:r>
        <w:rPr>
          <w:rFonts w:hint="eastAsia" w:ascii="宋体" w:hAnsi="宋体" w:cs="宋体"/>
          <w:b w:val="0"/>
          <w:color w:val="auto"/>
          <w:szCs w:val="21"/>
        </w:rPr>
        <w:fldChar w:fldCharType="separate"/>
      </w:r>
      <w:r>
        <w:rPr>
          <w:rFonts w:hint="eastAsia" w:ascii="宋体" w:hAnsi="宋体" w:cs="宋体"/>
          <w:b w:val="0"/>
          <w:color w:val="auto"/>
          <w:szCs w:val="36"/>
          <w:lang w:val="zh-CN"/>
        </w:rPr>
        <w:t>第二部分  投标人须知</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_Toc21334 </w:instrText>
      </w:r>
      <w:r>
        <w:rPr>
          <w:rFonts w:hint="eastAsia" w:ascii="宋体" w:hAnsi="宋体" w:cs="宋体"/>
          <w:b w:val="0"/>
          <w:color w:val="auto"/>
        </w:rPr>
        <w:fldChar w:fldCharType="separate"/>
      </w:r>
      <w:r>
        <w:rPr>
          <w:rFonts w:hint="eastAsia" w:ascii="宋体" w:hAnsi="宋体" w:cs="宋体"/>
          <w:b w:val="0"/>
          <w:color w:val="auto"/>
        </w:rPr>
        <w:t>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_Toc6910 </w:instrText>
      </w:r>
      <w:r>
        <w:rPr>
          <w:rFonts w:hint="eastAsia" w:ascii="宋体" w:hAnsi="宋体" w:cs="宋体"/>
          <w:b w:val="0"/>
          <w:color w:val="auto"/>
          <w:szCs w:val="21"/>
        </w:rPr>
        <w:fldChar w:fldCharType="separate"/>
      </w:r>
      <w:r>
        <w:rPr>
          <w:rFonts w:hint="eastAsia" w:ascii="宋体" w:hAnsi="宋体" w:cs="宋体"/>
          <w:b w:val="0"/>
          <w:color w:val="auto"/>
          <w:lang w:val="zh-CN"/>
        </w:rPr>
        <w:t>一、说明</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_Toc6910 </w:instrText>
      </w:r>
      <w:r>
        <w:rPr>
          <w:rFonts w:hint="eastAsia" w:ascii="宋体" w:hAnsi="宋体" w:cs="宋体"/>
          <w:b w:val="0"/>
          <w:color w:val="auto"/>
        </w:rPr>
        <w:fldChar w:fldCharType="separate"/>
      </w:r>
      <w:r>
        <w:rPr>
          <w:rFonts w:hint="eastAsia" w:ascii="宋体" w:hAnsi="宋体" w:cs="宋体"/>
          <w:b w:val="0"/>
          <w:color w:val="auto"/>
        </w:rPr>
        <w:t>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_Toc17791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1.适用范围</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_Toc17791 </w:instrText>
      </w:r>
      <w:r>
        <w:rPr>
          <w:rFonts w:hint="eastAsia" w:ascii="宋体" w:hAnsi="宋体" w:cs="宋体"/>
          <w:b w:val="0"/>
          <w:color w:val="auto"/>
        </w:rPr>
        <w:fldChar w:fldCharType="separate"/>
      </w:r>
      <w:r>
        <w:rPr>
          <w:rFonts w:hint="eastAsia" w:ascii="宋体" w:hAnsi="宋体" w:cs="宋体"/>
          <w:b w:val="0"/>
          <w:color w:val="auto"/>
        </w:rPr>
        <w:t>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_Toc4607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2.采购方式、合格的投标人</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_Toc4607 </w:instrText>
      </w:r>
      <w:r>
        <w:rPr>
          <w:rFonts w:hint="eastAsia" w:ascii="宋体" w:hAnsi="宋体" w:cs="宋体"/>
          <w:b w:val="0"/>
          <w:color w:val="auto"/>
        </w:rPr>
        <w:fldChar w:fldCharType="separate"/>
      </w:r>
      <w:r>
        <w:rPr>
          <w:rFonts w:hint="eastAsia" w:ascii="宋体" w:hAnsi="宋体" w:cs="宋体"/>
          <w:b w:val="0"/>
          <w:color w:val="auto"/>
        </w:rPr>
        <w:t>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_Toc5925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3.投标费用</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_Toc5925 </w:instrText>
      </w:r>
      <w:r>
        <w:rPr>
          <w:rFonts w:hint="eastAsia" w:ascii="宋体" w:hAnsi="宋体" w:cs="宋体"/>
          <w:b w:val="0"/>
          <w:color w:val="auto"/>
        </w:rPr>
        <w:fldChar w:fldCharType="separate"/>
      </w:r>
      <w:r>
        <w:rPr>
          <w:rFonts w:hint="eastAsia" w:ascii="宋体" w:hAnsi="宋体" w:cs="宋体"/>
          <w:b w:val="0"/>
          <w:color w:val="auto"/>
        </w:rPr>
        <w:t>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_Toc7095 </w:instrText>
      </w:r>
      <w:r>
        <w:rPr>
          <w:rFonts w:hint="eastAsia" w:ascii="宋体" w:hAnsi="宋体" w:cs="宋体"/>
          <w:b w:val="0"/>
          <w:color w:val="auto"/>
          <w:szCs w:val="21"/>
        </w:rPr>
        <w:fldChar w:fldCharType="separate"/>
      </w:r>
      <w:r>
        <w:rPr>
          <w:rFonts w:hint="eastAsia" w:ascii="宋体" w:hAnsi="宋体" w:cs="宋体"/>
          <w:b w:val="0"/>
          <w:color w:val="auto"/>
          <w:lang w:val="zh-CN"/>
        </w:rPr>
        <w:t>二、招标文件说明</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_Toc7095 </w:instrText>
      </w:r>
      <w:r>
        <w:rPr>
          <w:rFonts w:hint="eastAsia" w:ascii="宋体" w:hAnsi="宋体" w:cs="宋体"/>
          <w:b w:val="0"/>
          <w:color w:val="auto"/>
        </w:rPr>
        <w:fldChar w:fldCharType="separate"/>
      </w:r>
      <w:r>
        <w:rPr>
          <w:rFonts w:hint="eastAsia" w:ascii="宋体" w:hAnsi="宋体" w:cs="宋体"/>
          <w:b w:val="0"/>
          <w:color w:val="auto"/>
        </w:rPr>
        <w:t>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_Toc5670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4.招标文件的构成</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_Toc5670 </w:instrText>
      </w:r>
      <w:r>
        <w:rPr>
          <w:rFonts w:hint="eastAsia" w:ascii="宋体" w:hAnsi="宋体" w:cs="宋体"/>
          <w:b w:val="0"/>
          <w:color w:val="auto"/>
        </w:rPr>
        <w:fldChar w:fldCharType="separate"/>
      </w:r>
      <w:r>
        <w:rPr>
          <w:rFonts w:hint="eastAsia" w:ascii="宋体" w:hAnsi="宋体" w:cs="宋体"/>
          <w:b w:val="0"/>
          <w:color w:val="auto"/>
        </w:rPr>
        <w:t>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_Toc470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5.招标公告、招标文件、采购活动和中标结果的质疑</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_Toc470 </w:instrText>
      </w:r>
      <w:r>
        <w:rPr>
          <w:rFonts w:hint="eastAsia" w:ascii="宋体" w:hAnsi="宋体" w:cs="宋体"/>
          <w:b w:val="0"/>
          <w:color w:val="auto"/>
        </w:rPr>
        <w:fldChar w:fldCharType="separate"/>
      </w:r>
      <w:r>
        <w:rPr>
          <w:rFonts w:hint="eastAsia" w:ascii="宋体" w:hAnsi="宋体" w:cs="宋体"/>
          <w:b w:val="0"/>
          <w:color w:val="auto"/>
        </w:rPr>
        <w:t>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_Toc4990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6.招标文件的澄清或修改</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_Toc4990 </w:instrText>
      </w:r>
      <w:r>
        <w:rPr>
          <w:rFonts w:hint="eastAsia" w:ascii="宋体" w:hAnsi="宋体" w:cs="宋体"/>
          <w:b w:val="0"/>
          <w:color w:val="auto"/>
        </w:rPr>
        <w:fldChar w:fldCharType="separate"/>
      </w:r>
      <w:r>
        <w:rPr>
          <w:rFonts w:hint="eastAsia" w:ascii="宋体" w:hAnsi="宋体" w:cs="宋体"/>
          <w:b w:val="0"/>
          <w:color w:val="auto"/>
        </w:rPr>
        <w:t>9</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_Toc28495 </w:instrText>
      </w:r>
      <w:r>
        <w:rPr>
          <w:rFonts w:hint="eastAsia" w:ascii="宋体" w:hAnsi="宋体" w:cs="宋体"/>
          <w:b w:val="0"/>
          <w:color w:val="auto"/>
          <w:szCs w:val="21"/>
        </w:rPr>
        <w:fldChar w:fldCharType="separate"/>
      </w:r>
      <w:r>
        <w:rPr>
          <w:rFonts w:hint="eastAsia" w:ascii="宋体" w:hAnsi="宋体" w:cs="宋体"/>
          <w:b w:val="0"/>
          <w:color w:val="auto"/>
          <w:lang w:val="zh-CN"/>
        </w:rPr>
        <w:t>三、投标文件的编制</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_Toc28495 </w:instrText>
      </w:r>
      <w:r>
        <w:rPr>
          <w:rFonts w:hint="eastAsia" w:ascii="宋体" w:hAnsi="宋体" w:cs="宋体"/>
          <w:b w:val="0"/>
          <w:color w:val="auto"/>
        </w:rPr>
        <w:fldChar w:fldCharType="separate"/>
      </w:r>
      <w:r>
        <w:rPr>
          <w:rFonts w:hint="eastAsia" w:ascii="宋体" w:hAnsi="宋体" w:cs="宋体"/>
          <w:b w:val="0"/>
          <w:color w:val="auto"/>
        </w:rPr>
        <w:t>9</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_Toc15532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7.投标文件的语言及度量衡单位</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_Toc15532 </w:instrText>
      </w:r>
      <w:r>
        <w:rPr>
          <w:rFonts w:hint="eastAsia" w:ascii="宋体" w:hAnsi="宋体" w:cs="宋体"/>
          <w:b w:val="0"/>
          <w:color w:val="auto"/>
        </w:rPr>
        <w:fldChar w:fldCharType="separate"/>
      </w:r>
      <w:r>
        <w:rPr>
          <w:rFonts w:hint="eastAsia" w:ascii="宋体" w:hAnsi="宋体" w:cs="宋体"/>
          <w:b w:val="0"/>
          <w:color w:val="auto"/>
        </w:rPr>
        <w:t>9</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_Toc14490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8.投标报价及币种</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_Toc14490 </w:instrText>
      </w:r>
      <w:r>
        <w:rPr>
          <w:rFonts w:hint="eastAsia" w:ascii="宋体" w:hAnsi="宋体" w:cs="宋体"/>
          <w:b w:val="0"/>
          <w:color w:val="auto"/>
        </w:rPr>
        <w:fldChar w:fldCharType="separate"/>
      </w:r>
      <w:r>
        <w:rPr>
          <w:rFonts w:hint="eastAsia" w:ascii="宋体" w:hAnsi="宋体" w:cs="宋体"/>
          <w:b w:val="0"/>
          <w:color w:val="auto"/>
        </w:rPr>
        <w:t>10</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_Toc17781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9.投标保证金</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_Toc17781 </w:instrText>
      </w:r>
      <w:r>
        <w:rPr>
          <w:rFonts w:hint="eastAsia" w:ascii="宋体" w:hAnsi="宋体" w:cs="宋体"/>
          <w:b w:val="0"/>
          <w:color w:val="auto"/>
        </w:rPr>
        <w:fldChar w:fldCharType="separate"/>
      </w:r>
      <w:r>
        <w:rPr>
          <w:rFonts w:hint="eastAsia" w:ascii="宋体" w:hAnsi="宋体" w:cs="宋体"/>
          <w:b w:val="0"/>
          <w:color w:val="auto"/>
        </w:rPr>
        <w:t>10</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_Toc22242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10.投标有效期</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_Toc22242 </w:instrText>
      </w:r>
      <w:r>
        <w:rPr>
          <w:rFonts w:hint="eastAsia" w:ascii="宋体" w:hAnsi="宋体" w:cs="宋体"/>
          <w:b w:val="0"/>
          <w:color w:val="auto"/>
        </w:rPr>
        <w:fldChar w:fldCharType="separate"/>
      </w:r>
      <w:r>
        <w:rPr>
          <w:rFonts w:hint="eastAsia" w:ascii="宋体" w:hAnsi="宋体" w:cs="宋体"/>
          <w:b w:val="0"/>
          <w:color w:val="auto"/>
        </w:rPr>
        <w:t>11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_Toc3280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11.投标文件构成</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_Toc3280 </w:instrText>
      </w:r>
      <w:r>
        <w:rPr>
          <w:rFonts w:hint="eastAsia" w:ascii="宋体" w:hAnsi="宋体" w:cs="宋体"/>
          <w:b w:val="0"/>
          <w:color w:val="auto"/>
        </w:rPr>
        <w:fldChar w:fldCharType="separate"/>
      </w:r>
      <w:r>
        <w:rPr>
          <w:rFonts w:hint="eastAsia" w:ascii="宋体" w:hAnsi="宋体" w:cs="宋体"/>
          <w:b w:val="0"/>
          <w:color w:val="auto"/>
        </w:rPr>
        <w:t>11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_Toc13786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12.投标文件的编制要求</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_Toc13786 </w:instrText>
      </w:r>
      <w:r>
        <w:rPr>
          <w:rFonts w:hint="eastAsia" w:ascii="宋体" w:hAnsi="宋体" w:cs="宋体"/>
          <w:b w:val="0"/>
          <w:color w:val="auto"/>
        </w:rPr>
        <w:fldChar w:fldCharType="separate"/>
      </w:r>
      <w:r>
        <w:rPr>
          <w:rFonts w:hint="eastAsia" w:ascii="宋体" w:hAnsi="宋体" w:cs="宋体"/>
          <w:b w:val="0"/>
          <w:color w:val="auto"/>
        </w:rPr>
        <w:t>12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_Toc32237 </w:instrText>
      </w:r>
      <w:r>
        <w:rPr>
          <w:rFonts w:hint="eastAsia" w:ascii="宋体" w:hAnsi="宋体" w:cs="宋体"/>
          <w:b w:val="0"/>
          <w:color w:val="auto"/>
          <w:szCs w:val="21"/>
        </w:rPr>
        <w:fldChar w:fldCharType="separate"/>
      </w:r>
      <w:r>
        <w:rPr>
          <w:rFonts w:hint="eastAsia" w:ascii="宋体" w:hAnsi="宋体" w:cs="宋体"/>
          <w:b w:val="0"/>
          <w:color w:val="auto"/>
          <w:lang w:val="zh-CN"/>
        </w:rPr>
        <w:t>四、投标文件的提交</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_Toc32237 </w:instrText>
      </w:r>
      <w:r>
        <w:rPr>
          <w:rFonts w:hint="eastAsia" w:ascii="宋体" w:hAnsi="宋体" w:cs="宋体"/>
          <w:b w:val="0"/>
          <w:color w:val="auto"/>
        </w:rPr>
        <w:fldChar w:fldCharType="separate"/>
      </w:r>
      <w:r>
        <w:rPr>
          <w:rFonts w:hint="eastAsia" w:ascii="宋体" w:hAnsi="宋体" w:cs="宋体"/>
          <w:b w:val="0"/>
          <w:color w:val="auto"/>
        </w:rPr>
        <w:t>12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_Toc12562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13.投标文件的密封和标记</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_Toc12562 </w:instrText>
      </w:r>
      <w:r>
        <w:rPr>
          <w:rFonts w:hint="eastAsia" w:ascii="宋体" w:hAnsi="宋体" w:cs="宋体"/>
          <w:b w:val="0"/>
          <w:color w:val="auto"/>
        </w:rPr>
        <w:fldChar w:fldCharType="separate"/>
      </w:r>
      <w:r>
        <w:rPr>
          <w:rFonts w:hint="eastAsia" w:ascii="宋体" w:hAnsi="宋体" w:cs="宋体"/>
          <w:b w:val="0"/>
          <w:color w:val="auto"/>
        </w:rPr>
        <w:t>12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_Toc14008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14.提交投标文件的时间、地点、方式</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_Toc14008 </w:instrText>
      </w:r>
      <w:r>
        <w:rPr>
          <w:rFonts w:hint="eastAsia" w:ascii="宋体" w:hAnsi="宋体" w:cs="宋体"/>
          <w:b w:val="0"/>
          <w:color w:val="auto"/>
        </w:rPr>
        <w:fldChar w:fldCharType="separate"/>
      </w:r>
      <w:r>
        <w:rPr>
          <w:rFonts w:hint="eastAsia" w:ascii="宋体" w:hAnsi="宋体" w:cs="宋体"/>
          <w:b w:val="0"/>
          <w:color w:val="auto"/>
        </w:rPr>
        <w:t>12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_Toc17656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15.投标文件的补充、修改或者撤回</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_Toc17656 </w:instrText>
      </w:r>
      <w:r>
        <w:rPr>
          <w:rFonts w:hint="eastAsia" w:ascii="宋体" w:hAnsi="宋体" w:cs="宋体"/>
          <w:b w:val="0"/>
          <w:color w:val="auto"/>
        </w:rPr>
        <w:fldChar w:fldCharType="separate"/>
      </w:r>
      <w:r>
        <w:rPr>
          <w:rFonts w:hint="eastAsia" w:ascii="宋体" w:hAnsi="宋体" w:cs="宋体"/>
          <w:b w:val="0"/>
          <w:color w:val="auto"/>
        </w:rPr>
        <w:t>12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_Toc1872 </w:instrText>
      </w:r>
      <w:r>
        <w:rPr>
          <w:rFonts w:hint="eastAsia" w:ascii="宋体" w:hAnsi="宋体" w:cs="宋体"/>
          <w:b w:val="0"/>
          <w:color w:val="auto"/>
          <w:szCs w:val="21"/>
        </w:rPr>
        <w:fldChar w:fldCharType="separate"/>
      </w:r>
      <w:r>
        <w:rPr>
          <w:rFonts w:hint="eastAsia" w:ascii="宋体" w:hAnsi="宋体" w:cs="宋体"/>
          <w:b w:val="0"/>
          <w:color w:val="auto"/>
          <w:lang w:val="zh-CN"/>
        </w:rPr>
        <w:t>五、开标</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_Toc1872 </w:instrText>
      </w:r>
      <w:r>
        <w:rPr>
          <w:rFonts w:hint="eastAsia" w:ascii="宋体" w:hAnsi="宋体" w:cs="宋体"/>
          <w:b w:val="0"/>
          <w:color w:val="auto"/>
        </w:rPr>
        <w:fldChar w:fldCharType="separate"/>
      </w:r>
      <w:r>
        <w:rPr>
          <w:rFonts w:hint="eastAsia" w:ascii="宋体" w:hAnsi="宋体" w:cs="宋体"/>
          <w:b w:val="0"/>
          <w:color w:val="auto"/>
        </w:rPr>
        <w:t>12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_Toc22769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16.开标</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_Toc22769 </w:instrText>
      </w:r>
      <w:r>
        <w:rPr>
          <w:rFonts w:hint="eastAsia" w:ascii="宋体" w:hAnsi="宋体" w:cs="宋体"/>
          <w:b w:val="0"/>
          <w:color w:val="auto"/>
        </w:rPr>
        <w:fldChar w:fldCharType="separate"/>
      </w:r>
      <w:r>
        <w:rPr>
          <w:rFonts w:hint="eastAsia" w:ascii="宋体" w:hAnsi="宋体" w:cs="宋体"/>
          <w:b w:val="0"/>
          <w:color w:val="auto"/>
        </w:rPr>
        <w:t>12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_Toc14913 </w:instrText>
      </w:r>
      <w:r>
        <w:rPr>
          <w:rFonts w:hint="eastAsia" w:ascii="宋体" w:hAnsi="宋体" w:cs="宋体"/>
          <w:b w:val="0"/>
          <w:color w:val="auto"/>
          <w:szCs w:val="21"/>
        </w:rPr>
        <w:fldChar w:fldCharType="separate"/>
      </w:r>
      <w:r>
        <w:rPr>
          <w:rFonts w:hint="eastAsia" w:ascii="宋体" w:hAnsi="宋体" w:cs="宋体"/>
          <w:b w:val="0"/>
          <w:color w:val="auto"/>
          <w:kern w:val="0"/>
          <w:szCs w:val="36"/>
        </w:rPr>
        <w:t>六、资格</w:t>
      </w:r>
      <w:r>
        <w:rPr>
          <w:rFonts w:hint="eastAsia" w:ascii="宋体" w:hAnsi="宋体" w:cs="宋体"/>
          <w:b w:val="0"/>
          <w:color w:val="auto"/>
          <w:lang w:val="zh-CN"/>
        </w:rPr>
        <w:t>审查</w:t>
      </w:r>
      <w:r>
        <w:rPr>
          <w:rFonts w:hint="eastAsia" w:ascii="宋体" w:hAnsi="宋体" w:cs="宋体"/>
          <w:b w:val="0"/>
          <w:color w:val="auto"/>
          <w:kern w:val="0"/>
          <w:szCs w:val="36"/>
        </w:rPr>
        <w:t>程序及方法</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_Toc14913 </w:instrText>
      </w:r>
      <w:r>
        <w:rPr>
          <w:rFonts w:hint="eastAsia" w:ascii="宋体" w:hAnsi="宋体" w:cs="宋体"/>
          <w:b w:val="0"/>
          <w:color w:val="auto"/>
        </w:rPr>
        <w:fldChar w:fldCharType="separate"/>
      </w:r>
      <w:r>
        <w:rPr>
          <w:rFonts w:hint="eastAsia" w:ascii="宋体" w:hAnsi="宋体" w:cs="宋体"/>
          <w:b w:val="0"/>
          <w:color w:val="auto"/>
        </w:rPr>
        <w:t>13</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_Toc29485 </w:instrText>
      </w:r>
      <w:r>
        <w:rPr>
          <w:rFonts w:hint="eastAsia" w:ascii="宋体" w:hAnsi="宋体" w:cs="宋体"/>
          <w:b w:val="0"/>
          <w:color w:val="auto"/>
          <w:szCs w:val="21"/>
        </w:rPr>
        <w:fldChar w:fldCharType="separate"/>
      </w:r>
      <w:r>
        <w:rPr>
          <w:rFonts w:hint="eastAsia" w:ascii="宋体" w:hAnsi="宋体" w:cs="宋体"/>
          <w:b w:val="0"/>
          <w:color w:val="auto"/>
          <w:szCs w:val="28"/>
        </w:rPr>
        <w:t>17.资格审查</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_Toc29485 </w:instrText>
      </w:r>
      <w:r>
        <w:rPr>
          <w:rFonts w:hint="eastAsia" w:ascii="宋体" w:hAnsi="宋体" w:cs="宋体"/>
          <w:b w:val="0"/>
          <w:color w:val="auto"/>
        </w:rPr>
        <w:fldChar w:fldCharType="separate"/>
      </w:r>
      <w:r>
        <w:rPr>
          <w:rFonts w:hint="eastAsia" w:ascii="宋体" w:hAnsi="宋体" w:cs="宋体"/>
          <w:b w:val="0"/>
          <w:color w:val="auto"/>
        </w:rPr>
        <w:t>13</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_Toc21380 </w:instrText>
      </w:r>
      <w:r>
        <w:rPr>
          <w:rFonts w:hint="eastAsia" w:ascii="宋体" w:hAnsi="宋体" w:cs="宋体"/>
          <w:b w:val="0"/>
          <w:color w:val="auto"/>
          <w:szCs w:val="21"/>
        </w:rPr>
        <w:fldChar w:fldCharType="separate"/>
      </w:r>
      <w:r>
        <w:rPr>
          <w:rFonts w:hint="eastAsia" w:ascii="宋体" w:hAnsi="宋体" w:cs="宋体"/>
          <w:b w:val="0"/>
          <w:color w:val="auto"/>
          <w:lang w:val="zh-CN"/>
        </w:rPr>
        <w:t>七、评审程序及方法</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_Toc21380 </w:instrText>
      </w:r>
      <w:r>
        <w:rPr>
          <w:rFonts w:hint="eastAsia" w:ascii="宋体" w:hAnsi="宋体" w:cs="宋体"/>
          <w:b w:val="0"/>
          <w:color w:val="auto"/>
        </w:rPr>
        <w:fldChar w:fldCharType="separate"/>
      </w:r>
      <w:r>
        <w:rPr>
          <w:rFonts w:hint="eastAsia" w:ascii="宋体" w:hAnsi="宋体" w:cs="宋体"/>
          <w:b w:val="0"/>
          <w:color w:val="auto"/>
        </w:rPr>
        <w:t>14</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_Toc27681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1</w:t>
      </w:r>
      <w:r>
        <w:rPr>
          <w:rFonts w:hint="eastAsia" w:ascii="宋体" w:hAnsi="宋体" w:cs="宋体"/>
          <w:b w:val="0"/>
          <w:color w:val="auto"/>
          <w:szCs w:val="28"/>
        </w:rPr>
        <w:t>8</w:t>
      </w:r>
      <w:r>
        <w:rPr>
          <w:rFonts w:hint="eastAsia" w:ascii="宋体" w:hAnsi="宋体" w:cs="宋体"/>
          <w:b w:val="0"/>
          <w:color w:val="auto"/>
          <w:szCs w:val="28"/>
          <w:lang w:val="zh-CN"/>
        </w:rPr>
        <w:t>.评标委员会</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_Toc27681 </w:instrText>
      </w:r>
      <w:r>
        <w:rPr>
          <w:rFonts w:hint="eastAsia" w:ascii="宋体" w:hAnsi="宋体" w:cs="宋体"/>
          <w:b w:val="0"/>
          <w:color w:val="auto"/>
        </w:rPr>
        <w:fldChar w:fldCharType="separate"/>
      </w:r>
      <w:r>
        <w:rPr>
          <w:rFonts w:hint="eastAsia" w:ascii="宋体" w:hAnsi="宋体" w:cs="宋体"/>
          <w:b w:val="0"/>
          <w:color w:val="auto"/>
        </w:rPr>
        <w:t>14</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_Toc9364 </w:instrText>
      </w:r>
      <w:r>
        <w:rPr>
          <w:rFonts w:hint="eastAsia" w:ascii="宋体" w:hAnsi="宋体" w:cs="宋体"/>
          <w:b w:val="0"/>
          <w:color w:val="auto"/>
          <w:szCs w:val="21"/>
        </w:rPr>
        <w:fldChar w:fldCharType="separate"/>
      </w:r>
      <w:r>
        <w:rPr>
          <w:rFonts w:hint="eastAsia" w:ascii="宋体" w:hAnsi="宋体" w:cs="宋体"/>
          <w:b w:val="0"/>
          <w:color w:val="auto"/>
          <w:szCs w:val="28"/>
        </w:rPr>
        <w:t>19</w:t>
      </w:r>
      <w:r>
        <w:rPr>
          <w:rFonts w:hint="eastAsia" w:ascii="宋体" w:hAnsi="宋体" w:cs="宋体"/>
          <w:b w:val="0"/>
          <w:color w:val="auto"/>
          <w:szCs w:val="28"/>
          <w:lang w:val="zh-CN"/>
        </w:rPr>
        <w:t>.评审工作程序</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_Toc9364 </w:instrText>
      </w:r>
      <w:r>
        <w:rPr>
          <w:rFonts w:hint="eastAsia" w:ascii="宋体" w:hAnsi="宋体" w:cs="宋体"/>
          <w:b w:val="0"/>
          <w:color w:val="auto"/>
        </w:rPr>
        <w:fldChar w:fldCharType="separate"/>
      </w:r>
      <w:r>
        <w:rPr>
          <w:rFonts w:hint="eastAsia" w:ascii="宋体" w:hAnsi="宋体" w:cs="宋体"/>
          <w:b w:val="0"/>
          <w:color w:val="auto"/>
        </w:rPr>
        <w:t>16</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_Toc9933 </w:instrText>
      </w:r>
      <w:r>
        <w:rPr>
          <w:rFonts w:hint="eastAsia" w:ascii="宋体" w:hAnsi="宋体" w:cs="宋体"/>
          <w:b w:val="0"/>
          <w:color w:val="auto"/>
          <w:szCs w:val="21"/>
        </w:rPr>
        <w:fldChar w:fldCharType="separate"/>
      </w:r>
      <w:r>
        <w:rPr>
          <w:rFonts w:hint="eastAsia" w:ascii="宋体" w:hAnsi="宋体" w:cs="宋体"/>
          <w:b w:val="0"/>
          <w:color w:val="auto"/>
          <w:szCs w:val="28"/>
        </w:rPr>
        <w:t>20</w:t>
      </w:r>
      <w:r>
        <w:rPr>
          <w:rFonts w:hint="eastAsia" w:ascii="宋体" w:hAnsi="宋体" w:cs="宋体"/>
          <w:b w:val="0"/>
          <w:color w:val="auto"/>
          <w:szCs w:val="28"/>
          <w:lang w:val="zh-CN"/>
        </w:rPr>
        <w:t>.评审方法和标准</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_Toc9933 </w:instrText>
      </w:r>
      <w:r>
        <w:rPr>
          <w:rFonts w:hint="eastAsia" w:ascii="宋体" w:hAnsi="宋体" w:cs="宋体"/>
          <w:b w:val="0"/>
          <w:color w:val="auto"/>
        </w:rPr>
        <w:fldChar w:fldCharType="separate"/>
      </w:r>
      <w:r>
        <w:rPr>
          <w:rFonts w:hint="eastAsia" w:ascii="宋体" w:hAnsi="宋体" w:cs="宋体"/>
          <w:b w:val="0"/>
          <w:color w:val="auto"/>
        </w:rPr>
        <w:t>18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_Toc17946 </w:instrText>
      </w:r>
      <w:r>
        <w:rPr>
          <w:rFonts w:hint="eastAsia" w:ascii="宋体" w:hAnsi="宋体" w:cs="宋体"/>
          <w:b w:val="0"/>
          <w:color w:val="auto"/>
          <w:szCs w:val="21"/>
        </w:rPr>
        <w:fldChar w:fldCharType="separate"/>
      </w:r>
      <w:r>
        <w:rPr>
          <w:rFonts w:hint="eastAsia" w:ascii="宋体" w:hAnsi="宋体" w:cs="宋体"/>
          <w:b w:val="0"/>
          <w:color w:val="auto"/>
          <w:lang w:val="zh-CN"/>
        </w:rPr>
        <w:t>八、中标</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_Toc17946 </w:instrText>
      </w:r>
      <w:r>
        <w:rPr>
          <w:rFonts w:hint="eastAsia" w:ascii="宋体" w:hAnsi="宋体" w:cs="宋体"/>
          <w:b w:val="0"/>
          <w:color w:val="auto"/>
        </w:rPr>
        <w:fldChar w:fldCharType="separate"/>
      </w:r>
      <w:r>
        <w:rPr>
          <w:rFonts w:hint="eastAsia" w:ascii="宋体" w:hAnsi="宋体" w:cs="宋体"/>
          <w:b w:val="0"/>
          <w:color w:val="auto"/>
        </w:rPr>
        <w:t>21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_Toc15417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2</w:t>
      </w:r>
      <w:r>
        <w:rPr>
          <w:rFonts w:hint="eastAsia" w:ascii="宋体" w:hAnsi="宋体" w:cs="宋体"/>
          <w:b w:val="0"/>
          <w:color w:val="auto"/>
          <w:szCs w:val="28"/>
        </w:rPr>
        <w:t>1</w:t>
      </w:r>
      <w:r>
        <w:rPr>
          <w:rFonts w:hint="eastAsia" w:ascii="宋体" w:hAnsi="宋体" w:cs="宋体"/>
          <w:b w:val="0"/>
          <w:color w:val="auto"/>
          <w:szCs w:val="28"/>
          <w:lang w:val="zh-CN"/>
        </w:rPr>
        <w:t>.推荐并确定中标人</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_Toc15417 </w:instrText>
      </w:r>
      <w:r>
        <w:rPr>
          <w:rFonts w:hint="eastAsia" w:ascii="宋体" w:hAnsi="宋体" w:cs="宋体"/>
          <w:b w:val="0"/>
          <w:color w:val="auto"/>
        </w:rPr>
        <w:fldChar w:fldCharType="separate"/>
      </w:r>
      <w:r>
        <w:rPr>
          <w:rFonts w:hint="eastAsia" w:ascii="宋体" w:hAnsi="宋体" w:cs="宋体"/>
          <w:b w:val="0"/>
          <w:color w:val="auto"/>
        </w:rPr>
        <w:t>21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_Toc19450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2</w:t>
      </w:r>
      <w:r>
        <w:rPr>
          <w:rFonts w:hint="eastAsia" w:ascii="宋体" w:hAnsi="宋体" w:cs="宋体"/>
          <w:b w:val="0"/>
          <w:color w:val="auto"/>
          <w:szCs w:val="28"/>
        </w:rPr>
        <w:t>2</w:t>
      </w:r>
      <w:r>
        <w:rPr>
          <w:rFonts w:hint="eastAsia" w:ascii="宋体" w:hAnsi="宋体" w:cs="宋体"/>
          <w:b w:val="0"/>
          <w:color w:val="auto"/>
          <w:szCs w:val="28"/>
          <w:lang w:val="zh-CN"/>
        </w:rPr>
        <w:t>.中标通知</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_Toc19450 </w:instrText>
      </w:r>
      <w:r>
        <w:rPr>
          <w:rFonts w:hint="eastAsia" w:ascii="宋体" w:hAnsi="宋体" w:cs="宋体"/>
          <w:b w:val="0"/>
          <w:color w:val="auto"/>
        </w:rPr>
        <w:fldChar w:fldCharType="separate"/>
      </w:r>
      <w:r>
        <w:rPr>
          <w:rFonts w:hint="eastAsia" w:ascii="宋体" w:hAnsi="宋体" w:cs="宋体"/>
          <w:b w:val="0"/>
          <w:color w:val="auto"/>
        </w:rPr>
        <w:t>21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_Toc15308 </w:instrText>
      </w:r>
      <w:r>
        <w:rPr>
          <w:rFonts w:hint="eastAsia" w:ascii="宋体" w:hAnsi="宋体" w:cs="宋体"/>
          <w:b w:val="0"/>
          <w:color w:val="auto"/>
          <w:szCs w:val="21"/>
        </w:rPr>
        <w:fldChar w:fldCharType="separate"/>
      </w:r>
      <w:r>
        <w:rPr>
          <w:rFonts w:hint="eastAsia" w:ascii="宋体" w:hAnsi="宋体" w:cs="宋体"/>
          <w:b w:val="0"/>
          <w:color w:val="auto"/>
          <w:lang w:val="zh-CN"/>
        </w:rPr>
        <w:t>九、授予合同</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_Toc15308 </w:instrText>
      </w:r>
      <w:r>
        <w:rPr>
          <w:rFonts w:hint="eastAsia" w:ascii="宋体" w:hAnsi="宋体" w:cs="宋体"/>
          <w:b w:val="0"/>
          <w:color w:val="auto"/>
        </w:rPr>
        <w:fldChar w:fldCharType="separate"/>
      </w:r>
      <w:r>
        <w:rPr>
          <w:rFonts w:hint="eastAsia" w:ascii="宋体" w:hAnsi="宋体" w:cs="宋体"/>
          <w:b w:val="0"/>
          <w:color w:val="auto"/>
        </w:rPr>
        <w:t>21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_Toc28360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2</w:t>
      </w:r>
      <w:r>
        <w:rPr>
          <w:rFonts w:hint="eastAsia" w:ascii="宋体" w:hAnsi="宋体" w:cs="宋体"/>
          <w:b w:val="0"/>
          <w:color w:val="auto"/>
          <w:szCs w:val="28"/>
        </w:rPr>
        <w:t>3</w:t>
      </w:r>
      <w:r>
        <w:rPr>
          <w:rFonts w:hint="eastAsia" w:ascii="宋体" w:hAnsi="宋体" w:cs="宋体"/>
          <w:b w:val="0"/>
          <w:color w:val="auto"/>
          <w:szCs w:val="28"/>
          <w:lang w:val="zh-CN"/>
        </w:rPr>
        <w:t>.签订合同</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_Toc28360 </w:instrText>
      </w:r>
      <w:r>
        <w:rPr>
          <w:rFonts w:hint="eastAsia" w:ascii="宋体" w:hAnsi="宋体" w:cs="宋体"/>
          <w:b w:val="0"/>
          <w:color w:val="auto"/>
        </w:rPr>
        <w:fldChar w:fldCharType="separate"/>
      </w:r>
      <w:r>
        <w:rPr>
          <w:rFonts w:hint="eastAsia" w:ascii="宋体" w:hAnsi="宋体" w:cs="宋体"/>
          <w:b w:val="0"/>
          <w:color w:val="auto"/>
        </w:rPr>
        <w:t>21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_Toc28523 </w:instrText>
      </w:r>
      <w:r>
        <w:rPr>
          <w:rFonts w:hint="eastAsia" w:ascii="宋体" w:hAnsi="宋体" w:cs="宋体"/>
          <w:b w:val="0"/>
          <w:color w:val="auto"/>
          <w:szCs w:val="21"/>
        </w:rPr>
        <w:fldChar w:fldCharType="separate"/>
      </w:r>
      <w:r>
        <w:rPr>
          <w:rFonts w:hint="eastAsia" w:ascii="宋体" w:hAnsi="宋体" w:cs="宋体"/>
          <w:b w:val="0"/>
          <w:color w:val="auto"/>
          <w:lang w:val="zh-CN"/>
        </w:rPr>
        <w:t>十、招标代理费</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_Toc28523 </w:instrText>
      </w:r>
      <w:r>
        <w:rPr>
          <w:rFonts w:hint="eastAsia" w:ascii="宋体" w:hAnsi="宋体" w:cs="宋体"/>
          <w:b w:val="0"/>
          <w:color w:val="auto"/>
        </w:rPr>
        <w:fldChar w:fldCharType="separate"/>
      </w:r>
      <w:r>
        <w:rPr>
          <w:rFonts w:hint="eastAsia" w:ascii="宋体" w:hAnsi="宋体" w:cs="宋体"/>
          <w:b w:val="0"/>
          <w:color w:val="auto"/>
        </w:rPr>
        <w:t>22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_Toc32241 </w:instrText>
      </w:r>
      <w:r>
        <w:rPr>
          <w:rFonts w:hint="eastAsia" w:ascii="宋体" w:hAnsi="宋体" w:cs="宋体"/>
          <w:b w:val="0"/>
          <w:color w:val="auto"/>
          <w:szCs w:val="21"/>
        </w:rPr>
        <w:fldChar w:fldCharType="separate"/>
      </w:r>
      <w:r>
        <w:rPr>
          <w:rFonts w:hint="eastAsia" w:ascii="宋体" w:hAnsi="宋体" w:cs="宋体"/>
          <w:b w:val="0"/>
          <w:color w:val="auto"/>
          <w:lang w:val="zh-CN"/>
        </w:rPr>
        <w:t>十一、其他</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_Toc32241 </w:instrText>
      </w:r>
      <w:r>
        <w:rPr>
          <w:rFonts w:hint="eastAsia" w:ascii="宋体" w:hAnsi="宋体" w:cs="宋体"/>
          <w:b w:val="0"/>
          <w:color w:val="auto"/>
        </w:rPr>
        <w:fldChar w:fldCharType="separate"/>
      </w:r>
      <w:r>
        <w:rPr>
          <w:rFonts w:hint="eastAsia" w:ascii="宋体" w:hAnsi="宋体" w:cs="宋体"/>
          <w:b w:val="0"/>
          <w:color w:val="auto"/>
        </w:rPr>
        <w:t>23</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_Toc18818 </w:instrText>
      </w:r>
      <w:r>
        <w:rPr>
          <w:rFonts w:hint="eastAsia" w:ascii="宋体" w:hAnsi="宋体" w:cs="宋体"/>
          <w:b w:val="0"/>
          <w:color w:val="auto"/>
          <w:szCs w:val="21"/>
        </w:rPr>
        <w:fldChar w:fldCharType="separate"/>
      </w:r>
      <w:r>
        <w:rPr>
          <w:rFonts w:hint="eastAsia" w:ascii="宋体" w:hAnsi="宋体" w:cs="宋体"/>
          <w:b w:val="0"/>
          <w:color w:val="auto"/>
          <w:szCs w:val="36"/>
          <w:lang w:val="zh-CN"/>
        </w:rPr>
        <w:t xml:space="preserve">第三部分 </w:t>
      </w:r>
      <w:r>
        <w:rPr>
          <w:rFonts w:hint="eastAsia" w:ascii="宋体" w:hAnsi="宋体" w:cs="宋体"/>
          <w:b w:val="0"/>
          <w:color w:val="auto"/>
          <w:szCs w:val="36"/>
        </w:rPr>
        <w:t xml:space="preserve"> </w:t>
      </w:r>
      <w:r>
        <w:rPr>
          <w:rFonts w:hint="eastAsia" w:ascii="宋体" w:hAnsi="宋体" w:cs="宋体"/>
          <w:b w:val="0"/>
          <w:color w:val="auto"/>
          <w:szCs w:val="36"/>
          <w:lang w:val="zh-CN"/>
        </w:rPr>
        <w:t>青海省政府采购项目合同书范本</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_Toc18818 </w:instrText>
      </w:r>
      <w:r>
        <w:rPr>
          <w:rFonts w:hint="eastAsia" w:ascii="宋体" w:hAnsi="宋体" w:cs="宋体"/>
          <w:b w:val="0"/>
          <w:color w:val="auto"/>
        </w:rPr>
        <w:fldChar w:fldCharType="separate"/>
      </w:r>
      <w:r>
        <w:rPr>
          <w:rFonts w:hint="eastAsia" w:ascii="宋体" w:hAnsi="宋体" w:cs="宋体"/>
          <w:b w:val="0"/>
          <w:color w:val="auto"/>
        </w:rPr>
        <w:t>25</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_Toc18457 </w:instrText>
      </w:r>
      <w:r>
        <w:rPr>
          <w:rFonts w:hint="eastAsia" w:ascii="宋体" w:hAnsi="宋体" w:cs="宋体"/>
          <w:b w:val="0"/>
          <w:color w:val="auto"/>
          <w:szCs w:val="21"/>
        </w:rPr>
        <w:fldChar w:fldCharType="separate"/>
      </w:r>
      <w:r>
        <w:rPr>
          <w:rFonts w:hint="eastAsia" w:ascii="宋体" w:hAnsi="宋体" w:cs="宋体"/>
          <w:b w:val="0"/>
          <w:color w:val="auto"/>
          <w:szCs w:val="36"/>
          <w:lang w:val="zh-CN"/>
        </w:rPr>
        <w:t>第四部分  投标文件格式</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_Toc18457 </w:instrText>
      </w:r>
      <w:r>
        <w:rPr>
          <w:rFonts w:hint="eastAsia" w:ascii="宋体" w:hAnsi="宋体" w:cs="宋体"/>
          <w:b w:val="0"/>
          <w:color w:val="auto"/>
        </w:rPr>
        <w:fldChar w:fldCharType="separate"/>
      </w:r>
      <w:r>
        <w:rPr>
          <w:rFonts w:hint="eastAsia" w:ascii="宋体" w:hAnsi="宋体" w:cs="宋体"/>
          <w:b w:val="0"/>
          <w:color w:val="auto"/>
        </w:rPr>
        <w:t>39</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_Toc5220 </w:instrText>
      </w:r>
      <w:r>
        <w:rPr>
          <w:rFonts w:hint="eastAsia" w:ascii="宋体" w:hAnsi="宋体" w:cs="宋体"/>
          <w:b w:val="0"/>
          <w:color w:val="auto"/>
          <w:szCs w:val="21"/>
        </w:rPr>
        <w:fldChar w:fldCharType="separate"/>
      </w:r>
      <w:r>
        <w:rPr>
          <w:rFonts w:hint="eastAsia" w:ascii="宋体" w:hAnsi="宋体" w:cs="宋体"/>
          <w:b w:val="0"/>
          <w:color w:val="auto"/>
          <w:szCs w:val="30"/>
          <w:lang w:val="zh-CN"/>
        </w:rPr>
        <w:t>资格审查文件封面（上册）</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_Toc5220 </w:instrText>
      </w:r>
      <w:r>
        <w:rPr>
          <w:rFonts w:hint="eastAsia" w:ascii="宋体" w:hAnsi="宋体" w:cs="宋体"/>
          <w:b w:val="0"/>
          <w:color w:val="auto"/>
        </w:rPr>
        <w:fldChar w:fldCharType="separate"/>
      </w:r>
      <w:r>
        <w:rPr>
          <w:rFonts w:hint="eastAsia" w:ascii="宋体" w:hAnsi="宋体" w:cs="宋体"/>
          <w:b w:val="0"/>
          <w:color w:val="auto"/>
        </w:rPr>
        <w:t>39</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_Toc21375 </w:instrText>
      </w:r>
      <w:r>
        <w:rPr>
          <w:rFonts w:hint="eastAsia" w:ascii="宋体" w:hAnsi="宋体" w:cs="宋体"/>
          <w:b w:val="0"/>
          <w:color w:val="auto"/>
          <w:szCs w:val="21"/>
        </w:rPr>
        <w:fldChar w:fldCharType="separate"/>
      </w:r>
      <w:r>
        <w:rPr>
          <w:rFonts w:hint="eastAsia" w:ascii="宋体" w:hAnsi="宋体" w:cs="宋体"/>
          <w:b w:val="0"/>
          <w:color w:val="auto"/>
          <w:szCs w:val="30"/>
          <w:lang w:val="zh-CN"/>
        </w:rPr>
        <w:t>资格审查文件目录（上册）</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_Toc21375 </w:instrText>
      </w:r>
      <w:r>
        <w:rPr>
          <w:rFonts w:hint="eastAsia" w:ascii="宋体" w:hAnsi="宋体" w:cs="宋体"/>
          <w:b w:val="0"/>
          <w:color w:val="auto"/>
        </w:rPr>
        <w:fldChar w:fldCharType="separate"/>
      </w:r>
      <w:r>
        <w:rPr>
          <w:rFonts w:hint="eastAsia" w:ascii="宋体" w:hAnsi="宋体" w:cs="宋体"/>
          <w:b w:val="0"/>
          <w:color w:val="auto"/>
        </w:rPr>
        <w:t>40</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_Toc30123 </w:instrText>
      </w:r>
      <w:r>
        <w:rPr>
          <w:rFonts w:hint="eastAsia" w:ascii="宋体" w:hAnsi="宋体" w:cs="宋体"/>
          <w:b w:val="0"/>
          <w:color w:val="auto"/>
          <w:szCs w:val="21"/>
        </w:rPr>
        <w:fldChar w:fldCharType="separate"/>
      </w:r>
      <w:r>
        <w:rPr>
          <w:rFonts w:hint="eastAsia" w:ascii="宋体" w:hAnsi="宋体" w:cs="宋体"/>
          <w:b w:val="0"/>
          <w:color w:val="auto"/>
          <w:szCs w:val="30"/>
        </w:rPr>
        <w:t>（1）</w:t>
      </w:r>
      <w:r>
        <w:rPr>
          <w:rFonts w:hint="eastAsia" w:ascii="宋体" w:hAnsi="宋体" w:cs="宋体"/>
          <w:b w:val="0"/>
          <w:color w:val="auto"/>
          <w:szCs w:val="30"/>
          <w:lang w:val="zh-CN"/>
        </w:rPr>
        <w:t>投标函</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_Toc30123 </w:instrText>
      </w:r>
      <w:r>
        <w:rPr>
          <w:rFonts w:hint="eastAsia" w:ascii="宋体" w:hAnsi="宋体" w:cs="宋体"/>
          <w:b w:val="0"/>
          <w:color w:val="auto"/>
        </w:rPr>
        <w:fldChar w:fldCharType="separate"/>
      </w:r>
      <w:r>
        <w:rPr>
          <w:rFonts w:hint="eastAsia" w:ascii="宋体" w:hAnsi="宋体" w:cs="宋体"/>
          <w:b w:val="0"/>
          <w:color w:val="auto"/>
        </w:rPr>
        <w:t>41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_Toc20067 </w:instrText>
      </w:r>
      <w:r>
        <w:rPr>
          <w:rFonts w:hint="eastAsia" w:ascii="宋体" w:hAnsi="宋体" w:cs="宋体"/>
          <w:b w:val="0"/>
          <w:color w:val="auto"/>
          <w:szCs w:val="21"/>
        </w:rPr>
        <w:fldChar w:fldCharType="separate"/>
      </w:r>
      <w:r>
        <w:rPr>
          <w:rFonts w:hint="eastAsia" w:ascii="宋体" w:hAnsi="宋体" w:cs="宋体"/>
          <w:b w:val="0"/>
          <w:color w:val="auto"/>
          <w:kern w:val="0"/>
          <w:szCs w:val="30"/>
          <w:lang w:val="zh-CN"/>
        </w:rPr>
        <w:t>（</w:t>
      </w:r>
      <w:r>
        <w:rPr>
          <w:rFonts w:hint="eastAsia" w:ascii="宋体" w:hAnsi="宋体" w:cs="宋体"/>
          <w:b w:val="0"/>
          <w:color w:val="auto"/>
          <w:kern w:val="0"/>
          <w:szCs w:val="30"/>
        </w:rPr>
        <w:t>2</w:t>
      </w:r>
      <w:r>
        <w:rPr>
          <w:rFonts w:hint="eastAsia" w:ascii="宋体" w:hAnsi="宋体" w:cs="宋体"/>
          <w:b w:val="0"/>
          <w:color w:val="auto"/>
          <w:kern w:val="0"/>
          <w:szCs w:val="30"/>
          <w:lang w:val="zh-CN"/>
        </w:rPr>
        <w:t>）</w:t>
      </w:r>
      <w:r>
        <w:rPr>
          <w:rFonts w:hint="eastAsia" w:ascii="宋体" w:hAnsi="宋体" w:cs="宋体"/>
          <w:b w:val="0"/>
          <w:color w:val="auto"/>
          <w:szCs w:val="30"/>
        </w:rPr>
        <w:t>法定代表人证明书</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_Toc20067 </w:instrText>
      </w:r>
      <w:r>
        <w:rPr>
          <w:rFonts w:hint="eastAsia" w:ascii="宋体" w:hAnsi="宋体" w:cs="宋体"/>
          <w:b w:val="0"/>
          <w:color w:val="auto"/>
        </w:rPr>
        <w:fldChar w:fldCharType="separate"/>
      </w:r>
      <w:r>
        <w:rPr>
          <w:rFonts w:hint="eastAsia" w:ascii="宋体" w:hAnsi="宋体" w:cs="宋体"/>
          <w:b w:val="0"/>
          <w:color w:val="auto"/>
        </w:rPr>
        <w:t>42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_Toc11636 </w:instrText>
      </w:r>
      <w:r>
        <w:rPr>
          <w:rFonts w:hint="eastAsia" w:ascii="宋体" w:hAnsi="宋体" w:cs="宋体"/>
          <w:b w:val="0"/>
          <w:color w:val="auto"/>
          <w:szCs w:val="21"/>
        </w:rPr>
        <w:fldChar w:fldCharType="separate"/>
      </w:r>
      <w:r>
        <w:rPr>
          <w:rFonts w:hint="eastAsia" w:ascii="宋体" w:hAnsi="宋体" w:cs="宋体"/>
          <w:b w:val="0"/>
          <w:color w:val="auto"/>
          <w:szCs w:val="30"/>
        </w:rPr>
        <w:t>（3）</w:t>
      </w:r>
      <w:r>
        <w:rPr>
          <w:rFonts w:hint="eastAsia" w:ascii="宋体" w:hAnsi="宋体" w:cs="宋体"/>
          <w:b w:val="0"/>
          <w:color w:val="auto"/>
          <w:szCs w:val="30"/>
          <w:lang w:val="zh-CN"/>
        </w:rPr>
        <w:t>法定代表人授权书</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_Toc11636 </w:instrText>
      </w:r>
      <w:r>
        <w:rPr>
          <w:rFonts w:hint="eastAsia" w:ascii="宋体" w:hAnsi="宋体" w:cs="宋体"/>
          <w:b w:val="0"/>
          <w:color w:val="auto"/>
        </w:rPr>
        <w:fldChar w:fldCharType="separate"/>
      </w:r>
      <w:r>
        <w:rPr>
          <w:rFonts w:hint="eastAsia" w:ascii="宋体" w:hAnsi="宋体" w:cs="宋体"/>
          <w:b w:val="0"/>
          <w:color w:val="auto"/>
        </w:rPr>
        <w:t>43</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_Toc8134 </w:instrText>
      </w:r>
      <w:r>
        <w:rPr>
          <w:rFonts w:hint="eastAsia" w:ascii="宋体" w:hAnsi="宋体" w:cs="宋体"/>
          <w:b w:val="0"/>
          <w:color w:val="auto"/>
          <w:szCs w:val="21"/>
        </w:rPr>
        <w:fldChar w:fldCharType="separate"/>
      </w:r>
      <w:r>
        <w:rPr>
          <w:rFonts w:hint="eastAsia" w:ascii="宋体" w:hAnsi="宋体" w:cs="宋体"/>
          <w:b w:val="0"/>
          <w:color w:val="auto"/>
          <w:szCs w:val="30"/>
        </w:rPr>
        <w:t>（4）</w:t>
      </w:r>
      <w:r>
        <w:rPr>
          <w:rFonts w:hint="eastAsia" w:ascii="宋体" w:hAnsi="宋体" w:cs="宋体"/>
          <w:b w:val="0"/>
          <w:color w:val="auto"/>
          <w:szCs w:val="30"/>
          <w:lang w:val="zh-CN"/>
        </w:rPr>
        <w:t>投标人承诺函</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_Toc8134 </w:instrText>
      </w:r>
      <w:r>
        <w:rPr>
          <w:rFonts w:hint="eastAsia" w:ascii="宋体" w:hAnsi="宋体" w:cs="宋体"/>
          <w:b w:val="0"/>
          <w:color w:val="auto"/>
        </w:rPr>
        <w:fldChar w:fldCharType="separate"/>
      </w:r>
      <w:r>
        <w:rPr>
          <w:rFonts w:hint="eastAsia" w:ascii="宋体" w:hAnsi="宋体" w:cs="宋体"/>
          <w:b w:val="0"/>
          <w:color w:val="auto"/>
        </w:rPr>
        <w:t>44</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_Toc30898 </w:instrText>
      </w:r>
      <w:r>
        <w:rPr>
          <w:rFonts w:hint="eastAsia" w:ascii="宋体" w:hAnsi="宋体" w:cs="宋体"/>
          <w:b w:val="0"/>
          <w:color w:val="auto"/>
          <w:szCs w:val="21"/>
        </w:rPr>
        <w:fldChar w:fldCharType="separate"/>
      </w:r>
      <w:r>
        <w:rPr>
          <w:rFonts w:hint="eastAsia" w:ascii="宋体" w:hAnsi="宋体" w:cs="宋体"/>
          <w:b w:val="0"/>
          <w:color w:val="auto"/>
          <w:szCs w:val="30"/>
        </w:rPr>
        <w:t>（5）</w:t>
      </w:r>
      <w:r>
        <w:rPr>
          <w:rFonts w:hint="eastAsia" w:ascii="宋体" w:hAnsi="宋体" w:cs="宋体"/>
          <w:b w:val="0"/>
          <w:color w:val="auto"/>
          <w:szCs w:val="30"/>
          <w:lang w:val="zh-CN"/>
        </w:rPr>
        <w:t>投标人诚信承诺书</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_Toc30898 </w:instrText>
      </w:r>
      <w:r>
        <w:rPr>
          <w:rFonts w:hint="eastAsia" w:ascii="宋体" w:hAnsi="宋体" w:cs="宋体"/>
          <w:b w:val="0"/>
          <w:color w:val="auto"/>
        </w:rPr>
        <w:fldChar w:fldCharType="separate"/>
      </w:r>
      <w:r>
        <w:rPr>
          <w:rFonts w:hint="eastAsia" w:ascii="宋体" w:hAnsi="宋体" w:cs="宋体"/>
          <w:b w:val="0"/>
          <w:color w:val="auto"/>
        </w:rPr>
        <w:t>45</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_Toc762 </w:instrText>
      </w:r>
      <w:r>
        <w:rPr>
          <w:rFonts w:hint="eastAsia" w:ascii="宋体" w:hAnsi="宋体" w:cs="宋体"/>
          <w:b w:val="0"/>
          <w:color w:val="auto"/>
          <w:szCs w:val="21"/>
        </w:rPr>
        <w:fldChar w:fldCharType="separate"/>
      </w:r>
      <w:r>
        <w:rPr>
          <w:rFonts w:hint="eastAsia" w:ascii="宋体" w:hAnsi="宋体" w:cs="宋体"/>
          <w:b w:val="0"/>
          <w:color w:val="auto"/>
          <w:szCs w:val="30"/>
        </w:rPr>
        <w:t>（6）</w:t>
      </w:r>
      <w:r>
        <w:rPr>
          <w:rFonts w:hint="eastAsia" w:ascii="宋体" w:hAnsi="宋体" w:cs="宋体"/>
          <w:b w:val="0"/>
          <w:color w:val="auto"/>
          <w:szCs w:val="30"/>
          <w:lang w:val="zh-CN"/>
        </w:rPr>
        <w:t>资格证明材料</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_Toc762 </w:instrText>
      </w:r>
      <w:r>
        <w:rPr>
          <w:rFonts w:hint="eastAsia" w:ascii="宋体" w:hAnsi="宋体" w:cs="宋体"/>
          <w:b w:val="0"/>
          <w:color w:val="auto"/>
        </w:rPr>
        <w:fldChar w:fldCharType="separate"/>
      </w:r>
      <w:r>
        <w:rPr>
          <w:rFonts w:hint="eastAsia" w:ascii="宋体" w:hAnsi="宋体" w:cs="宋体"/>
          <w:b w:val="0"/>
          <w:color w:val="auto"/>
        </w:rPr>
        <w:t>46</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_Toc30447 </w:instrText>
      </w:r>
      <w:r>
        <w:rPr>
          <w:rFonts w:hint="eastAsia" w:ascii="宋体" w:hAnsi="宋体" w:cs="宋体"/>
          <w:b w:val="0"/>
          <w:color w:val="auto"/>
          <w:szCs w:val="21"/>
        </w:rPr>
        <w:fldChar w:fldCharType="separate"/>
      </w:r>
      <w:r>
        <w:rPr>
          <w:rFonts w:hint="eastAsia" w:ascii="宋体" w:hAnsi="宋体" w:cs="宋体"/>
          <w:b w:val="0"/>
          <w:color w:val="auto"/>
          <w:szCs w:val="30"/>
        </w:rPr>
        <w:t>（7）</w:t>
      </w:r>
      <w:r>
        <w:rPr>
          <w:rFonts w:hint="eastAsia" w:ascii="宋体" w:hAnsi="宋体" w:cs="宋体"/>
          <w:b w:val="0"/>
          <w:color w:val="auto"/>
          <w:szCs w:val="30"/>
          <w:lang w:val="zh-CN"/>
        </w:rPr>
        <w:t>财务状况报告，依法缴纳税收和社会保障资金的相关材料</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_Toc30447 </w:instrText>
      </w:r>
      <w:r>
        <w:rPr>
          <w:rFonts w:hint="eastAsia" w:ascii="宋体" w:hAnsi="宋体" w:cs="宋体"/>
          <w:b w:val="0"/>
          <w:color w:val="auto"/>
        </w:rPr>
        <w:fldChar w:fldCharType="separate"/>
      </w:r>
      <w:r>
        <w:rPr>
          <w:rFonts w:hint="eastAsia" w:ascii="宋体" w:hAnsi="宋体" w:cs="宋体"/>
          <w:b w:val="0"/>
          <w:color w:val="auto"/>
        </w:rPr>
        <w:t>47</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_Toc11481 </w:instrText>
      </w:r>
      <w:r>
        <w:rPr>
          <w:rFonts w:hint="eastAsia" w:ascii="宋体" w:hAnsi="宋体" w:cs="宋体"/>
          <w:b w:val="0"/>
          <w:color w:val="auto"/>
          <w:szCs w:val="21"/>
        </w:rPr>
        <w:fldChar w:fldCharType="separate"/>
      </w:r>
      <w:r>
        <w:rPr>
          <w:rFonts w:hint="eastAsia" w:ascii="宋体" w:hAnsi="宋体" w:cs="宋体"/>
          <w:b w:val="0"/>
          <w:color w:val="auto"/>
          <w:szCs w:val="30"/>
        </w:rPr>
        <w:t>（8）</w:t>
      </w:r>
      <w:r>
        <w:rPr>
          <w:rFonts w:hint="eastAsia" w:ascii="宋体" w:hAnsi="宋体" w:cs="宋体"/>
          <w:b w:val="0"/>
          <w:color w:val="auto"/>
          <w:szCs w:val="30"/>
          <w:lang w:val="zh-CN"/>
        </w:rPr>
        <w:t>具备履行合同所必需的设备和专业技术能力的证明材料</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_Toc11481 </w:instrText>
      </w:r>
      <w:r>
        <w:rPr>
          <w:rFonts w:hint="eastAsia" w:ascii="宋体" w:hAnsi="宋体" w:cs="宋体"/>
          <w:b w:val="0"/>
          <w:color w:val="auto"/>
        </w:rPr>
        <w:fldChar w:fldCharType="separate"/>
      </w:r>
      <w:r>
        <w:rPr>
          <w:rFonts w:hint="eastAsia" w:ascii="宋体" w:hAnsi="宋体" w:cs="宋体"/>
          <w:b w:val="0"/>
          <w:color w:val="auto"/>
        </w:rPr>
        <w:t>48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_Toc14127 </w:instrText>
      </w:r>
      <w:r>
        <w:rPr>
          <w:rFonts w:hint="eastAsia" w:ascii="宋体" w:hAnsi="宋体" w:cs="宋体"/>
          <w:b w:val="0"/>
          <w:color w:val="auto"/>
          <w:szCs w:val="21"/>
        </w:rPr>
        <w:fldChar w:fldCharType="separate"/>
      </w:r>
      <w:r>
        <w:rPr>
          <w:rFonts w:hint="eastAsia" w:ascii="宋体" w:hAnsi="宋体" w:cs="宋体"/>
          <w:b w:val="0"/>
          <w:color w:val="auto"/>
          <w:szCs w:val="30"/>
        </w:rPr>
        <w:t>（9）</w:t>
      </w:r>
      <w:r>
        <w:rPr>
          <w:rFonts w:hint="eastAsia" w:ascii="宋体" w:hAnsi="宋体" w:cs="宋体"/>
          <w:b w:val="0"/>
          <w:color w:val="auto"/>
          <w:szCs w:val="30"/>
          <w:lang w:val="zh-CN"/>
        </w:rPr>
        <w:t>无重大违法记录声明</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_Toc14127 </w:instrText>
      </w:r>
      <w:r>
        <w:rPr>
          <w:rFonts w:hint="eastAsia" w:ascii="宋体" w:hAnsi="宋体" w:cs="宋体"/>
          <w:b w:val="0"/>
          <w:color w:val="auto"/>
        </w:rPr>
        <w:fldChar w:fldCharType="separate"/>
      </w:r>
      <w:r>
        <w:rPr>
          <w:rFonts w:hint="eastAsia" w:ascii="宋体" w:hAnsi="宋体" w:cs="宋体"/>
          <w:b w:val="0"/>
          <w:color w:val="auto"/>
        </w:rPr>
        <w:t>49</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_Toc12195 </w:instrText>
      </w:r>
      <w:r>
        <w:rPr>
          <w:rFonts w:hint="eastAsia" w:ascii="宋体" w:hAnsi="宋体" w:cs="宋体"/>
          <w:b w:val="0"/>
          <w:color w:val="auto"/>
          <w:szCs w:val="21"/>
        </w:rPr>
        <w:fldChar w:fldCharType="separate"/>
      </w:r>
      <w:r>
        <w:rPr>
          <w:rFonts w:hint="eastAsia" w:ascii="宋体" w:hAnsi="宋体" w:cs="宋体"/>
          <w:b w:val="0"/>
          <w:color w:val="auto"/>
          <w:szCs w:val="30"/>
        </w:rPr>
        <w:t>（10）</w:t>
      </w:r>
      <w:r>
        <w:rPr>
          <w:rFonts w:hint="eastAsia" w:ascii="宋体" w:hAnsi="宋体" w:cs="宋体"/>
          <w:b w:val="0"/>
          <w:color w:val="auto"/>
          <w:szCs w:val="30"/>
          <w:lang w:val="zh-CN"/>
        </w:rPr>
        <w:t>投标保证金证明</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_Toc12195 </w:instrText>
      </w:r>
      <w:r>
        <w:rPr>
          <w:rFonts w:hint="eastAsia" w:ascii="宋体" w:hAnsi="宋体" w:cs="宋体"/>
          <w:b w:val="0"/>
          <w:color w:val="auto"/>
        </w:rPr>
        <w:fldChar w:fldCharType="separate"/>
      </w:r>
      <w:r>
        <w:rPr>
          <w:rFonts w:hint="eastAsia" w:ascii="宋体" w:hAnsi="宋体" w:cs="宋体"/>
          <w:b w:val="0"/>
          <w:color w:val="auto"/>
        </w:rPr>
        <w:t>50</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_Toc27859 </w:instrText>
      </w:r>
      <w:r>
        <w:rPr>
          <w:rFonts w:hint="eastAsia" w:ascii="宋体" w:hAnsi="宋体" w:cs="宋体"/>
          <w:b w:val="0"/>
          <w:color w:val="auto"/>
          <w:szCs w:val="21"/>
        </w:rPr>
        <w:fldChar w:fldCharType="separate"/>
      </w:r>
      <w:r>
        <w:rPr>
          <w:rFonts w:hint="eastAsia" w:ascii="宋体" w:hAnsi="宋体" w:cs="宋体"/>
          <w:b w:val="0"/>
          <w:color w:val="auto"/>
          <w:szCs w:val="30"/>
          <w:lang w:val="zh-CN"/>
        </w:rPr>
        <w:t>符合性审查文件（下册）</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_Toc27859 </w:instrText>
      </w:r>
      <w:r>
        <w:rPr>
          <w:rFonts w:hint="eastAsia" w:ascii="宋体" w:hAnsi="宋体" w:cs="宋体"/>
          <w:b w:val="0"/>
          <w:color w:val="auto"/>
        </w:rPr>
        <w:fldChar w:fldCharType="separate"/>
      </w:r>
      <w:r>
        <w:rPr>
          <w:rFonts w:hint="eastAsia" w:ascii="宋体" w:hAnsi="宋体" w:cs="宋体"/>
          <w:b w:val="0"/>
          <w:color w:val="auto"/>
        </w:rPr>
        <w:t>51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_Toc15054 </w:instrText>
      </w:r>
      <w:r>
        <w:rPr>
          <w:rFonts w:hint="eastAsia" w:ascii="宋体" w:hAnsi="宋体" w:cs="宋体"/>
          <w:b w:val="0"/>
          <w:color w:val="auto"/>
          <w:szCs w:val="21"/>
        </w:rPr>
        <w:fldChar w:fldCharType="separate"/>
      </w:r>
      <w:r>
        <w:rPr>
          <w:rFonts w:hint="eastAsia" w:ascii="宋体" w:hAnsi="宋体" w:cs="宋体"/>
          <w:b w:val="0"/>
          <w:color w:val="auto"/>
          <w:szCs w:val="30"/>
          <w:lang w:val="zh-CN"/>
        </w:rPr>
        <w:t>符合性审查文件目录（下册）</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_Toc15054 </w:instrText>
      </w:r>
      <w:r>
        <w:rPr>
          <w:rFonts w:hint="eastAsia" w:ascii="宋体" w:hAnsi="宋体" w:cs="宋体"/>
          <w:b w:val="0"/>
          <w:color w:val="auto"/>
        </w:rPr>
        <w:fldChar w:fldCharType="separate"/>
      </w:r>
      <w:r>
        <w:rPr>
          <w:rFonts w:hint="eastAsia" w:ascii="宋体" w:hAnsi="宋体" w:cs="宋体"/>
          <w:b w:val="0"/>
          <w:color w:val="auto"/>
        </w:rPr>
        <w:t>52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_Toc5294 </w:instrText>
      </w:r>
      <w:r>
        <w:rPr>
          <w:rFonts w:hint="eastAsia" w:ascii="宋体" w:hAnsi="宋体" w:cs="宋体"/>
          <w:b w:val="0"/>
          <w:color w:val="auto"/>
          <w:szCs w:val="21"/>
        </w:rPr>
        <w:fldChar w:fldCharType="separate"/>
      </w:r>
      <w:r>
        <w:rPr>
          <w:rFonts w:hint="eastAsia" w:ascii="宋体" w:hAnsi="宋体" w:cs="宋体"/>
          <w:b w:val="0"/>
          <w:color w:val="auto"/>
          <w:szCs w:val="30"/>
        </w:rPr>
        <w:t>（11）</w:t>
      </w:r>
      <w:r>
        <w:rPr>
          <w:rFonts w:hint="eastAsia" w:ascii="宋体" w:hAnsi="宋体" w:cs="宋体"/>
          <w:b w:val="0"/>
          <w:color w:val="auto"/>
          <w:szCs w:val="30"/>
          <w:lang w:val="zh-CN"/>
        </w:rPr>
        <w:t>评分对照表</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_Toc5294 </w:instrText>
      </w:r>
      <w:r>
        <w:rPr>
          <w:rFonts w:hint="eastAsia" w:ascii="宋体" w:hAnsi="宋体" w:cs="宋体"/>
          <w:b w:val="0"/>
          <w:color w:val="auto"/>
        </w:rPr>
        <w:fldChar w:fldCharType="separate"/>
      </w:r>
      <w:r>
        <w:rPr>
          <w:rFonts w:hint="eastAsia" w:ascii="宋体" w:hAnsi="宋体" w:cs="宋体"/>
          <w:b w:val="0"/>
          <w:color w:val="auto"/>
        </w:rPr>
        <w:t>53</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_Toc32331 </w:instrText>
      </w:r>
      <w:r>
        <w:rPr>
          <w:rFonts w:hint="eastAsia" w:ascii="宋体" w:hAnsi="宋体" w:cs="宋体"/>
          <w:b w:val="0"/>
          <w:color w:val="auto"/>
          <w:szCs w:val="21"/>
        </w:rPr>
        <w:fldChar w:fldCharType="separate"/>
      </w:r>
      <w:r>
        <w:rPr>
          <w:rFonts w:hint="eastAsia" w:ascii="宋体" w:hAnsi="宋体" w:cs="宋体"/>
          <w:b w:val="0"/>
          <w:color w:val="auto"/>
          <w:szCs w:val="30"/>
        </w:rPr>
        <w:t>（12）</w:t>
      </w:r>
      <w:r>
        <w:rPr>
          <w:rFonts w:hint="eastAsia" w:ascii="宋体" w:hAnsi="宋体" w:cs="宋体"/>
          <w:b w:val="0"/>
          <w:color w:val="auto"/>
          <w:szCs w:val="30"/>
          <w:lang w:val="zh-CN"/>
        </w:rPr>
        <w:t>开标一览表（报价表）</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_Toc32331 </w:instrText>
      </w:r>
      <w:r>
        <w:rPr>
          <w:rFonts w:hint="eastAsia" w:ascii="宋体" w:hAnsi="宋体" w:cs="宋体"/>
          <w:b w:val="0"/>
          <w:color w:val="auto"/>
        </w:rPr>
        <w:fldChar w:fldCharType="separate"/>
      </w:r>
      <w:r>
        <w:rPr>
          <w:rFonts w:hint="eastAsia" w:ascii="宋体" w:hAnsi="宋体" w:cs="宋体"/>
          <w:b w:val="0"/>
          <w:color w:val="auto"/>
        </w:rPr>
        <w:t>54</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_Toc21418 </w:instrText>
      </w:r>
      <w:r>
        <w:rPr>
          <w:rFonts w:hint="eastAsia" w:ascii="宋体" w:hAnsi="宋体" w:cs="宋体"/>
          <w:b w:val="0"/>
          <w:color w:val="auto"/>
          <w:szCs w:val="21"/>
        </w:rPr>
        <w:fldChar w:fldCharType="separate"/>
      </w:r>
      <w:r>
        <w:rPr>
          <w:rFonts w:hint="eastAsia" w:ascii="宋体" w:hAnsi="宋体" w:cs="宋体"/>
          <w:b w:val="0"/>
          <w:color w:val="auto"/>
          <w:szCs w:val="30"/>
        </w:rPr>
        <w:t>（13）</w:t>
      </w:r>
      <w:r>
        <w:rPr>
          <w:rFonts w:hint="eastAsia" w:ascii="宋体" w:hAnsi="宋体" w:cs="宋体"/>
          <w:b w:val="0"/>
          <w:color w:val="auto"/>
          <w:szCs w:val="30"/>
          <w:lang w:val="zh-CN"/>
        </w:rPr>
        <w:t>分项报价表</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_Toc21418 </w:instrText>
      </w:r>
      <w:r>
        <w:rPr>
          <w:rFonts w:hint="eastAsia" w:ascii="宋体" w:hAnsi="宋体" w:cs="宋体"/>
          <w:b w:val="0"/>
          <w:color w:val="auto"/>
        </w:rPr>
        <w:fldChar w:fldCharType="separate"/>
      </w:r>
      <w:r>
        <w:rPr>
          <w:rFonts w:hint="eastAsia" w:ascii="宋体" w:hAnsi="宋体" w:cs="宋体"/>
          <w:b w:val="0"/>
          <w:color w:val="auto"/>
        </w:rPr>
        <w:t>55</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_Toc29972 </w:instrText>
      </w:r>
      <w:r>
        <w:rPr>
          <w:rFonts w:hint="eastAsia" w:ascii="宋体" w:hAnsi="宋体" w:cs="宋体"/>
          <w:b w:val="0"/>
          <w:color w:val="auto"/>
          <w:szCs w:val="21"/>
        </w:rPr>
        <w:fldChar w:fldCharType="separate"/>
      </w:r>
      <w:r>
        <w:rPr>
          <w:rFonts w:hint="eastAsia" w:ascii="宋体" w:hAnsi="宋体" w:cs="宋体"/>
          <w:b w:val="0"/>
          <w:color w:val="auto"/>
          <w:szCs w:val="30"/>
        </w:rPr>
        <w:t>（14）</w:t>
      </w:r>
      <w:r>
        <w:rPr>
          <w:rFonts w:hint="eastAsia" w:ascii="宋体" w:hAnsi="宋体" w:cs="宋体"/>
          <w:b w:val="0"/>
          <w:color w:val="auto"/>
          <w:szCs w:val="30"/>
          <w:lang w:val="zh-CN"/>
        </w:rPr>
        <w:t>技术规格响应表</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_Toc29972 </w:instrText>
      </w:r>
      <w:r>
        <w:rPr>
          <w:rFonts w:hint="eastAsia" w:ascii="宋体" w:hAnsi="宋体" w:cs="宋体"/>
          <w:b w:val="0"/>
          <w:color w:val="auto"/>
        </w:rPr>
        <w:fldChar w:fldCharType="separate"/>
      </w:r>
      <w:r>
        <w:rPr>
          <w:rFonts w:hint="eastAsia" w:ascii="宋体" w:hAnsi="宋体" w:cs="宋体"/>
          <w:b w:val="0"/>
          <w:color w:val="auto"/>
        </w:rPr>
        <w:t>56</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_Toc25522 </w:instrText>
      </w:r>
      <w:r>
        <w:rPr>
          <w:rFonts w:hint="eastAsia" w:ascii="宋体" w:hAnsi="宋体" w:cs="宋体"/>
          <w:b w:val="0"/>
          <w:color w:val="auto"/>
          <w:szCs w:val="21"/>
        </w:rPr>
        <w:fldChar w:fldCharType="separate"/>
      </w:r>
      <w:r>
        <w:rPr>
          <w:rFonts w:hint="eastAsia" w:ascii="宋体" w:hAnsi="宋体" w:cs="宋体"/>
          <w:b w:val="0"/>
          <w:color w:val="auto"/>
          <w:szCs w:val="30"/>
        </w:rPr>
        <w:t>（15）</w:t>
      </w:r>
      <w:r>
        <w:rPr>
          <w:rFonts w:hint="eastAsia" w:ascii="宋体" w:hAnsi="宋体" w:cs="宋体"/>
          <w:b w:val="0"/>
          <w:color w:val="auto"/>
          <w:szCs w:val="30"/>
          <w:lang w:val="zh-CN"/>
        </w:rPr>
        <w:t>投标产品相关资料</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_Toc25522 </w:instrText>
      </w:r>
      <w:r>
        <w:rPr>
          <w:rFonts w:hint="eastAsia" w:ascii="宋体" w:hAnsi="宋体" w:cs="宋体"/>
          <w:b w:val="0"/>
          <w:color w:val="auto"/>
        </w:rPr>
        <w:fldChar w:fldCharType="separate"/>
      </w:r>
      <w:r>
        <w:rPr>
          <w:rFonts w:hint="eastAsia" w:ascii="宋体" w:hAnsi="宋体" w:cs="宋体"/>
          <w:b w:val="0"/>
          <w:color w:val="auto"/>
        </w:rPr>
        <w:t>57</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_Toc14585 </w:instrText>
      </w:r>
      <w:r>
        <w:rPr>
          <w:rFonts w:hint="eastAsia" w:ascii="宋体" w:hAnsi="宋体" w:cs="宋体"/>
          <w:b w:val="0"/>
          <w:color w:val="auto"/>
          <w:szCs w:val="21"/>
        </w:rPr>
        <w:fldChar w:fldCharType="separate"/>
      </w:r>
      <w:r>
        <w:rPr>
          <w:rFonts w:hint="eastAsia" w:ascii="宋体" w:hAnsi="宋体" w:cs="宋体"/>
          <w:b w:val="0"/>
          <w:color w:val="auto"/>
          <w:szCs w:val="30"/>
        </w:rPr>
        <w:t>（16）</w:t>
      </w:r>
      <w:r>
        <w:rPr>
          <w:rFonts w:hint="eastAsia" w:ascii="宋体" w:hAnsi="宋体" w:cs="宋体"/>
          <w:b w:val="0"/>
          <w:color w:val="auto"/>
          <w:szCs w:val="30"/>
          <w:lang w:val="zh-CN"/>
        </w:rPr>
        <w:t>投标人的类似业绩证明材料</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_Toc14585 </w:instrText>
      </w:r>
      <w:r>
        <w:rPr>
          <w:rFonts w:hint="eastAsia" w:ascii="宋体" w:hAnsi="宋体" w:cs="宋体"/>
          <w:b w:val="0"/>
          <w:color w:val="auto"/>
        </w:rPr>
        <w:fldChar w:fldCharType="separate"/>
      </w:r>
      <w:r>
        <w:rPr>
          <w:rFonts w:hint="eastAsia" w:ascii="宋体" w:hAnsi="宋体" w:cs="宋体"/>
          <w:b w:val="0"/>
          <w:color w:val="auto"/>
        </w:rPr>
        <w:t>58</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_Toc18610 </w:instrText>
      </w:r>
      <w:r>
        <w:rPr>
          <w:rFonts w:hint="eastAsia" w:ascii="宋体" w:hAnsi="宋体" w:cs="宋体"/>
          <w:b w:val="0"/>
          <w:color w:val="auto"/>
          <w:szCs w:val="21"/>
        </w:rPr>
        <w:fldChar w:fldCharType="separate"/>
      </w:r>
      <w:r>
        <w:rPr>
          <w:rFonts w:hint="eastAsia" w:ascii="宋体" w:hAnsi="宋体" w:cs="宋体"/>
          <w:b w:val="0"/>
          <w:color w:val="auto"/>
          <w:szCs w:val="30"/>
        </w:rPr>
        <w:t>（17.1）</w:t>
      </w:r>
      <w:r>
        <w:rPr>
          <w:rFonts w:hint="eastAsia" w:ascii="宋体" w:hAnsi="宋体" w:cs="宋体"/>
          <w:b w:val="0"/>
          <w:color w:val="auto"/>
          <w:szCs w:val="30"/>
          <w:lang w:val="zh-CN"/>
        </w:rPr>
        <w:t>中、小企业声明函</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_Toc18610 </w:instrText>
      </w:r>
      <w:r>
        <w:rPr>
          <w:rFonts w:hint="eastAsia" w:ascii="宋体" w:hAnsi="宋体" w:cs="宋体"/>
          <w:b w:val="0"/>
          <w:color w:val="auto"/>
        </w:rPr>
        <w:fldChar w:fldCharType="separate"/>
      </w:r>
      <w:r>
        <w:rPr>
          <w:rFonts w:hint="eastAsia" w:ascii="宋体" w:hAnsi="宋体" w:cs="宋体"/>
          <w:b w:val="0"/>
          <w:color w:val="auto"/>
        </w:rPr>
        <w:t>59</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_Toc20999 </w:instrText>
      </w:r>
      <w:r>
        <w:rPr>
          <w:rFonts w:hint="eastAsia" w:ascii="宋体" w:hAnsi="宋体" w:cs="宋体"/>
          <w:b w:val="0"/>
          <w:color w:val="auto"/>
          <w:szCs w:val="21"/>
        </w:rPr>
        <w:fldChar w:fldCharType="separate"/>
      </w:r>
      <w:r>
        <w:rPr>
          <w:rFonts w:hint="eastAsia" w:ascii="宋体" w:hAnsi="宋体" w:cs="宋体"/>
          <w:b w:val="0"/>
          <w:color w:val="auto"/>
          <w:szCs w:val="30"/>
        </w:rPr>
        <w:t>（17.2）</w:t>
      </w:r>
      <w:r>
        <w:rPr>
          <w:rFonts w:hint="eastAsia" w:ascii="宋体" w:hAnsi="宋体" w:cs="宋体"/>
          <w:b w:val="0"/>
          <w:color w:val="auto"/>
          <w:szCs w:val="30"/>
          <w:lang w:val="zh-CN"/>
        </w:rPr>
        <w:t>从业人员声明函</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_Toc20999 </w:instrText>
      </w:r>
      <w:r>
        <w:rPr>
          <w:rFonts w:hint="eastAsia" w:ascii="宋体" w:hAnsi="宋体" w:cs="宋体"/>
          <w:b w:val="0"/>
          <w:color w:val="auto"/>
        </w:rPr>
        <w:fldChar w:fldCharType="separate"/>
      </w:r>
      <w:r>
        <w:rPr>
          <w:rFonts w:hint="eastAsia" w:ascii="宋体" w:hAnsi="宋体" w:cs="宋体"/>
          <w:b w:val="0"/>
          <w:color w:val="auto"/>
        </w:rPr>
        <w:t>59</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_Toc5881 </w:instrText>
      </w:r>
      <w:r>
        <w:rPr>
          <w:rFonts w:hint="eastAsia" w:ascii="宋体" w:hAnsi="宋体" w:cs="宋体"/>
          <w:b w:val="0"/>
          <w:color w:val="auto"/>
          <w:szCs w:val="21"/>
        </w:rPr>
        <w:fldChar w:fldCharType="separate"/>
      </w:r>
      <w:r>
        <w:rPr>
          <w:rFonts w:hint="eastAsia" w:ascii="宋体" w:hAnsi="宋体" w:cs="宋体"/>
          <w:b w:val="0"/>
          <w:color w:val="auto"/>
          <w:szCs w:val="28"/>
          <w:lang w:val="zh-CN"/>
        </w:rPr>
        <w:t>（</w:t>
      </w:r>
      <w:r>
        <w:rPr>
          <w:rFonts w:hint="eastAsia" w:ascii="宋体" w:hAnsi="宋体" w:cs="宋体"/>
          <w:b w:val="0"/>
          <w:color w:val="auto"/>
          <w:szCs w:val="28"/>
        </w:rPr>
        <w:t>18</w:t>
      </w:r>
      <w:r>
        <w:rPr>
          <w:rFonts w:hint="eastAsia" w:ascii="宋体" w:hAnsi="宋体" w:cs="宋体"/>
          <w:b w:val="0"/>
          <w:color w:val="auto"/>
          <w:szCs w:val="28"/>
          <w:lang w:val="zh-CN"/>
        </w:rPr>
        <w:t>）</w:t>
      </w:r>
      <w:r>
        <w:rPr>
          <w:rFonts w:hint="eastAsia" w:ascii="宋体" w:hAnsi="宋体" w:cs="宋体"/>
          <w:b w:val="0"/>
          <w:color w:val="auto"/>
          <w:szCs w:val="30"/>
          <w:lang w:val="zh-CN"/>
        </w:rPr>
        <w:t>残疾人</w:t>
      </w:r>
      <w:r>
        <w:rPr>
          <w:rFonts w:hint="eastAsia" w:ascii="宋体" w:hAnsi="宋体" w:cs="宋体"/>
          <w:b w:val="0"/>
          <w:color w:val="auto"/>
          <w:szCs w:val="28"/>
        </w:rPr>
        <w:t>福利性单位声明函</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_Toc5881 </w:instrText>
      </w:r>
      <w:r>
        <w:rPr>
          <w:rFonts w:hint="eastAsia" w:ascii="宋体" w:hAnsi="宋体" w:cs="宋体"/>
          <w:b w:val="0"/>
          <w:color w:val="auto"/>
        </w:rPr>
        <w:fldChar w:fldCharType="separate"/>
      </w:r>
      <w:r>
        <w:rPr>
          <w:rFonts w:hint="eastAsia" w:ascii="宋体" w:hAnsi="宋体" w:cs="宋体"/>
          <w:b w:val="0"/>
          <w:color w:val="auto"/>
        </w:rPr>
        <w:t>61</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_Toc17922 </w:instrText>
      </w:r>
      <w:r>
        <w:rPr>
          <w:rFonts w:hint="eastAsia" w:ascii="宋体" w:hAnsi="宋体" w:cs="宋体"/>
          <w:b w:val="0"/>
          <w:color w:val="auto"/>
          <w:szCs w:val="21"/>
        </w:rPr>
        <w:fldChar w:fldCharType="separate"/>
      </w:r>
      <w:r>
        <w:rPr>
          <w:rFonts w:hint="eastAsia" w:ascii="宋体" w:hAnsi="宋体" w:cs="宋体"/>
          <w:b w:val="0"/>
          <w:color w:val="auto"/>
          <w:szCs w:val="30"/>
        </w:rPr>
        <w:t>（19）</w:t>
      </w:r>
      <w:r>
        <w:rPr>
          <w:rFonts w:hint="eastAsia" w:ascii="宋体" w:hAnsi="宋体" w:cs="宋体"/>
          <w:b w:val="0"/>
          <w:color w:val="auto"/>
          <w:szCs w:val="30"/>
          <w:lang w:val="zh-CN"/>
        </w:rPr>
        <w:t>投标人认为在其他方面有必要说明的事项</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_Toc17922 </w:instrText>
      </w:r>
      <w:r>
        <w:rPr>
          <w:rFonts w:hint="eastAsia" w:ascii="宋体" w:hAnsi="宋体" w:cs="宋体"/>
          <w:b w:val="0"/>
          <w:color w:val="auto"/>
        </w:rPr>
        <w:fldChar w:fldCharType="separate"/>
      </w:r>
      <w:r>
        <w:rPr>
          <w:rFonts w:hint="eastAsia" w:ascii="宋体" w:hAnsi="宋体" w:cs="宋体"/>
          <w:b w:val="0"/>
          <w:color w:val="auto"/>
        </w:rPr>
        <w:t>62</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_Toc7484 </w:instrText>
      </w:r>
      <w:r>
        <w:rPr>
          <w:rFonts w:hint="eastAsia" w:ascii="宋体" w:hAnsi="宋体" w:cs="宋体"/>
          <w:b w:val="0"/>
          <w:color w:val="auto"/>
          <w:szCs w:val="21"/>
        </w:rPr>
        <w:fldChar w:fldCharType="separate"/>
      </w:r>
      <w:r>
        <w:rPr>
          <w:rFonts w:hint="eastAsia" w:ascii="宋体" w:hAnsi="宋体" w:cs="宋体"/>
          <w:b w:val="0"/>
          <w:color w:val="auto"/>
          <w:szCs w:val="36"/>
          <w:lang w:val="zh-CN"/>
        </w:rPr>
        <w:t>第五部分  采购项目要求及技术参数</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_Toc7484 </w:instrText>
      </w:r>
      <w:r>
        <w:rPr>
          <w:rFonts w:hint="eastAsia" w:ascii="宋体" w:hAnsi="宋体" w:cs="宋体"/>
          <w:b w:val="0"/>
          <w:color w:val="auto"/>
        </w:rPr>
        <w:fldChar w:fldCharType="separate"/>
      </w:r>
      <w:r>
        <w:rPr>
          <w:rFonts w:hint="eastAsia" w:ascii="宋体" w:hAnsi="宋体" w:cs="宋体"/>
          <w:b w:val="0"/>
          <w:color w:val="auto"/>
        </w:rPr>
        <w:t>63</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ascii="宋体" w:hAnsi="宋体" w:cs="宋体"/>
          <w:b w:val="0"/>
          <w:color w:val="auto"/>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_Toc4290 </w:instrText>
      </w:r>
      <w:r>
        <w:rPr>
          <w:rFonts w:hint="eastAsia" w:ascii="宋体" w:hAnsi="宋体" w:cs="宋体"/>
          <w:b w:val="0"/>
          <w:color w:val="auto"/>
          <w:szCs w:val="21"/>
        </w:rPr>
        <w:fldChar w:fldCharType="separate"/>
      </w:r>
      <w:r>
        <w:rPr>
          <w:rFonts w:hint="eastAsia" w:ascii="宋体" w:hAnsi="宋体" w:cs="宋体"/>
          <w:b w:val="0"/>
          <w:color w:val="auto"/>
          <w:lang w:val="zh-CN"/>
        </w:rPr>
        <w:t>（一）投标要求</w:t>
      </w:r>
      <w:r>
        <w:rPr>
          <w:rFonts w:hint="eastAsia" w:ascii="宋体" w:hAnsi="宋体" w:cs="宋体"/>
          <w:b w:val="0"/>
          <w:color w:val="auto"/>
        </w:rPr>
        <w:tab/>
      </w:r>
      <w:r>
        <w:rPr>
          <w:rFonts w:hint="eastAsia" w:ascii="宋体" w:hAnsi="宋体" w:cs="宋体"/>
          <w:b w:val="0"/>
          <w:color w:val="auto"/>
        </w:rPr>
        <w:fldChar w:fldCharType="begin"/>
      </w:r>
      <w:r>
        <w:rPr>
          <w:rFonts w:hint="eastAsia" w:ascii="宋体" w:hAnsi="宋体" w:cs="宋体"/>
          <w:b w:val="0"/>
          <w:color w:val="auto"/>
        </w:rPr>
        <w:instrText xml:space="preserve"> PAGEREF _Toc4290 </w:instrText>
      </w:r>
      <w:r>
        <w:rPr>
          <w:rFonts w:hint="eastAsia" w:ascii="宋体" w:hAnsi="宋体" w:cs="宋体"/>
          <w:b w:val="0"/>
          <w:color w:val="auto"/>
        </w:rPr>
        <w:fldChar w:fldCharType="separate"/>
      </w:r>
      <w:r>
        <w:rPr>
          <w:rFonts w:hint="eastAsia" w:ascii="宋体" w:hAnsi="宋体" w:cs="宋体"/>
          <w:b w:val="0"/>
          <w:color w:val="auto"/>
        </w:rPr>
        <w:t>63</w:t>
      </w:r>
      <w:r>
        <w:rPr>
          <w:rFonts w:hint="eastAsia" w:ascii="宋体" w:hAnsi="宋体" w:cs="宋体"/>
          <w:b w:val="0"/>
          <w:color w:val="auto"/>
        </w:rPr>
        <w:fldChar w:fldCharType="end"/>
      </w:r>
      <w:r>
        <w:rPr>
          <w:rFonts w:hint="eastAsia" w:ascii="宋体" w:hAnsi="宋体" w:cs="宋体"/>
          <w:b w:val="0"/>
          <w:color w:val="auto"/>
          <w:szCs w:val="21"/>
        </w:rPr>
        <w:fldChar w:fldCharType="end"/>
      </w:r>
    </w:p>
    <w:p>
      <w:pPr>
        <w:pStyle w:val="18"/>
        <w:tabs>
          <w:tab w:val="right" w:leader="dot" w:pos="8243"/>
        </w:tabs>
        <w:ind w:firstLine="0" w:firstLineChars="0"/>
        <w:rPr>
          <w:rFonts w:hint="eastAsia" w:eastAsia="宋体"/>
          <w:color w:val="auto"/>
          <w:lang w:val="en-US" w:eastAsia="zh-CN"/>
        </w:rPr>
      </w:pPr>
      <w:r>
        <w:rPr>
          <w:rFonts w:hint="eastAsia" w:ascii="宋体" w:hAnsi="宋体" w:cs="宋体"/>
          <w:b w:val="0"/>
          <w:color w:val="auto"/>
          <w:szCs w:val="21"/>
        </w:rPr>
        <w:fldChar w:fldCharType="begin"/>
      </w:r>
      <w:r>
        <w:rPr>
          <w:rFonts w:hint="eastAsia" w:ascii="宋体" w:hAnsi="宋体" w:cs="宋体"/>
          <w:b w:val="0"/>
          <w:color w:val="auto"/>
          <w:szCs w:val="21"/>
        </w:rPr>
        <w:instrText xml:space="preserve"> HYPERLINK \l _Toc18740 </w:instrText>
      </w:r>
      <w:r>
        <w:rPr>
          <w:rFonts w:hint="eastAsia" w:ascii="宋体" w:hAnsi="宋体" w:cs="宋体"/>
          <w:b w:val="0"/>
          <w:color w:val="auto"/>
          <w:szCs w:val="21"/>
        </w:rPr>
        <w:fldChar w:fldCharType="separate"/>
      </w:r>
      <w:r>
        <w:rPr>
          <w:rFonts w:hint="eastAsia" w:ascii="宋体" w:hAnsi="宋体" w:cs="宋体"/>
          <w:b w:val="0"/>
          <w:color w:val="auto"/>
          <w:lang w:val="zh-CN"/>
        </w:rPr>
        <w:t>（二）项目概况及技术参数</w:t>
      </w:r>
      <w:r>
        <w:rPr>
          <w:rFonts w:hint="eastAsia" w:ascii="宋体" w:hAnsi="宋体" w:cs="宋体"/>
          <w:b w:val="0"/>
          <w:color w:val="auto"/>
        </w:rPr>
        <w:tab/>
      </w:r>
      <w:r>
        <w:rPr>
          <w:rFonts w:hint="eastAsia" w:ascii="宋体" w:hAnsi="宋体" w:cs="宋体"/>
          <w:b w:val="0"/>
          <w:color w:val="auto"/>
          <w:lang w:val="en-US" w:eastAsia="zh-CN"/>
        </w:rPr>
        <w:t>6</w:t>
      </w:r>
      <w:r>
        <w:rPr>
          <w:rFonts w:hint="eastAsia" w:ascii="宋体" w:hAnsi="宋体" w:cs="宋体"/>
          <w:b w:val="0"/>
          <w:color w:val="auto"/>
          <w:szCs w:val="21"/>
        </w:rPr>
        <w:fldChar w:fldCharType="end"/>
      </w:r>
      <w:r>
        <w:rPr>
          <w:rFonts w:hint="eastAsia" w:ascii="宋体" w:hAnsi="宋体" w:cs="宋体"/>
          <w:b w:val="0"/>
          <w:color w:val="auto"/>
          <w:szCs w:val="21"/>
          <w:lang w:val="en-US" w:eastAsia="zh-CN"/>
        </w:rPr>
        <w:t>2</w:t>
      </w:r>
    </w:p>
    <w:p>
      <w:pPr>
        <w:spacing w:line="360" w:lineRule="auto"/>
        <w:rPr>
          <w:rFonts w:hint="eastAsia" w:ascii="宋体" w:hAnsi="宋体" w:cs="宋体"/>
          <w:color w:val="auto"/>
        </w:rPr>
      </w:pPr>
      <w:r>
        <w:rPr>
          <w:rFonts w:hint="eastAsia" w:ascii="宋体" w:hAnsi="宋体" w:cs="宋体"/>
          <w:color w:val="auto"/>
          <w:szCs w:val="21"/>
        </w:rPr>
        <w:fldChar w:fldCharType="end"/>
      </w:r>
    </w:p>
    <w:p>
      <w:pPr>
        <w:pStyle w:val="23"/>
        <w:spacing w:before="0" w:after="0" w:line="360" w:lineRule="auto"/>
        <w:rPr>
          <w:rFonts w:hint="eastAsia" w:ascii="宋体" w:hAnsi="宋体" w:cs="宋体"/>
          <w:color w:val="auto"/>
        </w:rPr>
      </w:pPr>
      <w:r>
        <w:rPr>
          <w:rFonts w:hint="eastAsia" w:ascii="宋体" w:hAnsi="宋体" w:cs="宋体"/>
          <w:color w:val="auto"/>
        </w:rPr>
        <w:br w:type="page"/>
      </w:r>
      <w:bookmarkStart w:id="0" w:name="_Toc15510"/>
    </w:p>
    <w:p>
      <w:pPr>
        <w:rPr>
          <w:rFonts w:hint="eastAsia"/>
          <w:color w:val="auto"/>
        </w:rPr>
      </w:pPr>
    </w:p>
    <w:p>
      <w:pPr>
        <w:pStyle w:val="23"/>
        <w:spacing w:before="0" w:after="0" w:line="360" w:lineRule="auto"/>
        <w:rPr>
          <w:rFonts w:hint="eastAsia" w:ascii="宋体" w:hAnsi="宋体" w:cs="宋体"/>
          <w:color w:val="auto"/>
          <w:szCs w:val="36"/>
          <w:lang w:val="zh-CN"/>
        </w:rPr>
      </w:pPr>
      <w:r>
        <w:rPr>
          <w:rFonts w:hint="eastAsia" w:ascii="宋体" w:hAnsi="宋体" w:cs="宋体"/>
          <w:color w:val="auto"/>
          <w:szCs w:val="36"/>
          <w:lang w:val="zh-CN"/>
        </w:rPr>
        <w:t>第一部分  投标邀请</w:t>
      </w:r>
      <w:bookmarkEnd w:id="0"/>
    </w:p>
    <w:p>
      <w:pPr>
        <w:autoSpaceDE w:val="0"/>
        <w:autoSpaceDN w:val="0"/>
        <w:adjustRightInd w:val="0"/>
        <w:spacing w:line="360" w:lineRule="auto"/>
        <w:ind w:firstLine="480" w:firstLineChars="200"/>
        <w:jc w:val="left"/>
        <w:rPr>
          <w:rFonts w:hint="eastAsia" w:ascii="宋体" w:hAnsi="宋体" w:cs="宋体"/>
          <w:color w:val="auto"/>
          <w:kern w:val="0"/>
          <w:lang w:val="zh-CN"/>
        </w:rPr>
      </w:pPr>
      <w:r>
        <w:rPr>
          <w:rFonts w:hint="eastAsia" w:ascii="宋体" w:cs="宋体"/>
          <w:color w:val="auto"/>
          <w:kern w:val="0"/>
          <w:lang w:val="zh-CN"/>
        </w:rPr>
        <w:t>青海旭诚工程项目管理有限公司</w:t>
      </w:r>
      <w:r>
        <w:rPr>
          <w:rFonts w:hint="eastAsia" w:ascii="宋体" w:hAnsi="宋体" w:cs="宋体"/>
          <w:color w:val="auto"/>
          <w:kern w:val="0"/>
          <w:lang w:val="zh-CN"/>
        </w:rPr>
        <w:t>（以下均简称“招标代理机构”）</w:t>
      </w:r>
      <w:r>
        <w:rPr>
          <w:rFonts w:hint="eastAsia" w:ascii="宋体" w:cs="宋体"/>
          <w:color w:val="auto"/>
          <w:kern w:val="0"/>
          <w:lang w:val="zh-CN"/>
        </w:rPr>
        <w:t>受</w:t>
      </w:r>
      <w:r>
        <w:rPr>
          <w:rFonts w:hint="eastAsia" w:ascii="宋体" w:cs="宋体"/>
          <w:color w:val="auto"/>
          <w:kern w:val="0"/>
          <w:lang w:val="zh-CN" w:eastAsia="zh-CN"/>
        </w:rPr>
        <w:t>青海柴达木职业技术学院</w:t>
      </w:r>
      <w:r>
        <w:rPr>
          <w:rFonts w:hint="eastAsia" w:ascii="宋体" w:hAnsi="宋体" w:cs="宋体"/>
          <w:color w:val="auto"/>
          <w:kern w:val="0"/>
          <w:lang w:val="zh-CN"/>
        </w:rPr>
        <w:t>（以下均简称“招标人”）委托,拟对</w:t>
      </w:r>
      <w:r>
        <w:rPr>
          <w:rFonts w:hint="eastAsia" w:ascii="宋体" w:hAnsi="宋体" w:cs="宋体"/>
          <w:color w:val="auto"/>
          <w:kern w:val="0"/>
          <w:lang w:val="zh-CN" w:eastAsia="zh-CN"/>
        </w:rPr>
        <w:t>青海柴达木职业技术学院应用化工技术专业群双高建设项目</w:t>
      </w:r>
      <w:r>
        <w:rPr>
          <w:rFonts w:hint="eastAsia" w:ascii="宋体" w:hAnsi="宋体" w:cs="宋体"/>
          <w:color w:val="auto"/>
          <w:kern w:val="0"/>
          <w:lang w:val="zh-CN"/>
        </w:rPr>
        <w:t>进行国内公开招标，现予以公告，欢迎潜在的投标人参加本次政府采购活动。</w:t>
      </w:r>
    </w:p>
    <w:tbl>
      <w:tblPr>
        <w:tblStyle w:val="25"/>
        <w:tblW w:w="9063"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1949"/>
        <w:gridCol w:w="7114"/>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1949" w:type="dxa"/>
            <w:tcBorders>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项目编号</w:t>
            </w:r>
          </w:p>
        </w:tc>
        <w:tc>
          <w:tcPr>
            <w:tcW w:w="7114" w:type="dxa"/>
            <w:tcBorders>
              <w:left w:val="single" w:color="000000" w:sz="6" w:space="0"/>
              <w:bottom w:val="single" w:color="000000" w:sz="6" w:space="0"/>
            </w:tcBorders>
            <w:noWrap w:val="0"/>
            <w:vAlign w:val="center"/>
          </w:tcPr>
          <w:p>
            <w:pPr>
              <w:autoSpaceDE w:val="0"/>
              <w:autoSpaceDN w:val="0"/>
              <w:adjustRightInd w:val="0"/>
              <w:spacing w:line="240" w:lineRule="auto"/>
              <w:jc w:val="both"/>
              <w:rPr>
                <w:rFonts w:hint="default" w:ascii="Times New Roman" w:hAnsi="Times New Roman" w:eastAsia="宋体" w:cs="Times New Roman"/>
                <w:color w:val="auto"/>
                <w:kern w:val="0"/>
                <w:lang w:val="en-US" w:eastAsia="zh-CN"/>
              </w:rPr>
            </w:pPr>
            <w:r>
              <w:rPr>
                <w:rFonts w:hint="eastAsia" w:cs="Times New Roman"/>
                <w:color w:val="auto"/>
                <w:kern w:val="0"/>
                <w:lang w:val="zh-CN"/>
              </w:rPr>
              <w:t>青海旭诚公招（货物）2023-027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74"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项目名称</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spacing w:line="240" w:lineRule="auto"/>
              <w:jc w:val="both"/>
              <w:rPr>
                <w:rFonts w:hint="default" w:ascii="Times New Roman" w:hAnsi="Times New Roman" w:cs="Times New Roman"/>
                <w:color w:val="auto"/>
                <w:kern w:val="0"/>
                <w:lang w:val="zh-CN"/>
              </w:rPr>
            </w:pPr>
            <w:r>
              <w:rPr>
                <w:rFonts w:hint="eastAsia" w:ascii="宋体" w:hAnsi="宋体" w:cs="宋体"/>
                <w:color w:val="auto"/>
                <w:kern w:val="0"/>
                <w:lang w:val="zh-CN" w:eastAsia="zh-CN"/>
              </w:rPr>
              <w:t>青海柴达木职业技术学院应用化工技术专业群双高建设项目</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采购方式</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公开招标</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highlight w:val="none"/>
                <w:lang w:val="zh-CN"/>
              </w:rPr>
              <w:t>预算额度</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default" w:ascii="Times New Roman" w:hAnsi="Times New Roman" w:cs="Times New Roman"/>
                <w:color w:val="auto"/>
                <w:kern w:val="0"/>
                <w:lang w:val="zh-CN"/>
              </w:rPr>
            </w:pPr>
            <w:r>
              <w:rPr>
                <w:rFonts w:hint="eastAsia" w:cs="Times New Roman"/>
                <w:color w:val="auto"/>
                <w:kern w:val="0"/>
                <w:highlight w:val="none"/>
                <w:lang w:val="en-US" w:eastAsia="zh-CN"/>
              </w:rPr>
              <w:t>586</w:t>
            </w:r>
            <w:r>
              <w:rPr>
                <w:rFonts w:hint="default" w:ascii="Times New Roman" w:hAnsi="Times New Roman" w:cs="Times New Roman"/>
                <w:color w:val="auto"/>
                <w:kern w:val="0"/>
                <w:highlight w:val="none"/>
                <w:lang w:val="zh-CN"/>
              </w:rPr>
              <w:t>万元</w:t>
            </w:r>
            <w:r>
              <w:rPr>
                <w:rFonts w:hint="eastAsia" w:cs="Times New Roman"/>
                <w:color w:val="auto"/>
                <w:kern w:val="0"/>
                <w:highlight w:val="none"/>
                <w:lang w:val="zh-CN"/>
              </w:rPr>
              <w:t>，其中</w:t>
            </w:r>
            <w:r>
              <w:rPr>
                <w:rFonts w:hint="eastAsia" w:cs="Times New Roman"/>
                <w:color w:val="auto"/>
                <w:kern w:val="0"/>
                <w:lang w:val="en-US" w:eastAsia="zh-CN"/>
              </w:rPr>
              <w:t>包一：508万元，包二：78万元。</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项目分包个数</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default" w:ascii="Times New Roman" w:hAnsi="Times New Roman" w:cs="Times New Roman"/>
                <w:color w:val="auto"/>
                <w:kern w:val="0"/>
              </w:rPr>
            </w:pPr>
            <w:r>
              <w:rPr>
                <w:rFonts w:hint="eastAsia" w:cs="Times New Roman"/>
                <w:color w:val="auto"/>
                <w:kern w:val="0"/>
                <w:lang w:val="en-US" w:eastAsia="zh-CN"/>
              </w:rPr>
              <w:t>2个包，包一为化工生产技术培训中心建设；包二为2023年化学工程系教学资源建设。</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26"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eastAsia" w:cs="Times New Roman"/>
                <w:color w:val="auto"/>
                <w:kern w:val="0"/>
                <w:lang w:val="zh-CN"/>
              </w:rPr>
              <w:t>招标</w:t>
            </w:r>
            <w:r>
              <w:rPr>
                <w:rFonts w:hint="default" w:ascii="Times New Roman" w:hAnsi="Times New Roman" w:cs="Times New Roman"/>
                <w:color w:val="auto"/>
                <w:kern w:val="0"/>
                <w:lang w:val="zh-CN"/>
              </w:rPr>
              <w:t>要求</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default" w:ascii="Times New Roman" w:hAnsi="Times New Roman" w:cs="Times New Roman"/>
                <w:color w:val="auto"/>
                <w:kern w:val="0"/>
                <w:u w:val="dashDotHeavy"/>
                <w:lang w:val="zh-CN"/>
              </w:rPr>
            </w:pPr>
            <w:r>
              <w:rPr>
                <w:rFonts w:hint="default" w:ascii="Times New Roman" w:hAnsi="Times New Roman" w:cs="Times New Roman"/>
                <w:color w:val="auto"/>
                <w:kern w:val="0"/>
                <w:lang w:val="zh-CN"/>
              </w:rPr>
              <w:t>具体内容详见《招标文件》</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2"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highlight w:val="none"/>
                <w:lang w:val="zh-CN"/>
              </w:rPr>
            </w:pPr>
            <w:r>
              <w:rPr>
                <w:rFonts w:hint="eastAsia" w:cs="Times New Roman"/>
                <w:color w:val="auto"/>
                <w:kern w:val="0"/>
                <w:highlight w:val="none"/>
                <w:lang w:val="zh-CN"/>
              </w:rPr>
              <w:t>投标人</w:t>
            </w:r>
            <w:r>
              <w:rPr>
                <w:rFonts w:hint="default" w:ascii="Times New Roman" w:hAnsi="Times New Roman" w:cs="Times New Roman"/>
                <w:color w:val="auto"/>
                <w:kern w:val="0"/>
                <w:highlight w:val="none"/>
                <w:lang w:val="zh-CN"/>
              </w:rPr>
              <w:t>资格要求</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spacing w:line="240" w:lineRule="auto"/>
              <w:jc w:val="both"/>
              <w:rPr>
                <w:rFonts w:hint="default"/>
                <w:lang w:val="zh-CN"/>
              </w:rPr>
            </w:pPr>
            <w:r>
              <w:rPr>
                <w:rFonts w:hint="eastAsia"/>
                <w:lang w:val="en-US" w:eastAsia="zh-CN"/>
              </w:rPr>
              <w:t>1.</w:t>
            </w:r>
            <w:r>
              <w:rPr>
                <w:rFonts w:hint="default"/>
                <w:lang w:val="zh-CN"/>
              </w:rPr>
              <w:t xml:space="preserve"> 符合《政府采购法》第22条条件，并提供下列材料：</w:t>
            </w:r>
          </w:p>
          <w:p>
            <w:pPr>
              <w:autoSpaceDE w:val="0"/>
              <w:autoSpaceDN w:val="0"/>
              <w:spacing w:line="240" w:lineRule="auto"/>
              <w:jc w:val="both"/>
              <w:rPr>
                <w:rFonts w:hint="default"/>
                <w:lang w:val="zh-CN"/>
              </w:rPr>
            </w:pPr>
            <w:r>
              <w:rPr>
                <w:rFonts w:hint="default"/>
                <w:lang w:val="zh-CN"/>
              </w:rPr>
              <w:t>&lt;1&gt;</w:t>
            </w:r>
            <w:r>
              <w:rPr>
                <w:rFonts w:hint="eastAsia"/>
                <w:lang w:val="zh-CN"/>
              </w:rPr>
              <w:t>投标人</w:t>
            </w:r>
            <w:r>
              <w:rPr>
                <w:rFonts w:hint="default"/>
                <w:lang w:val="zh-CN"/>
              </w:rPr>
              <w:t>的营业执照等证明文件，自然人的身份证明。</w:t>
            </w:r>
          </w:p>
          <w:p>
            <w:pPr>
              <w:autoSpaceDE w:val="0"/>
              <w:autoSpaceDN w:val="0"/>
              <w:spacing w:line="240" w:lineRule="auto"/>
              <w:jc w:val="both"/>
              <w:rPr>
                <w:rFonts w:hint="default"/>
                <w:lang w:val="zh-CN"/>
              </w:rPr>
            </w:pPr>
            <w:r>
              <w:rPr>
                <w:rFonts w:hint="default"/>
                <w:lang w:val="zh-CN"/>
              </w:rPr>
              <w:t>&lt;2&gt;财务状况报告，依法缴纳税收和社会保障资金的相关材料。</w:t>
            </w:r>
          </w:p>
          <w:p>
            <w:pPr>
              <w:autoSpaceDE w:val="0"/>
              <w:autoSpaceDN w:val="0"/>
              <w:spacing w:line="240" w:lineRule="auto"/>
              <w:jc w:val="both"/>
              <w:rPr>
                <w:rFonts w:hint="default"/>
                <w:lang w:val="zh-CN"/>
              </w:rPr>
            </w:pPr>
            <w:r>
              <w:rPr>
                <w:rFonts w:hint="default"/>
                <w:lang w:val="zh-CN"/>
              </w:rPr>
              <w:t>&lt;3&gt;具备履行合同所必需的设备和专业技术能力的证明材料。</w:t>
            </w:r>
          </w:p>
          <w:p>
            <w:pPr>
              <w:autoSpaceDE w:val="0"/>
              <w:autoSpaceDN w:val="0"/>
              <w:spacing w:line="240" w:lineRule="auto"/>
              <w:jc w:val="both"/>
              <w:rPr>
                <w:rFonts w:hint="default"/>
                <w:lang w:val="zh-CN"/>
              </w:rPr>
            </w:pPr>
            <w:r>
              <w:rPr>
                <w:rFonts w:hint="default"/>
                <w:lang w:val="zh-CN"/>
              </w:rPr>
              <w:t>&lt;4&gt;参加政府采购活动前3年内在经营活动中没有重大违法记录的书面声明。</w:t>
            </w:r>
          </w:p>
          <w:p>
            <w:pPr>
              <w:autoSpaceDE w:val="0"/>
              <w:autoSpaceDN w:val="0"/>
              <w:spacing w:line="240" w:lineRule="auto"/>
              <w:jc w:val="both"/>
              <w:rPr>
                <w:rFonts w:hint="default"/>
                <w:lang w:val="zh-CN"/>
              </w:rPr>
            </w:pPr>
            <w:r>
              <w:rPr>
                <w:rFonts w:hint="default"/>
                <w:lang w:val="zh-CN"/>
              </w:rPr>
              <w:t>&lt;5&gt;具备法律、行政法规规定的其他条件的证明材料。</w:t>
            </w:r>
          </w:p>
          <w:p>
            <w:pPr>
              <w:autoSpaceDE w:val="0"/>
              <w:autoSpaceDN w:val="0"/>
              <w:spacing w:line="240" w:lineRule="auto"/>
              <w:jc w:val="both"/>
              <w:rPr>
                <w:rFonts w:hint="default"/>
                <w:lang w:val="zh-CN"/>
              </w:rPr>
            </w:pPr>
            <w:r>
              <w:rPr>
                <w:rFonts w:hint="eastAsia"/>
                <w:lang w:val="en-US" w:eastAsia="zh-CN"/>
              </w:rPr>
              <w:t>2.</w:t>
            </w:r>
            <w:r>
              <w:rPr>
                <w:rFonts w:hint="default"/>
                <w:lang w:val="zh-CN"/>
              </w:rPr>
              <w:t xml:space="preserve"> 单位负责人为同一人或者存在直接控股、管理关系的不同</w:t>
            </w:r>
            <w:r>
              <w:rPr>
                <w:rFonts w:hint="eastAsia"/>
                <w:lang w:val="zh-CN"/>
              </w:rPr>
              <w:t>投标人</w:t>
            </w:r>
            <w:r>
              <w:rPr>
                <w:rFonts w:hint="default"/>
                <w:lang w:val="zh-CN"/>
              </w:rPr>
              <w:t>，不得参加同一合同项下的政府采购活动。否则，皆取消投标资格；</w:t>
            </w:r>
          </w:p>
          <w:p>
            <w:pPr>
              <w:autoSpaceDE w:val="0"/>
              <w:autoSpaceDN w:val="0"/>
              <w:spacing w:line="240" w:lineRule="auto"/>
              <w:jc w:val="both"/>
              <w:rPr>
                <w:rFonts w:hint="default"/>
                <w:lang w:val="zh-CN"/>
              </w:rPr>
            </w:pPr>
            <w:r>
              <w:rPr>
                <w:rFonts w:hint="eastAsia"/>
                <w:lang w:val="en-US" w:eastAsia="zh-CN"/>
              </w:rPr>
              <w:t>3.</w:t>
            </w:r>
            <w:r>
              <w:rPr>
                <w:rFonts w:hint="default"/>
                <w:lang w:val="zh-CN"/>
              </w:rPr>
              <w:t xml:space="preserve"> 为本采购项目提供整体设计、规范编制或者项目管理、监理、检测等服务的</w:t>
            </w:r>
            <w:r>
              <w:rPr>
                <w:rFonts w:hint="eastAsia"/>
                <w:lang w:val="zh-CN"/>
              </w:rPr>
              <w:t>投标人</w:t>
            </w:r>
            <w:r>
              <w:rPr>
                <w:rFonts w:hint="default"/>
                <w:lang w:val="zh-CN"/>
              </w:rPr>
              <w:t>，不得再参加该采购项目的其他采购活动；</w:t>
            </w:r>
          </w:p>
          <w:p>
            <w:pPr>
              <w:autoSpaceDE w:val="0"/>
              <w:autoSpaceDN w:val="0"/>
              <w:spacing w:line="240" w:lineRule="auto"/>
              <w:jc w:val="both"/>
              <w:rPr>
                <w:rFonts w:hint="default"/>
                <w:lang w:val="zh-CN"/>
              </w:rPr>
            </w:pPr>
            <w:r>
              <w:rPr>
                <w:rFonts w:hint="eastAsia"/>
                <w:lang w:val="en-US" w:eastAsia="zh-CN"/>
              </w:rPr>
              <w:t>4.</w:t>
            </w:r>
            <w:r>
              <w:rPr>
                <w:rFonts w:hint="default"/>
                <w:lang w:val="zh-CN"/>
              </w:rPr>
              <w:t xml:space="preserve"> 本项目不接受</w:t>
            </w:r>
            <w:r>
              <w:rPr>
                <w:rFonts w:hint="eastAsia"/>
                <w:lang w:val="zh-CN"/>
              </w:rPr>
              <w:t>投标人</w:t>
            </w:r>
            <w:r>
              <w:rPr>
                <w:rFonts w:hint="default"/>
                <w:lang w:val="zh-CN"/>
              </w:rPr>
              <w:t>以联合体方式进行投标；</w:t>
            </w:r>
          </w:p>
          <w:p>
            <w:pPr>
              <w:autoSpaceDE w:val="0"/>
              <w:autoSpaceDN w:val="0"/>
              <w:spacing w:line="240" w:lineRule="auto"/>
              <w:jc w:val="both"/>
              <w:rPr>
                <w:rFonts w:hint="eastAsia" w:eastAsia="宋体"/>
                <w:lang w:val="en-US" w:eastAsia="zh-CN"/>
              </w:rPr>
            </w:pPr>
            <w:r>
              <w:rPr>
                <w:rFonts w:hint="eastAsia"/>
                <w:lang w:val="en-US" w:eastAsia="zh-CN"/>
              </w:rPr>
              <w:t>5.</w:t>
            </w:r>
            <w:r>
              <w:rPr>
                <w:rFonts w:hint="default"/>
              </w:rPr>
              <w:t>经信用中国（www.creditchina.gov.cn）、中国政府采购网（www.ccgp.gov.cn）等渠道查询后，列入失信被执行人、重大税收违法案件当事人名单、政府采购严重违法失信行为记录名单的，取消投标资格。（提供“信用中国</w:t>
            </w:r>
            <w:r>
              <w:rPr>
                <w:rFonts w:hint="eastAsia"/>
                <w:lang w:eastAsia="zh-CN"/>
              </w:rPr>
              <w:t>报告</w:t>
            </w:r>
            <w:r>
              <w:rPr>
                <w:rFonts w:hint="default"/>
              </w:rPr>
              <w:t>”</w:t>
            </w:r>
            <w:r>
              <w:rPr>
                <w:rFonts w:hint="eastAsia"/>
                <w:lang w:eastAsia="zh-CN"/>
              </w:rPr>
              <w:t>“中国政府采购网”</w:t>
            </w:r>
            <w:r>
              <w:rPr>
                <w:rFonts w:hint="default"/>
              </w:rPr>
              <w:t>网站无任何不良记录的查询截图，时间为投标截止时间前</w:t>
            </w:r>
            <w:r>
              <w:rPr>
                <w:rFonts w:hint="eastAsia"/>
                <w:lang w:val="en-US" w:eastAsia="zh-CN"/>
              </w:rPr>
              <w:t>20</w:t>
            </w:r>
            <w:r>
              <w:rPr>
                <w:rFonts w:hint="default"/>
              </w:rPr>
              <w:t>天内）</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12"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highlight w:val="none"/>
                <w:lang w:val="zh-CN"/>
              </w:rPr>
            </w:pPr>
            <w:r>
              <w:rPr>
                <w:rFonts w:hint="eastAsia" w:ascii="Times New Roman" w:hAnsi="Times New Roman" w:cs="Times New Roman"/>
                <w:color w:val="auto"/>
                <w:kern w:val="0"/>
                <w:highlight w:val="none"/>
                <w:lang w:val="zh-CN"/>
              </w:rPr>
              <w:t>进口产品</w:t>
            </w:r>
          </w:p>
          <w:p>
            <w:pPr>
              <w:autoSpaceDE w:val="0"/>
              <w:autoSpaceDN w:val="0"/>
              <w:adjustRightInd w:val="0"/>
              <w:spacing w:line="240" w:lineRule="auto"/>
              <w:jc w:val="center"/>
              <w:rPr>
                <w:rFonts w:hint="default" w:ascii="Times New Roman" w:hAnsi="Times New Roman" w:cs="Times New Roman"/>
                <w:color w:val="auto"/>
                <w:kern w:val="0"/>
                <w:highlight w:val="none"/>
                <w:lang w:val="zh-CN"/>
              </w:rPr>
            </w:pP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eastAsia" w:ascii="Times New Roman" w:hAnsi="Times New Roman" w:cs="Times New Roman"/>
                <w:color w:val="auto"/>
                <w:kern w:val="0"/>
                <w:highlight w:val="none"/>
                <w:lang w:val="en-US" w:eastAsia="zh-CN"/>
              </w:rPr>
            </w:pPr>
            <w:r>
              <w:rPr>
                <w:rFonts w:hint="eastAsia" w:ascii="Times New Roman" w:hAnsi="Times New Roman" w:cs="Times New Roman"/>
                <w:color w:val="auto"/>
                <w:kern w:val="0"/>
                <w:highlight w:val="none"/>
                <w:lang w:val="zh-CN"/>
              </w:rPr>
              <w:t>本项目拒绝进口产品参加</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highlight w:val="none"/>
                <w:lang w:val="zh-CN"/>
              </w:rPr>
            </w:pPr>
            <w:r>
              <w:rPr>
                <w:rFonts w:hint="default" w:ascii="Times New Roman" w:hAnsi="Times New Roman" w:cs="Times New Roman"/>
                <w:color w:val="auto"/>
                <w:kern w:val="0"/>
                <w:highlight w:val="none"/>
                <w:lang w:val="zh-CN"/>
              </w:rPr>
              <w:t>公告发布时间</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en-US" w:eastAsia="zh-CN"/>
              </w:rPr>
              <w:t>2023</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07</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04</w:t>
            </w:r>
            <w:r>
              <w:rPr>
                <w:rFonts w:hint="eastAsia" w:asciiTheme="minorEastAsia" w:hAnsiTheme="minorEastAsia" w:eastAsiaTheme="minorEastAsia" w:cstheme="minorEastAsia"/>
                <w:color w:val="auto"/>
                <w:kern w:val="0"/>
                <w:highlight w:val="none"/>
                <w:lang w:val="zh-CN"/>
              </w:rPr>
              <w:t>日</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832"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highlight w:val="none"/>
                <w:lang w:val="zh-CN"/>
              </w:rPr>
            </w:pPr>
            <w:r>
              <w:rPr>
                <w:rFonts w:hint="default" w:ascii="Times New Roman" w:hAnsi="Times New Roman" w:cs="Times New Roman"/>
                <w:color w:val="auto"/>
                <w:kern w:val="0"/>
                <w:highlight w:val="none"/>
                <w:lang w:val="zh-CN"/>
              </w:rPr>
              <w:t>获取招标文件的时间期限</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eastAsia" w:asciiTheme="minorEastAsia" w:hAnsiTheme="minorEastAsia" w:eastAsiaTheme="minorEastAsia" w:cstheme="minorEastAsia"/>
                <w:color w:val="auto"/>
                <w:kern w:val="0"/>
                <w:highlight w:val="none"/>
                <w:lang w:val="zh-CN" w:eastAsia="zh-CN"/>
              </w:rPr>
            </w:pPr>
            <w:r>
              <w:rPr>
                <w:rFonts w:hint="eastAsia" w:asciiTheme="minorEastAsia" w:hAnsiTheme="minorEastAsia" w:eastAsiaTheme="minorEastAsia" w:cstheme="minorEastAsia"/>
                <w:color w:val="auto"/>
                <w:kern w:val="0"/>
                <w:highlight w:val="none"/>
                <w:lang w:val="en-US" w:eastAsia="zh-CN"/>
              </w:rPr>
              <w:t>2023</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07</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05</w:t>
            </w:r>
            <w:r>
              <w:rPr>
                <w:rFonts w:hint="eastAsia" w:asciiTheme="minorEastAsia" w:hAnsiTheme="minorEastAsia" w:eastAsiaTheme="minorEastAsia" w:cstheme="minorEastAsia"/>
                <w:color w:val="auto"/>
                <w:kern w:val="0"/>
                <w:highlight w:val="none"/>
                <w:lang w:val="zh-CN"/>
              </w:rPr>
              <w:t>日至</w:t>
            </w:r>
            <w:r>
              <w:rPr>
                <w:rFonts w:hint="eastAsia" w:asciiTheme="minorEastAsia" w:hAnsiTheme="minorEastAsia" w:eastAsiaTheme="minorEastAsia" w:cstheme="minorEastAsia"/>
                <w:color w:val="auto"/>
                <w:kern w:val="0"/>
                <w:highlight w:val="none"/>
                <w:lang w:val="en-US" w:eastAsia="zh-CN"/>
              </w:rPr>
              <w:t>2023</w:t>
            </w:r>
            <w:r>
              <w:rPr>
                <w:rFonts w:hint="eastAsia" w:asciiTheme="minorEastAsia" w:hAnsiTheme="minorEastAsia" w:eastAsiaTheme="minorEastAsia" w:cstheme="minorEastAsia"/>
                <w:color w:val="auto"/>
                <w:kern w:val="0"/>
                <w:highlight w:val="none"/>
              </w:rPr>
              <w:t>年</w:t>
            </w:r>
            <w:r>
              <w:rPr>
                <w:rFonts w:hint="eastAsia" w:asciiTheme="minorEastAsia" w:hAnsiTheme="minorEastAsia" w:eastAsiaTheme="minorEastAsia" w:cstheme="minorEastAsia"/>
                <w:color w:val="auto"/>
                <w:kern w:val="0"/>
                <w:highlight w:val="none"/>
                <w:lang w:val="en-US" w:eastAsia="zh-CN"/>
              </w:rPr>
              <w:t>07</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11</w:t>
            </w:r>
            <w:r>
              <w:rPr>
                <w:rFonts w:hint="eastAsia" w:asciiTheme="minorEastAsia" w:hAnsiTheme="minorEastAsia" w:eastAsiaTheme="minorEastAsia" w:cstheme="minorEastAsia"/>
                <w:color w:val="auto"/>
                <w:kern w:val="0"/>
                <w:highlight w:val="none"/>
                <w:lang w:val="zh-CN"/>
              </w:rPr>
              <w:t>日</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获取招标文件</w:t>
            </w:r>
          </w:p>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方式</w:t>
            </w:r>
          </w:p>
        </w:tc>
        <w:tc>
          <w:tcPr>
            <w:tcW w:w="7114" w:type="dxa"/>
            <w:tcBorders>
              <w:top w:val="single" w:color="000000" w:sz="6" w:space="0"/>
              <w:left w:val="single" w:color="000000" w:sz="6" w:space="0"/>
              <w:bottom w:val="single" w:color="000000" w:sz="6" w:space="0"/>
            </w:tcBorders>
            <w:noWrap w:val="0"/>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政采云线上报名，</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 xml:space="preserve">登录政采云平台https://www.zcygov.cn/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在线申请获取采购文件（进入“项目采购”应用，在获取采购文件 </w:t>
            </w:r>
          </w:p>
          <w:p>
            <w:pPr>
              <w:autoSpaceDE w:val="0"/>
              <w:autoSpaceDN w:val="0"/>
              <w:adjustRightInd w:val="0"/>
              <w:spacing w:line="240" w:lineRule="auto"/>
              <w:jc w:val="both"/>
              <w:rPr>
                <w:rFonts w:hint="eastAsia" w:ascii="Times New Roman" w:hAnsi="Times New Roman" w:eastAsia="宋体" w:cs="Times New Roman"/>
                <w:color w:val="auto"/>
                <w:kern w:val="0"/>
                <w:lang w:val="en-US" w:eastAsia="zh-CN"/>
              </w:rPr>
            </w:pPr>
            <w:r>
              <w:rPr>
                <w:rFonts w:hint="eastAsia" w:ascii="宋体" w:hAnsi="宋体" w:eastAsia="宋体" w:cs="宋体"/>
                <w:color w:val="000000"/>
                <w:kern w:val="0"/>
                <w:sz w:val="24"/>
                <w:szCs w:val="24"/>
                <w:lang w:val="en-US" w:eastAsia="zh-CN" w:bidi="ar"/>
              </w:rPr>
              <w:t>菜单中选择项目，申请获取采购文件）报名时需上传：</w:t>
            </w:r>
            <w:r>
              <w:rPr>
                <w:rFonts w:hint="eastAsia" w:cs="Times New Roman"/>
                <w:kern w:val="0"/>
                <w:lang w:val="zh-CN"/>
              </w:rPr>
              <w:t>投标人</w:t>
            </w:r>
            <w:r>
              <w:rPr>
                <w:rFonts w:hint="default" w:ascii="Times New Roman" w:hAnsi="Times New Roman" w:cs="Times New Roman"/>
                <w:kern w:val="0"/>
                <w:lang w:val="zh-CN"/>
              </w:rPr>
              <w:t>营业执照副本复印件、公司介绍信或法人授权委托书原件、法人及购买人身份证复印件（以上资料均应加盖公司公章）。</w:t>
            </w:r>
            <w:r>
              <w:rPr>
                <w:rFonts w:hint="eastAsia" w:ascii="宋体" w:hAnsi="宋体" w:eastAsia="宋体" w:cs="宋体"/>
                <w:color w:val="000000"/>
                <w:kern w:val="0"/>
                <w:sz w:val="24"/>
                <w:szCs w:val="24"/>
                <w:lang w:val="en-US" w:eastAsia="zh-CN" w:bidi="ar"/>
              </w:rPr>
              <w:t xml:space="preserve">（提示：请潜在 </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报名前务必完成网上企业注册及CA锁办理等手续；具体操作详见附件操作指南</w:t>
            </w:r>
            <w:r>
              <w:rPr>
                <w:rFonts w:hint="eastAsia" w:ascii="宋体" w:hAnsi="宋体" w:cs="宋体"/>
                <w:color w:val="000000"/>
                <w:kern w:val="0"/>
                <w:sz w:val="24"/>
                <w:szCs w:val="24"/>
                <w:lang w:val="en-US" w:eastAsia="zh-CN" w:bidi="ar"/>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招标文件售价</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default"/>
                <w:lang w:val="zh-CN"/>
              </w:rPr>
            </w:pPr>
            <w:r>
              <w:rPr>
                <w:rFonts w:hint="eastAsia"/>
                <w:lang w:val="en-US" w:eastAsia="zh-CN"/>
              </w:rPr>
              <w:t>0</w:t>
            </w:r>
            <w:r>
              <w:rPr>
                <w:rFonts w:hint="default"/>
                <w:lang w:val="zh-CN"/>
              </w:rPr>
              <w:t>元/份（招标文件售后不退,投标资格不能转让</w:t>
            </w:r>
            <w:r>
              <w:rPr>
                <w:rFonts w:hint="eastAsia"/>
                <w:lang w:val="en-US" w:eastAsia="zh-CN"/>
              </w:rPr>
              <w:t>.</w:t>
            </w:r>
            <w:r>
              <w:rPr>
                <w:rFonts w:hint="default"/>
                <w:lang w:val="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获取招标文件</w:t>
            </w:r>
          </w:p>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地点</w:t>
            </w:r>
          </w:p>
        </w:tc>
        <w:tc>
          <w:tcPr>
            <w:tcW w:w="7114" w:type="dxa"/>
            <w:tcBorders>
              <w:top w:val="single" w:color="000000" w:sz="6" w:space="0"/>
              <w:left w:val="single" w:color="000000" w:sz="6" w:space="0"/>
              <w:bottom w:val="single" w:color="000000" w:sz="6" w:space="0"/>
            </w:tcBorders>
            <w:noWrap w:val="0"/>
            <w:vAlign w:val="center"/>
          </w:tcPr>
          <w:p>
            <w:pPr>
              <w:keepNext w:val="0"/>
              <w:keepLines w:val="0"/>
              <w:widowControl/>
              <w:suppressLineNumbers w:val="0"/>
              <w:jc w:val="left"/>
              <w:rPr>
                <w:rFonts w:hint="default" w:ascii="Times New Roman" w:hAnsi="Times New Roman" w:cs="Times New Roman"/>
                <w:color w:val="auto"/>
                <w:kern w:val="0"/>
                <w:lang w:val="zh-CN"/>
              </w:rPr>
            </w:pPr>
            <w:r>
              <w:rPr>
                <w:rFonts w:hint="eastAsia" w:ascii="宋体" w:hAnsi="宋体" w:eastAsia="宋体" w:cs="宋体"/>
                <w:color w:val="000000"/>
                <w:kern w:val="0"/>
                <w:sz w:val="24"/>
                <w:szCs w:val="24"/>
                <w:lang w:val="en-US" w:eastAsia="zh-CN" w:bidi="ar"/>
              </w:rPr>
              <w:t>线上获取通过政采云平台（ www.zcygov.cn）获取</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投标截止</w:t>
            </w:r>
            <w:r>
              <w:rPr>
                <w:rFonts w:hint="default" w:ascii="Times New Roman" w:hAnsi="Times New Roman" w:cs="Times New Roman"/>
                <w:color w:val="auto"/>
                <w:kern w:val="0"/>
              </w:rPr>
              <w:t>及</w:t>
            </w:r>
            <w:r>
              <w:rPr>
                <w:rFonts w:hint="default" w:ascii="Times New Roman" w:hAnsi="Times New Roman" w:cs="Times New Roman"/>
                <w:color w:val="auto"/>
                <w:kern w:val="0"/>
                <w:lang w:val="zh-CN"/>
              </w:rPr>
              <w:t>开标时间</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default" w:ascii="Times New Roman" w:hAnsi="Times New Roman" w:cs="Times New Roman"/>
                <w:color w:val="auto"/>
                <w:kern w:val="0"/>
                <w:highlight w:val="none"/>
                <w:lang w:val="zh-CN"/>
              </w:rPr>
            </w:pPr>
            <w:r>
              <w:rPr>
                <w:rFonts w:hint="eastAsia" w:asciiTheme="minorEastAsia" w:hAnsiTheme="minorEastAsia" w:eastAsiaTheme="minorEastAsia" w:cstheme="minorEastAsia"/>
                <w:color w:val="auto"/>
                <w:kern w:val="0"/>
                <w:highlight w:val="yellow"/>
                <w:lang w:val="zh-CN"/>
              </w:rPr>
              <w:t>2023年08月07日</w:t>
            </w:r>
            <w:r>
              <w:rPr>
                <w:rFonts w:hint="eastAsia" w:asciiTheme="minorEastAsia" w:hAnsiTheme="minorEastAsia" w:eastAsiaTheme="minorEastAsia" w:cstheme="minorEastAsia"/>
                <w:color w:val="auto"/>
                <w:kern w:val="0"/>
                <w:highlight w:val="yellow"/>
                <w:lang w:val="en-US" w:eastAsia="zh-CN"/>
              </w:rPr>
              <w:t>10</w:t>
            </w:r>
            <w:r>
              <w:rPr>
                <w:rFonts w:hint="eastAsia" w:asciiTheme="minorEastAsia" w:hAnsiTheme="minorEastAsia" w:eastAsiaTheme="minorEastAsia" w:cstheme="minorEastAsia"/>
                <w:color w:val="auto"/>
                <w:kern w:val="0"/>
                <w:highlight w:val="yellow"/>
                <w:lang w:val="zh-CN"/>
              </w:rPr>
              <w:t>时00分</w:t>
            </w:r>
            <w:r>
              <w:rPr>
                <w:rFonts w:hint="eastAsia" w:asciiTheme="minorEastAsia" w:hAnsiTheme="minorEastAsia" w:eastAsiaTheme="minorEastAsia" w:cstheme="minorEastAsia"/>
                <w:color w:val="auto"/>
                <w:kern w:val="0"/>
                <w:highlight w:val="none"/>
                <w:lang w:val="zh-CN"/>
              </w:rPr>
              <w:t>（北京时间）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01"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投标及开标地点</w:t>
            </w:r>
          </w:p>
        </w:tc>
        <w:tc>
          <w:tcPr>
            <w:tcW w:w="7114" w:type="dxa"/>
            <w:tcBorders>
              <w:top w:val="single" w:color="000000" w:sz="6" w:space="0"/>
              <w:left w:val="single" w:color="000000" w:sz="6" w:space="0"/>
              <w:bottom w:val="single" w:color="000000"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Times New Roman" w:hAnsi="Times New Roman" w:cs="Times New Roman" w:eastAsiaTheme="minorEastAsia"/>
                <w:color w:val="auto"/>
                <w:kern w:val="0"/>
                <w:highlight w:val="none"/>
                <w:lang w:val="en-US" w:eastAsia="zh-CN"/>
              </w:rPr>
            </w:pPr>
            <w:r>
              <w:rPr>
                <w:rFonts w:hint="eastAsia" w:ascii="宋体" w:hAnsi="宋体" w:eastAsia="宋体" w:cs="宋体"/>
                <w:color w:val="000000"/>
                <w:kern w:val="0"/>
                <w:sz w:val="24"/>
                <w:szCs w:val="24"/>
                <w:highlight w:val="none"/>
                <w:lang w:val="en-US" w:eastAsia="zh-CN" w:bidi="ar"/>
              </w:rPr>
              <w:t>政采云平台</w:t>
            </w:r>
            <w:r>
              <w:rPr>
                <w:rFonts w:hint="eastAsia" w:ascii="宋体" w:hAnsi="宋体" w:cs="宋体"/>
                <w:color w:val="000000"/>
                <w:kern w:val="0"/>
                <w:sz w:val="24"/>
                <w:szCs w:val="24"/>
                <w:highlight w:val="none"/>
                <w:lang w:val="en-US" w:eastAsia="zh-CN" w:bidi="ar"/>
              </w:rPr>
              <w:t>/</w:t>
            </w:r>
            <w:r>
              <w:rPr>
                <w:rFonts w:hint="eastAsia" w:cs="Times New Roman" w:eastAsiaTheme="minorEastAsia"/>
                <w:color w:val="auto"/>
                <w:kern w:val="0"/>
                <w:highlight w:val="none"/>
                <w:lang w:val="en-US" w:eastAsia="zh-CN"/>
              </w:rPr>
              <w:t>海西州政务服务和公共资源交易中心</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eastAsia" w:cs="Times New Roman"/>
                <w:color w:val="auto"/>
                <w:kern w:val="0"/>
                <w:lang w:val="zh-CN"/>
              </w:rPr>
              <w:t>招标人</w:t>
            </w:r>
            <w:r>
              <w:rPr>
                <w:rFonts w:hint="default" w:ascii="Times New Roman" w:hAnsi="Times New Roman" w:cs="Times New Roman"/>
                <w:color w:val="auto"/>
                <w:kern w:val="0"/>
                <w:lang w:val="zh-CN"/>
              </w:rPr>
              <w:t>联系</w:t>
            </w:r>
            <w:r>
              <w:rPr>
                <w:rFonts w:hint="default" w:ascii="Times New Roman" w:hAnsi="Times New Roman" w:cs="Times New Roman"/>
                <w:color w:val="auto"/>
                <w:kern w:val="0"/>
              </w:rPr>
              <w:t>人</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招标</w:t>
            </w:r>
            <w:r>
              <w:rPr>
                <w:rFonts w:hint="default" w:ascii="Times New Roman" w:hAnsi="Times New Roman" w:eastAsia="宋体" w:cs="Times New Roman"/>
                <w:color w:val="auto"/>
                <w:kern w:val="0"/>
                <w:lang w:val="en-US" w:eastAsia="zh-CN"/>
              </w:rPr>
              <w:t>单位：</w:t>
            </w:r>
            <w:r>
              <w:rPr>
                <w:rFonts w:hint="eastAsia" w:cs="Times New Roman"/>
                <w:color w:val="auto"/>
                <w:kern w:val="0"/>
                <w:lang w:val="en-US" w:eastAsia="zh-CN"/>
              </w:rPr>
              <w:t>青海柴达木职业技术学院</w:t>
            </w:r>
          </w:p>
          <w:p>
            <w:pPr>
              <w:autoSpaceDE w:val="0"/>
              <w:autoSpaceDN w:val="0"/>
              <w:adjustRightInd w:val="0"/>
              <w:spacing w:line="240" w:lineRule="auto"/>
              <w:jc w:val="both"/>
              <w:rPr>
                <w:rFonts w:hint="eastAsia" w:cs="Times New Roman"/>
                <w:color w:val="auto"/>
                <w:kern w:val="0"/>
                <w:lang w:val="en-US" w:eastAsia="zh-CN"/>
              </w:rPr>
            </w:pPr>
            <w:r>
              <w:rPr>
                <w:rFonts w:hint="default" w:cs="Times New Roman"/>
                <w:color w:val="auto"/>
                <w:kern w:val="0"/>
                <w:lang w:val="en-US" w:eastAsia="zh-CN"/>
              </w:rPr>
              <w:t>联系人：</w:t>
            </w:r>
            <w:r>
              <w:rPr>
                <w:rFonts w:hint="eastAsia" w:cs="Times New Roman"/>
                <w:color w:val="auto"/>
                <w:kern w:val="0"/>
                <w:lang w:val="en-US" w:eastAsia="zh-CN"/>
              </w:rPr>
              <w:t>朱老师</w:t>
            </w:r>
            <w:bookmarkStart w:id="92" w:name="_GoBack"/>
            <w:bookmarkEnd w:id="92"/>
          </w:p>
          <w:p>
            <w:pPr>
              <w:autoSpaceDE w:val="0"/>
              <w:autoSpaceDN w:val="0"/>
              <w:adjustRightInd w:val="0"/>
              <w:spacing w:line="240" w:lineRule="auto"/>
              <w:jc w:val="both"/>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联系电话：</w:t>
            </w:r>
            <w:r>
              <w:rPr>
                <w:rFonts w:hint="eastAsia" w:ascii="宋体" w:hAnsi="宋体" w:cs="宋体"/>
                <w:color w:val="000000"/>
                <w:kern w:val="0"/>
                <w:sz w:val="24"/>
                <w:szCs w:val="24"/>
                <w:highlight w:val="none"/>
                <w:lang w:val="en-US" w:eastAsia="zh-CN" w:bidi="ar"/>
              </w:rPr>
              <w:t>0977--8901450</w:t>
            </w:r>
          </w:p>
          <w:p>
            <w:pPr>
              <w:autoSpaceDE w:val="0"/>
              <w:autoSpaceDN w:val="0"/>
              <w:adjustRightInd w:val="0"/>
              <w:spacing w:line="240" w:lineRule="auto"/>
              <w:jc w:val="both"/>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联系地址：</w:t>
            </w:r>
            <w:r>
              <w:rPr>
                <w:rFonts w:hint="eastAsia" w:cs="Times New Roman"/>
                <w:color w:val="auto"/>
                <w:kern w:val="0"/>
                <w:lang w:val="en-US" w:eastAsia="zh-CN"/>
              </w:rPr>
              <w:t>青海省德令哈市都兰西路32号</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eastAsia" w:cs="Times New Roman"/>
                <w:color w:val="auto"/>
                <w:kern w:val="0"/>
                <w:lang w:val="zh-CN"/>
              </w:rPr>
              <w:t>招标代理机构</w:t>
            </w:r>
            <w:r>
              <w:rPr>
                <w:rFonts w:hint="default" w:ascii="Times New Roman" w:hAnsi="Times New Roman" w:cs="Times New Roman"/>
                <w:color w:val="auto"/>
                <w:kern w:val="0"/>
                <w:lang w:val="zh-CN"/>
              </w:rPr>
              <w:t>联系人</w:t>
            </w:r>
          </w:p>
        </w:tc>
        <w:tc>
          <w:tcPr>
            <w:tcW w:w="7114" w:type="dxa"/>
            <w:tcBorders>
              <w:top w:val="single" w:color="000000" w:sz="6" w:space="0"/>
              <w:left w:val="single" w:color="000000" w:sz="6" w:space="0"/>
              <w:bottom w:val="single" w:color="000000" w:sz="6" w:space="0"/>
            </w:tcBorders>
            <w:noWrap w:val="0"/>
            <w:vAlign w:val="center"/>
          </w:tcPr>
          <w:p>
            <w:pPr>
              <w:autoSpaceDE w:val="0"/>
              <w:autoSpaceDN w:val="0"/>
              <w:adjustRightInd w:val="0"/>
              <w:spacing w:line="240" w:lineRule="auto"/>
              <w:jc w:val="both"/>
              <w:rPr>
                <w:rFonts w:hint="default"/>
                <w:lang w:val="zh-CN"/>
              </w:rPr>
            </w:pPr>
            <w:r>
              <w:rPr>
                <w:rFonts w:hint="eastAsia"/>
                <w:lang w:val="zh-CN"/>
              </w:rPr>
              <w:t>招标代理机构</w:t>
            </w:r>
            <w:r>
              <w:rPr>
                <w:rFonts w:hint="default"/>
                <w:lang w:val="zh-CN"/>
              </w:rPr>
              <w:t>：青海旭诚工程项目管理有限公司</w:t>
            </w:r>
          </w:p>
          <w:p>
            <w:pPr>
              <w:autoSpaceDE w:val="0"/>
              <w:autoSpaceDN w:val="0"/>
              <w:adjustRightInd w:val="0"/>
              <w:spacing w:line="240" w:lineRule="auto"/>
              <w:jc w:val="both"/>
              <w:rPr>
                <w:rFonts w:hint="default"/>
              </w:rPr>
            </w:pPr>
            <w:r>
              <w:rPr>
                <w:rFonts w:hint="default"/>
                <w:lang w:val="zh-CN"/>
              </w:rPr>
              <w:t>联系人：</w:t>
            </w:r>
            <w:r>
              <w:rPr>
                <w:rFonts w:hint="eastAsia"/>
                <w:lang w:val="zh-CN"/>
              </w:rPr>
              <w:t>贾</w:t>
            </w:r>
            <w:r>
              <w:rPr>
                <w:rFonts w:hint="default"/>
                <w:lang w:val="zh-CN"/>
              </w:rPr>
              <w:t>先生</w:t>
            </w:r>
            <w:r>
              <w:rPr>
                <w:rFonts w:hint="default"/>
              </w:rPr>
              <w:t xml:space="preserve">  </w:t>
            </w:r>
          </w:p>
          <w:p>
            <w:pPr>
              <w:autoSpaceDE w:val="0"/>
              <w:autoSpaceDN w:val="0"/>
              <w:adjustRightInd w:val="0"/>
              <w:spacing w:line="240" w:lineRule="auto"/>
              <w:jc w:val="both"/>
              <w:rPr>
                <w:rFonts w:hint="default"/>
                <w:lang w:val="en-US" w:eastAsia="zh-CN"/>
              </w:rPr>
            </w:pPr>
            <w:r>
              <w:rPr>
                <w:rFonts w:hint="default"/>
                <w:lang w:val="zh-CN"/>
              </w:rPr>
              <w:t>联系电话：</w:t>
            </w:r>
            <w:r>
              <w:rPr>
                <w:rFonts w:hint="default"/>
              </w:rPr>
              <w:t>0971-</w:t>
            </w:r>
            <w:r>
              <w:rPr>
                <w:rFonts w:hint="eastAsia"/>
                <w:lang w:val="en-US" w:eastAsia="zh-CN"/>
              </w:rPr>
              <w:t>6163680</w:t>
            </w:r>
          </w:p>
          <w:p>
            <w:pPr>
              <w:autoSpaceDE w:val="0"/>
              <w:autoSpaceDN w:val="0"/>
              <w:adjustRightInd w:val="0"/>
              <w:spacing w:line="240" w:lineRule="auto"/>
              <w:jc w:val="both"/>
              <w:rPr>
                <w:rFonts w:hint="default"/>
              </w:rPr>
            </w:pPr>
            <w:r>
              <w:rPr>
                <w:rFonts w:hint="default"/>
              </w:rPr>
              <w:t>联系地址：西宁市海湖新区万达中心4号写字楼11楼1110</w:t>
            </w:r>
            <w:r>
              <w:rPr>
                <w:rFonts w:hint="default"/>
                <w:lang w:val="en-US" w:eastAsia="zh-CN"/>
              </w:rPr>
              <w:t>4</w:t>
            </w:r>
            <w:r>
              <w:rPr>
                <w:rFonts w:hint="default"/>
              </w:rPr>
              <w:t>室</w:t>
            </w:r>
          </w:p>
          <w:p>
            <w:pPr>
              <w:pStyle w:val="2"/>
              <w:rPr>
                <w:rFonts w:hint="default"/>
                <w:lang w:val="zh-CN"/>
              </w:rPr>
            </w:pPr>
            <w:r>
              <w:rPr>
                <w:rFonts w:ascii="宋体" w:hAnsi="宋体" w:eastAsia="宋体" w:cs="宋体"/>
                <w:sz w:val="24"/>
                <w:szCs w:val="24"/>
              </w:rPr>
              <w:t>邮箱地址：qhxucheng2022@163.com</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949" w:type="dxa"/>
            <w:tcBorders>
              <w:top w:val="single" w:color="000000" w:sz="6" w:space="0"/>
              <w:bottom w:val="single" w:color="000000" w:sz="6" w:space="0"/>
              <w:right w:val="single" w:color="000000" w:sz="6" w:space="0"/>
            </w:tcBorders>
            <w:shd w:val="clear" w:color="auto" w:fill="auto"/>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代理机构开户行</w:t>
            </w:r>
          </w:p>
        </w:tc>
        <w:tc>
          <w:tcPr>
            <w:tcW w:w="7114" w:type="dxa"/>
            <w:tcBorders>
              <w:top w:val="single" w:color="000000" w:sz="6" w:space="0"/>
              <w:left w:val="single" w:color="000000" w:sz="6" w:space="0"/>
              <w:bottom w:val="single" w:color="000000" w:sz="6" w:space="0"/>
            </w:tcBorders>
            <w:shd w:val="clear" w:color="000000" w:fill="FFFFFF"/>
            <w:noWrap w:val="0"/>
            <w:vAlign w:val="center"/>
          </w:tcPr>
          <w:p>
            <w:pPr>
              <w:autoSpaceDE w:val="0"/>
              <w:autoSpaceDN w:val="0"/>
              <w:adjustRightInd w:val="0"/>
              <w:spacing w:line="240" w:lineRule="auto"/>
              <w:jc w:val="both"/>
              <w:rPr>
                <w:rFonts w:hint="default"/>
                <w:lang w:val="zh-CN"/>
              </w:rPr>
            </w:pPr>
            <w:r>
              <w:rPr>
                <w:rFonts w:hint="default"/>
                <w:lang w:val="zh-CN"/>
              </w:rPr>
              <w:t>中国农业银行股份有限公司西宁城西万达广场支行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949" w:type="dxa"/>
            <w:tcBorders>
              <w:top w:val="single" w:color="000000" w:sz="6" w:space="0"/>
              <w:bottom w:val="single" w:color="000000" w:sz="6" w:space="0"/>
              <w:right w:val="single" w:color="000000" w:sz="6" w:space="0"/>
            </w:tcBorders>
            <w:shd w:val="clear" w:color="auto" w:fill="auto"/>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收款人</w:t>
            </w:r>
          </w:p>
        </w:tc>
        <w:tc>
          <w:tcPr>
            <w:tcW w:w="7114" w:type="dxa"/>
            <w:tcBorders>
              <w:top w:val="single" w:color="000000" w:sz="6" w:space="0"/>
              <w:left w:val="single" w:color="000000" w:sz="6" w:space="0"/>
              <w:bottom w:val="single" w:color="000000" w:sz="6" w:space="0"/>
            </w:tcBorders>
            <w:shd w:val="clear" w:color="000000" w:fill="FFFFFF"/>
            <w:noWrap w:val="0"/>
            <w:vAlign w:val="center"/>
          </w:tcPr>
          <w:p>
            <w:pPr>
              <w:autoSpaceDE w:val="0"/>
              <w:autoSpaceDN w:val="0"/>
              <w:adjustRightInd w:val="0"/>
              <w:spacing w:line="240" w:lineRule="auto"/>
              <w:jc w:val="both"/>
              <w:rPr>
                <w:rFonts w:hint="default"/>
                <w:lang w:val="zh-CN"/>
              </w:rPr>
            </w:pPr>
            <w:r>
              <w:rPr>
                <w:rFonts w:hint="default"/>
                <w:lang w:val="zh-CN"/>
              </w:rPr>
              <w:t>青海旭诚工程项目管理有限公司</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949" w:type="dxa"/>
            <w:tcBorders>
              <w:top w:val="single" w:color="000000" w:sz="6" w:space="0"/>
              <w:bottom w:val="single" w:color="000000" w:sz="6" w:space="0"/>
              <w:right w:val="single" w:color="000000" w:sz="6" w:space="0"/>
            </w:tcBorders>
            <w:shd w:val="clear" w:color="auto" w:fill="auto"/>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银行账号</w:t>
            </w:r>
          </w:p>
        </w:tc>
        <w:tc>
          <w:tcPr>
            <w:tcW w:w="7114" w:type="dxa"/>
            <w:tcBorders>
              <w:top w:val="single" w:color="000000" w:sz="6" w:space="0"/>
              <w:left w:val="single" w:color="000000" w:sz="6" w:space="0"/>
              <w:bottom w:val="single" w:color="000000" w:sz="6" w:space="0"/>
            </w:tcBorders>
            <w:shd w:val="clear" w:color="000000" w:fill="FFFFFF"/>
            <w:noWrap w:val="0"/>
            <w:vAlign w:val="center"/>
          </w:tcPr>
          <w:p>
            <w:pPr>
              <w:autoSpaceDE w:val="0"/>
              <w:autoSpaceDN w:val="0"/>
              <w:adjustRightInd w:val="0"/>
              <w:spacing w:line="240" w:lineRule="auto"/>
              <w:jc w:val="both"/>
              <w:rPr>
                <w:rFonts w:hint="default"/>
                <w:lang w:val="zh-CN"/>
              </w:rPr>
            </w:pPr>
            <w:r>
              <w:rPr>
                <w:rFonts w:hint="default"/>
                <w:lang w:val="zh-CN"/>
              </w:rPr>
              <w:t>28043001040002567</w:t>
            </w:r>
            <w:r>
              <w:rPr>
                <w:rFonts w:hint="eastAsia"/>
                <w:lang w:val="en-US" w:eastAsia="zh-CN"/>
              </w:rPr>
              <w:t xml:space="preserve">  </w:t>
            </w:r>
            <w:r>
              <w:rPr>
                <w:rFonts w:hint="default"/>
                <w:lang w:val="zh-CN"/>
              </w:rPr>
              <w:t>(行号：103851004307）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949" w:type="dxa"/>
            <w:tcBorders>
              <w:top w:val="single" w:color="000000" w:sz="6" w:space="0"/>
              <w:bottom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kern w:val="0"/>
                <w:lang w:val="zh-CN"/>
              </w:rPr>
              <w:t>其他事项</w:t>
            </w:r>
          </w:p>
        </w:tc>
        <w:tc>
          <w:tcPr>
            <w:tcW w:w="7114" w:type="dxa"/>
            <w:tcBorders>
              <w:top w:val="single" w:color="000000" w:sz="6" w:space="0"/>
              <w:left w:val="single" w:color="000000" w:sz="6" w:space="0"/>
              <w:bottom w:val="single" w:color="000000" w:sz="6" w:space="0"/>
            </w:tcBorders>
            <w:noWrap w:val="0"/>
            <w:vAlign w:val="center"/>
          </w:tcPr>
          <w:p>
            <w:pPr>
              <w:keepNext w:val="0"/>
              <w:keepLines w:val="0"/>
              <w:widowControl/>
              <w:suppressLineNumbers w:val="0"/>
              <w:jc w:val="left"/>
            </w:pPr>
            <w:r>
              <w:rPr>
                <w:rFonts w:hint="default"/>
                <w:lang w:val="zh-CN"/>
              </w:rPr>
              <w:t> </w:t>
            </w:r>
            <w:r>
              <w:rPr>
                <w:rFonts w:hint="eastAsia"/>
                <w:lang w:val="en-US" w:eastAsia="zh-CN"/>
              </w:rPr>
              <w:t xml:space="preserve">1、采购项目联系人：贾先生，联系电话：0971-6163680；公告期 </w:t>
            </w:r>
          </w:p>
          <w:p>
            <w:pPr>
              <w:keepNext w:val="0"/>
              <w:keepLines w:val="0"/>
              <w:widowControl/>
              <w:suppressLineNumbers w:val="0"/>
              <w:jc w:val="left"/>
            </w:pPr>
            <w:r>
              <w:rPr>
                <w:rFonts w:hint="eastAsia"/>
                <w:lang w:val="en-US" w:eastAsia="zh-CN"/>
              </w:rPr>
              <w:t xml:space="preserve">限：自青海政府采购网发布之日起 5 个工作日；公告内容以青海政府采购网发布为准。 </w:t>
            </w:r>
          </w:p>
          <w:p>
            <w:pPr>
              <w:keepNext w:val="0"/>
              <w:keepLines w:val="0"/>
              <w:widowControl/>
              <w:suppressLineNumbers w:val="0"/>
              <w:jc w:val="left"/>
            </w:pPr>
            <w:r>
              <w:rPr>
                <w:rFonts w:hint="eastAsia"/>
                <w:lang w:val="en-US" w:eastAsia="zh-CN"/>
              </w:rPr>
              <w:t xml:space="preserve">2、本次招标采用线上提交投标文件的方式进行采购，投标文件必 </w:t>
            </w:r>
          </w:p>
          <w:p>
            <w:pPr>
              <w:keepNext w:val="0"/>
              <w:keepLines w:val="0"/>
              <w:widowControl/>
              <w:suppressLineNumbers w:val="0"/>
              <w:jc w:val="left"/>
            </w:pPr>
            <w:r>
              <w:rPr>
                <w:rFonts w:hint="eastAsia"/>
                <w:lang w:val="en-US" w:eastAsia="zh-CN"/>
              </w:rPr>
              <w:t>须在投标文件递交截止时间前上传平台。</w:t>
            </w:r>
          </w:p>
          <w:p>
            <w:pPr>
              <w:keepNext w:val="0"/>
              <w:keepLines w:val="0"/>
              <w:widowControl/>
              <w:suppressLineNumbers w:val="0"/>
              <w:jc w:val="left"/>
            </w:pPr>
            <w:r>
              <w:rPr>
                <w:rFonts w:hint="eastAsia"/>
                <w:lang w:val="en-US" w:eastAsia="zh-CN"/>
              </w:rPr>
              <w:t xml:space="preserve">3、若对项目采购电子交易系统操作有疑问，可登录政采云 </w:t>
            </w:r>
          </w:p>
          <w:p>
            <w:pPr>
              <w:keepNext w:val="0"/>
              <w:keepLines w:val="0"/>
              <w:widowControl/>
              <w:suppressLineNumbers w:val="0"/>
              <w:jc w:val="left"/>
            </w:pPr>
            <w:r>
              <w:rPr>
                <w:rFonts w:hint="eastAsia"/>
                <w:lang w:val="en-US" w:eastAsia="zh-CN"/>
              </w:rPr>
              <w:t xml:space="preserve">（https://www.zcygov.cn/），点击右侧咨询小采，获取采小蜜智 </w:t>
            </w:r>
          </w:p>
          <w:p>
            <w:pPr>
              <w:keepNext w:val="0"/>
              <w:keepLines w:val="0"/>
              <w:widowControl/>
              <w:suppressLineNumbers w:val="0"/>
              <w:jc w:val="left"/>
            </w:pPr>
            <w:r>
              <w:rPr>
                <w:rFonts w:hint="eastAsia"/>
                <w:lang w:val="en-US" w:eastAsia="zh-CN"/>
              </w:rPr>
              <w:t xml:space="preserve">能服务管家帮助，或拨打政采云服务热线 95763 获取热线服务帮助。 CA 问题 PC 咨询网址（可及时反馈问题截图，让客服快速定位问题）:http://tseal.cn/k.html，联系电话（人工）：95763。 </w:t>
            </w:r>
          </w:p>
          <w:p>
            <w:pPr>
              <w:keepNext w:val="0"/>
              <w:keepLines w:val="0"/>
              <w:widowControl/>
              <w:numPr>
                <w:ilvl w:val="0"/>
                <w:numId w:val="1"/>
              </w:numPr>
              <w:suppressLineNumbers w:val="0"/>
              <w:jc w:val="left"/>
              <w:rPr>
                <w:rFonts w:hint="default"/>
                <w:lang w:val="zh-CN"/>
              </w:rPr>
            </w:pPr>
            <w:r>
              <w:rPr>
                <w:rFonts w:hint="eastAsia"/>
                <w:lang w:val="en-US" w:eastAsia="zh-CN"/>
              </w:rPr>
              <w:t>投标投标人解密和报价时必须由e签宝注册人办理，投标投标人须在固定电脑设备前登陆等待解密和报价，投标投标人须在规定的时间内完成，如超时，则视为无效投标。</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jc w:val="center"/>
        </w:trPr>
        <w:tc>
          <w:tcPr>
            <w:tcW w:w="1949" w:type="dxa"/>
            <w:tcBorders>
              <w:top w:val="single" w:color="000000" w:sz="6" w:space="0"/>
              <w:right w:val="single" w:color="000000" w:sz="6" w:space="0"/>
            </w:tcBorders>
            <w:noWrap w:val="0"/>
            <w:vAlign w:val="center"/>
          </w:tcPr>
          <w:p>
            <w:pPr>
              <w:autoSpaceDE w:val="0"/>
              <w:autoSpaceDN w:val="0"/>
              <w:adjustRightInd w:val="0"/>
              <w:spacing w:line="240" w:lineRule="auto"/>
              <w:jc w:val="center"/>
              <w:rPr>
                <w:rFonts w:hint="default" w:ascii="Times New Roman" w:hAnsi="Times New Roman" w:cs="Times New Roman"/>
                <w:color w:val="auto"/>
                <w:kern w:val="0"/>
                <w:lang w:val="zh-CN"/>
              </w:rPr>
            </w:pPr>
            <w:r>
              <w:rPr>
                <w:rFonts w:hint="default" w:ascii="Times New Roman" w:hAnsi="Times New Roman" w:cs="Times New Roman"/>
                <w:kern w:val="0"/>
                <w:lang w:val="zh-CN"/>
              </w:rPr>
              <w:t>财政监督部门及电话</w:t>
            </w:r>
          </w:p>
        </w:tc>
        <w:tc>
          <w:tcPr>
            <w:tcW w:w="7114" w:type="dxa"/>
            <w:tcBorders>
              <w:top w:val="single" w:color="000000" w:sz="6" w:space="0"/>
              <w:left w:val="single" w:color="000000" w:sz="6" w:space="0"/>
            </w:tcBorders>
            <w:noWrap w:val="0"/>
            <w:vAlign w:val="center"/>
          </w:tcPr>
          <w:p>
            <w:pPr>
              <w:autoSpaceDE w:val="0"/>
              <w:autoSpaceDN w:val="0"/>
              <w:adjustRightInd w:val="0"/>
              <w:spacing w:line="240" w:lineRule="auto"/>
              <w:jc w:val="both"/>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监督单位：</w:t>
            </w:r>
            <w:r>
              <w:rPr>
                <w:rFonts w:hint="eastAsia" w:cs="Times New Roman"/>
                <w:color w:val="auto"/>
                <w:kern w:val="0"/>
                <w:lang w:val="en-US" w:eastAsia="zh-CN"/>
              </w:rPr>
              <w:t>海西蒙古族藏族自治州</w:t>
            </w:r>
            <w:r>
              <w:rPr>
                <w:rFonts w:hint="default" w:ascii="Times New Roman" w:hAnsi="Times New Roman" w:eastAsia="宋体" w:cs="Times New Roman"/>
                <w:color w:val="auto"/>
                <w:kern w:val="0"/>
                <w:lang w:val="en-US" w:eastAsia="zh-CN"/>
              </w:rPr>
              <w:t xml:space="preserve">财政局 </w:t>
            </w:r>
          </w:p>
          <w:p>
            <w:pPr>
              <w:autoSpaceDE w:val="0"/>
              <w:autoSpaceDN w:val="0"/>
              <w:adjustRightInd w:val="0"/>
              <w:spacing w:line="240" w:lineRule="auto"/>
              <w:jc w:val="both"/>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联系电话：097</w:t>
            </w:r>
            <w:r>
              <w:rPr>
                <w:rFonts w:hint="eastAsia" w:cs="Times New Roman"/>
                <w:color w:val="auto"/>
                <w:kern w:val="0"/>
                <w:lang w:val="en-US" w:eastAsia="zh-CN"/>
              </w:rPr>
              <w:t>7</w:t>
            </w:r>
            <w:r>
              <w:rPr>
                <w:rFonts w:hint="default" w:ascii="Times New Roman" w:hAnsi="Times New Roman" w:eastAsia="宋体" w:cs="Times New Roman"/>
                <w:color w:val="auto"/>
                <w:kern w:val="0"/>
                <w:lang w:val="en-US" w:eastAsia="zh-CN"/>
              </w:rPr>
              <w:t>-8</w:t>
            </w:r>
            <w:r>
              <w:rPr>
                <w:rFonts w:hint="eastAsia" w:cs="Times New Roman"/>
                <w:color w:val="auto"/>
                <w:kern w:val="0"/>
                <w:lang w:val="en-US" w:eastAsia="zh-CN"/>
              </w:rPr>
              <w:t>226934</w:t>
            </w:r>
          </w:p>
        </w:tc>
      </w:tr>
    </w:tbl>
    <w:p>
      <w:pPr>
        <w:pStyle w:val="23"/>
        <w:spacing w:before="0" w:after="0" w:line="360" w:lineRule="auto"/>
        <w:rPr>
          <w:rFonts w:hint="eastAsia" w:ascii="宋体" w:hAnsi="宋体" w:cs="宋体"/>
          <w:color w:val="auto"/>
        </w:rPr>
      </w:pPr>
      <w:bookmarkStart w:id="1" w:name="_Toc428180535"/>
      <w:r>
        <w:rPr>
          <w:rFonts w:hint="eastAsia" w:ascii="宋体" w:hAnsi="宋体" w:cs="宋体"/>
          <w:color w:val="auto"/>
        </w:rPr>
        <w:t xml:space="preserve"> </w:t>
      </w:r>
    </w:p>
    <w:p>
      <w:pPr>
        <w:pStyle w:val="23"/>
        <w:spacing w:before="0" w:after="0" w:line="360" w:lineRule="auto"/>
        <w:rPr>
          <w:rFonts w:hint="eastAsia" w:ascii="宋体" w:hAnsi="宋体" w:cs="宋体"/>
          <w:b w:val="0"/>
          <w:bCs w:val="0"/>
          <w:color w:val="auto"/>
          <w:kern w:val="0"/>
          <w:sz w:val="24"/>
          <w:szCs w:val="24"/>
          <w:highlight w:val="none"/>
          <w:lang w:val="en-US" w:eastAsia="zh-CN" w:bidi="ar-SA"/>
        </w:rPr>
      </w:pPr>
      <w:r>
        <w:rPr>
          <w:rFonts w:hint="eastAsia" w:ascii="宋体" w:hAnsi="宋体" w:cs="宋体"/>
          <w:color w:val="auto"/>
          <w:lang w:val="en-US" w:eastAsia="zh-CN"/>
        </w:rPr>
        <w:t xml:space="preserve">                     </w:t>
      </w:r>
      <w:r>
        <w:rPr>
          <w:rFonts w:hint="eastAsia" w:ascii="宋体" w:hAnsi="宋体" w:cs="宋体"/>
          <w:b w:val="0"/>
          <w:bCs w:val="0"/>
          <w:color w:val="auto"/>
          <w:kern w:val="0"/>
          <w:sz w:val="24"/>
          <w:szCs w:val="24"/>
          <w:lang w:val="en-US" w:eastAsia="zh-CN" w:bidi="ar-SA"/>
        </w:rPr>
        <w:t xml:space="preserve">        青海旭诚</w:t>
      </w:r>
      <w:r>
        <w:rPr>
          <w:rFonts w:hint="eastAsia" w:ascii="宋体" w:hAnsi="宋体" w:cs="宋体"/>
          <w:b w:val="0"/>
          <w:bCs w:val="0"/>
          <w:color w:val="auto"/>
          <w:kern w:val="0"/>
          <w:sz w:val="24"/>
          <w:szCs w:val="24"/>
          <w:highlight w:val="none"/>
          <w:lang w:val="en-US" w:eastAsia="zh-CN" w:bidi="ar-SA"/>
        </w:rPr>
        <w:t>工程项目管理有限公司</w:t>
      </w:r>
    </w:p>
    <w:p>
      <w:pPr>
        <w:pStyle w:val="23"/>
        <w:spacing w:before="0" w:after="0" w:line="360" w:lineRule="auto"/>
        <w:rPr>
          <w:rFonts w:hint="eastAsia" w:ascii="宋体" w:hAnsi="宋体" w:cs="宋体"/>
          <w:color w:val="auto"/>
          <w:lang w:val="zh-CN"/>
        </w:rPr>
      </w:pPr>
      <w:r>
        <w:rPr>
          <w:rFonts w:hint="eastAsia" w:ascii="宋体" w:hAnsi="宋体" w:cs="宋体"/>
          <w:b w:val="0"/>
          <w:bCs w:val="0"/>
          <w:color w:val="auto"/>
          <w:kern w:val="0"/>
          <w:sz w:val="24"/>
          <w:szCs w:val="24"/>
          <w:highlight w:val="none"/>
          <w:lang w:val="en-US" w:eastAsia="zh-CN" w:bidi="ar-SA"/>
        </w:rPr>
        <w:t xml:space="preserve">                                            2023年07月04日</w:t>
      </w:r>
      <w:r>
        <w:rPr>
          <w:rFonts w:hint="eastAsia" w:ascii="宋体" w:hAnsi="宋体" w:cs="宋体"/>
          <w:color w:val="auto"/>
          <w:lang w:val="zh-CN"/>
        </w:rPr>
        <w:br w:type="page"/>
      </w:r>
      <w:bookmarkEnd w:id="1"/>
      <w:bookmarkStart w:id="2" w:name="_Toc21334"/>
    </w:p>
    <w:p>
      <w:pPr>
        <w:pStyle w:val="23"/>
        <w:spacing w:before="0" w:after="0" w:line="360" w:lineRule="auto"/>
        <w:rPr>
          <w:rFonts w:hint="eastAsia" w:ascii="宋体" w:hAnsi="宋体" w:cs="宋体"/>
          <w:color w:val="auto"/>
          <w:sz w:val="21"/>
          <w:szCs w:val="21"/>
          <w:lang w:val="zh-CN"/>
        </w:rPr>
      </w:pPr>
    </w:p>
    <w:p>
      <w:pPr>
        <w:pStyle w:val="23"/>
        <w:spacing w:before="0" w:after="0" w:line="360" w:lineRule="auto"/>
        <w:rPr>
          <w:rFonts w:hint="eastAsia" w:ascii="宋体" w:hAnsi="宋体" w:cs="宋体"/>
          <w:color w:val="auto"/>
          <w:szCs w:val="36"/>
        </w:rPr>
      </w:pPr>
      <w:r>
        <w:rPr>
          <w:rFonts w:hint="eastAsia" w:ascii="宋体" w:hAnsi="宋体" w:cs="宋体"/>
          <w:color w:val="auto"/>
          <w:szCs w:val="36"/>
          <w:lang w:val="zh-CN"/>
        </w:rPr>
        <w:t>第二部分  投标人须知</w:t>
      </w:r>
      <w:bookmarkEnd w:id="2"/>
    </w:p>
    <w:p>
      <w:pPr>
        <w:pStyle w:val="23"/>
        <w:spacing w:before="0" w:after="0" w:line="360" w:lineRule="auto"/>
        <w:rPr>
          <w:rFonts w:hint="eastAsia" w:ascii="宋体" w:hAnsi="宋体" w:cs="宋体"/>
          <w:color w:val="auto"/>
        </w:rPr>
      </w:pPr>
      <w:bookmarkStart w:id="3" w:name="_Toc6910"/>
      <w:r>
        <w:rPr>
          <w:rFonts w:hint="eastAsia" w:ascii="宋体" w:hAnsi="宋体" w:cs="宋体"/>
          <w:color w:val="auto"/>
          <w:lang w:val="zh-CN"/>
        </w:rPr>
        <w:t>一、说明</w:t>
      </w:r>
      <w:bookmarkEnd w:id="3"/>
    </w:p>
    <w:p>
      <w:pPr>
        <w:pStyle w:val="23"/>
        <w:spacing w:before="0" w:after="0" w:line="360" w:lineRule="auto"/>
        <w:jc w:val="left"/>
        <w:rPr>
          <w:rFonts w:hint="eastAsia" w:ascii="宋体" w:hAnsi="宋体" w:cs="宋体"/>
          <w:color w:val="auto"/>
          <w:lang w:val="zh-CN"/>
        </w:rPr>
      </w:pPr>
      <w:bookmarkStart w:id="4" w:name="_Toc17791"/>
      <w:r>
        <w:rPr>
          <w:rFonts w:hint="eastAsia" w:ascii="宋体" w:hAnsi="宋体" w:cs="宋体"/>
          <w:color w:val="auto"/>
          <w:sz w:val="28"/>
          <w:szCs w:val="28"/>
          <w:lang w:val="zh-CN"/>
        </w:rPr>
        <w:t>1.适用范围</w:t>
      </w:r>
      <w:bookmarkEnd w:id="4"/>
    </w:p>
    <w:p>
      <w:pPr>
        <w:autoSpaceDE w:val="0"/>
        <w:autoSpaceDN w:val="0"/>
        <w:spacing w:line="360" w:lineRule="auto"/>
        <w:ind w:firstLine="360" w:firstLineChars="150"/>
        <w:rPr>
          <w:rFonts w:hint="eastAsia" w:ascii="宋体" w:hAnsi="宋体" w:cs="宋体"/>
          <w:color w:val="auto"/>
          <w:kern w:val="0"/>
          <w:lang w:val="zh-CN"/>
        </w:rPr>
      </w:pPr>
      <w:r>
        <w:rPr>
          <w:rFonts w:hint="eastAsia" w:ascii="宋体" w:hAnsi="宋体" w:cs="宋体"/>
          <w:color w:val="auto"/>
          <w:kern w:val="0"/>
          <w:lang w:val="zh-CN"/>
        </w:rPr>
        <w:t>本次招标依据招标人的招标计划，仅适用于本招标文件中所叙述的项目。</w:t>
      </w:r>
    </w:p>
    <w:p>
      <w:pPr>
        <w:pStyle w:val="23"/>
        <w:spacing w:before="0" w:after="0" w:line="360" w:lineRule="auto"/>
        <w:jc w:val="left"/>
        <w:rPr>
          <w:rFonts w:hint="eastAsia" w:ascii="宋体" w:hAnsi="宋体" w:cs="宋体"/>
          <w:color w:val="auto"/>
          <w:lang w:val="zh-CN"/>
        </w:rPr>
      </w:pPr>
      <w:bookmarkStart w:id="5" w:name="_Toc4607"/>
      <w:r>
        <w:rPr>
          <w:rFonts w:hint="eastAsia" w:ascii="宋体" w:hAnsi="宋体" w:cs="宋体"/>
          <w:color w:val="auto"/>
          <w:sz w:val="28"/>
          <w:szCs w:val="28"/>
          <w:lang w:val="zh-CN"/>
        </w:rPr>
        <w:t>2.招标方式、合格的</w:t>
      </w:r>
      <w:bookmarkEnd w:id="5"/>
      <w:r>
        <w:rPr>
          <w:rFonts w:hint="eastAsia" w:ascii="宋体" w:hAnsi="宋体" w:cs="宋体"/>
          <w:color w:val="auto"/>
          <w:sz w:val="28"/>
          <w:szCs w:val="28"/>
          <w:lang w:val="zh-CN"/>
        </w:rPr>
        <w:t>投标人</w:t>
      </w:r>
    </w:p>
    <w:p>
      <w:pPr>
        <w:autoSpaceDE w:val="0"/>
        <w:autoSpaceDN w:val="0"/>
        <w:spacing w:line="360" w:lineRule="auto"/>
        <w:ind w:firstLine="360" w:firstLineChars="150"/>
        <w:rPr>
          <w:rFonts w:hint="eastAsia" w:ascii="宋体" w:hAnsi="宋体" w:cs="宋体"/>
          <w:b/>
          <w:bCs/>
          <w:color w:val="auto"/>
          <w:kern w:val="0"/>
          <w:lang w:val="zh-CN"/>
        </w:rPr>
      </w:pPr>
      <w:r>
        <w:rPr>
          <w:rFonts w:hint="eastAsia" w:ascii="宋体" w:hAnsi="宋体" w:cs="宋体"/>
          <w:color w:val="auto"/>
          <w:kern w:val="0"/>
          <w:lang w:val="zh-CN"/>
        </w:rPr>
        <w:t>2.1</w:t>
      </w:r>
      <w:r>
        <w:rPr>
          <w:rFonts w:hint="eastAsia" w:ascii="宋体" w:hAnsi="宋体" w:cs="宋体"/>
          <w:color w:val="auto"/>
          <w:kern w:val="0"/>
        </w:rPr>
        <w:t xml:space="preserve"> </w:t>
      </w:r>
      <w:r>
        <w:rPr>
          <w:rFonts w:hint="eastAsia" w:ascii="宋体" w:hAnsi="宋体" w:cs="宋体"/>
          <w:color w:val="auto"/>
          <w:kern w:val="0"/>
          <w:lang w:val="zh-CN"/>
        </w:rPr>
        <w:t>本次招标采取公开招标方式。</w:t>
      </w:r>
    </w:p>
    <w:p>
      <w:pPr>
        <w:autoSpaceDE w:val="0"/>
        <w:autoSpaceDN w:val="0"/>
        <w:spacing w:line="360" w:lineRule="auto"/>
        <w:ind w:firstLine="360" w:firstLineChars="150"/>
        <w:rPr>
          <w:rFonts w:hint="eastAsia" w:ascii="宋体" w:hAnsi="宋体" w:cs="宋体"/>
          <w:color w:val="auto"/>
          <w:kern w:val="0"/>
          <w:lang w:val="zh-CN"/>
        </w:rPr>
      </w:pPr>
      <w:r>
        <w:rPr>
          <w:rFonts w:hint="eastAsia" w:ascii="宋体" w:hAnsi="宋体" w:cs="宋体"/>
          <w:color w:val="auto"/>
          <w:kern w:val="0"/>
          <w:lang w:val="zh-CN"/>
        </w:rPr>
        <w:t>2.2</w:t>
      </w:r>
      <w:r>
        <w:rPr>
          <w:rFonts w:hint="eastAsia" w:ascii="宋体" w:hAnsi="宋体" w:cs="宋体"/>
          <w:color w:val="auto"/>
          <w:kern w:val="0"/>
        </w:rPr>
        <w:t xml:space="preserve"> </w:t>
      </w:r>
      <w:r>
        <w:rPr>
          <w:rFonts w:hint="eastAsia" w:ascii="宋体" w:hAnsi="宋体" w:cs="宋体"/>
          <w:color w:val="auto"/>
          <w:kern w:val="0"/>
          <w:lang w:val="zh-CN"/>
        </w:rPr>
        <w:t>合格的投标人：详见第一部分</w:t>
      </w:r>
      <w:r>
        <w:rPr>
          <w:rFonts w:hint="eastAsia" w:ascii="宋体" w:hAnsi="宋体" w:cs="宋体"/>
          <w:color w:val="auto"/>
          <w:kern w:val="0"/>
        </w:rPr>
        <w:t>“</w:t>
      </w:r>
      <w:r>
        <w:rPr>
          <w:rFonts w:hint="eastAsia" w:ascii="宋体" w:hAnsi="宋体" w:cs="宋体"/>
          <w:color w:val="auto"/>
          <w:kern w:val="0"/>
          <w:lang w:val="zh-CN"/>
        </w:rPr>
        <w:t>投标人资格要求</w:t>
      </w:r>
      <w:r>
        <w:rPr>
          <w:rFonts w:hint="eastAsia" w:ascii="宋体" w:hAnsi="宋体" w:cs="宋体"/>
          <w:color w:val="auto"/>
          <w:kern w:val="0"/>
        </w:rPr>
        <w:t>”。</w:t>
      </w:r>
    </w:p>
    <w:p>
      <w:pPr>
        <w:pStyle w:val="23"/>
        <w:spacing w:before="0" w:after="0" w:line="360" w:lineRule="auto"/>
        <w:jc w:val="left"/>
        <w:rPr>
          <w:rFonts w:hint="eastAsia" w:ascii="宋体" w:hAnsi="宋体" w:cs="宋体"/>
          <w:color w:val="auto"/>
          <w:lang w:val="zh-CN"/>
        </w:rPr>
      </w:pPr>
      <w:bookmarkStart w:id="6" w:name="_Toc5925"/>
      <w:r>
        <w:rPr>
          <w:rFonts w:hint="eastAsia" w:ascii="宋体" w:hAnsi="宋体" w:cs="宋体"/>
          <w:color w:val="auto"/>
          <w:sz w:val="28"/>
          <w:szCs w:val="28"/>
          <w:lang w:val="zh-CN"/>
        </w:rPr>
        <w:t>3.投标费用</w:t>
      </w:r>
      <w:bookmarkEnd w:id="6"/>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投标人应自愿承担与参加本次投标有关的费用。招标代理机构对投标人发生的费用不承担任何责任。</w:t>
      </w:r>
    </w:p>
    <w:p>
      <w:pPr>
        <w:pStyle w:val="23"/>
        <w:spacing w:before="0" w:after="0" w:line="360" w:lineRule="auto"/>
        <w:rPr>
          <w:rFonts w:hint="eastAsia" w:ascii="宋体" w:hAnsi="宋体" w:cs="宋体"/>
          <w:color w:val="auto"/>
        </w:rPr>
      </w:pPr>
      <w:bookmarkStart w:id="7" w:name="_Toc7095"/>
      <w:r>
        <w:rPr>
          <w:rFonts w:hint="eastAsia" w:ascii="宋体" w:hAnsi="宋体" w:cs="宋体"/>
          <w:color w:val="auto"/>
          <w:lang w:val="zh-CN"/>
        </w:rPr>
        <w:t>二、招标文件说明</w:t>
      </w:r>
      <w:bookmarkEnd w:id="7"/>
    </w:p>
    <w:p>
      <w:pPr>
        <w:pStyle w:val="23"/>
        <w:spacing w:before="0" w:after="0" w:line="360" w:lineRule="auto"/>
        <w:jc w:val="left"/>
        <w:rPr>
          <w:rFonts w:hint="eastAsia" w:ascii="宋体" w:hAnsi="宋体" w:cs="宋体"/>
          <w:color w:val="auto"/>
          <w:lang w:val="zh-CN"/>
        </w:rPr>
      </w:pPr>
      <w:bookmarkStart w:id="8" w:name="_Toc5670"/>
      <w:r>
        <w:rPr>
          <w:rFonts w:hint="eastAsia" w:ascii="宋体" w:hAnsi="宋体" w:cs="宋体"/>
          <w:color w:val="auto"/>
          <w:sz w:val="28"/>
          <w:szCs w:val="28"/>
          <w:lang w:val="zh-CN"/>
        </w:rPr>
        <w:t>4.招标文件的构成</w:t>
      </w:r>
      <w:bookmarkEnd w:id="8"/>
    </w:p>
    <w:p>
      <w:pPr>
        <w:autoSpaceDE w:val="0"/>
        <w:autoSpaceDN w:val="0"/>
        <w:spacing w:line="360" w:lineRule="auto"/>
        <w:ind w:firstLine="360" w:firstLineChars="150"/>
        <w:rPr>
          <w:rFonts w:hint="eastAsia" w:ascii="宋体" w:hAnsi="宋体" w:cs="宋体"/>
          <w:color w:val="auto"/>
          <w:kern w:val="0"/>
          <w:lang w:val="zh-CN"/>
        </w:rPr>
      </w:pPr>
      <w:r>
        <w:rPr>
          <w:rFonts w:hint="eastAsia" w:ascii="宋体" w:hAnsi="宋体" w:cs="宋体"/>
          <w:color w:val="auto"/>
          <w:kern w:val="0"/>
          <w:lang w:val="zh-CN"/>
        </w:rPr>
        <w:t>4.1</w:t>
      </w:r>
      <w:r>
        <w:rPr>
          <w:rFonts w:hint="eastAsia" w:ascii="宋体" w:hAnsi="宋体" w:cs="宋体"/>
          <w:color w:val="auto"/>
          <w:kern w:val="0"/>
        </w:rPr>
        <w:t xml:space="preserve"> </w:t>
      </w:r>
      <w:r>
        <w:rPr>
          <w:rFonts w:hint="eastAsia" w:ascii="宋体" w:hAnsi="宋体" w:cs="宋体"/>
          <w:color w:val="auto"/>
          <w:kern w:val="0"/>
          <w:lang w:val="zh-CN"/>
        </w:rPr>
        <w:t>招标文件包括：</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（1）投标邀请</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）投标人须知</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）青海省政府采购项目合同书范本</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）投标文件格式</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5</w:t>
      </w:r>
      <w:r>
        <w:rPr>
          <w:rFonts w:hint="eastAsia" w:ascii="宋体" w:hAnsi="宋体" w:cs="宋体"/>
          <w:color w:val="auto"/>
          <w:kern w:val="0"/>
          <w:lang w:val="zh-CN"/>
        </w:rPr>
        <w:t>）采购项目要求及技术参数</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 xml:space="preserve">4.2 </w:t>
      </w:r>
      <w:r>
        <w:rPr>
          <w:rFonts w:hint="eastAsia" w:ascii="宋体" w:hAnsi="宋体" w:cs="宋体"/>
          <w:color w:val="auto"/>
          <w:kern w:val="0"/>
          <w:lang w:eastAsia="zh-CN"/>
        </w:rPr>
        <w:t>投标人</w:t>
      </w:r>
      <w:r>
        <w:rPr>
          <w:rFonts w:hint="eastAsia" w:ascii="宋体" w:hAnsi="宋体" w:cs="宋体"/>
          <w:color w:val="auto"/>
          <w:kern w:val="0"/>
        </w:rPr>
        <w:t>应当按照招标文件的要求编制投标文件。投标文件应当对招标文件提出的要求和条件作出明确响应。</w:t>
      </w:r>
    </w:p>
    <w:p>
      <w:pPr>
        <w:pStyle w:val="23"/>
        <w:spacing w:before="0" w:after="0" w:line="360" w:lineRule="auto"/>
        <w:jc w:val="left"/>
        <w:rPr>
          <w:rFonts w:hint="eastAsia" w:ascii="宋体" w:hAnsi="宋体" w:cs="宋体"/>
          <w:color w:val="auto"/>
          <w:sz w:val="28"/>
          <w:szCs w:val="28"/>
          <w:lang w:val="zh-CN"/>
        </w:rPr>
      </w:pPr>
      <w:bookmarkStart w:id="9" w:name="_Toc470"/>
      <w:r>
        <w:rPr>
          <w:rFonts w:hint="eastAsia" w:ascii="宋体" w:hAnsi="宋体" w:cs="宋体"/>
          <w:color w:val="auto"/>
          <w:sz w:val="28"/>
          <w:szCs w:val="28"/>
          <w:lang w:val="zh-CN"/>
        </w:rPr>
        <w:t>5.招标公告、招标文件、招标活动和中标结果的质疑</w:t>
      </w:r>
      <w:bookmarkEnd w:id="9"/>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认为招标公告、招标文件、招标活动和中标结果使自己的权益受到损害的，可以在知道或者应知其权益受到损害之日起7个工作日内以书面形式（如信件、传真等）向招标人或者招标代理机构提出质疑，不接受匿名质疑。</w:t>
      </w:r>
      <w:r>
        <w:rPr>
          <w:rFonts w:hint="eastAsia" w:ascii="宋体" w:hAnsi="宋体" w:cs="宋体"/>
          <w:color w:val="auto"/>
          <w:kern w:val="0"/>
          <w:lang w:bidi="ar"/>
        </w:rPr>
        <w:t>潜在</w:t>
      </w:r>
      <w:r>
        <w:rPr>
          <w:rFonts w:hint="eastAsia" w:ascii="宋体" w:hAnsi="宋体" w:cs="宋体"/>
          <w:color w:val="auto"/>
          <w:kern w:val="0"/>
          <w:lang w:eastAsia="zh-CN" w:bidi="ar"/>
        </w:rPr>
        <w:t>投标人</w:t>
      </w:r>
      <w:r>
        <w:rPr>
          <w:rFonts w:hint="eastAsia" w:ascii="宋体" w:hAnsi="宋体" w:cs="宋体"/>
          <w:color w:val="auto"/>
          <w:kern w:val="0"/>
          <w:lang w:bidi="ar"/>
        </w:rPr>
        <w:t>可以对</w:t>
      </w:r>
      <w:r>
        <w:rPr>
          <w:rFonts w:hint="eastAsia" w:ascii="宋体" w:hAnsi="宋体" w:cs="宋体"/>
          <w:color w:val="auto"/>
          <w:kern w:val="0"/>
          <w:lang w:val="zh-CN"/>
        </w:rPr>
        <w:t>招标公告、</w:t>
      </w:r>
      <w:r>
        <w:rPr>
          <w:rFonts w:hint="eastAsia" w:ascii="宋体" w:hAnsi="宋体" w:cs="宋体"/>
          <w:color w:val="auto"/>
          <w:kern w:val="0"/>
          <w:lang w:bidi="ar"/>
        </w:rPr>
        <w:t>招标文件提出质疑。</w:t>
      </w:r>
      <w:r>
        <w:rPr>
          <w:rFonts w:hint="eastAsia" w:ascii="宋体" w:hAnsi="宋体" w:cs="宋体"/>
          <w:color w:val="auto"/>
          <w:kern w:val="0"/>
          <w:lang w:val="zh-CN"/>
        </w:rPr>
        <w:t>招标人或招标代理机构在收到投标人的书面质疑后7个工作日内予以答复，如有变更事宜，应当在发布本次招标公告的网站上发布变更公告，告知本项目的所有潜在投标人。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参与采购活动的投标人对评审过程或者结果提出质疑的，招标人或招标代理机构可以组织原评审委员会协助处理质疑事项，并依据评审委员会出具的意见进行答复。质疑事项处理完成后，招标人或招标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（二）对招标过程提出质疑的，为各采购程序环节结束之日；</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（三）对中标结果提出质疑的，为中标结果公告期限届满之日。</w:t>
      </w:r>
    </w:p>
    <w:p>
      <w:pPr>
        <w:pStyle w:val="23"/>
        <w:spacing w:before="0" w:after="0" w:line="360" w:lineRule="auto"/>
        <w:jc w:val="left"/>
        <w:rPr>
          <w:rFonts w:hint="eastAsia" w:ascii="宋体" w:hAnsi="宋体" w:cs="宋体"/>
          <w:color w:val="auto"/>
          <w:lang w:val="zh-CN"/>
        </w:rPr>
      </w:pPr>
      <w:bookmarkStart w:id="10" w:name="_Toc4990"/>
      <w:r>
        <w:rPr>
          <w:rFonts w:hint="eastAsia" w:ascii="宋体" w:hAnsi="宋体" w:cs="宋体"/>
          <w:color w:val="auto"/>
          <w:sz w:val="28"/>
          <w:szCs w:val="28"/>
          <w:lang w:val="zh-CN"/>
        </w:rPr>
        <w:t>6.招标文件的澄清或修改</w:t>
      </w:r>
      <w:bookmarkEnd w:id="10"/>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6.1 招标人或者招标代理机构可以对已发出的招标文件进行必要的澄清或者修改，但不得改变采购标的和资格条件。澄清或者修改应当在原公告发布媒体上发布澄清公告。澄清或者修改的内容为招标文件的组成部分。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6.</w:t>
      </w:r>
      <w:r>
        <w:rPr>
          <w:rFonts w:hint="eastAsia" w:ascii="宋体" w:hAnsi="宋体" w:cs="宋体"/>
          <w:color w:val="auto"/>
          <w:kern w:val="0"/>
        </w:rPr>
        <w:t>2</w:t>
      </w:r>
      <w:r>
        <w:rPr>
          <w:rFonts w:hint="eastAsia" w:ascii="宋体" w:hAnsi="宋体" w:cs="宋体"/>
          <w:color w:val="auto"/>
          <w:kern w:val="0"/>
          <w:lang w:val="zh-CN"/>
        </w:rPr>
        <w:t xml:space="preserve"> 在投标截止时间前，招标人或招标代理机构可以视采购活动具体情况，延长投标截止时间和开标时间，并至少应当在招标文件要求提交投标文件的截止时间三日前，将变更时间以书面形式通知所有投标人，同时在发布本次招标公告的网站发布变更公告。</w:t>
      </w:r>
    </w:p>
    <w:p>
      <w:pPr>
        <w:pStyle w:val="23"/>
        <w:spacing w:before="0" w:after="0" w:line="360" w:lineRule="auto"/>
        <w:rPr>
          <w:rFonts w:hint="eastAsia" w:ascii="宋体" w:hAnsi="宋体" w:cs="宋体"/>
          <w:color w:val="auto"/>
        </w:rPr>
      </w:pPr>
      <w:bookmarkStart w:id="11" w:name="_Toc28495"/>
      <w:r>
        <w:rPr>
          <w:rFonts w:hint="eastAsia" w:ascii="宋体" w:hAnsi="宋体" w:cs="宋体"/>
          <w:color w:val="auto"/>
          <w:lang w:val="zh-CN"/>
        </w:rPr>
        <w:t>三、投标文件的编制</w:t>
      </w:r>
      <w:bookmarkEnd w:id="11"/>
    </w:p>
    <w:p>
      <w:pPr>
        <w:pStyle w:val="23"/>
        <w:spacing w:before="0" w:after="0" w:line="360" w:lineRule="auto"/>
        <w:jc w:val="left"/>
        <w:rPr>
          <w:rFonts w:hint="eastAsia" w:ascii="宋体" w:hAnsi="宋体" w:cs="宋体"/>
          <w:color w:val="auto"/>
          <w:lang w:val="zh-CN"/>
        </w:rPr>
      </w:pPr>
      <w:bookmarkStart w:id="12" w:name="_Toc15532"/>
      <w:r>
        <w:rPr>
          <w:rFonts w:hint="eastAsia" w:ascii="宋体" w:hAnsi="宋体" w:cs="宋体"/>
          <w:color w:val="auto"/>
          <w:sz w:val="28"/>
          <w:szCs w:val="28"/>
          <w:lang w:val="zh-CN"/>
        </w:rPr>
        <w:t>7.投标文件的语言及度量衡单位</w:t>
      </w:r>
      <w:bookmarkEnd w:id="12"/>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7.1</w:t>
      </w:r>
      <w:r>
        <w:rPr>
          <w:rFonts w:hint="eastAsia" w:ascii="宋体" w:hAnsi="宋体" w:cs="宋体"/>
          <w:color w:val="auto"/>
          <w:kern w:val="0"/>
        </w:rPr>
        <w:t xml:space="preserve"> </w:t>
      </w:r>
      <w:r>
        <w:rPr>
          <w:rFonts w:hint="eastAsia" w:ascii="宋体" w:hAnsi="宋体" w:cs="宋体"/>
          <w:color w:val="auto"/>
          <w:kern w:val="0"/>
          <w:lang w:val="zh-CN"/>
        </w:rPr>
        <w:t>投标人提交的投标文件以及投标人与招标代理机构就此投标发生的所有来往函电均应使用简体中文。</w:t>
      </w:r>
      <w:r>
        <w:rPr>
          <w:rFonts w:hint="eastAsia" w:ascii="宋体" w:hAnsi="宋体" w:cs="宋体"/>
          <w:color w:val="auto"/>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7.3 附有外文资料的须翻译成中文，并加盖投标人公章，如果翻译的中文资料与外文资料出现差异与矛盾时，以中文为准，其准确性由投标人负责。</w:t>
      </w:r>
    </w:p>
    <w:p>
      <w:pPr>
        <w:pStyle w:val="23"/>
        <w:spacing w:before="0" w:after="0" w:line="360" w:lineRule="auto"/>
        <w:jc w:val="left"/>
        <w:rPr>
          <w:rFonts w:hint="eastAsia" w:ascii="宋体" w:hAnsi="宋体" w:cs="宋体"/>
          <w:color w:val="auto"/>
          <w:lang w:val="zh-CN"/>
        </w:rPr>
      </w:pPr>
      <w:bookmarkStart w:id="13" w:name="_Toc14490"/>
      <w:r>
        <w:rPr>
          <w:rFonts w:hint="eastAsia" w:ascii="宋体" w:hAnsi="宋体" w:cs="宋体"/>
          <w:color w:val="auto"/>
          <w:sz w:val="28"/>
          <w:szCs w:val="28"/>
          <w:lang w:val="zh-CN"/>
        </w:rPr>
        <w:t>8.投标报价及币种</w:t>
      </w:r>
      <w:bookmarkEnd w:id="13"/>
    </w:p>
    <w:p>
      <w:pPr>
        <w:keepNext w:val="0"/>
        <w:keepLines w:val="0"/>
        <w:pageBreakBefore w:val="0"/>
        <w:widowControl w:val="0"/>
        <w:kinsoku/>
        <w:wordWrap/>
        <w:overflowPunct/>
        <w:topLinePunct w:val="0"/>
        <w:autoSpaceDE w:val="0"/>
        <w:autoSpaceDN w:val="0"/>
        <w:bidi w:val="0"/>
        <w:adjustRightInd/>
        <w:snapToGrid/>
        <w:spacing w:line="560" w:lineRule="exact"/>
        <w:ind w:firstLine="360" w:firstLineChars="150"/>
        <w:textAlignment w:val="auto"/>
        <w:rPr>
          <w:rFonts w:hint="eastAsia" w:ascii="宋体" w:hAnsi="宋体" w:eastAsia="宋体" w:cs="宋体"/>
          <w:color w:val="000000"/>
          <w:kern w:val="0"/>
          <w:lang w:val="zh-CN"/>
        </w:rPr>
      </w:pPr>
      <w:r>
        <w:rPr>
          <w:rFonts w:hint="eastAsia" w:ascii="宋体" w:hAnsi="宋体" w:cs="宋体"/>
          <w:color w:val="auto"/>
          <w:kern w:val="0"/>
          <w:lang w:val="zh-CN"/>
        </w:rPr>
        <w:t>8.1</w:t>
      </w:r>
      <w:r>
        <w:rPr>
          <w:rFonts w:hint="eastAsia" w:ascii="宋体" w:hAnsi="宋体" w:cs="宋体"/>
          <w:color w:val="auto"/>
          <w:kern w:val="0"/>
        </w:rPr>
        <w:t xml:space="preserve"> </w:t>
      </w:r>
      <w:r>
        <w:rPr>
          <w:rFonts w:hint="eastAsia" w:ascii="宋体" w:hAnsi="宋体" w:cs="宋体"/>
          <w:color w:val="auto"/>
          <w:kern w:val="0"/>
          <w:lang w:val="zh-CN"/>
        </w:rPr>
        <w:t>投标报价为投标总价。投标报价必须包括：产品费、验收费、手续费、运输费、保险费、安装费、调试费、培训费、售前、售中、售后服务费、招标代理费、税金及不可预见费等全部费用。</w:t>
      </w:r>
      <w:r>
        <w:rPr>
          <w:rFonts w:hint="eastAsia" w:ascii="宋体" w:hAnsi="宋体" w:eastAsia="宋体" w:cs="宋体"/>
          <w:color w:val="000000"/>
          <w:kern w:val="0"/>
          <w:lang w:val="zh-CN"/>
        </w:rPr>
        <w:t>（说明：具体内容应根据项目特点实事求是填写）</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8.2</w:t>
      </w:r>
      <w:r>
        <w:rPr>
          <w:rFonts w:hint="eastAsia" w:ascii="宋体" w:hAnsi="宋体" w:cs="宋体"/>
          <w:color w:val="auto"/>
          <w:kern w:val="0"/>
        </w:rPr>
        <w:t xml:space="preserve"> </w:t>
      </w:r>
      <w:r>
        <w:rPr>
          <w:rFonts w:hint="eastAsia" w:ascii="宋体" w:hAnsi="宋体" w:cs="宋体"/>
          <w:color w:val="auto"/>
          <w:kern w:val="0"/>
          <w:lang w:val="zh-CN"/>
        </w:rPr>
        <w:t>投标报价有效期与投标有效期一致。</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8.</w:t>
      </w:r>
      <w:r>
        <w:rPr>
          <w:rFonts w:hint="eastAsia" w:ascii="宋体" w:hAnsi="宋体" w:cs="宋体"/>
          <w:color w:val="auto"/>
          <w:kern w:val="0"/>
        </w:rPr>
        <w:t xml:space="preserve">3 </w:t>
      </w:r>
      <w:r>
        <w:rPr>
          <w:rFonts w:hint="eastAsia" w:ascii="宋体" w:hAnsi="宋体" w:cs="宋体"/>
          <w:color w:val="auto"/>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8.</w:t>
      </w:r>
      <w:r>
        <w:rPr>
          <w:rFonts w:hint="eastAsia" w:ascii="宋体" w:hAnsi="宋体" w:cs="宋体"/>
          <w:color w:val="auto"/>
          <w:kern w:val="0"/>
        </w:rPr>
        <w:t xml:space="preserve">4 </w:t>
      </w:r>
      <w:r>
        <w:rPr>
          <w:rFonts w:hint="eastAsia" w:ascii="宋体" w:hAnsi="宋体" w:cs="宋体"/>
          <w:color w:val="auto"/>
          <w:kern w:val="0"/>
          <w:lang w:val="zh-CN"/>
        </w:rPr>
        <w:t>投标币种是人民币。</w:t>
      </w:r>
    </w:p>
    <w:p>
      <w:pPr>
        <w:pStyle w:val="23"/>
        <w:spacing w:before="0" w:after="0" w:line="360" w:lineRule="auto"/>
        <w:jc w:val="left"/>
        <w:rPr>
          <w:rFonts w:hint="eastAsia" w:ascii="宋体" w:hAnsi="宋体" w:cs="宋体"/>
          <w:color w:val="auto"/>
          <w:lang w:val="zh-CN"/>
        </w:rPr>
      </w:pPr>
      <w:bookmarkStart w:id="14" w:name="_Toc17781"/>
      <w:r>
        <w:rPr>
          <w:rFonts w:hint="eastAsia" w:ascii="宋体" w:hAnsi="宋体" w:cs="宋体"/>
          <w:color w:val="auto"/>
          <w:sz w:val="28"/>
          <w:szCs w:val="28"/>
          <w:lang w:val="zh-CN"/>
        </w:rPr>
        <w:t>9.投标保证金</w:t>
      </w:r>
      <w:bookmarkEnd w:id="14"/>
    </w:p>
    <w:p>
      <w:pPr>
        <w:autoSpaceDE w:val="0"/>
        <w:autoSpaceDN w:val="0"/>
        <w:spacing w:line="360" w:lineRule="auto"/>
        <w:ind w:firstLine="482" w:firstLineChars="200"/>
        <w:rPr>
          <w:rFonts w:hint="eastAsia" w:ascii="宋体" w:hAnsi="宋体" w:cs="宋体"/>
          <w:b/>
          <w:bCs/>
          <w:color w:val="auto"/>
          <w:kern w:val="0"/>
          <w:lang w:val="zh-CN"/>
        </w:rPr>
      </w:pPr>
      <w:r>
        <w:rPr>
          <w:rFonts w:hint="eastAsia" w:ascii="宋体" w:hAnsi="宋体" w:cs="宋体"/>
          <w:b/>
          <w:bCs/>
          <w:color w:val="auto"/>
          <w:kern w:val="0"/>
          <w:lang w:val="zh-CN"/>
        </w:rPr>
        <w:t>9.1</w:t>
      </w:r>
      <w:r>
        <w:rPr>
          <w:rFonts w:hint="eastAsia" w:ascii="宋体" w:hAnsi="宋体" w:cs="宋体"/>
          <w:b/>
          <w:bCs/>
          <w:color w:val="auto"/>
          <w:kern w:val="0"/>
        </w:rPr>
        <w:t xml:space="preserve"> </w:t>
      </w:r>
      <w:r>
        <w:rPr>
          <w:rFonts w:hint="eastAsia" w:ascii="宋体" w:hAnsi="宋体" w:cs="宋体"/>
          <w:b/>
          <w:bCs/>
          <w:color w:val="auto"/>
          <w:kern w:val="0"/>
          <w:lang w:val="zh-CN"/>
        </w:rPr>
        <w:t>投标人须在投标截止期前按以下要求交纳投标保证金（以招标文件为准）：</w:t>
      </w:r>
    </w:p>
    <w:p>
      <w:pPr>
        <w:autoSpaceDE w:val="0"/>
        <w:autoSpaceDN w:val="0"/>
        <w:spacing w:line="360" w:lineRule="auto"/>
        <w:ind w:firstLine="482" w:firstLineChars="200"/>
        <w:rPr>
          <w:rFonts w:hint="eastAsia" w:ascii="Arial" w:hAnsi="Arial" w:cs="Arial"/>
          <w:b/>
          <w:bCs/>
          <w:color w:val="auto"/>
          <w:lang w:val="zh-CN" w:eastAsia="zh-CN"/>
        </w:rPr>
      </w:pPr>
      <w:r>
        <w:rPr>
          <w:rFonts w:hint="eastAsia" w:ascii="宋体" w:hAnsi="宋体" w:cs="宋体"/>
          <w:b/>
          <w:bCs/>
          <w:color w:val="auto"/>
          <w:kern w:val="0"/>
          <w:lang w:val="zh-CN"/>
        </w:rPr>
        <w:t>投标保</w:t>
      </w:r>
      <w:r>
        <w:rPr>
          <w:rFonts w:hint="eastAsia" w:ascii="Arial" w:hAnsi="Arial" w:cs="Arial"/>
          <w:b/>
          <w:bCs/>
          <w:color w:val="auto"/>
          <w:lang w:val="zh-CN" w:eastAsia="zh-CN"/>
        </w:rPr>
        <w:t>证金：</w:t>
      </w:r>
    </w:p>
    <w:p>
      <w:pPr>
        <w:autoSpaceDE w:val="0"/>
        <w:autoSpaceDN w:val="0"/>
        <w:spacing w:line="360" w:lineRule="auto"/>
        <w:ind w:firstLine="482" w:firstLineChars="200"/>
        <w:rPr>
          <w:rFonts w:hint="eastAsia" w:ascii="Arial" w:hAnsi="Arial" w:cs="Arial"/>
          <w:b/>
          <w:bCs/>
          <w:color w:val="auto"/>
        </w:rPr>
      </w:pPr>
      <w:r>
        <w:rPr>
          <w:rFonts w:hint="eastAsia" w:ascii="Arial" w:hAnsi="Arial" w:cs="Arial"/>
          <w:b/>
          <w:bCs/>
          <w:color w:val="auto"/>
          <w:lang w:val="en-US" w:eastAsia="zh-CN"/>
        </w:rPr>
        <w:t>包一：100000</w:t>
      </w:r>
      <w:r>
        <w:rPr>
          <w:rFonts w:hint="eastAsia" w:ascii="Arial" w:hAnsi="Arial" w:cs="Arial"/>
          <w:b/>
          <w:bCs/>
          <w:color w:val="auto"/>
          <w:lang w:eastAsia="zh-CN"/>
        </w:rPr>
        <w:t>.00 元（大写：壹拾万元</w:t>
      </w:r>
      <w:r>
        <w:rPr>
          <w:rFonts w:hint="eastAsia" w:ascii="Arial" w:hAnsi="Arial" w:cs="Arial"/>
          <w:b/>
          <w:bCs/>
          <w:color w:val="auto"/>
          <w:lang w:val="en-US" w:eastAsia="zh-CN"/>
        </w:rPr>
        <w:t>整</w:t>
      </w:r>
      <w:r>
        <w:rPr>
          <w:rFonts w:hint="eastAsia" w:ascii="Arial" w:hAnsi="Arial" w:cs="Arial"/>
          <w:b/>
          <w:bCs/>
          <w:color w:val="auto"/>
          <w:lang w:eastAsia="zh-CN"/>
        </w:rPr>
        <w:t>）</w:t>
      </w:r>
      <w:r>
        <w:rPr>
          <w:rFonts w:hint="eastAsia" w:ascii="Arial" w:hAnsi="Arial" w:cs="Arial"/>
          <w:b/>
          <w:bCs/>
          <w:color w:val="auto"/>
        </w:rPr>
        <w:t>；</w:t>
      </w:r>
    </w:p>
    <w:p>
      <w:pPr>
        <w:autoSpaceDE w:val="0"/>
        <w:autoSpaceDN w:val="0"/>
        <w:spacing w:line="360" w:lineRule="auto"/>
        <w:ind w:firstLine="482" w:firstLineChars="200"/>
        <w:rPr>
          <w:rFonts w:hint="default" w:ascii="Arial" w:hAnsi="Arial" w:eastAsia="宋体" w:cs="Arial"/>
          <w:b/>
          <w:bCs/>
          <w:color w:val="auto"/>
          <w:lang w:val="en-US" w:eastAsia="zh-CN"/>
        </w:rPr>
      </w:pPr>
      <w:r>
        <w:rPr>
          <w:rFonts w:hint="eastAsia" w:ascii="Arial" w:hAnsi="Arial" w:cs="Arial"/>
          <w:b/>
          <w:bCs/>
          <w:color w:val="auto"/>
          <w:lang w:eastAsia="zh-CN"/>
        </w:rPr>
        <w:t>包二：</w:t>
      </w:r>
      <w:r>
        <w:rPr>
          <w:rFonts w:hint="eastAsia" w:ascii="Arial" w:hAnsi="Arial" w:cs="Arial"/>
          <w:b/>
          <w:bCs/>
          <w:color w:val="auto"/>
          <w:lang w:val="en-US" w:eastAsia="zh-CN"/>
        </w:rPr>
        <w:t>15000.00元（</w:t>
      </w:r>
      <w:r>
        <w:rPr>
          <w:rFonts w:hint="eastAsia" w:asciiTheme="minorEastAsia" w:hAnsiTheme="minorEastAsia" w:eastAsiaTheme="minorEastAsia" w:cstheme="minorEastAsia"/>
          <w:b/>
          <w:bCs/>
          <w:color w:val="auto"/>
        </w:rPr>
        <w:t>大写：</w:t>
      </w:r>
      <w:r>
        <w:rPr>
          <w:rFonts w:hint="eastAsia" w:asciiTheme="minorEastAsia" w:hAnsiTheme="minorEastAsia" w:eastAsiaTheme="minorEastAsia" w:cstheme="minorEastAsia"/>
          <w:b/>
          <w:bCs/>
          <w:color w:val="auto"/>
          <w:lang w:eastAsia="zh-CN"/>
        </w:rPr>
        <w:t>壹万伍仟元整</w:t>
      </w:r>
      <w:r>
        <w:rPr>
          <w:rFonts w:hint="eastAsia" w:ascii="Arial" w:hAnsi="Arial" w:cs="Arial"/>
          <w:b/>
          <w:bCs/>
          <w:color w:val="auto"/>
          <w:lang w:val="en-US" w:eastAsia="zh-CN"/>
        </w:rPr>
        <w:t>）。</w:t>
      </w:r>
    </w:p>
    <w:p>
      <w:pPr>
        <w:autoSpaceDE w:val="0"/>
        <w:autoSpaceDN w:val="0"/>
        <w:spacing w:line="360" w:lineRule="auto"/>
        <w:ind w:firstLine="482" w:firstLineChars="200"/>
        <w:rPr>
          <w:rFonts w:hint="eastAsia" w:ascii="宋体" w:hAnsi="宋体" w:cs="宋体"/>
          <w:b/>
          <w:bCs/>
          <w:color w:val="auto"/>
          <w:kern w:val="0"/>
          <w:highlight w:val="none"/>
          <w:lang w:val="zh-CN" w:eastAsia="zh-CN"/>
        </w:rPr>
      </w:pPr>
      <w:r>
        <w:rPr>
          <w:rFonts w:hint="eastAsia" w:ascii="宋体" w:hAnsi="宋体" w:cs="宋体"/>
          <w:b/>
          <w:bCs/>
          <w:color w:val="auto"/>
          <w:kern w:val="0"/>
          <w:highlight w:val="none"/>
          <w:lang w:val="zh-CN" w:eastAsia="zh-CN"/>
        </w:rPr>
        <w:t>收款单位：青海旭诚工程项目管理有限公司</w:t>
      </w:r>
    </w:p>
    <w:p>
      <w:pPr>
        <w:autoSpaceDE w:val="0"/>
        <w:autoSpaceDN w:val="0"/>
        <w:spacing w:line="360" w:lineRule="auto"/>
        <w:ind w:firstLine="482" w:firstLineChars="200"/>
        <w:rPr>
          <w:rFonts w:hint="eastAsia" w:ascii="Arial" w:hAnsi="Arial" w:eastAsia="宋体" w:cs="Arial"/>
          <w:b/>
          <w:bCs/>
          <w:color w:val="auto"/>
          <w:lang w:val="zh-CN" w:eastAsia="zh-CN"/>
        </w:rPr>
      </w:pPr>
      <w:r>
        <w:rPr>
          <w:rFonts w:hint="eastAsia" w:ascii="Arial" w:hAnsi="Arial" w:eastAsia="宋体" w:cs="Arial"/>
          <w:b/>
          <w:bCs/>
          <w:color w:val="auto"/>
          <w:lang w:val="zh-CN" w:eastAsia="zh-CN"/>
        </w:rPr>
        <w:t>开 户 行：中国农业银行股份有限公司西宁城西万达广场支行</w:t>
      </w:r>
    </w:p>
    <w:p>
      <w:pPr>
        <w:autoSpaceDE w:val="0"/>
        <w:autoSpaceDN w:val="0"/>
        <w:spacing w:line="360" w:lineRule="auto"/>
        <w:ind w:firstLine="482" w:firstLineChars="200"/>
        <w:rPr>
          <w:rFonts w:hint="eastAsia" w:ascii="Arial" w:hAnsi="Arial" w:eastAsia="宋体" w:cs="Arial"/>
          <w:b/>
          <w:bCs/>
          <w:color w:val="auto"/>
          <w:lang w:val="zh-CN" w:eastAsia="zh-CN"/>
        </w:rPr>
      </w:pPr>
      <w:r>
        <w:rPr>
          <w:rFonts w:hint="eastAsia" w:ascii="Arial" w:hAnsi="Arial" w:eastAsia="宋体" w:cs="Arial"/>
          <w:b/>
          <w:bCs/>
          <w:color w:val="auto"/>
          <w:lang w:val="zh-CN" w:eastAsia="zh-CN"/>
        </w:rPr>
        <w:t>银行账号：28043001040002567</w:t>
      </w:r>
    </w:p>
    <w:p>
      <w:pPr>
        <w:autoSpaceDE w:val="0"/>
        <w:autoSpaceDN w:val="0"/>
        <w:spacing w:line="360" w:lineRule="auto"/>
        <w:ind w:firstLine="482" w:firstLineChars="200"/>
        <w:rPr>
          <w:rFonts w:hint="eastAsia" w:ascii="Arial" w:hAnsi="Arial" w:eastAsia="宋体" w:cs="Arial"/>
          <w:b/>
          <w:bCs/>
          <w:color w:val="auto"/>
          <w:lang w:val="zh-CN" w:eastAsia="zh-CN"/>
        </w:rPr>
      </w:pPr>
      <w:r>
        <w:rPr>
          <w:rFonts w:hint="eastAsia" w:ascii="Arial" w:hAnsi="Arial" w:eastAsia="宋体" w:cs="Arial"/>
          <w:b/>
          <w:bCs/>
          <w:color w:val="auto"/>
          <w:lang w:val="zh-CN" w:eastAsia="zh-CN"/>
        </w:rPr>
        <w:t>行号：103851004307</w:t>
      </w:r>
    </w:p>
    <w:p>
      <w:pPr>
        <w:autoSpaceDE w:val="0"/>
        <w:autoSpaceDN w:val="0"/>
        <w:spacing w:line="360" w:lineRule="auto"/>
        <w:ind w:firstLine="482" w:firstLineChars="200"/>
        <w:rPr>
          <w:rFonts w:hint="eastAsia" w:ascii="宋体" w:hAnsi="宋体" w:cs="宋体"/>
          <w:b/>
          <w:bCs/>
          <w:color w:val="auto"/>
          <w:kern w:val="0"/>
          <w:highlight w:val="none"/>
          <w:lang w:val="zh-CN"/>
        </w:rPr>
      </w:pPr>
      <w:r>
        <w:rPr>
          <w:rFonts w:hint="eastAsia" w:ascii="宋体" w:hAnsi="宋体" w:cs="宋体"/>
          <w:b/>
          <w:bCs/>
          <w:color w:val="auto"/>
          <w:kern w:val="0"/>
          <w:highlight w:val="none"/>
          <w:lang w:val="zh-CN"/>
        </w:rPr>
        <w:t>交纳时间：投标截止时间前，以银行到账时间为准。</w:t>
      </w:r>
    </w:p>
    <w:p>
      <w:pPr>
        <w:autoSpaceDE w:val="0"/>
        <w:autoSpaceDN w:val="0"/>
        <w:spacing w:line="360" w:lineRule="auto"/>
        <w:ind w:firstLine="482" w:firstLineChars="200"/>
        <w:rPr>
          <w:rFonts w:hint="eastAsia" w:ascii="宋体" w:hAnsi="宋体" w:cs="宋体"/>
          <w:b/>
          <w:bCs/>
          <w:color w:val="auto"/>
          <w:kern w:val="0"/>
          <w:lang w:val="zh-CN"/>
        </w:rPr>
      </w:pPr>
      <w:r>
        <w:rPr>
          <w:rFonts w:hint="eastAsia" w:ascii="宋体" w:hAnsi="宋体" w:cs="宋体"/>
          <w:b/>
          <w:bCs/>
          <w:color w:val="auto"/>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9.2</w:t>
      </w:r>
      <w:r>
        <w:rPr>
          <w:rFonts w:hint="eastAsia" w:ascii="宋体" w:hAnsi="宋体" w:cs="宋体"/>
          <w:color w:val="auto"/>
          <w:kern w:val="0"/>
        </w:rPr>
        <w:t xml:space="preserve"> 缴费方式：投标保证金应当以支票、汇票、本票或者金融机构、担保机构出具的保函等非现金形式提交。通过银行转账的，必须由</w:t>
      </w:r>
      <w:r>
        <w:rPr>
          <w:rFonts w:hint="eastAsia" w:ascii="宋体" w:hAnsi="宋体" w:cs="宋体"/>
          <w:color w:val="auto"/>
          <w:kern w:val="0"/>
          <w:lang w:eastAsia="zh-CN"/>
        </w:rPr>
        <w:t>投标人</w:t>
      </w:r>
      <w:r>
        <w:rPr>
          <w:rFonts w:hint="eastAsia" w:ascii="宋体" w:hAnsi="宋体" w:cs="宋体"/>
          <w:color w:val="auto"/>
          <w:kern w:val="0"/>
        </w:rPr>
        <w:t>从其基本账户(须提供开户许可证复印件)汇（转）入9.1条规定的账户。</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9.3</w:t>
      </w:r>
      <w:r>
        <w:rPr>
          <w:rFonts w:hint="eastAsia" w:ascii="宋体" w:hAnsi="宋体" w:cs="宋体"/>
          <w:color w:val="auto"/>
          <w:kern w:val="0"/>
        </w:rPr>
        <w:t xml:space="preserve"> </w:t>
      </w:r>
      <w:r>
        <w:rPr>
          <w:rFonts w:hint="eastAsia" w:ascii="宋体" w:hAnsi="宋体" w:cs="宋体"/>
          <w:color w:val="auto"/>
          <w:kern w:val="0"/>
          <w:lang w:val="zh-CN"/>
        </w:rPr>
        <w:t>投标保证金退还：投标人在投标截止时间前撤回已提交的投标文件的，招标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招标代理机构应当自中标通知书发出之日起5个工作日内退还未中标人的投标保证金，自采购合同签订之日起5个工作日内退还中标人的投标保证金或者转为中标人的履约保证金。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招标代理机构逾期退还投标保证金的，除应当退还投标保证金本金外，还应当按中国人民银行同期贷款基准利率上浮20％后的利率支付超期资金占用费，但因投标人自身原因导致无法及时退还的除外。</w:t>
      </w:r>
    </w:p>
    <w:p>
      <w:pPr>
        <w:pStyle w:val="24"/>
        <w:rPr>
          <w:rFonts w:hint="eastAsia"/>
          <w:color w:val="auto"/>
          <w:lang w:val="zh-CN"/>
        </w:rPr>
      </w:pPr>
    </w:p>
    <w:p>
      <w:pPr>
        <w:pStyle w:val="23"/>
        <w:spacing w:before="0" w:after="0" w:line="360" w:lineRule="auto"/>
        <w:jc w:val="left"/>
        <w:rPr>
          <w:rFonts w:hint="eastAsia" w:ascii="宋体" w:hAnsi="宋体" w:cs="宋体"/>
          <w:color w:val="auto"/>
          <w:lang w:val="zh-CN"/>
        </w:rPr>
      </w:pPr>
      <w:bookmarkStart w:id="15" w:name="_Toc22242"/>
      <w:r>
        <w:rPr>
          <w:rFonts w:hint="eastAsia" w:ascii="宋体" w:hAnsi="宋体" w:cs="宋体"/>
          <w:color w:val="auto"/>
          <w:sz w:val="28"/>
          <w:szCs w:val="28"/>
          <w:lang w:val="zh-CN"/>
        </w:rPr>
        <w:t>10.投标有效期</w:t>
      </w:r>
      <w:bookmarkEnd w:id="15"/>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从提交投标文件的截止之日起</w:t>
      </w:r>
      <w:r>
        <w:rPr>
          <w:rFonts w:hint="eastAsia" w:ascii="宋体" w:hAnsi="宋体" w:cs="宋体"/>
          <w:color w:val="auto"/>
          <w:kern w:val="0"/>
          <w:lang w:val="en-US" w:eastAsia="zh-CN"/>
        </w:rPr>
        <w:t xml:space="preserve"> </w:t>
      </w:r>
      <w:r>
        <w:rPr>
          <w:rFonts w:hint="eastAsia" w:ascii="宋体" w:hAnsi="宋体" w:cs="宋体"/>
          <w:color w:val="auto"/>
          <w:kern w:val="0"/>
          <w:lang w:val="zh-CN"/>
        </w:rPr>
        <w:t>90</w:t>
      </w:r>
      <w:r>
        <w:rPr>
          <w:rFonts w:hint="eastAsia" w:ascii="宋体" w:hAnsi="宋体" w:cs="宋体"/>
          <w:color w:val="auto"/>
          <w:kern w:val="0"/>
          <w:lang w:val="en-US" w:eastAsia="zh-CN"/>
        </w:rPr>
        <w:t xml:space="preserve"> </w:t>
      </w:r>
      <w:r>
        <w:rPr>
          <w:rFonts w:hint="eastAsia" w:ascii="宋体" w:hAnsi="宋体" w:cs="宋体"/>
          <w:color w:val="auto"/>
          <w:kern w:val="0"/>
          <w:lang w:val="zh-CN"/>
        </w:rPr>
        <w:t>日历日。投标文件中承诺的投标有效期应当不少于招标文件中载明的投标有效期。投标有效期内投标人撤销投标文件的，招标人或者招标代理机构可以不退还投标保证金，并上缴同级财政国库。</w:t>
      </w:r>
    </w:p>
    <w:p>
      <w:pPr>
        <w:pStyle w:val="23"/>
        <w:spacing w:before="0" w:after="0" w:line="360" w:lineRule="auto"/>
        <w:jc w:val="left"/>
        <w:rPr>
          <w:rFonts w:hint="eastAsia" w:ascii="宋体" w:hAnsi="宋体" w:cs="宋体"/>
          <w:color w:val="auto"/>
          <w:lang w:val="zh-CN"/>
        </w:rPr>
      </w:pPr>
      <w:bookmarkStart w:id="16" w:name="_Toc3280"/>
      <w:r>
        <w:rPr>
          <w:rFonts w:hint="eastAsia" w:ascii="宋体" w:hAnsi="宋体" w:cs="宋体"/>
          <w:color w:val="auto"/>
          <w:sz w:val="28"/>
          <w:szCs w:val="28"/>
          <w:lang w:val="zh-CN"/>
        </w:rPr>
        <w:t>11.投标文件构成</w:t>
      </w:r>
      <w:bookmarkEnd w:id="16"/>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color w:val="auto"/>
        </w:rPr>
      </w:pPr>
      <w:r>
        <w:rPr>
          <w:rFonts w:hint="eastAsia" w:ascii="宋体" w:hAnsi="宋体" w:cs="宋体"/>
          <w:b/>
          <w:bCs/>
          <w:color w:val="auto"/>
          <w:kern w:val="0"/>
        </w:rPr>
        <w:t>11.1</w:t>
      </w:r>
      <w:r>
        <w:rPr>
          <w:rFonts w:hint="eastAsia" w:ascii="宋体" w:hAnsi="宋体" w:cs="宋体"/>
          <w:b/>
          <w:bCs/>
          <w:color w:val="auto"/>
          <w:kern w:val="0"/>
          <w:lang w:val="zh-CN"/>
        </w:rPr>
        <w:t>、投标文件（上册）（资格审查）</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投标函</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法定代表人证明书</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法定代表人授权书</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投标人承诺函</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投标人诚信承诺书</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资格证明材料</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财务状况报告，依法缴纳税收和社会保障资金的相关材料</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具备履行合同所必需的设备和专业技术能力的证明材料</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无重大违法记录声明</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投标保证金证明</w:t>
      </w:r>
    </w:p>
    <w:p>
      <w:pPr>
        <w:autoSpaceDE w:val="0"/>
        <w:autoSpaceDN w:val="0"/>
        <w:spacing w:line="360" w:lineRule="auto"/>
        <w:ind w:firstLine="482" w:firstLineChars="200"/>
        <w:rPr>
          <w:rFonts w:hint="eastAsia" w:ascii="宋体" w:hAnsi="宋体" w:cs="宋体"/>
          <w:color w:val="auto"/>
          <w:kern w:val="0"/>
          <w:lang w:val="zh-CN"/>
        </w:rPr>
      </w:pPr>
      <w:r>
        <w:rPr>
          <w:rFonts w:hint="eastAsia" w:ascii="宋体" w:hAnsi="宋体" w:cs="宋体"/>
          <w:b/>
          <w:bCs/>
          <w:color w:val="auto"/>
          <w:kern w:val="0"/>
        </w:rPr>
        <w:t xml:space="preserve">11.2 </w:t>
      </w:r>
      <w:r>
        <w:rPr>
          <w:rFonts w:hint="eastAsia" w:ascii="宋体" w:hAnsi="宋体" w:cs="宋体"/>
          <w:b/>
          <w:bCs/>
          <w:color w:val="auto"/>
          <w:kern w:val="0"/>
          <w:lang w:val="zh-CN"/>
        </w:rPr>
        <w:t>投标文件（下册）</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评分对照表</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开标一览表（报价表）</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分项报价表</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技术规格响应表</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投标产品相关资料</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投标人的类似业绩证明材料</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中、小企业声明函、从业人员声明函</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rPr>
        <w:t>残疾人福利性单位声明函</w:t>
      </w:r>
    </w:p>
    <w:p>
      <w:pPr>
        <w:numPr>
          <w:ilvl w:val="0"/>
          <w:numId w:val="2"/>
        </w:numPr>
        <w:autoSpaceDE w:val="0"/>
        <w:autoSpaceDN w:val="0"/>
        <w:spacing w:line="360" w:lineRule="auto"/>
        <w:ind w:left="-480" w:leftChars="0" w:firstLine="480" w:firstLineChars="0"/>
        <w:rPr>
          <w:rFonts w:hint="eastAsia" w:ascii="宋体" w:hAnsi="宋体" w:cs="宋体"/>
          <w:color w:val="auto"/>
          <w:kern w:val="0"/>
          <w:lang w:val="zh-CN"/>
        </w:rPr>
      </w:pPr>
      <w:r>
        <w:rPr>
          <w:rFonts w:hint="eastAsia" w:ascii="宋体" w:hAnsi="宋体" w:cs="宋体"/>
          <w:color w:val="auto"/>
          <w:kern w:val="0"/>
          <w:lang w:val="zh-CN"/>
        </w:rPr>
        <w:t>投标人认为在其他方面有必要说明的事项</w:t>
      </w:r>
    </w:p>
    <w:p>
      <w:pPr>
        <w:autoSpaceDE w:val="0"/>
        <w:autoSpaceDN w:val="0"/>
        <w:spacing w:line="360" w:lineRule="auto"/>
        <w:ind w:firstLine="600" w:firstLineChars="250"/>
        <w:rPr>
          <w:rFonts w:hint="eastAsia" w:ascii="宋体" w:hAnsi="宋体" w:cs="宋体"/>
          <w:color w:val="auto"/>
          <w:kern w:val="0"/>
          <w:lang w:val="zh-CN"/>
        </w:rPr>
      </w:pPr>
      <w:r>
        <w:rPr>
          <w:rFonts w:hint="eastAsia" w:ascii="宋体" w:hAnsi="宋体" w:cs="宋体"/>
          <w:color w:val="auto"/>
          <w:kern w:val="0"/>
          <w:lang w:val="zh-CN"/>
        </w:rPr>
        <w:t>注：投标人须按上述内容、顺序和格式编制投标文件，并按要求编制目录、页码，并保证所提供的全部资料真实可信，自愿承担相应责任。</w:t>
      </w:r>
    </w:p>
    <w:p>
      <w:pPr>
        <w:pStyle w:val="23"/>
        <w:spacing w:before="0" w:after="0" w:line="360" w:lineRule="auto"/>
        <w:jc w:val="left"/>
        <w:rPr>
          <w:rFonts w:hint="eastAsia" w:ascii="宋体" w:hAnsi="宋体" w:cs="宋体"/>
          <w:color w:val="auto"/>
          <w:lang w:val="zh-CN"/>
        </w:rPr>
      </w:pPr>
      <w:bookmarkStart w:id="17" w:name="_Toc13786"/>
      <w:r>
        <w:rPr>
          <w:rFonts w:hint="eastAsia" w:ascii="宋体" w:hAnsi="宋体" w:cs="宋体"/>
          <w:color w:val="auto"/>
          <w:sz w:val="28"/>
          <w:szCs w:val="28"/>
          <w:lang w:val="zh-CN"/>
        </w:rPr>
        <w:t>12.投标文件的编制要求</w:t>
      </w:r>
      <w:bookmarkEnd w:id="17"/>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en-US" w:eastAsia="zh-CN"/>
        </w:rPr>
        <w:t xml:space="preserve">12.2 招标文件要求签字、盖章的地方必须由投标人的法定代表人或委托代 </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en-US" w:eastAsia="zh-CN"/>
        </w:rPr>
        <w:t xml:space="preserve">理人按要求签字和盖章。 </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en-US" w:eastAsia="zh-CN"/>
        </w:rPr>
        <w:t xml:space="preserve">12.3 投标文件中不得行间插字、涂改或增删，如有修改错漏处，须由投标 </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kern w:val="0"/>
          <w:lang w:val="en-US" w:eastAsia="zh-CN"/>
        </w:rPr>
        <w:t>人法定代表人或其委托代理人签字、加盖公章</w:t>
      </w:r>
      <w:r>
        <w:rPr>
          <w:rFonts w:hint="eastAsia" w:ascii="宋体" w:hAnsi="宋体" w:cs="宋体"/>
          <w:color w:val="auto"/>
          <w:kern w:val="0"/>
          <w:lang w:val="zh-CN"/>
        </w:rPr>
        <w:t>。</w:t>
      </w:r>
    </w:p>
    <w:p>
      <w:pPr>
        <w:pStyle w:val="23"/>
        <w:spacing w:before="0" w:after="0" w:line="360" w:lineRule="auto"/>
        <w:rPr>
          <w:rFonts w:hint="eastAsia" w:ascii="宋体" w:hAnsi="宋体" w:cs="宋体"/>
          <w:color w:val="auto"/>
        </w:rPr>
      </w:pPr>
      <w:bookmarkStart w:id="18" w:name="_Toc32237"/>
      <w:r>
        <w:rPr>
          <w:rFonts w:hint="eastAsia" w:ascii="宋体" w:hAnsi="宋体" w:cs="宋体"/>
          <w:color w:val="auto"/>
          <w:lang w:val="zh-CN"/>
        </w:rPr>
        <w:t>四、投标文件的提交</w:t>
      </w:r>
      <w:bookmarkEnd w:id="18"/>
    </w:p>
    <w:p>
      <w:pPr>
        <w:pStyle w:val="23"/>
        <w:spacing w:before="0" w:after="0" w:line="360" w:lineRule="auto"/>
        <w:jc w:val="left"/>
        <w:rPr>
          <w:rFonts w:ascii="宋体" w:hAnsi="宋体" w:cs="宋体"/>
          <w:color w:val="000000"/>
          <w:sz w:val="28"/>
          <w:szCs w:val="28"/>
          <w:lang w:val="zh-CN"/>
        </w:rPr>
      </w:pPr>
      <w:bookmarkStart w:id="19" w:name="_Toc27662508"/>
      <w:bookmarkStart w:id="20" w:name="_Toc14008"/>
      <w:r>
        <w:rPr>
          <w:rFonts w:hint="eastAsia" w:ascii="宋体" w:hAnsi="宋体" w:cs="宋体"/>
          <w:color w:val="000000"/>
          <w:sz w:val="28"/>
          <w:szCs w:val="28"/>
          <w:lang w:val="zh-CN"/>
        </w:rPr>
        <w:t>13.</w:t>
      </w:r>
      <w:bookmarkEnd w:id="19"/>
      <w:r>
        <w:rPr>
          <w:rFonts w:hint="eastAsia" w:ascii="宋体" w:hAnsi="宋体" w:cs="宋体"/>
          <w:color w:val="000000"/>
          <w:sz w:val="28"/>
          <w:szCs w:val="28"/>
          <w:lang w:val="zh-CN"/>
        </w:rPr>
        <w:t>投标文件的上传</w:t>
      </w:r>
    </w:p>
    <w:p>
      <w:pPr>
        <w:pStyle w:val="12"/>
        <w:spacing w:line="360" w:lineRule="auto"/>
        <w:rPr>
          <w:rFonts w:hAnsi="宋体"/>
          <w:sz w:val="24"/>
          <w:szCs w:val="24"/>
        </w:rPr>
      </w:pPr>
      <w:r>
        <w:rPr>
          <w:rFonts w:hint="eastAsia" w:hAnsi="宋体"/>
          <w:sz w:val="24"/>
          <w:szCs w:val="24"/>
          <w:lang w:val="zh-CN"/>
        </w:rPr>
        <w:t>13.1 投标人应使用CA</w:t>
      </w:r>
      <w:r>
        <w:rPr>
          <w:rFonts w:hint="eastAsia" w:hAnsi="宋体"/>
          <w:sz w:val="24"/>
          <w:szCs w:val="24"/>
        </w:rPr>
        <w:t>数字证书对响应文件进行加密。</w:t>
      </w:r>
    </w:p>
    <w:p>
      <w:pPr>
        <w:pStyle w:val="12"/>
        <w:spacing w:line="360" w:lineRule="auto"/>
        <w:rPr>
          <w:rFonts w:hAnsi="宋体"/>
          <w:sz w:val="24"/>
          <w:szCs w:val="24"/>
        </w:rPr>
      </w:pPr>
      <w:r>
        <w:rPr>
          <w:rFonts w:hint="eastAsia" w:hAnsi="宋体"/>
          <w:sz w:val="24"/>
          <w:szCs w:val="24"/>
        </w:rPr>
        <w:t>13.2 招标文件若有修改，</w:t>
      </w:r>
      <w:r>
        <w:rPr>
          <w:rFonts w:hint="eastAsia" w:hAnsi="宋体"/>
          <w:sz w:val="24"/>
          <w:szCs w:val="24"/>
          <w:lang w:eastAsia="zh-CN"/>
        </w:rPr>
        <w:t>投标人</w:t>
      </w:r>
      <w:r>
        <w:rPr>
          <w:rFonts w:hint="eastAsia" w:hAnsi="宋体"/>
          <w:sz w:val="24"/>
          <w:szCs w:val="24"/>
        </w:rPr>
        <w:t>根据修改后的招标文件制作或修改并递交投标文件。</w:t>
      </w:r>
    </w:p>
    <w:p>
      <w:pPr>
        <w:pStyle w:val="12"/>
        <w:spacing w:line="360" w:lineRule="auto"/>
        <w:rPr>
          <w:rFonts w:hAnsi="宋体"/>
          <w:sz w:val="24"/>
          <w:szCs w:val="24"/>
        </w:rPr>
      </w:pPr>
      <w:r>
        <w:rPr>
          <w:rFonts w:hint="eastAsia" w:hAnsi="宋体"/>
          <w:sz w:val="24"/>
          <w:szCs w:val="24"/>
        </w:rPr>
        <w:t>13.3 使用“政府采购云平台”需要提前申领CA数字证书及电子印章，请自行前往天谷CA等统一认证服务点办理，只需办理其中一家CA数字证书及电子印章。</w:t>
      </w:r>
      <w:r>
        <w:rPr>
          <w:rFonts w:hint="eastAsia" w:hAnsi="宋体"/>
          <w:sz w:val="24"/>
          <w:szCs w:val="24"/>
          <w:lang w:eastAsia="zh-CN"/>
        </w:rPr>
        <w:t>投标人</w:t>
      </w:r>
      <w:r>
        <w:rPr>
          <w:rFonts w:hint="eastAsia" w:hAnsi="宋体"/>
          <w:sz w:val="24"/>
          <w:szCs w:val="24"/>
        </w:rPr>
        <w:t>应及时完成在“政府采购云平台”的注册及CA账号绑定，确保顺利参与电子投标。</w:t>
      </w:r>
    </w:p>
    <w:p>
      <w:pPr>
        <w:pStyle w:val="12"/>
        <w:spacing w:line="360" w:lineRule="auto"/>
        <w:rPr>
          <w:rFonts w:hAnsi="宋体"/>
          <w:sz w:val="24"/>
          <w:szCs w:val="24"/>
        </w:rPr>
      </w:pPr>
      <w:r>
        <w:rPr>
          <w:rFonts w:hint="eastAsia" w:hAnsi="宋体"/>
          <w:sz w:val="24"/>
          <w:szCs w:val="24"/>
        </w:rPr>
        <w:t>13.4 本次招标要求的复印件是指对图文进行复制后的文件，包括扫描、复印、影印等方式复制的材料。</w:t>
      </w:r>
    </w:p>
    <w:p>
      <w:pPr>
        <w:pStyle w:val="23"/>
        <w:spacing w:before="0" w:after="0" w:line="360" w:lineRule="auto"/>
        <w:jc w:val="left"/>
        <w:rPr>
          <w:rFonts w:hint="eastAsia" w:ascii="宋体" w:hAnsi="宋体" w:cs="宋体"/>
          <w:lang w:val="zh-CN"/>
        </w:rPr>
      </w:pPr>
      <w:r>
        <w:rPr>
          <w:rFonts w:hint="eastAsia" w:ascii="宋体" w:hAnsi="宋体" w:cs="宋体"/>
          <w:sz w:val="28"/>
          <w:szCs w:val="28"/>
          <w:lang w:val="zh-CN"/>
        </w:rPr>
        <w:t>14.提交投标文件的时间、地点、方式</w:t>
      </w:r>
      <w:bookmarkEnd w:id="20"/>
    </w:p>
    <w:p>
      <w:pPr>
        <w:pStyle w:val="12"/>
        <w:spacing w:line="360" w:lineRule="auto"/>
        <w:rPr>
          <w:rFonts w:hAnsi="宋体"/>
          <w:sz w:val="24"/>
          <w:szCs w:val="24"/>
        </w:rPr>
      </w:pPr>
      <w:bookmarkStart w:id="21" w:name="_Toc17656"/>
      <w:r>
        <w:rPr>
          <w:rFonts w:hint="eastAsia" w:hAnsi="宋体"/>
          <w:sz w:val="24"/>
          <w:szCs w:val="24"/>
        </w:rPr>
        <w:t>1</w:t>
      </w:r>
      <w:r>
        <w:rPr>
          <w:rFonts w:hAnsi="宋体"/>
          <w:sz w:val="24"/>
          <w:szCs w:val="24"/>
        </w:rPr>
        <w:t>4</w:t>
      </w:r>
      <w:r>
        <w:rPr>
          <w:rFonts w:hint="eastAsia" w:hAnsi="宋体"/>
          <w:sz w:val="24"/>
          <w:szCs w:val="24"/>
        </w:rPr>
        <w:t xml:space="preserve">.1 </w:t>
      </w:r>
      <w:r>
        <w:rPr>
          <w:rFonts w:hint="eastAsia" w:hAnsi="宋体"/>
          <w:sz w:val="24"/>
          <w:szCs w:val="24"/>
          <w:lang w:eastAsia="zh-CN"/>
        </w:rPr>
        <w:t>投标人</w:t>
      </w:r>
      <w:r>
        <w:rPr>
          <w:rFonts w:hint="eastAsia" w:hAnsi="宋体"/>
          <w:sz w:val="24"/>
          <w:szCs w:val="24"/>
        </w:rPr>
        <w:t>应当在响应文件递交截止时间前，将编制完成并且已加密的电子响应文件成功递交至“政府采购云平台”。</w:t>
      </w:r>
    </w:p>
    <w:p>
      <w:pPr>
        <w:pStyle w:val="12"/>
        <w:spacing w:line="360" w:lineRule="auto"/>
        <w:rPr>
          <w:rFonts w:hAnsi="宋体"/>
          <w:sz w:val="24"/>
          <w:szCs w:val="24"/>
        </w:rPr>
      </w:pPr>
      <w:r>
        <w:rPr>
          <w:rFonts w:hint="eastAsia" w:hAnsi="宋体"/>
          <w:sz w:val="24"/>
          <w:szCs w:val="24"/>
        </w:rPr>
        <w:t>1</w:t>
      </w:r>
      <w:r>
        <w:rPr>
          <w:rFonts w:hAnsi="宋体"/>
          <w:sz w:val="24"/>
          <w:szCs w:val="24"/>
        </w:rPr>
        <w:t>4</w:t>
      </w:r>
      <w:r>
        <w:rPr>
          <w:rFonts w:hint="eastAsia" w:hAnsi="宋体"/>
          <w:sz w:val="24"/>
          <w:szCs w:val="24"/>
        </w:rPr>
        <w:t>.2</w:t>
      </w:r>
      <w:r>
        <w:rPr>
          <w:rFonts w:hAnsi="宋体"/>
          <w:sz w:val="24"/>
          <w:szCs w:val="24"/>
        </w:rPr>
        <w:t xml:space="preserve"> </w:t>
      </w:r>
      <w:r>
        <w:rPr>
          <w:rFonts w:hint="eastAsia" w:hAnsi="宋体"/>
          <w:sz w:val="24"/>
          <w:szCs w:val="24"/>
          <w:lang w:eastAsia="zh-CN"/>
        </w:rPr>
        <w:t>投标人</w:t>
      </w:r>
      <w:r>
        <w:rPr>
          <w:rFonts w:hint="eastAsia" w:hAnsi="宋体"/>
          <w:sz w:val="24"/>
          <w:szCs w:val="24"/>
        </w:rPr>
        <w:t>应充分考虑递交文件的不可预见因素，在投标截止时间后将无法递交。</w:t>
      </w:r>
    </w:p>
    <w:p>
      <w:pPr>
        <w:pStyle w:val="12"/>
        <w:spacing w:line="360" w:lineRule="auto"/>
        <w:rPr>
          <w:rFonts w:hint="eastAsia" w:hAnsi="宋体"/>
          <w:sz w:val="24"/>
          <w:szCs w:val="24"/>
          <w:lang w:val="zh-CN" w:eastAsia="zh-CN"/>
        </w:rPr>
      </w:pPr>
      <w:r>
        <w:rPr>
          <w:rFonts w:hint="eastAsia" w:hAnsi="宋体"/>
          <w:sz w:val="24"/>
          <w:szCs w:val="24"/>
        </w:rPr>
        <w:t xml:space="preserve">14.3 </w:t>
      </w:r>
      <w:r>
        <w:rPr>
          <w:rFonts w:hint="eastAsia" w:hAnsi="宋体"/>
          <w:sz w:val="24"/>
          <w:szCs w:val="24"/>
          <w:lang w:eastAsia="zh-CN"/>
        </w:rPr>
        <w:t>投标人</w:t>
      </w:r>
      <w:r>
        <w:rPr>
          <w:rFonts w:hint="eastAsia" w:hAnsi="宋体"/>
          <w:sz w:val="24"/>
          <w:szCs w:val="24"/>
        </w:rPr>
        <w:t>登录政府采购云平台，点击“项目采购—开标评标”模块，进入本项目“开标大厅”，等待代理机构开启解密后，进行线上解密。除因系统发生故障（包括组织场所停电、断网等）导致响应文件无法按时解密外，响应文件未按时解密的作为无效响应处理。</w:t>
      </w:r>
    </w:p>
    <w:p>
      <w:pPr>
        <w:pStyle w:val="23"/>
        <w:spacing w:before="0" w:after="0" w:line="360" w:lineRule="auto"/>
        <w:jc w:val="left"/>
        <w:rPr>
          <w:rFonts w:hint="eastAsia" w:ascii="宋体" w:hAnsi="宋体" w:cs="宋体"/>
          <w:lang w:val="zh-CN"/>
        </w:rPr>
      </w:pPr>
      <w:r>
        <w:rPr>
          <w:rFonts w:hint="eastAsia" w:ascii="宋体" w:hAnsi="宋体" w:cs="宋体"/>
          <w:sz w:val="28"/>
          <w:szCs w:val="28"/>
          <w:lang w:val="zh-CN"/>
        </w:rPr>
        <w:t>15.投标文件的补充、修改或者撤回</w:t>
      </w:r>
      <w:bookmarkEnd w:id="21"/>
    </w:p>
    <w:p>
      <w:pPr>
        <w:autoSpaceDE w:val="0"/>
        <w:autoSpaceDN w:val="0"/>
        <w:spacing w:line="360" w:lineRule="auto"/>
        <w:ind w:firstLine="480" w:firstLineChars="200"/>
        <w:rPr>
          <w:rFonts w:ascii="宋体" w:hAnsi="宋体" w:cs="宋体"/>
          <w:color w:val="000000"/>
          <w:kern w:val="0"/>
        </w:rPr>
      </w:pPr>
      <w:r>
        <w:rPr>
          <w:rFonts w:hint="eastAsia" w:ascii="宋体" w:hAnsi="宋体" w:cs="宋体"/>
          <w:kern w:val="0"/>
          <w:lang w:val="en-US" w:eastAsia="zh-CN"/>
        </w:rPr>
        <w:t>15.1 投标人在投标截止时间前，若系统允许，可以对所上传的投标文件进行补充、修改或者撤回</w:t>
      </w:r>
      <w:r>
        <w:rPr>
          <w:rFonts w:hint="eastAsia" w:ascii="宋体" w:hAnsi="宋体" w:cs="宋体"/>
          <w:color w:val="auto"/>
          <w:kern w:val="0"/>
          <w:lang w:eastAsia="zh-CN"/>
        </w:rPr>
        <w:t>，</w:t>
      </w:r>
      <w:r>
        <w:rPr>
          <w:rFonts w:hint="eastAsia" w:ascii="宋体" w:hAnsi="宋体" w:cs="宋体"/>
          <w:color w:val="000000"/>
          <w:kern w:val="0"/>
        </w:rPr>
        <w:t>并书面通知采购人或者采购代理机构。补充、修改的内容应当按照招标文件要求签署、盖章、密封后，作为投标文件的组成部分。</w:t>
      </w:r>
    </w:p>
    <w:p>
      <w:pPr>
        <w:autoSpaceDE w:val="0"/>
        <w:autoSpaceDN w:val="0"/>
        <w:spacing w:line="360" w:lineRule="auto"/>
        <w:ind w:firstLine="480" w:firstLineChars="200"/>
        <w:rPr>
          <w:rFonts w:hint="eastAsia" w:ascii="宋体" w:hAnsi="宋体" w:cs="宋体"/>
          <w:color w:val="auto"/>
          <w:kern w:val="0"/>
          <w:lang w:val="zh-CN"/>
        </w:rPr>
      </w:pPr>
    </w:p>
    <w:p>
      <w:pPr>
        <w:pStyle w:val="23"/>
        <w:spacing w:before="0" w:after="0" w:line="360" w:lineRule="auto"/>
        <w:rPr>
          <w:rFonts w:hint="eastAsia" w:ascii="宋体" w:hAnsi="宋体" w:cs="宋体"/>
          <w:color w:val="auto"/>
          <w:highlight w:val="green"/>
        </w:rPr>
      </w:pPr>
      <w:bookmarkStart w:id="22" w:name="_Toc1872"/>
      <w:r>
        <w:rPr>
          <w:rFonts w:hint="eastAsia" w:ascii="宋体" w:hAnsi="宋体" w:cs="宋体"/>
          <w:color w:val="auto"/>
          <w:lang w:val="zh-CN"/>
        </w:rPr>
        <w:t>五、开标</w:t>
      </w:r>
      <w:bookmarkEnd w:id="22"/>
    </w:p>
    <w:p>
      <w:pPr>
        <w:pStyle w:val="23"/>
        <w:spacing w:before="0" w:after="0" w:line="360" w:lineRule="auto"/>
        <w:jc w:val="left"/>
        <w:rPr>
          <w:rFonts w:hint="eastAsia" w:ascii="宋体" w:hAnsi="宋体" w:cs="宋体"/>
          <w:color w:val="auto"/>
          <w:lang w:val="zh-CN"/>
        </w:rPr>
      </w:pPr>
      <w:bookmarkStart w:id="23" w:name="_Toc22769"/>
      <w:r>
        <w:rPr>
          <w:rFonts w:hint="eastAsia" w:ascii="宋体" w:hAnsi="宋体" w:cs="宋体"/>
          <w:color w:val="auto"/>
          <w:sz w:val="28"/>
          <w:szCs w:val="28"/>
          <w:lang w:val="zh-CN"/>
        </w:rPr>
        <w:t>16.开标</w:t>
      </w:r>
      <w:bookmarkEnd w:id="23"/>
    </w:p>
    <w:p>
      <w:pPr>
        <w:autoSpaceDE w:val="0"/>
        <w:autoSpaceDN w:val="0"/>
        <w:spacing w:line="360" w:lineRule="auto"/>
        <w:ind w:firstLine="480" w:firstLineChars="200"/>
        <w:rPr>
          <w:rFonts w:hint="eastAsia" w:ascii="宋体" w:hAnsi="宋体" w:cs="宋体"/>
          <w:kern w:val="0"/>
          <w:lang w:val="zh-CN" w:eastAsia="zh-CN"/>
        </w:rPr>
      </w:pPr>
      <w:r>
        <w:rPr>
          <w:rFonts w:hint="eastAsia" w:ascii="宋体" w:hAnsi="宋体" w:cs="宋体"/>
          <w:kern w:val="0"/>
          <w:lang w:val="en-US" w:eastAsia="zh-CN"/>
        </w:rPr>
        <w:t xml:space="preserve">16.1 本项目为不见面在线开标（各包递交电子投标文件的投标人不足3家 </w:t>
      </w:r>
    </w:p>
    <w:p>
      <w:pPr>
        <w:autoSpaceDE w:val="0"/>
        <w:autoSpaceDN w:val="0"/>
        <w:spacing w:line="360" w:lineRule="auto"/>
        <w:rPr>
          <w:rFonts w:hint="eastAsia" w:ascii="宋体" w:hAnsi="宋体" w:cs="宋体"/>
          <w:kern w:val="0"/>
          <w:lang w:val="zh-CN" w:eastAsia="zh-CN"/>
        </w:rPr>
      </w:pPr>
      <w:r>
        <w:rPr>
          <w:rFonts w:hint="eastAsia" w:ascii="宋体" w:hAnsi="宋体" w:cs="宋体"/>
          <w:kern w:val="0"/>
          <w:lang w:val="en-US" w:eastAsia="zh-CN"/>
        </w:rPr>
        <w:t xml:space="preserve">的，该包不予开标）。 </w:t>
      </w:r>
    </w:p>
    <w:p>
      <w:pPr>
        <w:autoSpaceDE w:val="0"/>
        <w:autoSpaceDN w:val="0"/>
        <w:spacing w:line="360" w:lineRule="auto"/>
        <w:ind w:firstLine="480" w:firstLineChars="200"/>
        <w:rPr>
          <w:rFonts w:hint="eastAsia" w:ascii="宋体" w:hAnsi="宋体" w:cs="宋体"/>
          <w:kern w:val="0"/>
          <w:lang w:val="zh-CN" w:eastAsia="zh-CN"/>
        </w:rPr>
      </w:pPr>
      <w:r>
        <w:rPr>
          <w:rFonts w:hint="eastAsia" w:ascii="宋体" w:hAnsi="宋体" w:cs="宋体"/>
          <w:kern w:val="0"/>
          <w:lang w:val="en-US" w:eastAsia="zh-CN"/>
        </w:rPr>
        <w:t xml:space="preserve">16.2 开标准备工作：投标人需在开标当日、投标截止时间前登录“政府采 </w:t>
      </w:r>
    </w:p>
    <w:p>
      <w:pPr>
        <w:autoSpaceDE w:val="0"/>
        <w:autoSpaceDN w:val="0"/>
        <w:spacing w:line="360" w:lineRule="auto"/>
        <w:rPr>
          <w:rFonts w:hint="eastAsia" w:ascii="宋体" w:hAnsi="宋体" w:cs="宋体"/>
          <w:kern w:val="0"/>
          <w:lang w:val="zh-CN" w:eastAsia="zh-CN"/>
        </w:rPr>
      </w:pPr>
      <w:r>
        <w:rPr>
          <w:rFonts w:hint="eastAsia" w:ascii="宋体" w:hAnsi="宋体" w:cs="宋体"/>
          <w:kern w:val="0"/>
          <w:lang w:val="en-US" w:eastAsia="zh-CN"/>
        </w:rPr>
        <w:t xml:space="preserve">购云平台”，通过本项目“开标大厅”参与不见面开标。登录政府采购云平台—项目采购—开标评标—开标大厅（确保进入本项目开标大厅）。 </w:t>
      </w:r>
    </w:p>
    <w:p>
      <w:pPr>
        <w:autoSpaceDE w:val="0"/>
        <w:autoSpaceDN w:val="0"/>
        <w:spacing w:line="360" w:lineRule="auto"/>
        <w:rPr>
          <w:rFonts w:hint="eastAsia" w:ascii="宋体" w:hAnsi="宋体" w:cs="宋体"/>
          <w:kern w:val="0"/>
          <w:lang w:val="zh-CN" w:eastAsia="zh-CN"/>
        </w:rPr>
      </w:pPr>
      <w:r>
        <w:rPr>
          <w:rFonts w:hint="eastAsia" w:ascii="宋体" w:hAnsi="宋体" w:cs="宋体"/>
          <w:kern w:val="0"/>
          <w:lang w:val="en-US" w:eastAsia="zh-CN"/>
        </w:rPr>
        <w:t>提示：投标人未按时登录不见面开标系统，错过开标解密时间的，由投标人自行承担后果。</w:t>
      </w:r>
    </w:p>
    <w:p>
      <w:pPr>
        <w:autoSpaceDE w:val="0"/>
        <w:autoSpaceDN w:val="0"/>
        <w:spacing w:line="360" w:lineRule="auto"/>
        <w:ind w:firstLine="480" w:firstLineChars="200"/>
        <w:rPr>
          <w:rFonts w:hint="eastAsia" w:ascii="宋体" w:hAnsi="宋体" w:cs="宋体"/>
          <w:kern w:val="0"/>
          <w:lang w:val="zh-CN" w:eastAsia="zh-CN"/>
        </w:rPr>
      </w:pPr>
      <w:r>
        <w:rPr>
          <w:rFonts w:hint="eastAsia" w:ascii="宋体" w:hAnsi="宋体" w:cs="宋体"/>
          <w:kern w:val="0"/>
          <w:lang w:val="en-US" w:eastAsia="zh-CN"/>
        </w:rPr>
        <w:t xml:space="preserve">16.3 解密投标文件：等待代理机构开启解密后，投标人进行线上解密。开 </w:t>
      </w:r>
    </w:p>
    <w:p>
      <w:pPr>
        <w:autoSpaceDE w:val="0"/>
        <w:autoSpaceDN w:val="0"/>
        <w:spacing w:line="360" w:lineRule="auto"/>
        <w:rPr>
          <w:rFonts w:hint="eastAsia" w:ascii="宋体" w:hAnsi="宋体" w:cs="宋体"/>
          <w:kern w:val="0"/>
          <w:lang w:val="zh-CN" w:eastAsia="zh-CN"/>
        </w:rPr>
      </w:pPr>
      <w:r>
        <w:rPr>
          <w:rFonts w:hint="eastAsia" w:ascii="宋体" w:hAnsi="宋体" w:cs="宋体"/>
          <w:kern w:val="0"/>
          <w:lang w:val="en-US" w:eastAsia="zh-CN"/>
        </w:rPr>
        <w:t xml:space="preserve">启解密后，投标人应在30分钟内，使用加密该投标文件的CA数字证书在线完成投标文件的解密。除因系统故障（包括组织场所停电、断网等）导致系统无法使用外，投标人未在规定解密时间内成功完成解密的，将视为无效投标。 </w:t>
      </w:r>
    </w:p>
    <w:p>
      <w:pPr>
        <w:autoSpaceDE w:val="0"/>
        <w:autoSpaceDN w:val="0"/>
        <w:spacing w:line="360" w:lineRule="auto"/>
        <w:ind w:firstLine="480" w:firstLineChars="200"/>
        <w:rPr>
          <w:rFonts w:hint="eastAsia" w:ascii="宋体" w:hAnsi="宋体" w:cs="宋体"/>
          <w:kern w:val="0"/>
          <w:lang w:val="zh-CN" w:eastAsia="zh-CN"/>
        </w:rPr>
      </w:pPr>
      <w:r>
        <w:rPr>
          <w:rFonts w:hint="eastAsia" w:ascii="宋体" w:hAnsi="宋体" w:cs="宋体"/>
          <w:kern w:val="0"/>
          <w:lang w:val="en-US" w:eastAsia="zh-CN"/>
        </w:rPr>
        <w:t xml:space="preserve">16.4 确认开标记录：解密时间截止或者所有投标人投标文件均完成解密后 （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 </w:t>
      </w:r>
    </w:p>
    <w:p>
      <w:pPr>
        <w:autoSpaceDE w:val="0"/>
        <w:autoSpaceDN w:val="0"/>
        <w:spacing w:line="360" w:lineRule="auto"/>
        <w:ind w:firstLine="480" w:firstLineChars="200"/>
        <w:rPr>
          <w:rFonts w:hint="eastAsia" w:ascii="宋体" w:hAnsi="宋体" w:cs="宋体"/>
          <w:kern w:val="0"/>
          <w:lang w:val="zh-CN" w:eastAsia="zh-CN"/>
        </w:rPr>
      </w:pPr>
      <w:r>
        <w:rPr>
          <w:rFonts w:hint="eastAsia" w:ascii="宋体" w:hAnsi="宋体" w:cs="宋体"/>
          <w:kern w:val="0"/>
          <w:lang w:val="en-US" w:eastAsia="zh-CN"/>
        </w:rPr>
        <w:t xml:space="preserve">16.5 投标人电脑终端等硬件设备和软件系统应符合电子投标（含不见面开 </w:t>
      </w:r>
    </w:p>
    <w:p>
      <w:pPr>
        <w:autoSpaceDE w:val="0"/>
        <w:autoSpaceDN w:val="0"/>
        <w:spacing w:line="360" w:lineRule="auto"/>
        <w:rPr>
          <w:rFonts w:hint="eastAsia" w:ascii="宋体" w:hAnsi="宋体" w:cs="宋体"/>
          <w:kern w:val="0"/>
          <w:lang w:val="zh-CN" w:eastAsia="zh-CN"/>
        </w:rPr>
      </w:pPr>
      <w:r>
        <w:rPr>
          <w:rFonts w:hint="eastAsia" w:ascii="宋体" w:hAnsi="宋体" w:cs="宋体"/>
          <w:kern w:val="0"/>
          <w:lang w:val="en-US" w:eastAsia="zh-CN"/>
        </w:rPr>
        <w:t xml:space="preserve">标大厅）的终端配置要求并能正常运行。因电脑终端软硬件故障而无法正常参与投标、解密的，投标人自行承担后果。 </w:t>
      </w:r>
    </w:p>
    <w:p>
      <w:pPr>
        <w:autoSpaceDE w:val="0"/>
        <w:autoSpaceDN w:val="0"/>
        <w:spacing w:line="360" w:lineRule="auto"/>
        <w:ind w:firstLine="480" w:firstLineChars="200"/>
        <w:rPr>
          <w:rFonts w:hint="eastAsia" w:ascii="宋体" w:hAnsi="宋体" w:cs="宋体"/>
          <w:kern w:val="0"/>
          <w:lang w:val="zh-CN" w:eastAsia="zh-CN"/>
        </w:rPr>
      </w:pPr>
      <w:r>
        <w:rPr>
          <w:rFonts w:hint="eastAsia" w:ascii="宋体" w:hAnsi="宋体" w:cs="宋体"/>
          <w:kern w:val="0"/>
          <w:lang w:val="en-US" w:eastAsia="zh-CN"/>
        </w:rPr>
        <w:t xml:space="preserve">16.6 因组织场所断电、断网、系统故障或其他不可抗力等因素导致不见面 开标系统无法正常运行的，开标活动中止或延迟，待系统恢复正常后继续进行开标活动。 </w:t>
      </w:r>
    </w:p>
    <w:p>
      <w:pPr>
        <w:autoSpaceDE w:val="0"/>
        <w:autoSpaceDN w:val="0"/>
        <w:spacing w:line="360" w:lineRule="auto"/>
        <w:ind w:firstLine="480" w:firstLineChars="200"/>
        <w:rPr>
          <w:rFonts w:hint="eastAsia" w:ascii="宋体" w:hAnsi="宋体" w:cs="宋体"/>
          <w:kern w:val="0"/>
          <w:lang w:val="en-US" w:eastAsia="zh-CN"/>
        </w:rPr>
      </w:pPr>
      <w:r>
        <w:rPr>
          <w:rFonts w:hint="eastAsia" w:ascii="宋体" w:hAnsi="宋体" w:cs="宋体"/>
          <w:kern w:val="0"/>
          <w:lang w:val="en-US" w:eastAsia="zh-CN"/>
        </w:rPr>
        <w:t xml:space="preserve">16.7 不见面开标过程中，各方主体均应遵守互联网有关规定，不得发表与 交易活动无关的言论。 </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kern w:val="0"/>
          <w:lang w:val="zh-CN" w:eastAsia="zh-CN"/>
        </w:rPr>
        <w:t>投标人未参加开标的，视同认可开标结果</w:t>
      </w:r>
      <w:r>
        <w:rPr>
          <w:rFonts w:hint="eastAsia" w:ascii="宋体" w:hAnsi="宋体" w:cs="宋体"/>
          <w:kern w:val="0"/>
          <w:lang w:val="zh-CN"/>
        </w:rPr>
        <w:t>。</w:t>
      </w:r>
    </w:p>
    <w:p>
      <w:pPr>
        <w:pStyle w:val="23"/>
        <w:spacing w:before="0" w:after="0" w:line="360" w:lineRule="auto"/>
        <w:rPr>
          <w:rFonts w:hint="eastAsia" w:ascii="宋体" w:hAnsi="宋体" w:cs="宋体"/>
          <w:color w:val="auto"/>
          <w:kern w:val="0"/>
          <w:sz w:val="21"/>
          <w:szCs w:val="21"/>
        </w:rPr>
      </w:pPr>
      <w:bookmarkStart w:id="24" w:name="_Toc14913"/>
      <w:bookmarkStart w:id="25" w:name="_Toc496004006"/>
    </w:p>
    <w:p>
      <w:pPr>
        <w:pStyle w:val="23"/>
        <w:spacing w:before="0" w:after="0" w:line="360" w:lineRule="auto"/>
        <w:rPr>
          <w:rFonts w:hint="eastAsia" w:ascii="宋体" w:hAnsi="宋体" w:cs="宋体"/>
          <w:color w:val="auto"/>
          <w:kern w:val="0"/>
        </w:rPr>
      </w:pPr>
      <w:r>
        <w:rPr>
          <w:rFonts w:hint="eastAsia" w:ascii="宋体" w:hAnsi="宋体" w:cs="宋体"/>
          <w:color w:val="auto"/>
          <w:kern w:val="0"/>
          <w:szCs w:val="36"/>
        </w:rPr>
        <w:t>六、资格</w:t>
      </w:r>
      <w:r>
        <w:rPr>
          <w:rFonts w:hint="eastAsia" w:ascii="宋体" w:hAnsi="宋体" w:cs="宋体"/>
          <w:color w:val="auto"/>
          <w:lang w:val="zh-CN"/>
        </w:rPr>
        <w:t>审查</w:t>
      </w:r>
      <w:r>
        <w:rPr>
          <w:rFonts w:hint="eastAsia" w:ascii="宋体" w:hAnsi="宋体" w:cs="宋体"/>
          <w:color w:val="auto"/>
          <w:kern w:val="0"/>
          <w:szCs w:val="36"/>
        </w:rPr>
        <w:t>程序</w:t>
      </w:r>
      <w:bookmarkEnd w:id="24"/>
      <w:bookmarkEnd w:id="25"/>
    </w:p>
    <w:p>
      <w:pPr>
        <w:pStyle w:val="23"/>
        <w:spacing w:before="0" w:after="0" w:line="360" w:lineRule="auto"/>
        <w:jc w:val="left"/>
        <w:rPr>
          <w:rFonts w:hint="eastAsia" w:ascii="宋体" w:hAnsi="宋体" w:cs="宋体"/>
          <w:color w:val="auto"/>
          <w:sz w:val="28"/>
          <w:szCs w:val="28"/>
        </w:rPr>
      </w:pPr>
      <w:bookmarkStart w:id="26" w:name="_Toc29485"/>
      <w:r>
        <w:rPr>
          <w:rFonts w:hint="eastAsia" w:ascii="宋体" w:hAnsi="宋体" w:cs="宋体"/>
          <w:color w:val="auto"/>
          <w:sz w:val="28"/>
          <w:szCs w:val="28"/>
        </w:rPr>
        <w:t>17.资格审查</w:t>
      </w:r>
      <w:bookmarkEnd w:id="26"/>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17.1 开标结束后，</w:t>
      </w:r>
      <w:r>
        <w:rPr>
          <w:rFonts w:hint="eastAsia" w:ascii="宋体" w:hAnsi="宋体" w:cs="宋体"/>
          <w:color w:val="auto"/>
          <w:kern w:val="0"/>
          <w:lang w:eastAsia="zh-CN"/>
        </w:rPr>
        <w:t>招标人</w:t>
      </w:r>
      <w:r>
        <w:rPr>
          <w:rFonts w:hint="eastAsia" w:ascii="宋体" w:hAnsi="宋体" w:cs="宋体"/>
          <w:color w:val="auto"/>
          <w:kern w:val="0"/>
        </w:rPr>
        <w:t>或者</w:t>
      </w:r>
      <w:r>
        <w:rPr>
          <w:rFonts w:hint="eastAsia" w:ascii="宋体" w:hAnsi="宋体" w:cs="宋体"/>
          <w:color w:val="auto"/>
          <w:kern w:val="0"/>
          <w:lang w:eastAsia="zh-CN"/>
        </w:rPr>
        <w:t>招标代理机构</w:t>
      </w:r>
      <w:r>
        <w:rPr>
          <w:rFonts w:hint="eastAsia" w:ascii="宋体" w:hAnsi="宋体" w:cs="宋体"/>
          <w:color w:val="auto"/>
          <w:kern w:val="0"/>
        </w:rPr>
        <w:t>应当依法对</w:t>
      </w:r>
      <w:r>
        <w:rPr>
          <w:rFonts w:hint="eastAsia" w:ascii="宋体" w:hAnsi="宋体" w:cs="宋体"/>
          <w:color w:val="auto"/>
          <w:kern w:val="0"/>
          <w:lang w:eastAsia="zh-CN"/>
        </w:rPr>
        <w:t>投标人</w:t>
      </w:r>
      <w:r>
        <w:rPr>
          <w:rFonts w:hint="eastAsia" w:ascii="宋体" w:hAnsi="宋体" w:cs="宋体"/>
          <w:color w:val="auto"/>
          <w:kern w:val="0"/>
        </w:rPr>
        <w:t>的资格性审查文件（上册）进行审查。</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17.2 合格</w:t>
      </w:r>
      <w:r>
        <w:rPr>
          <w:rFonts w:hint="eastAsia" w:ascii="宋体" w:hAnsi="宋体" w:cs="宋体"/>
          <w:color w:val="auto"/>
          <w:kern w:val="0"/>
          <w:lang w:eastAsia="zh-CN"/>
        </w:rPr>
        <w:t>投标人</w:t>
      </w:r>
      <w:r>
        <w:rPr>
          <w:rFonts w:hint="eastAsia" w:ascii="宋体" w:hAnsi="宋体" w:cs="宋体"/>
          <w:color w:val="auto"/>
          <w:kern w:val="0"/>
        </w:rPr>
        <w:t>不足3家的，不得评标。</w:t>
      </w:r>
    </w:p>
    <w:p>
      <w:pPr>
        <w:autoSpaceDE w:val="0"/>
        <w:autoSpaceDN w:val="0"/>
        <w:spacing w:line="360" w:lineRule="auto"/>
        <w:ind w:firstLine="480" w:firstLineChars="200"/>
        <w:rPr>
          <w:rFonts w:hint="eastAsia" w:ascii="宋体" w:hAnsi="宋体" w:cs="宋体"/>
          <w:color w:val="auto"/>
          <w:sz w:val="28"/>
          <w:szCs w:val="28"/>
        </w:rPr>
      </w:pPr>
      <w:bookmarkStart w:id="27" w:name="_Toc497503516"/>
      <w:bookmarkStart w:id="28" w:name="_Toc497503449"/>
      <w:bookmarkStart w:id="29" w:name="_Toc497503249"/>
      <w:bookmarkStart w:id="30" w:name="_Toc497503315"/>
      <w:bookmarkStart w:id="31" w:name="_Toc30809"/>
      <w:r>
        <w:rPr>
          <w:rFonts w:hint="eastAsia" w:ascii="宋体" w:hAnsi="宋体" w:cs="宋体"/>
          <w:color w:val="auto"/>
          <w:kern w:val="0"/>
        </w:rPr>
        <w:t>17.3 资格审查时，</w:t>
      </w:r>
      <w:r>
        <w:rPr>
          <w:rFonts w:hint="eastAsia" w:ascii="宋体" w:hAnsi="宋体" w:cs="宋体"/>
          <w:color w:val="auto"/>
          <w:kern w:val="0"/>
          <w:lang w:eastAsia="zh-CN"/>
        </w:rPr>
        <w:t>投标人</w:t>
      </w:r>
      <w:r>
        <w:rPr>
          <w:rFonts w:hint="eastAsia" w:ascii="宋体" w:hAnsi="宋体" w:cs="宋体"/>
          <w:color w:val="auto"/>
          <w:kern w:val="0"/>
        </w:rPr>
        <w:t>存在下列情况之一的，按无效投标处理：</w:t>
      </w:r>
      <w:bookmarkEnd w:id="27"/>
      <w:bookmarkEnd w:id="28"/>
      <w:bookmarkEnd w:id="29"/>
      <w:bookmarkEnd w:id="30"/>
      <w:bookmarkEnd w:id="31"/>
    </w:p>
    <w:p>
      <w:pPr>
        <w:numPr>
          <w:ilvl w:val="0"/>
          <w:numId w:val="3"/>
        </w:numPr>
        <w:tabs>
          <w:tab w:val="left" w:pos="960"/>
        </w:tabs>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shd w:val="clear" w:color="auto" w:fill="FFFFFF"/>
        </w:rPr>
        <w:t>不具备</w:t>
      </w:r>
      <w:r>
        <w:rPr>
          <w:rFonts w:hint="eastAsia" w:ascii="宋体" w:hAnsi="宋体" w:cs="宋体"/>
          <w:color w:val="auto"/>
          <w:kern w:val="0"/>
          <w:lang w:val="zh-CN"/>
        </w:rPr>
        <w:t>第2.2款“合格的投标人”</w:t>
      </w:r>
      <w:r>
        <w:rPr>
          <w:rFonts w:hint="eastAsia" w:ascii="宋体" w:hAnsi="宋体" w:cs="宋体"/>
          <w:color w:val="auto"/>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未按第11.1要求提供相关资料的；</w:t>
      </w:r>
    </w:p>
    <w:p>
      <w:pPr>
        <w:numPr>
          <w:ilvl w:val="0"/>
          <w:numId w:val="3"/>
        </w:numPr>
        <w:tabs>
          <w:tab w:val="left" w:pos="960"/>
        </w:tabs>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hint="eastAsia" w:ascii="宋体" w:hAnsi="宋体" w:cs="宋体"/>
          <w:color w:val="auto"/>
          <w:lang w:val="zh-CN"/>
        </w:rPr>
      </w:pPr>
      <w:r>
        <w:rPr>
          <w:rFonts w:hint="eastAsia" w:ascii="宋体" w:hAnsi="宋体" w:cs="宋体"/>
          <w:color w:val="auto"/>
          <w:kern w:val="0"/>
        </w:rPr>
        <w:t>未按照招标文件要求提供电子文档</w:t>
      </w:r>
      <w:r>
        <w:rPr>
          <w:rFonts w:hint="eastAsia" w:ascii="宋体" w:hAnsi="宋体" w:cs="宋体"/>
          <w:color w:val="auto"/>
          <w:kern w:val="0"/>
          <w:lang w:val="zh-CN"/>
        </w:rPr>
        <w:t>的。</w:t>
      </w:r>
      <w:bookmarkStart w:id="32" w:name="_Toc21380"/>
    </w:p>
    <w:p>
      <w:pPr>
        <w:pStyle w:val="23"/>
        <w:spacing w:before="0" w:after="0" w:line="360" w:lineRule="auto"/>
        <w:rPr>
          <w:rFonts w:hint="eastAsia" w:ascii="宋体" w:hAnsi="宋体" w:cs="宋体"/>
          <w:color w:val="auto"/>
        </w:rPr>
      </w:pPr>
      <w:r>
        <w:rPr>
          <w:rFonts w:hint="eastAsia" w:ascii="宋体" w:hAnsi="宋体" w:cs="宋体"/>
          <w:color w:val="auto"/>
          <w:lang w:val="zh-CN"/>
        </w:rPr>
        <w:t>七、评审程序及方法</w:t>
      </w:r>
      <w:bookmarkEnd w:id="32"/>
    </w:p>
    <w:p>
      <w:pPr>
        <w:pStyle w:val="23"/>
        <w:spacing w:before="0" w:after="0" w:line="360" w:lineRule="auto"/>
        <w:jc w:val="left"/>
        <w:rPr>
          <w:rFonts w:hint="eastAsia" w:ascii="宋体" w:hAnsi="宋体" w:cs="宋体"/>
          <w:color w:val="auto"/>
          <w:lang w:val="zh-CN"/>
        </w:rPr>
      </w:pPr>
      <w:bookmarkStart w:id="33" w:name="_Toc27681"/>
      <w:r>
        <w:rPr>
          <w:rFonts w:hint="eastAsia" w:ascii="宋体" w:hAnsi="宋体" w:cs="宋体"/>
          <w:color w:val="auto"/>
          <w:sz w:val="28"/>
          <w:szCs w:val="28"/>
          <w:lang w:val="zh-CN"/>
        </w:rPr>
        <w:t>1</w:t>
      </w:r>
      <w:r>
        <w:rPr>
          <w:rFonts w:hint="eastAsia" w:ascii="宋体" w:hAnsi="宋体" w:cs="宋体"/>
          <w:color w:val="auto"/>
          <w:sz w:val="28"/>
          <w:szCs w:val="28"/>
        </w:rPr>
        <w:t>8</w:t>
      </w:r>
      <w:r>
        <w:rPr>
          <w:rFonts w:hint="eastAsia" w:ascii="宋体" w:hAnsi="宋体" w:cs="宋体"/>
          <w:color w:val="auto"/>
          <w:sz w:val="28"/>
          <w:szCs w:val="28"/>
          <w:lang w:val="zh-CN"/>
        </w:rPr>
        <w:t>.评标委员会</w:t>
      </w:r>
      <w:bookmarkEnd w:id="33"/>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 xml:space="preserve">18.1 </w:t>
      </w:r>
      <w:r>
        <w:rPr>
          <w:rFonts w:hint="eastAsia" w:ascii="宋体" w:hAnsi="宋体" w:cs="宋体"/>
          <w:color w:val="auto"/>
          <w:kern w:val="0"/>
          <w:lang w:val="zh-CN"/>
        </w:rPr>
        <w:t>招标代理机构负责组织评标工作，并履行下列职责：</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）核对评审专家身份和招标人代表授权函，对评审专家在政府采购活动中的职责履行情况予以记录，并及时将有关违法违规行为向财政部门报告；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2</w:t>
      </w:r>
      <w:r>
        <w:rPr>
          <w:rFonts w:hint="eastAsia" w:ascii="宋体" w:hAnsi="宋体" w:cs="宋体"/>
          <w:color w:val="auto"/>
          <w:kern w:val="0"/>
          <w:lang w:val="zh-CN"/>
        </w:rPr>
        <w:t>）宣布评标纪律；</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3</w:t>
      </w:r>
      <w:r>
        <w:rPr>
          <w:rFonts w:hint="eastAsia" w:ascii="宋体" w:hAnsi="宋体" w:cs="宋体"/>
          <w:color w:val="auto"/>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）组织评标委员会推选评标组长，招标人代表不得担任组长；</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5</w:t>
      </w:r>
      <w:r>
        <w:rPr>
          <w:rFonts w:hint="eastAsia" w:ascii="宋体" w:hAnsi="宋体" w:cs="宋体"/>
          <w:color w:val="auto"/>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6</w:t>
      </w:r>
      <w:r>
        <w:rPr>
          <w:rFonts w:hint="eastAsia" w:ascii="宋体" w:hAnsi="宋体" w:cs="宋体"/>
          <w:color w:val="auto"/>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7</w:t>
      </w:r>
      <w:r>
        <w:rPr>
          <w:rFonts w:hint="eastAsia" w:ascii="宋体" w:hAnsi="宋体" w:cs="宋体"/>
          <w:color w:val="auto"/>
          <w:kern w:val="0"/>
          <w:lang w:val="zh-CN"/>
        </w:rPr>
        <w:t>）维护评标秩序，监督评标委员会依照招标文件规定的评标程序、方法和标准进行独立评审，及时制止和纠正招标人代表、评审专家的倾向性言论或者违法违规行为；</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8</w:t>
      </w:r>
      <w:r>
        <w:rPr>
          <w:rFonts w:hint="eastAsia" w:ascii="宋体" w:hAnsi="宋体" w:cs="宋体"/>
          <w:color w:val="auto"/>
          <w:kern w:val="0"/>
          <w:lang w:val="zh-CN"/>
        </w:rPr>
        <w:t>）核对评标结果，有</w:t>
      </w:r>
      <w:r>
        <w:rPr>
          <w:rFonts w:hint="eastAsia" w:ascii="宋体" w:hAnsi="宋体" w:cs="宋体"/>
          <w:color w:val="auto"/>
          <w:kern w:val="0"/>
        </w:rPr>
        <w:t>20.4</w:t>
      </w:r>
      <w:r>
        <w:rPr>
          <w:rFonts w:hint="eastAsia" w:ascii="宋体" w:hAnsi="宋体" w:cs="宋体"/>
          <w:color w:val="auto"/>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9</w:t>
      </w:r>
      <w:r>
        <w:rPr>
          <w:rFonts w:hint="eastAsia" w:ascii="宋体" w:hAnsi="宋体" w:cs="宋体"/>
          <w:color w:val="auto"/>
          <w:kern w:val="0"/>
          <w:lang w:val="zh-CN"/>
        </w:rPr>
        <w:t>）评审工作完成后，按照规定由招标人向评审专家支付劳务报酬和异地评审差旅费，不得向评审专家以外的其他人员支付评审劳务报酬；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rPr>
        <w:t>10</w:t>
      </w:r>
      <w:r>
        <w:rPr>
          <w:rFonts w:hint="eastAsia" w:ascii="宋体" w:hAnsi="宋体" w:cs="宋体"/>
          <w:color w:val="auto"/>
          <w:kern w:val="0"/>
          <w:lang w:val="zh-CN"/>
        </w:rPr>
        <w:t>）处理与评标有关的其他事项。</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招标人可以在评标前说明项目背景和采购需求，说明内容不得含有歧视性、倾向性意见，不得超出招标文件所述范围。说明应当提交书面材料，并随采购文件一并存档。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18.2 评标委员会负责具体评标事务，并独立履行下列职责：</w:t>
      </w:r>
    </w:p>
    <w:p>
      <w:pPr>
        <w:numPr>
          <w:ilvl w:val="0"/>
          <w:numId w:val="4"/>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严格遵守评审工作纪律,按照客观、公正、审慎的原则,根据采购文件规定的评审程序、评审方法和评审标准进行独立评审</w:t>
      </w:r>
      <w:r>
        <w:rPr>
          <w:rFonts w:hint="eastAsia" w:ascii="宋体" w:hAnsi="宋体" w:cs="宋体"/>
          <w:color w:val="auto"/>
          <w:kern w:val="0"/>
          <w:lang w:val="zh-CN"/>
        </w:rPr>
        <w:t>；</w:t>
      </w:r>
    </w:p>
    <w:p>
      <w:pPr>
        <w:numPr>
          <w:ilvl w:val="0"/>
          <w:numId w:val="4"/>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现采购文件内容违反国家有关强制性规定或者采购文件存在歧义、重大缺陷导致评审工作无法进行时,应当停止评审并向</w:t>
      </w:r>
      <w:r>
        <w:rPr>
          <w:rFonts w:hint="eastAsia" w:ascii="宋体" w:hAnsi="宋体" w:cs="宋体"/>
          <w:color w:val="auto"/>
          <w:kern w:val="0"/>
          <w:lang w:eastAsia="zh-CN"/>
        </w:rPr>
        <w:t>招标人</w:t>
      </w:r>
      <w:r>
        <w:rPr>
          <w:rFonts w:hint="eastAsia" w:ascii="宋体" w:hAnsi="宋体" w:cs="宋体"/>
          <w:color w:val="auto"/>
          <w:kern w:val="0"/>
        </w:rPr>
        <w:t>或者</w:t>
      </w:r>
      <w:r>
        <w:rPr>
          <w:rFonts w:hint="eastAsia" w:ascii="宋体" w:hAnsi="宋体" w:cs="宋体"/>
          <w:color w:val="auto"/>
          <w:kern w:val="0"/>
          <w:lang w:eastAsia="zh-CN"/>
        </w:rPr>
        <w:t>招标代理机构</w:t>
      </w:r>
      <w:r>
        <w:rPr>
          <w:rFonts w:hint="eastAsia" w:ascii="宋体" w:hAnsi="宋体" w:cs="宋体"/>
          <w:color w:val="auto"/>
          <w:kern w:val="0"/>
        </w:rPr>
        <w:t>书面说明情况</w:t>
      </w:r>
      <w:r>
        <w:rPr>
          <w:rFonts w:hint="eastAsia" w:ascii="宋体" w:hAnsi="宋体" w:cs="宋体"/>
          <w:color w:val="auto"/>
          <w:kern w:val="0"/>
          <w:lang w:val="zh-CN"/>
        </w:rPr>
        <w:t>；</w:t>
      </w:r>
    </w:p>
    <w:p>
      <w:pPr>
        <w:numPr>
          <w:ilvl w:val="0"/>
          <w:numId w:val="4"/>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审查、评价投标文件是否符合招标文件的商务、技术等实质性要求</w:t>
      </w:r>
      <w:r>
        <w:rPr>
          <w:rFonts w:hint="eastAsia" w:ascii="宋体" w:hAnsi="宋体" w:cs="宋体"/>
          <w:color w:val="auto"/>
          <w:kern w:val="0"/>
          <w:lang w:val="zh-CN"/>
        </w:rPr>
        <w:t>；</w:t>
      </w:r>
    </w:p>
    <w:p>
      <w:pPr>
        <w:numPr>
          <w:ilvl w:val="0"/>
          <w:numId w:val="4"/>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要求</w:t>
      </w:r>
      <w:r>
        <w:rPr>
          <w:rFonts w:hint="eastAsia" w:ascii="宋体" w:hAnsi="宋体" w:cs="宋体"/>
          <w:color w:val="auto"/>
          <w:kern w:val="0"/>
          <w:lang w:eastAsia="zh-CN"/>
        </w:rPr>
        <w:t>投标人</w:t>
      </w:r>
      <w:r>
        <w:rPr>
          <w:rFonts w:hint="eastAsia" w:ascii="宋体" w:hAnsi="宋体" w:cs="宋体"/>
          <w:color w:val="auto"/>
          <w:kern w:val="0"/>
        </w:rPr>
        <w:t>对投标文件有关事项作出澄清或者说明；</w:t>
      </w:r>
    </w:p>
    <w:p>
      <w:pPr>
        <w:numPr>
          <w:ilvl w:val="0"/>
          <w:numId w:val="4"/>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对投标文件进行比较和评价；</w:t>
      </w:r>
    </w:p>
    <w:p>
      <w:pPr>
        <w:numPr>
          <w:ilvl w:val="0"/>
          <w:numId w:val="4"/>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确定中标候选人名单，以及根据</w:t>
      </w:r>
      <w:r>
        <w:rPr>
          <w:rFonts w:hint="eastAsia" w:ascii="宋体" w:hAnsi="宋体" w:cs="宋体"/>
          <w:color w:val="auto"/>
          <w:kern w:val="0"/>
          <w:lang w:eastAsia="zh-CN"/>
        </w:rPr>
        <w:t>招标人</w:t>
      </w:r>
      <w:r>
        <w:rPr>
          <w:rFonts w:hint="eastAsia" w:ascii="宋体" w:hAnsi="宋体" w:cs="宋体"/>
          <w:color w:val="auto"/>
          <w:kern w:val="0"/>
        </w:rPr>
        <w:t>委托直接确定中标人；</w:t>
      </w:r>
    </w:p>
    <w:p>
      <w:pPr>
        <w:numPr>
          <w:ilvl w:val="0"/>
          <w:numId w:val="4"/>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配合答复</w:t>
      </w:r>
      <w:r>
        <w:rPr>
          <w:rFonts w:hint="eastAsia" w:ascii="宋体" w:hAnsi="宋体" w:cs="宋体"/>
          <w:color w:val="auto"/>
          <w:kern w:val="0"/>
          <w:lang w:eastAsia="zh-CN"/>
        </w:rPr>
        <w:t>投标人</w:t>
      </w:r>
      <w:r>
        <w:rPr>
          <w:rFonts w:hint="eastAsia" w:ascii="宋体" w:hAnsi="宋体" w:cs="宋体"/>
          <w:color w:val="auto"/>
          <w:kern w:val="0"/>
        </w:rPr>
        <w:t>的询问、质疑和投诉等事项,不得泄露评审文件、评审情况和在评审过程中获悉的商业秘密</w:t>
      </w:r>
      <w:r>
        <w:rPr>
          <w:rFonts w:hint="eastAsia" w:ascii="宋体" w:hAnsi="宋体" w:cs="宋体"/>
          <w:color w:val="auto"/>
          <w:kern w:val="0"/>
          <w:lang w:val="zh-CN"/>
        </w:rPr>
        <w:t>；</w:t>
      </w:r>
    </w:p>
    <w:p>
      <w:pPr>
        <w:numPr>
          <w:ilvl w:val="0"/>
          <w:numId w:val="4"/>
        </w:num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向</w:t>
      </w:r>
      <w:r>
        <w:rPr>
          <w:rFonts w:hint="eastAsia" w:ascii="宋体" w:hAnsi="宋体" w:cs="宋体"/>
          <w:color w:val="auto"/>
          <w:kern w:val="0"/>
          <w:lang w:eastAsia="zh-CN"/>
        </w:rPr>
        <w:t>招标人</w:t>
      </w:r>
      <w:r>
        <w:rPr>
          <w:rFonts w:hint="eastAsia" w:ascii="宋体" w:hAnsi="宋体" w:cs="宋体"/>
          <w:color w:val="auto"/>
          <w:kern w:val="0"/>
        </w:rPr>
        <w:t>、</w:t>
      </w:r>
      <w:r>
        <w:rPr>
          <w:rFonts w:hint="eastAsia" w:ascii="宋体" w:hAnsi="宋体" w:cs="宋体"/>
          <w:color w:val="auto"/>
          <w:kern w:val="0"/>
          <w:lang w:eastAsia="zh-CN"/>
        </w:rPr>
        <w:t>招标代理机构</w:t>
      </w:r>
      <w:r>
        <w:rPr>
          <w:rFonts w:hint="eastAsia" w:ascii="宋体" w:hAnsi="宋体" w:cs="宋体"/>
          <w:color w:val="auto"/>
          <w:kern w:val="0"/>
        </w:rPr>
        <w:t>或者有关部门报告评标中发现的违法行为。</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18.3 评标委员会由</w:t>
      </w:r>
      <w:r>
        <w:rPr>
          <w:rFonts w:hint="eastAsia" w:ascii="宋体" w:hAnsi="宋体" w:cs="宋体"/>
          <w:color w:val="auto"/>
          <w:kern w:val="0"/>
          <w:lang w:eastAsia="zh-CN"/>
        </w:rPr>
        <w:t>招标人</w:t>
      </w:r>
      <w:r>
        <w:rPr>
          <w:rFonts w:hint="eastAsia" w:ascii="宋体" w:hAnsi="宋体" w:cs="宋体"/>
          <w:color w:val="auto"/>
          <w:kern w:val="0"/>
        </w:rPr>
        <w:t>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（1）采购预算金额在1000万元以上；</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（2）技术复杂；</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（3）社会影响较大。</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评审专家对本单位的采购项目只能作为</w:t>
      </w:r>
      <w:r>
        <w:rPr>
          <w:rFonts w:hint="eastAsia" w:ascii="宋体" w:hAnsi="宋体" w:cs="宋体"/>
          <w:color w:val="auto"/>
          <w:kern w:val="0"/>
          <w:lang w:eastAsia="zh-CN"/>
        </w:rPr>
        <w:t>招标人</w:t>
      </w:r>
      <w:r>
        <w:rPr>
          <w:rFonts w:hint="eastAsia" w:ascii="宋体" w:hAnsi="宋体" w:cs="宋体"/>
          <w:color w:val="auto"/>
          <w:kern w:val="0"/>
        </w:rPr>
        <w:t>代表参与评标。</w:t>
      </w:r>
      <w:r>
        <w:rPr>
          <w:rFonts w:hint="eastAsia" w:ascii="宋体" w:hAnsi="宋体" w:cs="宋体"/>
          <w:color w:val="auto"/>
          <w:kern w:val="0"/>
          <w:lang w:eastAsia="zh-CN"/>
        </w:rPr>
        <w:t>招标代理机构</w:t>
      </w:r>
      <w:r>
        <w:rPr>
          <w:rFonts w:hint="eastAsia" w:ascii="宋体" w:hAnsi="宋体" w:cs="宋体"/>
          <w:color w:val="auto"/>
          <w:kern w:val="0"/>
        </w:rPr>
        <w:t>工作人员不得参加由本机构代理的政府采购项目的评标。</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评标委员会成员名单在评标结果公告前应当保密。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 xml:space="preserve">18.4 </w:t>
      </w:r>
      <w:r>
        <w:rPr>
          <w:rFonts w:hint="eastAsia" w:ascii="宋体" w:hAnsi="宋体" w:cs="宋体"/>
          <w:color w:val="auto"/>
          <w:kern w:val="0"/>
          <w:lang w:val="zh-CN"/>
        </w:rPr>
        <w:t>招标代理机构</w:t>
      </w:r>
      <w:r>
        <w:rPr>
          <w:rFonts w:hint="eastAsia" w:ascii="宋体" w:hAnsi="宋体" w:cs="宋体"/>
          <w:color w:val="auto"/>
          <w:kern w:val="0"/>
        </w:rPr>
        <w:t>应当从省级以上财政部门设立的政府采购评审专家库中，通过随机方式抽取评审专家。对技术复杂、专业性强的采购项目，通过随机方式难以确定合适评审专家的，经主管预算单位同意，</w:t>
      </w:r>
      <w:r>
        <w:rPr>
          <w:rFonts w:hint="eastAsia" w:ascii="宋体" w:hAnsi="宋体" w:cs="宋体"/>
          <w:color w:val="auto"/>
          <w:kern w:val="0"/>
          <w:lang w:eastAsia="zh-CN"/>
        </w:rPr>
        <w:t>招标人</w:t>
      </w:r>
      <w:r>
        <w:rPr>
          <w:rFonts w:hint="eastAsia" w:ascii="宋体" w:hAnsi="宋体" w:cs="宋体"/>
          <w:color w:val="auto"/>
          <w:kern w:val="0"/>
        </w:rPr>
        <w:t>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8</w:t>
      </w:r>
      <w:r>
        <w:rPr>
          <w:rFonts w:hint="eastAsia" w:ascii="宋体" w:hAnsi="宋体" w:cs="宋体"/>
          <w:color w:val="auto"/>
          <w:kern w:val="0"/>
          <w:lang w:val="zh-CN"/>
        </w:rPr>
        <w:t>.</w:t>
      </w:r>
      <w:r>
        <w:rPr>
          <w:rFonts w:hint="eastAsia" w:ascii="宋体" w:hAnsi="宋体" w:cs="宋体"/>
          <w:color w:val="auto"/>
          <w:kern w:val="0"/>
        </w:rPr>
        <w:t>5 评标中因评标委员会成员缺席、回避或者健康等特殊原因导致评标委员会组成不符合规定的，</w:t>
      </w:r>
      <w:r>
        <w:rPr>
          <w:rFonts w:hint="eastAsia" w:ascii="宋体" w:hAnsi="宋体" w:cs="宋体"/>
          <w:color w:val="auto"/>
          <w:kern w:val="0"/>
          <w:lang w:eastAsia="zh-CN"/>
        </w:rPr>
        <w:t>招标人</w:t>
      </w:r>
      <w:r>
        <w:rPr>
          <w:rFonts w:hint="eastAsia" w:ascii="宋体" w:hAnsi="宋体" w:cs="宋体"/>
          <w:color w:val="auto"/>
          <w:kern w:val="0"/>
        </w:rPr>
        <w:t>或者</w:t>
      </w:r>
      <w:r>
        <w:rPr>
          <w:rFonts w:hint="eastAsia" w:ascii="宋体" w:hAnsi="宋体" w:cs="宋体"/>
          <w:color w:val="auto"/>
          <w:kern w:val="0"/>
          <w:lang w:eastAsia="zh-CN"/>
        </w:rPr>
        <w:t>招标代理机构</w:t>
      </w:r>
      <w:r>
        <w:rPr>
          <w:rFonts w:hint="eastAsia" w:ascii="宋体" w:hAnsi="宋体" w:cs="宋体"/>
          <w:color w:val="auto"/>
          <w:kern w:val="0"/>
        </w:rPr>
        <w:t>应当依法补足后继续评标。被更换的评标委员会成员所作出的评标意见无效。无法及时补足评标委员会成员的，</w:t>
      </w:r>
      <w:r>
        <w:rPr>
          <w:rFonts w:hint="eastAsia" w:ascii="宋体" w:hAnsi="宋体" w:cs="宋体"/>
          <w:color w:val="auto"/>
          <w:kern w:val="0"/>
          <w:lang w:eastAsia="zh-CN"/>
        </w:rPr>
        <w:t>招标代理机构</w:t>
      </w:r>
      <w:r>
        <w:rPr>
          <w:rFonts w:hint="eastAsia" w:ascii="宋体" w:hAnsi="宋体" w:cs="宋体"/>
          <w:color w:val="auto"/>
          <w:kern w:val="0"/>
        </w:rPr>
        <w:t>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招标代理机构</w:t>
      </w:r>
      <w:r>
        <w:rPr>
          <w:rFonts w:hint="eastAsia" w:ascii="宋体" w:hAnsi="宋体" w:cs="宋体"/>
          <w:color w:val="auto"/>
          <w:kern w:val="0"/>
        </w:rPr>
        <w:t>应当将变更、重新组建评标委员会的情况予以记录，并随采购文件一并存档。</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8</w:t>
      </w:r>
      <w:r>
        <w:rPr>
          <w:rFonts w:hint="eastAsia" w:ascii="宋体" w:hAnsi="宋体" w:cs="宋体"/>
          <w:color w:val="auto"/>
          <w:kern w:val="0"/>
          <w:lang w:val="zh-CN"/>
        </w:rPr>
        <w:t>.</w:t>
      </w:r>
      <w:r>
        <w:rPr>
          <w:rFonts w:hint="eastAsia" w:ascii="宋体" w:hAnsi="宋体" w:cs="宋体"/>
          <w:color w:val="auto"/>
          <w:kern w:val="0"/>
        </w:rPr>
        <w:t xml:space="preserve">6 </w:t>
      </w:r>
      <w:r>
        <w:rPr>
          <w:rFonts w:hint="eastAsia" w:ascii="宋体" w:hAnsi="宋体" w:cs="宋体"/>
          <w:color w:val="auto"/>
          <w:kern w:val="0"/>
          <w:lang w:eastAsia="zh-CN"/>
        </w:rPr>
        <w:t>招标人</w:t>
      </w:r>
      <w:r>
        <w:rPr>
          <w:rFonts w:hint="eastAsia" w:ascii="宋体" w:hAnsi="宋体" w:cs="宋体"/>
          <w:color w:val="auto"/>
          <w:kern w:val="0"/>
        </w:rPr>
        <w:t>、</w:t>
      </w:r>
      <w:r>
        <w:rPr>
          <w:rFonts w:hint="eastAsia" w:ascii="宋体" w:hAnsi="宋体" w:cs="宋体"/>
          <w:color w:val="auto"/>
          <w:kern w:val="0"/>
          <w:lang w:eastAsia="zh-CN"/>
        </w:rPr>
        <w:t>招标代理机构</w:t>
      </w:r>
      <w:r>
        <w:rPr>
          <w:rFonts w:hint="eastAsia" w:ascii="宋体" w:hAnsi="宋体" w:cs="宋体"/>
          <w:color w:val="auto"/>
          <w:kern w:val="0"/>
        </w:rPr>
        <w:t>应当采取必要措施，保证评标在严格保密的情况下进行。除</w:t>
      </w:r>
      <w:r>
        <w:rPr>
          <w:rFonts w:hint="eastAsia" w:ascii="宋体" w:hAnsi="宋体" w:cs="宋体"/>
          <w:color w:val="auto"/>
          <w:kern w:val="0"/>
          <w:lang w:eastAsia="zh-CN"/>
        </w:rPr>
        <w:t>招标人</w:t>
      </w:r>
      <w:r>
        <w:rPr>
          <w:rFonts w:hint="eastAsia" w:ascii="宋体" w:hAnsi="宋体" w:cs="宋体"/>
          <w:color w:val="auto"/>
          <w:kern w:val="0"/>
        </w:rPr>
        <w:t>代表、评标现场组织人员外，</w:t>
      </w:r>
      <w:r>
        <w:rPr>
          <w:rFonts w:hint="eastAsia" w:ascii="宋体" w:hAnsi="宋体" w:cs="宋体"/>
          <w:color w:val="auto"/>
          <w:kern w:val="0"/>
          <w:lang w:eastAsia="zh-CN"/>
        </w:rPr>
        <w:t>招标人</w:t>
      </w:r>
      <w:r>
        <w:rPr>
          <w:rFonts w:hint="eastAsia" w:ascii="宋体" w:hAnsi="宋体" w:cs="宋体"/>
          <w:color w:val="auto"/>
          <w:kern w:val="0"/>
        </w:rPr>
        <w:t>的其他工作人员以及与评标工作无关的人员不得进入评标现场。</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有关人员对评标情况以及在评标过程中获悉的国家秘密、商业秘密负有保密责任。</w:t>
      </w:r>
    </w:p>
    <w:p>
      <w:pPr>
        <w:pStyle w:val="23"/>
        <w:spacing w:before="0" w:after="0" w:line="360" w:lineRule="auto"/>
        <w:jc w:val="left"/>
        <w:rPr>
          <w:rFonts w:hint="eastAsia" w:ascii="宋体" w:hAnsi="宋体" w:cs="宋体"/>
          <w:color w:val="auto"/>
          <w:lang w:val="zh-CN"/>
        </w:rPr>
      </w:pPr>
      <w:bookmarkStart w:id="34" w:name="_Toc9364"/>
      <w:r>
        <w:rPr>
          <w:rFonts w:hint="eastAsia" w:ascii="宋体" w:hAnsi="宋体" w:cs="宋体"/>
          <w:color w:val="auto"/>
          <w:sz w:val="28"/>
          <w:szCs w:val="28"/>
        </w:rPr>
        <w:t>19</w:t>
      </w:r>
      <w:r>
        <w:rPr>
          <w:rFonts w:hint="eastAsia" w:ascii="宋体" w:hAnsi="宋体" w:cs="宋体"/>
          <w:color w:val="auto"/>
          <w:sz w:val="28"/>
          <w:szCs w:val="28"/>
          <w:lang w:val="zh-CN"/>
        </w:rPr>
        <w:t>.评审工作程序</w:t>
      </w:r>
      <w:bookmarkEnd w:id="34"/>
    </w:p>
    <w:p>
      <w:pPr>
        <w:autoSpaceDE w:val="0"/>
        <w:autoSpaceDN w:val="0"/>
        <w:spacing w:line="360" w:lineRule="auto"/>
        <w:ind w:firstLine="482" w:firstLineChars="200"/>
        <w:rPr>
          <w:rFonts w:hint="eastAsia" w:ascii="宋体" w:hAnsi="宋体" w:cs="宋体"/>
          <w:color w:val="auto"/>
          <w:kern w:val="0"/>
          <w:lang w:val="zh-CN"/>
        </w:rPr>
      </w:pPr>
      <w:r>
        <w:rPr>
          <w:rFonts w:hint="eastAsia" w:ascii="宋体" w:hAnsi="宋体" w:cs="宋体"/>
          <w:b/>
          <w:bCs/>
          <w:color w:val="auto"/>
          <w:kern w:val="0"/>
          <w:lang w:val="zh-CN"/>
        </w:rPr>
        <w:t>1</w:t>
      </w:r>
      <w:r>
        <w:rPr>
          <w:rFonts w:hint="eastAsia" w:ascii="宋体" w:hAnsi="宋体" w:cs="宋体"/>
          <w:b/>
          <w:bCs/>
          <w:color w:val="auto"/>
          <w:kern w:val="0"/>
        </w:rPr>
        <w:t>9</w:t>
      </w:r>
      <w:r>
        <w:rPr>
          <w:rFonts w:hint="eastAsia" w:ascii="宋体" w:hAnsi="宋体" w:cs="宋体"/>
          <w:b/>
          <w:bCs/>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19.1.1</w:t>
      </w:r>
      <w:r>
        <w:rPr>
          <w:rFonts w:hint="eastAsia" w:ascii="宋体" w:hAnsi="宋体" w:cs="宋体"/>
          <w:b/>
          <w:bCs/>
          <w:color w:val="auto"/>
          <w:kern w:val="0"/>
        </w:rPr>
        <w:t xml:space="preserve"> </w:t>
      </w:r>
      <w:r>
        <w:rPr>
          <w:rFonts w:hint="eastAsia" w:ascii="宋体" w:hAnsi="宋体" w:cs="宋体"/>
          <w:color w:val="auto"/>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color w:val="auto"/>
          <w:kern w:val="0"/>
        </w:rPr>
      </w:pPr>
      <w:r>
        <w:rPr>
          <w:rFonts w:hint="eastAsia" w:ascii="宋体" w:hAnsi="宋体" w:cs="宋体"/>
          <w:color w:val="auto"/>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1</w:t>
      </w:r>
      <w:r>
        <w:rPr>
          <w:rFonts w:hint="eastAsia" w:ascii="宋体" w:hAnsi="宋体" w:cs="宋体"/>
          <w:color w:val="auto"/>
          <w:kern w:val="0"/>
          <w:lang w:val="zh-CN"/>
        </w:rPr>
        <w:t>.2投标人存在下列情况之一的，投标无效:</w:t>
      </w:r>
    </w:p>
    <w:p>
      <w:pPr>
        <w:numPr>
          <w:ilvl w:val="0"/>
          <w:numId w:val="5"/>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符合性审查文件未按招标文件要求签署、盖章的；</w:t>
      </w:r>
    </w:p>
    <w:p>
      <w:pPr>
        <w:numPr>
          <w:ilvl w:val="0"/>
          <w:numId w:val="5"/>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lang w:val="zh-CN"/>
        </w:rPr>
        <w:t>未按第11</w:t>
      </w:r>
      <w:r>
        <w:rPr>
          <w:rFonts w:hint="eastAsia" w:ascii="宋体" w:hAnsi="宋体" w:cs="宋体"/>
          <w:color w:val="auto"/>
        </w:rPr>
        <w:t>.</w:t>
      </w:r>
      <w:r>
        <w:rPr>
          <w:rFonts w:hint="eastAsia" w:ascii="宋体" w:hAnsi="宋体" w:cs="宋体"/>
          <w:color w:val="auto"/>
          <w:lang w:val="zh-CN"/>
        </w:rPr>
        <w:t>2款要求提供相关资料的；</w:t>
      </w:r>
    </w:p>
    <w:p>
      <w:pPr>
        <w:numPr>
          <w:ilvl w:val="0"/>
          <w:numId w:val="5"/>
        </w:num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投标文件含有</w:t>
      </w:r>
      <w:r>
        <w:rPr>
          <w:rFonts w:hint="eastAsia" w:ascii="宋体" w:hAnsi="宋体" w:cs="宋体"/>
          <w:color w:val="auto"/>
          <w:shd w:val="clear" w:color="auto" w:fill="FFFFFF"/>
          <w:lang w:eastAsia="zh-CN"/>
        </w:rPr>
        <w:t>招标人</w:t>
      </w:r>
      <w:r>
        <w:rPr>
          <w:rFonts w:hint="eastAsia" w:ascii="宋体" w:hAnsi="宋体" w:cs="宋体"/>
          <w:color w:val="auto"/>
          <w:shd w:val="clear" w:color="auto" w:fill="FFFFFF"/>
        </w:rPr>
        <w:t>不能接受的附加条件的；</w:t>
      </w:r>
    </w:p>
    <w:p>
      <w:pPr>
        <w:numPr>
          <w:ilvl w:val="0"/>
          <w:numId w:val="5"/>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产品交货时间不能满足招标文件要求的；</w:t>
      </w:r>
    </w:p>
    <w:p>
      <w:pPr>
        <w:numPr>
          <w:ilvl w:val="0"/>
          <w:numId w:val="5"/>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存在串通投标行为；</w:t>
      </w:r>
    </w:p>
    <w:p>
      <w:pPr>
        <w:numPr>
          <w:ilvl w:val="0"/>
          <w:numId w:val="5"/>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法律、法规和招标文件规定的其他无效情形。</w:t>
      </w:r>
    </w:p>
    <w:p>
      <w:pPr>
        <w:numPr>
          <w:ilvl w:val="0"/>
          <w:numId w:val="5"/>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投标总报价超过招标文件规定的采购预算额度或者最高限价的；</w:t>
      </w:r>
    </w:p>
    <w:p>
      <w:pPr>
        <w:numPr>
          <w:ilvl w:val="0"/>
          <w:numId w:val="5"/>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投标产品的技术规格、技术标准明显不符合采购项目要求的；</w:t>
      </w:r>
    </w:p>
    <w:p>
      <w:pPr>
        <w:numPr>
          <w:ilvl w:val="0"/>
          <w:numId w:val="5"/>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投标报价出现前后不一致，又不按19.1.1进行确认的；</w:t>
      </w:r>
    </w:p>
    <w:p>
      <w:pPr>
        <w:numPr>
          <w:ilvl w:val="0"/>
          <w:numId w:val="5"/>
        </w:num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评标委员会认为应按无效投标处理的其他情况；</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对投标无效的</w:t>
      </w:r>
      <w:r>
        <w:rPr>
          <w:rFonts w:hint="eastAsia" w:ascii="宋体" w:hAnsi="宋体" w:cs="宋体"/>
          <w:color w:val="auto"/>
          <w:kern w:val="0"/>
          <w:lang w:eastAsia="zh-CN"/>
        </w:rPr>
        <w:t>投标人</w:t>
      </w:r>
      <w:r>
        <w:rPr>
          <w:rFonts w:hint="eastAsia" w:ascii="宋体" w:hAnsi="宋体" w:cs="宋体"/>
          <w:color w:val="auto"/>
          <w:kern w:val="0"/>
        </w:rPr>
        <w:t>，</w:t>
      </w:r>
      <w:r>
        <w:rPr>
          <w:rFonts w:hint="eastAsia" w:ascii="宋体" w:hAnsi="宋体" w:cs="宋体"/>
          <w:color w:val="auto"/>
          <w:kern w:val="0"/>
          <w:lang w:eastAsia="zh-CN"/>
        </w:rPr>
        <w:t>招标人</w:t>
      </w:r>
      <w:r>
        <w:rPr>
          <w:rFonts w:hint="eastAsia" w:ascii="宋体" w:hAnsi="宋体" w:cs="宋体"/>
          <w:color w:val="auto"/>
          <w:kern w:val="0"/>
        </w:rPr>
        <w:t>或</w:t>
      </w:r>
      <w:r>
        <w:rPr>
          <w:rFonts w:hint="eastAsia" w:ascii="宋体" w:hAnsi="宋体" w:cs="宋体"/>
          <w:color w:val="auto"/>
          <w:kern w:val="0"/>
          <w:lang w:eastAsia="zh-CN"/>
        </w:rPr>
        <w:t>招标代理机构</w:t>
      </w:r>
      <w:r>
        <w:rPr>
          <w:rFonts w:hint="eastAsia" w:ascii="宋体" w:hAnsi="宋体" w:cs="宋体"/>
          <w:color w:val="auto"/>
          <w:kern w:val="0"/>
        </w:rPr>
        <w:t>应当告知其投标无效的原因。</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19.1.3 投标文件报价出现前后不一致的，按照下列规定修正：</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同时出现两种以上不一致的，按照前款规定的顺序修正。修正后的报价按19.1.1第二款的规定经</w:t>
      </w:r>
      <w:r>
        <w:rPr>
          <w:rFonts w:hint="eastAsia" w:ascii="宋体" w:hAnsi="宋体" w:cs="宋体"/>
          <w:color w:val="auto"/>
          <w:kern w:val="0"/>
          <w:lang w:eastAsia="zh-CN"/>
        </w:rPr>
        <w:t>投标人</w:t>
      </w:r>
      <w:r>
        <w:rPr>
          <w:rFonts w:hint="eastAsia" w:ascii="宋体" w:hAnsi="宋体" w:cs="宋体"/>
          <w:color w:val="auto"/>
          <w:kern w:val="0"/>
        </w:rPr>
        <w:t>确认后产生约束力，</w:t>
      </w:r>
      <w:r>
        <w:rPr>
          <w:rFonts w:hint="eastAsia" w:ascii="宋体" w:hAnsi="宋体" w:cs="宋体"/>
          <w:color w:val="auto"/>
          <w:kern w:val="0"/>
          <w:lang w:eastAsia="zh-CN"/>
        </w:rPr>
        <w:t>投标人</w:t>
      </w:r>
      <w:r>
        <w:rPr>
          <w:rFonts w:hint="eastAsia" w:ascii="宋体" w:hAnsi="宋体" w:cs="宋体"/>
          <w:color w:val="auto"/>
          <w:kern w:val="0"/>
        </w:rPr>
        <w:t>不确认的，其投标无效。</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 xml:space="preserve">19.2 </w:t>
      </w:r>
      <w:r>
        <w:rPr>
          <w:rFonts w:hint="eastAsia" w:ascii="宋体" w:hAnsi="宋体" w:cs="宋体"/>
          <w:color w:val="auto"/>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根据《政府采购促进中小企业发展暂行办法》，属中、小型企业制造的货物（产品），投标人须提供该制造（生产）企业出具的《</w:t>
      </w:r>
      <w:r>
        <w:rPr>
          <w:rFonts w:hint="eastAsia" w:ascii="宋体" w:hAnsi="宋体" w:cs="宋体"/>
          <w:color w:val="auto"/>
          <w:kern w:val="0"/>
          <w:lang w:val="zh-CN" w:eastAsia="zh-CN"/>
        </w:rPr>
        <w:t>中、小</w:t>
      </w:r>
      <w:r>
        <w:rPr>
          <w:rFonts w:hint="eastAsia" w:ascii="宋体" w:hAnsi="宋体" w:cs="宋体"/>
          <w:color w:val="auto"/>
          <w:kern w:val="0"/>
          <w:lang w:val="zh-CN"/>
        </w:rPr>
        <w:t>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auto"/>
          <w:kern w:val="0"/>
        </w:rPr>
        <w:t>18</w:t>
      </w:r>
      <w:r>
        <w:rPr>
          <w:rFonts w:hint="eastAsia" w:ascii="宋体" w:hAnsi="宋体" w:cs="宋体"/>
          <w:color w:val="auto"/>
          <w:kern w:val="0"/>
          <w:lang w:val="zh-CN"/>
        </w:rPr>
        <w:t>），并由投标人加盖公章，残疾人福利性单位视同小、中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 xml:space="preserve">19.3 </w:t>
      </w:r>
      <w:r>
        <w:rPr>
          <w:rFonts w:hint="eastAsia" w:ascii="宋体" w:hAnsi="宋体" w:cs="宋体"/>
          <w:color w:val="auto"/>
          <w:kern w:val="0"/>
          <w:lang w:val="zh-CN"/>
        </w:rPr>
        <w:t>在评审过程中，</w:t>
      </w:r>
      <w:r>
        <w:rPr>
          <w:rFonts w:hint="eastAsia" w:ascii="宋体" w:hAnsi="宋体" w:cs="宋体"/>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4</w:t>
      </w:r>
      <w:r>
        <w:rPr>
          <w:rFonts w:hint="eastAsia" w:ascii="宋体" w:hAnsi="宋体" w:cs="宋体"/>
          <w:color w:val="auto"/>
          <w:kern w:val="0"/>
          <w:lang w:val="zh-CN"/>
        </w:rPr>
        <w:t xml:space="preserve"> </w:t>
      </w:r>
      <w:r>
        <w:rPr>
          <w:rFonts w:hint="eastAsia" w:ascii="宋体" w:hAnsi="宋体" w:cs="宋体"/>
          <w:color w:val="auto"/>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1</w:t>
      </w:r>
      <w:r>
        <w:rPr>
          <w:rFonts w:hint="eastAsia" w:ascii="宋体" w:hAnsi="宋体" w:cs="宋体"/>
          <w:color w:val="auto"/>
          <w:kern w:val="0"/>
        </w:rPr>
        <w:t>9</w:t>
      </w:r>
      <w:r>
        <w:rPr>
          <w:rFonts w:hint="eastAsia" w:ascii="宋体" w:hAnsi="宋体" w:cs="宋体"/>
          <w:color w:val="auto"/>
          <w:kern w:val="0"/>
          <w:lang w:val="zh-CN"/>
        </w:rPr>
        <w:t>.</w:t>
      </w:r>
      <w:r>
        <w:rPr>
          <w:rFonts w:hint="eastAsia" w:ascii="宋体" w:hAnsi="宋体" w:cs="宋体"/>
          <w:color w:val="auto"/>
          <w:kern w:val="0"/>
        </w:rPr>
        <w:t xml:space="preserve">5 </w:t>
      </w:r>
      <w:r>
        <w:rPr>
          <w:rFonts w:hint="eastAsia" w:ascii="宋体" w:hAnsi="宋体" w:cs="宋体"/>
          <w:color w:val="auto"/>
          <w:shd w:val="clear" w:color="auto" w:fill="FFFFFF"/>
        </w:rPr>
        <w:t>评标委员会认为</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的报价明显低于其他通过符合性审查</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的报价，有可能影响产品质量或者不能诚信履约的，应当要求其在评标现场合理的时间内提供书面说明，必要时提交相关证明材料；</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不能证明其报价合理性的，评标委员会应当将其作为无效投标处理。</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kern w:val="0"/>
        </w:rPr>
        <w:t xml:space="preserve">19.6 </w:t>
      </w:r>
      <w:r>
        <w:rPr>
          <w:rFonts w:hint="eastAsia" w:ascii="宋体" w:hAnsi="宋体" w:cs="宋体"/>
          <w:color w:val="auto"/>
          <w:shd w:val="clear" w:color="auto" w:fill="FFFFFF"/>
        </w:rPr>
        <w:t>使用综合评分法的采购项目，提供相同品牌产品且通过资格审查、符合性审查的不同</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参加同一合同项下投标的，按一家</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计算，评审后得分最高的同品牌</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获得中标人推荐资格；评审得分相同的，由</w:t>
      </w:r>
      <w:r>
        <w:rPr>
          <w:rFonts w:hint="eastAsia" w:ascii="宋体" w:hAnsi="宋体" w:cs="宋体"/>
          <w:color w:val="auto"/>
          <w:shd w:val="clear" w:color="auto" w:fill="FFFFFF"/>
          <w:lang w:eastAsia="zh-CN"/>
        </w:rPr>
        <w:t>招标人</w:t>
      </w:r>
      <w:r>
        <w:rPr>
          <w:rFonts w:hint="eastAsia" w:ascii="宋体" w:hAnsi="宋体" w:cs="宋体"/>
          <w:color w:val="auto"/>
          <w:shd w:val="clear" w:color="auto" w:fill="FFFFFF"/>
        </w:rPr>
        <w:t>或者</w:t>
      </w:r>
      <w:r>
        <w:rPr>
          <w:rFonts w:hint="eastAsia" w:ascii="宋体" w:hAnsi="宋体" w:cs="宋体"/>
          <w:color w:val="auto"/>
          <w:shd w:val="clear" w:color="auto" w:fill="FFFFFF"/>
          <w:lang w:eastAsia="zh-CN"/>
        </w:rPr>
        <w:t>招标人</w:t>
      </w:r>
      <w:r>
        <w:rPr>
          <w:rFonts w:hint="eastAsia" w:ascii="宋体" w:hAnsi="宋体" w:cs="宋体"/>
          <w:color w:val="auto"/>
          <w:shd w:val="clear" w:color="auto" w:fill="FFFFFF"/>
        </w:rPr>
        <w:t>委托评标委员会按照招标文件规定的方式确定一个</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获得中标人推荐资格，招标文件未规定的采取随机抽取方式确定，其他同品牌</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不作为中标候选人。非单一产品采购项目，</w:t>
      </w:r>
      <w:r>
        <w:rPr>
          <w:rFonts w:hint="eastAsia" w:ascii="宋体" w:hAnsi="宋体" w:cs="宋体"/>
          <w:color w:val="auto"/>
          <w:shd w:val="clear" w:color="auto" w:fill="FFFFFF"/>
          <w:lang w:eastAsia="zh-CN"/>
        </w:rPr>
        <w:t>招标人</w:t>
      </w:r>
      <w:r>
        <w:rPr>
          <w:rFonts w:hint="eastAsia" w:ascii="宋体" w:hAnsi="宋体" w:cs="宋体"/>
          <w:color w:val="auto"/>
          <w:shd w:val="clear" w:color="auto" w:fill="FFFFFF"/>
        </w:rPr>
        <w:t>应当根据采购项目技术构成、产品价格比重等合理确定核心产品，并在招标文件中载明。多家</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提供的核心产品品牌相同的，按前两款规定处理。</w:t>
      </w:r>
    </w:p>
    <w:p>
      <w:pPr>
        <w:pStyle w:val="23"/>
        <w:spacing w:before="0" w:after="0" w:line="360" w:lineRule="auto"/>
        <w:jc w:val="left"/>
        <w:rPr>
          <w:rFonts w:hint="eastAsia" w:ascii="宋体" w:hAnsi="宋体" w:cs="宋体"/>
          <w:color w:val="auto"/>
          <w:sz w:val="28"/>
          <w:szCs w:val="28"/>
          <w:lang w:val="zh-CN"/>
        </w:rPr>
      </w:pPr>
      <w:bookmarkStart w:id="35" w:name="_Toc9933"/>
      <w:r>
        <w:rPr>
          <w:rFonts w:hint="eastAsia" w:ascii="宋体" w:hAnsi="宋体" w:cs="宋体"/>
          <w:color w:val="auto"/>
          <w:sz w:val="28"/>
          <w:szCs w:val="28"/>
        </w:rPr>
        <w:t>20</w:t>
      </w:r>
      <w:r>
        <w:rPr>
          <w:rFonts w:hint="eastAsia" w:ascii="宋体" w:hAnsi="宋体" w:cs="宋体"/>
          <w:color w:val="auto"/>
          <w:sz w:val="28"/>
          <w:szCs w:val="28"/>
          <w:lang w:val="zh-CN"/>
        </w:rPr>
        <w:t>.评审方法和标准</w:t>
      </w:r>
      <w:bookmarkEnd w:id="35"/>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20</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rPr>
        <w:t>20</w:t>
      </w:r>
      <w:r>
        <w:rPr>
          <w:rFonts w:hint="eastAsia" w:ascii="宋体" w:hAnsi="宋体" w:cs="宋体"/>
          <w:color w:val="auto"/>
          <w:kern w:val="0"/>
          <w:lang w:val="zh-CN"/>
        </w:rPr>
        <w:t>.2</w:t>
      </w:r>
      <w:r>
        <w:rPr>
          <w:rFonts w:hint="eastAsia" w:ascii="宋体" w:hAnsi="宋体" w:cs="宋体"/>
          <w:color w:val="auto"/>
          <w:kern w:val="0"/>
        </w:rPr>
        <w:t xml:space="preserve"> </w:t>
      </w:r>
      <w:r>
        <w:rPr>
          <w:rFonts w:hint="eastAsia" w:ascii="宋体" w:hAnsi="宋体" w:cs="宋体"/>
          <w:color w:val="auto"/>
          <w:kern w:val="0"/>
          <w:lang w:val="zh-CN"/>
        </w:rPr>
        <w:t>本次评审方法采用综合评分法。</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shd w:val="clear" w:color="auto" w:fill="FFFFFF"/>
          <w:lang w:val="zh-CN"/>
        </w:rPr>
        <w:t>综合评分法，</w:t>
      </w:r>
      <w:r>
        <w:rPr>
          <w:rFonts w:hint="eastAsia" w:ascii="宋体" w:hAnsi="宋体" w:cs="宋体"/>
          <w:color w:val="auto"/>
          <w:shd w:val="clear" w:color="auto" w:fill="FFFFFF"/>
        </w:rPr>
        <w:t>是指投标文件满足招标文件全部实质性要求，且按照评审因素的量化指标评审得分最高的</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为中标候选人的评标方法</w:t>
      </w:r>
      <w:r>
        <w:rPr>
          <w:rFonts w:hint="eastAsia" w:ascii="宋体" w:hAnsi="宋体" w:cs="宋体"/>
          <w:color w:val="auto"/>
          <w:kern w:val="0"/>
          <w:lang w:val="zh-CN"/>
        </w:rPr>
        <w:t>。</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评审因素的设定应当与</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所提供货物服务的质量相关，包括</w:t>
      </w:r>
      <w:r>
        <w:rPr>
          <w:rFonts w:hint="eastAsia" w:ascii="宋体" w:hAnsi="宋体" w:cs="宋体"/>
          <w:b/>
          <w:bCs/>
          <w:color w:val="auto"/>
          <w:shd w:val="clear" w:color="auto" w:fill="FFFFFF"/>
        </w:rPr>
        <w:t>投标报价、技术或者服务水平、履约能力、售后服务</w:t>
      </w:r>
      <w:r>
        <w:rPr>
          <w:rFonts w:hint="eastAsia" w:ascii="宋体" w:hAnsi="宋体" w:cs="宋体"/>
          <w:color w:val="auto"/>
          <w:shd w:val="clear" w:color="auto" w:fill="FFFFFF"/>
        </w:rPr>
        <w:t>。资格条件不得作为评审因素。</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5"/>
        <w:tblW w:w="9042" w:type="dxa"/>
        <w:jc w:val="center"/>
        <w:tblLayout w:type="fixed"/>
        <w:tblCellMar>
          <w:top w:w="0" w:type="dxa"/>
          <w:left w:w="108" w:type="dxa"/>
          <w:bottom w:w="0" w:type="dxa"/>
          <w:right w:w="108" w:type="dxa"/>
        </w:tblCellMar>
      </w:tblPr>
      <w:tblGrid>
        <w:gridCol w:w="807"/>
        <w:gridCol w:w="1253"/>
        <w:gridCol w:w="6982"/>
      </w:tblGrid>
      <w:tr>
        <w:tblPrEx>
          <w:tblCellMar>
            <w:top w:w="0" w:type="dxa"/>
            <w:left w:w="108" w:type="dxa"/>
            <w:bottom w:w="0" w:type="dxa"/>
            <w:right w:w="108" w:type="dxa"/>
          </w:tblCellMar>
        </w:tblPrEx>
        <w:trPr>
          <w:trHeight w:val="0" w:hRule="atLeast"/>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center"/>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auto"/>
                <w:kern w:val="2"/>
                <w:sz w:val="24"/>
                <w:szCs w:val="24"/>
                <w:shd w:val="clear" w:color="auto" w:fill="FFFFFF"/>
                <w:lang w:val="zh-CN" w:eastAsia="zh-CN" w:bidi="ar-SA"/>
              </w:rPr>
              <w:t>序号</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both"/>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zh-CN" w:eastAsia="zh-CN" w:bidi="ar-SA"/>
              </w:rPr>
              <w:t>评审</w:t>
            </w:r>
            <w:r>
              <w:rPr>
                <w:rFonts w:hint="eastAsia" w:ascii="宋体" w:hAnsi="宋体" w:eastAsia="宋体" w:cs="宋体"/>
                <w:color w:val="auto"/>
                <w:kern w:val="2"/>
                <w:sz w:val="24"/>
                <w:szCs w:val="24"/>
                <w:shd w:val="clear" w:color="auto" w:fill="FFFFFF"/>
                <w:lang w:val="en-US" w:eastAsia="zh-CN" w:bidi="ar-SA"/>
              </w:rPr>
              <w:t>因素</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jc w:val="center"/>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auto"/>
                <w:kern w:val="2"/>
                <w:sz w:val="24"/>
                <w:szCs w:val="24"/>
                <w:shd w:val="clear" w:color="auto" w:fill="FFFFFF"/>
                <w:lang w:val="en-US" w:eastAsia="zh-CN" w:bidi="ar-SA"/>
              </w:rPr>
              <w:t>评审标准</w:t>
            </w:r>
          </w:p>
        </w:tc>
      </w:tr>
      <w:tr>
        <w:tblPrEx>
          <w:tblCellMar>
            <w:top w:w="0" w:type="dxa"/>
            <w:left w:w="108" w:type="dxa"/>
            <w:bottom w:w="0" w:type="dxa"/>
            <w:right w:w="108" w:type="dxa"/>
          </w:tblCellMar>
        </w:tblPrEx>
        <w:trPr>
          <w:trHeight w:val="0" w:hRule="atLeast"/>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both"/>
              <w:rPr>
                <w:rFonts w:hint="eastAsia" w:ascii="宋体" w:hAnsi="宋体" w:eastAsia="宋体" w:cs="宋体"/>
                <w:color w:val="auto"/>
                <w:kern w:val="2"/>
                <w:sz w:val="24"/>
                <w:szCs w:val="24"/>
                <w:shd w:val="clear" w:color="auto" w:fill="FFFFFF"/>
                <w:lang w:val="zh-CN" w:eastAsia="zh-CN" w:bidi="ar-SA"/>
              </w:rPr>
            </w:pPr>
            <w:r>
              <w:rPr>
                <w:rFonts w:hint="eastAsia" w:ascii="宋体" w:hAnsi="宋体" w:eastAsia="宋体" w:cs="宋体"/>
                <w:color w:val="auto"/>
                <w:kern w:val="2"/>
                <w:sz w:val="24"/>
                <w:szCs w:val="24"/>
                <w:shd w:val="clear" w:color="auto" w:fill="FFFFFF"/>
                <w:lang w:val="en-US" w:eastAsia="zh-CN" w:bidi="ar-SA"/>
              </w:rPr>
              <w:t>投标报价(30分)</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500" w:lineRule="exact"/>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价格分应当采用低价优先法计算，即满足招标文件要求且投标价格最低的投标报价为评标基准价，其价格分为满分。其他投标人的价格分统一按照下列公式计算：投标报价得分=(评标基准价／投标报价)×100×投标报价比重（30%）</w:t>
            </w:r>
            <w:r>
              <w:rPr>
                <w:rFonts w:hint="eastAsia" w:ascii="宋体" w:hAnsi="宋体" w:cs="宋体"/>
                <w:sz w:val="22"/>
                <w:szCs w:val="22"/>
              </w:rPr>
              <w:t>（四舍五入后保留小数点后两位）</w:t>
            </w:r>
          </w:p>
          <w:p>
            <w:pPr>
              <w:autoSpaceDE w:val="0"/>
              <w:autoSpaceDN w:val="0"/>
              <w:adjustRightInd w:val="0"/>
              <w:spacing w:line="500" w:lineRule="exact"/>
              <w:rPr>
                <w:rFonts w:ascii="宋体" w:hAnsi="宋体" w:cs="宋体"/>
                <w:sz w:val="22"/>
                <w:szCs w:val="22"/>
              </w:rPr>
            </w:pPr>
            <w:r>
              <w:rPr>
                <w:rFonts w:hint="eastAsia" w:ascii="宋体" w:hAnsi="宋体" w:cs="宋体"/>
                <w:sz w:val="22"/>
                <w:szCs w:val="22"/>
              </w:rPr>
              <w:t>（2）根据《政府采购促进中小企业发展管理办法》、《关于促进残疾人就业政府采购政策的通知》的相关规定，对残疾人福利性单位、监狱企业、小型和微型企业制造（生产）产品的价格给予10%的扣除，用扣除后的价格参与评审。</w:t>
            </w:r>
          </w:p>
          <w:p>
            <w:pPr>
              <w:pStyle w:val="22"/>
              <w:widowControl/>
              <w:spacing w:before="0" w:beforeAutospacing="0" w:after="0" w:afterAutospacing="0" w:line="360" w:lineRule="auto"/>
              <w:ind w:left="0" w:leftChars="0" w:firstLine="0" w:firstLineChars="0"/>
              <w:jc w:val="both"/>
              <w:rPr>
                <w:rFonts w:hint="eastAsia" w:ascii="宋体" w:hAnsi="宋体" w:eastAsia="宋体" w:cs="宋体"/>
                <w:color w:val="auto"/>
                <w:kern w:val="2"/>
                <w:sz w:val="24"/>
                <w:szCs w:val="24"/>
                <w:shd w:val="clear" w:color="auto" w:fill="FFFFFF"/>
                <w:lang w:val="en-US" w:eastAsia="zh-CN" w:bidi="ar-SA"/>
              </w:rPr>
            </w:pPr>
            <w:r>
              <w:rPr>
                <w:rFonts w:hint="eastAsia" w:ascii="宋体" w:hAnsi="宋体" w:cs="宋体"/>
                <w:sz w:val="22"/>
                <w:szCs w:val="22"/>
              </w:rPr>
              <w:t>（残疾人福利性单位属于监狱企业、小型、微型企业的，不重复享受政策。）</w:t>
            </w:r>
          </w:p>
        </w:tc>
      </w:tr>
      <w:tr>
        <w:tblPrEx>
          <w:tblCellMar>
            <w:top w:w="0" w:type="dxa"/>
            <w:left w:w="108" w:type="dxa"/>
            <w:bottom w:w="0" w:type="dxa"/>
            <w:right w:w="108" w:type="dxa"/>
          </w:tblCellMar>
        </w:tblPrEx>
        <w:trPr>
          <w:trHeight w:val="0" w:hRule="atLeast"/>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center"/>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技术水平（</w:t>
            </w:r>
            <w:r>
              <w:rPr>
                <w:rFonts w:hint="eastAsia" w:ascii="宋体" w:hAnsi="宋体" w:eastAsia="宋体" w:cs="宋体"/>
                <w:kern w:val="2"/>
                <w:sz w:val="22"/>
                <w:szCs w:val="22"/>
                <w:lang w:val="en-US" w:eastAsia="zh-CN" w:bidi="ar-SA"/>
              </w:rPr>
              <w:t>38分</w:t>
            </w:r>
            <w:r>
              <w:rPr>
                <w:rFonts w:hint="eastAsia" w:ascii="宋体" w:hAnsi="宋体" w:eastAsia="宋体" w:cs="宋体"/>
                <w:kern w:val="2"/>
                <w:sz w:val="22"/>
                <w:szCs w:val="22"/>
                <w:lang w:val="zh-CN" w:eastAsia="zh-CN" w:bidi="ar-SA"/>
              </w:rPr>
              <w:t>）</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both"/>
              <w:rPr>
                <w:rFonts w:hint="eastAsia" w:ascii="宋体" w:hAnsi="宋体" w:eastAsia="宋体" w:cs="宋体"/>
                <w:kern w:val="2"/>
                <w:sz w:val="22"/>
                <w:szCs w:val="22"/>
                <w:lang w:val="zh-CN" w:eastAsia="zh-CN" w:bidi="ar-SA"/>
              </w:rPr>
            </w:pPr>
            <w:r>
              <w:rPr>
                <w:rFonts w:hint="eastAsia" w:ascii="宋体" w:hAnsi="宋体" w:eastAsia="宋体" w:cs="宋体"/>
                <w:b/>
                <w:bCs/>
                <w:kern w:val="2"/>
                <w:sz w:val="22"/>
                <w:szCs w:val="22"/>
                <w:lang w:val="en-US" w:eastAsia="zh-CN" w:bidi="ar-SA"/>
              </w:rPr>
              <w:t>（1）</w:t>
            </w:r>
            <w:r>
              <w:rPr>
                <w:rFonts w:hint="eastAsia" w:ascii="宋体" w:hAnsi="宋体" w:eastAsia="宋体" w:cs="宋体"/>
                <w:b/>
                <w:bCs/>
                <w:kern w:val="2"/>
                <w:sz w:val="22"/>
                <w:szCs w:val="22"/>
                <w:lang w:val="zh-CN" w:eastAsia="zh-CN" w:bidi="ar-SA"/>
              </w:rPr>
              <w:t>技术参数（</w:t>
            </w:r>
            <w:r>
              <w:rPr>
                <w:rFonts w:hint="eastAsia" w:ascii="宋体" w:hAnsi="宋体" w:eastAsia="宋体" w:cs="宋体"/>
                <w:b/>
                <w:bCs/>
                <w:kern w:val="2"/>
                <w:sz w:val="22"/>
                <w:szCs w:val="22"/>
                <w:lang w:val="en-US" w:eastAsia="zh-CN" w:bidi="ar-SA"/>
              </w:rPr>
              <w:t>37分</w:t>
            </w:r>
            <w:r>
              <w:rPr>
                <w:rFonts w:hint="eastAsia" w:ascii="宋体" w:hAnsi="宋体" w:eastAsia="宋体" w:cs="宋体"/>
                <w:b/>
                <w:bCs/>
                <w:kern w:val="2"/>
                <w:sz w:val="22"/>
                <w:szCs w:val="22"/>
                <w:lang w:val="zh-CN" w:eastAsia="zh-CN" w:bidi="ar-SA"/>
              </w:rPr>
              <w:t>）</w:t>
            </w:r>
            <w:r>
              <w:rPr>
                <w:rFonts w:hint="eastAsia" w:ascii="宋体" w:hAnsi="宋体" w:eastAsia="宋体" w:cs="宋体"/>
                <w:kern w:val="2"/>
                <w:sz w:val="22"/>
                <w:szCs w:val="22"/>
                <w:lang w:val="zh-CN" w:eastAsia="zh-CN" w:bidi="ar-SA"/>
              </w:rPr>
              <w:t>：投标产品技术参数和配置完全满足或高于招标文件要求的得</w:t>
            </w:r>
            <w:r>
              <w:rPr>
                <w:rFonts w:hint="eastAsia" w:ascii="宋体" w:hAnsi="宋体" w:eastAsia="宋体" w:cs="宋体"/>
                <w:kern w:val="2"/>
                <w:sz w:val="22"/>
                <w:szCs w:val="22"/>
                <w:lang w:val="en-US" w:eastAsia="zh-CN" w:bidi="ar-SA"/>
              </w:rPr>
              <w:t>37</w:t>
            </w:r>
            <w:r>
              <w:rPr>
                <w:rFonts w:hint="eastAsia" w:ascii="宋体" w:hAnsi="宋体" w:eastAsia="宋体" w:cs="宋体"/>
                <w:kern w:val="2"/>
                <w:sz w:val="22"/>
                <w:szCs w:val="22"/>
                <w:lang w:val="zh-CN" w:eastAsia="zh-CN" w:bidi="ar-SA"/>
              </w:rPr>
              <w:t>分；每有一项负偏离扣</w:t>
            </w:r>
            <w:r>
              <w:rPr>
                <w:rFonts w:hint="eastAsia" w:ascii="宋体" w:hAnsi="宋体" w:cs="宋体"/>
                <w:kern w:val="2"/>
                <w:sz w:val="22"/>
                <w:szCs w:val="22"/>
                <w:highlight w:val="yellow"/>
                <w:lang w:val="en-US" w:eastAsia="zh-CN" w:bidi="ar-SA"/>
              </w:rPr>
              <w:t>0.5</w:t>
            </w:r>
            <w:r>
              <w:rPr>
                <w:rFonts w:hint="eastAsia" w:ascii="宋体" w:hAnsi="宋体" w:eastAsia="宋体" w:cs="宋体"/>
                <w:kern w:val="2"/>
                <w:sz w:val="22"/>
                <w:szCs w:val="22"/>
                <w:lang w:val="zh-CN" w:eastAsia="zh-CN" w:bidi="ar-SA"/>
              </w:rPr>
              <w:t>分，扣完为止。（此项评分以产品彩页或检验报告或生产厂家的技术文件等为依据）</w:t>
            </w:r>
          </w:p>
          <w:p>
            <w:pPr>
              <w:pStyle w:val="22"/>
              <w:widowControl/>
              <w:spacing w:before="0" w:beforeAutospacing="0" w:after="0" w:afterAutospacing="0" w:line="360" w:lineRule="auto"/>
              <w:ind w:left="0" w:leftChars="0" w:firstLine="0" w:firstLineChars="0"/>
              <w:jc w:val="both"/>
              <w:rPr>
                <w:rFonts w:hint="eastAsia" w:ascii="宋体" w:hAnsi="宋体" w:eastAsia="宋体" w:cs="宋体"/>
                <w:kern w:val="2"/>
                <w:sz w:val="22"/>
                <w:szCs w:val="22"/>
                <w:lang w:val="en-US" w:eastAsia="zh-CN" w:bidi="ar-SA"/>
              </w:rPr>
            </w:pPr>
            <w:r>
              <w:rPr>
                <w:rFonts w:hint="eastAsia" w:ascii="宋体" w:hAnsi="宋体" w:eastAsia="宋体" w:cs="宋体"/>
                <w:b/>
                <w:bCs/>
                <w:kern w:val="2"/>
                <w:sz w:val="22"/>
                <w:szCs w:val="22"/>
                <w:lang w:val="zh-CN" w:eastAsia="zh-CN" w:bidi="ar-SA"/>
              </w:rPr>
              <w:t>（</w:t>
            </w:r>
            <w:r>
              <w:rPr>
                <w:rFonts w:hint="eastAsia" w:ascii="宋体" w:hAnsi="宋体" w:eastAsia="宋体" w:cs="宋体"/>
                <w:b/>
                <w:bCs/>
                <w:kern w:val="2"/>
                <w:sz w:val="22"/>
                <w:szCs w:val="22"/>
                <w:lang w:val="en-US" w:eastAsia="zh-CN" w:bidi="ar-SA"/>
              </w:rPr>
              <w:t>2</w:t>
            </w:r>
            <w:r>
              <w:rPr>
                <w:rFonts w:hint="eastAsia" w:ascii="宋体" w:hAnsi="宋体" w:eastAsia="宋体" w:cs="宋体"/>
                <w:b/>
                <w:bCs/>
                <w:kern w:val="2"/>
                <w:sz w:val="22"/>
                <w:szCs w:val="22"/>
                <w:lang w:val="zh-CN" w:eastAsia="zh-CN" w:bidi="ar-SA"/>
              </w:rPr>
              <w:t>）节能环保（</w:t>
            </w:r>
            <w:r>
              <w:rPr>
                <w:rFonts w:hint="eastAsia" w:ascii="宋体" w:hAnsi="宋体" w:eastAsia="宋体" w:cs="宋体"/>
                <w:b/>
                <w:bCs/>
                <w:kern w:val="2"/>
                <w:sz w:val="22"/>
                <w:szCs w:val="22"/>
                <w:lang w:val="en-US" w:eastAsia="zh-CN" w:bidi="ar-SA"/>
              </w:rPr>
              <w:t>1</w:t>
            </w:r>
            <w:r>
              <w:rPr>
                <w:rFonts w:hint="eastAsia" w:ascii="宋体" w:hAnsi="宋体" w:eastAsia="宋体" w:cs="宋体"/>
                <w:b/>
                <w:bCs/>
                <w:kern w:val="2"/>
                <w:sz w:val="22"/>
                <w:szCs w:val="22"/>
                <w:lang w:val="zh-CN" w:eastAsia="zh-CN" w:bidi="ar-SA"/>
              </w:rPr>
              <w:t>分）</w:t>
            </w:r>
            <w:r>
              <w:rPr>
                <w:rFonts w:hint="eastAsia" w:ascii="宋体" w:hAnsi="宋体" w:eastAsia="宋体" w:cs="宋体"/>
                <w:kern w:val="2"/>
                <w:sz w:val="22"/>
                <w:szCs w:val="22"/>
                <w:lang w:val="zh-CN" w:eastAsia="zh-CN" w:bidi="ar-SA"/>
              </w:rPr>
              <w:t>：所投产品为节能产品，得</w:t>
            </w:r>
            <w:r>
              <w:rPr>
                <w:rFonts w:hint="eastAsia" w:ascii="宋体" w:hAnsi="宋体" w:eastAsia="宋体" w:cs="宋体"/>
                <w:kern w:val="2"/>
                <w:sz w:val="22"/>
                <w:szCs w:val="22"/>
                <w:lang w:val="en-US" w:eastAsia="zh-CN" w:bidi="ar-SA"/>
              </w:rPr>
              <w:t>0.5</w:t>
            </w:r>
            <w:r>
              <w:rPr>
                <w:rFonts w:hint="eastAsia" w:ascii="宋体" w:hAnsi="宋体" w:eastAsia="宋体" w:cs="宋体"/>
                <w:kern w:val="2"/>
                <w:sz w:val="22"/>
                <w:szCs w:val="22"/>
                <w:lang w:val="zh-CN" w:eastAsia="zh-CN" w:bidi="ar-SA"/>
              </w:rPr>
              <w:t xml:space="preserve">分，所投产品为环保产品，得 </w:t>
            </w:r>
            <w:r>
              <w:rPr>
                <w:rFonts w:hint="eastAsia" w:ascii="宋体" w:hAnsi="宋体" w:eastAsia="宋体" w:cs="宋体"/>
                <w:kern w:val="2"/>
                <w:sz w:val="22"/>
                <w:szCs w:val="22"/>
                <w:lang w:val="en-US" w:eastAsia="zh-CN" w:bidi="ar-SA"/>
              </w:rPr>
              <w:t>0.5</w:t>
            </w:r>
            <w:r>
              <w:rPr>
                <w:rFonts w:hint="eastAsia" w:ascii="宋体" w:hAnsi="宋体" w:eastAsia="宋体" w:cs="宋体"/>
                <w:kern w:val="2"/>
                <w:sz w:val="22"/>
                <w:szCs w:val="22"/>
                <w:lang w:val="zh-CN" w:eastAsia="zh-CN" w:bidi="ar-SA"/>
              </w:rPr>
              <w:t xml:space="preserve"> 分，共 </w:t>
            </w:r>
            <w:r>
              <w:rPr>
                <w:rFonts w:hint="eastAsia" w:ascii="宋体" w:hAnsi="宋体" w:eastAsia="宋体" w:cs="宋体"/>
                <w:kern w:val="2"/>
                <w:sz w:val="22"/>
                <w:szCs w:val="22"/>
                <w:lang w:val="en-US" w:eastAsia="zh-CN" w:bidi="ar-SA"/>
              </w:rPr>
              <w:t>1</w:t>
            </w:r>
            <w:r>
              <w:rPr>
                <w:rFonts w:hint="eastAsia" w:ascii="宋体" w:hAnsi="宋体" w:eastAsia="宋体" w:cs="宋体"/>
                <w:kern w:val="2"/>
                <w:sz w:val="22"/>
                <w:szCs w:val="22"/>
                <w:lang w:val="zh-CN" w:eastAsia="zh-CN" w:bidi="ar-SA"/>
              </w:rPr>
              <w:t>分；未提供不得分。该项得分的认定以《国家节能产品认证证书》、 《中国环境标志产品认证证书》复印件、政府部门公布的《节能产品政府采购清单》、 《环境标志产品政府采购清单》网页截屏为准。</w:t>
            </w:r>
          </w:p>
        </w:tc>
      </w:tr>
      <w:tr>
        <w:tblPrEx>
          <w:tblCellMar>
            <w:top w:w="0" w:type="dxa"/>
            <w:left w:w="108" w:type="dxa"/>
            <w:bottom w:w="0" w:type="dxa"/>
            <w:right w:w="108" w:type="dxa"/>
          </w:tblCellMar>
        </w:tblPrEx>
        <w:trPr>
          <w:trHeight w:val="0" w:hRule="atLeast"/>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履约能力</w:t>
            </w:r>
            <w:r>
              <w:rPr>
                <w:rFonts w:hint="eastAsia" w:ascii="宋体" w:hAnsi="宋体" w:eastAsia="宋体" w:cs="Times New Roman"/>
                <w:kern w:val="2"/>
                <w:sz w:val="24"/>
                <w:szCs w:val="24"/>
                <w:lang w:val="en-US" w:eastAsia="zh-CN" w:bidi="ar-SA"/>
              </w:rPr>
              <w:t>(24分)</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numPr>
                <w:ilvl w:val="0"/>
                <w:numId w:val="6"/>
              </w:numPr>
              <w:spacing w:before="0" w:beforeAutospacing="0" w:after="0" w:afterAutospacing="0" w:line="360" w:lineRule="auto"/>
              <w:ind w:left="0" w:leftChars="0" w:right="0" w:rightChars="0" w:firstLine="0" w:firstLineChars="0"/>
              <w:jc w:val="both"/>
              <w:rPr>
                <w:rFonts w:hint="eastAsia" w:ascii="宋体" w:hAnsi="宋体" w:eastAsia="宋体" w:cs="宋体"/>
                <w:kern w:val="2"/>
                <w:sz w:val="22"/>
                <w:szCs w:val="22"/>
                <w:lang w:val="zh-CN" w:eastAsia="zh-CN" w:bidi="ar-SA"/>
              </w:rPr>
            </w:pPr>
            <w:r>
              <w:rPr>
                <w:rFonts w:hint="eastAsia" w:ascii="宋体" w:hAnsi="宋体" w:eastAsia="宋体" w:cs="宋体"/>
                <w:b/>
                <w:bCs/>
                <w:kern w:val="2"/>
                <w:sz w:val="22"/>
                <w:szCs w:val="22"/>
                <w:lang w:val="zh-CN" w:eastAsia="zh-CN" w:bidi="ar-SA"/>
              </w:rPr>
              <w:t>类似业绩情况（</w:t>
            </w:r>
            <w:r>
              <w:rPr>
                <w:rFonts w:hint="eastAsia" w:ascii="宋体" w:hAnsi="宋体" w:eastAsia="宋体" w:cs="宋体"/>
                <w:b/>
                <w:bCs/>
                <w:kern w:val="2"/>
                <w:sz w:val="22"/>
                <w:szCs w:val="22"/>
                <w:lang w:val="en-US" w:eastAsia="zh-CN" w:bidi="ar-SA"/>
              </w:rPr>
              <w:t>6</w:t>
            </w:r>
            <w:r>
              <w:rPr>
                <w:rFonts w:hint="eastAsia" w:ascii="宋体" w:hAnsi="宋体" w:eastAsia="宋体" w:cs="宋体"/>
                <w:b/>
                <w:bCs/>
                <w:kern w:val="2"/>
                <w:sz w:val="22"/>
                <w:szCs w:val="22"/>
                <w:lang w:val="zh-CN" w:eastAsia="zh-CN" w:bidi="ar-SA"/>
              </w:rPr>
              <w:t>分）：</w:t>
            </w:r>
            <w:r>
              <w:rPr>
                <w:rFonts w:hint="eastAsia" w:ascii="宋体" w:hAnsi="宋体" w:eastAsia="宋体" w:cs="宋体"/>
                <w:kern w:val="2"/>
                <w:sz w:val="22"/>
                <w:szCs w:val="22"/>
                <w:lang w:val="zh-CN" w:eastAsia="zh-CN" w:bidi="ar-SA"/>
              </w:rPr>
              <w:t>提供2020年至今的类似业绩证明材料。每提供1项得</w:t>
            </w:r>
            <w:r>
              <w:rPr>
                <w:rFonts w:hint="eastAsia" w:ascii="宋体" w:hAnsi="宋体" w:eastAsia="宋体" w:cs="宋体"/>
                <w:kern w:val="2"/>
                <w:sz w:val="22"/>
                <w:szCs w:val="22"/>
                <w:lang w:val="en-US" w:eastAsia="zh-CN" w:bidi="ar-SA"/>
              </w:rPr>
              <w:t>1</w:t>
            </w:r>
            <w:r>
              <w:rPr>
                <w:rFonts w:hint="eastAsia" w:ascii="宋体" w:hAnsi="宋体" w:eastAsia="宋体" w:cs="宋体"/>
                <w:kern w:val="2"/>
                <w:sz w:val="22"/>
                <w:szCs w:val="22"/>
                <w:lang w:val="zh-CN" w:eastAsia="zh-CN" w:bidi="ar-SA"/>
              </w:rPr>
              <w:t>分,满分</w:t>
            </w:r>
            <w:r>
              <w:rPr>
                <w:rFonts w:hint="eastAsia" w:ascii="宋体" w:hAnsi="宋体" w:eastAsia="宋体" w:cs="宋体"/>
                <w:kern w:val="2"/>
                <w:sz w:val="22"/>
                <w:szCs w:val="22"/>
                <w:lang w:val="en-US" w:eastAsia="zh-CN" w:bidi="ar-SA"/>
              </w:rPr>
              <w:t>6</w:t>
            </w:r>
            <w:r>
              <w:rPr>
                <w:rFonts w:hint="eastAsia" w:ascii="宋体" w:hAnsi="宋体" w:eastAsia="宋体" w:cs="宋体"/>
                <w:kern w:val="2"/>
                <w:sz w:val="22"/>
                <w:szCs w:val="22"/>
                <w:lang w:val="zh-CN" w:eastAsia="zh-CN" w:bidi="ar-SA"/>
              </w:rPr>
              <w:t>分；不提供不得分。（需提供包含中标通知书和合同首页、标的及金额所在页、供货合同签字盖章页的扫描（或复印）件）。</w:t>
            </w:r>
          </w:p>
          <w:p>
            <w:pPr>
              <w:spacing w:line="480" w:lineRule="exact"/>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bCs/>
                <w:kern w:val="2"/>
                <w:sz w:val="22"/>
                <w:szCs w:val="22"/>
                <w:lang w:val="zh-CN" w:eastAsia="zh-CN" w:bidi="ar-SA"/>
              </w:rPr>
              <w:t>（2）实施方案（</w:t>
            </w:r>
            <w:r>
              <w:rPr>
                <w:rFonts w:hint="eastAsia" w:ascii="宋体" w:hAnsi="宋体" w:eastAsia="宋体" w:cs="宋体"/>
                <w:b/>
                <w:bCs/>
                <w:kern w:val="2"/>
                <w:sz w:val="22"/>
                <w:szCs w:val="22"/>
                <w:lang w:val="en-US" w:eastAsia="zh-CN" w:bidi="ar-SA"/>
              </w:rPr>
              <w:t>6</w:t>
            </w:r>
            <w:r>
              <w:rPr>
                <w:rFonts w:hint="eastAsia" w:ascii="宋体" w:hAnsi="宋体" w:eastAsia="宋体" w:cs="宋体"/>
                <w:b/>
                <w:bCs/>
                <w:kern w:val="2"/>
                <w:sz w:val="22"/>
                <w:szCs w:val="22"/>
                <w:lang w:val="zh-CN" w:eastAsia="zh-CN" w:bidi="ar-SA"/>
              </w:rPr>
              <w:t>分）</w:t>
            </w:r>
            <w:r>
              <w:rPr>
                <w:rFonts w:hint="eastAsia" w:ascii="宋体" w:hAnsi="宋体" w:eastAsia="宋体" w:cs="宋体"/>
                <w:b w:val="0"/>
                <w:bCs w:val="0"/>
                <w:kern w:val="2"/>
                <w:sz w:val="22"/>
                <w:szCs w:val="22"/>
                <w:lang w:val="zh-CN" w:eastAsia="zh-CN" w:bidi="ar-SA"/>
              </w:rPr>
              <w:t>：</w:t>
            </w:r>
            <w:r>
              <w:rPr>
                <w:rFonts w:hint="eastAsia" w:ascii="宋体" w:hAnsi="宋体" w:eastAsia="宋体" w:cs="宋体"/>
                <w:b w:val="0"/>
                <w:bCs w:val="0"/>
                <w:color w:val="auto"/>
                <w:kern w:val="0"/>
                <w:sz w:val="24"/>
                <w:szCs w:val="24"/>
                <w:highlight w:val="none"/>
                <w:lang w:val="zh-CN" w:eastAsia="zh-CN" w:bidi="ar-SA"/>
              </w:rPr>
              <w:t>投标人需提供针对本项目的实施方案，提供详细、清晰、科学、合理的整体服务方案。包含：（1）技术服务方案；（2）项目实施方案；（3）质量保障体系；（4）运行服务。整体实施方案科学、完整、详细，阶段目标清晰，实现路径明确，管理机制健全，具有较强的可操作性，得</w:t>
            </w:r>
            <w:r>
              <w:rPr>
                <w:rFonts w:hint="eastAsia" w:ascii="宋体" w:hAnsi="宋体" w:eastAsia="宋体" w:cs="宋体"/>
                <w:b w:val="0"/>
                <w:bCs w:val="0"/>
                <w:color w:val="auto"/>
                <w:kern w:val="0"/>
                <w:sz w:val="24"/>
                <w:szCs w:val="24"/>
                <w:highlight w:val="none"/>
                <w:lang w:val="en-US" w:eastAsia="zh-CN" w:bidi="ar-SA"/>
              </w:rPr>
              <w:t>6</w:t>
            </w:r>
            <w:r>
              <w:rPr>
                <w:rFonts w:hint="eastAsia" w:ascii="宋体" w:hAnsi="宋体" w:eastAsia="宋体" w:cs="宋体"/>
                <w:b w:val="0"/>
                <w:bCs w:val="0"/>
                <w:color w:val="auto"/>
                <w:kern w:val="0"/>
                <w:sz w:val="24"/>
                <w:szCs w:val="24"/>
                <w:highlight w:val="none"/>
                <w:lang w:val="zh-CN" w:eastAsia="zh-CN" w:bidi="ar-SA"/>
              </w:rPr>
              <w:t>分；方案基本完整，具有基本的可操作性，得</w:t>
            </w: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zh-CN" w:eastAsia="zh-CN" w:bidi="ar-SA"/>
              </w:rPr>
              <w:t>分；方案不够完整，思路不清晰，不具操作性，得</w:t>
            </w: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zh-CN" w:eastAsia="zh-CN" w:bidi="ar-SA"/>
              </w:rPr>
              <w:t>分；</w:t>
            </w:r>
          </w:p>
          <w:p>
            <w:pPr>
              <w:pStyle w:val="22"/>
              <w:widowControl/>
              <w:numPr>
                <w:ilvl w:val="0"/>
                <w:numId w:val="0"/>
              </w:numPr>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未提供的不得分。</w:t>
            </w:r>
          </w:p>
          <w:p>
            <w:pPr>
              <w:pStyle w:val="22"/>
              <w:widowControl/>
              <w:numPr>
                <w:ilvl w:val="0"/>
                <w:numId w:val="0"/>
              </w:numPr>
              <w:spacing w:before="0" w:beforeAutospacing="0" w:after="0" w:afterAutospacing="0" w:line="360" w:lineRule="auto"/>
              <w:ind w:left="0" w:leftChars="0" w:right="0" w:rightChars="0" w:firstLine="0" w:firstLineChars="0"/>
              <w:jc w:val="both"/>
              <w:rPr>
                <w:rFonts w:hint="eastAsia" w:ascii="宋体" w:hAnsi="宋体" w:eastAsia="宋体" w:cs="宋体"/>
                <w:color w:val="FF0000"/>
                <w:sz w:val="24"/>
                <w:szCs w:val="24"/>
                <w:highlight w:val="none"/>
                <w:lang w:val="en-US" w:eastAsia="zh-CN" w:bidi="ar-SA"/>
              </w:rPr>
            </w:pPr>
            <w:r>
              <w:rPr>
                <w:rFonts w:hint="eastAsia" w:ascii="宋体" w:hAnsi="宋体" w:cs="宋体"/>
                <w:b/>
                <w:bCs/>
                <w:color w:val="auto"/>
                <w:sz w:val="24"/>
                <w:szCs w:val="24"/>
                <w:highlight w:val="none"/>
                <w:lang w:val="zh-CN" w:eastAsia="zh-CN" w:bidi="ar-SA"/>
              </w:rPr>
              <w:t>（</w:t>
            </w:r>
            <w:r>
              <w:rPr>
                <w:rFonts w:hint="eastAsia" w:ascii="宋体" w:hAnsi="宋体" w:cs="宋体"/>
                <w:b/>
                <w:bCs/>
                <w:color w:val="auto"/>
                <w:sz w:val="24"/>
                <w:szCs w:val="24"/>
                <w:highlight w:val="none"/>
                <w:lang w:val="en-US" w:eastAsia="zh-CN" w:bidi="ar-SA"/>
              </w:rPr>
              <w:t>3</w:t>
            </w:r>
            <w:r>
              <w:rPr>
                <w:rFonts w:hint="eastAsia" w:ascii="宋体" w:hAnsi="宋体" w:cs="宋体"/>
                <w:b/>
                <w:bCs/>
                <w:color w:val="auto"/>
                <w:sz w:val="24"/>
                <w:szCs w:val="24"/>
                <w:highlight w:val="none"/>
                <w:lang w:val="zh-CN" w:eastAsia="zh-CN" w:bidi="ar-SA"/>
              </w:rPr>
              <w:t>）质量保证措施（</w:t>
            </w:r>
            <w:r>
              <w:rPr>
                <w:rFonts w:hint="eastAsia" w:ascii="宋体" w:hAnsi="宋体" w:cs="宋体"/>
                <w:b/>
                <w:bCs/>
                <w:color w:val="auto"/>
                <w:sz w:val="24"/>
                <w:szCs w:val="24"/>
                <w:highlight w:val="none"/>
                <w:lang w:val="en-US" w:eastAsia="zh-CN" w:bidi="ar-SA"/>
              </w:rPr>
              <w:t>6</w:t>
            </w:r>
            <w:r>
              <w:rPr>
                <w:rFonts w:hint="eastAsia" w:ascii="宋体" w:hAnsi="宋体" w:cs="宋体"/>
                <w:b/>
                <w:bCs/>
                <w:color w:val="auto"/>
                <w:sz w:val="24"/>
                <w:szCs w:val="24"/>
                <w:highlight w:val="none"/>
                <w:lang w:val="zh-CN" w:eastAsia="zh-CN" w:bidi="ar-SA"/>
              </w:rPr>
              <w:t>分）：</w:t>
            </w:r>
            <w:r>
              <w:rPr>
                <w:rFonts w:hint="eastAsia" w:ascii="宋体" w:hAnsi="宋体" w:cs="宋体"/>
                <w:b w:val="0"/>
                <w:bCs w:val="0"/>
                <w:color w:val="auto"/>
                <w:sz w:val="24"/>
                <w:szCs w:val="24"/>
                <w:highlight w:val="none"/>
                <w:lang w:val="zh-CN" w:eastAsia="zh-CN" w:bidi="ar-SA"/>
              </w:rPr>
              <w:t>针对本项目提供设备质量保证措施，有合理具体质量保证计划及措施，有合理具体的质量控制流程的得</w:t>
            </w:r>
            <w:r>
              <w:rPr>
                <w:rFonts w:hint="eastAsia" w:ascii="宋体" w:hAnsi="宋体" w:cs="宋体"/>
                <w:b w:val="0"/>
                <w:bCs w:val="0"/>
                <w:color w:val="auto"/>
                <w:sz w:val="24"/>
                <w:szCs w:val="24"/>
                <w:highlight w:val="none"/>
                <w:lang w:val="en-US" w:eastAsia="zh-CN" w:bidi="ar-SA"/>
              </w:rPr>
              <w:t>6</w:t>
            </w:r>
            <w:r>
              <w:rPr>
                <w:rFonts w:hint="eastAsia" w:ascii="宋体" w:hAnsi="宋体" w:cs="宋体"/>
                <w:b w:val="0"/>
                <w:bCs w:val="0"/>
                <w:color w:val="auto"/>
                <w:sz w:val="24"/>
                <w:szCs w:val="24"/>
                <w:highlight w:val="none"/>
                <w:lang w:val="zh-CN" w:eastAsia="zh-CN" w:bidi="ar-SA"/>
              </w:rPr>
              <w:t>分；有质量保证计划及措施及质量控制流程，但内容缺乏合理性的得</w:t>
            </w:r>
            <w:r>
              <w:rPr>
                <w:rFonts w:hint="eastAsia" w:ascii="宋体" w:hAnsi="宋体" w:cs="宋体"/>
                <w:b w:val="0"/>
                <w:bCs w:val="0"/>
                <w:color w:val="auto"/>
                <w:sz w:val="24"/>
                <w:szCs w:val="24"/>
                <w:highlight w:val="none"/>
                <w:lang w:val="en-US" w:eastAsia="zh-CN" w:bidi="ar-SA"/>
              </w:rPr>
              <w:t>4</w:t>
            </w:r>
            <w:r>
              <w:rPr>
                <w:rFonts w:hint="eastAsia" w:ascii="宋体" w:hAnsi="宋体" w:cs="宋体"/>
                <w:b w:val="0"/>
                <w:bCs w:val="0"/>
                <w:color w:val="auto"/>
                <w:sz w:val="24"/>
                <w:szCs w:val="24"/>
                <w:highlight w:val="none"/>
                <w:lang w:val="zh-CN" w:eastAsia="zh-CN" w:bidi="ar-SA"/>
              </w:rPr>
              <w:t>分；质量保证计划措施，质量控制流程内容简单没有针对性的得</w:t>
            </w:r>
            <w:r>
              <w:rPr>
                <w:rFonts w:hint="eastAsia" w:ascii="宋体" w:hAnsi="宋体" w:cs="宋体"/>
                <w:b w:val="0"/>
                <w:bCs w:val="0"/>
                <w:color w:val="auto"/>
                <w:sz w:val="24"/>
                <w:szCs w:val="24"/>
                <w:highlight w:val="none"/>
                <w:lang w:val="en-US" w:eastAsia="zh-CN" w:bidi="ar-SA"/>
              </w:rPr>
              <w:t>2</w:t>
            </w:r>
            <w:r>
              <w:rPr>
                <w:rFonts w:hint="eastAsia" w:ascii="宋体" w:hAnsi="宋体" w:cs="宋体"/>
                <w:b w:val="0"/>
                <w:bCs w:val="0"/>
                <w:color w:val="auto"/>
                <w:sz w:val="24"/>
                <w:szCs w:val="24"/>
                <w:highlight w:val="none"/>
                <w:lang w:val="zh-CN" w:eastAsia="zh-CN" w:bidi="ar-SA"/>
              </w:rPr>
              <w:t>分；缺少质量保证计划及措施或质量控制流程内容，且没有合理性及针对性的得1分；未提供的不得分。</w:t>
            </w:r>
          </w:p>
          <w:p>
            <w:pPr>
              <w:pStyle w:val="22"/>
              <w:widowControl/>
              <w:numPr>
                <w:ilvl w:val="0"/>
                <w:numId w:val="0"/>
              </w:numPr>
              <w:spacing w:before="0" w:beforeAutospacing="0" w:after="0" w:afterAutospacing="0" w:line="360" w:lineRule="auto"/>
              <w:ind w:left="0" w:leftChars="0" w:right="0" w:rightChars="0" w:firstLine="0" w:firstLineChars="0"/>
              <w:jc w:val="both"/>
              <w:rPr>
                <w:rFonts w:hint="default" w:ascii="宋体" w:hAnsi="宋体" w:cs="宋体"/>
                <w:color w:val="FF0000"/>
                <w:sz w:val="24"/>
                <w:szCs w:val="24"/>
                <w:highlight w:val="none"/>
                <w:lang w:val="en-US" w:eastAsia="zh-CN" w:bidi="ar-SA"/>
              </w:rPr>
            </w:pPr>
            <w:r>
              <w:rPr>
                <w:rFonts w:hint="eastAsia" w:ascii="宋体" w:hAnsi="宋体" w:cs="宋体"/>
                <w:b/>
                <w:bCs/>
                <w:color w:val="auto"/>
                <w:sz w:val="24"/>
                <w:szCs w:val="24"/>
                <w:highlight w:val="none"/>
                <w:lang w:val="zh-CN" w:eastAsia="zh-CN" w:bidi="ar-SA"/>
              </w:rPr>
              <w:t>（</w:t>
            </w:r>
            <w:r>
              <w:rPr>
                <w:rFonts w:hint="eastAsia" w:ascii="宋体" w:hAnsi="宋体" w:cs="宋体"/>
                <w:b/>
                <w:bCs/>
                <w:color w:val="auto"/>
                <w:sz w:val="24"/>
                <w:szCs w:val="24"/>
                <w:highlight w:val="none"/>
                <w:lang w:val="en-US" w:eastAsia="zh-CN" w:bidi="ar-SA"/>
              </w:rPr>
              <w:t>4</w:t>
            </w:r>
            <w:r>
              <w:rPr>
                <w:rFonts w:hint="eastAsia" w:ascii="宋体" w:hAnsi="宋体" w:cs="宋体"/>
                <w:b/>
                <w:bCs/>
                <w:color w:val="auto"/>
                <w:sz w:val="24"/>
                <w:szCs w:val="24"/>
                <w:highlight w:val="none"/>
                <w:lang w:val="zh-CN" w:eastAsia="zh-CN" w:bidi="ar-SA"/>
              </w:rPr>
              <w:t>）供货及配送措施（</w:t>
            </w:r>
            <w:r>
              <w:rPr>
                <w:rFonts w:hint="eastAsia" w:ascii="宋体" w:hAnsi="宋体" w:cs="宋体"/>
                <w:b/>
                <w:bCs/>
                <w:color w:val="auto"/>
                <w:sz w:val="24"/>
                <w:szCs w:val="24"/>
                <w:highlight w:val="none"/>
                <w:lang w:val="en-US" w:eastAsia="zh-CN" w:bidi="ar-SA"/>
              </w:rPr>
              <w:t>6</w:t>
            </w:r>
            <w:r>
              <w:rPr>
                <w:rFonts w:hint="eastAsia" w:ascii="宋体" w:hAnsi="宋体" w:cs="宋体"/>
                <w:b/>
                <w:bCs/>
                <w:color w:val="auto"/>
                <w:sz w:val="24"/>
                <w:szCs w:val="24"/>
                <w:highlight w:val="none"/>
                <w:lang w:val="zh-CN" w:eastAsia="zh-CN" w:bidi="ar-SA"/>
              </w:rPr>
              <w:t>分）：</w:t>
            </w:r>
            <w:r>
              <w:rPr>
                <w:rFonts w:hint="eastAsia" w:ascii="宋体" w:hAnsi="宋体" w:cs="宋体"/>
                <w:b w:val="0"/>
                <w:bCs w:val="0"/>
                <w:color w:val="auto"/>
                <w:sz w:val="24"/>
                <w:szCs w:val="24"/>
                <w:highlight w:val="none"/>
                <w:lang w:val="zh-CN" w:eastAsia="zh-CN" w:bidi="ar-SA"/>
              </w:rPr>
              <w:t>针对本次项目特点，投标人需求制定相应的供货、 配送、搬运、技术指导服务等保证本次采购项目顺利高质量完成的相关措施，措施合理、时效性高、针对性强、安全性高的得</w:t>
            </w:r>
            <w:r>
              <w:rPr>
                <w:rFonts w:hint="eastAsia" w:ascii="宋体" w:hAnsi="宋体" w:cs="宋体"/>
                <w:b w:val="0"/>
                <w:bCs w:val="0"/>
                <w:color w:val="auto"/>
                <w:sz w:val="24"/>
                <w:szCs w:val="24"/>
                <w:highlight w:val="none"/>
                <w:lang w:val="en-US" w:eastAsia="zh-CN" w:bidi="ar-SA"/>
              </w:rPr>
              <w:t>6</w:t>
            </w:r>
            <w:r>
              <w:rPr>
                <w:rFonts w:hint="eastAsia" w:ascii="宋体" w:hAnsi="宋体" w:cs="宋体"/>
                <w:b w:val="0"/>
                <w:bCs w:val="0"/>
                <w:color w:val="auto"/>
                <w:sz w:val="24"/>
                <w:szCs w:val="24"/>
                <w:highlight w:val="none"/>
                <w:lang w:val="zh-CN" w:eastAsia="zh-CN" w:bidi="ar-SA"/>
              </w:rPr>
              <w:t>分，措施合理、有时效性、针对性、安全性的得</w:t>
            </w:r>
            <w:r>
              <w:rPr>
                <w:rFonts w:hint="eastAsia" w:ascii="宋体" w:hAnsi="宋体" w:cs="宋体"/>
                <w:b w:val="0"/>
                <w:bCs w:val="0"/>
                <w:color w:val="auto"/>
                <w:sz w:val="24"/>
                <w:szCs w:val="24"/>
                <w:highlight w:val="none"/>
                <w:lang w:val="en-US" w:eastAsia="zh-CN" w:bidi="ar-SA"/>
              </w:rPr>
              <w:t>4</w:t>
            </w:r>
            <w:r>
              <w:rPr>
                <w:rFonts w:hint="eastAsia" w:ascii="宋体" w:hAnsi="宋体" w:cs="宋体"/>
                <w:b w:val="0"/>
                <w:bCs w:val="0"/>
                <w:color w:val="auto"/>
                <w:sz w:val="24"/>
                <w:szCs w:val="24"/>
                <w:highlight w:val="none"/>
                <w:lang w:val="zh-CN" w:eastAsia="zh-CN" w:bidi="ar-SA"/>
              </w:rPr>
              <w:t>分；措施合理、但没有时效性、针对性、安全性的得</w:t>
            </w:r>
            <w:r>
              <w:rPr>
                <w:rFonts w:hint="eastAsia" w:ascii="宋体" w:hAnsi="宋体" w:cs="宋体"/>
                <w:b w:val="0"/>
                <w:bCs w:val="0"/>
                <w:color w:val="auto"/>
                <w:sz w:val="24"/>
                <w:szCs w:val="24"/>
                <w:highlight w:val="none"/>
                <w:lang w:val="en-US" w:eastAsia="zh-CN" w:bidi="ar-SA"/>
              </w:rPr>
              <w:t>2</w:t>
            </w:r>
            <w:r>
              <w:rPr>
                <w:rFonts w:hint="eastAsia" w:ascii="宋体" w:hAnsi="宋体" w:cs="宋体"/>
                <w:b w:val="0"/>
                <w:bCs w:val="0"/>
                <w:color w:val="auto"/>
                <w:sz w:val="24"/>
                <w:szCs w:val="24"/>
                <w:highlight w:val="none"/>
                <w:lang w:val="zh-CN" w:eastAsia="zh-CN" w:bidi="ar-SA"/>
              </w:rPr>
              <w:t>分；措施不合理，且没有时效性、针对性、安全性的得1分；未提供的不得分。</w:t>
            </w:r>
          </w:p>
        </w:tc>
      </w:tr>
      <w:tr>
        <w:tblPrEx>
          <w:tblCellMar>
            <w:top w:w="0" w:type="dxa"/>
            <w:left w:w="108" w:type="dxa"/>
            <w:bottom w:w="0" w:type="dxa"/>
            <w:right w:w="108" w:type="dxa"/>
          </w:tblCellMar>
        </w:tblPrEx>
        <w:trPr>
          <w:trHeight w:val="0" w:hRule="atLeast"/>
          <w:jc w:val="center"/>
        </w:trPr>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p>
        </w:tc>
        <w:tc>
          <w:tcPr>
            <w:tcW w:w="1253" w:type="dxa"/>
            <w:tcBorders>
              <w:top w:val="single" w:color="000000" w:sz="6" w:space="0"/>
              <w:left w:val="single" w:color="000000" w:sz="6" w:space="0"/>
              <w:bottom w:val="single" w:color="000000" w:sz="6" w:space="0"/>
              <w:right w:val="single" w:color="000000" w:sz="6" w:space="0"/>
            </w:tcBorders>
            <w:noWrap w:val="0"/>
            <w:vAlign w:val="center"/>
          </w:tcPr>
          <w:p>
            <w:pPr>
              <w:pStyle w:val="22"/>
              <w:widowControl/>
              <w:spacing w:before="0" w:beforeAutospacing="0" w:after="0" w:afterAutospacing="0" w:line="360" w:lineRule="auto"/>
              <w:ind w:left="0" w:leftChars="0" w:firstLine="0" w:firstLineChars="0"/>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售后服务</w:t>
            </w:r>
            <w:r>
              <w:rPr>
                <w:rFonts w:hint="eastAsia" w:ascii="宋体" w:hAnsi="宋体" w:eastAsia="宋体" w:cs="Times New Roman"/>
                <w:kern w:val="2"/>
                <w:sz w:val="24"/>
                <w:szCs w:val="24"/>
                <w:lang w:val="en-US" w:eastAsia="zh-CN" w:bidi="ar-SA"/>
              </w:rPr>
              <w:t>(8分)</w:t>
            </w:r>
          </w:p>
        </w:tc>
        <w:tc>
          <w:tcPr>
            <w:tcW w:w="6982"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left="0" w:leftChars="0" w:firstLine="0" w:firstLineChars="0"/>
              <w:rPr>
                <w:rFonts w:hint="eastAsia" w:ascii="宋体" w:hAnsi="宋体" w:cs="宋体"/>
                <w:color w:val="FF0000"/>
                <w:kern w:val="0"/>
                <w:sz w:val="24"/>
                <w:szCs w:val="24"/>
                <w:highlight w:val="none"/>
                <w:lang w:val="zh-CN" w:eastAsia="zh-CN" w:bidi="ar"/>
              </w:rPr>
            </w:pPr>
            <w:r>
              <w:rPr>
                <w:rFonts w:hint="eastAsia" w:ascii="宋体" w:hAnsi="宋体" w:eastAsia="宋体" w:cs="宋体"/>
                <w:b/>
                <w:bCs/>
                <w:color w:val="auto"/>
                <w:kern w:val="0"/>
                <w:sz w:val="24"/>
                <w:szCs w:val="24"/>
                <w:highlight w:val="none"/>
                <w:lang w:val="zh-CN" w:eastAsia="zh-CN" w:bidi="ar-SA"/>
              </w:rPr>
              <w:t>售后服务计划、措施及服务承诺（</w:t>
            </w:r>
            <w:r>
              <w:rPr>
                <w:rFonts w:hint="eastAsia" w:ascii="宋体" w:hAnsi="宋体" w:cs="宋体"/>
                <w:b/>
                <w:bCs/>
                <w:color w:val="auto"/>
                <w:kern w:val="0"/>
                <w:sz w:val="24"/>
                <w:szCs w:val="24"/>
                <w:highlight w:val="none"/>
                <w:lang w:val="en-US" w:eastAsia="zh-CN" w:bidi="ar-SA"/>
              </w:rPr>
              <w:t>8</w:t>
            </w:r>
            <w:r>
              <w:rPr>
                <w:rFonts w:hint="eastAsia" w:ascii="宋体" w:hAnsi="宋体" w:eastAsia="宋体" w:cs="宋体"/>
                <w:b/>
                <w:bCs/>
                <w:color w:val="auto"/>
                <w:kern w:val="0"/>
                <w:sz w:val="24"/>
                <w:szCs w:val="24"/>
                <w:highlight w:val="none"/>
                <w:lang w:val="zh-CN" w:eastAsia="zh-CN" w:bidi="ar-SA"/>
              </w:rPr>
              <w:t>分）：</w:t>
            </w:r>
            <w:r>
              <w:rPr>
                <w:rFonts w:hint="eastAsia" w:ascii="宋体" w:hAnsi="宋体"/>
              </w:rPr>
              <w:t>售后服务、培训方案完善、合理、切实可行，有完善的运行良好的售后服务网络、培训体系，最大程度满足本项目需要，保证措施切实可行，有明确的售后服务承诺的得8分；售后服务、培训方案合理、切实可行，有运行良好的售后服务网络、培训体系，满足本项目需要，有售后服务承诺的得5分；有售后服务、培训方案，有运行良好的售后服务网络、培训体系，基本满足本项目需要，有售后服务承诺的得2分。未提供不得分。</w:t>
            </w:r>
          </w:p>
        </w:tc>
      </w:tr>
    </w:tbl>
    <w:p>
      <w:pPr>
        <w:pStyle w:val="2"/>
        <w:rPr>
          <w:rFonts w:hint="eastAsia"/>
        </w:rPr>
      </w:pPr>
    </w:p>
    <w:p>
      <w:pPr>
        <w:autoSpaceDE w:val="0"/>
        <w:autoSpaceDN w:val="0"/>
        <w:spacing w:line="360" w:lineRule="auto"/>
        <w:ind w:firstLine="240" w:firstLineChars="100"/>
        <w:rPr>
          <w:rFonts w:hint="eastAsia" w:ascii="宋体" w:hAnsi="宋体" w:cs="宋体"/>
          <w:color w:val="auto"/>
          <w:shd w:val="clear" w:color="auto" w:fill="FFFFFF"/>
        </w:rPr>
      </w:pPr>
      <w:r>
        <w:rPr>
          <w:rFonts w:hint="eastAsia" w:ascii="宋体" w:hAnsi="宋体" w:cs="宋体"/>
          <w:color w:val="auto"/>
          <w:highlight w:val="none"/>
          <w:shd w:val="clear" w:color="auto" w:fill="FFFFFF"/>
        </w:rPr>
        <w:t xml:space="preserve">20.3 </w:t>
      </w:r>
      <w:r>
        <w:rPr>
          <w:rFonts w:hint="eastAsia" w:ascii="宋体" w:hAnsi="宋体" w:cs="宋体"/>
          <w:b/>
          <w:bCs/>
          <w:color w:val="auto"/>
          <w:highlight w:val="none"/>
          <w:shd w:val="clear" w:color="auto" w:fill="FFFFFF"/>
        </w:rPr>
        <w:t>采用综合评分法的</w:t>
      </w:r>
      <w:r>
        <w:rPr>
          <w:rFonts w:hint="eastAsia" w:ascii="宋体" w:hAnsi="宋体" w:cs="宋体"/>
          <w:color w:val="auto"/>
          <w:highlight w:val="none"/>
          <w:shd w:val="clear" w:color="auto" w:fill="FFFFFF"/>
        </w:rPr>
        <w:t>，评标结果按评审后得分由高到低顺序排列。</w:t>
      </w:r>
      <w:r>
        <w:rPr>
          <w:rFonts w:hint="eastAsia" w:ascii="宋体" w:hAnsi="宋体" w:cs="宋体"/>
          <w:color w:val="auto"/>
          <w:shd w:val="clear" w:color="auto" w:fill="FFFFFF"/>
        </w:rPr>
        <w:t>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为排名第一的中标候选人。</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（1）分值汇总计算错误的；</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（2）分项评分超出评分标准范围的；</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rPr>
        <w:t>评标报告签署前，经复核发现存在以上情形之一的，评标委员会应当当场修改评标结果，并在评标报告中记载；评标报告签署后，</w:t>
      </w:r>
      <w:r>
        <w:rPr>
          <w:rFonts w:hint="eastAsia" w:ascii="宋体" w:hAnsi="宋体" w:cs="宋体"/>
          <w:color w:val="auto"/>
          <w:shd w:val="clear" w:color="auto" w:fill="FFFFFF"/>
          <w:lang w:eastAsia="zh-CN"/>
        </w:rPr>
        <w:t>招标人</w:t>
      </w:r>
      <w:r>
        <w:rPr>
          <w:rFonts w:hint="eastAsia" w:ascii="宋体" w:hAnsi="宋体" w:cs="宋体"/>
          <w:color w:val="auto"/>
          <w:shd w:val="clear" w:color="auto" w:fill="FFFFFF"/>
        </w:rPr>
        <w:t>或者</w:t>
      </w:r>
      <w:r>
        <w:rPr>
          <w:rFonts w:hint="eastAsia" w:ascii="宋体" w:hAnsi="宋体" w:cs="宋体"/>
          <w:color w:val="auto"/>
          <w:shd w:val="clear" w:color="auto" w:fill="FFFFFF"/>
          <w:lang w:eastAsia="zh-CN"/>
        </w:rPr>
        <w:t>招标代理机构</w:t>
      </w:r>
      <w:r>
        <w:rPr>
          <w:rFonts w:hint="eastAsia" w:ascii="宋体" w:hAnsi="宋体" w:cs="宋体"/>
          <w:color w:val="auto"/>
          <w:shd w:val="clear" w:color="auto" w:fill="FFFFFF"/>
        </w:rPr>
        <w:t>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hd w:val="clear" w:color="auto" w:fill="FFFFFF"/>
          <w:lang w:eastAsia="zh-CN"/>
        </w:rPr>
        <w:t>投标人</w:t>
      </w:r>
      <w:r>
        <w:rPr>
          <w:rFonts w:hint="eastAsia" w:ascii="宋体" w:hAnsi="宋体" w:cs="宋体"/>
          <w:color w:val="auto"/>
          <w:shd w:val="clear" w:color="auto" w:fill="FFFFFF"/>
        </w:rPr>
        <w:t>对以上情形提出质疑的，</w:t>
      </w:r>
      <w:r>
        <w:rPr>
          <w:rFonts w:hint="eastAsia" w:ascii="宋体" w:hAnsi="宋体" w:cs="宋体"/>
          <w:color w:val="auto"/>
          <w:shd w:val="clear" w:color="auto" w:fill="FFFFFF"/>
          <w:lang w:eastAsia="zh-CN"/>
        </w:rPr>
        <w:t>招标人</w:t>
      </w:r>
      <w:r>
        <w:rPr>
          <w:rFonts w:hint="eastAsia" w:ascii="宋体" w:hAnsi="宋体" w:cs="宋体"/>
          <w:color w:val="auto"/>
          <w:shd w:val="clear" w:color="auto" w:fill="FFFFFF"/>
        </w:rPr>
        <w:t>或者</w:t>
      </w:r>
      <w:r>
        <w:rPr>
          <w:rFonts w:hint="eastAsia" w:ascii="宋体" w:hAnsi="宋体" w:cs="宋体"/>
          <w:color w:val="auto"/>
          <w:shd w:val="clear" w:color="auto" w:fill="FFFFFF"/>
          <w:lang w:eastAsia="zh-CN"/>
        </w:rPr>
        <w:t>招标代理机构</w:t>
      </w:r>
      <w:r>
        <w:rPr>
          <w:rFonts w:hint="eastAsia" w:ascii="宋体" w:hAnsi="宋体" w:cs="宋体"/>
          <w:color w:val="auto"/>
          <w:shd w:val="clear" w:color="auto" w:fill="FFFFFF"/>
        </w:rPr>
        <w:t>可以组织原评标委员会进行重新评审，重新评审改变评标结果的，应当书面报告本级财政部门。</w:t>
      </w:r>
    </w:p>
    <w:p>
      <w:pPr>
        <w:pStyle w:val="23"/>
        <w:spacing w:before="0" w:after="0" w:line="360" w:lineRule="auto"/>
        <w:rPr>
          <w:rFonts w:hint="eastAsia" w:ascii="宋体" w:hAnsi="宋体" w:cs="宋体"/>
          <w:color w:val="auto"/>
          <w:lang w:val="zh-CN"/>
        </w:rPr>
      </w:pPr>
      <w:bookmarkStart w:id="36" w:name="_Toc17946"/>
      <w:r>
        <w:rPr>
          <w:rFonts w:hint="eastAsia" w:ascii="宋体" w:hAnsi="宋体" w:cs="宋体"/>
          <w:color w:val="auto"/>
          <w:lang w:val="zh-CN"/>
        </w:rPr>
        <w:t>八、中标</w:t>
      </w:r>
      <w:bookmarkEnd w:id="36"/>
    </w:p>
    <w:p>
      <w:pPr>
        <w:pStyle w:val="23"/>
        <w:spacing w:before="0" w:after="0" w:line="360" w:lineRule="auto"/>
        <w:jc w:val="left"/>
        <w:rPr>
          <w:rFonts w:hint="eastAsia" w:ascii="宋体" w:hAnsi="宋体" w:cs="宋体"/>
          <w:color w:val="auto"/>
          <w:lang w:val="zh-CN"/>
        </w:rPr>
      </w:pPr>
      <w:bookmarkStart w:id="37" w:name="_Toc15417"/>
      <w:r>
        <w:rPr>
          <w:rFonts w:hint="eastAsia" w:ascii="宋体" w:hAnsi="宋体" w:cs="宋体"/>
          <w:color w:val="auto"/>
          <w:sz w:val="28"/>
          <w:szCs w:val="28"/>
          <w:lang w:val="zh-CN"/>
        </w:rPr>
        <w:t>2</w:t>
      </w:r>
      <w:r>
        <w:rPr>
          <w:rFonts w:hint="eastAsia" w:ascii="宋体" w:hAnsi="宋体" w:cs="宋体"/>
          <w:color w:val="auto"/>
          <w:sz w:val="28"/>
          <w:szCs w:val="28"/>
        </w:rPr>
        <w:t>1</w:t>
      </w:r>
      <w:r>
        <w:rPr>
          <w:rFonts w:hint="eastAsia" w:ascii="宋体" w:hAnsi="宋体" w:cs="宋体"/>
          <w:color w:val="auto"/>
          <w:sz w:val="28"/>
          <w:szCs w:val="28"/>
          <w:lang w:val="zh-CN"/>
        </w:rPr>
        <w:t>.推荐并确定中标人</w:t>
      </w:r>
      <w:bookmarkEnd w:id="37"/>
    </w:p>
    <w:p>
      <w:pPr>
        <w:autoSpaceDE w:val="0"/>
        <w:autoSpaceDN w:val="0"/>
        <w:spacing w:line="360" w:lineRule="auto"/>
        <w:ind w:firstLine="480" w:firstLineChars="200"/>
        <w:rPr>
          <w:rFonts w:hint="eastAsia" w:ascii="宋体" w:hAnsi="宋体" w:cs="宋体"/>
          <w:color w:val="auto"/>
        </w:rPr>
      </w:pPr>
      <w:r>
        <w:rPr>
          <w:rFonts w:hint="eastAsia" w:ascii="宋体" w:hAnsi="宋体" w:cs="宋体"/>
          <w:color w:val="auto"/>
        </w:rPr>
        <w:t xml:space="preserve">21.1 </w:t>
      </w:r>
      <w:r>
        <w:rPr>
          <w:rFonts w:hint="eastAsia" w:ascii="宋体" w:hAnsi="宋体" w:cs="宋体"/>
          <w:color w:val="auto"/>
          <w:lang w:eastAsia="zh-CN"/>
        </w:rPr>
        <w:t>招标代理机构</w:t>
      </w:r>
      <w:r>
        <w:rPr>
          <w:rFonts w:hint="eastAsia" w:ascii="宋体" w:hAnsi="宋体" w:cs="宋体"/>
          <w:color w:val="auto"/>
        </w:rPr>
        <w:t>应当在评标结束后2个工作日内将评标报告送</w:t>
      </w:r>
      <w:r>
        <w:rPr>
          <w:rFonts w:hint="eastAsia" w:ascii="宋体" w:hAnsi="宋体" w:cs="宋体"/>
          <w:color w:val="auto"/>
          <w:lang w:eastAsia="zh-CN"/>
        </w:rPr>
        <w:t>招标人</w:t>
      </w:r>
      <w:r>
        <w:rPr>
          <w:rFonts w:hint="eastAsia" w:ascii="宋体" w:hAnsi="宋体" w:cs="宋体"/>
          <w:color w:val="auto"/>
        </w:rPr>
        <w:t>。</w:t>
      </w:r>
      <w:r>
        <w:rPr>
          <w:rFonts w:hint="eastAsia" w:ascii="宋体" w:hAnsi="宋体" w:cs="宋体"/>
          <w:color w:val="auto"/>
          <w:lang w:eastAsia="zh-CN"/>
        </w:rPr>
        <w:t>招标人</w:t>
      </w:r>
      <w:r>
        <w:rPr>
          <w:rFonts w:hint="eastAsia" w:ascii="宋体" w:hAnsi="宋体" w:cs="宋体"/>
          <w:color w:val="auto"/>
        </w:rPr>
        <w:t>应当自收到评标报告之日起5个工作日内，在评标报告确定的中标候选人名单中按顺序确定中标人。中标候选人并列的，由</w:t>
      </w:r>
      <w:r>
        <w:rPr>
          <w:rFonts w:hint="eastAsia" w:ascii="宋体" w:hAnsi="宋体" w:cs="宋体"/>
          <w:color w:val="auto"/>
          <w:lang w:eastAsia="zh-CN"/>
        </w:rPr>
        <w:t>招标人</w:t>
      </w:r>
      <w:r>
        <w:rPr>
          <w:rFonts w:hint="eastAsia" w:ascii="宋体" w:hAnsi="宋体" w:cs="宋体"/>
          <w:color w:val="auto"/>
        </w:rPr>
        <w:t>或者</w:t>
      </w:r>
      <w:r>
        <w:rPr>
          <w:rFonts w:hint="eastAsia" w:ascii="宋体" w:hAnsi="宋体" w:cs="宋体"/>
          <w:color w:val="auto"/>
          <w:lang w:eastAsia="zh-CN"/>
        </w:rPr>
        <w:t>招标人</w:t>
      </w:r>
      <w:r>
        <w:rPr>
          <w:rFonts w:hint="eastAsia" w:ascii="宋体" w:hAnsi="宋体" w:cs="宋体"/>
          <w:color w:val="auto"/>
        </w:rPr>
        <w:t>委托评标委员会按照招标文件规定的方式确定中标人；招标文件未规定的，采取随机抽取的方式确定。</w:t>
      </w:r>
    </w:p>
    <w:p>
      <w:pPr>
        <w:autoSpaceDE w:val="0"/>
        <w:autoSpaceDN w:val="0"/>
        <w:spacing w:line="360" w:lineRule="auto"/>
        <w:ind w:firstLine="480" w:firstLineChars="200"/>
        <w:rPr>
          <w:rFonts w:hint="eastAsia" w:ascii="宋体" w:hAnsi="宋体" w:cs="宋体"/>
          <w:color w:val="auto"/>
        </w:rPr>
      </w:pPr>
      <w:r>
        <w:rPr>
          <w:rFonts w:hint="eastAsia" w:ascii="宋体" w:hAnsi="宋体" w:cs="宋体"/>
          <w:color w:val="auto"/>
        </w:rPr>
        <w:t xml:space="preserve">21.2 </w:t>
      </w:r>
      <w:r>
        <w:rPr>
          <w:rFonts w:hint="eastAsia" w:ascii="宋体" w:hAnsi="宋体" w:cs="宋体"/>
          <w:color w:val="auto"/>
          <w:lang w:eastAsia="zh-CN"/>
        </w:rPr>
        <w:t>招标人</w:t>
      </w:r>
      <w:r>
        <w:rPr>
          <w:rFonts w:hint="eastAsia" w:ascii="宋体" w:hAnsi="宋体" w:cs="宋体"/>
          <w:color w:val="auto"/>
        </w:rPr>
        <w:t>自行组织招标的，应当在评标结束后5个工作日内确定中标人。</w:t>
      </w:r>
    </w:p>
    <w:p>
      <w:pPr>
        <w:autoSpaceDE w:val="0"/>
        <w:autoSpaceDN w:val="0"/>
        <w:spacing w:line="360" w:lineRule="auto"/>
        <w:ind w:firstLine="480" w:firstLineChars="200"/>
        <w:rPr>
          <w:rFonts w:hint="eastAsia" w:ascii="宋体" w:hAnsi="宋体" w:cs="宋体"/>
          <w:color w:val="auto"/>
        </w:rPr>
      </w:pPr>
      <w:r>
        <w:rPr>
          <w:rFonts w:hint="eastAsia" w:ascii="宋体" w:hAnsi="宋体" w:cs="宋体"/>
          <w:color w:val="auto"/>
        </w:rPr>
        <w:t xml:space="preserve">21.3 </w:t>
      </w:r>
      <w:r>
        <w:rPr>
          <w:rFonts w:hint="eastAsia" w:ascii="宋体" w:hAnsi="宋体" w:cs="宋体"/>
          <w:color w:val="auto"/>
          <w:lang w:eastAsia="zh-CN"/>
        </w:rPr>
        <w:t>招标人</w:t>
      </w:r>
      <w:r>
        <w:rPr>
          <w:rFonts w:hint="eastAsia" w:ascii="宋体" w:hAnsi="宋体" w:cs="宋体"/>
          <w:color w:val="auto"/>
        </w:rPr>
        <w:t>在收到评标报告5个工作日内未按评标报告推荐的中标候选人顺序确定中标人，又不能说明合法理由的，视同按评标报告推荐的顺序确定排名第一的中标候选人为中标人。</w:t>
      </w:r>
    </w:p>
    <w:p>
      <w:pPr>
        <w:pStyle w:val="23"/>
        <w:spacing w:before="0" w:after="0" w:line="360" w:lineRule="auto"/>
        <w:jc w:val="left"/>
        <w:rPr>
          <w:rFonts w:hint="eastAsia" w:ascii="宋体" w:hAnsi="宋体" w:cs="宋体"/>
          <w:color w:val="auto"/>
          <w:lang w:val="zh-CN"/>
        </w:rPr>
      </w:pPr>
      <w:bookmarkStart w:id="38" w:name="_Toc19450"/>
      <w:r>
        <w:rPr>
          <w:rFonts w:hint="eastAsia" w:ascii="宋体" w:hAnsi="宋体" w:cs="宋体"/>
          <w:color w:val="auto"/>
          <w:sz w:val="28"/>
          <w:szCs w:val="28"/>
          <w:lang w:val="zh-CN"/>
        </w:rPr>
        <w:t>2</w:t>
      </w:r>
      <w:r>
        <w:rPr>
          <w:rFonts w:hint="eastAsia" w:ascii="宋体" w:hAnsi="宋体" w:cs="宋体"/>
          <w:color w:val="auto"/>
          <w:sz w:val="28"/>
          <w:szCs w:val="28"/>
        </w:rPr>
        <w:t>2</w:t>
      </w:r>
      <w:r>
        <w:rPr>
          <w:rFonts w:hint="eastAsia" w:ascii="宋体" w:hAnsi="宋体" w:cs="宋体"/>
          <w:color w:val="auto"/>
          <w:sz w:val="28"/>
          <w:szCs w:val="28"/>
          <w:lang w:val="zh-CN"/>
        </w:rPr>
        <w:t>.中标通知</w:t>
      </w:r>
      <w:bookmarkEnd w:id="38"/>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 xml:space="preserve">22.1 </w:t>
      </w:r>
      <w:r>
        <w:rPr>
          <w:rFonts w:hint="eastAsia" w:ascii="宋体" w:hAnsi="宋体" w:cs="宋体"/>
          <w:color w:val="auto"/>
          <w:kern w:val="0"/>
          <w:lang w:eastAsia="zh-CN"/>
        </w:rPr>
        <w:t>招标人</w:t>
      </w:r>
      <w:r>
        <w:rPr>
          <w:rFonts w:hint="eastAsia" w:ascii="宋体" w:hAnsi="宋体" w:cs="宋体"/>
          <w:color w:val="auto"/>
          <w:kern w:val="0"/>
        </w:rPr>
        <w:t>或者</w:t>
      </w:r>
      <w:r>
        <w:rPr>
          <w:rFonts w:hint="eastAsia" w:ascii="宋体" w:hAnsi="宋体" w:cs="宋体"/>
          <w:color w:val="auto"/>
          <w:kern w:val="0"/>
          <w:lang w:eastAsia="zh-CN"/>
        </w:rPr>
        <w:t>招标代理机构</w:t>
      </w:r>
      <w:r>
        <w:rPr>
          <w:rFonts w:hint="eastAsia" w:ascii="宋体" w:hAnsi="宋体" w:cs="宋体"/>
          <w:color w:val="auto"/>
          <w:kern w:val="0"/>
        </w:rPr>
        <w:t>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22.2 中标结果公告内容应当包括</w:t>
      </w:r>
      <w:r>
        <w:rPr>
          <w:rFonts w:hint="eastAsia" w:ascii="宋体" w:hAnsi="宋体" w:cs="宋体"/>
          <w:color w:val="auto"/>
          <w:kern w:val="0"/>
          <w:lang w:eastAsia="zh-CN"/>
        </w:rPr>
        <w:t>招标人</w:t>
      </w:r>
      <w:r>
        <w:rPr>
          <w:rFonts w:hint="eastAsia" w:ascii="宋体" w:hAnsi="宋体" w:cs="宋体"/>
          <w:color w:val="auto"/>
          <w:kern w:val="0"/>
        </w:rPr>
        <w:t>及其委托的</w:t>
      </w:r>
      <w:r>
        <w:rPr>
          <w:rFonts w:hint="eastAsia" w:ascii="宋体" w:hAnsi="宋体" w:cs="宋体"/>
          <w:color w:val="auto"/>
          <w:kern w:val="0"/>
          <w:lang w:eastAsia="zh-CN"/>
        </w:rPr>
        <w:t>招标代理机构</w:t>
      </w:r>
      <w:r>
        <w:rPr>
          <w:rFonts w:hint="eastAsia" w:ascii="宋体" w:hAnsi="宋体" w:cs="宋体"/>
          <w:color w:val="auto"/>
          <w:kern w:val="0"/>
        </w:rPr>
        <w:t>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22.3 中标公告期限为</w:t>
      </w:r>
      <w:r>
        <w:rPr>
          <w:rFonts w:hint="eastAsia" w:ascii="宋体" w:hAnsi="宋体" w:cs="宋体"/>
          <w:color w:val="auto"/>
          <w:kern w:val="0"/>
          <w:lang w:val="en-US" w:eastAsia="zh-CN"/>
        </w:rPr>
        <w:t>5</w:t>
      </w:r>
      <w:r>
        <w:rPr>
          <w:rFonts w:hint="eastAsia" w:ascii="宋体" w:hAnsi="宋体" w:cs="宋体"/>
          <w:color w:val="auto"/>
          <w:kern w:val="0"/>
        </w:rPr>
        <w:t>个工作日。</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22.4 在公告中标结果的同时，</w:t>
      </w:r>
      <w:r>
        <w:rPr>
          <w:rFonts w:hint="eastAsia" w:ascii="宋体" w:hAnsi="宋体" w:cs="宋体"/>
          <w:color w:val="auto"/>
          <w:kern w:val="0"/>
          <w:lang w:eastAsia="zh-CN"/>
        </w:rPr>
        <w:t>招标代理机构</w:t>
      </w:r>
      <w:r>
        <w:rPr>
          <w:rFonts w:hint="eastAsia" w:ascii="宋体" w:hAnsi="宋体" w:cs="宋体"/>
          <w:color w:val="auto"/>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22.5 中标通知书发出后，</w:t>
      </w:r>
      <w:r>
        <w:rPr>
          <w:rFonts w:hint="eastAsia" w:ascii="宋体" w:hAnsi="宋体" w:cs="宋体"/>
          <w:color w:val="auto"/>
          <w:kern w:val="0"/>
          <w:lang w:eastAsia="zh-CN"/>
        </w:rPr>
        <w:t>招标人</w:t>
      </w:r>
      <w:r>
        <w:rPr>
          <w:rFonts w:hint="eastAsia" w:ascii="宋体" w:hAnsi="宋体" w:cs="宋体"/>
          <w:color w:val="auto"/>
          <w:kern w:val="0"/>
        </w:rPr>
        <w:t>不得违法改变中标结果，中标人无正当理由不得放弃中标。</w:t>
      </w:r>
    </w:p>
    <w:p>
      <w:pPr>
        <w:pStyle w:val="23"/>
        <w:spacing w:before="0" w:after="0" w:line="360" w:lineRule="auto"/>
        <w:rPr>
          <w:rFonts w:hint="eastAsia" w:ascii="宋体" w:hAnsi="宋体" w:cs="宋体"/>
          <w:color w:val="auto"/>
          <w:lang w:val="zh-CN"/>
        </w:rPr>
      </w:pPr>
      <w:bookmarkStart w:id="39" w:name="_Toc15308"/>
      <w:r>
        <w:rPr>
          <w:rFonts w:hint="eastAsia" w:ascii="宋体" w:hAnsi="宋体" w:cs="宋体"/>
          <w:color w:val="auto"/>
          <w:lang w:val="zh-CN"/>
        </w:rPr>
        <w:t>九、授予合同</w:t>
      </w:r>
      <w:bookmarkEnd w:id="39"/>
    </w:p>
    <w:p>
      <w:pPr>
        <w:pStyle w:val="23"/>
        <w:spacing w:before="0" w:after="0" w:line="360" w:lineRule="auto"/>
        <w:jc w:val="left"/>
        <w:rPr>
          <w:rFonts w:hint="eastAsia" w:ascii="宋体" w:hAnsi="宋体" w:cs="宋体"/>
          <w:color w:val="auto"/>
          <w:kern w:val="0"/>
          <w:sz w:val="24"/>
        </w:rPr>
      </w:pPr>
      <w:bookmarkStart w:id="40" w:name="_Toc28360"/>
      <w:r>
        <w:rPr>
          <w:rFonts w:hint="eastAsia" w:ascii="宋体" w:hAnsi="宋体" w:cs="宋体"/>
          <w:color w:val="auto"/>
          <w:sz w:val="28"/>
          <w:szCs w:val="28"/>
          <w:lang w:val="zh-CN"/>
        </w:rPr>
        <w:t>2</w:t>
      </w:r>
      <w:r>
        <w:rPr>
          <w:rFonts w:hint="eastAsia" w:ascii="宋体" w:hAnsi="宋体" w:cs="宋体"/>
          <w:color w:val="auto"/>
          <w:sz w:val="28"/>
          <w:szCs w:val="28"/>
        </w:rPr>
        <w:t>3</w:t>
      </w:r>
      <w:r>
        <w:rPr>
          <w:rFonts w:hint="eastAsia" w:ascii="宋体" w:hAnsi="宋体" w:cs="宋体"/>
          <w:color w:val="auto"/>
          <w:sz w:val="28"/>
          <w:szCs w:val="28"/>
          <w:lang w:val="zh-CN"/>
        </w:rPr>
        <w:t>.签订合同</w:t>
      </w:r>
      <w:bookmarkEnd w:id="40"/>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.1</w:t>
      </w:r>
      <w:r>
        <w:rPr>
          <w:rFonts w:hint="eastAsia" w:ascii="宋体" w:hAnsi="宋体" w:cs="宋体"/>
          <w:color w:val="auto"/>
          <w:kern w:val="0"/>
        </w:rPr>
        <w:t xml:space="preserve"> </w:t>
      </w:r>
      <w:r>
        <w:rPr>
          <w:rFonts w:hint="eastAsia" w:ascii="宋体" w:hAnsi="宋体" w:cs="宋体"/>
          <w:color w:val="auto"/>
          <w:kern w:val="0"/>
          <w:lang w:eastAsia="zh-CN"/>
        </w:rPr>
        <w:t>招标人</w:t>
      </w:r>
      <w:r>
        <w:rPr>
          <w:rFonts w:hint="eastAsia" w:ascii="宋体" w:hAnsi="宋体" w:cs="宋体"/>
          <w:color w:val="auto"/>
          <w:kern w:val="0"/>
        </w:rPr>
        <w:t>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lang w:eastAsia="zh-CN"/>
        </w:rPr>
        <w:t>招标人</w:t>
      </w:r>
      <w:r>
        <w:rPr>
          <w:rFonts w:hint="eastAsia" w:ascii="宋体" w:hAnsi="宋体" w:cs="宋体"/>
          <w:color w:val="auto"/>
          <w:kern w:val="0"/>
        </w:rPr>
        <w:t>不得向中标人提出任何不合理的要求作为签订合同的条件。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w:t>
      </w:r>
      <w:r>
        <w:rPr>
          <w:rFonts w:hint="eastAsia" w:ascii="宋体" w:hAnsi="宋体" w:cs="宋体"/>
          <w:color w:val="auto"/>
          <w:kern w:val="0"/>
          <w:lang w:val="en-US" w:eastAsia="zh-CN"/>
        </w:rPr>
        <w:t>2</w:t>
      </w:r>
      <w:r>
        <w:rPr>
          <w:rFonts w:hint="eastAsia" w:ascii="宋体" w:hAnsi="宋体" w:cs="宋体"/>
          <w:color w:val="auto"/>
          <w:kern w:val="0"/>
        </w:rPr>
        <w:t xml:space="preserve"> 中标人拒绝与</w:t>
      </w:r>
      <w:r>
        <w:rPr>
          <w:rFonts w:hint="eastAsia" w:ascii="宋体" w:hAnsi="宋体" w:cs="宋体"/>
          <w:color w:val="auto"/>
          <w:kern w:val="0"/>
          <w:lang w:eastAsia="zh-CN"/>
        </w:rPr>
        <w:t>招标人</w:t>
      </w:r>
      <w:r>
        <w:rPr>
          <w:rFonts w:hint="eastAsia" w:ascii="宋体" w:hAnsi="宋体" w:cs="宋体"/>
          <w:color w:val="auto"/>
          <w:kern w:val="0"/>
        </w:rPr>
        <w:t>签订合同的</w:t>
      </w:r>
      <w:r>
        <w:rPr>
          <w:rFonts w:hint="eastAsia" w:ascii="宋体" w:hAnsi="宋体" w:cs="宋体"/>
          <w:color w:val="auto"/>
          <w:kern w:val="0"/>
          <w:lang w:val="zh-CN"/>
        </w:rPr>
        <w:t>，招标人可以按照评标报告推荐的中标候选人名单排序，确定下一候选人为中标人，也可重新开展政府采购活动。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2</w:t>
      </w:r>
      <w:r>
        <w:rPr>
          <w:rFonts w:hint="eastAsia" w:ascii="宋体" w:hAnsi="宋体" w:cs="宋体"/>
          <w:color w:val="auto"/>
          <w:kern w:val="0"/>
        </w:rPr>
        <w:t>3</w:t>
      </w:r>
      <w:r>
        <w:rPr>
          <w:rFonts w:hint="eastAsia" w:ascii="宋体" w:hAnsi="宋体" w:cs="宋体"/>
          <w:color w:val="auto"/>
          <w:kern w:val="0"/>
          <w:lang w:val="zh-CN"/>
        </w:rPr>
        <w:t>.</w:t>
      </w:r>
      <w:r>
        <w:rPr>
          <w:rFonts w:hint="eastAsia" w:ascii="宋体" w:hAnsi="宋体" w:cs="宋体"/>
          <w:color w:val="auto"/>
          <w:kern w:val="0"/>
          <w:lang w:val="en-US" w:eastAsia="zh-CN"/>
        </w:rPr>
        <w:t>3</w:t>
      </w:r>
      <w:r>
        <w:rPr>
          <w:rFonts w:hint="eastAsia" w:ascii="宋体" w:hAnsi="宋体" w:cs="宋体"/>
          <w:color w:val="auto"/>
          <w:kern w:val="0"/>
          <w:lang w:bidi="ar"/>
        </w:rPr>
        <w:t xml:space="preserve"> </w:t>
      </w:r>
      <w:r>
        <w:rPr>
          <w:rFonts w:hint="eastAsia" w:ascii="宋体" w:hAnsi="宋体" w:cs="宋体"/>
          <w:color w:val="auto"/>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22.</w:t>
      </w:r>
      <w:r>
        <w:rPr>
          <w:rFonts w:hint="eastAsia" w:ascii="宋体" w:hAnsi="宋体" w:cs="宋体"/>
          <w:color w:val="auto"/>
          <w:kern w:val="0"/>
          <w:lang w:val="en-US" w:eastAsia="zh-CN"/>
        </w:rPr>
        <w:t xml:space="preserve">4 </w:t>
      </w:r>
      <w:r>
        <w:rPr>
          <w:rFonts w:hint="eastAsia" w:ascii="宋体" w:hAnsi="宋体" w:cs="宋体"/>
          <w:color w:val="auto"/>
          <w:kern w:val="0"/>
          <w:lang w:val="zh-CN"/>
        </w:rPr>
        <w:t>采购合同签订之日起</w:t>
      </w:r>
      <w:r>
        <w:rPr>
          <w:rFonts w:hint="eastAsia" w:ascii="宋体" w:hAnsi="宋体" w:cs="宋体"/>
          <w:color w:val="auto"/>
          <w:kern w:val="0"/>
        </w:rPr>
        <w:t>2</w:t>
      </w:r>
      <w:r>
        <w:rPr>
          <w:rFonts w:hint="eastAsia" w:ascii="宋体" w:hAnsi="宋体" w:cs="宋体"/>
          <w:color w:val="auto"/>
          <w:kern w:val="0"/>
          <w:lang w:val="zh-CN"/>
        </w:rPr>
        <w:t>个工作日内，由招标人将采购合同在青海政府采购网上公告，但采购合同中涉及国家秘密、商业秘密的内容除外。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23.</w:t>
      </w:r>
      <w:r>
        <w:rPr>
          <w:rFonts w:hint="eastAsia" w:ascii="宋体" w:hAnsi="宋体" w:cs="宋体"/>
          <w:color w:val="auto"/>
          <w:kern w:val="0"/>
          <w:lang w:val="en-US" w:eastAsia="zh-CN"/>
        </w:rPr>
        <w:t>5</w:t>
      </w:r>
      <w:r>
        <w:rPr>
          <w:rFonts w:hint="eastAsia" w:ascii="宋体" w:hAnsi="宋体" w:cs="宋体"/>
          <w:color w:val="auto"/>
          <w:kern w:val="0"/>
        </w:rPr>
        <w:t xml:space="preserve"> </w:t>
      </w:r>
      <w:r>
        <w:rPr>
          <w:rFonts w:hint="eastAsia" w:ascii="宋体" w:hAnsi="宋体" w:cs="宋体"/>
          <w:color w:val="auto"/>
          <w:kern w:val="0"/>
          <w:lang w:eastAsia="zh-CN"/>
        </w:rPr>
        <w:t>招标人</w:t>
      </w:r>
      <w:r>
        <w:rPr>
          <w:rFonts w:hint="eastAsia" w:ascii="宋体" w:hAnsi="宋体" w:cs="宋体"/>
          <w:color w:val="auto"/>
          <w:kern w:val="0"/>
        </w:rPr>
        <w:t>与中标人应当根据合同的约定依法履行合同义务。政府采购合同的履行、违约责任和解决争议的方法等适用《中华人民共和国</w:t>
      </w:r>
      <w:r>
        <w:rPr>
          <w:rFonts w:hint="eastAsia" w:ascii="宋体" w:hAnsi="宋体" w:cs="宋体"/>
          <w:color w:val="auto"/>
          <w:kern w:val="0"/>
          <w:lang w:eastAsia="zh-CN"/>
        </w:rPr>
        <w:t>民法典</w:t>
      </w:r>
      <w:r>
        <w:rPr>
          <w:rFonts w:hint="eastAsia" w:ascii="宋体" w:hAnsi="宋体" w:cs="宋体"/>
          <w:color w:val="auto"/>
          <w:kern w:val="0"/>
        </w:rPr>
        <w:t>》。</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23.</w:t>
      </w:r>
      <w:r>
        <w:rPr>
          <w:rFonts w:hint="eastAsia" w:ascii="宋体" w:hAnsi="宋体" w:cs="宋体"/>
          <w:color w:val="auto"/>
          <w:kern w:val="0"/>
          <w:lang w:val="en-US" w:eastAsia="zh-CN"/>
        </w:rPr>
        <w:t>6</w:t>
      </w:r>
      <w:r>
        <w:rPr>
          <w:rFonts w:hint="eastAsia" w:ascii="宋体" w:hAnsi="宋体" w:cs="宋体"/>
          <w:color w:val="auto"/>
          <w:kern w:val="0"/>
        </w:rPr>
        <w:t xml:space="preserve"> </w:t>
      </w:r>
      <w:r>
        <w:rPr>
          <w:rFonts w:hint="eastAsia" w:ascii="宋体" w:hAnsi="宋体" w:cs="宋体"/>
          <w:color w:val="auto"/>
          <w:kern w:val="0"/>
          <w:lang w:eastAsia="zh-CN"/>
        </w:rPr>
        <w:t>招标人</w:t>
      </w:r>
      <w:r>
        <w:rPr>
          <w:rFonts w:hint="eastAsia" w:ascii="宋体" w:hAnsi="宋体" w:cs="宋体"/>
          <w:color w:val="auto"/>
          <w:kern w:val="0"/>
        </w:rPr>
        <w:t>应当及时对采购项目进行验收。</w:t>
      </w:r>
      <w:r>
        <w:rPr>
          <w:rFonts w:hint="eastAsia" w:ascii="宋体" w:hAnsi="宋体" w:cs="宋体"/>
          <w:color w:val="auto"/>
          <w:kern w:val="0"/>
          <w:lang w:eastAsia="zh-CN"/>
        </w:rPr>
        <w:t>招标人</w:t>
      </w:r>
      <w:r>
        <w:rPr>
          <w:rFonts w:hint="eastAsia" w:ascii="宋体" w:hAnsi="宋体" w:cs="宋体"/>
          <w:color w:val="auto"/>
          <w:kern w:val="0"/>
        </w:rPr>
        <w:t>可以邀请参加本项目的其他</w:t>
      </w:r>
      <w:r>
        <w:rPr>
          <w:rFonts w:hint="eastAsia" w:ascii="宋体" w:hAnsi="宋体" w:cs="宋体"/>
          <w:color w:val="auto"/>
          <w:kern w:val="0"/>
          <w:lang w:eastAsia="zh-CN"/>
        </w:rPr>
        <w:t>投标人</w:t>
      </w:r>
      <w:r>
        <w:rPr>
          <w:rFonts w:hint="eastAsia" w:ascii="宋体" w:hAnsi="宋体" w:cs="宋体"/>
          <w:color w:val="auto"/>
          <w:kern w:val="0"/>
        </w:rPr>
        <w:t>或者第三方机构参与验收。参与验收的</w:t>
      </w:r>
      <w:r>
        <w:rPr>
          <w:rFonts w:hint="eastAsia" w:ascii="宋体" w:hAnsi="宋体" w:cs="宋体"/>
          <w:color w:val="auto"/>
          <w:kern w:val="0"/>
          <w:lang w:eastAsia="zh-CN"/>
        </w:rPr>
        <w:t>投标人</w:t>
      </w:r>
      <w:r>
        <w:rPr>
          <w:rFonts w:hint="eastAsia" w:ascii="宋体" w:hAnsi="宋体" w:cs="宋体"/>
          <w:color w:val="auto"/>
          <w:kern w:val="0"/>
        </w:rPr>
        <w:t>或者第三方机构的意见作为验收书的参考资料一并存档。</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23.</w:t>
      </w:r>
      <w:r>
        <w:rPr>
          <w:rFonts w:hint="eastAsia" w:ascii="宋体" w:hAnsi="宋体" w:cs="宋体"/>
          <w:color w:val="auto"/>
          <w:kern w:val="0"/>
          <w:lang w:val="en-US" w:eastAsia="zh-CN"/>
        </w:rPr>
        <w:t>7</w:t>
      </w:r>
      <w:r>
        <w:rPr>
          <w:rFonts w:hint="eastAsia" w:ascii="宋体" w:hAnsi="宋体" w:cs="宋体"/>
          <w:color w:val="auto"/>
          <w:kern w:val="0"/>
        </w:rPr>
        <w:t xml:space="preserve"> </w:t>
      </w:r>
      <w:r>
        <w:rPr>
          <w:rFonts w:hint="eastAsia" w:ascii="宋体" w:hAnsi="宋体" w:cs="宋体"/>
          <w:color w:val="auto"/>
          <w:kern w:val="0"/>
          <w:lang w:eastAsia="zh-CN"/>
        </w:rPr>
        <w:t>招标人</w:t>
      </w:r>
      <w:r>
        <w:rPr>
          <w:rFonts w:hint="eastAsia" w:ascii="宋体" w:hAnsi="宋体" w:cs="宋体"/>
          <w:color w:val="auto"/>
          <w:kern w:val="0"/>
        </w:rPr>
        <w:t>应当加强对中标人的履约管理，并按照采购合同约定，及时向中标人支付采购资金。对于中标人违反采购合同约定的行为，</w:t>
      </w:r>
      <w:r>
        <w:rPr>
          <w:rFonts w:hint="eastAsia" w:ascii="宋体" w:hAnsi="宋体" w:cs="宋体"/>
          <w:color w:val="auto"/>
          <w:kern w:val="0"/>
          <w:lang w:eastAsia="zh-CN"/>
        </w:rPr>
        <w:t>招标人</w:t>
      </w:r>
      <w:r>
        <w:rPr>
          <w:rFonts w:hint="eastAsia" w:ascii="宋体" w:hAnsi="宋体" w:cs="宋体"/>
          <w:color w:val="auto"/>
          <w:kern w:val="0"/>
        </w:rPr>
        <w:t>应当及时处理，依法追究其违约责任。</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23.</w:t>
      </w:r>
      <w:r>
        <w:rPr>
          <w:rFonts w:hint="eastAsia" w:ascii="宋体" w:hAnsi="宋体" w:cs="宋体"/>
          <w:color w:val="auto"/>
          <w:kern w:val="0"/>
          <w:lang w:val="en-US" w:eastAsia="zh-CN"/>
        </w:rPr>
        <w:t>8</w:t>
      </w:r>
      <w:r>
        <w:rPr>
          <w:rFonts w:hint="eastAsia" w:ascii="宋体" w:hAnsi="宋体" w:cs="宋体"/>
          <w:color w:val="auto"/>
          <w:kern w:val="0"/>
        </w:rPr>
        <w:t xml:space="preserve"> </w:t>
      </w:r>
      <w:r>
        <w:rPr>
          <w:rFonts w:hint="eastAsia" w:ascii="宋体" w:hAnsi="宋体" w:cs="宋体"/>
          <w:color w:val="auto"/>
          <w:kern w:val="0"/>
          <w:lang w:eastAsia="zh-CN"/>
        </w:rPr>
        <w:t>招标人</w:t>
      </w:r>
      <w:r>
        <w:rPr>
          <w:rFonts w:hint="eastAsia" w:ascii="宋体" w:hAnsi="宋体" w:cs="宋体"/>
          <w:color w:val="auto"/>
          <w:kern w:val="0"/>
        </w:rPr>
        <w:t>、</w:t>
      </w:r>
      <w:r>
        <w:rPr>
          <w:rFonts w:hint="eastAsia" w:ascii="宋体" w:hAnsi="宋体" w:cs="宋体"/>
          <w:color w:val="auto"/>
          <w:kern w:val="0"/>
          <w:lang w:eastAsia="zh-CN"/>
        </w:rPr>
        <w:t>招标代理机构</w:t>
      </w:r>
      <w:r>
        <w:rPr>
          <w:rFonts w:hint="eastAsia" w:ascii="宋体" w:hAnsi="宋体" w:cs="宋体"/>
          <w:color w:val="auto"/>
          <w:kern w:val="0"/>
        </w:rPr>
        <w:t>应当建立真实完整的招标采购档案，妥善保存每项采购活动的采购文件。</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eastAsia="zh-CN"/>
        </w:rPr>
        <w:t>2</w:t>
      </w:r>
      <w:r>
        <w:rPr>
          <w:rFonts w:hint="eastAsia" w:ascii="宋体" w:hAnsi="宋体" w:cs="宋体"/>
          <w:color w:val="auto"/>
          <w:kern w:val="0"/>
          <w:lang w:val="en-US" w:eastAsia="zh-CN"/>
        </w:rPr>
        <w:t>3</w:t>
      </w:r>
      <w:r>
        <w:rPr>
          <w:rFonts w:hint="eastAsia" w:ascii="宋体" w:hAnsi="宋体" w:cs="宋体"/>
          <w:color w:val="auto"/>
          <w:kern w:val="0"/>
          <w:lang w:val="zh-CN" w:eastAsia="zh-CN"/>
        </w:rPr>
        <w:t>.</w:t>
      </w:r>
      <w:r>
        <w:rPr>
          <w:rFonts w:hint="eastAsia" w:ascii="宋体" w:hAnsi="宋体" w:cs="宋体"/>
          <w:color w:val="auto"/>
          <w:kern w:val="0"/>
          <w:lang w:val="en-US" w:eastAsia="zh-CN"/>
        </w:rPr>
        <w:t xml:space="preserve">9 </w:t>
      </w:r>
      <w:r>
        <w:rPr>
          <w:rFonts w:hint="eastAsia" w:ascii="宋体" w:hAnsi="宋体" w:cs="宋体"/>
          <w:color w:val="auto"/>
          <w:kern w:val="0"/>
          <w:lang w:val="zh-CN" w:eastAsia="zh-CN"/>
        </w:rPr>
        <w:t>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color w:val="auto"/>
          <w:kern w:val="0"/>
        </w:rPr>
      </w:pPr>
    </w:p>
    <w:p>
      <w:pPr>
        <w:pStyle w:val="23"/>
        <w:spacing w:before="0" w:after="0" w:line="360" w:lineRule="auto"/>
        <w:rPr>
          <w:rFonts w:hint="eastAsia" w:ascii="宋体" w:hAnsi="宋体" w:cs="宋体"/>
          <w:color w:val="auto"/>
          <w:lang w:val="zh-CN"/>
        </w:rPr>
      </w:pPr>
      <w:bookmarkStart w:id="41" w:name="_Toc28523"/>
      <w:r>
        <w:rPr>
          <w:rFonts w:hint="eastAsia" w:ascii="宋体" w:hAnsi="宋体" w:cs="宋体"/>
          <w:color w:val="auto"/>
          <w:lang w:val="zh-CN"/>
        </w:rPr>
        <w:t>十、招标代理费</w:t>
      </w:r>
      <w:bookmarkEnd w:id="41"/>
    </w:p>
    <w:p>
      <w:pPr>
        <w:autoSpaceDE w:val="0"/>
        <w:autoSpaceDN w:val="0"/>
        <w:spacing w:line="360" w:lineRule="auto"/>
        <w:ind w:firstLine="480" w:firstLineChars="200"/>
        <w:jc w:val="left"/>
        <w:rPr>
          <w:rFonts w:hint="eastAsia" w:ascii="宋体" w:hAnsi="宋体" w:cs="宋体"/>
          <w:color w:val="auto"/>
          <w:kern w:val="0"/>
          <w:highlight w:val="none"/>
          <w:lang w:val="zh-CN"/>
        </w:rPr>
      </w:pPr>
      <w:r>
        <w:rPr>
          <w:rFonts w:hint="eastAsia" w:ascii="宋体" w:hAnsi="宋体" w:cs="宋体"/>
          <w:color w:val="auto"/>
          <w:kern w:val="0"/>
          <w:highlight w:val="none"/>
        </w:rPr>
        <w:t>1、</w:t>
      </w:r>
      <w:r>
        <w:rPr>
          <w:rFonts w:hint="eastAsia" w:ascii="宋体" w:hAnsi="宋体" w:cs="宋体"/>
          <w:color w:val="auto"/>
          <w:kern w:val="0"/>
          <w:highlight w:val="none"/>
          <w:lang w:val="zh-CN"/>
        </w:rPr>
        <w:t>收取对象：中标人。</w:t>
      </w:r>
    </w:p>
    <w:p>
      <w:pPr>
        <w:autoSpaceDE w:val="0"/>
        <w:autoSpaceDN w:val="0"/>
        <w:spacing w:line="360" w:lineRule="auto"/>
        <w:ind w:firstLine="480" w:firstLineChars="200"/>
        <w:jc w:val="left"/>
        <w:rPr>
          <w:rFonts w:hint="default"/>
          <w:highlight w:val="none"/>
          <w:lang w:val="en-US" w:eastAsia="zh-CN"/>
        </w:rPr>
      </w:pPr>
      <w:r>
        <w:rPr>
          <w:rFonts w:ascii="宋体" w:hAnsi="宋体" w:cs="宋体"/>
          <w:color w:val="auto"/>
          <w:kern w:val="0"/>
          <w:highlight w:val="none"/>
        </w:rPr>
        <w:t>2</w:t>
      </w:r>
      <w:r>
        <w:rPr>
          <w:rFonts w:hint="eastAsia" w:ascii="宋体" w:hAnsi="宋体" w:cs="宋体"/>
          <w:color w:val="auto"/>
          <w:kern w:val="0"/>
          <w:highlight w:val="none"/>
        </w:rPr>
        <w:t>、</w:t>
      </w:r>
      <w:r>
        <w:rPr>
          <w:rFonts w:hint="eastAsia" w:ascii="宋体" w:hAnsi="宋体" w:cs="宋体"/>
          <w:color w:val="auto"/>
          <w:kern w:val="0"/>
          <w:highlight w:val="none"/>
          <w:lang w:val="zh-CN"/>
        </w:rPr>
        <w:t>收费金额：包一：</w:t>
      </w:r>
      <w:r>
        <w:rPr>
          <w:rFonts w:hint="eastAsia" w:ascii="宋体" w:hAnsi="宋体" w:cs="宋体"/>
          <w:color w:val="auto"/>
          <w:kern w:val="0"/>
          <w:highlight w:val="none"/>
          <w:lang w:val="en-US" w:eastAsia="zh-CN"/>
        </w:rPr>
        <w:t>59640.00元；包二：11700.00元。</w:t>
      </w:r>
    </w:p>
    <w:p>
      <w:pPr>
        <w:autoSpaceDE w:val="0"/>
        <w:autoSpaceDN w:val="0"/>
        <w:spacing w:line="360" w:lineRule="auto"/>
        <w:ind w:firstLine="480" w:firstLineChars="200"/>
        <w:jc w:val="left"/>
        <w:rPr>
          <w:rFonts w:hint="eastAsia" w:ascii="宋体" w:hAnsi="宋体" w:cs="宋体"/>
          <w:color w:val="auto"/>
          <w:kern w:val="0"/>
          <w:lang w:val="zh-CN"/>
        </w:rPr>
      </w:pPr>
      <w:r>
        <w:rPr>
          <w:rFonts w:hint="eastAsia" w:ascii="宋体" w:hAnsi="宋体" w:cs="宋体"/>
          <w:color w:val="auto"/>
          <w:kern w:val="0"/>
          <w:lang w:val="zh-CN"/>
        </w:rPr>
        <w:t>在领取中标通知书前向招标代理机构</w:t>
      </w:r>
      <w:r>
        <w:rPr>
          <w:rFonts w:ascii="宋体" w:hAnsi="宋体" w:cs="宋体"/>
          <w:color w:val="auto"/>
          <w:kern w:val="0"/>
          <w:lang w:val="zh-CN"/>
        </w:rPr>
        <w:t>一次性支付</w:t>
      </w:r>
      <w:r>
        <w:rPr>
          <w:rFonts w:hint="eastAsia" w:ascii="宋体" w:hAnsi="宋体" w:cs="宋体"/>
          <w:color w:val="auto"/>
          <w:kern w:val="0"/>
          <w:lang w:val="zh-CN"/>
        </w:rPr>
        <w:t>全部金额。</w:t>
      </w:r>
    </w:p>
    <w:p>
      <w:pPr>
        <w:autoSpaceDE w:val="0"/>
        <w:autoSpaceDN w:val="0"/>
        <w:spacing w:line="360" w:lineRule="auto"/>
        <w:ind w:firstLine="480" w:firstLineChars="200"/>
        <w:jc w:val="left"/>
        <w:rPr>
          <w:rFonts w:hint="eastAsia" w:ascii="宋体" w:hAnsi="宋体" w:eastAsia="宋体" w:cs="宋体"/>
          <w:b w:val="0"/>
          <w:bCs w:val="0"/>
          <w:color w:val="auto"/>
          <w:kern w:val="2"/>
          <w:sz w:val="24"/>
          <w:szCs w:val="24"/>
          <w:lang w:val="zh-CN" w:eastAsia="zh-CN" w:bidi="ar-SA"/>
        </w:rPr>
      </w:pPr>
      <w:r>
        <w:rPr>
          <w:rFonts w:ascii="宋体" w:hAnsi="宋体" w:eastAsia="宋体" w:cs="宋体"/>
          <w:color w:val="auto"/>
        </w:rPr>
        <w:t>开户银行：</w:t>
      </w:r>
      <w:r>
        <w:rPr>
          <w:rFonts w:hint="eastAsia" w:ascii="宋体" w:hAnsi="宋体" w:eastAsia="宋体" w:cs="宋体"/>
          <w:b w:val="0"/>
          <w:bCs w:val="0"/>
          <w:color w:val="auto"/>
          <w:kern w:val="2"/>
          <w:sz w:val="24"/>
          <w:szCs w:val="24"/>
          <w:lang w:val="zh-CN" w:eastAsia="zh-CN" w:bidi="ar-SA"/>
        </w:rPr>
        <w:t>招商银行西宁分行城西支行</w:t>
      </w:r>
    </w:p>
    <w:p>
      <w:pPr>
        <w:tabs>
          <w:tab w:val="left" w:pos="84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账号：</w:t>
      </w:r>
      <w:r>
        <w:rPr>
          <w:rFonts w:hint="eastAsia" w:ascii="宋体" w:hAnsi="宋体" w:eastAsia="宋体" w:cs="宋体"/>
          <w:color w:val="auto"/>
          <w:sz w:val="24"/>
          <w:szCs w:val="24"/>
          <w:lang w:val="en-US" w:eastAsia="zh-CN"/>
        </w:rPr>
        <w:t>972900622810106</w:t>
      </w:r>
    </w:p>
    <w:p>
      <w:pPr>
        <w:autoSpaceDE w:val="0"/>
        <w:autoSpaceDN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行号：308851000027</w:t>
      </w:r>
    </w:p>
    <w:p>
      <w:pPr>
        <w:autoSpaceDE w:val="0"/>
        <w:autoSpaceDN w:val="0"/>
        <w:spacing w:line="360" w:lineRule="auto"/>
        <w:ind w:firstLine="480" w:firstLineChars="200"/>
        <w:jc w:val="left"/>
        <w:rPr>
          <w:rFonts w:hint="default" w:ascii="宋体" w:hAnsi="宋体" w:eastAsia="宋体" w:cs="宋体"/>
          <w:color w:val="auto"/>
          <w:lang w:val="en-US" w:eastAsia="zh-CN"/>
        </w:rPr>
      </w:pPr>
      <w:r>
        <w:rPr>
          <w:rFonts w:hint="eastAsia" w:ascii="宋体" w:hAnsi="宋体" w:eastAsia="宋体" w:cs="宋体"/>
          <w:color w:val="auto"/>
          <w:lang w:eastAsia="zh-CN"/>
        </w:rPr>
        <w:t>收款单位：青海旭诚工程项目管理有限公司</w:t>
      </w:r>
      <w:r>
        <w:rPr>
          <w:rFonts w:hint="eastAsia" w:ascii="宋体" w:hAnsi="宋体" w:cs="宋体"/>
          <w:color w:val="auto"/>
          <w:lang w:val="en-US" w:eastAsia="zh-CN"/>
        </w:rPr>
        <w:t>(</w:t>
      </w:r>
      <w:r>
        <w:rPr>
          <w:rFonts w:hint="eastAsia"/>
          <w:color w:val="auto"/>
          <w:lang w:eastAsia="zh-CN"/>
        </w:rPr>
        <w:t>注明，在转账时标明项目名称，转账用途</w:t>
      </w:r>
      <w:r>
        <w:rPr>
          <w:rFonts w:hint="eastAsia"/>
          <w:color w:val="auto"/>
          <w:lang w:val="en-US" w:eastAsia="zh-CN"/>
        </w:rPr>
        <w:t>)</w:t>
      </w:r>
    </w:p>
    <w:p>
      <w:pPr>
        <w:autoSpaceDE w:val="0"/>
        <w:autoSpaceDN w:val="0"/>
        <w:spacing w:line="360" w:lineRule="auto"/>
        <w:ind w:firstLine="480" w:firstLineChars="200"/>
        <w:jc w:val="left"/>
        <w:rPr>
          <w:rFonts w:hint="eastAsia" w:ascii="宋体" w:hAnsi="宋体" w:cs="宋体"/>
          <w:color w:val="auto"/>
          <w:kern w:val="0"/>
        </w:rPr>
      </w:pPr>
      <w:r>
        <w:rPr>
          <w:rFonts w:hint="eastAsia" w:ascii="宋体" w:hAnsi="宋体" w:cs="宋体"/>
          <w:color w:val="auto"/>
          <w:kern w:val="0"/>
        </w:rPr>
        <w:t>说明：根据</w:t>
      </w:r>
      <w:r>
        <w:rPr>
          <w:rFonts w:hint="eastAsia" w:ascii="宋体" w:hAnsi="宋体" w:cs="宋体"/>
          <w:color w:val="auto"/>
          <w:kern w:val="0"/>
          <w:lang w:val="zh-CN"/>
        </w:rPr>
        <w:t>《关于进一步放开建设项目专项业务服务价格的通知》（发改价格[2015]299号）规定，实行市场调节价，应严格遵守《价格法》、《关于商品和服务实行明码标价的规定》等法律法规的规定，由招标人和招标代理机构共同确定合理的收费金额</w:t>
      </w:r>
      <w:r>
        <w:rPr>
          <w:rFonts w:hint="eastAsia" w:ascii="宋体" w:hAnsi="宋体" w:cs="宋体"/>
          <w:color w:val="auto"/>
          <w:kern w:val="0"/>
        </w:rPr>
        <w:t>。</w:t>
      </w:r>
    </w:p>
    <w:p>
      <w:pPr>
        <w:autoSpaceDE w:val="0"/>
        <w:autoSpaceDN w:val="0"/>
        <w:spacing w:line="360" w:lineRule="auto"/>
        <w:ind w:firstLine="480" w:firstLineChars="200"/>
        <w:jc w:val="left"/>
        <w:rPr>
          <w:rFonts w:hint="eastAsia" w:ascii="宋体" w:hAnsi="宋体" w:cs="宋体"/>
          <w:color w:val="auto"/>
          <w:kern w:val="0"/>
        </w:rPr>
      </w:pPr>
      <w:r>
        <w:rPr>
          <w:rFonts w:hint="eastAsia" w:ascii="宋体" w:hAnsi="宋体" w:cs="宋体"/>
          <w:color w:val="auto"/>
          <w:kern w:val="0"/>
          <w:lang w:val="zh-CN"/>
        </w:rPr>
        <w:t>其他未尽事宜，按照《中华人民共和国政府采购法》、《中华人民共和国政府采购法实施条例》、《民法典》等法律法规的有关条款执行。</w:t>
      </w:r>
    </w:p>
    <w:p>
      <w:pPr>
        <w:autoSpaceDE w:val="0"/>
        <w:autoSpaceDN w:val="0"/>
        <w:spacing w:line="360" w:lineRule="auto"/>
        <w:ind w:firstLine="480" w:firstLineChars="200"/>
        <w:jc w:val="left"/>
        <w:rPr>
          <w:rFonts w:hint="eastAsia" w:ascii="宋体" w:hAnsi="宋体" w:cs="宋体"/>
          <w:color w:val="auto"/>
          <w:kern w:val="0"/>
        </w:rPr>
      </w:pPr>
    </w:p>
    <w:p>
      <w:pPr>
        <w:pStyle w:val="23"/>
        <w:spacing w:before="0" w:after="0" w:line="360" w:lineRule="auto"/>
        <w:rPr>
          <w:rFonts w:hint="eastAsia" w:ascii="宋体" w:hAnsi="宋体" w:cs="宋体"/>
          <w:color w:val="auto"/>
          <w:lang w:val="zh-CN"/>
        </w:rPr>
      </w:pPr>
      <w:bookmarkStart w:id="42" w:name="_Toc32241"/>
      <w:r>
        <w:rPr>
          <w:rFonts w:hint="eastAsia" w:ascii="宋体" w:hAnsi="宋体" w:cs="宋体"/>
          <w:color w:val="auto"/>
          <w:lang w:val="zh-CN"/>
        </w:rPr>
        <w:t>十一、其他</w:t>
      </w:r>
      <w:bookmarkEnd w:id="42"/>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eastAsia="zh-CN"/>
        </w:rPr>
        <w:t>投标人</w:t>
      </w:r>
      <w:r>
        <w:rPr>
          <w:rFonts w:hint="eastAsia" w:ascii="宋体" w:hAnsi="宋体" w:cs="宋体"/>
          <w:color w:val="auto"/>
          <w:kern w:val="0"/>
        </w:rPr>
        <w:t>应当遵循公平竞争的原则，不得恶意串通，不得妨碍其他</w:t>
      </w:r>
      <w:r>
        <w:rPr>
          <w:rFonts w:hint="eastAsia" w:ascii="宋体" w:hAnsi="宋体" w:cs="宋体"/>
          <w:color w:val="auto"/>
          <w:kern w:val="0"/>
          <w:lang w:eastAsia="zh-CN"/>
        </w:rPr>
        <w:t>投标人</w:t>
      </w:r>
      <w:r>
        <w:rPr>
          <w:rFonts w:hint="eastAsia" w:ascii="宋体" w:hAnsi="宋体" w:cs="宋体"/>
          <w:color w:val="auto"/>
          <w:kern w:val="0"/>
        </w:rPr>
        <w:t>的竞争行为，不得损害</w:t>
      </w:r>
      <w:r>
        <w:rPr>
          <w:rFonts w:hint="eastAsia" w:ascii="宋体" w:hAnsi="宋体" w:cs="宋体"/>
          <w:color w:val="auto"/>
          <w:kern w:val="0"/>
          <w:lang w:eastAsia="zh-CN"/>
        </w:rPr>
        <w:t>招标人</w:t>
      </w:r>
      <w:r>
        <w:rPr>
          <w:rFonts w:hint="eastAsia" w:ascii="宋体" w:hAnsi="宋体" w:cs="宋体"/>
          <w:color w:val="auto"/>
          <w:kern w:val="0"/>
        </w:rPr>
        <w:t>或者其他</w:t>
      </w:r>
      <w:r>
        <w:rPr>
          <w:rFonts w:hint="eastAsia" w:ascii="宋体" w:hAnsi="宋体" w:cs="宋体"/>
          <w:color w:val="auto"/>
          <w:kern w:val="0"/>
          <w:lang w:eastAsia="zh-CN"/>
        </w:rPr>
        <w:t>投标人</w:t>
      </w:r>
      <w:r>
        <w:rPr>
          <w:rFonts w:hint="eastAsia" w:ascii="宋体" w:hAnsi="宋体" w:cs="宋体"/>
          <w:color w:val="auto"/>
          <w:kern w:val="0"/>
        </w:rPr>
        <w:t>的合法权益。</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在评标过程中发现</w:t>
      </w:r>
      <w:r>
        <w:rPr>
          <w:rFonts w:hint="eastAsia" w:ascii="宋体" w:hAnsi="宋体" w:cs="宋体"/>
          <w:color w:val="auto"/>
          <w:kern w:val="0"/>
          <w:lang w:eastAsia="zh-CN"/>
        </w:rPr>
        <w:t>投标人</w:t>
      </w:r>
      <w:r>
        <w:rPr>
          <w:rFonts w:hint="eastAsia" w:ascii="宋体" w:hAnsi="宋体" w:cs="宋体"/>
          <w:color w:val="auto"/>
          <w:kern w:val="0"/>
        </w:rPr>
        <w:t>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2、有下列情形之一的，视为</w:t>
      </w:r>
      <w:r>
        <w:rPr>
          <w:rFonts w:hint="eastAsia" w:ascii="宋体" w:hAnsi="宋体" w:cs="宋体"/>
          <w:color w:val="auto"/>
          <w:kern w:val="0"/>
          <w:lang w:eastAsia="zh-CN"/>
        </w:rPr>
        <w:t>投标人</w:t>
      </w:r>
      <w:r>
        <w:rPr>
          <w:rFonts w:hint="eastAsia" w:ascii="宋体" w:hAnsi="宋体" w:cs="宋体"/>
          <w:color w:val="auto"/>
          <w:kern w:val="0"/>
        </w:rPr>
        <w:t>串通投标，其投标无效：</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（1）不同</w:t>
      </w:r>
      <w:r>
        <w:rPr>
          <w:rFonts w:hint="eastAsia" w:ascii="宋体" w:hAnsi="宋体" w:cs="宋体"/>
          <w:color w:val="auto"/>
          <w:kern w:val="0"/>
          <w:lang w:eastAsia="zh-CN"/>
        </w:rPr>
        <w:t>投标人</w:t>
      </w:r>
      <w:r>
        <w:rPr>
          <w:rFonts w:hint="eastAsia" w:ascii="宋体" w:hAnsi="宋体" w:cs="宋体"/>
          <w:color w:val="auto"/>
          <w:kern w:val="0"/>
        </w:rPr>
        <w:t>的投标文件由同一单位或者个人编制；</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（2）不同</w:t>
      </w:r>
      <w:r>
        <w:rPr>
          <w:rFonts w:hint="eastAsia" w:ascii="宋体" w:hAnsi="宋体" w:cs="宋体"/>
          <w:color w:val="auto"/>
          <w:kern w:val="0"/>
          <w:lang w:eastAsia="zh-CN"/>
        </w:rPr>
        <w:t>投标人</w:t>
      </w:r>
      <w:r>
        <w:rPr>
          <w:rFonts w:hint="eastAsia" w:ascii="宋体" w:hAnsi="宋体" w:cs="宋体"/>
          <w:color w:val="auto"/>
          <w:kern w:val="0"/>
        </w:rPr>
        <w:t>委托同一单位或者个人办理投标事宜；</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（3）不同</w:t>
      </w:r>
      <w:r>
        <w:rPr>
          <w:rFonts w:hint="eastAsia" w:ascii="宋体" w:hAnsi="宋体" w:cs="宋体"/>
          <w:color w:val="auto"/>
          <w:kern w:val="0"/>
          <w:lang w:eastAsia="zh-CN"/>
        </w:rPr>
        <w:t>投标人</w:t>
      </w:r>
      <w:r>
        <w:rPr>
          <w:rFonts w:hint="eastAsia" w:ascii="宋体" w:hAnsi="宋体" w:cs="宋体"/>
          <w:color w:val="auto"/>
          <w:kern w:val="0"/>
        </w:rPr>
        <w:t>的投标文件载明的项目管理成员或者联系人员为同一人；</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（4）不同</w:t>
      </w:r>
      <w:r>
        <w:rPr>
          <w:rFonts w:hint="eastAsia" w:ascii="宋体" w:hAnsi="宋体" w:cs="宋体"/>
          <w:color w:val="auto"/>
          <w:kern w:val="0"/>
          <w:lang w:eastAsia="zh-CN"/>
        </w:rPr>
        <w:t>投标人</w:t>
      </w:r>
      <w:r>
        <w:rPr>
          <w:rFonts w:hint="eastAsia" w:ascii="宋体" w:hAnsi="宋体" w:cs="宋体"/>
          <w:color w:val="auto"/>
          <w:kern w:val="0"/>
        </w:rPr>
        <w:t>的投标文件异常一致或者投标报价呈规律性差异；</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（5）不同</w:t>
      </w:r>
      <w:r>
        <w:rPr>
          <w:rFonts w:hint="eastAsia" w:ascii="宋体" w:hAnsi="宋体" w:cs="宋体"/>
          <w:color w:val="auto"/>
          <w:kern w:val="0"/>
          <w:lang w:eastAsia="zh-CN"/>
        </w:rPr>
        <w:t>投标人</w:t>
      </w:r>
      <w:r>
        <w:rPr>
          <w:rFonts w:hint="eastAsia" w:ascii="宋体" w:hAnsi="宋体" w:cs="宋体"/>
          <w:color w:val="auto"/>
          <w:kern w:val="0"/>
        </w:rPr>
        <w:t>的投标文件相互混装；</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（6）不同</w:t>
      </w:r>
      <w:r>
        <w:rPr>
          <w:rFonts w:hint="eastAsia" w:ascii="宋体" w:hAnsi="宋体" w:cs="宋体"/>
          <w:color w:val="auto"/>
          <w:kern w:val="0"/>
          <w:lang w:eastAsia="zh-CN"/>
        </w:rPr>
        <w:t>投标人</w:t>
      </w:r>
      <w:r>
        <w:rPr>
          <w:rFonts w:hint="eastAsia" w:ascii="宋体" w:hAnsi="宋体" w:cs="宋体"/>
          <w:color w:val="auto"/>
          <w:kern w:val="0"/>
        </w:rPr>
        <w:t>的投标保证金从同一单位或者个人的账户转出。</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3、公开招标数额标准以上的采购项目，投标截止后</w:t>
      </w:r>
      <w:r>
        <w:rPr>
          <w:rFonts w:hint="eastAsia" w:ascii="宋体" w:hAnsi="宋体" w:cs="宋体"/>
          <w:color w:val="auto"/>
          <w:kern w:val="0"/>
          <w:lang w:eastAsia="zh-CN"/>
        </w:rPr>
        <w:t>投标人</w:t>
      </w:r>
      <w:r>
        <w:rPr>
          <w:rFonts w:hint="eastAsia" w:ascii="宋体" w:hAnsi="宋体" w:cs="宋体"/>
          <w:color w:val="auto"/>
          <w:kern w:val="0"/>
        </w:rPr>
        <w:t>不足3家或者通过资格审查或符合性审查的</w:t>
      </w:r>
      <w:r>
        <w:rPr>
          <w:rFonts w:hint="eastAsia" w:ascii="宋体" w:hAnsi="宋体" w:cs="宋体"/>
          <w:color w:val="auto"/>
          <w:kern w:val="0"/>
          <w:lang w:eastAsia="zh-CN"/>
        </w:rPr>
        <w:t>投标人</w:t>
      </w:r>
      <w:r>
        <w:rPr>
          <w:rFonts w:hint="eastAsia" w:ascii="宋体" w:hAnsi="宋体" w:cs="宋体"/>
          <w:color w:val="auto"/>
          <w:kern w:val="0"/>
        </w:rPr>
        <w:t>不足3家的，除采购任务取消情形外，按照以下方式处理：</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（1）招标文件存在不合理条款或者招标程序不符合规定的，</w:t>
      </w:r>
      <w:r>
        <w:rPr>
          <w:rFonts w:hint="eastAsia" w:ascii="宋体" w:hAnsi="宋体" w:cs="宋体"/>
          <w:color w:val="auto"/>
          <w:kern w:val="0"/>
          <w:lang w:eastAsia="zh-CN"/>
        </w:rPr>
        <w:t>招标人</w:t>
      </w:r>
      <w:r>
        <w:rPr>
          <w:rFonts w:hint="eastAsia" w:ascii="宋体" w:hAnsi="宋体" w:cs="宋体"/>
          <w:color w:val="auto"/>
          <w:kern w:val="0"/>
        </w:rPr>
        <w:t>、</w:t>
      </w:r>
      <w:r>
        <w:rPr>
          <w:rFonts w:hint="eastAsia" w:ascii="宋体" w:hAnsi="宋体" w:cs="宋体"/>
          <w:color w:val="auto"/>
          <w:kern w:val="0"/>
          <w:lang w:eastAsia="zh-CN"/>
        </w:rPr>
        <w:t>招标代理机构</w:t>
      </w:r>
      <w:r>
        <w:rPr>
          <w:rFonts w:hint="eastAsia" w:ascii="宋体" w:hAnsi="宋体" w:cs="宋体"/>
          <w:color w:val="auto"/>
          <w:kern w:val="0"/>
        </w:rPr>
        <w:t>改正后依法重新招标；</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（2）招标文件没有不合理条款、招标程序符合规定，需要采用其他采购方式采购的，</w:t>
      </w:r>
      <w:r>
        <w:rPr>
          <w:rFonts w:hint="eastAsia" w:ascii="宋体" w:hAnsi="宋体" w:cs="宋体"/>
          <w:color w:val="auto"/>
          <w:kern w:val="0"/>
          <w:lang w:eastAsia="zh-CN"/>
        </w:rPr>
        <w:t>招标人</w:t>
      </w:r>
      <w:r>
        <w:rPr>
          <w:rFonts w:hint="eastAsia" w:ascii="宋体" w:hAnsi="宋体" w:cs="宋体"/>
          <w:color w:val="auto"/>
          <w:kern w:val="0"/>
        </w:rPr>
        <w:t>应当依法报财政部门批准。</w:t>
      </w:r>
    </w:p>
    <w:p>
      <w:pPr>
        <w:autoSpaceDE w:val="0"/>
        <w:autoSpaceDN w:val="0"/>
        <w:spacing w:line="360" w:lineRule="auto"/>
        <w:ind w:firstLine="560" w:firstLineChars="200"/>
        <w:rPr>
          <w:rFonts w:hint="eastAsia" w:ascii="宋体" w:hAnsi="宋体" w:cs="宋体"/>
          <w:color w:val="auto"/>
          <w:kern w:val="0"/>
          <w:lang w:val="zh-CN"/>
        </w:rPr>
      </w:pPr>
      <w:r>
        <w:rPr>
          <w:rFonts w:hint="eastAsia" w:ascii="宋体" w:hAnsi="宋体" w:cs="宋体"/>
          <w:color w:val="auto"/>
          <w:sz w:val="28"/>
          <w:szCs w:val="28"/>
        </w:rPr>
        <w:t>4、</w:t>
      </w:r>
      <w:r>
        <w:rPr>
          <w:rFonts w:hint="eastAsia" w:ascii="宋体" w:hAnsi="宋体" w:cs="宋体"/>
          <w:color w:val="auto"/>
          <w:kern w:val="0"/>
          <w:lang w:val="zh-CN"/>
        </w:rPr>
        <w:t>在招标采购中，出现下列情形之一的，应予废标：</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（2）出现影响采购公正的违法、违规行为的。</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（3）投标人的报价均超出采购预算，招标人不能支付的。</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（4）因重大变故，采购任务取消的。</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废标后，由招标代理机构发布废标公告。</w:t>
      </w:r>
    </w:p>
    <w:p>
      <w:pPr>
        <w:autoSpaceDE w:val="0"/>
        <w:autoSpaceDN w:val="0"/>
        <w:spacing w:line="360" w:lineRule="auto"/>
        <w:ind w:firstLine="480" w:firstLineChars="200"/>
        <w:rPr>
          <w:rFonts w:hint="eastAsia" w:ascii="宋体" w:hAnsi="宋体" w:cs="宋体"/>
          <w:color w:val="auto"/>
          <w:szCs w:val="36"/>
          <w:lang w:val="zh-CN"/>
        </w:rPr>
      </w:pPr>
      <w:r>
        <w:rPr>
          <w:rFonts w:hint="eastAsia" w:ascii="宋体" w:hAnsi="宋体" w:cs="宋体"/>
          <w:color w:val="auto"/>
          <w:kern w:val="0"/>
        </w:rPr>
        <w:t>5、</w:t>
      </w:r>
      <w:r>
        <w:rPr>
          <w:rFonts w:hint="eastAsia" w:ascii="宋体" w:hAnsi="宋体" w:cs="宋体"/>
          <w:color w:val="auto"/>
          <w:kern w:val="0"/>
          <w:lang w:val="zh-CN"/>
        </w:rPr>
        <w:t>其他未尽事宜，按照《中华人民共和国政府采购法》、《中华人民共和国政府采购法实施条例》、《民法典》等法律法规的有关条款</w:t>
      </w:r>
      <w:bookmarkStart w:id="43" w:name="_Toc18818"/>
    </w:p>
    <w:p>
      <w:pPr>
        <w:pStyle w:val="2"/>
        <w:rPr>
          <w:rFonts w:hint="eastAsia"/>
          <w:lang w:val="zh-CN"/>
        </w:rPr>
      </w:pPr>
    </w:p>
    <w:p>
      <w:pPr>
        <w:pStyle w:val="23"/>
        <w:spacing w:before="0" w:after="0" w:line="360" w:lineRule="auto"/>
        <w:jc w:val="center"/>
        <w:rPr>
          <w:rFonts w:hint="eastAsia" w:ascii="宋体" w:hAnsi="宋体" w:cs="宋体"/>
          <w:color w:val="auto"/>
          <w:szCs w:val="36"/>
          <w:lang w:val="zh-CN"/>
        </w:rPr>
      </w:pPr>
    </w:p>
    <w:p>
      <w:pPr>
        <w:pStyle w:val="23"/>
        <w:spacing w:before="0" w:after="0" w:line="360" w:lineRule="auto"/>
        <w:jc w:val="center"/>
        <w:rPr>
          <w:rFonts w:hint="eastAsia" w:ascii="宋体" w:hAnsi="宋体" w:cs="宋体"/>
          <w:color w:val="auto"/>
          <w:szCs w:val="36"/>
          <w:lang w:val="zh-CN"/>
        </w:rPr>
      </w:pPr>
    </w:p>
    <w:p>
      <w:pPr>
        <w:pStyle w:val="23"/>
        <w:spacing w:before="0" w:after="0" w:line="360" w:lineRule="auto"/>
        <w:jc w:val="center"/>
        <w:rPr>
          <w:rFonts w:hint="eastAsia" w:ascii="宋体" w:hAnsi="宋体" w:cs="宋体"/>
          <w:color w:val="auto"/>
          <w:szCs w:val="36"/>
          <w:lang w:val="zh-CN"/>
        </w:rPr>
      </w:pPr>
    </w:p>
    <w:p>
      <w:pPr>
        <w:rPr>
          <w:rFonts w:hint="eastAsia" w:ascii="宋体" w:hAnsi="宋体" w:cs="宋体"/>
          <w:color w:val="auto"/>
          <w:szCs w:val="36"/>
          <w:lang w:val="zh-CN"/>
        </w:rPr>
      </w:pPr>
      <w:r>
        <w:rPr>
          <w:rFonts w:hint="eastAsia" w:ascii="宋体" w:hAnsi="宋体" w:cs="宋体"/>
          <w:color w:val="auto"/>
          <w:szCs w:val="36"/>
          <w:lang w:val="zh-CN"/>
        </w:rPr>
        <w:br w:type="page"/>
      </w:r>
    </w:p>
    <w:p>
      <w:pPr>
        <w:pStyle w:val="23"/>
        <w:spacing w:before="0" w:after="0" w:line="360" w:lineRule="auto"/>
        <w:jc w:val="center"/>
        <w:rPr>
          <w:rFonts w:hint="eastAsia" w:ascii="宋体" w:hAnsi="宋体" w:cs="宋体"/>
          <w:color w:val="auto"/>
          <w:sz w:val="24"/>
        </w:rPr>
      </w:pPr>
      <w:r>
        <w:rPr>
          <w:rFonts w:hint="eastAsia" w:ascii="宋体" w:hAnsi="宋体" w:cs="宋体"/>
          <w:color w:val="auto"/>
          <w:szCs w:val="36"/>
          <w:lang w:val="zh-CN"/>
        </w:rPr>
        <w:t xml:space="preserve">第三部分 </w:t>
      </w:r>
      <w:r>
        <w:rPr>
          <w:rFonts w:hint="eastAsia" w:ascii="宋体" w:hAnsi="宋体" w:cs="宋体"/>
          <w:color w:val="auto"/>
          <w:szCs w:val="36"/>
        </w:rPr>
        <w:t xml:space="preserve"> </w:t>
      </w:r>
      <w:r>
        <w:rPr>
          <w:rFonts w:hint="eastAsia" w:ascii="宋体" w:hAnsi="宋体" w:cs="宋体"/>
          <w:color w:val="auto"/>
          <w:szCs w:val="36"/>
          <w:lang w:val="zh-CN"/>
        </w:rPr>
        <w:t>青海省政府采购项目合同书范本</w:t>
      </w:r>
      <w:bookmarkEnd w:id="43"/>
    </w:p>
    <w:p>
      <w:pPr>
        <w:autoSpaceDE w:val="0"/>
        <w:autoSpaceDN w:val="0"/>
        <w:adjustRightInd w:val="0"/>
        <w:spacing w:line="360" w:lineRule="auto"/>
        <w:jc w:val="center"/>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（货物类）</w:t>
      </w: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jc w:val="center"/>
        <w:rPr>
          <w:rFonts w:hint="eastAsia" w:ascii="宋体" w:hAnsi="宋体" w:cs="宋体"/>
          <w:b/>
          <w:bCs/>
          <w:color w:val="auto"/>
          <w:kern w:val="0"/>
          <w:sz w:val="48"/>
          <w:szCs w:val="48"/>
          <w:lang w:val="zh-CN"/>
        </w:rPr>
      </w:pPr>
    </w:p>
    <w:p>
      <w:pPr>
        <w:autoSpaceDE w:val="0"/>
        <w:autoSpaceDN w:val="0"/>
        <w:adjustRightInd w:val="0"/>
        <w:spacing w:line="360" w:lineRule="auto"/>
        <w:jc w:val="center"/>
        <w:rPr>
          <w:rFonts w:hint="eastAsia" w:ascii="宋体" w:hAnsi="宋体" w:cs="宋体"/>
          <w:b/>
          <w:bCs/>
          <w:color w:val="auto"/>
          <w:kern w:val="0"/>
          <w:sz w:val="48"/>
          <w:szCs w:val="48"/>
          <w:lang w:val="zh-CN"/>
        </w:rPr>
      </w:pPr>
      <w:r>
        <w:rPr>
          <w:rFonts w:hint="eastAsia" w:ascii="宋体" w:hAnsi="宋体" w:cs="宋体"/>
          <w:b/>
          <w:bCs/>
          <w:color w:val="auto"/>
          <w:kern w:val="0"/>
          <w:sz w:val="72"/>
          <w:szCs w:val="72"/>
          <w:lang w:val="zh-CN"/>
        </w:rPr>
        <w:t>青海省政府采购项目合同书</w:t>
      </w:r>
    </w:p>
    <w:p>
      <w:pPr>
        <w:autoSpaceDE w:val="0"/>
        <w:autoSpaceDN w:val="0"/>
        <w:adjustRightInd w:val="0"/>
        <w:spacing w:line="360" w:lineRule="auto"/>
        <w:jc w:val="center"/>
        <w:rPr>
          <w:rFonts w:hint="eastAsia" w:ascii="宋体" w:hAnsi="宋体" w:cs="宋体"/>
          <w:b/>
          <w:bCs/>
          <w:color w:val="auto"/>
          <w:kern w:val="0"/>
          <w:sz w:val="48"/>
          <w:szCs w:val="48"/>
        </w:rPr>
      </w:pPr>
      <w:r>
        <w:rPr>
          <w:rFonts w:hint="eastAsia" w:ascii="宋体" w:hAnsi="宋体" w:cs="宋体"/>
          <w:b/>
          <w:bCs/>
          <w:color w:val="auto"/>
          <w:kern w:val="0"/>
          <w:sz w:val="28"/>
          <w:szCs w:val="28"/>
          <w:lang w:val="zh-CN"/>
        </w:rPr>
        <w:t>（具体以签订的合同为准）</w:t>
      </w: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rPr>
          <w:rFonts w:hint="eastAsia" w:ascii="宋体" w:hAnsi="宋体" w:cs="宋体"/>
          <w:b/>
          <w:bCs/>
          <w:color w:val="auto"/>
          <w:kern w:val="0"/>
          <w:sz w:val="30"/>
          <w:szCs w:val="30"/>
          <w:lang w:val="zh-CN"/>
        </w:rPr>
      </w:pPr>
      <w:r>
        <w:rPr>
          <w:rFonts w:hint="eastAsia" w:ascii="宋体" w:hAnsi="宋体" w:cs="宋体"/>
          <w:b/>
          <w:bCs/>
          <w:color w:val="auto"/>
          <w:kern w:val="0"/>
          <w:sz w:val="30"/>
          <w:szCs w:val="30"/>
          <w:lang w:val="zh-CN"/>
        </w:rPr>
        <w:t>项</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目</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编</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号</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w:t>
      </w:r>
      <w:r>
        <w:rPr>
          <w:rFonts w:hint="eastAsia" w:ascii="宋体" w:hAnsi="宋体" w:cs="宋体"/>
          <w:b/>
          <w:bCs/>
          <w:color w:val="auto"/>
          <w:kern w:val="0"/>
          <w:sz w:val="30"/>
          <w:szCs w:val="30"/>
          <w:u w:val="single"/>
          <w:lang w:val="zh-CN"/>
        </w:rPr>
        <w:t xml:space="preserve"> 青海旭诚公招（货物）2023-027</w:t>
      </w:r>
      <w:r>
        <w:rPr>
          <w:rFonts w:hint="eastAsia" w:ascii="宋体" w:hAnsi="宋体" w:eastAsia="宋体" w:cs="宋体"/>
          <w:b/>
          <w:bCs/>
          <w:color w:val="auto"/>
          <w:kern w:val="0"/>
          <w:sz w:val="30"/>
          <w:szCs w:val="30"/>
          <w:u w:val="single"/>
          <w:lang w:val="en-US" w:eastAsia="zh-CN"/>
        </w:rPr>
        <w:t xml:space="preserve"> </w:t>
      </w:r>
      <w:r>
        <w:rPr>
          <w:rFonts w:hint="eastAsia" w:ascii="宋体" w:hAnsi="宋体" w:cs="宋体"/>
          <w:b/>
          <w:bCs/>
          <w:color w:val="auto"/>
          <w:kern w:val="0"/>
          <w:sz w:val="30"/>
          <w:szCs w:val="30"/>
          <w:u w:val="single"/>
        </w:rPr>
        <w:t xml:space="preserve">                     </w:t>
      </w:r>
      <w:r>
        <w:rPr>
          <w:rFonts w:hint="eastAsia" w:ascii="宋体" w:hAnsi="宋体" w:cs="宋体"/>
          <w:color w:val="auto"/>
          <w:kern w:val="0"/>
          <w:sz w:val="30"/>
          <w:szCs w:val="30"/>
          <w:u w:val="single"/>
        </w:rPr>
        <w:t xml:space="preserve">                                </w:t>
      </w:r>
    </w:p>
    <w:p>
      <w:pPr>
        <w:autoSpaceDE w:val="0"/>
        <w:autoSpaceDN w:val="0"/>
        <w:adjustRightInd w:val="0"/>
        <w:spacing w:line="360" w:lineRule="auto"/>
        <w:ind w:left="2108" w:hanging="2108" w:hangingChars="700"/>
        <w:rPr>
          <w:rFonts w:hint="eastAsia" w:ascii="宋体" w:hAnsi="宋体" w:cs="宋体"/>
          <w:b/>
          <w:bCs/>
          <w:color w:val="auto"/>
          <w:kern w:val="0"/>
          <w:sz w:val="30"/>
          <w:szCs w:val="30"/>
        </w:rPr>
      </w:pPr>
      <w:r>
        <w:rPr>
          <w:rFonts w:hint="eastAsia" w:ascii="宋体" w:hAnsi="宋体" w:cs="宋体"/>
          <w:b/>
          <w:bCs/>
          <w:color w:val="auto"/>
          <w:kern w:val="0"/>
          <w:sz w:val="30"/>
          <w:szCs w:val="30"/>
          <w:lang w:val="zh-CN"/>
        </w:rPr>
        <w:t>项</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目</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名</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称</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w:t>
      </w:r>
      <w:r>
        <w:rPr>
          <w:rFonts w:hint="eastAsia" w:ascii="宋体" w:hAnsi="宋体" w:cs="宋体"/>
          <w:b/>
          <w:bCs/>
          <w:color w:val="auto"/>
          <w:kern w:val="0"/>
          <w:sz w:val="32"/>
          <w:szCs w:val="32"/>
          <w:u w:val="single"/>
          <w:lang w:eastAsia="zh-CN"/>
        </w:rPr>
        <w:t>青海柴达木职业技术学院应用化工技术专业群双高建设项目</w:t>
      </w:r>
      <w:r>
        <w:rPr>
          <w:rFonts w:hint="eastAsia" w:ascii="宋体" w:hAnsi="宋体" w:cs="宋体"/>
          <w:b/>
          <w:bCs/>
          <w:color w:val="auto"/>
          <w:kern w:val="0"/>
          <w:sz w:val="30"/>
          <w:szCs w:val="30"/>
          <w:u w:val="single"/>
        </w:rPr>
        <w:t xml:space="preserve">  </w:t>
      </w:r>
    </w:p>
    <w:p>
      <w:pPr>
        <w:autoSpaceDE w:val="0"/>
        <w:autoSpaceDN w:val="0"/>
        <w:adjustRightInd w:val="0"/>
        <w:spacing w:line="360" w:lineRule="auto"/>
        <w:rPr>
          <w:rFonts w:hint="default" w:ascii="宋体" w:hAnsi="宋体" w:cs="宋体"/>
          <w:b/>
          <w:bCs/>
          <w:color w:val="auto"/>
          <w:kern w:val="0"/>
          <w:sz w:val="30"/>
          <w:szCs w:val="30"/>
          <w:u w:val="single"/>
          <w:lang w:val="en-US" w:eastAsia="zh-CN"/>
        </w:rPr>
      </w:pPr>
      <w:r>
        <w:rPr>
          <w:rFonts w:hint="eastAsia" w:ascii="宋体" w:hAnsi="宋体" w:cs="宋体"/>
          <w:b/>
          <w:bCs/>
          <w:color w:val="auto"/>
          <w:kern w:val="0"/>
          <w:sz w:val="30"/>
          <w:szCs w:val="30"/>
          <w:lang w:val="zh-CN"/>
        </w:rPr>
        <w:t>招标合同编号：</w:t>
      </w:r>
      <w:r>
        <w:rPr>
          <w:rFonts w:hint="eastAsia" w:ascii="宋体" w:hAnsi="宋体" w:cs="宋体"/>
          <w:b/>
          <w:bCs/>
          <w:color w:val="auto"/>
          <w:kern w:val="0"/>
          <w:sz w:val="30"/>
          <w:szCs w:val="30"/>
          <w:u w:val="single"/>
        </w:rPr>
        <w:t>QHXC-</w:t>
      </w:r>
      <w:r>
        <w:rPr>
          <w:rFonts w:hint="eastAsia" w:ascii="宋体" w:hAnsi="宋体" w:cs="宋体"/>
          <w:b/>
          <w:bCs/>
          <w:color w:val="auto"/>
          <w:kern w:val="0"/>
          <w:sz w:val="30"/>
          <w:szCs w:val="30"/>
          <w:u w:val="single"/>
          <w:lang w:val="en-US" w:eastAsia="zh-CN"/>
        </w:rPr>
        <w:t>2023</w:t>
      </w:r>
      <w:r>
        <w:rPr>
          <w:rFonts w:hint="eastAsia" w:ascii="宋体" w:hAnsi="宋体" w:cs="宋体"/>
          <w:b/>
          <w:bCs/>
          <w:color w:val="auto"/>
          <w:kern w:val="0"/>
          <w:sz w:val="30"/>
          <w:szCs w:val="30"/>
          <w:u w:val="single"/>
        </w:rPr>
        <w:t>-0</w:t>
      </w:r>
      <w:r>
        <w:rPr>
          <w:rFonts w:hint="eastAsia" w:ascii="宋体" w:hAnsi="宋体" w:cs="宋体"/>
          <w:b/>
          <w:bCs/>
          <w:color w:val="auto"/>
          <w:kern w:val="0"/>
          <w:sz w:val="30"/>
          <w:szCs w:val="30"/>
          <w:u w:val="single"/>
          <w:lang w:val="en-US" w:eastAsia="zh-CN"/>
        </w:rPr>
        <w:t>27</w:t>
      </w:r>
    </w:p>
    <w:p>
      <w:pPr>
        <w:autoSpaceDE w:val="0"/>
        <w:autoSpaceDN w:val="0"/>
        <w:adjustRightInd w:val="0"/>
        <w:spacing w:line="360" w:lineRule="auto"/>
        <w:rPr>
          <w:rFonts w:hint="eastAsia" w:ascii="宋体" w:hAnsi="宋体" w:cs="宋体"/>
          <w:b/>
          <w:bCs/>
          <w:color w:val="auto"/>
          <w:kern w:val="0"/>
          <w:sz w:val="30"/>
          <w:szCs w:val="30"/>
          <w:u w:val="none"/>
          <w:lang w:val="en-US" w:eastAsia="zh-CN"/>
        </w:rPr>
      </w:pPr>
      <w:r>
        <w:rPr>
          <w:rFonts w:hint="eastAsia" w:ascii="宋体" w:hAnsi="宋体" w:cs="宋体"/>
          <w:b/>
          <w:bCs/>
          <w:color w:val="auto"/>
          <w:kern w:val="0"/>
          <w:sz w:val="30"/>
          <w:szCs w:val="30"/>
          <w:lang w:val="zh-CN"/>
        </w:rPr>
        <w:t>合同金额（人民币）：</w:t>
      </w:r>
      <w:r>
        <w:rPr>
          <w:rFonts w:hint="eastAsia" w:ascii="宋体" w:hAnsi="宋体" w:cs="宋体"/>
          <w:b/>
          <w:bCs/>
          <w:color w:val="auto"/>
          <w:kern w:val="0"/>
          <w:sz w:val="30"/>
          <w:szCs w:val="30"/>
          <w:u w:val="single"/>
          <w:lang w:val="en-US" w:eastAsia="zh-CN"/>
        </w:rPr>
        <w:t xml:space="preserve">                          </w:t>
      </w:r>
      <w:r>
        <w:rPr>
          <w:rFonts w:hint="eastAsia" w:ascii="宋体" w:hAnsi="宋体" w:cs="宋体"/>
          <w:b/>
          <w:bCs/>
          <w:color w:val="auto"/>
          <w:kern w:val="0"/>
          <w:sz w:val="30"/>
          <w:szCs w:val="30"/>
          <w:u w:val="none"/>
          <w:lang w:val="en-US" w:eastAsia="zh-CN"/>
        </w:rPr>
        <w:t xml:space="preserve"> </w:t>
      </w:r>
      <w:r>
        <w:rPr>
          <w:rFonts w:hint="eastAsia" w:ascii="宋体" w:hAnsi="宋体" w:cs="宋体"/>
          <w:b/>
          <w:bCs/>
          <w:color w:val="auto"/>
          <w:kern w:val="0"/>
          <w:sz w:val="30"/>
          <w:szCs w:val="30"/>
          <w:u w:val="single"/>
          <w:lang w:val="en-US" w:eastAsia="zh-CN"/>
        </w:rPr>
        <w:t xml:space="preserve">     </w:t>
      </w:r>
      <w:r>
        <w:rPr>
          <w:rFonts w:hint="eastAsia" w:ascii="宋体" w:hAnsi="宋体" w:cs="宋体"/>
          <w:b/>
          <w:bCs/>
          <w:color w:val="auto"/>
          <w:kern w:val="0"/>
          <w:sz w:val="30"/>
          <w:szCs w:val="30"/>
          <w:u w:val="none"/>
          <w:lang w:val="en-US" w:eastAsia="zh-CN"/>
        </w:rPr>
        <w:t xml:space="preserve">  </w:t>
      </w:r>
    </w:p>
    <w:p>
      <w:pPr>
        <w:autoSpaceDE w:val="0"/>
        <w:autoSpaceDN w:val="0"/>
        <w:adjustRightInd w:val="0"/>
        <w:spacing w:line="360" w:lineRule="auto"/>
        <w:rPr>
          <w:rFonts w:hint="eastAsia" w:ascii="宋体" w:hAnsi="宋体" w:cs="宋体"/>
          <w:b/>
          <w:bCs/>
          <w:color w:val="auto"/>
          <w:kern w:val="0"/>
          <w:sz w:val="30"/>
          <w:szCs w:val="30"/>
        </w:rPr>
      </w:pPr>
      <w:r>
        <w:rPr>
          <w:rFonts w:hint="eastAsia" w:ascii="宋体" w:hAnsi="宋体" w:cs="宋体"/>
          <w:b/>
          <w:bCs/>
          <w:color w:val="auto"/>
          <w:kern w:val="0"/>
          <w:sz w:val="30"/>
          <w:szCs w:val="30"/>
          <w:lang w:val="zh-CN"/>
        </w:rPr>
        <w:t>招标人（甲方）：</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（盖章）</w:t>
      </w:r>
    </w:p>
    <w:p>
      <w:pPr>
        <w:autoSpaceDE w:val="0"/>
        <w:autoSpaceDN w:val="0"/>
        <w:adjustRightInd w:val="0"/>
        <w:spacing w:line="360" w:lineRule="auto"/>
        <w:rPr>
          <w:rFonts w:hint="eastAsia" w:ascii="宋体" w:hAnsi="宋体" w:cs="宋体"/>
          <w:b/>
          <w:bCs/>
          <w:color w:val="auto"/>
          <w:kern w:val="0"/>
          <w:sz w:val="30"/>
          <w:szCs w:val="30"/>
        </w:rPr>
      </w:pPr>
      <w:r>
        <w:rPr>
          <w:rFonts w:hint="eastAsia" w:ascii="宋体" w:hAnsi="宋体" w:cs="宋体"/>
          <w:b/>
          <w:bCs/>
          <w:color w:val="auto"/>
          <w:kern w:val="0"/>
          <w:sz w:val="30"/>
          <w:szCs w:val="30"/>
          <w:lang w:val="zh-CN"/>
        </w:rPr>
        <w:t>中标人（乙方）：</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single"/>
          <w:lang w:val="zh-CN"/>
        </w:rPr>
        <w:t>（盖章）</w:t>
      </w:r>
    </w:p>
    <w:p>
      <w:pPr>
        <w:autoSpaceDE w:val="0"/>
        <w:autoSpaceDN w:val="0"/>
        <w:adjustRightInd w:val="0"/>
        <w:spacing w:line="360" w:lineRule="auto"/>
        <w:rPr>
          <w:rFonts w:hint="eastAsia" w:ascii="宋体" w:hAnsi="宋体" w:cs="宋体"/>
          <w:b/>
          <w:bCs/>
          <w:color w:val="auto"/>
          <w:kern w:val="0"/>
          <w:sz w:val="30"/>
          <w:szCs w:val="30"/>
        </w:rPr>
      </w:pPr>
      <w:r>
        <w:rPr>
          <w:rFonts w:hint="eastAsia" w:ascii="宋体" w:hAnsi="宋体" w:cs="宋体"/>
          <w:b/>
          <w:bCs/>
          <w:color w:val="auto"/>
          <w:kern w:val="0"/>
          <w:sz w:val="30"/>
          <w:szCs w:val="30"/>
          <w:lang w:val="zh-CN"/>
        </w:rPr>
        <w:t>招</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标</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日</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期</w:t>
      </w:r>
      <w:r>
        <w:rPr>
          <w:rFonts w:hint="eastAsia" w:ascii="宋体" w:hAnsi="宋体" w:cs="宋体"/>
          <w:b/>
          <w:bCs/>
          <w:color w:val="auto"/>
          <w:kern w:val="0"/>
          <w:sz w:val="30"/>
          <w:szCs w:val="30"/>
          <w:lang w:val="en-US" w:eastAsia="zh-CN"/>
        </w:rPr>
        <w:t xml:space="preserve"> </w:t>
      </w:r>
      <w:r>
        <w:rPr>
          <w:rFonts w:hint="eastAsia" w:ascii="宋体" w:hAnsi="宋体" w:cs="宋体"/>
          <w:b/>
          <w:bCs/>
          <w:color w:val="auto"/>
          <w:kern w:val="0"/>
          <w:sz w:val="30"/>
          <w:szCs w:val="30"/>
          <w:lang w:val="zh-CN"/>
        </w:rPr>
        <w:t>：</w:t>
      </w:r>
      <w:r>
        <w:rPr>
          <w:rFonts w:hint="eastAsia" w:ascii="宋体" w:hAnsi="宋体" w:cs="宋体"/>
          <w:b/>
          <w:bCs/>
          <w:color w:val="auto"/>
          <w:kern w:val="0"/>
          <w:sz w:val="30"/>
          <w:szCs w:val="30"/>
          <w:u w:val="single"/>
        </w:rPr>
        <w:t xml:space="preserve">     </w:t>
      </w:r>
      <w:r>
        <w:rPr>
          <w:rFonts w:hint="eastAsia" w:ascii="宋体" w:hAnsi="宋体" w:cs="宋体"/>
          <w:b/>
          <w:bCs/>
          <w:color w:val="auto"/>
          <w:kern w:val="0"/>
          <w:sz w:val="30"/>
          <w:szCs w:val="30"/>
          <w:u w:val="none"/>
        </w:rPr>
        <w:t xml:space="preserve">                       </w:t>
      </w:r>
      <w:r>
        <w:rPr>
          <w:rFonts w:hint="eastAsia" w:ascii="宋体" w:hAnsi="宋体" w:cs="宋体"/>
          <w:b/>
          <w:bCs/>
          <w:color w:val="auto"/>
          <w:kern w:val="0"/>
          <w:sz w:val="30"/>
          <w:szCs w:val="30"/>
          <w:u w:val="single"/>
        </w:rPr>
        <w:t xml:space="preserve">         </w:t>
      </w:r>
    </w:p>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stRightInd w:val="0"/>
        <w:spacing w:line="360" w:lineRule="auto"/>
        <w:jc w:val="left"/>
        <w:rPr>
          <w:rFonts w:hint="eastAsia" w:ascii="宋体" w:hAnsi="宋体" w:cs="宋体"/>
          <w:b/>
          <w:bCs/>
          <w:color w:val="auto"/>
          <w:kern w:val="0"/>
          <w:sz w:val="28"/>
          <w:szCs w:val="28"/>
          <w:lang w:val="zh-CN"/>
        </w:rPr>
      </w:pPr>
    </w:p>
    <w:p>
      <w:pPr>
        <w:autoSpaceDE w:val="0"/>
        <w:autoSpaceDN w:val="0"/>
        <w:adjustRightInd w:val="0"/>
        <w:spacing w:line="360" w:lineRule="auto"/>
        <w:jc w:val="left"/>
        <w:rPr>
          <w:rFonts w:hint="eastAsia" w:ascii="宋体" w:hAnsi="宋体" w:cs="宋体"/>
          <w:b/>
          <w:bCs/>
          <w:color w:val="auto"/>
          <w:kern w:val="0"/>
          <w:sz w:val="28"/>
          <w:szCs w:val="28"/>
          <w:lang w:val="zh-CN"/>
        </w:rPr>
      </w:pPr>
    </w:p>
    <w:p>
      <w:pPr>
        <w:pStyle w:val="2"/>
        <w:rPr>
          <w:rFonts w:hint="eastAsia"/>
          <w:lang w:val="zh-CN"/>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b/>
          <w:bCs/>
          <w:color w:val="000000"/>
          <w:kern w:val="0"/>
          <w:sz w:val="28"/>
          <w:szCs w:val="28"/>
          <w:lang w:val="zh-CN"/>
        </w:rPr>
        <w:t>采购人（以下简称甲方）：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甲、乙双方根据XXXX年XX月XX日（采购项目名称）采购项目（采购项目编号）的招标文件要求和采购代理机构出具的《中标通知书》，并经双方协商一致，签订本合同协议书。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480" w:lineRule="exact"/>
        <w:ind w:firstLine="480"/>
        <w:jc w:val="left"/>
        <w:rPr>
          <w:rFonts w:ascii="宋体" w:hAnsi="宋体" w:cs="宋体"/>
          <w:lang w:val="zh-CN"/>
        </w:rPr>
      </w:pPr>
      <w:r>
        <w:rPr>
          <w:rFonts w:hint="eastAsia" w:ascii="宋体" w:hAnsi="宋体" w:cs="宋体"/>
          <w:lang w:val="zh-CN"/>
        </w:rPr>
        <w:t>1.招标文件；</w:t>
      </w:r>
    </w:p>
    <w:p>
      <w:pPr>
        <w:autoSpaceDE w:val="0"/>
        <w:autoSpaceDN w:val="0"/>
        <w:spacing w:line="480" w:lineRule="exact"/>
        <w:ind w:firstLine="480"/>
        <w:jc w:val="left"/>
        <w:rPr>
          <w:rFonts w:ascii="宋体" w:hAnsi="宋体" w:cs="宋体"/>
          <w:lang w:val="zh-CN"/>
        </w:rPr>
      </w:pPr>
      <w:r>
        <w:rPr>
          <w:rFonts w:hint="eastAsia" w:ascii="宋体" w:hAnsi="宋体" w:cs="宋体"/>
          <w:lang w:val="zh-CN"/>
        </w:rPr>
        <w:t>2.招标文件的澄清、变更公告；</w:t>
      </w:r>
    </w:p>
    <w:p>
      <w:pPr>
        <w:autoSpaceDE w:val="0"/>
        <w:autoSpaceDN w:val="0"/>
        <w:spacing w:line="480" w:lineRule="exact"/>
        <w:ind w:firstLine="480"/>
        <w:jc w:val="left"/>
        <w:rPr>
          <w:rFonts w:ascii="宋体" w:hAnsi="宋体" w:cs="宋体"/>
          <w:lang w:val="zh-CN"/>
        </w:rPr>
      </w:pPr>
      <w:r>
        <w:rPr>
          <w:rFonts w:hint="eastAsia" w:ascii="宋体" w:hAnsi="宋体" w:cs="宋体"/>
          <w:lang w:val="zh-CN"/>
        </w:rPr>
        <w:t>3.中标人提交的投标文件；</w:t>
      </w:r>
    </w:p>
    <w:p>
      <w:pPr>
        <w:autoSpaceDE w:val="0"/>
        <w:autoSpaceDN w:val="0"/>
        <w:spacing w:line="480" w:lineRule="exact"/>
        <w:ind w:firstLine="480"/>
        <w:jc w:val="left"/>
        <w:rPr>
          <w:rFonts w:ascii="宋体" w:hAnsi="宋体" w:cs="宋体"/>
          <w:lang w:val="zh-CN"/>
        </w:rPr>
      </w:pPr>
      <w:r>
        <w:rPr>
          <w:rFonts w:hint="eastAsia" w:ascii="宋体" w:hAnsi="宋体" w:cs="宋体"/>
          <w:lang w:val="zh-CN"/>
        </w:rPr>
        <w:t>4.中标通知书。</w:t>
      </w:r>
    </w:p>
    <w:p>
      <w:pPr>
        <w:autoSpaceDE w:val="0"/>
        <w:autoSpaceDN w:val="0"/>
        <w:spacing w:line="480" w:lineRule="exact"/>
        <w:ind w:firstLine="480"/>
        <w:jc w:val="left"/>
        <w:rPr>
          <w:rFonts w:ascii="宋体" w:hAnsi="宋体" w:cs="宋体"/>
        </w:rPr>
      </w:pPr>
      <w:r>
        <w:rPr>
          <w:rFonts w:hint="eastAsia" w:ascii="宋体" w:hAnsi="宋体" w:cs="宋体"/>
        </w:rPr>
        <w:t>5.履约保证金缴纳凭证。</w:t>
      </w:r>
    </w:p>
    <w:p>
      <w:pPr>
        <w:autoSpaceDE w:val="0"/>
        <w:autoSpaceDN w:val="0"/>
        <w:spacing w:line="480" w:lineRule="exact"/>
        <w:ind w:firstLine="480" w:firstLineChars="200"/>
        <w:jc w:val="left"/>
        <w:rPr>
          <w:rFonts w:cs="Arial"/>
          <w:lang w:val="zh-CN"/>
        </w:rPr>
      </w:pPr>
      <w:r>
        <w:rPr>
          <w:rFonts w:hint="eastAsia" w:cs="Arial"/>
        </w:rPr>
        <w:t>6.</w:t>
      </w:r>
      <w:r>
        <w:rPr>
          <w:rFonts w:hint="eastAsia" w:cs="Arial"/>
          <w:lang w:val="zh-CN"/>
        </w:rPr>
        <w:t>开户许可证；</w:t>
      </w:r>
    </w:p>
    <w:p>
      <w:pPr>
        <w:autoSpaceDE w:val="0"/>
        <w:autoSpaceDN w:val="0"/>
        <w:spacing w:line="480" w:lineRule="exact"/>
        <w:ind w:firstLine="426"/>
        <w:jc w:val="left"/>
        <w:rPr>
          <w:rFonts w:cs="Arial"/>
          <w:lang w:val="zh-CN"/>
        </w:rPr>
      </w:pPr>
      <w:r>
        <w:rPr>
          <w:rFonts w:hint="eastAsia" w:cs="Arial"/>
        </w:rPr>
        <w:t>7</w:t>
      </w:r>
      <w:r>
        <w:rPr>
          <w:rFonts w:hint="eastAsia" w:cs="Arial"/>
          <w:lang w:val="zh-CN"/>
        </w:rPr>
        <w:t>.售后承诺及联系方式；</w:t>
      </w:r>
    </w:p>
    <w:p>
      <w:pPr>
        <w:autoSpaceDE w:val="0"/>
        <w:autoSpaceDN w:val="0"/>
        <w:spacing w:line="480" w:lineRule="exact"/>
        <w:ind w:firstLine="426"/>
        <w:jc w:val="left"/>
        <w:rPr>
          <w:rFonts w:cs="Arial"/>
          <w:lang w:val="zh-CN"/>
        </w:rPr>
      </w:pPr>
      <w:r>
        <w:rPr>
          <w:rFonts w:hint="eastAsia" w:cs="Arial"/>
        </w:rPr>
        <w:t>8</w:t>
      </w:r>
      <w:r>
        <w:rPr>
          <w:rFonts w:hint="eastAsia" w:cs="Arial"/>
          <w:lang w:val="zh-CN"/>
        </w:rPr>
        <w:t>.技术规格响应表；</w:t>
      </w:r>
    </w:p>
    <w:p>
      <w:pPr>
        <w:autoSpaceDE w:val="0"/>
        <w:autoSpaceDN w:val="0"/>
        <w:spacing w:line="480" w:lineRule="exact"/>
        <w:ind w:firstLine="480" w:firstLineChars="200"/>
        <w:jc w:val="left"/>
        <w:rPr>
          <w:rFonts w:cs="Arial"/>
          <w:lang w:val="zh-CN"/>
        </w:rPr>
      </w:pPr>
      <w:r>
        <w:rPr>
          <w:rFonts w:hint="eastAsia" w:cs="Arial"/>
        </w:rPr>
        <w:t>9</w:t>
      </w:r>
      <w:r>
        <w:rPr>
          <w:rFonts w:hint="eastAsia" w:cs="Arial"/>
          <w:lang w:val="zh-CN"/>
        </w:rPr>
        <w:t>.分项报价表。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5"/>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napToGrid w:val="0"/>
        <w:spacing w:line="312"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p>
    <w:p>
      <w:pPr>
        <w:autoSpaceDE w:val="0"/>
        <w:autoSpaceDN w:val="0"/>
        <w:snapToGrid w:val="0"/>
        <w:spacing w:line="312" w:lineRule="auto"/>
        <w:jc w:val="left"/>
        <w:rPr>
          <w:rFonts w:ascii="宋体" w:hAnsi="宋体" w:cs="宋体"/>
          <w:color w:val="000000"/>
          <w:kern w:val="0"/>
          <w:lang w:val="zh-CN"/>
        </w:rPr>
      </w:pPr>
      <w:r>
        <w:rPr>
          <w:rFonts w:hint="eastAsia" w:ascii="宋体" w:hAnsi="宋体" w:cs="宋体"/>
          <w:color w:val="000000"/>
          <w:kern w:val="0"/>
          <w:lang w:val="zh-CN"/>
        </w:rPr>
        <w:t>（大写）元。</w:t>
      </w:r>
    </w:p>
    <w:p>
      <w:pPr>
        <w:autoSpaceDE w:val="0"/>
        <w:autoSpaceDN w:val="0"/>
        <w:snapToGrid w:val="0"/>
        <w:spacing w:line="312"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交货时间：自合同签订后</w:t>
      </w:r>
      <w:r>
        <w:rPr>
          <w:rFonts w:hint="eastAsia" w:ascii="宋体" w:hAnsi="宋体" w:cs="宋体"/>
          <w:color w:val="000000"/>
          <w:kern w:val="0"/>
          <w:lang w:val="en-US" w:eastAsia="zh-CN"/>
        </w:rPr>
        <w:t>90</w:t>
      </w:r>
      <w:r>
        <w:rPr>
          <w:rFonts w:hint="eastAsia" w:ascii="宋体" w:hAnsi="宋体" w:cs="宋体"/>
          <w:color w:val="000000"/>
          <w:kern w:val="0"/>
          <w:lang w:val="zh-CN"/>
        </w:rPr>
        <w:t>个日历日；</w:t>
      </w:r>
    </w:p>
    <w:p>
      <w:pPr>
        <w:pStyle w:val="10"/>
        <w:ind w:firstLine="480" w:firstLineChars="200"/>
        <w:rPr>
          <w:rFonts w:hint="eastAsia" w:ascii="宋体" w:hAnsi="宋体" w:eastAsia="宋体" w:cs="宋体"/>
          <w:color w:val="000000"/>
          <w:kern w:val="0"/>
          <w:lang w:eastAsia="zh-CN"/>
        </w:rPr>
      </w:pPr>
      <w:r>
        <w:rPr>
          <w:rFonts w:hint="eastAsia" w:ascii="宋体" w:hAnsi="宋体" w:cs="宋体"/>
          <w:color w:val="000000"/>
          <w:kern w:val="0"/>
          <w:lang w:val="zh-CN"/>
        </w:rPr>
        <w:t>交货地点：</w:t>
      </w:r>
      <w:r>
        <w:rPr>
          <w:rFonts w:hint="eastAsia"/>
          <w:lang w:eastAsia="zh-CN"/>
        </w:rPr>
        <w:t>青海柴达木职业技术学院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w:t>
      </w:r>
      <w:r>
        <w:rPr>
          <w:rFonts w:hint="eastAsia" w:ascii="宋体" w:cs="宋体"/>
        </w:rPr>
        <w:t>货物、软硬件功能</w:t>
      </w:r>
      <w:r>
        <w:rPr>
          <w:rFonts w:hint="eastAsia" w:ascii="宋体" w:hAnsi="宋体" w:cs="宋体"/>
          <w:color w:val="000000"/>
          <w:kern w:val="0"/>
          <w:lang w:val="zh-CN"/>
        </w:rPr>
        <w:t>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rPr>
        <w:t>30</w:t>
      </w:r>
      <w:r>
        <w:rPr>
          <w:rFonts w:hint="eastAsia" w:ascii="宋体" w:hAnsi="宋体" w:cs="宋体"/>
          <w:color w:val="000000"/>
          <w:kern w:val="0"/>
          <w:lang w:val="zh-CN"/>
        </w:rPr>
        <w:t>个日历日后进行验收，逾期不验收的，乙方可视为验收合格。验收合格后，由甲乙双方签署产品验收单并加盖采购人公章，甲乙双方各执一份。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5.</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乙方向甲方提供产品相关完税销售发票。</w:t>
      </w:r>
    </w:p>
    <w:p>
      <w:pPr>
        <w:autoSpaceDE w:val="0"/>
        <w:autoSpaceDN w:val="0"/>
        <w:spacing w:line="360" w:lineRule="auto"/>
        <w:ind w:firstLine="360"/>
      </w:pPr>
      <w:r>
        <w:rPr>
          <w:rFonts w:hint="eastAsia" w:ascii="宋体" w:hAnsi="宋体" w:cs="宋体"/>
          <w:color w:val="000000"/>
          <w:kern w:val="0"/>
        </w:rPr>
        <w:t>7.乙方应按照招投标文件，逐一检查所交设备是否达到规格要求。</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360"/>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1.签订合同前乙方向甲方支付合同价10%履约保证金至甲方指定账户，即人民币(小写)</w:t>
      </w:r>
      <w:r>
        <w:rPr>
          <w:rFonts w:hint="eastAsia" w:ascii="宋体" w:hAnsi="宋体" w:eastAsia="宋体" w:cs="宋体"/>
          <w:b/>
          <w:bCs/>
          <w:color w:val="000000"/>
          <w:kern w:val="0"/>
          <w:highlight w:val="none"/>
          <w:u w:val="single"/>
          <w:lang w:val="zh-CN"/>
        </w:rPr>
        <w:t xml:space="preserve">      </w:t>
      </w:r>
      <w:r>
        <w:rPr>
          <w:rFonts w:hint="eastAsia" w:ascii="宋体" w:hAnsi="宋体" w:eastAsia="宋体" w:cs="宋体"/>
          <w:b/>
          <w:bCs/>
          <w:color w:val="000000"/>
          <w:kern w:val="0"/>
          <w:highlight w:val="none"/>
          <w:lang w:val="zh-CN"/>
        </w:rPr>
        <w:t>，(大写)：</w:t>
      </w:r>
      <w:r>
        <w:rPr>
          <w:rFonts w:hint="eastAsia" w:ascii="宋体" w:hAnsi="宋体" w:eastAsia="宋体" w:cs="宋体"/>
          <w:b/>
          <w:bCs/>
          <w:color w:val="000000"/>
          <w:kern w:val="0"/>
          <w:highlight w:val="none"/>
          <w:u w:val="single"/>
          <w:lang w:val="zh-CN"/>
        </w:rPr>
        <w:t xml:space="preserve">     </w:t>
      </w:r>
      <w:r>
        <w:rPr>
          <w:rFonts w:hint="eastAsia" w:ascii="宋体" w:hAnsi="宋体" w:eastAsia="宋体" w:cs="宋体"/>
          <w:b/>
          <w:bCs/>
          <w:color w:val="000000"/>
          <w:kern w:val="0"/>
          <w:highlight w:val="none"/>
          <w:lang w:val="zh-CN"/>
        </w:rPr>
        <w:t>,保证项目的正常实施。</w:t>
      </w:r>
    </w:p>
    <w:p>
      <w:pPr>
        <w:autoSpaceDE w:val="0"/>
        <w:autoSpaceDN w:val="0"/>
        <w:spacing w:line="360" w:lineRule="auto"/>
        <w:ind w:firstLine="360"/>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2.乙方为中小企业的，自合同签订生效后，甲方向乙方支付预付款(中标价的30%)，即人民币(小写)</w:t>
      </w:r>
      <w:r>
        <w:rPr>
          <w:rFonts w:hint="eastAsia" w:ascii="宋体" w:hAnsi="宋体" w:eastAsia="宋体" w:cs="宋体"/>
          <w:b/>
          <w:bCs/>
          <w:color w:val="000000"/>
          <w:kern w:val="0"/>
          <w:highlight w:val="none"/>
          <w:u w:val="single"/>
          <w:lang w:val="zh-CN"/>
        </w:rPr>
        <w:t xml:space="preserve">           </w:t>
      </w:r>
      <w:r>
        <w:rPr>
          <w:rFonts w:hint="eastAsia" w:ascii="宋体" w:hAnsi="宋体" w:eastAsia="宋体" w:cs="宋体"/>
          <w:b/>
          <w:bCs/>
          <w:color w:val="000000"/>
          <w:kern w:val="0"/>
          <w:highlight w:val="none"/>
          <w:lang w:val="zh-CN"/>
        </w:rPr>
        <w:t xml:space="preserve"> 元，(大写)：</w:t>
      </w:r>
      <w:r>
        <w:rPr>
          <w:rFonts w:hint="eastAsia" w:ascii="宋体" w:hAnsi="宋体" w:eastAsia="宋体" w:cs="宋体"/>
          <w:b/>
          <w:bCs/>
          <w:color w:val="000000"/>
          <w:kern w:val="0"/>
          <w:highlight w:val="none"/>
          <w:u w:val="single"/>
          <w:lang w:val="zh-CN"/>
        </w:rPr>
        <w:t xml:space="preserve">        </w:t>
      </w:r>
      <w:r>
        <w:rPr>
          <w:rFonts w:hint="eastAsia" w:ascii="宋体" w:hAnsi="宋体" w:eastAsia="宋体" w:cs="宋体"/>
          <w:b/>
          <w:bCs/>
          <w:color w:val="000000"/>
          <w:kern w:val="0"/>
          <w:highlight w:val="none"/>
          <w:lang w:val="zh-CN"/>
        </w:rPr>
        <w:t>(注：按照青海省财政厅关于充分发挥政府采购政策功能加大政府采购支持中小微企业力度的通知，青财采字(2022)684号)；验收合格后15个工作日内甲方向乙方支付合同总价款的70%，即人民币(小写)</w:t>
      </w:r>
      <w:r>
        <w:rPr>
          <w:rFonts w:hint="eastAsia" w:ascii="宋体" w:hAnsi="宋体" w:eastAsia="宋体" w:cs="宋体"/>
          <w:b/>
          <w:bCs/>
          <w:color w:val="000000"/>
          <w:kern w:val="0"/>
          <w:highlight w:val="none"/>
          <w:u w:val="single"/>
          <w:lang w:val="zh-CN"/>
        </w:rPr>
        <w:t xml:space="preserve">           </w:t>
      </w:r>
      <w:r>
        <w:rPr>
          <w:rFonts w:hint="eastAsia" w:ascii="宋体" w:hAnsi="宋体" w:eastAsia="宋体" w:cs="宋体"/>
          <w:b/>
          <w:bCs/>
          <w:color w:val="000000"/>
          <w:kern w:val="0"/>
          <w:highlight w:val="none"/>
          <w:lang w:val="zh-CN"/>
        </w:rPr>
        <w:t>元，大写：</w:t>
      </w:r>
      <w:r>
        <w:rPr>
          <w:rFonts w:hint="eastAsia" w:ascii="宋体" w:hAnsi="宋体" w:eastAsia="宋体" w:cs="宋体"/>
          <w:b/>
          <w:bCs/>
          <w:color w:val="000000"/>
          <w:kern w:val="0"/>
          <w:highlight w:val="none"/>
          <w:u w:val="single"/>
          <w:lang w:val="zh-CN"/>
        </w:rPr>
        <w:t xml:space="preserve">               </w:t>
      </w:r>
      <w:r>
        <w:rPr>
          <w:rFonts w:hint="eastAsia" w:ascii="宋体" w:hAnsi="宋体" w:eastAsia="宋体" w:cs="宋体"/>
          <w:b/>
          <w:bCs/>
          <w:color w:val="000000"/>
          <w:kern w:val="0"/>
          <w:highlight w:val="none"/>
          <w:lang w:val="zh-CN"/>
        </w:rPr>
        <w:t xml:space="preserve"> ；</w:t>
      </w:r>
    </w:p>
    <w:p>
      <w:pPr>
        <w:autoSpaceDE w:val="0"/>
        <w:autoSpaceDN w:val="0"/>
        <w:spacing w:line="360" w:lineRule="auto"/>
        <w:ind w:firstLine="360"/>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3.验收合格满1(年)且通过甲方验收产品无质量问题后，由甲方15日内退回10%的履约保证金，不计利息。</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500" w:lineRule="exact"/>
        <w:ind w:firstLine="360"/>
        <w:rPr>
          <w:rFonts w:ascii="宋体" w:cs="宋体"/>
          <w:kern w:val="0"/>
          <w:lang w:val="zh-CN"/>
        </w:rPr>
      </w:pPr>
      <w:r>
        <w:rPr>
          <w:rFonts w:hint="eastAsia" w:ascii="宋体" w:cs="宋体"/>
          <w:kern w:val="0"/>
          <w:lang w:val="zh-CN"/>
        </w:rPr>
        <w:t>1.乙方所提供的产品规格、技术标准、材料等质量不合格的，应</w:t>
      </w:r>
      <w:r>
        <w:rPr>
          <w:rFonts w:hint="eastAsia" w:ascii="宋体" w:cs="宋体"/>
          <w:kern w:val="0"/>
        </w:rPr>
        <w:t>在甲方通知后的 10 个工作日内</w:t>
      </w:r>
      <w:r>
        <w:rPr>
          <w:rFonts w:hint="eastAsia" w:ascii="宋体" w:cs="宋体"/>
          <w:kern w:val="0"/>
          <w:lang w:val="zh-CN"/>
        </w:rPr>
        <w:t>更换；更换不及时的，</w:t>
      </w:r>
      <w:r>
        <w:rPr>
          <w:rFonts w:hint="eastAsia" w:ascii="宋体" w:cs="宋体"/>
          <w:kern w:val="0"/>
        </w:rPr>
        <w:t>每逾期一日，按</w:t>
      </w:r>
      <w:r>
        <w:rPr>
          <w:rFonts w:hint="eastAsia" w:ascii="宋体" w:cs="宋体"/>
          <w:kern w:val="0"/>
          <w:lang w:val="zh-CN"/>
        </w:rPr>
        <w:t>未交货物货款</w:t>
      </w:r>
      <w:r>
        <w:rPr>
          <w:rFonts w:hint="eastAsia" w:ascii="宋体" w:cs="宋体"/>
          <w:kern w:val="0"/>
        </w:rPr>
        <w:t>的3‰承担违约责任</w:t>
      </w:r>
      <w:r>
        <w:rPr>
          <w:rFonts w:hint="eastAsia" w:ascii="宋体" w:cs="宋体"/>
          <w:kern w:val="0"/>
          <w:lang w:val="zh-CN"/>
        </w:rPr>
        <w:t>；因质量问题甲方不同意接收的，质保金全额扣除，并由乙方赔偿由此引起的甲方的一切经济损失。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玖</w:t>
      </w:r>
      <w:r>
        <w:rPr>
          <w:rFonts w:hint="eastAsia" w:ascii="宋体" w:hAnsi="宋体" w:cs="宋体"/>
          <w:color w:val="000000"/>
          <w:kern w:val="0"/>
          <w:lang w:val="zh-CN"/>
        </w:rPr>
        <w:t>份，经双方签字，并加盖公章即为生效。</w:t>
      </w:r>
    </w:p>
    <w:p>
      <w:pPr>
        <w:pStyle w:val="10"/>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w:t>
      </w:r>
      <w:r>
        <w:rPr>
          <w:rFonts w:hint="eastAsia" w:ascii="宋体" w:cs="宋体"/>
          <w:kern w:val="0"/>
          <w:lang w:val="zh-CN"/>
        </w:rPr>
        <w:t>《</w:t>
      </w:r>
      <w:r>
        <w:rPr>
          <w:rFonts w:hint="eastAsia" w:ascii="宋体" w:cs="宋体"/>
          <w:kern w:val="0"/>
        </w:rPr>
        <w:t>中华人民共和国民法典</w:t>
      </w:r>
      <w:r>
        <w:rPr>
          <w:rFonts w:hint="eastAsia" w:ascii="宋体" w:cs="宋体"/>
          <w:kern w:val="0"/>
          <w:lang w:val="zh-CN"/>
        </w:rPr>
        <w:t>》</w:t>
      </w:r>
      <w:r>
        <w:rPr>
          <w:rFonts w:hint="eastAsia" w:ascii="宋体" w:hAnsi="宋体" w:cs="宋体"/>
          <w:color w:val="000000"/>
          <w:kern w:val="0"/>
          <w:lang w:val="zh-CN"/>
        </w:rPr>
        <w:t>有关规定处理。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                         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                                  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                              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负责人：</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经办人：</w:t>
      </w:r>
    </w:p>
    <w:p>
      <w:pPr>
        <w:autoSpaceDE w:val="0"/>
        <w:autoSpaceDN w:val="0"/>
        <w:spacing w:line="360" w:lineRule="auto"/>
        <w:jc w:val="both"/>
        <w:rPr>
          <w:rFonts w:hint="eastAsia" w:ascii="宋体" w:hAnsi="宋体" w:cs="宋体"/>
          <w:b/>
          <w:bCs/>
          <w:color w:val="auto"/>
          <w:kern w:val="0"/>
          <w:sz w:val="28"/>
          <w:szCs w:val="28"/>
          <w:lang w:val="zh-CN"/>
        </w:rPr>
      </w:pPr>
      <w:r>
        <w:rPr>
          <w:rFonts w:hint="eastAsia"/>
        </w:rPr>
        <w:t>合同备案</w:t>
      </w:r>
      <w:r>
        <w:rPr>
          <w:rFonts w:hint="eastAsia" w:ascii="宋体" w:hAnsi="宋体" w:cs="宋体"/>
          <w:color w:val="000000"/>
          <w:kern w:val="0"/>
          <w:lang w:val="zh-CN"/>
        </w:rPr>
        <w:t>时间：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年   月   日</w:t>
      </w:r>
      <w:r>
        <w:rPr>
          <w:rFonts w:hint="eastAsia" w:ascii="宋体" w:hAnsi="宋体" w:cs="宋体"/>
          <w:b/>
          <w:bCs/>
          <w:color w:val="auto"/>
          <w:kern w:val="0"/>
          <w:sz w:val="28"/>
          <w:szCs w:val="28"/>
          <w:lang w:val="zh-CN"/>
        </w:rPr>
        <w:br w:type="page"/>
      </w:r>
    </w:p>
    <w:p>
      <w:pPr>
        <w:autoSpaceDE w:val="0"/>
        <w:autoSpaceDN w:val="0"/>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lang w:val="zh-CN"/>
        </w:rPr>
        <w:t>合同通用条款</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根据《民法典》、《中华人民共和国政府采购法》的规定，合同双方经协商达成一致，自愿订立本合同，遵循公平原则明确双方的权利、义务，确保双方诚实守信地履行合同。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w:t>
      </w:r>
      <w:r>
        <w:rPr>
          <w:rFonts w:hint="eastAsia" w:ascii="宋体" w:hAnsi="宋体" w:cs="宋体"/>
          <w:b/>
          <w:bCs/>
          <w:color w:val="auto"/>
          <w:kern w:val="0"/>
          <w:lang w:val="zh-CN"/>
        </w:rPr>
        <w:t>定义</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本合同中的下列术语应解释为：</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 </w:t>
      </w:r>
      <w:r>
        <w:rPr>
          <w:rFonts w:hint="eastAsia" w:ascii="宋体" w:hAnsi="宋体" w:cs="宋体"/>
          <w:color w:val="auto"/>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1.2 </w:t>
      </w:r>
      <w:r>
        <w:rPr>
          <w:rFonts w:hint="eastAsia" w:ascii="宋体" w:hAnsi="宋体" w:cs="宋体"/>
          <w:color w:val="auto"/>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1.3 </w:t>
      </w:r>
      <w:r>
        <w:rPr>
          <w:rFonts w:hint="eastAsia" w:ascii="宋体" w:hAnsi="宋体" w:cs="宋体"/>
          <w:color w:val="auto"/>
          <w:kern w:val="0"/>
          <w:lang w:val="zh-CN"/>
        </w:rPr>
        <w:t>“合同条款”指本合同条款。</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1.4 </w:t>
      </w:r>
      <w:r>
        <w:rPr>
          <w:rFonts w:hint="eastAsia" w:ascii="宋体" w:hAnsi="宋体" w:cs="宋体"/>
          <w:color w:val="auto"/>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1.5 </w:t>
      </w:r>
      <w:r>
        <w:rPr>
          <w:rFonts w:hint="eastAsia" w:ascii="宋体" w:hAnsi="宋体" w:cs="宋体"/>
          <w:color w:val="auto"/>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1.6 </w:t>
      </w:r>
      <w:r>
        <w:rPr>
          <w:rFonts w:hint="eastAsia" w:ascii="宋体" w:hAnsi="宋体" w:cs="宋体"/>
          <w:color w:val="auto"/>
          <w:kern w:val="0"/>
          <w:lang w:val="zh-CN"/>
        </w:rPr>
        <w:t>“甲方”指购买货物和服务的单位。</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1.7 </w:t>
      </w:r>
      <w:r>
        <w:rPr>
          <w:rFonts w:hint="eastAsia" w:ascii="宋体" w:hAnsi="宋体" w:cs="宋体"/>
          <w:color w:val="auto"/>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1.8 </w:t>
      </w:r>
      <w:r>
        <w:rPr>
          <w:rFonts w:hint="eastAsia" w:ascii="宋体" w:hAnsi="宋体" w:cs="宋体"/>
          <w:color w:val="auto"/>
          <w:kern w:val="0"/>
          <w:lang w:val="zh-CN"/>
        </w:rPr>
        <w:t>“现场”指合同规定货物将要运至和安装的地点。</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1.9 </w:t>
      </w:r>
      <w:r>
        <w:rPr>
          <w:rFonts w:hint="eastAsia" w:ascii="宋体" w:hAnsi="宋体" w:cs="宋体"/>
          <w:color w:val="auto"/>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1.10 </w:t>
      </w:r>
      <w:r>
        <w:rPr>
          <w:rFonts w:hint="eastAsia" w:ascii="宋体" w:hAnsi="宋体" w:cs="宋体"/>
          <w:color w:val="auto"/>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原产地：指产品的生产地，或提供服务的来源地。</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“工作日”指国家法定工作日，“天”指日历天数。</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2.</w:t>
      </w:r>
      <w:r>
        <w:rPr>
          <w:rFonts w:hint="eastAsia" w:ascii="宋体" w:hAnsi="宋体" w:cs="宋体"/>
          <w:b/>
          <w:bCs/>
          <w:color w:val="auto"/>
          <w:kern w:val="0"/>
          <w:lang w:val="zh-CN"/>
        </w:rPr>
        <w:t>技术规格要求</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2.1 </w:t>
      </w:r>
      <w:r>
        <w:rPr>
          <w:rFonts w:hint="eastAsia" w:ascii="宋体" w:hAnsi="宋体" w:cs="宋体"/>
          <w:color w:val="auto"/>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2.2 </w:t>
      </w:r>
      <w:r>
        <w:rPr>
          <w:rFonts w:hint="eastAsia" w:ascii="宋体" w:hAnsi="宋体" w:cs="宋体"/>
          <w:color w:val="auto"/>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2.3 </w:t>
      </w:r>
      <w:r>
        <w:rPr>
          <w:rFonts w:hint="eastAsia" w:ascii="宋体" w:hAnsi="宋体" w:cs="宋体"/>
          <w:color w:val="auto"/>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3.</w:t>
      </w:r>
      <w:r>
        <w:rPr>
          <w:rFonts w:hint="eastAsia" w:ascii="宋体" w:hAnsi="宋体" w:cs="宋体"/>
          <w:b/>
          <w:bCs/>
          <w:color w:val="auto"/>
          <w:kern w:val="0"/>
          <w:lang w:val="zh-CN"/>
        </w:rPr>
        <w:t>合同范围</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3.1 </w:t>
      </w:r>
      <w:r>
        <w:rPr>
          <w:rFonts w:hint="eastAsia" w:ascii="宋体" w:hAnsi="宋体" w:cs="宋体"/>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3.2 </w:t>
      </w:r>
      <w:r>
        <w:rPr>
          <w:rFonts w:hint="eastAsia" w:ascii="宋体" w:hAnsi="宋体" w:cs="宋体"/>
          <w:color w:val="auto"/>
          <w:kern w:val="0"/>
          <w:lang w:val="zh-CN"/>
        </w:rPr>
        <w:t>乙方应负责培训甲方的技术人员。</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3.3 </w:t>
      </w:r>
      <w:r>
        <w:rPr>
          <w:rFonts w:hint="eastAsia" w:ascii="宋体" w:hAnsi="宋体" w:cs="宋体"/>
          <w:color w:val="auto"/>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4.</w:t>
      </w:r>
      <w:r>
        <w:rPr>
          <w:rFonts w:hint="eastAsia" w:ascii="宋体" w:hAnsi="宋体" w:cs="宋体"/>
          <w:b/>
          <w:bCs/>
          <w:color w:val="auto"/>
          <w:kern w:val="0"/>
          <w:lang w:val="zh-CN"/>
        </w:rPr>
        <w:t>合同文件和资料</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4.1 </w:t>
      </w:r>
      <w:r>
        <w:rPr>
          <w:rFonts w:hint="eastAsia" w:ascii="宋体" w:hAnsi="宋体" w:cs="宋体"/>
          <w:color w:val="auto"/>
          <w:kern w:val="0"/>
          <w:lang w:val="zh-CN"/>
        </w:rPr>
        <w:t>乙方在提供货物时应同时提供中文版相关的技术资料，如目录索引、图纸、操作手册、使用指南、维修指南、服务手册等。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4.2 </w:t>
      </w:r>
      <w:r>
        <w:rPr>
          <w:rFonts w:hint="eastAsia" w:ascii="宋体" w:hAnsi="宋体" w:cs="宋体"/>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5.</w:t>
      </w:r>
      <w:r>
        <w:rPr>
          <w:rFonts w:hint="eastAsia" w:ascii="宋体" w:hAnsi="宋体" w:cs="宋体"/>
          <w:b/>
          <w:bCs/>
          <w:color w:val="auto"/>
          <w:kern w:val="0"/>
          <w:lang w:val="zh-CN"/>
        </w:rPr>
        <w:t>知识产权</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5.1 </w:t>
      </w:r>
      <w:r>
        <w:rPr>
          <w:rFonts w:hint="eastAsia" w:ascii="宋体" w:hAnsi="宋体" w:cs="宋体"/>
          <w:color w:val="auto"/>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5.2 </w:t>
      </w:r>
      <w:r>
        <w:rPr>
          <w:rFonts w:hint="eastAsia" w:ascii="宋体" w:hAnsi="宋体" w:cs="宋体"/>
          <w:color w:val="auto"/>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5.3 </w:t>
      </w:r>
      <w:r>
        <w:rPr>
          <w:rFonts w:hint="eastAsia" w:ascii="宋体" w:hAnsi="宋体" w:cs="宋体"/>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5.4 </w:t>
      </w:r>
      <w:r>
        <w:rPr>
          <w:rFonts w:hint="eastAsia" w:ascii="宋体" w:hAnsi="宋体" w:cs="宋体"/>
          <w:color w:val="auto"/>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5.5 </w:t>
      </w:r>
      <w:r>
        <w:rPr>
          <w:rFonts w:hint="eastAsia" w:ascii="宋体" w:hAnsi="宋体" w:cs="宋体"/>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6.</w:t>
      </w:r>
      <w:r>
        <w:rPr>
          <w:rFonts w:hint="eastAsia" w:ascii="宋体" w:hAnsi="宋体" w:cs="宋体"/>
          <w:b/>
          <w:bCs/>
          <w:color w:val="auto"/>
          <w:kern w:val="0"/>
          <w:lang w:val="zh-CN"/>
        </w:rPr>
        <w:t>保密</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6.1 </w:t>
      </w:r>
      <w:r>
        <w:rPr>
          <w:rFonts w:hint="eastAsia" w:ascii="宋体" w:hAnsi="宋体" w:cs="宋体"/>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6.2 </w:t>
      </w:r>
      <w:r>
        <w:rPr>
          <w:rFonts w:hint="eastAsia" w:ascii="宋体" w:hAnsi="宋体" w:cs="宋体"/>
          <w:color w:val="auto"/>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6.2.1 </w:t>
      </w:r>
      <w:r>
        <w:rPr>
          <w:rFonts w:hint="eastAsia" w:ascii="宋体" w:hAnsi="宋体" w:cs="宋体"/>
          <w:color w:val="auto"/>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6.2.2 </w:t>
      </w:r>
      <w:r>
        <w:rPr>
          <w:rFonts w:hint="eastAsia" w:ascii="宋体" w:hAnsi="宋体" w:cs="宋体"/>
          <w:color w:val="auto"/>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6.2.3 </w:t>
      </w:r>
      <w:r>
        <w:rPr>
          <w:rFonts w:hint="eastAsia" w:ascii="宋体" w:hAnsi="宋体" w:cs="宋体"/>
          <w:color w:val="auto"/>
          <w:kern w:val="0"/>
          <w:lang w:val="zh-CN"/>
        </w:rPr>
        <w:t>任何对方的技术秘密或专有知识、文件</w:t>
      </w:r>
      <w:r>
        <w:rPr>
          <w:rFonts w:hint="eastAsia" w:ascii="宋体" w:hAnsi="宋体" w:cs="宋体"/>
          <w:color w:val="auto"/>
          <w:kern w:val="0"/>
        </w:rPr>
        <w:t xml:space="preserve"> </w:t>
      </w:r>
      <w:r>
        <w:rPr>
          <w:rFonts w:hint="eastAsia" w:ascii="宋体" w:hAnsi="宋体" w:cs="宋体"/>
          <w:color w:val="auto"/>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6.3 </w:t>
      </w:r>
      <w:r>
        <w:rPr>
          <w:rFonts w:hint="eastAsia" w:ascii="宋体" w:hAnsi="宋体" w:cs="宋体"/>
          <w:color w:val="auto"/>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 xml:space="preserve">7. </w:t>
      </w:r>
      <w:r>
        <w:rPr>
          <w:rFonts w:hint="eastAsia" w:ascii="宋体" w:hAnsi="宋体" w:cs="宋体"/>
          <w:b/>
          <w:bCs/>
          <w:color w:val="auto"/>
          <w:kern w:val="0"/>
          <w:lang w:val="zh-CN"/>
        </w:rPr>
        <w:t>质量保证</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7.1 </w:t>
      </w:r>
      <w:r>
        <w:rPr>
          <w:rFonts w:hint="eastAsia" w:ascii="宋体" w:hAnsi="宋体" w:cs="宋体"/>
          <w:color w:val="auto"/>
          <w:kern w:val="0"/>
          <w:lang w:val="zh-CN"/>
        </w:rPr>
        <w:t>货物质量保证</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7.1.1 </w:t>
      </w:r>
      <w:r>
        <w:rPr>
          <w:rFonts w:hint="eastAsia" w:ascii="宋体" w:hAnsi="宋体" w:cs="宋体"/>
          <w:color w:val="auto"/>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7.1.2 </w:t>
      </w:r>
      <w:r>
        <w:rPr>
          <w:rFonts w:hint="eastAsia" w:ascii="宋体" w:hAnsi="宋体" w:cs="宋体"/>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7.1.3 </w:t>
      </w:r>
      <w:r>
        <w:rPr>
          <w:rFonts w:hint="eastAsia" w:ascii="宋体" w:hAnsi="宋体" w:cs="宋体"/>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7.1.4 </w:t>
      </w:r>
      <w:r>
        <w:rPr>
          <w:rFonts w:hint="eastAsia" w:ascii="宋体" w:hAnsi="宋体" w:cs="宋体"/>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7.1.5 </w:t>
      </w:r>
      <w:r>
        <w:rPr>
          <w:rFonts w:hint="eastAsia" w:ascii="宋体" w:hAnsi="宋体" w:cs="宋体"/>
          <w:color w:val="auto"/>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7.2 </w:t>
      </w:r>
      <w:r>
        <w:rPr>
          <w:rFonts w:hint="eastAsia" w:ascii="宋体" w:hAnsi="宋体" w:cs="宋体"/>
          <w:color w:val="auto"/>
          <w:kern w:val="0"/>
          <w:lang w:val="zh-CN"/>
        </w:rPr>
        <w:t>辅助服务质量保证</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7.2.1 </w:t>
      </w:r>
      <w:r>
        <w:rPr>
          <w:rFonts w:hint="eastAsia" w:ascii="宋体" w:hAnsi="宋体" w:cs="宋体"/>
          <w:color w:val="auto"/>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7.2.2 </w:t>
      </w:r>
      <w:r>
        <w:rPr>
          <w:rFonts w:hint="eastAsia" w:ascii="宋体" w:hAnsi="宋体" w:cs="宋体"/>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8.</w:t>
      </w:r>
      <w:r>
        <w:rPr>
          <w:rFonts w:hint="eastAsia" w:ascii="宋体" w:hAnsi="宋体" w:cs="宋体"/>
          <w:b/>
          <w:bCs/>
          <w:color w:val="auto"/>
          <w:kern w:val="0"/>
          <w:lang w:val="zh-CN"/>
        </w:rPr>
        <w:t>包装要求</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8.1 </w:t>
      </w:r>
      <w:r>
        <w:rPr>
          <w:rFonts w:hint="eastAsia" w:ascii="宋体" w:hAnsi="宋体" w:cs="宋体"/>
          <w:color w:val="auto"/>
          <w:kern w:val="0"/>
          <w:lang w:val="zh-CN"/>
        </w:rPr>
        <w:t>除合同另有约定外</w:t>
      </w:r>
      <w:r>
        <w:rPr>
          <w:rFonts w:hint="eastAsia" w:ascii="宋体" w:hAnsi="宋体" w:cs="宋体"/>
          <w:color w:val="auto"/>
          <w:kern w:val="0"/>
        </w:rPr>
        <w:t>,</w:t>
      </w:r>
      <w:r>
        <w:rPr>
          <w:rFonts w:hint="eastAsia" w:ascii="宋体" w:hAnsi="宋体" w:cs="宋体"/>
          <w:color w:val="auto"/>
          <w:kern w:val="0"/>
          <w:lang w:val="zh-CN"/>
        </w:rPr>
        <w:t>乙方提供的全部货物</w:t>
      </w:r>
      <w:r>
        <w:rPr>
          <w:rFonts w:hint="eastAsia" w:ascii="宋体" w:hAnsi="宋体" w:cs="宋体"/>
          <w:color w:val="auto"/>
          <w:kern w:val="0"/>
        </w:rPr>
        <w:t>,</w:t>
      </w:r>
      <w:r>
        <w:rPr>
          <w:rFonts w:hint="eastAsia" w:ascii="宋体" w:hAnsi="宋体" w:cs="宋体"/>
          <w:color w:val="auto"/>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8.2 </w:t>
      </w:r>
      <w:r>
        <w:rPr>
          <w:rFonts w:hint="eastAsia" w:ascii="宋体" w:hAnsi="宋体" w:cs="宋体"/>
          <w:color w:val="auto"/>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8.3 </w:t>
      </w:r>
      <w:r>
        <w:rPr>
          <w:rFonts w:hint="eastAsia" w:ascii="宋体" w:hAnsi="宋体" w:cs="宋体"/>
          <w:color w:val="auto"/>
          <w:kern w:val="0"/>
          <w:lang w:val="zh-CN"/>
        </w:rPr>
        <w:t>乙方所提供的货物包装均为出厂时原包装。</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8.4 </w:t>
      </w:r>
      <w:r>
        <w:rPr>
          <w:rFonts w:hint="eastAsia" w:ascii="宋体" w:hAnsi="宋体" w:cs="宋体"/>
          <w:color w:val="auto"/>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8.5 </w:t>
      </w:r>
      <w:r>
        <w:rPr>
          <w:rFonts w:hint="eastAsia" w:ascii="宋体" w:hAnsi="宋体" w:cs="宋体"/>
          <w:color w:val="auto"/>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9.</w:t>
      </w:r>
      <w:r>
        <w:rPr>
          <w:rFonts w:hint="eastAsia" w:ascii="宋体" w:hAnsi="宋体" w:cs="宋体"/>
          <w:b/>
          <w:bCs/>
          <w:color w:val="auto"/>
          <w:kern w:val="0"/>
          <w:lang w:val="zh-CN"/>
        </w:rPr>
        <w:t>价格</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9.1 </w:t>
      </w:r>
      <w:r>
        <w:rPr>
          <w:rFonts w:hint="eastAsia" w:ascii="宋体" w:hAnsi="宋体" w:cs="宋体"/>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9.2 </w:t>
      </w:r>
      <w:r>
        <w:rPr>
          <w:rFonts w:hint="eastAsia" w:ascii="宋体" w:hAnsi="宋体" w:cs="宋体"/>
          <w:color w:val="auto"/>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9.3 </w:t>
      </w:r>
      <w:r>
        <w:rPr>
          <w:rFonts w:hint="eastAsia" w:ascii="宋体" w:hAnsi="宋体" w:cs="宋体"/>
          <w:color w:val="auto"/>
          <w:kern w:val="0"/>
          <w:lang w:val="zh-CN"/>
        </w:rPr>
        <w:t>检验费用</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9.3.1 </w:t>
      </w:r>
      <w:r>
        <w:rPr>
          <w:rFonts w:hint="eastAsia" w:ascii="宋体" w:hAnsi="宋体" w:cs="宋体"/>
          <w:color w:val="auto"/>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9.3.2 </w:t>
      </w:r>
      <w:r>
        <w:rPr>
          <w:rFonts w:hint="eastAsia" w:ascii="宋体" w:hAnsi="宋体" w:cs="宋体"/>
          <w:color w:val="auto"/>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9.3.3 </w:t>
      </w:r>
      <w:r>
        <w:rPr>
          <w:rFonts w:hint="eastAsia" w:ascii="宋体" w:hAnsi="宋体" w:cs="宋体"/>
          <w:color w:val="auto"/>
          <w:kern w:val="0"/>
          <w:lang w:val="zh-CN"/>
        </w:rPr>
        <w:t>甲方检验人员已到卖方所在地，测试无法依照合同进行，</w:t>
      </w:r>
      <w:r>
        <w:rPr>
          <w:rFonts w:hint="eastAsia" w:ascii="宋体" w:hAnsi="宋体" w:cs="宋体"/>
          <w:color w:val="auto"/>
          <w:kern w:val="0"/>
        </w:rPr>
        <w:t xml:space="preserve"> </w:t>
      </w:r>
      <w:r>
        <w:rPr>
          <w:rFonts w:hint="eastAsia" w:ascii="宋体" w:hAnsi="宋体" w:cs="宋体"/>
          <w:color w:val="auto"/>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10.</w:t>
      </w:r>
      <w:r>
        <w:rPr>
          <w:rFonts w:hint="eastAsia" w:ascii="宋体" w:hAnsi="宋体" w:cs="宋体"/>
          <w:b/>
          <w:bCs/>
          <w:color w:val="auto"/>
          <w:kern w:val="0"/>
          <w:lang w:val="zh-CN"/>
        </w:rPr>
        <w:t>交货方式及交货日期</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交货方式：现场交货，乙方负责办理运输和保险，将货物运抵指定地点。</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交货期应根据产品的特点实事求是填写，进口产品</w:t>
      </w:r>
      <w:r>
        <w:rPr>
          <w:rFonts w:hint="eastAsia" w:ascii="宋体" w:hAnsi="宋体" w:cs="宋体"/>
          <w:color w:val="auto"/>
          <w:kern w:val="0"/>
          <w:lang w:val="en-US" w:eastAsia="zh-CN"/>
        </w:rPr>
        <w:t>60</w:t>
      </w:r>
      <w:r>
        <w:rPr>
          <w:rFonts w:hint="eastAsia" w:ascii="宋体" w:hAnsi="宋体" w:cs="宋体"/>
          <w:color w:val="auto"/>
          <w:kern w:val="0"/>
          <w:lang w:val="zh-CN"/>
        </w:rPr>
        <w:t>个工作日内，国产产品</w:t>
      </w:r>
      <w:r>
        <w:rPr>
          <w:rFonts w:hint="eastAsia" w:ascii="宋体" w:hAnsi="宋体" w:cs="宋体"/>
          <w:color w:val="auto"/>
          <w:kern w:val="0"/>
          <w:lang w:val="en-US" w:eastAsia="zh-CN"/>
        </w:rPr>
        <w:t>30</w:t>
      </w:r>
      <w:r>
        <w:rPr>
          <w:rFonts w:hint="eastAsia" w:ascii="宋体" w:hAnsi="宋体" w:cs="宋体"/>
          <w:color w:val="auto"/>
          <w:kern w:val="0"/>
          <w:lang w:val="zh-CN"/>
        </w:rPr>
        <w:t>个工作日内。特殊产品交货期需说明。</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交货日期：所有货物运抵现场并经双方开箱验收合格之日。</w:t>
      </w:r>
    </w:p>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11.检验和验收</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eastAsia="zh-CN"/>
        </w:rPr>
        <w:t>现场</w:t>
      </w:r>
      <w:r>
        <w:rPr>
          <w:rFonts w:hint="eastAsia" w:ascii="宋体" w:hAnsi="宋体" w:cs="宋体"/>
          <w:color w:val="auto"/>
          <w:kern w:val="0"/>
          <w:lang w:val="zh-CN"/>
        </w:rPr>
        <w:t>验收</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11.1.1 </w:t>
      </w:r>
      <w:r>
        <w:rPr>
          <w:rFonts w:hint="eastAsia" w:ascii="宋体" w:hAnsi="宋体" w:cs="宋体"/>
          <w:color w:val="auto"/>
          <w:kern w:val="0"/>
          <w:lang w:val="zh-CN"/>
        </w:rPr>
        <w:t>货物运抵现场后，双方应及时验收，并制作验收记录，以确认与本合同约定的数量、型号等是否一致。</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11.1.2 </w:t>
      </w:r>
      <w:r>
        <w:rPr>
          <w:rFonts w:hint="eastAsia" w:ascii="宋体" w:hAnsi="宋体" w:cs="宋体"/>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11.1.3 </w:t>
      </w:r>
      <w:r>
        <w:rPr>
          <w:rFonts w:hint="eastAsia" w:ascii="宋体" w:hAnsi="宋体" w:cs="宋体"/>
          <w:color w:val="auto"/>
          <w:kern w:val="0"/>
          <w:lang w:val="zh-CN"/>
        </w:rPr>
        <w:t>验收中如发现货物的数量、规格与合同约定不符，甲方有权拒收货物，乙方应及时按甲方要求免费对拒收货物采取更换或其他必要的补救措施，直至验收合格，方视为乙方完成交货。</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检验验收</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11.2.1 </w:t>
      </w:r>
      <w:r>
        <w:rPr>
          <w:rFonts w:hint="eastAsia" w:ascii="宋体" w:hAnsi="宋体" w:cs="宋体"/>
          <w:color w:val="auto"/>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11.2.2 </w:t>
      </w:r>
      <w:r>
        <w:rPr>
          <w:rFonts w:hint="eastAsia" w:ascii="宋体" w:hAnsi="宋体" w:cs="宋体"/>
          <w:color w:val="auto"/>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11.2.3 </w:t>
      </w:r>
      <w:r>
        <w:rPr>
          <w:rFonts w:hint="eastAsia" w:ascii="宋体" w:hAnsi="宋体" w:cs="宋体"/>
          <w:color w:val="auto"/>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11.2.4 </w:t>
      </w:r>
      <w:r>
        <w:rPr>
          <w:rFonts w:hint="eastAsia" w:ascii="宋体" w:hAnsi="宋体" w:cs="宋体"/>
          <w:color w:val="auto"/>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a.</w:t>
      </w:r>
      <w:r>
        <w:rPr>
          <w:rFonts w:hint="eastAsia" w:ascii="宋体" w:hAnsi="宋体" w:cs="宋体"/>
          <w:color w:val="auto"/>
          <w:kern w:val="0"/>
          <w:lang w:val="zh-CN"/>
        </w:rPr>
        <w:t>重新测试直至合格为止；</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b.</w:t>
      </w:r>
      <w:r>
        <w:rPr>
          <w:rFonts w:hint="eastAsia" w:ascii="宋体" w:hAnsi="宋体" w:cs="宋体"/>
          <w:color w:val="auto"/>
          <w:kern w:val="0"/>
          <w:lang w:val="zh-CN"/>
        </w:rPr>
        <w:t>要求乙方对货物进行免费更换，然后重新测试直至合格为止；</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11.3 </w:t>
      </w:r>
      <w:r>
        <w:rPr>
          <w:rFonts w:hint="eastAsia" w:ascii="宋体" w:hAnsi="宋体" w:cs="宋体"/>
          <w:color w:val="auto"/>
          <w:kern w:val="0"/>
          <w:lang w:val="zh-CN"/>
        </w:rPr>
        <w:t>使用过程检验</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11.3.1 </w:t>
      </w:r>
      <w:r>
        <w:rPr>
          <w:rFonts w:hint="eastAsia" w:ascii="宋体" w:hAnsi="宋体" w:cs="宋体"/>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11.3.2 </w:t>
      </w:r>
      <w:r>
        <w:rPr>
          <w:rFonts w:hint="eastAsia" w:ascii="宋体" w:hAnsi="宋体" w:cs="宋体"/>
          <w:color w:val="auto"/>
          <w:kern w:val="0"/>
          <w:lang w:val="zh-CN"/>
        </w:rPr>
        <w:t>如果合同双方对乙方提供的上述试验结果报告的解释有分歧，双方须于出现分歧后</w:t>
      </w:r>
      <w:r>
        <w:rPr>
          <w:rFonts w:hint="eastAsia" w:ascii="宋体" w:hAnsi="宋体" w:cs="宋体"/>
          <w:color w:val="auto"/>
          <w:kern w:val="0"/>
        </w:rPr>
        <w:t>10</w:t>
      </w:r>
      <w:r>
        <w:rPr>
          <w:rFonts w:hint="eastAsia" w:ascii="宋体" w:hAnsi="宋体" w:cs="宋体"/>
          <w:color w:val="auto"/>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12.</w:t>
      </w:r>
      <w:r>
        <w:rPr>
          <w:rFonts w:hint="eastAsia" w:ascii="宋体" w:hAnsi="宋体" w:cs="宋体"/>
          <w:b/>
          <w:bCs/>
          <w:color w:val="auto"/>
          <w:kern w:val="0"/>
          <w:lang w:val="zh-CN"/>
        </w:rPr>
        <w:t>付款方法和条件</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13.</w:t>
      </w:r>
      <w:r>
        <w:rPr>
          <w:rFonts w:hint="eastAsia" w:ascii="宋体" w:hAnsi="宋体" w:cs="宋体"/>
          <w:b/>
          <w:bCs/>
          <w:color w:val="auto"/>
          <w:kern w:val="0"/>
          <w:lang w:val="zh-CN"/>
        </w:rPr>
        <w:t>履约保证金</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13.1 </w:t>
      </w:r>
      <w:r>
        <w:rPr>
          <w:rFonts w:hint="eastAsia" w:ascii="宋体" w:hAnsi="宋体" w:cs="宋体"/>
          <w:color w:val="auto"/>
          <w:kern w:val="0"/>
          <w:lang w:val="zh-CN"/>
        </w:rPr>
        <w:t>乙方应在合同签订前，按招标文件第</w:t>
      </w:r>
      <w:r>
        <w:rPr>
          <w:rFonts w:hint="eastAsia" w:ascii="宋体" w:hAnsi="宋体" w:cs="宋体"/>
          <w:color w:val="auto"/>
          <w:kern w:val="0"/>
        </w:rPr>
        <w:t>二</w:t>
      </w:r>
      <w:r>
        <w:rPr>
          <w:rFonts w:hint="eastAsia" w:ascii="宋体" w:hAnsi="宋体" w:cs="宋体"/>
          <w:color w:val="auto"/>
          <w:kern w:val="0"/>
          <w:lang w:val="zh-CN"/>
        </w:rPr>
        <w:t>部分“八 授予合同”中第22.2项的约定提交履约保证金。</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13.2 </w:t>
      </w:r>
      <w:r>
        <w:rPr>
          <w:rFonts w:hint="eastAsia" w:ascii="宋体" w:hAnsi="宋体" w:cs="宋体"/>
          <w:color w:val="auto"/>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13.3 </w:t>
      </w:r>
      <w:r>
        <w:rPr>
          <w:rFonts w:hint="eastAsia" w:ascii="宋体" w:hAnsi="宋体" w:cs="宋体"/>
          <w:color w:val="auto"/>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13.3.1 </w:t>
      </w:r>
      <w:r>
        <w:rPr>
          <w:rFonts w:hint="eastAsia" w:ascii="宋体" w:hAnsi="宋体" w:cs="宋体"/>
          <w:color w:val="auto"/>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13.3.2 </w:t>
      </w:r>
      <w:r>
        <w:rPr>
          <w:rFonts w:hint="eastAsia" w:ascii="宋体" w:hAnsi="宋体" w:cs="宋体"/>
          <w:color w:val="auto"/>
          <w:kern w:val="0"/>
          <w:lang w:val="zh-CN"/>
        </w:rPr>
        <w:t>支票或汇票。</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13.4 </w:t>
      </w:r>
      <w:r>
        <w:rPr>
          <w:rFonts w:hint="eastAsia" w:ascii="宋体" w:hAnsi="宋体" w:cs="宋体"/>
          <w:color w:val="auto"/>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14.</w:t>
      </w:r>
      <w:r>
        <w:rPr>
          <w:rFonts w:hint="eastAsia" w:ascii="宋体" w:hAnsi="宋体" w:cs="宋体"/>
          <w:b/>
          <w:bCs/>
          <w:color w:val="auto"/>
          <w:kern w:val="0"/>
          <w:lang w:val="zh-CN"/>
        </w:rPr>
        <w:t>索赔</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14.1 </w:t>
      </w:r>
      <w:r>
        <w:rPr>
          <w:rFonts w:hint="eastAsia" w:ascii="宋体" w:hAnsi="宋体" w:cs="宋体"/>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14.2 </w:t>
      </w:r>
      <w:r>
        <w:rPr>
          <w:rFonts w:hint="eastAsia" w:ascii="宋体" w:hAnsi="宋体" w:cs="宋体"/>
          <w:color w:val="auto"/>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14.2.1 </w:t>
      </w:r>
      <w:r>
        <w:rPr>
          <w:rFonts w:hint="eastAsia" w:ascii="宋体" w:hAnsi="宋体" w:cs="宋体"/>
          <w:color w:val="auto"/>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14.2.2 </w:t>
      </w:r>
      <w:r>
        <w:rPr>
          <w:rFonts w:hint="eastAsia" w:ascii="宋体" w:hAnsi="宋体" w:cs="宋体"/>
          <w:color w:val="auto"/>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14.2.3 </w:t>
      </w:r>
      <w:r>
        <w:rPr>
          <w:rFonts w:hint="eastAsia" w:ascii="宋体" w:hAnsi="宋体" w:cs="宋体"/>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14.3 </w:t>
      </w:r>
      <w:r>
        <w:rPr>
          <w:rFonts w:hint="eastAsia" w:ascii="宋体" w:hAnsi="宋体" w:cs="宋体"/>
          <w:color w:val="auto"/>
          <w:kern w:val="0"/>
          <w:lang w:val="zh-CN"/>
        </w:rPr>
        <w:t>乙方收到甲方发出的索赔通知之日起</w:t>
      </w:r>
      <w:r>
        <w:rPr>
          <w:rFonts w:hint="eastAsia" w:ascii="宋体" w:hAnsi="宋体" w:cs="宋体"/>
          <w:color w:val="auto"/>
          <w:kern w:val="0"/>
        </w:rPr>
        <w:t>5</w:t>
      </w:r>
      <w:r>
        <w:rPr>
          <w:rFonts w:hint="eastAsia" w:ascii="宋体" w:hAnsi="宋体" w:cs="宋体"/>
          <w:color w:val="auto"/>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15.</w:t>
      </w:r>
      <w:r>
        <w:rPr>
          <w:rFonts w:hint="eastAsia" w:ascii="宋体" w:hAnsi="宋体" w:cs="宋体"/>
          <w:b/>
          <w:bCs/>
          <w:color w:val="auto"/>
          <w:kern w:val="0"/>
          <w:lang w:val="zh-CN"/>
        </w:rPr>
        <w:t>迟延交货</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15.1 </w:t>
      </w:r>
      <w:r>
        <w:rPr>
          <w:rFonts w:hint="eastAsia" w:ascii="宋体" w:hAnsi="宋体" w:cs="宋体"/>
          <w:color w:val="auto"/>
          <w:kern w:val="0"/>
          <w:lang w:val="zh-CN"/>
        </w:rPr>
        <w:t>乙方应按照合同约定的时间交货和提供服务。</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15.2 </w:t>
      </w:r>
      <w:r>
        <w:rPr>
          <w:rFonts w:hint="eastAsia" w:ascii="宋体" w:hAnsi="宋体" w:cs="宋体"/>
          <w:color w:val="auto"/>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15.3 </w:t>
      </w:r>
      <w:r>
        <w:rPr>
          <w:rFonts w:hint="eastAsia" w:ascii="宋体" w:hAnsi="宋体" w:cs="宋体"/>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16.</w:t>
      </w:r>
      <w:r>
        <w:rPr>
          <w:rFonts w:hint="eastAsia" w:ascii="宋体" w:hAnsi="宋体" w:cs="宋体"/>
          <w:b/>
          <w:bCs/>
          <w:color w:val="auto"/>
          <w:kern w:val="0"/>
          <w:lang w:val="zh-CN"/>
        </w:rPr>
        <w:t>违约赔偿</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17.</w:t>
      </w:r>
      <w:r>
        <w:rPr>
          <w:rFonts w:hint="eastAsia" w:ascii="宋体" w:hAnsi="宋体" w:cs="宋体"/>
          <w:b/>
          <w:bCs/>
          <w:color w:val="auto"/>
          <w:kern w:val="0"/>
          <w:lang w:val="zh-CN"/>
        </w:rPr>
        <w:t>不可抗力</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17.1 </w:t>
      </w:r>
      <w:r>
        <w:rPr>
          <w:rFonts w:hint="eastAsia" w:ascii="宋体" w:hAnsi="宋体" w:cs="宋体"/>
          <w:color w:val="auto"/>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17.2 </w:t>
      </w:r>
      <w:r>
        <w:rPr>
          <w:rFonts w:hint="eastAsia" w:ascii="宋体" w:hAnsi="宋体" w:cs="宋体"/>
          <w:color w:val="auto"/>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17.3 </w:t>
      </w:r>
      <w:r>
        <w:rPr>
          <w:rFonts w:hint="eastAsia" w:ascii="宋体" w:hAnsi="宋体" w:cs="宋体"/>
          <w:color w:val="auto"/>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18.</w:t>
      </w:r>
      <w:r>
        <w:rPr>
          <w:rFonts w:hint="eastAsia" w:ascii="宋体" w:hAnsi="宋体" w:cs="宋体"/>
          <w:b/>
          <w:bCs/>
          <w:color w:val="auto"/>
          <w:kern w:val="0"/>
          <w:lang w:val="zh-CN"/>
        </w:rPr>
        <w:t>税费</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与本合同有关的一切税费均由乙方承担。</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19.</w:t>
      </w:r>
      <w:r>
        <w:rPr>
          <w:rFonts w:hint="eastAsia" w:ascii="宋体" w:hAnsi="宋体" w:cs="宋体"/>
          <w:b/>
          <w:bCs/>
          <w:color w:val="auto"/>
          <w:kern w:val="0"/>
          <w:lang w:val="zh-CN"/>
        </w:rPr>
        <w:t>合同争议的解决</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19.1 </w:t>
      </w:r>
      <w:r>
        <w:rPr>
          <w:rFonts w:hint="eastAsia" w:ascii="宋体" w:hAnsi="宋体" w:cs="宋体"/>
          <w:color w:val="auto"/>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19.2 </w:t>
      </w:r>
      <w:r>
        <w:rPr>
          <w:rFonts w:hint="eastAsia" w:ascii="宋体" w:hAnsi="宋体" w:cs="宋体"/>
          <w:color w:val="auto"/>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20.</w:t>
      </w:r>
      <w:r>
        <w:rPr>
          <w:rFonts w:hint="eastAsia" w:ascii="宋体" w:hAnsi="宋体" w:cs="宋体"/>
          <w:b/>
          <w:bCs/>
          <w:color w:val="auto"/>
          <w:kern w:val="0"/>
          <w:lang w:val="zh-CN"/>
        </w:rPr>
        <w:t>违约解除合同</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20.1 </w:t>
      </w:r>
      <w:r>
        <w:rPr>
          <w:rFonts w:hint="eastAsia" w:ascii="宋体" w:hAnsi="宋体" w:cs="宋体"/>
          <w:color w:val="auto"/>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20.1.1 </w:t>
      </w:r>
      <w:r>
        <w:rPr>
          <w:rFonts w:hint="eastAsia" w:ascii="宋体" w:hAnsi="宋体" w:cs="宋体"/>
          <w:color w:val="auto"/>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20.1.2 </w:t>
      </w:r>
      <w:r>
        <w:rPr>
          <w:rFonts w:hint="eastAsia" w:ascii="宋体" w:hAnsi="宋体" w:cs="宋体"/>
          <w:color w:val="auto"/>
          <w:kern w:val="0"/>
          <w:lang w:val="zh-CN"/>
        </w:rPr>
        <w:t>乙方未能履行合同规定的其它主要义务的；</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20.1.3 </w:t>
      </w:r>
      <w:r>
        <w:rPr>
          <w:rFonts w:hint="eastAsia" w:ascii="宋体" w:hAnsi="宋体" w:cs="宋体"/>
          <w:color w:val="auto"/>
          <w:kern w:val="0"/>
          <w:lang w:val="zh-CN"/>
        </w:rPr>
        <w:t>乙方在本合同履行过程中有欺诈行为的。</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rPr>
        <w:t xml:space="preserve">20.2 </w:t>
      </w:r>
      <w:r>
        <w:rPr>
          <w:rFonts w:hint="eastAsia" w:ascii="宋体" w:hAnsi="宋体" w:cs="宋体"/>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21.</w:t>
      </w:r>
      <w:r>
        <w:rPr>
          <w:rFonts w:hint="eastAsia" w:ascii="宋体" w:hAnsi="宋体" w:cs="宋体"/>
          <w:b/>
          <w:bCs/>
          <w:color w:val="auto"/>
          <w:kern w:val="0"/>
          <w:lang w:val="zh-CN"/>
        </w:rPr>
        <w:t>破产终止合同</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22.</w:t>
      </w:r>
      <w:r>
        <w:rPr>
          <w:rFonts w:hint="eastAsia" w:ascii="宋体" w:hAnsi="宋体" w:cs="宋体"/>
          <w:b/>
          <w:bCs/>
          <w:color w:val="auto"/>
          <w:kern w:val="0"/>
          <w:lang w:val="zh-CN"/>
        </w:rPr>
        <w:t>转让和分包</w:t>
      </w:r>
    </w:p>
    <w:p>
      <w:pPr>
        <w:autoSpaceDE w:val="0"/>
        <w:autoSpaceDN w:val="0"/>
        <w:spacing w:line="360" w:lineRule="auto"/>
        <w:ind w:firstLine="360"/>
        <w:rPr>
          <w:rFonts w:hint="eastAsia" w:ascii="宋体" w:hAnsi="宋体" w:cs="宋体"/>
          <w:color w:val="auto"/>
          <w:kern w:val="0"/>
        </w:rPr>
      </w:pPr>
      <w:r>
        <w:rPr>
          <w:rFonts w:hint="eastAsia" w:ascii="宋体" w:hAnsi="宋体" w:cs="宋体"/>
          <w:color w:val="auto"/>
          <w:kern w:val="0"/>
        </w:rPr>
        <w:t xml:space="preserve">22.1 </w:t>
      </w:r>
      <w:r>
        <w:rPr>
          <w:rFonts w:hint="eastAsia" w:ascii="宋体" w:hAnsi="宋体" w:cs="宋体"/>
          <w:color w:val="auto"/>
          <w:kern w:val="0"/>
          <w:lang w:val="zh-CN"/>
        </w:rPr>
        <w:t>政府采购合同不能转让。</w:t>
      </w:r>
    </w:p>
    <w:p>
      <w:pPr>
        <w:autoSpaceDE w:val="0"/>
        <w:autoSpaceDN w:val="0"/>
        <w:spacing w:line="360" w:lineRule="auto"/>
        <w:ind w:firstLine="360"/>
        <w:rPr>
          <w:rFonts w:hint="eastAsia" w:ascii="宋体" w:hAnsi="宋体" w:cs="宋体"/>
          <w:color w:val="auto"/>
          <w:kern w:val="0"/>
        </w:rPr>
      </w:pPr>
      <w:r>
        <w:rPr>
          <w:rFonts w:hint="eastAsia" w:ascii="宋体" w:hAnsi="宋体" w:cs="宋体"/>
          <w:color w:val="auto"/>
          <w:kern w:val="0"/>
        </w:rPr>
        <w:t xml:space="preserve">22.2 </w:t>
      </w:r>
      <w:r>
        <w:rPr>
          <w:rFonts w:hint="eastAsia" w:ascii="宋体" w:hAnsi="宋体" w:cs="宋体"/>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23.</w:t>
      </w:r>
      <w:r>
        <w:rPr>
          <w:rFonts w:hint="eastAsia" w:ascii="宋体" w:hAnsi="宋体" w:cs="宋体"/>
          <w:b/>
          <w:bCs/>
          <w:color w:val="auto"/>
          <w:kern w:val="0"/>
          <w:lang w:val="zh-CN"/>
        </w:rPr>
        <w:t>合同修改</w:t>
      </w:r>
    </w:p>
    <w:p>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rPr>
        <w:t>政府采购合同的双方当事人不得擅自变更、中止或者终止合同</w:t>
      </w:r>
    </w:p>
    <w:p>
      <w:pPr>
        <w:rPr>
          <w:rFonts w:hint="eastAsia"/>
          <w:color w:val="auto"/>
        </w:rPr>
      </w:pP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24.</w:t>
      </w:r>
      <w:r>
        <w:rPr>
          <w:rFonts w:hint="eastAsia" w:ascii="宋体" w:hAnsi="宋体" w:cs="宋体"/>
          <w:b/>
          <w:bCs/>
          <w:color w:val="auto"/>
          <w:kern w:val="0"/>
          <w:lang w:val="zh-CN"/>
        </w:rPr>
        <w:t>通知</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25.</w:t>
      </w:r>
      <w:r>
        <w:rPr>
          <w:rFonts w:hint="eastAsia" w:ascii="宋体" w:hAnsi="宋体" w:cs="宋体"/>
          <w:b/>
          <w:bCs/>
          <w:color w:val="auto"/>
          <w:kern w:val="0"/>
          <w:lang w:val="zh-CN"/>
        </w:rPr>
        <w:t>计量单位</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除技术规范中另有规定外</w:t>
      </w:r>
      <w:r>
        <w:rPr>
          <w:rFonts w:hint="eastAsia" w:ascii="宋体" w:hAnsi="宋体" w:cs="宋体"/>
          <w:color w:val="auto"/>
          <w:kern w:val="0"/>
        </w:rPr>
        <w:t>,</w:t>
      </w:r>
      <w:r>
        <w:rPr>
          <w:rFonts w:hint="eastAsia" w:ascii="宋体" w:hAnsi="宋体" w:cs="宋体"/>
          <w:color w:val="auto"/>
          <w:kern w:val="0"/>
          <w:lang w:val="zh-CN"/>
        </w:rPr>
        <w:t>计量单位均使用国家法定计量单位。</w:t>
      </w:r>
    </w:p>
    <w:p>
      <w:pPr>
        <w:autoSpaceDE w:val="0"/>
        <w:autoSpaceDN w:val="0"/>
        <w:spacing w:line="360" w:lineRule="auto"/>
        <w:rPr>
          <w:rFonts w:hint="eastAsia" w:ascii="宋体" w:hAnsi="宋体" w:cs="宋体"/>
          <w:b/>
          <w:bCs/>
          <w:color w:val="auto"/>
          <w:kern w:val="0"/>
        </w:rPr>
      </w:pPr>
      <w:r>
        <w:rPr>
          <w:rFonts w:hint="eastAsia" w:ascii="宋体" w:hAnsi="宋体" w:cs="宋体"/>
          <w:b/>
          <w:bCs/>
          <w:color w:val="auto"/>
          <w:kern w:val="0"/>
        </w:rPr>
        <w:t>26.</w:t>
      </w:r>
      <w:r>
        <w:rPr>
          <w:rFonts w:hint="eastAsia" w:ascii="宋体" w:hAnsi="宋体" w:cs="宋体"/>
          <w:b/>
          <w:bCs/>
          <w:color w:val="auto"/>
          <w:kern w:val="0"/>
          <w:lang w:val="zh-CN"/>
        </w:rPr>
        <w:t>适用法律</w:t>
      </w:r>
    </w:p>
    <w:p>
      <w:pPr>
        <w:autoSpaceDE w:val="0"/>
        <w:autoSpaceDN w:val="0"/>
        <w:spacing w:line="360" w:lineRule="auto"/>
        <w:ind w:firstLine="480"/>
        <w:rPr>
          <w:rFonts w:hint="eastAsia" w:ascii="宋体" w:hAnsi="宋体" w:cs="宋体"/>
          <w:color w:val="auto"/>
          <w:lang w:val="zh-CN"/>
        </w:rPr>
      </w:pPr>
      <w:r>
        <w:rPr>
          <w:rFonts w:hint="eastAsia" w:ascii="宋体" w:hAnsi="宋体" w:cs="宋体"/>
          <w:color w:val="auto"/>
          <w:kern w:val="0"/>
          <w:lang w:val="zh-CN"/>
        </w:rPr>
        <w:t>本合同按照中华人民共和国的相关法律进行解释。</w:t>
      </w:r>
    </w:p>
    <w:p>
      <w:pPr>
        <w:pStyle w:val="23"/>
        <w:spacing w:before="0" w:after="0" w:line="360" w:lineRule="auto"/>
        <w:rPr>
          <w:rFonts w:hint="eastAsia" w:ascii="宋体" w:hAnsi="宋体" w:cs="宋体"/>
          <w:color w:val="auto"/>
          <w:szCs w:val="36"/>
          <w:lang w:val="zh-CN"/>
        </w:rPr>
      </w:pPr>
      <w:r>
        <w:rPr>
          <w:rFonts w:hint="eastAsia" w:ascii="宋体" w:hAnsi="宋体" w:cs="宋体"/>
          <w:color w:val="auto"/>
          <w:szCs w:val="36"/>
          <w:lang w:val="zh-CN"/>
        </w:rPr>
        <w:br w:type="page"/>
      </w:r>
      <w:bookmarkStart w:id="44" w:name="_Toc18457"/>
    </w:p>
    <w:p>
      <w:pPr>
        <w:pStyle w:val="23"/>
        <w:spacing w:before="0" w:after="0" w:line="360" w:lineRule="auto"/>
        <w:rPr>
          <w:rFonts w:hint="eastAsia" w:ascii="宋体" w:hAnsi="宋体" w:cs="宋体"/>
          <w:color w:val="auto"/>
          <w:szCs w:val="36"/>
          <w:lang w:val="zh-CN"/>
        </w:rPr>
      </w:pPr>
    </w:p>
    <w:p>
      <w:pPr>
        <w:pStyle w:val="23"/>
        <w:spacing w:before="0" w:after="0" w:line="360" w:lineRule="auto"/>
        <w:rPr>
          <w:rFonts w:hint="eastAsia" w:ascii="宋体" w:hAnsi="宋体" w:cs="宋体"/>
          <w:color w:val="auto"/>
          <w:lang w:val="zh-CN"/>
        </w:rPr>
      </w:pPr>
      <w:r>
        <w:rPr>
          <w:rFonts w:hint="eastAsia" w:ascii="宋体" w:hAnsi="宋体" w:cs="宋体"/>
          <w:color w:val="auto"/>
          <w:szCs w:val="36"/>
          <w:lang w:val="zh-CN"/>
        </w:rPr>
        <w:t>第四部分  投标文件格式</w:t>
      </w:r>
      <w:bookmarkEnd w:id="44"/>
    </w:p>
    <w:p>
      <w:pPr>
        <w:pStyle w:val="23"/>
        <w:spacing w:before="0" w:after="0" w:line="360" w:lineRule="auto"/>
        <w:jc w:val="left"/>
        <w:outlineLvl w:val="1"/>
        <w:rPr>
          <w:rFonts w:hint="eastAsia" w:ascii="宋体" w:hAnsi="宋体" w:cs="宋体"/>
          <w:color w:val="auto"/>
        </w:rPr>
      </w:pPr>
      <w:bookmarkStart w:id="45" w:name="_Toc11851"/>
      <w:bookmarkStart w:id="46" w:name="_Toc5220"/>
      <w:r>
        <w:rPr>
          <w:rFonts w:hint="eastAsia" w:ascii="宋体" w:hAnsi="宋体" w:cs="宋体"/>
          <w:color w:val="auto"/>
          <w:sz w:val="30"/>
          <w:szCs w:val="30"/>
          <w:lang w:val="zh-CN"/>
        </w:rPr>
        <w:t>封面</w:t>
      </w:r>
      <w:bookmarkEnd w:id="45"/>
      <w:r>
        <w:rPr>
          <w:rFonts w:hint="eastAsia" w:ascii="宋体" w:hAnsi="宋体" w:cs="宋体"/>
          <w:color w:val="auto"/>
          <w:sz w:val="30"/>
          <w:szCs w:val="30"/>
          <w:lang w:val="zh-CN"/>
        </w:rPr>
        <w:t>（上册）</w:t>
      </w:r>
      <w:bookmarkEnd w:id="46"/>
    </w:p>
    <w:p>
      <w:pPr>
        <w:autoSpaceDE w:val="0"/>
        <w:autoSpaceDN w:val="0"/>
        <w:spacing w:line="360" w:lineRule="auto"/>
        <w:jc w:val="right"/>
        <w:rPr>
          <w:rFonts w:hint="eastAsia" w:ascii="宋体" w:hAnsi="宋体" w:cs="宋体"/>
          <w:b/>
          <w:bCs/>
          <w:color w:val="auto"/>
          <w:kern w:val="0"/>
          <w:sz w:val="36"/>
          <w:szCs w:val="36"/>
        </w:rPr>
      </w:pPr>
      <w:r>
        <w:rPr>
          <w:rFonts w:hint="eastAsia" w:ascii="宋体" w:hAnsi="宋体" w:cs="宋体"/>
          <w:b/>
          <w:bCs/>
          <w:color w:val="auto"/>
          <w:kern w:val="0"/>
          <w:sz w:val="36"/>
          <w:szCs w:val="36"/>
        </w:rPr>
        <w:t>正本/副本</w:t>
      </w:r>
    </w:p>
    <w:p>
      <w:pPr>
        <w:autoSpaceDE w:val="0"/>
        <w:autoSpaceDN w:val="0"/>
        <w:spacing w:line="360" w:lineRule="auto"/>
        <w:jc w:val="center"/>
        <w:rPr>
          <w:rFonts w:hint="eastAsia"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jc w:val="center"/>
        <w:rPr>
          <w:rFonts w:hint="eastAsia" w:ascii="宋体" w:hAnsi="宋体" w:cs="宋体"/>
          <w:b/>
          <w:bCs/>
          <w:color w:val="auto"/>
          <w:kern w:val="0"/>
          <w:sz w:val="72"/>
          <w:szCs w:val="72"/>
          <w:lang w:val="zh-CN"/>
        </w:rPr>
      </w:pPr>
      <w:r>
        <w:rPr>
          <w:rFonts w:hint="eastAsia" w:ascii="宋体" w:hAnsi="宋体" w:cs="宋体"/>
          <w:b/>
          <w:bCs/>
          <w:color w:val="auto"/>
          <w:kern w:val="0"/>
          <w:sz w:val="72"/>
          <w:szCs w:val="72"/>
          <w:lang w:val="zh-CN"/>
        </w:rPr>
        <w:t>投</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sz w:val="36"/>
          <w:szCs w:val="36"/>
          <w:lang w:val="zh-CN"/>
        </w:rPr>
        <w:t>（上册）</w:t>
      </w:r>
    </w:p>
    <w:p>
      <w:pPr>
        <w:autoSpaceDE w:val="0"/>
        <w:autoSpaceDN w:val="0"/>
        <w:spacing w:line="360" w:lineRule="auto"/>
        <w:jc w:val="center"/>
        <w:rPr>
          <w:rFonts w:hint="eastAsia" w:ascii="宋体" w:hAnsi="宋体" w:cs="宋体"/>
          <w:color w:val="auto"/>
          <w:sz w:val="36"/>
          <w:szCs w:val="36"/>
          <w:lang w:val="zh-CN"/>
        </w:rPr>
      </w:pPr>
      <w:r>
        <w:rPr>
          <w:rFonts w:hint="eastAsia" w:ascii="宋体" w:hAnsi="宋体" w:cs="宋体"/>
          <w:b/>
          <w:bCs/>
          <w:color w:val="auto"/>
          <w:sz w:val="36"/>
          <w:szCs w:val="36"/>
          <w:lang w:val="zh-CN"/>
        </w:rPr>
        <w:t>（资格审查文件）</w:t>
      </w: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项</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目</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编</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号</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项</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目</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名</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称</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rPr>
        <w:t>：</w:t>
      </w:r>
    </w:p>
    <w:p>
      <w:pPr>
        <w:autoSpaceDE w:val="0"/>
        <w:autoSpaceDN w:val="0"/>
        <w:spacing w:line="360" w:lineRule="auto"/>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投</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标</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包</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号</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w:t>
      </w:r>
    </w:p>
    <w:p>
      <w:pPr>
        <w:autoSpaceDE w:val="0"/>
        <w:autoSpaceDN w:val="0"/>
        <w:spacing w:line="360" w:lineRule="auto"/>
        <w:rPr>
          <w:rFonts w:hint="eastAsia" w:ascii="宋体" w:hAnsi="宋体" w:cs="宋体"/>
          <w:b/>
          <w:bCs/>
          <w:color w:val="auto"/>
          <w:kern w:val="0"/>
          <w:sz w:val="36"/>
          <w:szCs w:val="36"/>
        </w:rPr>
      </w:pPr>
    </w:p>
    <w:p>
      <w:pPr>
        <w:autoSpaceDE w:val="0"/>
        <w:autoSpaceDN w:val="0"/>
        <w:spacing w:line="360" w:lineRule="auto"/>
        <w:rPr>
          <w:rFonts w:hint="eastAsia" w:ascii="宋体" w:hAnsi="宋体" w:cs="宋体"/>
          <w:b/>
          <w:bCs/>
          <w:color w:val="auto"/>
          <w:kern w:val="0"/>
          <w:sz w:val="36"/>
          <w:szCs w:val="36"/>
        </w:rPr>
      </w:pP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投标人：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rPr>
        <w:t>（</w:t>
      </w:r>
      <w:r>
        <w:rPr>
          <w:rFonts w:hint="eastAsia" w:ascii="宋体" w:hAnsi="宋体" w:cs="宋体"/>
          <w:b/>
          <w:bCs/>
          <w:color w:val="auto"/>
          <w:kern w:val="0"/>
          <w:sz w:val="36"/>
          <w:szCs w:val="36"/>
          <w:lang w:val="zh-CN"/>
        </w:rPr>
        <w:t>公章）</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法定代表人或委托代理人：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lang w:val="zh-CN"/>
        </w:rPr>
        <w:t>（签字）</w:t>
      </w:r>
    </w:p>
    <w:p>
      <w:pPr>
        <w:autoSpaceDE w:val="0"/>
        <w:autoSpaceDN w:val="0"/>
        <w:spacing w:line="360" w:lineRule="auto"/>
        <w:rPr>
          <w:rFonts w:hint="eastAsia" w:ascii="宋体" w:hAnsi="宋体" w:cs="宋体"/>
          <w:b/>
          <w:bCs/>
          <w:color w:val="auto"/>
          <w:kern w:val="0"/>
          <w:sz w:val="36"/>
          <w:szCs w:val="36"/>
          <w:lang w:val="zh-CN"/>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日</w:t>
      </w:r>
    </w:p>
    <w:p>
      <w:pPr>
        <w:pStyle w:val="23"/>
        <w:spacing w:before="0" w:after="0" w:line="360" w:lineRule="auto"/>
        <w:jc w:val="left"/>
        <w:outlineLvl w:val="1"/>
        <w:rPr>
          <w:rFonts w:hint="eastAsia" w:ascii="宋体" w:hAnsi="宋体" w:cs="宋体"/>
          <w:b w:val="0"/>
          <w:bCs w:val="0"/>
          <w:color w:val="auto"/>
          <w:kern w:val="0"/>
          <w:lang w:val="zh-CN"/>
        </w:rPr>
      </w:pPr>
      <w:r>
        <w:rPr>
          <w:rFonts w:hint="eastAsia" w:ascii="宋体" w:hAnsi="宋体" w:cs="宋体"/>
          <w:b w:val="0"/>
          <w:bCs w:val="0"/>
          <w:color w:val="auto"/>
          <w:kern w:val="0"/>
          <w:lang w:val="zh-CN"/>
        </w:rPr>
        <w:br w:type="page"/>
      </w:r>
      <w:bookmarkStart w:id="47" w:name="_Toc21375"/>
      <w:bookmarkStart w:id="48" w:name="_Toc8514"/>
      <w:bookmarkStart w:id="49" w:name="_Toc29902"/>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lang w:val="zh-CN"/>
        </w:rPr>
        <w:t>目录（上册）</w:t>
      </w:r>
      <w:bookmarkEnd w:id="47"/>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投标函……………………………………………………………所在页码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法定代表人证明书………………………………………………所在页码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法定代表人授权书………………………………………………所在页码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投标人承诺函……………………………………………………所在页码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投标人诚信承诺书………………………………………………所在页码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资格证明材料……………………………………………………所在页码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财务状况报告，依法缴纳税收和社会保障资金的相关材料…所在页码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具备履行合同所必需的设备和专业技术能力的证明材料……所在页码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无重大违法记录声明……………………………………………所在页码</w:t>
      </w:r>
    </w:p>
    <w:p>
      <w:pPr>
        <w:numPr>
          <w:ilvl w:val="0"/>
          <w:numId w:val="7"/>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投标保证金证明………………………………</w:t>
      </w:r>
      <w:r>
        <w:rPr>
          <w:rFonts w:hint="eastAsia" w:ascii="宋体" w:hAnsi="宋体" w:cs="宋体"/>
          <w:color w:val="auto"/>
          <w:kern w:val="0"/>
        </w:rPr>
        <w:t xml:space="preserve"> </w:t>
      </w:r>
      <w:r>
        <w:rPr>
          <w:rFonts w:hint="eastAsia" w:ascii="宋体" w:hAnsi="宋体" w:cs="宋体"/>
          <w:color w:val="auto"/>
          <w:kern w:val="0"/>
          <w:lang w:val="zh-CN"/>
        </w:rPr>
        <w:t>………………所在页码</w:t>
      </w:r>
    </w:p>
    <w:bookmarkEnd w:id="48"/>
    <w:bookmarkEnd w:id="49"/>
    <w:p>
      <w:pPr>
        <w:pStyle w:val="23"/>
        <w:spacing w:before="0" w:after="0" w:line="360" w:lineRule="auto"/>
        <w:jc w:val="left"/>
        <w:outlineLvl w:val="1"/>
        <w:rPr>
          <w:rFonts w:hint="eastAsia" w:ascii="宋体" w:hAnsi="宋体" w:cs="宋体"/>
          <w:color w:val="auto"/>
          <w:sz w:val="30"/>
          <w:szCs w:val="30"/>
          <w:lang w:val="zh-CN"/>
        </w:rPr>
      </w:pPr>
      <w:bookmarkStart w:id="50" w:name="_Toc19582"/>
      <w:r>
        <w:rPr>
          <w:rFonts w:hint="eastAsia" w:ascii="宋体" w:hAnsi="宋体" w:cs="宋体"/>
          <w:color w:val="auto"/>
          <w:sz w:val="30"/>
          <w:szCs w:val="30"/>
          <w:lang w:val="zh-CN"/>
        </w:rPr>
        <w:br w:type="page"/>
      </w:r>
      <w:bookmarkStart w:id="51" w:name="_Toc30123"/>
    </w:p>
    <w:p>
      <w:pPr>
        <w:pStyle w:val="23"/>
        <w:spacing w:before="0" w:after="0" w:line="360" w:lineRule="auto"/>
        <w:jc w:val="left"/>
        <w:outlineLvl w:val="1"/>
        <w:rPr>
          <w:rFonts w:hint="eastAsia" w:ascii="宋体" w:hAnsi="宋体" w:cs="宋体"/>
          <w:color w:val="auto"/>
          <w:sz w:val="30"/>
          <w:szCs w:val="30"/>
          <w:lang w:val="zh-CN"/>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rPr>
        <w:t>（1）</w:t>
      </w:r>
      <w:r>
        <w:rPr>
          <w:rFonts w:hint="eastAsia" w:ascii="宋体" w:hAnsi="宋体" w:cs="宋体"/>
          <w:color w:val="auto"/>
          <w:sz w:val="30"/>
          <w:szCs w:val="30"/>
          <w:lang w:val="zh-CN"/>
        </w:rPr>
        <w:t>投标函</w:t>
      </w:r>
      <w:bookmarkEnd w:id="50"/>
      <w:bookmarkEnd w:id="51"/>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投标函</w:t>
      </w:r>
    </w:p>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致：青海旭诚工程项目管理有限公司</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我们收到</w:t>
      </w:r>
      <w:r>
        <w:rPr>
          <w:rFonts w:hint="eastAsia" w:ascii="宋体" w:hAnsi="宋体" w:cs="宋体"/>
          <w:color w:val="auto"/>
          <w:kern w:val="0"/>
          <w:u w:val="single"/>
          <w:lang w:val="zh-CN"/>
        </w:rPr>
        <w:t>项目名称（项目编号）</w:t>
      </w:r>
      <w:r>
        <w:rPr>
          <w:rFonts w:hint="eastAsia" w:ascii="宋体" w:hAnsi="宋体" w:cs="宋体"/>
          <w:color w:val="auto"/>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据此函，签字代表宣布同意如下：</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2.投标有效期：</w:t>
      </w:r>
      <w:r>
        <w:rPr>
          <w:rFonts w:hint="eastAsia" w:ascii="宋体" w:hAnsi="宋体" w:cs="宋体"/>
          <w:color w:val="auto"/>
          <w:shd w:val="clear" w:color="auto" w:fill="FFFFFF"/>
        </w:rPr>
        <w:t>从提交投标文件的截止之日起</w:t>
      </w:r>
      <w:r>
        <w:rPr>
          <w:rFonts w:hint="eastAsia" w:ascii="宋体" w:hAnsi="宋体" w:cs="宋体"/>
          <w:color w:val="auto"/>
          <w:kern w:val="0"/>
          <w:u w:val="single"/>
          <w:lang w:val="zh-CN"/>
        </w:rPr>
        <w:t xml:space="preserve">    </w:t>
      </w:r>
      <w:r>
        <w:rPr>
          <w:rFonts w:hint="eastAsia" w:ascii="宋体" w:hAnsi="宋体" w:cs="宋体"/>
          <w:color w:val="auto"/>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4.与本投标有关的一切正式往来通讯请寄：</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地址：_______________          邮编：______________</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电话：_______________          传真：______________</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法定代表人姓名： ___________   职务：____________</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法定代表人或委托代理人：        （签字）</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3"/>
        <w:spacing w:before="0" w:after="0" w:line="360" w:lineRule="auto"/>
        <w:jc w:val="left"/>
        <w:outlineLvl w:val="1"/>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zh-CN"/>
        </w:rPr>
        <w:br w:type="page"/>
      </w:r>
      <w:bookmarkStart w:id="52" w:name="_Toc20067"/>
      <w:bookmarkStart w:id="53" w:name="_Toc29944"/>
    </w:p>
    <w:p>
      <w:pPr>
        <w:pStyle w:val="23"/>
        <w:spacing w:before="0" w:after="0" w:line="360" w:lineRule="auto"/>
        <w:jc w:val="left"/>
        <w:outlineLvl w:val="1"/>
        <w:rPr>
          <w:rFonts w:hint="eastAsia" w:ascii="宋体" w:hAnsi="宋体" w:cs="宋体"/>
          <w:b w:val="0"/>
          <w:bCs w:val="0"/>
          <w:color w:val="auto"/>
          <w:kern w:val="0"/>
          <w:sz w:val="24"/>
          <w:lang w:val="zh-CN"/>
        </w:rPr>
      </w:pPr>
    </w:p>
    <w:p>
      <w:pPr>
        <w:pStyle w:val="23"/>
        <w:spacing w:before="0" w:after="0" w:line="360" w:lineRule="auto"/>
        <w:jc w:val="left"/>
        <w:outlineLvl w:val="1"/>
        <w:rPr>
          <w:rFonts w:hint="eastAsia" w:ascii="宋体" w:hAnsi="宋体" w:cs="宋体"/>
          <w:color w:val="auto"/>
        </w:rPr>
      </w:pPr>
      <w:r>
        <w:rPr>
          <w:rFonts w:hint="eastAsia" w:ascii="宋体" w:hAnsi="宋体" w:cs="宋体"/>
          <w:color w:val="auto"/>
          <w:kern w:val="0"/>
          <w:sz w:val="30"/>
          <w:szCs w:val="30"/>
          <w:lang w:val="zh-CN"/>
        </w:rPr>
        <w:t>（</w:t>
      </w:r>
      <w:r>
        <w:rPr>
          <w:rFonts w:hint="eastAsia" w:ascii="宋体" w:hAnsi="宋体" w:cs="宋体"/>
          <w:color w:val="auto"/>
          <w:kern w:val="0"/>
          <w:sz w:val="30"/>
          <w:szCs w:val="30"/>
        </w:rPr>
        <w:t>2</w:t>
      </w:r>
      <w:r>
        <w:rPr>
          <w:rFonts w:hint="eastAsia" w:ascii="宋体" w:hAnsi="宋体" w:cs="宋体"/>
          <w:color w:val="auto"/>
          <w:kern w:val="0"/>
          <w:sz w:val="30"/>
          <w:szCs w:val="30"/>
          <w:lang w:val="zh-CN"/>
        </w:rPr>
        <w:t>）</w:t>
      </w:r>
      <w:r>
        <w:rPr>
          <w:rFonts w:hint="eastAsia" w:ascii="宋体" w:hAnsi="宋体" w:cs="宋体"/>
          <w:color w:val="auto"/>
          <w:sz w:val="30"/>
          <w:szCs w:val="30"/>
        </w:rPr>
        <w:t>法定代表人证明书</w:t>
      </w:r>
      <w:bookmarkEnd w:id="52"/>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法定代表人证明书</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致：青海旭诚工程项目管理有限公司</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u w:val="single"/>
          <w:lang w:val="zh-CN"/>
        </w:rPr>
        <w:t>（法定代表人姓名）</w:t>
      </w:r>
      <w:r>
        <w:rPr>
          <w:rFonts w:hint="eastAsia" w:ascii="宋体" w:hAnsi="宋体" w:cs="宋体"/>
          <w:color w:val="auto"/>
          <w:kern w:val="0"/>
          <w:lang w:val="zh-CN"/>
        </w:rPr>
        <w:t>现任我单位</w:t>
      </w:r>
      <w:r>
        <w:rPr>
          <w:rFonts w:hint="eastAsia" w:ascii="宋体" w:hAnsi="宋体" w:cs="宋体"/>
          <w:color w:val="auto"/>
          <w:kern w:val="0"/>
          <w:u w:val="single"/>
          <w:lang w:val="zh-CN"/>
        </w:rPr>
        <w:t xml:space="preserve">      </w:t>
      </w:r>
      <w:r>
        <w:rPr>
          <w:rFonts w:hint="eastAsia" w:ascii="宋体" w:hAnsi="宋体" w:cs="宋体"/>
          <w:color w:val="auto"/>
          <w:kern w:val="0"/>
          <w:lang w:val="zh-CN"/>
        </w:rPr>
        <w:t>职务，为法定代表人，特此证明。</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法定代表人基本情况：</w:t>
      </w:r>
    </w:p>
    <w:p>
      <w:pPr>
        <w:autoSpaceDE w:val="0"/>
        <w:autoSpaceDN w:val="0"/>
        <w:spacing w:line="360" w:lineRule="auto"/>
        <w:rPr>
          <w:rFonts w:hint="eastAsia" w:ascii="宋体" w:hAnsi="宋体" w:cs="宋体"/>
          <w:color w:val="auto"/>
          <w:kern w:val="0"/>
          <w:u w:val="single"/>
          <w:lang w:val="zh-CN"/>
        </w:rPr>
      </w:pPr>
      <w:r>
        <w:rPr>
          <w:rFonts w:hint="eastAsia" w:ascii="宋体" w:hAnsi="宋体" w:cs="宋体"/>
          <w:color w:val="auto"/>
          <w:kern w:val="0"/>
          <w:lang w:val="zh-CN"/>
        </w:rPr>
        <w:t>性别：</w:t>
      </w:r>
      <w:r>
        <w:rPr>
          <w:rFonts w:hint="eastAsia" w:ascii="宋体" w:hAnsi="宋体" w:cs="宋体"/>
          <w:color w:val="auto"/>
          <w:kern w:val="0"/>
          <w:u w:val="single"/>
          <w:lang w:val="zh-CN"/>
        </w:rPr>
        <w:t xml:space="preserve">           </w:t>
      </w:r>
      <w:r>
        <w:rPr>
          <w:rFonts w:hint="eastAsia" w:ascii="宋体" w:hAnsi="宋体" w:cs="宋体"/>
          <w:color w:val="auto"/>
          <w:kern w:val="0"/>
          <w:lang w:val="zh-CN"/>
        </w:rPr>
        <w:t>年龄：</w:t>
      </w:r>
      <w:r>
        <w:rPr>
          <w:rFonts w:hint="eastAsia" w:ascii="宋体" w:hAnsi="宋体" w:cs="宋体"/>
          <w:color w:val="auto"/>
          <w:kern w:val="0"/>
          <w:u w:val="single"/>
          <w:lang w:val="zh-CN"/>
        </w:rPr>
        <w:t xml:space="preserve">           </w:t>
      </w:r>
      <w:r>
        <w:rPr>
          <w:rFonts w:hint="eastAsia" w:ascii="宋体" w:hAnsi="宋体" w:cs="宋体"/>
          <w:color w:val="auto"/>
          <w:kern w:val="0"/>
          <w:lang w:val="zh-CN"/>
        </w:rPr>
        <w:t xml:space="preserve"> 民族：</w:t>
      </w:r>
      <w:r>
        <w:rPr>
          <w:rFonts w:hint="eastAsia" w:ascii="宋体" w:hAnsi="宋体" w:cs="宋体"/>
          <w:color w:val="auto"/>
          <w:kern w:val="0"/>
          <w:u w:val="single"/>
          <w:lang w:val="zh-CN"/>
        </w:rPr>
        <w:t xml:space="preserve">         </w:t>
      </w:r>
    </w:p>
    <w:p>
      <w:pPr>
        <w:autoSpaceDE w:val="0"/>
        <w:autoSpaceDN w:val="0"/>
        <w:spacing w:line="360" w:lineRule="auto"/>
        <w:rPr>
          <w:rFonts w:hint="eastAsia" w:ascii="宋体" w:hAnsi="宋体" w:cs="宋体"/>
          <w:color w:val="auto"/>
          <w:kern w:val="0"/>
          <w:u w:val="single"/>
          <w:lang w:val="zh-CN"/>
        </w:rPr>
      </w:pPr>
      <w:r>
        <w:rPr>
          <w:rFonts w:hint="eastAsia" w:ascii="宋体" w:hAnsi="宋体" w:cs="宋体"/>
          <w:color w:val="auto"/>
          <w:kern w:val="0"/>
          <w:lang w:val="zh-CN"/>
        </w:rPr>
        <w:t>地址：</w:t>
      </w:r>
      <w:r>
        <w:rPr>
          <w:rFonts w:hint="eastAsia" w:ascii="宋体" w:hAnsi="宋体" w:cs="宋体"/>
          <w:color w:val="auto"/>
          <w:kern w:val="0"/>
          <w:u w:val="single"/>
          <w:lang w:val="zh-CN"/>
        </w:rPr>
        <w:t xml:space="preserve">                                            </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身份证号码：</w:t>
      </w:r>
      <w:r>
        <w:rPr>
          <w:rFonts w:hint="eastAsia" w:ascii="宋体" w:hAnsi="宋体" w:cs="宋体"/>
          <w:color w:val="auto"/>
          <w:kern w:val="0"/>
          <w:u w:val="single"/>
          <w:lang w:val="zh-CN"/>
        </w:rPr>
        <w:t xml:space="preserve">                                      </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附法定代表人第二代身份证双面扫描（或复印）件</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End w:id="53"/>
      <w:bookmarkStart w:id="54" w:name="_Toc11636"/>
      <w:bookmarkStart w:id="55" w:name="_Toc17284"/>
    </w:p>
    <w:p>
      <w:pPr>
        <w:pStyle w:val="23"/>
        <w:spacing w:before="0" w:after="0" w:line="360" w:lineRule="auto"/>
        <w:jc w:val="left"/>
        <w:outlineLvl w:val="1"/>
        <w:rPr>
          <w:rFonts w:hint="eastAsia" w:ascii="宋体" w:hAnsi="宋体" w:cs="宋体"/>
          <w:color w:val="auto"/>
          <w:lang w:val="zh-CN"/>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rPr>
        <w:t>（3）</w:t>
      </w:r>
      <w:r>
        <w:rPr>
          <w:rFonts w:hint="eastAsia" w:ascii="宋体" w:hAnsi="宋体" w:cs="宋体"/>
          <w:color w:val="auto"/>
          <w:sz w:val="30"/>
          <w:szCs w:val="30"/>
          <w:lang w:val="zh-CN"/>
        </w:rPr>
        <w:t>法定代表人授权书</w:t>
      </w:r>
      <w:bookmarkEnd w:id="54"/>
    </w:p>
    <w:p>
      <w:pPr>
        <w:spacing w:line="360" w:lineRule="auto"/>
        <w:rPr>
          <w:rFonts w:hint="eastAsia" w:ascii="宋体" w:hAnsi="宋体" w:cs="宋体"/>
          <w:color w:val="auto"/>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法定代表人授权书</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b/>
          <w:bCs/>
          <w:color w:val="auto"/>
          <w:kern w:val="0"/>
          <w:lang w:val="zh-CN"/>
        </w:rPr>
      </w:pPr>
      <w:r>
        <w:rPr>
          <w:rFonts w:hint="eastAsia" w:ascii="宋体" w:hAnsi="宋体" w:cs="宋体"/>
          <w:b/>
          <w:bCs/>
          <w:color w:val="auto"/>
          <w:kern w:val="0"/>
          <w:lang w:val="zh-CN"/>
        </w:rPr>
        <w:t>致：青海旭诚工程项目管理有限公司</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u w:val="single"/>
          <w:lang w:val="zh-CN"/>
        </w:rPr>
        <w:t>（投标人名称）</w:t>
      </w:r>
      <w:r>
        <w:rPr>
          <w:rFonts w:hint="eastAsia" w:ascii="宋体" w:hAnsi="宋体" w:cs="宋体"/>
          <w:color w:val="auto"/>
          <w:kern w:val="0"/>
          <w:lang w:val="zh-CN"/>
        </w:rPr>
        <w:t>系中华人民共和国合法企业，法定地址</w:t>
      </w:r>
      <w:r>
        <w:rPr>
          <w:rFonts w:hint="eastAsia" w:ascii="宋体" w:hAnsi="宋体" w:cs="宋体"/>
          <w:color w:val="auto"/>
          <w:kern w:val="0"/>
          <w:u w:val="single"/>
          <w:lang w:val="zh-CN"/>
        </w:rPr>
        <w:t xml:space="preserve">        </w:t>
      </w:r>
      <w:r>
        <w:rPr>
          <w:rFonts w:hint="eastAsia" w:ascii="宋体" w:hAnsi="宋体" w:cs="宋体"/>
          <w:color w:val="auto"/>
          <w:kern w:val="0"/>
          <w:u w:val="single"/>
          <w:lang w:val="en-US" w:eastAsia="zh-CN"/>
        </w:rPr>
        <w:t xml:space="preserve">      </w:t>
      </w:r>
      <w:r>
        <w:rPr>
          <w:rFonts w:hint="eastAsia" w:ascii="宋体" w:hAnsi="宋体" w:cs="宋体"/>
          <w:color w:val="auto"/>
          <w:kern w:val="0"/>
          <w:u w:val="single"/>
          <w:lang w:val="zh-CN"/>
        </w:rPr>
        <w:t xml:space="preserve">     </w:t>
      </w:r>
      <w:r>
        <w:rPr>
          <w:rFonts w:hint="eastAsia" w:ascii="宋体" w:hAnsi="宋体" w:cs="宋体"/>
          <w:color w:val="auto"/>
          <w:kern w:val="0"/>
          <w:lang w:val="zh-CN"/>
        </w:rPr>
        <w:t>。</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rPr>
        <w:t xml:space="preserve">    </w:t>
      </w:r>
      <w:r>
        <w:rPr>
          <w:rFonts w:hint="eastAsia" w:ascii="宋体" w:hAnsi="宋体" w:cs="宋体"/>
          <w:color w:val="auto"/>
          <w:kern w:val="0"/>
          <w:u w:val="single"/>
          <w:lang w:val="zh-CN"/>
        </w:rPr>
        <w:t>（法定代表人姓名）</w:t>
      </w:r>
      <w:r>
        <w:rPr>
          <w:rFonts w:hint="eastAsia" w:ascii="宋体" w:hAnsi="宋体" w:cs="宋体"/>
          <w:color w:val="auto"/>
          <w:kern w:val="0"/>
          <w:lang w:val="zh-CN"/>
        </w:rPr>
        <w:t>特授权</w:t>
      </w:r>
      <w:r>
        <w:rPr>
          <w:rFonts w:hint="eastAsia" w:ascii="宋体" w:hAnsi="宋体" w:cs="宋体"/>
          <w:color w:val="auto"/>
          <w:kern w:val="0"/>
          <w:u w:val="single"/>
          <w:lang w:val="zh-CN"/>
        </w:rPr>
        <w:t>（委托代理人姓名）</w:t>
      </w:r>
      <w:r>
        <w:rPr>
          <w:rFonts w:hint="eastAsia" w:ascii="宋体" w:hAnsi="宋体" w:cs="宋体"/>
          <w:color w:val="auto"/>
          <w:kern w:val="0"/>
          <w:lang w:val="zh-CN"/>
        </w:rPr>
        <w:t>代表我单位全权办理</w:t>
      </w:r>
      <w:r>
        <w:rPr>
          <w:rFonts w:hint="eastAsia" w:ascii="宋体" w:hAnsi="宋体" w:cs="宋体"/>
          <w:color w:val="auto"/>
          <w:kern w:val="0"/>
          <w:u w:val="single"/>
          <w:lang w:val="zh-CN"/>
        </w:rPr>
        <w:t xml:space="preserve">    </w:t>
      </w:r>
      <w:r>
        <w:rPr>
          <w:rFonts w:hint="eastAsia" w:ascii="宋体" w:hAnsi="宋体" w:cs="宋体"/>
          <w:color w:val="auto"/>
          <w:kern w:val="0"/>
          <w:u w:val="single"/>
          <w:lang w:val="en-US" w:eastAsia="zh-CN"/>
        </w:rPr>
        <w:t xml:space="preserve"> </w:t>
      </w:r>
      <w:r>
        <w:rPr>
          <w:rFonts w:hint="eastAsia" w:ascii="宋体" w:hAnsi="宋体" w:cs="宋体"/>
          <w:color w:val="auto"/>
          <w:kern w:val="0"/>
          <w:u w:val="single"/>
          <w:lang w:val="zh-CN"/>
        </w:rPr>
        <w:t xml:space="preserve">   </w:t>
      </w:r>
      <w:r>
        <w:rPr>
          <w:rFonts w:hint="eastAsia" w:ascii="宋体" w:hAnsi="宋体" w:cs="宋体"/>
          <w:color w:val="auto"/>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我单位对被授权人的签名负全部责任。</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被授权人联系电话：</w:t>
      </w:r>
    </w:p>
    <w:p>
      <w:pPr>
        <w:spacing w:line="360" w:lineRule="auto"/>
        <w:rPr>
          <w:rFonts w:hint="eastAsia"/>
          <w:color w:val="auto"/>
          <w:lang w:val="zh-CN"/>
        </w:rPr>
      </w:pPr>
      <w:r>
        <w:rPr>
          <w:rFonts w:hint="eastAsia"/>
          <w:color w:val="auto"/>
          <w:lang w:val="zh-CN"/>
        </w:rPr>
        <w:t>被授权人（委托代理人）签字：</w:t>
      </w:r>
      <w:r>
        <w:rPr>
          <w:rFonts w:hint="eastAsia"/>
          <w:color w:val="auto"/>
          <w:lang w:val="en-US" w:eastAsia="zh-CN"/>
        </w:rPr>
        <w:t xml:space="preserve">        </w:t>
      </w:r>
      <w:r>
        <w:rPr>
          <w:rFonts w:hint="eastAsia"/>
          <w:color w:val="auto"/>
          <w:lang w:val="zh-CN"/>
        </w:rPr>
        <w:t xml:space="preserve"> </w:t>
      </w:r>
      <w:r>
        <w:rPr>
          <w:rFonts w:hint="eastAsia"/>
          <w:color w:val="auto"/>
          <w:lang w:val="en-US" w:eastAsia="zh-CN"/>
        </w:rPr>
        <w:t xml:space="preserve">    </w:t>
      </w:r>
      <w:r>
        <w:rPr>
          <w:rFonts w:hint="eastAsia"/>
          <w:color w:val="auto"/>
          <w:lang w:val="zh-CN"/>
        </w:rPr>
        <w:t>授权人（法定代表人）签字：</w:t>
      </w:r>
      <w:r>
        <w:rPr>
          <w:rFonts w:hint="eastAsia"/>
          <w:color w:val="auto"/>
          <w:u w:val="single"/>
          <w:lang w:val="zh-CN"/>
        </w:rPr>
        <w:t xml:space="preserve">        </w:t>
      </w:r>
      <w:r>
        <w:rPr>
          <w:rFonts w:hint="eastAsia"/>
          <w:color w:val="auto"/>
          <w:u w:val="single"/>
          <w:lang w:val="en-US" w:eastAsia="zh-CN"/>
        </w:rPr>
        <w:t xml:space="preserve">       </w:t>
      </w:r>
    </w:p>
    <w:p>
      <w:pPr>
        <w:spacing w:line="360" w:lineRule="auto"/>
        <w:rPr>
          <w:rFonts w:hint="eastAsia"/>
          <w:color w:val="auto"/>
          <w:lang w:val="zh-CN"/>
        </w:rPr>
      </w:pPr>
      <w:r>
        <w:rPr>
          <w:rFonts w:hint="eastAsia"/>
          <w:color w:val="auto"/>
          <w:lang w:val="zh-CN"/>
        </w:rPr>
        <w:t xml:space="preserve">职务：                               </w:t>
      </w:r>
      <w:r>
        <w:rPr>
          <w:rFonts w:hint="eastAsia"/>
          <w:color w:val="auto"/>
          <w:lang w:val="en-US" w:eastAsia="zh-CN"/>
        </w:rPr>
        <w:t xml:space="preserve">    </w:t>
      </w:r>
      <w:r>
        <w:rPr>
          <w:rFonts w:hint="eastAsia"/>
          <w:color w:val="auto"/>
          <w:lang w:val="zh-CN"/>
        </w:rPr>
        <w:t xml:space="preserve">职务：                           </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附被授权人第二代身份证双面扫描（或复印）件</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360" w:lineRule="auto"/>
        <w:rPr>
          <w:rFonts w:hint="eastAsia" w:ascii="宋体" w:hAnsi="宋体" w:cs="宋体"/>
          <w:color w:val="auto"/>
          <w:kern w:val="0"/>
          <w:lang w:val="zh-CN"/>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56" w:name="_Toc8134"/>
    </w:p>
    <w:p>
      <w:pPr>
        <w:pStyle w:val="23"/>
        <w:spacing w:before="0" w:after="0" w:line="360" w:lineRule="auto"/>
        <w:jc w:val="left"/>
        <w:outlineLvl w:val="1"/>
        <w:rPr>
          <w:rFonts w:hint="eastAsia" w:ascii="宋体" w:hAnsi="宋体" w:cs="宋体"/>
          <w:color w:val="auto"/>
          <w:lang w:val="zh-CN"/>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rPr>
        <w:t>（4）</w:t>
      </w:r>
      <w:r>
        <w:rPr>
          <w:rFonts w:hint="eastAsia" w:ascii="宋体" w:hAnsi="宋体" w:cs="宋体"/>
          <w:color w:val="auto"/>
          <w:sz w:val="30"/>
          <w:szCs w:val="30"/>
          <w:lang w:val="zh-CN"/>
        </w:rPr>
        <w:t>投标人承诺函</w:t>
      </w:r>
      <w:bookmarkEnd w:id="56"/>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b/>
          <w:bCs/>
          <w:color w:val="auto"/>
          <w:kern w:val="0"/>
          <w:lang w:val="zh-CN"/>
        </w:rPr>
      </w:pPr>
      <w:r>
        <w:rPr>
          <w:rFonts w:hint="eastAsia" w:ascii="宋体" w:hAnsi="宋体" w:cs="宋体"/>
          <w:b/>
          <w:bCs/>
          <w:color w:val="auto"/>
          <w:kern w:val="0"/>
          <w:lang w:val="zh-CN"/>
        </w:rPr>
        <w:t>致：青海旭诚工程项目管理有限公司</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关于贵方</w:t>
      </w:r>
      <w:r>
        <w:rPr>
          <w:rFonts w:hint="eastAsia" w:ascii="宋体" w:hAnsi="宋体" w:cs="宋体"/>
          <w:color w:val="auto"/>
          <w:kern w:val="0"/>
          <w:u w:val="single"/>
          <w:lang w:val="zh-CN"/>
        </w:rPr>
        <w:t xml:space="preserve"> </w:t>
      </w:r>
      <w:r>
        <w:rPr>
          <w:rFonts w:hint="eastAsia" w:ascii="宋体" w:hAnsi="宋体" w:cs="宋体"/>
          <w:color w:val="auto"/>
          <w:kern w:val="0"/>
          <w:u w:val="single"/>
          <w:lang w:val="en-US" w:eastAsia="zh-CN"/>
        </w:rPr>
        <w:t xml:space="preserve"> </w:t>
      </w:r>
      <w:r>
        <w:rPr>
          <w:rFonts w:hint="eastAsia" w:ascii="宋体" w:hAnsi="宋体" w:cs="宋体"/>
          <w:color w:val="auto"/>
          <w:kern w:val="0"/>
          <w:u w:val="single"/>
          <w:lang w:val="zh-CN"/>
        </w:rPr>
        <w:t xml:space="preserve">  </w:t>
      </w:r>
      <w:r>
        <w:rPr>
          <w:rFonts w:hint="eastAsia" w:ascii="宋体" w:hAnsi="宋体" w:cs="宋体"/>
          <w:color w:val="auto"/>
          <w:kern w:val="0"/>
          <w:lang w:val="zh-CN"/>
        </w:rPr>
        <w:t>年</w:t>
      </w:r>
      <w:r>
        <w:rPr>
          <w:rFonts w:hint="eastAsia" w:ascii="宋体" w:hAnsi="宋体" w:cs="宋体"/>
          <w:color w:val="auto"/>
          <w:kern w:val="0"/>
          <w:u w:val="single"/>
          <w:lang w:val="zh-CN"/>
        </w:rPr>
        <w:t xml:space="preserve">   </w:t>
      </w:r>
      <w:r>
        <w:rPr>
          <w:rFonts w:hint="eastAsia" w:ascii="宋体" w:hAnsi="宋体" w:cs="宋体"/>
          <w:color w:val="auto"/>
          <w:kern w:val="0"/>
          <w:lang w:val="zh-CN"/>
        </w:rPr>
        <w:t>月</w:t>
      </w:r>
      <w:r>
        <w:rPr>
          <w:rFonts w:hint="eastAsia" w:ascii="宋体" w:hAnsi="宋体" w:cs="宋体"/>
          <w:color w:val="auto"/>
          <w:kern w:val="0"/>
          <w:u w:val="single"/>
          <w:lang w:val="zh-CN"/>
        </w:rPr>
        <w:t xml:space="preserve">   </w:t>
      </w:r>
      <w:r>
        <w:rPr>
          <w:rFonts w:hint="eastAsia" w:ascii="宋体" w:hAnsi="宋体" w:cs="宋体"/>
          <w:color w:val="auto"/>
          <w:kern w:val="0"/>
          <w:lang w:val="zh-CN"/>
        </w:rPr>
        <w:t>日</w:t>
      </w:r>
      <w:r>
        <w:rPr>
          <w:rFonts w:hint="eastAsia" w:ascii="宋体" w:hAnsi="宋体" w:cs="宋体"/>
          <w:color w:val="auto"/>
          <w:kern w:val="0"/>
          <w:u w:val="single"/>
          <w:lang w:val="zh-CN"/>
        </w:rPr>
        <w:t xml:space="preserve">          (项目名称)</w:t>
      </w:r>
      <w:r>
        <w:rPr>
          <w:rFonts w:hint="eastAsia" w:ascii="宋体" w:hAnsi="宋体" w:cs="宋体"/>
          <w:color w:val="auto"/>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1.完全理解和接受招标文件的一切规定和要求；</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2.若中标，我方将按照招标文件的具体规定与招标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 xml:space="preserve"> 3.在整个招标过程中我方若有违规行为，贵方可按招标文件之规定给予处罚，我方完全接受。</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4.若中标，本承诺将成为合同不可分割的一部分，与合同具有同等的法律效力。</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法定代表人或委托代理人：        （签字）</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57" w:name="_Toc30898"/>
    </w:p>
    <w:p>
      <w:pPr>
        <w:pStyle w:val="23"/>
        <w:spacing w:before="0" w:after="0" w:line="360" w:lineRule="auto"/>
        <w:jc w:val="left"/>
        <w:outlineLvl w:val="1"/>
        <w:rPr>
          <w:rFonts w:hint="eastAsia" w:ascii="宋体" w:hAnsi="宋体" w:cs="宋体"/>
          <w:color w:val="auto"/>
          <w:lang w:val="zh-CN"/>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rPr>
        <w:t>（5）</w:t>
      </w:r>
      <w:r>
        <w:rPr>
          <w:rFonts w:hint="eastAsia" w:ascii="宋体" w:hAnsi="宋体" w:cs="宋体"/>
          <w:color w:val="auto"/>
          <w:sz w:val="30"/>
          <w:szCs w:val="30"/>
          <w:lang w:val="zh-CN"/>
        </w:rPr>
        <w:t>投标人诚信承诺书</w:t>
      </w:r>
      <w:bookmarkEnd w:id="57"/>
    </w:p>
    <w:p>
      <w:pPr>
        <w:spacing w:line="360" w:lineRule="auto"/>
        <w:rPr>
          <w:rFonts w:hint="eastAsia" w:ascii="宋体" w:hAnsi="宋体" w:cs="宋体"/>
          <w:color w:val="auto"/>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投标人诚信承诺书</w:t>
      </w:r>
    </w:p>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致：青海旭诚工程项目管理有限公司</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二、参加招标代理机构组织的政府采购活动时，严格按照招标文件的规定和要求提供所需的相关材料，并对所提供的各类资料的真实性负责，不虚假应标，不虚列业绩。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本承诺是采购项目投标文件的组成部分。</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法定代表人或委托代理人：        （签字）</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3"/>
        <w:spacing w:before="0" w:after="0" w:line="360" w:lineRule="auto"/>
        <w:jc w:val="left"/>
        <w:outlineLvl w:val="1"/>
        <w:rPr>
          <w:rFonts w:hint="eastAsia" w:ascii="宋体" w:hAnsi="宋体" w:cs="宋体"/>
          <w:color w:val="auto"/>
          <w:kern w:val="0"/>
          <w:sz w:val="24"/>
          <w:lang w:val="zh-CN"/>
        </w:rPr>
      </w:pPr>
      <w:r>
        <w:rPr>
          <w:rFonts w:hint="eastAsia" w:ascii="宋体" w:hAnsi="宋体" w:cs="宋体"/>
          <w:color w:val="auto"/>
          <w:kern w:val="0"/>
          <w:sz w:val="24"/>
          <w:lang w:val="zh-CN"/>
        </w:rPr>
        <w:br w:type="page"/>
      </w:r>
      <w:bookmarkEnd w:id="55"/>
      <w:bookmarkStart w:id="58" w:name="_Toc762"/>
      <w:bookmarkStart w:id="59" w:name="_Toc8344"/>
    </w:p>
    <w:p>
      <w:pPr>
        <w:pStyle w:val="23"/>
        <w:spacing w:before="0" w:after="0" w:line="360" w:lineRule="auto"/>
        <w:jc w:val="left"/>
        <w:outlineLvl w:val="1"/>
        <w:rPr>
          <w:rFonts w:hint="eastAsia" w:ascii="宋体" w:hAnsi="宋体" w:cs="宋体"/>
          <w:color w:val="auto"/>
          <w:kern w:val="0"/>
          <w:sz w:val="24"/>
          <w:lang w:val="zh-CN"/>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rPr>
        <w:t>（6）</w:t>
      </w:r>
      <w:r>
        <w:rPr>
          <w:rFonts w:hint="eastAsia" w:ascii="宋体" w:hAnsi="宋体" w:cs="宋体"/>
          <w:color w:val="auto"/>
          <w:sz w:val="30"/>
          <w:szCs w:val="30"/>
          <w:lang w:val="zh-CN"/>
        </w:rPr>
        <w:t>资格证明材料</w:t>
      </w:r>
      <w:bookmarkEnd w:id="58"/>
    </w:p>
    <w:p>
      <w:pPr>
        <w:spacing w:line="360" w:lineRule="auto"/>
        <w:rPr>
          <w:rFonts w:hint="eastAsia" w:ascii="宋体" w:hAnsi="宋体" w:cs="宋体"/>
          <w:color w:val="auto"/>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pPr>
        <w:autoSpaceDE w:val="0"/>
        <w:autoSpaceDN w:val="0"/>
        <w:spacing w:line="360" w:lineRule="auto"/>
        <w:rPr>
          <w:rFonts w:hint="eastAsia" w:ascii="宋体" w:hAnsi="宋体" w:cs="宋体"/>
          <w:color w:val="auto"/>
          <w:kern w:val="0"/>
          <w:sz w:val="28"/>
          <w:szCs w:val="28"/>
          <w:lang w:val="zh-CN"/>
        </w:rPr>
      </w:pPr>
    </w:p>
    <w:p>
      <w:pPr>
        <w:spacing w:line="360" w:lineRule="auto"/>
        <w:ind w:firstLine="480" w:firstLineChars="200"/>
        <w:rPr>
          <w:rFonts w:hint="eastAsia" w:ascii="宋体" w:hAnsi="宋体" w:cs="宋体"/>
          <w:color w:val="auto"/>
        </w:rPr>
      </w:pPr>
      <w:r>
        <w:rPr>
          <w:rFonts w:hint="eastAsia" w:ascii="宋体" w:hAnsi="宋体" w:cs="宋体"/>
          <w:color w:val="auto"/>
        </w:rPr>
        <w:t>资格证明材料包括：</w:t>
      </w:r>
    </w:p>
    <w:p>
      <w:pPr>
        <w:numPr>
          <w:ilvl w:val="0"/>
          <w:numId w:val="8"/>
        </w:numPr>
        <w:spacing w:line="360" w:lineRule="auto"/>
        <w:ind w:firstLine="480" w:firstLineChars="200"/>
        <w:rPr>
          <w:rFonts w:hint="eastAsia" w:ascii="宋体" w:hAnsi="宋体" w:cs="宋体"/>
          <w:color w:val="auto"/>
        </w:rPr>
      </w:pPr>
      <w:r>
        <w:rPr>
          <w:rFonts w:hint="eastAsia" w:ascii="宋体" w:hAnsi="宋体" w:cs="宋体"/>
          <w:color w:val="auto"/>
          <w:lang w:eastAsia="zh-CN"/>
        </w:rPr>
        <w:t>投标人</w:t>
      </w:r>
      <w:r>
        <w:rPr>
          <w:rFonts w:hint="eastAsia" w:ascii="宋体" w:hAnsi="宋体" w:cs="宋体"/>
          <w:color w:val="auto"/>
        </w:rPr>
        <w:t>的营业执照；</w:t>
      </w:r>
    </w:p>
    <w:p>
      <w:pPr>
        <w:spacing w:line="360" w:lineRule="auto"/>
        <w:ind w:firstLine="480" w:firstLineChars="200"/>
        <w:rPr>
          <w:rFonts w:hint="eastAsia" w:ascii="宋体" w:hAnsi="宋体" w:cs="宋体"/>
          <w:color w:val="auto"/>
        </w:rPr>
      </w:pPr>
      <w:r>
        <w:rPr>
          <w:rFonts w:hint="eastAsia" w:ascii="宋体" w:hAnsi="宋体" w:cs="宋体"/>
          <w:color w:val="auto"/>
        </w:rPr>
        <w:t>（2）招标文件规定的有关资格证书、许可证书、认证等；</w:t>
      </w:r>
    </w:p>
    <w:p>
      <w:pPr>
        <w:spacing w:line="360" w:lineRule="auto"/>
        <w:ind w:firstLine="480" w:firstLineChars="200"/>
        <w:rPr>
          <w:rFonts w:hint="eastAsia" w:ascii="宋体" w:hAnsi="宋体" w:cs="宋体"/>
          <w:color w:val="auto"/>
        </w:rPr>
      </w:pPr>
      <w:r>
        <w:rPr>
          <w:rFonts w:hint="eastAsia" w:ascii="宋体" w:hAnsi="宋体" w:cs="宋体"/>
          <w:color w:val="auto"/>
        </w:rPr>
        <w:t>（3）投标企业简介及获得相关证书证明文件；</w:t>
      </w:r>
    </w:p>
    <w:p>
      <w:pPr>
        <w:spacing w:line="360" w:lineRule="auto"/>
        <w:ind w:firstLine="480" w:firstLineChars="200"/>
        <w:rPr>
          <w:rFonts w:hint="eastAsia" w:ascii="宋体" w:hAnsi="宋体" w:cs="宋体"/>
          <w:color w:val="auto"/>
        </w:rPr>
      </w:pPr>
      <w:r>
        <w:rPr>
          <w:rFonts w:hint="eastAsia" w:ascii="宋体" w:hAnsi="宋体" w:cs="宋体"/>
          <w:color w:val="auto"/>
        </w:rPr>
        <w:t>（4）</w:t>
      </w:r>
      <w:r>
        <w:rPr>
          <w:rFonts w:hint="eastAsia" w:ascii="宋体" w:hAnsi="宋体" w:cs="宋体"/>
          <w:color w:val="auto"/>
          <w:lang w:eastAsia="zh-CN"/>
        </w:rPr>
        <w:t>投标人</w:t>
      </w:r>
      <w:r>
        <w:rPr>
          <w:rFonts w:hint="eastAsia" w:ascii="宋体" w:hAnsi="宋体" w:cs="宋体"/>
          <w:color w:val="auto"/>
        </w:rPr>
        <w:t>认为有必要提供的其他资格证明文件。</w:t>
      </w:r>
    </w:p>
    <w:p>
      <w:pPr>
        <w:autoSpaceDE w:val="0"/>
        <w:autoSpaceDN w:val="0"/>
        <w:spacing w:line="360" w:lineRule="auto"/>
        <w:ind w:firstLine="600" w:firstLineChars="250"/>
        <w:rPr>
          <w:rFonts w:hint="eastAsia" w:ascii="宋体" w:hAnsi="宋体" w:cs="宋体"/>
          <w:color w:val="auto"/>
          <w:kern w:val="0"/>
          <w:lang w:val="zh-CN"/>
        </w:rPr>
      </w:pPr>
      <w:r>
        <w:rPr>
          <w:rFonts w:hint="eastAsia" w:ascii="宋体" w:hAnsi="宋体" w:cs="宋体"/>
          <w:color w:val="auto"/>
          <w:kern w:val="0"/>
          <w:lang w:val="zh-CN"/>
        </w:rPr>
        <w:t>如果是非法人资格的投标人，须提供身份证明。</w:t>
      </w:r>
    </w:p>
    <w:p>
      <w:pPr>
        <w:pStyle w:val="23"/>
        <w:spacing w:before="0" w:after="0" w:line="360" w:lineRule="auto"/>
        <w:jc w:val="left"/>
        <w:outlineLvl w:val="1"/>
        <w:rPr>
          <w:rFonts w:hint="eastAsia" w:ascii="宋体" w:hAnsi="宋体" w:cs="宋体"/>
          <w:color w:val="auto"/>
          <w:kern w:val="0"/>
          <w:sz w:val="24"/>
          <w:lang w:val="zh-CN"/>
        </w:rPr>
      </w:pPr>
      <w:r>
        <w:rPr>
          <w:rFonts w:hint="eastAsia" w:ascii="宋体" w:hAnsi="宋体" w:cs="宋体"/>
          <w:color w:val="auto"/>
          <w:kern w:val="0"/>
          <w:sz w:val="24"/>
          <w:lang w:val="zh-CN"/>
        </w:rPr>
        <w:br w:type="page"/>
      </w:r>
      <w:bookmarkStart w:id="60" w:name="_Toc30447"/>
    </w:p>
    <w:p>
      <w:pPr>
        <w:pStyle w:val="23"/>
        <w:spacing w:before="0" w:after="0" w:line="360" w:lineRule="auto"/>
        <w:jc w:val="left"/>
        <w:outlineLvl w:val="1"/>
        <w:rPr>
          <w:rFonts w:hint="eastAsia" w:ascii="宋体" w:hAnsi="宋体" w:cs="宋体"/>
          <w:color w:val="auto"/>
          <w:kern w:val="0"/>
          <w:sz w:val="24"/>
          <w:lang w:val="zh-CN"/>
        </w:rPr>
      </w:pPr>
    </w:p>
    <w:p>
      <w:pPr>
        <w:pStyle w:val="23"/>
        <w:spacing w:before="0" w:after="0" w:line="360" w:lineRule="auto"/>
        <w:jc w:val="left"/>
        <w:outlineLvl w:val="1"/>
        <w:rPr>
          <w:rFonts w:hint="eastAsia" w:ascii="宋体" w:hAnsi="宋体" w:cs="宋体"/>
          <w:color w:val="auto"/>
        </w:rPr>
      </w:pPr>
      <w:r>
        <w:rPr>
          <w:rFonts w:hint="eastAsia" w:ascii="宋体" w:hAnsi="宋体" w:cs="宋体"/>
          <w:color w:val="auto"/>
          <w:sz w:val="30"/>
          <w:szCs w:val="30"/>
        </w:rPr>
        <w:t>（7）</w:t>
      </w:r>
      <w:r>
        <w:rPr>
          <w:rFonts w:hint="eastAsia" w:ascii="宋体" w:hAnsi="宋体" w:cs="宋体"/>
          <w:color w:val="auto"/>
          <w:sz w:val="30"/>
          <w:szCs w:val="30"/>
          <w:lang w:val="zh-CN"/>
        </w:rPr>
        <w:t>财务状况报告，依法缴纳税收和社会保障资金的相关材料</w:t>
      </w:r>
      <w:bookmarkEnd w:id="60"/>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520" w:lineRule="exact"/>
        <w:ind w:firstLine="480"/>
        <w:rPr>
          <w:rFonts w:ascii="宋体" w:cs="宋体"/>
          <w:kern w:val="0"/>
          <w:lang w:val="zh-CN"/>
        </w:rPr>
      </w:pPr>
      <w:r>
        <w:rPr>
          <w:rFonts w:hint="eastAsia" w:ascii="宋体" w:hAnsi="宋体" w:cs="宋体"/>
          <w:color w:val="000000"/>
          <w:kern w:val="0"/>
          <w:lang w:val="zh-CN"/>
        </w:rPr>
        <w:t>1、</w:t>
      </w:r>
      <w:r>
        <w:rPr>
          <w:rFonts w:hint="eastAsia" w:ascii="宋体" w:cs="宋体"/>
          <w:kern w:val="0"/>
          <w:lang w:val="zh-CN"/>
        </w:rPr>
        <w:t>投标人是法人的，提供基本开户银行近三个月内出具的资信证明或（202</w:t>
      </w:r>
      <w:r>
        <w:rPr>
          <w:rFonts w:hint="eastAsia" w:ascii="宋体" w:cs="宋体"/>
          <w:kern w:val="0"/>
        </w:rPr>
        <w:t>1</w:t>
      </w:r>
      <w:r>
        <w:rPr>
          <w:rFonts w:hint="eastAsia" w:ascii="宋体" w:cs="宋体"/>
          <w:kern w:val="0"/>
          <w:lang w:val="zh-CN"/>
        </w:rPr>
        <w:t>或202</w:t>
      </w:r>
      <w:r>
        <w:rPr>
          <w:rFonts w:hint="eastAsia" w:ascii="宋体" w:cs="宋体"/>
          <w:kern w:val="0"/>
        </w:rPr>
        <w:t>2</w:t>
      </w:r>
      <w:r>
        <w:rPr>
          <w:rFonts w:hint="eastAsia" w:ascii="宋体" w:cs="宋体"/>
          <w:kern w:val="0"/>
          <w:lang w:val="zh-CN"/>
        </w:rPr>
        <w:t>年度）</w:t>
      </w:r>
      <w:r>
        <w:rPr>
          <w:rFonts w:hint="eastAsia" w:ascii="宋体"/>
        </w:rPr>
        <w:t>经第三方审计的财务状况报告</w:t>
      </w:r>
      <w:r>
        <w:rPr>
          <w:rFonts w:hint="eastAsia" w:ascii="宋体" w:cs="宋体"/>
          <w:kern w:val="0"/>
          <w:lang w:val="zh-CN"/>
        </w:rPr>
        <w:t>（扫描或复印件应全面、完整、清晰），包括资产负债表、现金流量表、利润表和财务（会计）报表附注</w:t>
      </w:r>
      <w:r>
        <w:rPr>
          <w:rFonts w:hint="eastAsia" w:ascii="宋体" w:cs="宋体"/>
          <w:kern w:val="0"/>
        </w:rPr>
        <w:t>，</w:t>
      </w:r>
      <w:r>
        <w:rPr>
          <w:rFonts w:hint="eastAsia" w:ascii="宋体" w:cs="宋体"/>
          <w:kern w:val="0"/>
          <w:lang w:val="zh-CN"/>
        </w:rPr>
        <w:t>并提供第三方机构的营业执照、执业证书。</w:t>
      </w:r>
      <w:r>
        <w:rPr>
          <w:rFonts w:hint="eastAsia" w:ascii="宋体"/>
        </w:rPr>
        <w:t>投标人是其他组织和自然人，没有经审计的财务报告，可以提供基本开户银行出具的资信证明。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Calibri" w:cs="宋体"/>
          <w:kern w:val="0"/>
          <w:lang w:val="zh-CN"/>
        </w:rPr>
        <w:t>提供</w:t>
      </w:r>
      <w:r>
        <w:rPr>
          <w:rFonts w:hint="eastAsia" w:ascii="宋体" w:hAnsi="Calibri" w:cs="宋体"/>
          <w:kern w:val="0"/>
          <w:lang w:val="zh-CN" w:eastAsia="zh-CN"/>
        </w:rPr>
        <w:t>近半年</w:t>
      </w:r>
      <w:r>
        <w:rPr>
          <w:rFonts w:hint="eastAsia" w:ascii="宋体" w:hAnsi="宋体"/>
          <w:lang w:val="zh-CN"/>
        </w:rPr>
        <w:t>中的任意3个月的纳税和社保缴纳凭证</w:t>
      </w:r>
      <w:r>
        <w:rPr>
          <w:rFonts w:hint="eastAsia" w:ascii="宋体" w:hAnsi="宋体" w:cs="宋体"/>
          <w:color w:val="000000"/>
          <w:kern w:val="0"/>
          <w:lang w:val="zh-CN"/>
        </w:rPr>
        <w:t>和社会保障资金记录的证明材料；依法免税或不需要缴纳社会保障资金的投标人须提供相应文件证明其依法免税或不需要缴纳社会保障资金。</w:t>
      </w:r>
    </w:p>
    <w:p>
      <w:pPr>
        <w:pStyle w:val="23"/>
        <w:spacing w:before="0" w:after="0" w:line="360" w:lineRule="auto"/>
        <w:jc w:val="left"/>
        <w:outlineLvl w:val="1"/>
        <w:rPr>
          <w:rFonts w:hint="eastAsia" w:ascii="宋体" w:hAnsi="宋体" w:cs="宋体"/>
          <w:color w:val="auto"/>
          <w:kern w:val="0"/>
          <w:sz w:val="24"/>
          <w:lang w:val="zh-CN"/>
        </w:rPr>
      </w:pPr>
      <w:r>
        <w:rPr>
          <w:rFonts w:hint="eastAsia" w:ascii="宋体" w:hAnsi="宋体" w:cs="宋体"/>
          <w:color w:val="auto"/>
          <w:kern w:val="0"/>
          <w:sz w:val="24"/>
          <w:lang w:val="zh-CN"/>
        </w:rPr>
        <w:br w:type="page"/>
      </w:r>
      <w:bookmarkEnd w:id="59"/>
      <w:bookmarkStart w:id="61" w:name="_Toc11481"/>
      <w:bookmarkStart w:id="62" w:name="_Toc21530"/>
    </w:p>
    <w:p>
      <w:pPr>
        <w:pStyle w:val="23"/>
        <w:spacing w:before="0" w:after="0" w:line="360" w:lineRule="auto"/>
        <w:jc w:val="center"/>
        <w:outlineLvl w:val="1"/>
        <w:rPr>
          <w:rFonts w:hint="eastAsia" w:ascii="宋体" w:hAnsi="宋体" w:cs="宋体"/>
          <w:color w:val="auto"/>
          <w:kern w:val="0"/>
          <w:sz w:val="24"/>
          <w:lang w:val="zh-CN"/>
        </w:rPr>
      </w:pPr>
    </w:p>
    <w:p>
      <w:pPr>
        <w:pStyle w:val="23"/>
        <w:spacing w:before="0" w:after="0" w:line="360" w:lineRule="auto"/>
        <w:jc w:val="left"/>
        <w:outlineLvl w:val="1"/>
        <w:rPr>
          <w:rFonts w:hint="eastAsia" w:ascii="宋体" w:hAnsi="宋体" w:cs="宋体"/>
          <w:color w:val="auto"/>
        </w:rPr>
      </w:pPr>
      <w:r>
        <w:rPr>
          <w:rFonts w:hint="eastAsia" w:ascii="宋体" w:hAnsi="宋体" w:cs="宋体"/>
          <w:color w:val="auto"/>
          <w:sz w:val="30"/>
          <w:szCs w:val="30"/>
        </w:rPr>
        <w:t>（8）</w:t>
      </w:r>
      <w:r>
        <w:rPr>
          <w:rFonts w:hint="eastAsia" w:ascii="宋体" w:hAnsi="宋体" w:cs="宋体"/>
          <w:color w:val="auto"/>
          <w:sz w:val="30"/>
          <w:szCs w:val="30"/>
          <w:lang w:val="zh-CN"/>
        </w:rPr>
        <w:t>具备履行合同所必需的设备和专业技术能力的证明材料</w:t>
      </w:r>
      <w:bookmarkEnd w:id="61"/>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具备履行合同所必需的设备和专业技术能力的证明材料</w:t>
      </w:r>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为保证本项目合同的顺利履行，投标人必须具备履行合同的设备和专业技术能力，须提供相关证明文件以及相关人员的职称证书或用工合同等证明材料。</w:t>
      </w:r>
    </w:p>
    <w:p>
      <w:pPr>
        <w:pStyle w:val="23"/>
        <w:spacing w:before="0" w:after="0" w:line="360" w:lineRule="auto"/>
        <w:jc w:val="left"/>
        <w:outlineLvl w:val="1"/>
        <w:rPr>
          <w:rFonts w:hint="eastAsia" w:ascii="宋体" w:hAnsi="宋体" w:cs="宋体"/>
          <w:color w:val="auto"/>
          <w:kern w:val="0"/>
          <w:sz w:val="24"/>
          <w:lang w:val="zh-CN"/>
        </w:rPr>
      </w:pPr>
      <w:r>
        <w:rPr>
          <w:rFonts w:hint="eastAsia" w:ascii="宋体" w:hAnsi="宋体" w:cs="宋体"/>
          <w:color w:val="auto"/>
          <w:kern w:val="0"/>
          <w:sz w:val="24"/>
          <w:lang w:val="zh-CN"/>
        </w:rPr>
        <w:br w:type="page"/>
      </w:r>
      <w:bookmarkStart w:id="63" w:name="_Toc14127"/>
    </w:p>
    <w:p>
      <w:pPr>
        <w:pStyle w:val="23"/>
        <w:spacing w:before="0" w:after="0" w:line="360" w:lineRule="auto"/>
        <w:jc w:val="left"/>
        <w:outlineLvl w:val="1"/>
        <w:rPr>
          <w:rFonts w:hint="eastAsia" w:ascii="宋体" w:hAnsi="宋体" w:cs="宋体"/>
          <w:color w:val="auto"/>
          <w:kern w:val="0"/>
          <w:sz w:val="24"/>
          <w:lang w:val="zh-CN"/>
        </w:rPr>
      </w:pPr>
    </w:p>
    <w:p>
      <w:pPr>
        <w:pStyle w:val="23"/>
        <w:spacing w:before="0" w:after="0" w:line="360" w:lineRule="auto"/>
        <w:jc w:val="left"/>
        <w:outlineLvl w:val="1"/>
        <w:rPr>
          <w:rFonts w:hint="eastAsia" w:ascii="宋体" w:hAnsi="宋体" w:cs="宋体"/>
          <w:color w:val="auto"/>
        </w:rPr>
      </w:pPr>
      <w:r>
        <w:rPr>
          <w:rFonts w:hint="eastAsia" w:ascii="宋体" w:hAnsi="宋体" w:cs="宋体"/>
          <w:color w:val="auto"/>
          <w:sz w:val="30"/>
          <w:szCs w:val="30"/>
        </w:rPr>
        <w:t>（9）</w:t>
      </w:r>
      <w:r>
        <w:rPr>
          <w:rFonts w:hint="eastAsia" w:ascii="宋体" w:hAnsi="宋体" w:cs="宋体"/>
          <w:color w:val="auto"/>
          <w:sz w:val="30"/>
          <w:szCs w:val="30"/>
          <w:lang w:val="zh-CN"/>
        </w:rPr>
        <w:t>无重大违法记录声明</w:t>
      </w:r>
      <w:bookmarkEnd w:id="63"/>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无重大违法记录声明</w:t>
      </w:r>
    </w:p>
    <w:p>
      <w:pPr>
        <w:spacing w:line="360" w:lineRule="auto"/>
        <w:rPr>
          <w:rFonts w:hint="eastAsia" w:ascii="宋体" w:hAnsi="宋体" w:cs="宋体"/>
          <w:b/>
          <w:bCs/>
          <w:color w:val="auto"/>
          <w:sz w:val="28"/>
          <w:szCs w:val="28"/>
        </w:rPr>
      </w:pPr>
    </w:p>
    <w:p>
      <w:pPr>
        <w:spacing w:line="360" w:lineRule="auto"/>
        <w:rPr>
          <w:rFonts w:hint="eastAsia"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青海旭诚工程项目管理有限公司</w:t>
      </w:r>
    </w:p>
    <w:p>
      <w:pPr>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rPr>
        <w:t>我单位参加本次政府采购项目活动前三年内，在经营活动中无重大违法活动记录，符合《政府采购法》规定的</w:t>
      </w:r>
      <w:r>
        <w:rPr>
          <w:rFonts w:hint="eastAsia" w:ascii="宋体" w:hAnsi="宋体" w:cs="宋体"/>
          <w:color w:val="auto"/>
          <w:lang w:eastAsia="zh-CN"/>
        </w:rPr>
        <w:t>投标人</w:t>
      </w:r>
      <w:r>
        <w:rPr>
          <w:rFonts w:hint="eastAsia" w:ascii="宋体" w:hAnsi="宋体" w:cs="宋体"/>
          <w:color w:val="auto"/>
        </w:rPr>
        <w:t>资格条</w:t>
      </w:r>
      <w:r>
        <w:rPr>
          <w:rFonts w:hint="eastAsia" w:ascii="宋体" w:hAnsi="宋体" w:cs="宋体"/>
          <w:color w:val="auto"/>
          <w:shd w:val="clear" w:color="auto" w:fill="FFFFFF"/>
        </w:rPr>
        <w:t>件。我方对此声明负全部法律责任。</w:t>
      </w:r>
    </w:p>
    <w:p>
      <w:pPr>
        <w:spacing w:line="360" w:lineRule="auto"/>
        <w:ind w:firstLine="480" w:firstLineChars="200"/>
        <w:rPr>
          <w:rFonts w:hint="eastAsia" w:ascii="宋体" w:hAnsi="宋体" w:cs="宋体"/>
          <w:color w:val="auto"/>
        </w:rPr>
      </w:pPr>
    </w:p>
    <w:p>
      <w:pPr>
        <w:spacing w:line="360" w:lineRule="auto"/>
        <w:ind w:firstLine="480" w:firstLineChars="200"/>
        <w:rPr>
          <w:rFonts w:hint="eastAsia" w:ascii="宋体" w:hAnsi="宋体" w:cs="宋体"/>
          <w:color w:val="auto"/>
        </w:rPr>
      </w:pPr>
    </w:p>
    <w:p>
      <w:pPr>
        <w:spacing w:line="360" w:lineRule="auto"/>
        <w:ind w:firstLine="480" w:firstLineChars="200"/>
        <w:rPr>
          <w:rFonts w:hint="eastAsia" w:ascii="宋体" w:hAnsi="宋体" w:cs="宋体"/>
          <w:color w:val="auto"/>
        </w:rPr>
      </w:pPr>
      <w:r>
        <w:rPr>
          <w:rFonts w:hint="eastAsia" w:ascii="宋体" w:hAnsi="宋体" w:cs="宋体"/>
          <w:color w:val="auto"/>
        </w:rPr>
        <w:t>特此声明。</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提供“信用中国</w:t>
      </w:r>
      <w:r>
        <w:rPr>
          <w:rFonts w:hint="eastAsia" w:ascii="宋体" w:hAnsi="宋体" w:cs="宋体"/>
          <w:b w:val="0"/>
          <w:bCs w:val="0"/>
          <w:color w:val="auto"/>
          <w:kern w:val="2"/>
          <w:sz w:val="24"/>
          <w:szCs w:val="24"/>
          <w:lang w:val="en-US" w:eastAsia="zh-CN" w:bidi="ar-SA"/>
        </w:rPr>
        <w:t>报告</w:t>
      </w:r>
      <w:r>
        <w:rPr>
          <w:rFonts w:hint="eastAsia" w:ascii="宋体" w:hAnsi="宋体" w:eastAsia="宋体" w:cs="宋体"/>
          <w:b w:val="0"/>
          <w:bCs w:val="0"/>
          <w:color w:val="auto"/>
          <w:kern w:val="2"/>
          <w:sz w:val="24"/>
          <w:szCs w:val="24"/>
          <w:lang w:val="en-US" w:eastAsia="zh-CN" w:bidi="ar-SA"/>
        </w:rPr>
        <w:t>”“中国政府采购网”网站无任何不良记录的查询截图，时间为投标截止时间前</w:t>
      </w:r>
      <w:r>
        <w:rPr>
          <w:rFonts w:hint="eastAsia" w:ascii="宋体" w:hAnsi="宋体" w:cs="宋体"/>
          <w:b w:val="0"/>
          <w:bCs w:val="0"/>
          <w:color w:val="auto"/>
          <w:kern w:val="2"/>
          <w:sz w:val="24"/>
          <w:szCs w:val="24"/>
          <w:lang w:val="en-US" w:eastAsia="zh-CN" w:bidi="ar-SA"/>
        </w:rPr>
        <w:t>20</w:t>
      </w:r>
      <w:r>
        <w:rPr>
          <w:rFonts w:hint="eastAsia" w:ascii="宋体" w:hAnsi="宋体" w:eastAsia="宋体" w:cs="宋体"/>
          <w:b w:val="0"/>
          <w:bCs w:val="0"/>
          <w:color w:val="auto"/>
          <w:kern w:val="2"/>
          <w:sz w:val="24"/>
          <w:szCs w:val="24"/>
          <w:lang w:val="en-US" w:eastAsia="zh-CN" w:bidi="ar-SA"/>
        </w:rPr>
        <w:t>天内</w:t>
      </w:r>
      <w:r>
        <w:rPr>
          <w:rFonts w:hint="eastAsia" w:ascii="宋体" w:hAnsi="宋体" w:cs="宋体"/>
          <w:b w:val="0"/>
          <w:bCs w:val="0"/>
          <w:color w:val="auto"/>
          <w:kern w:val="2"/>
          <w:sz w:val="24"/>
          <w:szCs w:val="24"/>
          <w:lang w:val="en-US" w:eastAsia="zh-CN" w:bidi="ar-SA"/>
        </w:rPr>
        <w:t>。</w:t>
      </w: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left"/>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法定代表人或委托代理人：        （签字）</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64" w:name="_Toc29764"/>
      <w:bookmarkStart w:id="65" w:name="_Toc12195"/>
    </w:p>
    <w:p>
      <w:pPr>
        <w:pStyle w:val="23"/>
        <w:spacing w:before="0" w:after="0" w:line="360" w:lineRule="auto"/>
        <w:jc w:val="left"/>
        <w:outlineLvl w:val="1"/>
        <w:rPr>
          <w:rFonts w:hint="eastAsia" w:ascii="宋体" w:hAnsi="宋体" w:cs="宋体"/>
          <w:color w:val="auto"/>
          <w:lang w:val="zh-CN"/>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rPr>
        <w:t>（10）</w:t>
      </w:r>
      <w:r>
        <w:rPr>
          <w:rFonts w:hint="eastAsia" w:ascii="宋体" w:hAnsi="宋体" w:cs="宋体"/>
          <w:color w:val="auto"/>
          <w:sz w:val="30"/>
          <w:szCs w:val="30"/>
          <w:lang w:val="zh-CN"/>
        </w:rPr>
        <w:t>投标保证金证明</w:t>
      </w:r>
      <w:bookmarkEnd w:id="64"/>
      <w:bookmarkEnd w:id="65"/>
    </w:p>
    <w:p>
      <w:pPr>
        <w:spacing w:line="360" w:lineRule="auto"/>
        <w:rPr>
          <w:rFonts w:hint="eastAsia" w:ascii="宋体" w:hAnsi="宋体" w:cs="宋体"/>
          <w:color w:val="auto"/>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投标保证金证明</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b/>
          <w:bCs/>
          <w:color w:val="auto"/>
          <w:kern w:val="0"/>
          <w:lang w:val="zh-CN"/>
        </w:rPr>
      </w:pPr>
      <w:r>
        <w:rPr>
          <w:rFonts w:hint="eastAsia" w:ascii="宋体" w:hAnsi="宋体" w:cs="宋体"/>
          <w:b/>
          <w:bCs/>
          <w:color w:val="auto"/>
          <w:kern w:val="0"/>
          <w:lang w:val="zh-CN"/>
        </w:rPr>
        <w:t>致：青海旭诚工程项目管理有限公司</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附件：</w:t>
      </w:r>
      <w:r>
        <w:rPr>
          <w:rFonts w:hint="eastAsia" w:ascii="宋体" w:hAnsi="宋体" w:cs="宋体"/>
          <w:color w:val="auto"/>
          <w:kern w:val="0"/>
          <w:lang w:val="en-US" w:eastAsia="zh-CN"/>
        </w:rPr>
        <w:t>1、</w:t>
      </w:r>
      <w:r>
        <w:rPr>
          <w:rFonts w:hint="eastAsia" w:ascii="宋体" w:hAnsi="宋体" w:cs="宋体"/>
          <w:color w:val="auto"/>
          <w:kern w:val="0"/>
          <w:lang w:val="zh-CN"/>
        </w:rPr>
        <w:t>保证金交款证明复印件（加盖公章）</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户    名：</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开户银行：</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开户帐号：</w:t>
      </w:r>
    </w:p>
    <w:p>
      <w:pPr>
        <w:autoSpaceDE w:val="0"/>
        <w:autoSpaceDN w:val="0"/>
        <w:spacing w:line="360" w:lineRule="auto"/>
        <w:ind w:firstLine="360"/>
        <w:rPr>
          <w:rFonts w:hint="eastAsia" w:ascii="宋体" w:hAnsi="宋体" w:cs="宋体"/>
          <w:color w:val="auto"/>
          <w:kern w:val="0"/>
          <w:lang w:val="zh-CN"/>
        </w:rPr>
      </w:pPr>
      <w:r>
        <w:rPr>
          <w:rFonts w:hint="eastAsia" w:ascii="宋体" w:hAnsi="宋体" w:cs="宋体"/>
          <w:color w:val="auto"/>
          <w:kern w:val="0"/>
          <w:lang w:val="zh-CN"/>
        </w:rPr>
        <w:t>注：通过银行转账的，必须由投标人从其基本账户汇（转）入</w:t>
      </w:r>
      <w:r>
        <w:rPr>
          <w:rFonts w:hint="eastAsia" w:ascii="宋体" w:hAnsi="宋体" w:cs="宋体"/>
          <w:color w:val="auto"/>
          <w:kern w:val="0"/>
        </w:rPr>
        <w:t>9.1条规定的账户</w:t>
      </w:r>
      <w:r>
        <w:rPr>
          <w:rFonts w:hint="eastAsia" w:ascii="宋体" w:hAnsi="宋体" w:cs="宋体"/>
          <w:color w:val="auto"/>
          <w:kern w:val="0"/>
          <w:lang w:val="zh-CN"/>
        </w:rPr>
        <w:t>。</w:t>
      </w:r>
    </w:p>
    <w:p>
      <w:pPr>
        <w:autoSpaceDE w:val="0"/>
        <w:autoSpaceDN w:val="0"/>
        <w:spacing w:line="360" w:lineRule="auto"/>
        <w:ind w:firstLine="360"/>
        <w:rPr>
          <w:rFonts w:hint="eastAsia" w:ascii="宋体" w:hAnsi="宋体" w:cs="宋体"/>
          <w:color w:val="auto"/>
          <w:kern w:val="0"/>
          <w:lang w:val="zh-CN"/>
        </w:rPr>
      </w:pPr>
    </w:p>
    <w:p>
      <w:pPr>
        <w:autoSpaceDE w:val="0"/>
        <w:autoSpaceDN w:val="0"/>
        <w:spacing w:line="360" w:lineRule="auto"/>
        <w:ind w:firstLine="360"/>
        <w:rPr>
          <w:rFonts w:hint="eastAsia" w:ascii="宋体" w:hAnsi="宋体" w:cs="宋体"/>
          <w:color w:val="auto"/>
          <w:kern w:val="0"/>
          <w:lang w:val="zh-CN"/>
        </w:rPr>
      </w:pPr>
    </w:p>
    <w:p>
      <w:pPr>
        <w:autoSpaceDE w:val="0"/>
        <w:autoSpaceDN w:val="0"/>
        <w:spacing w:line="360" w:lineRule="auto"/>
        <w:ind w:firstLine="360"/>
        <w:rPr>
          <w:rFonts w:hint="eastAsia" w:ascii="宋体" w:hAnsi="宋体" w:cs="宋体"/>
          <w:color w:val="auto"/>
          <w:kern w:val="0"/>
          <w:lang w:val="zh-CN"/>
        </w:rPr>
      </w:pPr>
    </w:p>
    <w:p>
      <w:pPr>
        <w:autoSpaceDE w:val="0"/>
        <w:autoSpaceDN w:val="0"/>
        <w:spacing w:line="360" w:lineRule="auto"/>
        <w:ind w:firstLine="360"/>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法定代表人或委托代理人：        （签字）</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360" w:lineRule="auto"/>
        <w:rPr>
          <w:rFonts w:hint="eastAsia" w:ascii="宋体" w:hAnsi="宋体" w:cs="宋体"/>
          <w:b/>
          <w:bCs/>
          <w:color w:val="auto"/>
          <w:kern w:val="0"/>
          <w:lang w:val="zh-CN"/>
        </w:rPr>
      </w:pPr>
    </w:p>
    <w:p>
      <w:pPr>
        <w:autoSpaceDE w:val="0"/>
        <w:autoSpaceDN w:val="0"/>
        <w:spacing w:line="360" w:lineRule="auto"/>
        <w:ind w:firstLine="360"/>
        <w:rPr>
          <w:rFonts w:hint="eastAsia" w:ascii="宋体" w:hAnsi="宋体" w:cs="宋体"/>
          <w:color w:val="auto"/>
          <w:kern w:val="0"/>
          <w:lang w:val="zh-CN"/>
        </w:rPr>
      </w:pPr>
    </w:p>
    <w:bookmarkEnd w:id="62"/>
    <w:p>
      <w:pPr>
        <w:pStyle w:val="23"/>
        <w:spacing w:before="0" w:after="0" w:line="360" w:lineRule="auto"/>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br w:type="page"/>
      </w:r>
      <w:bookmarkStart w:id="66" w:name="_Toc27859"/>
    </w:p>
    <w:p>
      <w:pPr>
        <w:pStyle w:val="23"/>
        <w:spacing w:before="0" w:after="0" w:line="360" w:lineRule="auto"/>
        <w:jc w:val="left"/>
        <w:rPr>
          <w:rFonts w:hint="eastAsia" w:ascii="宋体" w:hAnsi="宋体" w:cs="宋体"/>
          <w:color w:val="auto"/>
          <w:kern w:val="0"/>
          <w:sz w:val="24"/>
          <w:szCs w:val="24"/>
          <w:lang w:val="zh-CN"/>
        </w:rPr>
      </w:pPr>
    </w:p>
    <w:p>
      <w:pPr>
        <w:pStyle w:val="23"/>
        <w:spacing w:before="0" w:after="0" w:line="360" w:lineRule="auto"/>
        <w:jc w:val="left"/>
        <w:rPr>
          <w:rFonts w:hint="eastAsia" w:ascii="宋体" w:hAnsi="宋体" w:cs="宋体"/>
          <w:color w:val="auto"/>
        </w:rPr>
      </w:pPr>
      <w:r>
        <w:rPr>
          <w:rFonts w:hint="eastAsia" w:ascii="宋体" w:hAnsi="宋体" w:cs="宋体"/>
          <w:color w:val="auto"/>
          <w:sz w:val="30"/>
          <w:szCs w:val="30"/>
          <w:lang w:val="zh-CN"/>
        </w:rPr>
        <w:t>（下册）</w:t>
      </w:r>
      <w:bookmarkEnd w:id="66"/>
    </w:p>
    <w:p>
      <w:pPr>
        <w:autoSpaceDE w:val="0"/>
        <w:autoSpaceDN w:val="0"/>
        <w:spacing w:line="360" w:lineRule="auto"/>
        <w:jc w:val="right"/>
        <w:rPr>
          <w:rFonts w:hint="eastAsia" w:ascii="宋体" w:hAnsi="宋体" w:cs="宋体"/>
          <w:b/>
          <w:bCs/>
          <w:color w:val="auto"/>
          <w:kern w:val="0"/>
          <w:sz w:val="36"/>
          <w:szCs w:val="36"/>
        </w:rPr>
      </w:pPr>
      <w:r>
        <w:rPr>
          <w:rFonts w:hint="eastAsia" w:ascii="宋体" w:hAnsi="宋体" w:cs="宋体"/>
          <w:b/>
          <w:bCs/>
          <w:color w:val="auto"/>
          <w:kern w:val="0"/>
          <w:sz w:val="36"/>
          <w:szCs w:val="36"/>
        </w:rPr>
        <w:t>正本/副本</w:t>
      </w:r>
    </w:p>
    <w:p>
      <w:pPr>
        <w:autoSpaceDE w:val="0"/>
        <w:autoSpaceDN w:val="0"/>
        <w:spacing w:line="360" w:lineRule="auto"/>
        <w:jc w:val="center"/>
        <w:rPr>
          <w:rFonts w:hint="eastAsia" w:ascii="宋体" w:hAnsi="宋体" w:cs="宋体"/>
          <w:b/>
          <w:bCs/>
          <w:color w:val="auto"/>
          <w:kern w:val="0"/>
          <w:sz w:val="52"/>
          <w:szCs w:val="52"/>
          <w:lang w:val="zh-CN"/>
        </w:rPr>
      </w:pPr>
      <w:r>
        <w:rPr>
          <w:rFonts w:hint="eastAsia" w:ascii="宋体" w:hAnsi="宋体" w:cs="宋体"/>
          <w:b/>
          <w:bCs/>
          <w:color w:val="auto"/>
          <w:kern w:val="0"/>
          <w:sz w:val="52"/>
          <w:szCs w:val="52"/>
          <w:lang w:val="zh-CN"/>
        </w:rPr>
        <w:t>青海省政府采购项目</w:t>
      </w: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jc w:val="center"/>
        <w:rPr>
          <w:rFonts w:hint="eastAsia" w:ascii="宋体" w:hAnsi="宋体" w:cs="宋体"/>
          <w:b/>
          <w:bCs/>
          <w:color w:val="auto"/>
          <w:kern w:val="0"/>
          <w:sz w:val="72"/>
          <w:szCs w:val="72"/>
        </w:rPr>
      </w:pPr>
      <w:r>
        <w:rPr>
          <w:rFonts w:hint="eastAsia" w:ascii="宋体" w:hAnsi="宋体" w:cs="宋体"/>
          <w:b/>
          <w:bCs/>
          <w:color w:val="auto"/>
          <w:kern w:val="0"/>
          <w:sz w:val="72"/>
          <w:szCs w:val="72"/>
          <w:lang w:val="zh-CN"/>
        </w:rPr>
        <w:t>投</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文</w:t>
      </w:r>
      <w:r>
        <w:rPr>
          <w:rFonts w:hint="eastAsia" w:ascii="宋体" w:hAnsi="宋体" w:cs="宋体"/>
          <w:b/>
          <w:bCs/>
          <w:color w:val="auto"/>
          <w:kern w:val="0"/>
          <w:sz w:val="72"/>
          <w:szCs w:val="72"/>
        </w:rPr>
        <w:t xml:space="preserve"> </w:t>
      </w:r>
      <w:r>
        <w:rPr>
          <w:rFonts w:hint="eastAsia" w:ascii="宋体" w:hAnsi="宋体" w:cs="宋体"/>
          <w:b/>
          <w:bCs/>
          <w:color w:val="auto"/>
          <w:kern w:val="0"/>
          <w:sz w:val="72"/>
          <w:szCs w:val="72"/>
          <w:lang w:val="zh-CN"/>
        </w:rPr>
        <w:t>件</w:t>
      </w:r>
    </w:p>
    <w:p>
      <w:pPr>
        <w:autoSpaceDE w:val="0"/>
        <w:autoSpaceDN w:val="0"/>
        <w:spacing w:line="360" w:lineRule="auto"/>
        <w:jc w:val="center"/>
        <w:rPr>
          <w:rFonts w:hint="eastAsia" w:ascii="宋体" w:hAnsi="宋体" w:cs="宋体"/>
          <w:color w:val="auto"/>
          <w:kern w:val="0"/>
          <w:sz w:val="44"/>
          <w:szCs w:val="44"/>
        </w:rPr>
      </w:pPr>
      <w:r>
        <w:rPr>
          <w:rFonts w:hint="eastAsia" w:ascii="宋体" w:hAnsi="宋体" w:cs="宋体"/>
          <w:b/>
          <w:bCs/>
          <w:color w:val="auto"/>
          <w:sz w:val="44"/>
          <w:szCs w:val="44"/>
          <w:lang w:val="zh-CN"/>
        </w:rPr>
        <w:t>（下册）</w:t>
      </w: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rPr>
          <w:rFonts w:hint="eastAsia" w:ascii="宋体" w:hAnsi="宋体" w:cs="宋体"/>
          <w:color w:val="auto"/>
          <w:kern w:val="0"/>
          <w:sz w:val="36"/>
          <w:szCs w:val="36"/>
        </w:rPr>
      </w:pP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项</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目</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编</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号：</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lang w:val="zh-CN"/>
        </w:rPr>
        <w:t>项</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目</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名</w:t>
      </w:r>
      <w:r>
        <w:rPr>
          <w:rFonts w:hint="eastAsia" w:ascii="宋体" w:hAnsi="宋体" w:cs="宋体"/>
          <w:b/>
          <w:bCs/>
          <w:color w:val="auto"/>
          <w:kern w:val="0"/>
          <w:sz w:val="36"/>
          <w:szCs w:val="36"/>
          <w:lang w:val="en-US" w:eastAsia="zh-CN"/>
        </w:rPr>
        <w:t xml:space="preserve"> </w:t>
      </w:r>
      <w:r>
        <w:rPr>
          <w:rFonts w:hint="eastAsia" w:ascii="宋体" w:hAnsi="宋体" w:cs="宋体"/>
          <w:b/>
          <w:bCs/>
          <w:color w:val="auto"/>
          <w:kern w:val="0"/>
          <w:sz w:val="36"/>
          <w:szCs w:val="36"/>
          <w:lang w:val="zh-CN"/>
        </w:rPr>
        <w:t>称</w:t>
      </w:r>
      <w:r>
        <w:rPr>
          <w:rFonts w:hint="eastAsia" w:ascii="宋体" w:hAnsi="宋体" w:cs="宋体"/>
          <w:b/>
          <w:bCs/>
          <w:color w:val="auto"/>
          <w:kern w:val="0"/>
          <w:sz w:val="36"/>
          <w:szCs w:val="36"/>
        </w:rPr>
        <w:t>：</w:t>
      </w:r>
    </w:p>
    <w:p>
      <w:pPr>
        <w:autoSpaceDE w:val="0"/>
        <w:autoSpaceDN w:val="0"/>
        <w:spacing w:line="360" w:lineRule="auto"/>
        <w:rPr>
          <w:rFonts w:hint="eastAsia" w:ascii="宋体" w:hAnsi="宋体" w:cs="宋体"/>
          <w:b/>
          <w:bCs/>
          <w:color w:val="auto"/>
          <w:kern w:val="0"/>
          <w:sz w:val="36"/>
          <w:szCs w:val="36"/>
          <w:lang w:val="zh-CN"/>
        </w:rPr>
      </w:pPr>
      <w:r>
        <w:rPr>
          <w:rFonts w:hint="eastAsia" w:ascii="宋体" w:hAnsi="宋体" w:cs="宋体"/>
          <w:b/>
          <w:bCs/>
          <w:color w:val="auto"/>
          <w:kern w:val="0"/>
          <w:sz w:val="36"/>
          <w:szCs w:val="36"/>
          <w:lang w:val="zh-CN"/>
        </w:rPr>
        <w:t>投</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标</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包</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号：</w:t>
      </w:r>
    </w:p>
    <w:p>
      <w:pPr>
        <w:autoSpaceDE w:val="0"/>
        <w:autoSpaceDN w:val="0"/>
        <w:spacing w:line="360" w:lineRule="auto"/>
        <w:rPr>
          <w:rFonts w:hint="eastAsia" w:ascii="宋体" w:hAnsi="宋体" w:cs="宋体"/>
          <w:b/>
          <w:bCs/>
          <w:color w:val="auto"/>
          <w:kern w:val="0"/>
          <w:sz w:val="36"/>
          <w:szCs w:val="36"/>
        </w:rPr>
      </w:pPr>
    </w:p>
    <w:p>
      <w:pPr>
        <w:autoSpaceDE w:val="0"/>
        <w:autoSpaceDN w:val="0"/>
        <w:spacing w:line="360" w:lineRule="auto"/>
        <w:rPr>
          <w:rFonts w:hint="eastAsia" w:ascii="宋体" w:hAnsi="宋体" w:cs="宋体"/>
          <w:b/>
          <w:bCs/>
          <w:color w:val="auto"/>
          <w:kern w:val="0"/>
          <w:sz w:val="36"/>
          <w:szCs w:val="36"/>
        </w:rPr>
      </w:pP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投标人：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rPr>
        <w:t>（</w:t>
      </w:r>
      <w:r>
        <w:rPr>
          <w:rFonts w:hint="eastAsia" w:ascii="宋体" w:hAnsi="宋体" w:cs="宋体"/>
          <w:b/>
          <w:bCs/>
          <w:color w:val="auto"/>
          <w:kern w:val="0"/>
          <w:sz w:val="36"/>
          <w:szCs w:val="36"/>
          <w:lang w:val="zh-CN"/>
        </w:rPr>
        <w:t>公章）</w:t>
      </w:r>
    </w:p>
    <w:p>
      <w:pPr>
        <w:autoSpaceDE w:val="0"/>
        <w:autoSpaceDN w:val="0"/>
        <w:spacing w:line="360" w:lineRule="auto"/>
        <w:rPr>
          <w:rFonts w:hint="eastAsia" w:ascii="宋体" w:hAnsi="宋体" w:cs="宋体"/>
          <w:b/>
          <w:bCs/>
          <w:color w:val="auto"/>
          <w:kern w:val="0"/>
          <w:sz w:val="36"/>
          <w:szCs w:val="36"/>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法定代表人或委托代理人：</w:t>
      </w:r>
      <w:r>
        <w:rPr>
          <w:rFonts w:hint="eastAsia" w:ascii="宋体" w:hAnsi="宋体" w:cs="宋体"/>
          <w:b/>
          <w:bCs/>
          <w:color w:val="auto"/>
          <w:kern w:val="0"/>
          <w:sz w:val="36"/>
          <w:szCs w:val="36"/>
          <w:u w:val="single"/>
        </w:rPr>
        <w:t xml:space="preserve">        </w:t>
      </w:r>
      <w:r>
        <w:rPr>
          <w:rFonts w:hint="eastAsia" w:ascii="宋体" w:hAnsi="宋体" w:cs="宋体"/>
          <w:b/>
          <w:bCs/>
          <w:color w:val="auto"/>
          <w:kern w:val="0"/>
          <w:sz w:val="36"/>
          <w:szCs w:val="36"/>
          <w:lang w:val="zh-CN"/>
        </w:rPr>
        <w:t>（签字）</w:t>
      </w:r>
    </w:p>
    <w:p>
      <w:pPr>
        <w:autoSpaceDE w:val="0"/>
        <w:autoSpaceDN w:val="0"/>
        <w:spacing w:line="360" w:lineRule="auto"/>
        <w:rPr>
          <w:rFonts w:hint="eastAsia" w:ascii="宋体" w:hAnsi="宋体" w:cs="宋体"/>
          <w:b/>
          <w:bCs/>
          <w:color w:val="auto"/>
          <w:kern w:val="0"/>
          <w:sz w:val="36"/>
          <w:szCs w:val="36"/>
          <w:lang w:val="zh-CN"/>
        </w:rPr>
      </w:pP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年</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月</w:t>
      </w:r>
      <w:r>
        <w:rPr>
          <w:rFonts w:hint="eastAsia" w:ascii="宋体" w:hAnsi="宋体" w:cs="宋体"/>
          <w:b/>
          <w:bCs/>
          <w:color w:val="auto"/>
          <w:kern w:val="0"/>
          <w:sz w:val="36"/>
          <w:szCs w:val="36"/>
        </w:rPr>
        <w:t xml:space="preserve">    </w:t>
      </w:r>
      <w:r>
        <w:rPr>
          <w:rFonts w:hint="eastAsia" w:ascii="宋体" w:hAnsi="宋体" w:cs="宋体"/>
          <w:b/>
          <w:bCs/>
          <w:color w:val="auto"/>
          <w:kern w:val="0"/>
          <w:sz w:val="36"/>
          <w:szCs w:val="36"/>
          <w:lang w:val="zh-CN"/>
        </w:rPr>
        <w:t>日</w:t>
      </w:r>
    </w:p>
    <w:p>
      <w:pPr>
        <w:pStyle w:val="23"/>
        <w:spacing w:before="0" w:after="0" w:line="360" w:lineRule="auto"/>
        <w:jc w:val="left"/>
        <w:rPr>
          <w:rFonts w:hint="eastAsia" w:ascii="宋体" w:hAnsi="宋体" w:cs="宋体"/>
          <w:b w:val="0"/>
          <w:bCs w:val="0"/>
          <w:color w:val="auto"/>
          <w:kern w:val="0"/>
          <w:lang w:val="zh-CN"/>
        </w:rPr>
      </w:pPr>
      <w:r>
        <w:rPr>
          <w:rFonts w:hint="eastAsia" w:ascii="宋体" w:hAnsi="宋体" w:cs="宋体"/>
          <w:b w:val="0"/>
          <w:bCs w:val="0"/>
          <w:color w:val="auto"/>
          <w:kern w:val="0"/>
          <w:lang w:val="zh-CN"/>
        </w:rPr>
        <w:br w:type="page"/>
      </w:r>
      <w:bookmarkStart w:id="67" w:name="_Toc15054"/>
    </w:p>
    <w:p>
      <w:pPr>
        <w:pStyle w:val="23"/>
        <w:spacing w:before="0" w:after="0" w:line="360" w:lineRule="auto"/>
        <w:jc w:val="left"/>
        <w:rPr>
          <w:rFonts w:hint="eastAsia" w:ascii="宋体" w:hAnsi="宋体" w:cs="宋体"/>
          <w:b w:val="0"/>
          <w:bCs w:val="0"/>
          <w:color w:val="auto"/>
          <w:kern w:val="0"/>
          <w:lang w:val="zh-CN"/>
        </w:rPr>
      </w:pPr>
    </w:p>
    <w:p>
      <w:pPr>
        <w:pStyle w:val="23"/>
        <w:spacing w:before="0" w:after="0" w:line="360" w:lineRule="auto"/>
        <w:jc w:val="left"/>
        <w:rPr>
          <w:rFonts w:hint="eastAsia" w:ascii="宋体" w:hAnsi="宋体" w:cs="宋体"/>
          <w:color w:val="auto"/>
          <w:lang w:val="zh-CN"/>
        </w:rPr>
      </w:pPr>
      <w:r>
        <w:rPr>
          <w:rFonts w:hint="eastAsia" w:ascii="宋体" w:hAnsi="宋体" w:cs="宋体"/>
          <w:color w:val="auto"/>
          <w:sz w:val="30"/>
          <w:szCs w:val="30"/>
          <w:lang w:val="zh-CN"/>
        </w:rPr>
        <w:t>目录（下册）</w:t>
      </w:r>
      <w:bookmarkEnd w:id="67"/>
    </w:p>
    <w:p>
      <w:pPr>
        <w:numPr>
          <w:ilvl w:val="0"/>
          <w:numId w:val="9"/>
        </w:numPr>
        <w:autoSpaceDE w:val="0"/>
        <w:autoSpaceDN w:val="0"/>
        <w:spacing w:line="360" w:lineRule="auto"/>
        <w:rPr>
          <w:rFonts w:hint="eastAsia" w:ascii="宋体" w:hAnsi="宋体" w:cs="宋体"/>
          <w:color w:val="auto"/>
          <w:kern w:val="0"/>
          <w:lang w:val="zh-CN"/>
        </w:rPr>
      </w:pPr>
      <w:r>
        <w:rPr>
          <w:rFonts w:hint="eastAsia" w:ascii="宋体" w:hAnsi="宋体" w:cs="宋体"/>
          <w:color w:val="auto"/>
        </w:rPr>
        <w:t>评分对照表</w:t>
      </w:r>
      <w:r>
        <w:rPr>
          <w:rFonts w:hint="eastAsia" w:ascii="宋体" w:hAnsi="宋体" w:cs="宋体"/>
          <w:color w:val="auto"/>
          <w:kern w:val="0"/>
          <w:lang w:val="zh-CN"/>
        </w:rPr>
        <w:t>………………………………………………………所在页码</w:t>
      </w:r>
    </w:p>
    <w:p>
      <w:pPr>
        <w:numPr>
          <w:ilvl w:val="0"/>
          <w:numId w:val="9"/>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开标一览表（报价表）…………………………………………所在页码</w:t>
      </w:r>
    </w:p>
    <w:p>
      <w:pPr>
        <w:numPr>
          <w:ilvl w:val="0"/>
          <w:numId w:val="9"/>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分项报价表………………………………………………………所在页码</w:t>
      </w:r>
    </w:p>
    <w:p>
      <w:pPr>
        <w:numPr>
          <w:ilvl w:val="0"/>
          <w:numId w:val="9"/>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技术规格响应表…………………………………………………所在页码</w:t>
      </w:r>
    </w:p>
    <w:p>
      <w:pPr>
        <w:numPr>
          <w:ilvl w:val="0"/>
          <w:numId w:val="9"/>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投标产品相关资料………………………………………………所在页码</w:t>
      </w:r>
    </w:p>
    <w:p>
      <w:pPr>
        <w:numPr>
          <w:ilvl w:val="0"/>
          <w:numId w:val="9"/>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投标人的类似业绩证明材料……………………………………所在页码</w:t>
      </w:r>
    </w:p>
    <w:p>
      <w:pPr>
        <w:numPr>
          <w:ilvl w:val="0"/>
          <w:numId w:val="9"/>
        </w:numPr>
        <w:autoSpaceDE w:val="0"/>
        <w:autoSpaceDN w:val="0"/>
        <w:spacing w:line="360" w:lineRule="auto"/>
        <w:rPr>
          <w:rFonts w:hint="eastAsia" w:ascii="宋体" w:hAnsi="宋体" w:cs="宋体"/>
          <w:color w:val="auto"/>
          <w:lang w:val="zh-CN"/>
        </w:rPr>
      </w:pPr>
      <w:r>
        <w:rPr>
          <w:rFonts w:hint="eastAsia" w:ascii="宋体" w:hAnsi="宋体" w:cs="宋体"/>
          <w:color w:val="auto"/>
          <w:kern w:val="0"/>
          <w:lang w:val="zh-CN"/>
        </w:rPr>
        <w:t>中、小声明函……………………………………………………所在页码</w:t>
      </w:r>
    </w:p>
    <w:p>
      <w:pPr>
        <w:numPr>
          <w:ilvl w:val="0"/>
          <w:numId w:val="9"/>
        </w:num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残疾人福利性单位声明函………………………………………所在页码</w:t>
      </w:r>
    </w:p>
    <w:p>
      <w:pPr>
        <w:numPr>
          <w:ilvl w:val="0"/>
          <w:numId w:val="9"/>
        </w:numPr>
        <w:autoSpaceDE w:val="0"/>
        <w:autoSpaceDN w:val="0"/>
        <w:spacing w:line="360" w:lineRule="auto"/>
        <w:rPr>
          <w:rFonts w:hint="eastAsia" w:ascii="宋体" w:hAnsi="宋体" w:cs="宋体"/>
          <w:color w:val="auto"/>
          <w:lang w:val="zh-CN"/>
        </w:rPr>
      </w:pPr>
      <w:r>
        <w:rPr>
          <w:rFonts w:hint="eastAsia" w:ascii="宋体" w:hAnsi="宋体" w:cs="宋体"/>
          <w:color w:val="auto"/>
          <w:kern w:val="0"/>
          <w:lang w:val="zh-CN"/>
        </w:rPr>
        <w:t>投标人认为在其他方面有必要说明的事项……………………所在页码</w:t>
      </w: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68" w:name="_Toc5294"/>
    </w:p>
    <w:p>
      <w:pPr>
        <w:pStyle w:val="23"/>
        <w:spacing w:before="0" w:after="0" w:line="360" w:lineRule="auto"/>
        <w:jc w:val="left"/>
        <w:outlineLvl w:val="1"/>
        <w:rPr>
          <w:rFonts w:hint="eastAsia" w:ascii="宋体" w:hAnsi="宋体" w:cs="宋体"/>
          <w:color w:val="auto"/>
          <w:lang w:val="zh-CN"/>
        </w:rPr>
      </w:pPr>
    </w:p>
    <w:p>
      <w:pPr>
        <w:pStyle w:val="23"/>
        <w:spacing w:before="0" w:after="0" w:line="360" w:lineRule="auto"/>
        <w:jc w:val="left"/>
        <w:outlineLvl w:val="1"/>
        <w:rPr>
          <w:rFonts w:hint="eastAsia" w:ascii="宋体" w:hAnsi="宋体" w:cs="宋体"/>
          <w:color w:val="auto"/>
          <w:sz w:val="30"/>
          <w:szCs w:val="30"/>
          <w:lang w:val="zh-CN"/>
        </w:rPr>
      </w:pPr>
      <w:r>
        <w:rPr>
          <w:rFonts w:hint="eastAsia" w:ascii="宋体" w:hAnsi="宋体" w:cs="宋体"/>
          <w:color w:val="auto"/>
          <w:sz w:val="30"/>
          <w:szCs w:val="30"/>
        </w:rPr>
        <w:t>（11）</w:t>
      </w:r>
      <w:r>
        <w:rPr>
          <w:rFonts w:hint="eastAsia" w:ascii="宋体" w:hAnsi="宋体" w:cs="宋体"/>
          <w:color w:val="auto"/>
          <w:sz w:val="30"/>
          <w:szCs w:val="30"/>
          <w:lang w:val="zh-CN"/>
        </w:rPr>
        <w:t>评分对照表</w:t>
      </w:r>
      <w:bookmarkEnd w:id="68"/>
    </w:p>
    <w:p>
      <w:pPr>
        <w:spacing w:line="360" w:lineRule="auto"/>
        <w:rPr>
          <w:rFonts w:hint="eastAsia" w:ascii="宋体" w:hAnsi="宋体" w:cs="宋体"/>
          <w:color w:val="auto"/>
          <w:sz w:val="28"/>
          <w:szCs w:val="28"/>
        </w:rPr>
      </w:pPr>
    </w:p>
    <w:p>
      <w:pPr>
        <w:spacing w:line="360" w:lineRule="auto"/>
        <w:jc w:val="center"/>
        <w:rPr>
          <w:rFonts w:hint="eastAsia" w:ascii="宋体" w:hAnsi="宋体" w:cs="宋体"/>
          <w:color w:val="auto"/>
        </w:rPr>
      </w:pPr>
      <w:r>
        <w:rPr>
          <w:rFonts w:hint="eastAsia" w:ascii="宋体" w:hAnsi="宋体" w:cs="宋体"/>
          <w:b/>
          <w:bCs/>
          <w:color w:val="auto"/>
          <w:sz w:val="28"/>
          <w:szCs w:val="28"/>
        </w:rPr>
        <w:t>评分对照表</w:t>
      </w:r>
    </w:p>
    <w:p>
      <w:pPr>
        <w:spacing w:line="360" w:lineRule="auto"/>
        <w:rPr>
          <w:rFonts w:hint="eastAsia" w:ascii="宋体" w:hAnsi="宋体" w:cs="宋体"/>
          <w:color w:val="auto"/>
          <w:sz w:val="28"/>
          <w:szCs w:val="28"/>
        </w:rPr>
      </w:pPr>
    </w:p>
    <w:tbl>
      <w:tblPr>
        <w:tblStyle w:val="25"/>
        <w:tblW w:w="8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1" w:type="dxa"/>
            <w:noWrap w:val="0"/>
            <w:vAlign w:val="center"/>
          </w:tcPr>
          <w:p>
            <w:pPr>
              <w:pStyle w:val="7"/>
              <w:spacing w:line="240" w:lineRule="auto"/>
              <w:ind w:firstLine="0"/>
              <w:jc w:val="center"/>
              <w:rPr>
                <w:rFonts w:hint="eastAsia" w:ascii="宋体" w:hAnsi="宋体" w:cs="宋体"/>
                <w:color w:val="auto"/>
                <w:szCs w:val="24"/>
              </w:rPr>
            </w:pPr>
            <w:r>
              <w:rPr>
                <w:rFonts w:hint="eastAsia" w:ascii="宋体" w:hAnsi="宋体" w:cs="宋体"/>
                <w:color w:val="auto"/>
                <w:szCs w:val="24"/>
              </w:rPr>
              <w:t>序号</w:t>
            </w:r>
          </w:p>
        </w:tc>
        <w:tc>
          <w:tcPr>
            <w:tcW w:w="2514" w:type="dxa"/>
            <w:noWrap w:val="0"/>
            <w:vAlign w:val="center"/>
          </w:tcPr>
          <w:p>
            <w:pPr>
              <w:pStyle w:val="7"/>
              <w:spacing w:line="240" w:lineRule="auto"/>
              <w:ind w:firstLine="0"/>
              <w:jc w:val="center"/>
              <w:rPr>
                <w:rFonts w:hint="eastAsia" w:ascii="宋体" w:hAnsi="宋体" w:cs="宋体"/>
                <w:color w:val="auto"/>
                <w:szCs w:val="24"/>
              </w:rPr>
            </w:pPr>
            <w:r>
              <w:rPr>
                <w:rFonts w:hint="eastAsia" w:ascii="宋体" w:hAnsi="宋体" w:cs="宋体"/>
                <w:color w:val="auto"/>
                <w:szCs w:val="24"/>
              </w:rPr>
              <w:t>招标文件评分标准</w:t>
            </w:r>
          </w:p>
        </w:tc>
        <w:tc>
          <w:tcPr>
            <w:tcW w:w="2266" w:type="dxa"/>
            <w:noWrap w:val="0"/>
            <w:vAlign w:val="center"/>
          </w:tcPr>
          <w:p>
            <w:pPr>
              <w:pStyle w:val="7"/>
              <w:spacing w:line="240" w:lineRule="auto"/>
              <w:ind w:firstLine="0"/>
              <w:jc w:val="center"/>
              <w:rPr>
                <w:rFonts w:hint="eastAsia" w:ascii="宋体" w:hAnsi="宋体" w:cs="宋体"/>
                <w:color w:val="auto"/>
                <w:szCs w:val="24"/>
              </w:rPr>
            </w:pPr>
            <w:r>
              <w:rPr>
                <w:rFonts w:hint="eastAsia" w:ascii="宋体" w:hAnsi="宋体" w:cs="宋体"/>
                <w:color w:val="auto"/>
                <w:szCs w:val="24"/>
              </w:rPr>
              <w:t>投标响应部分</w:t>
            </w:r>
          </w:p>
        </w:tc>
        <w:tc>
          <w:tcPr>
            <w:tcW w:w="2966" w:type="dxa"/>
            <w:noWrap w:val="0"/>
            <w:vAlign w:val="center"/>
          </w:tcPr>
          <w:p>
            <w:pPr>
              <w:pStyle w:val="7"/>
              <w:spacing w:line="240" w:lineRule="auto"/>
              <w:ind w:firstLine="0"/>
              <w:jc w:val="center"/>
              <w:rPr>
                <w:rFonts w:hint="eastAsia" w:ascii="宋体" w:hAnsi="宋体" w:cs="宋体"/>
                <w:color w:val="auto"/>
                <w:szCs w:val="24"/>
              </w:rPr>
            </w:pPr>
            <w:r>
              <w:rPr>
                <w:rFonts w:hint="eastAsia" w:ascii="宋体" w:hAnsi="宋体" w:cs="宋体"/>
                <w:color w:val="auto"/>
                <w:szCs w:val="24"/>
              </w:rPr>
              <w:t>投标文件中对应页码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1" w:type="dxa"/>
            <w:noWrap w:val="0"/>
            <w:vAlign w:val="center"/>
          </w:tcPr>
          <w:p>
            <w:pPr>
              <w:pStyle w:val="7"/>
              <w:spacing w:line="240" w:lineRule="auto"/>
              <w:ind w:firstLine="0"/>
              <w:jc w:val="center"/>
              <w:rPr>
                <w:rFonts w:hint="eastAsia" w:ascii="宋体" w:hAnsi="宋体" w:cs="宋体"/>
                <w:color w:val="auto"/>
                <w:szCs w:val="24"/>
              </w:rPr>
            </w:pPr>
          </w:p>
        </w:tc>
        <w:tc>
          <w:tcPr>
            <w:tcW w:w="2514" w:type="dxa"/>
            <w:noWrap w:val="0"/>
            <w:vAlign w:val="center"/>
          </w:tcPr>
          <w:p>
            <w:pPr>
              <w:pStyle w:val="7"/>
              <w:spacing w:line="240" w:lineRule="auto"/>
              <w:ind w:firstLine="0"/>
              <w:jc w:val="center"/>
              <w:rPr>
                <w:rFonts w:hint="eastAsia" w:ascii="宋体" w:hAnsi="宋体" w:cs="宋体"/>
                <w:color w:val="auto"/>
                <w:szCs w:val="24"/>
              </w:rPr>
            </w:pPr>
          </w:p>
        </w:tc>
        <w:tc>
          <w:tcPr>
            <w:tcW w:w="2266" w:type="dxa"/>
            <w:noWrap w:val="0"/>
            <w:vAlign w:val="center"/>
          </w:tcPr>
          <w:p>
            <w:pPr>
              <w:pStyle w:val="7"/>
              <w:spacing w:line="240" w:lineRule="auto"/>
              <w:ind w:firstLine="0"/>
              <w:jc w:val="center"/>
              <w:rPr>
                <w:rFonts w:hint="eastAsia" w:ascii="宋体" w:hAnsi="宋体" w:cs="宋体"/>
                <w:color w:val="auto"/>
                <w:szCs w:val="24"/>
              </w:rPr>
            </w:pPr>
          </w:p>
        </w:tc>
        <w:tc>
          <w:tcPr>
            <w:tcW w:w="2966" w:type="dxa"/>
            <w:noWrap w:val="0"/>
            <w:vAlign w:val="center"/>
          </w:tcPr>
          <w:p>
            <w:pPr>
              <w:pStyle w:val="7"/>
              <w:spacing w:line="240" w:lineRule="auto"/>
              <w:ind w:firstLine="0"/>
              <w:jc w:val="center"/>
              <w:rPr>
                <w:rFonts w:hint="eastAsia" w:ascii="宋体" w:hAnsi="宋体" w:cs="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1" w:type="dxa"/>
            <w:noWrap w:val="0"/>
            <w:vAlign w:val="center"/>
          </w:tcPr>
          <w:p>
            <w:pPr>
              <w:pStyle w:val="7"/>
              <w:spacing w:line="240" w:lineRule="auto"/>
              <w:ind w:firstLine="0"/>
              <w:jc w:val="center"/>
              <w:rPr>
                <w:rFonts w:hint="eastAsia" w:ascii="宋体" w:hAnsi="宋体" w:cs="宋体"/>
                <w:color w:val="auto"/>
                <w:szCs w:val="24"/>
              </w:rPr>
            </w:pPr>
          </w:p>
        </w:tc>
        <w:tc>
          <w:tcPr>
            <w:tcW w:w="2514" w:type="dxa"/>
            <w:noWrap w:val="0"/>
            <w:vAlign w:val="center"/>
          </w:tcPr>
          <w:p>
            <w:pPr>
              <w:pStyle w:val="7"/>
              <w:spacing w:line="240" w:lineRule="auto"/>
              <w:ind w:firstLine="0"/>
              <w:jc w:val="center"/>
              <w:rPr>
                <w:rFonts w:hint="eastAsia" w:ascii="宋体" w:hAnsi="宋体" w:cs="宋体"/>
                <w:color w:val="auto"/>
                <w:szCs w:val="24"/>
              </w:rPr>
            </w:pPr>
          </w:p>
        </w:tc>
        <w:tc>
          <w:tcPr>
            <w:tcW w:w="2266" w:type="dxa"/>
            <w:noWrap w:val="0"/>
            <w:vAlign w:val="center"/>
          </w:tcPr>
          <w:p>
            <w:pPr>
              <w:pStyle w:val="7"/>
              <w:spacing w:line="240" w:lineRule="auto"/>
              <w:ind w:firstLine="0"/>
              <w:jc w:val="center"/>
              <w:rPr>
                <w:rFonts w:hint="eastAsia" w:ascii="宋体" w:hAnsi="宋体" w:cs="宋体"/>
                <w:color w:val="auto"/>
                <w:szCs w:val="24"/>
              </w:rPr>
            </w:pPr>
          </w:p>
        </w:tc>
        <w:tc>
          <w:tcPr>
            <w:tcW w:w="2966" w:type="dxa"/>
            <w:noWrap w:val="0"/>
            <w:vAlign w:val="center"/>
          </w:tcPr>
          <w:p>
            <w:pPr>
              <w:pStyle w:val="7"/>
              <w:spacing w:line="240" w:lineRule="auto"/>
              <w:ind w:firstLine="0"/>
              <w:jc w:val="center"/>
              <w:rPr>
                <w:rFonts w:hint="eastAsia" w:ascii="宋体" w:hAnsi="宋体" w:cs="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1" w:type="dxa"/>
            <w:noWrap w:val="0"/>
            <w:vAlign w:val="center"/>
          </w:tcPr>
          <w:p>
            <w:pPr>
              <w:pStyle w:val="7"/>
              <w:spacing w:line="240" w:lineRule="auto"/>
              <w:ind w:firstLine="0"/>
              <w:jc w:val="center"/>
              <w:rPr>
                <w:rFonts w:hint="eastAsia" w:ascii="宋体" w:hAnsi="宋体" w:cs="宋体"/>
                <w:color w:val="auto"/>
                <w:szCs w:val="24"/>
              </w:rPr>
            </w:pPr>
          </w:p>
        </w:tc>
        <w:tc>
          <w:tcPr>
            <w:tcW w:w="2514" w:type="dxa"/>
            <w:noWrap w:val="0"/>
            <w:vAlign w:val="center"/>
          </w:tcPr>
          <w:p>
            <w:pPr>
              <w:pStyle w:val="7"/>
              <w:spacing w:line="240" w:lineRule="auto"/>
              <w:ind w:firstLine="0"/>
              <w:jc w:val="center"/>
              <w:rPr>
                <w:rFonts w:hint="eastAsia" w:ascii="宋体" w:hAnsi="宋体" w:cs="宋体"/>
                <w:color w:val="auto"/>
                <w:szCs w:val="24"/>
              </w:rPr>
            </w:pPr>
          </w:p>
        </w:tc>
        <w:tc>
          <w:tcPr>
            <w:tcW w:w="2266" w:type="dxa"/>
            <w:noWrap w:val="0"/>
            <w:vAlign w:val="center"/>
          </w:tcPr>
          <w:p>
            <w:pPr>
              <w:pStyle w:val="7"/>
              <w:spacing w:line="240" w:lineRule="auto"/>
              <w:ind w:firstLine="0"/>
              <w:jc w:val="center"/>
              <w:rPr>
                <w:rFonts w:hint="eastAsia" w:ascii="宋体" w:hAnsi="宋体" w:cs="宋体"/>
                <w:color w:val="auto"/>
                <w:szCs w:val="24"/>
              </w:rPr>
            </w:pPr>
          </w:p>
        </w:tc>
        <w:tc>
          <w:tcPr>
            <w:tcW w:w="2966" w:type="dxa"/>
            <w:noWrap w:val="0"/>
            <w:vAlign w:val="center"/>
          </w:tcPr>
          <w:p>
            <w:pPr>
              <w:pStyle w:val="7"/>
              <w:spacing w:line="240" w:lineRule="auto"/>
              <w:ind w:firstLine="0"/>
              <w:jc w:val="center"/>
              <w:rPr>
                <w:rFonts w:hint="eastAsia" w:ascii="宋体" w:hAnsi="宋体" w:cs="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871" w:type="dxa"/>
            <w:noWrap w:val="0"/>
            <w:vAlign w:val="center"/>
          </w:tcPr>
          <w:p>
            <w:pPr>
              <w:pStyle w:val="7"/>
              <w:spacing w:line="240" w:lineRule="auto"/>
              <w:ind w:firstLine="0"/>
              <w:jc w:val="center"/>
              <w:rPr>
                <w:rFonts w:hint="eastAsia" w:ascii="宋体" w:hAnsi="宋体" w:cs="宋体"/>
                <w:color w:val="auto"/>
                <w:szCs w:val="24"/>
              </w:rPr>
            </w:pPr>
          </w:p>
        </w:tc>
        <w:tc>
          <w:tcPr>
            <w:tcW w:w="2514" w:type="dxa"/>
            <w:noWrap w:val="0"/>
            <w:vAlign w:val="center"/>
          </w:tcPr>
          <w:p>
            <w:pPr>
              <w:pStyle w:val="7"/>
              <w:spacing w:line="240" w:lineRule="auto"/>
              <w:ind w:firstLine="0"/>
              <w:jc w:val="center"/>
              <w:rPr>
                <w:rFonts w:hint="eastAsia" w:ascii="宋体" w:hAnsi="宋体" w:cs="宋体"/>
                <w:color w:val="auto"/>
                <w:szCs w:val="24"/>
              </w:rPr>
            </w:pPr>
          </w:p>
        </w:tc>
        <w:tc>
          <w:tcPr>
            <w:tcW w:w="2266" w:type="dxa"/>
            <w:noWrap w:val="0"/>
            <w:vAlign w:val="center"/>
          </w:tcPr>
          <w:p>
            <w:pPr>
              <w:pStyle w:val="7"/>
              <w:spacing w:line="240" w:lineRule="auto"/>
              <w:ind w:firstLine="0"/>
              <w:jc w:val="center"/>
              <w:rPr>
                <w:rFonts w:hint="eastAsia" w:ascii="宋体" w:hAnsi="宋体" w:cs="宋体"/>
                <w:color w:val="auto"/>
                <w:szCs w:val="24"/>
              </w:rPr>
            </w:pPr>
          </w:p>
        </w:tc>
        <w:tc>
          <w:tcPr>
            <w:tcW w:w="2966" w:type="dxa"/>
            <w:noWrap w:val="0"/>
            <w:vAlign w:val="center"/>
          </w:tcPr>
          <w:p>
            <w:pPr>
              <w:pStyle w:val="7"/>
              <w:spacing w:line="240" w:lineRule="auto"/>
              <w:ind w:firstLine="0"/>
              <w:jc w:val="center"/>
              <w:rPr>
                <w:rFonts w:hint="eastAsia" w:ascii="宋体" w:hAnsi="宋体" w:cs="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1" w:type="dxa"/>
            <w:noWrap w:val="0"/>
            <w:vAlign w:val="center"/>
          </w:tcPr>
          <w:p>
            <w:pPr>
              <w:pStyle w:val="7"/>
              <w:spacing w:line="240" w:lineRule="auto"/>
              <w:ind w:firstLine="0"/>
              <w:jc w:val="center"/>
              <w:rPr>
                <w:rFonts w:hint="eastAsia" w:ascii="宋体" w:hAnsi="宋体" w:cs="宋体"/>
                <w:color w:val="auto"/>
                <w:szCs w:val="24"/>
              </w:rPr>
            </w:pPr>
          </w:p>
        </w:tc>
        <w:tc>
          <w:tcPr>
            <w:tcW w:w="2514" w:type="dxa"/>
            <w:noWrap w:val="0"/>
            <w:vAlign w:val="center"/>
          </w:tcPr>
          <w:p>
            <w:pPr>
              <w:pStyle w:val="7"/>
              <w:spacing w:line="240" w:lineRule="auto"/>
              <w:ind w:firstLine="0"/>
              <w:jc w:val="center"/>
              <w:rPr>
                <w:rFonts w:hint="eastAsia" w:ascii="宋体" w:hAnsi="宋体" w:cs="宋体"/>
                <w:color w:val="auto"/>
                <w:szCs w:val="24"/>
              </w:rPr>
            </w:pPr>
          </w:p>
        </w:tc>
        <w:tc>
          <w:tcPr>
            <w:tcW w:w="2266" w:type="dxa"/>
            <w:noWrap w:val="0"/>
            <w:vAlign w:val="center"/>
          </w:tcPr>
          <w:p>
            <w:pPr>
              <w:pStyle w:val="7"/>
              <w:spacing w:line="240" w:lineRule="auto"/>
              <w:ind w:firstLine="0"/>
              <w:jc w:val="center"/>
              <w:rPr>
                <w:rFonts w:hint="eastAsia" w:ascii="宋体" w:hAnsi="宋体" w:cs="宋体"/>
                <w:color w:val="auto"/>
                <w:szCs w:val="24"/>
              </w:rPr>
            </w:pPr>
          </w:p>
        </w:tc>
        <w:tc>
          <w:tcPr>
            <w:tcW w:w="2966" w:type="dxa"/>
            <w:noWrap w:val="0"/>
            <w:vAlign w:val="center"/>
          </w:tcPr>
          <w:p>
            <w:pPr>
              <w:pStyle w:val="7"/>
              <w:spacing w:line="240" w:lineRule="auto"/>
              <w:ind w:firstLine="0"/>
              <w:jc w:val="center"/>
              <w:rPr>
                <w:rFonts w:hint="eastAsia" w:ascii="宋体" w:hAnsi="宋体" w:cs="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71" w:type="dxa"/>
            <w:noWrap w:val="0"/>
            <w:vAlign w:val="center"/>
          </w:tcPr>
          <w:p>
            <w:pPr>
              <w:pStyle w:val="7"/>
              <w:spacing w:line="240" w:lineRule="auto"/>
              <w:ind w:firstLine="0"/>
              <w:jc w:val="center"/>
              <w:rPr>
                <w:rFonts w:hint="eastAsia" w:ascii="宋体" w:hAnsi="宋体" w:cs="宋体"/>
                <w:color w:val="auto"/>
                <w:szCs w:val="24"/>
              </w:rPr>
            </w:pPr>
          </w:p>
        </w:tc>
        <w:tc>
          <w:tcPr>
            <w:tcW w:w="2514" w:type="dxa"/>
            <w:noWrap w:val="0"/>
            <w:vAlign w:val="center"/>
          </w:tcPr>
          <w:p>
            <w:pPr>
              <w:pStyle w:val="7"/>
              <w:spacing w:line="240" w:lineRule="auto"/>
              <w:ind w:firstLine="0"/>
              <w:jc w:val="center"/>
              <w:rPr>
                <w:rFonts w:hint="eastAsia" w:ascii="宋体" w:hAnsi="宋体" w:cs="宋体"/>
                <w:color w:val="auto"/>
                <w:szCs w:val="24"/>
              </w:rPr>
            </w:pPr>
          </w:p>
        </w:tc>
        <w:tc>
          <w:tcPr>
            <w:tcW w:w="2266" w:type="dxa"/>
            <w:noWrap w:val="0"/>
            <w:vAlign w:val="center"/>
          </w:tcPr>
          <w:p>
            <w:pPr>
              <w:pStyle w:val="7"/>
              <w:spacing w:line="240" w:lineRule="auto"/>
              <w:ind w:firstLine="0"/>
              <w:jc w:val="center"/>
              <w:rPr>
                <w:rFonts w:hint="eastAsia" w:ascii="宋体" w:hAnsi="宋体" w:cs="宋体"/>
                <w:color w:val="auto"/>
                <w:szCs w:val="24"/>
              </w:rPr>
            </w:pPr>
          </w:p>
        </w:tc>
        <w:tc>
          <w:tcPr>
            <w:tcW w:w="2966" w:type="dxa"/>
            <w:noWrap w:val="0"/>
            <w:vAlign w:val="center"/>
          </w:tcPr>
          <w:p>
            <w:pPr>
              <w:pStyle w:val="7"/>
              <w:spacing w:line="240" w:lineRule="auto"/>
              <w:ind w:firstLine="0"/>
              <w:jc w:val="center"/>
              <w:rPr>
                <w:rFonts w:hint="eastAsia" w:ascii="宋体" w:hAnsi="宋体" w:cs="宋体"/>
                <w:color w:val="auto"/>
                <w:szCs w:val="24"/>
              </w:rPr>
            </w:pPr>
          </w:p>
        </w:tc>
      </w:tr>
    </w:tbl>
    <w:p>
      <w:pPr>
        <w:spacing w:line="360" w:lineRule="auto"/>
        <w:rPr>
          <w:rFonts w:hint="eastAsia" w:ascii="宋体" w:hAnsi="宋体" w:cs="宋体"/>
          <w:color w:val="auto"/>
          <w:lang w:val="zh-CN"/>
        </w:rPr>
      </w:pPr>
    </w:p>
    <w:p>
      <w:pPr>
        <w:pStyle w:val="23"/>
        <w:spacing w:before="0" w:after="0" w:line="360" w:lineRule="auto"/>
        <w:jc w:val="left"/>
        <w:outlineLvl w:val="1"/>
        <w:rPr>
          <w:rFonts w:hint="eastAsia" w:ascii="宋体" w:hAnsi="宋体" w:cs="宋体"/>
          <w:color w:val="auto"/>
          <w:sz w:val="30"/>
          <w:szCs w:val="30"/>
          <w:lang w:val="zh-CN"/>
        </w:rPr>
      </w:pPr>
      <w:bookmarkStart w:id="69" w:name="_Toc28963"/>
      <w:r>
        <w:rPr>
          <w:rFonts w:hint="eastAsia" w:ascii="宋体" w:hAnsi="宋体" w:cs="宋体"/>
          <w:color w:val="auto"/>
          <w:sz w:val="30"/>
          <w:szCs w:val="30"/>
          <w:lang w:val="zh-CN"/>
        </w:rPr>
        <w:br w:type="page"/>
      </w:r>
      <w:bookmarkStart w:id="70" w:name="_Toc32331"/>
      <w:bookmarkStart w:id="71" w:name="_Toc26451"/>
    </w:p>
    <w:p>
      <w:pPr>
        <w:pStyle w:val="23"/>
        <w:spacing w:before="0" w:after="0" w:line="360" w:lineRule="auto"/>
        <w:jc w:val="left"/>
        <w:outlineLvl w:val="1"/>
        <w:rPr>
          <w:rFonts w:hint="eastAsia" w:ascii="宋体" w:hAnsi="宋体" w:cs="宋体"/>
          <w:color w:val="auto"/>
          <w:sz w:val="30"/>
          <w:szCs w:val="30"/>
          <w:lang w:val="zh-CN"/>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rPr>
        <w:t>（12）</w:t>
      </w:r>
      <w:r>
        <w:rPr>
          <w:rFonts w:hint="eastAsia" w:ascii="宋体" w:hAnsi="宋体" w:cs="宋体"/>
          <w:color w:val="auto"/>
          <w:sz w:val="30"/>
          <w:szCs w:val="30"/>
          <w:lang w:val="zh-CN"/>
        </w:rPr>
        <w:t>开标一览表（报价表）</w:t>
      </w:r>
      <w:bookmarkEnd w:id="70"/>
      <w:bookmarkEnd w:id="71"/>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开标一览表（报价表）</w:t>
      </w:r>
    </w:p>
    <w:p>
      <w:pPr>
        <w:autoSpaceDE w:val="0"/>
        <w:autoSpaceDN w:val="0"/>
        <w:spacing w:line="360" w:lineRule="auto"/>
        <w:rPr>
          <w:rFonts w:hint="eastAsia" w:ascii="宋体" w:hAnsi="宋体" w:cs="宋体"/>
          <w:b/>
          <w:bCs/>
          <w:color w:val="auto"/>
          <w:kern w:val="0"/>
          <w:sz w:val="28"/>
          <w:szCs w:val="28"/>
          <w:lang w:val="zh-CN"/>
        </w:rPr>
      </w:pPr>
    </w:p>
    <w:tbl>
      <w:tblPr>
        <w:tblStyle w:val="25"/>
        <w:tblW w:w="86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632" w:type="dxa"/>
            <w:noWrap w:val="0"/>
            <w:vAlign w:val="center"/>
          </w:tcPr>
          <w:p>
            <w:pPr>
              <w:pStyle w:val="7"/>
              <w:spacing w:line="240" w:lineRule="auto"/>
              <w:ind w:firstLine="0"/>
              <w:jc w:val="center"/>
              <w:rPr>
                <w:rFonts w:hint="eastAsia" w:ascii="宋体" w:hAnsi="宋体" w:cs="宋体"/>
                <w:color w:val="auto"/>
                <w:szCs w:val="24"/>
              </w:rPr>
            </w:pPr>
            <w:r>
              <w:rPr>
                <w:rFonts w:hint="eastAsia" w:ascii="宋体" w:hAnsi="宋体" w:cs="宋体"/>
                <w:color w:val="auto"/>
                <w:szCs w:val="24"/>
                <w:lang w:eastAsia="zh-CN"/>
              </w:rPr>
              <w:t>投标人</w:t>
            </w:r>
            <w:r>
              <w:rPr>
                <w:rFonts w:hint="eastAsia" w:ascii="宋体" w:hAnsi="宋体" w:cs="宋体"/>
                <w:color w:val="auto"/>
                <w:szCs w:val="24"/>
              </w:rPr>
              <w:t>名称</w:t>
            </w:r>
          </w:p>
        </w:tc>
        <w:tc>
          <w:tcPr>
            <w:tcW w:w="5985" w:type="dxa"/>
            <w:noWrap w:val="0"/>
            <w:vAlign w:val="center"/>
          </w:tcPr>
          <w:p>
            <w:pPr>
              <w:pStyle w:val="7"/>
              <w:spacing w:line="240" w:lineRule="auto"/>
              <w:ind w:firstLine="0"/>
              <w:rPr>
                <w:rFonts w:hint="eastAsia" w:ascii="宋体" w:hAnsi="宋体" w:cs="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632" w:type="dxa"/>
            <w:noWrap w:val="0"/>
            <w:vAlign w:val="center"/>
          </w:tcPr>
          <w:p>
            <w:pPr>
              <w:pStyle w:val="7"/>
              <w:spacing w:line="240" w:lineRule="auto"/>
              <w:ind w:firstLine="0"/>
              <w:jc w:val="center"/>
              <w:rPr>
                <w:rFonts w:hint="eastAsia" w:ascii="宋体" w:hAnsi="宋体" w:cs="宋体"/>
                <w:color w:val="auto"/>
                <w:szCs w:val="24"/>
              </w:rPr>
            </w:pPr>
            <w:r>
              <w:rPr>
                <w:rFonts w:hint="eastAsia" w:ascii="宋体" w:hAnsi="宋体" w:cs="宋体"/>
                <w:color w:val="auto"/>
                <w:szCs w:val="24"/>
                <w:lang w:val="zh-CN"/>
              </w:rPr>
              <w:t>投标包号</w:t>
            </w:r>
          </w:p>
        </w:tc>
        <w:tc>
          <w:tcPr>
            <w:tcW w:w="5985" w:type="dxa"/>
            <w:noWrap w:val="0"/>
            <w:vAlign w:val="center"/>
          </w:tcPr>
          <w:p>
            <w:pPr>
              <w:pStyle w:val="7"/>
              <w:spacing w:line="240" w:lineRule="auto"/>
              <w:ind w:firstLine="0"/>
              <w:rPr>
                <w:rFonts w:hint="eastAsia" w:ascii="宋体" w:hAnsi="宋体" w:cs="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047" w:hRule="atLeast"/>
          <w:jc w:val="center"/>
        </w:trPr>
        <w:tc>
          <w:tcPr>
            <w:tcW w:w="2632" w:type="dxa"/>
            <w:noWrap w:val="0"/>
            <w:vAlign w:val="center"/>
          </w:tcPr>
          <w:p>
            <w:pPr>
              <w:pStyle w:val="7"/>
              <w:spacing w:line="240" w:lineRule="auto"/>
              <w:ind w:firstLine="0"/>
              <w:jc w:val="center"/>
              <w:rPr>
                <w:rFonts w:hint="eastAsia" w:ascii="宋体" w:hAnsi="宋体" w:cs="宋体"/>
                <w:color w:val="auto"/>
                <w:szCs w:val="24"/>
              </w:rPr>
            </w:pPr>
            <w:r>
              <w:rPr>
                <w:rFonts w:hint="eastAsia" w:ascii="宋体" w:hAnsi="宋体" w:cs="宋体"/>
                <w:color w:val="auto"/>
                <w:szCs w:val="24"/>
              </w:rPr>
              <w:t>投标报价</w:t>
            </w:r>
          </w:p>
        </w:tc>
        <w:tc>
          <w:tcPr>
            <w:tcW w:w="5985" w:type="dxa"/>
            <w:noWrap w:val="0"/>
            <w:vAlign w:val="center"/>
          </w:tcPr>
          <w:p>
            <w:pPr>
              <w:autoSpaceDE w:val="0"/>
              <w:autoSpaceDN w:val="0"/>
              <w:spacing w:line="240" w:lineRule="auto"/>
              <w:rPr>
                <w:rFonts w:hint="eastAsia" w:ascii="宋体" w:hAnsi="宋体" w:cs="宋体"/>
                <w:color w:val="auto"/>
                <w:kern w:val="0"/>
                <w:lang w:val="zh-CN"/>
              </w:rPr>
            </w:pPr>
            <w:r>
              <w:rPr>
                <w:rFonts w:hint="eastAsia" w:ascii="宋体" w:hAnsi="宋体" w:cs="宋体"/>
                <w:color w:val="auto"/>
                <w:kern w:val="0"/>
                <w:lang w:val="zh-CN"/>
              </w:rPr>
              <w:t>大写：</w:t>
            </w:r>
          </w:p>
          <w:p>
            <w:pPr>
              <w:pStyle w:val="7"/>
              <w:spacing w:line="240" w:lineRule="auto"/>
              <w:ind w:firstLine="0"/>
              <w:rPr>
                <w:rFonts w:hint="eastAsia" w:ascii="宋体" w:hAnsi="宋体" w:cs="宋体"/>
                <w:color w:val="auto"/>
                <w:szCs w:val="24"/>
              </w:rPr>
            </w:pPr>
            <w:r>
              <w:rPr>
                <w:rFonts w:hint="eastAsia" w:ascii="宋体" w:hAnsi="宋体" w:cs="宋体"/>
                <w:color w:val="auto"/>
                <w:kern w:val="0"/>
                <w:szCs w:val="24"/>
                <w:lang w:val="zh-CN"/>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632" w:type="dxa"/>
            <w:noWrap w:val="0"/>
            <w:vAlign w:val="center"/>
          </w:tcPr>
          <w:p>
            <w:pPr>
              <w:pStyle w:val="7"/>
              <w:spacing w:line="240" w:lineRule="auto"/>
              <w:ind w:firstLine="0"/>
              <w:jc w:val="center"/>
              <w:rPr>
                <w:rFonts w:hint="eastAsia" w:ascii="宋体" w:hAnsi="宋体" w:cs="宋体"/>
                <w:color w:val="auto"/>
                <w:szCs w:val="24"/>
              </w:rPr>
            </w:pPr>
            <w:r>
              <w:rPr>
                <w:rFonts w:hint="eastAsia" w:ascii="宋体" w:hAnsi="宋体" w:cs="宋体"/>
                <w:color w:val="auto"/>
                <w:szCs w:val="24"/>
              </w:rPr>
              <w:t>交货时间</w:t>
            </w:r>
          </w:p>
        </w:tc>
        <w:tc>
          <w:tcPr>
            <w:tcW w:w="5985" w:type="dxa"/>
            <w:noWrap w:val="0"/>
            <w:vAlign w:val="center"/>
          </w:tcPr>
          <w:p>
            <w:pPr>
              <w:pStyle w:val="7"/>
              <w:spacing w:line="240" w:lineRule="auto"/>
              <w:ind w:firstLine="0"/>
              <w:rPr>
                <w:rFonts w:hint="eastAsia" w:ascii="宋体" w:hAnsi="宋体" w:cs="宋体"/>
                <w:color w:val="auto"/>
                <w:szCs w:val="24"/>
              </w:rPr>
            </w:pPr>
          </w:p>
        </w:tc>
      </w:tr>
    </w:tbl>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注：</w:t>
      </w:r>
      <w:r>
        <w:rPr>
          <w:rFonts w:hint="eastAsia" w:ascii="宋体" w:hAnsi="宋体" w:cs="宋体"/>
          <w:color w:val="auto"/>
          <w:kern w:val="0"/>
          <w:lang w:val="zh-CN"/>
        </w:rPr>
        <w:t>1.填写此表时不得改变表格形式。</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2.“投标报价”为投标总价。投标报价必须包括：产品费、验收费、手续费、运输费、保险费、安装费、调试费、培训费、售前、售中、售后服务费、税金及不可预见费等全部费用。</w:t>
      </w:r>
    </w:p>
    <w:p>
      <w:pPr>
        <w:autoSpaceDE w:val="0"/>
        <w:autoSpaceDN w:val="0"/>
        <w:spacing w:line="360" w:lineRule="auto"/>
        <w:ind w:firstLine="480"/>
        <w:rPr>
          <w:rFonts w:hint="eastAsia" w:ascii="宋体" w:hAnsi="宋体" w:cs="宋体"/>
          <w:color w:val="auto"/>
          <w:kern w:val="0"/>
        </w:rPr>
      </w:pPr>
      <w:r>
        <w:rPr>
          <w:rFonts w:hint="eastAsia" w:ascii="宋体" w:hAnsi="宋体" w:cs="宋体"/>
          <w:color w:val="auto"/>
          <w:kern w:val="0"/>
          <w:lang w:val="zh-CN"/>
        </w:rPr>
        <w:t>3.“交货时间”是指产品能够交付使用的具体时间（日历日）。</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4.投标报价不能有两个或两个以上的报价方案，</w:t>
      </w:r>
      <w:r>
        <w:rPr>
          <w:rFonts w:hint="eastAsia" w:ascii="宋体" w:hAnsi="宋体" w:cs="宋体"/>
          <w:color w:val="auto"/>
          <w:kern w:val="0"/>
        </w:rPr>
        <w:t>否则投标无效</w:t>
      </w:r>
      <w:r>
        <w:rPr>
          <w:rFonts w:hint="eastAsia" w:ascii="宋体" w:hAnsi="宋体" w:cs="宋体"/>
          <w:color w:val="auto"/>
          <w:kern w:val="0"/>
          <w:lang w:val="zh-CN"/>
        </w:rPr>
        <w:t>。</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        （签字）</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autoSpaceDE w:val="0"/>
        <w:autoSpaceDN w:val="0"/>
        <w:spacing w:line="360" w:lineRule="auto"/>
        <w:rPr>
          <w:rFonts w:hint="eastAsia" w:ascii="宋体" w:hAnsi="宋体" w:cs="宋体"/>
          <w:color w:val="auto"/>
          <w:kern w:val="0"/>
          <w:lang w:val="zh-CN"/>
        </w:rPr>
      </w:pPr>
    </w:p>
    <w:p>
      <w:pPr>
        <w:pStyle w:val="23"/>
        <w:spacing w:before="0" w:after="0" w:line="360" w:lineRule="auto"/>
        <w:jc w:val="left"/>
        <w:outlineLvl w:val="1"/>
        <w:rPr>
          <w:rFonts w:hint="eastAsia" w:ascii="宋体" w:hAnsi="宋体" w:cs="宋体"/>
          <w:color w:val="auto"/>
          <w:sz w:val="30"/>
          <w:szCs w:val="30"/>
          <w:lang w:val="zh-CN"/>
        </w:rPr>
      </w:pPr>
      <w:r>
        <w:rPr>
          <w:rFonts w:hint="eastAsia" w:ascii="宋体" w:hAnsi="宋体" w:cs="宋体"/>
          <w:color w:val="auto"/>
          <w:sz w:val="30"/>
          <w:szCs w:val="30"/>
          <w:lang w:val="zh-CN"/>
        </w:rPr>
        <w:br w:type="page"/>
      </w:r>
      <w:bookmarkStart w:id="72" w:name="_Toc21418"/>
    </w:p>
    <w:p>
      <w:pPr>
        <w:pStyle w:val="23"/>
        <w:spacing w:before="0" w:after="0" w:line="360" w:lineRule="auto"/>
        <w:jc w:val="left"/>
        <w:outlineLvl w:val="1"/>
        <w:rPr>
          <w:rFonts w:hint="eastAsia" w:ascii="宋体" w:hAnsi="宋体" w:cs="宋体"/>
          <w:color w:val="auto"/>
          <w:sz w:val="30"/>
          <w:szCs w:val="30"/>
          <w:lang w:val="zh-CN"/>
        </w:rPr>
      </w:pPr>
    </w:p>
    <w:p>
      <w:pPr>
        <w:pStyle w:val="23"/>
        <w:spacing w:before="0" w:after="0" w:line="360" w:lineRule="auto"/>
        <w:jc w:val="left"/>
        <w:outlineLvl w:val="1"/>
        <w:rPr>
          <w:rFonts w:hint="eastAsia" w:ascii="宋体" w:hAnsi="宋体" w:cs="宋体"/>
          <w:color w:val="auto"/>
        </w:rPr>
      </w:pPr>
      <w:r>
        <w:rPr>
          <w:rFonts w:hint="eastAsia" w:ascii="宋体" w:hAnsi="宋体" w:cs="宋体"/>
          <w:color w:val="auto"/>
          <w:sz w:val="30"/>
          <w:szCs w:val="30"/>
        </w:rPr>
        <w:t>（13）</w:t>
      </w:r>
      <w:r>
        <w:rPr>
          <w:rFonts w:hint="eastAsia" w:ascii="宋体" w:hAnsi="宋体" w:cs="宋体"/>
          <w:color w:val="auto"/>
          <w:sz w:val="30"/>
          <w:szCs w:val="30"/>
          <w:lang w:val="zh-CN"/>
        </w:rPr>
        <w:t>分项报价表</w:t>
      </w:r>
      <w:bookmarkEnd w:id="69"/>
      <w:bookmarkEnd w:id="72"/>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分项报价表</w:t>
      </w:r>
    </w:p>
    <w:p>
      <w:pPr>
        <w:autoSpaceDE w:val="0"/>
        <w:autoSpaceDN w:val="0"/>
        <w:spacing w:line="360" w:lineRule="auto"/>
        <w:rPr>
          <w:rFonts w:hint="eastAsia" w:ascii="宋体" w:hAnsi="宋体" w:cs="宋体"/>
          <w:b/>
          <w:bCs/>
          <w:color w:val="auto"/>
          <w:kern w:val="0"/>
          <w:sz w:val="28"/>
          <w:szCs w:val="28"/>
          <w:lang w:val="zh-CN"/>
        </w:rPr>
      </w:pPr>
    </w:p>
    <w:p>
      <w:pPr>
        <w:autoSpaceDE w:val="0"/>
        <w:autoSpaceDN w:val="0"/>
        <w:spacing w:line="360" w:lineRule="auto"/>
        <w:rPr>
          <w:rFonts w:hint="eastAsia" w:ascii="宋体" w:hAnsi="宋体" w:cs="宋体"/>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25"/>
        <w:tblW w:w="8617"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23" w:hRule="atLeast"/>
          <w:jc w:val="center"/>
        </w:trPr>
        <w:tc>
          <w:tcPr>
            <w:tcW w:w="628" w:type="dxa"/>
            <w:tcBorders>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序号</w:t>
            </w:r>
          </w:p>
        </w:tc>
        <w:tc>
          <w:tcPr>
            <w:tcW w:w="1563" w:type="dxa"/>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产品名称</w:t>
            </w:r>
          </w:p>
        </w:tc>
        <w:tc>
          <w:tcPr>
            <w:tcW w:w="1065" w:type="dxa"/>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品牌</w:t>
            </w:r>
          </w:p>
        </w:tc>
        <w:tc>
          <w:tcPr>
            <w:tcW w:w="759" w:type="dxa"/>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规格型号</w:t>
            </w:r>
          </w:p>
        </w:tc>
        <w:tc>
          <w:tcPr>
            <w:tcW w:w="1305" w:type="dxa"/>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生产厂家</w:t>
            </w:r>
          </w:p>
        </w:tc>
        <w:tc>
          <w:tcPr>
            <w:tcW w:w="931" w:type="dxa"/>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数量及单位</w:t>
            </w:r>
          </w:p>
        </w:tc>
        <w:tc>
          <w:tcPr>
            <w:tcW w:w="706" w:type="dxa"/>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单价</w:t>
            </w:r>
          </w:p>
        </w:tc>
        <w:tc>
          <w:tcPr>
            <w:tcW w:w="831" w:type="dxa"/>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合计</w:t>
            </w:r>
          </w:p>
        </w:tc>
        <w:tc>
          <w:tcPr>
            <w:tcW w:w="829" w:type="dxa"/>
            <w:tcBorders>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rPr>
              <w:t>免费质保期</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23" w:hRule="atLeast"/>
          <w:jc w:val="center"/>
        </w:trPr>
        <w:tc>
          <w:tcPr>
            <w:tcW w:w="628" w:type="dxa"/>
            <w:tcBorders>
              <w:top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29" w:type="dxa"/>
            <w:tcBorders>
              <w:top w:val="single" w:color="000000" w:sz="6" w:space="0"/>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23" w:hRule="atLeast"/>
          <w:jc w:val="center"/>
        </w:trPr>
        <w:tc>
          <w:tcPr>
            <w:tcW w:w="628" w:type="dxa"/>
            <w:tcBorders>
              <w:top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29" w:type="dxa"/>
            <w:tcBorders>
              <w:top w:val="single" w:color="000000" w:sz="6" w:space="0"/>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23" w:hRule="atLeast"/>
          <w:jc w:val="center"/>
        </w:trPr>
        <w:tc>
          <w:tcPr>
            <w:tcW w:w="628" w:type="dxa"/>
            <w:tcBorders>
              <w:top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29" w:type="dxa"/>
            <w:tcBorders>
              <w:top w:val="single" w:color="000000" w:sz="6" w:space="0"/>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23" w:hRule="atLeast"/>
          <w:jc w:val="center"/>
        </w:trPr>
        <w:tc>
          <w:tcPr>
            <w:tcW w:w="628" w:type="dxa"/>
            <w:tcBorders>
              <w:top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29" w:type="dxa"/>
            <w:tcBorders>
              <w:top w:val="single" w:color="000000" w:sz="6" w:space="0"/>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23" w:hRule="atLeast"/>
          <w:jc w:val="center"/>
        </w:trPr>
        <w:tc>
          <w:tcPr>
            <w:tcW w:w="628" w:type="dxa"/>
            <w:tcBorders>
              <w:top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829" w:type="dxa"/>
            <w:tcBorders>
              <w:top w:val="single" w:color="000000" w:sz="6" w:space="0"/>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23" w:hRule="atLeast"/>
          <w:jc w:val="center"/>
        </w:trPr>
        <w:tc>
          <w:tcPr>
            <w:tcW w:w="2191" w:type="dxa"/>
            <w:gridSpan w:val="2"/>
            <w:tcBorders>
              <w:top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投标总价</w:t>
            </w:r>
          </w:p>
        </w:tc>
        <w:tc>
          <w:tcPr>
            <w:tcW w:w="6426" w:type="dxa"/>
            <w:gridSpan w:val="7"/>
            <w:tcBorders>
              <w:top w:val="single" w:color="000000" w:sz="6" w:space="0"/>
              <w:left w:val="single" w:color="000000" w:sz="6" w:space="0"/>
            </w:tcBorders>
            <w:noWrap w:val="0"/>
            <w:vAlign w:val="center"/>
          </w:tcPr>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大写：</w:t>
            </w:r>
          </w:p>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小写：</w:t>
            </w:r>
          </w:p>
        </w:tc>
      </w:tr>
    </w:tbl>
    <w:p>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本表应依照每包采购一览表中的产品序号按顺序逐项填写，不得遗漏</w:t>
      </w:r>
      <w:r>
        <w:rPr>
          <w:rFonts w:hint="eastAsia" w:ascii="宋体" w:hAnsi="宋体" w:cs="宋体"/>
          <w:color w:val="000000"/>
          <w:kern w:val="0"/>
          <w:lang w:val="zh-CN"/>
        </w:rPr>
        <w:t>，否则，按无效投标处理。</w:t>
      </w:r>
    </w:p>
    <w:p>
      <w:pPr>
        <w:autoSpaceDE w:val="0"/>
        <w:autoSpaceDN w:val="0"/>
        <w:spacing w:line="360" w:lineRule="auto"/>
        <w:rPr>
          <w:rFonts w:hint="eastAsia" w:ascii="宋体" w:hAnsi="宋体" w:cs="宋体"/>
          <w:color w:val="auto"/>
          <w:kern w:val="0"/>
        </w:rPr>
      </w:pPr>
      <w:r>
        <w:rPr>
          <w:rFonts w:hint="eastAsia" w:ascii="宋体" w:hAnsi="宋体" w:cs="宋体"/>
          <w:color w:val="auto"/>
          <w:kern w:val="0"/>
        </w:rPr>
        <w:t xml:space="preserve">    2.</w:t>
      </w:r>
      <w:r>
        <w:rPr>
          <w:rFonts w:hint="eastAsia" w:ascii="宋体" w:hAnsi="宋体" w:cs="宋体"/>
          <w:color w:val="auto"/>
          <w:kern w:val="0"/>
          <w:lang w:val="zh-CN"/>
        </w:rPr>
        <w:t>投标报价不能有两个或两个以上的报价方案。</w:t>
      </w: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        （签字）</w:t>
      </w:r>
    </w:p>
    <w:p>
      <w:pPr>
        <w:jc w:val="center"/>
        <w:rPr>
          <w:rFonts w:hint="eastAsia"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rPr>
          <w:rFonts w:hint="eastAsia" w:ascii="宋体" w:hAnsi="宋体" w:cs="宋体"/>
          <w:b/>
          <w:bCs/>
          <w:color w:val="auto"/>
          <w:kern w:val="0"/>
          <w:lang w:val="zh-CN"/>
        </w:rPr>
      </w:pPr>
    </w:p>
    <w:p>
      <w:pPr>
        <w:pStyle w:val="23"/>
        <w:spacing w:before="0" w:after="0" w:line="360" w:lineRule="auto"/>
        <w:jc w:val="both"/>
        <w:outlineLvl w:val="1"/>
        <w:rPr>
          <w:rFonts w:hint="eastAsia" w:ascii="宋体" w:hAnsi="宋体" w:cs="宋体"/>
          <w:color w:val="auto"/>
          <w:sz w:val="30"/>
          <w:szCs w:val="30"/>
          <w:lang w:val="zh-CN"/>
        </w:rPr>
      </w:pPr>
      <w:r>
        <w:rPr>
          <w:rFonts w:hint="eastAsia" w:ascii="宋体" w:hAnsi="宋体" w:cs="宋体"/>
          <w:color w:val="auto"/>
          <w:sz w:val="30"/>
          <w:szCs w:val="30"/>
          <w:lang w:val="zh-CN"/>
        </w:rPr>
        <w:br w:type="page"/>
      </w:r>
      <w:bookmarkStart w:id="73" w:name="_Toc29972"/>
    </w:p>
    <w:p>
      <w:pPr>
        <w:pStyle w:val="23"/>
        <w:spacing w:before="0" w:after="0" w:line="360" w:lineRule="auto"/>
        <w:jc w:val="both"/>
        <w:outlineLvl w:val="1"/>
        <w:rPr>
          <w:rFonts w:hint="eastAsia" w:ascii="宋体" w:hAnsi="宋体" w:cs="宋体"/>
          <w:color w:val="auto"/>
          <w:sz w:val="30"/>
          <w:szCs w:val="30"/>
          <w:lang w:val="zh-CN"/>
        </w:rPr>
      </w:pPr>
    </w:p>
    <w:p>
      <w:pPr>
        <w:pStyle w:val="23"/>
        <w:spacing w:before="0" w:after="0" w:line="360" w:lineRule="auto"/>
        <w:jc w:val="both"/>
        <w:outlineLvl w:val="1"/>
        <w:rPr>
          <w:rFonts w:hint="eastAsia" w:ascii="宋体" w:hAnsi="宋体" w:cs="宋体"/>
          <w:color w:val="auto"/>
        </w:rPr>
      </w:pPr>
      <w:r>
        <w:rPr>
          <w:rFonts w:hint="eastAsia" w:ascii="宋体" w:hAnsi="宋体" w:cs="宋体"/>
          <w:color w:val="auto"/>
          <w:sz w:val="30"/>
          <w:szCs w:val="30"/>
        </w:rPr>
        <w:t>（14）</w:t>
      </w:r>
      <w:r>
        <w:rPr>
          <w:rFonts w:hint="eastAsia" w:ascii="宋体" w:hAnsi="宋体" w:cs="宋体"/>
          <w:color w:val="auto"/>
          <w:sz w:val="30"/>
          <w:szCs w:val="30"/>
          <w:lang w:val="zh-CN"/>
        </w:rPr>
        <w:t>技术规格响应表</w:t>
      </w:r>
      <w:bookmarkEnd w:id="73"/>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pPr>
        <w:autoSpaceDE w:val="0"/>
        <w:autoSpaceDN w:val="0"/>
        <w:spacing w:line="360" w:lineRule="auto"/>
        <w:rPr>
          <w:rFonts w:hint="eastAsia" w:ascii="宋体" w:hAnsi="宋体" w:cs="宋体"/>
          <w:b/>
          <w:bCs/>
          <w:color w:val="auto"/>
          <w:kern w:val="0"/>
          <w:lang w:val="zh-CN"/>
        </w:rPr>
      </w:pPr>
      <w:r>
        <w:rPr>
          <w:rFonts w:hint="eastAsia" w:ascii="宋体" w:hAnsi="宋体" w:cs="宋体"/>
          <w:b/>
          <w:bCs/>
          <w:color w:val="auto"/>
          <w:kern w:val="0"/>
          <w:lang w:val="zh-CN"/>
        </w:rPr>
        <w:t>投标人名称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25"/>
        <w:tblW w:w="8617"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28" w:type="dxa"/>
          <w:bottom w:w="0" w:type="dxa"/>
          <w:right w:w="28" w:type="dxa"/>
        </w:tblCellMar>
      </w:tblPr>
      <w:tblGrid>
        <w:gridCol w:w="616"/>
        <w:gridCol w:w="1233"/>
        <w:gridCol w:w="2378"/>
        <w:gridCol w:w="1247"/>
        <w:gridCol w:w="2467"/>
        <w:gridCol w:w="67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1" w:hRule="atLeast"/>
          <w:jc w:val="center"/>
        </w:trPr>
        <w:tc>
          <w:tcPr>
            <w:tcW w:w="616" w:type="dxa"/>
            <w:tcBorders>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3611" w:type="dxa"/>
            <w:gridSpan w:val="2"/>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采购需求技术参数、指标</w:t>
            </w:r>
          </w:p>
        </w:tc>
        <w:tc>
          <w:tcPr>
            <w:tcW w:w="3714" w:type="dxa"/>
            <w:gridSpan w:val="2"/>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投标产品技术参数、指标</w:t>
            </w:r>
          </w:p>
        </w:tc>
        <w:tc>
          <w:tcPr>
            <w:tcW w:w="676" w:type="dxa"/>
            <w:tcBorders>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偏离</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1" w:hRule="atLeast"/>
          <w:jc w:val="center"/>
        </w:trPr>
        <w:tc>
          <w:tcPr>
            <w:tcW w:w="616" w:type="dxa"/>
            <w:tcBorders>
              <w:top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技术参数及配置</w:t>
            </w:r>
          </w:p>
        </w:tc>
        <w:tc>
          <w:tcPr>
            <w:tcW w:w="676" w:type="dxa"/>
            <w:tcBorders>
              <w:top w:val="single" w:color="000000" w:sz="6" w:space="0"/>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1" w:hRule="atLeast"/>
          <w:jc w:val="center"/>
        </w:trPr>
        <w:tc>
          <w:tcPr>
            <w:tcW w:w="616" w:type="dxa"/>
            <w:tcBorders>
              <w:top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676" w:type="dxa"/>
            <w:tcBorders>
              <w:top w:val="single" w:color="000000" w:sz="6" w:space="0"/>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1" w:hRule="atLeast"/>
          <w:jc w:val="center"/>
        </w:trPr>
        <w:tc>
          <w:tcPr>
            <w:tcW w:w="616" w:type="dxa"/>
            <w:tcBorders>
              <w:top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676" w:type="dxa"/>
            <w:tcBorders>
              <w:top w:val="single" w:color="000000" w:sz="6" w:space="0"/>
              <w:left w:val="single" w:color="000000" w:sz="6" w:space="0"/>
              <w:bottom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28" w:type="dxa"/>
            <w:bottom w:w="0" w:type="dxa"/>
            <w:right w:w="28" w:type="dxa"/>
          </w:tblCellMar>
        </w:tblPrEx>
        <w:trPr>
          <w:trHeight w:val="1" w:hRule="atLeast"/>
          <w:jc w:val="center"/>
        </w:trPr>
        <w:tc>
          <w:tcPr>
            <w:tcW w:w="616" w:type="dxa"/>
            <w:tcBorders>
              <w:top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w:t>
            </w:r>
          </w:p>
        </w:tc>
        <w:tc>
          <w:tcPr>
            <w:tcW w:w="1233" w:type="dxa"/>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378" w:type="dxa"/>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247" w:type="dxa"/>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467" w:type="dxa"/>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676" w:type="dxa"/>
            <w:tcBorders>
              <w:top w:val="single" w:color="000000" w:sz="6" w:space="0"/>
              <w:left w:val="single" w:color="000000" w:sz="6"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bl>
    <w:p>
      <w:pPr>
        <w:autoSpaceDE w:val="0"/>
        <w:autoSpaceDN w:val="0"/>
        <w:spacing w:line="360" w:lineRule="auto"/>
        <w:rPr>
          <w:rFonts w:hint="eastAsia" w:ascii="宋体" w:hAnsi="宋体" w:cs="宋体"/>
          <w:color w:val="auto"/>
          <w:kern w:val="0"/>
          <w:lang w:val="zh-CN"/>
        </w:rPr>
      </w:pPr>
      <w:r>
        <w:rPr>
          <w:rFonts w:hint="eastAsia" w:ascii="宋体" w:hAnsi="宋体" w:cs="宋体"/>
          <w:color w:val="auto"/>
          <w:kern w:val="0"/>
          <w:lang w:val="zh-CN"/>
        </w:rPr>
        <w:t>注：1.本表应按照每包“项目概况及技术参数”中产品序号的指标逐项填写，不得遗漏</w:t>
      </w:r>
      <w:r>
        <w:rPr>
          <w:rFonts w:hint="eastAsia" w:ascii="宋体" w:hAnsi="宋体" w:cs="宋体"/>
          <w:kern w:val="0"/>
          <w:lang w:val="zh-CN"/>
        </w:rPr>
        <w:t>，否则，按无效投标处理。</w:t>
      </w:r>
    </w:p>
    <w:p>
      <w:pPr>
        <w:numPr>
          <w:ilvl w:val="0"/>
          <w:numId w:val="10"/>
        </w:num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“投标产品技术参数、指标”必须与投标文件中提供的产品检测报告或者彩页等证明材料的实质性响应情况相一致。若在评标环节发现该项与投标文件中提供的产品检测报告</w:t>
      </w:r>
      <w:r>
        <w:rPr>
          <w:rFonts w:hint="eastAsia" w:ascii="宋体" w:hAnsi="宋体" w:cs="宋体"/>
          <w:color w:val="auto"/>
          <w:kern w:val="0"/>
          <w:lang w:val="en-US" w:eastAsia="zh-CN"/>
        </w:rPr>
        <w:t>或者</w:t>
      </w:r>
      <w:r>
        <w:rPr>
          <w:rFonts w:hint="eastAsia" w:ascii="宋体" w:hAnsi="宋体" w:cs="宋体"/>
          <w:color w:val="auto"/>
          <w:kern w:val="0"/>
          <w:lang w:val="zh-CN"/>
        </w:rPr>
        <w:t>彩页（或厂家公开发布的资料参数）等证明材料的实质性响应情况不一致或直接复制招标文件“采购需求技术参数、指标”内容的，按无效投标处理。</w:t>
      </w:r>
    </w:p>
    <w:p>
      <w:pPr>
        <w:numPr>
          <w:ilvl w:val="0"/>
          <w:numId w:val="10"/>
        </w:num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填写此表时以招标项目参数要求为基本投标要求，满足招标项目参数要求的指标需列出“</w:t>
      </w:r>
      <w:r>
        <w:rPr>
          <w:rFonts w:hint="eastAsia" w:ascii="宋体" w:hAnsi="宋体" w:cs="宋体"/>
          <w:color w:val="auto"/>
          <w:kern w:val="0"/>
        </w:rPr>
        <w:t>0</w:t>
      </w:r>
      <w:r>
        <w:rPr>
          <w:rFonts w:hint="eastAsia" w:ascii="宋体" w:hAnsi="宋体" w:cs="宋体"/>
          <w:color w:val="auto"/>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rPr>
        <w:t>4</w:t>
      </w:r>
      <w:r>
        <w:rPr>
          <w:rFonts w:hint="eastAsia" w:ascii="宋体" w:hAnsi="宋体" w:cs="宋体"/>
          <w:color w:val="auto"/>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hint="eastAsia" w:ascii="宋体" w:hAnsi="宋体" w:cs="宋体"/>
          <w:color w:val="auto"/>
          <w:kern w:val="0"/>
          <w:lang w:val="zh-CN"/>
        </w:rPr>
      </w:pPr>
    </w:p>
    <w:p>
      <w:pPr>
        <w:autoSpaceDE w:val="0"/>
        <w:autoSpaceDN w:val="0"/>
        <w:spacing w:line="360" w:lineRule="auto"/>
        <w:ind w:firstLine="480"/>
        <w:rPr>
          <w:rFonts w:hint="eastAsia" w:ascii="宋体" w:hAnsi="宋体" w:cs="宋体"/>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投标人：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法定代表人或委托代理人：        （签字）</w:t>
      </w:r>
    </w:p>
    <w:p>
      <w:pPr>
        <w:autoSpaceDE w:val="0"/>
        <w:autoSpaceDN w:val="0"/>
        <w:spacing w:line="360" w:lineRule="auto"/>
        <w:ind w:firstLine="5060" w:firstLineChars="2100"/>
        <w:rPr>
          <w:rFonts w:hint="eastAsia"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3"/>
        <w:spacing w:before="0" w:after="0" w:line="360" w:lineRule="auto"/>
        <w:jc w:val="left"/>
        <w:outlineLvl w:val="1"/>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br w:type="page"/>
      </w:r>
      <w:bookmarkStart w:id="74" w:name="_Toc25522"/>
      <w:bookmarkStart w:id="75" w:name="_Toc14290"/>
    </w:p>
    <w:p>
      <w:pPr>
        <w:pStyle w:val="23"/>
        <w:spacing w:before="0" w:after="0" w:line="360" w:lineRule="auto"/>
        <w:jc w:val="left"/>
        <w:outlineLvl w:val="1"/>
        <w:rPr>
          <w:rFonts w:hint="eastAsia" w:ascii="宋体" w:hAnsi="宋体" w:cs="宋体"/>
          <w:color w:val="auto"/>
          <w:kern w:val="0"/>
          <w:sz w:val="24"/>
          <w:szCs w:val="24"/>
          <w:lang w:val="zh-CN"/>
        </w:rPr>
      </w:pPr>
    </w:p>
    <w:p>
      <w:pPr>
        <w:pStyle w:val="23"/>
        <w:spacing w:before="0" w:after="0" w:line="360" w:lineRule="auto"/>
        <w:jc w:val="left"/>
        <w:outlineLvl w:val="1"/>
        <w:rPr>
          <w:rFonts w:hint="eastAsia" w:ascii="宋体" w:hAnsi="宋体" w:cs="宋体"/>
          <w:color w:val="auto"/>
        </w:rPr>
      </w:pPr>
      <w:r>
        <w:rPr>
          <w:rFonts w:hint="eastAsia" w:ascii="宋体" w:hAnsi="宋体" w:cs="宋体"/>
          <w:color w:val="auto"/>
          <w:sz w:val="30"/>
          <w:szCs w:val="30"/>
        </w:rPr>
        <w:t>（15）</w:t>
      </w:r>
      <w:r>
        <w:rPr>
          <w:rFonts w:hint="eastAsia" w:ascii="宋体" w:hAnsi="宋体" w:cs="宋体"/>
          <w:color w:val="auto"/>
          <w:sz w:val="30"/>
          <w:szCs w:val="30"/>
          <w:lang w:val="zh-CN"/>
        </w:rPr>
        <w:t>投标产品相关资料</w:t>
      </w:r>
      <w:bookmarkEnd w:id="74"/>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投标产品相关资料</w:t>
      </w:r>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ind w:firstLine="480" w:firstLineChars="200"/>
        <w:rPr>
          <w:rFonts w:hint="eastAsia" w:ascii="宋体" w:hAnsi="宋体" w:cs="宋体"/>
          <w:color w:val="auto"/>
          <w:sz w:val="32"/>
          <w:lang w:val="zh-CN"/>
        </w:rPr>
      </w:pPr>
      <w:r>
        <w:rPr>
          <w:rFonts w:hint="eastAsia" w:ascii="宋体" w:hAnsi="宋体" w:cs="宋体"/>
          <w:color w:val="auto"/>
          <w:kern w:val="0"/>
          <w:lang w:val="zh-CN"/>
        </w:rPr>
        <w:t>根据采购项目内容，投标时提供国家认可的质监机构出具的投标产品的产品检验报告或者证明技术参数响应的相关资料、彩页（或厂家公开发布的资料参数）、相关认证等资料。</w:t>
      </w: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76" w:name="_Toc14585"/>
    </w:p>
    <w:p>
      <w:pPr>
        <w:pStyle w:val="23"/>
        <w:spacing w:before="0" w:after="0" w:line="360" w:lineRule="auto"/>
        <w:jc w:val="left"/>
        <w:outlineLvl w:val="1"/>
        <w:rPr>
          <w:rFonts w:hint="eastAsia" w:ascii="宋体" w:hAnsi="宋体" w:cs="宋体"/>
          <w:color w:val="auto"/>
          <w:lang w:val="zh-CN"/>
        </w:rPr>
      </w:pPr>
    </w:p>
    <w:p>
      <w:pPr>
        <w:pStyle w:val="23"/>
        <w:spacing w:before="0" w:after="0" w:line="360" w:lineRule="auto"/>
        <w:jc w:val="left"/>
        <w:outlineLvl w:val="1"/>
        <w:rPr>
          <w:rFonts w:hint="eastAsia" w:ascii="宋体" w:hAnsi="宋体" w:cs="宋体"/>
          <w:color w:val="auto"/>
        </w:rPr>
      </w:pPr>
      <w:r>
        <w:rPr>
          <w:rFonts w:hint="eastAsia" w:ascii="宋体" w:hAnsi="宋体" w:cs="宋体"/>
          <w:color w:val="auto"/>
          <w:sz w:val="30"/>
          <w:szCs w:val="30"/>
        </w:rPr>
        <w:t>（16）</w:t>
      </w:r>
      <w:r>
        <w:rPr>
          <w:rFonts w:hint="eastAsia" w:ascii="宋体" w:hAnsi="宋体" w:cs="宋体"/>
          <w:color w:val="auto"/>
          <w:sz w:val="30"/>
          <w:szCs w:val="30"/>
          <w:lang w:val="zh-CN"/>
        </w:rPr>
        <w:t>投标人的类似业绩证明材料</w:t>
      </w:r>
      <w:bookmarkEnd w:id="75"/>
      <w:bookmarkEnd w:id="76"/>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投标人的类似业绩证明材料</w:t>
      </w:r>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ascii="宋体" w:hAnsi="宋体" w:cs="宋体"/>
          <w:color w:val="000000"/>
          <w:kern w:val="0"/>
          <w:u w:val="single"/>
          <w:lang w:val="zh-CN"/>
        </w:rPr>
        <w:t>20</w:t>
      </w:r>
      <w:r>
        <w:rPr>
          <w:rFonts w:hint="eastAsia" w:ascii="宋体" w:hAnsi="宋体" w:cs="宋体"/>
          <w:color w:val="000000"/>
          <w:kern w:val="0"/>
          <w:u w:val="single"/>
        </w:rPr>
        <w:t>20</w:t>
      </w:r>
      <w:r>
        <w:rPr>
          <w:rFonts w:hint="eastAsia" w:ascii="宋体" w:hAnsi="宋体" w:cs="宋体"/>
          <w:color w:val="000000"/>
          <w:kern w:val="0"/>
          <w:lang w:val="zh-CN"/>
        </w:rPr>
        <w:t>年至今的类似业绩证明材料。类似业绩是指与采购项目在产品类型、使用功能、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w:t>
      </w:r>
      <w:r>
        <w:rPr>
          <w:rFonts w:hint="eastAsia" w:ascii="宋体" w:hAnsi="宋体" w:cs="宋体"/>
        </w:rPr>
        <w:t>中标通知书及合同首页、标的及金额所在页、供货合同签字盖章页的扫描（或复印）件为准</w:t>
      </w:r>
      <w:r>
        <w:rPr>
          <w:rFonts w:hint="eastAsia" w:ascii="宋体" w:hAnsi="宋体"/>
        </w:rPr>
        <w:t>。</w:t>
      </w: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77" w:name="_Toc18610"/>
      <w:bookmarkStart w:id="78" w:name="_Toc10010"/>
    </w:p>
    <w:p>
      <w:pPr>
        <w:pStyle w:val="23"/>
        <w:spacing w:before="0" w:after="0" w:line="360" w:lineRule="auto"/>
        <w:jc w:val="left"/>
        <w:outlineLvl w:val="1"/>
        <w:rPr>
          <w:rFonts w:hint="eastAsia" w:ascii="宋体" w:hAnsi="宋体" w:cs="宋体"/>
          <w:color w:val="auto"/>
          <w:sz w:val="30"/>
          <w:szCs w:val="30"/>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rPr>
        <w:t>（17.1）</w:t>
      </w:r>
      <w:r>
        <w:rPr>
          <w:rFonts w:hint="eastAsia" w:ascii="宋体" w:hAnsi="宋体" w:cs="宋体"/>
          <w:color w:val="auto"/>
          <w:sz w:val="30"/>
          <w:szCs w:val="30"/>
          <w:lang w:val="zh-CN"/>
        </w:rPr>
        <w:t>中、小型企业声明函</w:t>
      </w:r>
      <w:bookmarkEnd w:id="77"/>
      <w:bookmarkEnd w:id="78"/>
    </w:p>
    <w:p>
      <w:pPr>
        <w:spacing w:line="360" w:lineRule="auto"/>
        <w:rPr>
          <w:rFonts w:hint="eastAsia" w:ascii="宋体" w:hAnsi="宋体" w:cs="宋体"/>
          <w:color w:val="auto"/>
          <w:sz w:val="28"/>
          <w:szCs w:val="28"/>
          <w:lang w:val="zh-CN"/>
        </w:rPr>
      </w:pPr>
    </w:p>
    <w:p>
      <w:pPr>
        <w:pStyle w:val="23"/>
        <w:spacing w:before="0" w:after="0" w:line="360" w:lineRule="auto"/>
        <w:ind w:firstLine="1807" w:firstLineChars="500"/>
        <w:jc w:val="left"/>
        <w:outlineLvl w:val="1"/>
        <w:rPr>
          <w:color w:val="auto"/>
          <w:kern w:val="0"/>
          <w:sz w:val="28"/>
          <w:szCs w:val="28"/>
          <w:lang w:val="zh-CN"/>
        </w:rPr>
      </w:pPr>
      <w:r>
        <w:rPr>
          <w:rFonts w:hint="eastAsia" w:ascii="宋体" w:hAnsi="宋体" w:cs="宋体"/>
          <w:color w:val="auto"/>
          <w:kern w:val="0"/>
          <w:lang w:val="zh-CN" w:eastAsia="zh-CN"/>
        </w:rPr>
        <w:t xml:space="preserve">中小企业声明函（货物） </w:t>
      </w:r>
      <w:bookmarkStart w:id="79" w:name="_Toc20999"/>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cs="仿宋"/>
          <w:color w:val="auto"/>
          <w:kern w:val="0"/>
          <w:sz w:val="24"/>
        </w:rPr>
        <w:t xml:space="preserve">  </w:t>
      </w:r>
      <w:r>
        <w:rPr>
          <w:rFonts w:hint="eastAsia" w:ascii="宋体" w:hAnsi="宋体" w:eastAsia="宋体" w:cs="宋体"/>
          <w:color w:val="auto"/>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eastAsia="宋体" w:cs="宋体"/>
          <w:color w:val="auto"/>
        </w:rPr>
        <w:t xml:space="preserve">  1. （标的名称） ，属于（采购文件中明确的所属行业）行业；制造商为（企业名称），从业人员人，营业收入为    万元，资产总额为   万元，属于（中型企业、小型企业、微型企业）；</w:t>
      </w:r>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eastAsia="宋体" w:cs="宋体"/>
          <w:color w:val="auto"/>
        </w:rPr>
        <w:t xml:space="preserve">  2. （标的名称） ，属于（采购文件中明确的所属行业）行业；制造商为（企业名称），从业人员人，营业收入为    万元，资产总额为    万元，属于（中型企业、小型企业、微型企业）；</w:t>
      </w:r>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eastAsia="宋体" w:cs="宋体"/>
          <w:color w:val="auto"/>
        </w:rPr>
        <w:t>……</w:t>
      </w:r>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eastAsia="宋体" w:cs="宋体"/>
          <w:color w:val="auto"/>
        </w:rPr>
        <w:t xml:space="preserve">  以上企业，不属于大企业的分支机构，不存在控股股东为大企业的情形，也不存在与大企业的负责人为同一人的情形。</w:t>
      </w:r>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eastAsia="宋体" w:cs="宋体"/>
          <w:color w:val="auto"/>
        </w:rPr>
        <w:t xml:space="preserve">  本企业对上述声明内容的真实性负责。如有虚假，将依法承担相应责任。</w:t>
      </w:r>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eastAsia="宋体" w:cs="宋体"/>
          <w:color w:val="auto"/>
        </w:rPr>
        <w:t xml:space="preserve">  注：若无此项内容，可不提供此函。</w:t>
      </w:r>
    </w:p>
    <w:p>
      <w:pPr>
        <w:adjustRightInd w:val="0"/>
        <w:snapToGrid w:val="0"/>
        <w:spacing w:line="440" w:lineRule="exact"/>
        <w:ind w:left="-5" w:leftChars="-2" w:firstLine="480" w:firstLineChars="200"/>
        <w:rPr>
          <w:rFonts w:hint="eastAsia" w:ascii="宋体" w:hAnsi="宋体" w:eastAsia="宋体" w:cs="宋体"/>
          <w:color w:val="auto"/>
        </w:rPr>
      </w:pPr>
    </w:p>
    <w:p>
      <w:pPr>
        <w:adjustRightInd w:val="0"/>
        <w:snapToGrid w:val="0"/>
        <w:spacing w:line="440" w:lineRule="exact"/>
        <w:ind w:left="-5" w:leftChars="-2" w:firstLine="480" w:firstLineChars="200"/>
        <w:rPr>
          <w:rFonts w:hint="eastAsia" w:ascii="宋体" w:hAnsi="宋体" w:eastAsia="宋体" w:cs="宋体"/>
          <w:color w:val="auto"/>
        </w:rPr>
      </w:pPr>
    </w:p>
    <w:p>
      <w:pPr>
        <w:adjustRightInd w:val="0"/>
        <w:snapToGrid w:val="0"/>
        <w:spacing w:line="440" w:lineRule="exact"/>
        <w:ind w:left="-5" w:leftChars="-2" w:firstLine="480" w:firstLineChars="200"/>
        <w:rPr>
          <w:rFonts w:hint="eastAsia" w:ascii="宋体" w:hAnsi="宋体" w:eastAsia="宋体" w:cs="宋体"/>
          <w:color w:val="auto"/>
        </w:rPr>
      </w:pPr>
    </w:p>
    <w:p>
      <w:pPr>
        <w:adjustRightInd w:val="0"/>
        <w:snapToGrid w:val="0"/>
        <w:spacing w:line="440" w:lineRule="exact"/>
        <w:ind w:left="-5" w:leftChars="-2" w:firstLine="480" w:firstLineChars="200"/>
        <w:rPr>
          <w:rFonts w:hint="eastAsia" w:ascii="宋体" w:hAnsi="宋体" w:eastAsia="宋体" w:cs="宋体"/>
          <w:color w:val="auto"/>
        </w:rPr>
      </w:pPr>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eastAsia="宋体" w:cs="宋体"/>
          <w:color w:val="auto"/>
        </w:rPr>
        <w:t xml:space="preserve">                                             企业名称（盖章）：   </w:t>
      </w:r>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eastAsia="宋体" w:cs="宋体"/>
          <w:color w:val="auto"/>
        </w:rPr>
        <w:t xml:space="preserve">                                                         日期：</w:t>
      </w:r>
    </w:p>
    <w:p>
      <w:pPr>
        <w:adjustRightInd w:val="0"/>
        <w:snapToGrid w:val="0"/>
        <w:spacing w:line="440" w:lineRule="exact"/>
        <w:ind w:left="-5" w:leftChars="-2" w:firstLine="480" w:firstLineChars="200"/>
        <w:rPr>
          <w:rFonts w:hint="eastAsia" w:ascii="宋体" w:hAnsi="宋体" w:eastAsia="宋体" w:cs="宋体"/>
          <w:color w:val="auto"/>
        </w:rPr>
      </w:pPr>
    </w:p>
    <w:p>
      <w:pPr>
        <w:adjustRightInd w:val="0"/>
        <w:snapToGrid w:val="0"/>
        <w:spacing w:line="440" w:lineRule="exact"/>
        <w:ind w:left="-5" w:leftChars="-2" w:firstLine="480" w:firstLineChars="200"/>
        <w:rPr>
          <w:rFonts w:hint="eastAsia" w:ascii="宋体" w:hAnsi="宋体" w:eastAsia="宋体" w:cs="宋体"/>
          <w:color w:val="auto"/>
        </w:rPr>
      </w:pPr>
      <w:r>
        <w:rPr>
          <w:rFonts w:hint="eastAsia" w:ascii="宋体" w:hAnsi="宋体" w:eastAsia="宋体" w:cs="宋体"/>
          <w:color w:val="auto"/>
        </w:rPr>
        <w:t>从业人员、营业收入、资产总额填报上一年度数据，无上一年度数据的新成立企业可不填报。</w:t>
      </w:r>
    </w:p>
    <w:p>
      <w:pPr>
        <w:pStyle w:val="23"/>
        <w:spacing w:before="0" w:after="0" w:line="360" w:lineRule="auto"/>
        <w:jc w:val="left"/>
        <w:outlineLvl w:val="1"/>
        <w:rPr>
          <w:rFonts w:hint="eastAsia" w:ascii="宋体" w:hAnsi="宋体" w:cs="宋体"/>
          <w:color w:val="auto"/>
          <w:kern w:val="0"/>
          <w:lang w:val="zh-CN"/>
        </w:rPr>
      </w:pPr>
    </w:p>
    <w:p>
      <w:pPr>
        <w:pStyle w:val="23"/>
        <w:spacing w:before="0" w:after="0" w:line="360" w:lineRule="auto"/>
        <w:jc w:val="left"/>
        <w:outlineLvl w:val="1"/>
        <w:rPr>
          <w:rFonts w:hint="eastAsia" w:ascii="宋体" w:hAnsi="宋体" w:cs="宋体"/>
          <w:color w:val="auto"/>
          <w:sz w:val="30"/>
          <w:szCs w:val="30"/>
        </w:rPr>
      </w:pP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sz w:val="30"/>
          <w:szCs w:val="30"/>
        </w:rPr>
        <w:t>（17.2）</w:t>
      </w:r>
      <w:r>
        <w:rPr>
          <w:rFonts w:hint="eastAsia" w:ascii="宋体" w:hAnsi="宋体" w:cs="宋体"/>
          <w:color w:val="auto"/>
          <w:sz w:val="30"/>
          <w:szCs w:val="30"/>
          <w:lang w:val="zh-CN"/>
        </w:rPr>
        <w:t>从业人员声明函</w:t>
      </w:r>
      <w:bookmarkEnd w:id="79"/>
    </w:p>
    <w:p>
      <w:pPr>
        <w:adjustRightInd w:val="0"/>
        <w:snapToGrid w:val="0"/>
        <w:spacing w:line="440" w:lineRule="exact"/>
        <w:ind w:left="6987" w:hanging="6987" w:hangingChars="2900"/>
        <w:jc w:val="center"/>
        <w:rPr>
          <w:rFonts w:hint="eastAsia" w:ascii="宋体" w:hAnsi="宋体" w:cs="宋体"/>
          <w:b/>
          <w:bCs/>
          <w:color w:val="auto"/>
          <w:kern w:val="0"/>
          <w:lang w:val="zh-CN"/>
        </w:rPr>
      </w:pPr>
    </w:p>
    <w:p>
      <w:pPr>
        <w:adjustRightInd w:val="0"/>
        <w:snapToGrid w:val="0"/>
        <w:spacing w:line="440" w:lineRule="exact"/>
        <w:ind w:left="8152" w:hanging="8152" w:hangingChars="2900"/>
        <w:jc w:val="center"/>
        <w:rPr>
          <w:rFonts w:hint="eastAsia" w:ascii="宋体" w:hAnsi="宋体" w:cs="宋体"/>
          <w:b/>
          <w:color w:val="auto"/>
        </w:rPr>
      </w:pPr>
      <w:r>
        <w:rPr>
          <w:rFonts w:hint="eastAsia" w:ascii="宋体" w:hAnsi="宋体" w:cs="宋体"/>
          <w:b/>
          <w:color w:val="auto"/>
          <w:sz w:val="28"/>
          <w:szCs w:val="28"/>
        </w:rPr>
        <w:t>从业人员声明函</w:t>
      </w:r>
    </w:p>
    <w:p>
      <w:pPr>
        <w:adjustRightInd w:val="0"/>
        <w:snapToGrid w:val="0"/>
        <w:spacing w:line="440" w:lineRule="exact"/>
        <w:ind w:left="6987" w:hanging="6987" w:hangingChars="2900"/>
        <w:rPr>
          <w:rFonts w:hint="eastAsia" w:ascii="宋体" w:hAnsi="宋体" w:cs="宋体"/>
          <w:b/>
          <w:bCs/>
          <w:color w:val="auto"/>
          <w:kern w:val="0"/>
          <w:lang w:val="zh-CN"/>
        </w:rPr>
      </w:pPr>
    </w:p>
    <w:p>
      <w:pPr>
        <w:adjustRightInd w:val="0"/>
        <w:snapToGrid w:val="0"/>
        <w:spacing w:line="440" w:lineRule="exact"/>
        <w:ind w:left="6987" w:hanging="6987" w:hangingChars="2900"/>
        <w:rPr>
          <w:rFonts w:hint="eastAsia" w:ascii="宋体" w:hAnsi="宋体" w:cs="宋体"/>
          <w:color w:val="auto"/>
        </w:rPr>
      </w:pPr>
      <w:r>
        <w:rPr>
          <w:rFonts w:hint="eastAsia" w:ascii="宋体" w:hAnsi="宋体" w:cs="宋体"/>
          <w:b/>
          <w:bCs/>
          <w:color w:val="auto"/>
          <w:kern w:val="0"/>
          <w:lang w:val="zh-CN"/>
        </w:rPr>
        <w:t>致：青海旭诚工程项目管理有限公司</w:t>
      </w:r>
    </w:p>
    <w:p>
      <w:pPr>
        <w:spacing w:line="360" w:lineRule="auto"/>
        <w:ind w:left="0" w:leftChars="0" w:firstLine="480" w:firstLineChars="200"/>
        <w:rPr>
          <w:rFonts w:hint="eastAsia" w:ascii="宋体" w:hAnsi="宋体"/>
          <w:color w:val="auto"/>
          <w:sz w:val="24"/>
        </w:rPr>
      </w:pP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spacing w:line="360" w:lineRule="auto"/>
        <w:ind w:firstLine="480"/>
        <w:rPr>
          <w:rFonts w:hint="eastAsia" w:ascii="宋体" w:hAnsi="宋体"/>
          <w:color w:val="auto"/>
          <w:sz w:val="24"/>
        </w:rPr>
      </w:pPr>
    </w:p>
    <w:p>
      <w:pPr>
        <w:spacing w:line="360" w:lineRule="auto"/>
        <w:ind w:firstLine="480"/>
        <w:rPr>
          <w:rFonts w:hint="eastAsia" w:ascii="宋体" w:hAnsi="宋体"/>
          <w:color w:val="auto"/>
          <w:sz w:val="24"/>
        </w:rPr>
      </w:pPr>
      <w:r>
        <w:rPr>
          <w:rFonts w:hint="eastAsia" w:ascii="宋体" w:hAnsi="宋体"/>
          <w:color w:val="auto"/>
          <w:sz w:val="24"/>
        </w:rPr>
        <w:t>注：若无此项内容，可不提供此函。</w:t>
      </w: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p>
    <w:p>
      <w:pPr>
        <w:pStyle w:val="2"/>
        <w:rPr>
          <w:rFonts w:hint="eastAsia" w:ascii="宋体" w:hAnsi="宋体" w:cs="宋体"/>
          <w:b/>
          <w:bCs/>
          <w:color w:val="auto"/>
          <w:kern w:val="0"/>
          <w:lang w:val="zh-CN"/>
        </w:rPr>
      </w:pPr>
    </w:p>
    <w:p>
      <w:pPr>
        <w:pStyle w:val="41"/>
        <w:rPr>
          <w:rFonts w:hint="eastAsia" w:ascii="宋体" w:hAnsi="宋体" w:cs="宋体"/>
          <w:b/>
          <w:bCs/>
          <w:color w:val="auto"/>
          <w:kern w:val="0"/>
          <w:lang w:val="zh-CN"/>
        </w:rPr>
      </w:pPr>
    </w:p>
    <w:p>
      <w:pPr>
        <w:pStyle w:val="43"/>
        <w:rPr>
          <w:rFonts w:hint="eastAsia" w:ascii="宋体" w:hAnsi="宋体" w:cs="宋体"/>
          <w:b/>
          <w:bCs/>
          <w:color w:val="auto"/>
          <w:kern w:val="0"/>
          <w:lang w:val="zh-CN"/>
        </w:rPr>
      </w:pPr>
    </w:p>
    <w:p>
      <w:pPr>
        <w:rPr>
          <w:rFonts w:hint="eastAsia" w:ascii="宋体" w:hAnsi="宋体" w:cs="宋体"/>
          <w:b/>
          <w:bCs/>
          <w:color w:val="auto"/>
          <w:kern w:val="0"/>
          <w:lang w:val="zh-CN"/>
        </w:rPr>
      </w:pPr>
    </w:p>
    <w:p>
      <w:pPr>
        <w:pStyle w:val="2"/>
        <w:rPr>
          <w:rFonts w:hint="eastAsia" w:ascii="宋体" w:hAnsi="宋体" w:cs="宋体"/>
          <w:b/>
          <w:bCs/>
          <w:color w:val="auto"/>
          <w:kern w:val="0"/>
          <w:lang w:val="zh-CN"/>
        </w:rPr>
      </w:pPr>
    </w:p>
    <w:p>
      <w:pPr>
        <w:pStyle w:val="41"/>
        <w:rPr>
          <w:rFonts w:hint="eastAsia" w:ascii="宋体" w:hAnsi="宋体" w:cs="宋体"/>
          <w:b/>
          <w:bCs/>
          <w:color w:val="auto"/>
          <w:kern w:val="0"/>
          <w:lang w:val="zh-CN"/>
        </w:rPr>
      </w:pPr>
    </w:p>
    <w:p>
      <w:pPr>
        <w:pStyle w:val="43"/>
        <w:rPr>
          <w:rFonts w:hint="eastAsia" w:ascii="宋体" w:hAnsi="宋体" w:cs="宋体"/>
          <w:b/>
          <w:bCs/>
          <w:color w:val="auto"/>
          <w:kern w:val="0"/>
          <w:lang w:val="zh-CN"/>
        </w:rPr>
      </w:pPr>
    </w:p>
    <w:p>
      <w:pPr>
        <w:rPr>
          <w:rFonts w:hint="eastAsia" w:ascii="宋体" w:hAnsi="宋体" w:cs="宋体"/>
          <w:b/>
          <w:bCs/>
          <w:color w:val="auto"/>
          <w:kern w:val="0"/>
          <w:lang w:val="zh-CN"/>
        </w:rPr>
      </w:pPr>
    </w:p>
    <w:p>
      <w:pPr>
        <w:pStyle w:val="2"/>
        <w:rPr>
          <w:rFonts w:hint="eastAsia" w:ascii="宋体" w:hAnsi="宋体" w:cs="宋体"/>
          <w:b/>
          <w:bCs/>
          <w:color w:val="auto"/>
          <w:kern w:val="0"/>
          <w:lang w:val="zh-CN"/>
        </w:rPr>
      </w:pPr>
    </w:p>
    <w:p>
      <w:pPr>
        <w:pStyle w:val="2"/>
        <w:rPr>
          <w:rFonts w:hint="eastAsia"/>
          <w:color w:val="auto"/>
          <w:lang w:val="zh-CN"/>
        </w:rPr>
      </w:pPr>
    </w:p>
    <w:p>
      <w:pPr>
        <w:autoSpaceDE w:val="0"/>
        <w:autoSpaceDN w:val="0"/>
        <w:spacing w:line="360" w:lineRule="auto"/>
        <w:jc w:val="center"/>
        <w:rPr>
          <w:rFonts w:hint="eastAsia" w:ascii="宋体" w:hAnsi="宋体" w:cs="宋体"/>
          <w:b/>
          <w:bCs/>
          <w:color w:val="auto"/>
          <w:kern w:val="0"/>
          <w:lang w:val="zh-CN"/>
        </w:rPr>
      </w:pP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制造（生产）企业名称：       （公章）</w:t>
      </w:r>
    </w:p>
    <w:p>
      <w:pPr>
        <w:autoSpaceDE w:val="0"/>
        <w:autoSpaceDN w:val="0"/>
        <w:spacing w:line="360" w:lineRule="auto"/>
        <w:jc w:val="center"/>
        <w:rPr>
          <w:rFonts w:hint="eastAsia" w:ascii="宋体" w:hAnsi="宋体" w:cs="宋体"/>
          <w:b/>
          <w:bCs/>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制造（生产）企业法定代表人：       （签字）</w:t>
      </w:r>
    </w:p>
    <w:p>
      <w:pPr>
        <w:autoSpaceDE w:val="0"/>
        <w:autoSpaceDN w:val="0"/>
        <w:spacing w:line="360" w:lineRule="auto"/>
        <w:jc w:val="center"/>
        <w:rPr>
          <w:rFonts w:hint="eastAsia" w:ascii="宋体" w:hAnsi="宋体" w:cs="宋体"/>
          <w:color w:val="auto"/>
          <w:kern w:val="0"/>
          <w:lang w:val="zh-CN"/>
        </w:rPr>
      </w:pPr>
      <w:r>
        <w:rPr>
          <w:rFonts w:hint="eastAsia" w:ascii="宋体" w:hAnsi="宋体" w:cs="宋体"/>
          <w:b/>
          <w:bCs/>
          <w:color w:val="auto"/>
          <w:kern w:val="0"/>
          <w:lang w:val="en-US" w:eastAsia="zh-CN"/>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80" w:name="_Toc5881"/>
      <w:bookmarkStart w:id="81" w:name="_Toc743"/>
    </w:p>
    <w:p>
      <w:pPr>
        <w:pStyle w:val="23"/>
        <w:spacing w:before="0" w:after="0" w:line="360" w:lineRule="auto"/>
        <w:jc w:val="left"/>
        <w:outlineLvl w:val="1"/>
        <w:rPr>
          <w:rFonts w:hint="eastAsia" w:ascii="宋体" w:hAnsi="宋体" w:cs="宋体"/>
          <w:color w:val="auto"/>
          <w:lang w:val="zh-CN"/>
        </w:rPr>
      </w:pPr>
    </w:p>
    <w:p>
      <w:pPr>
        <w:pStyle w:val="23"/>
        <w:spacing w:before="0" w:after="0" w:line="360" w:lineRule="auto"/>
        <w:jc w:val="left"/>
        <w:outlineLvl w:val="1"/>
        <w:rPr>
          <w:rFonts w:hint="eastAsia" w:ascii="宋体" w:hAnsi="宋体" w:cs="宋体"/>
          <w:b w:val="0"/>
          <w:color w:val="auto"/>
          <w:sz w:val="28"/>
          <w:szCs w:val="28"/>
        </w:rPr>
      </w:pPr>
      <w:r>
        <w:rPr>
          <w:rFonts w:hint="eastAsia" w:ascii="宋体" w:hAnsi="宋体" w:cs="宋体"/>
          <w:bCs w:val="0"/>
          <w:color w:val="auto"/>
          <w:sz w:val="28"/>
          <w:szCs w:val="28"/>
          <w:lang w:val="zh-CN"/>
        </w:rPr>
        <w:t>（</w:t>
      </w:r>
      <w:r>
        <w:rPr>
          <w:rFonts w:hint="eastAsia" w:ascii="宋体" w:hAnsi="宋体" w:cs="宋体"/>
          <w:bCs w:val="0"/>
          <w:color w:val="auto"/>
          <w:sz w:val="28"/>
          <w:szCs w:val="28"/>
        </w:rPr>
        <w:t>18</w:t>
      </w:r>
      <w:r>
        <w:rPr>
          <w:rFonts w:hint="eastAsia" w:ascii="宋体" w:hAnsi="宋体" w:cs="宋体"/>
          <w:bCs w:val="0"/>
          <w:color w:val="auto"/>
          <w:sz w:val="28"/>
          <w:szCs w:val="28"/>
          <w:lang w:val="zh-CN"/>
        </w:rPr>
        <w:t>）</w:t>
      </w:r>
      <w:r>
        <w:rPr>
          <w:rFonts w:hint="eastAsia" w:ascii="宋体" w:hAnsi="宋体" w:cs="宋体"/>
          <w:bCs w:val="0"/>
          <w:color w:val="auto"/>
          <w:sz w:val="30"/>
          <w:szCs w:val="30"/>
          <w:lang w:val="zh-CN"/>
        </w:rPr>
        <w:t>残疾人</w:t>
      </w:r>
      <w:r>
        <w:rPr>
          <w:rFonts w:hint="eastAsia" w:ascii="宋体" w:hAnsi="宋体" w:cs="宋体"/>
          <w:bCs w:val="0"/>
          <w:color w:val="auto"/>
          <w:sz w:val="28"/>
          <w:szCs w:val="28"/>
        </w:rPr>
        <w:t>福利性单位声明函</w:t>
      </w:r>
      <w:bookmarkEnd w:id="80"/>
    </w:p>
    <w:p>
      <w:pPr>
        <w:jc w:val="center"/>
        <w:rPr>
          <w:rFonts w:hint="eastAsia" w:ascii="宋体" w:hAnsi="宋体" w:cs="宋体"/>
          <w:b/>
          <w:color w:val="auto"/>
          <w:sz w:val="36"/>
          <w:szCs w:val="36"/>
        </w:rPr>
      </w:pPr>
      <w:bookmarkStart w:id="82" w:name="OLE_LINK13"/>
      <w:bookmarkStart w:id="83" w:name="OLE_LINK14"/>
    </w:p>
    <w:p>
      <w:pPr>
        <w:jc w:val="center"/>
        <w:rPr>
          <w:rFonts w:hint="eastAsia" w:ascii="宋体" w:hAnsi="宋体" w:cs="宋体"/>
          <w:b/>
          <w:color w:val="auto"/>
          <w:sz w:val="36"/>
          <w:szCs w:val="36"/>
        </w:rPr>
      </w:pPr>
      <w:r>
        <w:rPr>
          <w:rFonts w:hint="eastAsia" w:ascii="宋体" w:hAnsi="宋体" w:cs="宋体"/>
          <w:b/>
          <w:color w:val="auto"/>
          <w:sz w:val="36"/>
          <w:szCs w:val="36"/>
        </w:rPr>
        <w:t>残疾人福利性单位声明函</w:t>
      </w:r>
    </w:p>
    <w:bookmarkEnd w:id="82"/>
    <w:bookmarkEnd w:id="83"/>
    <w:p>
      <w:pPr>
        <w:spacing w:after="120" w:afterLines="50"/>
        <w:rPr>
          <w:rFonts w:hint="eastAsia" w:ascii="宋体" w:hAnsi="宋体" w:cs="宋体"/>
          <w:bCs/>
          <w:color w:val="auto"/>
        </w:rPr>
      </w:pPr>
    </w:p>
    <w:p>
      <w:pPr>
        <w:spacing w:after="120" w:afterLines="50"/>
        <w:rPr>
          <w:rFonts w:hint="eastAsia"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青海旭诚工程项目管理有限公司</w:t>
      </w:r>
    </w:p>
    <w:p>
      <w:pPr>
        <w:spacing w:line="360" w:lineRule="auto"/>
        <w:ind w:firstLine="480"/>
        <w:rPr>
          <w:rFonts w:hint="eastAsia" w:ascii="宋体" w:hAnsi="宋体" w:cs="宋体"/>
          <w:color w:val="auto"/>
        </w:rPr>
      </w:pPr>
    </w:p>
    <w:p>
      <w:pPr>
        <w:spacing w:line="360" w:lineRule="auto"/>
        <w:ind w:firstLine="480"/>
        <w:rPr>
          <w:rFonts w:hint="eastAsia" w:ascii="宋体" w:hAnsi="宋体" w:cs="宋体"/>
          <w:color w:val="auto"/>
        </w:rPr>
      </w:pPr>
      <w:r>
        <w:rPr>
          <w:rFonts w:hint="eastAsia" w:ascii="宋体" w:hAnsi="宋体" w:cs="宋体"/>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u w:val="single"/>
        </w:rPr>
        <w:t xml:space="preserve">       </w:t>
      </w:r>
      <w:r>
        <w:rPr>
          <w:rFonts w:hint="eastAsia" w:ascii="宋体" w:hAnsi="宋体" w:cs="宋体"/>
          <w:color w:val="auto"/>
        </w:rPr>
        <w:t>人，安置的残疾人人数</w:t>
      </w:r>
      <w:r>
        <w:rPr>
          <w:rFonts w:hint="eastAsia" w:ascii="宋体" w:hAnsi="宋体" w:cs="宋体"/>
          <w:color w:val="auto"/>
          <w:u w:val="single"/>
        </w:rPr>
        <w:t xml:space="preserve">      </w:t>
      </w:r>
      <w:r>
        <w:rPr>
          <w:rFonts w:hint="eastAsia" w:ascii="宋体" w:hAnsi="宋体" w:cs="宋体"/>
          <w:color w:val="auto"/>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color w:val="auto"/>
        </w:rPr>
      </w:pPr>
      <w:r>
        <w:rPr>
          <w:rFonts w:hint="eastAsia" w:ascii="宋体" w:hAnsi="宋体" w:cs="宋体"/>
          <w:color w:val="auto"/>
        </w:rPr>
        <w:t>本单位对上述声明的真实性负责。如有虚假，将依法承担相应责任。</w:t>
      </w:r>
    </w:p>
    <w:p>
      <w:pPr>
        <w:spacing w:line="360" w:lineRule="auto"/>
        <w:ind w:firstLine="480"/>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注：若无此项内容，可不提供此函。</w:t>
      </w:r>
    </w:p>
    <w:p>
      <w:pPr>
        <w:spacing w:line="360" w:lineRule="auto"/>
        <w:ind w:firstLine="480"/>
        <w:rPr>
          <w:rFonts w:hint="eastAsia" w:ascii="宋体" w:hAnsi="宋体" w:cs="宋体"/>
          <w:color w:val="auto"/>
        </w:rPr>
      </w:pPr>
    </w:p>
    <w:p>
      <w:pPr>
        <w:spacing w:line="360" w:lineRule="auto"/>
        <w:ind w:firstLine="480"/>
        <w:rPr>
          <w:rFonts w:hint="eastAsia" w:ascii="宋体" w:hAnsi="宋体" w:cs="宋体"/>
          <w:color w:val="auto"/>
        </w:rPr>
      </w:pPr>
    </w:p>
    <w:p>
      <w:pPr>
        <w:spacing w:line="360" w:lineRule="auto"/>
        <w:ind w:firstLine="480"/>
        <w:rPr>
          <w:rFonts w:hint="eastAsia" w:ascii="宋体" w:hAnsi="宋体" w:cs="宋体"/>
          <w:color w:val="auto"/>
        </w:rPr>
      </w:pPr>
    </w:p>
    <w:p>
      <w:pPr>
        <w:spacing w:line="360" w:lineRule="auto"/>
        <w:ind w:firstLine="480"/>
        <w:rPr>
          <w:rFonts w:hint="eastAsia" w:ascii="宋体" w:hAnsi="宋体" w:cs="宋体"/>
          <w:color w:val="auto"/>
        </w:rPr>
      </w:pPr>
    </w:p>
    <w:p>
      <w:pPr>
        <w:spacing w:line="360" w:lineRule="auto"/>
        <w:ind w:firstLine="480"/>
        <w:rPr>
          <w:rFonts w:hint="eastAsia" w:ascii="宋体" w:hAnsi="宋体" w:cs="宋体"/>
          <w:color w:val="auto"/>
        </w:rPr>
      </w:pPr>
    </w:p>
    <w:p>
      <w:pPr>
        <w:spacing w:line="360" w:lineRule="auto"/>
        <w:ind w:firstLine="480"/>
        <w:rPr>
          <w:rFonts w:hint="eastAsia" w:ascii="宋体" w:hAnsi="宋体" w:cs="宋体"/>
          <w:color w:val="auto"/>
        </w:rPr>
      </w:pPr>
    </w:p>
    <w:p>
      <w:pPr>
        <w:spacing w:line="360" w:lineRule="auto"/>
        <w:ind w:firstLine="480"/>
        <w:rPr>
          <w:rFonts w:hint="eastAsia" w:ascii="宋体" w:hAnsi="宋体" w:cs="宋体"/>
          <w:color w:val="auto"/>
        </w:rPr>
      </w:pPr>
    </w:p>
    <w:p>
      <w:pPr>
        <w:spacing w:line="360" w:lineRule="auto"/>
        <w:jc w:val="center"/>
        <w:rPr>
          <w:rFonts w:hint="eastAsia" w:ascii="宋体" w:hAnsi="宋体" w:cs="宋体"/>
          <w:b/>
          <w:color w:val="auto"/>
        </w:rPr>
      </w:pPr>
      <w:r>
        <w:rPr>
          <w:rFonts w:hint="eastAsia" w:ascii="宋体" w:hAnsi="宋体" w:cs="宋体"/>
          <w:b/>
          <w:color w:val="auto"/>
        </w:rPr>
        <w:t xml:space="preserve">                                </w:t>
      </w:r>
      <w:r>
        <w:rPr>
          <w:rFonts w:hint="eastAsia" w:ascii="宋体" w:hAnsi="宋体" w:cs="宋体"/>
          <w:b/>
          <w:color w:val="auto"/>
          <w:lang w:val="en-US" w:eastAsia="zh-CN"/>
        </w:rPr>
        <w:t xml:space="preserve">   </w:t>
      </w:r>
      <w:r>
        <w:rPr>
          <w:rFonts w:hint="eastAsia" w:ascii="宋体" w:hAnsi="宋体" w:cs="宋体"/>
          <w:b/>
          <w:color w:val="auto"/>
        </w:rPr>
        <w:t>企业名称：</w:t>
      </w:r>
      <w:r>
        <w:rPr>
          <w:rFonts w:hint="eastAsia" w:ascii="宋体" w:hAnsi="宋体" w:cs="宋体"/>
          <w:color w:val="auto"/>
          <w:kern w:val="0"/>
          <w:sz w:val="28"/>
          <w:szCs w:val="28"/>
          <w:u w:val="single"/>
        </w:rPr>
        <w:t xml:space="preserve">       </w:t>
      </w:r>
      <w:r>
        <w:rPr>
          <w:rFonts w:hint="eastAsia" w:ascii="宋体" w:hAnsi="宋体" w:cs="宋体"/>
          <w:b/>
          <w:color w:val="auto"/>
        </w:rPr>
        <w:t>（公章）</w:t>
      </w:r>
    </w:p>
    <w:p>
      <w:pPr>
        <w:spacing w:line="360" w:lineRule="auto"/>
        <w:ind w:firstLine="482"/>
        <w:jc w:val="right"/>
        <w:rPr>
          <w:rFonts w:hint="eastAsia" w:ascii="宋体" w:hAnsi="宋体" w:cs="宋体"/>
          <w:b/>
          <w:color w:val="auto"/>
        </w:rPr>
      </w:pPr>
      <w:r>
        <w:rPr>
          <w:rFonts w:hint="eastAsia" w:ascii="宋体" w:hAnsi="宋体" w:cs="宋体"/>
          <w:b/>
          <w:color w:val="auto"/>
        </w:rPr>
        <w:t xml:space="preserve">       企业法定代表人：</w:t>
      </w:r>
      <w:r>
        <w:rPr>
          <w:rFonts w:hint="eastAsia" w:ascii="宋体" w:hAnsi="宋体" w:cs="宋体"/>
          <w:color w:val="auto"/>
          <w:kern w:val="0"/>
          <w:sz w:val="28"/>
          <w:szCs w:val="28"/>
          <w:u w:val="single"/>
        </w:rPr>
        <w:t xml:space="preserve">       </w:t>
      </w:r>
      <w:r>
        <w:rPr>
          <w:rFonts w:hint="eastAsia" w:ascii="宋体" w:hAnsi="宋体" w:cs="宋体"/>
          <w:b/>
          <w:color w:val="auto"/>
        </w:rPr>
        <w:t>（签字或盖章）</w:t>
      </w:r>
    </w:p>
    <w:p>
      <w:pPr>
        <w:ind w:firstLine="482"/>
        <w:jc w:val="center"/>
        <w:rPr>
          <w:rFonts w:hint="eastAsia" w:ascii="宋体" w:hAnsi="宋体" w:cs="宋体"/>
          <w:b/>
          <w:color w:val="auto"/>
        </w:rPr>
      </w:pPr>
      <w:r>
        <w:rPr>
          <w:rFonts w:hint="eastAsia" w:ascii="宋体" w:hAnsi="宋体" w:cs="宋体"/>
          <w:b/>
          <w:color w:val="auto"/>
        </w:rPr>
        <w:t xml:space="preserve">              年   月  日</w:t>
      </w:r>
    </w:p>
    <w:p>
      <w:pPr>
        <w:pStyle w:val="23"/>
        <w:spacing w:before="0" w:after="0" w:line="360" w:lineRule="auto"/>
        <w:jc w:val="left"/>
        <w:outlineLvl w:val="1"/>
        <w:rPr>
          <w:rFonts w:hint="eastAsia" w:ascii="宋体" w:hAnsi="宋体" w:cs="宋体"/>
          <w:color w:val="auto"/>
          <w:lang w:val="zh-CN"/>
        </w:rPr>
      </w:pPr>
      <w:r>
        <w:rPr>
          <w:rFonts w:hint="eastAsia" w:ascii="宋体" w:hAnsi="宋体" w:cs="宋体"/>
          <w:color w:val="auto"/>
          <w:lang w:val="zh-CN"/>
        </w:rPr>
        <w:br w:type="page"/>
      </w:r>
      <w:bookmarkStart w:id="84" w:name="_Toc17922"/>
    </w:p>
    <w:p>
      <w:pPr>
        <w:pStyle w:val="23"/>
        <w:spacing w:before="0" w:after="0" w:line="360" w:lineRule="auto"/>
        <w:jc w:val="left"/>
        <w:outlineLvl w:val="1"/>
        <w:rPr>
          <w:rFonts w:hint="eastAsia" w:ascii="宋体" w:hAnsi="宋体" w:cs="宋体"/>
          <w:color w:val="auto"/>
          <w:lang w:val="zh-CN"/>
        </w:rPr>
      </w:pPr>
    </w:p>
    <w:p>
      <w:pPr>
        <w:pStyle w:val="23"/>
        <w:spacing w:before="0" w:after="0" w:line="360" w:lineRule="auto"/>
        <w:jc w:val="left"/>
        <w:outlineLvl w:val="1"/>
        <w:rPr>
          <w:rFonts w:hint="eastAsia" w:ascii="宋体" w:hAnsi="宋体" w:cs="宋体"/>
          <w:color w:val="auto"/>
        </w:rPr>
      </w:pPr>
      <w:r>
        <w:rPr>
          <w:rFonts w:hint="eastAsia" w:ascii="宋体" w:hAnsi="宋体" w:cs="宋体"/>
          <w:color w:val="auto"/>
          <w:sz w:val="30"/>
          <w:szCs w:val="30"/>
        </w:rPr>
        <w:t>（19）</w:t>
      </w:r>
      <w:r>
        <w:rPr>
          <w:rFonts w:hint="eastAsia" w:ascii="宋体" w:hAnsi="宋体" w:cs="宋体"/>
          <w:color w:val="auto"/>
          <w:sz w:val="30"/>
          <w:szCs w:val="30"/>
          <w:lang w:val="zh-CN"/>
        </w:rPr>
        <w:t>投标人认为在其他方面有必要说明的事项</w:t>
      </w:r>
      <w:bookmarkEnd w:id="81"/>
      <w:bookmarkEnd w:id="84"/>
    </w:p>
    <w:p>
      <w:pPr>
        <w:autoSpaceDE w:val="0"/>
        <w:autoSpaceDN w:val="0"/>
        <w:spacing w:line="360" w:lineRule="auto"/>
        <w:rPr>
          <w:rFonts w:hint="eastAsia" w:ascii="宋体" w:hAnsi="宋体" w:cs="宋体"/>
          <w:color w:val="auto"/>
          <w:kern w:val="0"/>
          <w:sz w:val="28"/>
          <w:szCs w:val="28"/>
          <w:lang w:val="zh-CN"/>
        </w:rPr>
      </w:pPr>
    </w:p>
    <w:p>
      <w:pPr>
        <w:autoSpaceDE w:val="0"/>
        <w:autoSpaceDN w:val="0"/>
        <w:spacing w:line="360" w:lineRule="auto"/>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投标人认为在其他方面有必要说明的事项</w:t>
      </w:r>
    </w:p>
    <w:p>
      <w:pPr>
        <w:autoSpaceDE w:val="0"/>
        <w:autoSpaceDN w:val="0"/>
        <w:spacing w:line="360" w:lineRule="auto"/>
        <w:jc w:val="center"/>
        <w:rPr>
          <w:rFonts w:hint="eastAsia" w:ascii="宋体" w:hAnsi="宋体" w:cs="宋体"/>
          <w:color w:val="auto"/>
          <w:lang w:val="zh-CN"/>
        </w:rPr>
      </w:pPr>
      <w:r>
        <w:rPr>
          <w:rFonts w:hint="eastAsia" w:ascii="宋体" w:hAnsi="宋体" w:cs="宋体"/>
          <w:color w:val="auto"/>
          <w:lang w:val="zh-CN"/>
        </w:rPr>
        <w:t>（格式自定）</w:t>
      </w:r>
    </w:p>
    <w:p>
      <w:pPr>
        <w:pStyle w:val="23"/>
        <w:spacing w:before="0" w:after="0" w:line="360" w:lineRule="auto"/>
        <w:rPr>
          <w:rFonts w:hint="eastAsia" w:ascii="宋体" w:hAnsi="宋体" w:cs="宋体"/>
          <w:color w:val="auto"/>
          <w:lang w:val="zh-CN"/>
        </w:rPr>
      </w:pPr>
      <w:r>
        <w:rPr>
          <w:rFonts w:hint="eastAsia" w:ascii="宋体" w:hAnsi="宋体" w:cs="宋体"/>
          <w:color w:val="auto"/>
          <w:lang w:val="zh-CN"/>
        </w:rPr>
        <w:br w:type="page"/>
      </w:r>
      <w:bookmarkStart w:id="85" w:name="_Toc18752"/>
      <w:bookmarkStart w:id="86" w:name="_Toc7484"/>
    </w:p>
    <w:p>
      <w:pPr>
        <w:pStyle w:val="23"/>
        <w:spacing w:before="0" w:after="0" w:line="360" w:lineRule="auto"/>
        <w:rPr>
          <w:rFonts w:hint="eastAsia" w:ascii="宋体" w:hAnsi="宋体" w:cs="宋体"/>
          <w:color w:val="auto"/>
          <w:sz w:val="21"/>
          <w:szCs w:val="21"/>
          <w:lang w:val="zh-CN"/>
        </w:rPr>
      </w:pPr>
    </w:p>
    <w:p>
      <w:pPr>
        <w:pStyle w:val="23"/>
        <w:spacing w:before="0" w:after="0" w:line="360" w:lineRule="auto"/>
        <w:rPr>
          <w:rFonts w:hint="eastAsia" w:ascii="宋体" w:hAnsi="宋体" w:cs="宋体"/>
          <w:color w:val="auto"/>
        </w:rPr>
      </w:pPr>
      <w:r>
        <w:rPr>
          <w:rFonts w:hint="eastAsia" w:ascii="宋体" w:hAnsi="宋体" w:cs="宋体"/>
          <w:color w:val="auto"/>
          <w:szCs w:val="36"/>
          <w:lang w:val="zh-CN"/>
        </w:rPr>
        <w:t>第五部分  采购项目要求及技术参数</w:t>
      </w:r>
      <w:bookmarkEnd w:id="85"/>
      <w:bookmarkEnd w:id="86"/>
    </w:p>
    <w:p>
      <w:pPr>
        <w:pStyle w:val="23"/>
        <w:spacing w:before="0" w:after="0" w:line="360" w:lineRule="auto"/>
        <w:outlineLvl w:val="1"/>
        <w:rPr>
          <w:rFonts w:hint="eastAsia" w:ascii="宋体" w:hAnsi="宋体" w:cs="宋体"/>
          <w:color w:val="auto"/>
          <w:szCs w:val="36"/>
        </w:rPr>
      </w:pPr>
      <w:bookmarkStart w:id="87" w:name="_Toc4290"/>
      <w:bookmarkStart w:id="88" w:name="_Toc9451"/>
      <w:r>
        <w:rPr>
          <w:rFonts w:hint="eastAsia" w:ascii="宋体" w:hAnsi="宋体" w:cs="宋体"/>
          <w:color w:val="auto"/>
          <w:lang w:val="zh-CN"/>
        </w:rPr>
        <w:t>（一）投标要求</w:t>
      </w:r>
      <w:bookmarkEnd w:id="87"/>
      <w:bookmarkEnd w:id="88"/>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1.投标说明</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1.1本项目概况及技术参数中所有产品不能拆分或少报，必须作为一个整体进行投标。否则，投标无效。</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1.2投标报价必须包括：产品费、验收费、手续费、包装费、运输费、安装费、调试费、售前、售中、售后服务费、税金及不可预见费等全部费用。若投标报价不能完全包括上述内容，该响应文件将被认为非实质性响应。</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1.3</w:t>
      </w:r>
      <w:r>
        <w:rPr>
          <w:rFonts w:hint="eastAsia" w:ascii="宋体" w:cs="宋体"/>
          <w:color w:val="auto"/>
          <w:kern w:val="0"/>
          <w:highlight w:val="none"/>
          <w:lang w:val="zh-CN" w:eastAsia="zh-CN"/>
        </w:rPr>
        <w:t>投标人</w:t>
      </w:r>
      <w:r>
        <w:rPr>
          <w:rFonts w:hint="eastAsia" w:ascii="宋体" w:eastAsia="宋体" w:cs="宋体"/>
          <w:color w:val="auto"/>
          <w:kern w:val="0"/>
          <w:highlight w:val="none"/>
          <w:lang w:val="zh-CN" w:eastAsia="zh-CN"/>
        </w:rPr>
        <w:t>必须如实填写“技术规格响应表”，在“响应产品技术参数、指标”栏中列出所投产品的具体规格型号和具体技术参数、指标；以采购人需求为最低指标要求，</w:t>
      </w:r>
      <w:r>
        <w:rPr>
          <w:rFonts w:hint="eastAsia" w:ascii="宋体" w:cs="宋体"/>
          <w:color w:val="auto"/>
          <w:kern w:val="0"/>
          <w:highlight w:val="none"/>
          <w:lang w:val="zh-CN" w:eastAsia="zh-CN"/>
        </w:rPr>
        <w:t>投标人</w:t>
      </w:r>
      <w:r>
        <w:rPr>
          <w:rFonts w:hint="eastAsia" w:ascii="宋体" w:eastAsia="宋体" w:cs="宋体"/>
          <w:color w:val="auto"/>
          <w:kern w:val="0"/>
          <w:highlight w:val="none"/>
          <w:lang w:val="zh-CN" w:eastAsia="zh-CN"/>
        </w:rPr>
        <w:t>对超出或不满足最低指标要求的指标需列出“＋、-、0”偏差。如果与招标文件中提供的证明材料中的实质性响应情况不一致或直接复制招标文件“采购需求一览表技术参数、指标”内容的，按无效投标处理。</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1.4本次采购产品均为国产产品，所投产品必须符合国家的强制性标准。</w:t>
      </w:r>
    </w:p>
    <w:p>
      <w:pPr>
        <w:autoSpaceDE w:val="0"/>
        <w:autoSpaceDN w:val="0"/>
        <w:spacing w:line="336"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5</w:t>
      </w:r>
      <w:r>
        <w:rPr>
          <w:rFonts w:hint="eastAsia" w:ascii="宋体" w:hAnsi="宋体" w:cs="宋体"/>
          <w:color w:val="000000"/>
          <w:kern w:val="0"/>
          <w:lang w:val="zh-CN"/>
        </w:rPr>
        <w:t xml:space="preserve"> 所投产品或其任何一部分不得侵犯专利权、著作权、商标权和工业设计权等知识产权。</w:t>
      </w:r>
    </w:p>
    <w:p>
      <w:pPr>
        <w:autoSpaceDE w:val="0"/>
        <w:autoSpaceDN w:val="0"/>
        <w:spacing w:line="520" w:lineRule="exact"/>
        <w:ind w:firstLine="480" w:firstLineChars="200"/>
        <w:rPr>
          <w:lang w:val="zh-CN"/>
        </w:rPr>
      </w:pPr>
      <w:r>
        <w:rPr>
          <w:rFonts w:hint="eastAsia" w:ascii="宋体" w:cs="宋体"/>
          <w:kern w:val="0"/>
        </w:rPr>
        <w:t>1.</w:t>
      </w:r>
      <w:r>
        <w:rPr>
          <w:rFonts w:hint="eastAsia" w:ascii="宋体" w:cs="宋体"/>
          <w:kern w:val="0"/>
          <w:lang w:val="en-US" w:eastAsia="zh-CN"/>
        </w:rPr>
        <w:t xml:space="preserve">6 </w:t>
      </w:r>
      <w:r>
        <w:rPr>
          <w:rFonts w:hint="eastAsia" w:ascii="宋体" w:cs="宋体"/>
          <w:kern w:val="0"/>
        </w:rPr>
        <w:t>项目中标后分包情况：</w:t>
      </w:r>
      <w:r>
        <w:rPr>
          <w:rFonts w:hint="eastAsia" w:ascii="宋体" w:cs="宋体"/>
          <w:kern w:val="0"/>
          <w:u w:val="dashDotHeavy"/>
          <w:lang w:bidi="ar"/>
        </w:rPr>
        <w:t>不允许</w:t>
      </w:r>
      <w:r>
        <w:rPr>
          <w:rFonts w:hint="eastAsia" w:ascii="宋体" w:cs="宋体"/>
          <w:kern w:val="0"/>
        </w:rPr>
        <w:t>。（允许，投标人拟在中标后将中标项目的非主体、非关键性工作分包的，应当在投标文件中载明分包承担主体，分包承担主体应当具备相应资质条件且不得再次分包）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80" w:firstLineChars="200"/>
        <w:rPr>
          <w:rFonts w:hint="eastAsia" w:ascii="宋体" w:eastAsia="宋体" w:cs="宋体"/>
          <w:color w:val="auto"/>
          <w:kern w:val="0"/>
          <w:highlight w:val="none"/>
          <w:lang w:val="zh-CN" w:eastAsia="zh-CN"/>
        </w:rPr>
      </w:pP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2.报价说明</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本次招标文件中规定的采购预算额度为采购最高限价，</w:t>
      </w:r>
      <w:r>
        <w:rPr>
          <w:rFonts w:hint="eastAsia" w:ascii="宋体" w:cs="宋体"/>
          <w:color w:val="auto"/>
          <w:kern w:val="0"/>
          <w:highlight w:val="none"/>
          <w:lang w:val="zh-CN" w:eastAsia="zh-CN"/>
        </w:rPr>
        <w:t>投标人</w:t>
      </w:r>
      <w:r>
        <w:rPr>
          <w:rFonts w:hint="eastAsia" w:ascii="宋体" w:eastAsia="宋体" w:cs="宋体"/>
          <w:color w:val="auto"/>
          <w:kern w:val="0"/>
          <w:highlight w:val="none"/>
          <w:lang w:val="zh-CN" w:eastAsia="zh-CN"/>
        </w:rPr>
        <w:t>的投标报价不得超出此额度。否则，响应文件无效。</w:t>
      </w:r>
    </w:p>
    <w:p>
      <w:pPr>
        <w:autoSpaceDE w:val="0"/>
        <w:autoSpaceDN w:val="0"/>
        <w:spacing w:line="360" w:lineRule="auto"/>
        <w:ind w:firstLine="480" w:firstLineChars="200"/>
        <w:rPr>
          <w:rFonts w:hint="eastAsia" w:ascii="宋体" w:eastAsia="宋体" w:cs="宋体"/>
          <w:color w:val="auto"/>
          <w:kern w:val="0"/>
          <w:highlight w:val="none"/>
          <w:lang w:val="zh-CN" w:eastAsia="zh-CN"/>
        </w:rPr>
      </w:pP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3.重要指标</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3.1</w:t>
      </w:r>
      <w:r>
        <w:rPr>
          <w:rFonts w:hint="eastAsia" w:ascii="宋体" w:cs="宋体"/>
          <w:color w:val="auto"/>
          <w:kern w:val="0"/>
          <w:highlight w:val="none"/>
          <w:lang w:val="zh-CN" w:eastAsia="zh-CN"/>
        </w:rPr>
        <w:t>投标人</w:t>
      </w:r>
      <w:r>
        <w:rPr>
          <w:rFonts w:hint="eastAsia" w:ascii="宋体" w:eastAsia="宋体" w:cs="宋体"/>
          <w:color w:val="auto"/>
          <w:kern w:val="0"/>
          <w:highlight w:val="none"/>
          <w:lang w:val="zh-CN" w:eastAsia="zh-CN"/>
        </w:rPr>
        <w:t>必须对采购一览表中各项产品和指标进行实质性响应，★号参数为不允许偏离的实质性要求和条件，需提供相关证明材料，否则投标无效。</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3.2招标文件中凡需与原有设备、系统并机、兼容、匹配等要求的，请主动和采购人联系，取得原有设备、系统相关资料。若有招标文件未提及或变更内容的，请及时与采购代理机构联系。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 xml:space="preserve"> 3.3技术参数中除注明签订合同时提供服务承诺等资料以外，其余相关资料在投标时必须附在响应文件中。</w:t>
      </w:r>
    </w:p>
    <w:p>
      <w:pPr>
        <w:autoSpaceDE w:val="0"/>
        <w:autoSpaceDN w:val="0"/>
        <w:spacing w:line="360" w:lineRule="auto"/>
        <w:ind w:firstLine="480" w:firstLineChars="200"/>
        <w:rPr>
          <w:rFonts w:hint="eastAsia" w:ascii="宋体" w:eastAsia="宋体" w:cs="宋体"/>
          <w:color w:val="auto"/>
          <w:kern w:val="0"/>
          <w:highlight w:val="none"/>
          <w:lang w:val="zh-CN" w:eastAsia="zh-CN"/>
        </w:rPr>
      </w:pPr>
    </w:p>
    <w:p>
      <w:pPr>
        <w:autoSpaceDE w:val="0"/>
        <w:autoSpaceDN w:val="0"/>
        <w:spacing w:line="360" w:lineRule="auto"/>
        <w:ind w:firstLine="480" w:firstLineChars="200"/>
        <w:rPr>
          <w:rFonts w:hint="eastAsia" w:ascii="宋体" w:hAnsi="Times New Roman" w:eastAsia="宋体" w:cs="宋体"/>
          <w:b/>
          <w:bCs/>
          <w:color w:val="auto"/>
          <w:kern w:val="0"/>
          <w:highlight w:val="none"/>
          <w:lang w:val="zh-CN" w:eastAsia="zh-CN"/>
        </w:rPr>
      </w:pPr>
      <w:r>
        <w:rPr>
          <w:rFonts w:hint="eastAsia" w:ascii="宋体" w:eastAsia="宋体" w:cs="宋体"/>
          <w:color w:val="auto"/>
          <w:kern w:val="0"/>
          <w:highlight w:val="none"/>
          <w:lang w:val="zh-CN" w:eastAsia="zh-CN"/>
        </w:rPr>
        <w:t>4.商务要求</w:t>
      </w:r>
    </w:p>
    <w:p>
      <w:pPr>
        <w:autoSpaceDE w:val="0"/>
        <w:autoSpaceDN w:val="0"/>
        <w:spacing w:line="360" w:lineRule="auto"/>
        <w:ind w:firstLine="482" w:firstLineChars="200"/>
        <w:rPr>
          <w:rFonts w:hint="eastAsia" w:ascii="宋体" w:hAnsi="Times New Roman" w:eastAsia="宋体" w:cs="宋体"/>
          <w:b/>
          <w:bCs/>
          <w:color w:val="auto"/>
          <w:kern w:val="0"/>
          <w:highlight w:val="none"/>
          <w:lang w:val="zh-CN" w:eastAsia="zh-CN"/>
        </w:rPr>
      </w:pPr>
      <w:r>
        <w:rPr>
          <w:rFonts w:hint="eastAsia" w:ascii="宋体" w:hAnsi="Times New Roman" w:eastAsia="宋体" w:cs="宋体"/>
          <w:b/>
          <w:bCs/>
          <w:color w:val="auto"/>
          <w:kern w:val="0"/>
          <w:highlight w:val="none"/>
          <w:lang w:val="zh-CN" w:eastAsia="zh-CN"/>
        </w:rPr>
        <w:t>4.1.交货期：自合同签订后</w:t>
      </w:r>
      <w:r>
        <w:rPr>
          <w:rFonts w:hint="eastAsia" w:ascii="宋体" w:hAnsi="Times New Roman" w:eastAsia="宋体" w:cs="宋体"/>
          <w:b/>
          <w:bCs/>
          <w:color w:val="auto"/>
          <w:kern w:val="0"/>
          <w:highlight w:val="none"/>
          <w:lang w:val="en-US" w:eastAsia="zh-CN"/>
        </w:rPr>
        <w:t>90</w:t>
      </w:r>
      <w:r>
        <w:rPr>
          <w:rFonts w:hint="eastAsia" w:ascii="宋体" w:hAnsi="Times New Roman" w:eastAsia="宋体" w:cs="宋体"/>
          <w:b/>
          <w:bCs/>
          <w:color w:val="auto"/>
          <w:kern w:val="0"/>
          <w:highlight w:val="none"/>
          <w:lang w:val="zh-CN" w:eastAsia="zh-CN"/>
        </w:rPr>
        <w:t>个日历日</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4.2.交货地点：</w:t>
      </w:r>
      <w:r>
        <w:rPr>
          <w:rFonts w:hint="eastAsia" w:ascii="宋体" w:cs="宋体"/>
          <w:color w:val="auto"/>
          <w:kern w:val="0"/>
          <w:highlight w:val="none"/>
          <w:lang w:val="zh-CN" w:eastAsia="zh-CN"/>
        </w:rPr>
        <w:t>青海柴达木职业技术学院</w:t>
      </w:r>
      <w:r>
        <w:rPr>
          <w:rFonts w:hint="eastAsia" w:ascii="宋体" w:eastAsia="宋体" w:cs="宋体"/>
          <w:color w:val="auto"/>
          <w:kern w:val="0"/>
          <w:highlight w:val="none"/>
          <w:lang w:val="zh-CN" w:eastAsia="zh-CN"/>
        </w:rPr>
        <w:t xml:space="preserve">指定的地点      </w:t>
      </w:r>
    </w:p>
    <w:p>
      <w:pPr>
        <w:autoSpaceDE w:val="0"/>
        <w:autoSpaceDN w:val="0"/>
        <w:spacing w:line="360" w:lineRule="auto"/>
        <w:ind w:firstLine="480" w:firstLineChars="200"/>
        <w:rPr>
          <w:rFonts w:hint="eastAsia" w:ascii="宋体" w:eastAsia="宋体" w:cs="宋体"/>
          <w:color w:val="auto"/>
          <w:kern w:val="0"/>
          <w:highlight w:val="none"/>
          <w:lang w:val="zh-CN" w:eastAsia="zh-CN"/>
        </w:rPr>
      </w:pPr>
      <w:r>
        <w:rPr>
          <w:rFonts w:hint="eastAsia" w:ascii="宋体" w:eastAsia="宋体" w:cs="宋体"/>
          <w:color w:val="auto"/>
          <w:kern w:val="0"/>
          <w:highlight w:val="none"/>
          <w:lang w:val="zh-CN" w:eastAsia="zh-CN"/>
        </w:rPr>
        <w:t>4.3.付款方式：按采购合同规定执行</w:t>
      </w:r>
    </w:p>
    <w:p>
      <w:pPr>
        <w:numPr>
          <w:ilvl w:val="0"/>
          <w:numId w:val="0"/>
        </w:numPr>
        <w:ind w:firstLine="482" w:firstLineChars="200"/>
        <w:rPr>
          <w:rFonts w:hint="eastAsia" w:ascii="宋体" w:hAnsi="宋体" w:cs="宋体"/>
          <w:b/>
          <w:bCs/>
          <w:sz w:val="24"/>
          <w:szCs w:val="24"/>
          <w:lang w:val="en-US" w:eastAsia="zh-CN"/>
        </w:rPr>
      </w:pPr>
      <w:bookmarkStart w:id="89" w:name="_Toc18740"/>
      <w:bookmarkStart w:id="90" w:name="_Toc28576"/>
      <w:r>
        <w:rPr>
          <w:rFonts w:hint="eastAsia" w:ascii="宋体" w:hAnsi="宋体" w:cs="宋体"/>
          <w:b/>
          <w:bCs/>
          <w:color w:val="auto"/>
          <w:lang w:val="en-US" w:eastAsia="zh-CN"/>
        </w:rPr>
        <w:t>4.4其他</w:t>
      </w:r>
      <w:r>
        <w:rPr>
          <w:rFonts w:hint="eastAsia" w:ascii="宋体" w:hAnsi="宋体" w:eastAsia="宋体" w:cs="宋体"/>
          <w:b/>
          <w:bCs/>
          <w:sz w:val="24"/>
          <w:szCs w:val="24"/>
          <w:lang w:val="en-US" w:eastAsia="zh-CN"/>
        </w:rPr>
        <w:t>商务要求</w:t>
      </w:r>
      <w:r>
        <w:rPr>
          <w:rFonts w:hint="eastAsia" w:ascii="宋体" w:hAnsi="宋体" w:cs="宋体"/>
          <w:b/>
          <w:bCs/>
          <w:sz w:val="24"/>
          <w:szCs w:val="24"/>
          <w:lang w:val="en-US" w:eastAsia="zh-CN"/>
        </w:rPr>
        <w:t>:</w:t>
      </w:r>
    </w:p>
    <w:p>
      <w:pPr>
        <w:autoSpaceDE w:val="0"/>
        <w:autoSpaceDN w:val="0"/>
        <w:spacing w:line="360" w:lineRule="auto"/>
        <w:ind w:firstLine="482" w:firstLineChars="200"/>
        <w:rPr>
          <w:rFonts w:hint="eastAsia" w:ascii="宋体" w:hAnsi="Times New Roman" w:eastAsia="宋体" w:cs="宋体"/>
          <w:b/>
          <w:bCs/>
          <w:color w:val="auto"/>
          <w:kern w:val="0"/>
          <w:highlight w:val="none"/>
          <w:lang w:val="en-US" w:eastAsia="zh-CN"/>
        </w:rPr>
      </w:pPr>
      <w:r>
        <w:rPr>
          <w:rFonts w:hint="eastAsia" w:ascii="宋体" w:hAnsi="Times New Roman" w:eastAsia="宋体" w:cs="宋体"/>
          <w:b/>
          <w:bCs/>
          <w:color w:val="auto"/>
          <w:kern w:val="0"/>
          <w:highlight w:val="none"/>
          <w:lang w:val="en-US" w:eastAsia="zh-CN"/>
        </w:rPr>
        <w:t>包一:</w:t>
      </w:r>
    </w:p>
    <w:p>
      <w:pPr>
        <w:autoSpaceDE w:val="0"/>
        <w:autoSpaceDN w:val="0"/>
        <w:spacing w:line="360" w:lineRule="auto"/>
        <w:ind w:firstLine="482" w:firstLineChars="200"/>
        <w:rPr>
          <w:rFonts w:hint="default" w:ascii="宋体" w:hAnsi="Times New Roman" w:eastAsia="宋体" w:cs="宋体"/>
          <w:b/>
          <w:bCs/>
          <w:color w:val="auto"/>
          <w:kern w:val="0"/>
          <w:highlight w:val="none"/>
          <w:lang w:val="en-US" w:eastAsia="zh-CN"/>
        </w:rPr>
      </w:pPr>
      <w:r>
        <w:rPr>
          <w:rFonts w:hint="default" w:ascii="宋体" w:hAnsi="Times New Roman" w:eastAsia="宋体" w:cs="宋体"/>
          <w:b/>
          <w:bCs/>
          <w:color w:val="auto"/>
          <w:kern w:val="0"/>
          <w:highlight w:val="none"/>
          <w:lang w:val="en-US" w:eastAsia="zh-CN"/>
        </w:rPr>
        <w:t>1.配备使用说明书等相关资料。安装、现场调试，对专业教师的培训需达到考核合格，熟练掌握软件的使用方法及常见故障处理。</w:t>
      </w:r>
    </w:p>
    <w:p>
      <w:pPr>
        <w:autoSpaceDE w:val="0"/>
        <w:autoSpaceDN w:val="0"/>
        <w:spacing w:line="360" w:lineRule="auto"/>
        <w:ind w:firstLine="482" w:firstLineChars="200"/>
        <w:rPr>
          <w:rFonts w:hint="default" w:ascii="宋体" w:hAnsi="Times New Roman" w:eastAsia="宋体" w:cs="宋体"/>
          <w:b/>
          <w:bCs/>
          <w:color w:val="auto"/>
          <w:kern w:val="0"/>
          <w:highlight w:val="none"/>
          <w:lang w:val="en-US" w:eastAsia="zh-CN"/>
        </w:rPr>
      </w:pPr>
      <w:r>
        <w:rPr>
          <w:rFonts w:hint="default" w:ascii="宋体" w:hAnsi="Times New Roman" w:eastAsia="宋体" w:cs="宋体"/>
          <w:b/>
          <w:bCs/>
          <w:color w:val="auto"/>
          <w:kern w:val="0"/>
          <w:highlight w:val="none"/>
          <w:lang w:val="en-US" w:eastAsia="zh-CN"/>
        </w:rPr>
        <w:t>2.整体场馆内布局及建设前应出具效果图，双方协商后方可施工。设备在完成供应、安装、调试，并经验收合格后，质保期不少于3年。</w:t>
      </w:r>
    </w:p>
    <w:p>
      <w:pPr>
        <w:autoSpaceDE w:val="0"/>
        <w:autoSpaceDN w:val="0"/>
        <w:spacing w:line="360" w:lineRule="auto"/>
        <w:ind w:firstLine="482" w:firstLineChars="200"/>
        <w:rPr>
          <w:rFonts w:hint="default" w:ascii="宋体" w:hAnsi="Times New Roman" w:eastAsia="宋体" w:cs="宋体"/>
          <w:b/>
          <w:bCs/>
          <w:color w:val="auto"/>
          <w:kern w:val="0"/>
          <w:highlight w:val="none"/>
          <w:lang w:val="en-US" w:eastAsia="zh-CN"/>
        </w:rPr>
      </w:pPr>
      <w:r>
        <w:rPr>
          <w:rFonts w:hint="default" w:ascii="宋体" w:hAnsi="Times New Roman" w:eastAsia="宋体" w:cs="宋体"/>
          <w:b/>
          <w:bCs/>
          <w:color w:val="auto"/>
          <w:kern w:val="0"/>
          <w:highlight w:val="none"/>
          <w:lang w:val="en-US" w:eastAsia="zh-CN"/>
        </w:rPr>
        <w:t>3.对需方购买的产品，自购买之日起，类似修正软件系统或日后增加系统功能方面的升级，由供方提供3次免费升级服务，后期如再升级应按市场价下调40%。</w:t>
      </w:r>
    </w:p>
    <w:p>
      <w:pPr>
        <w:autoSpaceDE w:val="0"/>
        <w:autoSpaceDN w:val="0"/>
        <w:spacing w:line="360" w:lineRule="auto"/>
        <w:ind w:firstLine="482" w:firstLineChars="200"/>
        <w:rPr>
          <w:rFonts w:hint="default" w:ascii="宋体" w:hAnsi="Times New Roman" w:eastAsia="宋体" w:cs="宋体"/>
          <w:b/>
          <w:bCs/>
          <w:color w:val="auto"/>
          <w:kern w:val="0"/>
          <w:highlight w:val="none"/>
          <w:lang w:val="en-US" w:eastAsia="zh-CN"/>
        </w:rPr>
      </w:pPr>
      <w:r>
        <w:rPr>
          <w:rFonts w:hint="default" w:ascii="宋体" w:hAnsi="Times New Roman" w:eastAsia="宋体" w:cs="宋体"/>
          <w:b/>
          <w:bCs/>
          <w:color w:val="auto"/>
          <w:kern w:val="0"/>
          <w:highlight w:val="none"/>
          <w:lang w:val="en-US" w:eastAsia="zh-CN"/>
        </w:rPr>
        <w:t>4.提供不少于2次的承办省级或国家级相关技能大赛现场技术保障服务。</w:t>
      </w:r>
    </w:p>
    <w:p>
      <w:pPr>
        <w:autoSpaceDE w:val="0"/>
        <w:autoSpaceDN w:val="0"/>
        <w:spacing w:line="360" w:lineRule="auto"/>
        <w:ind w:firstLine="482" w:firstLineChars="200"/>
        <w:rPr>
          <w:rFonts w:hint="eastAsia" w:ascii="宋体" w:hAnsi="Times New Roman" w:eastAsia="宋体" w:cs="宋体"/>
          <w:b/>
          <w:bCs/>
          <w:color w:val="auto"/>
          <w:kern w:val="0"/>
          <w:highlight w:val="none"/>
          <w:lang w:val="en-US" w:eastAsia="zh-CN"/>
        </w:rPr>
      </w:pPr>
      <w:r>
        <w:rPr>
          <w:rFonts w:hint="eastAsia" w:ascii="宋体" w:hAnsi="Times New Roman" w:eastAsia="宋体" w:cs="宋体"/>
          <w:b/>
          <w:bCs/>
          <w:color w:val="auto"/>
          <w:kern w:val="0"/>
          <w:highlight w:val="none"/>
          <w:lang w:val="en-US" w:eastAsia="zh-CN"/>
        </w:rPr>
        <w:t>包二：</w:t>
      </w:r>
    </w:p>
    <w:p>
      <w:pPr>
        <w:autoSpaceDE w:val="0"/>
        <w:autoSpaceDN w:val="0"/>
        <w:spacing w:line="360" w:lineRule="auto"/>
        <w:ind w:firstLine="482" w:firstLineChars="200"/>
        <w:rPr>
          <w:rFonts w:hint="eastAsia" w:ascii="宋体" w:hAnsi="Times New Roman" w:eastAsia="宋体" w:cs="宋体"/>
          <w:b/>
          <w:bCs/>
          <w:color w:val="auto"/>
          <w:kern w:val="0"/>
          <w:highlight w:val="none"/>
          <w:lang w:val="en-US" w:eastAsia="zh-CN"/>
        </w:rPr>
      </w:pPr>
      <w:r>
        <w:rPr>
          <w:rFonts w:hint="eastAsia" w:ascii="宋体" w:hAnsi="Times New Roman" w:eastAsia="宋体" w:cs="宋体"/>
          <w:b/>
          <w:bCs/>
          <w:color w:val="auto"/>
          <w:kern w:val="0"/>
          <w:highlight w:val="none"/>
          <w:lang w:val="en-US" w:eastAsia="zh-CN"/>
        </w:rPr>
        <w:t>1.质保期：项目质保期为验收合格之日起一年。</w:t>
      </w:r>
    </w:p>
    <w:p>
      <w:pPr>
        <w:autoSpaceDE w:val="0"/>
        <w:autoSpaceDN w:val="0"/>
        <w:spacing w:line="360" w:lineRule="auto"/>
        <w:ind w:firstLine="482" w:firstLineChars="200"/>
        <w:rPr>
          <w:rFonts w:hint="eastAsia" w:ascii="宋体" w:hAnsi="Times New Roman" w:eastAsia="宋体" w:cs="宋体"/>
          <w:b/>
          <w:bCs/>
          <w:color w:val="auto"/>
          <w:kern w:val="0"/>
          <w:highlight w:val="none"/>
          <w:lang w:val="en-US" w:eastAsia="zh-CN"/>
        </w:rPr>
      </w:pPr>
      <w:r>
        <w:rPr>
          <w:rFonts w:hint="eastAsia" w:ascii="宋体" w:hAnsi="Times New Roman" w:eastAsia="宋体" w:cs="宋体"/>
          <w:b/>
          <w:bCs/>
          <w:color w:val="auto"/>
          <w:kern w:val="0"/>
          <w:highlight w:val="none"/>
          <w:lang w:val="en-US" w:eastAsia="zh-CN"/>
        </w:rPr>
        <w:t xml:space="preserve">2.验收要求：招标人对产品数量、质量、规格等进行检验，证明质量无任何问题后，出具验收合格报告。                                           </w:t>
      </w:r>
    </w:p>
    <w:p>
      <w:pPr>
        <w:autoSpaceDE w:val="0"/>
        <w:autoSpaceDN w:val="0"/>
        <w:spacing w:line="360" w:lineRule="auto"/>
        <w:ind w:firstLine="482" w:firstLineChars="200"/>
        <w:rPr>
          <w:rFonts w:hint="default" w:ascii="宋体" w:hAnsi="Times New Roman" w:eastAsia="宋体" w:cs="宋体"/>
          <w:color w:val="auto"/>
          <w:kern w:val="0"/>
          <w:highlight w:val="none"/>
          <w:lang w:val="en-US" w:eastAsia="zh-CN"/>
        </w:rPr>
        <w:sectPr>
          <w:headerReference r:id="rId3" w:type="default"/>
          <w:footerReference r:id="rId4" w:type="default"/>
          <w:pgSz w:w="11849" w:h="16781"/>
          <w:pgMar w:top="1361" w:right="1531" w:bottom="1361" w:left="2011" w:header="851" w:footer="992" w:gutter="0"/>
          <w:pgNumType w:fmt="decimal"/>
          <w:cols w:space="720" w:num="1"/>
          <w:docGrid w:linePitch="397" w:charSpace="0"/>
        </w:sectPr>
      </w:pPr>
      <w:r>
        <w:rPr>
          <w:rFonts w:hint="eastAsia" w:ascii="宋体" w:hAnsi="Times New Roman" w:eastAsia="宋体" w:cs="宋体"/>
          <w:b/>
          <w:bCs/>
          <w:color w:val="auto"/>
          <w:kern w:val="0"/>
          <w:highlight w:val="none"/>
          <w:lang w:val="en-US" w:eastAsia="zh-CN"/>
        </w:rPr>
        <w:t>3.针对课程整体设计、人才培养方案、课程标准、教学整体设计、课程评价文件、教学单元设计教学课件、教学视频等项目的制作进行一年三次的一对一专家指导。</w:t>
      </w:r>
      <w:r>
        <w:rPr>
          <w:rFonts w:hint="eastAsia" w:ascii="宋体" w:hAnsi="Times New Roman" w:eastAsia="宋体" w:cs="宋体"/>
          <w:color w:val="auto"/>
          <w:kern w:val="0"/>
          <w:highlight w:val="none"/>
          <w:lang w:val="en-US" w:eastAsia="zh-CN"/>
        </w:rPr>
        <w:t xml:space="preserve"> </w:t>
      </w:r>
    </w:p>
    <w:p>
      <w:pPr>
        <w:pStyle w:val="23"/>
        <w:pageBreakBefore/>
        <w:spacing w:before="0" w:after="0" w:line="360" w:lineRule="auto"/>
        <w:jc w:val="both"/>
        <w:rPr>
          <w:rFonts w:ascii="宋体" w:hAnsi="宋体" w:cs="宋体"/>
          <w:bCs w:val="0"/>
          <w:color w:val="000000"/>
          <w:sz w:val="22"/>
          <w:szCs w:val="28"/>
        </w:rPr>
      </w:pPr>
      <w:bookmarkStart w:id="91" w:name="_Toc27662559"/>
      <w:r>
        <w:rPr>
          <w:rFonts w:hint="eastAsia" w:ascii="宋体" w:hAnsi="宋体" w:cs="宋体"/>
          <w:color w:val="000000"/>
          <w:lang w:val="zh-CN"/>
        </w:rPr>
        <w:t>（二）项目概况及技术参数</w:t>
      </w:r>
      <w:bookmarkEnd w:id="91"/>
      <w:r>
        <w:rPr>
          <w:rFonts w:ascii="宋体" w:hAnsi="宋体" w:cs="宋体"/>
          <w:bCs w:val="0"/>
          <w:color w:val="000000"/>
          <w:sz w:val="22"/>
          <w:szCs w:val="28"/>
        </w:rPr>
        <w:tab/>
      </w:r>
    </w:p>
    <w:bookmarkEnd w:id="89"/>
    <w:bookmarkEnd w:id="90"/>
    <w:p>
      <w:pPr>
        <w:jc w:val="center"/>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eastAsia="zh-CN" w:bidi="ar"/>
        </w:rPr>
        <w:t>包一：</w:t>
      </w:r>
      <w:r>
        <w:rPr>
          <w:rFonts w:hint="eastAsia" w:ascii="仿宋" w:hAnsi="仿宋" w:eastAsia="仿宋" w:cs="仿宋"/>
          <w:b/>
          <w:bCs/>
          <w:kern w:val="0"/>
          <w:sz w:val="28"/>
          <w:szCs w:val="28"/>
          <w:lang w:bidi="ar"/>
        </w:rPr>
        <w:t>化工生产技术</w:t>
      </w:r>
      <w:r>
        <w:rPr>
          <w:rFonts w:hint="eastAsia" w:ascii="仿宋" w:hAnsi="仿宋" w:eastAsia="仿宋" w:cs="仿宋"/>
          <w:b/>
          <w:bCs/>
          <w:kern w:val="0"/>
          <w:sz w:val="28"/>
          <w:szCs w:val="28"/>
          <w:lang w:val="en-US" w:eastAsia="zh-CN" w:bidi="ar"/>
        </w:rPr>
        <w:t>培训中心</w:t>
      </w:r>
      <w:r>
        <w:rPr>
          <w:rFonts w:hint="eastAsia" w:ascii="仿宋" w:hAnsi="仿宋" w:eastAsia="仿宋" w:cs="仿宋"/>
          <w:b/>
          <w:bCs/>
          <w:kern w:val="0"/>
          <w:sz w:val="28"/>
          <w:szCs w:val="28"/>
          <w:lang w:bidi="ar"/>
        </w:rPr>
        <w:t>建设项目</w:t>
      </w:r>
      <w:r>
        <w:rPr>
          <w:rFonts w:hint="eastAsia" w:ascii="仿宋" w:hAnsi="仿宋" w:eastAsia="仿宋" w:cs="仿宋"/>
          <w:b/>
          <w:bCs/>
          <w:kern w:val="0"/>
          <w:sz w:val="28"/>
          <w:szCs w:val="28"/>
          <w:lang w:val="en-US" w:eastAsia="zh-CN" w:bidi="ar"/>
        </w:rPr>
        <w:t>参数</w:t>
      </w:r>
    </w:p>
    <w:tbl>
      <w:tblPr>
        <w:tblStyle w:val="25"/>
        <w:tblW w:w="4997" w:type="pct"/>
        <w:jc w:val="center"/>
        <w:tblLayout w:type="autofit"/>
        <w:tblCellMar>
          <w:top w:w="0" w:type="dxa"/>
          <w:left w:w="108" w:type="dxa"/>
          <w:bottom w:w="0" w:type="dxa"/>
          <w:right w:w="108" w:type="dxa"/>
        </w:tblCellMar>
      </w:tblPr>
      <w:tblGrid>
        <w:gridCol w:w="625"/>
        <w:gridCol w:w="959"/>
        <w:gridCol w:w="11483"/>
        <w:gridCol w:w="602"/>
        <w:gridCol w:w="597"/>
      </w:tblGrid>
      <w:tr>
        <w:tblPrEx>
          <w:tblCellMar>
            <w:top w:w="0" w:type="dxa"/>
            <w:left w:w="108" w:type="dxa"/>
            <w:bottom w:w="0" w:type="dxa"/>
            <w:right w:w="108" w:type="dxa"/>
          </w:tblCellMar>
        </w:tblPrEx>
        <w:trPr>
          <w:trHeight w:val="9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名  称</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 w:val="24"/>
                <w:szCs w:val="24"/>
                <w:lang w:eastAsia="zh-CN"/>
              </w:rPr>
            </w:pPr>
            <w:r>
              <w:rPr>
                <w:rFonts w:hint="eastAsia" w:ascii="宋体" w:hAnsi="宋体" w:eastAsia="宋体" w:cs="宋体"/>
                <w:b/>
                <w:bCs/>
                <w:kern w:val="0"/>
                <w:sz w:val="24"/>
                <w:szCs w:val="24"/>
                <w:lang w:bidi="ar"/>
              </w:rPr>
              <w:t>技术</w:t>
            </w:r>
            <w:r>
              <w:rPr>
                <w:rFonts w:hint="eastAsia" w:ascii="宋体" w:hAnsi="宋体" w:eastAsia="宋体" w:cs="宋体"/>
                <w:b/>
                <w:bCs/>
                <w:kern w:val="0"/>
                <w:sz w:val="24"/>
                <w:szCs w:val="24"/>
                <w:lang w:val="en-US" w:eastAsia="zh-CN" w:bidi="ar"/>
              </w:rPr>
              <w:t>参数</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数量</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bidi="ar"/>
              </w:rPr>
              <w:t>单位</w:t>
            </w:r>
          </w:p>
        </w:tc>
      </w:tr>
      <w:tr>
        <w:tblPrEx>
          <w:tblCellMar>
            <w:top w:w="0" w:type="dxa"/>
            <w:left w:w="108" w:type="dxa"/>
            <w:bottom w:w="0" w:type="dxa"/>
            <w:right w:w="108" w:type="dxa"/>
          </w:tblCellMar>
        </w:tblPrEx>
        <w:trPr>
          <w:trHeight w:val="9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zh-CN"/>
              </w:rPr>
              <w:t>化工总控工培训与竞赛装置</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1"/>
              </w:numPr>
              <w:adjustRightInd w:val="0"/>
              <w:snapToGrid w:val="0"/>
              <w:spacing w:line="320" w:lineRule="exact"/>
              <w:rPr>
                <w:rFonts w:hint="eastAsia" w:ascii="宋体" w:hAnsi="宋体" w:eastAsia="宋体" w:cs="宋体"/>
                <w:b/>
                <w:bCs/>
                <w:sz w:val="24"/>
                <w:szCs w:val="24"/>
                <w:lang w:eastAsia="zh-CN"/>
              </w:rPr>
            </w:pPr>
            <w:r>
              <w:rPr>
                <w:rFonts w:hint="eastAsia" w:ascii="宋体" w:hAnsi="宋体" w:eastAsia="宋体" w:cs="宋体"/>
                <w:b/>
                <w:bCs/>
                <w:sz w:val="24"/>
                <w:szCs w:val="24"/>
              </w:rPr>
              <w:t>功能要求</w:t>
            </w:r>
          </w:p>
          <w:p>
            <w:pPr>
              <w:numPr>
                <w:ilvl w:val="0"/>
                <w:numId w:val="0"/>
              </w:numPr>
              <w:adjustRightInd w:val="0"/>
              <w:snapToGrid w:val="0"/>
              <w:spacing w:line="320" w:lineRule="exact"/>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bCs/>
                <w:sz w:val="24"/>
                <w:szCs w:val="24"/>
                <w:lang w:val="en-US" w:eastAsia="zh-CN"/>
              </w:rPr>
              <w:t>.</w:t>
            </w:r>
            <w:r>
              <w:rPr>
                <w:rFonts w:hint="eastAsia" w:ascii="宋体" w:hAnsi="宋体" w:eastAsia="宋体" w:cs="宋体"/>
                <w:sz w:val="24"/>
                <w:szCs w:val="24"/>
              </w:rPr>
              <w:t>总体动态运行控制功能：能实现常压和真空不同状态下的动态运行。现场控制台仪表控制同时与微机通讯，基于工控软件平台的实时数据采集及过程监控；DCS工程师站与现场控制台连接，实现单回路、串级控制、比值控制和PID控制等形式，可实现手动控制和自动控制方式的切换、远程监控、流程组态的上传下载实时报警记录。</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智能仪表显示功能：多通道输入输出可完成组态、控制、通讯和实时数据及趋势显示和控制等功能。</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执行机构及管路阀门：各种工业级别管道阀门，通过Pt100温度传感器、压力变送器、远传液位计、可控硅调压模块等智能传感器完成压力和电加热管等执行器及电控单元的反馈控制。</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故障设置功能：用软件和硬件相结合的方式实现故障设置，可轻松实现精馏操作的故障模拟。</w:t>
            </w:r>
          </w:p>
          <w:p>
            <w:pPr>
              <w:adjustRightInd w:val="0"/>
              <w:snapToGrid w:val="0"/>
              <w:spacing w:line="32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智能计量检测：包含微调转子流量计、远传流量计、远传液位计、声光报警器及各类就地弹簧指针表等仪表</w:t>
            </w:r>
            <w:r>
              <w:rPr>
                <w:rFonts w:hint="eastAsia" w:ascii="宋体" w:hAnsi="宋体" w:eastAsia="宋体" w:cs="宋体"/>
                <w:sz w:val="24"/>
                <w:szCs w:val="24"/>
                <w:lang w:eastAsia="zh-CN"/>
              </w:rPr>
              <w:t>。</w:t>
            </w:r>
          </w:p>
          <w:p>
            <w:pPr>
              <w:adjustRightInd w:val="0"/>
              <w:snapToGrid w:val="0"/>
              <w:spacing w:line="320" w:lineRule="exact"/>
              <w:rPr>
                <w:rFonts w:hint="eastAsia" w:ascii="宋体" w:hAnsi="宋体" w:eastAsia="宋体" w:cs="宋体"/>
                <w:sz w:val="24"/>
                <w:szCs w:val="24"/>
                <w:lang w:eastAsia="zh-CN"/>
              </w:rPr>
            </w:pPr>
            <w:r>
              <w:rPr>
                <w:rFonts w:hint="eastAsia" w:ascii="宋体" w:hAnsi="宋体" w:eastAsia="宋体" w:cs="宋体"/>
                <w:sz w:val="24"/>
                <w:szCs w:val="24"/>
              </w:rPr>
              <w:t>能在全回流稳定状态时测定全塔效率性能和连续进料时部分回流操作； 能完成回流量调节，冷凝系统水量及塔温调节，进料预热系统调节；能进行机泵、电加热设备、容器、塔器等设备操作；能分别进行连续常压精馏和连续真空精馏操作，可对学员进行实训操作考核；能进行单板效率测定，可对学员进行实训操作考核。</w:t>
            </w:r>
          </w:p>
          <w:p>
            <w:pPr>
              <w:numPr>
                <w:ilvl w:val="0"/>
                <w:numId w:val="11"/>
              </w:numPr>
              <w:adjustRightInd w:val="0"/>
              <w:snapToGrid w:val="0"/>
              <w:spacing w:line="320" w:lineRule="exact"/>
              <w:rPr>
                <w:rFonts w:hint="eastAsia" w:ascii="宋体" w:hAnsi="宋体" w:eastAsia="宋体" w:cs="宋体"/>
                <w:b/>
                <w:bCs/>
                <w:sz w:val="24"/>
                <w:szCs w:val="24"/>
              </w:rPr>
            </w:pPr>
            <w:r>
              <w:rPr>
                <w:rFonts w:hint="eastAsia" w:ascii="宋体" w:hAnsi="宋体" w:eastAsia="宋体" w:cs="宋体"/>
                <w:b/>
                <w:bCs/>
                <w:sz w:val="24"/>
                <w:szCs w:val="24"/>
              </w:rPr>
              <w:t>操作平台</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设备主体：长×宽×高≥4800×2500×4400mm，材质：设备、管道为不锈钢，框架：整体采用高温烤漆钢制。带双层操作平台，一层平台方便操作、检修、巡查和操作，二层有安全斜梯通上并有护栏、花纹防滑钢板。配套：现场控制台（含嵌入式微机位、报警器及开关位、二次仪表）并内含DCS和仪表控制转换接入口，该装置配置和功能需</w:t>
            </w:r>
            <w:r>
              <w:rPr>
                <w:rFonts w:hint="eastAsia" w:ascii="宋体" w:hAnsi="宋体" w:eastAsia="宋体" w:cs="宋体"/>
                <w:sz w:val="24"/>
                <w:szCs w:val="24"/>
                <w:lang w:val="en-US" w:eastAsia="zh-CN"/>
              </w:rPr>
              <w:t>达到或优于</w:t>
            </w:r>
            <w:r>
              <w:rPr>
                <w:rFonts w:hint="eastAsia" w:ascii="宋体" w:hAnsi="宋体" w:eastAsia="宋体" w:cs="宋体"/>
                <w:sz w:val="24"/>
                <w:szCs w:val="24"/>
              </w:rPr>
              <w:t>全国职业院校技能大赛</w:t>
            </w:r>
            <w:r>
              <w:rPr>
                <w:rFonts w:hint="eastAsia" w:ascii="宋体" w:hAnsi="宋体" w:eastAsia="宋体" w:cs="宋体"/>
                <w:sz w:val="24"/>
                <w:szCs w:val="24"/>
                <w:lang w:val="en-US" w:eastAsia="zh-CN"/>
              </w:rPr>
              <w:t>化工生产技术赛项</w:t>
            </w:r>
            <w:r>
              <w:rPr>
                <w:rFonts w:hint="eastAsia" w:ascii="宋体" w:hAnsi="宋体" w:eastAsia="宋体" w:cs="宋体"/>
                <w:sz w:val="24"/>
                <w:szCs w:val="24"/>
              </w:rPr>
              <w:t>竞赛装置</w:t>
            </w:r>
            <w:r>
              <w:rPr>
                <w:rFonts w:hint="eastAsia" w:ascii="宋体" w:hAnsi="宋体" w:eastAsia="宋体" w:cs="宋体"/>
                <w:sz w:val="24"/>
                <w:szCs w:val="24"/>
                <w:lang w:val="en-US" w:eastAsia="zh-CN"/>
              </w:rPr>
              <w:t>技术</w:t>
            </w:r>
            <w:r>
              <w:rPr>
                <w:rFonts w:hint="eastAsia" w:ascii="宋体" w:hAnsi="宋体" w:eastAsia="宋体" w:cs="宋体"/>
                <w:sz w:val="24"/>
                <w:szCs w:val="24"/>
              </w:rPr>
              <w:t>要求。</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）塔底产品槽（1个）：不锈钢</w:t>
            </w:r>
            <w:r>
              <w:rPr>
                <w:rFonts w:hint="eastAsia" w:ascii="宋体" w:hAnsi="宋体" w:eastAsia="宋体" w:cs="宋体"/>
                <w:sz w:val="24"/>
                <w:szCs w:val="24"/>
                <w:lang w:val="en-US" w:eastAsia="zh-CN"/>
              </w:rPr>
              <w:t>,</w:t>
            </w:r>
            <w:r>
              <w:rPr>
                <w:rFonts w:hint="eastAsia" w:ascii="宋体" w:hAnsi="宋体" w:eastAsia="宋体" w:cs="宋体"/>
                <w:sz w:val="24"/>
                <w:szCs w:val="24"/>
              </w:rPr>
              <w:t>≥φ529×1160mm,V=200L</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）塔顶产品槽（1个）：不锈钢，≥φ377×900 mm，V=90L</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）原料槽（1个）：不锈钢，≥φ630×1300 mm，V=360L</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）真空缓冲罐（1个）：不锈钢，≥φ400×800 mm，V=90L</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）冷凝液槽（1个）：不锈钢，≥φ200×450mm，V=16L</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）原料液加热器（1个）：不锈钢，≥φ426×640 mm，V=46L，P=9kW</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）塔顶冷凝器（1个）：不锈钢，≥φ370×1100 mm，F=1.5+0.7m2</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）再沸器（1个）：不锈钢，≥φ528×1100 mm，P=21kW</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）塔底换热器（1个）：不锈钢，≥φ260×750 mm，F=1.0m2</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）精馏塔（1个）：主体不锈钢DN200；共14块塔板，</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）产品换热器（1个）：不锈钢，≥φ108×860 mm，F=0.1m2</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）取样冷却器（1个）：不锈钢，≥φ76×200 mm，盘管式</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）回流泵（1个）：磁力齿轮泵，最大流量：120L/h,压力：0.3MPa功率：90W</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）快速进料泵（1个）：不锈钢离心泵,额定流量：60L/min,额定扬程：14.6m功率：0.37kW</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）原料液泵（1个）：磁力齿轮泵，最大流量：120L/h,压力：0.3MPa功率：90W</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）残液泵（1个）：220V AC，最大流量：2.5m³/h，功率：92W</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）产品泵（1个）：磁力齿轮泵，最大流量：120L/h,压力：0.3MPa功率：90W</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）真空泵（1个）：不锈钢旋片真空泵</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19</w:t>
            </w:r>
            <w:r>
              <w:rPr>
                <w:rFonts w:hint="eastAsia" w:ascii="宋体" w:hAnsi="宋体" w:eastAsia="宋体" w:cs="宋体"/>
                <w:sz w:val="24"/>
                <w:szCs w:val="24"/>
              </w:rPr>
              <w:t>）双金属温度计（9个）：精度：2.5%FS</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）铂电阻（8个）：精度：A级</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）铂电阻（3个）：精度：A级</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）压力表（1个）：精度2.5%FS，就地显示</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）压力变送器（1个）：精度：0.5%FS</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）压力变送器（1个）：可编程多回路控制器，精度：0.5%FS</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）电接点压力表（1个）：就地显示</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）玻璃转子流量计（7个）：</w:t>
            </w:r>
            <w:r>
              <w:rPr>
                <w:rFonts w:hint="eastAsia" w:ascii="宋体" w:hAnsi="宋体" w:eastAsia="宋体" w:cs="宋体"/>
                <w:sz w:val="24"/>
                <w:szCs w:val="24"/>
              </w:rPr>
              <w:tab/>
            </w:r>
            <w:r>
              <w:rPr>
                <w:rFonts w:hint="eastAsia" w:ascii="宋体" w:hAnsi="宋体" w:eastAsia="宋体" w:cs="宋体"/>
                <w:sz w:val="24"/>
                <w:szCs w:val="24"/>
              </w:rPr>
              <w:t>就地显示</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）电磁流量计（1个）：可编程多回路控制器，精度：0.5%FS</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28</w:t>
            </w:r>
            <w:r>
              <w:rPr>
                <w:rFonts w:hint="eastAsia" w:ascii="宋体" w:hAnsi="宋体" w:eastAsia="宋体" w:cs="宋体"/>
                <w:sz w:val="24"/>
                <w:szCs w:val="24"/>
              </w:rPr>
              <w:t>）电磁流量计（1个）：可编程多回路控制器，精度：0.5%FS</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29</w:t>
            </w:r>
            <w:r>
              <w:rPr>
                <w:rFonts w:hint="eastAsia" w:ascii="宋体" w:hAnsi="宋体" w:eastAsia="宋体" w:cs="宋体"/>
                <w:sz w:val="24"/>
                <w:szCs w:val="24"/>
              </w:rPr>
              <w:t>）水表（1个）：就地显示</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）液位计（5个）：就地显示</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）差压变送器（2个）：可编程多回路控制器 精度：0.5%FS</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）闪光报警器（1个）：8路</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2.自动评分系统</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实训自动实时评分软件（1套）：装置系统自动评分系统可对学生操作过程进行监控，并给予评分，便于教师考察培训效果</w:t>
            </w:r>
            <w:r>
              <w:rPr>
                <w:rFonts w:hint="eastAsia" w:ascii="宋体" w:hAnsi="宋体" w:eastAsia="宋体" w:cs="宋体"/>
                <w:sz w:val="24"/>
                <w:szCs w:val="24"/>
                <w:lang w:eastAsia="zh-CN"/>
              </w:rPr>
              <w:t>，</w:t>
            </w:r>
            <w:r>
              <w:rPr>
                <w:rFonts w:hint="eastAsia" w:ascii="宋体" w:hAnsi="宋体" w:eastAsia="宋体" w:cs="宋体"/>
                <w:sz w:val="24"/>
                <w:szCs w:val="24"/>
              </w:rPr>
              <w:t>软件配置需满足或优于全国职业院校技能大赛“化工生产技术”赛项评分系统要求，要求提供教学培训服务器软件著作权证书、化工单元实训虚拟仿真软件软件著作权证书。</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3.智能仪表系统</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标准电器控制柜（1台）：长×宽×深≥1600×650×1500mm，含漏电保护空气开关、电流型漏电保护器充分考虑人身安全保护；同时每一组强电输出按钮开关控制、分相指示灯，开关电源等。</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4.DCS控制系统</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（1）DCS工业标准机柜（1套）：长×宽×高≥800×600×2100mm。</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（2）DCS控制站I/O点数</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模拟量输入AI 4～20mA ≥17点</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模拟量输出AO 4～20mA ≥5点</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开关量输出（DO） ≥16点</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开关量输入（DI） ≥10点</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控制系统采用不少于3个32位嵌入式微处理器协同处理任务，运算周期50ms到5s可选,提供192个控制回路，支持1:1热冗余备份。系统站点容量最高可达31个冗余的控制站和31个操作站节点，每个控制站最多可带8个I/O机笼，每个机笼最多可配置10块卡件，即除了最多配置一对互为冗余的数据转发卡及两块电源指示卡之外，最多可配置16块各类I/O卡件</w:t>
            </w:r>
            <w:r>
              <w:rPr>
                <w:rFonts w:hint="eastAsia" w:ascii="宋体" w:hAnsi="宋体" w:eastAsia="宋体" w:cs="宋体"/>
                <w:sz w:val="24"/>
                <w:szCs w:val="24"/>
                <w:lang w:eastAsia="zh-CN"/>
              </w:rPr>
              <w:t>，</w:t>
            </w:r>
            <w:r>
              <w:rPr>
                <w:rFonts w:hint="eastAsia" w:ascii="宋体" w:hAnsi="宋体" w:eastAsia="宋体" w:cs="宋体"/>
                <w:sz w:val="24"/>
                <w:szCs w:val="24"/>
              </w:rPr>
              <w:t>系统容量达到10000点。为保证满足以上要求，DCS系统必须已在石油天然气、大型石化化工、能源、交通、冶金和大型机组等领域真实应用，DCS工业标准机柜：长×宽×高：800×600×2100mm，DCS控制系统需提供权威部门出具检验合格的检测报告</w:t>
            </w:r>
            <w:r>
              <w:rPr>
                <w:rFonts w:hint="eastAsia" w:ascii="宋体" w:hAnsi="宋体" w:eastAsia="宋体" w:cs="宋体"/>
                <w:sz w:val="24"/>
                <w:szCs w:val="24"/>
                <w:lang w:val="en-US" w:eastAsia="zh-CN"/>
              </w:rPr>
              <w:t>和</w:t>
            </w:r>
            <w:r>
              <w:rPr>
                <w:rFonts w:hint="eastAsia" w:ascii="宋体" w:hAnsi="宋体" w:eastAsia="宋体" w:cs="宋体"/>
                <w:sz w:val="24"/>
                <w:szCs w:val="24"/>
              </w:rPr>
              <w:t>DCS辅助评分系统软件著作权证书</w:t>
            </w:r>
            <w:r>
              <w:rPr>
                <w:rFonts w:hint="eastAsia" w:ascii="宋体" w:hAnsi="宋体" w:eastAsia="宋体" w:cs="宋体"/>
                <w:sz w:val="24"/>
                <w:szCs w:val="24"/>
                <w:lang w:eastAsia="zh-CN"/>
              </w:rPr>
              <w:t>，</w:t>
            </w:r>
            <w:r>
              <w:rPr>
                <w:rFonts w:hint="eastAsia" w:ascii="宋体" w:hAnsi="宋体" w:eastAsia="宋体" w:cs="宋体"/>
                <w:sz w:val="24"/>
                <w:szCs w:val="24"/>
              </w:rPr>
              <w:t>系统控制组态具有符合IEC61131-3标准的组态工具FBD、LD、SFC、ST等，使DCS与PLC的控制功能得到统一，实现了局部控制区域内的实时过程信息的共享。一套系统可支持8个域，每个域的处理能力物理I/O点≥10000点，控制回路数量≥1000个。一般模拟回路控制周期为115ms，采用回路控制模块可达≤10ms，逻辑回路控制周期为≤50ms 。系统图形画面分辨率为1600×1180，响应时间≤1s，数据刷新时间≤1s。</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）实时监控软件（1套）：满足大赛要求</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）系统组态软件（1套）：满足大赛要求</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）故障分析软件（1套）：满足大赛要求</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）工程师站软件狗（1个）：软件授权</w:t>
            </w:r>
          </w:p>
          <w:p>
            <w:pPr>
              <w:adjustRightInd w:val="0"/>
              <w:snapToGrid w:val="0"/>
              <w:spacing w:line="32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）操作员站软件狗（1个）：软件授权</w:t>
            </w:r>
          </w:p>
          <w:p>
            <w:pPr>
              <w:adjustRightInd w:val="0"/>
              <w:snapToGrid w:val="0"/>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（8）原有大精馏设备搬迁：2套，设备整体进行拆卸、搬运、安装调试后设备性能必须满足竞赛要求。</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套</w:t>
            </w:r>
          </w:p>
        </w:tc>
      </w:tr>
      <w:tr>
        <w:tblPrEx>
          <w:tblCellMar>
            <w:top w:w="0" w:type="dxa"/>
            <w:left w:w="108" w:type="dxa"/>
            <w:bottom w:w="0" w:type="dxa"/>
            <w:right w:w="108" w:type="dxa"/>
          </w:tblCellMar>
        </w:tblPrEx>
        <w:trPr>
          <w:trHeight w:val="272"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lang w:val="en-US" w:eastAsia="zh-CN"/>
              </w:rPr>
              <w:t>操</w:t>
            </w:r>
            <w:r>
              <w:rPr>
                <w:rFonts w:hint="eastAsia" w:ascii="宋体" w:hAnsi="宋体" w:eastAsia="宋体" w:cs="宋体"/>
                <w:sz w:val="24"/>
                <w:szCs w:val="24"/>
                <w:highlight w:val="none"/>
              </w:rPr>
              <w:t>作站</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rPr>
                <w:rFonts w:hint="eastAsia" w:ascii="宋体" w:hAnsi="宋体" w:eastAsia="宋体" w:cs="宋体"/>
                <w:b w:val="0"/>
                <w:kern w:val="2"/>
                <w:sz w:val="24"/>
                <w:szCs w:val="24"/>
                <w:highlight w:val="none"/>
                <w:lang w:val="en-US" w:eastAsia="zh-CN" w:bidi="ar-SA"/>
              </w:rPr>
            </w:pPr>
            <w:r>
              <w:rPr>
                <w:rFonts w:hint="eastAsia" w:ascii="宋体" w:hAnsi="宋体" w:eastAsia="宋体" w:cs="宋体"/>
                <w:sz w:val="24"/>
                <w:szCs w:val="24"/>
                <w:highlight w:val="none"/>
              </w:rPr>
              <w:t>I</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G/1T/集成显卡/21.5寸</w:t>
            </w:r>
            <w:r>
              <w:rPr>
                <w:rFonts w:hint="eastAsia" w:ascii="宋体" w:hAnsi="宋体" w:eastAsia="宋体" w:cs="宋体"/>
                <w:sz w:val="24"/>
                <w:szCs w:val="24"/>
                <w:highlight w:val="none"/>
                <w:lang w:val="en-US" w:eastAsia="zh-CN"/>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台</w:t>
            </w:r>
          </w:p>
        </w:tc>
      </w:tr>
      <w:tr>
        <w:tblPrEx>
          <w:tblCellMar>
            <w:top w:w="0" w:type="dxa"/>
            <w:left w:w="108" w:type="dxa"/>
            <w:bottom w:w="0" w:type="dxa"/>
            <w:right w:w="108" w:type="dxa"/>
          </w:tblCellMar>
        </w:tblPrEx>
        <w:trPr>
          <w:trHeight w:val="272"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lang w:val="en-US" w:eastAsia="zh-CN"/>
              </w:rPr>
              <w:t>操作站数据输出</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尺寸：≥242×370×209mm，黑白激光，兼容系统indows 2000；Windows XP Home； Windows XP Professional； Linux；接口高速 USB 2.0 端口；电源输入电压 110 到 127 伏交流电 (+/- 10%)、50/60 赫兹（+/- 2 赫兹）、3.5 安培； 220 到 240 伏交流电 (+/- 10%)、50/60 赫兹（+/- 2 赫兹）、2 安培；标配内存：2MB。</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台</w:t>
            </w:r>
          </w:p>
        </w:tc>
      </w:tr>
      <w:tr>
        <w:tblPrEx>
          <w:tblCellMar>
            <w:top w:w="0" w:type="dxa"/>
            <w:left w:w="108" w:type="dxa"/>
            <w:bottom w:w="0" w:type="dxa"/>
            <w:right w:w="108" w:type="dxa"/>
          </w:tblCellMar>
        </w:tblPrEx>
        <w:trPr>
          <w:trHeight w:val="272"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highlight w:val="none"/>
                <w:lang w:bidi="ar"/>
              </w:rPr>
            </w:pPr>
            <w:r>
              <w:rPr>
                <w:rFonts w:hint="eastAsia" w:ascii="宋体" w:hAnsi="宋体" w:eastAsia="宋体" w:cs="宋体"/>
                <w:sz w:val="24"/>
                <w:szCs w:val="24"/>
                <w:highlight w:val="none"/>
                <w:lang w:val="en-US" w:eastAsia="zh-CN"/>
              </w:rPr>
              <w:t>安置台</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人造板暖白色落地，≥40*39*85CM，带锁3-5层抽屉金属拉手。</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台</w:t>
            </w:r>
          </w:p>
        </w:tc>
      </w:tr>
      <w:tr>
        <w:tblPrEx>
          <w:tblCellMar>
            <w:top w:w="0" w:type="dxa"/>
            <w:left w:w="108" w:type="dxa"/>
            <w:bottom w:w="0" w:type="dxa"/>
            <w:right w:w="108" w:type="dxa"/>
          </w:tblCellMar>
        </w:tblPrEx>
        <w:trPr>
          <w:trHeight w:val="272"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物料循</w:t>
            </w:r>
          </w:p>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环系统</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bidi w:val="0"/>
              <w:jc w:val="left"/>
              <w:rPr>
                <w:rFonts w:hint="eastAsia" w:ascii="宋体" w:hAnsi="宋体" w:eastAsia="宋体" w:cs="宋体"/>
                <w:b/>
                <w:bCs/>
                <w:sz w:val="24"/>
                <w:szCs w:val="24"/>
              </w:rPr>
            </w:pPr>
            <w:r>
              <w:rPr>
                <w:rFonts w:hint="eastAsia" w:ascii="宋体" w:hAnsi="宋体" w:eastAsia="宋体" w:cs="宋体"/>
                <w:b/>
                <w:bCs/>
                <w:sz w:val="24"/>
                <w:szCs w:val="24"/>
              </w:rPr>
              <w:t>功能要求</w:t>
            </w:r>
          </w:p>
          <w:p>
            <w:pPr>
              <w:numPr>
                <w:ilvl w:val="0"/>
                <w:numId w:val="0"/>
              </w:numPr>
              <w:bidi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配料罐和残液罐总容积能满足</w:t>
            </w:r>
            <w:r>
              <w:rPr>
                <w:rFonts w:hint="eastAsia" w:ascii="宋体" w:hAnsi="宋体" w:eastAsia="宋体" w:cs="宋体"/>
                <w:sz w:val="24"/>
                <w:szCs w:val="24"/>
                <w:lang w:val="en-US" w:eastAsia="zh-CN"/>
              </w:rPr>
              <w:t>6</w:t>
            </w:r>
            <w:r>
              <w:rPr>
                <w:rFonts w:hint="eastAsia" w:ascii="宋体" w:hAnsi="宋体" w:eastAsia="宋体" w:cs="宋体"/>
                <w:sz w:val="24"/>
                <w:szCs w:val="24"/>
              </w:rPr>
              <w:t>套精馏装置的实验供料；残液罐容积能满足</w:t>
            </w:r>
            <w:r>
              <w:rPr>
                <w:rFonts w:hint="eastAsia" w:ascii="宋体" w:hAnsi="宋体" w:eastAsia="宋体" w:cs="宋体"/>
                <w:sz w:val="24"/>
                <w:szCs w:val="24"/>
                <w:lang w:val="en-US" w:eastAsia="zh-CN"/>
              </w:rPr>
              <w:t>6</w:t>
            </w:r>
            <w:r>
              <w:rPr>
                <w:rFonts w:hint="eastAsia" w:ascii="宋体" w:hAnsi="宋体" w:eastAsia="宋体" w:cs="宋体"/>
                <w:sz w:val="24"/>
                <w:szCs w:val="24"/>
              </w:rPr>
              <w:t>套精馏装置的残液回收；能实现残液降温；配料罐能进行罐内混合；配料罐和残液罐均具备原料储备、输出功能。</w:t>
            </w:r>
          </w:p>
          <w:p>
            <w:pPr>
              <w:bidi w:val="0"/>
              <w:jc w:val="left"/>
              <w:rPr>
                <w:rFonts w:hint="eastAsia" w:ascii="宋体" w:hAnsi="宋体" w:eastAsia="宋体" w:cs="宋体"/>
                <w:sz w:val="24"/>
                <w:szCs w:val="24"/>
              </w:rPr>
            </w:pPr>
            <w:r>
              <w:rPr>
                <w:rFonts w:hint="eastAsia" w:ascii="宋体" w:hAnsi="宋体" w:eastAsia="宋体" w:cs="宋体"/>
                <w:sz w:val="24"/>
                <w:szCs w:val="24"/>
              </w:rPr>
              <w:t>1.工艺设备</w:t>
            </w:r>
          </w:p>
          <w:p>
            <w:pPr>
              <w:bidi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）配料罐（2个）：不锈钢，≥φ1400*2500mm，容积2.5m3以上</w:t>
            </w:r>
          </w:p>
          <w:p>
            <w:pPr>
              <w:bidi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）料液罐（2个）：不锈钢，≥φ1400*2500mm，容积2.5m³以上，换热面积1㎡以上</w:t>
            </w:r>
          </w:p>
          <w:p>
            <w:pPr>
              <w:bidi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）残液换热器（2个）：不锈钢，换热面积1m2以上</w:t>
            </w:r>
          </w:p>
          <w:p>
            <w:pPr>
              <w:bidi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）安全隔离罐（2个）：≥不锈钢φ325*600mm</w:t>
            </w:r>
          </w:p>
          <w:p>
            <w:pPr>
              <w:bidi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）凉水塔（1个）</w:t>
            </w:r>
            <w:r>
              <w:rPr>
                <w:rFonts w:hint="eastAsia" w:ascii="宋体" w:hAnsi="宋体" w:eastAsia="宋体" w:cs="宋体"/>
                <w:sz w:val="24"/>
                <w:szCs w:val="24"/>
                <w:highlight w:val="none"/>
                <w:lang w:val="en-US" w:eastAsia="zh-CN"/>
              </w:rPr>
              <w:t>：≥20T</w:t>
            </w:r>
          </w:p>
          <w:p>
            <w:pPr>
              <w:bidi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）原料泵（1个）：不锈钢离心泵</w:t>
            </w:r>
          </w:p>
          <w:p>
            <w:pPr>
              <w:bidi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）循环泵（1个）：不锈钢离心泵</w:t>
            </w:r>
          </w:p>
          <w:p>
            <w:pPr>
              <w:bidi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）冷却水泵（1个）：不锈钢离心泵</w:t>
            </w:r>
          </w:p>
          <w:p>
            <w:pPr>
              <w:bidi w:val="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）电动球阀（3个）：阀体材质:304不锈钢，连接尺寸:DN15，PN40.RF ，公称压力:PN40，工作电压:24V DC</w:t>
            </w:r>
          </w:p>
          <w:p>
            <w:pPr>
              <w:bidi w:val="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）电动球阀（11个）：阀体材质:304不锈钢，连接尺寸:DN50 PN40.RF ，公称压力:PN40，工作电压:24V DC</w:t>
            </w:r>
          </w:p>
          <w:p>
            <w:pPr>
              <w:bidi w:val="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）管道、阀门、法兰、管件等：不锈钢</w:t>
            </w:r>
          </w:p>
          <w:p>
            <w:pPr>
              <w:bidi w:val="0"/>
              <w:jc w:val="left"/>
              <w:rPr>
                <w:rFonts w:hint="eastAsia" w:ascii="宋体" w:hAnsi="宋体" w:eastAsia="宋体" w:cs="宋体"/>
                <w:sz w:val="24"/>
                <w:szCs w:val="24"/>
              </w:rPr>
            </w:pPr>
            <w:r>
              <w:rPr>
                <w:rFonts w:hint="eastAsia" w:ascii="宋体" w:hAnsi="宋体" w:eastAsia="宋体" w:cs="宋体"/>
                <w:sz w:val="24"/>
                <w:szCs w:val="24"/>
              </w:rPr>
              <w:t>2.仪控检测系统</w:t>
            </w:r>
          </w:p>
          <w:p>
            <w:pPr>
              <w:bidi w:val="0"/>
              <w:jc w:val="left"/>
              <w:rPr>
                <w:rFonts w:hint="eastAsia" w:ascii="宋体" w:hAnsi="宋体" w:eastAsia="宋体" w:cs="宋体"/>
                <w:sz w:val="24"/>
                <w:szCs w:val="24"/>
              </w:rPr>
            </w:pPr>
            <w:r>
              <w:rPr>
                <w:rFonts w:hint="eastAsia" w:ascii="宋体" w:hAnsi="宋体" w:eastAsia="宋体" w:cs="宋体"/>
                <w:sz w:val="24"/>
                <w:szCs w:val="24"/>
              </w:rPr>
              <w:t>（1）双金属温度计（6个）：精度2.5%FS</w:t>
            </w:r>
          </w:p>
          <w:p>
            <w:pPr>
              <w:bidi w:val="0"/>
              <w:jc w:val="left"/>
              <w:rPr>
                <w:rFonts w:hint="eastAsia" w:ascii="宋体" w:hAnsi="宋体" w:eastAsia="宋体" w:cs="宋体"/>
                <w:sz w:val="24"/>
                <w:szCs w:val="24"/>
              </w:rPr>
            </w:pPr>
            <w:r>
              <w:rPr>
                <w:rFonts w:hint="eastAsia" w:ascii="宋体" w:hAnsi="宋体" w:eastAsia="宋体" w:cs="宋体"/>
                <w:sz w:val="24"/>
                <w:szCs w:val="24"/>
              </w:rPr>
              <w:t>（2）铂电阻（1个）：精度B级</w:t>
            </w:r>
          </w:p>
          <w:p>
            <w:pPr>
              <w:bidi w:val="0"/>
              <w:jc w:val="left"/>
              <w:rPr>
                <w:rFonts w:hint="eastAsia" w:ascii="宋体" w:hAnsi="宋体" w:eastAsia="宋体" w:cs="宋体"/>
                <w:sz w:val="24"/>
                <w:szCs w:val="24"/>
              </w:rPr>
            </w:pPr>
            <w:r>
              <w:rPr>
                <w:rFonts w:hint="eastAsia" w:ascii="宋体" w:hAnsi="宋体" w:eastAsia="宋体" w:cs="宋体"/>
                <w:sz w:val="24"/>
                <w:szCs w:val="24"/>
              </w:rPr>
              <w:t>（3）压力表（4个）：精度2.5%FS</w:t>
            </w:r>
          </w:p>
          <w:p>
            <w:pPr>
              <w:bidi w:val="0"/>
              <w:jc w:val="left"/>
              <w:rPr>
                <w:rFonts w:hint="eastAsia" w:ascii="宋体" w:hAnsi="宋体" w:eastAsia="宋体" w:cs="宋体"/>
                <w:sz w:val="24"/>
                <w:szCs w:val="24"/>
              </w:rPr>
            </w:pPr>
            <w:r>
              <w:rPr>
                <w:rFonts w:hint="eastAsia" w:ascii="宋体" w:hAnsi="宋体" w:eastAsia="宋体" w:cs="宋体"/>
                <w:sz w:val="24"/>
                <w:szCs w:val="24"/>
              </w:rPr>
              <w:t>（4）称重模块变送器（1个）：输入信号3路称重传感器，输出信号4～20mA</w:t>
            </w:r>
          </w:p>
          <w:p>
            <w:pPr>
              <w:bidi w:val="0"/>
              <w:jc w:val="left"/>
              <w:rPr>
                <w:rFonts w:hint="eastAsia" w:ascii="宋体" w:hAnsi="宋体" w:eastAsia="宋体" w:cs="宋体"/>
                <w:sz w:val="24"/>
                <w:szCs w:val="24"/>
              </w:rPr>
            </w:pPr>
            <w:r>
              <w:rPr>
                <w:rFonts w:hint="eastAsia" w:ascii="宋体" w:hAnsi="宋体" w:eastAsia="宋体" w:cs="宋体"/>
                <w:sz w:val="24"/>
                <w:szCs w:val="24"/>
              </w:rPr>
              <w:t>（5）液位计（1个）：超声波物位计量程0-5m，测量精度0.5%</w:t>
            </w:r>
          </w:p>
          <w:p>
            <w:pPr>
              <w:bidi w:val="0"/>
              <w:jc w:val="left"/>
              <w:rPr>
                <w:rFonts w:hint="eastAsia" w:ascii="宋体" w:hAnsi="宋体" w:eastAsia="宋体" w:cs="宋体"/>
                <w:sz w:val="24"/>
                <w:szCs w:val="24"/>
              </w:rPr>
            </w:pPr>
            <w:r>
              <w:rPr>
                <w:rFonts w:hint="eastAsia" w:ascii="宋体" w:hAnsi="宋体" w:eastAsia="宋体" w:cs="宋体"/>
                <w:sz w:val="24"/>
                <w:szCs w:val="24"/>
              </w:rPr>
              <w:t>（6）玻璃管式液位计（</w:t>
            </w:r>
            <w:r>
              <w:rPr>
                <w:rFonts w:hint="eastAsia" w:ascii="宋体" w:hAnsi="宋体" w:eastAsia="宋体" w:cs="宋体"/>
                <w:sz w:val="24"/>
                <w:szCs w:val="24"/>
                <w:lang w:val="en-US" w:eastAsia="zh-CN"/>
              </w:rPr>
              <w:t>4</w:t>
            </w:r>
            <w:r>
              <w:rPr>
                <w:rFonts w:hint="eastAsia" w:ascii="宋体" w:hAnsi="宋体" w:eastAsia="宋体" w:cs="宋体"/>
                <w:sz w:val="24"/>
                <w:szCs w:val="24"/>
              </w:rPr>
              <w:t>个）：不锈钢304，带标尺和金属管护套</w:t>
            </w:r>
          </w:p>
          <w:p>
            <w:pPr>
              <w:bidi w:val="0"/>
              <w:jc w:val="left"/>
              <w:rPr>
                <w:rFonts w:hint="eastAsia" w:ascii="宋体" w:hAnsi="宋体" w:eastAsia="宋体" w:cs="宋体"/>
                <w:sz w:val="24"/>
                <w:szCs w:val="24"/>
              </w:rPr>
            </w:pPr>
            <w:r>
              <w:rPr>
                <w:rFonts w:hint="eastAsia" w:ascii="宋体" w:hAnsi="宋体" w:eastAsia="宋体" w:cs="宋体"/>
                <w:sz w:val="24"/>
                <w:szCs w:val="24"/>
              </w:rPr>
              <w:t>（7）差压变送器（3个）：精度0.5%FS</w:t>
            </w:r>
          </w:p>
          <w:p>
            <w:pPr>
              <w:bidi w:val="0"/>
              <w:jc w:val="left"/>
              <w:rPr>
                <w:rFonts w:hint="eastAsia" w:ascii="宋体" w:hAnsi="宋体" w:eastAsia="宋体" w:cs="宋体"/>
                <w:sz w:val="24"/>
                <w:szCs w:val="24"/>
              </w:rPr>
            </w:pPr>
            <w:r>
              <w:rPr>
                <w:rFonts w:hint="eastAsia" w:ascii="宋体" w:hAnsi="宋体" w:eastAsia="宋体" w:cs="宋体"/>
                <w:sz w:val="24"/>
                <w:szCs w:val="24"/>
              </w:rPr>
              <w:t>（8）高位开关（4个）：音叉式物位开关</w:t>
            </w:r>
          </w:p>
          <w:p>
            <w:pPr>
              <w:bidi w:val="0"/>
              <w:jc w:val="left"/>
              <w:rPr>
                <w:rFonts w:hint="eastAsia" w:ascii="宋体" w:hAnsi="宋体" w:eastAsia="宋体" w:cs="宋体"/>
                <w:sz w:val="24"/>
                <w:szCs w:val="24"/>
              </w:rPr>
            </w:pPr>
            <w:r>
              <w:rPr>
                <w:rFonts w:hint="eastAsia" w:ascii="宋体" w:hAnsi="宋体" w:eastAsia="宋体" w:cs="宋体"/>
                <w:sz w:val="24"/>
                <w:szCs w:val="24"/>
              </w:rPr>
              <w:t>（9）电动V型球阀（2个）：阀体材质:304不锈钢，量特性:控制信号4～20mA</w:t>
            </w:r>
          </w:p>
          <w:p>
            <w:pPr>
              <w:bidi w:val="0"/>
              <w:jc w:val="left"/>
              <w:rPr>
                <w:rFonts w:hint="eastAsia" w:ascii="宋体" w:hAnsi="宋体" w:eastAsia="宋体" w:cs="宋体"/>
                <w:sz w:val="24"/>
                <w:szCs w:val="24"/>
              </w:rPr>
            </w:pPr>
            <w:r>
              <w:rPr>
                <w:rFonts w:hint="eastAsia" w:ascii="宋体" w:hAnsi="宋体" w:eastAsia="宋体" w:cs="宋体"/>
                <w:sz w:val="24"/>
                <w:szCs w:val="24"/>
              </w:rPr>
              <w:t>3.通讯监控系统</w:t>
            </w:r>
          </w:p>
          <w:p>
            <w:pPr>
              <w:bidi w:val="0"/>
              <w:jc w:val="left"/>
              <w:rPr>
                <w:rFonts w:hint="eastAsia" w:ascii="宋体" w:hAnsi="宋体" w:eastAsia="宋体" w:cs="宋体"/>
                <w:sz w:val="24"/>
                <w:szCs w:val="24"/>
              </w:rPr>
            </w:pPr>
            <w:r>
              <w:rPr>
                <w:rFonts w:hint="eastAsia" w:ascii="宋体" w:hAnsi="宋体" w:eastAsia="宋体" w:cs="宋体"/>
                <w:sz w:val="24"/>
                <w:szCs w:val="24"/>
              </w:rPr>
              <w:t>（1）在线监控软件（1套）：满足大赛要求</w:t>
            </w:r>
          </w:p>
          <w:p>
            <w:pPr>
              <w:bidi w:val="0"/>
              <w:jc w:val="left"/>
              <w:rPr>
                <w:rFonts w:hint="eastAsia" w:ascii="宋体" w:hAnsi="宋体" w:eastAsia="宋体" w:cs="宋体"/>
                <w:sz w:val="24"/>
                <w:szCs w:val="24"/>
                <w:lang w:eastAsia="zh-CN"/>
              </w:rPr>
            </w:pPr>
            <w:r>
              <w:rPr>
                <w:rFonts w:hint="eastAsia" w:ascii="宋体" w:hAnsi="宋体" w:eastAsia="宋体" w:cs="宋体"/>
                <w:sz w:val="24"/>
                <w:szCs w:val="24"/>
              </w:rPr>
              <w:t>（2）自动配料专家软件（1套）：自动核算配料过程及相关参数</w:t>
            </w:r>
            <w:r>
              <w:rPr>
                <w:rFonts w:hint="eastAsia" w:ascii="宋体" w:hAnsi="宋体" w:eastAsia="宋体" w:cs="宋体"/>
                <w:sz w:val="24"/>
                <w:szCs w:val="24"/>
                <w:lang w:eastAsia="zh-CN"/>
              </w:rPr>
              <w:t>。</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.控制系统</w:t>
            </w:r>
          </w:p>
          <w:p>
            <w:pPr>
              <w:bidi w:val="0"/>
              <w:jc w:val="left"/>
              <w:rPr>
                <w:rFonts w:hint="eastAsia" w:ascii="宋体" w:hAnsi="宋体" w:eastAsia="宋体" w:cs="宋体"/>
                <w:sz w:val="24"/>
                <w:szCs w:val="24"/>
              </w:rPr>
            </w:pPr>
            <w:r>
              <w:rPr>
                <w:rFonts w:hint="eastAsia" w:ascii="宋体" w:hAnsi="宋体" w:eastAsia="宋体" w:cs="宋体"/>
                <w:sz w:val="24"/>
                <w:szCs w:val="24"/>
              </w:rPr>
              <w:t>（1）配电箱（1套）：长×宽×高≥600×300×1200mm</w:t>
            </w:r>
          </w:p>
          <w:p>
            <w:pPr>
              <w:bidi w:val="0"/>
              <w:jc w:val="left"/>
              <w:rPr>
                <w:rFonts w:hint="eastAsia" w:ascii="宋体" w:hAnsi="宋体" w:eastAsia="宋体" w:cs="宋体"/>
                <w:sz w:val="24"/>
                <w:szCs w:val="24"/>
              </w:rPr>
            </w:pPr>
            <w:r>
              <w:rPr>
                <w:rFonts w:hint="eastAsia" w:ascii="宋体" w:hAnsi="宋体" w:eastAsia="宋体" w:cs="宋体"/>
                <w:sz w:val="24"/>
                <w:szCs w:val="24"/>
              </w:rPr>
              <w:t>（2）CPU  DC/DC/DC（1套）</w:t>
            </w:r>
          </w:p>
          <w:p>
            <w:pPr>
              <w:bidi w:val="0"/>
              <w:jc w:val="left"/>
              <w:rPr>
                <w:rFonts w:hint="eastAsia" w:ascii="宋体" w:hAnsi="宋体" w:eastAsia="宋体" w:cs="宋体"/>
                <w:sz w:val="24"/>
                <w:szCs w:val="24"/>
              </w:rPr>
            </w:pPr>
            <w:r>
              <w:rPr>
                <w:rFonts w:hint="eastAsia" w:ascii="宋体" w:hAnsi="宋体" w:eastAsia="宋体" w:cs="宋体"/>
                <w:sz w:val="24"/>
                <w:szCs w:val="24"/>
              </w:rPr>
              <w:t>（3）16路数字量输入/输出模块（1套）</w:t>
            </w:r>
          </w:p>
          <w:p>
            <w:pPr>
              <w:bidi w:val="0"/>
              <w:jc w:val="left"/>
              <w:rPr>
                <w:rFonts w:hint="eastAsia" w:ascii="宋体" w:hAnsi="宋体" w:eastAsia="宋体" w:cs="宋体"/>
                <w:sz w:val="24"/>
                <w:szCs w:val="24"/>
              </w:rPr>
            </w:pPr>
            <w:r>
              <w:rPr>
                <w:rFonts w:hint="eastAsia" w:ascii="宋体" w:hAnsi="宋体" w:eastAsia="宋体" w:cs="宋体"/>
                <w:sz w:val="24"/>
                <w:szCs w:val="24"/>
              </w:rPr>
              <w:t>（4）8路模拟量输入模块（1套）</w:t>
            </w:r>
          </w:p>
          <w:p>
            <w:pPr>
              <w:bidi w:val="0"/>
              <w:jc w:val="left"/>
              <w:rPr>
                <w:rFonts w:hint="eastAsia" w:ascii="宋体" w:hAnsi="宋体" w:eastAsia="宋体" w:cs="宋体"/>
                <w:sz w:val="24"/>
                <w:szCs w:val="24"/>
              </w:rPr>
            </w:pPr>
            <w:r>
              <w:rPr>
                <w:rFonts w:hint="eastAsia" w:ascii="宋体" w:hAnsi="宋体" w:eastAsia="宋体" w:cs="宋体"/>
                <w:sz w:val="24"/>
                <w:szCs w:val="24"/>
              </w:rPr>
              <w:t>（5）4路模拟量输出模块（1套）</w:t>
            </w:r>
          </w:p>
          <w:p>
            <w:pPr>
              <w:bidi w:val="0"/>
              <w:jc w:val="left"/>
              <w:rPr>
                <w:rFonts w:hint="eastAsia" w:ascii="宋体" w:hAnsi="宋体" w:eastAsia="宋体" w:cs="宋体"/>
                <w:sz w:val="24"/>
                <w:szCs w:val="24"/>
              </w:rPr>
            </w:pPr>
            <w:r>
              <w:rPr>
                <w:rFonts w:hint="eastAsia" w:ascii="宋体" w:hAnsi="宋体" w:eastAsia="宋体" w:cs="宋体"/>
                <w:sz w:val="24"/>
                <w:szCs w:val="24"/>
              </w:rPr>
              <w:t>（6）8路数字量输入模块（3套）</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（7）电源模块（1套）</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套</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工业平板工作站</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功率:30W/220VAC，尺寸:15"电容触摸屏，CPU:2.0GHz四核，内存:2GB。</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净水系统</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宋体" w:hAnsi="宋体" w:eastAsia="宋体" w:cs="宋体"/>
                <w:b w:val="0"/>
                <w:kern w:val="2"/>
                <w:sz w:val="24"/>
                <w:szCs w:val="24"/>
                <w:lang w:val="en-US" w:eastAsia="zh-CN" w:bidi="ar-SA"/>
              </w:rPr>
            </w:pPr>
            <w:r>
              <w:rPr>
                <w:rFonts w:hint="eastAsia" w:ascii="宋体" w:hAnsi="宋体" w:eastAsia="宋体" w:cs="宋体"/>
                <w:sz w:val="24"/>
                <w:szCs w:val="24"/>
                <w:lang w:val="en-US" w:eastAsia="zh-CN"/>
              </w:rPr>
              <w:t>2T/H单级反渗透。采用原水箱+原水泵+石英砂处理器+活性炭处理器+精密过滤器+高压泵+一级反渗透膜+，整个系统根据各水箱的液位变化可以自动控</w:t>
            </w:r>
            <w:r>
              <w:rPr>
                <w:rFonts w:hint="eastAsia" w:ascii="宋体" w:hAnsi="宋体" w:eastAsia="宋体" w:cs="宋体"/>
                <w:b w:val="0"/>
                <w:kern w:val="2"/>
                <w:sz w:val="24"/>
                <w:szCs w:val="24"/>
                <w:lang w:val="en-US" w:eastAsia="zh-CN" w:bidi="ar-SA"/>
              </w:rPr>
              <w:t>制机器的产水，原水泵、石英砂处理器、活性炭处理器、高压泵，整机核心配件全部采用304食品级不锈钢材质，管路采用食品级UPVC材质。</w:t>
            </w:r>
          </w:p>
          <w:p>
            <w:pPr>
              <w:numPr>
                <w:ilvl w:val="0"/>
                <w:numId w:val="13"/>
              </w:num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水箱2个：一个原水箱，一个纯水箱，</w:t>
            </w:r>
            <w:r>
              <w:rPr>
                <w:rFonts w:hint="eastAsia" w:ascii="宋体" w:hAnsi="宋体" w:eastAsia="宋体" w:cs="宋体"/>
                <w:b w:val="0"/>
                <w:kern w:val="2"/>
                <w:sz w:val="24"/>
                <w:szCs w:val="24"/>
                <w:lang w:val="en-US" w:eastAsia="zh-CN" w:bidi="ar-SA"/>
              </w:rPr>
              <w:t>材质为SUS304 不锈钢，水箱设计的容积为 1～1.5 倍系统用水量。</w:t>
            </w:r>
            <w:r>
              <w:rPr>
                <w:rFonts w:hint="eastAsia" w:ascii="宋体" w:hAnsi="宋体" w:eastAsia="宋体" w:cs="宋体"/>
                <w:sz w:val="24"/>
                <w:szCs w:val="24"/>
                <w:lang w:val="en-US" w:eastAsia="zh-CN"/>
              </w:rPr>
              <w:t>具体根据净水系统负荷。</w:t>
            </w:r>
          </w:p>
          <w:p>
            <w:pPr>
              <w:numPr>
                <w:ilvl w:val="0"/>
                <w:numId w:val="13"/>
              </w:numPr>
              <w:bidi w:val="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原水供水泵：原水增压，保证设备正常运行所需原水压力，避免因原水压力不足导致机器不能正常运转</w:t>
            </w:r>
          </w:p>
          <w:p>
            <w:pPr>
              <w:numPr>
                <w:ilvl w:val="0"/>
                <w:numId w:val="13"/>
              </w:numPr>
              <w:bidi w:val="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石英砂处理器</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石英砂处理1个，罐，1个，规格：φ400*1650  材质：玻璃钢</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过滤阀头1个，流量：4.5T/H</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中心管1根，尺寸：φ5.3*1.6m   材质：食品级UPVC</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布水器1套，6分蘑菇头</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石英砂200kg，规格：2-4mm   密度：1.8（g/cm3）  化学成分：二氧化硅   吸附率：98%</w:t>
            </w:r>
          </w:p>
          <w:p>
            <w:pPr>
              <w:numPr>
                <w:ilvl w:val="0"/>
                <w:numId w:val="13"/>
              </w:numPr>
              <w:ind w:left="0" w:leftChars="0"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活性炭处理器</w:t>
            </w:r>
          </w:p>
          <w:p>
            <w:pPr>
              <w:numPr>
                <w:ilvl w:val="0"/>
                <w:numId w:val="0"/>
              </w:numPr>
              <w:ind w:leftChars="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活性炭处理罐规格：φ400*1650   材质：玻璃钢</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过滤阀头1个，流量：4.5T/H</w:t>
            </w:r>
          </w:p>
          <w:p>
            <w:pPr>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中心管1根，尺寸：φ5.3*1.6m  材质：食品级UPVC</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布水器1套，6分蘑菇头</w:t>
            </w:r>
          </w:p>
          <w:p>
            <w:pPr>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活性炭75kg，粒度：8*26（目） 类型：原生炭  材质：果壳  吸附率：99.7%</w:t>
            </w:r>
          </w:p>
          <w:p>
            <w:pPr>
              <w:numPr>
                <w:ilvl w:val="0"/>
                <w:numId w:val="0"/>
              </w:numPr>
              <w:ind w:leftChars="0"/>
              <w:jc w:val="both"/>
              <w:rPr>
                <w:rFonts w:hint="eastAsia" w:ascii="宋体" w:hAnsi="宋体" w:eastAsia="宋体" w:cs="宋体"/>
                <w:b/>
                <w:bCs/>
                <w:sz w:val="24"/>
                <w:szCs w:val="24"/>
                <w:vertAlign w:val="baseline"/>
                <w:lang w:val="en-US" w:eastAsia="zh-CN"/>
              </w:rPr>
            </w:pPr>
            <w:r>
              <w:rPr>
                <w:rFonts w:hint="eastAsia" w:ascii="宋体" w:hAnsi="宋体" w:eastAsia="宋体" w:cs="宋体"/>
                <w:b w:val="0"/>
                <w:kern w:val="2"/>
                <w:sz w:val="24"/>
                <w:szCs w:val="24"/>
                <w:lang w:val="en-US" w:eastAsia="zh-CN" w:bidi="ar-SA"/>
              </w:rPr>
              <w:t>（5）树脂处理器</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树脂处理罐1个，规格：φ400*1650 材质：玻璃钢 </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过滤阀头1个，流量：4.5T/H</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中心管1根，尺寸：φ5.3*1.6m材质：食品级UPVC</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布水器1套，6分蘑菇头</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树脂100kg，类型：阳离子交换树脂</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吸附率：70%</w:t>
            </w:r>
          </w:p>
          <w:p>
            <w:pPr>
              <w:numPr>
                <w:ilvl w:val="0"/>
                <w:numId w:val="0"/>
              </w:numPr>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（6）反渗透系统</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高压泵1台，型号：PL4-10 功率：2.2KW</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RO反渗透膜8支，型号：4040  脱盐率：98.6%</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进水电磁阀1只，DN32</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废水电磁阀1只，DN32</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低压开关BD-A3</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高压开关BD-A30</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压力表1个，10kg</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压力表4个，30kg</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调节阀2个，DN32</w:t>
            </w:r>
          </w:p>
          <w:p>
            <w:pPr>
              <w:numPr>
                <w:ilvl w:val="0"/>
                <w:numId w:val="0"/>
              </w:numPr>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面板流量计2个，规格：20加仑，型号：20GPM</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b w:val="0"/>
                <w:kern w:val="2"/>
                <w:sz w:val="24"/>
                <w:szCs w:val="24"/>
                <w:lang w:val="en-US" w:eastAsia="zh-CN" w:bidi="ar-SA"/>
              </w:rPr>
              <w:t>电导率仪2组，CCT3320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净水系统配套滤芯</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b w:val="0"/>
                <w:kern w:val="2"/>
                <w:sz w:val="24"/>
                <w:szCs w:val="24"/>
                <w:lang w:val="en-US" w:eastAsia="zh-CN" w:bidi="ar-SA"/>
              </w:rPr>
              <w:t>包括石英砂处理器、活性炭处理器、树脂处理器、反渗透系统。</w:t>
            </w:r>
            <w:r>
              <w:rPr>
                <w:rFonts w:hint="eastAsia" w:ascii="宋体" w:hAnsi="宋体" w:eastAsia="宋体" w:cs="宋体"/>
                <w:b w:val="0"/>
                <w:kern w:val="2"/>
                <w:sz w:val="24"/>
                <w:szCs w:val="24"/>
                <w:highlight w:val="none"/>
                <w:lang w:val="en-US" w:eastAsia="zh-CN" w:bidi="ar-SA"/>
              </w:rPr>
              <w:t>动态配送。</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智慧管控一体化平台</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1.人员流量分析系统</w:t>
            </w:r>
          </w:p>
          <w:p>
            <w:pPr>
              <w:bidi w:val="0"/>
              <w:jc w:val="left"/>
              <w:rPr>
                <w:rFonts w:hint="eastAsia" w:ascii="宋体" w:hAnsi="宋体" w:eastAsia="宋体" w:cs="宋体"/>
                <w:sz w:val="24"/>
                <w:szCs w:val="24"/>
              </w:rPr>
            </w:pPr>
            <w:r>
              <w:rPr>
                <w:rFonts w:hint="eastAsia" w:ascii="宋体" w:hAnsi="宋体" w:eastAsia="宋体" w:cs="宋体"/>
                <w:sz w:val="24"/>
                <w:szCs w:val="24"/>
              </w:rPr>
              <w:t>客流统计模块（1台）：400万星光级1/1.8” CMOS AI人脸客流统计筒型网络摄像机；数字降噪 支持;视频压缩标准 H.264;H.264编码类型 BaseLine Profile / Main Profile ;主码流分辨率与帧率 50Hz: 25fps @640 ×480；60Hz: 24fps @640 ×480;子码流分辨率与帧率 50Hz: 25fps(640 × 960)；60Hz: 24fps(640 × 960)；</w:t>
            </w:r>
          </w:p>
          <w:p>
            <w:pPr>
              <w:bidi w:val="0"/>
              <w:jc w:val="left"/>
              <w:rPr>
                <w:rFonts w:hint="eastAsia" w:ascii="宋体" w:hAnsi="宋体" w:eastAsia="宋体" w:cs="宋体"/>
                <w:sz w:val="24"/>
                <w:szCs w:val="24"/>
              </w:rPr>
            </w:pPr>
            <w:r>
              <w:rPr>
                <w:rFonts w:hint="eastAsia" w:ascii="宋体" w:hAnsi="宋体" w:eastAsia="宋体" w:cs="宋体"/>
                <w:sz w:val="24"/>
                <w:szCs w:val="24"/>
              </w:rPr>
              <w:t>存储功能：支持客流数据本地存储及断网续传功能;客流统计:支持客流量统计功能，对进入,离开以及经过的人员进行数量统计，并可显示及输出日、周、月、年统计报表;通讯接口1 个RJ45 10M / 100M 自适应以太网口,1个RS-485接口;报警接口 一个输入,一个输出;工作温度和湿度 -10℃~40℃,湿度小于95%(无凝结);电源供应 DC12V/POE802.3af;功耗 7W MAX；单个出入口。</w:t>
            </w:r>
          </w:p>
          <w:p>
            <w:pPr>
              <w:bidi w:val="0"/>
              <w:jc w:val="left"/>
              <w:rPr>
                <w:rFonts w:hint="eastAsia" w:ascii="宋体" w:hAnsi="宋体" w:eastAsia="宋体" w:cs="宋体"/>
                <w:sz w:val="24"/>
                <w:szCs w:val="24"/>
              </w:rPr>
            </w:pPr>
            <w:r>
              <w:rPr>
                <w:rFonts w:hint="eastAsia" w:ascii="宋体" w:hAnsi="宋体" w:eastAsia="宋体" w:cs="宋体"/>
                <w:sz w:val="24"/>
                <w:szCs w:val="24"/>
              </w:rPr>
              <w:t>2.人员安全帽检测分析系统</w:t>
            </w:r>
          </w:p>
          <w:p>
            <w:pPr>
              <w:bidi w:val="0"/>
              <w:jc w:val="left"/>
              <w:rPr>
                <w:rFonts w:hint="eastAsia" w:ascii="宋体" w:hAnsi="宋体" w:eastAsia="宋体" w:cs="宋体"/>
                <w:sz w:val="24"/>
                <w:szCs w:val="24"/>
              </w:rPr>
            </w:pPr>
            <w:r>
              <w:rPr>
                <w:rFonts w:hint="eastAsia" w:ascii="宋体" w:hAnsi="宋体" w:eastAsia="宋体" w:cs="宋体"/>
                <w:sz w:val="24"/>
                <w:szCs w:val="24"/>
              </w:rPr>
              <w:t>人员安全帽检测摄像机（2台），进行安全帽检测，支持未戴安全帽人员检测报警抓图，并联动IO；摄像机参数：</w:t>
            </w:r>
          </w:p>
          <w:p>
            <w:pPr>
              <w:bidi w:val="0"/>
              <w:jc w:val="left"/>
              <w:rPr>
                <w:rFonts w:hint="eastAsia" w:ascii="宋体" w:hAnsi="宋体" w:eastAsia="宋体" w:cs="宋体"/>
                <w:sz w:val="24"/>
                <w:szCs w:val="24"/>
              </w:rPr>
            </w:pPr>
            <w:r>
              <w:rPr>
                <w:rFonts w:hint="eastAsia" w:ascii="宋体" w:hAnsi="宋体" w:eastAsia="宋体" w:cs="宋体"/>
                <w:sz w:val="24"/>
                <w:szCs w:val="24"/>
              </w:rPr>
              <w:t>传感器类型 1/2.8” Progressive Scan CMOS；</w:t>
            </w:r>
          </w:p>
          <w:p>
            <w:pPr>
              <w:bidi w:val="0"/>
              <w:jc w:val="left"/>
              <w:rPr>
                <w:rFonts w:hint="eastAsia" w:ascii="宋体" w:hAnsi="宋体" w:eastAsia="宋体" w:cs="宋体"/>
                <w:sz w:val="24"/>
                <w:szCs w:val="24"/>
              </w:rPr>
            </w:pPr>
            <w:r>
              <w:rPr>
                <w:rFonts w:hint="eastAsia" w:ascii="宋体" w:hAnsi="宋体" w:eastAsia="宋体" w:cs="宋体"/>
                <w:sz w:val="24"/>
                <w:szCs w:val="24"/>
              </w:rPr>
              <w:t>最低照度 彩色: 0.005Lux @ (F1.2, AGC ON) 黑白: 0.0002 Lux @ (F1.2, AGC ON), 0 Lux with IR；</w:t>
            </w:r>
          </w:p>
          <w:p>
            <w:pPr>
              <w:bidi w:val="0"/>
              <w:jc w:val="left"/>
              <w:rPr>
                <w:rFonts w:hint="eastAsia" w:ascii="宋体" w:hAnsi="宋体" w:eastAsia="宋体" w:cs="宋体"/>
                <w:sz w:val="24"/>
                <w:szCs w:val="24"/>
              </w:rPr>
            </w:pPr>
            <w:r>
              <w:rPr>
                <w:rFonts w:hint="eastAsia" w:ascii="宋体" w:hAnsi="宋体" w:eastAsia="宋体" w:cs="宋体"/>
                <w:sz w:val="24"/>
                <w:szCs w:val="24"/>
              </w:rPr>
              <w:t>快门 1秒至1/100,000秒；</w:t>
            </w:r>
          </w:p>
          <w:p>
            <w:pPr>
              <w:bidi w:val="0"/>
              <w:jc w:val="left"/>
              <w:rPr>
                <w:rFonts w:hint="eastAsia" w:ascii="宋体" w:hAnsi="宋体" w:eastAsia="宋体" w:cs="宋体"/>
                <w:sz w:val="24"/>
                <w:szCs w:val="24"/>
              </w:rPr>
            </w:pPr>
            <w:r>
              <w:rPr>
                <w:rFonts w:hint="eastAsia" w:ascii="宋体" w:hAnsi="宋体" w:eastAsia="宋体" w:cs="宋体"/>
                <w:sz w:val="24"/>
                <w:szCs w:val="24"/>
              </w:rPr>
              <w:t>压缩标准：视频压缩标准 H.265/H.264 / MJPEG；</w:t>
            </w:r>
          </w:p>
          <w:p>
            <w:pPr>
              <w:bidi w:val="0"/>
              <w:jc w:val="left"/>
              <w:rPr>
                <w:rFonts w:hint="eastAsia" w:ascii="宋体" w:hAnsi="宋体" w:eastAsia="宋体" w:cs="宋体"/>
                <w:sz w:val="24"/>
                <w:szCs w:val="24"/>
              </w:rPr>
            </w:pPr>
            <w:r>
              <w:rPr>
                <w:rFonts w:hint="eastAsia" w:ascii="宋体" w:hAnsi="宋体" w:eastAsia="宋体" w:cs="宋体"/>
                <w:sz w:val="24"/>
                <w:szCs w:val="24"/>
              </w:rPr>
              <w:t>H.265编码类型 Main Profile；</w:t>
            </w:r>
          </w:p>
          <w:p>
            <w:pPr>
              <w:bidi w:val="0"/>
              <w:jc w:val="left"/>
              <w:rPr>
                <w:rFonts w:hint="eastAsia" w:ascii="宋体" w:hAnsi="宋体" w:eastAsia="宋体" w:cs="宋体"/>
                <w:sz w:val="24"/>
                <w:szCs w:val="24"/>
              </w:rPr>
            </w:pPr>
            <w:r>
              <w:rPr>
                <w:rFonts w:hint="eastAsia" w:ascii="宋体" w:hAnsi="宋体" w:eastAsia="宋体" w:cs="宋体"/>
                <w:sz w:val="24"/>
                <w:szCs w:val="24"/>
              </w:rPr>
              <w:t>H.264编码类型 BaseLine Profile / Main Profile / High Profile；视频压缩码率 32 Kbps~16Mbps；</w:t>
            </w:r>
          </w:p>
          <w:p>
            <w:pPr>
              <w:bidi w:val="0"/>
              <w:jc w:val="left"/>
              <w:rPr>
                <w:rFonts w:hint="eastAsia" w:ascii="宋体" w:hAnsi="宋体" w:eastAsia="宋体" w:cs="宋体"/>
                <w:sz w:val="24"/>
                <w:szCs w:val="24"/>
              </w:rPr>
            </w:pPr>
            <w:r>
              <w:rPr>
                <w:rFonts w:hint="eastAsia" w:ascii="宋体" w:hAnsi="宋体" w:eastAsia="宋体" w:cs="宋体"/>
                <w:sz w:val="24"/>
                <w:szCs w:val="24"/>
              </w:rPr>
              <w:t>智能报警 移动侦测,遮挡报警,网线断,IP地址冲突,非法登录，存储器满,存储器错;</w:t>
            </w:r>
          </w:p>
          <w:p>
            <w:pPr>
              <w:bidi w:val="0"/>
              <w:jc w:val="left"/>
              <w:rPr>
                <w:rFonts w:hint="eastAsia" w:ascii="宋体" w:hAnsi="宋体" w:eastAsia="宋体" w:cs="宋体"/>
                <w:sz w:val="24"/>
                <w:szCs w:val="24"/>
              </w:rPr>
            </w:pPr>
            <w:r>
              <w:rPr>
                <w:rFonts w:hint="eastAsia" w:ascii="宋体" w:hAnsi="宋体" w:eastAsia="宋体" w:cs="宋体"/>
                <w:sz w:val="24"/>
                <w:szCs w:val="24"/>
              </w:rPr>
              <w:t>SMART功能：</w:t>
            </w:r>
          </w:p>
          <w:p>
            <w:pPr>
              <w:bidi w:val="0"/>
              <w:jc w:val="left"/>
              <w:rPr>
                <w:rFonts w:hint="eastAsia" w:ascii="宋体" w:hAnsi="宋体" w:eastAsia="宋体" w:cs="宋体"/>
                <w:sz w:val="24"/>
                <w:szCs w:val="24"/>
              </w:rPr>
            </w:pPr>
            <w:r>
              <w:rPr>
                <w:rFonts w:hint="eastAsia" w:ascii="宋体" w:hAnsi="宋体" w:eastAsia="宋体" w:cs="宋体"/>
                <w:sz w:val="24"/>
                <w:szCs w:val="24"/>
              </w:rPr>
              <w:t>行为分析：越界侦测、区域入侵侦测、进入/离开区域侦测、物品遗留/拿取侦测、徘徊侦测,人员聚集侦测,快速运动侦测,停车侦测；</w:t>
            </w:r>
          </w:p>
          <w:p>
            <w:pPr>
              <w:bidi w:val="0"/>
              <w:jc w:val="left"/>
              <w:rPr>
                <w:rFonts w:hint="eastAsia" w:ascii="宋体" w:hAnsi="宋体" w:eastAsia="宋体" w:cs="宋体"/>
                <w:sz w:val="24"/>
                <w:szCs w:val="24"/>
              </w:rPr>
            </w:pPr>
            <w:r>
              <w:rPr>
                <w:rFonts w:hint="eastAsia" w:ascii="宋体" w:hAnsi="宋体" w:eastAsia="宋体" w:cs="宋体"/>
                <w:sz w:val="24"/>
                <w:szCs w:val="24"/>
              </w:rPr>
              <w:t>异常侦测：场景变更侦测、音频异常、音频陡升/陡降侦测,音频有无侦测，虚焦侦测；</w:t>
            </w:r>
          </w:p>
          <w:p>
            <w:pPr>
              <w:bidi w:val="0"/>
              <w:jc w:val="left"/>
              <w:rPr>
                <w:rFonts w:hint="eastAsia" w:ascii="宋体" w:hAnsi="宋体" w:eastAsia="宋体" w:cs="宋体"/>
                <w:sz w:val="24"/>
                <w:szCs w:val="24"/>
              </w:rPr>
            </w:pPr>
            <w:r>
              <w:rPr>
                <w:rFonts w:hint="eastAsia" w:ascii="宋体" w:hAnsi="宋体" w:eastAsia="宋体" w:cs="宋体"/>
                <w:sz w:val="24"/>
                <w:szCs w:val="24"/>
              </w:rPr>
              <w:t>3.监控级专供盘：2块，4T;</w:t>
            </w:r>
          </w:p>
          <w:p>
            <w:pPr>
              <w:bidi w:val="0"/>
              <w:jc w:val="left"/>
              <w:rPr>
                <w:rFonts w:hint="eastAsia" w:ascii="宋体" w:hAnsi="宋体" w:eastAsia="宋体" w:cs="宋体"/>
                <w:sz w:val="24"/>
                <w:szCs w:val="24"/>
              </w:rPr>
            </w:pPr>
            <w:r>
              <w:rPr>
                <w:rFonts w:hint="eastAsia" w:ascii="宋体" w:hAnsi="宋体" w:eastAsia="宋体" w:cs="宋体"/>
                <w:sz w:val="24"/>
                <w:szCs w:val="24"/>
              </w:rPr>
              <w:t>4.网络视频监控系统</w:t>
            </w:r>
          </w:p>
          <w:p>
            <w:pPr>
              <w:bidi w:val="0"/>
              <w:jc w:val="left"/>
              <w:rPr>
                <w:rFonts w:hint="eastAsia" w:ascii="宋体" w:hAnsi="宋体" w:eastAsia="宋体" w:cs="宋体"/>
                <w:sz w:val="24"/>
                <w:szCs w:val="24"/>
              </w:rPr>
            </w:pPr>
            <w:r>
              <w:rPr>
                <w:rFonts w:hint="eastAsia" w:ascii="宋体" w:hAnsi="宋体" w:eastAsia="宋体" w:cs="宋体"/>
                <w:sz w:val="24"/>
                <w:szCs w:val="24"/>
              </w:rPr>
              <w:t>（1）全彩网络摄像机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5台，400万1/3英寸Progressive Scan CMOS，4mm</w:t>
            </w:r>
          </w:p>
          <w:p>
            <w:pPr>
              <w:bidi w:val="0"/>
              <w:jc w:val="left"/>
              <w:rPr>
                <w:rFonts w:hint="eastAsia" w:ascii="宋体" w:hAnsi="宋体" w:eastAsia="宋体" w:cs="宋体"/>
                <w:sz w:val="24"/>
                <w:szCs w:val="24"/>
              </w:rPr>
            </w:pPr>
            <w:r>
              <w:rPr>
                <w:rFonts w:hint="eastAsia" w:ascii="宋体" w:hAnsi="宋体" w:eastAsia="宋体" w:cs="宋体"/>
                <w:sz w:val="24"/>
                <w:szCs w:val="24"/>
              </w:rPr>
              <w:t>（2）广角摄像机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11台，400万1/3英寸 Progressive Scan CMOS，180度广角；</w:t>
            </w:r>
          </w:p>
          <w:p>
            <w:pPr>
              <w:bidi w:val="0"/>
              <w:jc w:val="left"/>
              <w:rPr>
                <w:rFonts w:hint="eastAsia" w:ascii="宋体" w:hAnsi="宋体" w:eastAsia="宋体" w:cs="宋体"/>
                <w:sz w:val="24"/>
                <w:szCs w:val="24"/>
              </w:rPr>
            </w:pPr>
            <w:r>
              <w:rPr>
                <w:rFonts w:hint="eastAsia" w:ascii="宋体" w:hAnsi="宋体" w:eastAsia="宋体" w:cs="宋体"/>
                <w:sz w:val="24"/>
                <w:szCs w:val="24"/>
              </w:rPr>
              <w:t>（3）支架：壁挂；</w:t>
            </w:r>
          </w:p>
          <w:p>
            <w:pPr>
              <w:bidi w:val="0"/>
              <w:jc w:val="left"/>
              <w:rPr>
                <w:rFonts w:hint="eastAsia" w:ascii="宋体" w:hAnsi="宋体" w:eastAsia="宋体" w:cs="宋体"/>
                <w:sz w:val="24"/>
                <w:szCs w:val="24"/>
              </w:rPr>
            </w:pPr>
            <w:r>
              <w:rPr>
                <w:rFonts w:hint="eastAsia" w:ascii="宋体" w:hAnsi="宋体" w:eastAsia="宋体" w:cs="宋体"/>
                <w:sz w:val="24"/>
                <w:szCs w:val="24"/>
              </w:rPr>
              <w:t>（4）POE供电集成器</w:t>
            </w:r>
            <w:r>
              <w:rPr>
                <w:rFonts w:hint="eastAsia" w:ascii="宋体" w:hAnsi="宋体" w:eastAsia="宋体" w:cs="宋体"/>
                <w:sz w:val="24"/>
                <w:szCs w:val="24"/>
              </w:rPr>
              <w:tab/>
            </w:r>
            <w:r>
              <w:rPr>
                <w:rFonts w:hint="eastAsia" w:ascii="宋体" w:hAnsi="宋体" w:eastAsia="宋体" w:cs="宋体"/>
                <w:sz w:val="24"/>
                <w:szCs w:val="24"/>
              </w:rPr>
              <w:t>；4台，九口带防雷；</w:t>
            </w:r>
          </w:p>
          <w:p>
            <w:pPr>
              <w:bidi w:val="0"/>
              <w:jc w:val="left"/>
              <w:rPr>
                <w:rFonts w:hint="eastAsia" w:ascii="宋体" w:hAnsi="宋体" w:eastAsia="宋体" w:cs="宋体"/>
                <w:sz w:val="24"/>
                <w:szCs w:val="24"/>
              </w:rPr>
            </w:pPr>
            <w:r>
              <w:rPr>
                <w:rFonts w:hint="eastAsia" w:ascii="宋体" w:hAnsi="宋体" w:eastAsia="宋体" w:cs="宋体"/>
                <w:sz w:val="24"/>
                <w:szCs w:val="24"/>
              </w:rPr>
              <w:t>（5）网络硬盘录像机</w:t>
            </w:r>
            <w:r>
              <w:rPr>
                <w:rFonts w:hint="eastAsia" w:ascii="宋体" w:hAnsi="宋体" w:eastAsia="宋体" w:cs="宋体"/>
                <w:sz w:val="24"/>
                <w:szCs w:val="24"/>
                <w:lang w:eastAsia="zh-CN"/>
              </w:rPr>
              <w:t>：</w:t>
            </w:r>
            <w:r>
              <w:rPr>
                <w:rFonts w:hint="eastAsia" w:ascii="宋体" w:hAnsi="宋体" w:eastAsia="宋体" w:cs="宋体"/>
                <w:sz w:val="24"/>
                <w:szCs w:val="24"/>
              </w:rPr>
              <w:t>1台，最大支持 600 万像素高清网络视频的预览、存储与回放；支持 IP 设备集中管理，包括 IP 设备参数配置、信息的导入/导出和升级等功能；支持 H.265 高效视频编码码流，支持 H.265、H.264、MPEG4 IP设备混合接入；支持 HDMI 与 VGA 同源输出，支持 HDMI 接口 4K 超高清显示输出，支持 VGA 接口高清 1080p 显示输出；</w:t>
            </w:r>
          </w:p>
          <w:p>
            <w:pPr>
              <w:bidi w:val="0"/>
              <w:jc w:val="left"/>
              <w:rPr>
                <w:rFonts w:hint="eastAsia" w:ascii="宋体" w:hAnsi="宋体" w:eastAsia="宋体" w:cs="宋体"/>
                <w:sz w:val="24"/>
                <w:szCs w:val="24"/>
              </w:rPr>
            </w:pPr>
            <w:r>
              <w:rPr>
                <w:rFonts w:hint="eastAsia" w:ascii="宋体" w:hAnsi="宋体" w:eastAsia="宋体" w:cs="宋体"/>
                <w:sz w:val="24"/>
                <w:szCs w:val="24"/>
              </w:rPr>
              <w:t>（6）网线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4箱，无氧铜超五类，305米/箱</w:t>
            </w:r>
          </w:p>
          <w:p>
            <w:pPr>
              <w:bidi w:val="0"/>
              <w:jc w:val="left"/>
              <w:rPr>
                <w:rFonts w:hint="eastAsia" w:ascii="宋体" w:hAnsi="宋体" w:eastAsia="宋体" w:cs="宋体"/>
                <w:sz w:val="24"/>
                <w:szCs w:val="24"/>
              </w:rPr>
            </w:pPr>
            <w:r>
              <w:rPr>
                <w:rFonts w:hint="eastAsia" w:ascii="宋体" w:hAnsi="宋体" w:eastAsia="宋体" w:cs="宋体"/>
                <w:sz w:val="24"/>
                <w:szCs w:val="24"/>
              </w:rPr>
              <w:t>5.大屏系统</w:t>
            </w:r>
          </w:p>
          <w:p>
            <w:pPr>
              <w:bidi w:val="0"/>
              <w:jc w:val="left"/>
              <w:rPr>
                <w:rFonts w:hint="eastAsia" w:ascii="宋体" w:hAnsi="宋体" w:eastAsia="宋体" w:cs="宋体"/>
                <w:sz w:val="24"/>
                <w:szCs w:val="24"/>
              </w:rPr>
            </w:pPr>
            <w:r>
              <w:rPr>
                <w:rFonts w:hint="eastAsia" w:ascii="宋体" w:hAnsi="宋体" w:eastAsia="宋体" w:cs="宋体"/>
                <w:sz w:val="24"/>
                <w:szCs w:val="24"/>
              </w:rPr>
              <w:t>（1）拼接屏</w:t>
            </w:r>
          </w:p>
          <w:p>
            <w:pPr>
              <w:bidi w:val="0"/>
              <w:jc w:val="left"/>
              <w:rPr>
                <w:rFonts w:hint="eastAsia" w:ascii="宋体" w:hAnsi="宋体" w:eastAsia="宋体" w:cs="宋体"/>
                <w:sz w:val="24"/>
                <w:szCs w:val="24"/>
              </w:rPr>
            </w:pPr>
            <w:r>
              <w:rPr>
                <w:rFonts w:hint="eastAsia" w:ascii="宋体" w:hAnsi="宋体" w:eastAsia="宋体" w:cs="宋体"/>
                <w:sz w:val="24"/>
                <w:szCs w:val="24"/>
              </w:rPr>
              <w:t>12台，LCD液晶显示单元；尺寸：不小于55英寸；分辨率：不小于1920x1080；</w:t>
            </w:r>
          </w:p>
          <w:p>
            <w:pPr>
              <w:bidi w:val="0"/>
              <w:jc w:val="left"/>
              <w:rPr>
                <w:rFonts w:hint="eastAsia" w:ascii="宋体" w:hAnsi="宋体" w:eastAsia="宋体" w:cs="宋体"/>
                <w:sz w:val="24"/>
                <w:szCs w:val="24"/>
              </w:rPr>
            </w:pPr>
            <w:r>
              <w:rPr>
                <w:rFonts w:hint="eastAsia" w:ascii="宋体" w:hAnsi="宋体" w:eastAsia="宋体" w:cs="宋体"/>
                <w:sz w:val="24"/>
                <w:szCs w:val="24"/>
              </w:rPr>
              <w:t>视角：178°(水平)/ 178°(垂直)；响应时间：≤12ms(G to G)；</w:t>
            </w:r>
          </w:p>
          <w:p>
            <w:pPr>
              <w:bidi w:val="0"/>
              <w:jc w:val="left"/>
              <w:rPr>
                <w:rFonts w:hint="eastAsia" w:ascii="宋体" w:hAnsi="宋体" w:eastAsia="宋体" w:cs="宋体"/>
                <w:sz w:val="24"/>
                <w:szCs w:val="24"/>
              </w:rPr>
            </w:pPr>
            <w:r>
              <w:rPr>
                <w:rFonts w:hint="eastAsia" w:ascii="宋体" w:hAnsi="宋体" w:eastAsia="宋体" w:cs="宋体"/>
                <w:sz w:val="24"/>
                <w:szCs w:val="24"/>
              </w:rPr>
              <w:t>对比度：不小于4000:1；亮度：不小于400cd/㎡；物理拼缝：≤3.5mm；</w:t>
            </w:r>
          </w:p>
          <w:p>
            <w:pPr>
              <w:bidi w:val="0"/>
              <w:jc w:val="left"/>
              <w:rPr>
                <w:rFonts w:hint="eastAsia" w:ascii="宋体" w:hAnsi="宋体" w:eastAsia="宋体" w:cs="宋体"/>
                <w:sz w:val="24"/>
                <w:szCs w:val="24"/>
              </w:rPr>
            </w:pPr>
            <w:r>
              <w:rPr>
                <w:rFonts w:hint="eastAsia" w:ascii="宋体" w:hAnsi="宋体" w:eastAsia="宋体" w:cs="宋体"/>
                <w:sz w:val="24"/>
                <w:szCs w:val="24"/>
              </w:rPr>
              <w:t>输入接口：VGA×1，DVI×1，BNC×1，YPbPr×1，HDMI×1，USB×1，输出接口：VGA×1，DVI×1，BNC×2</w:t>
            </w:r>
          </w:p>
          <w:p>
            <w:pPr>
              <w:bidi w:val="0"/>
              <w:jc w:val="left"/>
              <w:rPr>
                <w:rFonts w:hint="eastAsia" w:ascii="宋体" w:hAnsi="宋体" w:eastAsia="宋体" w:cs="宋体"/>
                <w:sz w:val="24"/>
                <w:szCs w:val="24"/>
              </w:rPr>
            </w:pPr>
            <w:r>
              <w:rPr>
                <w:rFonts w:hint="eastAsia" w:ascii="宋体" w:hAnsi="宋体" w:eastAsia="宋体" w:cs="宋体"/>
                <w:sz w:val="24"/>
                <w:szCs w:val="24"/>
              </w:rPr>
              <w:t>控制接口：RJ45 for RS-232（输入×1，输出×2）</w:t>
            </w:r>
          </w:p>
          <w:p>
            <w:pPr>
              <w:bidi w:val="0"/>
              <w:jc w:val="left"/>
              <w:rPr>
                <w:rFonts w:hint="eastAsia" w:ascii="宋体" w:hAnsi="宋体" w:eastAsia="宋体" w:cs="宋体"/>
                <w:sz w:val="24"/>
                <w:szCs w:val="24"/>
              </w:rPr>
            </w:pPr>
            <w:r>
              <w:rPr>
                <w:rFonts w:hint="eastAsia" w:ascii="宋体" w:hAnsi="宋体" w:eastAsia="宋体" w:cs="宋体"/>
                <w:sz w:val="24"/>
                <w:szCs w:val="24"/>
              </w:rPr>
              <w:t>可选配接口：3G SDI(输入×1、输出×1)、DP、HDbaseT、TVI(输入×1、输出×1)、网络源；功耗：≤150W；电源要求：AC 100-240V～, 50/60Hz；寿命：≥60000 小时；</w:t>
            </w:r>
          </w:p>
          <w:p>
            <w:pPr>
              <w:bidi w:val="0"/>
              <w:jc w:val="left"/>
              <w:rPr>
                <w:rFonts w:hint="eastAsia" w:ascii="宋体" w:hAnsi="宋体" w:eastAsia="宋体" w:cs="宋体"/>
                <w:sz w:val="24"/>
                <w:szCs w:val="24"/>
              </w:rPr>
            </w:pPr>
            <w:r>
              <w:rPr>
                <w:rFonts w:hint="eastAsia" w:ascii="宋体" w:hAnsi="宋体" w:eastAsia="宋体" w:cs="宋体"/>
                <w:sz w:val="24"/>
                <w:szCs w:val="24"/>
              </w:rPr>
              <w:t>工作温度和湿度：0℃--50℃，10%--90%；</w:t>
            </w:r>
          </w:p>
          <w:p>
            <w:pPr>
              <w:bidi w:val="0"/>
              <w:jc w:val="left"/>
              <w:rPr>
                <w:rFonts w:hint="eastAsia" w:ascii="宋体" w:hAnsi="宋体" w:eastAsia="宋体" w:cs="宋体"/>
                <w:sz w:val="24"/>
                <w:szCs w:val="24"/>
              </w:rPr>
            </w:pPr>
            <w:r>
              <w:rPr>
                <w:rFonts w:hint="eastAsia" w:ascii="宋体" w:hAnsi="宋体" w:eastAsia="宋体" w:cs="宋体"/>
                <w:sz w:val="24"/>
                <w:szCs w:val="24"/>
              </w:rPr>
              <w:t>外形尺寸：≥1213.7mm×684.5mm×70.5mm（长×宽×高）（不含手柄）；边框宽度：≤2.3mm（左/上）,1.2mm（右/下）；</w:t>
            </w:r>
          </w:p>
          <w:p>
            <w:pPr>
              <w:bidi w:val="0"/>
              <w:jc w:val="left"/>
              <w:rPr>
                <w:rFonts w:hint="eastAsia" w:ascii="宋体" w:hAnsi="宋体" w:eastAsia="宋体" w:cs="宋体"/>
                <w:sz w:val="24"/>
                <w:szCs w:val="24"/>
              </w:rPr>
            </w:pPr>
            <w:r>
              <w:rPr>
                <w:rFonts w:hint="eastAsia" w:ascii="宋体" w:hAnsi="宋体" w:eastAsia="宋体" w:cs="宋体"/>
                <w:sz w:val="24"/>
                <w:szCs w:val="24"/>
              </w:rPr>
              <w:t>（2）大屏支架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1套，定制，液压壁挂安装；</w:t>
            </w:r>
          </w:p>
          <w:p>
            <w:pPr>
              <w:bidi w:val="0"/>
              <w:jc w:val="left"/>
              <w:rPr>
                <w:rFonts w:hint="eastAsia" w:ascii="宋体" w:hAnsi="宋体" w:eastAsia="宋体" w:cs="宋体"/>
                <w:sz w:val="24"/>
                <w:szCs w:val="24"/>
              </w:rPr>
            </w:pPr>
            <w:r>
              <w:rPr>
                <w:rFonts w:hint="eastAsia" w:ascii="宋体" w:hAnsi="宋体" w:eastAsia="宋体" w:cs="宋体"/>
                <w:sz w:val="24"/>
                <w:szCs w:val="24"/>
              </w:rPr>
              <w:t>（3）网络视频16解码器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1台，支持开窗漫游等功能，支持12路4K、48路1080P、96路720P、192路D1解码上墙，单屏最大32画面分割；</w:t>
            </w:r>
          </w:p>
          <w:p>
            <w:pPr>
              <w:bidi w:val="0"/>
              <w:jc w:val="left"/>
              <w:rPr>
                <w:rFonts w:hint="eastAsia" w:ascii="宋体" w:hAnsi="宋体" w:eastAsia="宋体" w:cs="宋体"/>
                <w:sz w:val="24"/>
                <w:szCs w:val="24"/>
              </w:rPr>
            </w:pPr>
            <w:r>
              <w:rPr>
                <w:rFonts w:hint="eastAsia" w:ascii="宋体" w:hAnsi="宋体" w:eastAsia="宋体" w:cs="宋体"/>
                <w:sz w:val="24"/>
                <w:szCs w:val="24"/>
              </w:rPr>
              <w:t>（4）HDMI线缆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9根HDMI线缆，15m ；、</w:t>
            </w:r>
          </w:p>
          <w:p>
            <w:pPr>
              <w:bidi w:val="0"/>
              <w:jc w:val="left"/>
              <w:rPr>
                <w:rFonts w:hint="eastAsia" w:ascii="宋体" w:hAnsi="宋体" w:eastAsia="宋体" w:cs="宋体"/>
                <w:sz w:val="24"/>
                <w:szCs w:val="24"/>
              </w:rPr>
            </w:pPr>
            <w:r>
              <w:rPr>
                <w:rFonts w:hint="eastAsia" w:ascii="宋体" w:hAnsi="宋体" w:eastAsia="宋体" w:cs="宋体"/>
                <w:sz w:val="24"/>
                <w:szCs w:val="24"/>
              </w:rPr>
              <w:t>6.网络广播系统</w:t>
            </w:r>
          </w:p>
          <w:p>
            <w:pPr>
              <w:bidi w:val="0"/>
              <w:jc w:val="left"/>
              <w:rPr>
                <w:rFonts w:hint="eastAsia" w:ascii="宋体" w:hAnsi="宋体" w:eastAsia="宋体" w:cs="宋体"/>
                <w:sz w:val="24"/>
                <w:szCs w:val="24"/>
              </w:rPr>
            </w:pPr>
            <w:r>
              <w:rPr>
                <w:rFonts w:hint="eastAsia" w:ascii="宋体" w:hAnsi="宋体" w:eastAsia="宋体" w:cs="宋体"/>
                <w:sz w:val="24"/>
                <w:szCs w:val="24"/>
              </w:rPr>
              <w:t>（1）IP网络控制主机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1台，屏幕尺寸：≥15英寸</w:t>
            </w:r>
          </w:p>
          <w:p>
            <w:pPr>
              <w:bidi w:val="0"/>
              <w:jc w:val="left"/>
              <w:rPr>
                <w:rFonts w:hint="eastAsia" w:ascii="宋体" w:hAnsi="宋体" w:eastAsia="宋体" w:cs="宋体"/>
                <w:sz w:val="24"/>
                <w:szCs w:val="24"/>
              </w:rPr>
            </w:pPr>
            <w:r>
              <w:rPr>
                <w:rFonts w:hint="eastAsia" w:ascii="宋体" w:hAnsi="宋体" w:eastAsia="宋体" w:cs="宋体"/>
                <w:sz w:val="24"/>
                <w:szCs w:val="24"/>
              </w:rPr>
              <w:t>屏幕颜色：TFT真彩色；</w:t>
            </w:r>
          </w:p>
          <w:p>
            <w:pPr>
              <w:bidi w:val="0"/>
              <w:jc w:val="left"/>
              <w:rPr>
                <w:rFonts w:hint="eastAsia" w:ascii="宋体" w:hAnsi="宋体" w:eastAsia="宋体" w:cs="宋体"/>
                <w:sz w:val="24"/>
                <w:szCs w:val="24"/>
              </w:rPr>
            </w:pPr>
            <w:r>
              <w:rPr>
                <w:rFonts w:hint="eastAsia" w:ascii="宋体" w:hAnsi="宋体" w:eastAsia="宋体" w:cs="宋体"/>
                <w:sz w:val="24"/>
                <w:szCs w:val="24"/>
              </w:rPr>
              <w:t>操控方式：≥1024 x 768分辨率液晶电阻式(五线)触摸屏；</w:t>
            </w:r>
          </w:p>
          <w:p>
            <w:pPr>
              <w:bidi w:val="0"/>
              <w:jc w:val="left"/>
              <w:rPr>
                <w:rFonts w:hint="eastAsia" w:ascii="宋体" w:hAnsi="宋体" w:eastAsia="宋体" w:cs="宋体"/>
                <w:sz w:val="24"/>
                <w:szCs w:val="24"/>
              </w:rPr>
            </w:pPr>
            <w:r>
              <w:rPr>
                <w:rFonts w:hint="eastAsia" w:ascii="宋体" w:hAnsi="宋体" w:eastAsia="宋体" w:cs="宋体"/>
                <w:sz w:val="24"/>
                <w:szCs w:val="24"/>
              </w:rPr>
              <w:t>工作环境温度：环境温度：5℃～40℃；</w:t>
            </w:r>
          </w:p>
          <w:p>
            <w:pPr>
              <w:bidi w:val="0"/>
              <w:jc w:val="left"/>
              <w:rPr>
                <w:rFonts w:hint="eastAsia" w:ascii="宋体" w:hAnsi="宋体" w:eastAsia="宋体" w:cs="宋体"/>
                <w:sz w:val="24"/>
                <w:szCs w:val="24"/>
              </w:rPr>
            </w:pPr>
            <w:r>
              <w:rPr>
                <w:rFonts w:hint="eastAsia" w:ascii="宋体" w:hAnsi="宋体" w:eastAsia="宋体" w:cs="宋体"/>
                <w:sz w:val="24"/>
                <w:szCs w:val="24"/>
              </w:rPr>
              <w:t>工作环境湿度：相对湿度：20%～80%相对湿度，无结露；</w:t>
            </w:r>
          </w:p>
          <w:p>
            <w:pPr>
              <w:bidi w:val="0"/>
              <w:jc w:val="left"/>
              <w:rPr>
                <w:rFonts w:hint="eastAsia" w:ascii="宋体" w:hAnsi="宋体" w:eastAsia="宋体" w:cs="宋体"/>
                <w:sz w:val="24"/>
                <w:szCs w:val="24"/>
              </w:rPr>
            </w:pPr>
            <w:r>
              <w:rPr>
                <w:rFonts w:hint="eastAsia" w:ascii="宋体" w:hAnsi="宋体" w:eastAsia="宋体" w:cs="宋体"/>
                <w:sz w:val="24"/>
                <w:szCs w:val="24"/>
              </w:rPr>
              <w:t>主板：Intel NM10芯片组，X86架构；</w:t>
            </w:r>
          </w:p>
          <w:p>
            <w:pPr>
              <w:bidi w:val="0"/>
              <w:jc w:val="left"/>
              <w:rPr>
                <w:rFonts w:hint="eastAsia" w:ascii="宋体" w:hAnsi="宋体" w:eastAsia="宋体" w:cs="宋体"/>
                <w:sz w:val="24"/>
                <w:szCs w:val="24"/>
              </w:rPr>
            </w:pPr>
            <w:r>
              <w:rPr>
                <w:rFonts w:hint="eastAsia" w:ascii="宋体" w:hAnsi="宋体" w:eastAsia="宋体" w:cs="宋体"/>
                <w:sz w:val="24"/>
                <w:szCs w:val="24"/>
              </w:rPr>
              <w:t>标准接口：6 x 串口；1 x 并口；1 x VGA；4 xUSB口；硬盘：128G SSD 固态硬盘；</w:t>
            </w:r>
          </w:p>
          <w:p>
            <w:pPr>
              <w:bidi w:val="0"/>
              <w:jc w:val="left"/>
              <w:rPr>
                <w:rFonts w:hint="eastAsia" w:ascii="宋体" w:hAnsi="宋体" w:eastAsia="宋体" w:cs="宋体"/>
                <w:sz w:val="24"/>
                <w:szCs w:val="24"/>
              </w:rPr>
            </w:pPr>
            <w:r>
              <w:rPr>
                <w:rFonts w:hint="eastAsia" w:ascii="宋体" w:hAnsi="宋体" w:eastAsia="宋体" w:cs="宋体"/>
                <w:sz w:val="24"/>
                <w:szCs w:val="24"/>
              </w:rPr>
              <w:t>内存：DDR4 4G；网卡：1000M；CPU：Intel 四核，大于2.1GHz；</w:t>
            </w:r>
          </w:p>
          <w:p>
            <w:pPr>
              <w:bidi w:val="0"/>
              <w:jc w:val="left"/>
              <w:rPr>
                <w:rFonts w:hint="eastAsia" w:ascii="宋体" w:hAnsi="宋体" w:eastAsia="宋体" w:cs="宋体"/>
                <w:sz w:val="24"/>
                <w:szCs w:val="24"/>
              </w:rPr>
            </w:pPr>
            <w:r>
              <w:rPr>
                <w:rFonts w:hint="eastAsia" w:ascii="宋体" w:hAnsi="宋体" w:eastAsia="宋体" w:cs="宋体"/>
                <w:sz w:val="24"/>
                <w:szCs w:val="24"/>
              </w:rPr>
              <w:t>（2）音柱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8台大功率室外防水音柱，全金属结构，六级防水，适用于大型广场、操场等场所。</w:t>
            </w:r>
          </w:p>
          <w:p>
            <w:pPr>
              <w:bidi w:val="0"/>
              <w:jc w:val="left"/>
              <w:rPr>
                <w:rFonts w:hint="eastAsia" w:ascii="宋体" w:hAnsi="宋体" w:eastAsia="宋体" w:cs="宋体"/>
                <w:sz w:val="24"/>
                <w:szCs w:val="24"/>
              </w:rPr>
            </w:pPr>
            <w:r>
              <w:rPr>
                <w:rFonts w:hint="eastAsia" w:ascii="宋体" w:hAnsi="宋体" w:eastAsia="宋体" w:cs="宋体"/>
                <w:sz w:val="24"/>
                <w:szCs w:val="24"/>
              </w:rPr>
              <w:t>额定功率(100V)：30W；额定功率(70V)：15W；灵敏度：89dB；阻抗：黑:Com白:330Ω；频率响应：110-15KHz；防护等级：IP66；</w:t>
            </w:r>
          </w:p>
          <w:p>
            <w:pPr>
              <w:bidi w:val="0"/>
              <w:jc w:val="left"/>
              <w:rPr>
                <w:rFonts w:hint="eastAsia" w:ascii="宋体" w:hAnsi="宋体" w:eastAsia="宋体" w:cs="宋体"/>
                <w:sz w:val="24"/>
                <w:szCs w:val="24"/>
              </w:rPr>
            </w:pPr>
            <w:r>
              <w:rPr>
                <w:rFonts w:hint="eastAsia" w:ascii="宋体" w:hAnsi="宋体" w:eastAsia="宋体" w:cs="宋体"/>
                <w:sz w:val="24"/>
                <w:szCs w:val="24"/>
              </w:rPr>
              <w:t>（3）寻呼话筒</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1台，适用于各种呼叫中心、报警中心、值班室、领导办公室、会议室等场合，可以对网络中的各种终端进行单向(对点，分区或者全区)喊话，双向对讲和监听。网络接口：标准RJ45输入；</w:t>
            </w:r>
          </w:p>
          <w:p>
            <w:pPr>
              <w:bidi w:val="0"/>
              <w:jc w:val="left"/>
              <w:rPr>
                <w:rFonts w:hint="eastAsia" w:ascii="宋体" w:hAnsi="宋体" w:eastAsia="宋体" w:cs="宋体"/>
                <w:sz w:val="24"/>
                <w:szCs w:val="24"/>
              </w:rPr>
            </w:pPr>
            <w:r>
              <w:rPr>
                <w:rFonts w:hint="eastAsia" w:ascii="宋体" w:hAnsi="宋体" w:eastAsia="宋体" w:cs="宋体"/>
                <w:sz w:val="24"/>
                <w:szCs w:val="24"/>
              </w:rPr>
              <w:t>支持协议：TCP/IP，UDP；音频格式：MP3；采样率：8KHz~48KHz；</w:t>
            </w:r>
          </w:p>
          <w:p>
            <w:pPr>
              <w:bidi w:val="0"/>
              <w:jc w:val="left"/>
              <w:rPr>
                <w:rFonts w:hint="eastAsia" w:ascii="宋体" w:hAnsi="宋体" w:eastAsia="宋体" w:cs="宋体"/>
                <w:sz w:val="24"/>
                <w:szCs w:val="24"/>
              </w:rPr>
            </w:pPr>
            <w:r>
              <w:rPr>
                <w:rFonts w:hint="eastAsia" w:ascii="宋体" w:hAnsi="宋体" w:eastAsia="宋体" w:cs="宋体"/>
                <w:sz w:val="24"/>
                <w:szCs w:val="24"/>
              </w:rPr>
              <w:t>传输速率：≥100Mbps；音频模式：16位CD音质；显示屏尺寸：≥7英寸；屏幕分辨率：≥800 x 480 像素；屏幕类型：65K色DGUS屏；键盘类型：虚拟QWERTY键盘；键盘输入方式：触控；</w:t>
            </w:r>
          </w:p>
          <w:p>
            <w:pPr>
              <w:bidi w:val="0"/>
              <w:jc w:val="left"/>
              <w:rPr>
                <w:rFonts w:hint="eastAsia" w:ascii="宋体" w:hAnsi="宋体" w:eastAsia="宋体" w:cs="宋体"/>
                <w:sz w:val="24"/>
                <w:szCs w:val="24"/>
              </w:rPr>
            </w:pPr>
            <w:r>
              <w:rPr>
                <w:rFonts w:hint="eastAsia" w:ascii="宋体" w:hAnsi="宋体" w:eastAsia="宋体" w:cs="宋体"/>
                <w:sz w:val="24"/>
                <w:szCs w:val="24"/>
              </w:rPr>
              <w:t>内接扬声器阻抗及额定功率：4Ω，2W；总偕波失真：≤1%；</w:t>
            </w:r>
          </w:p>
          <w:p>
            <w:pPr>
              <w:bidi w:val="0"/>
              <w:jc w:val="left"/>
              <w:rPr>
                <w:rFonts w:hint="eastAsia" w:ascii="宋体" w:hAnsi="宋体" w:eastAsia="宋体" w:cs="宋体"/>
                <w:sz w:val="24"/>
                <w:szCs w:val="24"/>
              </w:rPr>
            </w:pPr>
            <w:r>
              <w:rPr>
                <w:rFonts w:hint="eastAsia" w:ascii="宋体" w:hAnsi="宋体" w:eastAsia="宋体" w:cs="宋体"/>
                <w:sz w:val="24"/>
                <w:szCs w:val="24"/>
              </w:rPr>
              <w:t>内置喇叭频率响应：317Hz~3.4KHz  +1/-3dB；LIEN OUT频率响应：80Hz~16KHz  +1/-3dB；信噪比：&gt;65dB；</w:t>
            </w:r>
          </w:p>
          <w:p>
            <w:pPr>
              <w:bidi w:val="0"/>
              <w:jc w:val="left"/>
              <w:rPr>
                <w:rFonts w:hint="eastAsia" w:ascii="宋体" w:hAnsi="宋体" w:eastAsia="宋体" w:cs="宋体"/>
                <w:sz w:val="24"/>
                <w:szCs w:val="24"/>
              </w:rPr>
            </w:pPr>
            <w:r>
              <w:rPr>
                <w:rFonts w:hint="eastAsia" w:ascii="宋体" w:hAnsi="宋体" w:eastAsia="宋体" w:cs="宋体"/>
                <w:sz w:val="24"/>
                <w:szCs w:val="24"/>
              </w:rPr>
              <w:t>（4）无线话筒：2套，采用UHF超高频段双真分集接收，并采用DPLL数字锁相环多信道频率合成技术；V/A显示屏在任何角度观察字体清晰同时显示信道号与工作频率。</w:t>
            </w:r>
          </w:p>
          <w:p>
            <w:pPr>
              <w:bidi w:val="0"/>
              <w:jc w:val="left"/>
              <w:rPr>
                <w:rFonts w:hint="eastAsia" w:ascii="宋体" w:hAnsi="宋体" w:eastAsia="宋体" w:cs="宋体"/>
                <w:sz w:val="24"/>
                <w:szCs w:val="24"/>
              </w:rPr>
            </w:pPr>
            <w:r>
              <w:rPr>
                <w:rFonts w:hint="eastAsia" w:ascii="宋体" w:hAnsi="宋体" w:eastAsia="宋体" w:cs="宋体"/>
                <w:sz w:val="24"/>
                <w:szCs w:val="24"/>
              </w:rPr>
              <w:t>频率指标:640-830MHz，调制方式:宽带FM，提供≥200个可调频率，≥500个信道选择，真正分集式接收,有效避免断频现象和延长接收距离。工作距离约100m；中频丰富，声音且有磁性感和混厚感，属人声话筒音持的精华。</w:t>
            </w:r>
          </w:p>
          <w:p>
            <w:pPr>
              <w:bidi w:val="0"/>
              <w:jc w:val="left"/>
              <w:rPr>
                <w:rFonts w:hint="eastAsia" w:ascii="宋体" w:hAnsi="宋体" w:eastAsia="宋体" w:cs="宋体"/>
                <w:sz w:val="24"/>
                <w:szCs w:val="24"/>
              </w:rPr>
            </w:pPr>
            <w:r>
              <w:rPr>
                <w:rFonts w:hint="eastAsia" w:ascii="宋体" w:hAnsi="宋体" w:eastAsia="宋体" w:cs="宋体"/>
                <w:sz w:val="24"/>
                <w:szCs w:val="24"/>
              </w:rPr>
              <w:t>系统包括有一台主机+一个头戴和一个手持话筒；发射机指标：音头采用动圈式麦克风，输出功率:3mW~30mW。</w:t>
            </w:r>
          </w:p>
          <w:p>
            <w:pPr>
              <w:bidi w:val="0"/>
              <w:jc w:val="left"/>
              <w:rPr>
                <w:rFonts w:hint="eastAsia" w:ascii="宋体" w:hAnsi="宋体" w:eastAsia="宋体" w:cs="宋体"/>
                <w:sz w:val="24"/>
                <w:szCs w:val="24"/>
              </w:rPr>
            </w:pPr>
            <w:r>
              <w:rPr>
                <w:rFonts w:hint="eastAsia" w:ascii="宋体" w:hAnsi="宋体" w:eastAsia="宋体" w:cs="宋体"/>
                <w:sz w:val="24"/>
                <w:szCs w:val="24"/>
              </w:rPr>
              <w:t>（5）IP网络终端功放（裁判室及操作区）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2套，网络接口：标准RJ45输入；</w:t>
            </w:r>
          </w:p>
          <w:p>
            <w:pPr>
              <w:bidi w:val="0"/>
              <w:jc w:val="left"/>
              <w:rPr>
                <w:rFonts w:hint="eastAsia" w:ascii="宋体" w:hAnsi="宋体" w:eastAsia="宋体" w:cs="宋体"/>
                <w:sz w:val="24"/>
                <w:szCs w:val="24"/>
              </w:rPr>
            </w:pPr>
            <w:r>
              <w:rPr>
                <w:rFonts w:hint="eastAsia" w:ascii="宋体" w:hAnsi="宋体" w:eastAsia="宋体" w:cs="宋体"/>
                <w:sz w:val="24"/>
                <w:szCs w:val="24"/>
              </w:rPr>
              <w:t>传输速率：100Mbps；支持协议：TCP/IP，UDP；额定功率：120W；待机功耗：＜10W ；</w:t>
            </w:r>
          </w:p>
          <w:p>
            <w:pPr>
              <w:bidi w:val="0"/>
              <w:jc w:val="left"/>
              <w:rPr>
                <w:rFonts w:hint="eastAsia" w:ascii="宋体" w:hAnsi="宋体" w:eastAsia="宋体" w:cs="宋体"/>
                <w:sz w:val="24"/>
                <w:szCs w:val="24"/>
              </w:rPr>
            </w:pPr>
            <w:r>
              <w:rPr>
                <w:rFonts w:hint="eastAsia" w:ascii="宋体" w:hAnsi="宋体" w:eastAsia="宋体" w:cs="宋体"/>
                <w:sz w:val="24"/>
                <w:szCs w:val="24"/>
              </w:rPr>
              <w:t>（6）数字化网络广播客户端管理软件</w:t>
            </w:r>
          </w:p>
          <w:p>
            <w:pPr>
              <w:bidi w:val="0"/>
              <w:jc w:val="left"/>
              <w:rPr>
                <w:rFonts w:hint="eastAsia" w:ascii="宋体" w:hAnsi="宋体" w:eastAsia="宋体" w:cs="宋体"/>
                <w:sz w:val="24"/>
                <w:szCs w:val="24"/>
              </w:rPr>
            </w:pPr>
            <w:r>
              <w:rPr>
                <w:rFonts w:hint="eastAsia" w:ascii="宋体" w:hAnsi="宋体" w:eastAsia="宋体" w:cs="宋体"/>
                <w:sz w:val="24"/>
                <w:szCs w:val="24"/>
              </w:rPr>
              <w:t>1套广播系统管理和控制软件、安装于网络广播控制中心或计算机，是广播系统数据交换、系统运行和功能操作的综合管理平台。</w:t>
            </w:r>
          </w:p>
          <w:p>
            <w:pPr>
              <w:bidi w:val="0"/>
              <w:jc w:val="left"/>
              <w:rPr>
                <w:rFonts w:hint="eastAsia" w:ascii="宋体" w:hAnsi="宋体" w:eastAsia="宋体" w:cs="宋体"/>
                <w:sz w:val="24"/>
                <w:szCs w:val="24"/>
              </w:rPr>
            </w:pPr>
            <w:r>
              <w:rPr>
                <w:rFonts w:hint="eastAsia" w:ascii="宋体" w:hAnsi="宋体" w:eastAsia="宋体" w:cs="宋体"/>
                <w:sz w:val="24"/>
                <w:szCs w:val="24"/>
              </w:rPr>
              <w:t>7.设备数据采集子系统</w:t>
            </w:r>
          </w:p>
          <w:p>
            <w:pPr>
              <w:bidi w:val="0"/>
              <w:ind w:firstLine="240" w:firstLineChars="100"/>
              <w:jc w:val="left"/>
              <w:rPr>
                <w:rFonts w:hint="eastAsia" w:ascii="宋体" w:hAnsi="宋体" w:eastAsia="宋体" w:cs="宋体"/>
                <w:sz w:val="24"/>
                <w:szCs w:val="24"/>
              </w:rPr>
            </w:pPr>
            <w:r>
              <w:rPr>
                <w:rFonts w:hint="eastAsia" w:ascii="宋体" w:hAnsi="宋体" w:eastAsia="宋体" w:cs="宋体"/>
                <w:sz w:val="24"/>
                <w:szCs w:val="24"/>
              </w:rPr>
              <w:t>6台数据采集网关，支持DCS系统数据采集；</w:t>
            </w:r>
          </w:p>
          <w:p>
            <w:pPr>
              <w:bidi w:val="0"/>
              <w:jc w:val="left"/>
              <w:rPr>
                <w:rFonts w:hint="eastAsia" w:ascii="宋体" w:hAnsi="宋体" w:eastAsia="宋体" w:cs="宋体"/>
                <w:sz w:val="24"/>
                <w:szCs w:val="24"/>
              </w:rPr>
            </w:pPr>
            <w:r>
              <w:rPr>
                <w:rFonts w:hint="eastAsia" w:ascii="宋体" w:hAnsi="宋体" w:eastAsia="宋体" w:cs="宋体"/>
                <w:sz w:val="24"/>
                <w:szCs w:val="24"/>
              </w:rPr>
              <w:t>定周期信号采集，采集周期可配置；</w:t>
            </w:r>
          </w:p>
          <w:p>
            <w:pPr>
              <w:bidi w:val="0"/>
              <w:jc w:val="left"/>
              <w:rPr>
                <w:rFonts w:hint="eastAsia" w:ascii="宋体" w:hAnsi="宋体" w:eastAsia="宋体" w:cs="宋体"/>
                <w:sz w:val="24"/>
                <w:szCs w:val="24"/>
              </w:rPr>
            </w:pPr>
            <w:r>
              <w:rPr>
                <w:rFonts w:hint="eastAsia" w:ascii="宋体" w:hAnsi="宋体" w:eastAsia="宋体" w:cs="宋体"/>
                <w:sz w:val="24"/>
                <w:szCs w:val="24"/>
              </w:rPr>
              <w:t>支持有线网络及4G数据上传，支持主要电信运营商标准（电信、移动、联通）；</w:t>
            </w:r>
          </w:p>
          <w:p>
            <w:pPr>
              <w:bidi w:val="0"/>
              <w:jc w:val="left"/>
              <w:rPr>
                <w:rFonts w:hint="eastAsia" w:ascii="宋体" w:hAnsi="宋体" w:eastAsia="宋体" w:cs="宋体"/>
                <w:sz w:val="24"/>
                <w:szCs w:val="24"/>
              </w:rPr>
            </w:pPr>
            <w:r>
              <w:rPr>
                <w:rFonts w:hint="eastAsia" w:ascii="宋体" w:hAnsi="宋体" w:eastAsia="宋体" w:cs="宋体"/>
                <w:sz w:val="24"/>
                <w:szCs w:val="24"/>
              </w:rPr>
              <w:t>具有断网续传功能，数据自动缓存和续传；</w:t>
            </w:r>
          </w:p>
          <w:p>
            <w:pPr>
              <w:bidi w:val="0"/>
              <w:jc w:val="left"/>
              <w:rPr>
                <w:rFonts w:hint="eastAsia" w:ascii="宋体" w:hAnsi="宋体" w:eastAsia="宋体" w:cs="宋体"/>
                <w:sz w:val="24"/>
                <w:szCs w:val="24"/>
              </w:rPr>
            </w:pPr>
            <w:r>
              <w:rPr>
                <w:rFonts w:hint="eastAsia" w:ascii="宋体" w:hAnsi="宋体" w:eastAsia="宋体" w:cs="宋体"/>
                <w:sz w:val="24"/>
                <w:szCs w:val="24"/>
              </w:rPr>
              <w:t>支持变化上送和周期上送相结合的应用；</w:t>
            </w:r>
          </w:p>
          <w:p>
            <w:pPr>
              <w:bidi w:val="0"/>
              <w:jc w:val="left"/>
              <w:rPr>
                <w:rFonts w:hint="eastAsia" w:ascii="宋体" w:hAnsi="宋体" w:eastAsia="宋体" w:cs="宋体"/>
                <w:sz w:val="24"/>
                <w:szCs w:val="24"/>
              </w:rPr>
            </w:pPr>
            <w:r>
              <w:rPr>
                <w:rFonts w:hint="eastAsia" w:ascii="宋体" w:hAnsi="宋体" w:eastAsia="宋体" w:cs="宋体"/>
                <w:sz w:val="24"/>
                <w:szCs w:val="24"/>
              </w:rPr>
              <w:t>可扩展MicroSD卡；</w:t>
            </w:r>
          </w:p>
          <w:p>
            <w:pPr>
              <w:bidi w:val="0"/>
              <w:jc w:val="left"/>
              <w:rPr>
                <w:rFonts w:hint="eastAsia" w:ascii="宋体" w:hAnsi="宋体" w:eastAsia="宋体" w:cs="宋体"/>
                <w:sz w:val="24"/>
                <w:szCs w:val="24"/>
              </w:rPr>
            </w:pPr>
            <w:r>
              <w:rPr>
                <w:rFonts w:hint="eastAsia" w:ascii="宋体" w:hAnsi="宋体" w:eastAsia="宋体" w:cs="宋体"/>
                <w:sz w:val="24"/>
                <w:szCs w:val="24"/>
              </w:rPr>
              <w:t>2路10/100M自适应以太网接口(LAN和WAN)；</w:t>
            </w:r>
          </w:p>
          <w:p>
            <w:pPr>
              <w:bidi w:val="0"/>
              <w:jc w:val="left"/>
              <w:rPr>
                <w:rFonts w:hint="eastAsia" w:ascii="宋体" w:hAnsi="宋体" w:eastAsia="宋体" w:cs="宋体"/>
                <w:sz w:val="24"/>
                <w:szCs w:val="24"/>
              </w:rPr>
            </w:pPr>
            <w:r>
              <w:rPr>
                <w:rFonts w:hint="eastAsia" w:ascii="宋体" w:hAnsi="宋体" w:eastAsia="宋体" w:cs="宋体"/>
                <w:sz w:val="24"/>
                <w:szCs w:val="24"/>
              </w:rPr>
              <w:t>8.人员定位系统</w:t>
            </w:r>
          </w:p>
          <w:p>
            <w:pPr>
              <w:bidi w:val="0"/>
              <w:jc w:val="left"/>
              <w:rPr>
                <w:rFonts w:hint="eastAsia" w:ascii="宋体" w:hAnsi="宋体" w:eastAsia="宋体" w:cs="宋体"/>
                <w:sz w:val="24"/>
                <w:szCs w:val="24"/>
              </w:rPr>
            </w:pPr>
            <w:r>
              <w:rPr>
                <w:rFonts w:hint="eastAsia" w:ascii="宋体" w:hAnsi="宋体" w:eastAsia="宋体" w:cs="宋体"/>
                <w:sz w:val="24"/>
                <w:szCs w:val="24"/>
              </w:rPr>
              <w:t>（1）精准人员定位标签</w:t>
            </w:r>
          </w:p>
          <w:p>
            <w:pPr>
              <w:bidi w:val="0"/>
              <w:jc w:val="left"/>
              <w:rPr>
                <w:rFonts w:hint="eastAsia" w:ascii="宋体" w:hAnsi="宋体" w:eastAsia="宋体" w:cs="宋体"/>
                <w:sz w:val="24"/>
                <w:szCs w:val="24"/>
              </w:rPr>
            </w:pPr>
            <w:r>
              <w:rPr>
                <w:rFonts w:hint="eastAsia" w:ascii="宋体" w:hAnsi="宋体" w:eastAsia="宋体" w:cs="宋体"/>
                <w:sz w:val="24"/>
                <w:szCs w:val="24"/>
              </w:rPr>
              <w:t>20张定位标签是室内定位系统的组成部分，定位标签附着在定位对象表面，当标签进入基站的信号覆盖范围内，即自动与基站建立联系。定位精度：10-30CM。</w:t>
            </w:r>
          </w:p>
          <w:p>
            <w:pPr>
              <w:bidi w:val="0"/>
              <w:jc w:val="left"/>
              <w:rPr>
                <w:rFonts w:hint="eastAsia" w:ascii="宋体" w:hAnsi="宋体" w:eastAsia="宋体" w:cs="宋体"/>
                <w:sz w:val="24"/>
                <w:szCs w:val="24"/>
              </w:rPr>
            </w:pPr>
            <w:r>
              <w:rPr>
                <w:rFonts w:hint="eastAsia" w:ascii="宋体" w:hAnsi="宋体" w:eastAsia="宋体" w:cs="宋体"/>
                <w:sz w:val="24"/>
                <w:szCs w:val="24"/>
              </w:rPr>
              <w:t>（2）精准定位基站(增强型)</w:t>
            </w:r>
          </w:p>
          <w:p>
            <w:pPr>
              <w:bidi w:val="0"/>
              <w:jc w:val="left"/>
              <w:rPr>
                <w:rFonts w:hint="eastAsia" w:ascii="宋体" w:hAnsi="宋体" w:eastAsia="宋体" w:cs="宋体"/>
                <w:sz w:val="24"/>
                <w:szCs w:val="24"/>
              </w:rPr>
            </w:pPr>
            <w:r>
              <w:rPr>
                <w:rFonts w:hint="eastAsia" w:ascii="宋体" w:hAnsi="宋体" w:eastAsia="宋体" w:cs="宋体"/>
                <w:sz w:val="24"/>
                <w:szCs w:val="24"/>
              </w:rPr>
              <w:t>6台，探测标签的数据信息并上传至服务器进行汇总分析。定位精度：10-30CM。</w:t>
            </w:r>
          </w:p>
          <w:p>
            <w:pPr>
              <w:bidi w:val="0"/>
              <w:jc w:val="left"/>
              <w:rPr>
                <w:rFonts w:hint="eastAsia" w:ascii="宋体" w:hAnsi="宋体" w:eastAsia="宋体" w:cs="宋体"/>
                <w:sz w:val="24"/>
                <w:szCs w:val="24"/>
              </w:rPr>
            </w:pPr>
            <w:r>
              <w:rPr>
                <w:rFonts w:hint="eastAsia" w:ascii="宋体" w:hAnsi="宋体" w:eastAsia="宋体" w:cs="宋体"/>
                <w:sz w:val="24"/>
                <w:szCs w:val="24"/>
              </w:rPr>
              <w:t>（3）精准定位引擎服务器</w:t>
            </w:r>
          </w:p>
          <w:p>
            <w:pPr>
              <w:bidi w:val="0"/>
              <w:jc w:val="left"/>
              <w:rPr>
                <w:rFonts w:hint="eastAsia" w:ascii="宋体" w:hAnsi="宋体" w:eastAsia="宋体" w:cs="宋体"/>
                <w:sz w:val="24"/>
                <w:szCs w:val="24"/>
              </w:rPr>
            </w:pPr>
            <w:r>
              <w:rPr>
                <w:rFonts w:hint="eastAsia" w:ascii="宋体" w:hAnsi="宋体" w:eastAsia="宋体" w:cs="宋体"/>
                <w:sz w:val="24"/>
                <w:szCs w:val="24"/>
              </w:rPr>
              <w:t>1套，含定位引擎服务器软件，windows版，支持数据库(mysql,oracle)。</w:t>
            </w:r>
          </w:p>
          <w:p>
            <w:pPr>
              <w:bidi w:val="0"/>
              <w:jc w:val="left"/>
              <w:rPr>
                <w:rFonts w:hint="eastAsia" w:ascii="宋体" w:hAnsi="宋体" w:eastAsia="宋体" w:cs="宋体"/>
                <w:sz w:val="24"/>
                <w:szCs w:val="24"/>
              </w:rPr>
            </w:pPr>
            <w:r>
              <w:rPr>
                <w:rFonts w:hint="eastAsia" w:ascii="宋体" w:hAnsi="宋体" w:eastAsia="宋体" w:cs="宋体"/>
                <w:sz w:val="24"/>
                <w:szCs w:val="24"/>
              </w:rPr>
              <w:t>9.智慧赛场管控一体化平台</w:t>
            </w:r>
          </w:p>
          <w:p>
            <w:pPr>
              <w:bidi w:val="0"/>
              <w:jc w:val="left"/>
              <w:rPr>
                <w:rFonts w:hint="eastAsia" w:ascii="宋体" w:hAnsi="宋体" w:eastAsia="宋体" w:cs="宋体"/>
                <w:sz w:val="24"/>
                <w:szCs w:val="24"/>
              </w:rPr>
            </w:pPr>
            <w:r>
              <w:rPr>
                <w:rFonts w:hint="eastAsia" w:ascii="宋体" w:hAnsi="宋体" w:eastAsia="宋体" w:cs="宋体"/>
                <w:sz w:val="24"/>
                <w:szCs w:val="24"/>
              </w:rPr>
              <w:t>1套平台软件,集人员流量分析系统、人员安全帽分析系统、人员定位分析系统、设备数据分析系统、视频监控系统、网络广播系统于一体的管控一体化平台，各个子系统相互协作，实现整个赛场数据的互联互通，支持web数据可视化浏览。统一比赛场地平面图渲染更加直观了解比赛场地，可在线查看显示视频监控，在线关注场地人员流动及流动轨迹情况。跨区域报警保证比赛的公平公正；人员行为轨迹配合实时视频查看为异议提供依据；场地入口安全帽检测提高了化工生产的安全性和规范性（入口处有屏幕进行提示）；设备数据的监测第一提高了比赛公平公正的原则性的同时，也提供了赛后队员对比赛自我分析的资源。</w:t>
            </w:r>
          </w:p>
          <w:p>
            <w:pPr>
              <w:bidi w:val="0"/>
              <w:jc w:val="left"/>
              <w:rPr>
                <w:rFonts w:hint="eastAsia" w:ascii="宋体" w:hAnsi="宋体" w:eastAsia="宋体" w:cs="宋体"/>
                <w:sz w:val="24"/>
                <w:szCs w:val="24"/>
              </w:rPr>
            </w:pPr>
            <w:r>
              <w:rPr>
                <w:rFonts w:hint="eastAsia" w:ascii="宋体" w:hAnsi="宋体" w:eastAsia="宋体" w:cs="宋体"/>
                <w:sz w:val="24"/>
                <w:szCs w:val="24"/>
              </w:rPr>
              <w:t>9.1.移动端功能要求</w:t>
            </w:r>
          </w:p>
          <w:p>
            <w:pPr>
              <w:bidi w:val="0"/>
              <w:jc w:val="left"/>
              <w:rPr>
                <w:rFonts w:hint="eastAsia" w:ascii="宋体" w:hAnsi="宋体" w:eastAsia="宋体" w:cs="宋体"/>
                <w:sz w:val="24"/>
                <w:szCs w:val="24"/>
              </w:rPr>
            </w:pPr>
            <w:r>
              <w:rPr>
                <w:rFonts w:hint="eastAsia" w:ascii="宋体" w:hAnsi="宋体" w:eastAsia="宋体" w:cs="宋体"/>
                <w:sz w:val="24"/>
                <w:szCs w:val="24"/>
              </w:rPr>
              <w:t>移动端内容包括实训装置管理、学习视频、学习资料、监控视频、实训报告、设备报警、能耗数据、环境数据、巡检报表等功能模块，功能界面设计采用九宫格形式，可在电脑端或者移动端同一界面进行查看使用。</w:t>
            </w:r>
          </w:p>
          <w:p>
            <w:pPr>
              <w:bidi w:val="0"/>
              <w:jc w:val="left"/>
              <w:rPr>
                <w:rFonts w:hint="eastAsia" w:ascii="宋体" w:hAnsi="宋体" w:eastAsia="宋体" w:cs="宋体"/>
                <w:sz w:val="24"/>
                <w:szCs w:val="24"/>
              </w:rPr>
            </w:pPr>
            <w:r>
              <w:rPr>
                <w:rFonts w:hint="eastAsia" w:ascii="宋体" w:hAnsi="宋体" w:eastAsia="宋体" w:cs="宋体"/>
                <w:sz w:val="24"/>
                <w:szCs w:val="24"/>
              </w:rPr>
              <w:t>1）实训装置：实训装置页面支持以实训区域分类显示所有实训装置，可实时查看装置当前使用状态；支持扫描设备上的二维码进入装置页面；实训页面显示学生登录信息及实训时长、工艺流程图、能耗数据和点位数据；支持设置采集频率自动记录数据变化；实训报告支持保存到相册或者生成Excel表格文件；实验数据支持选择并生成曲线。</w:t>
            </w:r>
          </w:p>
          <w:p>
            <w:pPr>
              <w:bidi w:val="0"/>
              <w:jc w:val="left"/>
              <w:rPr>
                <w:rFonts w:hint="eastAsia" w:ascii="宋体" w:hAnsi="宋体" w:eastAsia="宋体" w:cs="宋体"/>
                <w:sz w:val="24"/>
                <w:szCs w:val="24"/>
              </w:rPr>
            </w:pPr>
            <w:r>
              <w:rPr>
                <w:rFonts w:hint="eastAsia" w:ascii="宋体" w:hAnsi="宋体" w:eastAsia="宋体" w:cs="宋体"/>
                <w:sz w:val="24"/>
                <w:szCs w:val="24"/>
              </w:rPr>
              <w:t>2）学习视频、学习资料：支持在线查看学习视频、学习资料，移动端扫码在线查看。</w:t>
            </w:r>
          </w:p>
          <w:p>
            <w:pPr>
              <w:bidi w:val="0"/>
              <w:jc w:val="left"/>
              <w:rPr>
                <w:rFonts w:hint="eastAsia" w:ascii="宋体" w:hAnsi="宋体" w:eastAsia="宋体" w:cs="宋体"/>
                <w:sz w:val="24"/>
                <w:szCs w:val="24"/>
              </w:rPr>
            </w:pPr>
            <w:r>
              <w:rPr>
                <w:rFonts w:hint="eastAsia" w:ascii="宋体" w:hAnsi="宋体" w:eastAsia="宋体" w:cs="宋体"/>
                <w:sz w:val="24"/>
                <w:szCs w:val="24"/>
              </w:rPr>
              <w:t>3）监控视频：支持在监控视频页面查看所有监控的画面。</w:t>
            </w:r>
          </w:p>
          <w:p>
            <w:pPr>
              <w:bidi w:val="0"/>
              <w:jc w:val="left"/>
              <w:rPr>
                <w:rFonts w:hint="eastAsia" w:ascii="宋体" w:hAnsi="宋体" w:eastAsia="宋体" w:cs="宋体"/>
                <w:sz w:val="24"/>
                <w:szCs w:val="24"/>
              </w:rPr>
            </w:pPr>
            <w:r>
              <w:rPr>
                <w:rFonts w:hint="eastAsia" w:ascii="宋体" w:hAnsi="宋体" w:eastAsia="宋体" w:cs="宋体"/>
                <w:sz w:val="24"/>
                <w:szCs w:val="24"/>
              </w:rPr>
              <w:t>4）实训报告：实训报告界面支持查看所有完成的实训记录，可保存相册或者excel导出。</w:t>
            </w:r>
          </w:p>
          <w:p>
            <w:pPr>
              <w:bidi w:val="0"/>
              <w:jc w:val="left"/>
              <w:rPr>
                <w:rFonts w:hint="eastAsia" w:ascii="宋体" w:hAnsi="宋体" w:eastAsia="宋体" w:cs="宋体"/>
                <w:sz w:val="24"/>
                <w:szCs w:val="24"/>
              </w:rPr>
            </w:pPr>
            <w:r>
              <w:rPr>
                <w:rFonts w:hint="eastAsia" w:ascii="宋体" w:hAnsi="宋体" w:eastAsia="宋体" w:cs="宋体"/>
                <w:sz w:val="24"/>
                <w:szCs w:val="24"/>
              </w:rPr>
              <w:t>5）设备报警：设备报警页面记录全部报警信息，包含以下报警信息：装置报警、安全帽报警、能耗报警、环境参数报警。</w:t>
            </w:r>
          </w:p>
          <w:p>
            <w:pPr>
              <w:bidi w:val="0"/>
              <w:jc w:val="left"/>
              <w:rPr>
                <w:rFonts w:hint="eastAsia" w:ascii="宋体" w:hAnsi="宋体" w:eastAsia="宋体" w:cs="宋体"/>
                <w:sz w:val="24"/>
                <w:szCs w:val="24"/>
              </w:rPr>
            </w:pPr>
            <w:r>
              <w:rPr>
                <w:rFonts w:hint="eastAsia" w:ascii="宋体" w:hAnsi="宋体" w:eastAsia="宋体" w:cs="宋体"/>
                <w:sz w:val="24"/>
                <w:szCs w:val="24"/>
              </w:rPr>
              <w:t>6）能耗数据：能耗数据页面支持设备关键字查询记录，点击筛选按钮选择按实训室显示；支持查看历史数据曲线图。</w:t>
            </w:r>
          </w:p>
          <w:p>
            <w:pPr>
              <w:bidi w:val="0"/>
              <w:jc w:val="left"/>
              <w:rPr>
                <w:rFonts w:hint="eastAsia" w:ascii="宋体" w:hAnsi="宋体" w:eastAsia="宋体" w:cs="宋体"/>
                <w:sz w:val="24"/>
                <w:szCs w:val="24"/>
              </w:rPr>
            </w:pPr>
            <w:r>
              <w:rPr>
                <w:rFonts w:hint="eastAsia" w:ascii="宋体" w:hAnsi="宋体" w:eastAsia="宋体" w:cs="宋体"/>
                <w:sz w:val="24"/>
                <w:szCs w:val="24"/>
              </w:rPr>
              <w:t>7）环境数据：数据来源为实训室的环境参数采集设备，所有数据实时更新；展示环境八项重要参数、环境参数历史数据折现图、告警信息及告警类型统计。</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.2后台功能要求（提供以下功能截图，每项功能截图不少于3张）</w:t>
            </w:r>
          </w:p>
          <w:p>
            <w:pPr>
              <w:bidi w:val="0"/>
              <w:jc w:val="left"/>
              <w:rPr>
                <w:rFonts w:hint="eastAsia" w:ascii="宋体" w:hAnsi="宋体" w:eastAsia="宋体" w:cs="宋体"/>
                <w:sz w:val="24"/>
                <w:szCs w:val="24"/>
              </w:rPr>
            </w:pPr>
            <w:r>
              <w:rPr>
                <w:rFonts w:hint="eastAsia" w:ascii="宋体" w:hAnsi="宋体" w:eastAsia="宋体" w:cs="宋体"/>
                <w:sz w:val="24"/>
                <w:szCs w:val="24"/>
              </w:rPr>
              <w:t>1）学习视频：管理实训中心所有的演示视频，支持上传MP4格式或其他通用格式视频，支持拖拽上传、批量上传，批量上传时，标题默认为文件名称，封面图片默认为通用图片，自动获取视频播放时长、视频格式等信息。</w:t>
            </w:r>
          </w:p>
          <w:p>
            <w:pPr>
              <w:bidi w:val="0"/>
              <w:jc w:val="left"/>
              <w:rPr>
                <w:rFonts w:hint="eastAsia" w:ascii="宋体" w:hAnsi="宋体" w:eastAsia="宋体" w:cs="宋体"/>
                <w:sz w:val="24"/>
                <w:szCs w:val="24"/>
              </w:rPr>
            </w:pPr>
            <w:r>
              <w:rPr>
                <w:rFonts w:hint="eastAsia" w:ascii="宋体" w:hAnsi="宋体" w:eastAsia="宋体" w:cs="宋体"/>
                <w:sz w:val="24"/>
                <w:szCs w:val="24"/>
              </w:rPr>
              <w:t>2）学习资料：管理实训中心所有的学习资料，支持上传PDF格式或其他文档格式，支持拖拽上传、批量上，批量上传时，标题默认为文件名称，封面图片默认为通用图片，自动获取文档页数、文档格式等信息。</w:t>
            </w:r>
          </w:p>
          <w:p>
            <w:pPr>
              <w:bidi w:val="0"/>
              <w:jc w:val="left"/>
              <w:rPr>
                <w:rFonts w:hint="eastAsia" w:ascii="宋体" w:hAnsi="宋体" w:eastAsia="宋体" w:cs="宋体"/>
                <w:sz w:val="24"/>
                <w:szCs w:val="24"/>
              </w:rPr>
            </w:pPr>
            <w:r>
              <w:rPr>
                <w:rFonts w:hint="eastAsia" w:ascii="宋体" w:hAnsi="宋体" w:eastAsia="宋体" w:cs="宋体"/>
                <w:sz w:val="24"/>
                <w:szCs w:val="24"/>
              </w:rPr>
              <w:t>3）安全帽监测：培养学生穿戴习惯，利用智能化监测手段，进行安全帽监管提醒，可增删改查，可预览实时视频画面等。</w:t>
            </w:r>
          </w:p>
          <w:p>
            <w:pPr>
              <w:bidi w:val="0"/>
              <w:jc w:val="left"/>
              <w:rPr>
                <w:rFonts w:hint="eastAsia" w:ascii="宋体" w:hAnsi="宋体" w:eastAsia="宋体" w:cs="宋体"/>
                <w:sz w:val="24"/>
                <w:szCs w:val="24"/>
              </w:rPr>
            </w:pPr>
            <w:r>
              <w:rPr>
                <w:rFonts w:hint="eastAsia" w:ascii="宋体" w:hAnsi="宋体" w:eastAsia="宋体" w:cs="宋体"/>
                <w:sz w:val="24"/>
                <w:szCs w:val="24"/>
              </w:rPr>
              <w:t>4）设备管理-生命周期管理：支持配置实训装置的全部信息，学校组织、设备分类、设备编码、设备名称、设备图片、设备流程图、设备描述、生产厂商、生产日期、排序号，可增删改查。支持对实训装置绑定监控视频、绑定学习视频和学习资料、绑定设备参数、绑定设备点位、绑定实训设备、绑定报修计划、绑定设备备件、绑定能耗设备。</w:t>
            </w:r>
          </w:p>
          <w:p>
            <w:pPr>
              <w:bidi w:val="0"/>
              <w:jc w:val="left"/>
              <w:rPr>
                <w:rFonts w:hint="eastAsia" w:ascii="宋体" w:hAnsi="宋体" w:eastAsia="宋体" w:cs="宋体"/>
                <w:sz w:val="24"/>
                <w:szCs w:val="24"/>
              </w:rPr>
            </w:pPr>
            <w:r>
              <w:rPr>
                <w:rFonts w:hint="eastAsia" w:ascii="宋体" w:hAnsi="宋体" w:eastAsia="宋体" w:cs="宋体"/>
                <w:sz w:val="24"/>
                <w:szCs w:val="24"/>
              </w:rPr>
              <w:t>5）化工工艺-工艺台账计划：支持配置工艺台账计划，学校组织、工艺设备、工艺参数、计划名称、计划时间、执行周期，可增删改查，可设置启用禁用台账计划。</w:t>
            </w:r>
          </w:p>
          <w:p>
            <w:pPr>
              <w:bidi w:val="0"/>
              <w:jc w:val="left"/>
              <w:rPr>
                <w:rFonts w:hint="eastAsia" w:ascii="宋体" w:hAnsi="宋体" w:eastAsia="宋体" w:cs="宋体"/>
                <w:sz w:val="24"/>
                <w:szCs w:val="24"/>
              </w:rPr>
            </w:pPr>
            <w:r>
              <w:rPr>
                <w:rFonts w:hint="eastAsia" w:ascii="宋体" w:hAnsi="宋体" w:eastAsia="宋体" w:cs="宋体"/>
                <w:sz w:val="24"/>
                <w:szCs w:val="24"/>
              </w:rPr>
              <w:t>6）能耗设备管理：管理能耗设备信息，学校组织、设备编码、设备名称、排序号，支持对能耗设备绑定已配置好的能耗基本参数，参数名称、数据点位、采集频率、报警上限、报警下限、报警状态、排序号，可增删改查，可关闭开启报警，可选择已配置好的报警状态。</w:t>
            </w:r>
          </w:p>
          <w:p>
            <w:pPr>
              <w:bidi w:val="0"/>
              <w:jc w:val="left"/>
              <w:rPr>
                <w:rFonts w:hint="eastAsia" w:ascii="宋体" w:hAnsi="宋体" w:eastAsia="宋体" w:cs="宋体"/>
                <w:sz w:val="24"/>
                <w:szCs w:val="24"/>
              </w:rPr>
            </w:pPr>
            <w:r>
              <w:rPr>
                <w:rFonts w:hint="eastAsia" w:ascii="宋体" w:hAnsi="宋体" w:eastAsia="宋体" w:cs="宋体"/>
                <w:sz w:val="24"/>
                <w:szCs w:val="24"/>
              </w:rPr>
              <w:t>7）实训报告模板管理</w:t>
            </w:r>
          </w:p>
          <w:p>
            <w:pPr>
              <w:bidi w:val="0"/>
              <w:jc w:val="left"/>
              <w:rPr>
                <w:rFonts w:hint="eastAsia" w:ascii="宋体" w:hAnsi="宋体" w:eastAsia="宋体" w:cs="宋体"/>
                <w:sz w:val="24"/>
                <w:szCs w:val="24"/>
              </w:rPr>
            </w:pPr>
            <w:r>
              <w:rPr>
                <w:rFonts w:hint="eastAsia" w:ascii="宋体" w:hAnsi="宋体" w:eastAsia="宋体" w:cs="宋体"/>
                <w:sz w:val="24"/>
                <w:szCs w:val="24"/>
              </w:rPr>
              <w:t>可在线下载实训报告模板，也可上传编辑好的模板。</w:t>
            </w:r>
          </w:p>
          <w:p>
            <w:pPr>
              <w:bidi w:val="0"/>
              <w:jc w:val="left"/>
              <w:rPr>
                <w:rFonts w:hint="eastAsia" w:ascii="宋体" w:hAnsi="宋体" w:eastAsia="宋体" w:cs="宋体"/>
                <w:sz w:val="24"/>
                <w:szCs w:val="24"/>
              </w:rPr>
            </w:pPr>
            <w:r>
              <w:rPr>
                <w:rFonts w:hint="eastAsia" w:ascii="宋体" w:hAnsi="宋体" w:eastAsia="宋体" w:cs="宋体"/>
                <w:sz w:val="24"/>
                <w:szCs w:val="24"/>
              </w:rPr>
              <w:t>8）添加网关</w:t>
            </w:r>
          </w:p>
          <w:p>
            <w:pPr>
              <w:bidi w:val="0"/>
              <w:jc w:val="left"/>
              <w:rPr>
                <w:rFonts w:hint="eastAsia" w:ascii="宋体" w:hAnsi="宋体" w:eastAsia="宋体" w:cs="宋体"/>
                <w:sz w:val="24"/>
                <w:szCs w:val="24"/>
              </w:rPr>
            </w:pPr>
            <w:r>
              <w:rPr>
                <w:rFonts w:hint="eastAsia" w:ascii="宋体" w:hAnsi="宋体" w:eastAsia="宋体" w:cs="宋体"/>
                <w:sz w:val="24"/>
                <w:szCs w:val="24"/>
              </w:rPr>
              <w:t>新增网关名称、点位集名称、网关地址、网关ID.</w:t>
            </w:r>
          </w:p>
          <w:p>
            <w:pPr>
              <w:bidi w:val="0"/>
              <w:jc w:val="left"/>
              <w:rPr>
                <w:rFonts w:hint="eastAsia" w:ascii="宋体" w:hAnsi="宋体" w:eastAsia="宋体" w:cs="宋体"/>
                <w:sz w:val="24"/>
                <w:szCs w:val="24"/>
              </w:rPr>
            </w:pPr>
            <w:r>
              <w:rPr>
                <w:rFonts w:hint="eastAsia" w:ascii="宋体" w:hAnsi="宋体" w:eastAsia="宋体" w:cs="宋体"/>
                <w:sz w:val="24"/>
                <w:szCs w:val="24"/>
              </w:rPr>
              <w:t>9）人员定位管理</w:t>
            </w:r>
          </w:p>
          <w:p>
            <w:pPr>
              <w:bidi w:val="0"/>
              <w:jc w:val="left"/>
              <w:rPr>
                <w:rFonts w:hint="eastAsia" w:ascii="宋体" w:hAnsi="宋体" w:eastAsia="宋体" w:cs="宋体"/>
                <w:sz w:val="24"/>
                <w:szCs w:val="24"/>
              </w:rPr>
            </w:pPr>
            <w:r>
              <w:rPr>
                <w:rFonts w:hint="eastAsia" w:ascii="宋体" w:hAnsi="宋体" w:eastAsia="宋体" w:cs="宋体"/>
                <w:sz w:val="24"/>
                <w:szCs w:val="24"/>
              </w:rPr>
              <w:t>标签添加：添加标签名称及标签编码，标签编码为标签卡片上刻印码。</w:t>
            </w:r>
          </w:p>
          <w:p>
            <w:pPr>
              <w:bidi w:val="0"/>
              <w:jc w:val="left"/>
              <w:rPr>
                <w:rFonts w:hint="eastAsia" w:ascii="宋体" w:hAnsi="宋体" w:eastAsia="宋体" w:cs="宋体"/>
                <w:sz w:val="24"/>
                <w:szCs w:val="24"/>
              </w:rPr>
            </w:pPr>
            <w:r>
              <w:rPr>
                <w:rFonts w:hint="eastAsia" w:ascii="宋体" w:hAnsi="宋体" w:eastAsia="宋体" w:cs="宋体"/>
                <w:sz w:val="24"/>
                <w:szCs w:val="24"/>
              </w:rPr>
              <w:t>位置查询：可实时查看标签当前位置所在，也可通过时间选择查询历史位置轨迹。</w:t>
            </w:r>
          </w:p>
          <w:p>
            <w:pPr>
              <w:bidi w:val="0"/>
              <w:jc w:val="left"/>
              <w:rPr>
                <w:rFonts w:hint="eastAsia" w:ascii="宋体" w:hAnsi="宋体" w:eastAsia="宋体" w:cs="宋体"/>
                <w:sz w:val="24"/>
                <w:szCs w:val="24"/>
              </w:rPr>
            </w:pPr>
            <w:r>
              <w:rPr>
                <w:rFonts w:hint="eastAsia" w:ascii="宋体" w:hAnsi="宋体" w:eastAsia="宋体" w:cs="宋体"/>
                <w:sz w:val="24"/>
                <w:szCs w:val="24"/>
              </w:rPr>
              <w:t>电子围栏区域：区域在人员定位系统中设定，通过相应接口在后台添加相应区域，并可设置有效期。</w:t>
            </w:r>
          </w:p>
          <w:p>
            <w:pPr>
              <w:bidi w:val="0"/>
              <w:jc w:val="left"/>
              <w:rPr>
                <w:rFonts w:hint="eastAsia" w:ascii="宋体" w:hAnsi="宋体" w:eastAsia="宋体" w:cs="宋体"/>
                <w:sz w:val="24"/>
                <w:szCs w:val="24"/>
              </w:rPr>
            </w:pPr>
            <w:r>
              <w:rPr>
                <w:rFonts w:hint="eastAsia" w:ascii="宋体" w:hAnsi="宋体" w:eastAsia="宋体" w:cs="宋体"/>
                <w:sz w:val="24"/>
                <w:szCs w:val="24"/>
              </w:rPr>
              <w:t>电子围栏报警：可在后台查看电子围栏报警信息，如报警类型、报警坐标、报警时间。</w:t>
            </w:r>
          </w:p>
          <w:p>
            <w:pPr>
              <w:bidi w:val="0"/>
              <w:jc w:val="left"/>
              <w:rPr>
                <w:rFonts w:hint="eastAsia" w:ascii="宋体" w:hAnsi="宋体" w:eastAsia="宋体" w:cs="宋体"/>
                <w:sz w:val="24"/>
                <w:szCs w:val="24"/>
              </w:rPr>
            </w:pPr>
            <w:r>
              <w:rPr>
                <w:rFonts w:hint="eastAsia" w:ascii="宋体" w:hAnsi="宋体" w:eastAsia="宋体" w:cs="宋体"/>
                <w:sz w:val="24"/>
                <w:szCs w:val="24"/>
              </w:rPr>
              <w:t>10）数据统计：包括实训操作记录、视频观看记录、资料学习记录、装置维修记录、装置报警记录、工艺台账记录、能耗报警记录、安全帽报警记录等各类信息的统计。</w:t>
            </w:r>
          </w:p>
          <w:p>
            <w:pPr>
              <w:bidi w:val="0"/>
              <w:jc w:val="left"/>
              <w:rPr>
                <w:rFonts w:hint="eastAsia" w:ascii="宋体" w:hAnsi="宋体" w:eastAsia="宋体" w:cs="宋体"/>
                <w:sz w:val="24"/>
                <w:szCs w:val="24"/>
              </w:rPr>
            </w:pPr>
            <w:r>
              <w:rPr>
                <w:rFonts w:hint="eastAsia" w:ascii="宋体" w:hAnsi="宋体" w:eastAsia="宋体" w:cs="宋体"/>
                <w:sz w:val="24"/>
                <w:szCs w:val="24"/>
              </w:rPr>
              <w:t>10.数字孪生可视化平台</w:t>
            </w:r>
          </w:p>
          <w:p>
            <w:pPr>
              <w:bidi w:val="0"/>
              <w:jc w:val="left"/>
              <w:rPr>
                <w:rFonts w:hint="eastAsia" w:ascii="宋体" w:hAnsi="宋体" w:eastAsia="宋体" w:cs="宋体"/>
                <w:sz w:val="24"/>
                <w:szCs w:val="24"/>
              </w:rPr>
            </w:pPr>
            <w:r>
              <w:rPr>
                <w:rFonts w:hint="eastAsia" w:ascii="宋体" w:hAnsi="宋体" w:eastAsia="宋体" w:cs="宋体"/>
                <w:sz w:val="24"/>
                <w:szCs w:val="24"/>
              </w:rPr>
              <w:t>通过Web浏览器的方式，在三维场景中可以全方位的了解实训基地的实时实训信息；</w:t>
            </w:r>
          </w:p>
          <w:p>
            <w:pPr>
              <w:bidi w:val="0"/>
              <w:jc w:val="left"/>
              <w:rPr>
                <w:rFonts w:hint="eastAsia" w:ascii="宋体" w:hAnsi="宋体" w:eastAsia="宋体" w:cs="宋体"/>
                <w:sz w:val="24"/>
                <w:szCs w:val="24"/>
              </w:rPr>
            </w:pPr>
            <w:r>
              <w:rPr>
                <w:rFonts w:hint="eastAsia" w:ascii="宋体" w:hAnsi="宋体" w:eastAsia="宋体" w:cs="宋体"/>
                <w:sz w:val="24"/>
                <w:szCs w:val="24"/>
              </w:rPr>
              <w:t>实现以下功能：</w:t>
            </w:r>
          </w:p>
          <w:p>
            <w:pPr>
              <w:bidi w:val="0"/>
              <w:jc w:val="left"/>
              <w:rPr>
                <w:rFonts w:hint="eastAsia" w:ascii="宋体" w:hAnsi="宋体" w:eastAsia="宋体" w:cs="宋体"/>
                <w:sz w:val="24"/>
                <w:szCs w:val="24"/>
              </w:rPr>
            </w:pPr>
            <w:r>
              <w:rPr>
                <w:rFonts w:hint="eastAsia" w:ascii="宋体" w:hAnsi="宋体" w:eastAsia="宋体" w:cs="宋体"/>
                <w:sz w:val="24"/>
                <w:szCs w:val="24"/>
              </w:rPr>
              <w:t>1）全景3D方式进行数据展现：完全真实的描绘了实训室布局、区域分布和设备状态；面向对象报警管理、实时历史趋势数据管理能力。</w:t>
            </w:r>
          </w:p>
          <w:p>
            <w:pPr>
              <w:bidi w:val="0"/>
              <w:jc w:val="left"/>
              <w:rPr>
                <w:rFonts w:hint="eastAsia" w:ascii="宋体" w:hAnsi="宋体" w:eastAsia="宋体" w:cs="宋体"/>
                <w:sz w:val="24"/>
                <w:szCs w:val="24"/>
              </w:rPr>
            </w:pPr>
            <w:r>
              <w:rPr>
                <w:rFonts w:hint="eastAsia" w:ascii="宋体" w:hAnsi="宋体" w:eastAsia="宋体" w:cs="宋体"/>
                <w:sz w:val="24"/>
                <w:szCs w:val="24"/>
              </w:rPr>
              <w:t>2）监测实训生产过程中的人、机、料、水、电、气的状态，结合报警、历史曲线查看。实现各系统的数据融合，关联以及管理协同。</w:t>
            </w:r>
          </w:p>
          <w:p>
            <w:pPr>
              <w:bidi w:val="0"/>
              <w:jc w:val="left"/>
              <w:rPr>
                <w:rFonts w:hint="eastAsia" w:ascii="宋体" w:hAnsi="宋体" w:eastAsia="宋体" w:cs="宋体"/>
                <w:sz w:val="24"/>
                <w:szCs w:val="24"/>
              </w:rPr>
            </w:pPr>
            <w:r>
              <w:rPr>
                <w:rFonts w:hint="eastAsia" w:ascii="宋体" w:hAnsi="宋体" w:eastAsia="宋体" w:cs="宋体"/>
                <w:sz w:val="24"/>
                <w:szCs w:val="24"/>
              </w:rPr>
              <w:t>3）通过数据相关性分析，实现了设备与视频，报警与视频，电力与设备等多种形式的系统联动。</w:t>
            </w:r>
          </w:p>
          <w:p>
            <w:pPr>
              <w:bidi w:val="0"/>
              <w:jc w:val="left"/>
              <w:rPr>
                <w:rFonts w:hint="eastAsia" w:ascii="宋体" w:hAnsi="宋体" w:eastAsia="宋体" w:cs="宋体"/>
                <w:sz w:val="24"/>
                <w:szCs w:val="24"/>
              </w:rPr>
            </w:pPr>
            <w:r>
              <w:rPr>
                <w:rFonts w:hint="eastAsia" w:ascii="宋体" w:hAnsi="宋体" w:eastAsia="宋体" w:cs="宋体"/>
                <w:sz w:val="24"/>
                <w:szCs w:val="24"/>
              </w:rPr>
              <w:t>11.接入集成器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1台，24口，10/100/1000TX，≥4个千兆SFG端口</w:t>
            </w:r>
          </w:p>
          <w:p>
            <w:pPr>
              <w:bidi w:val="0"/>
              <w:jc w:val="left"/>
              <w:rPr>
                <w:rFonts w:hint="eastAsia" w:ascii="宋体" w:hAnsi="宋体" w:eastAsia="宋体" w:cs="宋体"/>
                <w:sz w:val="24"/>
                <w:szCs w:val="24"/>
              </w:rPr>
            </w:pPr>
            <w:r>
              <w:rPr>
                <w:rFonts w:hint="eastAsia" w:ascii="宋体" w:hAnsi="宋体" w:eastAsia="宋体" w:cs="宋体"/>
                <w:sz w:val="24"/>
                <w:szCs w:val="24"/>
              </w:rPr>
              <w:t>12.边缘计算设备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1台，CPU：≥8核，内存：≥32G，磁盘：≥4×2T, RAID5，网络：≥2 × 千兆网卡。显卡:4G。</w:t>
            </w:r>
          </w:p>
          <w:p>
            <w:pPr>
              <w:bidi w:val="0"/>
              <w:jc w:val="left"/>
              <w:rPr>
                <w:rFonts w:hint="eastAsia" w:ascii="宋体" w:hAnsi="宋体" w:eastAsia="宋体" w:cs="宋体"/>
                <w:sz w:val="24"/>
                <w:szCs w:val="24"/>
              </w:rPr>
            </w:pPr>
            <w:r>
              <w:rPr>
                <w:rFonts w:hint="eastAsia" w:ascii="宋体" w:hAnsi="宋体" w:eastAsia="宋体" w:cs="宋体"/>
                <w:sz w:val="24"/>
                <w:szCs w:val="24"/>
              </w:rPr>
              <w:t>13.网络机架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1台，≥42U，支持服务器安装，钢化玻璃门，采用冷轧钢板材质。</w:t>
            </w:r>
          </w:p>
          <w:p>
            <w:pPr>
              <w:bidi w:val="0"/>
              <w:jc w:val="left"/>
              <w:rPr>
                <w:rFonts w:hint="eastAsia" w:ascii="宋体" w:hAnsi="宋体" w:eastAsia="宋体" w:cs="宋体"/>
                <w:sz w:val="24"/>
                <w:szCs w:val="24"/>
              </w:rPr>
            </w:pPr>
            <w:r>
              <w:rPr>
                <w:rFonts w:hint="eastAsia" w:ascii="宋体" w:hAnsi="宋体" w:eastAsia="宋体" w:cs="宋体"/>
                <w:sz w:val="24"/>
                <w:szCs w:val="24"/>
              </w:rPr>
              <w:t>14.触摸卧式一体机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1台，≥55寸电容触摸，windows系统，内存≥4G，硬盘≥245G。</w:t>
            </w:r>
          </w:p>
          <w:p>
            <w:pPr>
              <w:bidi w:val="0"/>
              <w:jc w:val="left"/>
              <w:rPr>
                <w:rFonts w:hint="eastAsia" w:ascii="宋体" w:hAnsi="宋体" w:eastAsia="宋体" w:cs="宋体"/>
                <w:sz w:val="24"/>
                <w:szCs w:val="24"/>
              </w:rPr>
            </w:pPr>
            <w:r>
              <w:rPr>
                <w:rFonts w:hint="eastAsia" w:ascii="宋体" w:hAnsi="宋体" w:eastAsia="宋体" w:cs="宋体"/>
                <w:sz w:val="24"/>
                <w:szCs w:val="24"/>
              </w:rPr>
              <w:t>15.多媒体支架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1台，多媒体钢制架，木面，尺寸不小于：长1100mm，高1000mm，宽780mm。</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16.智慧管控一体化平台应具备教学多媒体功能，能够实现一键切换。</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套</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化工产检分析实训系统</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大屏的显示画面，友好的人机界面</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大屏显示清晰明了：可显示程升曲线，基流电平（需配置采集板），柱箱、进样器、检测器等的温度设定值和实际值，及检测器的各项参数等。</w:t>
            </w:r>
            <w:r>
              <w:rPr>
                <w:rFonts w:hint="eastAsia" w:ascii="宋体" w:hAnsi="宋体" w:eastAsia="宋体" w:cs="宋体"/>
                <w:sz w:val="24"/>
                <w:szCs w:val="24"/>
                <w:lang w:val="en-US" w:eastAsia="zh-CN"/>
              </w:rPr>
              <w:t>(加分：操作界面分页显示，屏幕显示≥11行；)</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中文菜单，操作简单：全中文键盘设定各种控制和使用参数（包括检测器操作参数），逻辑性强，易学易用。</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先进的微机系统，卓越的控制功能</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先进的微机温度控制系统，控温精度高（优于±0.05℃）、可靠性高、抗干扰能力强。</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个独立的控温区（柱箱、前/后进样器、前/后检测器、辅助），最高控制温度400℃；极限温度设定及过温保护功能，确保仪器的安全运行。</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具有自诊断、断电保护、检测器设定、量程，极性和电流设置等功能。</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高性能大容量柱箱，高精度双重稳定气路</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柱箱能同时容纳毛细管柱和双填充柱。</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柱箱具有快速加热和快速降温（自动后开门）机构，降温速率：10min以内从300℃降至50℃。</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柱箱具有键盘支持七阶八平台，采用反控软件支持10阶11平台的程序升温。</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t>载气流路采用稳压阀及稳流阀双重稳定设计。</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空气和氢气流路采用稳压阀加针形阀的稳定调节模式。</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t>稳流阀和针形阀均采用数字刻度式旋钮，精度高、重复性好、可靠性高且流量调节方便直观。</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灵活的进样系统，灵敏稳定的检测器满足各种分析要求</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可同时安装三个进样器，拆装简单，可独立控温。</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可实现填充柱柱头进样方式，适用多种色谱柱；增加六通阀可进行气体进样分析；在填充柱进样器中使用连接件，可简便地完成0.53宽口径毛细管柱分析。</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专用毛细管柱进样器，具有隔膜吹扫和背压阀分流调节，适用于各种规格的毛细管柱。</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highlight w:val="yellow"/>
                <w:lang w:val="en-US" w:eastAsia="zh-CN"/>
              </w:rPr>
              <w:t>可同时选配安装两个检测器，如FID、TCD、FPD检测器等</w:t>
            </w:r>
            <w:r>
              <w:rPr>
                <w:rFonts w:hint="eastAsia" w:ascii="宋体" w:hAnsi="宋体" w:eastAsia="宋体" w:cs="宋体"/>
                <w:sz w:val="24"/>
                <w:szCs w:val="24"/>
                <w:highlight w:val="yellow"/>
              </w:rPr>
              <w:t>。</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根据不同的分析应用采用不同的组合，能方便的实现检测器的串联和并联工作。</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t>新型的FID具有更低的检测限，可方便地进行喷口和离子收集部件的拆卸、清洗，精确固定的发射极安装结构确保每台仪器性能的高度一致。</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4.7</w:t>
            </w:r>
            <w:r>
              <w:rPr>
                <w:rFonts w:hint="eastAsia" w:ascii="宋体" w:hAnsi="宋体" w:eastAsia="宋体" w:cs="宋体"/>
                <w:sz w:val="24"/>
                <w:szCs w:val="24"/>
              </w:rPr>
              <w:t>独特的空气隔热保温结构使TCD具有更高的稳定性。</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智能化控制系统，全新的采集系统和简易流程设计 </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配置反控软件，可实时控制色谱仪器和顶空进样器，双通道采集色谱输出信号；</w:t>
            </w:r>
            <w:r>
              <w:rPr>
                <w:rFonts w:hint="eastAsia" w:ascii="宋体" w:hAnsi="宋体" w:eastAsia="宋体" w:cs="宋体"/>
                <w:sz w:val="24"/>
                <w:szCs w:val="24"/>
                <w:lang w:eastAsia="zh-CN"/>
              </w:rPr>
              <w:t>（加分</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半自动和全自动顶空工作站软件反控，控制参数：序列，加热位温度，阀箱温度、管路温度、平衡时间、进样时间、取样时间、同步触发仪器等。）</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实时控制包括各路温度、检测器选择与设置、程序升温等功能。</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双通道色谱数据高速采集，具有积分参数自动或手动设置、5种定量方法、基线扣除、报告编制等功能。</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宋体"/>
                <w:sz w:val="24"/>
                <w:szCs w:val="24"/>
              </w:rPr>
              <w:t>反控软件:规范化实验室的管理工作,对分析结果实现分析方法、采集过程、处理过程全程追踪，符合 GMP， GLP 规范。</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电气控制系统</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分页管理功能的高品质单片机控制系统，实现仪器全面功能；</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全集成芯片优化电路，提高系统稳定性；</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多细分步进电机驱动芯片，实现大电流高性能的驱动，进而达到精确控制柱箱温度的要求；</w:t>
            </w:r>
          </w:p>
          <w:p>
            <w:pPr>
              <w:bidi w:val="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6.4</w:t>
            </w:r>
            <w:r>
              <w:rPr>
                <w:rFonts w:hint="eastAsia" w:ascii="宋体" w:hAnsi="宋体" w:eastAsia="宋体" w:cs="宋体"/>
                <w:sz w:val="24"/>
                <w:szCs w:val="24"/>
              </w:rPr>
              <w:t>温度模拟信号采用单片机采集，降低损坏几率，提高系统稳定性。</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7.柱箱：</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7.1温度范围：室温上7℃～400℃（增量1℃）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7.2控温精度：优于±0.1℃（200℃时测）</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7.3程序升温：七阶八平台（反控软件支持十阶）</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7.3程升速率设定：0.1℃～40℃/min(增量0.1℃)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7.5各阶恒温时间：0～655min（增量1min）</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7.6温度稳定性：≤0.3%/30min</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7.7升温速率：0.1～40℃/min（以0.1℃增量任设）；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 降温速率：柱箱温度从200 ℃降至100℃时间不大于3min；</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 持续运行时间：9999min。</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 进样系统</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最高使用温度：400℃；</w:t>
            </w:r>
          </w:p>
          <w:p>
            <w:pPr>
              <w:bidi w:val="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8.2  进样口数量：最多可配4个；</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8.3 进样模式：填充柱进样或毛细柱进样</w:t>
            </w:r>
          </w:p>
          <w:p>
            <w:pPr>
              <w:bidi w:val="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9检测器</w:t>
            </w:r>
          </w:p>
          <w:p>
            <w:pPr>
              <w:bidi w:val="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可同时安装两个检测器，可实现三路检测器独立控温，独立同时工作。控温精度在0.1℃</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1氢火焰检测器（FID）：</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9.1.1最高使用温度：450℃；</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最小检测限：≤</w:t>
            </w:r>
            <w:r>
              <w:rPr>
                <w:rFonts w:hint="eastAsia" w:ascii="宋体" w:hAnsi="宋体" w:eastAsia="宋体" w:cs="宋体"/>
                <w:sz w:val="24"/>
                <w:szCs w:val="24"/>
                <w:lang w:val="en-US" w:eastAsia="zh-CN"/>
              </w:rPr>
              <w:t>1.</w:t>
            </w:r>
            <w:r>
              <w:rPr>
                <w:rFonts w:hint="eastAsia" w:ascii="宋体" w:hAnsi="宋体" w:eastAsia="宋体" w:cs="宋体"/>
                <w:sz w:val="24"/>
                <w:szCs w:val="24"/>
              </w:rPr>
              <w:t>5 × 10-12g/s（正十六烷）</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基线噪音：≤2 × 10-13 A</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基线漂移：≤5 × 10-13 A/30 min(仪器稳定2小时后)；</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线性动态范围：≥107</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配备电子点火功能。</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9.2</w:t>
            </w:r>
            <w:r>
              <w:rPr>
                <w:rFonts w:hint="eastAsia" w:ascii="宋体" w:hAnsi="宋体" w:eastAsia="宋体" w:cs="宋体"/>
                <w:sz w:val="24"/>
                <w:szCs w:val="24"/>
              </w:rPr>
              <w:t>热导池检测器（TCD）：</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9.2.1</w:t>
            </w:r>
            <w:r>
              <w:rPr>
                <w:rFonts w:hint="eastAsia" w:ascii="宋体" w:hAnsi="宋体" w:eastAsia="宋体" w:cs="宋体"/>
                <w:sz w:val="24"/>
                <w:szCs w:val="24"/>
              </w:rPr>
              <w:t>最大操作温度：4</w:t>
            </w:r>
            <w:r>
              <w:rPr>
                <w:rFonts w:hint="eastAsia" w:ascii="宋体" w:hAnsi="宋体" w:eastAsia="宋体" w:cs="宋体"/>
                <w:sz w:val="24"/>
                <w:szCs w:val="24"/>
                <w:lang w:val="en-US" w:eastAsia="zh-CN"/>
              </w:rPr>
              <w:t>2</w:t>
            </w:r>
            <w:r>
              <w:rPr>
                <w:rFonts w:hint="eastAsia" w:ascii="宋体" w:hAnsi="宋体" w:eastAsia="宋体" w:cs="宋体"/>
                <w:sz w:val="24"/>
                <w:szCs w:val="24"/>
              </w:rPr>
              <w:t>0℃ ，温度控制精度：±0.1℃；</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9.2.2</w:t>
            </w:r>
            <w:r>
              <w:rPr>
                <w:rFonts w:hint="eastAsia" w:ascii="宋体" w:hAnsi="宋体" w:eastAsia="宋体" w:cs="宋体"/>
                <w:sz w:val="24"/>
                <w:szCs w:val="24"/>
              </w:rPr>
              <w:t>灵敏度：≥</w:t>
            </w:r>
            <w:r>
              <w:rPr>
                <w:rFonts w:hint="eastAsia" w:ascii="宋体" w:hAnsi="宋体" w:eastAsia="宋体" w:cs="宋体"/>
                <w:sz w:val="24"/>
                <w:szCs w:val="24"/>
                <w:lang w:val="en-US" w:eastAsia="zh-CN"/>
              </w:rPr>
              <w:t>2</w:t>
            </w:r>
            <w:r>
              <w:rPr>
                <w:rFonts w:hint="eastAsia" w:ascii="宋体" w:hAnsi="宋体" w:eastAsia="宋体" w:cs="宋体"/>
                <w:sz w:val="24"/>
                <w:szCs w:val="24"/>
              </w:rPr>
              <w:t>000mv·ml/mg(正十六烷)；</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9.2.3</w:t>
            </w:r>
            <w:r>
              <w:rPr>
                <w:rFonts w:hint="eastAsia" w:ascii="宋体" w:hAnsi="宋体" w:eastAsia="宋体" w:cs="宋体"/>
                <w:sz w:val="24"/>
                <w:szCs w:val="24"/>
              </w:rPr>
              <w:t>基线噪声：≤20uv</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9.2.4</w:t>
            </w:r>
            <w:r>
              <w:rPr>
                <w:rFonts w:hint="eastAsia" w:ascii="宋体" w:hAnsi="宋体" w:eastAsia="宋体" w:cs="宋体"/>
                <w:sz w:val="24"/>
                <w:szCs w:val="24"/>
              </w:rPr>
              <w:t>基线漂移：≤100uv/30min(仪器稳定2小时后)；</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9.2.5</w:t>
            </w:r>
            <w:r>
              <w:rPr>
                <w:rFonts w:hint="eastAsia" w:ascii="宋体" w:hAnsi="宋体" w:eastAsia="宋体" w:cs="宋体"/>
                <w:sz w:val="24"/>
                <w:szCs w:val="24"/>
              </w:rPr>
              <w:t>线性动态范围：≥104</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9.2.6</w:t>
            </w:r>
            <w:r>
              <w:rPr>
                <w:rFonts w:hint="eastAsia" w:ascii="宋体" w:hAnsi="宋体" w:eastAsia="宋体" w:cs="宋体"/>
                <w:sz w:val="24"/>
                <w:szCs w:val="24"/>
              </w:rPr>
              <w:t>支持小口径毛细管柱（0.32mm及0.25mm口径）与热导检测器的连接，提高应用范围。</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 液体自动进样器</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w:t>
            </w:r>
            <w:r>
              <w:rPr>
                <w:rFonts w:hint="eastAsia" w:ascii="宋体" w:hAnsi="宋体" w:eastAsia="宋体" w:cs="宋体"/>
                <w:sz w:val="24"/>
                <w:szCs w:val="24"/>
              </w:rPr>
              <w:t xml:space="preserve"> 注射器规格</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15、10、25、50、100、250、500(单位: μl)</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10.2 </w:t>
            </w:r>
            <w:r>
              <w:rPr>
                <w:rFonts w:hint="eastAsia" w:ascii="宋体" w:hAnsi="宋体" w:eastAsia="宋体" w:cs="宋体"/>
                <w:sz w:val="24"/>
                <w:szCs w:val="24"/>
              </w:rPr>
              <w:t>样品盘位数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27位样品盘，可扩展160位样品盘</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10.3</w:t>
            </w:r>
            <w:r>
              <w:rPr>
                <w:rFonts w:hint="eastAsia" w:ascii="宋体" w:hAnsi="宋体" w:eastAsia="宋体" w:cs="宋体"/>
                <w:sz w:val="24"/>
                <w:szCs w:val="24"/>
              </w:rPr>
              <w:t xml:space="preserve"> 样品瓶位          24位（可扩展至160位）</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10.4</w:t>
            </w:r>
            <w:r>
              <w:rPr>
                <w:rFonts w:hint="eastAsia" w:ascii="宋体" w:hAnsi="宋体" w:eastAsia="宋体" w:cs="宋体"/>
                <w:sz w:val="24"/>
                <w:szCs w:val="24"/>
              </w:rPr>
              <w:t xml:space="preserve"> 溶剂瓶位          2 位（可扩展至11位）</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10.5</w:t>
            </w:r>
            <w:r>
              <w:rPr>
                <w:rFonts w:hint="eastAsia" w:ascii="宋体" w:hAnsi="宋体" w:eastAsia="宋体" w:cs="宋体"/>
                <w:sz w:val="24"/>
                <w:szCs w:val="24"/>
              </w:rPr>
              <w:t xml:space="preserve"> 废液瓶位          1 位（可扩展至5位）</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10.6</w:t>
            </w:r>
            <w:r>
              <w:rPr>
                <w:rFonts w:hint="eastAsia" w:ascii="宋体" w:hAnsi="宋体" w:eastAsia="宋体" w:cs="宋体"/>
                <w:sz w:val="24"/>
                <w:szCs w:val="24"/>
              </w:rPr>
              <w:t>每瓶进样次数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1～99次</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10.7</w:t>
            </w:r>
            <w:r>
              <w:rPr>
                <w:rFonts w:hint="eastAsia" w:ascii="宋体" w:hAnsi="宋体" w:eastAsia="宋体" w:cs="宋体"/>
                <w:sz w:val="24"/>
                <w:szCs w:val="24"/>
              </w:rPr>
              <w:t>最大时间间隔</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999分</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10.8</w:t>
            </w:r>
            <w:r>
              <w:rPr>
                <w:rFonts w:hint="eastAsia" w:ascii="宋体" w:hAnsi="宋体" w:eastAsia="宋体" w:cs="宋体"/>
                <w:sz w:val="24"/>
                <w:szCs w:val="24"/>
              </w:rPr>
              <w:t>最小进样量</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0.1μl</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10.9</w:t>
            </w:r>
            <w:r>
              <w:rPr>
                <w:rFonts w:hint="eastAsia" w:ascii="宋体" w:hAnsi="宋体" w:eastAsia="宋体" w:cs="宋体"/>
                <w:sz w:val="24"/>
                <w:szCs w:val="24"/>
              </w:rPr>
              <w:t>最大进样量</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250μl</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10.10</w:t>
            </w:r>
            <w:r>
              <w:rPr>
                <w:rFonts w:hint="eastAsia" w:ascii="宋体" w:hAnsi="宋体" w:eastAsia="宋体" w:cs="宋体"/>
                <w:sz w:val="24"/>
                <w:szCs w:val="24"/>
              </w:rPr>
              <w:t>方法选择</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1～20个</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10.11</w:t>
            </w:r>
            <w:r>
              <w:rPr>
                <w:rFonts w:hint="eastAsia" w:ascii="宋体" w:hAnsi="宋体" w:eastAsia="宋体" w:cs="宋体"/>
                <w:sz w:val="24"/>
                <w:szCs w:val="24"/>
              </w:rPr>
              <w:t>最大支持进样口</w:t>
            </w:r>
            <w:r>
              <w:rPr>
                <w:rFonts w:hint="eastAsia" w:ascii="宋体" w:hAnsi="宋体" w:eastAsia="宋体" w:cs="宋体"/>
                <w:sz w:val="24"/>
                <w:szCs w:val="24"/>
              </w:rPr>
              <w:tab/>
            </w:r>
            <w:r>
              <w:rPr>
                <w:rFonts w:hint="eastAsia" w:ascii="宋体" w:hAnsi="宋体" w:eastAsia="宋体" w:cs="宋体"/>
                <w:sz w:val="24"/>
                <w:szCs w:val="24"/>
              </w:rPr>
              <w:t>1个</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10.12</w:t>
            </w:r>
            <w:r>
              <w:rPr>
                <w:rFonts w:hint="eastAsia" w:ascii="宋体" w:hAnsi="宋体" w:eastAsia="宋体" w:cs="宋体"/>
                <w:sz w:val="24"/>
                <w:szCs w:val="24"/>
              </w:rPr>
              <w:t>最大清洗针次数</w:t>
            </w:r>
            <w:r>
              <w:rPr>
                <w:rFonts w:hint="eastAsia" w:ascii="宋体" w:hAnsi="宋体" w:eastAsia="宋体" w:cs="宋体"/>
                <w:sz w:val="24"/>
                <w:szCs w:val="24"/>
              </w:rPr>
              <w:tab/>
            </w:r>
            <w:r>
              <w:rPr>
                <w:rFonts w:hint="eastAsia" w:ascii="宋体" w:hAnsi="宋体" w:eastAsia="宋体" w:cs="宋体"/>
                <w:sz w:val="24"/>
                <w:szCs w:val="24"/>
              </w:rPr>
              <w:t>99次</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10.13</w:t>
            </w:r>
            <w:r>
              <w:rPr>
                <w:rFonts w:hint="eastAsia" w:ascii="宋体" w:hAnsi="宋体" w:eastAsia="宋体" w:cs="宋体"/>
                <w:sz w:val="24"/>
                <w:szCs w:val="24"/>
              </w:rPr>
              <w:t>最大泵样次数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99次</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10.14</w:t>
            </w:r>
            <w:r>
              <w:rPr>
                <w:rFonts w:hint="eastAsia" w:ascii="宋体" w:hAnsi="宋体" w:eastAsia="宋体" w:cs="宋体"/>
                <w:sz w:val="24"/>
                <w:szCs w:val="24"/>
              </w:rPr>
              <w:t>最大泵样间隔</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5000毫秒</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10.15</w:t>
            </w:r>
            <w:r>
              <w:rPr>
                <w:rFonts w:hint="eastAsia" w:ascii="宋体" w:hAnsi="宋体" w:eastAsia="宋体" w:cs="宋体"/>
                <w:sz w:val="24"/>
                <w:szCs w:val="24"/>
              </w:rPr>
              <w:t>粘度延时</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0～60s</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10.16</w:t>
            </w:r>
            <w:r>
              <w:rPr>
                <w:rFonts w:hint="eastAsia" w:ascii="宋体" w:hAnsi="宋体" w:eastAsia="宋体" w:cs="宋体"/>
                <w:sz w:val="24"/>
                <w:szCs w:val="24"/>
              </w:rPr>
              <w:t>进样前、后驻留时间</w:t>
            </w:r>
            <w:r>
              <w:rPr>
                <w:rFonts w:hint="eastAsia" w:ascii="宋体" w:hAnsi="宋体" w:eastAsia="宋体" w:cs="宋体"/>
                <w:sz w:val="24"/>
                <w:szCs w:val="24"/>
              </w:rPr>
              <w:tab/>
            </w:r>
            <w:r>
              <w:rPr>
                <w:rFonts w:hint="eastAsia" w:ascii="宋体" w:hAnsi="宋体" w:eastAsia="宋体" w:cs="宋体"/>
                <w:sz w:val="24"/>
                <w:szCs w:val="24"/>
              </w:rPr>
              <w:t>0～120s</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10.17</w:t>
            </w:r>
            <w:r>
              <w:rPr>
                <w:rFonts w:hint="eastAsia" w:ascii="宋体" w:hAnsi="宋体" w:eastAsia="宋体" w:cs="宋体"/>
                <w:sz w:val="24"/>
                <w:szCs w:val="24"/>
              </w:rPr>
              <w:t>进针速度</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快速、慢速、用户自定义</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10.18</w:t>
            </w:r>
            <w:r>
              <w:rPr>
                <w:rFonts w:hint="eastAsia" w:ascii="宋体" w:hAnsi="宋体" w:eastAsia="宋体" w:cs="宋体"/>
                <w:sz w:val="24"/>
                <w:szCs w:val="24"/>
              </w:rPr>
              <w:t>抽取、进样速度选择</w:t>
            </w:r>
            <w:r>
              <w:rPr>
                <w:rFonts w:hint="eastAsia" w:ascii="宋体" w:hAnsi="宋体" w:eastAsia="宋体" w:cs="宋体"/>
                <w:sz w:val="24"/>
                <w:szCs w:val="24"/>
              </w:rPr>
              <w:tab/>
            </w:r>
            <w:r>
              <w:rPr>
                <w:rFonts w:hint="eastAsia" w:ascii="宋体" w:hAnsi="宋体" w:eastAsia="宋体" w:cs="宋体"/>
                <w:sz w:val="24"/>
                <w:szCs w:val="24"/>
              </w:rPr>
              <w:t>快速、慢速、用户自定义</w:t>
            </w:r>
          </w:p>
          <w:p>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10.19</w:t>
            </w:r>
            <w:r>
              <w:rPr>
                <w:rFonts w:hint="eastAsia" w:ascii="宋体" w:hAnsi="宋体" w:eastAsia="宋体" w:cs="宋体"/>
                <w:sz w:val="24"/>
                <w:szCs w:val="24"/>
              </w:rPr>
              <w:t>进样模式</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常规、连续、样品+L1、样品+L1+L2、PTV</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仪器配置（单套色谱仪）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1.气相色谱仪                              1台</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2.填充柱进样口                            5套</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3.毛细管柱进样口                          5套</w:t>
            </w:r>
          </w:p>
          <w:p>
            <w:pPr>
              <w:bidi w:val="0"/>
              <w:jc w:val="left"/>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4.FID检测器                               1套</w:t>
            </w:r>
          </w:p>
          <w:p>
            <w:pPr>
              <w:bidi w:val="0"/>
              <w:jc w:val="left"/>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5.TCD检测器                               1套</w:t>
            </w:r>
          </w:p>
          <w:p>
            <w:pPr>
              <w:bidi w:val="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 xml:space="preserve">7.色谱柱                                   6根 </w:t>
            </w:r>
          </w:p>
          <w:p>
            <w:pPr>
              <w:bidi w:val="0"/>
              <w:jc w:val="left"/>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7.1毛细管柱，3根，30*0.32*0.5，可定量分析乙醇纯度</w:t>
            </w:r>
          </w:p>
          <w:p>
            <w:pPr>
              <w:bidi w:val="0"/>
              <w:jc w:val="left"/>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7.2填充柱，3根，可以测试样品中水分；或者甲醇与水P-Q(2m*3mm)</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8.进样器隔垫                               100个</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9.液体自动进样器                             1套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10.氢气发生器                               1台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11.全自动空气源                             1台</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12.氮气及减压阀                             1套</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13.气体净化器                               1套</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项</w:t>
            </w:r>
          </w:p>
        </w:tc>
      </w:tr>
      <w:tr>
        <w:tblPrEx>
          <w:tblCellMar>
            <w:top w:w="0" w:type="dxa"/>
            <w:left w:w="108" w:type="dxa"/>
            <w:bottom w:w="0" w:type="dxa"/>
            <w:right w:w="108" w:type="dxa"/>
          </w:tblCellMar>
        </w:tblPrEx>
        <w:trPr>
          <w:trHeight w:val="321"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lang w:val="en-US" w:eastAsia="zh-CN"/>
              </w:rPr>
              <w:t>稳压电源</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lang w:val="en-US" w:eastAsia="zh-CN"/>
              </w:rPr>
              <w:t>1.输入电压：单相150V-250V；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2.输出电压：220V±3% ；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3.相数：单相；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4.频率：50HZ/60HZ ；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5.调整时间&lt;1秒〔输入电压变化10%时〕；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6.效率&gt;90%；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7.波形失真:无附加波形失真；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8.绝缘电阻&gt;2MΩ；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9.抗电强度1500V/1min；    </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CellMar>
            <w:top w:w="0" w:type="dxa"/>
            <w:left w:w="108" w:type="dxa"/>
            <w:bottom w:w="0" w:type="dxa"/>
            <w:right w:w="108" w:type="dxa"/>
          </w:tblCellMar>
        </w:tblPrEx>
        <w:trPr>
          <w:trHeight w:val="321"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防爆气瓶柜</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1.容积：可容纳色谱用气瓶</w:t>
            </w:r>
          </w:p>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2.安装电子监控设备，可监控气压、温度、湿度、泄漏值，并与办公室电脑、手机进行连接，办公室安装紧急切断阀，建立远程监控系统。</w:t>
            </w:r>
          </w:p>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3.柜体采用1.5mm 厚优质镀锌钢板，柜子内外都喷涂有环氧树脂漆；达到防静电的效果，全部双层防火钢板构造，使用寿命更长，防火性更好。</w:t>
            </w:r>
          </w:p>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4.门上设置防爆玻璃观察窗，便于观察柜体内部，安装紧急切</w:t>
            </w:r>
          </w:p>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断阀，能实时监控温度，压力，浓度等。</w:t>
            </w:r>
          </w:p>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5.三点联动式门锁，轻松自如启闭180度的柜门配有双钥匙；另可选配挂锁，实现双人双锁安全管理</w:t>
            </w:r>
          </w:p>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6.专业规范的反光警示标签显而易见；</w:t>
            </w:r>
          </w:p>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7.装设有防闭火装置的双透气孔；</w:t>
            </w:r>
          </w:p>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8.严格按照OSHA 规范，柜身设有静电接地传导端口，方便连接静电接地导线。</w:t>
            </w:r>
          </w:p>
          <w:p>
            <w:pPr>
              <w:bidi w:val="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9.智能控制系统:EVIEW 七英寸液晶触摸屏微电脑控制系统，实时温湿度环境监控、风机监控、泄漏值监控VOC浓度环境监测系统及一体化报警系统。要求气瓶间和实验室均有压力 检测装置和紧急切断阀。温湿度数字显示设定和测量值，高精度传感器，当柜内的温湿度超过设定的测量值即时报警提示。PLC 风机，24伏电流，性能稳定，超静音，无火花静电。</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r>
      <w:tr>
        <w:tblPrEx>
          <w:tblCellMar>
            <w:top w:w="0" w:type="dxa"/>
            <w:left w:w="108" w:type="dxa"/>
            <w:bottom w:w="0" w:type="dxa"/>
            <w:right w:w="108" w:type="dxa"/>
          </w:tblCellMar>
        </w:tblPrEx>
        <w:trPr>
          <w:trHeight w:val="321"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色谱操作台</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边台钢构尺寸：≥3000*750*800mm</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厚度：≥15mm，镶边后≥30mm，轻薄型，利于运输和安装，性能不受任何影响</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颜色：白色陶瓷台面（白坯白釉），采用 ≥15mm 厚黑色同色透芯板，表面釉面颜色和胚体颜色一致，经1200℃高温一体烧结而成的实验室专用同色透芯陶瓷台面，真正做到同色透芯，避免了分层脱落等问题。台面表面防水、防火、耐刮、耐磨、耐腐蚀、不变形、不变色、便于清洁、美观大方、安全环保、经久耐用，包边设计。</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耐酸碱腐蚀：陶瓷台面可抵御（除氢氟酸等同类型化学试剂）任何强酸强碱及有机溶剂腐蚀。</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柜体：</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1.结构为全钢结构</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2.柜体可采用1.0mm,一体成型的把手，不单独放把手,厚钢板，表面环氧树脂粉末静电喷涂，高温固化，抗冲击。全自动数控激光切割机下料，全自动数控折弯机一次性折弯成型，气体保护焊接。</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3.结构整体为拆装式结构分为多个单元独立柜体，面板为外盖式结构，门板抽面均为双层结构，默认柜体上部分为抽屉，下部分为柜门。前框架为独立整体焊接结构。</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4.柜体内部预留层板孔，配置一块可调节活动层板。</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5.台面要有电插孔（5孔，侧面或前面）。带水池实验台，水路电路布线，大小按实际场地安装。</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CellMar>
            <w:top w:w="0" w:type="dxa"/>
            <w:left w:w="108" w:type="dxa"/>
            <w:bottom w:w="0" w:type="dxa"/>
            <w:right w:w="108" w:type="dxa"/>
          </w:tblCellMar>
        </w:tblPrEx>
        <w:trPr>
          <w:trHeight w:val="321"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bidi w:val="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色谱工作站</w:t>
            </w:r>
          </w:p>
          <w:p>
            <w:pPr>
              <w:widowControl/>
              <w:jc w:val="center"/>
              <w:textAlignment w:val="center"/>
              <w:rPr>
                <w:rFonts w:hint="eastAsia" w:ascii="宋体" w:hAnsi="宋体" w:eastAsia="宋体" w:cs="宋体"/>
                <w:b w:val="0"/>
                <w:bCs w:val="0"/>
                <w:sz w:val="24"/>
                <w:szCs w:val="24"/>
                <w:highlight w:val="none"/>
              </w:rPr>
            </w:pP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bidi w:val="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1.用于产品分析，搭配气相色谱使用，I5/4G/1T/集成显卡/23.8寸，</w:t>
            </w:r>
          </w:p>
          <w:p>
            <w:pPr>
              <w:bidi w:val="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2.数据输出设备，尺</w:t>
            </w:r>
            <w:r>
              <w:rPr>
                <w:rFonts w:hint="eastAsia" w:ascii="宋体" w:hAnsi="宋体" w:eastAsia="宋体" w:cs="宋体"/>
                <w:b w:val="0"/>
                <w:bCs w:val="0"/>
                <w:sz w:val="24"/>
                <w:szCs w:val="24"/>
                <w:highlight w:val="none"/>
              </w:rPr>
              <w:t>寸：242×370×209mm</w:t>
            </w:r>
            <w:r>
              <w:rPr>
                <w:rFonts w:hint="eastAsia" w:ascii="宋体" w:hAnsi="宋体" w:eastAsia="宋体" w:cs="宋体"/>
                <w:b w:val="0"/>
                <w:bCs w:val="0"/>
                <w:sz w:val="24"/>
                <w:szCs w:val="24"/>
                <w:highlight w:val="none"/>
                <w:lang w:val="en-US" w:eastAsia="zh-CN"/>
              </w:rPr>
              <w:t>，黑白激光，兼容系统indows 2000；Windows XP Home； Windows XP Professional； Linux；接口高速 USB 2.0 端口；电源输入电压 110 到 127 伏交流电 (+/- 10%)、50/60 赫兹（+/- 2 赫兹）、3.5 安培； 220 到 240 伏交流电 (+/- 10%)、50/60 赫兹（+/- 2 赫兹）、2 安培；标配内存：2MB。</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CellMar>
            <w:top w:w="0" w:type="dxa"/>
            <w:left w:w="108" w:type="dxa"/>
            <w:bottom w:w="0" w:type="dxa"/>
            <w:right w:w="108" w:type="dxa"/>
          </w:tblCellMar>
        </w:tblPrEx>
        <w:trPr>
          <w:trHeight w:val="321"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万向通风系统</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1.关节：采用高密度PP聚苯烯材质，可360旋转调节方向，易拆卸、重组及清洗。</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2.关节密封圈：采用不易老化的高密度橡胶</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3.关节连接杆：高密度PP材质</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4.关节松紧旋钮：高密度PP材质，内嵌不锈钢轴承，与关节连接杆锁合</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5.气流调节阀：方便的手动调节外部阀门旋钮，控制进入之气流量。</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6.集气罩：PC材质，有红色罩口或透明罩口两种颜色可选。</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7.360°旋转装置，标配固定底座，非粘结而成，模具注塑一体成型，牢度强，不脱底。</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8.滑轨：采用“DTC”超静音轨道可负载35kg。</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9.铰链：采用“DTC”二段力缓冲铰链，可开合100000次以上。</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10.地脚：金属调节杆与改性聚氯乙烯脚垫组合，具有防滑减震功能。高低可调范围30～50mm。</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11.拉手：不锈钢亚光拉手或实验室专用防腐铝合金隐形拉手，两端配专用堵头。</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12.材质采用高密度PP组成，耐酸碱、耐腐蚀；</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13.活动范围以固定架为中心，以1440mm为半径，360度的范围内旋转；高度行程可在720mm的范围内自由伸缩，任意定位.</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14.装饰固定座与固定架底面距离可调，可调范围990mm~1450mm；</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15.具有气流调节钮，可控制气体流量；</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16.使用方便，易拆卸、重组及清洗；</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17.包含原设备拆除，新设备安装，线路铺设等； </w:t>
            </w:r>
            <w:r>
              <w:rPr>
                <w:rFonts w:hint="eastAsia" w:ascii="宋体" w:hAnsi="宋体" w:eastAsia="宋体" w:cs="宋体"/>
                <w:b w:val="0"/>
                <w:bCs w:val="0"/>
                <w:sz w:val="24"/>
                <w:szCs w:val="24"/>
                <w:highlight w:val="none"/>
                <w:lang w:val="en-US" w:eastAsia="zh-CN"/>
              </w:rPr>
              <w:br w:type="textWrapping"/>
            </w:r>
            <w:r>
              <w:rPr>
                <w:rFonts w:hint="eastAsia" w:ascii="宋体" w:hAnsi="宋体" w:eastAsia="宋体" w:cs="宋体"/>
                <w:b w:val="0"/>
                <w:bCs w:val="0"/>
                <w:sz w:val="24"/>
                <w:szCs w:val="24"/>
                <w:highlight w:val="none"/>
                <w:lang w:val="en-US" w:eastAsia="zh-CN"/>
              </w:rPr>
              <w:t>18.配备专用实验室风机（耐腐蚀，玻璃钢离心风机，系统采用变频控制），每个抽气罩各配一个风机（350W），可支持万向抽气罩面风速≥0.35m/s，排风量150-350m³/h，需经久耐用，噪音低于62db，按甲方要求安装通风管网。每一个通风处必须有合格的止逆阀。每一个通风罩各有一个独立开关。</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r>
      <w:tr>
        <w:tblPrEx>
          <w:tblCellMar>
            <w:top w:w="0" w:type="dxa"/>
            <w:left w:w="108" w:type="dxa"/>
            <w:bottom w:w="0" w:type="dxa"/>
            <w:right w:w="108" w:type="dxa"/>
          </w:tblCellMar>
        </w:tblPrEx>
        <w:trPr>
          <w:trHeight w:val="321"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培训中心</w:t>
            </w:r>
            <w:r>
              <w:rPr>
                <w:rFonts w:hint="eastAsia" w:ascii="宋体" w:hAnsi="宋体" w:eastAsia="宋体" w:cs="宋体"/>
                <w:sz w:val="24"/>
                <w:szCs w:val="24"/>
                <w:highlight w:val="none"/>
                <w:lang w:val="en-US" w:eastAsia="zh-CN"/>
              </w:rPr>
              <w:t>配套</w:t>
            </w:r>
            <w:r>
              <w:rPr>
                <w:rFonts w:hint="eastAsia" w:ascii="宋体" w:hAnsi="宋体" w:eastAsia="宋体" w:cs="宋体"/>
                <w:sz w:val="24"/>
                <w:szCs w:val="24"/>
                <w:highlight w:val="none"/>
              </w:rPr>
              <w:t>建设</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分析室、裁判室、原料库房隔断工程：18MM厚欧松板隔断，方管钢化玻璃窗框，12MM钢化玻璃双面，外包覆不锈钢。欧松板打底做0.8M高隔断，上半部份采用12MM钢化玻璃双向夹层。天花板按实际场地进行设计。</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项</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电路敷设</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1.采用桥架，型号规格为300x1003.140m；200x1003."20m；100x1003.40m。场地用电根据实际情况改造，必须满足所有设备同时使用且不发生任何用电故障。</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2.400A塑料外壳断路器2台</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3.3x185+2x95地埋铜芯铠装电缆线100米</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4.室内立式成配电箱1.7x1.1（包含断路器、电表、互感器）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5.3x185铜鼻子6个</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6.2x95铜鼻子2个</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7.低压配电柜箱变母排6米</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报警器</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烟雾、可燃气体报警器，电源：9V电池 / DC12V</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工作电流：静电电流小于10uA，报警工作电流在10-30mA之间；输出形式：干接点，警戒时输出开路，报警时输出短路，阻抗小于50欧；工作环境：-5℃ -50℃，10-90%无冷凝；蜂鸣器音量强度：10英吋处为85分贝。房间内每20-30平方米装一个烟感，重要设备上方0.5-2.5米安装烟感。圆形尺寸,直径105mm,高38mm。</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实验室标牌</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亚克力板、上光油、雕刻等形式，设计包含（但不限于）实验室名称（亚克力大字）、实验室介绍、实训室规章制度、警示标识等，符合化工生产安全作业现场标准（由学校和设备厂家提供文字素材），总计不少于20块（40㎡）。设备操作规程流程板：尺寸不少于6㎡（由设备厂家提供文字素材）。</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轴流风机</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风量范围：1630-41020m3/h,转速范围：2900-960r/min,功率范围：0.12-7.5Kw.配套防爆电机。</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防爆灯</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场地重新布置防爆灯。需满足夜间作业条件。</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装订机</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微晶触控面板，语音播报功能，智能化一键装订</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产品尺寸: 480x367x517mm；工作台尺寸: 480x220mm；装订方式:自动；装订厚度:≤55mm (约550张 70gA4纸)；预热时间: 2- 4分钟；打孔直径: 6mm；铆管规格:φ5.2mm；钻刀规格:φ6*55mm，特种钢硬化钻刀。</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351"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23</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窗帘</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必须遮光遮阳</w:t>
            </w:r>
            <w:r>
              <w:rPr>
                <w:rFonts w:hint="eastAsia" w:ascii="宋体" w:hAnsi="宋体" w:eastAsia="宋体" w:cs="宋体"/>
                <w:sz w:val="24"/>
                <w:szCs w:val="24"/>
                <w:highlight w:val="none"/>
                <w:vertAlign w:val="baseline"/>
                <w:lang w:val="en-US" w:eastAsia="zh-CN"/>
              </w:rPr>
              <w:t>（单片裁剪根据场地布置）；</w:t>
            </w:r>
            <w:r>
              <w:rPr>
                <w:rFonts w:hint="eastAsia" w:ascii="宋体" w:hAnsi="宋体" w:eastAsia="宋体" w:cs="宋体"/>
                <w:sz w:val="24"/>
                <w:szCs w:val="24"/>
                <w:highlight w:val="none"/>
                <w:lang w:val="en-US" w:eastAsia="zh-CN"/>
              </w:rPr>
              <w:t>面料透气性须良好，具有阻燃，防菌，防潮等优点；永久性阻燃隔帘性能要求：阻燃B1级面料的纱线中含有防火材质（阻燃丝），可压制着火后燃烧范围的扩大；含配套附加罗马杆套环及螺丝，罗马杆固定支座需用不小于5cm膨胀螺丝固定；窗帘，内外层材质</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安全帽收纳柜</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冷轧钢板，带锁柜门，钢化玻璃，每个可容纳50顶安全帽，含安全帽白色20顶，红色80顶。</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小型消防站</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1、根据公安部印发《消防安全重点单位 微型消防站建设标准 （试行）》标准；实训室需每层配置 2 套微型消防站； </w:t>
            </w:r>
          </w:p>
          <w:p>
            <w:pPr>
              <w:bidi w:val="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2、尺寸：2000mm*1000mm*1700mm，优质加厚冷轧钢；微型消防站构造需耐腐蚀，抗高温，防刮花，安全环保； </w:t>
            </w:r>
          </w:p>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vertAlign w:val="baseline"/>
                <w:lang w:val="en-US" w:eastAsia="zh-CN"/>
              </w:rPr>
              <w:t xml:space="preserve">3、微型消防站应包括以下消防器材： 消防头盔*2、消防服*2、消防裤*2、手套*2、腰带*2、靴 子*2、 扩音喇叭*1、安全绳*2、 消防水枪*2、消防接扣*1、水 带*1、消防桶*1、对讲机*2、防毒面罩*5、强光手电*2、呼救机*2、灭火毯、消防扳手*1 ，其他消防器材各 2 套。轻型防护服*4:需耐酸碱、耐腐蚀，经贴合-缝制-贴条工艺 制成服装主体和手套，并配以阻燃、防化、耐电压、抗刺穿靴构成成套服装，该服装需配空气呼吸器、防毒面具、防化手套、防化靴。 </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tblPrEx>
          <w:tblCellMar>
            <w:top w:w="0" w:type="dxa"/>
            <w:left w:w="108" w:type="dxa"/>
            <w:bottom w:w="0" w:type="dxa"/>
            <w:right w:w="108" w:type="dxa"/>
          </w:tblCellMar>
        </w:tblPrEx>
        <w:trPr>
          <w:trHeight w:val="534"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智慧黑板一体机</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1.显示屏</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宽度≥4200mm、高度≥1200mm、厚度≤95mm，整机采用三拼接平面一体化设计，无推拉式结构及外露连接线，外观简洁。屏幕边缘采用超薄金属圆角包边防护，背板采用金属材质，有效屏蔽内部电路器件辐射；防潮耐盐雾蚀锈，适应多种教学环境。</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中央主屏幕显示采用≥86英寸UHD超高清LED液晶屏，屏幕分辨率不低于3840*2160，显示比例16:9。为保证设备显示整机支持色彩空间可选，需支持sRGB模式，在sRGB模式下可做到高色准△E≤1.5。</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采用电容触控技术，设</w:t>
            </w:r>
            <w:r>
              <w:rPr>
                <w:rFonts w:hint="eastAsia" w:ascii="宋体" w:hAnsi="宋体" w:eastAsia="宋体" w:cs="宋体"/>
                <w:sz w:val="24"/>
                <w:szCs w:val="24"/>
                <w:highlight w:val="none"/>
                <w:lang w:val="en-US" w:eastAsia="zh-CN"/>
              </w:rPr>
              <w:t>备具备30点或以上触控。</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整机屏幕采用全贴合工艺，玻璃与液晶显示屏之</w:t>
            </w:r>
            <w:r>
              <w:rPr>
                <w:rFonts w:hint="eastAsia" w:ascii="宋体" w:hAnsi="宋体" w:eastAsia="宋体" w:cs="宋体"/>
                <w:sz w:val="24"/>
                <w:szCs w:val="24"/>
                <w:lang w:val="en-US" w:eastAsia="zh-CN"/>
              </w:rPr>
              <w:t>间无间隙，避免灰尘与水汽聚集到屏幕与玻璃之间，表面有灰尘和水迹时，不会影响触控效果。整机中间主屏及两侧副屏可支持多种媒介进行板书书写，便于老师完整书写教学内容。</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中间书写面板采用耐磨玻璃材质，长期书写情况下面板磨损导致的雾度不超过2%。整机中间书写面板采用防眩光全钢化防爆玻璃面板，面板的碎片状态、抗冲击性、霰弹袋冲击性能、耐热冲击性能均通过国家强制玻璃标准，表面压力≥100Mpa,适应学校复杂环境，保障教学安全。整机中间表面覆盖玻璃选用国标优等品，光学变形、点状缺陷、尺寸偏差、弯曲度、透射比等均符合GB11614-2009平板玻璃标准。</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整机电磁干扰ITE达到国标GB/T9254-2008 Class B等级要求，满足教学环境多电子设备共用，无需采取任何电磁辐射防护措施。</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中间显示屏采用防眩钢化玻璃设计，玻璃厚度≤3mm，防划防撞耐磨，具备防眩光功能，整机色域覆盖率（NTSC）≥78%。，表面硬度≥9H。</w:t>
            </w:r>
          </w:p>
          <w:p>
            <w:pPr>
              <w:keepNext w:val="0"/>
              <w:keepLines w:val="0"/>
              <w:widowControl/>
              <w:suppressLineNumbers w:val="0"/>
              <w:spacing w:line="240" w:lineRule="auto"/>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智能交互黑板屏体具有物理防蓝光功能，整机</w:t>
            </w:r>
            <w:r>
              <w:rPr>
                <w:rFonts w:hint="eastAsia" w:ascii="宋体" w:hAnsi="宋体" w:eastAsia="宋体" w:cs="宋体"/>
                <w:sz w:val="24"/>
                <w:szCs w:val="24"/>
                <w:highlight w:val="none"/>
                <w:lang w:val="en-US" w:eastAsia="zh-CN"/>
              </w:rPr>
              <w:t>视网膜蓝光危害（蓝光加权辐射亮度LB）符合IEC62471标准，LB限值范围≤0.5，达到视觉健康舒适度A 级或以上标准。</w:t>
            </w:r>
            <w:r>
              <w:rPr>
                <w:rFonts w:hint="eastAsia" w:ascii="宋体" w:hAnsi="宋体" w:eastAsia="宋体" w:cs="宋体"/>
                <w:b w:val="0"/>
                <w:bCs w:val="0"/>
                <w:kern w:val="0"/>
                <w:sz w:val="24"/>
                <w:szCs w:val="24"/>
                <w:highlight w:val="none"/>
                <w:lang w:val="en-US" w:eastAsia="zh-CN"/>
              </w:rPr>
              <w:t>依据GB/T 20145-2006国家标准，无蓝光危害。</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整机能感应并自动调节屏幕亮度来达到在不同光照环境下的不同亮度显示效果，此功能可自行开</w:t>
            </w:r>
            <w:r>
              <w:rPr>
                <w:rFonts w:hint="eastAsia" w:ascii="宋体" w:hAnsi="宋体" w:eastAsia="宋体" w:cs="宋体"/>
                <w:sz w:val="24"/>
                <w:szCs w:val="24"/>
                <w:lang w:val="en-US" w:eastAsia="zh-CN"/>
              </w:rPr>
              <w:t>启或关闭，支持指尖熄屏功能。</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整机支持搭配具有NFC功能的手机、平板，通过接触整机设备上的NFC标签，即可实现手机、平板与大屏的连接并同步手机、平板的画面到设备上，无需其它操作设置，支持不少于4台手机、平板同时连接并显示。</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整机支持纸质护眼模式，在任意通道任意画面任意软件所在显示内容下可实时调整画面纹理。画面纹理的类型有牛皮纸、素描纸、宣纸、水彩纸、水纹纸。</w:t>
            </w:r>
          </w:p>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2.音频效果</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整机内置2.2声道扬声器，≥2个10W高音扬声器，≥2个20W中低音扬声器，总功率不低于60W。整机扬声器在100%音量下，可做到1米处声压级≥87 db，10米处声压级≥72 dB。</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整机内置非独立外扩展的4阵列麦克风，可用于对教室环境音频进行采集，麦克风拾音距离≥12m。（提供具有CNAS标识的检测报告复印件加盖公章）</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整机支持蓝牙Bluetooth 5.2标准，能连接外部蓝牙音箱播放音频，也能接收外部手机通过蓝牙发送的文件。</w:t>
            </w:r>
          </w:p>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3.设备功能与安卓系统</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智能交互黑板具备前置笔槽设计，可放置书写笔、智能电子教鞭、粉笔、水性笔等，黑板笔槽具备粉尘清理结构设计。</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采用智能电子产品一键式设计：同一物理按键完成Android系统、Windows系统和节能熄屏操作，通过轻按按键实现节能熄屏/唤醒，长按按键实现关机。</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内置专业硬件自检维护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内置无线传屏接收器，无需外接接收部件，无线传屏发射器与整机匹配后即可实现传屏功能。</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前置输入接口：≥1路TypeC、≥2路USB3.0，支持Android系统、Windows系统读取外接移动存储设备。侧置输入接口：≥1路HDMI、≥1路RS232；侧置输出接口：≥1路音频输出、≥1路触控输出USB。</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设备支持通过前置物理按键一键启动录屏功能，可将屏幕中显示的所有内容与老师人声同时录制，支持自定义前置“设置"按键，通过自定义设置实现前置面板功能按键一键启用任一全局小工具。</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系统版本不低于Android 11.0，内存不低于2GB，存储空间不低于8GB。</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内置无线传屏接收器，无需外接接收部件，无线传屏发射器与整机匹配后即可实现传屏功能。</w:t>
            </w:r>
          </w:p>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4.摄像与AP系统</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整机具备内置摄像头</w:t>
            </w:r>
            <w:r>
              <w:rPr>
                <w:rFonts w:hint="eastAsia" w:ascii="宋体" w:hAnsi="宋体" w:eastAsia="宋体" w:cs="宋体"/>
                <w:sz w:val="24"/>
                <w:szCs w:val="24"/>
                <w:highlight w:val="none"/>
                <w:lang w:val="en-US" w:eastAsia="zh-CN"/>
              </w:rPr>
              <w:t>支持≥1600W像素的视频采集；支持对角视场角≥135°；支持扫描二维码功能，快速调用信息，使用摄像头可实现远程巡课。可AI识别人像，人像识别</w:t>
            </w:r>
            <w:r>
              <w:rPr>
                <w:rFonts w:hint="eastAsia" w:ascii="宋体" w:hAnsi="宋体" w:eastAsia="宋体" w:cs="宋体"/>
                <w:sz w:val="24"/>
                <w:szCs w:val="24"/>
                <w:lang w:val="en-US" w:eastAsia="zh-CN"/>
              </w:rPr>
              <w:t>距离≥10米。摄像头支持人脸识别、快速点人数、随机抽人，可识别镜头前的所有学生，并显示人脸标记、随机抽选。支持同时显示标记不少于60人。</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整机Wi-Fi及AP热点支持频段2.4GHz/5GHz ，Wi-Fi制式支持IEEE 802.11 a/b/g/n/ac/ax，支持版本Wi-Fi6。设备同时支持蓝牙功能，且蓝牙标准不小于Bluetooth 5.2标准。</w:t>
            </w:r>
          </w:p>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5.信息安全系统</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为保证设备安全，降低设备维护难度，整机关机状态下，通过长按电源键进入设置界面后，可点击屏幕选择恢复整机系统及Windows操作系统到出厂默认状态，无需额外工具辅助。</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为保证信息安全，自带安全管控软件，支持对系统盘进行垃圾清理、大文件迁移，释放系统盘空间占用，提升设备运行速度。</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为保证安全管控软件不被误操作删除，安全软件具备自我保护系统，用户无法通过传统方法（卸载或者关闭程序）来终止其的运行，删除时，需要软件删除密码验证。从而保护管理员可有效的管控设备。</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整机支持同一品牌智能笔，通过 BLE(蓝牙低能耗技术)、USB Dongle(通用串口总线 接收器)等方式连接，当整机和智能笔均支持BLE功能时，支持指定区域内智能笔自动 发现、自动连接，并支持读取智能笔型号， 对应显示设备实物图片。（提供国家级检测机构所出具的权威检测报告复印件并加盖公章）</w:t>
            </w:r>
          </w:p>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6.OPS模块：</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主板采用H410芯片组或以上芯片组，搭载Intel 酷睿系列十代或以上CPU i5 （主频≥2.9GHZ,线程数≥12），内存：8GB DDR4笔记本内存或以上配置，硬盘：256GB或以上SSD（M.2）固态硬盘。</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采用抽拉（插拔）内置式模块化电脑，PC模块可插入整机，可实现无单独接线的插拔，模块和整机的连接采用万兆级接口，传输速率≥10Gbps。</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具有独立非外扩展的电脑USB接口：PC模块上USB3.0≥3个，USB2.0≥1个，HDMI≥1，1000M RJ45≥1 个，MIC-IN≥1。</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按压式卡扣方式设计无需工具即可快速拆卸电脑模块，具有标准PC防盗锁孔，确保电脑模块安全防盗。</w:t>
            </w:r>
          </w:p>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7.白板软件</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教学软件为全校教师提供可扩展，易于学校管理，安全可靠的云存储空间，根据每名教师使用时长与教学资料制作频率提供可扩展升级至不小于200G的个人云空间。</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便于学校听课评课，白板软件自带评课功能，在白板软件中，可直接打开评课，老师通过二维码扫描即可快速进行评课，评课后在学校平台可直接显示评课统计结果。为保证使用稳定性，必须在白板软件界面下，平台需与设备为同一厂家。</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出于课件私密性考虑，</w:t>
            </w:r>
            <w:r>
              <w:rPr>
                <w:rFonts w:hint="eastAsia" w:ascii="宋体" w:hAnsi="宋体" w:eastAsia="宋体" w:cs="宋体"/>
                <w:sz w:val="24"/>
                <w:szCs w:val="24"/>
                <w:lang w:val="zh-TW" w:eastAsia="zh-TW"/>
              </w:rPr>
              <w:t>教学</w:t>
            </w:r>
            <w:r>
              <w:rPr>
                <w:rFonts w:hint="eastAsia" w:ascii="宋体" w:hAnsi="宋体" w:eastAsia="宋体" w:cs="宋体"/>
                <w:sz w:val="24"/>
                <w:szCs w:val="24"/>
                <w:lang w:val="en-US" w:eastAsia="zh-CN"/>
              </w:rPr>
              <w:t>软件</w:t>
            </w:r>
            <w:r>
              <w:rPr>
                <w:rFonts w:hint="eastAsia" w:ascii="宋体" w:hAnsi="宋体" w:eastAsia="宋体" w:cs="宋体"/>
                <w:sz w:val="24"/>
                <w:szCs w:val="24"/>
                <w:lang w:val="zh-TW" w:eastAsia="zh-TW"/>
              </w:rPr>
              <w:t>须一体的信息化教学账号体系；根据教师账号信息将教师云空间匹配至对应学校、学科校本资源库。</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互动教学课件支持分享至学校校本资源库，学段学科根据教师个人信息自动匹配，分享后课件全校教师可见，并可直接下载使用。校本资源库支持按学科、学段进行快速查找，同时支持关键词精准检索。</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lang w:val="zh-TW" w:eastAsia="zh-TW"/>
              </w:rPr>
              <w:t>提供至少</w:t>
            </w:r>
            <w:r>
              <w:rPr>
                <w:rFonts w:hint="eastAsia" w:ascii="宋体" w:hAnsi="宋体" w:eastAsia="宋体" w:cs="宋体"/>
                <w:sz w:val="24"/>
                <w:szCs w:val="24"/>
                <w:lang w:val="en-US" w:eastAsia="zh-CN"/>
              </w:rPr>
              <w:t>30</w:t>
            </w:r>
            <w:r>
              <w:rPr>
                <w:rFonts w:hint="eastAsia" w:ascii="宋体" w:hAnsi="宋体" w:eastAsia="宋体" w:cs="宋体"/>
                <w:sz w:val="24"/>
                <w:szCs w:val="24"/>
                <w:lang w:val="zh-TW" w:eastAsia="zh-TW"/>
              </w:rPr>
              <w:t>种应用于文本、形状、图片等课件元素的触发动画，可对动画的设置触发条件、动画声效、动画时长、动画延迟</w:t>
            </w:r>
            <w:r>
              <w:rPr>
                <w:rFonts w:hint="eastAsia" w:ascii="宋体" w:hAnsi="宋体" w:eastAsia="宋体" w:cs="宋体"/>
                <w:sz w:val="24"/>
                <w:szCs w:val="24"/>
                <w:highlight w:val="none"/>
                <w:lang w:val="zh-TW" w:eastAsia="zh-TW"/>
              </w:rPr>
              <w:t>和动画方向进行自定义设置。</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TW" w:eastAsia="zh-TW"/>
              </w:rPr>
              <w:t>内置不少于</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lang w:val="zh-TW" w:eastAsia="zh-TW"/>
              </w:rPr>
              <w:t>种符合教学需要的课件背景供教师直接使用，且教师可自定义课件背景。</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zh-TW" w:eastAsia="zh-TW"/>
              </w:rPr>
              <w:t>支持课件内所有的元素对象创</w:t>
            </w:r>
            <w:r>
              <w:rPr>
                <w:rFonts w:hint="eastAsia" w:ascii="宋体" w:hAnsi="宋体" w:eastAsia="宋体" w:cs="宋体"/>
                <w:sz w:val="24"/>
                <w:szCs w:val="24"/>
                <w:lang w:val="zh-TW" w:eastAsia="zh-TW"/>
              </w:rPr>
              <w:t>建超链接，可链接到对象所在课件的相关页面、网页、文档等。</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为方便老时间课件的传阅，软件需支持</w:t>
            </w:r>
            <w:r>
              <w:rPr>
                <w:rFonts w:hint="eastAsia" w:ascii="宋体" w:hAnsi="宋体" w:eastAsia="宋体" w:cs="宋体"/>
                <w:sz w:val="24"/>
                <w:szCs w:val="24"/>
                <w:lang w:val="zh-TW" w:eastAsia="zh-TW"/>
              </w:rPr>
              <w:t>互动教学课件支持定向精准分享：分享者可将互动课件、课件组精准推送至指定接收方账号云空间，接收方可在云空间接收并打开分享课件；</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响应名校网络课的政策需求，软件需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AI智能纠错：软件内置的AI智能语义分析模块，可对输入的英文文本的拼写、句型、语法进行错误检查，并支持一键纠错。</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方便教学反思，支持在白板软件中一键对课堂进行内容实录并选择上传平台，可对实录内容进行语音识别，转化为文字。支持对实录的课件根据课件翻页时间自动切片打点，包括翻页、跳转至任意指定页、支持画笔、橡皮擦、撤销等工具的调用，互动教学游戏中所有元素都可二次拖动，方便对课件进行预览学习。</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为方便老师利用软件互动功能在原有PPT基础上修改课件，需支持用户在软件中打开pptx格式文件，且用户可在软件中自由编辑原文件中的图片、文字、表格等元素，并支持修改原文件中的动画。</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出于方便教师</w:t>
            </w:r>
            <w:r>
              <w:rPr>
                <w:rFonts w:hint="eastAsia" w:ascii="宋体" w:hAnsi="宋体" w:eastAsia="宋体" w:cs="宋体"/>
                <w:sz w:val="24"/>
                <w:szCs w:val="24"/>
                <w:lang w:val="zh-TW" w:eastAsia="zh-TW"/>
              </w:rPr>
              <w:t>快速定位讲解关键教学内容</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软件需</w:t>
            </w:r>
            <w:r>
              <w:rPr>
                <w:rFonts w:hint="eastAsia" w:ascii="宋体" w:hAnsi="宋体" w:eastAsia="宋体" w:cs="宋体"/>
                <w:sz w:val="24"/>
                <w:szCs w:val="24"/>
                <w:lang w:val="zh-TW" w:eastAsia="zh-TW"/>
              </w:rPr>
              <w:t>支持对音频、视频文件进行关键帧标记，可在音、视频进度条任意位置自由设置关键帧播放节点。</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方便老师快速处理图片素材，需支持快捷抠图，无需借助专业图片处理软件，即可在白板软件中对导入的图片进行快捷抠图、去背景，处理后的图片主体边缘没有明显毛边，可导出保存成PNG格式。方便老师制作课件。</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更好的提升课堂互动性做到寓教于乐，软件需支持创建判断题竞赛游戏，教师可设置正确项／干扰项，让两组学生进行判断对错游戏竞争。提供简单、中等、困难难度及多种预设游戏背景模版，模版样式支持自定义修改。</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教师知识点梳理需要，软件需可对教学知识点以思维导图形式展现，可增删或拖拽编辑内容节点，并支持在节点上插入图片、音频、视频、网页链接、课件页面链接。支持思维导图逐级、逐个节点展开，并可任意缩放，满足不同演示需求。</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基于老师教学需要，减轻老师做教具的负担，软件需可进行地理课教学，包含地理课教学工具，教师可对地理学科中设计的板块、降水、气温、气候、人口、表层洋流、陆地自然带等内容进行直观展示。</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为方便老师随时随地快速查看分享课件，白板软件具有手机app支持，老师可在手机白板app中快速接收分享课件并进行查看预览。</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为便于教师结合知识点自主创作的图形，需具备图形自由创作工具，教师可自由绘制复杂的任意多边图形及曲边图形；教师自主创作的图形可存储至个人云空间便于后续使用。</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响应名校网络课的政策需求，软件需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在直播课堂中，教师可指定授权学生远程互动，学生可在直播的课件画面进行书写、移动、擦除、参与互动活动等，学生操作过程实时同步至班级其他学生，可支持不少于5位学生同时参与远程互动</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远程考勤管理：直播课程结束后，后台自动统计报名学生名单和学生学习清单。课程回放：课程结束后自动生成直播回放，报名课程的学生可反复学习；回放课程自动保存在云端，支持人工删除。</w:t>
            </w:r>
          </w:p>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8.微课功能</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录制功能：录制过程中可对课件中的元素进行拖动、克隆、删除等操作，支持在录制过程中进行书写和擦除</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剪辑重录功能：支持按照课件页面片段剪辑和重录微课，支持一键上传至云端保存</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无课件录制：支持教师在空白页面录制微课，支持自主添加不低于100页电子草稿进行讲解</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听课方式：微课录制结束后自动生成分享海报，学生扫码在即可在微信观看，无需下载额外app使用，学生观看微课时可进行多种互动，可在控制课件模式下移动、删除克隆课件内的元素，参与课堂活动互动练习</w:t>
            </w:r>
          </w:p>
          <w:p>
            <w:pPr>
              <w:keepNext w:val="0"/>
              <w:keepLines w:val="0"/>
              <w:widowControl/>
              <w:suppressLineNumbers w:val="0"/>
              <w:spacing w:line="240" w:lineRule="auto"/>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系统后台自动统计微课的观看次数，便于教师做教研管理</w:t>
            </w:r>
          </w:p>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9.硬件参数</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1、采用三折叠开合式托板，展开后托板尺寸≥A4面积，收起时小巧不占空间，高效利用挂墙面积。采用USB高速接口，单根USB线实现供电、高清数据传输需求。</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2、采用1300W像素自动对焦摄像头，可拍摄A4画幅。采用PDAF相位对焦技术，自动对焦速度低于300ms，减少对焦过程时间，提高教学效率。</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3、支持通过双击屏幕画面任意位置，即时改变对焦位置，可对立体物体的局部进行精确对焦。</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4、支持两倍无损变焦放大，1080P分辨率下输出解析度≥TV 1800线.</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5、展台按键采用电容式触摸按键，可实现一键启动展台画面、画面放大、画面缩小、画面旋转、拍照截图等功能，同时也支持在展台软件上进行同样的操作。</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6、整机自带均光罩LED补光灯，光线不足时可进行亮度补充，亮度均匀。外壳在摄像头部分带保护镜片密封，防止灰尘沾染摄像头，防护等级达到IP4X级别。</w:t>
            </w:r>
          </w:p>
          <w:p>
            <w:pPr>
              <w:keepNext w:val="0"/>
              <w:keepLines w:val="0"/>
              <w:widowControl/>
              <w:suppressLineNumbers w:val="0"/>
              <w:spacing w:line="240" w:lineRule="auto"/>
              <w:jc w:val="both"/>
              <w:textAlignment w:val="cente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7、一体机采用支架，底部带滑轮。</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10.软件参数</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1、支持对展台实时画面进行放大、缩小、旋转、自适应、冻结画面等操作。</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2、支持展台画面实时批注，预设多种笔划粗细及颜色供选择，且支持对展台画面联同批注内容进行同步缩放、移动。</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展台画面拍照截图并进行多图预览，可对任一图片进行全屏显示。老师可在一体机或电脑上选择延时拍照功能，支持5秒或10秒延时模式，预留充足时间以便调整拍摄内容。（提供第三方检测报告复印件并加盖公章）</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可选择图像、文本或动态等多种情景模式，适应不同展示内容。具备图像增强功能，可自动裁剪背景并增强文字显示，使文档画面更清晰。支持故障自动检测，在软件无法出现展台拍摄画面时，自动出现检测链接，帮助用户检测“无画面”的原因，并给出引导性解决方案。可判断硬件连接、显卡驱动、摄像头占用、软件版本等问题</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二维码扫码功能：打开扫一扫功能后，将书本上的二维码放入扫描框内即可自动扫描，并进入系统浏览器获取二维码的链接内容，帮助老师快速获取电子教学资源（提供第三方检测报告复印件并加盖公章）</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硬件设备至少提供三年的质保承诺函</w:t>
            </w:r>
          </w:p>
          <w:p>
            <w:pPr>
              <w:keepNext w:val="0"/>
              <w:keepLines w:val="0"/>
              <w:widowControl/>
              <w:suppressLineNumbers w:val="0"/>
              <w:spacing w:line="240" w:lineRule="auto"/>
              <w:jc w:val="both"/>
              <w:textAlignment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11.智能笔</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1、支持电容触摸设备书写、无线控制发射器一体化设计。</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2、笔身配置物理按键，具备翻页、模拟激光笔、智能语音控制功能，兼顾触摸书写以及远程操控的握持姿态。</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3、兼容白板软件、PPT、PDF等多种演示软件课件的远程翻页控制。</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4、内置高精度陀螺仪，具备模拟激光笔功能，可通过笔身按钮激活陀螺仪模拟激光功能，适用于加载防眩光设计的教学显示设备。</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5、支持笔身翻转矫正，笔身轻微倾斜时，水平移动智能笔，可瞬时矫正识别光标动作为水平移动。</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6、支持按键唤醒语音识别功能，避免杂音造成误唤醒。</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支持唤醒语音识别时，可直接通过语音打开PC内已安装的应用，可直接通过语音调用网络搜索引擎搜索查询相应资料，可进行语音转写输入，支持语音控制屏幕黑屏、亮屏，音量大小调整，返回桌面，截屏，关机等操作。</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8、支持白板软件内，通过语音控制：切换备授课模式，切换书写、擦除、选择模式，最小化返回桌面，打开板中板，清空书写批注等操作</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9、采用无线连接方式，远程控制距离：语音识别≥5m；模拟激光≥10m；上翻页、下翻页≥25米</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10、内部集成可充电电池设计，可连续不中断使用≥20小时，从无电到满电的充电时长≤2小时</w:t>
            </w:r>
          </w:p>
          <w:p>
            <w:pPr>
              <w:pStyle w:val="5"/>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kern w:val="0"/>
                <w:sz w:val="24"/>
                <w:szCs w:val="24"/>
                <w:lang w:val="en-US" w:eastAsia="zh-CN"/>
              </w:rPr>
              <w:t>11、支持智能休眠节电，智能笔20秒内无人使用时自动进入休眠节电模式，按任意按键唤醒智能遥控笔。</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r>
      <w:tr>
        <w:tblPrEx>
          <w:tblCellMar>
            <w:top w:w="0" w:type="dxa"/>
            <w:left w:w="108" w:type="dxa"/>
            <w:bottom w:w="0" w:type="dxa"/>
            <w:right w:w="108" w:type="dxa"/>
          </w:tblCellMar>
        </w:tblPrEx>
        <w:trPr>
          <w:trHeight w:val="9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音箱</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1.采用功放与有源音箱一体化设计，内置麦克风无线接收模块，帮助教师实现多媒体扩音以及本地扩声功能。</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2.双音箱有线连接，机箱采用环保材质，保护设备免受环境影响。</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输出额定功率: 2*≥15W。</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3.端口：220V电源接口*1、Line in*1、USB*1。</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4.麦克风和功放音箱之间采用数字U段传输技术，有效避免环境中2.4G信号干扰，例如蓝牙及WIFI设备；配置独立音频数字信号处理芯片，支持啸叫抑制功能。</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5.支持教师扩声和输入音源叠加输出，可对接录播系统实现教师扩声音频的纯净采集，避免杂音干扰采集效果。</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提供产品检测报告，要求具有CCC资格认证，符合中国电子设备管理规定和技术标准。</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CellMar>
            <w:top w:w="0" w:type="dxa"/>
            <w:left w:w="108" w:type="dxa"/>
            <w:bottom w:w="0" w:type="dxa"/>
            <w:right w:w="108" w:type="dxa"/>
          </w:tblCellMar>
        </w:tblPrEx>
        <w:trPr>
          <w:trHeight w:val="9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无线麦克</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无线麦克风集音频发射处理器、天线、电池、拾音麦克风于一体，配合一体化有源音箱，无需任何外接辅助设备即可实现本地扩声功能。</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麦克风和功放音箱之间采用数字U段传输技术，有效避免环境中2.4G信号干扰，例如蓝牙及WIFI设备。</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支持智能红外对码及UHF对码，可在2s内快速完成与教学扩声音箱对码，无需繁琐操作。</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支持快速充电与超低功耗工作模式，课间充电10分钟，实现80分钟续航。</w:t>
            </w:r>
          </w:p>
          <w:p>
            <w:pPr>
              <w:keepNext w:val="0"/>
              <w:keepLines w:val="0"/>
              <w:widowControl/>
              <w:suppressLineNumbers w:val="0"/>
              <w:spacing w:line="240" w:lineRule="auto"/>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麦克风距离音箱有效工作距离≥10米，保证全场地覆盖。</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CellMar>
            <w:top w:w="0" w:type="dxa"/>
            <w:left w:w="108" w:type="dxa"/>
            <w:bottom w:w="0" w:type="dxa"/>
            <w:right w:w="108" w:type="dxa"/>
          </w:tblCellMar>
        </w:tblPrEx>
        <w:trPr>
          <w:trHeight w:val="9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电子天平</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方盘-量程</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kern w:val="0"/>
                <w:sz w:val="24"/>
                <w:szCs w:val="24"/>
                <w:lang w:val="en-US" w:eastAsia="zh-CN"/>
                <w14:textFill>
                  <w14:solidFill>
                    <w14:schemeClr w14:val="tx1"/>
                  </w14:solidFill>
                </w14:textFill>
              </w:rPr>
              <w:t>600g精度要求0.01g配砝码</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topLinePunct w:val="0"/>
              <w:bidi w:val="0"/>
              <w:spacing w:beforeAutospacing="0" w:afterAutospacing="0"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10</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topLinePunct w:val="0"/>
              <w:bidi w:val="0"/>
              <w:spacing w:beforeAutospacing="0" w:afterAutospacing="0" w:line="24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套</w:t>
            </w:r>
          </w:p>
        </w:tc>
      </w:tr>
      <w:tr>
        <w:tblPrEx>
          <w:tblCellMar>
            <w:top w:w="0" w:type="dxa"/>
            <w:left w:w="108" w:type="dxa"/>
            <w:bottom w:w="0" w:type="dxa"/>
            <w:right w:w="108" w:type="dxa"/>
          </w:tblCellMar>
        </w:tblPrEx>
        <w:trPr>
          <w:trHeight w:val="9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校园自动气象站</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一、监测主机：</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1.风速：0～70m/s（±0.1m/s）；</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2.风向：0～360°（±1°）；</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3.空气温度：-40℃～85℃（±0.3℃）；</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4.空气湿度：0～100%RH（±2%RH）；</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5.大气压力：300hPa～1100hPa（±0.02hPa）；</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6.PM2.5：0-1000ug/m3（±15%）</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7.PM10：0-1000ug/m3（±15%）</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8.噪声：30~130dB（±1.5dB)</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9.光照：0-100Klx（±3%）</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10.光学雨量：0～4mm/min（±4%）</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11.蒸发量：口径： 200mm，精度： 1％，测量范围：0～80mm</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12.顶盖隐藏式超声波探头，避免雨雪堆积的干扰，避免自然风遮挡。</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13.传感器外壳采用ASA材质，防护等级≥IP65。</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14.市电供电，1*0.5米LED显示屏</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15.充电控制器：150W，MPPT自动功率点跟踪。</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16.数据上传间隔：1分钟-1000分钟可调。</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整机取得第三方检测公司出具的CMA检测报告。</w:t>
            </w:r>
          </w:p>
          <w:p>
            <w:pPr>
              <w:keepNext w:val="0"/>
              <w:keepLines w:val="0"/>
              <w:pageBreakBefore w:val="0"/>
              <w:kinsoku/>
              <w:wordWrap/>
              <w:topLinePunct w:val="0"/>
              <w:bidi w:val="0"/>
              <w:spacing w:beforeAutospacing="0" w:afterAutospacing="0" w:line="240" w:lineRule="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14:textFill>
                  <w14:solidFill>
                    <w14:schemeClr w14:val="tx1"/>
                  </w14:solidFill>
                </w14:textFill>
              </w:rPr>
              <w:t>遥测终端机：</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遥测终端机拥有不少于6路模拟量采集输入，不少于5路开关量输入，不少于3路继电器输出。</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遥测终端机拥有不少于8M循环存储，支持MicroSD卡存储，支持U盘数据导出。</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遥测终端机拥有不少于1路4G接入，支持移动、联通、电信通讯。</w:t>
            </w:r>
          </w:p>
          <w:p>
            <w:pPr>
              <w:keepNext w:val="0"/>
              <w:keepLines w:val="0"/>
              <w:pageBreakBefore w:val="0"/>
              <w:kinsoku/>
              <w:wordWrap/>
              <w:topLinePunct w:val="0"/>
              <w:bidi w:val="0"/>
              <w:spacing w:beforeAutospacing="0" w:afterAutospacing="0" w:line="240" w:lineRule="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三、</w:t>
            </w:r>
            <w:r>
              <w:rPr>
                <w:rFonts w:hint="eastAsia" w:ascii="宋体" w:hAnsi="宋体" w:eastAsia="宋体" w:cs="宋体"/>
                <w:b/>
                <w:bCs/>
                <w:color w:val="000000" w:themeColor="text1"/>
                <w:kern w:val="0"/>
                <w:sz w:val="24"/>
                <w:szCs w:val="24"/>
                <w14:textFill>
                  <w14:solidFill>
                    <w14:schemeClr w14:val="tx1"/>
                  </w14:solidFill>
                </w14:textFill>
              </w:rPr>
              <w:t>云平台：</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采用CS架构，支持手机、PC浏览器直接观测、无需额外安装软件。</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支持实时数据展示与历史数据展示仪表板。</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支持短信报警及阈值设置。</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支持地图显示、查看设备信息。</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支持数据曲线分析。</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支持以表格形式导出数据。</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支持数据后处理功能。</w:t>
            </w:r>
          </w:p>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支持外置运行javascript脚本。</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1</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套</w:t>
            </w:r>
          </w:p>
        </w:tc>
      </w:tr>
      <w:tr>
        <w:tblPrEx>
          <w:tblCellMar>
            <w:top w:w="0" w:type="dxa"/>
            <w:left w:w="108" w:type="dxa"/>
            <w:bottom w:w="0" w:type="dxa"/>
            <w:right w:w="108" w:type="dxa"/>
          </w:tblCellMar>
        </w:tblPrEx>
        <w:trPr>
          <w:trHeight w:val="90" w:hRule="atLeast"/>
          <w:jc w:val="center"/>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蒸发传感器</w:t>
            </w:r>
          </w:p>
        </w:tc>
        <w:tc>
          <w:tcPr>
            <w:tcW w:w="4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14:textFill>
                  <w14:solidFill>
                    <w14:schemeClr w14:val="tx1"/>
                  </w14:solidFill>
                </w14:textFill>
              </w:rPr>
              <w:t>技术参数</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val="0"/>
                <w:color w:val="000000" w:themeColor="text1"/>
                <w:kern w:val="0"/>
                <w:sz w:val="24"/>
                <w:szCs w:val="24"/>
                <w14:textFill>
                  <w14:solidFill>
                    <w14:schemeClr w14:val="tx1"/>
                  </w14:solidFill>
                </w14:textFill>
              </w:rPr>
              <w:t>口</w:t>
            </w:r>
            <w:r>
              <w:rPr>
                <w:rFonts w:hint="eastAsia" w:ascii="宋体" w:hAnsi="宋体" w:eastAsia="宋体" w:cs="宋体"/>
                <w:color w:val="000000" w:themeColor="text1"/>
                <w:kern w:val="0"/>
                <w:sz w:val="24"/>
                <w:szCs w:val="24"/>
                <w14:textFill>
                  <w14:solidFill>
                    <w14:schemeClr w14:val="tx1"/>
                  </w14:solidFill>
                </w14:textFill>
              </w:rPr>
              <w:t xml:space="preserve"> 径： 200mm</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精 度： 1％</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测量范围：0～80mm</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供电方式：DC12V</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环境温度：-40℃～80℃</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信号输出：RS485 通讯（MODBUS 协议）</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14:textFill>
                  <w14:solidFill>
                    <w14:schemeClr w14:val="tx1"/>
                  </w14:solidFill>
                </w14:textFill>
              </w:rPr>
              <w:t>功能</w:t>
            </w:r>
            <w:r>
              <w:rPr>
                <w:rFonts w:hint="eastAsia" w:ascii="宋体" w:hAnsi="宋体" w:eastAsia="宋体" w:cs="宋体"/>
                <w:b/>
                <w:bCs/>
                <w:color w:val="000000" w:themeColor="text1"/>
                <w:kern w:val="0"/>
                <w:sz w:val="24"/>
                <w:szCs w:val="24"/>
                <w:lang w:eastAsia="zh-CN"/>
                <w14:textFill>
                  <w14:solidFill>
                    <w14:schemeClr w14:val="tx1"/>
                  </w14:solidFill>
                </w14:textFill>
              </w:rPr>
              <w:t>要求</w:t>
            </w:r>
            <w:r>
              <w:rPr>
                <w:rFonts w:hint="eastAsia" w:ascii="宋体" w:hAnsi="宋体" w:eastAsia="宋体" w:cs="宋体"/>
                <w:b/>
                <w:bCs/>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性能稳定，线性度好</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安装方便，操作简单</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不锈钢材质，不起锈，保证传感器使用寿命</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结构设计合理</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lang w:val="en-US" w:eastAsia="zh-CN"/>
                <w14:textFill>
                  <w14:solidFill>
                    <w14:schemeClr w14:val="tx1"/>
                  </w14:solidFill>
                </w14:textFill>
              </w:rPr>
              <w:t>三、</w:t>
            </w:r>
            <w:r>
              <w:rPr>
                <w:rFonts w:hint="eastAsia" w:ascii="宋体" w:hAnsi="宋体" w:eastAsia="宋体" w:cs="宋体"/>
                <w:b/>
                <w:bCs/>
                <w:color w:val="000000" w:themeColor="text1"/>
                <w:kern w:val="0"/>
                <w:sz w:val="24"/>
                <w:szCs w:val="24"/>
                <w14:textFill>
                  <w14:solidFill>
                    <w14:schemeClr w14:val="tx1"/>
                  </w14:solidFill>
                </w14:textFill>
              </w:rPr>
              <w:t>安装方式</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蒸发传感器设置在露天空旷平坦地方，并能终日受到阳光照射，调好水平，底座用水泥固定好，观测前注入80mm 清水即可测量。</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b/>
                <w:bCs/>
                <w:color w:val="000000" w:themeColor="text1"/>
                <w:kern w:val="0"/>
                <w:sz w:val="24"/>
                <w:szCs w:val="24"/>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14:textFill>
                  <w14:solidFill>
                    <w14:schemeClr w14:val="tx1"/>
                  </w14:solidFill>
                </w14:textFill>
              </w:rPr>
              <w:t>供电及通讯端接线方式</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红线：供电正 黑线：供电负</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黄线：RS485A</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兰线：RS485B</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2</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beforeAutospacing="0" w:afterAutospacing="0" w:line="240" w:lineRule="auto"/>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套</w:t>
            </w:r>
          </w:p>
        </w:tc>
      </w:tr>
    </w:tbl>
    <w:p>
      <w:pPr>
        <w:rPr>
          <w:rFonts w:hint="eastAsia"/>
          <w:lang w:val="zh-CN"/>
        </w:rPr>
      </w:pPr>
    </w:p>
    <w:p>
      <w:pPr>
        <w:pStyle w:val="12"/>
        <w:numPr>
          <w:ilvl w:val="0"/>
          <w:numId w:val="0"/>
        </w:numPr>
        <w:ind w:leftChars="0"/>
        <w:rPr>
          <w:rFonts w:hint="default"/>
          <w:lang w:val="en-US" w:eastAsia="zh-CN"/>
        </w:rPr>
      </w:pPr>
    </w:p>
    <w:p>
      <w:pPr>
        <w:rPr>
          <w:rFonts w:hint="default"/>
          <w:lang w:val="en-US" w:eastAsia="zh-CN"/>
        </w:rPr>
      </w:pPr>
    </w:p>
    <w:p>
      <w:pPr>
        <w:adjustRightInd w:val="0"/>
        <w:snapToGrid w:val="0"/>
        <w:spacing w:after="0" w:line="360" w:lineRule="auto"/>
        <w:jc w:val="center"/>
        <w:rPr>
          <w:rFonts w:hint="eastAsia" w:ascii="宋体" w:hAnsi="宋体" w:eastAsia="宋体" w:cs="Times New Roman"/>
          <w:b/>
          <w:kern w:val="2"/>
          <w:sz w:val="30"/>
          <w:szCs w:val="30"/>
          <w:lang w:val="en-US" w:eastAsia="zh-CN"/>
        </w:rPr>
      </w:pPr>
    </w:p>
    <w:p>
      <w:pPr>
        <w:adjustRightInd w:val="0"/>
        <w:snapToGrid w:val="0"/>
        <w:spacing w:after="0" w:line="360" w:lineRule="auto"/>
        <w:jc w:val="center"/>
        <w:rPr>
          <w:rFonts w:hint="eastAsia" w:ascii="宋体" w:hAnsi="宋体" w:eastAsia="宋体" w:cs="Times New Roman"/>
          <w:b/>
          <w:kern w:val="2"/>
          <w:sz w:val="30"/>
          <w:szCs w:val="30"/>
          <w:lang w:val="en-US" w:eastAsia="zh-CN"/>
        </w:rPr>
      </w:pPr>
    </w:p>
    <w:p>
      <w:pPr>
        <w:adjustRightInd w:val="0"/>
        <w:snapToGrid w:val="0"/>
        <w:spacing w:after="0" w:line="360" w:lineRule="auto"/>
        <w:jc w:val="center"/>
        <w:rPr>
          <w:rFonts w:hint="eastAsia" w:ascii="宋体" w:hAnsi="宋体" w:eastAsia="宋体" w:cs="Times New Roman"/>
          <w:b/>
          <w:kern w:val="2"/>
          <w:sz w:val="30"/>
          <w:szCs w:val="30"/>
          <w:lang w:val="en-US" w:eastAsia="zh-CN"/>
        </w:rPr>
      </w:pPr>
    </w:p>
    <w:p>
      <w:pPr>
        <w:adjustRightInd w:val="0"/>
        <w:snapToGrid w:val="0"/>
        <w:spacing w:after="0" w:line="360" w:lineRule="auto"/>
        <w:jc w:val="center"/>
        <w:rPr>
          <w:rFonts w:hint="eastAsia" w:ascii="宋体" w:hAnsi="宋体" w:eastAsia="宋体" w:cs="Times New Roman"/>
          <w:b/>
          <w:kern w:val="2"/>
          <w:sz w:val="30"/>
          <w:szCs w:val="30"/>
          <w:lang w:val="en-US" w:eastAsia="zh-CN"/>
        </w:rPr>
      </w:pPr>
    </w:p>
    <w:p>
      <w:pPr>
        <w:adjustRightInd w:val="0"/>
        <w:snapToGrid w:val="0"/>
        <w:spacing w:after="0" w:line="360" w:lineRule="auto"/>
        <w:jc w:val="center"/>
        <w:rPr>
          <w:rFonts w:hint="eastAsia"/>
          <w:lang w:val="en-US" w:eastAsia="zh-Hans"/>
        </w:rPr>
      </w:pPr>
      <w:r>
        <w:rPr>
          <w:rFonts w:hint="eastAsia" w:ascii="宋体" w:hAnsi="宋体" w:eastAsia="宋体" w:cs="Times New Roman"/>
          <w:b/>
          <w:kern w:val="2"/>
          <w:sz w:val="30"/>
          <w:szCs w:val="30"/>
          <w:lang w:val="en-US" w:eastAsia="zh-CN"/>
        </w:rPr>
        <w:t>包二：教学资源建设项目</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948"/>
        <w:gridCol w:w="9543"/>
        <w:gridCol w:w="802"/>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noWrap w:val="0"/>
            <w:vAlign w:val="center"/>
          </w:tcPr>
          <w:p>
            <w:pPr>
              <w:adjustRightInd w:val="0"/>
              <w:snapToGrid w:val="0"/>
              <w:spacing w:after="0" w:line="320" w:lineRule="exact"/>
              <w:jc w:val="center"/>
              <w:rPr>
                <w:rFonts w:hint="eastAsia" w:ascii="宋体" w:hAnsi="宋体" w:eastAsia="宋体" w:cs="宋体"/>
                <w:b/>
                <w:kern w:val="2"/>
                <w:sz w:val="24"/>
                <w:szCs w:val="24"/>
                <w:lang w:val="en-US" w:eastAsia="zh-Hans"/>
              </w:rPr>
            </w:pPr>
            <w:r>
              <w:rPr>
                <w:rFonts w:hint="eastAsia" w:ascii="宋体" w:hAnsi="宋体" w:eastAsia="宋体" w:cs="宋体"/>
                <w:b/>
                <w:kern w:val="2"/>
                <w:sz w:val="24"/>
                <w:szCs w:val="24"/>
                <w:lang w:val="en-US" w:eastAsia="zh-Hans"/>
              </w:rPr>
              <w:t>序号</w:t>
            </w:r>
          </w:p>
        </w:tc>
        <w:tc>
          <w:tcPr>
            <w:tcW w:w="682" w:type="pct"/>
            <w:noWrap w:val="0"/>
            <w:vAlign w:val="center"/>
          </w:tcPr>
          <w:p>
            <w:pPr>
              <w:adjustRightInd w:val="0"/>
              <w:snapToGrid w:val="0"/>
              <w:spacing w:after="0" w:line="320" w:lineRule="exact"/>
              <w:jc w:val="cente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货物</w:t>
            </w:r>
          </w:p>
          <w:p>
            <w:pPr>
              <w:adjustRightInd w:val="0"/>
              <w:snapToGrid w:val="0"/>
              <w:spacing w:after="0" w:line="320" w:lineRule="exact"/>
              <w:jc w:val="cente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名称</w:t>
            </w:r>
          </w:p>
        </w:tc>
        <w:tc>
          <w:tcPr>
            <w:tcW w:w="3342" w:type="pct"/>
            <w:noWrap w:val="0"/>
            <w:vAlign w:val="center"/>
          </w:tcPr>
          <w:p>
            <w:pPr>
              <w:adjustRightInd w:val="0"/>
              <w:snapToGrid w:val="0"/>
              <w:spacing w:after="0" w:line="320" w:lineRule="exact"/>
              <w:jc w:val="cente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技术参数</w:t>
            </w:r>
          </w:p>
        </w:tc>
        <w:tc>
          <w:tcPr>
            <w:tcW w:w="281" w:type="pct"/>
            <w:noWrap w:val="0"/>
            <w:vAlign w:val="center"/>
          </w:tcPr>
          <w:p>
            <w:pPr>
              <w:adjustRightInd w:val="0"/>
              <w:snapToGrid w:val="0"/>
              <w:spacing w:after="0" w:line="320" w:lineRule="exact"/>
              <w:jc w:val="center"/>
              <w:rPr>
                <w:rFonts w:hint="eastAsia" w:ascii="宋体" w:hAnsi="宋体" w:eastAsia="宋体" w:cs="宋体"/>
                <w:b/>
                <w:kern w:val="2"/>
                <w:sz w:val="24"/>
                <w:szCs w:val="24"/>
                <w:lang w:val="en-US" w:eastAsia="zh-Hans"/>
              </w:rPr>
            </w:pPr>
            <w:r>
              <w:rPr>
                <w:rFonts w:hint="eastAsia" w:ascii="宋体" w:hAnsi="宋体" w:eastAsia="宋体" w:cs="宋体"/>
                <w:b/>
                <w:kern w:val="2"/>
                <w:sz w:val="24"/>
                <w:szCs w:val="24"/>
                <w:lang w:val="en-US" w:eastAsia="zh-Hans"/>
              </w:rPr>
              <w:t>数量</w:t>
            </w:r>
          </w:p>
        </w:tc>
        <w:tc>
          <w:tcPr>
            <w:tcW w:w="385" w:type="pct"/>
            <w:noWrap w:val="0"/>
            <w:vAlign w:val="center"/>
          </w:tcPr>
          <w:p>
            <w:pPr>
              <w:adjustRightInd w:val="0"/>
              <w:snapToGrid w:val="0"/>
              <w:spacing w:after="0" w:line="320" w:lineRule="exact"/>
              <w:jc w:val="cente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noWrap w:val="0"/>
            <w:vAlign w:val="center"/>
          </w:tcPr>
          <w:p>
            <w:pPr>
              <w:tabs>
                <w:tab w:val="left" w:pos="663"/>
              </w:tabs>
              <w:spacing w:before="0" w:line="369" w:lineRule="exact"/>
              <w:ind w:right="16"/>
              <w:jc w:val="center"/>
              <w:rPr>
                <w:rFonts w:hint="eastAsia" w:ascii="宋体" w:hAnsi="宋体" w:eastAsia="宋体" w:cs="宋体"/>
                <w:b/>
                <w:bCs/>
                <w:sz w:val="24"/>
                <w:szCs w:val="24"/>
                <w:vertAlign w:val="baseline"/>
              </w:rPr>
            </w:pPr>
            <w:r>
              <w:rPr>
                <w:rFonts w:hint="eastAsia" w:ascii="宋体" w:hAnsi="宋体" w:eastAsia="宋体" w:cs="宋体"/>
                <w:b w:val="0"/>
                <w:bCs w:val="0"/>
                <w:sz w:val="24"/>
                <w:szCs w:val="24"/>
                <w:vertAlign w:val="baseline"/>
              </w:rPr>
              <w:t>1</w:t>
            </w:r>
          </w:p>
        </w:tc>
        <w:tc>
          <w:tcPr>
            <w:tcW w:w="682" w:type="pct"/>
            <w:noWrap w:val="0"/>
            <w:vAlign w:val="center"/>
          </w:tcPr>
          <w:p>
            <w:pPr>
              <w:tabs>
                <w:tab w:val="left" w:pos="663"/>
              </w:tabs>
              <w:spacing w:before="0" w:line="369" w:lineRule="exact"/>
              <w:ind w:right="16"/>
              <w:jc w:val="left"/>
              <w:rPr>
                <w:rFonts w:hint="eastAsia" w:ascii="宋体" w:hAnsi="宋体" w:eastAsia="宋体" w:cs="宋体"/>
                <w:b/>
                <w:bCs/>
                <w:sz w:val="24"/>
                <w:szCs w:val="24"/>
                <w:vertAlign w:val="baseline"/>
                <w:lang w:val="en-US" w:eastAsia="zh-Hans"/>
              </w:rPr>
            </w:pPr>
            <w:r>
              <w:rPr>
                <w:rFonts w:hint="eastAsia" w:ascii="宋体" w:hAnsi="宋体" w:eastAsia="宋体" w:cs="宋体"/>
                <w:b w:val="0"/>
                <w:bCs w:val="0"/>
                <w:sz w:val="24"/>
                <w:szCs w:val="24"/>
                <w:vertAlign w:val="baseline"/>
                <w:lang w:val="en-US" w:eastAsia="zh-Hans"/>
              </w:rPr>
              <w:t>教材建设与出版</w:t>
            </w:r>
          </w:p>
        </w:tc>
        <w:tc>
          <w:tcPr>
            <w:tcW w:w="3342" w:type="pct"/>
            <w:noWrap w:val="0"/>
            <w:vAlign w:val="center"/>
          </w:tcPr>
          <w:p>
            <w:pPr>
              <w:widowControl/>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Hans"/>
              </w:rPr>
              <w:t>一、内容要求</w:t>
            </w:r>
            <w:r>
              <w:rPr>
                <w:rFonts w:hint="eastAsia" w:ascii="宋体" w:hAnsi="宋体" w:eastAsia="宋体" w:cs="宋体"/>
                <w:b/>
                <w:bCs/>
                <w:color w:val="000000"/>
                <w:kern w:val="0"/>
                <w:sz w:val="24"/>
                <w:szCs w:val="24"/>
                <w:lang w:val="en-US" w:eastAsia="zh-CN"/>
              </w:rPr>
              <w:t>：</w:t>
            </w:r>
          </w:p>
          <w:p>
            <w:pPr>
              <w:pStyle w:val="77"/>
              <w:numPr>
                <w:ilvl w:val="0"/>
                <w:numId w:val="0"/>
              </w:numPr>
              <w:spacing w:line="253" w:lineRule="exact"/>
              <w:ind w:right="0" w:right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en-US" w:bidi="ar-SA"/>
              </w:rPr>
              <w:t>完成</w:t>
            </w:r>
            <w:r>
              <w:rPr>
                <w:rFonts w:hint="eastAsia" w:ascii="宋体" w:hAnsi="宋体" w:eastAsia="宋体" w:cs="宋体"/>
                <w:color w:val="000000"/>
                <w:sz w:val="24"/>
                <w:szCs w:val="24"/>
                <w:lang w:val="en-US" w:eastAsia="zh-CN"/>
              </w:rPr>
              <w:t>《环境微生物基础》、《</w:t>
            </w:r>
            <w:r>
              <w:rPr>
                <w:rFonts w:hint="eastAsia" w:ascii="宋体" w:hAnsi="宋体" w:eastAsia="宋体" w:cs="宋体"/>
                <w:color w:val="auto"/>
                <w:sz w:val="24"/>
                <w:szCs w:val="24"/>
                <w:lang w:val="en-US" w:eastAsia="zh-CN"/>
              </w:rPr>
              <w:t>化工设备操作与维护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PLC应用技术</w:t>
            </w:r>
            <w:r>
              <w:rPr>
                <w:rFonts w:hint="eastAsia" w:ascii="宋体" w:hAnsi="宋体" w:eastAsia="宋体" w:cs="宋体"/>
                <w:color w:val="auto"/>
                <w:sz w:val="24"/>
                <w:szCs w:val="24"/>
                <w:lang w:eastAsia="zh-CN"/>
              </w:rPr>
              <w:t>》</w:t>
            </w: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en-US" w:bidi="ar-SA"/>
              </w:rPr>
              <w:t>门</w:t>
            </w:r>
            <w:r>
              <w:rPr>
                <w:rFonts w:hint="eastAsia" w:ascii="宋体" w:hAnsi="宋体" w:eastAsia="宋体" w:cs="宋体"/>
                <w:color w:val="000000"/>
                <w:kern w:val="0"/>
                <w:sz w:val="24"/>
                <w:szCs w:val="24"/>
                <w:lang w:val="en-US" w:eastAsia="zh-CN" w:bidi="ar-SA"/>
              </w:rPr>
              <w:t>暂定的</w:t>
            </w:r>
            <w:r>
              <w:rPr>
                <w:rFonts w:hint="eastAsia" w:ascii="宋体" w:hAnsi="宋体" w:eastAsia="宋体" w:cs="宋体"/>
                <w:color w:val="000000"/>
                <w:kern w:val="0"/>
                <w:sz w:val="24"/>
                <w:szCs w:val="24"/>
                <w:lang w:val="en-US" w:eastAsia="en-US" w:bidi="ar-SA"/>
              </w:rPr>
              <w:t>专业实训课程的活页教材特色实训教材的建设与出版</w:t>
            </w:r>
            <w:r>
              <w:rPr>
                <w:rFonts w:hint="eastAsia" w:ascii="宋体" w:hAnsi="宋体" w:eastAsia="宋体" w:cs="宋体"/>
                <w:color w:val="000000"/>
                <w:kern w:val="0"/>
                <w:sz w:val="24"/>
                <w:szCs w:val="24"/>
                <w:lang w:val="en-US" w:eastAsia="zh-Hans" w:bidi="ar-SA"/>
              </w:rPr>
              <w:t>。</w:t>
            </w:r>
            <w:r>
              <w:rPr>
                <w:rFonts w:hint="eastAsia" w:ascii="宋体" w:hAnsi="宋体" w:eastAsia="宋体" w:cs="宋体"/>
                <w:color w:val="auto"/>
                <w:sz w:val="24"/>
                <w:szCs w:val="24"/>
                <w:lang w:val="en-US" w:eastAsia="zh-CN"/>
              </w:rPr>
              <w:t>《环境监测实训指导书》、《仪器分析实训指导书》、《化工生产技术大赛仿真指导书》、《化工设计大赛指导手册》</w:t>
            </w:r>
            <w:r>
              <w:rPr>
                <w:rFonts w:hint="eastAsia" w:ascii="宋体" w:hAnsi="宋体" w:eastAsia="宋体" w:cs="宋体"/>
                <w:color w:val="000000"/>
                <w:kern w:val="0"/>
                <w:sz w:val="24"/>
                <w:szCs w:val="24"/>
                <w:lang w:val="en-US" w:eastAsia="zh-CN" w:bidi="ar-SA"/>
              </w:rPr>
              <w:t>4门教材作为</w:t>
            </w:r>
            <w:r>
              <w:rPr>
                <w:rFonts w:hint="eastAsia" w:ascii="宋体" w:hAnsi="宋体" w:eastAsia="宋体" w:cs="宋体"/>
                <w:spacing w:val="-1"/>
                <w:sz w:val="24"/>
                <w:szCs w:val="24"/>
                <w:lang w:val="en-US" w:eastAsia="zh-CN"/>
              </w:rPr>
              <w:t>实训指导书的建设与出版。</w:t>
            </w:r>
          </w:p>
          <w:p>
            <w:pPr>
              <w:pStyle w:val="77"/>
              <w:numPr>
                <w:ilvl w:val="0"/>
                <w:numId w:val="0"/>
              </w:numPr>
              <w:spacing w:line="253" w:lineRule="exact"/>
              <w:ind w:right="0" w:rightChars="0"/>
              <w:jc w:val="left"/>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lang w:eastAsia="zh-Hans" w:bidi="ar-SA"/>
              </w:rPr>
              <w:t>2</w:t>
            </w:r>
            <w:r>
              <w:rPr>
                <w:rFonts w:hint="eastAsia" w:ascii="宋体" w:hAnsi="宋体" w:eastAsia="宋体" w:cs="宋体"/>
                <w:color w:val="000000"/>
                <w:kern w:val="0"/>
                <w:sz w:val="24"/>
                <w:szCs w:val="24"/>
                <w:lang w:val="en-US" w:eastAsia="zh-CN" w:bidi="ar-SA"/>
              </w:rPr>
              <w:t>七</w:t>
            </w:r>
            <w:r>
              <w:rPr>
                <w:rFonts w:hint="eastAsia" w:ascii="宋体" w:hAnsi="宋体" w:eastAsia="宋体" w:cs="宋体"/>
                <w:color w:val="000000"/>
                <w:kern w:val="0"/>
                <w:sz w:val="24"/>
                <w:szCs w:val="24"/>
                <w:lang w:val="en-US" w:eastAsia="zh-Hans" w:bidi="ar-SA"/>
              </w:rPr>
              <w:t>本教材</w:t>
            </w:r>
            <w:r>
              <w:rPr>
                <w:rFonts w:hint="eastAsia" w:ascii="宋体" w:hAnsi="宋体" w:eastAsia="宋体" w:cs="宋体"/>
                <w:color w:val="000000"/>
                <w:kern w:val="0"/>
                <w:sz w:val="24"/>
                <w:szCs w:val="24"/>
                <w:lang w:val="en-US" w:eastAsia="en-US" w:bidi="ar-SA"/>
              </w:rPr>
              <w:t>正式出版</w:t>
            </w:r>
            <w:r>
              <w:rPr>
                <w:rFonts w:hint="eastAsia" w:ascii="宋体" w:hAnsi="宋体" w:eastAsia="宋体" w:cs="宋体"/>
                <w:color w:val="000000"/>
                <w:kern w:val="0"/>
                <w:sz w:val="24"/>
                <w:szCs w:val="24"/>
                <w:lang w:val="en-US" w:eastAsia="zh-Hans" w:bidi="ar-SA"/>
              </w:rPr>
              <w:t>，</w:t>
            </w:r>
            <w:r>
              <w:rPr>
                <w:rFonts w:hint="eastAsia" w:ascii="宋体" w:hAnsi="宋体" w:eastAsia="宋体" w:cs="宋体"/>
                <w:color w:val="000000"/>
                <w:kern w:val="0"/>
                <w:sz w:val="24"/>
                <w:szCs w:val="24"/>
                <w:lang w:val="en-US" w:eastAsia="en-US" w:bidi="ar-SA"/>
              </w:rPr>
              <w:t>提供</w:t>
            </w:r>
            <w:r>
              <w:rPr>
                <w:rFonts w:hint="eastAsia" w:ascii="宋体" w:hAnsi="宋体" w:eastAsia="宋体" w:cs="宋体"/>
                <w:color w:val="000000"/>
                <w:kern w:val="0"/>
                <w:sz w:val="24"/>
                <w:szCs w:val="24"/>
                <w:lang w:val="en-US" w:eastAsia="zh-CN" w:bidi="ar-SA"/>
              </w:rPr>
              <w:t>100</w:t>
            </w:r>
            <w:r>
              <w:rPr>
                <w:rFonts w:hint="eastAsia" w:ascii="宋体" w:hAnsi="宋体" w:eastAsia="宋体" w:cs="宋体"/>
                <w:color w:val="000000"/>
                <w:kern w:val="0"/>
                <w:sz w:val="24"/>
                <w:szCs w:val="24"/>
                <w:lang w:val="en-US" w:eastAsia="en-US" w:bidi="ar-SA"/>
              </w:rPr>
              <w:t>册样书</w:t>
            </w:r>
            <w:r>
              <w:rPr>
                <w:rFonts w:hint="eastAsia" w:ascii="宋体" w:hAnsi="宋体" w:eastAsia="宋体" w:cs="宋体"/>
                <w:color w:val="000000"/>
                <w:kern w:val="0"/>
                <w:sz w:val="24"/>
                <w:szCs w:val="24"/>
                <w:lang w:val="en-US" w:eastAsia="zh-Hans" w:bidi="ar-SA"/>
              </w:rPr>
              <w:t>。</w:t>
            </w:r>
          </w:p>
          <w:p>
            <w:pPr>
              <w:pStyle w:val="77"/>
              <w:numPr>
                <w:ilvl w:val="0"/>
                <w:numId w:val="0"/>
              </w:numPr>
              <w:spacing w:line="253" w:lineRule="exact"/>
              <w:ind w:right="0" w:rightChars="0"/>
              <w:jc w:val="left"/>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kern w:val="0"/>
                <w:sz w:val="24"/>
                <w:szCs w:val="24"/>
                <w:lang w:val="en-US" w:eastAsia="zh-CN" w:bidi="ar-SA"/>
              </w:rPr>
              <w:t>1.3</w:t>
            </w:r>
            <w:r>
              <w:rPr>
                <w:rFonts w:hint="eastAsia" w:ascii="宋体" w:hAnsi="宋体" w:eastAsia="宋体" w:cs="宋体"/>
                <w:color w:val="auto"/>
                <w:kern w:val="0"/>
                <w:sz w:val="24"/>
                <w:szCs w:val="24"/>
                <w:lang w:val="en-US" w:eastAsia="zh-Hans" w:bidi="ar-SA"/>
              </w:rPr>
              <w:t>协助学</w:t>
            </w:r>
            <w:r>
              <w:rPr>
                <w:rFonts w:hint="eastAsia" w:ascii="宋体" w:hAnsi="宋体" w:eastAsia="宋体" w:cs="宋体"/>
                <w:color w:val="auto"/>
                <w:kern w:val="0"/>
                <w:sz w:val="24"/>
                <w:szCs w:val="24"/>
                <w:lang w:val="en-US" w:eastAsia="zh-CN" w:bidi="ar-SA"/>
              </w:rPr>
              <w:t>院</w:t>
            </w:r>
            <w:r>
              <w:rPr>
                <w:rFonts w:hint="eastAsia" w:ascii="宋体" w:hAnsi="宋体" w:eastAsia="宋体" w:cs="宋体"/>
                <w:color w:val="auto"/>
                <w:kern w:val="0"/>
                <w:sz w:val="24"/>
                <w:szCs w:val="24"/>
                <w:lang w:val="en-US" w:eastAsia="zh-Hans" w:bidi="ar-SA"/>
              </w:rPr>
              <w:t>进行省级规划教材或国家级规划教材申报。</w:t>
            </w:r>
          </w:p>
          <w:p>
            <w:pPr>
              <w:widowControl/>
              <w:rPr>
                <w:rFonts w:hint="eastAsia" w:ascii="宋体" w:hAnsi="宋体" w:eastAsia="宋体" w:cs="宋体"/>
                <w:b/>
                <w:bCs/>
                <w:color w:val="000000"/>
                <w:kern w:val="0"/>
                <w:sz w:val="24"/>
                <w:szCs w:val="24"/>
                <w:lang w:val="en-US" w:eastAsia="zh-Hans"/>
              </w:rPr>
            </w:pPr>
            <w:r>
              <w:rPr>
                <w:rFonts w:hint="eastAsia" w:ascii="宋体" w:hAnsi="宋体" w:eastAsia="宋体" w:cs="宋体"/>
                <w:b/>
                <w:bCs/>
                <w:color w:val="000000"/>
                <w:kern w:val="0"/>
                <w:sz w:val="24"/>
                <w:szCs w:val="24"/>
                <w:lang w:val="en-US" w:eastAsia="zh-Hans"/>
              </w:rPr>
              <w:t>二、技术要求</w:t>
            </w:r>
          </w:p>
          <w:p>
            <w:pPr>
              <w:widowControl/>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lang w:eastAsia="zh-Hans"/>
              </w:rPr>
              <w:t>基本要求</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1书号：由中标单位提供书号，公开发行，中标单位负责教材发行的全流程工作。</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质量要求：教材质量标准（差错率、印装质量）需严格控制在国家标准范围内，按精品教材的标准进行制作出版。</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3严格按照采购人时间进度安排作业，保证按时按质完成出版及发行工作。</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4印刷要求：封面设计由中标单位设计，并交采购人确认。</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2.1.4.1开本：</w:t>
            </w:r>
            <w:r>
              <w:rPr>
                <w:rFonts w:hint="eastAsia" w:ascii="宋体" w:hAnsi="宋体" w:eastAsia="宋体" w:cs="宋体"/>
                <w:color w:val="auto"/>
                <w:kern w:val="0"/>
                <w:sz w:val="24"/>
                <w:szCs w:val="24"/>
                <w:lang w:val="en-US" w:eastAsia="zh-CN"/>
              </w:rPr>
              <w:t>16开（</w:t>
            </w:r>
            <w:r>
              <w:rPr>
                <w:rFonts w:hint="eastAsia" w:ascii="宋体" w:hAnsi="宋体" w:eastAsia="宋体" w:cs="宋体"/>
                <w:color w:val="000000"/>
                <w:kern w:val="0"/>
                <w:sz w:val="24"/>
                <w:szCs w:val="24"/>
                <w:lang w:val="en-US" w:eastAsia="zh-CN"/>
              </w:rPr>
              <w:t>185mm×260mm）。</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2.1.4.2正文：采用70g胶版纸。</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2.1.4.3封面：采用250克铜版纸，彩色印刷。</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2.1.4.4字数：每种教材的版面字数约25万字（包含图表）。</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2.1.4.5装订方式：平膜胶订。</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2.1.4.6质量要求：文字编校须达到国家新闻出版总署制定的图书编校质量标准；印刷装订须采用正规、稳定的服务商，质量须达到国家相关质量标准。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2.1.5</w:t>
            </w:r>
            <w:r>
              <w:rPr>
                <w:rFonts w:hint="eastAsia" w:ascii="宋体" w:hAnsi="宋体" w:eastAsia="宋体" w:cs="宋体"/>
                <w:color w:val="000000"/>
                <w:kern w:val="0"/>
                <w:sz w:val="24"/>
                <w:szCs w:val="24"/>
              </w:rPr>
              <w:t>教材出版发行前，召开教材评审会议。</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2.1.6</w:t>
            </w:r>
            <w:r>
              <w:rPr>
                <w:rFonts w:hint="eastAsia" w:ascii="宋体" w:hAnsi="宋体" w:eastAsia="宋体" w:cs="宋体"/>
                <w:color w:val="000000"/>
                <w:kern w:val="0"/>
                <w:sz w:val="24"/>
                <w:szCs w:val="24"/>
              </w:rPr>
              <w:t>教材出版发行后，中标单位配合采购人的验收，并做好教材的宣传、推广工作。</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2.1.7</w:t>
            </w:r>
            <w:r>
              <w:rPr>
                <w:rFonts w:hint="eastAsia" w:ascii="宋体" w:hAnsi="宋体" w:eastAsia="宋体" w:cs="宋体"/>
                <w:color w:val="000000"/>
                <w:kern w:val="0"/>
                <w:sz w:val="24"/>
                <w:szCs w:val="24"/>
              </w:rPr>
              <w:t>教材版权归采购人所有，经授权方可再次出版。</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2.1.8根据要出版的内容选题，选择合适的内容出版，提供专业的三审三校服务，确保教材内容不触碰政治和专业知识错误的红线。</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2.1.9提供ISBN号，保护知识产权，教材经由出版社专业编辑审校后出版，并为每一本教材提供国家正规的ISBN号，保护教材的内容知识产权。</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2.1.10乙方根据甲方要求和需求选定意向出版社印刷要求（双色）、配套数字化资源开发情况（PPT、视频、题库总量）、书目开本大小、纸张选型。</w:t>
            </w:r>
          </w:p>
          <w:p>
            <w:pPr>
              <w:widowControl/>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rPr>
              <w:t>2.1.11样书审核：</w:t>
            </w:r>
            <w:r>
              <w:rPr>
                <w:rFonts w:hint="eastAsia" w:ascii="宋体" w:hAnsi="宋体" w:eastAsia="宋体" w:cs="宋体"/>
                <w:kern w:val="2"/>
                <w:sz w:val="24"/>
                <w:szCs w:val="24"/>
                <w:lang w:val="en-US" w:eastAsia="zh-CN" w:bidi="ar-SA"/>
              </w:rPr>
              <w:t>成交</w:t>
            </w:r>
            <w:r>
              <w:rPr>
                <w:rFonts w:hint="eastAsia" w:ascii="宋体" w:hAnsi="宋体" w:cs="宋体"/>
                <w:kern w:val="2"/>
                <w:sz w:val="24"/>
                <w:szCs w:val="24"/>
                <w:lang w:val="en-US" w:eastAsia="zh-CN" w:bidi="ar-SA"/>
              </w:rPr>
              <w:t>投标人</w:t>
            </w:r>
            <w:r>
              <w:rPr>
                <w:rFonts w:hint="eastAsia" w:ascii="宋体" w:hAnsi="宋体" w:eastAsia="宋体" w:cs="宋体"/>
                <w:kern w:val="2"/>
                <w:sz w:val="24"/>
                <w:szCs w:val="24"/>
                <w:lang w:val="en-US" w:eastAsia="zh-CN" w:bidi="ar-SA"/>
              </w:rPr>
              <w:t>在每种教材印刷前，提供2本样书供采购人审查，经采购人审查合格后，方可进行印刷，否则采购人有权中止合同，同时要求成交</w:t>
            </w:r>
            <w:r>
              <w:rPr>
                <w:rFonts w:hint="eastAsia" w:ascii="宋体" w:hAnsi="宋体" w:cs="宋体"/>
                <w:kern w:val="2"/>
                <w:sz w:val="24"/>
                <w:szCs w:val="24"/>
                <w:lang w:val="en-US" w:eastAsia="zh-CN" w:bidi="ar-SA"/>
              </w:rPr>
              <w:t>投标人</w:t>
            </w:r>
            <w:r>
              <w:rPr>
                <w:rFonts w:hint="eastAsia" w:ascii="宋体" w:hAnsi="宋体" w:eastAsia="宋体" w:cs="宋体"/>
                <w:kern w:val="2"/>
                <w:sz w:val="24"/>
                <w:szCs w:val="24"/>
                <w:lang w:val="en-US" w:eastAsia="zh-CN" w:bidi="ar-SA"/>
              </w:rPr>
              <w:t>赔偿损失。</w:t>
            </w:r>
          </w:p>
          <w:p>
            <w:pPr>
              <w:widowControl/>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val="en-US" w:eastAsia="zh-CN"/>
              </w:rPr>
              <w:t>2.2</w:t>
            </w:r>
            <w:r>
              <w:rPr>
                <w:rFonts w:hint="eastAsia" w:ascii="宋体" w:hAnsi="宋体" w:eastAsia="宋体" w:cs="宋体"/>
                <w:color w:val="000000"/>
                <w:kern w:val="0"/>
                <w:sz w:val="24"/>
                <w:szCs w:val="24"/>
                <w:lang w:eastAsia="zh-Hans"/>
              </w:rPr>
              <w:t>服务要求</w:t>
            </w:r>
          </w:p>
          <w:p>
            <w:pP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rPr>
              <w:t>2.2.</w:t>
            </w:r>
            <w:r>
              <w:rPr>
                <w:rFonts w:hint="eastAsia" w:ascii="宋体" w:hAnsi="宋体" w:eastAsia="宋体" w:cs="宋体"/>
                <w:kern w:val="2"/>
                <w:sz w:val="24"/>
                <w:szCs w:val="24"/>
                <w:lang w:val="en-US" w:eastAsia="zh-CN" w:bidi="ar-SA"/>
              </w:rPr>
              <w:t>1本项目工作内容包括包括审稿、编辑加工、版式设计、排版、校对、书号申请、封面设计、印刷装订、出版发行、物流运输等。</w:t>
            </w:r>
          </w:p>
          <w:p>
            <w:pPr>
              <w:rPr>
                <w:rFonts w:hint="eastAsia" w:ascii="宋体" w:hAnsi="宋体" w:eastAsia="宋体" w:cs="宋体"/>
                <w:b/>
                <w:bCs/>
                <w:sz w:val="24"/>
                <w:szCs w:val="24"/>
                <w:vertAlign w:val="baseline"/>
                <w:lang w:val="en-US" w:eastAsia="zh-Hans"/>
              </w:rPr>
            </w:pPr>
            <w:r>
              <w:rPr>
                <w:rFonts w:hint="eastAsia" w:ascii="宋体" w:hAnsi="宋体" w:eastAsia="宋体" w:cs="宋体"/>
                <w:color w:val="000000"/>
                <w:kern w:val="0"/>
                <w:sz w:val="24"/>
                <w:szCs w:val="24"/>
                <w:lang w:val="en-US" w:eastAsia="zh-CN"/>
              </w:rPr>
              <w:t>2.2.</w:t>
            </w:r>
            <w:r>
              <w:rPr>
                <w:rFonts w:hint="eastAsia" w:ascii="宋体" w:hAnsi="宋体" w:eastAsia="宋体" w:cs="宋体"/>
                <w:kern w:val="2"/>
                <w:sz w:val="24"/>
                <w:szCs w:val="24"/>
                <w:lang w:val="en-US" w:eastAsia="zh-CN" w:bidi="ar-SA"/>
              </w:rPr>
              <w:t>2封面（护封）设计、装帧设计、制作制版、版式设计、编辑校对、质检、印刷装订、出版、发行、运输等的出版全流程工作。</w:t>
            </w:r>
          </w:p>
        </w:tc>
        <w:tc>
          <w:tcPr>
            <w:tcW w:w="281" w:type="pct"/>
            <w:noWrap w:val="0"/>
            <w:vAlign w:val="center"/>
          </w:tcPr>
          <w:p>
            <w:pPr>
              <w:tabs>
                <w:tab w:val="left" w:pos="663"/>
              </w:tabs>
              <w:spacing w:before="0" w:line="369" w:lineRule="exact"/>
              <w:ind w:right="16"/>
              <w:jc w:val="center"/>
              <w:rPr>
                <w:rFonts w:hint="eastAsia" w:ascii="宋体" w:hAnsi="宋体" w:eastAsia="宋体" w:cs="宋体"/>
                <w:b w:val="0"/>
                <w:bCs w:val="0"/>
                <w:color w:val="auto"/>
                <w:sz w:val="24"/>
                <w:szCs w:val="24"/>
                <w:vertAlign w:val="baseline"/>
                <w:lang w:val="en-US" w:eastAsia="zh-CN"/>
              </w:rPr>
            </w:pPr>
          </w:p>
          <w:p>
            <w:pPr>
              <w:tabs>
                <w:tab w:val="left" w:pos="663"/>
              </w:tabs>
              <w:spacing w:before="0" w:line="369" w:lineRule="exact"/>
              <w:ind w:right="16"/>
              <w:jc w:val="center"/>
              <w:rPr>
                <w:rFonts w:hint="eastAsia" w:ascii="宋体" w:hAnsi="宋体" w:eastAsia="宋体" w:cs="宋体"/>
                <w:b w:val="0"/>
                <w:bCs w:val="0"/>
                <w:color w:val="auto"/>
                <w:sz w:val="24"/>
                <w:szCs w:val="24"/>
                <w:vertAlign w:val="baseline"/>
                <w:lang w:val="en-US" w:eastAsia="zh-CN"/>
              </w:rPr>
            </w:pPr>
          </w:p>
          <w:p>
            <w:pPr>
              <w:tabs>
                <w:tab w:val="left" w:pos="663"/>
              </w:tabs>
              <w:spacing w:before="0" w:line="369" w:lineRule="exact"/>
              <w:ind w:right="16"/>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 xml:space="preserve">7   </w:t>
            </w:r>
          </w:p>
        </w:tc>
        <w:tc>
          <w:tcPr>
            <w:tcW w:w="385" w:type="pct"/>
            <w:noWrap w:val="0"/>
            <w:vAlign w:val="center"/>
          </w:tcPr>
          <w:p>
            <w:pPr>
              <w:tabs>
                <w:tab w:val="left" w:pos="663"/>
              </w:tabs>
              <w:spacing w:before="0" w:line="369" w:lineRule="exact"/>
              <w:ind w:right="16"/>
              <w:jc w:val="both"/>
              <w:rPr>
                <w:rFonts w:hint="eastAsia" w:ascii="宋体" w:hAnsi="宋体" w:eastAsia="宋体" w:cs="宋体"/>
                <w:b w:val="0"/>
                <w:bCs w:val="0"/>
                <w:color w:val="auto"/>
                <w:sz w:val="24"/>
                <w:szCs w:val="24"/>
                <w:vertAlign w:val="baseline"/>
                <w:lang w:val="en-US" w:eastAsia="zh-CN"/>
              </w:rPr>
            </w:pPr>
          </w:p>
          <w:p>
            <w:pPr>
              <w:tabs>
                <w:tab w:val="left" w:pos="663"/>
              </w:tabs>
              <w:spacing w:before="0" w:line="369" w:lineRule="exact"/>
              <w:ind w:right="16"/>
              <w:jc w:val="center"/>
              <w:rPr>
                <w:rFonts w:hint="eastAsia" w:ascii="宋体" w:hAnsi="宋体" w:eastAsia="宋体" w:cs="宋体"/>
                <w:b w:val="0"/>
                <w:bCs w:val="0"/>
                <w:color w:val="auto"/>
                <w:sz w:val="24"/>
                <w:szCs w:val="24"/>
                <w:vertAlign w:val="baseline"/>
                <w:lang w:val="en-US" w:eastAsia="zh-Hans"/>
              </w:rPr>
            </w:pPr>
          </w:p>
          <w:p>
            <w:pPr>
              <w:tabs>
                <w:tab w:val="left" w:pos="663"/>
              </w:tabs>
              <w:spacing w:before="0" w:line="369" w:lineRule="exact"/>
              <w:ind w:right="16" w:firstLine="240" w:firstLineChars="10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en-US" w:eastAsia="zh-Hans"/>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07" w:type="pct"/>
            <w:noWrap w:val="0"/>
            <w:vAlign w:val="center"/>
          </w:tcPr>
          <w:p>
            <w:pPr>
              <w:tabs>
                <w:tab w:val="left" w:pos="663"/>
              </w:tabs>
              <w:spacing w:before="0" w:line="369" w:lineRule="exact"/>
              <w:ind w:right="16"/>
              <w:jc w:val="center"/>
              <w:rPr>
                <w:rFonts w:hint="eastAsia" w:ascii="宋体" w:hAnsi="宋体" w:eastAsia="宋体" w:cs="宋体"/>
                <w:b/>
                <w:bCs/>
                <w:sz w:val="24"/>
                <w:szCs w:val="24"/>
                <w:vertAlign w:val="baseline"/>
              </w:rPr>
            </w:pPr>
            <w:r>
              <w:rPr>
                <w:rFonts w:hint="eastAsia" w:ascii="宋体" w:hAnsi="宋体" w:eastAsia="宋体" w:cs="宋体"/>
                <w:b w:val="0"/>
                <w:bCs w:val="0"/>
                <w:sz w:val="24"/>
                <w:szCs w:val="24"/>
                <w:vertAlign w:val="baseline"/>
              </w:rPr>
              <w:t>2</w:t>
            </w:r>
          </w:p>
        </w:tc>
        <w:tc>
          <w:tcPr>
            <w:tcW w:w="682" w:type="pct"/>
            <w:noWrap w:val="0"/>
            <w:vAlign w:val="center"/>
          </w:tcPr>
          <w:p>
            <w:pPr>
              <w:tabs>
                <w:tab w:val="left" w:pos="663"/>
              </w:tabs>
              <w:spacing w:before="0" w:line="369" w:lineRule="exact"/>
              <w:ind w:right="16"/>
              <w:jc w:val="left"/>
              <w:rPr>
                <w:rFonts w:hint="eastAsia" w:ascii="宋体" w:hAnsi="宋体" w:eastAsia="宋体" w:cs="宋体"/>
                <w:b/>
                <w:bCs/>
                <w:sz w:val="24"/>
                <w:szCs w:val="24"/>
                <w:vertAlign w:val="baseline"/>
                <w:lang w:val="en-US" w:eastAsia="zh-Hans"/>
              </w:rPr>
            </w:pPr>
            <w:r>
              <w:rPr>
                <w:rFonts w:hint="eastAsia" w:ascii="宋体" w:hAnsi="宋体" w:eastAsia="宋体" w:cs="宋体"/>
                <w:sz w:val="24"/>
                <w:szCs w:val="24"/>
                <w:lang w:val="en-US" w:eastAsia="zh-CN"/>
              </w:rPr>
              <w:t>课程配套资源</w:t>
            </w:r>
            <w:r>
              <w:rPr>
                <w:rFonts w:hint="eastAsia" w:ascii="宋体" w:hAnsi="宋体" w:eastAsia="宋体" w:cs="宋体"/>
                <w:sz w:val="24"/>
                <w:szCs w:val="24"/>
              </w:rPr>
              <w:t>建设</w:t>
            </w:r>
          </w:p>
        </w:tc>
        <w:tc>
          <w:tcPr>
            <w:tcW w:w="3342" w:type="pct"/>
            <w:noWrap w:val="0"/>
            <w:vAlign w:val="center"/>
          </w:tcPr>
          <w:p>
            <w:pPr>
              <w:widowControl/>
              <w:rPr>
                <w:rFonts w:hint="eastAsia" w:ascii="宋体" w:hAnsi="宋体" w:eastAsia="宋体" w:cs="宋体"/>
                <w:b/>
                <w:bCs/>
                <w:color w:val="000000"/>
                <w:kern w:val="0"/>
                <w:sz w:val="24"/>
                <w:szCs w:val="24"/>
                <w:lang w:val="en-US" w:eastAsia="zh-Hans"/>
              </w:rPr>
            </w:pPr>
            <w:r>
              <w:rPr>
                <w:rFonts w:hint="eastAsia" w:ascii="宋体" w:hAnsi="宋体" w:eastAsia="宋体" w:cs="宋体"/>
                <w:b/>
                <w:bCs/>
                <w:color w:val="000000"/>
                <w:kern w:val="0"/>
                <w:sz w:val="24"/>
                <w:szCs w:val="24"/>
                <w:lang w:val="en-US" w:eastAsia="zh-Hans"/>
              </w:rPr>
              <w:t>一、内容要求</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1.1《环境微生物基础》课程整体设计1份、人才培养方案修订1份、</w:t>
            </w:r>
            <w:r>
              <w:rPr>
                <w:rFonts w:hint="eastAsia" w:ascii="宋体" w:hAnsi="宋体" w:eastAsia="宋体" w:cs="宋体"/>
                <w:color w:val="000000"/>
                <w:kern w:val="0"/>
                <w:sz w:val="24"/>
                <w:szCs w:val="24"/>
                <w:lang w:val="en-US" w:eastAsia="zh-Hans"/>
              </w:rPr>
              <w:t>课程宣传片1个，</w:t>
            </w:r>
            <w:r>
              <w:rPr>
                <w:rFonts w:hint="eastAsia" w:ascii="宋体" w:hAnsi="宋体" w:eastAsia="宋体" w:cs="宋体"/>
                <w:color w:val="000000"/>
                <w:kern w:val="0"/>
                <w:sz w:val="24"/>
                <w:szCs w:val="24"/>
                <w:lang w:val="en-US" w:eastAsia="zh-CN"/>
              </w:rPr>
              <w:t>课程标准1份、教学</w:t>
            </w:r>
            <w:r>
              <w:rPr>
                <w:rFonts w:hint="eastAsia" w:ascii="宋体" w:hAnsi="宋体" w:eastAsia="宋体" w:cs="宋体"/>
                <w:color w:val="000000"/>
                <w:kern w:val="0"/>
                <w:sz w:val="24"/>
                <w:szCs w:val="24"/>
                <w:lang w:val="en-US" w:eastAsia="zh-Hans"/>
              </w:rPr>
              <w:t>整体</w:t>
            </w:r>
            <w:r>
              <w:rPr>
                <w:rFonts w:hint="eastAsia" w:ascii="宋体" w:hAnsi="宋体" w:eastAsia="宋体" w:cs="宋体"/>
                <w:color w:val="000000"/>
                <w:kern w:val="0"/>
                <w:sz w:val="24"/>
                <w:szCs w:val="24"/>
                <w:lang w:val="en-US" w:eastAsia="zh-CN"/>
              </w:rPr>
              <w:t>设计1套、</w:t>
            </w:r>
            <w:r>
              <w:rPr>
                <w:rFonts w:hint="eastAsia" w:ascii="宋体" w:hAnsi="宋体" w:eastAsia="宋体" w:cs="宋体"/>
                <w:color w:val="000000"/>
                <w:kern w:val="0"/>
                <w:sz w:val="24"/>
                <w:szCs w:val="24"/>
                <w:lang w:val="en-US" w:eastAsia="zh-Hans"/>
              </w:rPr>
              <w:t>课程评价文件1套、教学单元设计30个、</w:t>
            </w:r>
            <w:r>
              <w:rPr>
                <w:rFonts w:hint="eastAsia" w:ascii="宋体" w:hAnsi="宋体" w:eastAsia="宋体" w:cs="宋体"/>
                <w:color w:val="000000"/>
                <w:kern w:val="0"/>
                <w:sz w:val="24"/>
                <w:szCs w:val="24"/>
                <w:lang w:val="en-US" w:eastAsia="zh-CN"/>
              </w:rPr>
              <w:t>教学课件30个</w:t>
            </w:r>
            <w:r>
              <w:rPr>
                <w:rFonts w:hint="eastAsia" w:ascii="宋体" w:hAnsi="宋体" w:eastAsia="宋体" w:cs="宋体"/>
                <w:color w:val="000000"/>
                <w:kern w:val="0"/>
                <w:sz w:val="24"/>
                <w:szCs w:val="24"/>
                <w:lang w:val="en-US" w:eastAsia="zh-Hans"/>
              </w:rPr>
              <w:t>、</w:t>
            </w:r>
            <w:r>
              <w:rPr>
                <w:rFonts w:hint="eastAsia" w:ascii="宋体" w:hAnsi="宋体" w:eastAsia="宋体" w:cs="宋体"/>
                <w:color w:val="000000"/>
                <w:kern w:val="0"/>
                <w:sz w:val="24"/>
                <w:szCs w:val="24"/>
                <w:lang w:val="en-US" w:eastAsia="zh-CN"/>
              </w:rPr>
              <w:t>课程习题20套（</w:t>
            </w:r>
            <w:r>
              <w:rPr>
                <w:rFonts w:hint="eastAsia" w:ascii="宋体" w:hAnsi="宋体" w:eastAsia="宋体" w:cs="宋体"/>
                <w:color w:val="000000"/>
                <w:kern w:val="0"/>
                <w:sz w:val="24"/>
                <w:szCs w:val="24"/>
                <w:lang w:val="en-US" w:eastAsia="zh-Hans"/>
              </w:rPr>
              <w:t>不低于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en-US" w:eastAsia="zh-Hans"/>
              </w:rPr>
              <w:t>00道题</w:t>
            </w:r>
            <w:r>
              <w:rPr>
                <w:rFonts w:hint="eastAsia" w:ascii="宋体" w:hAnsi="宋体" w:eastAsia="宋体" w:cs="宋体"/>
                <w:color w:val="000000"/>
                <w:kern w:val="0"/>
                <w:sz w:val="24"/>
                <w:szCs w:val="24"/>
                <w:lang w:val="en-US" w:eastAsia="zh-CN"/>
              </w:rPr>
              <w:t>，习题形式不少于3种）</w:t>
            </w:r>
            <w:r>
              <w:rPr>
                <w:rFonts w:hint="eastAsia" w:ascii="宋体" w:hAnsi="宋体" w:eastAsia="宋体" w:cs="宋体"/>
                <w:color w:val="000000"/>
                <w:kern w:val="0"/>
                <w:sz w:val="24"/>
                <w:szCs w:val="24"/>
                <w:lang w:val="en-US" w:eastAsia="zh-Hans"/>
              </w:rPr>
              <w:t>、教学视频</w:t>
            </w:r>
            <w:r>
              <w:rPr>
                <w:rFonts w:hint="eastAsia" w:ascii="宋体" w:hAnsi="宋体" w:eastAsia="宋体" w:cs="宋体"/>
                <w:color w:val="000000"/>
                <w:kern w:val="0"/>
                <w:sz w:val="24"/>
                <w:szCs w:val="24"/>
                <w:lang w:val="en-US" w:eastAsia="zh-CN"/>
              </w:rPr>
              <w:t>总时长不小于150分钟。</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化工设备操作与维护</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课程整体设计</w:t>
            </w:r>
            <w:r>
              <w:rPr>
                <w:rFonts w:hint="eastAsia" w:ascii="宋体" w:hAnsi="宋体" w:eastAsia="宋体" w:cs="宋体"/>
                <w:color w:val="000000"/>
                <w:kern w:val="0"/>
                <w:sz w:val="24"/>
                <w:szCs w:val="24"/>
                <w:lang w:val="en-US" w:eastAsia="zh-Hans"/>
              </w:rPr>
              <w:t>1份</w:t>
            </w:r>
            <w:r>
              <w:rPr>
                <w:rFonts w:hint="eastAsia" w:ascii="宋体" w:hAnsi="宋体" w:eastAsia="宋体" w:cs="宋体"/>
                <w:color w:val="000000"/>
                <w:kern w:val="0"/>
                <w:sz w:val="24"/>
                <w:szCs w:val="24"/>
                <w:lang w:val="en-US" w:eastAsia="zh-CN"/>
              </w:rPr>
              <w:t>、人才培养方案修订</w:t>
            </w:r>
            <w:r>
              <w:rPr>
                <w:rFonts w:hint="eastAsia" w:ascii="宋体" w:hAnsi="宋体" w:eastAsia="宋体" w:cs="宋体"/>
                <w:color w:val="000000"/>
                <w:kern w:val="0"/>
                <w:sz w:val="24"/>
                <w:szCs w:val="24"/>
                <w:lang w:val="en-US" w:eastAsia="zh-Hans"/>
              </w:rPr>
              <w:t>1</w:t>
            </w:r>
            <w:r>
              <w:rPr>
                <w:rFonts w:hint="eastAsia" w:ascii="宋体" w:hAnsi="宋体" w:eastAsia="宋体" w:cs="宋体"/>
                <w:color w:val="000000"/>
                <w:kern w:val="0"/>
                <w:sz w:val="24"/>
                <w:szCs w:val="24"/>
                <w:lang w:eastAsia="zh-Hans"/>
              </w:rPr>
              <w:t>份</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Hans"/>
              </w:rPr>
              <w:t>课程宣传片</w:t>
            </w:r>
            <w:r>
              <w:rPr>
                <w:rFonts w:hint="eastAsia" w:ascii="宋体" w:hAnsi="宋体" w:eastAsia="宋体" w:cs="宋体"/>
                <w:color w:val="000000"/>
                <w:kern w:val="0"/>
                <w:sz w:val="24"/>
                <w:szCs w:val="24"/>
                <w:lang w:eastAsia="zh-Hans"/>
              </w:rPr>
              <w:t>1</w:t>
            </w:r>
            <w:r>
              <w:rPr>
                <w:rFonts w:hint="eastAsia" w:ascii="宋体" w:hAnsi="宋体" w:eastAsia="宋体" w:cs="宋体"/>
                <w:color w:val="000000"/>
                <w:kern w:val="0"/>
                <w:sz w:val="24"/>
                <w:szCs w:val="24"/>
                <w:lang w:val="en-US" w:eastAsia="zh-Hans"/>
              </w:rPr>
              <w:t>个，</w:t>
            </w:r>
            <w:r>
              <w:rPr>
                <w:rFonts w:hint="eastAsia" w:ascii="宋体" w:hAnsi="宋体" w:eastAsia="宋体" w:cs="宋体"/>
                <w:color w:val="000000"/>
                <w:kern w:val="0"/>
                <w:sz w:val="24"/>
                <w:szCs w:val="24"/>
                <w:lang w:eastAsia="zh-Hans"/>
              </w:rPr>
              <w:t>课程标准1份、教学</w:t>
            </w:r>
            <w:r>
              <w:rPr>
                <w:rFonts w:hint="eastAsia" w:ascii="宋体" w:hAnsi="宋体" w:eastAsia="宋体" w:cs="宋体"/>
                <w:color w:val="000000"/>
                <w:kern w:val="0"/>
                <w:sz w:val="24"/>
                <w:szCs w:val="24"/>
                <w:lang w:val="en-US" w:eastAsia="zh-Hans"/>
              </w:rPr>
              <w:t>整体</w:t>
            </w:r>
            <w:r>
              <w:rPr>
                <w:rFonts w:hint="eastAsia" w:ascii="宋体" w:hAnsi="宋体" w:eastAsia="宋体" w:cs="宋体"/>
                <w:color w:val="000000"/>
                <w:kern w:val="0"/>
                <w:sz w:val="24"/>
                <w:szCs w:val="24"/>
                <w:lang w:eastAsia="zh-Hans"/>
              </w:rPr>
              <w:t>设计1套、</w:t>
            </w:r>
            <w:r>
              <w:rPr>
                <w:rFonts w:hint="eastAsia" w:ascii="宋体" w:hAnsi="宋体" w:eastAsia="宋体" w:cs="宋体"/>
                <w:color w:val="000000"/>
                <w:kern w:val="0"/>
                <w:sz w:val="24"/>
                <w:szCs w:val="24"/>
                <w:lang w:val="en-US" w:eastAsia="zh-Hans"/>
              </w:rPr>
              <w:t>课程评价文件</w:t>
            </w:r>
            <w:r>
              <w:rPr>
                <w:rFonts w:hint="eastAsia" w:ascii="宋体" w:hAnsi="宋体" w:eastAsia="宋体" w:cs="宋体"/>
                <w:color w:val="000000"/>
                <w:kern w:val="0"/>
                <w:sz w:val="24"/>
                <w:szCs w:val="24"/>
                <w:lang w:eastAsia="zh-Hans"/>
              </w:rPr>
              <w:t>1</w:t>
            </w:r>
            <w:r>
              <w:rPr>
                <w:rFonts w:hint="eastAsia" w:ascii="宋体" w:hAnsi="宋体" w:eastAsia="宋体" w:cs="宋体"/>
                <w:color w:val="000000"/>
                <w:kern w:val="0"/>
                <w:sz w:val="24"/>
                <w:szCs w:val="24"/>
                <w:lang w:val="en-US" w:eastAsia="zh-Hans"/>
              </w:rPr>
              <w:t>套、教学单元设计</w:t>
            </w:r>
            <w:r>
              <w:rPr>
                <w:rFonts w:hint="eastAsia" w:ascii="宋体" w:hAnsi="宋体" w:eastAsia="宋体" w:cs="宋体"/>
                <w:color w:val="000000"/>
                <w:kern w:val="0"/>
                <w:sz w:val="24"/>
                <w:szCs w:val="24"/>
                <w:lang w:eastAsia="zh-Hans"/>
              </w:rPr>
              <w:t>30</w:t>
            </w:r>
            <w:r>
              <w:rPr>
                <w:rFonts w:hint="eastAsia" w:ascii="宋体" w:hAnsi="宋体" w:eastAsia="宋体" w:cs="宋体"/>
                <w:color w:val="000000"/>
                <w:kern w:val="0"/>
                <w:sz w:val="24"/>
                <w:szCs w:val="24"/>
                <w:lang w:val="en-US" w:eastAsia="zh-Hans"/>
              </w:rPr>
              <w:t>个</w:t>
            </w:r>
            <w:r>
              <w:rPr>
                <w:rFonts w:hint="eastAsia" w:ascii="宋体" w:hAnsi="宋体" w:eastAsia="宋体" w:cs="宋体"/>
                <w:color w:val="000000"/>
                <w:kern w:val="0"/>
                <w:sz w:val="24"/>
                <w:szCs w:val="24"/>
                <w:lang w:eastAsia="zh-Hans"/>
              </w:rPr>
              <w:t>、教学课件30个、课程习题20套（</w:t>
            </w:r>
            <w:r>
              <w:rPr>
                <w:rFonts w:hint="eastAsia" w:ascii="宋体" w:hAnsi="宋体" w:eastAsia="宋体" w:cs="宋体"/>
                <w:color w:val="000000"/>
                <w:kern w:val="0"/>
                <w:sz w:val="24"/>
                <w:szCs w:val="24"/>
                <w:lang w:val="en-US" w:eastAsia="zh-Hans"/>
              </w:rPr>
              <w:t>不低于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Hans"/>
              </w:rPr>
              <w:t>00</w:t>
            </w:r>
            <w:r>
              <w:rPr>
                <w:rFonts w:hint="eastAsia" w:ascii="宋体" w:hAnsi="宋体" w:eastAsia="宋体" w:cs="宋体"/>
                <w:color w:val="000000"/>
                <w:kern w:val="0"/>
                <w:sz w:val="24"/>
                <w:szCs w:val="24"/>
                <w:lang w:val="en-US" w:eastAsia="zh-Hans"/>
              </w:rPr>
              <w:t>道题</w:t>
            </w:r>
            <w:r>
              <w:rPr>
                <w:rFonts w:hint="eastAsia" w:ascii="宋体" w:hAnsi="宋体" w:eastAsia="宋体" w:cs="宋体"/>
                <w:color w:val="000000"/>
                <w:kern w:val="0"/>
                <w:sz w:val="24"/>
                <w:szCs w:val="24"/>
                <w:lang w:val="en-US" w:eastAsia="zh-CN"/>
              </w:rPr>
              <w:t>，习题形式不少于3种</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lang w:val="en-US" w:eastAsia="zh-Hans"/>
              </w:rPr>
              <w:t>教学视频</w:t>
            </w:r>
            <w:r>
              <w:rPr>
                <w:rFonts w:hint="eastAsia" w:ascii="宋体" w:hAnsi="宋体" w:eastAsia="宋体" w:cs="宋体"/>
                <w:color w:val="000000"/>
                <w:kern w:val="0"/>
                <w:sz w:val="24"/>
                <w:szCs w:val="24"/>
                <w:lang w:val="en-US" w:eastAsia="zh-CN"/>
              </w:rPr>
              <w:t>总时长不小于150分钟。</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1.3《PLC应用技术</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课程整体设计</w:t>
            </w:r>
            <w:r>
              <w:rPr>
                <w:rFonts w:hint="eastAsia" w:ascii="宋体" w:hAnsi="宋体" w:eastAsia="宋体" w:cs="宋体"/>
                <w:color w:val="000000"/>
                <w:kern w:val="0"/>
                <w:sz w:val="24"/>
                <w:szCs w:val="24"/>
                <w:lang w:val="en-US" w:eastAsia="zh-Hans"/>
              </w:rPr>
              <w:t>1份</w:t>
            </w:r>
            <w:r>
              <w:rPr>
                <w:rFonts w:hint="eastAsia" w:ascii="宋体" w:hAnsi="宋体" w:eastAsia="宋体" w:cs="宋体"/>
                <w:color w:val="000000"/>
                <w:kern w:val="0"/>
                <w:sz w:val="24"/>
                <w:szCs w:val="24"/>
                <w:lang w:val="en-US" w:eastAsia="zh-CN"/>
              </w:rPr>
              <w:t>、人才培养方案修订</w:t>
            </w:r>
            <w:r>
              <w:rPr>
                <w:rFonts w:hint="eastAsia" w:ascii="宋体" w:hAnsi="宋体" w:eastAsia="宋体" w:cs="宋体"/>
                <w:color w:val="000000"/>
                <w:kern w:val="0"/>
                <w:sz w:val="24"/>
                <w:szCs w:val="24"/>
                <w:lang w:val="en-US" w:eastAsia="zh-Hans"/>
              </w:rPr>
              <w:t>1份</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课程宣传片1个，课程标准1份、教学整体设计1套、课程评价文件1套、教学单元设计30个、教学课件30个、课程习题20套（不低于</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val="en-US" w:eastAsia="zh-Hans"/>
              </w:rPr>
              <w:t>00道题</w:t>
            </w:r>
            <w:r>
              <w:rPr>
                <w:rFonts w:hint="eastAsia" w:ascii="宋体" w:hAnsi="宋体" w:eastAsia="宋体" w:cs="宋体"/>
                <w:color w:val="000000"/>
                <w:kern w:val="0"/>
                <w:sz w:val="24"/>
                <w:szCs w:val="24"/>
                <w:lang w:val="en-US" w:eastAsia="zh-CN"/>
              </w:rPr>
              <w:t>，习题形式不少3种）</w:t>
            </w:r>
            <w:r>
              <w:rPr>
                <w:rFonts w:hint="eastAsia" w:ascii="宋体" w:hAnsi="宋体" w:eastAsia="宋体" w:cs="宋体"/>
                <w:color w:val="000000"/>
                <w:kern w:val="0"/>
                <w:sz w:val="24"/>
                <w:szCs w:val="24"/>
                <w:lang w:val="en-US" w:eastAsia="zh-Hans"/>
              </w:rPr>
              <w:t>教学视频</w:t>
            </w:r>
            <w:r>
              <w:rPr>
                <w:rFonts w:hint="eastAsia" w:ascii="宋体" w:hAnsi="宋体" w:eastAsia="宋体" w:cs="宋体"/>
                <w:color w:val="000000"/>
                <w:kern w:val="0"/>
                <w:sz w:val="24"/>
                <w:szCs w:val="24"/>
                <w:lang w:val="en-US" w:eastAsia="zh-CN"/>
              </w:rPr>
              <w:t>总时长不小于150分钟。</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1.4以上课程资源均可兼容普通电脑、手机设备存放播放，并保障可进行上传至网络平台的格式。</w:t>
            </w:r>
          </w:p>
          <w:p>
            <w:pPr>
              <w:widowControl/>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1.5中标单位协助</w:t>
            </w:r>
            <w:r>
              <w:rPr>
                <w:rFonts w:hint="eastAsia" w:ascii="宋体" w:hAnsi="宋体" w:eastAsia="宋体" w:cs="宋体"/>
                <w:color w:val="auto"/>
                <w:kern w:val="0"/>
                <w:sz w:val="24"/>
                <w:szCs w:val="24"/>
                <w:lang w:val="en-US" w:eastAsia="zh-Hans" w:bidi="ar-SA"/>
              </w:rPr>
              <w:t>学</w:t>
            </w:r>
            <w:r>
              <w:rPr>
                <w:rFonts w:hint="eastAsia" w:ascii="宋体" w:hAnsi="宋体" w:eastAsia="宋体" w:cs="宋体"/>
                <w:color w:val="auto"/>
                <w:kern w:val="0"/>
                <w:sz w:val="24"/>
                <w:szCs w:val="24"/>
                <w:lang w:val="en-US" w:eastAsia="zh-CN" w:bidi="ar-SA"/>
              </w:rPr>
              <w:t>院</w:t>
            </w:r>
            <w:r>
              <w:rPr>
                <w:rFonts w:hint="eastAsia" w:ascii="宋体" w:hAnsi="宋体" w:eastAsia="宋体" w:cs="宋体"/>
                <w:color w:val="auto"/>
                <w:kern w:val="0"/>
                <w:sz w:val="24"/>
                <w:szCs w:val="24"/>
                <w:lang w:val="en-US" w:eastAsia="zh-Hans" w:bidi="ar-SA"/>
              </w:rPr>
              <w:t>进行省级</w:t>
            </w:r>
            <w:r>
              <w:rPr>
                <w:rFonts w:hint="eastAsia" w:ascii="宋体" w:hAnsi="宋体" w:eastAsia="宋体" w:cs="宋体"/>
                <w:color w:val="auto"/>
                <w:kern w:val="0"/>
                <w:sz w:val="24"/>
                <w:szCs w:val="24"/>
                <w:lang w:val="en-US" w:eastAsia="zh-CN" w:bidi="ar-SA"/>
              </w:rPr>
              <w:t>精品课程</w:t>
            </w:r>
            <w:r>
              <w:rPr>
                <w:rFonts w:hint="eastAsia" w:ascii="宋体" w:hAnsi="宋体" w:eastAsia="宋体" w:cs="宋体"/>
                <w:color w:val="auto"/>
                <w:kern w:val="0"/>
                <w:sz w:val="24"/>
                <w:szCs w:val="24"/>
                <w:lang w:val="en-US" w:eastAsia="zh-Hans" w:bidi="ar-SA"/>
              </w:rPr>
              <w:t>或国家级</w:t>
            </w:r>
            <w:r>
              <w:rPr>
                <w:rFonts w:hint="eastAsia" w:ascii="宋体" w:hAnsi="宋体" w:eastAsia="宋体" w:cs="宋体"/>
                <w:color w:val="auto"/>
                <w:kern w:val="0"/>
                <w:sz w:val="24"/>
                <w:szCs w:val="24"/>
                <w:lang w:val="en-US" w:eastAsia="zh-CN" w:bidi="ar-SA"/>
              </w:rPr>
              <w:t>精品课程</w:t>
            </w:r>
            <w:r>
              <w:rPr>
                <w:rFonts w:hint="eastAsia" w:ascii="宋体" w:hAnsi="宋体" w:eastAsia="宋体" w:cs="宋体"/>
                <w:color w:val="auto"/>
                <w:kern w:val="0"/>
                <w:sz w:val="24"/>
                <w:szCs w:val="24"/>
                <w:lang w:val="en-US" w:eastAsia="zh-Hans" w:bidi="ar-SA"/>
              </w:rPr>
              <w:t>申报。</w:t>
            </w:r>
          </w:p>
          <w:p>
            <w:pPr>
              <w:pStyle w:val="15"/>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二、建设成果要求</w:t>
            </w:r>
          </w:p>
          <w:p>
            <w:pPr>
              <w:pStyle w:val="16"/>
              <w:ind w:left="0" w:leftChars="0"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sz w:val="24"/>
                <w:szCs w:val="24"/>
              </w:rPr>
              <w:t>课程整体设计</w:t>
            </w:r>
          </w:p>
          <w:p>
            <w:pP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2.1.1</w:t>
            </w:r>
            <w:r>
              <w:rPr>
                <w:rFonts w:hint="eastAsia" w:ascii="宋体" w:hAnsi="宋体" w:eastAsia="宋体" w:cs="宋体"/>
                <w:color w:val="000000"/>
                <w:sz w:val="24"/>
                <w:szCs w:val="24"/>
              </w:rPr>
              <w:t>课程项目化或模块化教学内容整体框架设计；</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2协助课程教学资源制作及资源脚本撰写；</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3协助教师进行课程框架设计，知识点拆分，整理素材；</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4指导教师挖掘课程中的思想政治教育元素，生成课程思政元素普系图，并在教学内容中有机融入思想政治教育</w:t>
            </w:r>
            <w:r>
              <w:rPr>
                <w:rFonts w:hint="eastAsia" w:ascii="宋体" w:hAnsi="宋体" w:eastAsia="宋体" w:cs="宋体"/>
                <w:color w:val="000000"/>
                <w:sz w:val="24"/>
                <w:szCs w:val="24"/>
                <w:lang w:eastAsia="zh-CN"/>
              </w:rPr>
              <w:t>。</w:t>
            </w:r>
          </w:p>
          <w:p>
            <w:pPr>
              <w:pStyle w:val="15"/>
              <w:numPr>
                <w:ilvl w:val="0"/>
                <w:numId w:val="0"/>
              </w:numPr>
              <w:rPr>
                <w:rFonts w:hint="eastAsia" w:ascii="宋体" w:hAnsi="宋体" w:eastAsia="宋体" w:cs="宋体"/>
                <w:sz w:val="24"/>
                <w:szCs w:val="24"/>
              </w:rPr>
            </w:pP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人才培养方案修订</w:t>
            </w:r>
          </w:p>
          <w:p>
            <w:pPr>
              <w:pStyle w:val="16"/>
              <w:numPr>
                <w:ilvl w:val="0"/>
                <w:numId w:val="0"/>
              </w:numP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2.2.1完善人才培养方案的主要内容，落实新要求、新规范；</w:t>
            </w:r>
          </w:p>
          <w:p>
            <w:pPr>
              <w:pStyle w:val="16"/>
              <w:numPr>
                <w:ilvl w:val="0"/>
                <w:numId w:val="0"/>
              </w:numP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2.2.2基于真实的工作岗位，分析典型工作任务，重构课程体系，有机融入“1+X”职业技能等级证书的内容；</w:t>
            </w:r>
          </w:p>
          <w:p>
            <w:pPr>
              <w:pStyle w:val="16"/>
              <w:numPr>
                <w:ilvl w:val="0"/>
                <w:numId w:val="0"/>
              </w:numP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2.2.3梳理每一门课程的课程设置及要求；</w:t>
            </w:r>
          </w:p>
          <w:p>
            <w:pPr>
              <w:pStyle w:val="16"/>
              <w:numPr>
                <w:ilvl w:val="0"/>
                <w:numId w:val="0"/>
              </w:numP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2.2.4深化“三教”改革，总结提炼教学模式；</w:t>
            </w:r>
          </w:p>
          <w:p>
            <w:pPr>
              <w:pStyle w:val="16"/>
              <w:numPr>
                <w:ilvl w:val="0"/>
                <w:numId w:val="0"/>
              </w:numP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2.2.5完善课程结构图；</w:t>
            </w:r>
          </w:p>
          <w:p>
            <w:pPr>
              <w:pStyle w:val="16"/>
              <w:numPr>
                <w:ilvl w:val="0"/>
                <w:numId w:val="0"/>
              </w:numP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2.2.6根据学校实际完善实施保障部分内容。</w:t>
            </w:r>
          </w:p>
          <w:p>
            <w:pPr>
              <w:pStyle w:val="16"/>
              <w:ind w:left="0" w:leftChars="0"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sz w:val="24"/>
                <w:szCs w:val="24"/>
              </w:rPr>
              <w:t>课程标准</w:t>
            </w:r>
          </w:p>
          <w:p>
            <w:pP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sz w:val="24"/>
                <w:szCs w:val="24"/>
              </w:rPr>
              <w:t>1指导制定专业教学计划；</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2协助教师完成课程标准的修订；</w:t>
            </w:r>
          </w:p>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3协助学校对相关过程性材料整理、排版、归档。</w:t>
            </w:r>
          </w:p>
          <w:p>
            <w:pPr>
              <w:pStyle w:val="15"/>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w:t>
            </w:r>
            <w:r>
              <w:rPr>
                <w:rFonts w:hint="eastAsia" w:ascii="宋体" w:hAnsi="宋体" w:eastAsia="宋体" w:cs="宋体"/>
                <w:color w:val="000000"/>
                <w:sz w:val="24"/>
                <w:szCs w:val="24"/>
              </w:rPr>
              <w:t>教学设计制作</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2.4.1依据在线精品课程建设文件要求，针对教学设计，进行专题指导服务；</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2.4.2提供教学设计样例模板，协助教师完成一次课或一个完整项目的教学设计修订；</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2.4.3对教师完成的教学设计进行审核和一对一指导；</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2.4.4根据教学内容，结合在线精品课程特点，采用合理有效设计方式；</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2.4.5对教师完成的定稿教学设计进行排版和美化。</w:t>
            </w:r>
          </w:p>
          <w:p>
            <w:pPr>
              <w:pStyle w:val="15"/>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5课程概述宣传片</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1“课程概述”宣传片主要包括基本信息、课程设计、课程建设、课程实施、教学环境、教学效果和特色创新之处等，根据课程内容及特点，协助老师编写独立的创意脚本（1500字左右），形成与课程内容相契合的、能够提炼凸显课程或授课教师风采的课程概述宣传片；</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2视频剪辑师对课程概述宣传片画面进行二次策划对接，最终脚本定稿；</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3摄影师为负责人拍摄3分钟以上出镜视频画面，并对其他呈现画面进行实景拍摄；</w:t>
            </w:r>
          </w:p>
          <w:p>
            <w:p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4宣传片包装制作（配音、剪辑、调色、包装、特效、字幕），成品输出、修改、确认；</w:t>
            </w:r>
          </w:p>
          <w:p>
            <w:pPr>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2.6</w:t>
            </w:r>
            <w:r>
              <w:rPr>
                <w:rFonts w:hint="eastAsia" w:ascii="宋体" w:hAnsi="宋体" w:eastAsia="宋体" w:cs="宋体"/>
                <w:color w:val="000000"/>
                <w:sz w:val="24"/>
                <w:szCs w:val="24"/>
              </w:rPr>
              <w:t>教学课件</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2.6.1</w:t>
            </w:r>
            <w:r>
              <w:rPr>
                <w:rFonts w:hint="eastAsia" w:ascii="宋体" w:hAnsi="宋体" w:eastAsia="宋体" w:cs="宋体"/>
                <w:color w:val="000000"/>
                <w:sz w:val="24"/>
                <w:szCs w:val="24"/>
              </w:rPr>
              <w:t>根据课程内容及特色，定制开发课程的专属模板，模板中包含首页、目录页、过渡页、内容页；</w:t>
            </w:r>
          </w:p>
          <w:p>
            <w:pPr>
              <w:pStyle w:val="50"/>
              <w:numPr>
                <w:ilvl w:val="0"/>
                <w:numId w:val="0"/>
              </w:num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2.6.2</w:t>
            </w:r>
            <w:r>
              <w:rPr>
                <w:rFonts w:hint="eastAsia" w:ascii="宋体" w:hAnsi="宋体" w:eastAsia="宋体" w:cs="宋体"/>
                <w:color w:val="000000"/>
                <w:sz w:val="24"/>
                <w:szCs w:val="24"/>
              </w:rPr>
              <w:t>根据教学内容，结合学生的学习特征，从教学角度出发对内容进行合理的排版布局，科学的配色，交互的动态效果并利用技术手段突出学习重点难点，从而使教师的教学结构更调理、内容更清晰，使学生的学习兴趣增加，知识的记忆效果提升</w:t>
            </w:r>
            <w:r>
              <w:rPr>
                <w:rFonts w:hint="eastAsia" w:ascii="宋体" w:hAnsi="宋体" w:eastAsia="宋体" w:cs="宋体"/>
                <w:color w:val="000000"/>
                <w:sz w:val="24"/>
                <w:szCs w:val="24"/>
                <w:lang w:eastAsia="zh-CN"/>
              </w:rPr>
              <w:t>；</w:t>
            </w:r>
          </w:p>
          <w:p>
            <w:pPr>
              <w:pStyle w:val="50"/>
              <w:numPr>
                <w:ilvl w:val="0"/>
                <w:numId w:val="0"/>
              </w:num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2.6.3</w:t>
            </w:r>
            <w:r>
              <w:rPr>
                <w:rFonts w:hint="eastAsia" w:ascii="宋体" w:hAnsi="宋体" w:eastAsia="宋体" w:cs="宋体"/>
                <w:color w:val="000000"/>
                <w:sz w:val="24"/>
                <w:szCs w:val="24"/>
              </w:rPr>
              <w:t>课件制作运用的图片、音频、动画制作，切合教学主题</w:t>
            </w:r>
            <w:r>
              <w:rPr>
                <w:rFonts w:hint="eastAsia" w:ascii="宋体" w:hAnsi="宋体" w:eastAsia="宋体" w:cs="宋体"/>
                <w:color w:val="000000"/>
                <w:sz w:val="24"/>
                <w:szCs w:val="24"/>
                <w:lang w:eastAsia="zh-CN"/>
              </w:rPr>
              <w:t>；</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2.6.4</w:t>
            </w:r>
            <w:r>
              <w:rPr>
                <w:rFonts w:hint="eastAsia" w:ascii="宋体" w:hAnsi="宋体" w:eastAsia="宋体" w:cs="宋体"/>
                <w:color w:val="000000"/>
                <w:sz w:val="24"/>
                <w:szCs w:val="24"/>
              </w:rPr>
              <w:t>页面设置要求符合高清格式比例，幻灯片大小为“全屏显示16：9”；</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2.6.5</w:t>
            </w:r>
            <w:r>
              <w:rPr>
                <w:rFonts w:hint="eastAsia" w:ascii="宋体" w:hAnsi="宋体" w:eastAsia="宋体" w:cs="宋体"/>
                <w:color w:val="000000"/>
                <w:sz w:val="24"/>
                <w:szCs w:val="24"/>
              </w:rPr>
              <w:t>根据课程和专业特色，设计PPT模版，嵌入视频、动画播放流畅，图片清晰，能根据内容合理编排并美化。</w:t>
            </w:r>
          </w:p>
          <w:p>
            <w:pPr>
              <w:pStyle w:val="50"/>
              <w:numPr>
                <w:ilvl w:val="0"/>
                <w:numId w:val="0"/>
              </w:num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2.6.6</w:t>
            </w:r>
            <w:r>
              <w:rPr>
                <w:rFonts w:hint="eastAsia" w:ascii="宋体" w:hAnsi="宋体" w:eastAsia="宋体" w:cs="宋体"/>
                <w:color w:val="000000"/>
                <w:sz w:val="24"/>
                <w:szCs w:val="24"/>
              </w:rPr>
              <w:t>素材选用注意版权，涉及版权问题须加入“版权来源”信息</w:t>
            </w:r>
            <w:r>
              <w:rPr>
                <w:rFonts w:hint="eastAsia" w:ascii="宋体" w:hAnsi="宋体" w:eastAsia="宋体" w:cs="宋体"/>
                <w:color w:val="000000"/>
                <w:sz w:val="24"/>
                <w:szCs w:val="24"/>
                <w:lang w:eastAsia="zh-CN"/>
              </w:rPr>
              <w:t>；</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2.6.7</w:t>
            </w:r>
            <w:r>
              <w:rPr>
                <w:rFonts w:hint="eastAsia" w:ascii="宋体" w:hAnsi="宋体" w:eastAsia="宋体" w:cs="宋体"/>
                <w:color w:val="000000"/>
                <w:sz w:val="24"/>
                <w:szCs w:val="24"/>
              </w:rPr>
              <w:t>整体效果风格统一、色彩协调、美观大方。一般不使用纯文字的演示文稿（PPT）。</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w:t>
            </w:r>
            <w:r>
              <w:rPr>
                <w:rFonts w:hint="eastAsia" w:ascii="宋体" w:hAnsi="宋体" w:eastAsia="宋体" w:cs="宋体"/>
                <w:color w:val="000000"/>
                <w:sz w:val="24"/>
                <w:szCs w:val="24"/>
              </w:rPr>
              <w:t>教学视频</w:t>
            </w:r>
          </w:p>
          <w:p>
            <w:pPr>
              <w:pStyle w:val="50"/>
              <w:numPr>
                <w:ilvl w:val="0"/>
                <w:numId w:val="0"/>
              </w:num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2.7.1</w:t>
            </w:r>
            <w:r>
              <w:rPr>
                <w:rFonts w:hint="eastAsia" w:ascii="宋体" w:hAnsi="宋体" w:eastAsia="宋体" w:cs="宋体"/>
                <w:color w:val="000000"/>
                <w:sz w:val="24"/>
                <w:szCs w:val="24"/>
                <w:lang w:val="en-US" w:eastAsia="zh-Hans"/>
              </w:rPr>
              <w:t>教学视频</w:t>
            </w:r>
            <w:r>
              <w:rPr>
                <w:rFonts w:hint="eastAsia" w:ascii="宋体" w:hAnsi="宋体" w:eastAsia="宋体" w:cs="宋体"/>
                <w:color w:val="000000"/>
                <w:sz w:val="24"/>
                <w:szCs w:val="24"/>
                <w:lang w:val="en-US" w:eastAsia="zh-CN"/>
              </w:rPr>
              <w:t>总时长不小于150分钟，</w:t>
            </w:r>
            <w:r>
              <w:rPr>
                <w:rFonts w:hint="eastAsia" w:ascii="宋体" w:hAnsi="宋体" w:eastAsia="宋体" w:cs="宋体"/>
                <w:color w:val="000000"/>
                <w:sz w:val="24"/>
                <w:szCs w:val="24"/>
              </w:rPr>
              <w:t>视频拍摄以5-20分钟为知识点节点，一门课程可以采用多种拍摄制作模式</w:t>
            </w:r>
            <w:r>
              <w:rPr>
                <w:rFonts w:hint="eastAsia" w:ascii="宋体" w:hAnsi="宋体" w:eastAsia="宋体" w:cs="宋体"/>
                <w:color w:val="000000"/>
                <w:sz w:val="24"/>
                <w:szCs w:val="24"/>
                <w:lang w:eastAsia="zh-CN"/>
              </w:rPr>
              <w:t>；</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2.7.2</w:t>
            </w:r>
            <w:r>
              <w:rPr>
                <w:rFonts w:hint="eastAsia" w:ascii="宋体" w:hAnsi="宋体" w:eastAsia="宋体" w:cs="宋体"/>
                <w:color w:val="000000"/>
                <w:sz w:val="24"/>
                <w:szCs w:val="24"/>
              </w:rPr>
              <w:t>授课视频包含传统教学视频、实验实训、实训场景、说课视频、实训竞赛、工作原理、教学视频等多种类型。教学视频形式种类多样，教师可以根据每节课的教学目标和教学内容来选择适合的视频类型进行录制，方便学生学习与教师教学；</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2.7.3</w:t>
            </w:r>
            <w:r>
              <w:rPr>
                <w:rFonts w:hint="eastAsia" w:ascii="宋体" w:hAnsi="宋体" w:eastAsia="宋体" w:cs="宋体"/>
                <w:color w:val="000000"/>
                <w:sz w:val="24"/>
                <w:szCs w:val="24"/>
              </w:rPr>
              <w:t>在制作授课视频的过程中，将提供专业的收音设备，保证教师和学生发言的录音质量；</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2.7.4</w:t>
            </w:r>
            <w:r>
              <w:rPr>
                <w:rFonts w:hint="eastAsia" w:ascii="宋体" w:hAnsi="宋体" w:eastAsia="宋体" w:cs="宋体"/>
                <w:color w:val="000000"/>
                <w:sz w:val="24"/>
                <w:szCs w:val="24"/>
              </w:rPr>
              <w:t>音量适当，快慢适度，并提供控制解说的开关；背景音乐音量不宜过大，音乐与内容相符，并提供控制开关；</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2.7.5</w:t>
            </w:r>
            <w:r>
              <w:rPr>
                <w:rFonts w:hint="eastAsia" w:ascii="宋体" w:hAnsi="宋体" w:eastAsia="宋体" w:cs="宋体"/>
                <w:color w:val="000000"/>
                <w:sz w:val="24"/>
                <w:szCs w:val="24"/>
              </w:rPr>
              <w:t>现场导演帮助教师调整状态，课程编导帮助教师解决梳理课程内容；</w:t>
            </w:r>
          </w:p>
          <w:p>
            <w:pPr>
              <w:pStyle w:val="50"/>
              <w:numPr>
                <w:ilvl w:val="0"/>
                <w:numId w:val="0"/>
              </w:num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2.7.6</w:t>
            </w:r>
            <w:r>
              <w:rPr>
                <w:rFonts w:hint="eastAsia" w:ascii="宋体" w:hAnsi="宋体" w:eastAsia="宋体" w:cs="宋体"/>
                <w:color w:val="000000"/>
                <w:sz w:val="24"/>
                <w:szCs w:val="24"/>
              </w:rPr>
              <w:t>现场提供提词器帮助教师解决忘词问题</w:t>
            </w:r>
            <w:r>
              <w:rPr>
                <w:rFonts w:hint="eastAsia" w:ascii="宋体" w:hAnsi="宋体" w:eastAsia="宋体" w:cs="宋体"/>
                <w:color w:val="000000"/>
                <w:sz w:val="24"/>
                <w:szCs w:val="24"/>
                <w:lang w:eastAsia="zh-CN"/>
              </w:rPr>
              <w:t>；</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2.7.7</w:t>
            </w:r>
            <w:r>
              <w:rPr>
                <w:rFonts w:hint="eastAsia" w:ascii="宋体" w:hAnsi="宋体" w:eastAsia="宋体" w:cs="宋体"/>
                <w:color w:val="000000"/>
                <w:sz w:val="24"/>
                <w:szCs w:val="24"/>
              </w:rPr>
              <w:t>采用常见存储格式MP4。每个视频以5-20分钟为知识点节点，配有声音和字幕。声音为教师原声；</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2.7.8</w:t>
            </w:r>
            <w:r>
              <w:rPr>
                <w:rFonts w:hint="eastAsia" w:ascii="宋体" w:hAnsi="宋体" w:eastAsia="宋体" w:cs="宋体"/>
                <w:color w:val="000000"/>
                <w:sz w:val="24"/>
                <w:szCs w:val="24"/>
              </w:rPr>
              <w:t>屏幕图像的构图合理，画面主体突出，画面景别丰富，机位角度变换得当，最终成片画面丰富，表现力强；</w:t>
            </w:r>
          </w:p>
          <w:p>
            <w:pPr>
              <w:pStyle w:val="50"/>
              <w:numPr>
                <w:ilvl w:val="0"/>
                <w:numId w:val="0"/>
              </w:num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2.7.9</w:t>
            </w:r>
            <w:r>
              <w:rPr>
                <w:rFonts w:hint="eastAsia" w:ascii="宋体" w:hAnsi="宋体" w:eastAsia="宋体" w:cs="宋体"/>
                <w:color w:val="000000"/>
                <w:sz w:val="24"/>
                <w:szCs w:val="24"/>
              </w:rPr>
              <w:t>视频以教师教学内容为主体，以包含课件内容详实，可高度凝练课程教学特点、课堂教学重点，视频需融入思政教育元素和德育元素</w:t>
            </w:r>
            <w:r>
              <w:rPr>
                <w:rFonts w:hint="eastAsia" w:ascii="宋体" w:hAnsi="宋体" w:eastAsia="宋体" w:cs="宋体"/>
                <w:color w:val="000000"/>
                <w:sz w:val="24"/>
                <w:szCs w:val="24"/>
                <w:lang w:eastAsia="zh-CN"/>
              </w:rPr>
              <w:t>；</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2.7.10</w:t>
            </w:r>
            <w:r>
              <w:rPr>
                <w:rFonts w:hint="eastAsia" w:ascii="宋体" w:hAnsi="宋体" w:eastAsia="宋体" w:cs="宋体"/>
                <w:color w:val="000000"/>
                <w:sz w:val="24"/>
                <w:szCs w:val="24"/>
              </w:rPr>
              <w:t>剪辑流畅、元素丰富，剪辑点选取</w:t>
            </w:r>
            <w:r>
              <w:rPr>
                <w:rFonts w:hint="eastAsia" w:ascii="宋体" w:hAnsi="宋体" w:eastAsia="宋体" w:cs="宋体"/>
                <w:color w:val="000000"/>
                <w:sz w:val="24"/>
                <w:szCs w:val="24"/>
                <w:lang w:val="en-US" w:eastAsia="zh-CN"/>
              </w:rPr>
              <w:t>合</w:t>
            </w:r>
            <w:r>
              <w:rPr>
                <w:rFonts w:hint="eastAsia" w:ascii="宋体" w:hAnsi="宋体" w:eastAsia="宋体" w:cs="宋体"/>
                <w:color w:val="000000"/>
                <w:sz w:val="24"/>
                <w:szCs w:val="24"/>
              </w:rPr>
              <w:t>理镜头干净利落，一气呵成，中间无跳帧、夹帧、坏帧，能最大程度地发挥镜头语言的表现力；</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2.7.11</w:t>
            </w:r>
            <w:r>
              <w:rPr>
                <w:rFonts w:hint="eastAsia" w:ascii="宋体" w:hAnsi="宋体" w:eastAsia="宋体" w:cs="宋体"/>
                <w:color w:val="000000"/>
                <w:sz w:val="24"/>
                <w:szCs w:val="24"/>
              </w:rPr>
              <w:t>画面包装风格色调样式统一，分级标题清晰明了，包装样式高端大气，与教学内容相得益彰；</w:t>
            </w:r>
          </w:p>
          <w:p>
            <w:pPr>
              <w:pStyle w:val="50"/>
              <w:numPr>
                <w:ilvl w:val="0"/>
                <w:numId w:val="0"/>
              </w:num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2.7.12</w:t>
            </w:r>
            <w:r>
              <w:rPr>
                <w:rFonts w:hint="eastAsia" w:ascii="宋体" w:hAnsi="宋体" w:eastAsia="宋体" w:cs="宋体"/>
                <w:color w:val="000000"/>
                <w:sz w:val="24"/>
                <w:szCs w:val="24"/>
              </w:rPr>
              <w:t>配乐优美得当，音效生动传情，符合片中的节奏，音量适中，与解说画面相得益彰，而不会产生干扰</w:t>
            </w:r>
            <w:r>
              <w:rPr>
                <w:rFonts w:hint="eastAsia" w:ascii="宋体" w:hAnsi="宋体" w:eastAsia="宋体" w:cs="宋体"/>
                <w:color w:val="000000"/>
                <w:sz w:val="24"/>
                <w:szCs w:val="24"/>
                <w:lang w:eastAsia="zh-CN"/>
              </w:rPr>
              <w:t>；</w:t>
            </w:r>
          </w:p>
          <w:p>
            <w:pPr>
              <w:pStyle w:val="50"/>
              <w:numPr>
                <w:ilvl w:val="0"/>
                <w:numId w:val="0"/>
              </w:num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2.7.13</w:t>
            </w:r>
            <w:r>
              <w:rPr>
                <w:rFonts w:hint="eastAsia" w:ascii="宋体" w:hAnsi="宋体" w:eastAsia="宋体" w:cs="宋体"/>
                <w:color w:val="000000"/>
                <w:sz w:val="24"/>
                <w:szCs w:val="24"/>
              </w:rPr>
              <w:t>使用专业非线性编辑系统渲染成片：所有内容编辑结束之后，生成成片，成品为高清制式。</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测试题</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2.8.1</w:t>
            </w:r>
            <w:r>
              <w:rPr>
                <w:rFonts w:hint="eastAsia" w:ascii="宋体" w:hAnsi="宋体" w:eastAsia="宋体" w:cs="宋体"/>
                <w:color w:val="000000"/>
                <w:sz w:val="24"/>
                <w:szCs w:val="24"/>
              </w:rPr>
              <w:t>根据知识点配置客观习题，内容覆盖所有</w:t>
            </w:r>
          </w:p>
          <w:p>
            <w:pPr>
              <w:pStyle w:val="50"/>
              <w:numPr>
                <w:ilvl w:val="0"/>
                <w:numId w:val="0"/>
              </w:numP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知识点，题型包括判断题、单选题、多选题。试题总数量不少于</w:t>
            </w:r>
            <w:r>
              <w:rPr>
                <w:rFonts w:hint="eastAsia" w:ascii="宋体" w:hAnsi="宋体" w:eastAsia="宋体" w:cs="宋体"/>
                <w:color w:val="000000"/>
                <w:sz w:val="24"/>
                <w:szCs w:val="24"/>
                <w:lang w:val="en-US" w:eastAsia="zh-CN"/>
              </w:rPr>
              <w:t>200</w:t>
            </w:r>
            <w:r>
              <w:rPr>
                <w:rFonts w:hint="eastAsia" w:ascii="宋体" w:hAnsi="宋体" w:eastAsia="宋体" w:cs="宋体"/>
                <w:color w:val="000000"/>
                <w:sz w:val="24"/>
                <w:szCs w:val="24"/>
              </w:rPr>
              <w:t>道</w:t>
            </w:r>
            <w:r>
              <w:rPr>
                <w:rFonts w:hint="eastAsia" w:ascii="宋体" w:hAnsi="宋体" w:eastAsia="宋体" w:cs="宋体"/>
                <w:color w:val="000000"/>
                <w:sz w:val="24"/>
                <w:szCs w:val="24"/>
                <w:lang w:eastAsia="zh-CN"/>
              </w:rPr>
              <w:t>；</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2.8.2</w:t>
            </w:r>
            <w:r>
              <w:rPr>
                <w:rFonts w:hint="eastAsia" w:ascii="宋体" w:hAnsi="宋体" w:eastAsia="宋体" w:cs="宋体"/>
                <w:color w:val="000000"/>
                <w:sz w:val="24"/>
                <w:szCs w:val="24"/>
              </w:rPr>
              <w:t>制作的测试题与教学内容配套，包含项目测试及综合测试，方便学生进行课后知识的巩固学习。</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2.9</w:t>
            </w:r>
            <w:r>
              <w:rPr>
                <w:rFonts w:hint="eastAsia" w:ascii="宋体" w:hAnsi="宋体" w:eastAsia="宋体" w:cs="宋体"/>
                <w:color w:val="000000"/>
                <w:sz w:val="24"/>
                <w:szCs w:val="24"/>
              </w:rPr>
              <w:t>指导申报</w:t>
            </w:r>
          </w:p>
          <w:p>
            <w:pPr>
              <w:pStyle w:val="50"/>
              <w:widowControl/>
              <w:numPr>
                <w:ilvl w:val="0"/>
                <w:numId w:val="0"/>
              </w:numPr>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2.9.1</w:t>
            </w:r>
            <w:r>
              <w:rPr>
                <w:rFonts w:hint="eastAsia" w:ascii="宋体" w:hAnsi="宋体" w:eastAsia="宋体" w:cs="宋体"/>
                <w:color w:val="000000"/>
                <w:sz w:val="24"/>
                <w:szCs w:val="24"/>
              </w:rPr>
              <w:t>依据在线精品课程建设文件要求，指导教师梳理相对应证明材料；</w:t>
            </w:r>
          </w:p>
          <w:p>
            <w:pPr>
              <w:pStyle w:val="50"/>
              <w:numPr>
                <w:ilvl w:val="0"/>
                <w:numId w:val="0"/>
              </w:numP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2.9.2</w:t>
            </w:r>
            <w:r>
              <w:rPr>
                <w:rFonts w:hint="eastAsia" w:ascii="宋体" w:hAnsi="宋体" w:eastAsia="宋体" w:cs="宋体"/>
                <w:color w:val="000000"/>
                <w:sz w:val="24"/>
                <w:szCs w:val="24"/>
              </w:rPr>
              <w:t>对证明材料进行整理、编辑、排版；</w:t>
            </w:r>
          </w:p>
          <w:p>
            <w:pPr>
              <w:pStyle w:val="50"/>
              <w:numPr>
                <w:ilvl w:val="0"/>
                <w:numId w:val="0"/>
              </w:numP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2.9.3</w:t>
            </w:r>
            <w:r>
              <w:rPr>
                <w:rFonts w:hint="eastAsia" w:ascii="宋体" w:hAnsi="宋体" w:eastAsia="宋体" w:cs="宋体"/>
                <w:color w:val="000000"/>
                <w:sz w:val="24"/>
                <w:szCs w:val="24"/>
              </w:rPr>
              <w:t>对省厅反馈意见及时的进行整理、修改、再提交。</w:t>
            </w:r>
          </w:p>
          <w:p>
            <w:pPr>
              <w:widowControl/>
              <w:rPr>
                <w:rFonts w:hint="eastAsia" w:ascii="宋体" w:hAnsi="宋体" w:eastAsia="宋体" w:cs="宋体"/>
                <w:b/>
                <w:bCs/>
                <w:color w:val="000000"/>
                <w:kern w:val="0"/>
                <w:sz w:val="24"/>
                <w:szCs w:val="24"/>
                <w:lang w:val="en-US" w:eastAsia="zh-Hans"/>
              </w:rPr>
            </w:pPr>
            <w:r>
              <w:rPr>
                <w:rFonts w:hint="eastAsia" w:ascii="宋体" w:hAnsi="宋体" w:eastAsia="宋体" w:cs="宋体"/>
                <w:b/>
                <w:bCs/>
                <w:color w:val="000000"/>
                <w:kern w:val="0"/>
                <w:sz w:val="24"/>
                <w:szCs w:val="24"/>
                <w:lang w:val="en-US" w:eastAsia="zh-CN"/>
              </w:rPr>
              <w:t>三、</w:t>
            </w:r>
            <w:r>
              <w:rPr>
                <w:rFonts w:hint="eastAsia" w:ascii="宋体" w:hAnsi="宋体" w:eastAsia="宋体" w:cs="宋体"/>
                <w:b/>
                <w:bCs/>
                <w:color w:val="000000"/>
                <w:kern w:val="0"/>
                <w:sz w:val="24"/>
                <w:szCs w:val="24"/>
                <w:lang w:val="en-US" w:eastAsia="zh-Hans"/>
              </w:rPr>
              <w:t>技术要求</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3.1教学</w:t>
            </w:r>
            <w:r>
              <w:rPr>
                <w:rFonts w:hint="eastAsia" w:ascii="宋体" w:hAnsi="宋体" w:eastAsia="宋体" w:cs="宋体"/>
                <w:color w:val="000000"/>
                <w:kern w:val="0"/>
                <w:sz w:val="24"/>
                <w:szCs w:val="24"/>
                <w:lang w:val="en-US" w:eastAsia="zh-Hans"/>
              </w:rPr>
              <w:t>视频品质要求</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en-US" w:eastAsia="zh-Hans"/>
              </w:rPr>
              <w:t>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en-US" w:eastAsia="zh-Hans"/>
              </w:rPr>
              <w:t>字号最小不低于20</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lang w:val="en-US" w:eastAsia="zh-Hans"/>
              </w:rPr>
              <w:t>2时长为</w:t>
            </w:r>
            <w:r>
              <w:rPr>
                <w:rFonts w:hint="eastAsia" w:ascii="宋体" w:hAnsi="宋体" w:eastAsia="宋体" w:cs="宋体"/>
                <w:color w:val="000000"/>
                <w:kern w:val="0"/>
                <w:sz w:val="24"/>
                <w:szCs w:val="24"/>
                <w:lang w:val="en-US" w:eastAsia="zh-CN"/>
              </w:rPr>
              <w:t>5-20</w:t>
            </w:r>
            <w:r>
              <w:rPr>
                <w:rFonts w:hint="eastAsia" w:ascii="宋体" w:hAnsi="宋体" w:eastAsia="宋体" w:cs="宋体"/>
                <w:color w:val="000000"/>
                <w:kern w:val="0"/>
                <w:sz w:val="24"/>
                <w:szCs w:val="24"/>
                <w:lang w:val="en-US" w:eastAsia="zh-Hans"/>
              </w:rPr>
              <w:t>分钟</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lang w:val="en-US" w:eastAsia="zh-Hans"/>
              </w:rPr>
              <w:t>3.格式一般为MP4或AVI</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lang w:val="en-US" w:eastAsia="zh-Hans"/>
              </w:rPr>
              <w:t>4.分辨率通常为1280*720</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lang w:val="en-US" w:eastAsia="zh-Hans"/>
              </w:rPr>
              <w:t>5.帧数应不低于25帧</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lang w:val="en-US" w:eastAsia="zh-Hans"/>
              </w:rPr>
              <w:t>6.画面：采用高清16:9拍摄，视频图像清晰，播放时没有明显噪点，播放流畅；音频与视频图像有良好的同步</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lang w:val="en-US" w:eastAsia="zh-Hans"/>
              </w:rPr>
              <w:t>7片头片尾：片头不超过12秒，片尾不超过5秒</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r>
              <w:rPr>
                <w:rFonts w:hint="eastAsia" w:ascii="宋体" w:hAnsi="宋体" w:eastAsia="宋体" w:cs="宋体"/>
                <w:color w:val="000000"/>
                <w:kern w:val="0"/>
                <w:sz w:val="24"/>
                <w:szCs w:val="24"/>
                <w:lang w:val="en-US" w:eastAsia="zh-Hans"/>
              </w:rPr>
              <w:t>8.音频：采样率48KHz，音频码流率128Kbps；必须是双声道，必须做混音处理</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3.1.9</w:t>
            </w:r>
            <w:r>
              <w:rPr>
                <w:rFonts w:hint="eastAsia" w:ascii="宋体" w:hAnsi="宋体" w:eastAsia="宋体" w:cs="宋体"/>
                <w:color w:val="000000"/>
                <w:kern w:val="0"/>
                <w:sz w:val="24"/>
                <w:szCs w:val="24"/>
                <w:lang w:val="en-US" w:eastAsia="zh-Hans"/>
              </w:rPr>
              <w:t>结构完整：一个优秀的微课往往涉及的制作元素非常之多，这其中通常包括封面封底、目录架构、过渡页面、标题注释、线条图片、动画视频等等。显然，要将这些不同类别的元素融合在一起又不互相冲突，除了常规的设计，还需全面细致的策划</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3.1.10</w:t>
            </w:r>
            <w:r>
              <w:rPr>
                <w:rFonts w:hint="eastAsia" w:ascii="宋体" w:hAnsi="宋体" w:eastAsia="宋体" w:cs="宋体"/>
                <w:color w:val="000000"/>
                <w:kern w:val="0"/>
                <w:sz w:val="24"/>
                <w:szCs w:val="24"/>
                <w:lang w:val="en-US" w:eastAsia="zh-Hans"/>
              </w:rPr>
              <w:t>选材适当：微课中的相应知识点素材应根据教学或学习中的常见、典型、有代表性的问题或内容来进行选取，所选素材尽量“简而精”，使之不但能够贯穿整个微课，也能有效解决教与学过程中的重点、难点、疑点</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3.1.11</w:t>
            </w:r>
            <w:r>
              <w:rPr>
                <w:rFonts w:hint="eastAsia" w:ascii="宋体" w:hAnsi="宋体" w:eastAsia="宋体" w:cs="宋体"/>
                <w:color w:val="000000"/>
                <w:kern w:val="0"/>
                <w:sz w:val="24"/>
                <w:szCs w:val="24"/>
                <w:lang w:val="en-US" w:eastAsia="zh-Hans"/>
              </w:rPr>
              <w:t>表达清晰：教学内容的组织与编排，应符合学生的认知逻辑规律。换言之，即根据教学需求选用灵活适当的教学方法，充分运用图片、动画、视频、HTML网页等多种媒体技术使整个教学过程主线清晰、重点突出，逻辑性强，明了易懂</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3.2教</w:t>
            </w:r>
            <w:r>
              <w:rPr>
                <w:rFonts w:hint="eastAsia" w:ascii="宋体" w:hAnsi="宋体" w:eastAsia="宋体" w:cs="宋体"/>
                <w:color w:val="000000"/>
                <w:kern w:val="0"/>
                <w:sz w:val="24"/>
                <w:szCs w:val="24"/>
                <w:lang w:val="en-US" w:eastAsia="zh-Hans"/>
              </w:rPr>
              <w:t>学设计</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3.2.</w:t>
            </w:r>
            <w:r>
              <w:rPr>
                <w:rFonts w:hint="eastAsia" w:ascii="宋体" w:hAnsi="宋体" w:eastAsia="宋体" w:cs="宋体"/>
                <w:color w:val="000000"/>
                <w:kern w:val="0"/>
                <w:sz w:val="24"/>
                <w:szCs w:val="24"/>
                <w:lang w:val="en-US" w:eastAsia="zh-Hans"/>
              </w:rPr>
              <w:t>1选题价值：选取教学环节中某一知识点、技能点、专题、实训活动作为选题，针对教学中的常见、典型、有代表性的问题或内容进行设计，类型包括但不限于：教授类、解题类、答疑类、实训实验类、活动类。选题尽量“小而精”，具备独立性、完整性、示范性、代表性，能够有效解决教与学过程中的重点、难点问题。鼓励深入浅出、通俗易懂、短小精悍的作品。</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w:t>
            </w:r>
            <w:r>
              <w:rPr>
                <w:rFonts w:hint="eastAsia" w:ascii="宋体" w:hAnsi="宋体" w:eastAsia="宋体" w:cs="宋体"/>
                <w:color w:val="000000"/>
                <w:kern w:val="0"/>
                <w:sz w:val="24"/>
                <w:szCs w:val="24"/>
                <w:lang w:val="en-US" w:eastAsia="zh-Hans"/>
              </w:rPr>
              <w:t>课件</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w:t>
            </w:r>
            <w:r>
              <w:rPr>
                <w:rFonts w:hint="eastAsia" w:ascii="宋体" w:hAnsi="宋体" w:eastAsia="宋体" w:cs="宋体"/>
                <w:color w:val="000000"/>
                <w:kern w:val="0"/>
                <w:sz w:val="24"/>
                <w:szCs w:val="24"/>
                <w:lang w:val="en-US" w:eastAsia="zh-Hans"/>
              </w:rPr>
              <w:t>1课件制作原则</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3.3.1.1</w:t>
            </w:r>
            <w:r>
              <w:rPr>
                <w:rFonts w:hint="eastAsia" w:ascii="宋体" w:hAnsi="宋体" w:eastAsia="宋体" w:cs="宋体"/>
                <w:color w:val="000000"/>
                <w:kern w:val="0"/>
                <w:sz w:val="24"/>
                <w:szCs w:val="24"/>
                <w:lang w:val="en-US" w:eastAsia="zh-Hans"/>
              </w:rPr>
              <w:t>演示文稿（PPT）要求集文字、图形、图像、声音以及视频等多种媒体元素于一体，一般不使用纯文字的演示文稿（PPT）</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3.3.1.2</w:t>
            </w:r>
            <w:r>
              <w:rPr>
                <w:rFonts w:hint="eastAsia" w:ascii="宋体" w:hAnsi="宋体" w:eastAsia="宋体" w:cs="宋体"/>
                <w:color w:val="000000"/>
                <w:kern w:val="0"/>
                <w:sz w:val="24"/>
                <w:szCs w:val="24"/>
                <w:lang w:val="en-US" w:eastAsia="zh-Hans"/>
              </w:rPr>
              <w:t>页面设置要求符合高清格式比例，幻灯片大小为“全屏显示16：9”</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3.3.1.3</w:t>
            </w:r>
            <w:r>
              <w:rPr>
                <w:rFonts w:hint="eastAsia" w:ascii="宋体" w:hAnsi="宋体" w:eastAsia="宋体" w:cs="宋体"/>
                <w:color w:val="000000"/>
                <w:kern w:val="0"/>
                <w:sz w:val="24"/>
                <w:szCs w:val="24"/>
                <w:lang w:val="en-US" w:eastAsia="zh-Hans"/>
              </w:rPr>
              <w:t>整体效果应风格统一、色彩协调、美观大方。</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3.3.2</w:t>
            </w:r>
            <w:r>
              <w:rPr>
                <w:rFonts w:hint="eastAsia" w:ascii="宋体" w:hAnsi="宋体" w:eastAsia="宋体" w:cs="宋体"/>
                <w:color w:val="000000"/>
                <w:kern w:val="0"/>
                <w:sz w:val="24"/>
                <w:szCs w:val="24"/>
                <w:lang w:val="en-US" w:eastAsia="zh-Hans"/>
              </w:rPr>
              <w:t>课件页数</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每门课程课件页数须≥360页。</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en-US" w:eastAsia="zh-Hans"/>
              </w:rPr>
              <w:t>3.</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en-US" w:eastAsia="zh-Hans"/>
              </w:rPr>
              <w:t>软件版本</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文件制作所用的软件版本不低于 Microsoft Office 201</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lang w:val="en-US" w:eastAsia="zh-Hans"/>
              </w:rPr>
              <w:t>。</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3.3.4</w:t>
            </w:r>
            <w:r>
              <w:rPr>
                <w:rFonts w:hint="eastAsia" w:ascii="宋体" w:hAnsi="宋体" w:eastAsia="宋体" w:cs="宋体"/>
                <w:color w:val="000000"/>
                <w:kern w:val="0"/>
                <w:sz w:val="24"/>
                <w:szCs w:val="24"/>
                <w:lang w:val="en-US" w:eastAsia="zh-Hans"/>
              </w:rPr>
              <w:t>版式设计</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3.3.4.1</w:t>
            </w:r>
            <w:r>
              <w:rPr>
                <w:rFonts w:hint="eastAsia" w:ascii="宋体" w:hAnsi="宋体" w:eastAsia="宋体" w:cs="宋体"/>
                <w:color w:val="000000"/>
                <w:kern w:val="0"/>
                <w:sz w:val="24"/>
                <w:szCs w:val="24"/>
                <w:lang w:val="en-US" w:eastAsia="zh-Hans"/>
              </w:rPr>
              <w:t>字体与字数</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每页版面的字数不宜太多。正文字号应不小于 24 磅字，使用 Windows系统默认字体，不要使用仿宋、细圆等过细字体，不使用特殊字体，如有特殊字体需要应转化为图形文件；文字要醒目，避免使用与背景色相近的字体颜色；</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3.3.4.2</w:t>
            </w:r>
            <w:r>
              <w:rPr>
                <w:rFonts w:hint="eastAsia" w:ascii="宋体" w:hAnsi="宋体" w:eastAsia="宋体" w:cs="宋体"/>
                <w:color w:val="000000"/>
                <w:kern w:val="0"/>
                <w:sz w:val="24"/>
                <w:szCs w:val="24"/>
                <w:lang w:val="en-US" w:eastAsia="zh-Hans"/>
              </w:rPr>
              <w:t>页面排版</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页面行距建议为 1.2 倍，可适当增大，左右边距均匀、适当；页面设计的原则是版面内容的分布美观大方；各级标题采用不同的字体和颜色，一张幻灯片上文字颜色限定在 4种以内，注意文字与背景色的反差；</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3.3.4.3</w:t>
            </w:r>
            <w:r>
              <w:rPr>
                <w:rFonts w:hint="eastAsia" w:ascii="宋体" w:hAnsi="宋体" w:eastAsia="宋体" w:cs="宋体"/>
                <w:color w:val="000000"/>
                <w:kern w:val="0"/>
                <w:sz w:val="24"/>
                <w:szCs w:val="24"/>
                <w:lang w:val="en-US" w:eastAsia="zh-Hans"/>
              </w:rPr>
              <w:t>恰当使用组合</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 xml:space="preserve">某些插图中位置相对固定的文本框、数学公式以及图片等应采用组合方式，避免产生相对位移尽量避免不必要的组合，不同对象、文本的动作需要同时出现时，可确定彼此之间的时间间隔为 </w:t>
            </w:r>
            <w:r>
              <w:rPr>
                <w:rFonts w:hint="eastAsia" w:ascii="宋体" w:hAnsi="宋体" w:eastAsia="宋体" w:cs="宋体"/>
                <w:color w:val="000000"/>
                <w:kern w:val="0"/>
                <w:sz w:val="24"/>
                <w:szCs w:val="24"/>
                <w:lang w:val="en-US" w:eastAsia="zh-CN"/>
              </w:rPr>
              <w:t>0.5</w:t>
            </w:r>
            <w:r>
              <w:rPr>
                <w:rFonts w:hint="eastAsia" w:ascii="宋体" w:hAnsi="宋体" w:eastAsia="宋体" w:cs="宋体"/>
                <w:color w:val="000000"/>
                <w:kern w:val="0"/>
                <w:sz w:val="24"/>
                <w:szCs w:val="24"/>
                <w:lang w:val="en-US" w:eastAsia="zh-Hans"/>
              </w:rPr>
              <w:t>秒；</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3.3.4.4</w:t>
            </w:r>
            <w:r>
              <w:rPr>
                <w:rFonts w:hint="eastAsia" w:ascii="宋体" w:hAnsi="宋体" w:eastAsia="宋体" w:cs="宋体"/>
                <w:color w:val="000000"/>
                <w:kern w:val="0"/>
                <w:sz w:val="24"/>
                <w:szCs w:val="24"/>
                <w:lang w:val="en-US" w:eastAsia="zh-Hans"/>
              </w:rPr>
              <w:t>导航设计</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文件内链接都采用相对链接，并能够正常打开；文件中链接或插入的其他素材满足本要求中关于媒体素材的技术要求；使用超级链接时，要在目标页面有“返回”按钮；鼠标移至按钮上时要求显示出该按钮的操作提示；不同位置使用的导航按钮保持风格一致或使用相同的按钮。</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3.4.</w:t>
            </w:r>
            <w:r>
              <w:rPr>
                <w:rFonts w:hint="eastAsia" w:ascii="宋体" w:hAnsi="宋体" w:eastAsia="宋体" w:cs="宋体"/>
                <w:color w:val="000000"/>
                <w:kern w:val="0"/>
                <w:sz w:val="24"/>
                <w:szCs w:val="24"/>
                <w:lang w:val="en-US" w:eastAsia="zh-Hans"/>
              </w:rPr>
              <w:t>图形、图像和图片</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3.4.</w:t>
            </w:r>
            <w:r>
              <w:rPr>
                <w:rFonts w:hint="eastAsia" w:ascii="宋体" w:hAnsi="宋体" w:eastAsia="宋体" w:cs="宋体"/>
                <w:color w:val="000000"/>
                <w:kern w:val="0"/>
                <w:sz w:val="24"/>
                <w:szCs w:val="24"/>
                <w:lang w:val="en-US" w:eastAsia="zh-Hans"/>
              </w:rPr>
              <w:t>1.图片格式</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图片包括图形/图像，可采用格式包括：图片压缩格式文件（*.jpg）,可移植网络图形格式（*.png），AutoCAD图形文件（*.dwg）,图元文件（*.wmf）和图像互换格式文件（*.gif）。</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w:t>
            </w:r>
            <w:r>
              <w:rPr>
                <w:rFonts w:hint="eastAsia" w:ascii="宋体" w:hAnsi="宋体" w:eastAsia="宋体" w:cs="宋体"/>
                <w:color w:val="000000"/>
                <w:kern w:val="0"/>
                <w:sz w:val="24"/>
                <w:szCs w:val="24"/>
                <w:lang w:val="en-US" w:eastAsia="zh-Hans"/>
              </w:rPr>
              <w:t>2图片色彩</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彩色图片颜色数不低于真彩（24位色），灰度图像的灰度级不低于256级</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w:t>
            </w:r>
            <w:r>
              <w:rPr>
                <w:rFonts w:hint="eastAsia" w:ascii="宋体" w:hAnsi="宋体" w:eastAsia="宋体" w:cs="宋体"/>
                <w:color w:val="000000"/>
                <w:kern w:val="0"/>
                <w:sz w:val="24"/>
                <w:szCs w:val="24"/>
                <w:lang w:val="en-US" w:eastAsia="zh-Hans"/>
              </w:rPr>
              <w:t>3图片分辨率</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屏幕分辨率不低于</w:t>
            </w:r>
            <w:r>
              <w:rPr>
                <w:rFonts w:hint="eastAsia" w:ascii="宋体" w:hAnsi="宋体" w:eastAsia="宋体" w:cs="宋体"/>
                <w:color w:val="000000"/>
                <w:kern w:val="0"/>
                <w:sz w:val="24"/>
                <w:szCs w:val="24"/>
                <w:lang w:val="en-US" w:eastAsia="zh-CN"/>
              </w:rPr>
              <w:t>1280</w:t>
            </w:r>
            <w:r>
              <w:rPr>
                <w:rFonts w:hint="eastAsia" w:ascii="宋体" w:hAnsi="宋体" w:eastAsia="宋体" w:cs="宋体"/>
                <w:color w:val="000000"/>
                <w:kern w:val="0"/>
                <w:sz w:val="24"/>
                <w:szCs w:val="24"/>
                <w:lang w:val="en-US" w:eastAsia="zh-Hans"/>
              </w:rPr>
              <w:t>*7</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lang w:val="en-US" w:eastAsia="zh-Hans"/>
              </w:rPr>
              <w:t>，黑白扫描图像的分辨率不低于72dpi，彩色扫描图像的分辨率不低于150dpi</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en-US" w:eastAsia="zh-Hans"/>
              </w:rPr>
              <w:t>4.</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en-US" w:eastAsia="zh-Hans"/>
              </w:rPr>
              <w:t>图片清晰度</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图像内容清晰可辨识，不需要借助额外的设备即可辨认图片资源所需要表达的主体内容</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图像如需扫描，扫描后需使用Photoshop或其他图像处理软件进行裁剪、校色、去污、纠偏等处理，使页面整洁、清晰</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3.4.5</w:t>
            </w:r>
            <w:r>
              <w:rPr>
                <w:rFonts w:hint="eastAsia" w:ascii="宋体" w:hAnsi="宋体" w:eastAsia="宋体" w:cs="宋体"/>
                <w:color w:val="000000"/>
                <w:kern w:val="0"/>
                <w:sz w:val="24"/>
                <w:szCs w:val="24"/>
                <w:lang w:val="en-US" w:eastAsia="zh-Hans"/>
              </w:rPr>
              <w:t>版权要求</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3.4.5.1</w:t>
            </w:r>
            <w:r>
              <w:rPr>
                <w:rFonts w:hint="eastAsia" w:ascii="宋体" w:hAnsi="宋体" w:eastAsia="宋体" w:cs="宋体"/>
                <w:color w:val="000000"/>
                <w:kern w:val="0"/>
                <w:sz w:val="24"/>
                <w:szCs w:val="24"/>
                <w:lang w:val="en-US" w:eastAsia="zh-Hans"/>
              </w:rPr>
              <w:t>图形/图像内容符合我国法律法规，尊重各民族的风俗习惯，版权不存在争议</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3.4.5.2</w:t>
            </w:r>
            <w:r>
              <w:rPr>
                <w:rFonts w:hint="eastAsia" w:ascii="宋体" w:hAnsi="宋体" w:eastAsia="宋体" w:cs="宋体"/>
                <w:color w:val="000000"/>
                <w:kern w:val="0"/>
                <w:sz w:val="24"/>
                <w:szCs w:val="24"/>
                <w:lang w:val="en-US" w:eastAsia="zh-Hans"/>
              </w:rPr>
              <w:t>动画内容符合我国法律法规，尊重各民族的风俗习惯，版权不存在争议</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3.4.5.3</w:t>
            </w:r>
            <w:r>
              <w:rPr>
                <w:rFonts w:hint="eastAsia" w:ascii="宋体" w:hAnsi="宋体" w:eastAsia="宋体" w:cs="宋体"/>
                <w:color w:val="000000"/>
                <w:kern w:val="0"/>
                <w:sz w:val="24"/>
                <w:szCs w:val="24"/>
                <w:lang w:val="en-US" w:eastAsia="zh-Hans"/>
              </w:rPr>
              <w:t>若其中包含少数民族或外国语言文字信息，应遵循其原内容完整性，使用原语言，并根据原语言进行字幕汉化处理</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sz w:val="24"/>
                <w:szCs w:val="24"/>
                <w:lang w:val="en-US" w:eastAsia="zh-Hans"/>
              </w:rPr>
            </w:pPr>
            <w:r>
              <w:rPr>
                <w:rFonts w:hint="eastAsia" w:ascii="宋体" w:hAnsi="宋体" w:eastAsia="宋体" w:cs="宋体"/>
                <w:color w:val="000000"/>
                <w:kern w:val="0"/>
                <w:sz w:val="24"/>
                <w:szCs w:val="24"/>
                <w:lang w:val="en-US" w:eastAsia="zh-CN"/>
              </w:rPr>
              <w:t>3.4.5.4</w:t>
            </w:r>
            <w:r>
              <w:rPr>
                <w:rFonts w:hint="eastAsia" w:ascii="宋体" w:hAnsi="宋体" w:eastAsia="宋体" w:cs="宋体"/>
                <w:color w:val="000000"/>
                <w:kern w:val="0"/>
                <w:sz w:val="24"/>
                <w:szCs w:val="24"/>
                <w:lang w:val="en-US" w:eastAsia="zh-Hans"/>
              </w:rPr>
              <w:t>有明确的版权标识信息</w:t>
            </w:r>
            <w:r>
              <w:rPr>
                <w:rFonts w:hint="eastAsia" w:ascii="宋体" w:hAnsi="宋体" w:eastAsia="宋体" w:cs="宋体"/>
                <w:color w:val="000000"/>
                <w:kern w:val="0"/>
                <w:sz w:val="24"/>
                <w:szCs w:val="24"/>
                <w:lang w:val="en-US" w:eastAsia="zh-CN"/>
              </w:rPr>
              <w:t>。</w:t>
            </w:r>
          </w:p>
          <w:p>
            <w:pPr>
              <w:widowControl/>
              <w:rPr>
                <w:rFonts w:hint="eastAsia" w:ascii="宋体" w:hAnsi="宋体" w:eastAsia="宋体" w:cs="宋体"/>
                <w:b/>
                <w:bCs/>
                <w:color w:val="000000"/>
                <w:kern w:val="0"/>
                <w:sz w:val="24"/>
                <w:szCs w:val="24"/>
                <w:lang w:val="en-US" w:eastAsia="zh-CN"/>
              </w:rPr>
            </w:pPr>
          </w:p>
          <w:p>
            <w:pPr>
              <w:widowControl/>
              <w:rPr>
                <w:rFonts w:hint="eastAsia" w:ascii="宋体" w:hAnsi="宋体" w:eastAsia="宋体" w:cs="宋体"/>
                <w:b/>
                <w:bCs/>
                <w:color w:val="000000"/>
                <w:kern w:val="0"/>
                <w:sz w:val="24"/>
                <w:szCs w:val="24"/>
                <w:lang w:val="en-US" w:eastAsia="zh-CN"/>
              </w:rPr>
            </w:pPr>
          </w:p>
          <w:p>
            <w:pPr>
              <w:widowControl/>
              <w:rPr>
                <w:rFonts w:hint="eastAsia" w:ascii="宋体" w:hAnsi="宋体" w:eastAsia="宋体" w:cs="宋体"/>
                <w:b/>
                <w:bCs/>
                <w:color w:val="000000"/>
                <w:kern w:val="0"/>
                <w:sz w:val="24"/>
                <w:szCs w:val="24"/>
                <w:lang w:val="en-US" w:eastAsia="zh-Hans"/>
              </w:rPr>
            </w:pPr>
            <w:r>
              <w:rPr>
                <w:rFonts w:hint="eastAsia" w:ascii="宋体" w:hAnsi="宋体" w:eastAsia="宋体" w:cs="宋体"/>
                <w:b/>
                <w:bCs/>
                <w:color w:val="000000"/>
                <w:kern w:val="0"/>
                <w:sz w:val="24"/>
                <w:szCs w:val="24"/>
                <w:lang w:val="en-US" w:eastAsia="zh-CN"/>
              </w:rPr>
              <w:t>四、</w:t>
            </w:r>
            <w:r>
              <w:rPr>
                <w:rFonts w:hint="eastAsia" w:ascii="宋体" w:hAnsi="宋体" w:eastAsia="宋体" w:cs="宋体"/>
                <w:b/>
                <w:bCs/>
                <w:color w:val="000000"/>
                <w:kern w:val="0"/>
                <w:sz w:val="24"/>
                <w:szCs w:val="24"/>
                <w:lang w:val="en-US" w:eastAsia="zh-Hans"/>
              </w:rPr>
              <w:t>其他要求</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4.1.</w:t>
            </w:r>
            <w:r>
              <w:rPr>
                <w:rFonts w:hint="eastAsia" w:ascii="宋体" w:hAnsi="宋体" w:eastAsia="宋体" w:cs="宋体"/>
                <w:color w:val="000000"/>
                <w:kern w:val="0"/>
                <w:sz w:val="24"/>
                <w:szCs w:val="24"/>
                <w:lang w:val="en-US" w:eastAsia="zh-Hans"/>
              </w:rPr>
              <w:t xml:space="preserve">付载体 </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4.1.1</w:t>
            </w:r>
            <w:r>
              <w:rPr>
                <w:rFonts w:hint="eastAsia" w:ascii="宋体" w:hAnsi="宋体" w:eastAsia="宋体" w:cs="宋体"/>
                <w:color w:val="000000"/>
                <w:kern w:val="0"/>
                <w:sz w:val="24"/>
                <w:szCs w:val="24"/>
                <w:lang w:val="en-US" w:eastAsia="zh-Hans"/>
              </w:rPr>
              <w:t>所有视频文件、相应的媒体文件（PPT、PDF、动画等）及相关的材料均需拷盘（移动硬盘或U盘）</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 xml:space="preserve"> </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4.1.2</w:t>
            </w:r>
            <w:r>
              <w:rPr>
                <w:rFonts w:hint="eastAsia" w:ascii="宋体" w:hAnsi="宋体" w:eastAsia="宋体" w:cs="宋体"/>
                <w:color w:val="000000"/>
                <w:kern w:val="0"/>
                <w:sz w:val="24"/>
                <w:szCs w:val="24"/>
                <w:lang w:val="en-US" w:eastAsia="zh-Hans"/>
              </w:rPr>
              <w:t>文件或文件包须注明课程全称、课程单元、片段、标题及主讲教师、时长等信息</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 xml:space="preserve"> </w:t>
            </w:r>
          </w:p>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4.1.3</w:t>
            </w:r>
            <w:r>
              <w:rPr>
                <w:rFonts w:hint="eastAsia" w:ascii="宋体" w:hAnsi="宋体" w:eastAsia="宋体" w:cs="宋体"/>
                <w:color w:val="000000"/>
                <w:kern w:val="0"/>
                <w:sz w:val="24"/>
                <w:szCs w:val="24"/>
                <w:lang w:val="en-US" w:eastAsia="zh-Hans"/>
              </w:rPr>
              <w:t>所有课程素材母带（或素材数据硬盘）最后交采购方。</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4.2</w:t>
            </w:r>
            <w:r>
              <w:rPr>
                <w:rFonts w:hint="eastAsia" w:ascii="宋体" w:hAnsi="宋体" w:eastAsia="宋体" w:cs="宋体"/>
                <w:color w:val="000000"/>
                <w:kern w:val="0"/>
                <w:sz w:val="24"/>
                <w:szCs w:val="24"/>
                <w:lang w:val="en-US" w:eastAsia="zh-Hans"/>
              </w:rPr>
              <w:t xml:space="preserve">交付时间 </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4.2.</w:t>
            </w:r>
            <w:r>
              <w:rPr>
                <w:rFonts w:hint="eastAsia" w:ascii="宋体" w:hAnsi="宋体" w:eastAsia="宋体" w:cs="宋体"/>
                <w:color w:val="000000"/>
                <w:kern w:val="0"/>
                <w:sz w:val="24"/>
                <w:szCs w:val="24"/>
                <w:lang w:val="en-US" w:eastAsia="zh-Hans"/>
              </w:rPr>
              <w:t>1作方须在全部（单门）课程拍摄完成后30日内完成全部视频成品的交付工作</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 xml:space="preserve"> </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4.2.</w:t>
            </w:r>
            <w:r>
              <w:rPr>
                <w:rFonts w:hint="eastAsia" w:ascii="宋体" w:hAnsi="宋体" w:eastAsia="宋体" w:cs="宋体"/>
                <w:color w:val="000000"/>
                <w:kern w:val="0"/>
                <w:sz w:val="24"/>
                <w:szCs w:val="24"/>
                <w:lang w:val="en-US" w:eastAsia="zh-Hans"/>
              </w:rPr>
              <w:t>2制作方在拍摄和制作过程中须按照采购方的视频审核程序要求交付视频样片或成品</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 xml:space="preserve"> </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4.2.</w:t>
            </w:r>
            <w:r>
              <w:rPr>
                <w:rFonts w:hint="eastAsia" w:ascii="宋体" w:hAnsi="宋体" w:eastAsia="宋体" w:cs="宋体"/>
                <w:color w:val="000000"/>
                <w:kern w:val="0"/>
                <w:sz w:val="24"/>
                <w:szCs w:val="24"/>
                <w:lang w:val="en-US" w:eastAsia="zh-Hans"/>
              </w:rPr>
              <w:t>3经初审、复审后，制作方交付的最终成品经采购方组织专家审核通过后方可完成交付。课程成品不符合质量要求，没有通过专家审核的，须于收到反馈意见后10日内完成修改，并最终通过采购方的审核。</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4.3.</w:t>
            </w:r>
            <w:r>
              <w:rPr>
                <w:rFonts w:hint="eastAsia" w:ascii="宋体" w:hAnsi="宋体" w:eastAsia="宋体" w:cs="宋体"/>
                <w:color w:val="000000"/>
                <w:kern w:val="0"/>
                <w:sz w:val="24"/>
                <w:szCs w:val="24"/>
                <w:lang w:val="en-US" w:eastAsia="zh-Hans"/>
              </w:rPr>
              <w:t xml:space="preserve">视频审核程序 </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4.3.</w:t>
            </w:r>
            <w:r>
              <w:rPr>
                <w:rFonts w:hint="eastAsia" w:ascii="宋体" w:hAnsi="宋体" w:eastAsia="宋体" w:cs="宋体"/>
                <w:color w:val="000000"/>
                <w:kern w:val="0"/>
                <w:sz w:val="24"/>
                <w:szCs w:val="24"/>
                <w:lang w:val="en-US" w:eastAsia="zh-Hans"/>
              </w:rPr>
              <w:t>1在每一视频内容拍摄完成后7天内将该讲的拍摄视频导出，视频小样通过U盘或移动硬盘交付采购方</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 xml:space="preserve"> </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4.3.</w:t>
            </w:r>
            <w:r>
              <w:rPr>
                <w:rFonts w:hint="eastAsia" w:ascii="宋体" w:hAnsi="宋体" w:eastAsia="宋体" w:cs="宋体"/>
                <w:color w:val="000000"/>
                <w:kern w:val="0"/>
                <w:sz w:val="24"/>
                <w:szCs w:val="24"/>
                <w:lang w:val="en-US" w:eastAsia="zh-Hans"/>
              </w:rPr>
              <w:t>2采购方将《视频内容初审情况表》发给制作方，制作方根据采购方反馈的《视频内容初审情况表》进行视频的剪辑和修改。自收到《视频内容初审情况表》之日起15日内完成剪辑及修改工作并交付采购方</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val="en-US" w:eastAsia="zh-Hans"/>
              </w:rPr>
              <w:t xml:space="preserve"> </w:t>
            </w:r>
          </w:p>
          <w:p>
            <w:pPr>
              <w:widowControl/>
              <w:rPr>
                <w:rFonts w:hint="eastAsia" w:ascii="宋体" w:hAnsi="宋体" w:eastAsia="宋体" w:cs="宋体"/>
                <w:color w:val="000000"/>
                <w:kern w:val="0"/>
                <w:sz w:val="24"/>
                <w:szCs w:val="24"/>
                <w:lang w:val="en-US" w:eastAsia="zh-Hans"/>
              </w:rPr>
            </w:pPr>
            <w:r>
              <w:rPr>
                <w:rFonts w:hint="eastAsia" w:ascii="宋体" w:hAnsi="宋体" w:eastAsia="宋体" w:cs="宋体"/>
                <w:color w:val="000000"/>
                <w:kern w:val="0"/>
                <w:sz w:val="24"/>
                <w:szCs w:val="24"/>
                <w:lang w:val="en-US" w:eastAsia="zh-CN"/>
              </w:rPr>
              <w:t>4.3.</w:t>
            </w:r>
            <w:r>
              <w:rPr>
                <w:rFonts w:hint="eastAsia" w:ascii="宋体" w:hAnsi="宋体" w:eastAsia="宋体" w:cs="宋体"/>
                <w:color w:val="000000"/>
                <w:kern w:val="0"/>
                <w:sz w:val="24"/>
                <w:szCs w:val="24"/>
                <w:lang w:val="en-US" w:eastAsia="zh-Hans"/>
              </w:rPr>
              <w:t>3成片经采购方组织主讲教师、专家审核，将《视频内容复审情况表》反馈给制作方，制作方须根据《视频内容复审情况表》在10日内完成修改并交付采购方审核。</w:t>
            </w:r>
          </w:p>
          <w:p>
            <w:pPr>
              <w:widowControl/>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val="en-US" w:eastAsia="zh-CN"/>
              </w:rPr>
              <w:t xml:space="preserve">         </w:t>
            </w:r>
          </w:p>
        </w:tc>
        <w:tc>
          <w:tcPr>
            <w:tcW w:w="281" w:type="pct"/>
            <w:noWrap w:val="0"/>
            <w:vAlign w:val="center"/>
          </w:tcPr>
          <w:p>
            <w:pPr>
              <w:tabs>
                <w:tab w:val="left" w:pos="663"/>
              </w:tabs>
              <w:spacing w:before="0" w:line="369" w:lineRule="exact"/>
              <w:ind w:right="16"/>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3</w:t>
            </w:r>
          </w:p>
        </w:tc>
        <w:tc>
          <w:tcPr>
            <w:tcW w:w="385" w:type="pct"/>
            <w:noWrap w:val="0"/>
            <w:vAlign w:val="center"/>
          </w:tcPr>
          <w:p>
            <w:pPr>
              <w:tabs>
                <w:tab w:val="left" w:pos="663"/>
              </w:tabs>
              <w:spacing w:before="0" w:line="369" w:lineRule="exact"/>
              <w:ind w:right="16"/>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Hans"/>
              </w:rPr>
              <w:t>门</w:t>
            </w:r>
          </w:p>
        </w:tc>
      </w:tr>
    </w:tbl>
    <w:p>
      <w:pPr>
        <w:pStyle w:val="5"/>
        <w:rPr>
          <w:rFonts w:hint="default"/>
          <w:lang w:val="en-US" w:eastAsia="zh-CN"/>
        </w:rPr>
      </w:pPr>
    </w:p>
    <w:sectPr>
      <w:pgSz w:w="16781" w:h="11849" w:orient="landscape"/>
      <w:pgMar w:top="2011" w:right="1361" w:bottom="1531" w:left="1361" w:header="851" w:footer="992" w:gutter="0"/>
      <w:pgNumType w:fmt="decimal"/>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40001" w:csb1="00000000"/>
  </w:font>
  <w:font w:name="Adobe 宋体 Std L">
    <w:altName w:val="宋体"/>
    <w:panose1 w:val="00000000000000000000"/>
    <w:charset w:val="86"/>
    <w:family w:val="auto"/>
    <w:pitch w:val="default"/>
    <w:sig w:usb0="00000000" w:usb1="00000000" w:usb2="00000010" w:usb3="00000000" w:csb0="00040000" w:csb1="00000000"/>
  </w:font>
  <w:font w:name="Perpetua">
    <w:altName w:val="PMingLiU-ExtB"/>
    <w:panose1 w:val="02020502060401020303"/>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105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105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eastAsia" w:ascii="华文隶书" w:hAnsi="华文隶书" w:eastAsia="华文隶书" w:cs="华文隶书"/>
        <w:b w:val="0"/>
        <w:bCs w:val="0"/>
        <w:lang w:eastAsia="zh-CN"/>
      </w:rPr>
    </w:pPr>
    <w:r>
      <w:drawing>
        <wp:anchor distT="0" distB="0" distL="114300" distR="114300" simplePos="0" relativeHeight="251660288" behindDoc="0" locked="0" layoutInCell="1" allowOverlap="1">
          <wp:simplePos x="0" y="0"/>
          <wp:positionH relativeFrom="column">
            <wp:posOffset>24765</wp:posOffset>
          </wp:positionH>
          <wp:positionV relativeFrom="paragraph">
            <wp:posOffset>-106680</wp:posOffset>
          </wp:positionV>
          <wp:extent cx="2362835" cy="330200"/>
          <wp:effectExtent l="0" t="0" r="18415" b="1270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2362835" cy="33020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248285</wp:posOffset>
              </wp:positionV>
              <wp:extent cx="5498465" cy="762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9846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9.55pt;height:0.6pt;width:432.95pt;z-index:251661312;mso-width-relative:page;mso-height-relative:page;" filled="f" stroked="t" coordsize="21600,21600" o:gfxdata="UEsDBAoAAAAAAIdO4kAAAAAAAAAAAAAAAAAEAAAAZHJzL1BLAwQUAAAACACHTuJACcy+atYAAAAH&#10;AQAADwAAAGRycy9kb3ducmV2LnhtbE2OvU7DQBCEeyTe4bRINBG5c4xMYnxOAbijIYBoN/ZiW/j2&#10;HN/lB56epQrVaDSjma9Yn9ygDjSF3rOFZG5AEde+6bm18PZa3SxBhYjc4OCZLHxTgHV5eVFg3vgj&#10;v9BhE1slIxxytNDFOOZah7ojh2HuR2LJPv3kMIqdWt1MeJRxN+iFMZl22LM8dDjSQ0f112bvLITq&#10;nXbVz6yemY+09bTYPT4/obXXV4m5BxXpFM9l+MMXdCiFaev33AQ1WEjvpCiySkBJvMxWGaithVuT&#10;gi4L/Z+//AVQSwMEFAAAAAgAh07iQK92tmTbAQAAnQMAAA4AAABkcnMvZTJvRG9jLnhtbK1TzW4T&#10;MRC+I/EOlu9k06gJ7SqbHhqVC4JIwANMvPauJf/J42aTl+AFkLjBiSN33ob2MRg7Swrl0gM5OOOZ&#10;z9/4+zy7vNpbw3Yyovau4WeTKWfSCd9q1zX8w/ubFxecYQLXgvFONvwgkV+tnj9bDqGWM99708rI&#10;iMRhPYSG9ymFuqpQ9NICTnyQjorKRwuJtrGr2ggDsVtTzabTRTX42IbohUSk7PpY5CNjfAqhV0oL&#10;ufbi1kqXjqxRGkgkCXsdkK/KbZWSIr1VCmVipuGkNJWVmlC8zWu1WkLdRQi9FuMV4ClXeKTJgnbU&#10;9ES1hgTsNup/qKwW0aNXaSK8rY5CiiOk4mz6yJt3PQRZtJDVGE6m4/+jFW92m8h02/A5Zw4sPfjd&#10;p+8/P365//GZ1rtvX9k8mzQErAl77TZx3GHYxKx4r6LN/6SF7Yuxh5Oxcp+YoOT8/PLifEEdBNVe&#10;LmbF9+rhbIiYXklvWQ4abrTLsqGG3WtM1I+gvyE57fyNNqY8nXFsaPjlfJbJgcZR0RhQaANJQtdx&#10;BqajORcpFkb0Rrf5dObB2G2vTWQ7yNNRflkrdfsLlluvAfsjrpRGmHGEztYczcjR1reH4lHJ06sV&#10;vnHC8lj8uS+nH76q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JzL5q1gAAAAcBAAAPAAAAAAAA&#10;AAEAIAAAACIAAABkcnMvZG93bnJldi54bWxQSwECFAAUAAAACACHTuJAr3a2ZNsBAACdAwAADgAA&#10;AAAAAAABACAAAAAlAQAAZHJzL2Uyb0RvYy54bWxQSwUGAAAAAAYABgBZAQAAcgUAAAAA&#10;">
              <v:fill on="f" focussize="0,0"/>
              <v:stroke color="#000000 [3213]" joinstyle="round"/>
              <v:imagedata o:title=""/>
              <o:lock v:ext="edit" aspectratio="f"/>
            </v:line>
          </w:pict>
        </mc:Fallback>
      </mc:AlternateContent>
    </w:r>
    <w:r>
      <w:rPr>
        <w:rFonts w:hint="eastAsia"/>
        <w:lang w:eastAsia="zh-CN"/>
      </w:rPr>
      <w:t xml:space="preserve">      </w:t>
    </w:r>
    <w:r>
      <w:rPr>
        <w:rFonts w:hint="eastAsia"/>
      </w:rPr>
      <w:t xml:space="preserve">    </w:t>
    </w:r>
    <w:r>
      <w:rPr>
        <w:rFonts w:hint="eastAsia"/>
        <w:lang w:eastAsia="zh-CN"/>
      </w:rPr>
      <w:t xml:space="preserve">                </w:t>
    </w:r>
    <w:r>
      <w:rPr>
        <w:rFonts w:hint="eastAsia"/>
        <w:lang w:val="en-US" w:eastAsia="zh-CN"/>
      </w:rPr>
      <w:t xml:space="preserve">                                  青海旭诚公招（货物）2023-027</w:t>
    </w: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ascii="华文隶书" w:hAnsi="华文隶书" w:eastAsia="华文隶书" w:cs="华文隶书"/>
        <w:b w:val="0"/>
        <w:bCs w:val="0"/>
        <w:sz w:val="21"/>
        <w:szCs w:val="21"/>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A80F8"/>
    <w:multiLevelType w:val="singleLevel"/>
    <w:tmpl w:val="00EA80F8"/>
    <w:lvl w:ilvl="0" w:tentative="0">
      <w:start w:val="1"/>
      <w:numFmt w:val="chineseCounting"/>
      <w:suff w:val="nothing"/>
      <w:lvlText w:val="%1、"/>
      <w:lvlJc w:val="left"/>
      <w:rPr>
        <w:rFonts w:hint="eastAsia"/>
      </w:rPr>
    </w:lvl>
  </w:abstractNum>
  <w:abstractNum w:abstractNumId="1">
    <w:nsid w:val="07BB667F"/>
    <w:multiLevelType w:val="singleLevel"/>
    <w:tmpl w:val="07BB667F"/>
    <w:lvl w:ilvl="0" w:tentative="0">
      <w:start w:val="1"/>
      <w:numFmt w:val="chineseCounting"/>
      <w:suff w:val="nothing"/>
      <w:lvlText w:val="%1、"/>
      <w:lvlJc w:val="left"/>
      <w:rPr>
        <w:rFonts w:hint="eastAsia"/>
      </w:rPr>
    </w:lvl>
  </w:abstractNum>
  <w:abstractNum w:abstractNumId="2">
    <w:nsid w:val="21E88A95"/>
    <w:multiLevelType w:val="singleLevel"/>
    <w:tmpl w:val="21E88A95"/>
    <w:lvl w:ilvl="0" w:tentative="0">
      <w:start w:val="1"/>
      <w:numFmt w:val="decimal"/>
      <w:suff w:val="nothing"/>
      <w:lvlText w:val="（%1）"/>
      <w:lvlJc w:val="left"/>
    </w:lvl>
  </w:abstractNum>
  <w:abstractNum w:abstractNumId="3">
    <w:nsid w:val="2327EEB0"/>
    <w:multiLevelType w:val="singleLevel"/>
    <w:tmpl w:val="2327EEB0"/>
    <w:lvl w:ilvl="0" w:tentative="0">
      <w:start w:val="1"/>
      <w:numFmt w:val="decimal"/>
      <w:suff w:val="nothing"/>
      <w:lvlText w:val="（%1）"/>
      <w:lvlJc w:val="left"/>
    </w:lvl>
  </w:abstractNum>
  <w:abstractNum w:abstractNumId="4">
    <w:nsid w:val="561F42AC"/>
    <w:multiLevelType w:val="singleLevel"/>
    <w:tmpl w:val="561F42AC"/>
    <w:lvl w:ilvl="0" w:tentative="0">
      <w:start w:val="2"/>
      <w:numFmt w:val="decimal"/>
      <w:suff w:val="nothing"/>
      <w:lvlText w:val="%1."/>
      <w:lvlJc w:val="left"/>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59FC3CC6"/>
    <w:multiLevelType w:val="singleLevel"/>
    <w:tmpl w:val="59FC3CC6"/>
    <w:lvl w:ilvl="0" w:tentative="0">
      <w:start w:val="1"/>
      <w:numFmt w:val="decimal"/>
      <w:suff w:val="nothing"/>
      <w:lvlText w:val="（%1）"/>
      <w:lvlJc w:val="left"/>
      <w:pPr>
        <w:ind w:left="-480"/>
      </w:pPr>
    </w:lvl>
  </w:abstractNum>
  <w:abstractNum w:abstractNumId="7">
    <w:nsid w:val="59FC3E95"/>
    <w:multiLevelType w:val="singleLevel"/>
    <w:tmpl w:val="59FC3E95"/>
    <w:lvl w:ilvl="0" w:tentative="0">
      <w:start w:val="1"/>
      <w:numFmt w:val="decimal"/>
      <w:lvlText w:val="(%1)"/>
      <w:lvlJc w:val="left"/>
      <w:pPr>
        <w:tabs>
          <w:tab w:val="left" w:pos="312"/>
        </w:tabs>
      </w:pPr>
    </w:lvl>
  </w:abstractNum>
  <w:abstractNum w:abstractNumId="8">
    <w:nsid w:val="59FC4271"/>
    <w:multiLevelType w:val="singleLevel"/>
    <w:tmpl w:val="59FC4271"/>
    <w:lvl w:ilvl="0" w:tentative="0">
      <w:start w:val="1"/>
      <w:numFmt w:val="decimal"/>
      <w:suff w:val="nothing"/>
      <w:lvlText w:val="（%1）"/>
      <w:lvlJc w:val="left"/>
    </w:lvl>
  </w:abstractNum>
  <w:abstractNum w:abstractNumId="9">
    <w:nsid w:val="59FC4698"/>
    <w:multiLevelType w:val="singleLevel"/>
    <w:tmpl w:val="59FC4698"/>
    <w:lvl w:ilvl="0" w:tentative="0">
      <w:start w:val="1"/>
      <w:numFmt w:val="decimal"/>
      <w:suff w:val="nothing"/>
      <w:lvlText w:val="（%1）"/>
      <w:lvlJc w:val="left"/>
    </w:lvl>
  </w:abstractNum>
  <w:abstractNum w:abstractNumId="10">
    <w:nsid w:val="59FC4CCC"/>
    <w:multiLevelType w:val="singleLevel"/>
    <w:tmpl w:val="59FC4CCC"/>
    <w:lvl w:ilvl="0" w:tentative="0">
      <w:start w:val="1"/>
      <w:numFmt w:val="decimal"/>
      <w:suff w:val="nothing"/>
      <w:lvlText w:val="（%1）"/>
      <w:lvlJc w:val="left"/>
    </w:lvl>
  </w:abstractNum>
  <w:abstractNum w:abstractNumId="11">
    <w:nsid w:val="59FC4D84"/>
    <w:multiLevelType w:val="singleLevel"/>
    <w:tmpl w:val="59FC4D84"/>
    <w:lvl w:ilvl="0" w:tentative="0">
      <w:start w:val="11"/>
      <w:numFmt w:val="decimal"/>
      <w:suff w:val="nothing"/>
      <w:lvlText w:val="（%1）"/>
      <w:lvlJc w:val="left"/>
    </w:lvl>
  </w:abstractNum>
  <w:abstractNum w:abstractNumId="12">
    <w:nsid w:val="606E4FA6"/>
    <w:multiLevelType w:val="singleLevel"/>
    <w:tmpl w:val="606E4FA6"/>
    <w:lvl w:ilvl="0" w:tentative="0">
      <w:start w:val="4"/>
      <w:numFmt w:val="decimal"/>
      <w:suff w:val="nothing"/>
      <w:lvlText w:val="%1、"/>
      <w:lvlJc w:val="left"/>
    </w:lvl>
  </w:abstractNum>
  <w:num w:numId="1">
    <w:abstractNumId w:val="12"/>
  </w:num>
  <w:num w:numId="2">
    <w:abstractNumId w:val="6"/>
  </w:num>
  <w:num w:numId="3">
    <w:abstractNumId w:val="7"/>
  </w:num>
  <w:num w:numId="4">
    <w:abstractNumId w:val="8"/>
  </w:num>
  <w:num w:numId="5">
    <w:abstractNumId w:val="9"/>
  </w:num>
  <w:num w:numId="6">
    <w:abstractNumId w:val="2"/>
  </w:num>
  <w:num w:numId="7">
    <w:abstractNumId w:val="10"/>
  </w:num>
  <w:num w:numId="8">
    <w:abstractNumId w:val="5"/>
  </w:num>
  <w:num w:numId="9">
    <w:abstractNumId w:val="11"/>
  </w:num>
  <w:num w:numId="10">
    <w:abstractNumId w:val="4"/>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YTBjNzJkYTk3MjMzN2VhOTM4MTU0NzY2MWYwZjMifQ=="/>
  </w:docVars>
  <w:rsids>
    <w:rsidRoot w:val="00686935"/>
    <w:rsid w:val="00010F33"/>
    <w:rsid w:val="0002777A"/>
    <w:rsid w:val="000316E3"/>
    <w:rsid w:val="000319C3"/>
    <w:rsid w:val="00053F84"/>
    <w:rsid w:val="000620C5"/>
    <w:rsid w:val="00073B6A"/>
    <w:rsid w:val="0007570E"/>
    <w:rsid w:val="000875EB"/>
    <w:rsid w:val="00095505"/>
    <w:rsid w:val="000A3592"/>
    <w:rsid w:val="000B652B"/>
    <w:rsid w:val="000B67AD"/>
    <w:rsid w:val="000C0D8F"/>
    <w:rsid w:val="000C2C06"/>
    <w:rsid w:val="000C38E9"/>
    <w:rsid w:val="000C40CD"/>
    <w:rsid w:val="000D2AAD"/>
    <w:rsid w:val="000D5A34"/>
    <w:rsid w:val="000E1985"/>
    <w:rsid w:val="000F51BE"/>
    <w:rsid w:val="00102BAF"/>
    <w:rsid w:val="00150ABF"/>
    <w:rsid w:val="001840CE"/>
    <w:rsid w:val="001B603E"/>
    <w:rsid w:val="001C265B"/>
    <w:rsid w:val="001C2819"/>
    <w:rsid w:val="001D5FB4"/>
    <w:rsid w:val="001F1D2C"/>
    <w:rsid w:val="001F5C10"/>
    <w:rsid w:val="001F67C5"/>
    <w:rsid w:val="002133D4"/>
    <w:rsid w:val="00214A0A"/>
    <w:rsid w:val="00232AEF"/>
    <w:rsid w:val="00244E25"/>
    <w:rsid w:val="002467CA"/>
    <w:rsid w:val="00255D41"/>
    <w:rsid w:val="00261186"/>
    <w:rsid w:val="00267527"/>
    <w:rsid w:val="00271C7E"/>
    <w:rsid w:val="00283FF2"/>
    <w:rsid w:val="00286755"/>
    <w:rsid w:val="00295394"/>
    <w:rsid w:val="002A6A11"/>
    <w:rsid w:val="002C409D"/>
    <w:rsid w:val="002D2150"/>
    <w:rsid w:val="002D6647"/>
    <w:rsid w:val="002D7C18"/>
    <w:rsid w:val="002E4BCC"/>
    <w:rsid w:val="00303F39"/>
    <w:rsid w:val="003046DB"/>
    <w:rsid w:val="0036431D"/>
    <w:rsid w:val="00375CF6"/>
    <w:rsid w:val="0038064F"/>
    <w:rsid w:val="003850AB"/>
    <w:rsid w:val="003A0ED3"/>
    <w:rsid w:val="003D3BFB"/>
    <w:rsid w:val="003D6656"/>
    <w:rsid w:val="0041505E"/>
    <w:rsid w:val="004173C4"/>
    <w:rsid w:val="00422CEB"/>
    <w:rsid w:val="0045001C"/>
    <w:rsid w:val="00456BAD"/>
    <w:rsid w:val="0046375D"/>
    <w:rsid w:val="0048291A"/>
    <w:rsid w:val="0048778F"/>
    <w:rsid w:val="004919C2"/>
    <w:rsid w:val="004A1525"/>
    <w:rsid w:val="004A1CBF"/>
    <w:rsid w:val="004B35C8"/>
    <w:rsid w:val="004D445F"/>
    <w:rsid w:val="004E296C"/>
    <w:rsid w:val="00505FF9"/>
    <w:rsid w:val="0053481F"/>
    <w:rsid w:val="00541028"/>
    <w:rsid w:val="0055204B"/>
    <w:rsid w:val="0057522F"/>
    <w:rsid w:val="00580E9F"/>
    <w:rsid w:val="005833CD"/>
    <w:rsid w:val="00585952"/>
    <w:rsid w:val="00591471"/>
    <w:rsid w:val="00595DAD"/>
    <w:rsid w:val="005963C1"/>
    <w:rsid w:val="005A724E"/>
    <w:rsid w:val="005B5287"/>
    <w:rsid w:val="00615B56"/>
    <w:rsid w:val="00651880"/>
    <w:rsid w:val="0065456E"/>
    <w:rsid w:val="006557C8"/>
    <w:rsid w:val="006610D8"/>
    <w:rsid w:val="006825AC"/>
    <w:rsid w:val="00683D9A"/>
    <w:rsid w:val="00685406"/>
    <w:rsid w:val="00686935"/>
    <w:rsid w:val="00694657"/>
    <w:rsid w:val="006A5595"/>
    <w:rsid w:val="006A60E1"/>
    <w:rsid w:val="006E35F5"/>
    <w:rsid w:val="006F3D8D"/>
    <w:rsid w:val="006F4B92"/>
    <w:rsid w:val="00723C48"/>
    <w:rsid w:val="00725A21"/>
    <w:rsid w:val="007262EE"/>
    <w:rsid w:val="0075045E"/>
    <w:rsid w:val="00776220"/>
    <w:rsid w:val="00777D07"/>
    <w:rsid w:val="0078472C"/>
    <w:rsid w:val="0079098F"/>
    <w:rsid w:val="007D4F9E"/>
    <w:rsid w:val="007D66DC"/>
    <w:rsid w:val="007E790F"/>
    <w:rsid w:val="007F221C"/>
    <w:rsid w:val="007F5E2E"/>
    <w:rsid w:val="008004A5"/>
    <w:rsid w:val="00801CC2"/>
    <w:rsid w:val="0080723A"/>
    <w:rsid w:val="00816D7C"/>
    <w:rsid w:val="00823282"/>
    <w:rsid w:val="00826D51"/>
    <w:rsid w:val="00836DD1"/>
    <w:rsid w:val="00863600"/>
    <w:rsid w:val="00864DD0"/>
    <w:rsid w:val="00871646"/>
    <w:rsid w:val="0088679E"/>
    <w:rsid w:val="00894E70"/>
    <w:rsid w:val="008A504B"/>
    <w:rsid w:val="008B13A6"/>
    <w:rsid w:val="008B22C3"/>
    <w:rsid w:val="008D128B"/>
    <w:rsid w:val="008D6341"/>
    <w:rsid w:val="008E0255"/>
    <w:rsid w:val="008F6B95"/>
    <w:rsid w:val="0090105F"/>
    <w:rsid w:val="00915D8E"/>
    <w:rsid w:val="009304CE"/>
    <w:rsid w:val="00942454"/>
    <w:rsid w:val="00944BD8"/>
    <w:rsid w:val="009518EC"/>
    <w:rsid w:val="0097673F"/>
    <w:rsid w:val="0099074C"/>
    <w:rsid w:val="009B1754"/>
    <w:rsid w:val="009B4C8F"/>
    <w:rsid w:val="009B60DD"/>
    <w:rsid w:val="009C11B2"/>
    <w:rsid w:val="009C1959"/>
    <w:rsid w:val="009C7B10"/>
    <w:rsid w:val="009F412D"/>
    <w:rsid w:val="009F4C02"/>
    <w:rsid w:val="009F4C1B"/>
    <w:rsid w:val="009F4D00"/>
    <w:rsid w:val="009F5D2E"/>
    <w:rsid w:val="009F7D4B"/>
    <w:rsid w:val="00A2722E"/>
    <w:rsid w:val="00A27B25"/>
    <w:rsid w:val="00A30A2D"/>
    <w:rsid w:val="00A338E3"/>
    <w:rsid w:val="00A35CC8"/>
    <w:rsid w:val="00A37D9E"/>
    <w:rsid w:val="00A55CA7"/>
    <w:rsid w:val="00A60305"/>
    <w:rsid w:val="00A641FB"/>
    <w:rsid w:val="00A73F74"/>
    <w:rsid w:val="00A80A3F"/>
    <w:rsid w:val="00A83DC7"/>
    <w:rsid w:val="00A97C88"/>
    <w:rsid w:val="00AA07F7"/>
    <w:rsid w:val="00AD0D83"/>
    <w:rsid w:val="00AD39F5"/>
    <w:rsid w:val="00B000EC"/>
    <w:rsid w:val="00B04ABF"/>
    <w:rsid w:val="00B055EE"/>
    <w:rsid w:val="00B13061"/>
    <w:rsid w:val="00B26540"/>
    <w:rsid w:val="00B41C7E"/>
    <w:rsid w:val="00B46F91"/>
    <w:rsid w:val="00B51258"/>
    <w:rsid w:val="00B602F3"/>
    <w:rsid w:val="00B77582"/>
    <w:rsid w:val="00B776C4"/>
    <w:rsid w:val="00B779A6"/>
    <w:rsid w:val="00B81C5A"/>
    <w:rsid w:val="00B87611"/>
    <w:rsid w:val="00BC0429"/>
    <w:rsid w:val="00BC1B42"/>
    <w:rsid w:val="00BC20BF"/>
    <w:rsid w:val="00BE18A1"/>
    <w:rsid w:val="00BF0E15"/>
    <w:rsid w:val="00BF1378"/>
    <w:rsid w:val="00C00458"/>
    <w:rsid w:val="00C02A98"/>
    <w:rsid w:val="00C05573"/>
    <w:rsid w:val="00C10EBC"/>
    <w:rsid w:val="00C16EB6"/>
    <w:rsid w:val="00C41BC3"/>
    <w:rsid w:val="00C44013"/>
    <w:rsid w:val="00C569E9"/>
    <w:rsid w:val="00C802DC"/>
    <w:rsid w:val="00C84863"/>
    <w:rsid w:val="00C84B86"/>
    <w:rsid w:val="00C859E7"/>
    <w:rsid w:val="00C90491"/>
    <w:rsid w:val="00C91EC9"/>
    <w:rsid w:val="00C93F6C"/>
    <w:rsid w:val="00CC50CC"/>
    <w:rsid w:val="00CC64A4"/>
    <w:rsid w:val="00CC74BE"/>
    <w:rsid w:val="00CD2D66"/>
    <w:rsid w:val="00CE1056"/>
    <w:rsid w:val="00D13F4F"/>
    <w:rsid w:val="00D167A0"/>
    <w:rsid w:val="00D26D9F"/>
    <w:rsid w:val="00D45D77"/>
    <w:rsid w:val="00D9702A"/>
    <w:rsid w:val="00DA389F"/>
    <w:rsid w:val="00DA7B8E"/>
    <w:rsid w:val="00DB57FA"/>
    <w:rsid w:val="00DE02D0"/>
    <w:rsid w:val="00DE181E"/>
    <w:rsid w:val="00E0361F"/>
    <w:rsid w:val="00E14900"/>
    <w:rsid w:val="00E2268D"/>
    <w:rsid w:val="00E25C10"/>
    <w:rsid w:val="00E32A0E"/>
    <w:rsid w:val="00E76349"/>
    <w:rsid w:val="00E824C8"/>
    <w:rsid w:val="00E865C2"/>
    <w:rsid w:val="00EA166F"/>
    <w:rsid w:val="00EB34F9"/>
    <w:rsid w:val="00EC5226"/>
    <w:rsid w:val="00EE4B74"/>
    <w:rsid w:val="00EF4C2D"/>
    <w:rsid w:val="00F011B3"/>
    <w:rsid w:val="00F03A51"/>
    <w:rsid w:val="00F33751"/>
    <w:rsid w:val="00F3453D"/>
    <w:rsid w:val="00F43197"/>
    <w:rsid w:val="00F60D33"/>
    <w:rsid w:val="00F72CA9"/>
    <w:rsid w:val="00F7498F"/>
    <w:rsid w:val="00F7613F"/>
    <w:rsid w:val="00F77A93"/>
    <w:rsid w:val="00F81092"/>
    <w:rsid w:val="00F957E6"/>
    <w:rsid w:val="00FB102E"/>
    <w:rsid w:val="00FB484C"/>
    <w:rsid w:val="00FE07EF"/>
    <w:rsid w:val="00FE6885"/>
    <w:rsid w:val="00FF10DA"/>
    <w:rsid w:val="00FF5B00"/>
    <w:rsid w:val="00FF6329"/>
    <w:rsid w:val="011253ED"/>
    <w:rsid w:val="012E73B0"/>
    <w:rsid w:val="012F41F1"/>
    <w:rsid w:val="0130710F"/>
    <w:rsid w:val="013B0DE8"/>
    <w:rsid w:val="016F283F"/>
    <w:rsid w:val="017240DE"/>
    <w:rsid w:val="018117C1"/>
    <w:rsid w:val="018A58CB"/>
    <w:rsid w:val="018F63FB"/>
    <w:rsid w:val="01A12850"/>
    <w:rsid w:val="01B4110A"/>
    <w:rsid w:val="01CF32DE"/>
    <w:rsid w:val="01DF6AA8"/>
    <w:rsid w:val="01EE19B6"/>
    <w:rsid w:val="022D2865"/>
    <w:rsid w:val="025044CD"/>
    <w:rsid w:val="025E6D1A"/>
    <w:rsid w:val="026305F6"/>
    <w:rsid w:val="02D50DC8"/>
    <w:rsid w:val="03083283"/>
    <w:rsid w:val="03555CBA"/>
    <w:rsid w:val="038604FC"/>
    <w:rsid w:val="038D51FF"/>
    <w:rsid w:val="039B5B6E"/>
    <w:rsid w:val="039D426C"/>
    <w:rsid w:val="03A04F32"/>
    <w:rsid w:val="03B12C89"/>
    <w:rsid w:val="03E05C76"/>
    <w:rsid w:val="03EA45A5"/>
    <w:rsid w:val="0422003D"/>
    <w:rsid w:val="04333FF8"/>
    <w:rsid w:val="04493882"/>
    <w:rsid w:val="044F158E"/>
    <w:rsid w:val="048C4DDD"/>
    <w:rsid w:val="049814B9"/>
    <w:rsid w:val="04B14F1D"/>
    <w:rsid w:val="04DE21B6"/>
    <w:rsid w:val="04EE6171"/>
    <w:rsid w:val="0539563E"/>
    <w:rsid w:val="05465FAD"/>
    <w:rsid w:val="05526700"/>
    <w:rsid w:val="056326BB"/>
    <w:rsid w:val="05654685"/>
    <w:rsid w:val="056C65A9"/>
    <w:rsid w:val="057F6DC9"/>
    <w:rsid w:val="05812B41"/>
    <w:rsid w:val="0583332C"/>
    <w:rsid w:val="059705B7"/>
    <w:rsid w:val="05B2719F"/>
    <w:rsid w:val="05BA39DC"/>
    <w:rsid w:val="06110369"/>
    <w:rsid w:val="06293905"/>
    <w:rsid w:val="066E7569"/>
    <w:rsid w:val="067B4869"/>
    <w:rsid w:val="067D77AC"/>
    <w:rsid w:val="069F5975"/>
    <w:rsid w:val="06E93094"/>
    <w:rsid w:val="06EF73B9"/>
    <w:rsid w:val="074D4254"/>
    <w:rsid w:val="07522F8A"/>
    <w:rsid w:val="07635C4A"/>
    <w:rsid w:val="0764271A"/>
    <w:rsid w:val="07886409"/>
    <w:rsid w:val="079254DA"/>
    <w:rsid w:val="0797489E"/>
    <w:rsid w:val="07C66F31"/>
    <w:rsid w:val="07E13519"/>
    <w:rsid w:val="08070A00"/>
    <w:rsid w:val="08096E00"/>
    <w:rsid w:val="080979F7"/>
    <w:rsid w:val="0810761E"/>
    <w:rsid w:val="082E6D53"/>
    <w:rsid w:val="08591B53"/>
    <w:rsid w:val="086A1FB2"/>
    <w:rsid w:val="086F1377"/>
    <w:rsid w:val="08851788"/>
    <w:rsid w:val="088E7A4F"/>
    <w:rsid w:val="089B5752"/>
    <w:rsid w:val="08A258B4"/>
    <w:rsid w:val="08BA4FE9"/>
    <w:rsid w:val="08C15EEA"/>
    <w:rsid w:val="08CB50A1"/>
    <w:rsid w:val="08E36829"/>
    <w:rsid w:val="08ED2C31"/>
    <w:rsid w:val="08F476AE"/>
    <w:rsid w:val="08FF0C82"/>
    <w:rsid w:val="092108C3"/>
    <w:rsid w:val="094E5430"/>
    <w:rsid w:val="0A171E44"/>
    <w:rsid w:val="0A3463D4"/>
    <w:rsid w:val="0A4F320E"/>
    <w:rsid w:val="0A682522"/>
    <w:rsid w:val="0A8C4462"/>
    <w:rsid w:val="0A9E0C56"/>
    <w:rsid w:val="0AA52EBD"/>
    <w:rsid w:val="0ABF0394"/>
    <w:rsid w:val="0AC12782"/>
    <w:rsid w:val="0ACE6829"/>
    <w:rsid w:val="0AD16319"/>
    <w:rsid w:val="0B2B77D7"/>
    <w:rsid w:val="0B7D1FFD"/>
    <w:rsid w:val="0B8B296C"/>
    <w:rsid w:val="0B9306D6"/>
    <w:rsid w:val="0B940930"/>
    <w:rsid w:val="0BC3029E"/>
    <w:rsid w:val="0C0D2DC6"/>
    <w:rsid w:val="0C28640C"/>
    <w:rsid w:val="0C4D7C21"/>
    <w:rsid w:val="0C4E4424"/>
    <w:rsid w:val="0C4E4E08"/>
    <w:rsid w:val="0C566AD6"/>
    <w:rsid w:val="0C7D22B4"/>
    <w:rsid w:val="0CA15219"/>
    <w:rsid w:val="0CD10852"/>
    <w:rsid w:val="0CD619C5"/>
    <w:rsid w:val="0CE32312"/>
    <w:rsid w:val="0D2546FA"/>
    <w:rsid w:val="0D4A5F0F"/>
    <w:rsid w:val="0D533015"/>
    <w:rsid w:val="0D5C45C0"/>
    <w:rsid w:val="0D8633EB"/>
    <w:rsid w:val="0D8F6A64"/>
    <w:rsid w:val="0D907DC5"/>
    <w:rsid w:val="0DCD1019"/>
    <w:rsid w:val="0DFE7425"/>
    <w:rsid w:val="0E042443"/>
    <w:rsid w:val="0E0D1416"/>
    <w:rsid w:val="0E2449B2"/>
    <w:rsid w:val="0E250E55"/>
    <w:rsid w:val="0E26697C"/>
    <w:rsid w:val="0E2B5D40"/>
    <w:rsid w:val="0E574D87"/>
    <w:rsid w:val="0E7A1A5A"/>
    <w:rsid w:val="0E813BB2"/>
    <w:rsid w:val="0E816256"/>
    <w:rsid w:val="0E941ADA"/>
    <w:rsid w:val="0EB16245"/>
    <w:rsid w:val="0EDF7256"/>
    <w:rsid w:val="0EF6634E"/>
    <w:rsid w:val="0F3F7CF5"/>
    <w:rsid w:val="0F470958"/>
    <w:rsid w:val="0F476445"/>
    <w:rsid w:val="0F490B74"/>
    <w:rsid w:val="0F5337A0"/>
    <w:rsid w:val="0F845237"/>
    <w:rsid w:val="0F865924"/>
    <w:rsid w:val="0F8C280E"/>
    <w:rsid w:val="0F977B31"/>
    <w:rsid w:val="0F9D28CF"/>
    <w:rsid w:val="0FA062BA"/>
    <w:rsid w:val="0FA45DAA"/>
    <w:rsid w:val="0FB00BF3"/>
    <w:rsid w:val="0FC621C4"/>
    <w:rsid w:val="0FD81EB4"/>
    <w:rsid w:val="0FDE23D0"/>
    <w:rsid w:val="0FE10DAC"/>
    <w:rsid w:val="10167DDB"/>
    <w:rsid w:val="102B0279"/>
    <w:rsid w:val="104650B3"/>
    <w:rsid w:val="104D01F0"/>
    <w:rsid w:val="10516791"/>
    <w:rsid w:val="10606175"/>
    <w:rsid w:val="10A1690D"/>
    <w:rsid w:val="10A32505"/>
    <w:rsid w:val="10A50CAE"/>
    <w:rsid w:val="10BE2E9B"/>
    <w:rsid w:val="10D12BCF"/>
    <w:rsid w:val="10D33E8E"/>
    <w:rsid w:val="10D66437"/>
    <w:rsid w:val="10FB2AAB"/>
    <w:rsid w:val="110F36F7"/>
    <w:rsid w:val="114A3A18"/>
    <w:rsid w:val="11673533"/>
    <w:rsid w:val="11A55E09"/>
    <w:rsid w:val="11A7392F"/>
    <w:rsid w:val="11F528ED"/>
    <w:rsid w:val="12011292"/>
    <w:rsid w:val="123902C1"/>
    <w:rsid w:val="12471D92"/>
    <w:rsid w:val="12661A3D"/>
    <w:rsid w:val="12681311"/>
    <w:rsid w:val="128123D2"/>
    <w:rsid w:val="12816876"/>
    <w:rsid w:val="12A10CC7"/>
    <w:rsid w:val="12AD19F7"/>
    <w:rsid w:val="12D71976"/>
    <w:rsid w:val="12ED2893"/>
    <w:rsid w:val="133574DA"/>
    <w:rsid w:val="13631AD8"/>
    <w:rsid w:val="137B1518"/>
    <w:rsid w:val="138959E3"/>
    <w:rsid w:val="13B76A88"/>
    <w:rsid w:val="13BD40D4"/>
    <w:rsid w:val="13D34EB0"/>
    <w:rsid w:val="13DA7FEC"/>
    <w:rsid w:val="13FB7F63"/>
    <w:rsid w:val="14335CE6"/>
    <w:rsid w:val="14382F65"/>
    <w:rsid w:val="147E4E1C"/>
    <w:rsid w:val="1481490C"/>
    <w:rsid w:val="14BB6070"/>
    <w:rsid w:val="14BC2E0C"/>
    <w:rsid w:val="14BC5944"/>
    <w:rsid w:val="14C8253B"/>
    <w:rsid w:val="15121A08"/>
    <w:rsid w:val="1519109A"/>
    <w:rsid w:val="153A3C2D"/>
    <w:rsid w:val="15597637"/>
    <w:rsid w:val="157073F4"/>
    <w:rsid w:val="15793835"/>
    <w:rsid w:val="158222C4"/>
    <w:rsid w:val="159A3ED7"/>
    <w:rsid w:val="15B825AF"/>
    <w:rsid w:val="15D171CD"/>
    <w:rsid w:val="15D947F4"/>
    <w:rsid w:val="15FF01DE"/>
    <w:rsid w:val="161F3AB0"/>
    <w:rsid w:val="162478EF"/>
    <w:rsid w:val="162F04BE"/>
    <w:rsid w:val="16302145"/>
    <w:rsid w:val="167209B0"/>
    <w:rsid w:val="167A64BB"/>
    <w:rsid w:val="169A3A63"/>
    <w:rsid w:val="16B50F81"/>
    <w:rsid w:val="16CF5E02"/>
    <w:rsid w:val="16D2144F"/>
    <w:rsid w:val="16D855EE"/>
    <w:rsid w:val="16D9538A"/>
    <w:rsid w:val="16E573D4"/>
    <w:rsid w:val="16EB42BE"/>
    <w:rsid w:val="17263548"/>
    <w:rsid w:val="1757235C"/>
    <w:rsid w:val="17797B1C"/>
    <w:rsid w:val="177B1AE6"/>
    <w:rsid w:val="177F277E"/>
    <w:rsid w:val="17883008"/>
    <w:rsid w:val="17D47448"/>
    <w:rsid w:val="17EE4483"/>
    <w:rsid w:val="17F45E20"/>
    <w:rsid w:val="181B2B02"/>
    <w:rsid w:val="183D6D9C"/>
    <w:rsid w:val="188744BB"/>
    <w:rsid w:val="18880567"/>
    <w:rsid w:val="188D12AC"/>
    <w:rsid w:val="189463DD"/>
    <w:rsid w:val="18C43019"/>
    <w:rsid w:val="18DE057F"/>
    <w:rsid w:val="18E831AB"/>
    <w:rsid w:val="18E90CD1"/>
    <w:rsid w:val="18EA60AC"/>
    <w:rsid w:val="18F23280"/>
    <w:rsid w:val="19151AC7"/>
    <w:rsid w:val="19173A91"/>
    <w:rsid w:val="19481E9C"/>
    <w:rsid w:val="19566367"/>
    <w:rsid w:val="197902A7"/>
    <w:rsid w:val="198A7DBF"/>
    <w:rsid w:val="19A62908"/>
    <w:rsid w:val="19CA368F"/>
    <w:rsid w:val="19E80F89"/>
    <w:rsid w:val="19EB5636"/>
    <w:rsid w:val="19EE47F1"/>
    <w:rsid w:val="1A312930"/>
    <w:rsid w:val="1A3C3F06"/>
    <w:rsid w:val="1A6B4094"/>
    <w:rsid w:val="1A94409D"/>
    <w:rsid w:val="1AA154CF"/>
    <w:rsid w:val="1AA255DC"/>
    <w:rsid w:val="1AB21051"/>
    <w:rsid w:val="1ACF0052"/>
    <w:rsid w:val="1AEE0821"/>
    <w:rsid w:val="1B50328A"/>
    <w:rsid w:val="1B610FF3"/>
    <w:rsid w:val="1B7104CB"/>
    <w:rsid w:val="1B8D1DE8"/>
    <w:rsid w:val="1BA075C9"/>
    <w:rsid w:val="1BA62EAA"/>
    <w:rsid w:val="1BA64C58"/>
    <w:rsid w:val="1BC17CE4"/>
    <w:rsid w:val="1BDD0528"/>
    <w:rsid w:val="1BDE2644"/>
    <w:rsid w:val="1BF03F2E"/>
    <w:rsid w:val="1BF60645"/>
    <w:rsid w:val="1C330BE1"/>
    <w:rsid w:val="1C3404B6"/>
    <w:rsid w:val="1C4032FE"/>
    <w:rsid w:val="1C5841A4"/>
    <w:rsid w:val="1C746B04"/>
    <w:rsid w:val="1C9D42AD"/>
    <w:rsid w:val="1CB25FAA"/>
    <w:rsid w:val="1CB82E95"/>
    <w:rsid w:val="1CD81789"/>
    <w:rsid w:val="1CDB6B83"/>
    <w:rsid w:val="1CDD7F64"/>
    <w:rsid w:val="1CF92ACE"/>
    <w:rsid w:val="1D091942"/>
    <w:rsid w:val="1D0E51AB"/>
    <w:rsid w:val="1D41732E"/>
    <w:rsid w:val="1D434E54"/>
    <w:rsid w:val="1D6A009E"/>
    <w:rsid w:val="1D73442E"/>
    <w:rsid w:val="1DA376A1"/>
    <w:rsid w:val="1DDB2360"/>
    <w:rsid w:val="1DE877AA"/>
    <w:rsid w:val="1DF63C75"/>
    <w:rsid w:val="1DF70B73"/>
    <w:rsid w:val="1DFE0D7B"/>
    <w:rsid w:val="1E102B36"/>
    <w:rsid w:val="1E13701A"/>
    <w:rsid w:val="1E1D38F7"/>
    <w:rsid w:val="1E32000A"/>
    <w:rsid w:val="1E334EC9"/>
    <w:rsid w:val="1E355E20"/>
    <w:rsid w:val="1E426EBA"/>
    <w:rsid w:val="1E7D1587"/>
    <w:rsid w:val="1E8C5585"/>
    <w:rsid w:val="1E8E57F9"/>
    <w:rsid w:val="1E920021"/>
    <w:rsid w:val="1E9F430C"/>
    <w:rsid w:val="1ECD061A"/>
    <w:rsid w:val="1EDF295B"/>
    <w:rsid w:val="1EF53F2C"/>
    <w:rsid w:val="1F2C36C6"/>
    <w:rsid w:val="1F36292E"/>
    <w:rsid w:val="1F521A61"/>
    <w:rsid w:val="1F9D6372"/>
    <w:rsid w:val="1FA53968"/>
    <w:rsid w:val="1FDE3E4D"/>
    <w:rsid w:val="202E4487"/>
    <w:rsid w:val="20330CDC"/>
    <w:rsid w:val="205729C5"/>
    <w:rsid w:val="205B4263"/>
    <w:rsid w:val="20643C51"/>
    <w:rsid w:val="2069078D"/>
    <w:rsid w:val="208C3503"/>
    <w:rsid w:val="209B2C72"/>
    <w:rsid w:val="20A21E92"/>
    <w:rsid w:val="20D67FA0"/>
    <w:rsid w:val="20E97AC1"/>
    <w:rsid w:val="210C1A01"/>
    <w:rsid w:val="21902632"/>
    <w:rsid w:val="21A67760"/>
    <w:rsid w:val="21AB2FC8"/>
    <w:rsid w:val="21B856E5"/>
    <w:rsid w:val="21C4457A"/>
    <w:rsid w:val="21D01A69"/>
    <w:rsid w:val="21E26745"/>
    <w:rsid w:val="22065248"/>
    <w:rsid w:val="222F59A7"/>
    <w:rsid w:val="22543660"/>
    <w:rsid w:val="225A40FF"/>
    <w:rsid w:val="226A69DF"/>
    <w:rsid w:val="227C6712"/>
    <w:rsid w:val="228E4DC3"/>
    <w:rsid w:val="22D30A28"/>
    <w:rsid w:val="22E70030"/>
    <w:rsid w:val="23106671"/>
    <w:rsid w:val="23152DEF"/>
    <w:rsid w:val="23337183"/>
    <w:rsid w:val="23411E36"/>
    <w:rsid w:val="23676E93"/>
    <w:rsid w:val="239301B8"/>
    <w:rsid w:val="239D2DE4"/>
    <w:rsid w:val="23AD068B"/>
    <w:rsid w:val="23B03722"/>
    <w:rsid w:val="23B51EDC"/>
    <w:rsid w:val="23C75987"/>
    <w:rsid w:val="23D72707"/>
    <w:rsid w:val="23E2030B"/>
    <w:rsid w:val="23E40A13"/>
    <w:rsid w:val="23FF75FB"/>
    <w:rsid w:val="240000E3"/>
    <w:rsid w:val="2418246B"/>
    <w:rsid w:val="24207C9D"/>
    <w:rsid w:val="242A0B1C"/>
    <w:rsid w:val="244E074C"/>
    <w:rsid w:val="245B6F27"/>
    <w:rsid w:val="247712ED"/>
    <w:rsid w:val="24961D0D"/>
    <w:rsid w:val="2498040B"/>
    <w:rsid w:val="24E0567E"/>
    <w:rsid w:val="24EA2059"/>
    <w:rsid w:val="24F10F19"/>
    <w:rsid w:val="24FA6740"/>
    <w:rsid w:val="251B66B7"/>
    <w:rsid w:val="2541451C"/>
    <w:rsid w:val="25AE349F"/>
    <w:rsid w:val="25E371D4"/>
    <w:rsid w:val="25E92311"/>
    <w:rsid w:val="25FD5DBC"/>
    <w:rsid w:val="261455E0"/>
    <w:rsid w:val="262B46D7"/>
    <w:rsid w:val="264B030E"/>
    <w:rsid w:val="266A3452"/>
    <w:rsid w:val="26847EDA"/>
    <w:rsid w:val="26864524"/>
    <w:rsid w:val="26962499"/>
    <w:rsid w:val="269A2DC3"/>
    <w:rsid w:val="26A34BB6"/>
    <w:rsid w:val="26B446CD"/>
    <w:rsid w:val="26D16AA5"/>
    <w:rsid w:val="26EF19FF"/>
    <w:rsid w:val="27231852"/>
    <w:rsid w:val="272E6B49"/>
    <w:rsid w:val="27675BE3"/>
    <w:rsid w:val="278E3170"/>
    <w:rsid w:val="27D75910"/>
    <w:rsid w:val="27FC457D"/>
    <w:rsid w:val="280E4770"/>
    <w:rsid w:val="280F5928"/>
    <w:rsid w:val="28197B2B"/>
    <w:rsid w:val="281F201A"/>
    <w:rsid w:val="28235FAE"/>
    <w:rsid w:val="2851447E"/>
    <w:rsid w:val="28996270"/>
    <w:rsid w:val="28AA3FD9"/>
    <w:rsid w:val="28C17575"/>
    <w:rsid w:val="28CB704D"/>
    <w:rsid w:val="28E84B02"/>
    <w:rsid w:val="28EF1E6A"/>
    <w:rsid w:val="29063111"/>
    <w:rsid w:val="295542BF"/>
    <w:rsid w:val="29583C55"/>
    <w:rsid w:val="29690152"/>
    <w:rsid w:val="29764E1C"/>
    <w:rsid w:val="29CB3C83"/>
    <w:rsid w:val="29E03A2B"/>
    <w:rsid w:val="29FC15A0"/>
    <w:rsid w:val="2A2C074E"/>
    <w:rsid w:val="2A404C37"/>
    <w:rsid w:val="2A5306A1"/>
    <w:rsid w:val="2A691C72"/>
    <w:rsid w:val="2A77709E"/>
    <w:rsid w:val="2A9F38E6"/>
    <w:rsid w:val="2ACB6489"/>
    <w:rsid w:val="2AEB4A25"/>
    <w:rsid w:val="2AF35D6E"/>
    <w:rsid w:val="2B30453E"/>
    <w:rsid w:val="2B5841C1"/>
    <w:rsid w:val="2B595843"/>
    <w:rsid w:val="2B5E72FD"/>
    <w:rsid w:val="2B6E6CAA"/>
    <w:rsid w:val="2B8C06C5"/>
    <w:rsid w:val="2BB138D1"/>
    <w:rsid w:val="2BFA365A"/>
    <w:rsid w:val="2C2B5431"/>
    <w:rsid w:val="2C365B84"/>
    <w:rsid w:val="2C5028B1"/>
    <w:rsid w:val="2C5524AE"/>
    <w:rsid w:val="2C6426F1"/>
    <w:rsid w:val="2C8D7E9A"/>
    <w:rsid w:val="2CB03B88"/>
    <w:rsid w:val="2CB431B9"/>
    <w:rsid w:val="2CCA2E9C"/>
    <w:rsid w:val="2D177764"/>
    <w:rsid w:val="2D2F6528"/>
    <w:rsid w:val="2D734E3A"/>
    <w:rsid w:val="2D877A8B"/>
    <w:rsid w:val="2D8A7F4C"/>
    <w:rsid w:val="2DF31F7F"/>
    <w:rsid w:val="2E085F5B"/>
    <w:rsid w:val="2E2A5E31"/>
    <w:rsid w:val="2E385BE3"/>
    <w:rsid w:val="2E876B6B"/>
    <w:rsid w:val="2EC15BD9"/>
    <w:rsid w:val="2ECB6A58"/>
    <w:rsid w:val="2EE4089F"/>
    <w:rsid w:val="2EF73CF0"/>
    <w:rsid w:val="2F342398"/>
    <w:rsid w:val="2F3926C8"/>
    <w:rsid w:val="2F5E48F2"/>
    <w:rsid w:val="2F6C023B"/>
    <w:rsid w:val="2F8E09E1"/>
    <w:rsid w:val="2F8E4EE7"/>
    <w:rsid w:val="2FA379D4"/>
    <w:rsid w:val="2FA572A9"/>
    <w:rsid w:val="2FBD06F2"/>
    <w:rsid w:val="2FCD1C26"/>
    <w:rsid w:val="2FD302BA"/>
    <w:rsid w:val="2FD8767E"/>
    <w:rsid w:val="2FE574EC"/>
    <w:rsid w:val="2FF87D20"/>
    <w:rsid w:val="2FFA3747"/>
    <w:rsid w:val="2FFD5337"/>
    <w:rsid w:val="301306B6"/>
    <w:rsid w:val="303F6897"/>
    <w:rsid w:val="30401ED3"/>
    <w:rsid w:val="30442F65"/>
    <w:rsid w:val="304D230C"/>
    <w:rsid w:val="305F259A"/>
    <w:rsid w:val="30703D5A"/>
    <w:rsid w:val="307A76FC"/>
    <w:rsid w:val="308A0D72"/>
    <w:rsid w:val="30914BF5"/>
    <w:rsid w:val="3098505F"/>
    <w:rsid w:val="309A0DD7"/>
    <w:rsid w:val="30B73737"/>
    <w:rsid w:val="30F06C49"/>
    <w:rsid w:val="30F32074"/>
    <w:rsid w:val="30FC55EE"/>
    <w:rsid w:val="31085D41"/>
    <w:rsid w:val="311350AC"/>
    <w:rsid w:val="313E5997"/>
    <w:rsid w:val="314D19A6"/>
    <w:rsid w:val="31597FF7"/>
    <w:rsid w:val="31701B38"/>
    <w:rsid w:val="31833619"/>
    <w:rsid w:val="31A16195"/>
    <w:rsid w:val="31EE13DB"/>
    <w:rsid w:val="31F30385"/>
    <w:rsid w:val="31F757AF"/>
    <w:rsid w:val="320D55D9"/>
    <w:rsid w:val="32326DEE"/>
    <w:rsid w:val="32A63A63"/>
    <w:rsid w:val="32A777DC"/>
    <w:rsid w:val="32B36180"/>
    <w:rsid w:val="32CE5164"/>
    <w:rsid w:val="32DB1233"/>
    <w:rsid w:val="32E21EBD"/>
    <w:rsid w:val="32FD2735"/>
    <w:rsid w:val="33240E2C"/>
    <w:rsid w:val="3330517F"/>
    <w:rsid w:val="334044FE"/>
    <w:rsid w:val="33527747"/>
    <w:rsid w:val="3361798A"/>
    <w:rsid w:val="33745910"/>
    <w:rsid w:val="33814BD7"/>
    <w:rsid w:val="33EE5B3F"/>
    <w:rsid w:val="33F17F05"/>
    <w:rsid w:val="33FF13EE"/>
    <w:rsid w:val="342033A2"/>
    <w:rsid w:val="34464EBF"/>
    <w:rsid w:val="344E043E"/>
    <w:rsid w:val="345B087E"/>
    <w:rsid w:val="34655258"/>
    <w:rsid w:val="346A6D13"/>
    <w:rsid w:val="347D6A46"/>
    <w:rsid w:val="34873421"/>
    <w:rsid w:val="34AB35B3"/>
    <w:rsid w:val="34BD306E"/>
    <w:rsid w:val="34CE3928"/>
    <w:rsid w:val="34EF2A8C"/>
    <w:rsid w:val="34FD4AE6"/>
    <w:rsid w:val="350031D3"/>
    <w:rsid w:val="351A6043"/>
    <w:rsid w:val="351D125B"/>
    <w:rsid w:val="35305866"/>
    <w:rsid w:val="3550415A"/>
    <w:rsid w:val="355754E9"/>
    <w:rsid w:val="35747E49"/>
    <w:rsid w:val="357D216A"/>
    <w:rsid w:val="359A03B9"/>
    <w:rsid w:val="359D0A22"/>
    <w:rsid w:val="35B30245"/>
    <w:rsid w:val="35C30425"/>
    <w:rsid w:val="35E548A3"/>
    <w:rsid w:val="35F262B8"/>
    <w:rsid w:val="360A4309"/>
    <w:rsid w:val="36626C16"/>
    <w:rsid w:val="36E7464B"/>
    <w:rsid w:val="36E823DE"/>
    <w:rsid w:val="36FD79CA"/>
    <w:rsid w:val="371B5BF8"/>
    <w:rsid w:val="372003A9"/>
    <w:rsid w:val="372E3495"/>
    <w:rsid w:val="37353608"/>
    <w:rsid w:val="373759DA"/>
    <w:rsid w:val="374455F9"/>
    <w:rsid w:val="376D0FF4"/>
    <w:rsid w:val="37A4253C"/>
    <w:rsid w:val="37CC00A1"/>
    <w:rsid w:val="37D22C05"/>
    <w:rsid w:val="37D470DF"/>
    <w:rsid w:val="37D66E1A"/>
    <w:rsid w:val="382947EF"/>
    <w:rsid w:val="388A34DF"/>
    <w:rsid w:val="389107E1"/>
    <w:rsid w:val="389425B0"/>
    <w:rsid w:val="38975BFC"/>
    <w:rsid w:val="389D6890"/>
    <w:rsid w:val="391B682D"/>
    <w:rsid w:val="39227BBC"/>
    <w:rsid w:val="397A79F8"/>
    <w:rsid w:val="39966EE0"/>
    <w:rsid w:val="39BB7CA8"/>
    <w:rsid w:val="39F33306"/>
    <w:rsid w:val="39FE4185"/>
    <w:rsid w:val="3A072C82"/>
    <w:rsid w:val="3A322081"/>
    <w:rsid w:val="3A485400"/>
    <w:rsid w:val="3A4D0C68"/>
    <w:rsid w:val="3A5A5133"/>
    <w:rsid w:val="3A5C534F"/>
    <w:rsid w:val="3AD4310F"/>
    <w:rsid w:val="3B25161D"/>
    <w:rsid w:val="3B4319BF"/>
    <w:rsid w:val="3B491430"/>
    <w:rsid w:val="3C0256F9"/>
    <w:rsid w:val="3C082B00"/>
    <w:rsid w:val="3C385593"/>
    <w:rsid w:val="3C4147FD"/>
    <w:rsid w:val="3C4165AB"/>
    <w:rsid w:val="3C493E09"/>
    <w:rsid w:val="3C4B1E9E"/>
    <w:rsid w:val="3C706E90"/>
    <w:rsid w:val="3C9506A5"/>
    <w:rsid w:val="3C982A3F"/>
    <w:rsid w:val="3C9A7249"/>
    <w:rsid w:val="3CAF1767"/>
    <w:rsid w:val="3CB72D11"/>
    <w:rsid w:val="3CB925E5"/>
    <w:rsid w:val="3CD63197"/>
    <w:rsid w:val="3CEA6C43"/>
    <w:rsid w:val="3D193084"/>
    <w:rsid w:val="3D204755"/>
    <w:rsid w:val="3D3676BF"/>
    <w:rsid w:val="3D6407A3"/>
    <w:rsid w:val="3D695DB9"/>
    <w:rsid w:val="3D7D3DF1"/>
    <w:rsid w:val="3D8A3F82"/>
    <w:rsid w:val="3DA46DF1"/>
    <w:rsid w:val="3DAC214A"/>
    <w:rsid w:val="3DC21AB7"/>
    <w:rsid w:val="3DC456E6"/>
    <w:rsid w:val="3DCE20C0"/>
    <w:rsid w:val="3DE44AB3"/>
    <w:rsid w:val="3DEB4A20"/>
    <w:rsid w:val="3E086BC0"/>
    <w:rsid w:val="3E483C21"/>
    <w:rsid w:val="3E75253C"/>
    <w:rsid w:val="3E832EAB"/>
    <w:rsid w:val="3EA370A9"/>
    <w:rsid w:val="3EBC460F"/>
    <w:rsid w:val="3EC17D95"/>
    <w:rsid w:val="3ECA2888"/>
    <w:rsid w:val="3EDA7F80"/>
    <w:rsid w:val="3EED2A1A"/>
    <w:rsid w:val="3F125FDD"/>
    <w:rsid w:val="3F2D3884"/>
    <w:rsid w:val="3F47037C"/>
    <w:rsid w:val="3F8C11CB"/>
    <w:rsid w:val="3FA0000A"/>
    <w:rsid w:val="3FB05F21"/>
    <w:rsid w:val="3FD55988"/>
    <w:rsid w:val="3FDB6147"/>
    <w:rsid w:val="3FF409A4"/>
    <w:rsid w:val="3FF676AC"/>
    <w:rsid w:val="40364C2C"/>
    <w:rsid w:val="40391CF5"/>
    <w:rsid w:val="4042124B"/>
    <w:rsid w:val="404F7D26"/>
    <w:rsid w:val="407A6220"/>
    <w:rsid w:val="409734D2"/>
    <w:rsid w:val="40AB4931"/>
    <w:rsid w:val="40C94DC1"/>
    <w:rsid w:val="40D37413"/>
    <w:rsid w:val="40F7192E"/>
    <w:rsid w:val="41250249"/>
    <w:rsid w:val="416C231C"/>
    <w:rsid w:val="41AC3F3F"/>
    <w:rsid w:val="41C04416"/>
    <w:rsid w:val="41C15E79"/>
    <w:rsid w:val="41CF6407"/>
    <w:rsid w:val="41D61543"/>
    <w:rsid w:val="41EF2605"/>
    <w:rsid w:val="421473CA"/>
    <w:rsid w:val="42162288"/>
    <w:rsid w:val="423F358D"/>
    <w:rsid w:val="424D6477"/>
    <w:rsid w:val="42530DE6"/>
    <w:rsid w:val="426C4409"/>
    <w:rsid w:val="428C13B2"/>
    <w:rsid w:val="42BE6BA7"/>
    <w:rsid w:val="42E75454"/>
    <w:rsid w:val="42EC4930"/>
    <w:rsid w:val="43040DEC"/>
    <w:rsid w:val="432602A9"/>
    <w:rsid w:val="43364990"/>
    <w:rsid w:val="434B5F61"/>
    <w:rsid w:val="434D221C"/>
    <w:rsid w:val="435062C4"/>
    <w:rsid w:val="436D5ED7"/>
    <w:rsid w:val="43866F99"/>
    <w:rsid w:val="43A35D9D"/>
    <w:rsid w:val="43A55671"/>
    <w:rsid w:val="43B0055C"/>
    <w:rsid w:val="43BA223F"/>
    <w:rsid w:val="43BC29BB"/>
    <w:rsid w:val="44315157"/>
    <w:rsid w:val="444F55DD"/>
    <w:rsid w:val="447F49CB"/>
    <w:rsid w:val="4484797D"/>
    <w:rsid w:val="44973BA5"/>
    <w:rsid w:val="449B0822"/>
    <w:rsid w:val="44B02520"/>
    <w:rsid w:val="44B37363"/>
    <w:rsid w:val="44C10289"/>
    <w:rsid w:val="44DF4BB3"/>
    <w:rsid w:val="44F73D6C"/>
    <w:rsid w:val="45085EB8"/>
    <w:rsid w:val="45251983"/>
    <w:rsid w:val="456876EB"/>
    <w:rsid w:val="456A0921"/>
    <w:rsid w:val="45AA6C23"/>
    <w:rsid w:val="45B93656"/>
    <w:rsid w:val="45E83F3B"/>
    <w:rsid w:val="463902F3"/>
    <w:rsid w:val="463E26A5"/>
    <w:rsid w:val="467632F5"/>
    <w:rsid w:val="46963997"/>
    <w:rsid w:val="46971BE9"/>
    <w:rsid w:val="4698326B"/>
    <w:rsid w:val="46AC4F69"/>
    <w:rsid w:val="46B81B60"/>
    <w:rsid w:val="46C95B1B"/>
    <w:rsid w:val="46D87B0C"/>
    <w:rsid w:val="470E3B12"/>
    <w:rsid w:val="471F3E06"/>
    <w:rsid w:val="472400A2"/>
    <w:rsid w:val="472965B9"/>
    <w:rsid w:val="472B2331"/>
    <w:rsid w:val="472D60AA"/>
    <w:rsid w:val="47460F19"/>
    <w:rsid w:val="475A2C17"/>
    <w:rsid w:val="47912522"/>
    <w:rsid w:val="47C6205A"/>
    <w:rsid w:val="47C67829"/>
    <w:rsid w:val="47D143BA"/>
    <w:rsid w:val="47F0441B"/>
    <w:rsid w:val="47F646ED"/>
    <w:rsid w:val="480A0199"/>
    <w:rsid w:val="481903DC"/>
    <w:rsid w:val="481C1C7A"/>
    <w:rsid w:val="4820176A"/>
    <w:rsid w:val="482245B9"/>
    <w:rsid w:val="48450757"/>
    <w:rsid w:val="485E04E5"/>
    <w:rsid w:val="48742D03"/>
    <w:rsid w:val="487815A6"/>
    <w:rsid w:val="4880045B"/>
    <w:rsid w:val="48931989"/>
    <w:rsid w:val="48972E18"/>
    <w:rsid w:val="48C73B0F"/>
    <w:rsid w:val="48E24C72"/>
    <w:rsid w:val="48E56510"/>
    <w:rsid w:val="490B1799"/>
    <w:rsid w:val="490E3CB9"/>
    <w:rsid w:val="49247038"/>
    <w:rsid w:val="49261002"/>
    <w:rsid w:val="493665E6"/>
    <w:rsid w:val="494E2307"/>
    <w:rsid w:val="494F0CD4"/>
    <w:rsid w:val="49592B35"/>
    <w:rsid w:val="496569FC"/>
    <w:rsid w:val="49731D6E"/>
    <w:rsid w:val="498D5A32"/>
    <w:rsid w:val="49BD306D"/>
    <w:rsid w:val="49C248F9"/>
    <w:rsid w:val="49D767A1"/>
    <w:rsid w:val="49DA3B9B"/>
    <w:rsid w:val="49E723E3"/>
    <w:rsid w:val="4A0550BC"/>
    <w:rsid w:val="4A315EB1"/>
    <w:rsid w:val="4A3B288C"/>
    <w:rsid w:val="4A5120AF"/>
    <w:rsid w:val="4A5F3121"/>
    <w:rsid w:val="4A6F0787"/>
    <w:rsid w:val="4A7832BE"/>
    <w:rsid w:val="4A8415D9"/>
    <w:rsid w:val="4AAF116F"/>
    <w:rsid w:val="4ABD14F2"/>
    <w:rsid w:val="4ADB4C97"/>
    <w:rsid w:val="4AFD5D93"/>
    <w:rsid w:val="4AFE29C3"/>
    <w:rsid w:val="4B1355B6"/>
    <w:rsid w:val="4B1B3897"/>
    <w:rsid w:val="4B3C4B7B"/>
    <w:rsid w:val="4B756271"/>
    <w:rsid w:val="4B840262"/>
    <w:rsid w:val="4B904E59"/>
    <w:rsid w:val="4B9F509C"/>
    <w:rsid w:val="4BD9235C"/>
    <w:rsid w:val="4C15003A"/>
    <w:rsid w:val="4C15797C"/>
    <w:rsid w:val="4C2A0E0A"/>
    <w:rsid w:val="4C36767C"/>
    <w:rsid w:val="4C490669"/>
    <w:rsid w:val="4C6D1840"/>
    <w:rsid w:val="4C891381"/>
    <w:rsid w:val="4C912C37"/>
    <w:rsid w:val="4C9E7102"/>
    <w:rsid w:val="4CA94424"/>
    <w:rsid w:val="4CAA1F4A"/>
    <w:rsid w:val="4CC56D84"/>
    <w:rsid w:val="4CDA1D3F"/>
    <w:rsid w:val="4D113D78"/>
    <w:rsid w:val="4D186EB4"/>
    <w:rsid w:val="4D4D7673"/>
    <w:rsid w:val="4D6E4D26"/>
    <w:rsid w:val="4D8E361A"/>
    <w:rsid w:val="4DA30E74"/>
    <w:rsid w:val="4DB51948"/>
    <w:rsid w:val="4DB66956"/>
    <w:rsid w:val="4DBF5582"/>
    <w:rsid w:val="4DC25072"/>
    <w:rsid w:val="4DC332C4"/>
    <w:rsid w:val="4DCF6D4A"/>
    <w:rsid w:val="4DD059E1"/>
    <w:rsid w:val="4DE367B5"/>
    <w:rsid w:val="4E043CB0"/>
    <w:rsid w:val="4E1B4C89"/>
    <w:rsid w:val="4E28581D"/>
    <w:rsid w:val="4E437F61"/>
    <w:rsid w:val="4E742810"/>
    <w:rsid w:val="4E810A89"/>
    <w:rsid w:val="4E922C96"/>
    <w:rsid w:val="4E9A2BBE"/>
    <w:rsid w:val="4E9A3978"/>
    <w:rsid w:val="4EB326F5"/>
    <w:rsid w:val="4EC82B01"/>
    <w:rsid w:val="4EC937B5"/>
    <w:rsid w:val="4ECD1536"/>
    <w:rsid w:val="4ED41501"/>
    <w:rsid w:val="4EE33876"/>
    <w:rsid w:val="4EF31987"/>
    <w:rsid w:val="4EFE5EB4"/>
    <w:rsid w:val="4F1A33B7"/>
    <w:rsid w:val="4F2B6157"/>
    <w:rsid w:val="4F3D0E54"/>
    <w:rsid w:val="4F5B752C"/>
    <w:rsid w:val="4F6121BD"/>
    <w:rsid w:val="4F7226C3"/>
    <w:rsid w:val="4F730D1A"/>
    <w:rsid w:val="4F840B52"/>
    <w:rsid w:val="4F8B7E11"/>
    <w:rsid w:val="4FBE512A"/>
    <w:rsid w:val="4FE17A31"/>
    <w:rsid w:val="501908A2"/>
    <w:rsid w:val="504E039C"/>
    <w:rsid w:val="5060129E"/>
    <w:rsid w:val="50680152"/>
    <w:rsid w:val="50850D04"/>
    <w:rsid w:val="509E2217"/>
    <w:rsid w:val="50A15412"/>
    <w:rsid w:val="50AA1A16"/>
    <w:rsid w:val="50CD6207"/>
    <w:rsid w:val="50D4451E"/>
    <w:rsid w:val="513369E4"/>
    <w:rsid w:val="51346287"/>
    <w:rsid w:val="51404C2B"/>
    <w:rsid w:val="514918DA"/>
    <w:rsid w:val="5152179B"/>
    <w:rsid w:val="51544340"/>
    <w:rsid w:val="51583D23"/>
    <w:rsid w:val="51644DBE"/>
    <w:rsid w:val="51666898"/>
    <w:rsid w:val="517B51EF"/>
    <w:rsid w:val="519A2A2F"/>
    <w:rsid w:val="51C770FB"/>
    <w:rsid w:val="51E101BC"/>
    <w:rsid w:val="52157129"/>
    <w:rsid w:val="52181704"/>
    <w:rsid w:val="522307D5"/>
    <w:rsid w:val="522B4F5F"/>
    <w:rsid w:val="522D2622"/>
    <w:rsid w:val="522D51B0"/>
    <w:rsid w:val="52416EAD"/>
    <w:rsid w:val="5257047F"/>
    <w:rsid w:val="526B5CD8"/>
    <w:rsid w:val="528F7F85"/>
    <w:rsid w:val="52C1110F"/>
    <w:rsid w:val="52F537F4"/>
    <w:rsid w:val="53193986"/>
    <w:rsid w:val="53395DD6"/>
    <w:rsid w:val="5349426B"/>
    <w:rsid w:val="53834143"/>
    <w:rsid w:val="5388703E"/>
    <w:rsid w:val="538A61C3"/>
    <w:rsid w:val="539644BB"/>
    <w:rsid w:val="53966D85"/>
    <w:rsid w:val="53DF24DA"/>
    <w:rsid w:val="53E84C6F"/>
    <w:rsid w:val="5400254D"/>
    <w:rsid w:val="54562C35"/>
    <w:rsid w:val="5458228C"/>
    <w:rsid w:val="546649A9"/>
    <w:rsid w:val="54921C42"/>
    <w:rsid w:val="54A159E1"/>
    <w:rsid w:val="54BE6593"/>
    <w:rsid w:val="54FA5E4F"/>
    <w:rsid w:val="54FF095A"/>
    <w:rsid w:val="55102B67"/>
    <w:rsid w:val="551A1679"/>
    <w:rsid w:val="55284354"/>
    <w:rsid w:val="552C0A96"/>
    <w:rsid w:val="554A28A3"/>
    <w:rsid w:val="55601859"/>
    <w:rsid w:val="556B6597"/>
    <w:rsid w:val="558570B1"/>
    <w:rsid w:val="5588094F"/>
    <w:rsid w:val="55913CA7"/>
    <w:rsid w:val="55E72EFB"/>
    <w:rsid w:val="55EA0AE7"/>
    <w:rsid w:val="561379B6"/>
    <w:rsid w:val="563F54B2"/>
    <w:rsid w:val="5640122A"/>
    <w:rsid w:val="565371AF"/>
    <w:rsid w:val="565C09C7"/>
    <w:rsid w:val="56A66241"/>
    <w:rsid w:val="56B22127"/>
    <w:rsid w:val="56C41E5B"/>
    <w:rsid w:val="56C836F9"/>
    <w:rsid w:val="57662B42"/>
    <w:rsid w:val="576D42A0"/>
    <w:rsid w:val="57853398"/>
    <w:rsid w:val="57882E88"/>
    <w:rsid w:val="57DB54E4"/>
    <w:rsid w:val="57E75E01"/>
    <w:rsid w:val="57F95B34"/>
    <w:rsid w:val="5803005A"/>
    <w:rsid w:val="580C4A6B"/>
    <w:rsid w:val="581970B6"/>
    <w:rsid w:val="581D1822"/>
    <w:rsid w:val="581E6EFC"/>
    <w:rsid w:val="582C6C15"/>
    <w:rsid w:val="583F1F97"/>
    <w:rsid w:val="585C3F1C"/>
    <w:rsid w:val="586C27AA"/>
    <w:rsid w:val="58A557FB"/>
    <w:rsid w:val="58AA3E8D"/>
    <w:rsid w:val="58F508A1"/>
    <w:rsid w:val="59077A8F"/>
    <w:rsid w:val="5918482C"/>
    <w:rsid w:val="591B0458"/>
    <w:rsid w:val="59457442"/>
    <w:rsid w:val="597B2CA5"/>
    <w:rsid w:val="59C3464B"/>
    <w:rsid w:val="59CB4439"/>
    <w:rsid w:val="59D2488F"/>
    <w:rsid w:val="59E30C3F"/>
    <w:rsid w:val="59E763A3"/>
    <w:rsid w:val="59F50B03"/>
    <w:rsid w:val="5A074538"/>
    <w:rsid w:val="5A227BA8"/>
    <w:rsid w:val="5A276988"/>
    <w:rsid w:val="5A453297"/>
    <w:rsid w:val="5A61633E"/>
    <w:rsid w:val="5A712AE9"/>
    <w:rsid w:val="5A7D0C9E"/>
    <w:rsid w:val="5A975865"/>
    <w:rsid w:val="5A9C1248"/>
    <w:rsid w:val="5AB93F1D"/>
    <w:rsid w:val="5ABD109B"/>
    <w:rsid w:val="5AE34FA5"/>
    <w:rsid w:val="5B331E3F"/>
    <w:rsid w:val="5B4F74CF"/>
    <w:rsid w:val="5B5539A5"/>
    <w:rsid w:val="5B5A4B3C"/>
    <w:rsid w:val="5B6634E0"/>
    <w:rsid w:val="5B6F6839"/>
    <w:rsid w:val="5B71145A"/>
    <w:rsid w:val="5B8B2F47"/>
    <w:rsid w:val="5BA67DBD"/>
    <w:rsid w:val="5BBE156E"/>
    <w:rsid w:val="5BC91427"/>
    <w:rsid w:val="5BE72873"/>
    <w:rsid w:val="5BEA5EBF"/>
    <w:rsid w:val="5C074CC3"/>
    <w:rsid w:val="5C0A427F"/>
    <w:rsid w:val="5C1C479A"/>
    <w:rsid w:val="5C200DC3"/>
    <w:rsid w:val="5C4A3A1C"/>
    <w:rsid w:val="5C7F2AAC"/>
    <w:rsid w:val="5C9874CA"/>
    <w:rsid w:val="5CBD5382"/>
    <w:rsid w:val="5CC11203"/>
    <w:rsid w:val="5CC550F4"/>
    <w:rsid w:val="5D1256CE"/>
    <w:rsid w:val="5D2C4486"/>
    <w:rsid w:val="5D663C6C"/>
    <w:rsid w:val="5D6A375C"/>
    <w:rsid w:val="5D771F1C"/>
    <w:rsid w:val="5D79574D"/>
    <w:rsid w:val="5D9562FF"/>
    <w:rsid w:val="5D9702C9"/>
    <w:rsid w:val="5DC15346"/>
    <w:rsid w:val="5DE05D29"/>
    <w:rsid w:val="5DFC46C2"/>
    <w:rsid w:val="5E062D59"/>
    <w:rsid w:val="5E1E62F4"/>
    <w:rsid w:val="5E23390B"/>
    <w:rsid w:val="5E5D0BCB"/>
    <w:rsid w:val="5E6554CB"/>
    <w:rsid w:val="5E9975B5"/>
    <w:rsid w:val="5EB52670"/>
    <w:rsid w:val="5EC57865"/>
    <w:rsid w:val="5EDF48EF"/>
    <w:rsid w:val="5F1C2834"/>
    <w:rsid w:val="5F1E66CF"/>
    <w:rsid w:val="5F3B6A32"/>
    <w:rsid w:val="5F47459A"/>
    <w:rsid w:val="5F4F4AF3"/>
    <w:rsid w:val="5F645F89"/>
    <w:rsid w:val="5F6A5587"/>
    <w:rsid w:val="5F872A8C"/>
    <w:rsid w:val="5F9F5213"/>
    <w:rsid w:val="5FBB029F"/>
    <w:rsid w:val="5FE2246E"/>
    <w:rsid w:val="5FE33352"/>
    <w:rsid w:val="5FEA0B84"/>
    <w:rsid w:val="5FFC08B7"/>
    <w:rsid w:val="60025E26"/>
    <w:rsid w:val="601259E5"/>
    <w:rsid w:val="601A6D55"/>
    <w:rsid w:val="601E25DC"/>
    <w:rsid w:val="6028595B"/>
    <w:rsid w:val="60343BAD"/>
    <w:rsid w:val="6042025A"/>
    <w:rsid w:val="604774C3"/>
    <w:rsid w:val="60787F3E"/>
    <w:rsid w:val="60B8658C"/>
    <w:rsid w:val="60BB607C"/>
    <w:rsid w:val="60D333C6"/>
    <w:rsid w:val="60D62EB6"/>
    <w:rsid w:val="61070CA8"/>
    <w:rsid w:val="61096DE8"/>
    <w:rsid w:val="611F03B9"/>
    <w:rsid w:val="611F58B6"/>
    <w:rsid w:val="61285BD1"/>
    <w:rsid w:val="61363955"/>
    <w:rsid w:val="614B5652"/>
    <w:rsid w:val="61B52ACC"/>
    <w:rsid w:val="61B574C1"/>
    <w:rsid w:val="61B9080E"/>
    <w:rsid w:val="61BE65D0"/>
    <w:rsid w:val="61C472ED"/>
    <w:rsid w:val="61EA4E6B"/>
    <w:rsid w:val="61EB473F"/>
    <w:rsid w:val="62015D11"/>
    <w:rsid w:val="623205C0"/>
    <w:rsid w:val="62500A46"/>
    <w:rsid w:val="62B17737"/>
    <w:rsid w:val="62C92CD3"/>
    <w:rsid w:val="62D414A8"/>
    <w:rsid w:val="62D84CC4"/>
    <w:rsid w:val="62DA3E67"/>
    <w:rsid w:val="62F7066D"/>
    <w:rsid w:val="62F87114"/>
    <w:rsid w:val="630E6937"/>
    <w:rsid w:val="631B61AC"/>
    <w:rsid w:val="631D30EE"/>
    <w:rsid w:val="63365691"/>
    <w:rsid w:val="634C56B2"/>
    <w:rsid w:val="634C7460"/>
    <w:rsid w:val="634E142A"/>
    <w:rsid w:val="63712F09"/>
    <w:rsid w:val="63776E7B"/>
    <w:rsid w:val="639C4B62"/>
    <w:rsid w:val="63D01E3F"/>
    <w:rsid w:val="640B10C9"/>
    <w:rsid w:val="647E266C"/>
    <w:rsid w:val="64864495"/>
    <w:rsid w:val="648F3AA8"/>
    <w:rsid w:val="64A40807"/>
    <w:rsid w:val="64C01EB3"/>
    <w:rsid w:val="64C14F1A"/>
    <w:rsid w:val="64CA0F84"/>
    <w:rsid w:val="64E060B2"/>
    <w:rsid w:val="650E70C3"/>
    <w:rsid w:val="65293EFC"/>
    <w:rsid w:val="655C33C0"/>
    <w:rsid w:val="65605444"/>
    <w:rsid w:val="658C6239"/>
    <w:rsid w:val="65B11292"/>
    <w:rsid w:val="65B73D79"/>
    <w:rsid w:val="65C71020"/>
    <w:rsid w:val="65FF5C4B"/>
    <w:rsid w:val="663640C9"/>
    <w:rsid w:val="66772A46"/>
    <w:rsid w:val="669C537E"/>
    <w:rsid w:val="66A302D7"/>
    <w:rsid w:val="66BE2423"/>
    <w:rsid w:val="66C22D3A"/>
    <w:rsid w:val="670C4BBD"/>
    <w:rsid w:val="671967C5"/>
    <w:rsid w:val="67204E8B"/>
    <w:rsid w:val="672462A3"/>
    <w:rsid w:val="673B3A73"/>
    <w:rsid w:val="6747066A"/>
    <w:rsid w:val="6760172C"/>
    <w:rsid w:val="67621A0F"/>
    <w:rsid w:val="67722585"/>
    <w:rsid w:val="677B0314"/>
    <w:rsid w:val="67AE02C0"/>
    <w:rsid w:val="67DD3829"/>
    <w:rsid w:val="67F105D6"/>
    <w:rsid w:val="67FF0F45"/>
    <w:rsid w:val="6808604B"/>
    <w:rsid w:val="68104F00"/>
    <w:rsid w:val="68142C42"/>
    <w:rsid w:val="681E586F"/>
    <w:rsid w:val="68295FC1"/>
    <w:rsid w:val="684D1CB0"/>
    <w:rsid w:val="68662D72"/>
    <w:rsid w:val="68694610"/>
    <w:rsid w:val="68774F7F"/>
    <w:rsid w:val="68A351BD"/>
    <w:rsid w:val="68A5389A"/>
    <w:rsid w:val="68BE1620"/>
    <w:rsid w:val="68EB3F53"/>
    <w:rsid w:val="68F95994"/>
    <w:rsid w:val="690A4AA4"/>
    <w:rsid w:val="691F5F10"/>
    <w:rsid w:val="6958090C"/>
    <w:rsid w:val="69717C20"/>
    <w:rsid w:val="69872FA0"/>
    <w:rsid w:val="699A7177"/>
    <w:rsid w:val="69A006B2"/>
    <w:rsid w:val="69C14E08"/>
    <w:rsid w:val="69D47955"/>
    <w:rsid w:val="69DA57C5"/>
    <w:rsid w:val="6A211646"/>
    <w:rsid w:val="6A333127"/>
    <w:rsid w:val="6A3749C6"/>
    <w:rsid w:val="6A462CC6"/>
    <w:rsid w:val="6A6B0B13"/>
    <w:rsid w:val="6A9A4F55"/>
    <w:rsid w:val="6AF01164"/>
    <w:rsid w:val="6AF73C36"/>
    <w:rsid w:val="6AFB1E97"/>
    <w:rsid w:val="6B002EBF"/>
    <w:rsid w:val="6B160A7F"/>
    <w:rsid w:val="6B320F2C"/>
    <w:rsid w:val="6B427AC6"/>
    <w:rsid w:val="6B6D4417"/>
    <w:rsid w:val="6B943BD6"/>
    <w:rsid w:val="6BBC1336"/>
    <w:rsid w:val="6BBD714D"/>
    <w:rsid w:val="6BBF49B5"/>
    <w:rsid w:val="6BD740FA"/>
    <w:rsid w:val="6BFD579B"/>
    <w:rsid w:val="6C153B70"/>
    <w:rsid w:val="6C1D5E3D"/>
    <w:rsid w:val="6C375151"/>
    <w:rsid w:val="6C647DF8"/>
    <w:rsid w:val="6C752EDC"/>
    <w:rsid w:val="6C8639E2"/>
    <w:rsid w:val="6C9D2ADA"/>
    <w:rsid w:val="6CA95923"/>
    <w:rsid w:val="6CC12C6C"/>
    <w:rsid w:val="6CC26C4C"/>
    <w:rsid w:val="6CC933DE"/>
    <w:rsid w:val="6CE32BE3"/>
    <w:rsid w:val="6CE64481"/>
    <w:rsid w:val="6D0B3EE8"/>
    <w:rsid w:val="6D2F0485"/>
    <w:rsid w:val="6D885538"/>
    <w:rsid w:val="6DBD0123"/>
    <w:rsid w:val="6DE94229"/>
    <w:rsid w:val="6DF525E1"/>
    <w:rsid w:val="6E001573"/>
    <w:rsid w:val="6E0F7A08"/>
    <w:rsid w:val="6E153270"/>
    <w:rsid w:val="6E533D98"/>
    <w:rsid w:val="6E535B46"/>
    <w:rsid w:val="6E59098B"/>
    <w:rsid w:val="6E5B49FB"/>
    <w:rsid w:val="6E753D0F"/>
    <w:rsid w:val="6E7C6D7B"/>
    <w:rsid w:val="6E850527"/>
    <w:rsid w:val="6E970129"/>
    <w:rsid w:val="6E996E4B"/>
    <w:rsid w:val="6E9C573F"/>
    <w:rsid w:val="6EF37F57"/>
    <w:rsid w:val="6EFA4214"/>
    <w:rsid w:val="6F0B4673"/>
    <w:rsid w:val="6F1654F2"/>
    <w:rsid w:val="6F1B2B08"/>
    <w:rsid w:val="6F2B261F"/>
    <w:rsid w:val="6F70612F"/>
    <w:rsid w:val="6F8306AD"/>
    <w:rsid w:val="6F8A5598"/>
    <w:rsid w:val="6F92269E"/>
    <w:rsid w:val="6FB510A6"/>
    <w:rsid w:val="6FBE3493"/>
    <w:rsid w:val="6FC278A1"/>
    <w:rsid w:val="6FD607DD"/>
    <w:rsid w:val="6FE85859"/>
    <w:rsid w:val="6FE87B03"/>
    <w:rsid w:val="700D6D68"/>
    <w:rsid w:val="70147557"/>
    <w:rsid w:val="701B6B38"/>
    <w:rsid w:val="702E6DA8"/>
    <w:rsid w:val="703A5210"/>
    <w:rsid w:val="705F07D2"/>
    <w:rsid w:val="70783D6C"/>
    <w:rsid w:val="7089584F"/>
    <w:rsid w:val="70974380"/>
    <w:rsid w:val="70C42D2B"/>
    <w:rsid w:val="70DE203F"/>
    <w:rsid w:val="71416653"/>
    <w:rsid w:val="714325E3"/>
    <w:rsid w:val="714571EE"/>
    <w:rsid w:val="71493231"/>
    <w:rsid w:val="71535E5D"/>
    <w:rsid w:val="715B612D"/>
    <w:rsid w:val="719E13A5"/>
    <w:rsid w:val="71A05546"/>
    <w:rsid w:val="71A1787E"/>
    <w:rsid w:val="71C4488E"/>
    <w:rsid w:val="71CC633B"/>
    <w:rsid w:val="71E82A49"/>
    <w:rsid w:val="71F94C57"/>
    <w:rsid w:val="71F96A05"/>
    <w:rsid w:val="71FC4946"/>
    <w:rsid w:val="72165809"/>
    <w:rsid w:val="724063E2"/>
    <w:rsid w:val="72695938"/>
    <w:rsid w:val="726C5429"/>
    <w:rsid w:val="72760055"/>
    <w:rsid w:val="7294672D"/>
    <w:rsid w:val="72D54D7C"/>
    <w:rsid w:val="72E549D0"/>
    <w:rsid w:val="72FD0776"/>
    <w:rsid w:val="73117D7E"/>
    <w:rsid w:val="73133AF6"/>
    <w:rsid w:val="73221F8B"/>
    <w:rsid w:val="73661E78"/>
    <w:rsid w:val="73683F57"/>
    <w:rsid w:val="736B7AC6"/>
    <w:rsid w:val="73BE7F06"/>
    <w:rsid w:val="73C82B32"/>
    <w:rsid w:val="73E2445C"/>
    <w:rsid w:val="73F531FC"/>
    <w:rsid w:val="74043127"/>
    <w:rsid w:val="74220495"/>
    <w:rsid w:val="74471CA9"/>
    <w:rsid w:val="744F0B5E"/>
    <w:rsid w:val="747131CA"/>
    <w:rsid w:val="747D56CB"/>
    <w:rsid w:val="74942A15"/>
    <w:rsid w:val="74AA6644"/>
    <w:rsid w:val="74E27C24"/>
    <w:rsid w:val="74E5107F"/>
    <w:rsid w:val="74F82FA3"/>
    <w:rsid w:val="74F932AA"/>
    <w:rsid w:val="750B717B"/>
    <w:rsid w:val="750D1FA7"/>
    <w:rsid w:val="750E6C6B"/>
    <w:rsid w:val="75243D99"/>
    <w:rsid w:val="752C0E9F"/>
    <w:rsid w:val="75572054"/>
    <w:rsid w:val="75575F1C"/>
    <w:rsid w:val="7564688B"/>
    <w:rsid w:val="75836FF6"/>
    <w:rsid w:val="75AA6994"/>
    <w:rsid w:val="75AE7B06"/>
    <w:rsid w:val="75B710B1"/>
    <w:rsid w:val="75B72E5F"/>
    <w:rsid w:val="75EB36D0"/>
    <w:rsid w:val="76326989"/>
    <w:rsid w:val="769B55BF"/>
    <w:rsid w:val="76AD534E"/>
    <w:rsid w:val="76B35000"/>
    <w:rsid w:val="76DD4B47"/>
    <w:rsid w:val="76F4340B"/>
    <w:rsid w:val="76F93003"/>
    <w:rsid w:val="770671F4"/>
    <w:rsid w:val="77253DF8"/>
    <w:rsid w:val="773A524D"/>
    <w:rsid w:val="775F777D"/>
    <w:rsid w:val="777D59E2"/>
    <w:rsid w:val="77933457"/>
    <w:rsid w:val="77AB3CC0"/>
    <w:rsid w:val="77AD08D9"/>
    <w:rsid w:val="77DF41C2"/>
    <w:rsid w:val="77E761B2"/>
    <w:rsid w:val="77ED0DBA"/>
    <w:rsid w:val="783F0EE9"/>
    <w:rsid w:val="784C3D32"/>
    <w:rsid w:val="78555039"/>
    <w:rsid w:val="7878508A"/>
    <w:rsid w:val="7886067E"/>
    <w:rsid w:val="78887081"/>
    <w:rsid w:val="78A25DEE"/>
    <w:rsid w:val="78A56101"/>
    <w:rsid w:val="78BE62B2"/>
    <w:rsid w:val="78CD4747"/>
    <w:rsid w:val="78E026CC"/>
    <w:rsid w:val="78E60DB9"/>
    <w:rsid w:val="78F46178"/>
    <w:rsid w:val="791E4FA3"/>
    <w:rsid w:val="793B6CAE"/>
    <w:rsid w:val="794237B3"/>
    <w:rsid w:val="795D3D1D"/>
    <w:rsid w:val="797F3C93"/>
    <w:rsid w:val="79A222AF"/>
    <w:rsid w:val="79A66295"/>
    <w:rsid w:val="79D25C5B"/>
    <w:rsid w:val="79E41D48"/>
    <w:rsid w:val="79E46762"/>
    <w:rsid w:val="7A1B47E4"/>
    <w:rsid w:val="7A57076C"/>
    <w:rsid w:val="7A6C06BC"/>
    <w:rsid w:val="7A8245B7"/>
    <w:rsid w:val="7A9573B2"/>
    <w:rsid w:val="7AC701B5"/>
    <w:rsid w:val="7AED2A86"/>
    <w:rsid w:val="7B022DCE"/>
    <w:rsid w:val="7B060D01"/>
    <w:rsid w:val="7B0C3A03"/>
    <w:rsid w:val="7B0D751B"/>
    <w:rsid w:val="7B283828"/>
    <w:rsid w:val="7B5C26B1"/>
    <w:rsid w:val="7BAE0AE6"/>
    <w:rsid w:val="7BC40083"/>
    <w:rsid w:val="7BC65BA9"/>
    <w:rsid w:val="7BD04C7A"/>
    <w:rsid w:val="7BD76009"/>
    <w:rsid w:val="7BDE66DB"/>
    <w:rsid w:val="7BF81544"/>
    <w:rsid w:val="7C0F0534"/>
    <w:rsid w:val="7C352D2F"/>
    <w:rsid w:val="7C396B93"/>
    <w:rsid w:val="7C444D20"/>
    <w:rsid w:val="7C465E9C"/>
    <w:rsid w:val="7C684EB3"/>
    <w:rsid w:val="7C9704A7"/>
    <w:rsid w:val="7C9E08D4"/>
    <w:rsid w:val="7CAF4890"/>
    <w:rsid w:val="7CEC3130"/>
    <w:rsid w:val="7D00333D"/>
    <w:rsid w:val="7D0050EB"/>
    <w:rsid w:val="7D3E79C1"/>
    <w:rsid w:val="7D405981"/>
    <w:rsid w:val="7D600B10"/>
    <w:rsid w:val="7DF12C86"/>
    <w:rsid w:val="7DF34C50"/>
    <w:rsid w:val="7DFB4006"/>
    <w:rsid w:val="7E0E55E6"/>
    <w:rsid w:val="7E6D055E"/>
    <w:rsid w:val="7E8341D8"/>
    <w:rsid w:val="7E835FD4"/>
    <w:rsid w:val="7E9E7CCA"/>
    <w:rsid w:val="7EB0162C"/>
    <w:rsid w:val="7EB62C28"/>
    <w:rsid w:val="7F0C2DB2"/>
    <w:rsid w:val="7F1629A4"/>
    <w:rsid w:val="7F1B7FBA"/>
    <w:rsid w:val="7F221B2F"/>
    <w:rsid w:val="7F264BB1"/>
    <w:rsid w:val="7F2C666B"/>
    <w:rsid w:val="7F533BF8"/>
    <w:rsid w:val="7FCB0736"/>
    <w:rsid w:val="7FD67741"/>
    <w:rsid w:val="7FE1343B"/>
    <w:rsid w:val="7FE20E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70"/>
    <w:qFormat/>
    <w:uiPriority w:val="0"/>
    <w:pPr>
      <w:keepNext/>
      <w:keepLines/>
      <w:spacing w:before="340" w:after="330" w:line="576" w:lineRule="auto"/>
      <w:outlineLvl w:val="0"/>
    </w:pPr>
    <w:rPr>
      <w:b/>
      <w:bCs/>
      <w:kern w:val="44"/>
      <w:sz w:val="30"/>
      <w:szCs w:val="44"/>
    </w:rPr>
  </w:style>
  <w:style w:type="paragraph" w:styleId="5">
    <w:name w:val="heading 2"/>
    <w:basedOn w:val="1"/>
    <w:next w:val="1"/>
    <w:link w:val="64"/>
    <w:qFormat/>
    <w:uiPriority w:val="0"/>
    <w:pPr>
      <w:keepNext/>
      <w:keepLines/>
      <w:spacing w:before="260" w:after="260" w:line="415" w:lineRule="auto"/>
      <w:outlineLvl w:val="1"/>
    </w:pPr>
    <w:rPr>
      <w:rFonts w:ascii="Cambria" w:hAnsi="Cambria"/>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kern w:val="2"/>
      <w:sz w:val="28"/>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7">
    <w:name w:val="Normal Indent"/>
    <w:basedOn w:val="1"/>
    <w:qFormat/>
    <w:uiPriority w:val="99"/>
    <w:pPr>
      <w:ind w:firstLine="420"/>
    </w:pPr>
    <w:rPr>
      <w:szCs w:val="20"/>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Body Text Indent"/>
    <w:basedOn w:val="1"/>
    <w:link w:val="52"/>
    <w:qFormat/>
    <w:uiPriority w:val="0"/>
    <w:pPr>
      <w:spacing w:after="120"/>
      <w:ind w:left="420" w:leftChars="200"/>
    </w:pPr>
    <w:rPr>
      <w:sz w:val="21"/>
    </w:rPr>
  </w:style>
  <w:style w:type="paragraph" w:styleId="12">
    <w:name w:val="Plain Text"/>
    <w:basedOn w:val="1"/>
    <w:next w:val="6"/>
    <w:link w:val="55"/>
    <w:qFormat/>
    <w:uiPriority w:val="0"/>
    <w:rPr>
      <w:rFonts w:ascii="宋体" w:hAnsi="Courier New"/>
      <w:sz w:val="21"/>
      <w:szCs w:val="21"/>
    </w:rPr>
  </w:style>
  <w:style w:type="paragraph" w:styleId="13">
    <w:name w:val="Date"/>
    <w:basedOn w:val="1"/>
    <w:next w:val="1"/>
    <w:qFormat/>
    <w:uiPriority w:val="0"/>
    <w:pPr>
      <w:ind w:left="100" w:leftChars="2500"/>
    </w:pPr>
    <w:rPr>
      <w:rFonts w:eastAsia="仿宋_GB2312"/>
      <w:sz w:val="32"/>
    </w:rPr>
  </w:style>
  <w:style w:type="paragraph" w:styleId="14">
    <w:name w:val="Balloon Text"/>
    <w:basedOn w:val="1"/>
    <w:qFormat/>
    <w:uiPriority w:val="0"/>
    <w:rPr>
      <w:sz w:val="18"/>
      <w:szCs w:val="18"/>
    </w:rPr>
  </w:style>
  <w:style w:type="paragraph" w:styleId="15">
    <w:name w:val="footer"/>
    <w:basedOn w:val="1"/>
    <w:next w:val="16"/>
    <w:link w:val="72"/>
    <w:qFormat/>
    <w:uiPriority w:val="99"/>
    <w:pPr>
      <w:tabs>
        <w:tab w:val="center" w:pos="4153"/>
        <w:tab w:val="right" w:pos="8306"/>
      </w:tabs>
      <w:snapToGrid w:val="0"/>
      <w:jc w:val="left"/>
    </w:pPr>
    <w:rPr>
      <w:sz w:val="18"/>
      <w:szCs w:val="18"/>
    </w:rPr>
  </w:style>
  <w:style w:type="paragraph" w:customStyle="1" w:styleId="16">
    <w:name w:val="_Style 2"/>
    <w:basedOn w:val="1"/>
    <w:next w:val="1"/>
    <w:qFormat/>
    <w:uiPriority w:val="34"/>
    <w:pPr>
      <w:ind w:firstLine="420" w:firstLineChars="200"/>
    </w:pPr>
  </w:style>
  <w:style w:type="paragraph" w:styleId="17">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9">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20">
    <w:name w:val="Body Text Indent 3"/>
    <w:basedOn w:val="1"/>
    <w:qFormat/>
    <w:uiPriority w:val="0"/>
    <w:pPr>
      <w:spacing w:after="120"/>
      <w:ind w:left="420" w:leftChars="200"/>
    </w:pPr>
    <w:rPr>
      <w:sz w:val="16"/>
      <w:szCs w:val="20"/>
    </w:rPr>
  </w:style>
  <w:style w:type="paragraph" w:styleId="2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Title"/>
    <w:basedOn w:val="1"/>
    <w:next w:val="1"/>
    <w:link w:val="65"/>
    <w:qFormat/>
    <w:uiPriority w:val="0"/>
    <w:pPr>
      <w:spacing w:before="240" w:after="60"/>
      <w:jc w:val="center"/>
      <w:outlineLvl w:val="0"/>
    </w:pPr>
    <w:rPr>
      <w:rFonts w:ascii="Cambria" w:hAnsi="Cambria"/>
      <w:b/>
      <w:bCs/>
      <w:sz w:val="36"/>
      <w:szCs w:val="32"/>
    </w:rPr>
  </w:style>
  <w:style w:type="paragraph" w:styleId="24">
    <w:name w:val="Body Text First Indent"/>
    <w:basedOn w:val="2"/>
    <w:next w:val="1"/>
    <w:qFormat/>
    <w:uiPriority w:val="0"/>
    <w:pPr>
      <w:spacing w:line="312" w:lineRule="auto"/>
      <w:ind w:firstLine="42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qFormat/>
    <w:uiPriority w:val="0"/>
    <w:rPr>
      <w:color w:val="000000"/>
      <w:u w:val="none"/>
    </w:rPr>
  </w:style>
  <w:style w:type="character" w:styleId="31">
    <w:name w:val="Emphasis"/>
    <w:qFormat/>
    <w:uiPriority w:val="20"/>
  </w:style>
  <w:style w:type="character" w:styleId="32">
    <w:name w:val="HTML Definition"/>
    <w:qFormat/>
    <w:uiPriority w:val="0"/>
  </w:style>
  <w:style w:type="character" w:styleId="33">
    <w:name w:val="HTML Typewriter"/>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qFormat/>
    <w:uiPriority w:val="0"/>
  </w:style>
  <w:style w:type="character" w:styleId="36">
    <w:name w:val="Hyperlink"/>
    <w:qFormat/>
    <w:uiPriority w:val="99"/>
    <w:rPr>
      <w:color w:val="000000"/>
      <w:u w:val="none"/>
    </w:rPr>
  </w:style>
  <w:style w:type="character" w:styleId="37">
    <w:name w:val="HTML Code"/>
    <w:qFormat/>
    <w:uiPriority w:val="0"/>
    <w:rPr>
      <w:rFonts w:hint="default" w:ascii="monospace" w:hAnsi="monospace" w:eastAsia="monospace" w:cs="monospace"/>
      <w:sz w:val="20"/>
    </w:rPr>
  </w:style>
  <w:style w:type="character" w:styleId="38">
    <w:name w:val="HTML Cite"/>
    <w:qFormat/>
    <w:uiPriority w:val="0"/>
  </w:style>
  <w:style w:type="character" w:styleId="39">
    <w:name w:val="HTML Keyboard"/>
    <w:qFormat/>
    <w:uiPriority w:val="0"/>
    <w:rPr>
      <w:rFonts w:ascii="monospace" w:hAnsi="monospace" w:eastAsia="monospace" w:cs="monospace"/>
      <w:sz w:val="20"/>
    </w:rPr>
  </w:style>
  <w:style w:type="character" w:styleId="40">
    <w:name w:val="HTML Sample"/>
    <w:qFormat/>
    <w:uiPriority w:val="0"/>
    <w:rPr>
      <w:rFonts w:hint="default" w:ascii="monospace" w:hAnsi="monospace" w:eastAsia="monospace" w:cs="monospace"/>
    </w:rPr>
  </w:style>
  <w:style w:type="paragraph" w:customStyle="1" w:styleId="41">
    <w:name w:val="一级条标题"/>
    <w:basedOn w:val="42"/>
    <w:next w:val="43"/>
    <w:qFormat/>
    <w:uiPriority w:val="0"/>
    <w:pPr>
      <w:spacing w:line="240" w:lineRule="auto"/>
      <w:ind w:left="420"/>
      <w:outlineLvl w:val="2"/>
    </w:pPr>
  </w:style>
  <w:style w:type="paragraph" w:customStyle="1" w:styleId="4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4">
    <w:name w:val="样式2"/>
    <w:basedOn w:val="1"/>
    <w:qFormat/>
    <w:uiPriority w:val="0"/>
    <w:rPr>
      <w:rFonts w:eastAsia="华文中宋"/>
      <w:sz w:val="44"/>
    </w:rPr>
  </w:style>
  <w:style w:type="paragraph" w:customStyle="1" w:styleId="45">
    <w:name w:val=" Char"/>
    <w:basedOn w:val="1"/>
    <w:qFormat/>
    <w:uiPriority w:val="0"/>
    <w:rPr>
      <w:szCs w:val="21"/>
    </w:rPr>
  </w:style>
  <w:style w:type="paragraph" w:customStyle="1" w:styleId="46">
    <w:name w:val="_Style 31"/>
    <w:basedOn w:val="9"/>
    <w:qFormat/>
    <w:uiPriority w:val="0"/>
    <w:rPr>
      <w:szCs w:val="20"/>
      <w:shd w:val="clear" w:color="auto" w:fill="000080"/>
    </w:rPr>
  </w:style>
  <w:style w:type="paragraph" w:customStyle="1" w:styleId="47">
    <w:name w:val="样式3"/>
    <w:basedOn w:val="44"/>
    <w:qFormat/>
    <w:uiPriority w:val="0"/>
    <w:pPr>
      <w:jc w:val="center"/>
    </w:pPr>
  </w:style>
  <w:style w:type="paragraph" w:customStyle="1" w:styleId="48">
    <w:name w:val="样式1"/>
    <w:basedOn w:val="1"/>
    <w:qFormat/>
    <w:uiPriority w:val="0"/>
    <w:rPr>
      <w:rFonts w:eastAsia="仿宋_GB2312"/>
      <w:sz w:val="32"/>
    </w:rPr>
  </w:style>
  <w:style w:type="paragraph" w:customStyle="1" w:styleId="49">
    <w:name w:val="_Style 3"/>
    <w:basedOn w:val="1"/>
    <w:qFormat/>
    <w:uiPriority w:val="0"/>
    <w:pPr>
      <w:ind w:firstLine="420" w:firstLineChars="200"/>
    </w:pPr>
  </w:style>
  <w:style w:type="paragraph" w:styleId="50">
    <w:name w:val="List Paragraph"/>
    <w:basedOn w:val="1"/>
    <w:link w:val="53"/>
    <w:qFormat/>
    <w:uiPriority w:val="34"/>
    <w:pPr>
      <w:ind w:firstLine="420" w:firstLineChars="200"/>
    </w:pPr>
    <w:rPr>
      <w:szCs w:val="22"/>
    </w:rPr>
  </w:style>
  <w:style w:type="paragraph" w:customStyle="1" w:styleId="51">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52">
    <w:name w:val="正文文本缩进 Char"/>
    <w:link w:val="11"/>
    <w:qFormat/>
    <w:uiPriority w:val="0"/>
    <w:rPr>
      <w:kern w:val="2"/>
      <w:sz w:val="21"/>
      <w:szCs w:val="24"/>
    </w:rPr>
  </w:style>
  <w:style w:type="character" w:customStyle="1" w:styleId="53">
    <w:name w:val="列出段落 Char"/>
    <w:link w:val="50"/>
    <w:qFormat/>
    <w:uiPriority w:val="34"/>
    <w:rPr>
      <w:kern w:val="2"/>
      <w:sz w:val="24"/>
      <w:szCs w:val="22"/>
    </w:rPr>
  </w:style>
  <w:style w:type="character" w:customStyle="1" w:styleId="54">
    <w:name w:val="tabg"/>
    <w:qFormat/>
    <w:uiPriority w:val="0"/>
    <w:rPr>
      <w:rFonts w:ascii="微软雅黑" w:hAnsi="微软雅黑" w:eastAsia="微软雅黑" w:cs="微软雅黑"/>
      <w:color w:val="FFFFFF"/>
      <w:sz w:val="27"/>
      <w:szCs w:val="27"/>
    </w:rPr>
  </w:style>
  <w:style w:type="character" w:customStyle="1" w:styleId="55">
    <w:name w:val="纯文本 Char"/>
    <w:link w:val="12"/>
    <w:qFormat/>
    <w:uiPriority w:val="0"/>
    <w:rPr>
      <w:rFonts w:ascii="宋体" w:hAnsi="Courier New" w:cs="Courier New"/>
      <w:kern w:val="2"/>
      <w:sz w:val="21"/>
      <w:szCs w:val="21"/>
    </w:rPr>
  </w:style>
  <w:style w:type="character" w:customStyle="1" w:styleId="56">
    <w:name w:val="font61"/>
    <w:qFormat/>
    <w:uiPriority w:val="0"/>
    <w:rPr>
      <w:rFonts w:hint="default" w:ascii="Arial" w:hAnsi="Arial" w:cs="Arial"/>
      <w:color w:val="000000"/>
      <w:sz w:val="22"/>
      <w:szCs w:val="22"/>
      <w:u w:val="none"/>
    </w:rPr>
  </w:style>
  <w:style w:type="character" w:customStyle="1" w:styleId="57">
    <w:name w:val="more"/>
    <w:qFormat/>
    <w:uiPriority w:val="0"/>
    <w:rPr>
      <w:color w:val="666666"/>
      <w:sz w:val="18"/>
      <w:szCs w:val="18"/>
    </w:rPr>
  </w:style>
  <w:style w:type="character" w:customStyle="1" w:styleId="58">
    <w:name w:val="font51"/>
    <w:basedOn w:val="27"/>
    <w:qFormat/>
    <w:uiPriority w:val="0"/>
    <w:rPr>
      <w:rFonts w:ascii="font-weight : 400" w:hAnsi="font-weight : 400" w:eastAsia="font-weight : 400" w:cs="font-weight : 400"/>
      <w:color w:val="000000"/>
      <w:sz w:val="22"/>
      <w:szCs w:val="22"/>
      <w:u w:val="none"/>
    </w:rPr>
  </w:style>
  <w:style w:type="character" w:customStyle="1" w:styleId="59">
    <w:name w:val="bg01"/>
    <w:basedOn w:val="27"/>
    <w:qFormat/>
    <w:uiPriority w:val="0"/>
  </w:style>
  <w:style w:type="character" w:customStyle="1" w:styleId="60">
    <w:name w:val="font21"/>
    <w:qFormat/>
    <w:uiPriority w:val="0"/>
    <w:rPr>
      <w:rFonts w:hint="eastAsia" w:ascii="宋体" w:hAnsi="宋体" w:eastAsia="宋体" w:cs="宋体"/>
      <w:color w:val="000000"/>
      <w:sz w:val="20"/>
      <w:szCs w:val="20"/>
      <w:u w:val="none"/>
    </w:rPr>
  </w:style>
  <w:style w:type="character" w:customStyle="1" w:styleId="61">
    <w:name w:val="副标题 Char1"/>
    <w:qFormat/>
    <w:uiPriority w:val="0"/>
    <w:rPr>
      <w:rFonts w:ascii="Cambria" w:hAnsi="Cambria" w:cs="Times New Roman"/>
      <w:b/>
      <w:bCs/>
      <w:kern w:val="28"/>
      <w:sz w:val="32"/>
      <w:szCs w:val="32"/>
    </w:rPr>
  </w:style>
  <w:style w:type="character" w:customStyle="1" w:styleId="62">
    <w:name w:val="font71"/>
    <w:qFormat/>
    <w:uiPriority w:val="0"/>
    <w:rPr>
      <w:rFonts w:hint="eastAsia" w:ascii="宋体" w:hAnsi="宋体" w:eastAsia="宋体" w:cs="宋体"/>
      <w:color w:val="000000"/>
      <w:sz w:val="22"/>
      <w:szCs w:val="22"/>
      <w:u w:val="none"/>
    </w:rPr>
  </w:style>
  <w:style w:type="character" w:customStyle="1" w:styleId="63">
    <w:name w:val="页眉 Char"/>
    <w:link w:val="17"/>
    <w:qFormat/>
    <w:uiPriority w:val="99"/>
    <w:rPr>
      <w:kern w:val="2"/>
      <w:sz w:val="18"/>
      <w:szCs w:val="18"/>
    </w:rPr>
  </w:style>
  <w:style w:type="character" w:customStyle="1" w:styleId="64">
    <w:name w:val="标题 2 Char"/>
    <w:link w:val="5"/>
    <w:qFormat/>
    <w:uiPriority w:val="0"/>
    <w:rPr>
      <w:rFonts w:ascii="Cambria" w:hAnsi="Cambria"/>
      <w:b/>
      <w:bCs/>
      <w:kern w:val="2"/>
      <w:sz w:val="32"/>
      <w:szCs w:val="32"/>
    </w:rPr>
  </w:style>
  <w:style w:type="character" w:customStyle="1" w:styleId="65">
    <w:name w:val="标题 Char"/>
    <w:link w:val="23"/>
    <w:qFormat/>
    <w:uiPriority w:val="0"/>
    <w:rPr>
      <w:rFonts w:ascii="Cambria" w:hAnsi="Cambria"/>
      <w:b/>
      <w:bCs/>
      <w:kern w:val="2"/>
      <w:sz w:val="36"/>
      <w:szCs w:val="32"/>
    </w:rPr>
  </w:style>
  <w:style w:type="character" w:customStyle="1" w:styleId="66">
    <w:name w:val="font11"/>
    <w:qFormat/>
    <w:uiPriority w:val="0"/>
    <w:rPr>
      <w:rFonts w:hint="eastAsia" w:ascii="宋体" w:hAnsi="宋体" w:eastAsia="宋体" w:cs="宋体"/>
      <w:color w:val="000000"/>
      <w:sz w:val="22"/>
      <w:szCs w:val="22"/>
      <w:u w:val="none"/>
    </w:rPr>
  </w:style>
  <w:style w:type="character" w:customStyle="1" w:styleId="67">
    <w:name w:val="bg02"/>
    <w:basedOn w:val="27"/>
    <w:qFormat/>
    <w:uiPriority w:val="0"/>
  </w:style>
  <w:style w:type="character" w:customStyle="1" w:styleId="68">
    <w:name w:val="标题 Char1"/>
    <w:qFormat/>
    <w:uiPriority w:val="0"/>
    <w:rPr>
      <w:rFonts w:ascii="Cambria" w:hAnsi="Cambria" w:cs="Times New Roman"/>
      <w:b/>
      <w:bCs/>
      <w:kern w:val="2"/>
      <w:sz w:val="32"/>
      <w:szCs w:val="32"/>
    </w:rPr>
  </w:style>
  <w:style w:type="character" w:customStyle="1" w:styleId="69">
    <w:name w:val="font01"/>
    <w:qFormat/>
    <w:uiPriority w:val="0"/>
    <w:rPr>
      <w:rFonts w:hint="eastAsia" w:ascii="宋体" w:hAnsi="宋体" w:eastAsia="宋体" w:cs="宋体"/>
      <w:color w:val="000000"/>
      <w:sz w:val="20"/>
      <w:szCs w:val="20"/>
      <w:u w:val="none"/>
    </w:rPr>
  </w:style>
  <w:style w:type="character" w:customStyle="1" w:styleId="70">
    <w:name w:val="标题 1 Char"/>
    <w:link w:val="4"/>
    <w:qFormat/>
    <w:uiPriority w:val="0"/>
    <w:rPr>
      <w:b/>
      <w:bCs/>
      <w:kern w:val="44"/>
      <w:sz w:val="30"/>
      <w:szCs w:val="44"/>
    </w:rPr>
  </w:style>
  <w:style w:type="character" w:customStyle="1" w:styleId="71">
    <w:name w:val="font41"/>
    <w:qFormat/>
    <w:uiPriority w:val="0"/>
    <w:rPr>
      <w:rFonts w:hint="eastAsia" w:ascii="宋体" w:hAnsi="宋体" w:eastAsia="宋体" w:cs="宋体"/>
      <w:color w:val="000000"/>
      <w:sz w:val="20"/>
      <w:szCs w:val="20"/>
      <w:u w:val="none"/>
    </w:rPr>
  </w:style>
  <w:style w:type="character" w:customStyle="1" w:styleId="72">
    <w:name w:val="页脚 Char"/>
    <w:link w:val="15"/>
    <w:qFormat/>
    <w:uiPriority w:val="99"/>
    <w:rPr>
      <w:kern w:val="2"/>
      <w:sz w:val="18"/>
      <w:szCs w:val="18"/>
    </w:rPr>
  </w:style>
  <w:style w:type="character" w:customStyle="1" w:styleId="73">
    <w:name w:val="副标题 Char"/>
    <w:link w:val="19"/>
    <w:qFormat/>
    <w:uiPriority w:val="0"/>
    <w:rPr>
      <w:rFonts w:ascii="Cambria" w:hAnsi="Cambria"/>
      <w:b/>
      <w:bCs/>
      <w:kern w:val="28"/>
      <w:sz w:val="32"/>
      <w:szCs w:val="32"/>
    </w:rPr>
  </w:style>
  <w:style w:type="table" w:customStyle="1" w:styleId="74">
    <w:name w:val="网格型1111"/>
    <w:basedOn w:val="25"/>
    <w:qFormat/>
    <w:uiPriority w:val="59"/>
    <w:pPr>
      <w:jc w:val="left"/>
    </w:pPr>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5">
    <w:name w:val="网格型141"/>
    <w:basedOn w:val="25"/>
    <w:qFormat/>
    <w:uiPriority w:val="59"/>
    <w:pPr>
      <w:jc w:val="left"/>
    </w:pPr>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6">
    <w:name w:val="[基本段落]"/>
    <w:basedOn w:val="1"/>
    <w:qFormat/>
    <w:uiPriority w:val="99"/>
    <w:pPr>
      <w:autoSpaceDE w:val="0"/>
      <w:autoSpaceDN w:val="0"/>
      <w:adjustRightInd w:val="0"/>
      <w:spacing w:line="288" w:lineRule="auto"/>
      <w:textAlignment w:val="center"/>
    </w:pPr>
    <w:rPr>
      <w:rFonts w:ascii="Adobe 宋体 Std L" w:hAnsi="Calibri" w:eastAsia="Adobe 宋体 Std L" w:cs="Adobe 宋体 Std L"/>
      <w:color w:val="000000"/>
      <w:kern w:val="0"/>
      <w:sz w:val="24"/>
      <w:szCs w:val="24"/>
      <w:lang w:val="zh-CN"/>
    </w:rPr>
  </w:style>
  <w:style w:type="paragraph" w:customStyle="1" w:styleId="77">
    <w:name w:val="Table Paragraph"/>
    <w:basedOn w:val="1"/>
    <w:qFormat/>
    <w:uiPriority w:val="1"/>
    <w:rPr>
      <w:rFonts w:ascii="宋体" w:hAnsi="宋体" w:eastAsia="宋体" w:cs="宋体"/>
      <w:lang w:val="en-US" w:eastAsia="zh-CN" w:bidi="ar-SA"/>
    </w:rPr>
  </w:style>
  <w:style w:type="character" w:customStyle="1" w:styleId="78">
    <w:name w:val="mini-outputtext1"/>
    <w:basedOn w:val="27"/>
    <w:qFormat/>
    <w:uiPriority w:val="0"/>
  </w:style>
  <w:style w:type="paragraph" w:customStyle="1" w:styleId="79">
    <w:name w:val="Heading1"/>
    <w:basedOn w:val="1"/>
    <w:next w:val="1"/>
    <w:qFormat/>
    <w:uiPriority w:val="0"/>
    <w:pPr>
      <w:keepNext/>
      <w:keepLines/>
      <w:spacing w:line="576" w:lineRule="auto"/>
    </w:pPr>
    <w:rPr>
      <w:b/>
      <w:kern w:val="44"/>
      <w:sz w:val="44"/>
    </w:rPr>
  </w:style>
  <w:style w:type="paragraph" w:customStyle="1" w:styleId="80">
    <w:name w:val="列出段落1"/>
    <w:basedOn w:val="1"/>
    <w:qFormat/>
    <w:uiPriority w:val="0"/>
    <w:pPr>
      <w:widowControl/>
      <w:spacing w:line="276" w:lineRule="auto"/>
      <w:ind w:firstLine="420" w:firstLineChars="200"/>
      <w:jc w:val="left"/>
    </w:pPr>
    <w:rPr>
      <w:rFonts w:ascii="Perpetua" w:hAnsi="Perpetua"/>
      <w:color w:val="000000"/>
      <w:kern w:val="0"/>
      <w:sz w:val="22"/>
    </w:rPr>
  </w:style>
  <w:style w:type="character" w:customStyle="1" w:styleId="81">
    <w:name w:val="font81"/>
    <w:basedOn w:val="27"/>
    <w:qFormat/>
    <w:uiPriority w:val="0"/>
    <w:rPr>
      <w:rFonts w:hint="eastAsia" w:ascii="宋体" w:hAnsi="宋体" w:eastAsia="宋体" w:cs="宋体"/>
      <w:color w:val="000000"/>
      <w:sz w:val="22"/>
      <w:szCs w:val="22"/>
      <w:u w:val="none"/>
    </w:rPr>
  </w:style>
  <w:style w:type="character" w:customStyle="1" w:styleId="82">
    <w:name w:val="font31"/>
    <w:basedOn w:val="27"/>
    <w:qFormat/>
    <w:uiPriority w:val="0"/>
    <w:rPr>
      <w:rFonts w:hint="eastAsia" w:ascii="宋体" w:hAnsi="宋体" w:eastAsia="宋体" w:cs="宋体"/>
      <w:color w:val="FF0000"/>
      <w:sz w:val="22"/>
      <w:szCs w:val="22"/>
      <w:u w:val="none"/>
      <w:vertAlign w:val="superscript"/>
    </w:rPr>
  </w:style>
  <w:style w:type="character" w:customStyle="1" w:styleId="83">
    <w:name w:val="font131"/>
    <w:basedOn w:val="27"/>
    <w:qFormat/>
    <w:uiPriority w:val="0"/>
    <w:rPr>
      <w:rFonts w:hint="eastAsia" w:ascii="宋体" w:hAnsi="宋体" w:eastAsia="宋体" w:cs="宋体"/>
      <w:color w:val="000000"/>
      <w:sz w:val="22"/>
      <w:szCs w:val="22"/>
      <w:u w:val="none"/>
      <w:vertAlign w:val="superscript"/>
    </w:rPr>
  </w:style>
  <w:style w:type="character" w:customStyle="1" w:styleId="84">
    <w:name w:val="font101"/>
    <w:basedOn w:val="27"/>
    <w:qFormat/>
    <w:uiPriority w:val="0"/>
    <w:rPr>
      <w:rFonts w:hint="eastAsia" w:ascii="宋体" w:hAnsi="宋体" w:eastAsia="宋体" w:cs="宋体"/>
      <w:color w:val="000000"/>
      <w:sz w:val="22"/>
      <w:szCs w:val="22"/>
      <w:u w:val="none"/>
    </w:rPr>
  </w:style>
  <w:style w:type="character" w:customStyle="1" w:styleId="85">
    <w:name w:val="font141"/>
    <w:basedOn w:val="27"/>
    <w:qFormat/>
    <w:uiPriority w:val="0"/>
    <w:rPr>
      <w:rFonts w:ascii="Arial" w:hAnsi="Arial" w:cs="Arial"/>
      <w:color w:val="000000"/>
      <w:sz w:val="22"/>
      <w:szCs w:val="22"/>
      <w:u w:val="none"/>
    </w:rPr>
  </w:style>
  <w:style w:type="character" w:customStyle="1" w:styleId="86">
    <w:name w:val="font161"/>
    <w:basedOn w:val="27"/>
    <w:qFormat/>
    <w:uiPriority w:val="0"/>
    <w:rPr>
      <w:rFonts w:hint="eastAsia" w:ascii="宋体" w:hAnsi="宋体" w:eastAsia="宋体" w:cs="宋体"/>
      <w:b/>
      <w:bCs/>
      <w:color w:val="FF0000"/>
      <w:sz w:val="22"/>
      <w:szCs w:val="22"/>
      <w:u w:val="none"/>
      <w:vertAlign w:val="superscript"/>
    </w:rPr>
  </w:style>
  <w:style w:type="character" w:customStyle="1" w:styleId="87">
    <w:name w:val="font171"/>
    <w:basedOn w:val="27"/>
    <w:qFormat/>
    <w:uiPriority w:val="0"/>
    <w:rPr>
      <w:rFonts w:hint="eastAsia" w:ascii="宋体" w:hAnsi="宋体" w:eastAsia="宋体" w:cs="宋体"/>
      <w:color w:val="000000"/>
      <w:sz w:val="22"/>
      <w:szCs w:val="22"/>
      <w:u w:val="none"/>
      <w:vertAlign w:val="superscript"/>
    </w:rPr>
  </w:style>
  <w:style w:type="character" w:customStyle="1" w:styleId="88">
    <w:name w:val="font151"/>
    <w:basedOn w:val="27"/>
    <w:qFormat/>
    <w:uiPriority w:val="0"/>
    <w:rPr>
      <w:rFonts w:hint="default" w:ascii="Arial" w:hAnsi="Arial" w:cs="Arial"/>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104</Pages>
  <Words>54521</Words>
  <Characters>60248</Characters>
  <Lines>425</Lines>
  <Paragraphs>119</Paragraphs>
  <TotalTime>3</TotalTime>
  <ScaleCrop>false</ScaleCrop>
  <LinksUpToDate>false</LinksUpToDate>
  <CharactersWithSpaces>64340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2018-08-09T07:59:00Z</dcterms:created>
  <dc:creator>太子弹琴</dc:creator>
  <cp:lastModifiedBy>水麒麟宝贝心</cp:lastModifiedBy>
  <cp:lastPrinted>2022-07-03T07:29:00Z</cp:lastPrinted>
  <dcterms:modified xsi:type="dcterms:W3CDTF">2023-07-20T09:41:04Z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223204615C6341EAB9ACF66EB04C035F_13</vt:lpwstr>
  </property>
</Properties>
</file>