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C723B">
      <w:pPr>
        <w:autoSpaceDE w:val="0"/>
        <w:autoSpaceDN w:val="0"/>
        <w:adjustRightInd w:val="0"/>
        <w:spacing w:line="360" w:lineRule="auto"/>
        <w:rPr>
          <w:rFonts w:hint="eastAsia" w:ascii="仿宋" w:hAnsi="仿宋" w:eastAsia="仿宋" w:cs="仿宋"/>
          <w:b/>
          <w:bCs/>
          <w:color w:val="000000"/>
          <w:kern w:val="0"/>
          <w:sz w:val="84"/>
          <w:szCs w:val="84"/>
          <w:highlight w:val="none"/>
          <w:lang w:val="zh-CN"/>
        </w:rPr>
      </w:pPr>
    </w:p>
    <w:p w14:paraId="5810FA8B">
      <w:pPr>
        <w:autoSpaceDE w:val="0"/>
        <w:autoSpaceDN w:val="0"/>
        <w:adjustRightInd w:val="0"/>
        <w:spacing w:line="360" w:lineRule="auto"/>
        <w:jc w:val="center"/>
        <w:rPr>
          <w:rFonts w:hint="eastAsia" w:ascii="仿宋" w:hAnsi="仿宋" w:eastAsia="仿宋" w:cs="仿宋"/>
          <w:b/>
          <w:bCs/>
          <w:color w:val="000000"/>
          <w:kern w:val="0"/>
          <w:sz w:val="84"/>
          <w:szCs w:val="84"/>
          <w:highlight w:val="none"/>
          <w:lang w:val="zh-CN"/>
        </w:rPr>
      </w:pPr>
    </w:p>
    <w:p w14:paraId="0BF04AF7">
      <w:pPr>
        <w:autoSpaceDE w:val="0"/>
        <w:autoSpaceDN w:val="0"/>
        <w:adjustRightInd w:val="0"/>
        <w:spacing w:line="360" w:lineRule="auto"/>
        <w:jc w:val="center"/>
        <w:rPr>
          <w:rFonts w:hint="eastAsia" w:ascii="仿宋" w:hAnsi="仿宋" w:eastAsia="仿宋" w:cs="仿宋"/>
          <w:color w:val="000000"/>
          <w:kern w:val="0"/>
          <w:sz w:val="36"/>
          <w:szCs w:val="36"/>
          <w:highlight w:val="none"/>
          <w:u w:val="dotDash"/>
        </w:rPr>
      </w:pPr>
      <w:r>
        <w:rPr>
          <w:rFonts w:hint="eastAsia" w:ascii="仿宋" w:hAnsi="仿宋" w:eastAsia="仿宋" w:cs="仿宋"/>
          <w:b/>
          <w:bCs/>
          <w:color w:val="000000"/>
          <w:kern w:val="0"/>
          <w:sz w:val="84"/>
          <w:szCs w:val="84"/>
          <w:highlight w:val="none"/>
          <w:lang w:val="zh-CN"/>
        </w:rPr>
        <w:t>竞争性磋商文件</w:t>
      </w:r>
    </w:p>
    <w:p w14:paraId="709F8E0C">
      <w:pPr>
        <w:autoSpaceDE w:val="0"/>
        <w:autoSpaceDN w:val="0"/>
        <w:adjustRightInd w:val="0"/>
        <w:spacing w:line="360" w:lineRule="auto"/>
        <w:jc w:val="left"/>
        <w:rPr>
          <w:rFonts w:hint="eastAsia" w:ascii="仿宋" w:hAnsi="仿宋" w:eastAsia="仿宋" w:cs="仿宋"/>
          <w:color w:val="000000"/>
          <w:kern w:val="0"/>
          <w:sz w:val="36"/>
          <w:szCs w:val="36"/>
          <w:highlight w:val="none"/>
          <w:u w:val="dotDash"/>
        </w:rPr>
      </w:pPr>
    </w:p>
    <w:p w14:paraId="256CAE3E">
      <w:pPr>
        <w:pStyle w:val="30"/>
        <w:ind w:left="480" w:firstLine="720"/>
        <w:rPr>
          <w:rFonts w:hint="eastAsia" w:ascii="仿宋" w:hAnsi="仿宋" w:eastAsia="仿宋" w:cs="仿宋"/>
          <w:color w:val="000000"/>
          <w:kern w:val="0"/>
          <w:sz w:val="36"/>
          <w:szCs w:val="36"/>
          <w:highlight w:val="none"/>
          <w:u w:val="dotDash"/>
        </w:rPr>
      </w:pPr>
    </w:p>
    <w:p w14:paraId="7C309EF6">
      <w:pPr>
        <w:pStyle w:val="30"/>
        <w:ind w:left="0" w:leftChars="0" w:firstLine="0" w:firstLineChars="0"/>
        <w:rPr>
          <w:rFonts w:hint="eastAsia" w:ascii="仿宋" w:hAnsi="仿宋" w:eastAsia="仿宋" w:cs="仿宋"/>
          <w:color w:val="000000"/>
          <w:kern w:val="0"/>
          <w:sz w:val="36"/>
          <w:szCs w:val="36"/>
          <w:highlight w:val="none"/>
          <w:u w:val="dotDash"/>
        </w:rPr>
      </w:pPr>
    </w:p>
    <w:p w14:paraId="6803386E">
      <w:pPr>
        <w:pStyle w:val="25"/>
        <w:rPr>
          <w:rFonts w:hint="eastAsia" w:ascii="仿宋" w:hAnsi="仿宋" w:eastAsia="仿宋" w:cs="仿宋"/>
        </w:rPr>
      </w:pPr>
    </w:p>
    <w:p w14:paraId="172BC998">
      <w:pPr>
        <w:pStyle w:val="26"/>
        <w:rPr>
          <w:rFonts w:hint="eastAsia" w:ascii="仿宋" w:hAnsi="仿宋" w:eastAsia="仿宋" w:cs="仿宋"/>
        </w:rPr>
      </w:pPr>
    </w:p>
    <w:p w14:paraId="30B30EF9">
      <w:pPr>
        <w:rPr>
          <w:rFonts w:hint="eastAsia" w:ascii="仿宋" w:hAnsi="仿宋" w:eastAsia="仿宋" w:cs="仿宋"/>
        </w:rPr>
      </w:pPr>
    </w:p>
    <w:p w14:paraId="5792D18B">
      <w:pPr>
        <w:rPr>
          <w:rFonts w:hint="eastAsia" w:ascii="仿宋" w:hAnsi="仿宋" w:eastAsia="仿宋" w:cs="仿宋"/>
        </w:rPr>
      </w:pPr>
    </w:p>
    <w:p w14:paraId="3FFA59CA">
      <w:pPr>
        <w:rPr>
          <w:rFonts w:hint="eastAsia" w:ascii="仿宋" w:hAnsi="仿宋" w:eastAsia="仿宋" w:cs="仿宋"/>
        </w:rPr>
      </w:pPr>
    </w:p>
    <w:p w14:paraId="0740246E">
      <w:pPr>
        <w:pStyle w:val="30"/>
        <w:ind w:left="480" w:firstLine="720"/>
        <w:rPr>
          <w:rFonts w:hint="eastAsia" w:ascii="仿宋" w:hAnsi="仿宋" w:eastAsia="仿宋" w:cs="仿宋"/>
          <w:color w:val="000000"/>
          <w:kern w:val="0"/>
          <w:sz w:val="36"/>
          <w:szCs w:val="36"/>
          <w:highlight w:val="none"/>
          <w:u w:val="dotDash"/>
        </w:rPr>
      </w:pPr>
    </w:p>
    <w:p w14:paraId="2CD63F41">
      <w:pPr>
        <w:autoSpaceDE w:val="0"/>
        <w:autoSpaceDN w:val="0"/>
        <w:adjustRightInd w:val="0"/>
        <w:spacing w:line="360" w:lineRule="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zh-CN"/>
        </w:rPr>
        <w:t>采购项目编号：</w:t>
      </w:r>
      <w:r>
        <w:rPr>
          <w:rFonts w:hint="eastAsia" w:ascii="仿宋" w:hAnsi="仿宋" w:eastAsia="仿宋" w:cs="仿宋"/>
          <w:b/>
          <w:bCs/>
          <w:color w:val="000000"/>
          <w:kern w:val="0"/>
          <w:sz w:val="32"/>
          <w:szCs w:val="32"/>
          <w:highlight w:val="none"/>
          <w:lang w:val="en-US" w:eastAsia="zh-CN"/>
        </w:rPr>
        <w:t>青海科越竞磋（服务）2025-018</w:t>
      </w:r>
    </w:p>
    <w:p w14:paraId="4155884E">
      <w:pPr>
        <w:autoSpaceDE w:val="0"/>
        <w:autoSpaceDN w:val="0"/>
        <w:adjustRightInd w:val="0"/>
        <w:spacing w:line="360" w:lineRule="auto"/>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000000"/>
          <w:kern w:val="0"/>
          <w:sz w:val="32"/>
          <w:szCs w:val="32"/>
          <w:highlight w:val="none"/>
          <w:lang w:val="zh-CN"/>
        </w:rPr>
        <w:t>采购项目名称：</w:t>
      </w:r>
      <w:r>
        <w:rPr>
          <w:rFonts w:hint="eastAsia" w:ascii="仿宋" w:hAnsi="仿宋" w:eastAsia="仿宋" w:cs="仿宋"/>
          <w:b/>
          <w:bCs/>
          <w:color w:val="auto"/>
          <w:kern w:val="0"/>
          <w:sz w:val="32"/>
          <w:szCs w:val="32"/>
          <w:highlight w:val="none"/>
          <w:lang w:val="en-US" w:eastAsia="zh-CN"/>
        </w:rPr>
        <w:t>西宁市湟中区云谷川流域主河道及其东河、马圈沟等5条主要排涝通道能力提升建设项目(监理）</w:t>
      </w:r>
    </w:p>
    <w:p w14:paraId="347B71E9">
      <w:pPr>
        <w:autoSpaceDE w:val="0"/>
        <w:autoSpaceDN w:val="0"/>
        <w:adjustRightInd w:val="0"/>
        <w:spacing w:line="360" w:lineRule="auto"/>
        <w:rPr>
          <w:rFonts w:hint="eastAsia" w:ascii="仿宋" w:hAnsi="仿宋" w:eastAsia="仿宋" w:cs="仿宋"/>
          <w:b/>
          <w:bCs/>
          <w:color w:val="000000"/>
          <w:kern w:val="0"/>
          <w:sz w:val="32"/>
          <w:szCs w:val="32"/>
          <w:highlight w:val="none"/>
          <w:lang w:val="zh-CN"/>
        </w:rPr>
      </w:pPr>
      <w:r>
        <w:rPr>
          <w:rFonts w:hint="eastAsia" w:ascii="仿宋" w:hAnsi="仿宋" w:eastAsia="仿宋" w:cs="仿宋"/>
          <w:b/>
          <w:bCs/>
          <w:color w:val="000000"/>
          <w:kern w:val="0"/>
          <w:sz w:val="32"/>
          <w:szCs w:val="32"/>
          <w:highlight w:val="none"/>
          <w:lang w:val="zh-CN"/>
        </w:rPr>
        <w:t>采购人：</w:t>
      </w:r>
      <w:r>
        <w:rPr>
          <w:rFonts w:hint="eastAsia" w:ascii="仿宋" w:hAnsi="仿宋" w:eastAsia="仿宋" w:cs="仿宋"/>
          <w:b/>
          <w:bCs/>
          <w:color w:val="000000"/>
          <w:kern w:val="0"/>
          <w:sz w:val="32"/>
          <w:szCs w:val="32"/>
          <w:highlight w:val="none"/>
          <w:lang w:val="en-US" w:eastAsia="zh-CN"/>
        </w:rPr>
        <w:t>西宁市湟中区水利局（本级）</w:t>
      </w:r>
    </w:p>
    <w:p w14:paraId="19FF851F">
      <w:pPr>
        <w:autoSpaceDE w:val="0"/>
        <w:autoSpaceDN w:val="0"/>
        <w:adjustRightInd w:val="0"/>
        <w:spacing w:line="360" w:lineRule="auto"/>
        <w:rPr>
          <w:rFonts w:hint="eastAsia" w:ascii="仿宋" w:hAnsi="仿宋" w:eastAsia="仿宋" w:cs="仿宋"/>
          <w:b/>
          <w:bCs/>
          <w:color w:val="000000"/>
          <w:kern w:val="0"/>
          <w:sz w:val="32"/>
          <w:szCs w:val="32"/>
          <w:highlight w:val="none"/>
          <w:lang w:val="zh-CN"/>
        </w:rPr>
      </w:pPr>
      <w:r>
        <w:rPr>
          <w:rFonts w:hint="eastAsia" w:ascii="仿宋" w:hAnsi="仿宋" w:eastAsia="仿宋" w:cs="仿宋"/>
          <w:b/>
          <w:bCs/>
          <w:color w:val="000000"/>
          <w:kern w:val="0"/>
          <w:sz w:val="32"/>
          <w:szCs w:val="32"/>
          <w:highlight w:val="none"/>
          <w:lang w:val="zh-CN"/>
        </w:rPr>
        <w:t>采购代理机构：青海科越全过程工程管理有限责任公司</w:t>
      </w:r>
    </w:p>
    <w:p w14:paraId="156799CF">
      <w:pPr>
        <w:autoSpaceDE w:val="0"/>
        <w:autoSpaceDN w:val="0"/>
        <w:adjustRightInd w:val="0"/>
        <w:spacing w:line="360" w:lineRule="auto"/>
        <w:jc w:val="center"/>
        <w:rPr>
          <w:rFonts w:hint="eastAsia" w:ascii="仿宋" w:hAnsi="仿宋" w:eastAsia="仿宋" w:cs="仿宋"/>
          <w:b/>
          <w:bCs/>
          <w:color w:val="000000"/>
          <w:kern w:val="0"/>
          <w:sz w:val="32"/>
          <w:szCs w:val="32"/>
          <w:highlight w:val="none"/>
          <w:lang w:val="zh-CN"/>
        </w:rPr>
      </w:pPr>
    </w:p>
    <w:p w14:paraId="636B56A6">
      <w:pPr>
        <w:autoSpaceDE w:val="0"/>
        <w:autoSpaceDN w:val="0"/>
        <w:adjustRightInd w:val="0"/>
        <w:spacing w:line="360" w:lineRule="auto"/>
        <w:jc w:val="center"/>
        <w:rPr>
          <w:rFonts w:hint="eastAsia" w:ascii="仿宋" w:hAnsi="仿宋" w:eastAsia="仿宋" w:cs="仿宋"/>
          <w:b/>
          <w:bCs/>
          <w:color w:val="000000"/>
          <w:kern w:val="0"/>
          <w:sz w:val="36"/>
          <w:szCs w:val="36"/>
          <w:highlight w:val="none"/>
          <w:lang w:val="zh-CN"/>
        </w:rPr>
      </w:pPr>
      <w:r>
        <w:rPr>
          <w:rFonts w:hint="eastAsia" w:ascii="仿宋" w:hAnsi="仿宋" w:eastAsia="仿宋" w:cs="仿宋"/>
          <w:b/>
          <w:bCs/>
          <w:color w:val="000000"/>
          <w:kern w:val="0"/>
          <w:sz w:val="36"/>
          <w:szCs w:val="36"/>
          <w:highlight w:val="none"/>
          <w:lang w:val="zh-CN"/>
        </w:rPr>
        <w:t>20</w:t>
      </w:r>
      <w:r>
        <w:rPr>
          <w:rFonts w:hint="eastAsia" w:ascii="仿宋" w:hAnsi="仿宋" w:eastAsia="仿宋" w:cs="仿宋"/>
          <w:b/>
          <w:bCs/>
          <w:color w:val="000000"/>
          <w:kern w:val="0"/>
          <w:sz w:val="36"/>
          <w:szCs w:val="36"/>
          <w:highlight w:val="none"/>
        </w:rPr>
        <w:t>2</w:t>
      </w:r>
      <w:r>
        <w:rPr>
          <w:rFonts w:hint="eastAsia" w:ascii="仿宋" w:hAnsi="仿宋" w:eastAsia="仿宋" w:cs="仿宋"/>
          <w:b/>
          <w:bCs/>
          <w:color w:val="000000"/>
          <w:kern w:val="0"/>
          <w:sz w:val="36"/>
          <w:szCs w:val="36"/>
          <w:highlight w:val="none"/>
          <w:lang w:val="en-US" w:eastAsia="zh-CN"/>
        </w:rPr>
        <w:t>5</w:t>
      </w:r>
      <w:r>
        <w:rPr>
          <w:rFonts w:hint="eastAsia" w:ascii="仿宋" w:hAnsi="仿宋" w:eastAsia="仿宋" w:cs="仿宋"/>
          <w:b/>
          <w:bCs/>
          <w:color w:val="000000"/>
          <w:kern w:val="0"/>
          <w:sz w:val="36"/>
          <w:szCs w:val="36"/>
          <w:highlight w:val="none"/>
          <w:lang w:val="zh-CN"/>
        </w:rPr>
        <w:t>年</w:t>
      </w:r>
      <w:r>
        <w:rPr>
          <w:rFonts w:hint="eastAsia" w:ascii="仿宋" w:hAnsi="仿宋" w:eastAsia="仿宋" w:cs="仿宋"/>
          <w:b/>
          <w:bCs/>
          <w:color w:val="000000"/>
          <w:kern w:val="0"/>
          <w:sz w:val="36"/>
          <w:szCs w:val="36"/>
          <w:highlight w:val="none"/>
          <w:lang w:val="en-US" w:eastAsia="zh-CN"/>
        </w:rPr>
        <w:t>07</w:t>
      </w:r>
      <w:r>
        <w:rPr>
          <w:rFonts w:hint="eastAsia" w:ascii="仿宋" w:hAnsi="仿宋" w:eastAsia="仿宋" w:cs="仿宋"/>
          <w:b/>
          <w:bCs/>
          <w:color w:val="000000"/>
          <w:kern w:val="0"/>
          <w:sz w:val="36"/>
          <w:szCs w:val="36"/>
          <w:highlight w:val="none"/>
          <w:lang w:val="zh-CN"/>
        </w:rPr>
        <w:t>月</w:t>
      </w:r>
    </w:p>
    <w:p w14:paraId="7AC42A76">
      <w:pPr>
        <w:tabs>
          <w:tab w:val="left" w:pos="1952"/>
        </w:tabs>
        <w:bidi w:val="0"/>
        <w:jc w:val="left"/>
        <w:rPr>
          <w:rFonts w:hint="eastAsia" w:ascii="仿宋" w:hAnsi="仿宋" w:eastAsia="仿宋" w:cs="仿宋"/>
          <w:color w:val="000000"/>
          <w:highlight w:val="none"/>
          <w:lang w:val="en-US" w:eastAsia="zh-CN"/>
        </w:rPr>
        <w:sectPr>
          <w:headerReference r:id="rId3" w:type="default"/>
          <w:pgSz w:w="11905" w:h="16838"/>
          <w:pgMar w:top="1440" w:right="1803" w:bottom="1440" w:left="1803" w:header="851" w:footer="992" w:gutter="0"/>
          <w:pgNumType w:fmt="decimal" w:start="1"/>
          <w:cols w:space="720" w:num="1"/>
          <w:docGrid w:linePitch="397" w:charSpace="0"/>
        </w:sectPr>
      </w:pPr>
    </w:p>
    <w:p w14:paraId="4472B910">
      <w:pPr>
        <w:adjustRightInd w:val="0"/>
        <w:spacing w:line="360" w:lineRule="auto"/>
        <w:jc w:val="center"/>
        <w:textAlignment w:val="baseline"/>
        <w:rPr>
          <w:rFonts w:hint="eastAsia" w:ascii="仿宋" w:hAnsi="仿宋" w:eastAsia="仿宋" w:cs="仿宋"/>
          <w:b/>
          <w:color w:val="000000"/>
          <w:sz w:val="40"/>
          <w:szCs w:val="30"/>
          <w:highlight w:val="none"/>
        </w:rPr>
      </w:pPr>
      <w:r>
        <w:rPr>
          <w:rFonts w:hint="eastAsia" w:ascii="仿宋" w:hAnsi="仿宋" w:eastAsia="仿宋" w:cs="仿宋"/>
          <w:b/>
          <w:color w:val="000000"/>
          <w:sz w:val="40"/>
          <w:szCs w:val="30"/>
          <w:highlight w:val="none"/>
        </w:rPr>
        <w:t>目  录</w:t>
      </w:r>
    </w:p>
    <w:p w14:paraId="3E891688">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TOC \o "1-2" \f \h \u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_Toc8884 </w:instrText>
      </w:r>
      <w:r>
        <w:rPr>
          <w:rFonts w:hint="eastAsia" w:ascii="仿宋" w:hAnsi="仿宋" w:eastAsia="仿宋" w:cs="仿宋"/>
          <w:color w:val="000000"/>
          <w:szCs w:val="24"/>
          <w:highlight w:val="none"/>
        </w:rPr>
        <w:fldChar w:fldCharType="separate"/>
      </w:r>
      <w:r>
        <w:rPr>
          <w:rFonts w:hint="eastAsia" w:ascii="仿宋" w:hAnsi="仿宋" w:eastAsia="仿宋" w:cs="仿宋"/>
          <w:bCs/>
          <w:color w:val="000000"/>
          <w:szCs w:val="32"/>
          <w:highlight w:val="none"/>
          <w:lang w:val="zh-CN"/>
        </w:rPr>
        <w:t xml:space="preserve">第一部分  </w:t>
      </w:r>
      <w:r>
        <w:rPr>
          <w:rFonts w:hint="eastAsia" w:ascii="仿宋" w:hAnsi="仿宋" w:eastAsia="仿宋" w:cs="仿宋"/>
          <w:bCs/>
          <w:color w:val="000000"/>
          <w:szCs w:val="32"/>
          <w:highlight w:val="none"/>
          <w:lang w:val="en-US" w:eastAsia="zh-CN"/>
        </w:rPr>
        <w:t>磋商</w:t>
      </w:r>
      <w:r>
        <w:rPr>
          <w:rFonts w:hint="eastAsia" w:ascii="仿宋" w:hAnsi="仿宋" w:eastAsia="仿宋" w:cs="仿宋"/>
          <w:bCs/>
          <w:color w:val="000000"/>
          <w:szCs w:val="32"/>
          <w:highlight w:val="none"/>
          <w:lang w:val="zh-CN"/>
        </w:rPr>
        <w:t>邀请</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_Toc8884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4</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0D87E4B6">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_Toc3197 </w:instrText>
      </w:r>
      <w:r>
        <w:rPr>
          <w:rFonts w:hint="eastAsia" w:ascii="仿宋" w:hAnsi="仿宋" w:eastAsia="仿宋" w:cs="仿宋"/>
          <w:color w:val="000000"/>
          <w:szCs w:val="24"/>
          <w:highlight w:val="none"/>
        </w:rPr>
        <w:fldChar w:fldCharType="separate"/>
      </w:r>
      <w:r>
        <w:rPr>
          <w:rFonts w:hint="eastAsia" w:ascii="仿宋" w:hAnsi="仿宋" w:eastAsia="仿宋" w:cs="仿宋"/>
          <w:bCs w:val="0"/>
          <w:color w:val="000000"/>
          <w:szCs w:val="24"/>
          <w:highlight w:val="none"/>
        </w:rPr>
        <w:t>一、项目基本情况</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_Toc3197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4</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660F3AAD">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_Toc8213 </w:instrText>
      </w:r>
      <w:r>
        <w:rPr>
          <w:rFonts w:hint="eastAsia" w:ascii="仿宋" w:hAnsi="仿宋" w:eastAsia="仿宋" w:cs="仿宋"/>
          <w:color w:val="000000"/>
          <w:szCs w:val="24"/>
          <w:highlight w:val="none"/>
        </w:rPr>
        <w:fldChar w:fldCharType="separate"/>
      </w:r>
      <w:r>
        <w:rPr>
          <w:rFonts w:hint="eastAsia" w:ascii="仿宋" w:hAnsi="仿宋" w:eastAsia="仿宋" w:cs="仿宋"/>
          <w:bCs w:val="0"/>
          <w:color w:val="000000"/>
          <w:szCs w:val="24"/>
          <w:highlight w:val="none"/>
        </w:rPr>
        <w:t>二、申请人的资格要求</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_Toc8213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4</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4DB2FD04">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_Toc8213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szCs w:val="24"/>
          <w:highlight w:val="none"/>
          <w:lang w:val="en-US" w:eastAsia="zh-CN"/>
        </w:rPr>
        <w:t>三</w:t>
      </w:r>
      <w:r>
        <w:rPr>
          <w:rFonts w:hint="eastAsia" w:ascii="仿宋" w:hAnsi="仿宋" w:eastAsia="仿宋" w:cs="仿宋"/>
          <w:bCs w:val="0"/>
          <w:color w:val="000000"/>
          <w:szCs w:val="24"/>
          <w:highlight w:val="none"/>
        </w:rPr>
        <w:t>、</w:t>
      </w:r>
      <w:r>
        <w:rPr>
          <w:rFonts w:hint="eastAsia" w:ascii="仿宋" w:hAnsi="仿宋" w:eastAsia="仿宋" w:cs="仿宋"/>
          <w:bCs w:val="0"/>
          <w:color w:val="000000"/>
          <w:szCs w:val="24"/>
          <w:highlight w:val="none"/>
          <w:lang w:val="en-US" w:eastAsia="zh-CN"/>
        </w:rPr>
        <w:t>获取竞争性磋商文件</w:t>
      </w:r>
      <w:r>
        <w:rPr>
          <w:rFonts w:hint="eastAsia" w:ascii="仿宋" w:hAnsi="仿宋" w:eastAsia="仿宋" w:cs="仿宋"/>
          <w:color w:val="000000"/>
          <w:highlight w:val="none"/>
        </w:rPr>
        <w:tab/>
      </w:r>
      <w:r>
        <w:rPr>
          <w:rFonts w:hint="eastAsia" w:ascii="仿宋" w:hAnsi="仿宋" w:eastAsia="仿宋" w:cs="仿宋"/>
          <w:color w:val="000000"/>
          <w:highlight w:val="none"/>
          <w:lang w:val="en-US" w:eastAsia="zh-CN"/>
        </w:rPr>
        <w:t>5</w:t>
      </w:r>
      <w:r>
        <w:rPr>
          <w:rFonts w:hint="eastAsia" w:ascii="仿宋" w:hAnsi="仿宋" w:eastAsia="仿宋" w:cs="仿宋"/>
          <w:color w:val="000000"/>
          <w:szCs w:val="24"/>
          <w:highlight w:val="none"/>
        </w:rPr>
        <w:fldChar w:fldCharType="end"/>
      </w:r>
    </w:p>
    <w:p w14:paraId="0F3F3FCC">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_Toc2918 </w:instrText>
      </w:r>
      <w:r>
        <w:rPr>
          <w:rFonts w:hint="eastAsia" w:ascii="仿宋" w:hAnsi="仿宋" w:eastAsia="仿宋" w:cs="仿宋"/>
          <w:color w:val="000000"/>
          <w:szCs w:val="24"/>
          <w:highlight w:val="none"/>
        </w:rPr>
        <w:fldChar w:fldCharType="separate"/>
      </w:r>
      <w:r>
        <w:rPr>
          <w:rFonts w:hint="eastAsia" w:ascii="仿宋" w:hAnsi="仿宋" w:eastAsia="仿宋" w:cs="仿宋"/>
          <w:bCs w:val="0"/>
          <w:color w:val="000000"/>
          <w:szCs w:val="24"/>
          <w:highlight w:val="none"/>
        </w:rPr>
        <w:t>四、</w:t>
      </w:r>
      <w:r>
        <w:rPr>
          <w:rFonts w:hint="eastAsia" w:ascii="仿宋" w:hAnsi="仿宋" w:eastAsia="仿宋" w:cs="仿宋"/>
          <w:bCs w:val="0"/>
          <w:color w:val="000000"/>
          <w:kern w:val="2"/>
          <w:szCs w:val="24"/>
          <w:highlight w:val="none"/>
          <w:lang w:val="en-US" w:eastAsia="zh-CN" w:bidi="ar-SA"/>
        </w:rPr>
        <w:t>提</w:t>
      </w:r>
      <w:r>
        <w:rPr>
          <w:rFonts w:hint="eastAsia" w:ascii="仿宋" w:hAnsi="仿宋" w:eastAsia="仿宋" w:cs="仿宋"/>
          <w:bCs/>
          <w:color w:val="000000"/>
          <w:kern w:val="2"/>
          <w:szCs w:val="24"/>
          <w:highlight w:val="none"/>
          <w:lang w:val="en-US" w:eastAsia="zh-CN" w:bidi="ar-SA"/>
        </w:rPr>
        <w:t>交磋商响应文件截止时间、开标时间和地点</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_Toc2918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5</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1D48A898">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ind w:left="0" w:leftChars="0" w:firstLine="280" w:firstLineChars="100"/>
        <w:textAlignment w:val="auto"/>
        <w:rPr>
          <w:rFonts w:hint="eastAsia" w:ascii="仿宋" w:hAnsi="仿宋" w:eastAsia="仿宋" w:cs="仿宋"/>
          <w:b w:val="0"/>
          <w:bCs/>
          <w:color w:val="000000"/>
          <w:szCs w:val="24"/>
          <w:highlight w:val="none"/>
        </w:rPr>
      </w:pPr>
      <w:r>
        <w:rPr>
          <w:rFonts w:hint="eastAsia" w:ascii="仿宋" w:hAnsi="仿宋" w:eastAsia="仿宋" w:cs="仿宋"/>
          <w:b w:val="0"/>
          <w:bCs/>
          <w:color w:val="000000"/>
          <w:szCs w:val="24"/>
          <w:highlight w:val="none"/>
        </w:rPr>
        <w:fldChar w:fldCharType="begin"/>
      </w:r>
      <w:r>
        <w:rPr>
          <w:rFonts w:hint="eastAsia" w:ascii="仿宋" w:hAnsi="仿宋" w:eastAsia="仿宋" w:cs="仿宋"/>
          <w:b w:val="0"/>
          <w:bCs/>
          <w:color w:val="000000"/>
          <w:szCs w:val="24"/>
          <w:highlight w:val="none"/>
        </w:rPr>
        <w:instrText xml:space="preserve"> HYPERLINK \l _Toc19537 </w:instrText>
      </w:r>
      <w:r>
        <w:rPr>
          <w:rFonts w:hint="eastAsia" w:ascii="仿宋" w:hAnsi="仿宋" w:eastAsia="仿宋" w:cs="仿宋"/>
          <w:b w:val="0"/>
          <w:bCs/>
          <w:color w:val="000000"/>
          <w:szCs w:val="24"/>
          <w:highlight w:val="none"/>
        </w:rPr>
        <w:fldChar w:fldCharType="separate"/>
      </w:r>
      <w:r>
        <w:rPr>
          <w:rFonts w:hint="eastAsia" w:ascii="仿宋" w:hAnsi="仿宋" w:eastAsia="仿宋" w:cs="仿宋"/>
          <w:b w:val="0"/>
          <w:bCs/>
          <w:caps w:val="0"/>
          <w:color w:val="000000"/>
          <w:kern w:val="2"/>
          <w:sz w:val="28"/>
          <w:szCs w:val="24"/>
          <w:highlight w:val="none"/>
          <w:lang w:val="en-US" w:eastAsia="zh-CN" w:bidi="ar-SA"/>
        </w:rPr>
        <w:t>五、公告期限</w:t>
      </w:r>
      <w:r>
        <w:rPr>
          <w:rFonts w:hint="eastAsia" w:ascii="仿宋" w:hAnsi="仿宋" w:eastAsia="仿宋" w:cs="仿宋"/>
          <w:b w:val="0"/>
          <w:bCs/>
          <w:color w:val="000000"/>
          <w:highlight w:val="none"/>
        </w:rPr>
        <w:tab/>
      </w:r>
      <w:r>
        <w:rPr>
          <w:rFonts w:hint="eastAsia" w:ascii="仿宋" w:hAnsi="仿宋" w:eastAsia="仿宋" w:cs="仿宋"/>
          <w:b w:val="0"/>
          <w:bCs/>
          <w:color w:val="000000"/>
          <w:highlight w:val="none"/>
        </w:rPr>
        <w:fldChar w:fldCharType="begin"/>
      </w:r>
      <w:r>
        <w:rPr>
          <w:rFonts w:hint="eastAsia" w:ascii="仿宋" w:hAnsi="仿宋" w:eastAsia="仿宋" w:cs="仿宋"/>
          <w:b w:val="0"/>
          <w:bCs/>
          <w:color w:val="000000"/>
          <w:highlight w:val="none"/>
        </w:rPr>
        <w:instrText xml:space="preserve"> PAGEREF _Toc19537 \h </w:instrText>
      </w:r>
      <w:r>
        <w:rPr>
          <w:rFonts w:hint="eastAsia" w:ascii="仿宋" w:hAnsi="仿宋" w:eastAsia="仿宋" w:cs="仿宋"/>
          <w:b w:val="0"/>
          <w:bCs/>
          <w:color w:val="000000"/>
          <w:highlight w:val="none"/>
        </w:rPr>
        <w:fldChar w:fldCharType="separate"/>
      </w:r>
      <w:r>
        <w:rPr>
          <w:rFonts w:hint="eastAsia" w:ascii="仿宋" w:hAnsi="仿宋" w:eastAsia="仿宋" w:cs="仿宋"/>
          <w:b w:val="0"/>
          <w:bCs/>
          <w:color w:val="000000"/>
          <w:highlight w:val="none"/>
        </w:rPr>
        <w:t>6</w:t>
      </w:r>
      <w:r>
        <w:rPr>
          <w:rFonts w:hint="eastAsia" w:ascii="仿宋" w:hAnsi="仿宋" w:eastAsia="仿宋" w:cs="仿宋"/>
          <w:b w:val="0"/>
          <w:bCs/>
          <w:color w:val="000000"/>
          <w:highlight w:val="none"/>
        </w:rPr>
        <w:fldChar w:fldCharType="end"/>
      </w:r>
      <w:r>
        <w:rPr>
          <w:rFonts w:hint="eastAsia" w:ascii="仿宋" w:hAnsi="仿宋" w:eastAsia="仿宋" w:cs="仿宋"/>
          <w:b w:val="0"/>
          <w:bCs/>
          <w:color w:val="000000"/>
          <w:szCs w:val="24"/>
          <w:highlight w:val="none"/>
        </w:rPr>
        <w:fldChar w:fldCharType="end"/>
      </w:r>
    </w:p>
    <w:p w14:paraId="7777EDBF">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ind w:left="0" w:leftChars="0" w:firstLine="280" w:firstLineChars="100"/>
        <w:textAlignment w:val="auto"/>
        <w:rPr>
          <w:rFonts w:hint="eastAsia" w:ascii="仿宋" w:hAnsi="仿宋" w:eastAsia="仿宋" w:cs="仿宋"/>
          <w:b w:val="0"/>
          <w:bCs/>
          <w:color w:val="000000"/>
          <w:szCs w:val="24"/>
          <w:highlight w:val="none"/>
        </w:rPr>
      </w:pPr>
      <w:r>
        <w:rPr>
          <w:rFonts w:hint="eastAsia" w:ascii="仿宋" w:hAnsi="仿宋" w:eastAsia="仿宋" w:cs="仿宋"/>
          <w:b w:val="0"/>
          <w:bCs/>
          <w:color w:val="000000"/>
          <w:szCs w:val="24"/>
          <w:highlight w:val="none"/>
        </w:rPr>
        <w:fldChar w:fldCharType="begin"/>
      </w:r>
      <w:r>
        <w:rPr>
          <w:rFonts w:hint="eastAsia" w:ascii="仿宋" w:hAnsi="仿宋" w:eastAsia="仿宋" w:cs="仿宋"/>
          <w:b w:val="0"/>
          <w:bCs/>
          <w:color w:val="000000"/>
          <w:szCs w:val="24"/>
          <w:highlight w:val="none"/>
        </w:rPr>
        <w:instrText xml:space="preserve"> HYPERLINK \l _Toc19537 </w:instrText>
      </w:r>
      <w:r>
        <w:rPr>
          <w:rFonts w:hint="eastAsia" w:ascii="仿宋" w:hAnsi="仿宋" w:eastAsia="仿宋" w:cs="仿宋"/>
          <w:b w:val="0"/>
          <w:bCs/>
          <w:color w:val="000000"/>
          <w:szCs w:val="24"/>
          <w:highlight w:val="none"/>
        </w:rPr>
        <w:fldChar w:fldCharType="separate"/>
      </w:r>
      <w:r>
        <w:rPr>
          <w:rFonts w:hint="eastAsia" w:ascii="仿宋" w:hAnsi="仿宋" w:eastAsia="仿宋" w:cs="仿宋"/>
          <w:b w:val="0"/>
          <w:bCs/>
          <w:color w:val="000000"/>
          <w:szCs w:val="24"/>
          <w:highlight w:val="none"/>
          <w:lang w:val="en-US" w:eastAsia="zh-CN"/>
        </w:rPr>
        <w:t>六</w:t>
      </w:r>
      <w:r>
        <w:rPr>
          <w:rFonts w:hint="eastAsia" w:ascii="仿宋" w:hAnsi="仿宋" w:eastAsia="仿宋" w:cs="仿宋"/>
          <w:b w:val="0"/>
          <w:bCs/>
          <w:caps w:val="0"/>
          <w:color w:val="000000"/>
          <w:kern w:val="2"/>
          <w:sz w:val="28"/>
          <w:szCs w:val="24"/>
          <w:highlight w:val="none"/>
          <w:lang w:val="en-US" w:eastAsia="zh-CN" w:bidi="ar-SA"/>
        </w:rPr>
        <w:t>、其他补充事宜</w:t>
      </w:r>
      <w:r>
        <w:rPr>
          <w:rFonts w:hint="eastAsia" w:ascii="仿宋" w:hAnsi="仿宋" w:eastAsia="仿宋" w:cs="仿宋"/>
          <w:b w:val="0"/>
          <w:bCs/>
          <w:color w:val="000000"/>
          <w:highlight w:val="none"/>
        </w:rPr>
        <w:tab/>
      </w:r>
      <w:r>
        <w:rPr>
          <w:rFonts w:hint="eastAsia" w:ascii="仿宋" w:hAnsi="仿宋" w:eastAsia="仿宋" w:cs="仿宋"/>
          <w:b w:val="0"/>
          <w:bCs/>
          <w:color w:val="000000"/>
          <w:highlight w:val="none"/>
        </w:rPr>
        <w:fldChar w:fldCharType="begin"/>
      </w:r>
      <w:r>
        <w:rPr>
          <w:rFonts w:hint="eastAsia" w:ascii="仿宋" w:hAnsi="仿宋" w:eastAsia="仿宋" w:cs="仿宋"/>
          <w:b w:val="0"/>
          <w:bCs/>
          <w:color w:val="000000"/>
          <w:highlight w:val="none"/>
        </w:rPr>
        <w:instrText xml:space="preserve"> PAGEREF _Toc19537 \h </w:instrText>
      </w:r>
      <w:r>
        <w:rPr>
          <w:rFonts w:hint="eastAsia" w:ascii="仿宋" w:hAnsi="仿宋" w:eastAsia="仿宋" w:cs="仿宋"/>
          <w:b w:val="0"/>
          <w:bCs/>
          <w:color w:val="000000"/>
          <w:highlight w:val="none"/>
        </w:rPr>
        <w:fldChar w:fldCharType="separate"/>
      </w:r>
      <w:r>
        <w:rPr>
          <w:rFonts w:hint="eastAsia" w:ascii="仿宋" w:hAnsi="仿宋" w:eastAsia="仿宋" w:cs="仿宋"/>
          <w:b w:val="0"/>
          <w:bCs/>
          <w:color w:val="000000"/>
          <w:highlight w:val="none"/>
        </w:rPr>
        <w:t>6</w:t>
      </w:r>
      <w:r>
        <w:rPr>
          <w:rFonts w:hint="eastAsia" w:ascii="仿宋" w:hAnsi="仿宋" w:eastAsia="仿宋" w:cs="仿宋"/>
          <w:b w:val="0"/>
          <w:bCs/>
          <w:color w:val="000000"/>
          <w:highlight w:val="none"/>
        </w:rPr>
        <w:fldChar w:fldCharType="end"/>
      </w:r>
      <w:r>
        <w:rPr>
          <w:rFonts w:hint="eastAsia" w:ascii="仿宋" w:hAnsi="仿宋" w:eastAsia="仿宋" w:cs="仿宋"/>
          <w:b w:val="0"/>
          <w:bCs/>
          <w:color w:val="000000"/>
          <w:szCs w:val="24"/>
          <w:highlight w:val="none"/>
        </w:rPr>
        <w:fldChar w:fldCharType="end"/>
      </w:r>
    </w:p>
    <w:p w14:paraId="10DDC6C4">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ind w:left="0" w:leftChars="0" w:firstLine="280" w:firstLineChars="100"/>
        <w:textAlignment w:val="auto"/>
        <w:rPr>
          <w:rFonts w:hint="eastAsia" w:eastAsia="仿宋"/>
          <w:lang w:val="en-US" w:eastAsia="zh-CN"/>
        </w:rPr>
      </w:pPr>
      <w:r>
        <w:rPr>
          <w:rFonts w:hint="eastAsia" w:ascii="仿宋" w:hAnsi="仿宋" w:eastAsia="仿宋" w:cs="仿宋"/>
          <w:b w:val="0"/>
          <w:bCs/>
          <w:color w:val="000000"/>
          <w:szCs w:val="24"/>
          <w:highlight w:val="none"/>
        </w:rPr>
        <w:fldChar w:fldCharType="begin"/>
      </w:r>
      <w:r>
        <w:rPr>
          <w:rFonts w:hint="eastAsia" w:ascii="仿宋" w:hAnsi="仿宋" w:eastAsia="仿宋" w:cs="仿宋"/>
          <w:b w:val="0"/>
          <w:bCs/>
          <w:color w:val="000000"/>
          <w:szCs w:val="24"/>
          <w:highlight w:val="none"/>
        </w:rPr>
        <w:instrText xml:space="preserve"> HYPERLINK \l _Toc19537 </w:instrText>
      </w:r>
      <w:r>
        <w:rPr>
          <w:rFonts w:hint="eastAsia" w:ascii="仿宋" w:hAnsi="仿宋" w:eastAsia="仿宋" w:cs="仿宋"/>
          <w:b w:val="0"/>
          <w:bCs/>
          <w:color w:val="000000"/>
          <w:szCs w:val="24"/>
          <w:highlight w:val="none"/>
        </w:rPr>
        <w:fldChar w:fldCharType="separate"/>
      </w:r>
      <w:r>
        <w:rPr>
          <w:rFonts w:hint="eastAsia" w:ascii="仿宋" w:hAnsi="仿宋" w:eastAsia="仿宋" w:cs="仿宋"/>
          <w:b w:val="0"/>
          <w:bCs/>
          <w:color w:val="000000"/>
          <w:szCs w:val="24"/>
          <w:highlight w:val="none"/>
          <w:lang w:val="en-US" w:eastAsia="zh-CN"/>
        </w:rPr>
        <w:t>七</w:t>
      </w:r>
      <w:r>
        <w:rPr>
          <w:rFonts w:hint="eastAsia" w:ascii="仿宋" w:hAnsi="仿宋" w:eastAsia="仿宋" w:cs="仿宋"/>
          <w:b w:val="0"/>
          <w:bCs/>
          <w:caps w:val="0"/>
          <w:color w:val="000000"/>
          <w:kern w:val="2"/>
          <w:sz w:val="28"/>
          <w:szCs w:val="24"/>
          <w:highlight w:val="none"/>
          <w:lang w:val="en-US" w:eastAsia="zh-CN" w:bidi="ar-SA"/>
        </w:rPr>
        <w:t>、对本次招标提出询问，请按以下方式联系</w:t>
      </w:r>
      <w:r>
        <w:rPr>
          <w:rFonts w:hint="eastAsia" w:ascii="仿宋" w:hAnsi="仿宋" w:eastAsia="仿宋" w:cs="仿宋"/>
          <w:b w:val="0"/>
          <w:bCs/>
          <w:color w:val="000000"/>
          <w:highlight w:val="none"/>
        </w:rPr>
        <w:tab/>
      </w:r>
      <w:r>
        <w:rPr>
          <w:rFonts w:hint="eastAsia" w:ascii="仿宋" w:hAnsi="仿宋" w:eastAsia="仿宋" w:cs="仿宋"/>
          <w:b w:val="0"/>
          <w:bCs/>
          <w:color w:val="000000"/>
          <w:highlight w:val="none"/>
        </w:rPr>
        <w:fldChar w:fldCharType="begin"/>
      </w:r>
      <w:r>
        <w:rPr>
          <w:rFonts w:hint="eastAsia" w:ascii="仿宋" w:hAnsi="仿宋" w:eastAsia="仿宋" w:cs="仿宋"/>
          <w:b w:val="0"/>
          <w:bCs/>
          <w:color w:val="000000"/>
          <w:highlight w:val="none"/>
        </w:rPr>
        <w:instrText xml:space="preserve"> PAGEREF _Toc19537 \h </w:instrText>
      </w:r>
      <w:r>
        <w:rPr>
          <w:rFonts w:hint="eastAsia" w:ascii="仿宋" w:hAnsi="仿宋" w:eastAsia="仿宋" w:cs="仿宋"/>
          <w:b w:val="0"/>
          <w:bCs/>
          <w:color w:val="000000"/>
          <w:highlight w:val="none"/>
        </w:rPr>
        <w:fldChar w:fldCharType="separate"/>
      </w:r>
      <w:r>
        <w:rPr>
          <w:rFonts w:hint="eastAsia" w:ascii="仿宋" w:hAnsi="仿宋" w:eastAsia="仿宋" w:cs="仿宋"/>
          <w:b w:val="0"/>
          <w:bCs/>
          <w:color w:val="000000"/>
          <w:highlight w:val="none"/>
        </w:rPr>
        <w:t>6</w:t>
      </w:r>
      <w:r>
        <w:rPr>
          <w:rFonts w:hint="eastAsia" w:ascii="仿宋" w:hAnsi="仿宋" w:eastAsia="仿宋" w:cs="仿宋"/>
          <w:b w:val="0"/>
          <w:bCs/>
          <w:color w:val="000000"/>
          <w:highlight w:val="none"/>
        </w:rPr>
        <w:fldChar w:fldCharType="end"/>
      </w:r>
      <w:r>
        <w:rPr>
          <w:rFonts w:hint="eastAsia" w:ascii="仿宋" w:hAnsi="仿宋" w:eastAsia="仿宋" w:cs="仿宋"/>
          <w:b w:val="0"/>
          <w:bCs/>
          <w:color w:val="000000"/>
          <w:szCs w:val="24"/>
          <w:highlight w:val="none"/>
        </w:rPr>
        <w:fldChar w:fldCharType="end"/>
      </w:r>
    </w:p>
    <w:p w14:paraId="41BA6CAB">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_Toc24938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lang w:val="zh-CN"/>
        </w:rPr>
        <w:t>第二部分  供应商须知</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_Toc24938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7</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7F22769C">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_Toc14663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lang w:val="zh-CN"/>
        </w:rPr>
        <w:t>一、说明</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_Toc14663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7</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6E5FADF3">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_Toc20517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lang w:val="zh-CN"/>
        </w:rPr>
        <w:t>二、磋商文件说明</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_Toc20517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7</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11A1F298">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_Toc17493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lang w:val="zh-CN"/>
        </w:rPr>
        <w:t>三、磋商响应文件的编制</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_Toc17493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8</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0C8902B4">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_Toc16599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lang w:val="zh-CN"/>
        </w:rPr>
        <w:t>四、磋商响应文件的构成</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_Toc16599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10</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426E7688">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_Toc30156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lang w:val="zh-CN"/>
        </w:rPr>
        <w:t>五、磋商响应文件的提交</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_Toc30156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11</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2ED3DA4A">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_Toc30317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rPr>
        <w:t>六、磋商过程</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_Toc30317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11</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77A79775">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_Toc31038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rPr>
        <w:t>七、磋商程序及方法</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_Toc31038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12</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00357E5E">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_Toc31009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rPr>
        <w:t>八、确定成交人</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_Toc31009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17</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3D2AD516">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_Toc23842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rPr>
        <w:t>九、授予合同</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_Toc23842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17</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76A75B59">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_Toc20499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rPr>
        <w:t>十、磋商活动终止</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_Toc20499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18</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36CFDA19">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_Toc31896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rPr>
        <w:t>十一、处罚</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_Toc31896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18</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2C4E3C6E">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_Toc114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rPr>
        <w:t>十二、招标代理服务收费标准</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_Toc114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19</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0CE2F17B">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_Toc19544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rPr>
        <w:t>十三、其他</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_Toc19544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19</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5AD08835">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_Toc18231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lang w:val="zh-CN"/>
        </w:rPr>
        <w:t xml:space="preserve">第三部分 </w:t>
      </w:r>
      <w:r>
        <w:rPr>
          <w:rFonts w:hint="eastAsia" w:ascii="仿宋" w:hAnsi="仿宋" w:eastAsia="仿宋" w:cs="仿宋"/>
          <w:color w:val="000000"/>
          <w:highlight w:val="none"/>
        </w:rPr>
        <w:t xml:space="preserve"> </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lang w:val="zh-CN"/>
        </w:rPr>
        <w:t>政府采购项目合同书范本</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_Toc18231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19</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4CB3F4C8">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_Toc19475 </w:instrText>
      </w:r>
      <w:r>
        <w:rPr>
          <w:rFonts w:hint="eastAsia" w:ascii="仿宋" w:hAnsi="仿宋" w:eastAsia="仿宋" w:cs="仿宋"/>
          <w:color w:val="000000"/>
          <w:szCs w:val="24"/>
          <w:highlight w:val="none"/>
        </w:rPr>
        <w:fldChar w:fldCharType="separate"/>
      </w:r>
      <w:r>
        <w:rPr>
          <w:rFonts w:hint="eastAsia" w:ascii="仿宋" w:hAnsi="仿宋" w:eastAsia="仿宋" w:cs="仿宋"/>
          <w:bCs/>
          <w:color w:val="000000"/>
          <w:highlight w:val="none"/>
          <w:lang w:val="zh-CN"/>
        </w:rPr>
        <w:t>第四部分  磋商响应文件格式</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_Toc19475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41</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3F1786CC">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_Toc10182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lang w:val="zh-CN"/>
        </w:rPr>
        <w:t>01.磋商函</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_Toc10182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43</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37C3EE38">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_Toc6439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lang w:val="zh-CN"/>
        </w:rPr>
        <w:t>0</w:t>
      </w:r>
      <w:r>
        <w:rPr>
          <w:rFonts w:hint="eastAsia" w:ascii="仿宋" w:hAnsi="仿宋" w:eastAsia="仿宋" w:cs="仿宋"/>
          <w:b w:val="0"/>
          <w:bCs w:val="0"/>
          <w:color w:val="000000"/>
          <w:szCs w:val="32"/>
          <w:highlight w:val="none"/>
          <w:lang w:val="en-US" w:eastAsia="zh-CN"/>
        </w:rPr>
        <w:t>2</w:t>
      </w:r>
      <w:r>
        <w:rPr>
          <w:rFonts w:hint="eastAsia" w:ascii="仿宋" w:hAnsi="仿宋" w:eastAsia="仿宋" w:cs="仿宋"/>
          <w:b w:val="0"/>
          <w:bCs w:val="0"/>
          <w:color w:val="000000"/>
          <w:szCs w:val="32"/>
          <w:highlight w:val="none"/>
          <w:lang w:val="zh-CN"/>
        </w:rPr>
        <w:t>.竞争性磋商首次报价表</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_Toc6439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44</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327DC926">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_Toc12504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lang w:val="zh-CN"/>
        </w:rPr>
        <w:t>0</w:t>
      </w:r>
      <w:r>
        <w:rPr>
          <w:rFonts w:hint="eastAsia" w:ascii="仿宋" w:hAnsi="仿宋" w:eastAsia="仿宋" w:cs="仿宋"/>
          <w:b w:val="0"/>
          <w:bCs w:val="0"/>
          <w:color w:val="000000"/>
          <w:szCs w:val="32"/>
          <w:highlight w:val="none"/>
          <w:lang w:val="en-US" w:eastAsia="zh-CN"/>
        </w:rPr>
        <w:t>3</w:t>
      </w:r>
      <w:r>
        <w:rPr>
          <w:rFonts w:hint="eastAsia" w:ascii="仿宋" w:hAnsi="仿宋" w:eastAsia="仿宋" w:cs="仿宋"/>
          <w:b w:val="0"/>
          <w:bCs w:val="0"/>
          <w:color w:val="000000"/>
          <w:szCs w:val="32"/>
          <w:highlight w:val="none"/>
          <w:lang w:val="zh-CN"/>
        </w:rPr>
        <w:t>.法定代表人证明书</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_Toc12504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46</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38C3FE4D">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_Toc5558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rPr>
        <w:t>0</w:t>
      </w:r>
      <w:r>
        <w:rPr>
          <w:rFonts w:hint="eastAsia" w:ascii="仿宋" w:hAnsi="仿宋" w:eastAsia="仿宋" w:cs="仿宋"/>
          <w:b w:val="0"/>
          <w:bCs w:val="0"/>
          <w:color w:val="000000"/>
          <w:szCs w:val="32"/>
          <w:highlight w:val="none"/>
          <w:lang w:val="en-US" w:eastAsia="zh-CN"/>
        </w:rPr>
        <w:t>4</w:t>
      </w:r>
      <w:r>
        <w:rPr>
          <w:rFonts w:hint="eastAsia" w:ascii="仿宋" w:hAnsi="仿宋" w:eastAsia="仿宋" w:cs="仿宋"/>
          <w:b w:val="0"/>
          <w:bCs w:val="0"/>
          <w:color w:val="000000"/>
          <w:szCs w:val="32"/>
          <w:highlight w:val="none"/>
        </w:rPr>
        <w:t>.</w:t>
      </w:r>
      <w:r>
        <w:rPr>
          <w:rFonts w:hint="eastAsia" w:ascii="仿宋" w:hAnsi="仿宋" w:eastAsia="仿宋" w:cs="仿宋"/>
          <w:b w:val="0"/>
          <w:bCs w:val="0"/>
          <w:color w:val="000000"/>
          <w:szCs w:val="32"/>
          <w:highlight w:val="none"/>
          <w:lang w:val="zh-CN"/>
        </w:rPr>
        <w:t>法定代表人授权书</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_Toc5558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47</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03CA58F6">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_Toc21755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lang w:val="zh-CN"/>
        </w:rPr>
        <w:t>0</w:t>
      </w:r>
      <w:r>
        <w:rPr>
          <w:rFonts w:hint="eastAsia" w:ascii="仿宋" w:hAnsi="仿宋" w:eastAsia="仿宋" w:cs="仿宋"/>
          <w:b w:val="0"/>
          <w:bCs w:val="0"/>
          <w:color w:val="000000"/>
          <w:szCs w:val="32"/>
          <w:highlight w:val="none"/>
          <w:lang w:val="en-US" w:eastAsia="zh-CN"/>
        </w:rPr>
        <w:t>5</w:t>
      </w:r>
      <w:r>
        <w:rPr>
          <w:rFonts w:hint="eastAsia" w:ascii="仿宋" w:hAnsi="仿宋" w:eastAsia="仿宋" w:cs="仿宋"/>
          <w:b w:val="0"/>
          <w:bCs w:val="0"/>
          <w:color w:val="000000"/>
          <w:szCs w:val="32"/>
          <w:highlight w:val="none"/>
          <w:lang w:val="zh-CN"/>
        </w:rPr>
        <w:t>.供应商承诺函</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_Toc21755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48</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3665EF23">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_Toc14465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lang w:val="zh-CN"/>
        </w:rPr>
        <w:t>0</w:t>
      </w:r>
      <w:r>
        <w:rPr>
          <w:rFonts w:hint="eastAsia" w:ascii="仿宋" w:hAnsi="仿宋" w:eastAsia="仿宋" w:cs="仿宋"/>
          <w:b w:val="0"/>
          <w:bCs w:val="0"/>
          <w:color w:val="000000"/>
          <w:szCs w:val="32"/>
          <w:highlight w:val="none"/>
          <w:lang w:val="en-US" w:eastAsia="zh-CN"/>
        </w:rPr>
        <w:t>6</w:t>
      </w:r>
      <w:r>
        <w:rPr>
          <w:rFonts w:hint="eastAsia" w:ascii="仿宋" w:hAnsi="仿宋" w:eastAsia="仿宋" w:cs="仿宋"/>
          <w:b w:val="0"/>
          <w:bCs w:val="0"/>
          <w:color w:val="000000"/>
          <w:szCs w:val="32"/>
          <w:highlight w:val="none"/>
          <w:lang w:val="zh-CN"/>
        </w:rPr>
        <w:t>.供应商诚信承诺书</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_Toc14465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49</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49300AB2">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_Toc10525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0"/>
          <w:highlight w:val="none"/>
        </w:rPr>
        <w:t>0</w:t>
      </w:r>
      <w:r>
        <w:rPr>
          <w:rFonts w:hint="eastAsia" w:ascii="仿宋" w:hAnsi="仿宋" w:eastAsia="仿宋" w:cs="仿宋"/>
          <w:b w:val="0"/>
          <w:bCs w:val="0"/>
          <w:color w:val="000000"/>
          <w:szCs w:val="30"/>
          <w:highlight w:val="none"/>
          <w:lang w:val="en-US" w:eastAsia="zh-CN"/>
        </w:rPr>
        <w:t>7</w:t>
      </w:r>
      <w:r>
        <w:rPr>
          <w:rFonts w:hint="eastAsia" w:ascii="仿宋" w:hAnsi="仿宋" w:eastAsia="仿宋" w:cs="仿宋"/>
          <w:b w:val="0"/>
          <w:bCs w:val="0"/>
          <w:color w:val="000000"/>
          <w:szCs w:val="30"/>
          <w:highlight w:val="none"/>
        </w:rPr>
        <w:t>.</w:t>
      </w:r>
      <w:r>
        <w:rPr>
          <w:rFonts w:hint="eastAsia" w:ascii="仿宋" w:hAnsi="仿宋" w:eastAsia="仿宋" w:cs="仿宋"/>
          <w:b w:val="0"/>
          <w:bCs w:val="0"/>
          <w:color w:val="000000"/>
          <w:szCs w:val="30"/>
          <w:highlight w:val="none"/>
          <w:lang w:val="zh-CN"/>
        </w:rPr>
        <w:t>资格证明材料</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_Toc10525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50</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7D74F8AD">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_Toc18479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0"/>
          <w:highlight w:val="none"/>
        </w:rPr>
        <w:t>0</w:t>
      </w:r>
      <w:r>
        <w:rPr>
          <w:rFonts w:hint="eastAsia" w:ascii="仿宋" w:hAnsi="仿宋" w:eastAsia="仿宋" w:cs="仿宋"/>
          <w:b w:val="0"/>
          <w:bCs w:val="0"/>
          <w:color w:val="000000"/>
          <w:szCs w:val="30"/>
          <w:highlight w:val="none"/>
          <w:lang w:val="en-US" w:eastAsia="zh-CN"/>
        </w:rPr>
        <w:t>8</w:t>
      </w:r>
      <w:r>
        <w:rPr>
          <w:rFonts w:hint="eastAsia" w:ascii="仿宋" w:hAnsi="仿宋" w:eastAsia="仿宋" w:cs="仿宋"/>
          <w:b w:val="0"/>
          <w:bCs w:val="0"/>
          <w:color w:val="000000"/>
          <w:szCs w:val="30"/>
          <w:highlight w:val="none"/>
        </w:rPr>
        <w:t>.</w:t>
      </w:r>
      <w:r>
        <w:rPr>
          <w:rFonts w:hint="eastAsia" w:ascii="仿宋" w:hAnsi="仿宋" w:eastAsia="仿宋" w:cs="仿宋"/>
          <w:b w:val="0"/>
          <w:bCs w:val="0"/>
          <w:color w:val="000000"/>
          <w:szCs w:val="30"/>
          <w:highlight w:val="none"/>
          <w:lang w:val="zh-CN"/>
        </w:rPr>
        <w:t>财务状况报告，依法缴纳税收和社会保障资金的相关材料</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_Toc18479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51</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078DBFFF">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_Toc4343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kern w:val="0"/>
          <w:szCs w:val="32"/>
          <w:highlight w:val="none"/>
          <w:lang w:val="en-US" w:eastAsia="zh-CN"/>
        </w:rPr>
        <w:t>09</w:t>
      </w:r>
      <w:r>
        <w:rPr>
          <w:rFonts w:hint="eastAsia" w:ascii="仿宋" w:hAnsi="仿宋" w:eastAsia="仿宋" w:cs="仿宋"/>
          <w:b w:val="0"/>
          <w:bCs w:val="0"/>
          <w:color w:val="000000"/>
          <w:kern w:val="0"/>
          <w:szCs w:val="32"/>
          <w:highlight w:val="none"/>
        </w:rPr>
        <w:t>.</w:t>
      </w:r>
      <w:r>
        <w:rPr>
          <w:rFonts w:hint="eastAsia" w:ascii="仿宋" w:hAnsi="仿宋" w:eastAsia="仿宋" w:cs="仿宋"/>
          <w:b w:val="0"/>
          <w:bCs w:val="0"/>
          <w:color w:val="000000"/>
          <w:kern w:val="0"/>
          <w:szCs w:val="32"/>
          <w:highlight w:val="none"/>
          <w:lang w:val="zh-CN"/>
        </w:rPr>
        <w:t>具备履行合同所必需的设备和专业技术能力的证明材料</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_Toc4343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52</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4F484EE4">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_Toc6808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0"/>
          <w:highlight w:val="none"/>
        </w:rPr>
        <w:t>1</w:t>
      </w:r>
      <w:r>
        <w:rPr>
          <w:rFonts w:hint="eastAsia" w:ascii="仿宋" w:hAnsi="仿宋" w:eastAsia="仿宋" w:cs="仿宋"/>
          <w:b w:val="0"/>
          <w:bCs w:val="0"/>
          <w:color w:val="000000"/>
          <w:szCs w:val="30"/>
          <w:highlight w:val="none"/>
          <w:lang w:val="en-US" w:eastAsia="zh-CN"/>
        </w:rPr>
        <w:t>0</w:t>
      </w:r>
      <w:r>
        <w:rPr>
          <w:rFonts w:hint="eastAsia" w:ascii="仿宋" w:hAnsi="仿宋" w:eastAsia="仿宋" w:cs="仿宋"/>
          <w:b w:val="0"/>
          <w:bCs w:val="0"/>
          <w:color w:val="000000"/>
          <w:szCs w:val="30"/>
          <w:highlight w:val="none"/>
        </w:rPr>
        <w:t>.</w:t>
      </w:r>
      <w:r>
        <w:rPr>
          <w:rFonts w:hint="eastAsia" w:ascii="仿宋" w:hAnsi="仿宋" w:eastAsia="仿宋" w:cs="仿宋"/>
          <w:b w:val="0"/>
          <w:bCs w:val="0"/>
          <w:color w:val="000000"/>
          <w:szCs w:val="30"/>
          <w:highlight w:val="none"/>
          <w:lang w:val="zh-CN"/>
        </w:rPr>
        <w:t>无重大违法记录声明</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_Toc6808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53</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60581C97">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_Toc4087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0"/>
          <w:highlight w:val="none"/>
        </w:rPr>
        <w:t>1</w:t>
      </w:r>
      <w:r>
        <w:rPr>
          <w:rFonts w:hint="eastAsia" w:ascii="仿宋" w:hAnsi="仿宋" w:eastAsia="仿宋" w:cs="仿宋"/>
          <w:b w:val="0"/>
          <w:bCs w:val="0"/>
          <w:color w:val="000000"/>
          <w:szCs w:val="30"/>
          <w:highlight w:val="none"/>
          <w:lang w:val="en-US" w:eastAsia="zh-CN"/>
        </w:rPr>
        <w:t>1</w:t>
      </w:r>
      <w:r>
        <w:rPr>
          <w:rFonts w:hint="eastAsia" w:ascii="仿宋" w:hAnsi="仿宋" w:eastAsia="仿宋" w:cs="仿宋"/>
          <w:b w:val="0"/>
          <w:bCs w:val="0"/>
          <w:color w:val="000000"/>
          <w:szCs w:val="30"/>
          <w:highlight w:val="none"/>
        </w:rPr>
        <w:t>.</w:t>
      </w:r>
      <w:r>
        <w:rPr>
          <w:rFonts w:hint="eastAsia" w:ascii="仿宋" w:hAnsi="仿宋" w:eastAsia="仿宋" w:cs="仿宋"/>
          <w:b w:val="0"/>
          <w:bCs w:val="0"/>
          <w:color w:val="000000"/>
          <w:szCs w:val="30"/>
          <w:highlight w:val="none"/>
          <w:lang w:val="en-US" w:eastAsia="zh-CN"/>
        </w:rPr>
        <w:t>磋商</w:t>
      </w:r>
      <w:r>
        <w:rPr>
          <w:rFonts w:hint="eastAsia" w:ascii="仿宋" w:hAnsi="仿宋" w:eastAsia="仿宋" w:cs="仿宋"/>
          <w:b w:val="0"/>
          <w:bCs w:val="0"/>
          <w:color w:val="000000"/>
          <w:szCs w:val="30"/>
          <w:highlight w:val="none"/>
          <w:lang w:val="zh-CN"/>
        </w:rPr>
        <w:t>保证金证明</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_Toc4087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54</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4E06FA2C">
      <w:pPr>
        <w:pStyle w:val="22"/>
        <w:keepNext w:val="0"/>
        <w:keepLines w:val="0"/>
        <w:pageBreakBefore w:val="0"/>
        <w:tabs>
          <w:tab w:val="right" w:leader="dot" w:pos="8299"/>
        </w:tabs>
        <w:kinsoku/>
        <w:wordWrap/>
        <w:overflowPunct/>
        <w:topLinePunct w:val="0"/>
        <w:autoSpaceDE/>
        <w:autoSpaceDN/>
        <w:bidi w:val="0"/>
        <w:adjustRightInd/>
        <w:snapToGrid/>
        <w:spacing w:after="0" w:line="500" w:lineRule="exact"/>
        <w:ind w:firstLine="280" w:firstLineChars="100"/>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_Toc32386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0"/>
          <w:highlight w:val="none"/>
        </w:rPr>
        <w:t>1</w:t>
      </w:r>
      <w:r>
        <w:rPr>
          <w:rFonts w:hint="eastAsia" w:ascii="仿宋" w:hAnsi="仿宋" w:eastAsia="仿宋" w:cs="仿宋"/>
          <w:b w:val="0"/>
          <w:bCs w:val="0"/>
          <w:color w:val="000000"/>
          <w:szCs w:val="30"/>
          <w:highlight w:val="none"/>
          <w:lang w:val="en-US" w:eastAsia="zh-CN"/>
        </w:rPr>
        <w:t>2</w:t>
      </w:r>
      <w:r>
        <w:rPr>
          <w:rFonts w:hint="eastAsia" w:ascii="仿宋" w:hAnsi="仿宋" w:eastAsia="仿宋" w:cs="仿宋"/>
          <w:b w:val="0"/>
          <w:bCs w:val="0"/>
          <w:color w:val="000000"/>
          <w:szCs w:val="30"/>
          <w:highlight w:val="none"/>
        </w:rPr>
        <w:t>.</w:t>
      </w:r>
      <w:r>
        <w:rPr>
          <w:rFonts w:hint="eastAsia" w:ascii="仿宋" w:hAnsi="仿宋" w:eastAsia="仿宋" w:cs="仿宋"/>
          <w:b w:val="0"/>
          <w:bCs w:val="0"/>
          <w:color w:val="000000"/>
          <w:szCs w:val="30"/>
          <w:highlight w:val="none"/>
          <w:lang w:eastAsia="zh-CN"/>
        </w:rPr>
        <w:t>监理大纲</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_Toc32386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55</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2E46B343">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_Toc30363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rPr>
        <w:t>1</w:t>
      </w:r>
      <w:r>
        <w:rPr>
          <w:rFonts w:hint="eastAsia" w:ascii="仿宋" w:hAnsi="仿宋" w:eastAsia="仿宋" w:cs="仿宋"/>
          <w:b w:val="0"/>
          <w:bCs w:val="0"/>
          <w:color w:val="000000"/>
          <w:szCs w:val="32"/>
          <w:highlight w:val="none"/>
          <w:lang w:val="en-US" w:eastAsia="zh-CN"/>
        </w:rPr>
        <w:t>3</w:t>
      </w:r>
      <w:r>
        <w:rPr>
          <w:rFonts w:hint="eastAsia" w:ascii="仿宋" w:hAnsi="仿宋" w:eastAsia="仿宋" w:cs="仿宋"/>
          <w:b w:val="0"/>
          <w:bCs w:val="0"/>
          <w:color w:val="000000"/>
          <w:szCs w:val="32"/>
          <w:highlight w:val="none"/>
        </w:rPr>
        <w:t>.</w:t>
      </w:r>
      <w:r>
        <w:rPr>
          <w:rFonts w:hint="eastAsia" w:ascii="仿宋" w:hAnsi="仿宋" w:eastAsia="仿宋" w:cs="仿宋"/>
          <w:b w:val="0"/>
          <w:bCs w:val="0"/>
          <w:color w:val="000000"/>
          <w:szCs w:val="32"/>
          <w:highlight w:val="none"/>
          <w:lang w:eastAsia="zh-CN"/>
        </w:rPr>
        <w:t>供应商</w:t>
      </w:r>
      <w:r>
        <w:rPr>
          <w:rFonts w:hint="eastAsia" w:ascii="仿宋" w:hAnsi="仿宋" w:eastAsia="仿宋" w:cs="仿宋"/>
          <w:b w:val="0"/>
          <w:bCs w:val="0"/>
          <w:color w:val="000000"/>
          <w:szCs w:val="32"/>
          <w:highlight w:val="none"/>
        </w:rPr>
        <w:t>的</w:t>
      </w:r>
      <w:r>
        <w:rPr>
          <w:rFonts w:hint="eastAsia" w:ascii="仿宋" w:hAnsi="仿宋" w:eastAsia="仿宋" w:cs="仿宋"/>
          <w:b w:val="0"/>
          <w:bCs w:val="0"/>
          <w:color w:val="000000"/>
          <w:szCs w:val="32"/>
          <w:highlight w:val="none"/>
          <w:lang w:val="zh-CN"/>
        </w:rPr>
        <w:t>类似业绩证明材料</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_Toc30363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56</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1D9C81A2">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_Toc29721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0"/>
          <w:highlight w:val="none"/>
          <w:lang w:val="en-US" w:eastAsia="zh-CN"/>
        </w:rPr>
        <w:t>14.享受政府采购政策优惠的证明资料</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_Toc29721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57</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4B4A1BE3">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val="0"/>
          <w:bCs w:val="0"/>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_Toc30576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lang w:val="zh-CN"/>
        </w:rPr>
        <w:t>1</w:t>
      </w:r>
      <w:r>
        <w:rPr>
          <w:rFonts w:hint="eastAsia" w:ascii="仿宋" w:hAnsi="仿宋" w:eastAsia="仿宋" w:cs="仿宋"/>
          <w:b w:val="0"/>
          <w:bCs w:val="0"/>
          <w:color w:val="000000"/>
          <w:szCs w:val="32"/>
          <w:highlight w:val="none"/>
          <w:lang w:val="en-US" w:eastAsia="zh-CN"/>
        </w:rPr>
        <w:t>5.</w:t>
      </w:r>
      <w:r>
        <w:rPr>
          <w:rFonts w:hint="eastAsia" w:ascii="仿宋" w:hAnsi="仿宋" w:eastAsia="仿宋" w:cs="仿宋"/>
          <w:b w:val="0"/>
          <w:bCs w:val="0"/>
          <w:color w:val="000000"/>
          <w:szCs w:val="32"/>
          <w:highlight w:val="none"/>
          <w:lang w:val="zh-CN"/>
        </w:rPr>
        <w:t>供应商认为在其他方面有必要说明的事项</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_Toc30576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60</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4B505503">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000000"/>
          <w:highlight w:val="none"/>
        </w:rPr>
      </w:pPr>
      <w:r>
        <w:rPr>
          <w:rFonts w:hint="eastAsia" w:ascii="仿宋" w:hAnsi="仿宋" w:eastAsia="仿宋" w:cs="仿宋"/>
          <w:b w:val="0"/>
          <w:bCs w:val="0"/>
          <w:color w:val="000000"/>
          <w:szCs w:val="24"/>
          <w:highlight w:val="none"/>
        </w:rPr>
        <w:fldChar w:fldCharType="begin"/>
      </w:r>
      <w:r>
        <w:rPr>
          <w:rFonts w:hint="eastAsia" w:ascii="仿宋" w:hAnsi="仿宋" w:eastAsia="仿宋" w:cs="仿宋"/>
          <w:b w:val="0"/>
          <w:bCs w:val="0"/>
          <w:color w:val="000000"/>
          <w:szCs w:val="24"/>
          <w:highlight w:val="none"/>
        </w:rPr>
        <w:instrText xml:space="preserve"> HYPERLINK \l _Toc12897 </w:instrText>
      </w:r>
      <w:r>
        <w:rPr>
          <w:rFonts w:hint="eastAsia" w:ascii="仿宋" w:hAnsi="仿宋" w:eastAsia="仿宋" w:cs="仿宋"/>
          <w:b w:val="0"/>
          <w:bCs w:val="0"/>
          <w:color w:val="000000"/>
          <w:szCs w:val="24"/>
          <w:highlight w:val="none"/>
        </w:rPr>
        <w:fldChar w:fldCharType="separate"/>
      </w:r>
      <w:r>
        <w:rPr>
          <w:rFonts w:hint="eastAsia" w:ascii="仿宋" w:hAnsi="仿宋" w:eastAsia="仿宋" w:cs="仿宋"/>
          <w:b w:val="0"/>
          <w:bCs w:val="0"/>
          <w:color w:val="000000"/>
          <w:szCs w:val="32"/>
          <w:highlight w:val="none"/>
          <w:lang w:val="zh-CN"/>
        </w:rPr>
        <w:t>1</w:t>
      </w:r>
      <w:r>
        <w:rPr>
          <w:rFonts w:hint="eastAsia" w:ascii="仿宋" w:hAnsi="仿宋" w:eastAsia="仿宋" w:cs="仿宋"/>
          <w:b w:val="0"/>
          <w:bCs w:val="0"/>
          <w:color w:val="000000"/>
          <w:szCs w:val="32"/>
          <w:highlight w:val="none"/>
          <w:lang w:val="en-US" w:eastAsia="zh-CN"/>
        </w:rPr>
        <w:t>6</w:t>
      </w:r>
      <w:r>
        <w:rPr>
          <w:rFonts w:hint="eastAsia" w:ascii="仿宋" w:hAnsi="仿宋" w:eastAsia="仿宋" w:cs="仿宋"/>
          <w:b w:val="0"/>
          <w:bCs w:val="0"/>
          <w:color w:val="000000"/>
          <w:szCs w:val="32"/>
          <w:highlight w:val="none"/>
          <w:lang w:val="zh-CN"/>
        </w:rPr>
        <w:t>.竞争性磋商最终报价表</w:t>
      </w:r>
      <w:r>
        <w:rPr>
          <w:rFonts w:hint="eastAsia" w:ascii="仿宋" w:hAnsi="仿宋" w:eastAsia="仿宋" w:cs="仿宋"/>
          <w:b w:val="0"/>
          <w:bCs w:val="0"/>
          <w:color w:val="000000"/>
          <w:highlight w:val="none"/>
        </w:rPr>
        <w:tab/>
      </w:r>
      <w:r>
        <w:rPr>
          <w:rFonts w:hint="eastAsia" w:ascii="仿宋" w:hAnsi="仿宋" w:eastAsia="仿宋" w:cs="仿宋"/>
          <w:b w:val="0"/>
          <w:bCs w:val="0"/>
          <w:color w:val="000000"/>
          <w:highlight w:val="none"/>
        </w:rPr>
        <w:fldChar w:fldCharType="begin"/>
      </w:r>
      <w:r>
        <w:rPr>
          <w:rFonts w:hint="eastAsia" w:ascii="仿宋" w:hAnsi="仿宋" w:eastAsia="仿宋" w:cs="仿宋"/>
          <w:b w:val="0"/>
          <w:bCs w:val="0"/>
          <w:color w:val="000000"/>
          <w:highlight w:val="none"/>
        </w:rPr>
        <w:instrText xml:space="preserve"> PAGEREF _Toc12897 \h </w:instrText>
      </w:r>
      <w:r>
        <w:rPr>
          <w:rFonts w:hint="eastAsia" w:ascii="仿宋" w:hAnsi="仿宋" w:eastAsia="仿宋" w:cs="仿宋"/>
          <w:b w:val="0"/>
          <w:bCs w:val="0"/>
          <w:color w:val="000000"/>
          <w:highlight w:val="none"/>
        </w:rPr>
        <w:fldChar w:fldCharType="separate"/>
      </w:r>
      <w:r>
        <w:rPr>
          <w:rFonts w:hint="eastAsia" w:ascii="仿宋" w:hAnsi="仿宋" w:eastAsia="仿宋" w:cs="仿宋"/>
          <w:b w:val="0"/>
          <w:bCs w:val="0"/>
          <w:color w:val="000000"/>
          <w:highlight w:val="none"/>
        </w:rPr>
        <w:t>61</w:t>
      </w:r>
      <w:r>
        <w:rPr>
          <w:rFonts w:hint="eastAsia" w:ascii="仿宋" w:hAnsi="仿宋" w:eastAsia="仿宋" w:cs="仿宋"/>
          <w:b w:val="0"/>
          <w:bCs w:val="0"/>
          <w:color w:val="000000"/>
          <w:highlight w:val="none"/>
        </w:rPr>
        <w:fldChar w:fldCharType="end"/>
      </w:r>
      <w:r>
        <w:rPr>
          <w:rFonts w:hint="eastAsia" w:ascii="仿宋" w:hAnsi="仿宋" w:eastAsia="仿宋" w:cs="仿宋"/>
          <w:b w:val="0"/>
          <w:bCs w:val="0"/>
          <w:color w:val="000000"/>
          <w:szCs w:val="24"/>
          <w:highlight w:val="none"/>
        </w:rPr>
        <w:fldChar w:fldCharType="end"/>
      </w:r>
    </w:p>
    <w:p w14:paraId="0CE6FB04">
      <w:pPr>
        <w:pStyle w:val="19"/>
        <w:keepNext w:val="0"/>
        <w:keepLines w:val="0"/>
        <w:pageBreakBefore w:val="0"/>
        <w:tabs>
          <w:tab w:val="right" w:leader="dot" w:pos="8299"/>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000000"/>
          <w:highlight w:val="none"/>
        </w:rPr>
      </w:pP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 HYPERLINK \l _Toc18781 </w:instrText>
      </w:r>
      <w:r>
        <w:rPr>
          <w:rFonts w:hint="eastAsia" w:ascii="仿宋" w:hAnsi="仿宋" w:eastAsia="仿宋" w:cs="仿宋"/>
          <w:color w:val="000000"/>
          <w:szCs w:val="24"/>
          <w:highlight w:val="none"/>
        </w:rPr>
        <w:fldChar w:fldCharType="separate"/>
      </w:r>
      <w:r>
        <w:rPr>
          <w:rFonts w:hint="eastAsia" w:ascii="仿宋" w:hAnsi="仿宋" w:eastAsia="仿宋" w:cs="仿宋"/>
          <w:color w:val="000000"/>
          <w:highlight w:val="none"/>
          <w:lang w:val="zh-CN"/>
        </w:rPr>
        <w:t>第五部分 服务内容及要求</w:t>
      </w:r>
      <w:r>
        <w:rPr>
          <w:rFonts w:hint="eastAsia" w:ascii="仿宋" w:hAnsi="仿宋" w:eastAsia="仿宋" w:cs="仿宋"/>
          <w:color w:val="000000"/>
          <w:highlight w:val="none"/>
        </w:rPr>
        <w:tab/>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PAGEREF _Toc18781 \h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t>63</w:t>
      </w:r>
      <w:r>
        <w:rPr>
          <w:rFonts w:hint="eastAsia" w:ascii="仿宋" w:hAnsi="仿宋" w:eastAsia="仿宋" w:cs="仿宋"/>
          <w:color w:val="000000"/>
          <w:highlight w:val="none"/>
        </w:rPr>
        <w:fldChar w:fldCharType="end"/>
      </w:r>
      <w:r>
        <w:rPr>
          <w:rFonts w:hint="eastAsia" w:ascii="仿宋" w:hAnsi="仿宋" w:eastAsia="仿宋" w:cs="仿宋"/>
          <w:color w:val="000000"/>
          <w:szCs w:val="24"/>
          <w:highlight w:val="none"/>
        </w:rPr>
        <w:fldChar w:fldCharType="end"/>
      </w:r>
    </w:p>
    <w:p w14:paraId="21D88E76">
      <w:pPr>
        <w:pStyle w:val="29"/>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Cs w:val="24"/>
          <w:highlight w:val="none"/>
        </w:rPr>
        <w:fldChar w:fldCharType="end"/>
      </w:r>
      <w:bookmarkStart w:id="0" w:name="_Toc32633"/>
      <w:bookmarkStart w:id="1" w:name="_Toc31771"/>
      <w:bookmarkStart w:id="2" w:name="_Toc14462"/>
      <w:bookmarkStart w:id="3" w:name="_Toc21895"/>
    </w:p>
    <w:p w14:paraId="6C693767">
      <w:pPr>
        <w:pStyle w:val="29"/>
        <w:ind w:firstLine="0"/>
        <w:jc w:val="center"/>
        <w:outlineLvl w:val="0"/>
        <w:rPr>
          <w:rFonts w:hint="eastAsia" w:ascii="仿宋" w:hAnsi="仿宋" w:eastAsia="仿宋" w:cs="仿宋"/>
          <w:b/>
          <w:bCs/>
          <w:color w:val="000000"/>
          <w:sz w:val="36"/>
          <w:szCs w:val="32"/>
          <w:highlight w:val="none"/>
          <w:lang w:val="zh-CN"/>
        </w:rPr>
      </w:pPr>
      <w:r>
        <w:rPr>
          <w:rFonts w:hint="eastAsia" w:ascii="仿宋" w:hAnsi="仿宋" w:eastAsia="仿宋" w:cs="仿宋"/>
          <w:b/>
          <w:bCs/>
          <w:color w:val="000000"/>
          <w:sz w:val="24"/>
          <w:szCs w:val="24"/>
          <w:highlight w:val="none"/>
          <w:lang w:val="zh-CN"/>
        </w:rPr>
        <w:br w:type="page"/>
      </w:r>
      <w:bookmarkStart w:id="4" w:name="_Toc8884"/>
      <w:r>
        <w:rPr>
          <w:rFonts w:hint="eastAsia" w:ascii="仿宋" w:hAnsi="仿宋" w:eastAsia="仿宋" w:cs="仿宋"/>
          <w:b/>
          <w:bCs/>
          <w:color w:val="000000"/>
          <w:sz w:val="36"/>
          <w:szCs w:val="32"/>
          <w:highlight w:val="none"/>
          <w:lang w:val="zh-CN"/>
        </w:rPr>
        <w:t xml:space="preserve">第一部分  </w:t>
      </w:r>
      <w:r>
        <w:rPr>
          <w:rFonts w:hint="eastAsia" w:ascii="仿宋" w:hAnsi="仿宋" w:eastAsia="仿宋" w:cs="仿宋"/>
          <w:b/>
          <w:bCs/>
          <w:color w:val="000000"/>
          <w:sz w:val="36"/>
          <w:szCs w:val="32"/>
          <w:highlight w:val="none"/>
          <w:lang w:val="en-US" w:eastAsia="zh-CN"/>
        </w:rPr>
        <w:t>磋商</w:t>
      </w:r>
      <w:r>
        <w:rPr>
          <w:rFonts w:hint="eastAsia" w:ascii="仿宋" w:hAnsi="仿宋" w:eastAsia="仿宋" w:cs="仿宋"/>
          <w:b/>
          <w:bCs/>
          <w:color w:val="000000"/>
          <w:sz w:val="36"/>
          <w:szCs w:val="32"/>
          <w:highlight w:val="none"/>
          <w:lang w:val="zh-CN"/>
        </w:rPr>
        <w:t>邀请</w:t>
      </w:r>
      <w:bookmarkEnd w:id="0"/>
      <w:bookmarkEnd w:id="1"/>
      <w:bookmarkEnd w:id="2"/>
      <w:bookmarkEnd w:id="3"/>
      <w:bookmarkEnd w:id="4"/>
    </w:p>
    <w:p w14:paraId="25C100A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highlight w:val="none"/>
        </w:rPr>
      </w:pPr>
      <w:bookmarkStart w:id="5" w:name="_Toc35393790"/>
      <w:bookmarkStart w:id="6" w:name="_Toc28359079"/>
      <w:bookmarkStart w:id="7" w:name="_Toc28359002"/>
      <w:bookmarkStart w:id="8" w:name="_Toc35393621"/>
      <w:bookmarkStart w:id="9" w:name="_Hlk24379207"/>
      <w:r>
        <w:rPr>
          <w:rFonts w:hint="eastAsia" w:ascii="仿宋" w:hAnsi="仿宋" w:eastAsia="仿宋" w:cs="仿宋"/>
          <w:color w:val="000000"/>
          <w:highlight w:val="none"/>
        </w:rPr>
        <w:t>项目概况</w:t>
      </w:r>
    </w:p>
    <w:p w14:paraId="5B11E90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auto"/>
          <w:highlight w:val="none"/>
          <w:u w:val="single"/>
          <w:lang w:val="en-US" w:eastAsia="zh-CN"/>
        </w:rPr>
        <w:t>西宁市湟中区云谷川流域主河道及其东河、马圈沟等5条主要排涝通道能力提升建设项目(监理）</w:t>
      </w:r>
      <w:r>
        <w:rPr>
          <w:rFonts w:hint="eastAsia" w:ascii="仿宋" w:hAnsi="仿宋" w:eastAsia="仿宋" w:cs="仿宋"/>
          <w:color w:val="auto"/>
          <w:highlight w:val="none"/>
          <w:u w:val="none"/>
          <w:lang w:val="en-US" w:eastAsia="zh-CN"/>
        </w:rPr>
        <w:t>竞争</w:t>
      </w:r>
      <w:r>
        <w:rPr>
          <w:rFonts w:hint="eastAsia" w:ascii="仿宋" w:hAnsi="仿宋" w:eastAsia="仿宋" w:cs="仿宋"/>
          <w:color w:val="000000"/>
          <w:highlight w:val="none"/>
          <w:u w:val="none"/>
          <w:lang w:val="en-US" w:eastAsia="zh-CN"/>
        </w:rPr>
        <w:t>性磋商</w:t>
      </w:r>
      <w:r>
        <w:rPr>
          <w:rFonts w:hint="eastAsia" w:ascii="仿宋" w:hAnsi="仿宋" w:eastAsia="仿宋" w:cs="仿宋"/>
          <w:color w:val="000000"/>
          <w:highlight w:val="none"/>
        </w:rPr>
        <w:t>项目的潜在</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应在</w:t>
      </w:r>
      <w:r>
        <w:rPr>
          <w:rFonts w:hint="eastAsia" w:ascii="仿宋" w:hAnsi="仿宋" w:eastAsia="仿宋" w:cs="仿宋"/>
          <w:color w:val="000000"/>
          <w:highlight w:val="none"/>
          <w:u w:val="single"/>
        </w:rPr>
        <w:t>政采云平台线上报名</w:t>
      </w:r>
      <w:r>
        <w:rPr>
          <w:rFonts w:hint="eastAsia" w:ascii="仿宋" w:hAnsi="仿宋" w:eastAsia="仿宋" w:cs="仿宋"/>
          <w:color w:val="000000"/>
          <w:highlight w:val="none"/>
        </w:rPr>
        <w:t>获取</w:t>
      </w:r>
      <w:r>
        <w:rPr>
          <w:rFonts w:hint="eastAsia" w:ascii="仿宋" w:hAnsi="仿宋" w:eastAsia="仿宋" w:cs="仿宋"/>
          <w:color w:val="000000"/>
          <w:highlight w:val="none"/>
          <w:lang w:eastAsia="zh-CN"/>
        </w:rPr>
        <w:t>竞争性磋商文件</w:t>
      </w:r>
      <w:r>
        <w:rPr>
          <w:rFonts w:hint="eastAsia" w:ascii="仿宋" w:hAnsi="仿宋" w:eastAsia="仿宋" w:cs="仿宋"/>
          <w:color w:val="000000"/>
          <w:highlight w:val="none"/>
        </w:rPr>
        <w:t>，并于</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bCs/>
          <w:color w:val="auto"/>
          <w:highlight w:val="none"/>
          <w:u w:val="single"/>
        </w:rPr>
        <w:t>年</w:t>
      </w:r>
      <w:r>
        <w:rPr>
          <w:rFonts w:hint="eastAsia" w:ascii="仿宋" w:hAnsi="仿宋" w:eastAsia="仿宋" w:cs="仿宋"/>
          <w:bCs/>
          <w:color w:val="auto"/>
          <w:highlight w:val="none"/>
          <w:u w:val="single"/>
          <w:lang w:val="en-US" w:eastAsia="zh-CN"/>
        </w:rPr>
        <w:t>07</w:t>
      </w:r>
      <w:r>
        <w:rPr>
          <w:rFonts w:hint="eastAsia" w:ascii="仿宋" w:hAnsi="仿宋" w:eastAsia="仿宋" w:cs="仿宋"/>
          <w:bCs/>
          <w:color w:val="auto"/>
          <w:highlight w:val="none"/>
          <w:u w:val="single"/>
        </w:rPr>
        <w:t>月</w:t>
      </w:r>
      <w:r>
        <w:rPr>
          <w:rFonts w:hint="eastAsia" w:ascii="仿宋" w:hAnsi="仿宋" w:eastAsia="仿宋" w:cs="仿宋"/>
          <w:bCs/>
          <w:color w:val="auto"/>
          <w:highlight w:val="none"/>
          <w:u w:val="single"/>
          <w:lang w:val="en-US" w:eastAsia="zh-CN"/>
        </w:rPr>
        <w:t>28</w:t>
      </w:r>
      <w:r>
        <w:rPr>
          <w:rFonts w:hint="eastAsia" w:ascii="仿宋" w:hAnsi="仿宋" w:eastAsia="仿宋" w:cs="仿宋"/>
          <w:bCs/>
          <w:color w:val="auto"/>
          <w:highlight w:val="none"/>
          <w:u w:val="single"/>
        </w:rPr>
        <w:t>日</w:t>
      </w:r>
      <w:r>
        <w:rPr>
          <w:rFonts w:hint="eastAsia" w:ascii="仿宋" w:hAnsi="仿宋" w:eastAsia="仿宋" w:cs="仿宋"/>
          <w:bCs/>
          <w:color w:val="auto"/>
          <w:highlight w:val="none"/>
          <w:u w:val="single"/>
          <w:lang w:val="en-US" w:eastAsia="zh-CN"/>
        </w:rPr>
        <w:t>14</w:t>
      </w:r>
      <w:r>
        <w:rPr>
          <w:rFonts w:hint="eastAsia" w:ascii="仿宋" w:hAnsi="仿宋" w:eastAsia="仿宋" w:cs="仿宋"/>
          <w:bCs/>
          <w:color w:val="auto"/>
          <w:highlight w:val="none"/>
          <w:u w:val="single"/>
        </w:rPr>
        <w:t>点</w:t>
      </w:r>
      <w:r>
        <w:rPr>
          <w:rFonts w:hint="eastAsia" w:ascii="仿宋" w:hAnsi="仿宋" w:eastAsia="仿宋" w:cs="仿宋"/>
          <w:bCs/>
          <w:color w:val="auto"/>
          <w:highlight w:val="none"/>
          <w:u w:val="single"/>
          <w:lang w:val="en-US" w:eastAsia="zh-CN"/>
        </w:rPr>
        <w:t>30</w:t>
      </w:r>
      <w:r>
        <w:rPr>
          <w:rFonts w:hint="eastAsia" w:ascii="仿宋" w:hAnsi="仿宋" w:eastAsia="仿宋" w:cs="仿宋"/>
          <w:bCs/>
          <w:color w:val="auto"/>
          <w:highlight w:val="none"/>
          <w:u w:val="single"/>
        </w:rPr>
        <w:t>分</w:t>
      </w:r>
      <w:r>
        <w:rPr>
          <w:rFonts w:hint="eastAsia" w:ascii="仿宋" w:hAnsi="仿宋" w:eastAsia="仿宋" w:cs="仿宋"/>
          <w:bCs/>
          <w:color w:val="000000"/>
          <w:highlight w:val="none"/>
          <w:u w:val="none"/>
        </w:rPr>
        <w:t>（</w:t>
      </w:r>
      <w:r>
        <w:rPr>
          <w:rFonts w:hint="eastAsia" w:ascii="仿宋" w:hAnsi="仿宋" w:eastAsia="仿宋" w:cs="仿宋"/>
          <w:bCs/>
          <w:color w:val="000000"/>
          <w:highlight w:val="none"/>
        </w:rPr>
        <w:t>北京时间）前递交</w:t>
      </w:r>
      <w:r>
        <w:rPr>
          <w:rFonts w:hint="eastAsia" w:ascii="仿宋" w:hAnsi="仿宋" w:eastAsia="仿宋" w:cs="仿宋"/>
          <w:bCs/>
          <w:color w:val="000000"/>
          <w:highlight w:val="none"/>
          <w:lang w:val="en-US" w:eastAsia="zh-CN"/>
        </w:rPr>
        <w:t>磋商响应</w:t>
      </w:r>
      <w:r>
        <w:rPr>
          <w:rFonts w:hint="eastAsia" w:ascii="仿宋" w:hAnsi="仿宋" w:eastAsia="仿宋" w:cs="仿宋"/>
          <w:bCs/>
          <w:color w:val="000000"/>
          <w:highlight w:val="none"/>
        </w:rPr>
        <w:t>文件</w:t>
      </w:r>
      <w:r>
        <w:rPr>
          <w:rFonts w:hint="eastAsia" w:ascii="仿宋" w:hAnsi="仿宋" w:eastAsia="仿宋" w:cs="仿宋"/>
          <w:color w:val="000000"/>
          <w:highlight w:val="none"/>
        </w:rPr>
        <w:t>。</w:t>
      </w:r>
    </w:p>
    <w:p w14:paraId="17702A92">
      <w:pPr>
        <w:pStyle w:val="3"/>
        <w:spacing w:line="360" w:lineRule="auto"/>
        <w:jc w:val="left"/>
        <w:rPr>
          <w:rFonts w:hint="eastAsia" w:ascii="仿宋" w:hAnsi="仿宋" w:eastAsia="仿宋" w:cs="仿宋"/>
          <w:b/>
          <w:bCs w:val="0"/>
          <w:color w:val="000000"/>
          <w:sz w:val="24"/>
          <w:szCs w:val="24"/>
          <w:highlight w:val="none"/>
        </w:rPr>
      </w:pPr>
      <w:bookmarkStart w:id="10" w:name="_Toc25811"/>
      <w:bookmarkStart w:id="11" w:name="_Toc17521"/>
      <w:bookmarkStart w:id="12" w:name="_Toc25647"/>
      <w:bookmarkStart w:id="13" w:name="_Toc6192"/>
      <w:bookmarkStart w:id="14" w:name="_Toc14645"/>
      <w:bookmarkStart w:id="15" w:name="_Toc3197"/>
      <w:r>
        <w:rPr>
          <w:rFonts w:hint="eastAsia" w:ascii="仿宋" w:hAnsi="仿宋" w:eastAsia="仿宋" w:cs="仿宋"/>
          <w:b/>
          <w:bCs w:val="0"/>
          <w:color w:val="000000"/>
          <w:sz w:val="24"/>
          <w:szCs w:val="24"/>
          <w:highlight w:val="none"/>
        </w:rPr>
        <w:t>一、项目基本情况</w:t>
      </w:r>
      <w:bookmarkEnd w:id="5"/>
      <w:bookmarkEnd w:id="6"/>
      <w:bookmarkEnd w:id="7"/>
      <w:bookmarkEnd w:id="8"/>
      <w:bookmarkEnd w:id="10"/>
      <w:bookmarkEnd w:id="11"/>
      <w:bookmarkEnd w:id="12"/>
      <w:bookmarkEnd w:id="13"/>
      <w:bookmarkEnd w:id="14"/>
      <w:bookmarkEnd w:id="15"/>
    </w:p>
    <w:p w14:paraId="2F06C2AB">
      <w:pPr>
        <w:autoSpaceDE w:val="0"/>
        <w:autoSpaceDN w:val="0"/>
        <w:adjustRightInd w:val="0"/>
        <w:spacing w:line="360" w:lineRule="auto"/>
        <w:ind w:firstLine="480" w:firstLineChars="200"/>
        <w:jc w:val="left"/>
        <w:rPr>
          <w:rFonts w:hint="eastAsia" w:ascii="仿宋" w:hAnsi="仿宋" w:eastAsia="仿宋" w:cs="仿宋"/>
          <w:color w:val="000000"/>
          <w:kern w:val="0"/>
          <w:highlight w:val="none"/>
          <w:lang w:val="en-US" w:eastAsia="zh-CN"/>
        </w:rPr>
      </w:pPr>
      <w:r>
        <w:rPr>
          <w:rFonts w:hint="eastAsia" w:ascii="仿宋" w:hAnsi="仿宋" w:eastAsia="仿宋" w:cs="仿宋"/>
          <w:color w:val="000000"/>
          <w:highlight w:val="none"/>
        </w:rPr>
        <w:t>项目编号：</w:t>
      </w:r>
      <w:r>
        <w:rPr>
          <w:rFonts w:hint="eastAsia" w:ascii="仿宋" w:hAnsi="仿宋" w:eastAsia="仿宋" w:cs="仿宋"/>
          <w:color w:val="000000"/>
          <w:kern w:val="0"/>
          <w:highlight w:val="none"/>
          <w:lang w:val="en-US" w:eastAsia="zh-CN"/>
        </w:rPr>
        <w:t>青海科越竞磋（服务）2025-018</w:t>
      </w:r>
    </w:p>
    <w:p w14:paraId="632967F7">
      <w:pPr>
        <w:autoSpaceDE w:val="0"/>
        <w:autoSpaceDN w:val="0"/>
        <w:adjustRightInd w:val="0"/>
        <w:spacing w:line="360" w:lineRule="auto"/>
        <w:ind w:firstLine="48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项目名称：</w:t>
      </w:r>
      <w:bookmarkEnd w:id="9"/>
      <w:r>
        <w:rPr>
          <w:rFonts w:hint="eastAsia" w:ascii="仿宋" w:hAnsi="仿宋" w:eastAsia="仿宋" w:cs="仿宋"/>
          <w:color w:val="auto"/>
          <w:highlight w:val="none"/>
          <w:lang w:eastAsia="zh-CN"/>
        </w:rPr>
        <w:t>西宁市湟中区云谷川流域主河道及其东河、马圈沟等5条主要排涝通道能力提升建设项目(监理）</w:t>
      </w:r>
    </w:p>
    <w:p w14:paraId="0370671F">
      <w:pPr>
        <w:autoSpaceDE w:val="0"/>
        <w:autoSpaceDN w:val="0"/>
        <w:adjustRightInd w:val="0"/>
        <w:spacing w:line="360" w:lineRule="auto"/>
        <w:ind w:firstLine="480" w:firstLineChars="200"/>
        <w:jc w:val="left"/>
        <w:rPr>
          <w:rFonts w:hint="eastAsia" w:ascii="仿宋" w:hAnsi="仿宋" w:eastAsia="仿宋" w:cs="仿宋"/>
          <w:i w:val="0"/>
          <w:iCs w:val="0"/>
          <w:color w:val="000000"/>
          <w:sz w:val="24"/>
          <w:szCs w:val="24"/>
          <w:highlight w:val="yellow"/>
          <w:lang w:val="en-US" w:eastAsia="zh-CN"/>
        </w:rPr>
      </w:pPr>
      <w:r>
        <w:rPr>
          <w:rFonts w:hint="eastAsia" w:ascii="仿宋" w:hAnsi="仿宋" w:eastAsia="仿宋" w:cs="仿宋"/>
          <w:color w:val="000000"/>
          <w:highlight w:val="none"/>
        </w:rPr>
        <w:t>预算金额：</w:t>
      </w:r>
      <w:r>
        <w:rPr>
          <w:rFonts w:hint="eastAsia" w:ascii="仿宋" w:hAnsi="仿宋" w:eastAsia="仿宋" w:cs="仿宋"/>
          <w:color w:val="000000"/>
          <w:kern w:val="0"/>
          <w:highlight w:val="none"/>
          <w:lang w:val="en-US" w:eastAsia="zh-CN"/>
        </w:rPr>
        <w:t>981600.00</w:t>
      </w:r>
      <w:r>
        <w:rPr>
          <w:rFonts w:hint="eastAsia" w:ascii="仿宋" w:hAnsi="仿宋" w:eastAsia="仿宋" w:cs="仿宋"/>
          <w:i w:val="0"/>
          <w:iCs w:val="0"/>
          <w:color w:val="000000"/>
          <w:sz w:val="24"/>
          <w:szCs w:val="24"/>
          <w:highlight w:val="none"/>
          <w:lang w:val="en-US" w:eastAsia="zh-CN"/>
        </w:rPr>
        <w:t>元</w:t>
      </w:r>
    </w:p>
    <w:p w14:paraId="035C61CD">
      <w:pPr>
        <w:autoSpaceDE w:val="0"/>
        <w:autoSpaceDN w:val="0"/>
        <w:adjustRightInd w:val="0"/>
        <w:spacing w:line="360" w:lineRule="auto"/>
        <w:ind w:firstLine="480" w:firstLineChars="200"/>
        <w:jc w:val="left"/>
        <w:rPr>
          <w:rFonts w:hint="default" w:ascii="仿宋" w:hAnsi="仿宋" w:eastAsia="仿宋" w:cs="仿宋"/>
          <w:i w:val="0"/>
          <w:iCs w:val="0"/>
          <w:color w:val="000000"/>
          <w:sz w:val="24"/>
          <w:szCs w:val="24"/>
          <w:highlight w:val="none"/>
          <w:lang w:val="en-US" w:eastAsia="zh-CN"/>
        </w:rPr>
      </w:pPr>
      <w:r>
        <w:rPr>
          <w:rFonts w:hint="eastAsia" w:ascii="仿宋" w:hAnsi="仿宋" w:eastAsia="仿宋" w:cs="仿宋"/>
          <w:color w:val="000000"/>
          <w:highlight w:val="none"/>
        </w:rPr>
        <w:t>最高限价</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981600.00元</w:t>
      </w:r>
    </w:p>
    <w:p w14:paraId="675879C9">
      <w:pPr>
        <w:autoSpaceDE w:val="0"/>
        <w:autoSpaceDN w:val="0"/>
        <w:adjustRightInd w:val="0"/>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采购需求：</w:t>
      </w:r>
      <w:r>
        <w:rPr>
          <w:rFonts w:hint="eastAsia" w:ascii="仿宋" w:hAnsi="仿宋" w:eastAsia="仿宋" w:cs="仿宋"/>
          <w:color w:val="000000"/>
          <w:highlight w:val="none"/>
          <w:lang w:eastAsia="zh-CN"/>
        </w:rPr>
        <w:t>西宁市湟中区云谷川流域主河道及其东河、马圈沟等5条主要排涝通道能力提升建设项目</w:t>
      </w:r>
      <w:r>
        <w:rPr>
          <w:rFonts w:hint="eastAsia" w:ascii="仿宋" w:hAnsi="仿宋" w:eastAsia="仿宋" w:cs="仿宋"/>
          <w:color w:val="000000"/>
          <w:highlight w:val="none"/>
          <w:lang w:val="en-US" w:eastAsia="zh-CN"/>
        </w:rPr>
        <w:t>工程监理服务；</w:t>
      </w:r>
      <w:r>
        <w:rPr>
          <w:rFonts w:hint="eastAsia" w:ascii="仿宋" w:hAnsi="仿宋" w:eastAsia="仿宋" w:cs="仿宋"/>
          <w:color w:val="000000"/>
          <w:highlight w:val="none"/>
        </w:rPr>
        <w:t>详见</w:t>
      </w:r>
      <w:r>
        <w:rPr>
          <w:rFonts w:hint="eastAsia" w:ascii="仿宋" w:hAnsi="仿宋" w:eastAsia="仿宋" w:cs="仿宋"/>
          <w:color w:val="000000"/>
          <w:highlight w:val="none"/>
          <w:lang w:eastAsia="zh-CN"/>
        </w:rPr>
        <w:t>竞争性磋商文件</w:t>
      </w:r>
    </w:p>
    <w:p w14:paraId="3B6FC616">
      <w:pPr>
        <w:autoSpaceDE w:val="0"/>
        <w:autoSpaceDN w:val="0"/>
        <w:adjustRightInd w:val="0"/>
        <w:spacing w:line="360" w:lineRule="auto"/>
        <w:ind w:firstLine="480" w:firstLineChars="200"/>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标项名称：</w:t>
      </w:r>
      <w:r>
        <w:rPr>
          <w:rFonts w:hint="eastAsia" w:ascii="仿宋" w:hAnsi="仿宋" w:eastAsia="仿宋" w:cs="仿宋"/>
          <w:color w:val="000000"/>
          <w:highlight w:val="none"/>
          <w:lang w:eastAsia="zh-CN"/>
        </w:rPr>
        <w:t>西宁市湟中区云谷川流域主河道及其东河、马圈沟等5条主要排涝通道能力提升建设项目(监理）</w:t>
      </w:r>
    </w:p>
    <w:p w14:paraId="4716B016">
      <w:pPr>
        <w:autoSpaceDE w:val="0"/>
        <w:autoSpaceDN w:val="0"/>
        <w:adjustRightInd w:val="0"/>
        <w:spacing w:line="360" w:lineRule="auto"/>
        <w:ind w:firstLine="480" w:firstLineChars="200"/>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数量：详见</w:t>
      </w:r>
      <w:r>
        <w:rPr>
          <w:rFonts w:hint="eastAsia" w:ascii="仿宋" w:hAnsi="仿宋" w:eastAsia="仿宋" w:cs="仿宋"/>
          <w:color w:val="000000"/>
          <w:highlight w:val="none"/>
          <w:lang w:eastAsia="zh-CN"/>
        </w:rPr>
        <w:t>竞争性磋商文件</w:t>
      </w:r>
    </w:p>
    <w:p w14:paraId="096E1A56">
      <w:pPr>
        <w:autoSpaceDE w:val="0"/>
        <w:autoSpaceDN w:val="0"/>
        <w:adjustRightInd w:val="0"/>
        <w:spacing w:line="360" w:lineRule="auto"/>
        <w:ind w:firstLine="480" w:firstLineChars="200"/>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简要规格描述或项目基本概况介绍、用途：详见</w:t>
      </w:r>
      <w:r>
        <w:rPr>
          <w:rFonts w:hint="eastAsia" w:ascii="仿宋" w:hAnsi="仿宋" w:eastAsia="仿宋" w:cs="仿宋"/>
          <w:color w:val="000000"/>
          <w:highlight w:val="none"/>
          <w:lang w:eastAsia="zh-CN"/>
        </w:rPr>
        <w:t>竞争性磋商文件</w:t>
      </w:r>
    </w:p>
    <w:p w14:paraId="66854B47">
      <w:pPr>
        <w:autoSpaceDE w:val="0"/>
        <w:autoSpaceDN w:val="0"/>
        <w:adjustRightInd w:val="0"/>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备注：</w:t>
      </w:r>
    </w:p>
    <w:p w14:paraId="39B1A6BF">
      <w:pPr>
        <w:autoSpaceDE w:val="0"/>
        <w:autoSpaceDN w:val="0"/>
        <w:adjustRightIn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期限：</w:t>
      </w:r>
      <w:r>
        <w:rPr>
          <w:rFonts w:hint="eastAsia" w:ascii="仿宋" w:hAnsi="仿宋" w:eastAsia="仿宋" w:cs="仿宋"/>
          <w:highlight w:val="none"/>
          <w:lang w:val="zh-CN"/>
        </w:rPr>
        <w:t>同施工工期</w:t>
      </w:r>
    </w:p>
    <w:p w14:paraId="53946723">
      <w:pPr>
        <w:pStyle w:val="3"/>
        <w:spacing w:before="200" w:after="200" w:line="360" w:lineRule="auto"/>
        <w:jc w:val="left"/>
        <w:rPr>
          <w:rFonts w:hint="eastAsia" w:ascii="仿宋" w:hAnsi="仿宋" w:eastAsia="仿宋" w:cs="仿宋"/>
          <w:b/>
          <w:bCs w:val="0"/>
          <w:color w:val="000000"/>
          <w:sz w:val="24"/>
          <w:szCs w:val="24"/>
          <w:highlight w:val="none"/>
        </w:rPr>
      </w:pPr>
      <w:bookmarkStart w:id="16" w:name="_Toc28359003"/>
      <w:bookmarkStart w:id="17" w:name="_Toc8213"/>
      <w:bookmarkStart w:id="18" w:name="_Toc28359080"/>
      <w:bookmarkStart w:id="19" w:name="_Toc35393622"/>
      <w:bookmarkStart w:id="20" w:name="_Toc21352"/>
      <w:bookmarkStart w:id="21" w:name="_Toc5095"/>
      <w:bookmarkStart w:id="22" w:name="_Toc14885"/>
      <w:bookmarkStart w:id="23" w:name="_Toc35393791"/>
      <w:bookmarkStart w:id="24" w:name="_Toc12071"/>
      <w:bookmarkStart w:id="25" w:name="_Toc13419"/>
      <w:r>
        <w:rPr>
          <w:rFonts w:hint="eastAsia" w:ascii="仿宋" w:hAnsi="仿宋" w:eastAsia="仿宋" w:cs="仿宋"/>
          <w:b/>
          <w:bCs w:val="0"/>
          <w:color w:val="000000"/>
          <w:sz w:val="24"/>
          <w:szCs w:val="24"/>
          <w:highlight w:val="none"/>
        </w:rPr>
        <w:t>二、申请人的资格要求</w:t>
      </w:r>
      <w:bookmarkEnd w:id="16"/>
      <w:bookmarkEnd w:id="17"/>
      <w:bookmarkEnd w:id="18"/>
      <w:bookmarkEnd w:id="19"/>
      <w:bookmarkEnd w:id="20"/>
      <w:bookmarkEnd w:id="21"/>
      <w:bookmarkEnd w:id="22"/>
      <w:bookmarkEnd w:id="23"/>
      <w:bookmarkEnd w:id="24"/>
      <w:bookmarkEnd w:id="25"/>
    </w:p>
    <w:p w14:paraId="2EB3298D">
      <w:pPr>
        <w:autoSpaceDE w:val="0"/>
        <w:autoSpaceDN w:val="0"/>
        <w:spacing w:line="360" w:lineRule="auto"/>
        <w:ind w:firstLine="480" w:firstLineChars="200"/>
        <w:jc w:val="left"/>
        <w:rPr>
          <w:rFonts w:hint="eastAsia" w:ascii="仿宋" w:hAnsi="仿宋" w:eastAsia="仿宋" w:cs="仿宋"/>
          <w:color w:val="000000"/>
          <w:highlight w:val="none"/>
          <w:lang w:val="zh-CN"/>
        </w:rPr>
      </w:pPr>
      <w:bookmarkStart w:id="26" w:name="_Toc35393792"/>
      <w:bookmarkStart w:id="27" w:name="_Toc35393623"/>
      <w:bookmarkStart w:id="28" w:name="_Toc28359081"/>
      <w:bookmarkStart w:id="29" w:name="_Toc28359004"/>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lang w:val="zh-CN"/>
        </w:rPr>
        <w:t>符合《中华人民共和国政府采购法》第二十二条条件，并提供下列材料：</w:t>
      </w:r>
    </w:p>
    <w:p w14:paraId="7BC8C0E9">
      <w:pPr>
        <w:autoSpaceDE w:val="0"/>
        <w:autoSpaceDN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w:t>
      </w: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lang w:val="zh-CN"/>
        </w:rPr>
        <w:t>供应商的营业执照等证明文件，自然人的身份证明。</w:t>
      </w:r>
    </w:p>
    <w:p w14:paraId="288BD048">
      <w:pPr>
        <w:autoSpaceDE w:val="0"/>
        <w:autoSpaceDN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lang w:val="zh-CN"/>
        </w:rPr>
        <w:t>财务状况报告，依法缴纳税收和社会保障资金的相关材料。</w:t>
      </w:r>
    </w:p>
    <w:p w14:paraId="2842912B">
      <w:pPr>
        <w:autoSpaceDE w:val="0"/>
        <w:autoSpaceDN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lang w:val="zh-CN"/>
        </w:rPr>
        <w:t>具备履行合同所必需的设备和专业技术能力的证明材料。</w:t>
      </w:r>
    </w:p>
    <w:p w14:paraId="14144BF5">
      <w:pPr>
        <w:autoSpaceDE w:val="0"/>
        <w:autoSpaceDN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lang w:val="zh-CN"/>
        </w:rPr>
        <w:t>参加政府采购活动前3年内在经营活动中没有重大违法记录的书面声明。</w:t>
      </w:r>
    </w:p>
    <w:p w14:paraId="0B714E0B">
      <w:pPr>
        <w:autoSpaceDE w:val="0"/>
        <w:autoSpaceDN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lang w:val="zh-CN"/>
        </w:rPr>
        <w:t>具备法律、行政法规规定的其他条件的证明材料。</w:t>
      </w:r>
    </w:p>
    <w:p w14:paraId="5344DE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en-US" w:eastAsia="zh-CN"/>
        </w:rPr>
        <w:t>2.根据《政府采购促进中小企业发展管理办法》（财库〔2020〕46 号）和《财政部关于进一步加大政府采购支持中小企业力度的通知》（财库〔2022〕19 号），本项目为专门面向中小企业采购。</w:t>
      </w:r>
    </w:p>
    <w:p w14:paraId="4E24BAB1">
      <w:pPr>
        <w:autoSpaceDE w:val="0"/>
        <w:autoSpaceDN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lang w:val="zh-CN"/>
        </w:rPr>
        <w:t>单位负责人为同一人或者存在直接控股、管理关系的不同供应商，不得参加同一合同项下的政府采购活动。否则，皆取消</w:t>
      </w:r>
      <w:r>
        <w:rPr>
          <w:rFonts w:hint="eastAsia" w:ascii="仿宋" w:hAnsi="仿宋" w:eastAsia="仿宋" w:cs="仿宋"/>
          <w:color w:val="000000"/>
          <w:highlight w:val="none"/>
          <w:lang w:val="en-US" w:eastAsia="zh-CN"/>
        </w:rPr>
        <w:t>磋商</w:t>
      </w:r>
      <w:r>
        <w:rPr>
          <w:rFonts w:hint="eastAsia" w:ascii="仿宋" w:hAnsi="仿宋" w:eastAsia="仿宋" w:cs="仿宋"/>
          <w:color w:val="000000"/>
          <w:highlight w:val="none"/>
          <w:lang w:val="zh-CN"/>
        </w:rPr>
        <w:t>资格；</w:t>
      </w:r>
    </w:p>
    <w:p w14:paraId="320CEC2D">
      <w:pPr>
        <w:autoSpaceDE w:val="0"/>
        <w:autoSpaceDN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lang w:val="zh-CN"/>
        </w:rPr>
        <w:t>为本采购项目提供整体设计、规范编制或者项目管理、监理、检测等服务的供应商，不得再参加该采购项目的其他采购活动；</w:t>
      </w:r>
    </w:p>
    <w:p w14:paraId="453F01DE">
      <w:pPr>
        <w:autoSpaceDE w:val="0"/>
        <w:autoSpaceDN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lang w:val="zh-CN"/>
        </w:rPr>
        <w:t>本项目</w:t>
      </w:r>
      <w:r>
        <w:rPr>
          <w:rFonts w:hint="eastAsia" w:ascii="仿宋" w:hAnsi="仿宋" w:eastAsia="仿宋" w:cs="仿宋"/>
          <w:color w:val="000000"/>
          <w:highlight w:val="none"/>
          <w:lang w:val="en-US" w:eastAsia="zh-CN"/>
        </w:rPr>
        <w:t>不</w:t>
      </w:r>
      <w:r>
        <w:rPr>
          <w:rFonts w:hint="eastAsia" w:ascii="仿宋" w:hAnsi="仿宋" w:eastAsia="仿宋" w:cs="仿宋"/>
          <w:color w:val="000000"/>
          <w:highlight w:val="none"/>
          <w:lang w:val="zh-CN"/>
        </w:rPr>
        <w:t>接受联合体投标；</w:t>
      </w:r>
    </w:p>
    <w:p w14:paraId="0682FD9F">
      <w:pPr>
        <w:autoSpaceDE w:val="0"/>
        <w:autoSpaceDN w:val="0"/>
        <w:spacing w:line="360" w:lineRule="auto"/>
        <w:ind w:firstLine="48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lang w:val="zh-CN"/>
        </w:rPr>
        <w:t>经信用中国（www.creditchina.gov.cn）、中国政府采购网（www.ccgp.gov.cn）等渠道查询后，列入失信被执行人、重大税收违法案件当事人名单、政府采购严重违法失信行为记录名单的，取消</w:t>
      </w:r>
      <w:r>
        <w:rPr>
          <w:rFonts w:hint="eastAsia" w:ascii="仿宋" w:hAnsi="仿宋" w:eastAsia="仿宋" w:cs="仿宋"/>
          <w:color w:val="000000"/>
          <w:highlight w:val="none"/>
          <w:lang w:val="en-US" w:eastAsia="zh-CN"/>
        </w:rPr>
        <w:t>磋商</w:t>
      </w:r>
      <w:r>
        <w:rPr>
          <w:rFonts w:hint="eastAsia" w:ascii="仿宋" w:hAnsi="仿宋" w:eastAsia="仿宋" w:cs="仿宋"/>
          <w:color w:val="000000"/>
          <w:highlight w:val="none"/>
          <w:lang w:val="zh-CN"/>
        </w:rPr>
        <w:t>资格</w:t>
      </w:r>
      <w:r>
        <w:rPr>
          <w:rFonts w:hint="eastAsia" w:ascii="仿宋" w:hAnsi="仿宋" w:eastAsia="仿宋" w:cs="仿宋"/>
          <w:color w:val="auto"/>
          <w:highlight w:val="none"/>
          <w:lang w:val="zh-CN"/>
        </w:rPr>
        <w:t>；</w:t>
      </w:r>
    </w:p>
    <w:p w14:paraId="578C158A">
      <w:pPr>
        <w:autoSpaceDE w:val="0"/>
        <w:autoSpaceDN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kern w:val="2"/>
          <w:sz w:val="24"/>
          <w:szCs w:val="24"/>
          <w:highlight w:val="none"/>
          <w:lang w:val="en-US" w:eastAsia="zh-CN" w:bidi="ar-SA"/>
        </w:rPr>
        <w:t>7.供应商须</w:t>
      </w:r>
      <w:r>
        <w:rPr>
          <w:rFonts w:hint="eastAsia" w:ascii="仿宋" w:hAnsi="仿宋" w:eastAsia="仿宋" w:cs="仿宋"/>
          <w:color w:val="auto"/>
          <w:kern w:val="2"/>
          <w:sz w:val="24"/>
          <w:szCs w:val="24"/>
          <w:highlight w:val="none"/>
          <w:lang w:val="zh-CN" w:eastAsia="zh-CN" w:bidi="ar-SA"/>
        </w:rPr>
        <w:t>具备[工程监理·专业资质·水利水电工程·水利水电工程丙级](含)以上资质</w:t>
      </w:r>
      <w:r>
        <w:rPr>
          <w:rFonts w:hint="eastAsia" w:ascii="仿宋" w:hAnsi="仿宋" w:eastAsia="仿宋" w:cs="仿宋"/>
          <w:color w:val="auto"/>
          <w:sz w:val="24"/>
          <w:szCs w:val="32"/>
          <w:highlight w:val="none"/>
          <w:lang w:val="en-US" w:eastAsia="zh-CN"/>
        </w:rPr>
        <w:t>，并在人员资格、业绩、试验检测仪器设备方面具有相应的监理能力。</w:t>
      </w:r>
    </w:p>
    <w:p w14:paraId="4D14E915">
      <w:pPr>
        <w:autoSpaceDE w:val="0"/>
        <w:autoSpaceDN w:val="0"/>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8.总监理工程师须具备需具备水利水电工程注册监理工程师资格(含)以上专业注册监理工程师职业资格，总监理工程师应符合《青海省房屋建筑和市政基础设施工程项目经理和总监理工程师在岗履职管理规定（试行）》（青建工〔2019〕325号）的相关要求，总监理工程师是指已取得监理工程师注册证书和执业印章，由企业法定代表人任命，经过实名制认证，并录入青海省工程建设和信用管理平台，负责履行建设工程监理合同、主持项目监理机构工作的监理负责人。</w:t>
      </w:r>
    </w:p>
    <w:p w14:paraId="493F6166">
      <w:pPr>
        <w:autoSpaceDE w:val="0"/>
        <w:autoSpaceDN w:val="0"/>
        <w:spacing w:line="360" w:lineRule="auto"/>
        <w:ind w:firstLine="480" w:firstLineChars="200"/>
        <w:rPr>
          <w:rFonts w:hint="eastAsia" w:ascii="仿宋" w:hAnsi="仿宋" w:eastAsia="仿宋" w:cs="仿宋"/>
          <w:color w:val="auto"/>
          <w:sz w:val="24"/>
          <w:szCs w:val="32"/>
          <w:highlight w:val="none"/>
          <w:lang w:val="zh-CN" w:eastAsia="zh-CN"/>
        </w:rPr>
      </w:pPr>
      <w:r>
        <w:rPr>
          <w:rFonts w:hint="eastAsia" w:ascii="仿宋" w:hAnsi="仿宋" w:eastAsia="仿宋" w:cs="仿宋"/>
          <w:color w:val="auto"/>
          <w:sz w:val="24"/>
          <w:szCs w:val="32"/>
          <w:highlight w:val="none"/>
          <w:lang w:val="en-US" w:eastAsia="zh-CN"/>
        </w:rPr>
        <w:t>9.企业注册地不在青海省辖区内的，应提供青海省省外建设工程企业信息登记册。省外进青企业登记应符合省级住房城乡建设主管部门的有关规定。</w:t>
      </w:r>
    </w:p>
    <w:p w14:paraId="72C29D48">
      <w:pPr>
        <w:pStyle w:val="3"/>
        <w:keepNext/>
        <w:keepLines/>
        <w:pageBreakBefore w:val="0"/>
        <w:widowControl w:val="0"/>
        <w:kinsoku/>
        <w:wordWrap/>
        <w:overflowPunct/>
        <w:topLinePunct w:val="0"/>
        <w:autoSpaceDE/>
        <w:autoSpaceDN/>
        <w:bidi w:val="0"/>
        <w:adjustRightInd/>
        <w:snapToGrid/>
        <w:spacing w:before="200" w:after="200" w:line="360" w:lineRule="auto"/>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rPr>
        <w:t>三</w:t>
      </w:r>
      <w:r>
        <w:rPr>
          <w:rFonts w:hint="eastAsia" w:ascii="仿宋" w:hAnsi="仿宋" w:eastAsia="仿宋" w:cs="仿宋"/>
          <w:b/>
          <w:bCs w:val="0"/>
          <w:color w:val="000000"/>
          <w:sz w:val="24"/>
          <w:szCs w:val="24"/>
          <w:highlight w:val="none"/>
          <w:lang w:val="en-US" w:eastAsia="zh-CN"/>
        </w:rPr>
        <w:t>、获取</w:t>
      </w:r>
      <w:bookmarkEnd w:id="26"/>
      <w:bookmarkEnd w:id="27"/>
      <w:bookmarkEnd w:id="28"/>
      <w:bookmarkEnd w:id="29"/>
      <w:r>
        <w:rPr>
          <w:rFonts w:hint="eastAsia" w:ascii="仿宋" w:hAnsi="仿宋" w:eastAsia="仿宋" w:cs="仿宋"/>
          <w:b/>
          <w:bCs w:val="0"/>
          <w:color w:val="000000"/>
          <w:sz w:val="24"/>
          <w:szCs w:val="24"/>
          <w:highlight w:val="none"/>
          <w:lang w:val="en-US" w:eastAsia="zh-CN"/>
        </w:rPr>
        <w:t>竞争性磋商文件</w:t>
      </w:r>
    </w:p>
    <w:p w14:paraId="0C817F10">
      <w:pPr>
        <w:autoSpaceDE w:val="0"/>
        <w:autoSpaceDN w:val="0"/>
        <w:adjustRightInd w:val="0"/>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rPr>
        <w:t>时间：</w:t>
      </w:r>
      <w:r>
        <w:rPr>
          <w:rFonts w:hint="eastAsia" w:ascii="仿宋" w:hAnsi="仿宋" w:eastAsia="仿宋" w:cs="仿宋"/>
          <w:i w:val="0"/>
          <w:iCs w:val="0"/>
          <w:color w:val="000000"/>
          <w:sz w:val="24"/>
          <w:szCs w:val="24"/>
          <w:highlight w:val="none"/>
        </w:rPr>
        <w:t>202</w:t>
      </w:r>
      <w:r>
        <w:rPr>
          <w:rFonts w:hint="eastAsia" w:ascii="仿宋" w:hAnsi="仿宋" w:eastAsia="仿宋" w:cs="仿宋"/>
          <w:i w:val="0"/>
          <w:iCs w:val="0"/>
          <w:color w:val="000000"/>
          <w:sz w:val="24"/>
          <w:szCs w:val="24"/>
          <w:highlight w:val="none"/>
          <w:lang w:val="en-US" w:eastAsia="zh-CN"/>
        </w:rPr>
        <w:t>5</w:t>
      </w:r>
      <w:r>
        <w:rPr>
          <w:rFonts w:hint="eastAsia" w:ascii="仿宋" w:hAnsi="仿宋" w:eastAsia="仿宋" w:cs="仿宋"/>
          <w:i w:val="0"/>
          <w:iCs w:val="0"/>
          <w:color w:val="000000"/>
          <w:sz w:val="24"/>
          <w:szCs w:val="24"/>
          <w:highlight w:val="none"/>
          <w:lang w:val="zh-CN"/>
        </w:rPr>
        <w:t>年</w:t>
      </w:r>
      <w:r>
        <w:rPr>
          <w:rFonts w:hint="eastAsia" w:ascii="仿宋" w:hAnsi="仿宋" w:eastAsia="仿宋" w:cs="仿宋"/>
          <w:i w:val="0"/>
          <w:iCs w:val="0"/>
          <w:color w:val="000000"/>
          <w:sz w:val="24"/>
          <w:szCs w:val="24"/>
          <w:highlight w:val="none"/>
          <w:lang w:val="en-US" w:eastAsia="zh-CN"/>
        </w:rPr>
        <w:t>07</w:t>
      </w:r>
      <w:r>
        <w:rPr>
          <w:rFonts w:hint="eastAsia" w:ascii="仿宋" w:hAnsi="仿宋" w:eastAsia="仿宋" w:cs="仿宋"/>
          <w:i w:val="0"/>
          <w:iCs w:val="0"/>
          <w:color w:val="000000"/>
          <w:sz w:val="24"/>
          <w:szCs w:val="24"/>
          <w:highlight w:val="none"/>
          <w:lang w:val="zh-CN"/>
        </w:rPr>
        <w:t>月</w:t>
      </w:r>
      <w:r>
        <w:rPr>
          <w:rFonts w:hint="eastAsia" w:ascii="仿宋" w:hAnsi="仿宋" w:eastAsia="仿宋" w:cs="仿宋"/>
          <w:i w:val="0"/>
          <w:iCs w:val="0"/>
          <w:color w:val="000000"/>
          <w:sz w:val="24"/>
          <w:szCs w:val="24"/>
          <w:highlight w:val="none"/>
          <w:lang w:val="en-US" w:eastAsia="zh-CN"/>
        </w:rPr>
        <w:t>16</w:t>
      </w:r>
      <w:r>
        <w:rPr>
          <w:rFonts w:hint="eastAsia" w:ascii="仿宋" w:hAnsi="仿宋" w:eastAsia="仿宋" w:cs="仿宋"/>
          <w:i w:val="0"/>
          <w:iCs w:val="0"/>
          <w:color w:val="000000"/>
          <w:sz w:val="24"/>
          <w:szCs w:val="24"/>
          <w:highlight w:val="none"/>
          <w:lang w:val="zh-CN"/>
        </w:rPr>
        <w:t>日至</w:t>
      </w:r>
      <w:r>
        <w:rPr>
          <w:rFonts w:hint="eastAsia" w:ascii="仿宋" w:hAnsi="仿宋" w:eastAsia="仿宋" w:cs="仿宋"/>
          <w:i w:val="0"/>
          <w:iCs w:val="0"/>
          <w:color w:val="000000"/>
          <w:sz w:val="24"/>
          <w:szCs w:val="24"/>
          <w:highlight w:val="none"/>
          <w:lang w:val="en-US" w:eastAsia="zh-CN"/>
        </w:rPr>
        <w:t>2025年07</w:t>
      </w:r>
      <w:r>
        <w:rPr>
          <w:rFonts w:hint="eastAsia" w:ascii="仿宋" w:hAnsi="仿宋" w:eastAsia="仿宋" w:cs="仿宋"/>
          <w:i w:val="0"/>
          <w:iCs w:val="0"/>
          <w:color w:val="000000"/>
          <w:sz w:val="24"/>
          <w:szCs w:val="24"/>
          <w:highlight w:val="none"/>
          <w:lang w:val="zh-CN"/>
        </w:rPr>
        <w:t>月</w:t>
      </w:r>
      <w:r>
        <w:rPr>
          <w:rFonts w:hint="eastAsia" w:ascii="仿宋" w:hAnsi="仿宋" w:eastAsia="仿宋" w:cs="仿宋"/>
          <w:i w:val="0"/>
          <w:iCs w:val="0"/>
          <w:color w:val="000000"/>
          <w:sz w:val="24"/>
          <w:szCs w:val="24"/>
          <w:highlight w:val="none"/>
          <w:lang w:val="en-US" w:eastAsia="zh-CN"/>
        </w:rPr>
        <w:t>22</w:t>
      </w:r>
      <w:r>
        <w:rPr>
          <w:rFonts w:hint="eastAsia" w:ascii="仿宋" w:hAnsi="仿宋" w:eastAsia="仿宋" w:cs="仿宋"/>
          <w:i w:val="0"/>
          <w:iCs w:val="0"/>
          <w:color w:val="000000"/>
          <w:sz w:val="24"/>
          <w:szCs w:val="24"/>
          <w:highlight w:val="none"/>
          <w:lang w:val="zh-CN"/>
        </w:rPr>
        <w:t>日</w:t>
      </w:r>
      <w:r>
        <w:rPr>
          <w:rFonts w:hint="eastAsia" w:ascii="仿宋" w:hAnsi="仿宋" w:eastAsia="仿宋" w:cs="仿宋"/>
          <w:color w:val="000000"/>
          <w:highlight w:val="none"/>
          <w:lang w:val="zh-CN"/>
        </w:rPr>
        <w:t>，下午</w:t>
      </w:r>
      <w:r>
        <w:rPr>
          <w:rFonts w:hint="eastAsia" w:ascii="仿宋" w:hAnsi="仿宋" w:eastAsia="仿宋" w:cs="仿宋"/>
          <w:color w:val="000000"/>
          <w:highlight w:val="none"/>
          <w:lang w:val="en-US" w:eastAsia="zh-CN"/>
        </w:rPr>
        <w:t>00</w:t>
      </w:r>
      <w:r>
        <w:rPr>
          <w:rFonts w:hint="eastAsia" w:ascii="仿宋" w:hAnsi="仿宋" w:eastAsia="仿宋" w:cs="仿宋"/>
          <w:color w:val="000000"/>
          <w:highlight w:val="none"/>
          <w:lang w:val="zh-CN"/>
        </w:rPr>
        <w:t>:00-</w:t>
      </w:r>
      <w:r>
        <w:rPr>
          <w:rFonts w:hint="eastAsia" w:ascii="仿宋" w:hAnsi="仿宋" w:eastAsia="仿宋" w:cs="仿宋"/>
          <w:color w:val="000000"/>
          <w:highlight w:val="none"/>
          <w:lang w:val="en-US" w:eastAsia="zh-CN"/>
        </w:rPr>
        <w:t>12</w:t>
      </w:r>
      <w:r>
        <w:rPr>
          <w:rFonts w:hint="eastAsia" w:ascii="仿宋" w:hAnsi="仿宋" w:eastAsia="仿宋" w:cs="仿宋"/>
          <w:color w:val="000000"/>
          <w:highlight w:val="none"/>
          <w:lang w:val="zh-CN"/>
        </w:rPr>
        <w:t>:</w:t>
      </w:r>
      <w:r>
        <w:rPr>
          <w:rFonts w:hint="eastAsia" w:ascii="仿宋" w:hAnsi="仿宋" w:eastAsia="仿宋" w:cs="仿宋"/>
          <w:color w:val="000000"/>
          <w:highlight w:val="none"/>
          <w:lang w:val="en-US" w:eastAsia="zh-CN"/>
        </w:rPr>
        <w:t>0</w:t>
      </w:r>
      <w:r>
        <w:rPr>
          <w:rFonts w:hint="eastAsia" w:ascii="仿宋" w:hAnsi="仿宋" w:eastAsia="仿宋" w:cs="仿宋"/>
          <w:color w:val="000000"/>
          <w:highlight w:val="none"/>
          <w:lang w:val="zh-CN"/>
        </w:rPr>
        <w:t>0,下午</w:t>
      </w: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lang w:val="zh-CN"/>
        </w:rPr>
        <w:t>:</w:t>
      </w:r>
      <w:r>
        <w:rPr>
          <w:rFonts w:hint="eastAsia" w:ascii="仿宋" w:hAnsi="仿宋" w:eastAsia="仿宋" w:cs="仿宋"/>
          <w:color w:val="000000"/>
          <w:highlight w:val="none"/>
          <w:lang w:val="en-US" w:eastAsia="zh-CN"/>
        </w:rPr>
        <w:t>0</w:t>
      </w:r>
      <w:r>
        <w:rPr>
          <w:rFonts w:hint="eastAsia" w:ascii="仿宋" w:hAnsi="仿宋" w:eastAsia="仿宋" w:cs="仿宋"/>
          <w:color w:val="000000"/>
          <w:highlight w:val="none"/>
          <w:lang w:val="zh-CN"/>
        </w:rPr>
        <w:t>0-</w:t>
      </w:r>
      <w:r>
        <w:rPr>
          <w:rFonts w:hint="eastAsia" w:ascii="仿宋" w:hAnsi="仿宋" w:eastAsia="仿宋" w:cs="仿宋"/>
          <w:color w:val="000000"/>
          <w:highlight w:val="none"/>
          <w:lang w:val="en-US" w:eastAsia="zh-CN"/>
        </w:rPr>
        <w:t>23</w:t>
      </w:r>
      <w:r>
        <w:rPr>
          <w:rFonts w:hint="eastAsia" w:ascii="仿宋" w:hAnsi="仿宋" w:eastAsia="仿宋" w:cs="仿宋"/>
          <w:color w:val="000000"/>
          <w:highlight w:val="none"/>
          <w:lang w:val="zh-CN"/>
        </w:rPr>
        <w:t>:</w:t>
      </w:r>
      <w:r>
        <w:rPr>
          <w:rFonts w:hint="eastAsia" w:ascii="仿宋" w:hAnsi="仿宋" w:eastAsia="仿宋" w:cs="仿宋"/>
          <w:color w:val="000000"/>
          <w:highlight w:val="none"/>
          <w:lang w:val="en-US" w:eastAsia="zh-CN"/>
        </w:rPr>
        <w:t>59（北京时间，法定节假日除外）</w:t>
      </w:r>
    </w:p>
    <w:p w14:paraId="164EB9B6">
      <w:pPr>
        <w:autoSpaceDE w:val="0"/>
        <w:autoSpaceDN w:val="0"/>
        <w:spacing w:line="360" w:lineRule="auto"/>
        <w:ind w:firstLine="480" w:firstLineChars="200"/>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地点：线上获取通过政采云平台（www.zcygov.cn）获取 </w:t>
      </w:r>
    </w:p>
    <w:p w14:paraId="688283DD">
      <w:pPr>
        <w:autoSpaceDE w:val="0"/>
        <w:autoSpaceDN w:val="0"/>
        <w:spacing w:line="360" w:lineRule="auto"/>
        <w:ind w:firstLine="480" w:firstLineChars="200"/>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方式：供应商登录政采云平台https://www.zcygov.cn/在线申请获取采购文件（进入“项目采购”应用，在获取采购文件菜单中选择项目，申请获取采购文件） </w:t>
      </w:r>
    </w:p>
    <w:p w14:paraId="28F41153">
      <w:pPr>
        <w:autoSpaceDE w:val="0"/>
        <w:autoSpaceDN w:val="0"/>
        <w:spacing w:line="360" w:lineRule="auto"/>
        <w:ind w:firstLine="480" w:firstLineChars="2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zh-CN"/>
        </w:rPr>
        <w:t>售价（元）：</w:t>
      </w:r>
      <w:r>
        <w:rPr>
          <w:rFonts w:hint="eastAsia" w:ascii="仿宋" w:hAnsi="仿宋" w:eastAsia="仿宋" w:cs="仿宋"/>
          <w:color w:val="000000"/>
          <w:highlight w:val="none"/>
          <w:lang w:val="en-US" w:eastAsia="zh-CN"/>
        </w:rPr>
        <w:t>0</w:t>
      </w:r>
    </w:p>
    <w:p w14:paraId="4B6B1D8F">
      <w:pPr>
        <w:pStyle w:val="3"/>
        <w:keepNext/>
        <w:keepLines/>
        <w:pageBreakBefore w:val="0"/>
        <w:widowControl w:val="0"/>
        <w:kinsoku/>
        <w:wordWrap/>
        <w:overflowPunct/>
        <w:topLinePunct w:val="0"/>
        <w:autoSpaceDE/>
        <w:autoSpaceDN/>
        <w:bidi w:val="0"/>
        <w:adjustRightInd/>
        <w:snapToGrid/>
        <w:spacing w:before="200" w:after="200" w:line="360" w:lineRule="auto"/>
        <w:jc w:val="left"/>
        <w:textAlignment w:val="auto"/>
        <w:rPr>
          <w:rFonts w:hint="eastAsia" w:ascii="仿宋" w:hAnsi="仿宋" w:eastAsia="仿宋" w:cs="仿宋"/>
          <w:b w:val="0"/>
          <w:color w:val="000000"/>
          <w:sz w:val="24"/>
          <w:szCs w:val="24"/>
          <w:highlight w:val="none"/>
        </w:rPr>
      </w:pPr>
      <w:bookmarkStart w:id="30" w:name="_Toc28359082"/>
      <w:bookmarkStart w:id="31" w:name="_Toc28359005"/>
      <w:bookmarkStart w:id="32" w:name="_Toc13139"/>
      <w:bookmarkStart w:id="33" w:name="_Toc4841"/>
      <w:bookmarkStart w:id="34" w:name="_Toc24000"/>
      <w:bookmarkStart w:id="35" w:name="_Toc35393624"/>
      <w:bookmarkStart w:id="36" w:name="_Toc35393793"/>
      <w:bookmarkStart w:id="37" w:name="_Toc950"/>
      <w:bookmarkStart w:id="38" w:name="_Toc3119"/>
      <w:bookmarkStart w:id="39" w:name="_Toc2918"/>
      <w:r>
        <w:rPr>
          <w:rFonts w:hint="eastAsia" w:ascii="仿宋" w:hAnsi="仿宋" w:eastAsia="仿宋" w:cs="仿宋"/>
          <w:b/>
          <w:bCs w:val="0"/>
          <w:color w:val="000000"/>
          <w:sz w:val="24"/>
          <w:szCs w:val="24"/>
          <w:highlight w:val="none"/>
        </w:rPr>
        <w:t>四、</w:t>
      </w:r>
      <w:r>
        <w:rPr>
          <w:rFonts w:hint="eastAsia" w:ascii="仿宋" w:hAnsi="仿宋" w:eastAsia="仿宋" w:cs="仿宋"/>
          <w:b/>
          <w:bCs w:val="0"/>
          <w:color w:val="000000"/>
          <w:kern w:val="2"/>
          <w:sz w:val="24"/>
          <w:szCs w:val="24"/>
          <w:highlight w:val="none"/>
          <w:lang w:val="en-US" w:eastAsia="zh-CN" w:bidi="ar-SA"/>
        </w:rPr>
        <w:t>提</w:t>
      </w:r>
      <w:r>
        <w:rPr>
          <w:rFonts w:hint="eastAsia" w:ascii="仿宋" w:hAnsi="仿宋" w:eastAsia="仿宋" w:cs="仿宋"/>
          <w:b/>
          <w:bCs/>
          <w:color w:val="000000"/>
          <w:kern w:val="2"/>
          <w:sz w:val="24"/>
          <w:szCs w:val="24"/>
          <w:highlight w:val="none"/>
          <w:lang w:val="en-US" w:eastAsia="zh-CN" w:bidi="ar-SA"/>
        </w:rPr>
        <w:t>交</w:t>
      </w:r>
      <w:bookmarkEnd w:id="30"/>
      <w:bookmarkEnd w:id="31"/>
      <w:r>
        <w:rPr>
          <w:rFonts w:hint="eastAsia" w:ascii="仿宋" w:hAnsi="仿宋" w:eastAsia="仿宋" w:cs="仿宋"/>
          <w:b/>
          <w:bCs/>
          <w:color w:val="000000"/>
          <w:kern w:val="2"/>
          <w:sz w:val="24"/>
          <w:szCs w:val="24"/>
          <w:highlight w:val="none"/>
          <w:lang w:val="en-US" w:eastAsia="zh-CN" w:bidi="ar-SA"/>
        </w:rPr>
        <w:t>磋商响应文件截止时间、开标时间和地点</w:t>
      </w:r>
      <w:bookmarkEnd w:id="32"/>
      <w:bookmarkEnd w:id="33"/>
      <w:bookmarkEnd w:id="34"/>
      <w:bookmarkEnd w:id="35"/>
      <w:bookmarkEnd w:id="36"/>
      <w:bookmarkEnd w:id="37"/>
      <w:bookmarkEnd w:id="38"/>
      <w:bookmarkEnd w:id="39"/>
    </w:p>
    <w:p w14:paraId="798BD4EC">
      <w:pPr>
        <w:spacing w:line="360" w:lineRule="auto"/>
        <w:ind w:firstLine="480" w:firstLineChars="200"/>
        <w:jc w:val="left"/>
        <w:rPr>
          <w:rFonts w:hint="eastAsia" w:ascii="仿宋" w:hAnsi="仿宋" w:eastAsia="仿宋" w:cs="仿宋"/>
          <w:bCs/>
          <w:color w:val="000000"/>
          <w:highlight w:val="none"/>
          <w:u w:val="single"/>
        </w:rPr>
      </w:pPr>
      <w:r>
        <w:rPr>
          <w:rFonts w:hint="eastAsia" w:ascii="仿宋" w:hAnsi="仿宋" w:eastAsia="仿宋" w:cs="仿宋"/>
          <w:bCs/>
          <w:color w:val="000000"/>
          <w:highlight w:val="none"/>
        </w:rPr>
        <w:t>提交投标文件截止时间：202</w:t>
      </w:r>
      <w:r>
        <w:rPr>
          <w:rFonts w:hint="eastAsia" w:ascii="仿宋" w:hAnsi="仿宋" w:eastAsia="仿宋" w:cs="仿宋"/>
          <w:bCs/>
          <w:color w:val="000000"/>
          <w:highlight w:val="none"/>
          <w:lang w:val="en-US" w:eastAsia="zh-CN"/>
        </w:rPr>
        <w:t>5</w:t>
      </w:r>
      <w:r>
        <w:rPr>
          <w:rFonts w:hint="eastAsia" w:ascii="仿宋" w:hAnsi="仿宋" w:eastAsia="仿宋" w:cs="仿宋"/>
          <w:bCs/>
          <w:color w:val="000000"/>
          <w:highlight w:val="none"/>
        </w:rPr>
        <w:t>年</w:t>
      </w:r>
      <w:r>
        <w:rPr>
          <w:rFonts w:hint="eastAsia" w:ascii="仿宋" w:hAnsi="仿宋" w:eastAsia="仿宋" w:cs="仿宋"/>
          <w:bCs/>
          <w:color w:val="000000"/>
          <w:highlight w:val="none"/>
          <w:lang w:val="en-US" w:eastAsia="zh-CN"/>
        </w:rPr>
        <w:t>07</w:t>
      </w:r>
      <w:r>
        <w:rPr>
          <w:rFonts w:hint="eastAsia" w:ascii="仿宋" w:hAnsi="仿宋" w:eastAsia="仿宋" w:cs="仿宋"/>
          <w:bCs/>
          <w:color w:val="000000"/>
          <w:highlight w:val="none"/>
        </w:rPr>
        <w:t>月</w:t>
      </w:r>
      <w:r>
        <w:rPr>
          <w:rFonts w:hint="eastAsia" w:ascii="仿宋" w:hAnsi="仿宋" w:eastAsia="仿宋" w:cs="仿宋"/>
          <w:bCs/>
          <w:color w:val="000000"/>
          <w:highlight w:val="none"/>
          <w:lang w:val="en-US" w:eastAsia="zh-CN"/>
        </w:rPr>
        <w:t>28</w:t>
      </w:r>
      <w:r>
        <w:rPr>
          <w:rFonts w:hint="eastAsia" w:ascii="仿宋" w:hAnsi="仿宋" w:eastAsia="仿宋" w:cs="仿宋"/>
          <w:bCs/>
          <w:color w:val="000000"/>
          <w:highlight w:val="none"/>
        </w:rPr>
        <w:t>日</w:t>
      </w:r>
      <w:r>
        <w:rPr>
          <w:rFonts w:hint="eastAsia" w:ascii="仿宋" w:hAnsi="仿宋" w:eastAsia="仿宋" w:cs="仿宋"/>
          <w:bCs/>
          <w:color w:val="000000"/>
          <w:highlight w:val="none"/>
          <w:lang w:val="en-US" w:eastAsia="zh-CN"/>
        </w:rPr>
        <w:t>14</w:t>
      </w:r>
      <w:r>
        <w:rPr>
          <w:rFonts w:hint="eastAsia" w:ascii="仿宋" w:hAnsi="仿宋" w:eastAsia="仿宋" w:cs="仿宋"/>
          <w:bCs/>
          <w:color w:val="000000"/>
          <w:highlight w:val="none"/>
        </w:rPr>
        <w:t>时</w:t>
      </w:r>
      <w:r>
        <w:rPr>
          <w:rFonts w:hint="eastAsia" w:ascii="仿宋" w:hAnsi="仿宋" w:eastAsia="仿宋" w:cs="仿宋"/>
          <w:bCs/>
          <w:color w:val="000000"/>
          <w:highlight w:val="none"/>
          <w:lang w:val="en-US" w:eastAsia="zh-CN"/>
        </w:rPr>
        <w:t>30</w:t>
      </w:r>
      <w:r>
        <w:rPr>
          <w:rFonts w:hint="eastAsia" w:ascii="仿宋" w:hAnsi="仿宋" w:eastAsia="仿宋" w:cs="仿宋"/>
          <w:bCs/>
          <w:color w:val="000000"/>
          <w:highlight w:val="none"/>
        </w:rPr>
        <w:t>分（北京时间）</w:t>
      </w:r>
    </w:p>
    <w:p w14:paraId="3A4DAA8D">
      <w:pPr>
        <w:pStyle w:val="8"/>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olor w:val="000000"/>
          <w:sz w:val="24"/>
          <w:szCs w:val="24"/>
          <w:highlight w:val="none"/>
          <w:u w:val="none"/>
          <w:lang w:val="zh-CN"/>
        </w:rPr>
      </w:pPr>
      <w:bookmarkStart w:id="40" w:name="_Toc28359007"/>
      <w:bookmarkStart w:id="41" w:name="_Toc35393625"/>
      <w:bookmarkStart w:id="42" w:name="_Toc35393794"/>
      <w:bookmarkStart w:id="43" w:name="_Toc28359084"/>
      <w:r>
        <w:rPr>
          <w:rFonts w:hint="eastAsia" w:ascii="仿宋" w:hAnsi="仿宋" w:eastAsia="仿宋" w:cs="仿宋"/>
          <w:color w:val="000000"/>
          <w:highlight w:val="none"/>
        </w:rPr>
        <w:t>投标地点（网址）：政采云投标客户端</w:t>
      </w:r>
    </w:p>
    <w:p w14:paraId="565CDD5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000000"/>
          <w:sz w:val="24"/>
          <w:szCs w:val="24"/>
          <w:highlight w:val="none"/>
          <w:u w:val="single"/>
          <w:lang w:val="en-US" w:eastAsia="zh-CN"/>
        </w:rPr>
      </w:pPr>
      <w:r>
        <w:rPr>
          <w:rFonts w:hint="eastAsia" w:ascii="仿宋" w:hAnsi="仿宋" w:eastAsia="仿宋" w:cs="仿宋"/>
          <w:i w:val="0"/>
          <w:iCs w:val="0"/>
          <w:color w:val="000000"/>
          <w:sz w:val="24"/>
          <w:szCs w:val="24"/>
          <w:highlight w:val="none"/>
          <w:lang w:val="en-US" w:eastAsia="zh-CN"/>
        </w:rPr>
        <w:t>开标时间</w:t>
      </w: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bCs/>
          <w:color w:val="000000"/>
          <w:highlight w:val="none"/>
        </w:rPr>
        <w:t>202</w:t>
      </w:r>
      <w:r>
        <w:rPr>
          <w:rFonts w:hint="eastAsia" w:ascii="仿宋" w:hAnsi="仿宋" w:eastAsia="仿宋" w:cs="仿宋"/>
          <w:bCs/>
          <w:color w:val="000000"/>
          <w:highlight w:val="none"/>
          <w:lang w:val="en-US" w:eastAsia="zh-CN"/>
        </w:rPr>
        <w:t>5</w:t>
      </w:r>
      <w:r>
        <w:rPr>
          <w:rFonts w:hint="eastAsia" w:ascii="仿宋" w:hAnsi="仿宋" w:eastAsia="仿宋" w:cs="仿宋"/>
          <w:bCs/>
          <w:color w:val="000000"/>
          <w:highlight w:val="none"/>
        </w:rPr>
        <w:t>年</w:t>
      </w:r>
      <w:r>
        <w:rPr>
          <w:rFonts w:hint="eastAsia" w:ascii="仿宋" w:hAnsi="仿宋" w:eastAsia="仿宋" w:cs="仿宋"/>
          <w:bCs/>
          <w:color w:val="000000"/>
          <w:highlight w:val="none"/>
          <w:lang w:val="en-US" w:eastAsia="zh-CN"/>
        </w:rPr>
        <w:t>07</w:t>
      </w:r>
      <w:r>
        <w:rPr>
          <w:rFonts w:hint="eastAsia" w:ascii="仿宋" w:hAnsi="仿宋" w:eastAsia="仿宋" w:cs="仿宋"/>
          <w:bCs/>
          <w:color w:val="000000"/>
          <w:highlight w:val="none"/>
        </w:rPr>
        <w:t>月</w:t>
      </w:r>
      <w:r>
        <w:rPr>
          <w:rFonts w:hint="eastAsia" w:ascii="仿宋" w:hAnsi="仿宋" w:eastAsia="仿宋" w:cs="仿宋"/>
          <w:bCs/>
          <w:color w:val="000000"/>
          <w:highlight w:val="none"/>
          <w:lang w:val="en-US" w:eastAsia="zh-CN"/>
        </w:rPr>
        <w:t>28</w:t>
      </w:r>
      <w:r>
        <w:rPr>
          <w:rFonts w:hint="eastAsia" w:ascii="仿宋" w:hAnsi="仿宋" w:eastAsia="仿宋" w:cs="仿宋"/>
          <w:bCs/>
          <w:color w:val="000000"/>
          <w:highlight w:val="none"/>
        </w:rPr>
        <w:t>日</w:t>
      </w:r>
      <w:r>
        <w:rPr>
          <w:rFonts w:hint="eastAsia" w:ascii="仿宋" w:hAnsi="仿宋" w:eastAsia="仿宋" w:cs="仿宋"/>
          <w:bCs/>
          <w:color w:val="000000"/>
          <w:highlight w:val="none"/>
          <w:lang w:val="en-US" w:eastAsia="zh-CN"/>
        </w:rPr>
        <w:t>14</w:t>
      </w:r>
      <w:r>
        <w:rPr>
          <w:rFonts w:hint="eastAsia" w:ascii="仿宋" w:hAnsi="仿宋" w:eastAsia="仿宋" w:cs="仿宋"/>
          <w:bCs/>
          <w:color w:val="000000"/>
          <w:highlight w:val="none"/>
        </w:rPr>
        <w:t>时</w:t>
      </w:r>
      <w:r>
        <w:rPr>
          <w:rFonts w:hint="eastAsia" w:ascii="仿宋" w:hAnsi="仿宋" w:eastAsia="仿宋" w:cs="仿宋"/>
          <w:bCs/>
          <w:color w:val="000000"/>
          <w:highlight w:val="none"/>
          <w:lang w:val="en-US" w:eastAsia="zh-CN"/>
        </w:rPr>
        <w:t>30</w:t>
      </w:r>
      <w:r>
        <w:rPr>
          <w:rFonts w:hint="eastAsia" w:ascii="仿宋" w:hAnsi="仿宋" w:eastAsia="仿宋" w:cs="仿宋"/>
          <w:bCs/>
          <w:color w:val="000000"/>
          <w:highlight w:val="none"/>
        </w:rPr>
        <w:t>分（北京时间）</w:t>
      </w:r>
    </w:p>
    <w:p w14:paraId="062149AB">
      <w:pPr>
        <w:spacing w:line="36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rPr>
        <w:t>投标地点：</w:t>
      </w:r>
      <w:r>
        <w:rPr>
          <w:rFonts w:hint="eastAsia" w:ascii="仿宋" w:hAnsi="仿宋" w:eastAsia="仿宋" w:cs="仿宋"/>
          <w:color w:val="000000"/>
          <w:highlight w:val="none"/>
          <w:lang w:eastAsia="zh-CN"/>
        </w:rPr>
        <w:t>青海科越全过程工程管理有限责任公司</w:t>
      </w:r>
      <w:r>
        <w:rPr>
          <w:rFonts w:hint="eastAsia" w:ascii="仿宋" w:hAnsi="仿宋" w:eastAsia="仿宋" w:cs="仿宋"/>
          <w:color w:val="000000"/>
          <w:highlight w:val="none"/>
        </w:rPr>
        <w:t>（青海省西宁市城西区昆仑路9号西宁市税务局5楼）</w:t>
      </w:r>
    </w:p>
    <w:p w14:paraId="279CA890">
      <w:pPr>
        <w:keepNext w:val="0"/>
        <w:keepLines w:val="0"/>
        <w:pageBreakBefore w:val="0"/>
        <w:widowControl w:val="0"/>
        <w:numPr>
          <w:ilvl w:val="0"/>
          <w:numId w:val="1"/>
        </w:numPr>
        <w:kinsoku/>
        <w:wordWrap/>
        <w:overflowPunct/>
        <w:topLinePunct w:val="0"/>
        <w:autoSpaceDE/>
        <w:autoSpaceDN/>
        <w:bidi w:val="0"/>
        <w:adjustRightInd/>
        <w:snapToGrid/>
        <w:spacing w:before="200" w:after="200" w:line="240" w:lineRule="auto"/>
        <w:jc w:val="left"/>
        <w:textAlignment w:val="auto"/>
        <w:outlineLvl w:val="0"/>
        <w:rPr>
          <w:rFonts w:hint="eastAsia" w:ascii="仿宋" w:hAnsi="仿宋" w:eastAsia="仿宋" w:cs="仿宋"/>
          <w:b/>
          <w:bCs/>
          <w:color w:val="000000"/>
          <w:kern w:val="2"/>
          <w:sz w:val="24"/>
          <w:szCs w:val="24"/>
          <w:highlight w:val="none"/>
          <w:lang w:val="en-US" w:eastAsia="zh-CN" w:bidi="ar-SA"/>
        </w:rPr>
      </w:pPr>
      <w:bookmarkStart w:id="44" w:name="_Toc7094"/>
      <w:bookmarkStart w:id="45" w:name="_Toc17955"/>
      <w:bookmarkStart w:id="46" w:name="_Toc19537"/>
      <w:bookmarkStart w:id="47" w:name="_Toc23751"/>
      <w:bookmarkStart w:id="48" w:name="_Toc21476"/>
      <w:bookmarkStart w:id="49" w:name="_Toc4499"/>
      <w:r>
        <w:rPr>
          <w:rFonts w:hint="eastAsia" w:ascii="仿宋" w:hAnsi="仿宋" w:eastAsia="仿宋" w:cs="仿宋"/>
          <w:b/>
          <w:bCs/>
          <w:color w:val="000000"/>
          <w:kern w:val="2"/>
          <w:sz w:val="24"/>
          <w:szCs w:val="24"/>
          <w:highlight w:val="none"/>
          <w:lang w:val="en-US" w:eastAsia="zh-CN" w:bidi="ar-SA"/>
        </w:rPr>
        <w:t>公告期限</w:t>
      </w:r>
      <w:bookmarkEnd w:id="40"/>
      <w:bookmarkEnd w:id="41"/>
      <w:bookmarkEnd w:id="42"/>
      <w:bookmarkEnd w:id="43"/>
      <w:bookmarkEnd w:id="44"/>
      <w:bookmarkEnd w:id="45"/>
      <w:bookmarkEnd w:id="46"/>
      <w:bookmarkEnd w:id="47"/>
      <w:bookmarkEnd w:id="48"/>
      <w:bookmarkEnd w:id="49"/>
      <w:bookmarkStart w:id="50" w:name="_Toc35393795"/>
      <w:bookmarkStart w:id="51" w:name="_Toc35393626"/>
    </w:p>
    <w:p w14:paraId="3E2564D3">
      <w:pPr>
        <w:spacing w:line="240" w:lineRule="auto"/>
        <w:ind w:firstLine="480" w:firstLineChars="200"/>
        <w:jc w:val="lef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自本公告发布之日起</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lang w:val="zh-CN"/>
        </w:rPr>
        <w:t>个工作日。</w:t>
      </w:r>
      <w:bookmarkStart w:id="52" w:name="_Toc26747"/>
      <w:bookmarkStart w:id="53" w:name="_Toc20951"/>
      <w:bookmarkStart w:id="54" w:name="_Toc13480"/>
      <w:bookmarkStart w:id="55" w:name="_Toc9016"/>
      <w:bookmarkStart w:id="56" w:name="_Toc22845"/>
    </w:p>
    <w:p w14:paraId="0CE0F059">
      <w:pPr>
        <w:keepNext w:val="0"/>
        <w:keepLines w:val="0"/>
        <w:pageBreakBefore w:val="0"/>
        <w:widowControl w:val="0"/>
        <w:numPr>
          <w:ilvl w:val="0"/>
          <w:numId w:val="1"/>
        </w:numPr>
        <w:kinsoku/>
        <w:wordWrap/>
        <w:overflowPunct/>
        <w:topLinePunct w:val="0"/>
        <w:autoSpaceDE/>
        <w:autoSpaceDN/>
        <w:bidi w:val="0"/>
        <w:adjustRightInd/>
        <w:snapToGrid/>
        <w:spacing w:before="200" w:after="200" w:line="360" w:lineRule="auto"/>
        <w:ind w:left="0" w:leftChars="0" w:firstLine="0" w:firstLineChars="0"/>
        <w:jc w:val="left"/>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其他补充事宜</w:t>
      </w:r>
      <w:bookmarkEnd w:id="50"/>
      <w:bookmarkEnd w:id="51"/>
      <w:bookmarkEnd w:id="52"/>
      <w:bookmarkEnd w:id="53"/>
      <w:bookmarkEnd w:id="54"/>
      <w:bookmarkEnd w:id="55"/>
      <w:bookmarkEnd w:id="56"/>
      <w:bookmarkStart w:id="57" w:name="_Toc3885"/>
      <w:bookmarkStart w:id="58" w:name="_Toc11406"/>
      <w:bookmarkStart w:id="59" w:name="_Toc22446"/>
      <w:bookmarkStart w:id="60" w:name="_Toc32425"/>
      <w:bookmarkStart w:id="61" w:name="_Toc28359085"/>
      <w:bookmarkStart w:id="62" w:name="_Toc28359008"/>
      <w:bookmarkStart w:id="63" w:name="_Toc12615"/>
      <w:bookmarkStart w:id="64" w:name="_Toc35393796"/>
      <w:bookmarkStart w:id="65" w:name="_Toc35393627"/>
    </w:p>
    <w:bookmarkEnd w:id="57"/>
    <w:bookmarkEnd w:id="58"/>
    <w:p w14:paraId="1776FC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i w:val="0"/>
          <w:iCs w:val="0"/>
          <w:caps w:val="0"/>
          <w:color w:val="000000"/>
          <w:spacing w:val="0"/>
          <w:kern w:val="0"/>
          <w:sz w:val="24"/>
          <w:szCs w:val="24"/>
          <w:highlight w:val="none"/>
          <w:lang w:val="en-US" w:eastAsia="zh-CN" w:bidi="ar"/>
        </w:rPr>
      </w:pPr>
      <w:bookmarkStart w:id="66" w:name="_Toc27781"/>
      <w:bookmarkStart w:id="67" w:name="_Toc3437"/>
      <w:r>
        <w:rPr>
          <w:rFonts w:hint="eastAsia" w:ascii="仿宋" w:hAnsi="仿宋" w:eastAsia="仿宋" w:cs="仿宋"/>
          <w:i w:val="0"/>
          <w:iCs w:val="0"/>
          <w:caps w:val="0"/>
          <w:color w:val="000000"/>
          <w:spacing w:val="0"/>
          <w:kern w:val="0"/>
          <w:sz w:val="24"/>
          <w:szCs w:val="24"/>
          <w:highlight w:val="none"/>
          <w:lang w:val="en-US" w:eastAsia="zh-CN" w:bidi="ar"/>
        </w:rPr>
        <w:t>1.本次招标采用线上提交响应文件的方式进行采购，线上响应文件必须在响应文件递交截止时间前上传平台。</w:t>
      </w:r>
    </w:p>
    <w:p w14:paraId="5F18236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2.若对项目采购电子交易系统操作有疑问，可登录政采云（https://www.zcygov.cn/），点击右侧咨询小采，获取采小蜜智能服务管家帮助，或拨打政采云服务热线95763获取热线服务帮助。 CA问题联系电话（人工）；天谷CA400-087-8198。</w:t>
      </w:r>
    </w:p>
    <w:p w14:paraId="067B954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3.</w:t>
      </w:r>
      <w:r>
        <w:rPr>
          <w:rFonts w:hint="eastAsia" w:ascii="仿宋" w:hAnsi="仿宋" w:eastAsia="仿宋" w:cs="仿宋"/>
        </w:rPr>
        <w:t>本公告同时在《青海政府采购网》《</w:t>
      </w:r>
      <w:r>
        <w:rPr>
          <w:rFonts w:hint="eastAsia" w:ascii="仿宋" w:hAnsi="仿宋" w:eastAsia="仿宋" w:cs="仿宋"/>
          <w:lang w:val="en-US" w:eastAsia="zh-CN"/>
        </w:rPr>
        <w:t>青海省公共资源交易平台</w:t>
      </w:r>
      <w:r>
        <w:rPr>
          <w:rFonts w:hint="eastAsia" w:ascii="仿宋" w:hAnsi="仿宋" w:eastAsia="仿宋" w:cs="仿宋"/>
        </w:rPr>
        <w:t>》上发布，公告内容以《青海政府采购网》发布的为准。</w:t>
      </w:r>
    </w:p>
    <w:p w14:paraId="4B0BCC2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4.</w:t>
      </w:r>
      <w:r>
        <w:rPr>
          <w:rFonts w:hint="eastAsia" w:ascii="仿宋" w:hAnsi="仿宋" w:eastAsia="仿宋" w:cs="仿宋"/>
          <w:color w:val="000000"/>
          <w:highlight w:val="none"/>
          <w:lang w:val="en-US" w:eastAsia="zh-CN"/>
        </w:rPr>
        <w:t>本次采购为全流程电子化，解密时长为30分钟。</w:t>
      </w:r>
    </w:p>
    <w:p w14:paraId="08515885">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jc w:val="lef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七、对本次招标提出询问，请按以下方式联系。</w:t>
      </w:r>
      <w:bookmarkEnd w:id="59"/>
      <w:bookmarkEnd w:id="60"/>
      <w:bookmarkEnd w:id="61"/>
      <w:bookmarkEnd w:id="62"/>
      <w:bookmarkEnd w:id="63"/>
      <w:bookmarkEnd w:id="64"/>
      <w:bookmarkEnd w:id="65"/>
      <w:bookmarkEnd w:id="66"/>
      <w:bookmarkEnd w:id="67"/>
    </w:p>
    <w:p w14:paraId="4E882DEE">
      <w:pPr>
        <w:widowControl/>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1.采购人信息</w:t>
      </w:r>
    </w:p>
    <w:p w14:paraId="5CC2CC25">
      <w:pPr>
        <w:spacing w:line="360" w:lineRule="auto"/>
        <w:ind w:firstLine="480" w:firstLineChars="200"/>
        <w:jc w:val="left"/>
        <w:rPr>
          <w:rFonts w:hint="default" w:ascii="仿宋" w:hAnsi="仿宋" w:eastAsia="仿宋" w:cs="仿宋"/>
          <w:color w:val="000000"/>
          <w:highlight w:val="none"/>
          <w:lang w:val="en-US" w:eastAsia="zh-CN"/>
        </w:rPr>
      </w:pPr>
      <w:bookmarkStart w:id="68" w:name="_Toc28359086"/>
      <w:bookmarkStart w:id="69" w:name="_Toc28359009"/>
      <w:r>
        <w:rPr>
          <w:rFonts w:hint="eastAsia" w:ascii="仿宋" w:hAnsi="仿宋" w:eastAsia="仿宋" w:cs="仿宋"/>
          <w:color w:val="000000"/>
          <w:highlight w:val="none"/>
        </w:rPr>
        <w:t>名 称：</w:t>
      </w:r>
      <w:r>
        <w:rPr>
          <w:rFonts w:hint="eastAsia" w:ascii="仿宋" w:hAnsi="仿宋" w:eastAsia="仿宋" w:cs="仿宋"/>
          <w:color w:val="000000"/>
          <w:highlight w:val="none"/>
          <w:lang w:val="en-US" w:eastAsia="zh-CN"/>
        </w:rPr>
        <w:t>西宁市湟中区水利局（本级）</w:t>
      </w:r>
    </w:p>
    <w:p w14:paraId="2D340F60">
      <w:pPr>
        <w:spacing w:line="360" w:lineRule="auto"/>
        <w:ind w:firstLine="480" w:firstLineChars="200"/>
        <w:jc w:val="left"/>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地</w:t>
      </w:r>
      <w:r>
        <w:rPr>
          <w:rFonts w:hint="eastAsia" w:ascii="仿宋" w:hAnsi="仿宋" w:eastAsia="仿宋" w:cs="仿宋"/>
          <w:color w:val="000000"/>
          <w:highlight w:val="none"/>
          <w:lang w:eastAsia="zh-CN"/>
        </w:rPr>
        <w:t>址：鲁沙尔镇通宁路242号</w:t>
      </w:r>
    </w:p>
    <w:p w14:paraId="25ABF228">
      <w:pPr>
        <w:spacing w:line="360" w:lineRule="auto"/>
        <w:ind w:firstLine="480" w:firstLineChars="200"/>
        <w:jc w:val="left"/>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项目</w:t>
      </w:r>
      <w:r>
        <w:rPr>
          <w:rFonts w:hint="eastAsia" w:ascii="仿宋" w:hAnsi="仿宋" w:eastAsia="仿宋" w:cs="仿宋"/>
          <w:color w:val="000000"/>
          <w:highlight w:val="none"/>
          <w:lang w:eastAsia="zh-CN"/>
        </w:rPr>
        <w:t>联系人：</w:t>
      </w:r>
      <w:r>
        <w:rPr>
          <w:rFonts w:hint="eastAsia" w:ascii="仿宋" w:hAnsi="仿宋" w:eastAsia="仿宋" w:cs="仿宋"/>
          <w:color w:val="000000"/>
          <w:highlight w:val="none"/>
          <w:lang w:val="en-US" w:eastAsia="zh-CN"/>
        </w:rPr>
        <w:t>李女士</w:t>
      </w:r>
    </w:p>
    <w:p w14:paraId="6007DDF5">
      <w:pPr>
        <w:spacing w:line="360" w:lineRule="auto"/>
        <w:ind w:firstLine="480" w:firstLineChars="200"/>
        <w:jc w:val="left"/>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联系方</w:t>
      </w:r>
      <w:r>
        <w:rPr>
          <w:rFonts w:hint="eastAsia" w:ascii="仿宋" w:hAnsi="仿宋" w:eastAsia="仿宋" w:cs="仿宋"/>
          <w:color w:val="000000"/>
          <w:highlight w:val="none"/>
          <w:lang w:eastAsia="zh-CN"/>
        </w:rPr>
        <w:t>式：</w:t>
      </w:r>
      <w:r>
        <w:rPr>
          <w:rFonts w:hint="eastAsia" w:ascii="仿宋" w:hAnsi="仿宋" w:eastAsia="仿宋" w:cs="仿宋"/>
          <w:color w:val="000000"/>
          <w:highlight w:val="none"/>
          <w:lang w:val="en-US" w:eastAsia="zh-CN"/>
        </w:rPr>
        <w:t>0971-2234105</w:t>
      </w:r>
    </w:p>
    <w:p w14:paraId="2CB16E5B">
      <w:pPr>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采购代理机构信息</w:t>
      </w:r>
      <w:bookmarkEnd w:id="68"/>
      <w:bookmarkEnd w:id="69"/>
    </w:p>
    <w:p w14:paraId="4C2C03FD">
      <w:pPr>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名 称：</w:t>
      </w:r>
      <w:r>
        <w:rPr>
          <w:rFonts w:hint="eastAsia" w:ascii="仿宋" w:hAnsi="仿宋" w:eastAsia="仿宋" w:cs="仿宋"/>
          <w:color w:val="000000"/>
          <w:kern w:val="0"/>
          <w:highlight w:val="none"/>
          <w:lang w:val="zh-CN"/>
        </w:rPr>
        <w:t>青海科越全过程工程管理有限责任公司</w:t>
      </w:r>
    </w:p>
    <w:p w14:paraId="133B45D7">
      <w:pPr>
        <w:spacing w:line="360" w:lineRule="auto"/>
        <w:ind w:firstLine="480" w:firstLineChars="200"/>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地 址：青海省西宁市城西区昆仑路9号西宁市税务局5楼</w:t>
      </w:r>
    </w:p>
    <w:p w14:paraId="5DECACD8">
      <w:pPr>
        <w:pStyle w:val="14"/>
        <w:spacing w:line="360" w:lineRule="auto"/>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项目联系人：</w:t>
      </w:r>
      <w:r>
        <w:rPr>
          <w:rFonts w:hint="eastAsia" w:ascii="仿宋" w:hAnsi="仿宋" w:eastAsia="仿宋" w:cs="仿宋"/>
          <w:color w:val="000000"/>
          <w:sz w:val="24"/>
          <w:szCs w:val="24"/>
          <w:highlight w:val="none"/>
          <w:lang w:val="en-US" w:eastAsia="zh-CN"/>
        </w:rPr>
        <w:t>郭先生</w:t>
      </w:r>
    </w:p>
    <w:p w14:paraId="3C939A6B">
      <w:pPr>
        <w:autoSpaceDE w:val="0"/>
        <w:autoSpaceDN w:val="0"/>
        <w:adjustRightInd w:val="0"/>
        <w:spacing w:line="360" w:lineRule="auto"/>
        <w:ind w:firstLine="480" w:firstLineChars="200"/>
        <w:jc w:val="left"/>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联系方式：</w:t>
      </w:r>
      <w:r>
        <w:rPr>
          <w:rFonts w:hint="eastAsia" w:ascii="仿宋" w:hAnsi="仿宋" w:eastAsia="仿宋" w:cs="仿宋"/>
          <w:color w:val="000000"/>
          <w:highlight w:val="none"/>
          <w:lang w:val="en-US" w:eastAsia="zh-CN"/>
        </w:rPr>
        <w:t>0971-4122991</w:t>
      </w:r>
    </w:p>
    <w:p w14:paraId="13961509">
      <w:pPr>
        <w:spacing w:line="360" w:lineRule="auto"/>
        <w:ind w:firstLine="480" w:firstLineChars="200"/>
        <w:jc w:val="right"/>
        <w:rPr>
          <w:rFonts w:hint="eastAsia" w:ascii="仿宋" w:hAnsi="仿宋" w:eastAsia="仿宋" w:cs="仿宋"/>
          <w:color w:val="000000"/>
          <w:highlight w:val="none"/>
          <w:lang w:val="zh-CN"/>
        </w:rPr>
      </w:pPr>
      <w:bookmarkStart w:id="70" w:name="_Toc25612"/>
      <w:bookmarkStart w:id="71" w:name="_Toc8820"/>
      <w:bookmarkStart w:id="72" w:name="_Toc523161506"/>
      <w:bookmarkStart w:id="73" w:name="_Toc2484"/>
      <w:bookmarkStart w:id="74" w:name="_Toc523160930"/>
      <w:bookmarkStart w:id="75" w:name="_Toc21222"/>
      <w:bookmarkStart w:id="76" w:name="_Toc26382"/>
      <w:bookmarkStart w:id="77" w:name="_Toc499280454"/>
      <w:bookmarkStart w:id="78" w:name="_Toc325726001"/>
      <w:bookmarkStart w:id="79" w:name="_Toc16346"/>
      <w:bookmarkStart w:id="80" w:name="_Toc376936732"/>
      <w:r>
        <w:rPr>
          <w:rFonts w:hint="eastAsia" w:ascii="仿宋" w:hAnsi="仿宋" w:eastAsia="仿宋" w:cs="仿宋"/>
          <w:b w:val="0"/>
          <w:bCs w:val="0"/>
          <w:color w:val="000000"/>
          <w:kern w:val="2"/>
          <w:sz w:val="24"/>
          <w:szCs w:val="24"/>
          <w:highlight w:val="none"/>
          <w:lang w:val="en-US" w:eastAsia="zh-CN" w:bidi="ar-SA"/>
        </w:rPr>
        <w:t xml:space="preserve"> 2025年07月15日</w:t>
      </w:r>
      <w:bookmarkStart w:id="81" w:name="_Toc24938"/>
    </w:p>
    <w:p w14:paraId="0BACEE49">
      <w:pPr>
        <w:pStyle w:val="27"/>
        <w:tabs>
          <w:tab w:val="left" w:pos="7062"/>
        </w:tabs>
        <w:spacing w:before="0" w:after="0"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lang w:val="zh-CN"/>
        </w:rPr>
        <w:t>第二部分  供应商须知</w:t>
      </w:r>
      <w:bookmarkEnd w:id="70"/>
      <w:bookmarkEnd w:id="71"/>
      <w:bookmarkEnd w:id="72"/>
      <w:bookmarkEnd w:id="73"/>
      <w:bookmarkEnd w:id="74"/>
      <w:bookmarkEnd w:id="75"/>
      <w:bookmarkEnd w:id="76"/>
      <w:bookmarkEnd w:id="77"/>
      <w:bookmarkEnd w:id="81"/>
    </w:p>
    <w:p w14:paraId="4C13788B">
      <w:pPr>
        <w:pStyle w:val="3"/>
        <w:rPr>
          <w:rFonts w:hint="eastAsia" w:ascii="仿宋" w:hAnsi="仿宋" w:eastAsia="仿宋" w:cs="仿宋"/>
          <w:color w:val="000000"/>
          <w:highlight w:val="none"/>
        </w:rPr>
      </w:pPr>
      <w:bookmarkStart w:id="82" w:name="_Toc32296"/>
      <w:bookmarkStart w:id="83" w:name="_Toc12207"/>
      <w:bookmarkStart w:id="84" w:name="_Toc30149"/>
      <w:bookmarkStart w:id="85" w:name="_Toc23524"/>
      <w:bookmarkStart w:id="86" w:name="_Toc14663"/>
      <w:bookmarkStart w:id="87" w:name="_Toc23118"/>
      <w:bookmarkStart w:id="88" w:name="_Toc29806"/>
      <w:r>
        <w:rPr>
          <w:rFonts w:hint="eastAsia" w:ascii="仿宋" w:hAnsi="仿宋" w:eastAsia="仿宋" w:cs="仿宋"/>
          <w:color w:val="000000"/>
          <w:highlight w:val="none"/>
          <w:lang w:val="zh-CN"/>
        </w:rPr>
        <w:t>一、说明</w:t>
      </w:r>
      <w:bookmarkEnd w:id="82"/>
      <w:bookmarkEnd w:id="83"/>
      <w:bookmarkEnd w:id="84"/>
      <w:bookmarkEnd w:id="85"/>
      <w:bookmarkEnd w:id="86"/>
      <w:bookmarkEnd w:id="87"/>
      <w:bookmarkEnd w:id="88"/>
    </w:p>
    <w:p w14:paraId="3519F07E">
      <w:pPr>
        <w:spacing w:line="360" w:lineRule="auto"/>
        <w:rPr>
          <w:rFonts w:hint="eastAsia" w:ascii="仿宋" w:hAnsi="仿宋" w:eastAsia="仿宋" w:cs="仿宋"/>
          <w:b/>
          <w:bCs/>
          <w:color w:val="000000"/>
          <w:sz w:val="28"/>
          <w:szCs w:val="28"/>
          <w:highlight w:val="none"/>
          <w:lang w:val="zh-CN"/>
        </w:rPr>
      </w:pPr>
      <w:bookmarkStart w:id="89" w:name="_Toc12807"/>
      <w:bookmarkStart w:id="90" w:name="_Toc10052"/>
      <w:bookmarkStart w:id="91" w:name="_Toc16099"/>
      <w:r>
        <w:rPr>
          <w:rFonts w:hint="eastAsia" w:ascii="仿宋" w:hAnsi="仿宋" w:eastAsia="仿宋" w:cs="仿宋"/>
          <w:b/>
          <w:bCs/>
          <w:color w:val="000000"/>
          <w:sz w:val="28"/>
          <w:szCs w:val="28"/>
          <w:highlight w:val="none"/>
          <w:lang w:val="zh-CN"/>
        </w:rPr>
        <w:t>1.适用范围</w:t>
      </w:r>
      <w:bookmarkEnd w:id="89"/>
      <w:bookmarkEnd w:id="90"/>
      <w:bookmarkEnd w:id="91"/>
    </w:p>
    <w:p w14:paraId="6C494BF3">
      <w:pPr>
        <w:autoSpaceDE w:val="0"/>
        <w:autoSpaceDN w:val="0"/>
        <w:spacing w:line="360" w:lineRule="auto"/>
        <w:ind w:firstLine="360" w:firstLineChars="15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本次</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依据采购人的采购计划，仅适用于本磋商文件中所叙述的项目。</w:t>
      </w:r>
    </w:p>
    <w:p w14:paraId="52EAEF10">
      <w:pPr>
        <w:spacing w:line="360" w:lineRule="auto"/>
        <w:rPr>
          <w:rFonts w:hint="eastAsia" w:ascii="仿宋" w:hAnsi="仿宋" w:eastAsia="仿宋" w:cs="仿宋"/>
          <w:b/>
          <w:bCs/>
          <w:color w:val="000000"/>
          <w:sz w:val="28"/>
          <w:szCs w:val="28"/>
          <w:highlight w:val="none"/>
          <w:lang w:val="zh-CN"/>
        </w:rPr>
      </w:pPr>
      <w:bookmarkStart w:id="92" w:name="_Toc13535"/>
      <w:bookmarkStart w:id="93" w:name="_Toc22168"/>
      <w:bookmarkStart w:id="94" w:name="_Toc24628"/>
      <w:r>
        <w:rPr>
          <w:rFonts w:hint="eastAsia" w:ascii="仿宋" w:hAnsi="仿宋" w:eastAsia="仿宋" w:cs="仿宋"/>
          <w:b/>
          <w:bCs/>
          <w:color w:val="000000"/>
          <w:sz w:val="28"/>
          <w:szCs w:val="28"/>
          <w:highlight w:val="none"/>
          <w:lang w:val="zh-CN"/>
        </w:rPr>
        <w:t>2.采购方式、合格的</w:t>
      </w:r>
      <w:bookmarkEnd w:id="92"/>
      <w:bookmarkEnd w:id="93"/>
      <w:bookmarkEnd w:id="94"/>
      <w:r>
        <w:rPr>
          <w:rFonts w:hint="eastAsia" w:ascii="仿宋" w:hAnsi="仿宋" w:eastAsia="仿宋" w:cs="仿宋"/>
          <w:b/>
          <w:bCs/>
          <w:color w:val="000000"/>
          <w:sz w:val="28"/>
          <w:szCs w:val="28"/>
          <w:highlight w:val="none"/>
          <w:lang w:val="zh-CN"/>
        </w:rPr>
        <w:t>供应商</w:t>
      </w:r>
    </w:p>
    <w:p w14:paraId="02624CE4">
      <w:pPr>
        <w:autoSpaceDE w:val="0"/>
        <w:autoSpaceDN w:val="0"/>
        <w:spacing w:line="360" w:lineRule="auto"/>
        <w:ind w:firstLine="360" w:firstLineChars="150"/>
        <w:rPr>
          <w:rFonts w:hint="eastAsia" w:ascii="仿宋" w:hAnsi="仿宋" w:eastAsia="仿宋" w:cs="仿宋"/>
          <w:b/>
          <w:bCs/>
          <w:color w:val="000000"/>
          <w:kern w:val="0"/>
          <w:highlight w:val="none"/>
          <w:lang w:val="zh-CN"/>
        </w:rPr>
      </w:pPr>
      <w:r>
        <w:rPr>
          <w:rFonts w:hint="eastAsia" w:ascii="仿宋" w:hAnsi="仿宋" w:eastAsia="仿宋" w:cs="仿宋"/>
          <w:color w:val="000000"/>
          <w:kern w:val="0"/>
          <w:highlight w:val="none"/>
          <w:lang w:val="zh-CN"/>
        </w:rPr>
        <w:t>2.1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本次招标采取竞争性磋商招标方式。</w:t>
      </w:r>
    </w:p>
    <w:p w14:paraId="6707A550">
      <w:pPr>
        <w:autoSpaceDE w:val="0"/>
        <w:autoSpaceDN w:val="0"/>
        <w:spacing w:line="360" w:lineRule="auto"/>
        <w:ind w:firstLine="360" w:firstLineChars="15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2.2</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合格的供应商：详见第一部分</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各包供应商资格要求</w:t>
      </w:r>
      <w:r>
        <w:rPr>
          <w:rFonts w:hint="eastAsia" w:ascii="仿宋" w:hAnsi="仿宋" w:eastAsia="仿宋" w:cs="仿宋"/>
          <w:color w:val="000000"/>
          <w:kern w:val="0"/>
          <w:highlight w:val="none"/>
        </w:rPr>
        <w:t>”。</w:t>
      </w:r>
    </w:p>
    <w:p w14:paraId="0C7C3B12">
      <w:pPr>
        <w:spacing w:line="360" w:lineRule="auto"/>
        <w:rPr>
          <w:rFonts w:hint="eastAsia" w:ascii="仿宋" w:hAnsi="仿宋" w:eastAsia="仿宋" w:cs="仿宋"/>
          <w:b/>
          <w:bCs/>
          <w:color w:val="000000"/>
          <w:sz w:val="28"/>
          <w:szCs w:val="28"/>
          <w:highlight w:val="none"/>
          <w:lang w:val="zh-CN"/>
        </w:rPr>
      </w:pPr>
      <w:bookmarkStart w:id="95" w:name="_Toc23066"/>
      <w:bookmarkStart w:id="96" w:name="_Toc1936"/>
      <w:bookmarkStart w:id="97" w:name="_Toc3272"/>
      <w:r>
        <w:rPr>
          <w:rFonts w:hint="eastAsia" w:ascii="仿宋" w:hAnsi="仿宋" w:eastAsia="仿宋" w:cs="仿宋"/>
          <w:b/>
          <w:bCs/>
          <w:color w:val="000000"/>
          <w:sz w:val="28"/>
          <w:szCs w:val="28"/>
          <w:highlight w:val="none"/>
          <w:lang w:val="zh-CN"/>
        </w:rPr>
        <w:t>3.</w:t>
      </w:r>
      <w:r>
        <w:rPr>
          <w:rFonts w:hint="eastAsia" w:ascii="仿宋" w:hAnsi="仿宋" w:eastAsia="仿宋" w:cs="仿宋"/>
          <w:b/>
          <w:bCs/>
          <w:color w:val="000000"/>
          <w:sz w:val="28"/>
          <w:szCs w:val="28"/>
          <w:highlight w:val="none"/>
          <w:lang w:val="en-US" w:eastAsia="zh-CN"/>
        </w:rPr>
        <w:t>磋商</w:t>
      </w:r>
      <w:r>
        <w:rPr>
          <w:rFonts w:hint="eastAsia" w:ascii="仿宋" w:hAnsi="仿宋" w:eastAsia="仿宋" w:cs="仿宋"/>
          <w:b/>
          <w:bCs/>
          <w:color w:val="000000"/>
          <w:sz w:val="28"/>
          <w:szCs w:val="28"/>
          <w:highlight w:val="none"/>
          <w:lang w:val="zh-CN"/>
        </w:rPr>
        <w:t>费用</w:t>
      </w:r>
      <w:bookmarkEnd w:id="95"/>
      <w:bookmarkEnd w:id="96"/>
      <w:bookmarkEnd w:id="97"/>
    </w:p>
    <w:p w14:paraId="3B1D9DC2">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供应商应自愿承担与参加本次</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有关的费用。采购代理机构对供应商发生的费用不承担任何责任。</w:t>
      </w:r>
    </w:p>
    <w:p w14:paraId="0AD8965F">
      <w:pPr>
        <w:pStyle w:val="3"/>
        <w:rPr>
          <w:rFonts w:hint="eastAsia" w:ascii="仿宋" w:hAnsi="仿宋" w:eastAsia="仿宋" w:cs="仿宋"/>
          <w:color w:val="000000"/>
          <w:highlight w:val="none"/>
          <w:lang w:val="zh-CN"/>
        </w:rPr>
      </w:pPr>
      <w:bookmarkStart w:id="98" w:name="_Toc19073"/>
      <w:bookmarkStart w:id="99" w:name="_Toc20517"/>
      <w:bookmarkStart w:id="100" w:name="_Toc7895"/>
      <w:bookmarkStart w:id="101" w:name="_Toc27160"/>
      <w:bookmarkStart w:id="102" w:name="_Toc12726"/>
      <w:bookmarkStart w:id="103" w:name="_Toc17370"/>
      <w:bookmarkStart w:id="104" w:name="_Toc21178"/>
      <w:r>
        <w:rPr>
          <w:rFonts w:hint="eastAsia" w:ascii="仿宋" w:hAnsi="仿宋" w:eastAsia="仿宋" w:cs="仿宋"/>
          <w:color w:val="000000"/>
          <w:highlight w:val="none"/>
          <w:lang w:val="zh-CN"/>
        </w:rPr>
        <w:t>二、磋商文件说明</w:t>
      </w:r>
      <w:bookmarkEnd w:id="78"/>
      <w:bookmarkEnd w:id="79"/>
      <w:bookmarkEnd w:id="80"/>
      <w:bookmarkEnd w:id="98"/>
      <w:bookmarkEnd w:id="99"/>
      <w:bookmarkEnd w:id="100"/>
      <w:bookmarkEnd w:id="101"/>
      <w:bookmarkEnd w:id="102"/>
      <w:bookmarkEnd w:id="103"/>
      <w:bookmarkEnd w:id="104"/>
    </w:p>
    <w:p w14:paraId="3E263B92">
      <w:pPr>
        <w:spacing w:line="360" w:lineRule="auto"/>
        <w:rPr>
          <w:rFonts w:hint="eastAsia" w:ascii="仿宋" w:hAnsi="仿宋" w:eastAsia="仿宋" w:cs="仿宋"/>
          <w:b/>
          <w:bCs/>
          <w:color w:val="000000"/>
          <w:sz w:val="28"/>
          <w:szCs w:val="28"/>
          <w:highlight w:val="none"/>
          <w:lang w:val="zh-CN"/>
        </w:rPr>
      </w:pPr>
      <w:bookmarkStart w:id="105" w:name="_Toc26538"/>
      <w:bookmarkStart w:id="106" w:name="_Toc325726002"/>
      <w:bookmarkStart w:id="107" w:name="_Toc168"/>
      <w:bookmarkStart w:id="108" w:name="_Toc29668"/>
      <w:bookmarkStart w:id="109" w:name="_Toc376936733"/>
      <w:r>
        <w:rPr>
          <w:rFonts w:hint="eastAsia" w:ascii="仿宋" w:hAnsi="仿宋" w:eastAsia="仿宋" w:cs="仿宋"/>
          <w:b/>
          <w:bCs/>
          <w:color w:val="000000"/>
          <w:sz w:val="28"/>
          <w:szCs w:val="28"/>
          <w:highlight w:val="none"/>
          <w:lang w:val="zh-CN"/>
        </w:rPr>
        <w:t>4.磋商文件的构成</w:t>
      </w:r>
      <w:bookmarkEnd w:id="105"/>
      <w:bookmarkEnd w:id="106"/>
      <w:bookmarkEnd w:id="107"/>
      <w:bookmarkEnd w:id="108"/>
      <w:bookmarkEnd w:id="109"/>
    </w:p>
    <w:p w14:paraId="68320BB3">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4.1磋商文件包括：</w:t>
      </w:r>
    </w:p>
    <w:p w14:paraId="7AEE772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w:t>
      </w:r>
      <w:r>
        <w:rPr>
          <w:rFonts w:hint="eastAsia" w:ascii="仿宋" w:hAnsi="仿宋" w:eastAsia="仿宋" w:cs="仿宋"/>
          <w:color w:val="000000"/>
          <w:highlight w:val="none"/>
          <w:lang w:val="en-US" w:eastAsia="zh-CN"/>
        </w:rPr>
        <w:t>磋商</w:t>
      </w:r>
      <w:r>
        <w:rPr>
          <w:rFonts w:hint="eastAsia" w:ascii="仿宋" w:hAnsi="仿宋" w:eastAsia="仿宋" w:cs="仿宋"/>
          <w:color w:val="000000"/>
          <w:highlight w:val="none"/>
          <w:lang w:val="zh-CN" w:eastAsia="zh-CN"/>
        </w:rPr>
        <w:t>邀请</w:t>
      </w:r>
    </w:p>
    <w:p w14:paraId="49D9FB76">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（2）供应商须知</w:t>
      </w:r>
    </w:p>
    <w:p w14:paraId="32619D8F">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（3）政府采购项目合同书范本（样式）</w:t>
      </w:r>
    </w:p>
    <w:p w14:paraId="09298172">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（4）磋商响应文件格式（相关附件）</w:t>
      </w:r>
    </w:p>
    <w:p w14:paraId="0B56CE92">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（5）服务内容及要求</w:t>
      </w:r>
    </w:p>
    <w:p w14:paraId="1FDA17D6">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color w:val="000000"/>
          <w:highlight w:val="none"/>
          <w:lang w:val="zh-CN" w:eastAsia="zh-CN"/>
        </w:rPr>
      </w:pPr>
      <w:r>
        <w:rPr>
          <w:rFonts w:hint="eastAsia" w:ascii="仿宋" w:hAnsi="仿宋" w:eastAsia="仿宋" w:cs="仿宋"/>
          <w:color w:val="000000"/>
          <w:highlight w:val="none"/>
          <w:lang w:val="zh-CN" w:eastAsia="zh-CN"/>
        </w:rPr>
        <w:t>（</w:t>
      </w:r>
      <w:r>
        <w:rPr>
          <w:rFonts w:hint="eastAsia" w:ascii="仿宋" w:hAnsi="仿宋" w:eastAsia="仿宋" w:cs="仿宋"/>
          <w:color w:val="000000"/>
          <w:highlight w:val="none"/>
          <w:lang w:eastAsia="zh-CN"/>
        </w:rPr>
        <w:t>6</w:t>
      </w:r>
      <w:r>
        <w:rPr>
          <w:rFonts w:hint="eastAsia" w:ascii="仿宋" w:hAnsi="仿宋" w:eastAsia="仿宋" w:cs="仿宋"/>
          <w:color w:val="000000"/>
          <w:highlight w:val="none"/>
          <w:lang w:val="zh-CN" w:eastAsia="zh-CN"/>
        </w:rPr>
        <w:t>）采购过程中发生的澄清、变更和补充文件</w:t>
      </w:r>
    </w:p>
    <w:p w14:paraId="4AC4948E">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4.2 供应商应认真阅读磋商文件中列示的事项、格式、条款和要求等内容。如果供应商未按磋商文件要求提交全部资料，或者对磋商文件未作出实质性响应的，将视为无效响应）。</w:t>
      </w:r>
    </w:p>
    <w:p w14:paraId="0BB8A134">
      <w:pPr>
        <w:spacing w:line="360" w:lineRule="auto"/>
        <w:rPr>
          <w:rFonts w:hint="eastAsia" w:ascii="仿宋" w:hAnsi="仿宋" w:eastAsia="仿宋" w:cs="仿宋"/>
          <w:b/>
          <w:bCs/>
          <w:color w:val="000000"/>
          <w:sz w:val="28"/>
          <w:szCs w:val="28"/>
          <w:highlight w:val="none"/>
          <w:lang w:val="zh-CN"/>
        </w:rPr>
      </w:pPr>
      <w:bookmarkStart w:id="110" w:name="_Toc325726003"/>
      <w:bookmarkStart w:id="111" w:name="_Toc376936734"/>
      <w:bookmarkStart w:id="112" w:name="_Toc24942"/>
      <w:bookmarkStart w:id="113" w:name="_Toc24352"/>
      <w:bookmarkStart w:id="114" w:name="_Toc3865"/>
      <w:r>
        <w:rPr>
          <w:rFonts w:hint="eastAsia" w:ascii="仿宋" w:hAnsi="仿宋" w:eastAsia="仿宋" w:cs="仿宋"/>
          <w:b/>
          <w:bCs/>
          <w:color w:val="000000"/>
          <w:sz w:val="28"/>
          <w:szCs w:val="28"/>
          <w:highlight w:val="none"/>
          <w:lang w:val="zh-CN"/>
        </w:rPr>
        <w:t>5.磋商文件的</w:t>
      </w:r>
      <w:bookmarkEnd w:id="110"/>
      <w:bookmarkEnd w:id="111"/>
      <w:r>
        <w:rPr>
          <w:rFonts w:hint="eastAsia" w:ascii="仿宋" w:hAnsi="仿宋" w:eastAsia="仿宋" w:cs="仿宋"/>
          <w:b/>
          <w:bCs/>
          <w:color w:val="000000"/>
          <w:sz w:val="28"/>
          <w:szCs w:val="28"/>
          <w:highlight w:val="none"/>
          <w:lang w:val="zh-CN"/>
        </w:rPr>
        <w:t>质疑</w:t>
      </w:r>
      <w:bookmarkEnd w:id="112"/>
      <w:bookmarkEnd w:id="113"/>
      <w:bookmarkEnd w:id="114"/>
    </w:p>
    <w:p w14:paraId="23F0A3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kern w:val="0"/>
          <w:highlight w:val="none"/>
          <w:lang w:val="zh-CN"/>
        </w:rPr>
      </w:pPr>
      <w:bookmarkStart w:id="115" w:name="_Toc325726004"/>
      <w:bookmarkStart w:id="116" w:name="_Toc25410"/>
      <w:bookmarkStart w:id="117" w:name="_Toc376936735"/>
      <w:r>
        <w:rPr>
          <w:rFonts w:hint="eastAsia" w:ascii="仿宋" w:hAnsi="仿宋" w:eastAsia="仿宋" w:cs="仿宋"/>
          <w:color w:val="000000"/>
          <w:highlight w:val="none"/>
          <w:lang w:val="en-US" w:eastAsia="zh-CN"/>
        </w:rPr>
        <w:t xml:space="preserve">5.1 </w:t>
      </w:r>
      <w:r>
        <w:rPr>
          <w:rFonts w:hint="eastAsia" w:ascii="仿宋" w:hAnsi="仿宋" w:eastAsia="仿宋" w:cs="仿宋"/>
          <w:color w:val="000000"/>
          <w:highlight w:val="none"/>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供应商须在法定质疑期内一次性提出针对同一采购程序环节的质疑。</w:t>
      </w:r>
      <w:r>
        <w:rPr>
          <w:rFonts w:hint="eastAsia" w:ascii="仿宋" w:hAnsi="仿宋" w:eastAsia="仿宋" w:cs="仿宋"/>
          <w:color w:val="000000"/>
          <w:kern w:val="0"/>
          <w:highlight w:val="none"/>
          <w:lang w:val="zh-CN"/>
        </w:rPr>
        <w:t>采购人或采购代理机构在收到书面</w:t>
      </w:r>
      <w:r>
        <w:rPr>
          <w:rFonts w:hint="eastAsia" w:ascii="仿宋" w:hAnsi="仿宋" w:eastAsia="仿宋" w:cs="仿宋"/>
          <w:color w:val="000000"/>
          <w:highlight w:val="none"/>
        </w:rPr>
        <w:t>质疑函后7个工作日内作出答复</w:t>
      </w:r>
      <w:r>
        <w:rPr>
          <w:rFonts w:hint="eastAsia" w:ascii="仿宋" w:hAnsi="仿宋" w:eastAsia="仿宋" w:cs="仿宋"/>
          <w:color w:val="000000"/>
          <w:kern w:val="0"/>
          <w:highlight w:val="none"/>
          <w:lang w:val="zh-CN"/>
        </w:rPr>
        <w:t>。</w:t>
      </w:r>
    </w:p>
    <w:p w14:paraId="74EAFD53">
      <w:pPr>
        <w:keepNext w:val="0"/>
        <w:keepLines w:val="0"/>
        <w:pageBreakBefore w:val="0"/>
        <w:widowControl w:val="0"/>
        <w:kinsoku/>
        <w:wordWrap/>
        <w:overflowPunct/>
        <w:topLinePunct w:val="0"/>
        <w:bidi w:val="0"/>
        <w:adjustRightInd/>
        <w:snapToGrid/>
        <w:spacing w:after="120" w:afterLines="0" w:line="360" w:lineRule="auto"/>
        <w:ind w:firstLine="480" w:firstLineChars="200"/>
        <w:jc w:val="both"/>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2"/>
          <w:sz w:val="24"/>
          <w:szCs w:val="24"/>
          <w:highlight w:val="none"/>
          <w:lang w:val="en-US" w:eastAsia="zh-CN" w:bidi="ar-SA"/>
        </w:rPr>
        <w:t>5.2 供应商认为磋商文件使自己的权益受到损害的，应以书面形式提出质疑（不接受匿名质疑），供应商须在法定质疑期内一次性提出针对同一采购程序环节的质疑。</w:t>
      </w:r>
    </w:p>
    <w:p w14:paraId="2618C5E5">
      <w:pPr>
        <w:spacing w:line="360" w:lineRule="auto"/>
        <w:rPr>
          <w:rFonts w:hint="eastAsia" w:ascii="仿宋" w:hAnsi="仿宋" w:eastAsia="仿宋" w:cs="仿宋"/>
          <w:b/>
          <w:bCs/>
          <w:color w:val="000000"/>
          <w:sz w:val="28"/>
          <w:szCs w:val="28"/>
          <w:highlight w:val="none"/>
          <w:lang w:val="zh-CN"/>
        </w:rPr>
      </w:pPr>
      <w:bookmarkStart w:id="118" w:name="_Toc10619"/>
      <w:bookmarkStart w:id="119" w:name="_Toc28018"/>
      <w:r>
        <w:rPr>
          <w:rFonts w:hint="eastAsia" w:ascii="仿宋" w:hAnsi="仿宋" w:eastAsia="仿宋" w:cs="仿宋"/>
          <w:b/>
          <w:bCs/>
          <w:color w:val="000000"/>
          <w:sz w:val="28"/>
          <w:szCs w:val="28"/>
          <w:highlight w:val="none"/>
          <w:lang w:val="zh-CN"/>
        </w:rPr>
        <w:t>6.磋商文件的澄清、修改</w:t>
      </w:r>
      <w:bookmarkEnd w:id="115"/>
      <w:bookmarkEnd w:id="116"/>
      <w:bookmarkEnd w:id="117"/>
      <w:bookmarkEnd w:id="118"/>
      <w:bookmarkEnd w:id="119"/>
    </w:p>
    <w:p w14:paraId="0DE22C18">
      <w:pPr>
        <w:adjustRightInd w:val="0"/>
        <w:snapToGrid w:val="0"/>
        <w:spacing w:line="360" w:lineRule="auto"/>
        <w:ind w:firstLine="480"/>
        <w:rPr>
          <w:rFonts w:hint="eastAsia" w:ascii="仿宋" w:hAnsi="仿宋" w:eastAsia="仿宋" w:cs="仿宋"/>
          <w:color w:val="000000"/>
          <w:highlight w:val="none"/>
        </w:rPr>
      </w:pPr>
      <w:bookmarkStart w:id="120" w:name="_Toc22695"/>
      <w:bookmarkStart w:id="121" w:name="_Toc12682"/>
      <w:bookmarkStart w:id="122" w:name="_Toc12374"/>
      <w:bookmarkStart w:id="123" w:name="_Toc25158"/>
      <w:bookmarkStart w:id="124" w:name="_Toc325726005"/>
      <w:bookmarkStart w:id="125" w:name="_Toc27633"/>
      <w:bookmarkStart w:id="126" w:name="_Toc19626"/>
      <w:bookmarkStart w:id="127" w:name="_Toc376936736"/>
      <w:bookmarkStart w:id="128" w:name="_Toc12734"/>
      <w:r>
        <w:rPr>
          <w:rFonts w:hint="eastAsia" w:ascii="仿宋" w:hAnsi="仿宋" w:eastAsia="仿宋" w:cs="仿宋"/>
          <w:color w:val="000000"/>
          <w:highlight w:val="none"/>
        </w:rPr>
        <w:t>6.1 在投标截止期前，采购代理机构可对磋商文件进行必要的修改或者澄清。</w:t>
      </w:r>
    </w:p>
    <w:p w14:paraId="65AFB3AA">
      <w:pPr>
        <w:adjustRightInd w:val="0"/>
        <w:snapToGrid w:val="0"/>
        <w:spacing w:line="360" w:lineRule="auto"/>
        <w:ind w:firstLine="480"/>
        <w:rPr>
          <w:rFonts w:hint="eastAsia" w:ascii="仿宋" w:hAnsi="仿宋" w:eastAsia="仿宋" w:cs="仿宋"/>
          <w:color w:val="000000"/>
          <w:highlight w:val="none"/>
        </w:rPr>
      </w:pPr>
      <w:r>
        <w:rPr>
          <w:rFonts w:hint="eastAsia" w:ascii="仿宋" w:hAnsi="仿宋" w:eastAsia="仿宋" w:cs="仿宋"/>
          <w:color w:val="000000"/>
          <w:highlight w:val="none"/>
        </w:rPr>
        <w:t>6.2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14:paraId="4BEDB216">
      <w:pPr>
        <w:adjustRightInd w:val="0"/>
        <w:snapToGrid w:val="0"/>
        <w:spacing w:line="360" w:lineRule="auto"/>
        <w:ind w:firstLine="480"/>
        <w:rPr>
          <w:rFonts w:hint="eastAsia" w:ascii="仿宋" w:hAnsi="仿宋" w:eastAsia="仿宋" w:cs="仿宋"/>
          <w:color w:val="000000"/>
          <w:highlight w:val="none"/>
        </w:rPr>
      </w:pPr>
      <w:r>
        <w:rPr>
          <w:rFonts w:hint="eastAsia" w:ascii="仿宋" w:hAnsi="仿宋" w:eastAsia="仿宋" w:cs="仿宋"/>
          <w:color w:val="000000"/>
          <w:highlight w:val="none"/>
        </w:rPr>
        <w:t>6.3 在投标截止时间前，采购人或采购代理机构可以视采购具体情况，延长投标截止时间和开标时间，并在磋商文件中要求的磋商截止时间前，将变更公告发布在青海政府采购网上。</w:t>
      </w:r>
    </w:p>
    <w:p w14:paraId="48144C2D">
      <w:pPr>
        <w:pStyle w:val="3"/>
        <w:rPr>
          <w:rFonts w:hint="eastAsia" w:ascii="仿宋" w:hAnsi="仿宋" w:eastAsia="仿宋" w:cs="仿宋"/>
          <w:color w:val="000000"/>
          <w:highlight w:val="none"/>
          <w:lang w:val="zh-CN"/>
        </w:rPr>
      </w:pPr>
      <w:bookmarkStart w:id="129" w:name="_Toc17493"/>
      <w:r>
        <w:rPr>
          <w:rFonts w:hint="eastAsia" w:ascii="仿宋" w:hAnsi="仿宋" w:eastAsia="仿宋" w:cs="仿宋"/>
          <w:color w:val="000000"/>
          <w:highlight w:val="none"/>
          <w:lang w:val="zh-CN"/>
        </w:rPr>
        <w:t>三、磋商响应文件的编制</w:t>
      </w:r>
      <w:bookmarkEnd w:id="120"/>
      <w:bookmarkEnd w:id="121"/>
      <w:bookmarkEnd w:id="122"/>
      <w:bookmarkEnd w:id="123"/>
      <w:bookmarkEnd w:id="124"/>
      <w:bookmarkEnd w:id="125"/>
      <w:bookmarkEnd w:id="126"/>
      <w:bookmarkEnd w:id="127"/>
      <w:bookmarkEnd w:id="128"/>
      <w:bookmarkEnd w:id="129"/>
    </w:p>
    <w:p w14:paraId="1E253179">
      <w:pPr>
        <w:spacing w:line="360" w:lineRule="auto"/>
        <w:rPr>
          <w:rFonts w:hint="eastAsia" w:ascii="仿宋" w:hAnsi="仿宋" w:eastAsia="仿宋" w:cs="仿宋"/>
          <w:b/>
          <w:bCs/>
          <w:color w:val="000000"/>
          <w:sz w:val="28"/>
          <w:szCs w:val="28"/>
          <w:highlight w:val="none"/>
          <w:lang w:val="zh-CN"/>
        </w:rPr>
      </w:pPr>
      <w:bookmarkStart w:id="130" w:name="_Toc24989"/>
      <w:bookmarkStart w:id="131" w:name="_Toc8664"/>
      <w:bookmarkStart w:id="132" w:name="_Toc16292"/>
      <w:bookmarkStart w:id="133" w:name="_Toc9804"/>
      <w:bookmarkStart w:id="134" w:name="_Toc325726006"/>
      <w:bookmarkStart w:id="135" w:name="_Toc376936737"/>
      <w:r>
        <w:rPr>
          <w:rFonts w:hint="eastAsia" w:ascii="仿宋" w:hAnsi="仿宋" w:eastAsia="仿宋" w:cs="仿宋"/>
          <w:b/>
          <w:bCs/>
          <w:color w:val="000000"/>
          <w:sz w:val="28"/>
          <w:szCs w:val="28"/>
          <w:highlight w:val="none"/>
          <w:lang w:val="zh-CN"/>
        </w:rPr>
        <w:t>7.磋商响应文件的语言及度量衡单位</w:t>
      </w:r>
      <w:bookmarkEnd w:id="130"/>
      <w:bookmarkEnd w:id="131"/>
      <w:bookmarkEnd w:id="132"/>
    </w:p>
    <w:p w14:paraId="36B0DC25">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7.1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供应商提交的磋商响应文件以及供应商与采购代理机构就此</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发生的所有来往函电均应使用简体中文。除签名、盖章、专用名称等特殊情形外，以中文汉语以外的文字表述的磋商响应文件视同未提供。</w:t>
      </w:r>
    </w:p>
    <w:p w14:paraId="75E2ABD7">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7.2 除磋商文件中另有规定外，磋商响应文件所使用的度量衡单位，均须采用国家法定计量单位。</w:t>
      </w:r>
    </w:p>
    <w:p w14:paraId="5C644AA8">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7.3 附有外文资料的须翻译成中文，并加盖供应商公章，如果翻译的中文资料与外文资料出现差异与矛盾时，以中文为准，其准确性由供应商负责。</w:t>
      </w:r>
    </w:p>
    <w:p w14:paraId="429A7199">
      <w:pPr>
        <w:spacing w:line="360" w:lineRule="auto"/>
        <w:rPr>
          <w:rFonts w:hint="eastAsia" w:ascii="仿宋" w:hAnsi="仿宋" w:eastAsia="仿宋" w:cs="仿宋"/>
          <w:b/>
          <w:bCs/>
          <w:color w:val="000000"/>
          <w:sz w:val="28"/>
          <w:szCs w:val="28"/>
          <w:highlight w:val="none"/>
          <w:lang w:val="zh-CN"/>
        </w:rPr>
      </w:pPr>
      <w:bookmarkStart w:id="136" w:name="_Toc1691"/>
      <w:bookmarkStart w:id="137" w:name="_Toc15381"/>
      <w:bookmarkStart w:id="138" w:name="_Toc14347"/>
      <w:r>
        <w:rPr>
          <w:rFonts w:hint="eastAsia" w:ascii="仿宋" w:hAnsi="仿宋" w:eastAsia="仿宋" w:cs="仿宋"/>
          <w:b/>
          <w:bCs/>
          <w:color w:val="000000"/>
          <w:sz w:val="28"/>
          <w:szCs w:val="28"/>
          <w:highlight w:val="none"/>
          <w:lang w:val="zh-CN"/>
        </w:rPr>
        <w:t>8.磋商报价及币种</w:t>
      </w:r>
      <w:bookmarkEnd w:id="136"/>
      <w:bookmarkEnd w:id="137"/>
      <w:bookmarkEnd w:id="138"/>
    </w:p>
    <w:p w14:paraId="79984F3B">
      <w:pPr>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000000"/>
          <w:kern w:val="0"/>
          <w:highlight w:val="none"/>
          <w:lang w:val="zh-CN"/>
        </w:rPr>
        <w:t>8.1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磋商报价为磋商总价。磋商报价必须包括：</w:t>
      </w:r>
      <w:r>
        <w:rPr>
          <w:rFonts w:hint="eastAsia" w:ascii="仿宋" w:hAnsi="仿宋" w:eastAsia="仿宋" w:cs="仿宋"/>
          <w:color w:val="auto"/>
          <w:kern w:val="0"/>
          <w:highlight w:val="none"/>
          <w:lang w:val="zh-CN"/>
        </w:rPr>
        <w:t>监理费、人工费、差旅费、设备仪器、交通、保险、利润、税金及</w:t>
      </w:r>
      <w:r>
        <w:rPr>
          <w:rFonts w:hint="eastAsia" w:ascii="仿宋" w:hAnsi="仿宋" w:eastAsia="仿宋" w:cs="仿宋"/>
          <w:color w:val="auto"/>
          <w:sz w:val="24"/>
          <w:szCs w:val="28"/>
          <w:highlight w:val="none"/>
          <w:lang w:eastAsia="zh-CN"/>
        </w:rPr>
        <w:t>不可预见费等全部费用</w:t>
      </w:r>
      <w:r>
        <w:rPr>
          <w:rFonts w:hint="eastAsia" w:ascii="仿宋" w:hAnsi="仿宋" w:eastAsia="仿宋" w:cs="仿宋"/>
          <w:color w:val="auto"/>
          <w:kern w:val="0"/>
          <w:highlight w:val="none"/>
          <w:lang w:val="zh-CN"/>
        </w:rPr>
        <w:t>。</w:t>
      </w:r>
    </w:p>
    <w:p w14:paraId="79C49C3E">
      <w:pPr>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8.2</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磋商报价有效期与</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有效期一致。</w:t>
      </w:r>
    </w:p>
    <w:p w14:paraId="378B98D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8.</w:t>
      </w:r>
      <w:r>
        <w:rPr>
          <w:rFonts w:hint="eastAsia" w:ascii="仿宋" w:hAnsi="仿宋" w:eastAsia="仿宋" w:cs="仿宋"/>
          <w:color w:val="000000"/>
          <w:kern w:val="0"/>
          <w:highlight w:val="none"/>
        </w:rPr>
        <w:t xml:space="preserve">3 </w:t>
      </w:r>
      <w:r>
        <w:rPr>
          <w:rFonts w:hint="eastAsia" w:ascii="仿宋" w:hAnsi="仿宋" w:eastAsia="仿宋" w:cs="仿宋"/>
          <w:color w:val="000000"/>
          <w:kern w:val="0"/>
          <w:highlight w:val="none"/>
          <w:lang w:val="zh-CN"/>
        </w:rPr>
        <w:t>磋商报价为闭口价，即</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后在合同有效期内价格不变。</w:t>
      </w:r>
    </w:p>
    <w:p w14:paraId="79785246">
      <w:pPr>
        <w:autoSpaceDE w:val="0"/>
        <w:autoSpaceDN w:val="0"/>
        <w:spacing w:line="360" w:lineRule="auto"/>
        <w:ind w:firstLine="480" w:firstLineChars="200"/>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 xml:space="preserve">8.4 </w:t>
      </w:r>
      <w:r>
        <w:rPr>
          <w:rFonts w:hint="eastAsia" w:ascii="仿宋" w:hAnsi="仿宋" w:eastAsia="仿宋" w:cs="仿宋"/>
          <w:color w:val="000000"/>
          <w:kern w:val="0"/>
          <w:sz w:val="24"/>
          <w:szCs w:val="24"/>
          <w:highlight w:val="none"/>
          <w:lang w:val="en-US" w:eastAsia="zh-CN" w:bidi="ar-SA"/>
        </w:rPr>
        <w:t>磋商报价以最终报价为准。</w:t>
      </w:r>
    </w:p>
    <w:p w14:paraId="53E0FE93">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8.</w:t>
      </w:r>
      <w:r>
        <w:rPr>
          <w:rFonts w:hint="eastAsia" w:ascii="仿宋" w:hAnsi="仿宋" w:eastAsia="仿宋" w:cs="仿宋"/>
          <w:color w:val="000000"/>
          <w:kern w:val="0"/>
          <w:highlight w:val="none"/>
          <w:lang w:val="en-US" w:eastAsia="zh-CN"/>
        </w:rPr>
        <w:t>5</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磋商币种是人民币。</w:t>
      </w:r>
    </w:p>
    <w:p w14:paraId="3E39F5A0">
      <w:pPr>
        <w:spacing w:line="360" w:lineRule="auto"/>
        <w:rPr>
          <w:rFonts w:hint="eastAsia" w:ascii="仿宋" w:hAnsi="仿宋" w:eastAsia="仿宋" w:cs="仿宋"/>
          <w:b/>
          <w:bCs/>
          <w:color w:val="000000"/>
          <w:sz w:val="28"/>
          <w:szCs w:val="28"/>
          <w:highlight w:val="none"/>
          <w:lang w:val="zh-CN"/>
        </w:rPr>
      </w:pPr>
      <w:bookmarkStart w:id="139" w:name="_Toc25031"/>
      <w:bookmarkStart w:id="140" w:name="_Toc24098"/>
      <w:bookmarkStart w:id="141" w:name="_Toc14618"/>
      <w:r>
        <w:rPr>
          <w:rFonts w:hint="eastAsia" w:ascii="仿宋" w:hAnsi="仿宋" w:eastAsia="仿宋" w:cs="仿宋"/>
          <w:b/>
          <w:bCs/>
          <w:color w:val="000000"/>
          <w:sz w:val="28"/>
          <w:szCs w:val="28"/>
          <w:highlight w:val="none"/>
          <w:lang w:val="zh-CN"/>
        </w:rPr>
        <w:t>9.</w:t>
      </w:r>
      <w:r>
        <w:rPr>
          <w:rFonts w:hint="eastAsia" w:ascii="仿宋" w:hAnsi="仿宋" w:eastAsia="仿宋" w:cs="仿宋"/>
          <w:b/>
          <w:bCs/>
          <w:color w:val="000000"/>
          <w:sz w:val="28"/>
          <w:szCs w:val="28"/>
          <w:highlight w:val="none"/>
          <w:lang w:val="en-US" w:eastAsia="zh-CN"/>
        </w:rPr>
        <w:t>磋商</w:t>
      </w:r>
      <w:r>
        <w:rPr>
          <w:rFonts w:hint="eastAsia" w:ascii="仿宋" w:hAnsi="仿宋" w:eastAsia="仿宋" w:cs="仿宋"/>
          <w:b/>
          <w:bCs/>
          <w:color w:val="000000"/>
          <w:sz w:val="28"/>
          <w:szCs w:val="28"/>
          <w:highlight w:val="none"/>
          <w:lang w:val="zh-CN"/>
        </w:rPr>
        <w:t>保证金</w:t>
      </w:r>
      <w:bookmarkEnd w:id="139"/>
      <w:bookmarkEnd w:id="140"/>
      <w:bookmarkEnd w:id="141"/>
    </w:p>
    <w:p w14:paraId="111882E5">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9.1 供应商须在</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截止期前按以下要求交纳磋商保证金：</w:t>
      </w:r>
    </w:p>
    <w:p w14:paraId="49605D85">
      <w:pPr>
        <w:autoSpaceDE w:val="0"/>
        <w:autoSpaceDN w:val="0"/>
        <w:spacing w:line="360" w:lineRule="auto"/>
        <w:ind w:firstLine="480" w:firstLineChars="200"/>
        <w:rPr>
          <w:rFonts w:hint="eastAsia" w:ascii="仿宋" w:hAnsi="仿宋" w:eastAsia="仿宋" w:cs="仿宋"/>
          <w:b w:val="0"/>
          <w:bCs w:val="0"/>
          <w:color w:val="000000"/>
          <w:kern w:val="0"/>
          <w:highlight w:val="none"/>
          <w:lang w:val="zh-CN"/>
        </w:rPr>
      </w:pPr>
      <w:bookmarkStart w:id="142" w:name="_Toc22256"/>
      <w:r>
        <w:rPr>
          <w:rFonts w:hint="eastAsia" w:ascii="仿宋" w:hAnsi="仿宋" w:eastAsia="仿宋" w:cs="仿宋"/>
          <w:b w:val="0"/>
          <w:bCs w:val="0"/>
          <w:color w:val="000000"/>
          <w:kern w:val="0"/>
          <w:highlight w:val="none"/>
          <w:lang w:val="zh-CN"/>
        </w:rPr>
        <w:t>磋商保证金：大写：</w:t>
      </w:r>
      <w:r>
        <w:rPr>
          <w:rFonts w:hint="eastAsia" w:ascii="仿宋" w:hAnsi="仿宋" w:eastAsia="仿宋" w:cs="仿宋"/>
          <w:b w:val="0"/>
          <w:bCs w:val="0"/>
          <w:color w:val="000000"/>
          <w:kern w:val="0"/>
          <w:highlight w:val="none"/>
          <w:lang w:val="en-US" w:eastAsia="zh-CN"/>
        </w:rPr>
        <w:t>壹万玖仟元整</w:t>
      </w:r>
      <w:r>
        <w:rPr>
          <w:rFonts w:hint="eastAsia" w:ascii="仿宋" w:hAnsi="仿宋" w:eastAsia="仿宋" w:cs="仿宋"/>
          <w:b w:val="0"/>
          <w:bCs w:val="0"/>
          <w:color w:val="000000"/>
          <w:kern w:val="0"/>
          <w:highlight w:val="none"/>
          <w:lang w:val="zh-CN"/>
        </w:rPr>
        <w:t xml:space="preserve">          </w:t>
      </w:r>
    </w:p>
    <w:p w14:paraId="221D90D1">
      <w:pPr>
        <w:autoSpaceDE w:val="0"/>
        <w:autoSpaceDN w:val="0"/>
        <w:spacing w:line="360" w:lineRule="auto"/>
        <w:ind w:firstLine="480" w:firstLineChars="200"/>
        <w:rPr>
          <w:rFonts w:hint="eastAsia" w:ascii="仿宋" w:hAnsi="仿宋" w:eastAsia="仿宋" w:cs="仿宋"/>
          <w:b w:val="0"/>
          <w:bCs w:val="0"/>
          <w:color w:val="000000"/>
          <w:kern w:val="0"/>
          <w:highlight w:val="none"/>
          <w:lang w:val="zh-CN" w:eastAsia="zh-CN"/>
        </w:rPr>
      </w:pPr>
      <w:r>
        <w:rPr>
          <w:rFonts w:hint="eastAsia" w:ascii="仿宋" w:hAnsi="仿宋" w:eastAsia="仿宋" w:cs="仿宋"/>
          <w:b w:val="0"/>
          <w:bCs w:val="0"/>
          <w:color w:val="000000"/>
          <w:kern w:val="0"/>
          <w:highlight w:val="none"/>
          <w:lang w:val="zh-CN"/>
        </w:rPr>
        <w:t>小写：</w:t>
      </w:r>
      <w:r>
        <w:rPr>
          <w:rFonts w:hint="eastAsia" w:ascii="仿宋" w:hAnsi="仿宋" w:eastAsia="仿宋" w:cs="仿宋"/>
          <w:b w:val="0"/>
          <w:bCs w:val="0"/>
          <w:color w:val="000000"/>
          <w:kern w:val="0"/>
          <w:highlight w:val="none"/>
          <w:lang w:val="zh-CN" w:eastAsia="zh-CN"/>
        </w:rPr>
        <w:t>1</w:t>
      </w:r>
      <w:r>
        <w:rPr>
          <w:rFonts w:hint="eastAsia" w:ascii="仿宋" w:hAnsi="仿宋" w:eastAsia="仿宋" w:cs="仿宋"/>
          <w:b w:val="0"/>
          <w:bCs w:val="0"/>
          <w:color w:val="000000"/>
          <w:kern w:val="0"/>
          <w:highlight w:val="none"/>
          <w:lang w:val="en-US" w:eastAsia="zh-CN"/>
        </w:rPr>
        <w:t>9</w:t>
      </w:r>
      <w:r>
        <w:rPr>
          <w:rFonts w:hint="eastAsia" w:ascii="仿宋" w:hAnsi="仿宋" w:eastAsia="仿宋" w:cs="仿宋"/>
          <w:b w:val="0"/>
          <w:bCs w:val="0"/>
          <w:color w:val="000000"/>
          <w:kern w:val="0"/>
          <w:highlight w:val="none"/>
          <w:lang w:val="zh-CN" w:eastAsia="zh-CN"/>
        </w:rPr>
        <w:t>000.00</w:t>
      </w:r>
      <w:r>
        <w:rPr>
          <w:rFonts w:hint="eastAsia" w:ascii="仿宋" w:hAnsi="仿宋" w:eastAsia="仿宋" w:cs="仿宋"/>
          <w:b w:val="0"/>
          <w:bCs w:val="0"/>
          <w:color w:val="000000"/>
          <w:kern w:val="0"/>
          <w:highlight w:val="none"/>
          <w:lang w:val="zh-CN"/>
        </w:rPr>
        <w:t>元</w:t>
      </w:r>
    </w:p>
    <w:p w14:paraId="06438510">
      <w:pPr>
        <w:autoSpaceDE w:val="0"/>
        <w:autoSpaceDN w:val="0"/>
        <w:spacing w:line="360" w:lineRule="auto"/>
        <w:ind w:firstLine="480" w:firstLineChars="200"/>
        <w:rPr>
          <w:rFonts w:hint="eastAsia" w:ascii="仿宋" w:hAnsi="仿宋" w:eastAsia="仿宋" w:cs="仿宋"/>
          <w:b w:val="0"/>
          <w:bCs w:val="0"/>
          <w:color w:val="000000"/>
          <w:kern w:val="0"/>
          <w:highlight w:val="none"/>
          <w:lang w:val="zh-CN"/>
        </w:rPr>
      </w:pPr>
      <w:r>
        <w:rPr>
          <w:rFonts w:hint="eastAsia" w:ascii="仿宋" w:hAnsi="仿宋" w:eastAsia="仿宋" w:cs="仿宋"/>
          <w:b w:val="0"/>
          <w:bCs w:val="0"/>
          <w:color w:val="000000"/>
          <w:kern w:val="0"/>
          <w:highlight w:val="none"/>
          <w:lang w:val="zh-CN"/>
        </w:rPr>
        <w:t>收款单位：青海科越全过程工程管理有限责任公司 </w:t>
      </w:r>
    </w:p>
    <w:p w14:paraId="52E4ABE7">
      <w:pPr>
        <w:autoSpaceDE w:val="0"/>
        <w:autoSpaceDN w:val="0"/>
        <w:spacing w:line="360" w:lineRule="auto"/>
        <w:ind w:firstLine="480" w:firstLineChars="200"/>
        <w:rPr>
          <w:rFonts w:hint="eastAsia" w:ascii="仿宋" w:hAnsi="仿宋" w:eastAsia="仿宋" w:cs="仿宋"/>
          <w:b w:val="0"/>
          <w:bCs w:val="0"/>
          <w:color w:val="000000"/>
          <w:kern w:val="0"/>
          <w:highlight w:val="none"/>
          <w:lang w:val="zh-CN" w:eastAsia="zh-CN"/>
        </w:rPr>
      </w:pPr>
      <w:r>
        <w:rPr>
          <w:rFonts w:hint="eastAsia" w:ascii="仿宋" w:hAnsi="仿宋" w:eastAsia="仿宋" w:cs="仿宋"/>
          <w:b w:val="0"/>
          <w:bCs w:val="0"/>
          <w:color w:val="000000"/>
          <w:kern w:val="0"/>
          <w:highlight w:val="none"/>
          <w:lang w:val="zh-CN"/>
        </w:rPr>
        <w:t>开 户 行：中国农业银行股份有限公司西宁市城西同仁路支行</w:t>
      </w:r>
    </w:p>
    <w:p w14:paraId="35780DB8">
      <w:pPr>
        <w:autoSpaceDE w:val="0"/>
        <w:autoSpaceDN w:val="0"/>
        <w:spacing w:line="360" w:lineRule="auto"/>
        <w:ind w:firstLine="480" w:firstLineChars="200"/>
        <w:rPr>
          <w:rFonts w:hint="eastAsia" w:ascii="仿宋" w:hAnsi="仿宋" w:eastAsia="仿宋" w:cs="仿宋"/>
          <w:b w:val="0"/>
          <w:bCs w:val="0"/>
          <w:color w:val="000000"/>
          <w:kern w:val="0"/>
          <w:highlight w:val="none"/>
          <w:lang w:val="zh-CN" w:eastAsia="zh-CN"/>
        </w:rPr>
      </w:pPr>
      <w:r>
        <w:rPr>
          <w:rFonts w:hint="eastAsia" w:ascii="仿宋" w:hAnsi="仿宋" w:eastAsia="仿宋" w:cs="仿宋"/>
          <w:b w:val="0"/>
          <w:bCs w:val="0"/>
          <w:color w:val="000000"/>
          <w:kern w:val="0"/>
          <w:highlight w:val="none"/>
          <w:lang w:val="zh-CN"/>
        </w:rPr>
        <w:t>银行账号：28042001040005504</w:t>
      </w:r>
    </w:p>
    <w:p w14:paraId="13193AC4">
      <w:pPr>
        <w:autoSpaceDE w:val="0"/>
        <w:autoSpaceDN w:val="0"/>
        <w:spacing w:line="360" w:lineRule="auto"/>
        <w:ind w:firstLine="480" w:firstLineChars="200"/>
        <w:rPr>
          <w:rFonts w:hint="eastAsia" w:ascii="仿宋" w:hAnsi="仿宋" w:eastAsia="仿宋" w:cs="仿宋"/>
          <w:b w:val="0"/>
          <w:bCs w:val="0"/>
          <w:color w:val="000000"/>
          <w:highlight w:val="none"/>
          <w:lang w:val="zh-CN"/>
        </w:rPr>
      </w:pPr>
      <w:r>
        <w:rPr>
          <w:rFonts w:hint="eastAsia" w:ascii="仿宋" w:hAnsi="仿宋" w:eastAsia="仿宋" w:cs="仿宋"/>
          <w:b w:val="0"/>
          <w:bCs w:val="0"/>
          <w:color w:val="000000"/>
          <w:kern w:val="0"/>
          <w:highlight w:val="none"/>
          <w:lang w:val="zh-CN"/>
        </w:rPr>
        <w:t>提交时间：供应商在提交响应文件截止时间前，以银行到账时间为准。</w:t>
      </w:r>
    </w:p>
    <w:p w14:paraId="7B7EC144">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9.2</w:t>
      </w:r>
      <w:r>
        <w:rPr>
          <w:rFonts w:hint="eastAsia" w:ascii="仿宋" w:hAnsi="仿宋" w:eastAsia="仿宋" w:cs="仿宋"/>
          <w:color w:val="000000"/>
          <w:kern w:val="0"/>
          <w:highlight w:val="none"/>
        </w:rPr>
        <w:t xml:space="preserve"> 缴费方式：</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rPr>
        <w:t>保证金应当以支票、汇票、本票或者金融机构、担保机构出具的保函等非现金形式提交。</w:t>
      </w:r>
    </w:p>
    <w:p w14:paraId="1288E4A9">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9.3</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保证金退还：供应商在</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截止时间前撤回已提交的磋商响应文件的，采购代理机构应当自收到供应商书面撤回通知之日起5个工作日内，退还已收取的</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保证金，但因供应商自身原因导致无法及时退还的除外。</w:t>
      </w:r>
    </w:p>
    <w:p w14:paraId="1E7F5A5A">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采购代理机构应当自</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通知书发出之日起5个工作日内退还未</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人的</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保证金，自采购合同签订之日起5个工作日内退还</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人的</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保证金或者转为</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人的履约保证金。</w:t>
      </w:r>
    </w:p>
    <w:p w14:paraId="2DE99392">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采购代理机构逾期退还</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保证金的，除应当退还</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保证金本金外，还应当按中国人民银行同期贷款基准利率上浮20％后的利率支付超期资金占用费，但因供应商自身原因导致无法及时退还的除外。</w:t>
      </w:r>
    </w:p>
    <w:p w14:paraId="13BEE5E8">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9.4 投标有效期内供应商撤销磋商响应文件的，采购人或者采购代理机构可以不退还投标保证金。</w:t>
      </w:r>
    </w:p>
    <w:p w14:paraId="0D3C725F">
      <w:pPr>
        <w:spacing w:line="360" w:lineRule="auto"/>
        <w:rPr>
          <w:rFonts w:hint="eastAsia" w:ascii="仿宋" w:hAnsi="仿宋" w:eastAsia="仿宋" w:cs="仿宋"/>
          <w:b/>
          <w:bCs/>
          <w:color w:val="000000"/>
          <w:sz w:val="28"/>
          <w:szCs w:val="28"/>
          <w:highlight w:val="none"/>
          <w:lang w:val="zh-CN"/>
        </w:rPr>
      </w:pPr>
      <w:r>
        <w:rPr>
          <w:rFonts w:hint="eastAsia" w:ascii="仿宋" w:hAnsi="仿宋" w:eastAsia="仿宋" w:cs="仿宋"/>
          <w:b/>
          <w:bCs/>
          <w:color w:val="000000"/>
          <w:sz w:val="28"/>
          <w:szCs w:val="28"/>
          <w:highlight w:val="none"/>
          <w:lang w:val="zh-CN"/>
        </w:rPr>
        <w:t>10.</w:t>
      </w:r>
      <w:r>
        <w:rPr>
          <w:rFonts w:hint="eastAsia" w:ascii="仿宋" w:hAnsi="仿宋" w:eastAsia="仿宋" w:cs="仿宋"/>
          <w:b/>
          <w:bCs/>
          <w:color w:val="000000"/>
          <w:sz w:val="28"/>
          <w:szCs w:val="28"/>
          <w:highlight w:val="none"/>
          <w:lang w:val="en-US" w:eastAsia="zh-CN"/>
        </w:rPr>
        <w:t>磋商</w:t>
      </w:r>
      <w:r>
        <w:rPr>
          <w:rFonts w:hint="eastAsia" w:ascii="仿宋" w:hAnsi="仿宋" w:eastAsia="仿宋" w:cs="仿宋"/>
          <w:b/>
          <w:bCs/>
          <w:color w:val="000000"/>
          <w:sz w:val="28"/>
          <w:szCs w:val="28"/>
          <w:highlight w:val="none"/>
          <w:lang w:val="zh-CN"/>
        </w:rPr>
        <w:t>有效期</w:t>
      </w:r>
      <w:bookmarkEnd w:id="142"/>
    </w:p>
    <w:p w14:paraId="03F0745F">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highlight w:val="none"/>
          <w:shd w:val="clear" w:color="auto" w:fill="FFFFFF"/>
        </w:rPr>
        <w:t>从提交磋商响应文件的截止之日起</w:t>
      </w:r>
      <w:r>
        <w:rPr>
          <w:rFonts w:hint="eastAsia" w:ascii="仿宋" w:hAnsi="仿宋" w:eastAsia="仿宋" w:cs="仿宋"/>
          <w:color w:val="000000"/>
          <w:kern w:val="0"/>
          <w:highlight w:val="none"/>
        </w:rPr>
        <w:t>60</w:t>
      </w:r>
      <w:r>
        <w:rPr>
          <w:rFonts w:hint="eastAsia" w:ascii="仿宋" w:hAnsi="仿宋" w:eastAsia="仿宋" w:cs="仿宋"/>
          <w:color w:val="000000"/>
          <w:kern w:val="0"/>
          <w:highlight w:val="none"/>
          <w:lang w:val="zh-CN"/>
        </w:rPr>
        <w:t>日历日。磋商响应文件中承诺的</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有效期应当不少于磋商文件中载明的</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有效期。</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有效期内供应商撤销磋商响应文件的，采购代理机构可以不退还磋商保证金。</w:t>
      </w:r>
    </w:p>
    <w:p w14:paraId="0A8E7CE6">
      <w:pPr>
        <w:pStyle w:val="3"/>
        <w:rPr>
          <w:rFonts w:hint="eastAsia" w:ascii="仿宋" w:hAnsi="仿宋" w:eastAsia="仿宋" w:cs="仿宋"/>
          <w:color w:val="000000"/>
          <w:highlight w:val="none"/>
          <w:lang w:val="zh-CN"/>
        </w:rPr>
      </w:pPr>
      <w:bookmarkStart w:id="143" w:name="_Toc28447"/>
      <w:bookmarkStart w:id="144" w:name="_Toc16599"/>
      <w:bookmarkStart w:id="145" w:name="_Toc6716"/>
      <w:bookmarkStart w:id="146" w:name="_Toc27148"/>
      <w:bookmarkStart w:id="147" w:name="_Toc24269"/>
      <w:bookmarkStart w:id="148" w:name="_Toc28754"/>
      <w:bookmarkStart w:id="149" w:name="_Toc28255"/>
      <w:r>
        <w:rPr>
          <w:rFonts w:hint="eastAsia" w:ascii="仿宋" w:hAnsi="仿宋" w:eastAsia="仿宋" w:cs="仿宋"/>
          <w:color w:val="000000"/>
          <w:highlight w:val="none"/>
          <w:lang w:val="zh-CN"/>
        </w:rPr>
        <w:t>四、磋商响应文件的构成</w:t>
      </w:r>
      <w:bookmarkEnd w:id="143"/>
      <w:bookmarkEnd w:id="144"/>
      <w:bookmarkEnd w:id="145"/>
      <w:bookmarkEnd w:id="146"/>
      <w:bookmarkEnd w:id="147"/>
      <w:bookmarkEnd w:id="148"/>
      <w:bookmarkEnd w:id="149"/>
    </w:p>
    <w:p w14:paraId="1268B881">
      <w:pPr>
        <w:spacing w:line="360" w:lineRule="auto"/>
        <w:rPr>
          <w:rFonts w:hint="eastAsia" w:ascii="仿宋" w:hAnsi="仿宋" w:eastAsia="仿宋" w:cs="仿宋"/>
          <w:b/>
          <w:bCs/>
          <w:color w:val="000000"/>
          <w:sz w:val="28"/>
          <w:szCs w:val="28"/>
          <w:highlight w:val="none"/>
          <w:lang w:val="zh-CN"/>
        </w:rPr>
      </w:pPr>
      <w:bookmarkStart w:id="150" w:name="_Toc14952"/>
      <w:bookmarkStart w:id="151" w:name="_Toc5593"/>
      <w:bookmarkStart w:id="152" w:name="_Toc21664"/>
      <w:r>
        <w:rPr>
          <w:rFonts w:hint="eastAsia" w:ascii="仿宋" w:hAnsi="仿宋" w:eastAsia="仿宋" w:cs="仿宋"/>
          <w:b/>
          <w:bCs/>
          <w:color w:val="000000"/>
          <w:sz w:val="28"/>
          <w:szCs w:val="28"/>
          <w:highlight w:val="none"/>
          <w:lang w:val="zh-CN"/>
        </w:rPr>
        <w:t>11.磋商响应文件构成</w:t>
      </w:r>
      <w:bookmarkEnd w:id="150"/>
      <w:bookmarkEnd w:id="151"/>
      <w:bookmarkEnd w:id="152"/>
    </w:p>
    <w:p w14:paraId="7FEC80B8">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供应商应提交相关证明材料，作为其参加</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和</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后有能力履行合同的证明。编写的磋商响应文件须包括以下内容（格式见磋商文件第四部分）：</w:t>
      </w:r>
    </w:p>
    <w:p w14:paraId="49887E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01.磋商函</w:t>
      </w:r>
    </w:p>
    <w:p w14:paraId="229658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0</w:t>
      </w:r>
      <w:r>
        <w:rPr>
          <w:rFonts w:hint="eastAsia" w:ascii="仿宋" w:hAnsi="仿宋" w:eastAsia="仿宋" w:cs="仿宋"/>
          <w:color w:val="000000"/>
          <w:kern w:val="0"/>
          <w:highlight w:val="none"/>
          <w:lang w:val="en-US" w:eastAsia="zh-CN"/>
        </w:rPr>
        <w:t>2</w:t>
      </w:r>
      <w:r>
        <w:rPr>
          <w:rFonts w:hint="eastAsia" w:ascii="仿宋" w:hAnsi="仿宋" w:eastAsia="仿宋" w:cs="仿宋"/>
          <w:color w:val="000000"/>
          <w:kern w:val="0"/>
          <w:highlight w:val="none"/>
          <w:lang w:val="zh-CN"/>
        </w:rPr>
        <w:t>.竞争性磋商首次报价表</w:t>
      </w:r>
    </w:p>
    <w:p w14:paraId="670844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0</w:t>
      </w:r>
      <w:r>
        <w:rPr>
          <w:rFonts w:hint="eastAsia" w:ascii="仿宋" w:hAnsi="仿宋" w:eastAsia="仿宋" w:cs="仿宋"/>
          <w:color w:val="000000"/>
          <w:kern w:val="0"/>
          <w:highlight w:val="none"/>
          <w:lang w:val="en-US" w:eastAsia="zh-CN"/>
        </w:rPr>
        <w:t>3</w:t>
      </w:r>
      <w:r>
        <w:rPr>
          <w:rFonts w:hint="eastAsia" w:ascii="仿宋" w:hAnsi="仿宋" w:eastAsia="仿宋" w:cs="仿宋"/>
          <w:color w:val="000000"/>
          <w:kern w:val="0"/>
          <w:highlight w:val="none"/>
          <w:lang w:val="zh-CN"/>
        </w:rPr>
        <w:t>.法定代表人证明书</w:t>
      </w:r>
    </w:p>
    <w:p w14:paraId="1F181F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0</w:t>
      </w:r>
      <w:r>
        <w:rPr>
          <w:rFonts w:hint="eastAsia" w:ascii="仿宋" w:hAnsi="仿宋" w:eastAsia="仿宋" w:cs="仿宋"/>
          <w:color w:val="000000"/>
          <w:kern w:val="0"/>
          <w:highlight w:val="none"/>
          <w:lang w:val="en-US" w:eastAsia="zh-CN"/>
        </w:rPr>
        <w:t>4</w:t>
      </w:r>
      <w:r>
        <w:rPr>
          <w:rFonts w:hint="eastAsia" w:ascii="仿宋" w:hAnsi="仿宋" w:eastAsia="仿宋" w:cs="仿宋"/>
          <w:color w:val="000000"/>
          <w:kern w:val="0"/>
          <w:highlight w:val="none"/>
          <w:lang w:val="zh-CN"/>
        </w:rPr>
        <w:t>.法定代表人授权书</w:t>
      </w:r>
    </w:p>
    <w:p w14:paraId="7393C9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0</w:t>
      </w:r>
      <w:r>
        <w:rPr>
          <w:rFonts w:hint="eastAsia" w:ascii="仿宋" w:hAnsi="仿宋" w:eastAsia="仿宋" w:cs="仿宋"/>
          <w:color w:val="000000"/>
          <w:kern w:val="0"/>
          <w:highlight w:val="none"/>
          <w:lang w:val="en-US" w:eastAsia="zh-CN"/>
        </w:rPr>
        <w:t>5</w:t>
      </w:r>
      <w:r>
        <w:rPr>
          <w:rFonts w:hint="eastAsia" w:ascii="仿宋" w:hAnsi="仿宋" w:eastAsia="仿宋" w:cs="仿宋"/>
          <w:color w:val="000000"/>
          <w:kern w:val="0"/>
          <w:highlight w:val="none"/>
          <w:lang w:val="zh-CN"/>
        </w:rPr>
        <w:t>.供应商承诺函</w:t>
      </w:r>
    </w:p>
    <w:p w14:paraId="73F334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0</w:t>
      </w:r>
      <w:r>
        <w:rPr>
          <w:rFonts w:hint="eastAsia" w:ascii="仿宋" w:hAnsi="仿宋" w:eastAsia="仿宋" w:cs="仿宋"/>
          <w:color w:val="000000"/>
          <w:kern w:val="0"/>
          <w:highlight w:val="none"/>
          <w:lang w:val="en-US" w:eastAsia="zh-CN"/>
        </w:rPr>
        <w:t>6</w:t>
      </w:r>
      <w:r>
        <w:rPr>
          <w:rFonts w:hint="eastAsia" w:ascii="仿宋" w:hAnsi="仿宋" w:eastAsia="仿宋" w:cs="仿宋"/>
          <w:color w:val="000000"/>
          <w:kern w:val="0"/>
          <w:highlight w:val="none"/>
          <w:lang w:val="zh-CN"/>
        </w:rPr>
        <w:t>.供应商诚信承诺书</w:t>
      </w:r>
    </w:p>
    <w:p w14:paraId="0DB382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0</w:t>
      </w:r>
      <w:r>
        <w:rPr>
          <w:rFonts w:hint="eastAsia" w:ascii="仿宋" w:hAnsi="仿宋" w:eastAsia="仿宋" w:cs="仿宋"/>
          <w:color w:val="000000"/>
          <w:kern w:val="0"/>
          <w:highlight w:val="none"/>
          <w:lang w:val="en-US" w:eastAsia="zh-CN"/>
        </w:rPr>
        <w:t>7</w:t>
      </w:r>
      <w:r>
        <w:rPr>
          <w:rFonts w:hint="eastAsia" w:ascii="仿宋" w:hAnsi="仿宋" w:eastAsia="仿宋" w:cs="仿宋"/>
          <w:color w:val="000000"/>
          <w:kern w:val="0"/>
          <w:highlight w:val="none"/>
          <w:lang w:val="zh-CN"/>
        </w:rPr>
        <w:t>.资格证明材料</w:t>
      </w:r>
    </w:p>
    <w:p w14:paraId="32D32E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08</w:t>
      </w:r>
      <w:r>
        <w:rPr>
          <w:rFonts w:hint="eastAsia" w:ascii="仿宋" w:hAnsi="仿宋" w:eastAsia="仿宋" w:cs="仿宋"/>
          <w:color w:val="000000"/>
          <w:kern w:val="0"/>
          <w:highlight w:val="none"/>
          <w:lang w:val="zh-CN"/>
        </w:rPr>
        <w:t>.财务状况报告，依法缴纳税收和社会保障资金的相关材料</w:t>
      </w:r>
    </w:p>
    <w:p w14:paraId="1C26B7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09</w:t>
      </w:r>
      <w:r>
        <w:rPr>
          <w:rFonts w:hint="eastAsia" w:ascii="仿宋" w:hAnsi="仿宋" w:eastAsia="仿宋" w:cs="仿宋"/>
          <w:color w:val="000000"/>
          <w:kern w:val="0"/>
          <w:highlight w:val="none"/>
          <w:lang w:val="zh-CN"/>
        </w:rPr>
        <w:t>.具备履行合同所必需的设备和专业技术能力的证明材料</w:t>
      </w:r>
    </w:p>
    <w:p w14:paraId="5069A2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lang w:val="en-US" w:eastAsia="zh-CN"/>
        </w:rPr>
        <w:t>0</w:t>
      </w:r>
      <w:r>
        <w:rPr>
          <w:rFonts w:hint="eastAsia" w:ascii="仿宋" w:hAnsi="仿宋" w:eastAsia="仿宋" w:cs="仿宋"/>
          <w:color w:val="000000"/>
          <w:kern w:val="0"/>
          <w:highlight w:val="none"/>
          <w:lang w:val="zh-CN"/>
        </w:rPr>
        <w:t>.无重大违法记录声明</w:t>
      </w:r>
    </w:p>
    <w:p w14:paraId="57D09E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lang w:val="en-US" w:eastAsia="zh-CN"/>
        </w:rPr>
        <w:t>1</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保证金证明</w:t>
      </w:r>
    </w:p>
    <w:p w14:paraId="7C4E21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lang w:val="en-US" w:eastAsia="zh-CN"/>
        </w:rPr>
        <w:t>2</w:t>
      </w:r>
      <w:r>
        <w:rPr>
          <w:rFonts w:hint="eastAsia" w:ascii="仿宋" w:hAnsi="仿宋" w:eastAsia="仿宋" w:cs="仿宋"/>
          <w:color w:val="000000"/>
          <w:kern w:val="0"/>
          <w:highlight w:val="none"/>
          <w:lang w:val="zh-CN"/>
        </w:rPr>
        <w:t>.监理大纲</w:t>
      </w:r>
    </w:p>
    <w:p w14:paraId="6A4924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lang w:val="en-US" w:eastAsia="zh-CN"/>
        </w:rPr>
        <w:t>3</w:t>
      </w:r>
      <w:r>
        <w:rPr>
          <w:rFonts w:hint="eastAsia" w:ascii="仿宋" w:hAnsi="仿宋" w:eastAsia="仿宋" w:cs="仿宋"/>
          <w:color w:val="000000"/>
          <w:kern w:val="0"/>
          <w:highlight w:val="none"/>
          <w:lang w:val="zh-CN"/>
        </w:rPr>
        <w:t>.供应商的类似业绩证明材料</w:t>
      </w:r>
    </w:p>
    <w:p w14:paraId="4008B1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14</w:t>
      </w:r>
      <w:r>
        <w:rPr>
          <w:rFonts w:hint="eastAsia" w:ascii="仿宋" w:hAnsi="仿宋" w:eastAsia="仿宋" w:cs="仿宋"/>
          <w:color w:val="000000"/>
          <w:kern w:val="0"/>
          <w:highlight w:val="none"/>
          <w:lang w:val="zh-CN"/>
        </w:rPr>
        <w:t>.享受政府采购政策优惠的证明资料</w:t>
      </w:r>
    </w:p>
    <w:p w14:paraId="52BFDD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lang w:val="en-US" w:eastAsia="zh-CN"/>
        </w:rPr>
        <w:t>5</w:t>
      </w:r>
      <w:r>
        <w:rPr>
          <w:rFonts w:hint="eastAsia" w:ascii="仿宋" w:hAnsi="仿宋" w:eastAsia="仿宋" w:cs="仿宋"/>
          <w:color w:val="000000"/>
          <w:kern w:val="0"/>
          <w:highlight w:val="none"/>
          <w:lang w:val="zh-CN"/>
        </w:rPr>
        <w:t>.供应商认为在其他方面有必要说明的事项</w:t>
      </w:r>
    </w:p>
    <w:p w14:paraId="2AFAD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lang w:val="en-US" w:eastAsia="zh-CN"/>
        </w:rPr>
        <w:t>6</w:t>
      </w:r>
      <w:r>
        <w:rPr>
          <w:rFonts w:hint="eastAsia" w:ascii="仿宋" w:hAnsi="仿宋" w:eastAsia="仿宋" w:cs="仿宋"/>
          <w:color w:val="000000"/>
          <w:kern w:val="0"/>
          <w:highlight w:val="none"/>
          <w:lang w:val="zh-CN"/>
        </w:rPr>
        <w:t>.竞争性磋商最终报价表</w:t>
      </w:r>
    </w:p>
    <w:p w14:paraId="6CF2CBC5">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注：供应商须按上述内容、顺序和格式编制磋商响应文件，并按要求编制目录、页码，并保证所提供的全部资料真实可信，自愿承担相应责任。</w:t>
      </w:r>
    </w:p>
    <w:p w14:paraId="5CB35880">
      <w:pPr>
        <w:spacing w:line="360" w:lineRule="auto"/>
        <w:rPr>
          <w:rFonts w:hint="eastAsia" w:ascii="仿宋" w:hAnsi="仿宋" w:eastAsia="仿宋" w:cs="仿宋"/>
          <w:b/>
          <w:bCs/>
          <w:color w:val="000000"/>
          <w:sz w:val="28"/>
          <w:szCs w:val="28"/>
          <w:highlight w:val="none"/>
          <w:lang w:val="zh-CN"/>
        </w:rPr>
      </w:pPr>
      <w:bookmarkStart w:id="153" w:name="_Toc6727"/>
      <w:bookmarkStart w:id="154" w:name="_Toc29372"/>
      <w:bookmarkStart w:id="155" w:name="_Toc14012"/>
      <w:r>
        <w:rPr>
          <w:rFonts w:hint="eastAsia" w:ascii="仿宋" w:hAnsi="仿宋" w:eastAsia="仿宋" w:cs="仿宋"/>
          <w:b/>
          <w:bCs/>
          <w:color w:val="000000"/>
          <w:sz w:val="28"/>
          <w:szCs w:val="28"/>
          <w:highlight w:val="none"/>
          <w:lang w:val="zh-CN"/>
        </w:rPr>
        <w:t>12.磋商响应文件的编制要求</w:t>
      </w:r>
      <w:bookmarkEnd w:id="153"/>
      <w:bookmarkEnd w:id="154"/>
      <w:bookmarkEnd w:id="155"/>
    </w:p>
    <w:p w14:paraId="332F50E1">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12.1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供应商应按照磋商文件所提供的磋商响应文件格式，分别填写磋商文件第四部分的内容，应分别注明所提供服务的内容、价格等；磋商文件要求签字、盖章的地方必须由供应商的法定代表人或委托代理人按要求签字、盖章。</w:t>
      </w:r>
    </w:p>
    <w:p w14:paraId="76CFC422">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12.2 投标人将加密电子响应文件</w:t>
      </w:r>
      <w:r>
        <w:rPr>
          <w:rFonts w:hint="eastAsia" w:ascii="仿宋" w:hAnsi="仿宋" w:eastAsia="仿宋" w:cs="仿宋"/>
          <w:color w:val="000000"/>
          <w:kern w:val="0"/>
          <w:highlight w:val="none"/>
          <w:lang w:val="en-US" w:eastAsia="zh-CN"/>
        </w:rPr>
        <w:t>1份务必在开标截止前上传至电子开评标系统</w:t>
      </w:r>
      <w:r>
        <w:rPr>
          <w:rFonts w:hint="eastAsia" w:ascii="仿宋" w:hAnsi="仿宋" w:eastAsia="仿宋" w:cs="仿宋"/>
          <w:color w:val="000000"/>
          <w:kern w:val="0"/>
          <w:highlight w:val="none"/>
          <w:lang w:val="zh-CN"/>
        </w:rPr>
        <w:t>。加密电子投标文件制作详情请咨询政采云，咨询电话：95763</w:t>
      </w:r>
      <w:r>
        <w:rPr>
          <w:rFonts w:hint="eastAsia" w:ascii="仿宋" w:hAnsi="仿宋" w:eastAsia="仿宋" w:cs="仿宋"/>
          <w:color w:val="000000"/>
          <w:kern w:val="0"/>
          <w:highlight w:val="none"/>
          <w:lang w:val="en-US" w:eastAsia="zh-CN"/>
        </w:rPr>
        <w:t>。</w:t>
      </w:r>
    </w:p>
    <w:p w14:paraId="00FBE231">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12.</w:t>
      </w:r>
      <w:r>
        <w:rPr>
          <w:rFonts w:hint="eastAsia" w:ascii="仿宋" w:hAnsi="仿宋" w:eastAsia="仿宋" w:cs="仿宋"/>
          <w:color w:val="000000"/>
          <w:kern w:val="0"/>
          <w:highlight w:val="none"/>
          <w:lang w:val="en-US" w:eastAsia="zh-CN"/>
        </w:rPr>
        <w:t>3</w:t>
      </w:r>
      <w:r>
        <w:rPr>
          <w:rFonts w:hint="eastAsia" w:ascii="仿宋" w:hAnsi="仿宋" w:eastAsia="仿宋" w:cs="仿宋"/>
          <w:color w:val="000000"/>
          <w:kern w:val="0"/>
          <w:highlight w:val="none"/>
          <w:lang w:val="zh-CN"/>
        </w:rPr>
        <w:t xml:space="preserve"> 磋商响应文件中不得行间插字、涂改或增删，如有修改错漏处，须由投标人法定代表人或其委托代理人签字、加盖公章。</w:t>
      </w:r>
    </w:p>
    <w:p w14:paraId="41E1EC17">
      <w:pPr>
        <w:pStyle w:val="3"/>
        <w:rPr>
          <w:rFonts w:hint="eastAsia" w:ascii="仿宋" w:hAnsi="仿宋" w:eastAsia="仿宋" w:cs="仿宋"/>
          <w:color w:val="000000"/>
          <w:highlight w:val="none"/>
          <w:lang w:val="zh-CN"/>
        </w:rPr>
      </w:pPr>
      <w:bookmarkStart w:id="156" w:name="_Toc21737"/>
      <w:bookmarkStart w:id="157" w:name="_Toc14634"/>
      <w:bookmarkStart w:id="158" w:name="_Toc30156"/>
      <w:bookmarkStart w:id="159" w:name="_Toc2387"/>
      <w:bookmarkStart w:id="160" w:name="_Toc8654"/>
      <w:bookmarkStart w:id="161" w:name="_Toc31844"/>
      <w:bookmarkStart w:id="162" w:name="_Toc11316"/>
      <w:r>
        <w:rPr>
          <w:rFonts w:hint="eastAsia" w:ascii="仿宋" w:hAnsi="仿宋" w:eastAsia="仿宋" w:cs="仿宋"/>
          <w:color w:val="000000"/>
          <w:highlight w:val="none"/>
          <w:lang w:val="zh-CN"/>
        </w:rPr>
        <w:t>五、磋商响应文件的提交</w:t>
      </w:r>
      <w:bookmarkEnd w:id="156"/>
      <w:bookmarkEnd w:id="157"/>
      <w:bookmarkEnd w:id="158"/>
      <w:bookmarkEnd w:id="159"/>
      <w:bookmarkEnd w:id="160"/>
      <w:bookmarkEnd w:id="161"/>
      <w:bookmarkEnd w:id="162"/>
    </w:p>
    <w:p w14:paraId="3B7460CE">
      <w:pPr>
        <w:spacing w:line="360" w:lineRule="auto"/>
        <w:rPr>
          <w:rFonts w:hint="eastAsia" w:ascii="仿宋" w:hAnsi="仿宋" w:eastAsia="仿宋" w:cs="仿宋"/>
          <w:b/>
          <w:bCs/>
          <w:color w:val="000000"/>
          <w:sz w:val="28"/>
          <w:szCs w:val="28"/>
          <w:highlight w:val="none"/>
          <w:lang w:val="zh-CN"/>
        </w:rPr>
      </w:pPr>
      <w:bookmarkStart w:id="163" w:name="_Toc1008"/>
      <w:bookmarkStart w:id="164" w:name="_Toc12780"/>
      <w:bookmarkStart w:id="165" w:name="_Toc1238"/>
      <w:r>
        <w:rPr>
          <w:rFonts w:hint="eastAsia" w:ascii="仿宋" w:hAnsi="仿宋" w:eastAsia="仿宋" w:cs="仿宋"/>
          <w:b/>
          <w:bCs/>
          <w:color w:val="000000"/>
          <w:sz w:val="28"/>
          <w:szCs w:val="28"/>
          <w:highlight w:val="none"/>
          <w:lang w:val="zh-CN"/>
        </w:rPr>
        <w:t>13.磋商响应文件的密封和标记</w:t>
      </w:r>
      <w:bookmarkEnd w:id="163"/>
      <w:bookmarkEnd w:id="164"/>
      <w:bookmarkEnd w:id="165"/>
    </w:p>
    <w:p w14:paraId="06435FDA">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13.1 投标人将加密电子投标文件1份务必在开标截止前上传至电子开评标系统。</w:t>
      </w:r>
    </w:p>
    <w:p w14:paraId="3074721C">
      <w:pPr>
        <w:autoSpaceDE w:val="0"/>
        <w:autoSpaceDN w:val="0"/>
        <w:spacing w:line="360" w:lineRule="auto"/>
        <w:ind w:firstLine="480" w:firstLineChars="200"/>
        <w:rPr>
          <w:rFonts w:hint="eastAsia" w:ascii="仿宋" w:hAnsi="仿宋" w:eastAsia="仿宋" w:cs="仿宋"/>
          <w:color w:val="000000"/>
          <w:kern w:val="0"/>
          <w:highlight w:val="none"/>
        </w:rPr>
      </w:pPr>
      <w:r>
        <w:rPr>
          <w:rFonts w:hint="eastAsia" w:ascii="仿宋" w:hAnsi="仿宋" w:eastAsia="仿宋" w:cs="仿宋"/>
          <w:color w:val="000000"/>
          <w:kern w:val="0"/>
          <w:highlight w:val="none"/>
          <w:lang w:val="zh-CN"/>
        </w:rPr>
        <w:t>13.2 投标人如投多个包，投标文件每包分别按上述规定上传（如果有）。</w:t>
      </w:r>
    </w:p>
    <w:p w14:paraId="609FF3CA">
      <w:pPr>
        <w:spacing w:line="360" w:lineRule="auto"/>
        <w:rPr>
          <w:rFonts w:hint="eastAsia" w:ascii="仿宋" w:hAnsi="仿宋" w:eastAsia="仿宋" w:cs="仿宋"/>
          <w:b/>
          <w:bCs/>
          <w:color w:val="000000"/>
          <w:sz w:val="28"/>
          <w:szCs w:val="28"/>
          <w:highlight w:val="none"/>
          <w:lang w:val="zh-CN"/>
        </w:rPr>
      </w:pPr>
      <w:bookmarkStart w:id="166" w:name="_Toc19328"/>
      <w:bookmarkStart w:id="167" w:name="_Toc2675"/>
      <w:bookmarkStart w:id="168" w:name="_Toc6580"/>
      <w:r>
        <w:rPr>
          <w:rFonts w:hint="eastAsia" w:ascii="仿宋" w:hAnsi="仿宋" w:eastAsia="仿宋" w:cs="仿宋"/>
          <w:b/>
          <w:bCs/>
          <w:color w:val="000000"/>
          <w:sz w:val="28"/>
          <w:szCs w:val="28"/>
          <w:highlight w:val="none"/>
          <w:lang w:val="zh-CN"/>
        </w:rPr>
        <w:t>14.提交磋商响应文件的时间、地点、方式</w:t>
      </w:r>
      <w:bookmarkEnd w:id="166"/>
      <w:bookmarkEnd w:id="167"/>
      <w:bookmarkEnd w:id="168"/>
    </w:p>
    <w:p w14:paraId="3B2DF49E">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14.1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投标人应当在招标文件要求提交投标文件的截止时间前，将</w:t>
      </w:r>
      <w:r>
        <w:rPr>
          <w:rFonts w:hint="eastAsia" w:ascii="仿宋" w:hAnsi="仿宋" w:eastAsia="仿宋" w:cs="仿宋"/>
          <w:b/>
          <w:bCs/>
          <w:color w:val="000000"/>
          <w:kern w:val="0"/>
          <w:highlight w:val="none"/>
          <w:lang w:val="zh-CN"/>
        </w:rPr>
        <w:t>加密电子投标文件</w:t>
      </w:r>
      <w:r>
        <w:rPr>
          <w:rFonts w:hint="eastAsia" w:ascii="仿宋" w:hAnsi="仿宋" w:eastAsia="仿宋" w:cs="仿宋"/>
          <w:b/>
          <w:bCs/>
          <w:color w:val="000000"/>
          <w:kern w:val="0"/>
          <w:highlight w:val="none"/>
          <w:lang w:val="en-US" w:eastAsia="zh-CN"/>
        </w:rPr>
        <w:t>1份务必在开标截止前上传至电子开评标系统，</w:t>
      </w:r>
      <w:r>
        <w:rPr>
          <w:rFonts w:hint="eastAsia" w:ascii="仿宋" w:hAnsi="仿宋" w:eastAsia="仿宋" w:cs="仿宋"/>
          <w:color w:val="000000"/>
          <w:highlight w:val="none"/>
        </w:rPr>
        <w:t>在截止时间后</w:t>
      </w:r>
      <w:r>
        <w:rPr>
          <w:rFonts w:hint="eastAsia" w:ascii="仿宋" w:hAnsi="仿宋" w:eastAsia="仿宋" w:cs="仿宋"/>
          <w:color w:val="000000"/>
          <w:highlight w:val="none"/>
          <w:lang w:eastAsia="zh-CN"/>
        </w:rPr>
        <w:t>上传</w:t>
      </w:r>
      <w:r>
        <w:rPr>
          <w:rFonts w:hint="eastAsia" w:ascii="仿宋" w:hAnsi="仿宋" w:eastAsia="仿宋" w:cs="仿宋"/>
          <w:color w:val="000000"/>
          <w:highlight w:val="none"/>
        </w:rPr>
        <w:t>的，采购人、采购机构或者评标委员会应当拒收</w:t>
      </w:r>
      <w:r>
        <w:rPr>
          <w:rFonts w:hint="eastAsia" w:ascii="仿宋" w:hAnsi="仿宋" w:eastAsia="仿宋" w:cs="仿宋"/>
          <w:color w:val="000000"/>
          <w:kern w:val="0"/>
          <w:highlight w:val="none"/>
          <w:lang w:val="zh-CN"/>
        </w:rPr>
        <w:t>。</w:t>
      </w:r>
    </w:p>
    <w:p w14:paraId="71A809C9">
      <w:pPr>
        <w:spacing w:line="360" w:lineRule="auto"/>
        <w:rPr>
          <w:rFonts w:hint="eastAsia" w:ascii="仿宋" w:hAnsi="仿宋" w:eastAsia="仿宋" w:cs="仿宋"/>
          <w:b/>
          <w:bCs/>
          <w:color w:val="000000"/>
          <w:sz w:val="28"/>
          <w:szCs w:val="28"/>
          <w:highlight w:val="none"/>
          <w:lang w:val="zh-CN"/>
        </w:rPr>
      </w:pPr>
      <w:bookmarkStart w:id="169" w:name="_Toc13655"/>
      <w:bookmarkStart w:id="170" w:name="_Toc21190"/>
      <w:bookmarkStart w:id="171" w:name="_Toc16230"/>
      <w:r>
        <w:rPr>
          <w:rFonts w:hint="eastAsia" w:ascii="仿宋" w:hAnsi="仿宋" w:eastAsia="仿宋" w:cs="仿宋"/>
          <w:b/>
          <w:bCs/>
          <w:color w:val="000000"/>
          <w:sz w:val="28"/>
          <w:szCs w:val="28"/>
          <w:highlight w:val="none"/>
          <w:lang w:val="zh-CN"/>
        </w:rPr>
        <w:t>15.磋商响应文件的补充、修改或者撤回</w:t>
      </w:r>
      <w:bookmarkEnd w:id="169"/>
      <w:bookmarkEnd w:id="170"/>
      <w:bookmarkEnd w:id="171"/>
    </w:p>
    <w:p w14:paraId="25A265FA">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15.1</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eastAsia="zh-CN"/>
        </w:rPr>
        <w:t>供应商</w:t>
      </w:r>
      <w:r>
        <w:rPr>
          <w:rFonts w:hint="eastAsia" w:ascii="仿宋" w:hAnsi="仿宋" w:eastAsia="仿宋" w:cs="仿宋"/>
          <w:color w:val="000000"/>
          <w:kern w:val="0"/>
          <w:highlight w:val="none"/>
        </w:rPr>
        <w:t>在磋商截止时间前，可以对所递交的磋商响应文件进行补充、修改或者撤回，并书面通知采购代理机构。补充、修改的内容应当按照磋商文件要求签署、盖章、密封后，作为磋商响应文件的组成部分。</w:t>
      </w:r>
    </w:p>
    <w:bookmarkEnd w:id="133"/>
    <w:bookmarkEnd w:id="134"/>
    <w:bookmarkEnd w:id="135"/>
    <w:p w14:paraId="3864662E">
      <w:pPr>
        <w:pStyle w:val="3"/>
        <w:rPr>
          <w:rFonts w:hint="eastAsia" w:ascii="仿宋" w:hAnsi="仿宋" w:eastAsia="仿宋" w:cs="仿宋"/>
          <w:color w:val="000000"/>
          <w:highlight w:val="none"/>
        </w:rPr>
      </w:pPr>
      <w:bookmarkStart w:id="172" w:name="_Toc325726019"/>
      <w:bookmarkStart w:id="173" w:name="_Toc376936750"/>
      <w:bookmarkStart w:id="174" w:name="_Toc23923"/>
      <w:bookmarkStart w:id="175" w:name="_Toc18034"/>
      <w:bookmarkStart w:id="176" w:name="_Toc4948"/>
      <w:bookmarkStart w:id="177" w:name="_Toc12169"/>
      <w:bookmarkStart w:id="178" w:name="_Toc10061"/>
      <w:bookmarkStart w:id="179" w:name="_Toc16441"/>
      <w:bookmarkStart w:id="180" w:name="_Toc30317"/>
      <w:r>
        <w:rPr>
          <w:rFonts w:hint="eastAsia" w:ascii="仿宋" w:hAnsi="仿宋" w:eastAsia="仿宋" w:cs="仿宋"/>
          <w:color w:val="000000"/>
          <w:highlight w:val="none"/>
        </w:rPr>
        <w:t>六、</w:t>
      </w:r>
      <w:bookmarkEnd w:id="172"/>
      <w:bookmarkEnd w:id="173"/>
      <w:r>
        <w:rPr>
          <w:rFonts w:hint="eastAsia" w:ascii="仿宋" w:hAnsi="仿宋" w:eastAsia="仿宋" w:cs="仿宋"/>
          <w:color w:val="000000"/>
          <w:highlight w:val="none"/>
        </w:rPr>
        <w:t>磋商过程</w:t>
      </w:r>
      <w:bookmarkEnd w:id="174"/>
      <w:bookmarkEnd w:id="175"/>
      <w:bookmarkEnd w:id="176"/>
      <w:bookmarkEnd w:id="177"/>
      <w:bookmarkEnd w:id="178"/>
      <w:bookmarkEnd w:id="179"/>
      <w:bookmarkEnd w:id="180"/>
    </w:p>
    <w:p w14:paraId="6FBAF022">
      <w:pPr>
        <w:spacing w:line="360" w:lineRule="auto"/>
        <w:rPr>
          <w:rFonts w:hint="eastAsia" w:ascii="仿宋" w:hAnsi="仿宋" w:eastAsia="仿宋" w:cs="仿宋"/>
          <w:b/>
          <w:bCs/>
          <w:color w:val="000000"/>
          <w:sz w:val="28"/>
          <w:szCs w:val="28"/>
          <w:highlight w:val="none"/>
          <w:lang w:val="zh-CN"/>
        </w:rPr>
      </w:pPr>
      <w:bookmarkStart w:id="181" w:name="_Toc325726020"/>
      <w:bookmarkStart w:id="182" w:name="_Toc376936751"/>
      <w:bookmarkStart w:id="183" w:name="_Toc28497"/>
      <w:r>
        <w:rPr>
          <w:rFonts w:hint="eastAsia" w:ascii="仿宋" w:hAnsi="仿宋" w:eastAsia="仿宋" w:cs="仿宋"/>
          <w:b/>
          <w:bCs/>
          <w:color w:val="000000"/>
          <w:sz w:val="28"/>
          <w:szCs w:val="28"/>
          <w:highlight w:val="none"/>
          <w:lang w:val="zh-CN"/>
        </w:rPr>
        <w:t>16.</w:t>
      </w:r>
      <w:bookmarkEnd w:id="181"/>
      <w:bookmarkEnd w:id="182"/>
      <w:r>
        <w:rPr>
          <w:rFonts w:hint="eastAsia" w:ascii="仿宋" w:hAnsi="仿宋" w:eastAsia="仿宋" w:cs="仿宋"/>
          <w:b/>
          <w:bCs/>
          <w:color w:val="000000"/>
          <w:sz w:val="28"/>
          <w:szCs w:val="28"/>
          <w:highlight w:val="none"/>
          <w:lang w:val="zh-CN"/>
        </w:rPr>
        <w:t>磋商过程</w:t>
      </w:r>
      <w:bookmarkEnd w:id="183"/>
    </w:p>
    <w:p w14:paraId="2C5E239B">
      <w:pPr>
        <w:adjustRightInd w:val="0"/>
        <w:snapToGrid w:val="0"/>
        <w:spacing w:line="360" w:lineRule="auto"/>
        <w:ind w:firstLine="480"/>
        <w:jc w:val="left"/>
        <w:rPr>
          <w:rFonts w:hint="eastAsia" w:ascii="仿宋" w:hAnsi="仿宋" w:eastAsia="仿宋" w:cs="仿宋"/>
          <w:color w:val="000000"/>
          <w:highlight w:val="none"/>
        </w:rPr>
      </w:pPr>
      <w:bookmarkStart w:id="184" w:name="_Toc11263"/>
      <w:bookmarkStart w:id="185" w:name="_Toc325726021"/>
      <w:bookmarkStart w:id="186" w:name="_Toc376936752"/>
      <w:r>
        <w:rPr>
          <w:rFonts w:hint="eastAsia" w:ascii="仿宋" w:hAnsi="仿宋" w:eastAsia="仿宋" w:cs="仿宋"/>
          <w:color w:val="000000"/>
          <w:highlight w:val="none"/>
        </w:rPr>
        <w:t>16.1 开标由采购代理机构主持，邀请投标人参加。评标委员会成员不得参加开标活动。</w:t>
      </w:r>
    </w:p>
    <w:p w14:paraId="577ECE41">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2DFA0F88">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16.3 通过</w:t>
      </w:r>
      <w:r>
        <w:rPr>
          <w:rFonts w:hint="eastAsia" w:ascii="仿宋" w:hAnsi="仿宋" w:eastAsia="仿宋" w:cs="仿宋"/>
          <w:color w:val="000000"/>
          <w:highlight w:val="none"/>
        </w:rPr>
        <w:t>资格性审查和符合性审查</w:t>
      </w:r>
      <w:r>
        <w:rPr>
          <w:rFonts w:hint="eastAsia" w:ascii="仿宋" w:hAnsi="仿宋" w:eastAsia="仿宋" w:cs="仿宋"/>
          <w:color w:val="000000"/>
          <w:highlight w:val="none"/>
          <w:lang w:val="en-US" w:eastAsia="zh-CN"/>
        </w:rPr>
        <w:t>的供应商进行最终报价时，如未能在规定时间内报价，则以第一次报价作为最终报价进行评审。</w:t>
      </w:r>
    </w:p>
    <w:p w14:paraId="6BD37B80">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16.</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 xml:space="preserve"> 磋商工作由采购代理机构组织，采购人、采购监管、纪检监察等有关方面代表可根据采购项目的具体情况列席。</w:t>
      </w:r>
    </w:p>
    <w:p w14:paraId="7D4C1C4F">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16.</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rPr>
        <w:t xml:space="preserve"> 磋商过程有专人记录，并存档备查。</w:t>
      </w:r>
    </w:p>
    <w:p w14:paraId="2351CCE3">
      <w:pPr>
        <w:pStyle w:val="3"/>
        <w:rPr>
          <w:rFonts w:hint="eastAsia" w:ascii="仿宋" w:hAnsi="仿宋" w:eastAsia="仿宋" w:cs="仿宋"/>
          <w:color w:val="000000"/>
          <w:highlight w:val="none"/>
        </w:rPr>
      </w:pPr>
      <w:bookmarkStart w:id="187" w:name="_Toc31427"/>
      <w:bookmarkStart w:id="188" w:name="_Toc31038"/>
      <w:bookmarkStart w:id="189" w:name="_Toc17843"/>
      <w:bookmarkStart w:id="190" w:name="_Toc8338"/>
      <w:bookmarkStart w:id="191" w:name="_Toc14694"/>
      <w:bookmarkStart w:id="192" w:name="_Toc20476"/>
      <w:r>
        <w:rPr>
          <w:rFonts w:hint="eastAsia" w:ascii="仿宋" w:hAnsi="仿宋" w:eastAsia="仿宋" w:cs="仿宋"/>
          <w:color w:val="000000"/>
          <w:highlight w:val="none"/>
        </w:rPr>
        <w:t>七、磋商程序及方法</w:t>
      </w:r>
      <w:bookmarkEnd w:id="184"/>
      <w:bookmarkEnd w:id="185"/>
      <w:bookmarkEnd w:id="186"/>
      <w:bookmarkEnd w:id="187"/>
      <w:bookmarkEnd w:id="188"/>
      <w:bookmarkEnd w:id="189"/>
      <w:bookmarkEnd w:id="190"/>
      <w:bookmarkEnd w:id="191"/>
      <w:bookmarkEnd w:id="192"/>
    </w:p>
    <w:p w14:paraId="090687FC">
      <w:pPr>
        <w:spacing w:line="360" w:lineRule="auto"/>
        <w:rPr>
          <w:rFonts w:hint="eastAsia" w:ascii="仿宋" w:hAnsi="仿宋" w:eastAsia="仿宋" w:cs="仿宋"/>
          <w:b/>
          <w:bCs/>
          <w:color w:val="000000"/>
          <w:sz w:val="28"/>
          <w:szCs w:val="28"/>
          <w:highlight w:val="none"/>
          <w:lang w:val="zh-CN"/>
        </w:rPr>
      </w:pPr>
      <w:bookmarkStart w:id="193" w:name="_Toc325726022"/>
      <w:bookmarkStart w:id="194" w:name="_Toc21232"/>
      <w:bookmarkStart w:id="195" w:name="_Toc376936753"/>
      <w:r>
        <w:rPr>
          <w:rFonts w:hint="eastAsia" w:ascii="仿宋" w:hAnsi="仿宋" w:eastAsia="仿宋" w:cs="仿宋"/>
          <w:b/>
          <w:bCs/>
          <w:color w:val="000000"/>
          <w:sz w:val="28"/>
          <w:szCs w:val="28"/>
          <w:highlight w:val="none"/>
          <w:lang w:val="zh-CN"/>
        </w:rPr>
        <w:t>17.磋商小组</w:t>
      </w:r>
      <w:bookmarkEnd w:id="193"/>
      <w:bookmarkEnd w:id="194"/>
      <w:bookmarkEnd w:id="195"/>
    </w:p>
    <w:p w14:paraId="24F1428D">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17.1 评标委员会由采购人代表和评审专家组成，成员人数应当为</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人以上单数，其中评审专家不得少于成员总数的三分之二。</w:t>
      </w:r>
    </w:p>
    <w:p w14:paraId="12C37449">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17.2磋商由采购代理机构负责组织，具体磋商事务由依法组建的磋商小组负责，并独立履行下列职责：</w:t>
      </w:r>
    </w:p>
    <w:p w14:paraId="0DCDC475">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（1）审查磋商响应文件是否符合磋商文件要求，并作出评价；</w:t>
      </w:r>
    </w:p>
    <w:p w14:paraId="6DE5F90C">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（2）要求</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对磋商响应文件有关事项作出解释或澄清；</w:t>
      </w:r>
    </w:p>
    <w:p w14:paraId="2366BE2E">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（3）推荐预成交候选人；</w:t>
      </w:r>
    </w:p>
    <w:p w14:paraId="7B79F5C6">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（4）对非法干预</w:t>
      </w:r>
      <w:r>
        <w:rPr>
          <w:rFonts w:hint="eastAsia" w:ascii="仿宋" w:hAnsi="仿宋" w:eastAsia="仿宋" w:cs="仿宋"/>
          <w:color w:val="000000"/>
          <w:highlight w:val="none"/>
          <w:lang w:eastAsia="zh-CN"/>
        </w:rPr>
        <w:t>评审</w:t>
      </w:r>
      <w:r>
        <w:rPr>
          <w:rFonts w:hint="eastAsia" w:ascii="仿宋" w:hAnsi="仿宋" w:eastAsia="仿宋" w:cs="仿宋"/>
          <w:color w:val="000000"/>
          <w:highlight w:val="none"/>
        </w:rPr>
        <w:t>工作的人员和机构进行举报或投诉。</w:t>
      </w:r>
    </w:p>
    <w:p w14:paraId="26E22126">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17.3磋商小组应遵守并履行下列义务：</w:t>
      </w:r>
    </w:p>
    <w:p w14:paraId="14D26084">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（1）遵纪守法，客观、公正、廉洁地履行职责；</w:t>
      </w:r>
    </w:p>
    <w:p w14:paraId="03CE131E">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（2）按照磋商文件规定的评审方法和评审标准进行评审，对评审意见承担磋商小组成员责任；</w:t>
      </w:r>
    </w:p>
    <w:p w14:paraId="52042478">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（3）对磋商响应文件、磋商情况和磋商中获悉的商业秘密保密；</w:t>
      </w:r>
    </w:p>
    <w:p w14:paraId="7ED2E93E">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（4）参与磋商报告的起草；</w:t>
      </w:r>
    </w:p>
    <w:p w14:paraId="6F392814">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（5）解答</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及有关方面的质疑；</w:t>
      </w:r>
    </w:p>
    <w:p w14:paraId="241020EA">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（6）配合纪检部门进行投诉处理工作。</w:t>
      </w:r>
    </w:p>
    <w:p w14:paraId="2EC22786">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17.4磋商小组所有成员应当集中与单一</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分别进行磋商，并给予所有参加磋商的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平等的磋商机会。</w:t>
      </w:r>
    </w:p>
    <w:p w14:paraId="4531996D">
      <w:pPr>
        <w:adjustRightInd w:val="0"/>
        <w:snapToGrid w:val="0"/>
        <w:spacing w:line="360" w:lineRule="auto"/>
        <w:ind w:firstLine="480"/>
        <w:jc w:val="left"/>
        <w:rPr>
          <w:rFonts w:hint="eastAsia" w:ascii="仿宋" w:hAnsi="仿宋" w:eastAsia="仿宋" w:cs="仿宋"/>
          <w:b/>
          <w:bCs/>
          <w:color w:val="000000"/>
          <w:kern w:val="0"/>
          <w:sz w:val="27"/>
          <w:szCs w:val="27"/>
          <w:highlight w:val="none"/>
        </w:rPr>
      </w:pPr>
      <w:r>
        <w:rPr>
          <w:rFonts w:hint="eastAsia" w:ascii="仿宋" w:hAnsi="仿宋" w:eastAsia="仿宋" w:cs="仿宋"/>
          <w:color w:val="000000"/>
          <w:highlight w:val="none"/>
        </w:rPr>
        <w:t>17.5磋商工作在有关部门的监督和严格保密的情况下依法开展，任何单位和个人不得非法干预、影响磋商工作和磋商结果。</w:t>
      </w:r>
      <w:bookmarkStart w:id="196" w:name="_Toc325726023"/>
      <w:bookmarkStart w:id="197" w:name="_Toc376936754"/>
    </w:p>
    <w:p w14:paraId="16F50CF0">
      <w:pPr>
        <w:spacing w:line="360" w:lineRule="auto"/>
        <w:rPr>
          <w:rFonts w:hint="eastAsia" w:ascii="仿宋" w:hAnsi="仿宋" w:eastAsia="仿宋" w:cs="仿宋"/>
          <w:b/>
          <w:bCs/>
          <w:color w:val="000000"/>
          <w:sz w:val="28"/>
          <w:szCs w:val="28"/>
          <w:highlight w:val="none"/>
          <w:lang w:val="zh-CN"/>
        </w:rPr>
      </w:pPr>
      <w:bookmarkStart w:id="198" w:name="_Toc6748"/>
      <w:r>
        <w:rPr>
          <w:rFonts w:hint="eastAsia" w:ascii="仿宋" w:hAnsi="仿宋" w:eastAsia="仿宋" w:cs="仿宋"/>
          <w:b/>
          <w:bCs/>
          <w:color w:val="000000"/>
          <w:sz w:val="28"/>
          <w:szCs w:val="28"/>
          <w:highlight w:val="none"/>
          <w:lang w:val="zh-CN"/>
        </w:rPr>
        <w:t>18.磋商程序</w:t>
      </w:r>
      <w:bookmarkEnd w:id="196"/>
      <w:bookmarkEnd w:id="197"/>
      <w:bookmarkEnd w:id="198"/>
    </w:p>
    <w:p w14:paraId="598F5CAF">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szCs w:val="20"/>
          <w:highlight w:val="none"/>
        </w:rPr>
        <w:t>18.1</w:t>
      </w:r>
      <w:r>
        <w:rPr>
          <w:rFonts w:hint="eastAsia" w:ascii="仿宋" w:hAnsi="仿宋" w:eastAsia="仿宋" w:cs="仿宋"/>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4DBD064">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18.2初审阶段为资格性审查和符合性审查。</w:t>
      </w:r>
    </w:p>
    <w:p w14:paraId="7EF6F94A">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18.2.1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14:paraId="38DBFEFD">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（1）不符合第</w:t>
      </w:r>
      <w:r>
        <w:rPr>
          <w:rFonts w:hint="eastAsia" w:ascii="仿宋" w:hAnsi="仿宋" w:eastAsia="仿宋" w:cs="仿宋"/>
          <w:color w:val="000000"/>
          <w:highlight w:val="none"/>
          <w:lang w:val="zh-CN"/>
        </w:rPr>
        <w:t>2</w:t>
      </w:r>
      <w:r>
        <w:rPr>
          <w:rFonts w:hint="eastAsia" w:ascii="仿宋" w:hAnsi="仿宋" w:eastAsia="仿宋" w:cs="仿宋"/>
          <w:color w:val="000000"/>
          <w:highlight w:val="none"/>
        </w:rPr>
        <w:t>.</w:t>
      </w:r>
      <w:r>
        <w:rPr>
          <w:rFonts w:hint="eastAsia" w:ascii="仿宋" w:hAnsi="仿宋" w:eastAsia="仿宋" w:cs="仿宋"/>
          <w:color w:val="000000"/>
          <w:highlight w:val="none"/>
          <w:lang w:val="zh-CN"/>
        </w:rPr>
        <w:t>2款“合格的供应商”之规定的；</w:t>
      </w:r>
    </w:p>
    <w:p w14:paraId="43FCF816">
      <w:pPr>
        <w:adjustRightInd w:val="0"/>
        <w:snapToGrid w:val="0"/>
        <w:spacing w:line="360" w:lineRule="auto"/>
        <w:ind w:firstLine="480"/>
        <w:jc w:val="left"/>
        <w:rPr>
          <w:rFonts w:hint="eastAsia" w:ascii="仿宋" w:hAnsi="仿宋" w:eastAsia="仿宋" w:cs="仿宋"/>
          <w:color w:val="000000"/>
          <w:highlight w:val="none"/>
          <w:lang w:val="zh-CN"/>
        </w:rPr>
      </w:pPr>
      <w:r>
        <w:rPr>
          <w:rFonts w:hint="eastAsia" w:ascii="仿宋" w:hAnsi="仿宋" w:eastAsia="仿宋" w:cs="仿宋"/>
          <w:color w:val="000000"/>
          <w:highlight w:val="none"/>
        </w:rPr>
        <w:t>（2）</w:t>
      </w:r>
      <w:r>
        <w:rPr>
          <w:rFonts w:hint="eastAsia" w:ascii="仿宋" w:hAnsi="仿宋" w:eastAsia="仿宋" w:cs="仿宋"/>
          <w:color w:val="000000"/>
          <w:highlight w:val="none"/>
          <w:lang w:val="zh-CN"/>
        </w:rPr>
        <w:t>未按磋商文件要求缴纳或未足额缴纳磋商保证金的；</w:t>
      </w:r>
    </w:p>
    <w:p w14:paraId="51E14958">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（3）未按第11款（1）-（1</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）要求提供相关资料的；</w:t>
      </w:r>
    </w:p>
    <w:p w14:paraId="6A1A8556">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（4）磋商响应文件内容没有按磋商文件规定和要求签字、盖章的；</w:t>
      </w:r>
    </w:p>
    <w:p w14:paraId="58EBFE7B">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（5）磋商响应文件编排混乱，且擅自修改磋商文件规定的格式内容的；</w:t>
      </w:r>
    </w:p>
    <w:p w14:paraId="50385515">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磋商</w:t>
      </w:r>
      <w:r>
        <w:rPr>
          <w:rFonts w:hint="eastAsia" w:ascii="仿宋" w:hAnsi="仿宋" w:eastAsia="仿宋" w:cs="仿宋"/>
          <w:color w:val="000000"/>
          <w:highlight w:val="none"/>
          <w:lang w:eastAsia="zh-CN"/>
        </w:rPr>
        <w:t>总报价超过竞争性磋商文件规定的采购预算额度或者最高限价的；</w:t>
      </w:r>
    </w:p>
    <w:p w14:paraId="6197CC7D">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）服务期、磋商有效期不能满足磋商文件要求的；</w:t>
      </w:r>
    </w:p>
    <w:p w14:paraId="0DA05B99">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8</w:t>
      </w:r>
      <w:r>
        <w:rPr>
          <w:rFonts w:hint="eastAsia" w:ascii="仿宋" w:hAnsi="仿宋" w:eastAsia="仿宋" w:cs="仿宋"/>
          <w:color w:val="000000"/>
          <w:highlight w:val="none"/>
        </w:rPr>
        <w:t>）磋商项目的服务内容、服务标准明显不符合采购项目要求的；</w:t>
      </w:r>
    </w:p>
    <w:p w14:paraId="43FF939A">
      <w:pPr>
        <w:adjustRightInd w:val="0"/>
        <w:snapToGrid w:val="0"/>
        <w:spacing w:line="360" w:lineRule="auto"/>
        <w:ind w:firstLine="480"/>
        <w:jc w:val="left"/>
        <w:rPr>
          <w:rFonts w:hint="eastAsia" w:ascii="仿宋" w:hAnsi="仿宋" w:eastAsia="仿宋" w:cs="仿宋"/>
          <w:color w:val="000000"/>
          <w:szCs w:val="20"/>
          <w:highlight w:val="none"/>
        </w:rPr>
      </w:pPr>
      <w:r>
        <w:rPr>
          <w:rFonts w:hint="eastAsia" w:ascii="仿宋" w:hAnsi="仿宋" w:eastAsia="仿宋" w:cs="仿宋"/>
          <w:color w:val="000000"/>
          <w:szCs w:val="20"/>
          <w:highlight w:val="none"/>
        </w:rPr>
        <w:t>（</w:t>
      </w:r>
      <w:r>
        <w:rPr>
          <w:rFonts w:hint="eastAsia" w:ascii="仿宋" w:hAnsi="仿宋" w:eastAsia="仿宋" w:cs="仿宋"/>
          <w:color w:val="000000"/>
          <w:szCs w:val="20"/>
          <w:highlight w:val="none"/>
          <w:lang w:val="en-US" w:eastAsia="zh-CN"/>
        </w:rPr>
        <w:t>9</w:t>
      </w:r>
      <w:r>
        <w:rPr>
          <w:rFonts w:hint="eastAsia" w:ascii="仿宋" w:hAnsi="仿宋" w:eastAsia="仿宋" w:cs="仿宋"/>
          <w:color w:val="000000"/>
          <w:szCs w:val="20"/>
          <w:highlight w:val="none"/>
        </w:rPr>
        <w:t>）磋商响应文件中附有采购人不能接受的条件的；</w:t>
      </w:r>
    </w:p>
    <w:p w14:paraId="7A5A1915">
      <w:pPr>
        <w:adjustRightInd w:val="0"/>
        <w:snapToGrid w:val="0"/>
        <w:spacing w:line="360" w:lineRule="auto"/>
        <w:ind w:firstLine="480"/>
        <w:rPr>
          <w:rFonts w:hint="eastAsia" w:ascii="仿宋" w:hAnsi="仿宋" w:eastAsia="仿宋" w:cs="仿宋"/>
          <w:color w:val="000000"/>
          <w:highlight w:val="none"/>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10</w:t>
      </w:r>
      <w:r>
        <w:rPr>
          <w:rFonts w:hint="eastAsia" w:ascii="仿宋" w:hAnsi="仿宋" w:eastAsia="仿宋" w:cs="仿宋"/>
          <w:color w:val="000000"/>
          <w:highlight w:val="none"/>
        </w:rPr>
        <w:t>）磋商小组认为应按无效响应处理的其他情况；</w:t>
      </w:r>
    </w:p>
    <w:p w14:paraId="4ED3625A">
      <w:pPr>
        <w:adjustRightInd w:val="0"/>
        <w:snapToGrid w:val="0"/>
        <w:spacing w:line="360" w:lineRule="auto"/>
        <w:ind w:firstLine="480"/>
        <w:rPr>
          <w:rFonts w:hint="eastAsia" w:ascii="仿宋" w:hAnsi="仿宋" w:eastAsia="仿宋" w:cs="仿宋"/>
          <w:color w:val="000000"/>
          <w:highlight w:val="none"/>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11</w:t>
      </w:r>
      <w:r>
        <w:rPr>
          <w:rFonts w:hint="eastAsia" w:ascii="仿宋" w:hAnsi="仿宋" w:eastAsia="仿宋" w:cs="仿宋"/>
          <w:color w:val="000000"/>
          <w:highlight w:val="none"/>
        </w:rPr>
        <w:t>）法律、法规规定的其他情形。</w:t>
      </w:r>
    </w:p>
    <w:p w14:paraId="03228A41">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18.2.2非实质性偏离是对磋商响应文件的有效性、完整性和响应程度进行审查时，可以要求</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对磋商响应文件中含义不明确、同类问题表述不一致或者明显文字和计算错误的内容作出必要的澄清、说明或者补正后这些内容不会改变磋商响应文件的实质性。以下情况属于非实质性偏离：</w:t>
      </w:r>
    </w:p>
    <w:p w14:paraId="367D882A">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 磋商响应文件文字表述的内容含义不明确；</w:t>
      </w:r>
    </w:p>
    <w:p w14:paraId="7C859BFD">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 同类问题表述不一致；</w:t>
      </w:r>
    </w:p>
    <w:p w14:paraId="58CB82D1">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（3） 有明显文字和计算错误；</w:t>
      </w:r>
    </w:p>
    <w:p w14:paraId="1DD5C143">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（4） 提供的技术信息和数据资料不完整；</w:t>
      </w:r>
    </w:p>
    <w:p w14:paraId="3880624F">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（5） 磋商小组认定的其他非实质性偏离情况。</w:t>
      </w:r>
    </w:p>
    <w:p w14:paraId="46222785">
      <w:pPr>
        <w:tabs>
          <w:tab w:val="left" w:pos="8787"/>
        </w:tabs>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磋商响应文件有上述情形之一的，磋商小组应当要求</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在规定的时间内予以澄清、说明。澄清说明材料由</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法定代表人或委托代理人在规定的时间到达指定地点等候答疑，并对磋商小组提出的质疑做出应答（如不在场则视为自动放弃）。该内容不得超出磋商响应文件的范围或者改变磋商响应文件的实质性内容，并作为磋商响应文件的组成部分。答疑期间，</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主动提出的澄清、说明的内容将不予接受。</w:t>
      </w:r>
    </w:p>
    <w:p w14:paraId="2772EA46">
      <w:pPr>
        <w:autoSpaceDE w:val="0"/>
        <w:autoSpaceDN w:val="0"/>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18.2.3 在磋商响应文件初审、复审过程中，如果磋商小组成员出现对评审结果有不同意见的，应当以书面形式反映，评审报告中应注明该不同意见。磋商小组成员拒绝在评审报告中签字又不书面说明其不同意见和理由的，视为同意磋商结果。</w:t>
      </w:r>
    </w:p>
    <w:p w14:paraId="48F40BBA">
      <w:pPr>
        <w:autoSpaceDE w:val="0"/>
        <w:autoSpaceDN w:val="0"/>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应当按照磋商文件的变动情况和磋商小组的要求重新提交响应文件，并由其法定代表人或委托代理人签字或者加盖公章。</w:t>
      </w:r>
    </w:p>
    <w:p w14:paraId="0046C8B2">
      <w:pPr>
        <w:adjustRightInd w:val="0"/>
        <w:snapToGrid w:val="0"/>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6870D212">
      <w:pPr>
        <w:spacing w:line="360" w:lineRule="auto"/>
        <w:rPr>
          <w:rFonts w:hint="eastAsia" w:ascii="仿宋" w:hAnsi="仿宋" w:eastAsia="仿宋" w:cs="仿宋"/>
          <w:b/>
          <w:bCs/>
          <w:color w:val="000000"/>
          <w:sz w:val="28"/>
          <w:szCs w:val="28"/>
          <w:highlight w:val="none"/>
          <w:lang w:val="zh-CN"/>
        </w:rPr>
      </w:pPr>
      <w:bookmarkStart w:id="199" w:name="_Toc325726024"/>
      <w:bookmarkStart w:id="200" w:name="_Toc376936755"/>
      <w:bookmarkStart w:id="201" w:name="_Toc21963"/>
      <w:r>
        <w:rPr>
          <w:rFonts w:hint="eastAsia" w:ascii="仿宋" w:hAnsi="仿宋" w:eastAsia="仿宋" w:cs="仿宋"/>
          <w:b/>
          <w:bCs/>
          <w:color w:val="000000"/>
          <w:sz w:val="28"/>
          <w:szCs w:val="28"/>
          <w:highlight w:val="none"/>
          <w:lang w:val="zh-CN"/>
        </w:rPr>
        <w:t>19.评审办法</w:t>
      </w:r>
      <w:bookmarkEnd w:id="199"/>
      <w:bookmarkEnd w:id="200"/>
      <w:bookmarkEnd w:id="201"/>
    </w:p>
    <w:p w14:paraId="2B346AAD">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rPr>
        <w:t>9</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highlight w:val="none"/>
          <w:shd w:val="clear" w:color="auto" w:fill="FFFFFF"/>
          <w:lang w:eastAsia="zh-CN"/>
        </w:rPr>
        <w:t>磋商小组</w:t>
      </w:r>
      <w:r>
        <w:rPr>
          <w:rFonts w:hint="eastAsia" w:ascii="仿宋" w:hAnsi="仿宋" w:eastAsia="仿宋" w:cs="仿宋"/>
          <w:color w:val="000000"/>
          <w:highlight w:val="none"/>
          <w:shd w:val="clear" w:color="auto" w:fill="FFFFFF"/>
        </w:rPr>
        <w:t>应当按照</w:t>
      </w:r>
      <w:r>
        <w:rPr>
          <w:rFonts w:hint="eastAsia" w:ascii="仿宋" w:hAnsi="仿宋" w:eastAsia="仿宋" w:cs="仿宋"/>
          <w:color w:val="000000"/>
          <w:highlight w:val="none"/>
          <w:shd w:val="clear" w:color="auto" w:fill="FFFFFF"/>
          <w:lang w:eastAsia="zh-CN"/>
        </w:rPr>
        <w:t>竞争性磋商文件</w:t>
      </w:r>
      <w:r>
        <w:rPr>
          <w:rFonts w:hint="eastAsia" w:ascii="仿宋" w:hAnsi="仿宋" w:eastAsia="仿宋" w:cs="仿宋"/>
          <w:color w:val="000000"/>
          <w:highlight w:val="none"/>
          <w:shd w:val="clear" w:color="auto" w:fill="FFFFFF"/>
        </w:rPr>
        <w:t>中规定的</w:t>
      </w:r>
      <w:r>
        <w:rPr>
          <w:rFonts w:hint="eastAsia" w:ascii="仿宋" w:hAnsi="仿宋" w:eastAsia="仿宋" w:cs="仿宋"/>
          <w:color w:val="000000"/>
          <w:highlight w:val="none"/>
          <w:shd w:val="clear" w:color="auto" w:fill="FFFFFF"/>
          <w:lang w:eastAsia="zh-CN"/>
        </w:rPr>
        <w:t>评审</w:t>
      </w:r>
      <w:r>
        <w:rPr>
          <w:rFonts w:hint="eastAsia" w:ascii="仿宋" w:hAnsi="仿宋" w:eastAsia="仿宋" w:cs="仿宋"/>
          <w:color w:val="000000"/>
          <w:highlight w:val="none"/>
          <w:shd w:val="clear" w:color="auto" w:fill="FFFFFF"/>
        </w:rPr>
        <w:t>方法和标准，对资格性和符合性审查合格的</w:t>
      </w:r>
      <w:r>
        <w:rPr>
          <w:rFonts w:hint="eastAsia" w:ascii="仿宋" w:hAnsi="仿宋" w:eastAsia="仿宋" w:cs="仿宋"/>
          <w:color w:val="000000"/>
          <w:highlight w:val="none"/>
          <w:shd w:val="clear" w:color="auto" w:fill="FFFFFF"/>
          <w:lang w:eastAsia="zh-CN"/>
        </w:rPr>
        <w:t>磋商响应文件</w:t>
      </w:r>
      <w:r>
        <w:rPr>
          <w:rFonts w:hint="eastAsia" w:ascii="仿宋" w:hAnsi="仿宋" w:eastAsia="仿宋" w:cs="仿宋"/>
          <w:color w:val="000000"/>
          <w:highlight w:val="none"/>
          <w:shd w:val="clear" w:color="auto" w:fill="FFFFFF"/>
        </w:rPr>
        <w:t>进行商务和技术评估，综合比较与评价。</w:t>
      </w:r>
    </w:p>
    <w:p w14:paraId="2A7C4DC9">
      <w:pPr>
        <w:autoSpaceDE w:val="0"/>
        <w:autoSpaceDN w:val="0"/>
        <w:spacing w:line="360" w:lineRule="auto"/>
        <w:ind w:firstLine="480" w:firstLineChars="200"/>
        <w:rPr>
          <w:rFonts w:hint="eastAsia" w:ascii="仿宋" w:hAnsi="仿宋" w:eastAsia="仿宋" w:cs="仿宋"/>
          <w:b/>
          <w:bCs/>
          <w:color w:val="000000"/>
          <w:kern w:val="0"/>
          <w:sz w:val="27"/>
          <w:szCs w:val="27"/>
          <w:highlight w:val="none"/>
        </w:rPr>
      </w:pPr>
      <w:r>
        <w:rPr>
          <w:rFonts w:hint="eastAsia" w:ascii="仿宋" w:hAnsi="仿宋" w:eastAsia="仿宋" w:cs="仿宋"/>
          <w:color w:val="000000"/>
          <w:kern w:val="0"/>
          <w:highlight w:val="none"/>
          <w:lang w:val="zh-CN"/>
        </w:rPr>
        <w:t>1</w:t>
      </w:r>
      <w:r>
        <w:rPr>
          <w:rFonts w:hint="eastAsia" w:ascii="仿宋" w:hAnsi="仿宋" w:eastAsia="仿宋" w:cs="仿宋"/>
          <w:color w:val="000000"/>
          <w:kern w:val="0"/>
          <w:highlight w:val="none"/>
        </w:rPr>
        <w:t>9</w:t>
      </w:r>
      <w:r>
        <w:rPr>
          <w:rFonts w:hint="eastAsia" w:ascii="仿宋" w:hAnsi="仿宋" w:eastAsia="仿宋" w:cs="仿宋"/>
          <w:color w:val="000000"/>
          <w:kern w:val="0"/>
          <w:highlight w:val="none"/>
          <w:lang w:val="zh-CN"/>
        </w:rPr>
        <w:t>.</w:t>
      </w:r>
      <w:r>
        <w:rPr>
          <w:rFonts w:hint="eastAsia" w:ascii="仿宋" w:hAnsi="仿宋" w:eastAsia="仿宋" w:cs="仿宋"/>
          <w:color w:val="000000"/>
          <w:kern w:val="0"/>
          <w:highlight w:val="none"/>
        </w:rPr>
        <w:t xml:space="preserve">2 </w:t>
      </w:r>
      <w:r>
        <w:rPr>
          <w:rFonts w:hint="eastAsia" w:ascii="仿宋" w:hAnsi="仿宋" w:eastAsia="仿宋" w:cs="仿宋"/>
          <w:color w:val="000000"/>
          <w:highlight w:val="none"/>
          <w:shd w:val="clear" w:color="auto" w:fill="FFFFFF"/>
          <w:lang w:eastAsia="zh-CN"/>
        </w:rPr>
        <w:t>磋商小组</w:t>
      </w:r>
      <w:r>
        <w:rPr>
          <w:rFonts w:hint="eastAsia" w:ascii="仿宋" w:hAnsi="仿宋" w:eastAsia="仿宋" w:cs="仿宋"/>
          <w:color w:val="000000"/>
          <w:highlight w:val="none"/>
          <w:shd w:val="clear" w:color="auto" w:fill="FFFFFF"/>
        </w:rPr>
        <w:t>认为</w:t>
      </w:r>
      <w:r>
        <w:rPr>
          <w:rFonts w:hint="eastAsia" w:ascii="仿宋" w:hAnsi="仿宋" w:eastAsia="仿宋" w:cs="仿宋"/>
          <w:color w:val="000000"/>
          <w:highlight w:val="none"/>
          <w:shd w:val="clear" w:color="auto" w:fill="FFFFFF"/>
          <w:lang w:eastAsia="zh-CN"/>
        </w:rPr>
        <w:t>供应商</w:t>
      </w:r>
      <w:r>
        <w:rPr>
          <w:rFonts w:hint="eastAsia" w:ascii="仿宋" w:hAnsi="仿宋" w:eastAsia="仿宋" w:cs="仿宋"/>
          <w:color w:val="000000"/>
          <w:highlight w:val="none"/>
          <w:shd w:val="clear" w:color="auto" w:fill="FFFFFF"/>
        </w:rPr>
        <w:t>的报价明显低于其他通过资格性和符合性审查</w:t>
      </w:r>
      <w:r>
        <w:rPr>
          <w:rFonts w:hint="eastAsia" w:ascii="仿宋" w:hAnsi="仿宋" w:eastAsia="仿宋" w:cs="仿宋"/>
          <w:color w:val="000000"/>
          <w:highlight w:val="none"/>
          <w:shd w:val="clear" w:color="auto" w:fill="FFFFFF"/>
          <w:lang w:eastAsia="zh-CN"/>
        </w:rPr>
        <w:t>供应商</w:t>
      </w:r>
      <w:r>
        <w:rPr>
          <w:rFonts w:hint="eastAsia" w:ascii="仿宋" w:hAnsi="仿宋" w:eastAsia="仿宋" w:cs="仿宋"/>
          <w:color w:val="000000"/>
          <w:highlight w:val="none"/>
          <w:shd w:val="clear" w:color="auto" w:fill="FFFFFF"/>
        </w:rPr>
        <w:t>的报价，有可能影响产品质量或者不能诚信履约的，应当要求其在</w:t>
      </w:r>
      <w:r>
        <w:rPr>
          <w:rFonts w:hint="eastAsia" w:ascii="仿宋" w:hAnsi="仿宋" w:eastAsia="仿宋" w:cs="仿宋"/>
          <w:color w:val="000000"/>
          <w:highlight w:val="none"/>
          <w:shd w:val="clear" w:color="auto" w:fill="FFFFFF"/>
          <w:lang w:eastAsia="zh-CN"/>
        </w:rPr>
        <w:t>评审</w:t>
      </w:r>
      <w:r>
        <w:rPr>
          <w:rFonts w:hint="eastAsia" w:ascii="仿宋" w:hAnsi="仿宋" w:eastAsia="仿宋" w:cs="仿宋"/>
          <w:color w:val="000000"/>
          <w:highlight w:val="none"/>
          <w:shd w:val="clear" w:color="auto" w:fill="FFFFFF"/>
        </w:rPr>
        <w:t>现场合理的时间内提供书面说明，必要时提交相关证明材料；</w:t>
      </w:r>
      <w:r>
        <w:rPr>
          <w:rFonts w:hint="eastAsia" w:ascii="仿宋" w:hAnsi="仿宋" w:eastAsia="仿宋" w:cs="仿宋"/>
          <w:color w:val="000000"/>
          <w:highlight w:val="none"/>
          <w:shd w:val="clear" w:color="auto" w:fill="FFFFFF"/>
          <w:lang w:eastAsia="zh-CN"/>
        </w:rPr>
        <w:t>供应商</w:t>
      </w:r>
      <w:r>
        <w:rPr>
          <w:rFonts w:hint="eastAsia" w:ascii="仿宋" w:hAnsi="仿宋" w:eastAsia="仿宋" w:cs="仿宋"/>
          <w:color w:val="000000"/>
          <w:highlight w:val="none"/>
          <w:shd w:val="clear" w:color="auto" w:fill="FFFFFF"/>
        </w:rPr>
        <w:t>不能证明其报价合理性的，</w:t>
      </w:r>
      <w:r>
        <w:rPr>
          <w:rFonts w:hint="eastAsia" w:ascii="仿宋" w:hAnsi="仿宋" w:eastAsia="仿宋" w:cs="仿宋"/>
          <w:color w:val="000000"/>
          <w:highlight w:val="none"/>
          <w:shd w:val="clear" w:color="auto" w:fill="FFFFFF"/>
          <w:lang w:eastAsia="zh-CN"/>
        </w:rPr>
        <w:t>磋商小组</w:t>
      </w:r>
      <w:r>
        <w:rPr>
          <w:rFonts w:hint="eastAsia" w:ascii="仿宋" w:hAnsi="仿宋" w:eastAsia="仿宋" w:cs="仿宋"/>
          <w:color w:val="000000"/>
          <w:highlight w:val="none"/>
          <w:shd w:val="clear" w:color="auto" w:fill="FFFFFF"/>
        </w:rPr>
        <w:t>应当将其作为无效</w:t>
      </w:r>
      <w:r>
        <w:rPr>
          <w:rFonts w:hint="eastAsia" w:ascii="仿宋" w:hAnsi="仿宋" w:eastAsia="仿宋" w:cs="仿宋"/>
          <w:color w:val="000000"/>
          <w:highlight w:val="none"/>
          <w:shd w:val="clear" w:color="auto" w:fill="FFFFFF"/>
          <w:lang w:val="en-US" w:eastAsia="zh-CN"/>
        </w:rPr>
        <w:t>磋商</w:t>
      </w:r>
      <w:r>
        <w:rPr>
          <w:rFonts w:hint="eastAsia" w:ascii="仿宋" w:hAnsi="仿宋" w:eastAsia="仿宋" w:cs="仿宋"/>
          <w:color w:val="000000"/>
          <w:highlight w:val="none"/>
          <w:shd w:val="clear" w:color="auto" w:fill="FFFFFF"/>
        </w:rPr>
        <w:t>处理。</w:t>
      </w:r>
    </w:p>
    <w:p w14:paraId="7F66C10A">
      <w:pPr>
        <w:autoSpaceDE w:val="0"/>
        <w:autoSpaceDN w:val="0"/>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kern w:val="0"/>
          <w:highlight w:val="none"/>
        </w:rPr>
        <w:t xml:space="preserve">19.3 </w:t>
      </w:r>
      <w:r>
        <w:rPr>
          <w:rFonts w:hint="eastAsia" w:ascii="仿宋" w:hAnsi="仿宋" w:eastAsia="仿宋" w:cs="仿宋"/>
          <w:color w:val="000000"/>
          <w:highlight w:val="none"/>
          <w:shd w:val="clear" w:color="auto" w:fill="FFFFFF"/>
        </w:rPr>
        <w:t>使用综合评分法的采购项目。</w:t>
      </w:r>
    </w:p>
    <w:p w14:paraId="27587666">
      <w:pPr>
        <w:autoSpaceDE w:val="0"/>
        <w:autoSpaceDN w:val="0"/>
        <w:adjustRightInd w:val="0"/>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19.4</w:t>
      </w:r>
      <w:r>
        <w:rPr>
          <w:rFonts w:hint="eastAsia" w:ascii="仿宋" w:hAnsi="仿宋" w:eastAsia="仿宋" w:cs="仿宋"/>
          <w:color w:val="000000"/>
          <w:kern w:val="0"/>
          <w:highlight w:val="none"/>
          <w:lang w:val="zh-CN" w:eastAsia="zh-CN"/>
        </w:rPr>
        <w:t>根据</w:t>
      </w:r>
      <w:r>
        <w:rPr>
          <w:rFonts w:hint="eastAsia" w:ascii="仿宋" w:hAnsi="仿宋" w:eastAsia="仿宋" w:cs="仿宋"/>
          <w:color w:val="000000"/>
          <w:kern w:val="0"/>
          <w:highlight w:val="none"/>
          <w:lang w:val="zh-CN"/>
        </w:rPr>
        <w:t>《财政部工业和信息化部关于印发&lt;政府采购促进中小企业发展管理办法〉的通知》（财库〔2020〕46号）及《关于进一步加大政府采购支持中小企业力度的通知》（财库〔2022〕19号）的规定，落实促进中小企业发展政策。</w:t>
      </w:r>
    </w:p>
    <w:p w14:paraId="0E6FB626">
      <w:pPr>
        <w:autoSpaceDE w:val="0"/>
        <w:autoSpaceDN w:val="0"/>
        <w:adjustRightInd w:val="0"/>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根据《财政部、司法部关于政府采购支持监狱企业发展有关问题的通知》（财库〔2014〕68号）的规定，落实支持监狱企业发展政策。</w:t>
      </w:r>
    </w:p>
    <w:p w14:paraId="4F9692BE">
      <w:pPr>
        <w:autoSpaceDE w:val="0"/>
        <w:autoSpaceDN w:val="0"/>
        <w:adjustRightInd w:val="0"/>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根据《三部门联合发布关于促进残疾人就业政府采购政策的通知》（财库〔2017〕141号）的规定，落实支持残疾人福利性单位发展政策。</w:t>
      </w:r>
    </w:p>
    <w:p w14:paraId="7CF58698">
      <w:pPr>
        <w:autoSpaceDE w:val="0"/>
        <w:autoSpaceDN w:val="0"/>
        <w:adjustRightInd w:val="0"/>
        <w:spacing w:line="360" w:lineRule="auto"/>
        <w:ind w:firstLine="48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19.5 依照《中华人民共和国政府采购法</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中华人民共和国政府采购法实施条例》、财政部《政府采购货物和服务招投标管理办法</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关于加强政府采购货物和服务项目价格评审管理的通知</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政府采购竞争性磋商采购方式管理暂行办法》的规定，结合该项目的特点制定本评审办法。本次评审采用综合评分法（满分100分）。</w:t>
      </w:r>
    </w:p>
    <w:tbl>
      <w:tblPr>
        <w:tblStyle w:val="31"/>
        <w:tblpPr w:leftFromText="180" w:rightFromText="180" w:vertAnchor="text" w:tblpXSpec="center" w:tblpY="1"/>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666"/>
        <w:gridCol w:w="879"/>
        <w:gridCol w:w="6007"/>
      </w:tblGrid>
      <w:tr w14:paraId="5882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66" w:type="dxa"/>
            <w:noWrap w:val="0"/>
            <w:vAlign w:val="center"/>
          </w:tcPr>
          <w:p w14:paraId="7DEF26FD">
            <w:pPr>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br w:type="page"/>
            </w:r>
            <w:r>
              <w:rPr>
                <w:rFonts w:hint="eastAsia" w:ascii="仿宋" w:hAnsi="仿宋" w:eastAsia="仿宋" w:cs="仿宋"/>
                <w:sz w:val="24"/>
                <w:szCs w:val="24"/>
                <w:highlight w:val="none"/>
              </w:rPr>
              <w:t>评审项目</w:t>
            </w:r>
          </w:p>
        </w:tc>
        <w:tc>
          <w:tcPr>
            <w:tcW w:w="1666" w:type="dxa"/>
            <w:noWrap w:val="0"/>
            <w:vAlign w:val="center"/>
          </w:tcPr>
          <w:p w14:paraId="6B46E903">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c>
          <w:tcPr>
            <w:tcW w:w="879" w:type="dxa"/>
            <w:noWrap w:val="0"/>
            <w:vAlign w:val="center"/>
          </w:tcPr>
          <w:p w14:paraId="381FEB99">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满分分值</w:t>
            </w:r>
          </w:p>
        </w:tc>
        <w:tc>
          <w:tcPr>
            <w:tcW w:w="6007" w:type="dxa"/>
            <w:noWrap w:val="0"/>
            <w:vAlign w:val="center"/>
          </w:tcPr>
          <w:p w14:paraId="4065F55D">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45A6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1266" w:type="dxa"/>
            <w:noWrap w:val="0"/>
            <w:vAlign w:val="center"/>
          </w:tcPr>
          <w:p w14:paraId="63C73377">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p w14:paraId="1FB3C8B6">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1666" w:type="dxa"/>
            <w:noWrap w:val="0"/>
            <w:vAlign w:val="center"/>
          </w:tcPr>
          <w:p w14:paraId="60632213">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报价分</w:t>
            </w:r>
          </w:p>
        </w:tc>
        <w:tc>
          <w:tcPr>
            <w:tcW w:w="879" w:type="dxa"/>
            <w:noWrap w:val="0"/>
            <w:vAlign w:val="center"/>
          </w:tcPr>
          <w:p w14:paraId="092F9962">
            <w:pPr>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6007" w:type="dxa"/>
            <w:noWrap w:val="0"/>
            <w:vAlign w:val="center"/>
          </w:tcPr>
          <w:p w14:paraId="1A91FCDD">
            <w:pPr>
              <w:autoSpaceDE w:val="0"/>
              <w:autoSpaceDN w:val="0"/>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highlight w:val="none"/>
                <w:lang w:val="zh-CN"/>
              </w:rPr>
              <w:t>在所有的有效投标报价中，以磋商最终报价中最低投标报价为基准价，其价格分为满分。其他供应商的报价分统一按下列公式计算：投标报价得分=(评标基准价／磋商最终报价)×价格权值（</w:t>
            </w:r>
            <w:r>
              <w:rPr>
                <w:rFonts w:hint="eastAsia" w:ascii="仿宋" w:hAnsi="仿宋" w:eastAsia="仿宋" w:cs="仿宋"/>
                <w:highlight w:val="none"/>
                <w:lang w:val="en-US" w:eastAsia="zh-CN"/>
              </w:rPr>
              <w:t>10</w:t>
            </w:r>
            <w:r>
              <w:rPr>
                <w:rFonts w:hint="eastAsia" w:ascii="仿宋" w:hAnsi="仿宋" w:eastAsia="仿宋" w:cs="仿宋"/>
                <w:highlight w:val="none"/>
                <w:lang w:val="zh-CN"/>
              </w:rPr>
              <w:t>%）×100（四舍五入后保留小数点后两位）。</w:t>
            </w:r>
            <w:r>
              <w:rPr>
                <w:rFonts w:hint="eastAsia" w:ascii="仿宋" w:hAnsi="仿宋" w:eastAsia="仿宋" w:cs="仿宋"/>
                <w:sz w:val="24"/>
                <w:szCs w:val="24"/>
                <w:highlight w:val="none"/>
              </w:rPr>
              <w:t xml:space="preserve"> </w:t>
            </w:r>
          </w:p>
        </w:tc>
      </w:tr>
      <w:tr w14:paraId="791B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266" w:type="dxa"/>
            <w:vMerge w:val="restart"/>
            <w:noWrap w:val="0"/>
            <w:vAlign w:val="center"/>
          </w:tcPr>
          <w:p w14:paraId="14BC7BC7">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商务部分</w:t>
            </w:r>
          </w:p>
          <w:p w14:paraId="77257D93">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1666" w:type="dxa"/>
            <w:noWrap w:val="0"/>
            <w:vAlign w:val="center"/>
          </w:tcPr>
          <w:p w14:paraId="2F49B19A">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类似业绩</w:t>
            </w:r>
          </w:p>
        </w:tc>
        <w:tc>
          <w:tcPr>
            <w:tcW w:w="879" w:type="dxa"/>
            <w:noWrap w:val="0"/>
            <w:vAlign w:val="center"/>
          </w:tcPr>
          <w:p w14:paraId="571F9B51">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6007" w:type="dxa"/>
            <w:noWrap w:val="0"/>
            <w:vAlign w:val="center"/>
          </w:tcPr>
          <w:p w14:paraId="1AE0B8A0">
            <w:pPr>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提供20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年1月1日至今以来</w:t>
            </w:r>
            <w:r>
              <w:rPr>
                <w:rFonts w:hint="eastAsia" w:ascii="仿宋" w:hAnsi="仿宋" w:eastAsia="仿宋" w:cs="仿宋"/>
                <w:color w:val="auto"/>
                <w:sz w:val="24"/>
                <w:szCs w:val="24"/>
                <w:highlight w:val="none"/>
              </w:rPr>
              <w:t>的类似业绩证</w:t>
            </w:r>
            <w:r>
              <w:rPr>
                <w:rFonts w:hint="eastAsia" w:ascii="仿宋" w:hAnsi="仿宋" w:eastAsia="仿宋" w:cs="仿宋"/>
                <w:sz w:val="24"/>
                <w:szCs w:val="24"/>
                <w:highlight w:val="none"/>
              </w:rPr>
              <w:t>明材料。每提供一项有效证明材料得2分，最高分为10分，不提供不得分（提供中标通知书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监理委托合同）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tc>
      </w:tr>
      <w:tr w14:paraId="70C4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66" w:type="dxa"/>
            <w:vMerge w:val="continue"/>
            <w:noWrap w:val="0"/>
            <w:vAlign w:val="center"/>
          </w:tcPr>
          <w:p w14:paraId="0513DC07">
            <w:pPr>
              <w:spacing w:line="360" w:lineRule="auto"/>
              <w:ind w:firstLine="0" w:firstLineChars="0"/>
              <w:jc w:val="center"/>
              <w:rPr>
                <w:rFonts w:hint="eastAsia" w:ascii="仿宋" w:hAnsi="仿宋" w:eastAsia="仿宋" w:cs="仿宋"/>
                <w:color w:val="000000"/>
                <w:highlight w:val="none"/>
              </w:rPr>
            </w:pPr>
          </w:p>
        </w:tc>
        <w:tc>
          <w:tcPr>
            <w:tcW w:w="1666" w:type="dxa"/>
            <w:noWrap w:val="0"/>
            <w:vAlign w:val="center"/>
          </w:tcPr>
          <w:p w14:paraId="06E649C6">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监理班子</w:t>
            </w:r>
          </w:p>
        </w:tc>
        <w:tc>
          <w:tcPr>
            <w:tcW w:w="879" w:type="dxa"/>
            <w:noWrap w:val="0"/>
            <w:vAlign w:val="center"/>
          </w:tcPr>
          <w:p w14:paraId="1653680D">
            <w:pPr>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6007" w:type="dxa"/>
            <w:noWrap w:val="0"/>
            <w:vAlign w:val="center"/>
          </w:tcPr>
          <w:p w14:paraId="06B02E3D">
            <w:pPr>
              <w:spacing w:line="360" w:lineRule="auto"/>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监理部主要管理人员依据《青海省建筑工程现场监理部主要管理人员配备标准》配备（附现场监理部主要管理人员配备标准）。项目管理班子成员配备齐全的得5分。每缺少一人扣1分，扣完为止。现场监理部主要管理人员需提供岗位资格证书和社保证明。</w:t>
            </w:r>
          </w:p>
        </w:tc>
      </w:tr>
      <w:tr w14:paraId="2D3E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266" w:type="dxa"/>
            <w:vMerge w:val="restart"/>
            <w:noWrap w:val="0"/>
            <w:vAlign w:val="center"/>
          </w:tcPr>
          <w:p w14:paraId="7D2809B2">
            <w:pPr>
              <w:spacing w:line="360" w:lineRule="auto"/>
              <w:ind w:left="0" w:leftChars="0" w:firstLine="0" w:firstLineChars="0"/>
              <w:jc w:val="both"/>
              <w:rPr>
                <w:rFonts w:hint="eastAsia" w:ascii="仿宋" w:hAnsi="仿宋" w:eastAsia="仿宋" w:cs="仿宋"/>
                <w:color w:val="000000"/>
                <w:highlight w:val="none"/>
              </w:rPr>
            </w:pPr>
          </w:p>
          <w:p w14:paraId="15F98A8B">
            <w:pPr>
              <w:widowControl w:val="0"/>
              <w:ind w:firstLine="0" w:firstLineChars="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技术部分</w:t>
            </w:r>
          </w:p>
          <w:p w14:paraId="0301166B">
            <w:pPr>
              <w:widowControl w:val="0"/>
              <w:ind w:firstLine="199" w:firstLineChars="83"/>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kern w:val="2"/>
                <w:sz w:val="24"/>
                <w:szCs w:val="24"/>
                <w:highlight w:val="none"/>
                <w:lang w:val="en-US" w:eastAsia="zh-CN" w:bidi="ar-SA"/>
              </w:rPr>
              <w:t>75分</w:t>
            </w:r>
          </w:p>
        </w:tc>
        <w:tc>
          <w:tcPr>
            <w:tcW w:w="1666" w:type="dxa"/>
            <w:noWrap w:val="0"/>
            <w:vAlign w:val="center"/>
          </w:tcPr>
          <w:p w14:paraId="6B7B1E5F">
            <w:pPr>
              <w:widowControl w:val="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监理大</w:t>
            </w:r>
            <w:r>
              <w:rPr>
                <w:rFonts w:hint="eastAsia" w:ascii="仿宋" w:hAnsi="仿宋" w:eastAsia="仿宋" w:cs="仿宋"/>
                <w:sz w:val="24"/>
                <w:szCs w:val="24"/>
                <w:highlight w:val="none"/>
                <w:lang w:val="en-US" w:eastAsia="zh-CN"/>
              </w:rPr>
              <w:t>纲</w:t>
            </w:r>
          </w:p>
        </w:tc>
        <w:tc>
          <w:tcPr>
            <w:tcW w:w="879" w:type="dxa"/>
            <w:noWrap w:val="0"/>
            <w:vAlign w:val="center"/>
          </w:tcPr>
          <w:p w14:paraId="080B7A72">
            <w:pPr>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w:t>
            </w:r>
          </w:p>
        </w:tc>
        <w:tc>
          <w:tcPr>
            <w:tcW w:w="6007" w:type="dxa"/>
            <w:noWrap w:val="0"/>
            <w:vAlign w:val="center"/>
          </w:tcPr>
          <w:p w14:paraId="0730312A">
            <w:pPr>
              <w:spacing w:line="360" w:lineRule="auto"/>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的监理大纲中包含但不限于（1）监理工程概况；（2）监理范围、监理内容；（3）监理依据；（4）监理工作目标；（5）监理工作程序、方法和制度；（6）拟投入的监理人员、试验检测仪器设备；（7）质量、进度、造价、安全、环保监理措施；（8）监理工作重点、难点分析；（9）合理化建议。以上9项内容每提供一项得7分，满分63分，每有一处内容存在缺陷或不足的扣2分，扣完为止。</w:t>
            </w:r>
          </w:p>
        </w:tc>
      </w:tr>
      <w:tr w14:paraId="5DB4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66" w:type="dxa"/>
            <w:vMerge w:val="continue"/>
            <w:noWrap w:val="0"/>
            <w:vAlign w:val="center"/>
          </w:tcPr>
          <w:p w14:paraId="1FB1CBC0">
            <w:pPr>
              <w:spacing w:line="360" w:lineRule="auto"/>
              <w:ind w:firstLine="0" w:firstLineChars="0"/>
              <w:jc w:val="center"/>
              <w:rPr>
                <w:rFonts w:hint="eastAsia" w:ascii="仿宋" w:hAnsi="仿宋" w:eastAsia="仿宋" w:cs="仿宋"/>
                <w:kern w:val="2"/>
                <w:sz w:val="24"/>
                <w:szCs w:val="20"/>
                <w:highlight w:val="none"/>
              </w:rPr>
            </w:pPr>
          </w:p>
        </w:tc>
        <w:tc>
          <w:tcPr>
            <w:tcW w:w="1666" w:type="dxa"/>
            <w:noWrap w:val="0"/>
            <w:vAlign w:val="center"/>
          </w:tcPr>
          <w:p w14:paraId="72A77BF6">
            <w:pPr>
              <w:widowControl w:val="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项目管理方案</w:t>
            </w:r>
          </w:p>
        </w:tc>
        <w:tc>
          <w:tcPr>
            <w:tcW w:w="879" w:type="dxa"/>
            <w:noWrap w:val="0"/>
            <w:vAlign w:val="center"/>
          </w:tcPr>
          <w:p w14:paraId="1600E5B3">
            <w:pPr>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6007" w:type="dxa"/>
            <w:noWrap w:val="0"/>
            <w:vAlign w:val="top"/>
          </w:tcPr>
          <w:p w14:paraId="64C90AA3">
            <w:pPr>
              <w:spacing w:line="360" w:lineRule="auto"/>
              <w:ind w:firstLine="0" w:firstLineChars="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的</w:t>
            </w:r>
            <w:r>
              <w:rPr>
                <w:rFonts w:hint="eastAsia" w:ascii="仿宋" w:hAnsi="仿宋" w:eastAsia="仿宋" w:cs="仿宋"/>
                <w:kern w:val="2"/>
                <w:sz w:val="24"/>
                <w:szCs w:val="24"/>
                <w:highlight w:val="none"/>
                <w:lang w:val="en-US" w:eastAsia="zh-CN" w:bidi="ar-SA"/>
              </w:rPr>
              <w:t>项目管理方案</w:t>
            </w:r>
            <w:r>
              <w:rPr>
                <w:rFonts w:hint="eastAsia" w:ascii="仿宋" w:hAnsi="仿宋" w:eastAsia="仿宋" w:cs="仿宋"/>
                <w:sz w:val="24"/>
                <w:szCs w:val="24"/>
                <w:highlight w:val="none"/>
                <w:lang w:val="en-US" w:eastAsia="zh-CN"/>
              </w:rPr>
              <w:t>中包含但不限于（1）监理机构设置（框图）、岗位职责；（2）合同、信息管理方案；（3）组织协调内容及措施。以上3项内容每提供一项得4分，满分12分，每有一处内容存在缺陷或不足的扣1分，扣完为止。</w:t>
            </w:r>
          </w:p>
        </w:tc>
      </w:tr>
      <w:tr w14:paraId="67C8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818" w:type="dxa"/>
            <w:gridSpan w:val="4"/>
            <w:noWrap w:val="0"/>
            <w:vAlign w:val="center"/>
          </w:tcPr>
          <w:p w14:paraId="3234DF4C">
            <w:pPr>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color w:val="auto"/>
                <w:sz w:val="24"/>
                <w:highlight w:val="none"/>
                <w:lang w:val="en-US" w:eastAsia="zh-CN"/>
              </w:rPr>
              <w:t>注：内容存在缺陷或不足是指供应商提供的内容出现与项目要求不匹配或脱离项目实际情况或项目名称、实施地点、涉及的规范、技术服务要求与本项目不一致等情况。</w:t>
            </w:r>
          </w:p>
        </w:tc>
      </w:tr>
    </w:tbl>
    <w:p w14:paraId="748555F0">
      <w:pPr>
        <w:spacing w:line="360" w:lineRule="auto"/>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现场监理部主要管理人员配备标准</w:t>
      </w:r>
    </w:p>
    <w:tbl>
      <w:tblPr>
        <w:tblStyle w:val="31"/>
        <w:tblpPr w:leftFromText="180" w:rightFromText="180" w:vertAnchor="text" w:horzAnchor="margin" w:tblpY="92"/>
        <w:tblOverlap w:val="never"/>
        <w:tblW w:w="9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1927"/>
        <w:gridCol w:w="1891"/>
        <w:gridCol w:w="842"/>
        <w:gridCol w:w="1823"/>
        <w:gridCol w:w="2173"/>
      </w:tblGrid>
      <w:tr w14:paraId="0B3F3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980" w:type="dxa"/>
            <w:noWrap/>
            <w:vAlign w:val="center"/>
          </w:tcPr>
          <w:p w14:paraId="4AEC5DD7">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 程</w:t>
            </w:r>
          </w:p>
          <w:p w14:paraId="506C68C1">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类 别</w:t>
            </w:r>
          </w:p>
        </w:tc>
        <w:tc>
          <w:tcPr>
            <w:tcW w:w="1927" w:type="dxa"/>
            <w:noWrap/>
            <w:vAlign w:val="center"/>
          </w:tcPr>
          <w:p w14:paraId="1538019E">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工程规模</w:t>
            </w:r>
          </w:p>
        </w:tc>
        <w:tc>
          <w:tcPr>
            <w:tcW w:w="2733" w:type="dxa"/>
            <w:gridSpan w:val="2"/>
            <w:noWrap/>
            <w:vAlign w:val="center"/>
          </w:tcPr>
          <w:p w14:paraId="3E68DE05">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管理人员配备标准（人）</w:t>
            </w:r>
          </w:p>
        </w:tc>
        <w:tc>
          <w:tcPr>
            <w:tcW w:w="1823" w:type="dxa"/>
            <w:noWrap/>
            <w:vAlign w:val="center"/>
          </w:tcPr>
          <w:p w14:paraId="3FBC1089">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主要管理</w:t>
            </w:r>
          </w:p>
          <w:p w14:paraId="4B4E8347">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人员</w:t>
            </w:r>
          </w:p>
        </w:tc>
        <w:tc>
          <w:tcPr>
            <w:tcW w:w="2173" w:type="dxa"/>
            <w:noWrap/>
            <w:vAlign w:val="center"/>
          </w:tcPr>
          <w:p w14:paraId="0CA3A171">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 注</w:t>
            </w:r>
          </w:p>
        </w:tc>
      </w:tr>
      <w:tr w14:paraId="7C856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0" w:type="dxa"/>
            <w:vMerge w:val="restart"/>
            <w:noWrap/>
            <w:textDirection w:val="tbRlV"/>
            <w:vAlign w:val="center"/>
          </w:tcPr>
          <w:p w14:paraId="7D3B31DE">
            <w:pPr>
              <w:widowControl w:val="0"/>
              <w:spacing w:line="500" w:lineRule="exact"/>
              <w:ind w:left="113" w:right="113"/>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房 屋 建 筑 工 程</w:t>
            </w:r>
          </w:p>
        </w:tc>
        <w:tc>
          <w:tcPr>
            <w:tcW w:w="1927" w:type="dxa"/>
            <w:vMerge w:val="restart"/>
            <w:noWrap/>
            <w:vAlign w:val="center"/>
          </w:tcPr>
          <w:p w14:paraId="1797DACA">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建筑面积≤1万平方米</w:t>
            </w:r>
          </w:p>
        </w:tc>
        <w:tc>
          <w:tcPr>
            <w:tcW w:w="1891" w:type="dxa"/>
            <w:noWrap/>
            <w:vAlign w:val="center"/>
          </w:tcPr>
          <w:p w14:paraId="5ECD5EF9">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基础、主体阶段</w:t>
            </w:r>
          </w:p>
        </w:tc>
        <w:tc>
          <w:tcPr>
            <w:tcW w:w="842" w:type="dxa"/>
            <w:noWrap/>
            <w:vAlign w:val="center"/>
          </w:tcPr>
          <w:p w14:paraId="674CBA1B">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823" w:type="dxa"/>
            <w:vMerge w:val="restart"/>
            <w:noWrap/>
            <w:vAlign w:val="center"/>
          </w:tcPr>
          <w:p w14:paraId="21354457">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总监理工程师、</w:t>
            </w:r>
          </w:p>
          <w:p w14:paraId="0FC68B30">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专业监理工程师、监理员</w:t>
            </w:r>
          </w:p>
        </w:tc>
        <w:tc>
          <w:tcPr>
            <w:tcW w:w="2173" w:type="dxa"/>
            <w:vMerge w:val="restart"/>
            <w:noWrap/>
            <w:vAlign w:val="center"/>
          </w:tcPr>
          <w:p w14:paraId="0E15CEEE">
            <w:pPr>
              <w:widowControl w:val="0"/>
              <w:spacing w:line="5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建筑面积在10万平方米以上的工程，每增加10万平方米，专业监理工程师增加1人，监理员增加2人。</w:t>
            </w:r>
          </w:p>
        </w:tc>
      </w:tr>
      <w:tr w14:paraId="6C02C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0" w:type="dxa"/>
            <w:vMerge w:val="continue"/>
            <w:noWrap/>
            <w:vAlign w:val="center"/>
          </w:tcPr>
          <w:p w14:paraId="1673DF41">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vMerge w:val="continue"/>
            <w:noWrap/>
            <w:vAlign w:val="center"/>
          </w:tcPr>
          <w:p w14:paraId="23C450C8">
            <w:pPr>
              <w:widowControl w:val="0"/>
              <w:spacing w:line="500" w:lineRule="exact"/>
              <w:jc w:val="center"/>
              <w:rPr>
                <w:rFonts w:hint="eastAsia" w:ascii="仿宋" w:hAnsi="仿宋" w:eastAsia="仿宋" w:cs="仿宋"/>
                <w:kern w:val="2"/>
                <w:sz w:val="24"/>
                <w:szCs w:val="24"/>
                <w:highlight w:val="none"/>
                <w:lang w:val="en-US" w:eastAsia="zh-CN" w:bidi="ar-SA"/>
              </w:rPr>
            </w:pPr>
          </w:p>
        </w:tc>
        <w:tc>
          <w:tcPr>
            <w:tcW w:w="1891" w:type="dxa"/>
            <w:noWrap/>
            <w:vAlign w:val="center"/>
          </w:tcPr>
          <w:p w14:paraId="650A2741">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主体阶段</w:t>
            </w:r>
          </w:p>
        </w:tc>
        <w:tc>
          <w:tcPr>
            <w:tcW w:w="842" w:type="dxa"/>
            <w:noWrap/>
            <w:vAlign w:val="center"/>
          </w:tcPr>
          <w:p w14:paraId="4E38B9FB">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823" w:type="dxa"/>
            <w:vMerge w:val="continue"/>
            <w:noWrap/>
            <w:vAlign w:val="center"/>
          </w:tcPr>
          <w:p w14:paraId="36E95EF2">
            <w:pPr>
              <w:widowControl w:val="0"/>
              <w:spacing w:line="500" w:lineRule="exact"/>
              <w:jc w:val="left"/>
              <w:rPr>
                <w:rFonts w:hint="eastAsia" w:ascii="仿宋" w:hAnsi="仿宋" w:eastAsia="仿宋" w:cs="仿宋"/>
                <w:kern w:val="2"/>
                <w:sz w:val="24"/>
                <w:szCs w:val="24"/>
                <w:highlight w:val="none"/>
                <w:lang w:val="en-US" w:eastAsia="zh-CN" w:bidi="ar-SA"/>
              </w:rPr>
            </w:pPr>
          </w:p>
        </w:tc>
        <w:tc>
          <w:tcPr>
            <w:tcW w:w="2173" w:type="dxa"/>
            <w:vMerge w:val="continue"/>
            <w:noWrap/>
            <w:vAlign w:val="center"/>
          </w:tcPr>
          <w:p w14:paraId="2F4DBB5E">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41F1D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0" w:type="dxa"/>
            <w:vMerge w:val="continue"/>
            <w:noWrap/>
            <w:vAlign w:val="center"/>
          </w:tcPr>
          <w:p w14:paraId="78D1EF5F">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vMerge w:val="continue"/>
            <w:noWrap/>
            <w:vAlign w:val="center"/>
          </w:tcPr>
          <w:p w14:paraId="4B70911D">
            <w:pPr>
              <w:widowControl w:val="0"/>
              <w:spacing w:line="500" w:lineRule="exact"/>
              <w:jc w:val="center"/>
              <w:rPr>
                <w:rFonts w:hint="eastAsia" w:ascii="仿宋" w:hAnsi="仿宋" w:eastAsia="仿宋" w:cs="仿宋"/>
                <w:kern w:val="2"/>
                <w:sz w:val="24"/>
                <w:szCs w:val="24"/>
                <w:highlight w:val="none"/>
                <w:lang w:val="en-US" w:eastAsia="zh-CN" w:bidi="ar-SA"/>
              </w:rPr>
            </w:pPr>
          </w:p>
        </w:tc>
        <w:tc>
          <w:tcPr>
            <w:tcW w:w="1891" w:type="dxa"/>
            <w:noWrap/>
            <w:vAlign w:val="center"/>
          </w:tcPr>
          <w:p w14:paraId="5EAA7470">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安装、装修阶段</w:t>
            </w:r>
          </w:p>
        </w:tc>
        <w:tc>
          <w:tcPr>
            <w:tcW w:w="842" w:type="dxa"/>
            <w:noWrap/>
            <w:vAlign w:val="center"/>
          </w:tcPr>
          <w:p w14:paraId="43F781F8">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823" w:type="dxa"/>
            <w:vMerge w:val="continue"/>
            <w:noWrap/>
            <w:vAlign w:val="center"/>
          </w:tcPr>
          <w:p w14:paraId="43FEED19">
            <w:pPr>
              <w:widowControl w:val="0"/>
              <w:spacing w:line="500" w:lineRule="exact"/>
              <w:jc w:val="left"/>
              <w:rPr>
                <w:rFonts w:hint="eastAsia" w:ascii="仿宋" w:hAnsi="仿宋" w:eastAsia="仿宋" w:cs="仿宋"/>
                <w:kern w:val="2"/>
                <w:sz w:val="24"/>
                <w:szCs w:val="24"/>
                <w:highlight w:val="none"/>
                <w:lang w:val="en-US" w:eastAsia="zh-CN" w:bidi="ar-SA"/>
              </w:rPr>
            </w:pPr>
          </w:p>
        </w:tc>
        <w:tc>
          <w:tcPr>
            <w:tcW w:w="2173" w:type="dxa"/>
            <w:vMerge w:val="continue"/>
            <w:noWrap/>
            <w:vAlign w:val="center"/>
          </w:tcPr>
          <w:p w14:paraId="26CF8857">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215E3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0" w:type="dxa"/>
            <w:vMerge w:val="continue"/>
            <w:noWrap/>
            <w:vAlign w:val="center"/>
          </w:tcPr>
          <w:p w14:paraId="5CB56FDD">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vMerge w:val="restart"/>
            <w:noWrap/>
            <w:vAlign w:val="center"/>
          </w:tcPr>
          <w:p w14:paraId="77C7CAED">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1万平方米＜建筑面积≤5万平方米</w:t>
            </w:r>
          </w:p>
        </w:tc>
        <w:tc>
          <w:tcPr>
            <w:tcW w:w="1891" w:type="dxa"/>
            <w:noWrap/>
            <w:vAlign w:val="center"/>
          </w:tcPr>
          <w:p w14:paraId="6EC4DD19">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基础阶段</w:t>
            </w:r>
          </w:p>
        </w:tc>
        <w:tc>
          <w:tcPr>
            <w:tcW w:w="842" w:type="dxa"/>
            <w:noWrap/>
            <w:vAlign w:val="center"/>
          </w:tcPr>
          <w:p w14:paraId="5CF320D6">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823" w:type="dxa"/>
            <w:vMerge w:val="restart"/>
            <w:noWrap/>
            <w:vAlign w:val="center"/>
          </w:tcPr>
          <w:p w14:paraId="1624DE4B">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总监理工程师、</w:t>
            </w:r>
          </w:p>
          <w:p w14:paraId="5D39CA80">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专业监理工程师、监理员</w:t>
            </w:r>
          </w:p>
        </w:tc>
        <w:tc>
          <w:tcPr>
            <w:tcW w:w="2173" w:type="dxa"/>
            <w:vMerge w:val="continue"/>
            <w:noWrap/>
            <w:vAlign w:val="center"/>
          </w:tcPr>
          <w:p w14:paraId="0511374B">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6AF84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0" w:type="dxa"/>
            <w:vMerge w:val="continue"/>
            <w:noWrap/>
            <w:vAlign w:val="center"/>
          </w:tcPr>
          <w:p w14:paraId="6E7B99CF">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vMerge w:val="continue"/>
            <w:noWrap/>
            <w:vAlign w:val="center"/>
          </w:tcPr>
          <w:p w14:paraId="4655840B">
            <w:pPr>
              <w:widowControl w:val="0"/>
              <w:spacing w:line="500" w:lineRule="exact"/>
              <w:jc w:val="center"/>
              <w:rPr>
                <w:rFonts w:hint="eastAsia" w:ascii="仿宋" w:hAnsi="仿宋" w:eastAsia="仿宋" w:cs="仿宋"/>
                <w:kern w:val="2"/>
                <w:sz w:val="24"/>
                <w:szCs w:val="24"/>
                <w:highlight w:val="none"/>
                <w:lang w:val="en-US" w:eastAsia="zh-CN" w:bidi="ar-SA"/>
              </w:rPr>
            </w:pPr>
          </w:p>
        </w:tc>
        <w:tc>
          <w:tcPr>
            <w:tcW w:w="1891" w:type="dxa"/>
            <w:noWrap/>
            <w:vAlign w:val="center"/>
          </w:tcPr>
          <w:p w14:paraId="234FD016">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主体阶段</w:t>
            </w:r>
          </w:p>
        </w:tc>
        <w:tc>
          <w:tcPr>
            <w:tcW w:w="842" w:type="dxa"/>
            <w:noWrap/>
            <w:vAlign w:val="center"/>
          </w:tcPr>
          <w:p w14:paraId="07CF084C">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823" w:type="dxa"/>
            <w:vMerge w:val="continue"/>
            <w:noWrap/>
            <w:vAlign w:val="center"/>
          </w:tcPr>
          <w:p w14:paraId="5FE6D7F6">
            <w:pPr>
              <w:widowControl w:val="0"/>
              <w:spacing w:line="500" w:lineRule="exact"/>
              <w:jc w:val="left"/>
              <w:rPr>
                <w:rFonts w:hint="eastAsia" w:ascii="仿宋" w:hAnsi="仿宋" w:eastAsia="仿宋" w:cs="仿宋"/>
                <w:kern w:val="2"/>
                <w:sz w:val="24"/>
                <w:szCs w:val="24"/>
                <w:highlight w:val="none"/>
                <w:lang w:val="en-US" w:eastAsia="zh-CN" w:bidi="ar-SA"/>
              </w:rPr>
            </w:pPr>
          </w:p>
        </w:tc>
        <w:tc>
          <w:tcPr>
            <w:tcW w:w="2173" w:type="dxa"/>
            <w:vMerge w:val="continue"/>
            <w:noWrap/>
            <w:vAlign w:val="center"/>
          </w:tcPr>
          <w:p w14:paraId="4473B397">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05EF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0" w:type="dxa"/>
            <w:vMerge w:val="continue"/>
            <w:noWrap/>
            <w:vAlign w:val="center"/>
          </w:tcPr>
          <w:p w14:paraId="28D67A19">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vMerge w:val="continue"/>
            <w:noWrap/>
            <w:vAlign w:val="center"/>
          </w:tcPr>
          <w:p w14:paraId="68D1DAE3">
            <w:pPr>
              <w:widowControl w:val="0"/>
              <w:spacing w:line="500" w:lineRule="exact"/>
              <w:jc w:val="center"/>
              <w:rPr>
                <w:rFonts w:hint="eastAsia" w:ascii="仿宋" w:hAnsi="仿宋" w:eastAsia="仿宋" w:cs="仿宋"/>
                <w:kern w:val="2"/>
                <w:sz w:val="24"/>
                <w:szCs w:val="24"/>
                <w:highlight w:val="none"/>
                <w:lang w:val="en-US" w:eastAsia="zh-CN" w:bidi="ar-SA"/>
              </w:rPr>
            </w:pPr>
          </w:p>
        </w:tc>
        <w:tc>
          <w:tcPr>
            <w:tcW w:w="1891" w:type="dxa"/>
            <w:noWrap/>
            <w:vAlign w:val="center"/>
          </w:tcPr>
          <w:p w14:paraId="618933F1">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安装、装修阶段</w:t>
            </w:r>
          </w:p>
        </w:tc>
        <w:tc>
          <w:tcPr>
            <w:tcW w:w="842" w:type="dxa"/>
            <w:noWrap/>
            <w:vAlign w:val="center"/>
          </w:tcPr>
          <w:p w14:paraId="08B5B545">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823" w:type="dxa"/>
            <w:vMerge w:val="continue"/>
            <w:noWrap/>
            <w:vAlign w:val="center"/>
          </w:tcPr>
          <w:p w14:paraId="10D1C02D">
            <w:pPr>
              <w:widowControl w:val="0"/>
              <w:spacing w:line="500" w:lineRule="exact"/>
              <w:jc w:val="left"/>
              <w:rPr>
                <w:rFonts w:hint="eastAsia" w:ascii="仿宋" w:hAnsi="仿宋" w:eastAsia="仿宋" w:cs="仿宋"/>
                <w:kern w:val="2"/>
                <w:sz w:val="24"/>
                <w:szCs w:val="24"/>
                <w:highlight w:val="none"/>
                <w:lang w:val="en-US" w:eastAsia="zh-CN" w:bidi="ar-SA"/>
              </w:rPr>
            </w:pPr>
          </w:p>
        </w:tc>
        <w:tc>
          <w:tcPr>
            <w:tcW w:w="2173" w:type="dxa"/>
            <w:vMerge w:val="continue"/>
            <w:noWrap/>
            <w:vAlign w:val="center"/>
          </w:tcPr>
          <w:p w14:paraId="54DF2171">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1D7B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0" w:type="dxa"/>
            <w:vMerge w:val="continue"/>
            <w:noWrap/>
            <w:vAlign w:val="center"/>
          </w:tcPr>
          <w:p w14:paraId="7910C463">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vMerge w:val="restart"/>
            <w:noWrap/>
            <w:vAlign w:val="center"/>
          </w:tcPr>
          <w:p w14:paraId="7DF48074">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建筑面积＞5万平方米</w:t>
            </w:r>
          </w:p>
        </w:tc>
        <w:tc>
          <w:tcPr>
            <w:tcW w:w="1891" w:type="dxa"/>
            <w:noWrap/>
            <w:vAlign w:val="center"/>
          </w:tcPr>
          <w:p w14:paraId="1373979F">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基础阶段</w:t>
            </w:r>
          </w:p>
        </w:tc>
        <w:tc>
          <w:tcPr>
            <w:tcW w:w="842" w:type="dxa"/>
            <w:noWrap/>
            <w:vAlign w:val="center"/>
          </w:tcPr>
          <w:p w14:paraId="1BFA29EA">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1823" w:type="dxa"/>
            <w:vMerge w:val="restart"/>
            <w:noWrap/>
            <w:vAlign w:val="center"/>
          </w:tcPr>
          <w:p w14:paraId="4D04F532">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总监理工程师、</w:t>
            </w:r>
          </w:p>
          <w:p w14:paraId="16E6B998">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专业监理工程师、监理员</w:t>
            </w:r>
          </w:p>
        </w:tc>
        <w:tc>
          <w:tcPr>
            <w:tcW w:w="2173" w:type="dxa"/>
            <w:vMerge w:val="continue"/>
            <w:noWrap/>
            <w:vAlign w:val="center"/>
          </w:tcPr>
          <w:p w14:paraId="6A945278">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515D6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0" w:type="dxa"/>
            <w:vMerge w:val="continue"/>
            <w:noWrap/>
            <w:vAlign w:val="center"/>
          </w:tcPr>
          <w:p w14:paraId="23E8D84E">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vMerge w:val="continue"/>
            <w:noWrap/>
            <w:vAlign w:val="center"/>
          </w:tcPr>
          <w:p w14:paraId="56C165B1">
            <w:pPr>
              <w:widowControl w:val="0"/>
              <w:spacing w:line="500" w:lineRule="exact"/>
              <w:jc w:val="center"/>
              <w:rPr>
                <w:rFonts w:hint="eastAsia" w:ascii="仿宋" w:hAnsi="仿宋" w:eastAsia="仿宋" w:cs="仿宋"/>
                <w:kern w:val="2"/>
                <w:sz w:val="24"/>
                <w:szCs w:val="24"/>
                <w:highlight w:val="none"/>
                <w:lang w:val="en-US" w:eastAsia="zh-CN" w:bidi="ar-SA"/>
              </w:rPr>
            </w:pPr>
          </w:p>
        </w:tc>
        <w:tc>
          <w:tcPr>
            <w:tcW w:w="1891" w:type="dxa"/>
            <w:noWrap/>
            <w:vAlign w:val="center"/>
          </w:tcPr>
          <w:p w14:paraId="79307DCE">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主体阶段</w:t>
            </w:r>
          </w:p>
        </w:tc>
        <w:tc>
          <w:tcPr>
            <w:tcW w:w="842" w:type="dxa"/>
            <w:noWrap/>
            <w:vAlign w:val="center"/>
          </w:tcPr>
          <w:p w14:paraId="072CE6CF">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1823" w:type="dxa"/>
            <w:vMerge w:val="continue"/>
            <w:noWrap/>
            <w:vAlign w:val="center"/>
          </w:tcPr>
          <w:p w14:paraId="6EE4A8EB">
            <w:pPr>
              <w:widowControl w:val="0"/>
              <w:spacing w:line="500" w:lineRule="exact"/>
              <w:jc w:val="left"/>
              <w:rPr>
                <w:rFonts w:hint="eastAsia" w:ascii="仿宋" w:hAnsi="仿宋" w:eastAsia="仿宋" w:cs="仿宋"/>
                <w:kern w:val="2"/>
                <w:sz w:val="24"/>
                <w:szCs w:val="24"/>
                <w:highlight w:val="none"/>
                <w:lang w:val="en-US" w:eastAsia="zh-CN" w:bidi="ar-SA"/>
              </w:rPr>
            </w:pPr>
          </w:p>
        </w:tc>
        <w:tc>
          <w:tcPr>
            <w:tcW w:w="2173" w:type="dxa"/>
            <w:vMerge w:val="continue"/>
            <w:noWrap/>
            <w:vAlign w:val="center"/>
          </w:tcPr>
          <w:p w14:paraId="2F50D39B">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49D12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980" w:type="dxa"/>
            <w:vMerge w:val="continue"/>
            <w:noWrap/>
            <w:vAlign w:val="center"/>
          </w:tcPr>
          <w:p w14:paraId="75DE0496">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vMerge w:val="continue"/>
            <w:noWrap/>
            <w:vAlign w:val="center"/>
          </w:tcPr>
          <w:p w14:paraId="4659C8AA">
            <w:pPr>
              <w:widowControl w:val="0"/>
              <w:spacing w:line="500" w:lineRule="exact"/>
              <w:jc w:val="center"/>
              <w:rPr>
                <w:rFonts w:hint="eastAsia" w:ascii="仿宋" w:hAnsi="仿宋" w:eastAsia="仿宋" w:cs="仿宋"/>
                <w:kern w:val="2"/>
                <w:sz w:val="24"/>
                <w:szCs w:val="24"/>
                <w:highlight w:val="none"/>
                <w:lang w:val="en-US" w:eastAsia="zh-CN" w:bidi="ar-SA"/>
              </w:rPr>
            </w:pPr>
          </w:p>
        </w:tc>
        <w:tc>
          <w:tcPr>
            <w:tcW w:w="1891" w:type="dxa"/>
            <w:noWrap/>
            <w:vAlign w:val="center"/>
          </w:tcPr>
          <w:p w14:paraId="5C7E6E74">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安装、装修阶段</w:t>
            </w:r>
          </w:p>
        </w:tc>
        <w:tc>
          <w:tcPr>
            <w:tcW w:w="842" w:type="dxa"/>
            <w:noWrap/>
            <w:vAlign w:val="center"/>
          </w:tcPr>
          <w:p w14:paraId="25DA7A8E">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823" w:type="dxa"/>
            <w:vMerge w:val="continue"/>
            <w:tcBorders>
              <w:bottom w:val="single" w:color="auto" w:sz="4" w:space="0"/>
            </w:tcBorders>
            <w:noWrap/>
            <w:vAlign w:val="center"/>
          </w:tcPr>
          <w:p w14:paraId="6483B9F0">
            <w:pPr>
              <w:widowControl w:val="0"/>
              <w:spacing w:line="500" w:lineRule="exact"/>
              <w:jc w:val="left"/>
              <w:rPr>
                <w:rFonts w:hint="eastAsia" w:ascii="仿宋" w:hAnsi="仿宋" w:eastAsia="仿宋" w:cs="仿宋"/>
                <w:kern w:val="2"/>
                <w:sz w:val="24"/>
                <w:szCs w:val="24"/>
                <w:highlight w:val="none"/>
                <w:lang w:val="en-US" w:eastAsia="zh-CN" w:bidi="ar-SA"/>
              </w:rPr>
            </w:pPr>
          </w:p>
        </w:tc>
        <w:tc>
          <w:tcPr>
            <w:tcW w:w="2173" w:type="dxa"/>
            <w:vMerge w:val="continue"/>
            <w:tcBorders>
              <w:bottom w:val="single" w:color="auto" w:sz="4" w:space="0"/>
            </w:tcBorders>
            <w:noWrap/>
            <w:vAlign w:val="center"/>
          </w:tcPr>
          <w:p w14:paraId="595E6018">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30233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980" w:type="dxa"/>
            <w:vMerge w:val="restart"/>
            <w:noWrap/>
            <w:textDirection w:val="tbRlV"/>
            <w:vAlign w:val="center"/>
          </w:tcPr>
          <w:p w14:paraId="0370100E">
            <w:pPr>
              <w:widowControl w:val="0"/>
              <w:spacing w:line="500" w:lineRule="exact"/>
              <w:ind w:left="113" w:right="113"/>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市 政工 程</w:t>
            </w:r>
          </w:p>
        </w:tc>
        <w:tc>
          <w:tcPr>
            <w:tcW w:w="1927" w:type="dxa"/>
            <w:noWrap/>
            <w:vAlign w:val="center"/>
          </w:tcPr>
          <w:p w14:paraId="1B8EFA97">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工程合同价≤5000万元</w:t>
            </w:r>
          </w:p>
        </w:tc>
        <w:tc>
          <w:tcPr>
            <w:tcW w:w="2733" w:type="dxa"/>
            <w:gridSpan w:val="2"/>
            <w:noWrap/>
            <w:vAlign w:val="center"/>
          </w:tcPr>
          <w:p w14:paraId="755FE35B">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823" w:type="dxa"/>
            <w:noWrap/>
            <w:vAlign w:val="center"/>
          </w:tcPr>
          <w:p w14:paraId="1631A03D">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总监理工程师、</w:t>
            </w:r>
          </w:p>
          <w:p w14:paraId="2F9FBB0F">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专业监理工程师、监理员</w:t>
            </w:r>
          </w:p>
        </w:tc>
        <w:tc>
          <w:tcPr>
            <w:tcW w:w="2173" w:type="dxa"/>
            <w:vMerge w:val="restart"/>
            <w:noWrap/>
            <w:vAlign w:val="center"/>
          </w:tcPr>
          <w:p w14:paraId="28C6C673">
            <w:pPr>
              <w:widowControl w:val="0"/>
              <w:spacing w:line="500" w:lineRule="exact"/>
              <w:jc w:val="left"/>
              <w:rPr>
                <w:rFonts w:hint="eastAsia" w:ascii="仿宋" w:hAnsi="仿宋" w:eastAsia="仿宋" w:cs="仿宋"/>
                <w:kern w:val="2"/>
                <w:sz w:val="24"/>
                <w:szCs w:val="24"/>
                <w:highlight w:val="none"/>
                <w:lang w:val="en-US" w:eastAsia="zh-CN" w:bidi="ar-SA"/>
              </w:rPr>
            </w:pPr>
          </w:p>
        </w:tc>
      </w:tr>
      <w:tr w14:paraId="05248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980" w:type="dxa"/>
            <w:vMerge w:val="continue"/>
            <w:noWrap/>
            <w:vAlign w:val="center"/>
          </w:tcPr>
          <w:p w14:paraId="3F103076">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noWrap/>
            <w:vAlign w:val="center"/>
          </w:tcPr>
          <w:p w14:paraId="6B4D0E80">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5000万＜工程合同价≤1亿元</w:t>
            </w:r>
          </w:p>
        </w:tc>
        <w:tc>
          <w:tcPr>
            <w:tcW w:w="2733" w:type="dxa"/>
            <w:gridSpan w:val="2"/>
            <w:noWrap/>
            <w:vAlign w:val="center"/>
          </w:tcPr>
          <w:p w14:paraId="47371FC4">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823" w:type="dxa"/>
            <w:noWrap/>
            <w:vAlign w:val="center"/>
          </w:tcPr>
          <w:p w14:paraId="311D8855">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总监理工程师、</w:t>
            </w:r>
          </w:p>
          <w:p w14:paraId="6DE56823">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专业监理工程师、监理员</w:t>
            </w:r>
          </w:p>
        </w:tc>
        <w:tc>
          <w:tcPr>
            <w:tcW w:w="2173" w:type="dxa"/>
            <w:vMerge w:val="continue"/>
            <w:noWrap/>
            <w:vAlign w:val="center"/>
          </w:tcPr>
          <w:p w14:paraId="5EB457FB">
            <w:pPr>
              <w:widowControl w:val="0"/>
              <w:spacing w:line="500" w:lineRule="exact"/>
              <w:jc w:val="center"/>
              <w:rPr>
                <w:rFonts w:hint="eastAsia" w:ascii="仿宋" w:hAnsi="仿宋" w:eastAsia="仿宋" w:cs="仿宋"/>
                <w:kern w:val="2"/>
                <w:sz w:val="24"/>
                <w:szCs w:val="24"/>
                <w:highlight w:val="none"/>
                <w:lang w:val="en-US" w:eastAsia="zh-CN" w:bidi="ar-SA"/>
              </w:rPr>
            </w:pPr>
          </w:p>
        </w:tc>
      </w:tr>
      <w:tr w14:paraId="086F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trPr>
        <w:tc>
          <w:tcPr>
            <w:tcW w:w="980" w:type="dxa"/>
            <w:vMerge w:val="continue"/>
            <w:noWrap/>
            <w:vAlign w:val="center"/>
          </w:tcPr>
          <w:p w14:paraId="3F1A1980">
            <w:pPr>
              <w:widowControl w:val="0"/>
              <w:spacing w:line="500" w:lineRule="exact"/>
              <w:jc w:val="center"/>
              <w:rPr>
                <w:rFonts w:hint="eastAsia" w:ascii="仿宋" w:hAnsi="仿宋" w:eastAsia="仿宋" w:cs="仿宋"/>
                <w:b/>
                <w:kern w:val="2"/>
                <w:sz w:val="24"/>
                <w:szCs w:val="24"/>
                <w:highlight w:val="none"/>
                <w:lang w:val="en-US" w:eastAsia="zh-CN" w:bidi="ar-SA"/>
              </w:rPr>
            </w:pPr>
          </w:p>
        </w:tc>
        <w:tc>
          <w:tcPr>
            <w:tcW w:w="1927" w:type="dxa"/>
            <w:noWrap/>
            <w:vAlign w:val="center"/>
          </w:tcPr>
          <w:p w14:paraId="1B5D4FB3">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工程合同价＞1亿元</w:t>
            </w:r>
          </w:p>
        </w:tc>
        <w:tc>
          <w:tcPr>
            <w:tcW w:w="2733" w:type="dxa"/>
            <w:gridSpan w:val="2"/>
            <w:noWrap/>
            <w:vAlign w:val="center"/>
          </w:tcPr>
          <w:p w14:paraId="52C34B51">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1823" w:type="dxa"/>
            <w:noWrap/>
            <w:vAlign w:val="center"/>
          </w:tcPr>
          <w:p w14:paraId="3339BEB2">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总监理工程师、</w:t>
            </w:r>
          </w:p>
          <w:p w14:paraId="26BECF6A">
            <w:pPr>
              <w:widowControl w:val="0"/>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专业监理工程师、监理员</w:t>
            </w:r>
          </w:p>
        </w:tc>
        <w:tc>
          <w:tcPr>
            <w:tcW w:w="2173" w:type="dxa"/>
            <w:tcBorders>
              <w:top w:val="single" w:color="auto" w:sz="4" w:space="0"/>
            </w:tcBorders>
            <w:noWrap/>
            <w:vAlign w:val="center"/>
          </w:tcPr>
          <w:p w14:paraId="223BC522">
            <w:pPr>
              <w:widowControl w:val="0"/>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工程合同价在1亿元以上的工程，每增加5000万元，专业监理工程师和监理员各增加1人。</w:t>
            </w:r>
          </w:p>
        </w:tc>
      </w:tr>
    </w:tbl>
    <w:p w14:paraId="6672270E">
      <w:pPr>
        <w:spacing w:line="360" w:lineRule="auto"/>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注：此标准为主要管理人员最低配备标准。</w:t>
      </w:r>
    </w:p>
    <w:p w14:paraId="34BCEF44">
      <w:pPr>
        <w:bidi w:val="0"/>
        <w:rPr>
          <w:rFonts w:hint="eastAsia"/>
        </w:rPr>
      </w:pPr>
      <w:bookmarkStart w:id="202" w:name="_Toc31009"/>
      <w:bookmarkStart w:id="203" w:name="_Toc5313"/>
      <w:bookmarkStart w:id="204" w:name="_Toc23316"/>
      <w:bookmarkStart w:id="205" w:name="_Toc3000"/>
      <w:bookmarkStart w:id="206" w:name="_Toc16524"/>
      <w:bookmarkStart w:id="207" w:name="_Toc4617"/>
      <w:bookmarkStart w:id="208" w:name="_Toc24277"/>
    </w:p>
    <w:p w14:paraId="08EFC42E">
      <w:pPr>
        <w:pStyle w:val="3"/>
        <w:rPr>
          <w:rFonts w:hint="eastAsia" w:ascii="仿宋" w:hAnsi="仿宋" w:eastAsia="仿宋" w:cs="仿宋"/>
          <w:color w:val="000000"/>
          <w:highlight w:val="none"/>
        </w:rPr>
      </w:pPr>
      <w:r>
        <w:rPr>
          <w:rFonts w:hint="eastAsia" w:ascii="仿宋" w:hAnsi="仿宋" w:eastAsia="仿宋" w:cs="仿宋"/>
          <w:color w:val="000000"/>
          <w:highlight w:val="none"/>
        </w:rPr>
        <w:t>八、确定成交人</w:t>
      </w:r>
      <w:bookmarkEnd w:id="202"/>
      <w:bookmarkEnd w:id="203"/>
      <w:bookmarkEnd w:id="204"/>
      <w:bookmarkEnd w:id="205"/>
      <w:bookmarkEnd w:id="206"/>
      <w:bookmarkEnd w:id="207"/>
      <w:bookmarkEnd w:id="208"/>
    </w:p>
    <w:p w14:paraId="5222E0D7">
      <w:pPr>
        <w:spacing w:line="360" w:lineRule="auto"/>
        <w:rPr>
          <w:rFonts w:hint="eastAsia" w:ascii="仿宋" w:hAnsi="仿宋" w:eastAsia="仿宋" w:cs="仿宋"/>
          <w:b/>
          <w:bCs/>
          <w:color w:val="000000"/>
          <w:sz w:val="28"/>
          <w:szCs w:val="28"/>
          <w:highlight w:val="none"/>
        </w:rPr>
      </w:pPr>
      <w:bookmarkStart w:id="209" w:name="_Toc325726026"/>
      <w:bookmarkStart w:id="210" w:name="_Toc376936757"/>
      <w:bookmarkStart w:id="211" w:name="_Toc7785"/>
      <w:r>
        <w:rPr>
          <w:rFonts w:hint="eastAsia" w:ascii="仿宋" w:hAnsi="仿宋" w:eastAsia="仿宋" w:cs="仿宋"/>
          <w:b/>
          <w:bCs/>
          <w:color w:val="000000"/>
          <w:sz w:val="28"/>
          <w:szCs w:val="28"/>
          <w:highlight w:val="none"/>
        </w:rPr>
        <w:t>20.</w:t>
      </w:r>
      <w:r>
        <w:rPr>
          <w:rFonts w:hint="eastAsia" w:ascii="仿宋" w:hAnsi="仿宋" w:eastAsia="仿宋" w:cs="仿宋"/>
          <w:b/>
          <w:bCs/>
          <w:color w:val="000000"/>
          <w:sz w:val="28"/>
          <w:szCs w:val="28"/>
          <w:highlight w:val="none"/>
          <w:lang w:val="zh-CN"/>
        </w:rPr>
        <w:t>推荐并确定成交</w:t>
      </w:r>
      <w:bookmarkEnd w:id="209"/>
      <w:bookmarkEnd w:id="210"/>
      <w:r>
        <w:rPr>
          <w:rFonts w:hint="eastAsia" w:ascii="仿宋" w:hAnsi="仿宋" w:eastAsia="仿宋" w:cs="仿宋"/>
          <w:b/>
          <w:bCs/>
          <w:color w:val="000000"/>
          <w:sz w:val="28"/>
          <w:szCs w:val="28"/>
          <w:highlight w:val="none"/>
          <w:lang w:val="zh-CN"/>
        </w:rPr>
        <w:t>人</w:t>
      </w:r>
      <w:bookmarkEnd w:id="211"/>
    </w:p>
    <w:p w14:paraId="3088A24C">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20.1磋商小组根据评审总得分由高到低排序推荐预成交候选人，并由采购人按顺序确定成交人。</w:t>
      </w:r>
    </w:p>
    <w:p w14:paraId="088006BA">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20.2成交人因不可抗力或自身原因不能履行合同时，采购人可以按照评审报告推荐的预成交</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候选人名单排序，确定下一候选人为成交人，也可重新开展政府采购活动。</w:t>
      </w:r>
      <w:bookmarkStart w:id="212" w:name="_Toc325726027"/>
    </w:p>
    <w:p w14:paraId="674CCA4E">
      <w:pPr>
        <w:spacing w:line="360" w:lineRule="auto"/>
        <w:rPr>
          <w:rFonts w:hint="eastAsia" w:ascii="仿宋" w:hAnsi="仿宋" w:eastAsia="仿宋" w:cs="仿宋"/>
          <w:b/>
          <w:bCs/>
          <w:color w:val="000000"/>
          <w:sz w:val="28"/>
          <w:szCs w:val="28"/>
          <w:highlight w:val="none"/>
          <w:lang w:val="zh-CN"/>
        </w:rPr>
      </w:pPr>
      <w:bookmarkStart w:id="213" w:name="_Toc11533"/>
      <w:bookmarkStart w:id="214" w:name="_Toc325726028"/>
      <w:bookmarkStart w:id="215" w:name="_Toc376936759"/>
      <w:r>
        <w:rPr>
          <w:rFonts w:hint="eastAsia" w:ascii="仿宋" w:hAnsi="仿宋" w:eastAsia="仿宋" w:cs="仿宋"/>
          <w:b/>
          <w:bCs/>
          <w:color w:val="000000"/>
          <w:sz w:val="28"/>
          <w:szCs w:val="28"/>
          <w:highlight w:val="none"/>
          <w:lang w:val="zh-CN"/>
        </w:rPr>
        <w:t>21.成交通知</w:t>
      </w:r>
      <w:bookmarkEnd w:id="213"/>
      <w:bookmarkEnd w:id="214"/>
      <w:bookmarkEnd w:id="215"/>
    </w:p>
    <w:p w14:paraId="2C16EBDD">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21.1采购代理机构自成交人确定之日起2个工作日内发出《成交通知书》，并在</w:t>
      </w:r>
      <w:r>
        <w:rPr>
          <w:rFonts w:hint="eastAsia" w:ascii="仿宋" w:hAnsi="仿宋" w:eastAsia="仿宋" w:cs="仿宋"/>
          <w:color w:val="000000"/>
          <w:highlight w:val="none"/>
          <w:lang w:eastAsia="zh-CN"/>
        </w:rPr>
        <w:t>青海政府采购</w:t>
      </w:r>
      <w:r>
        <w:rPr>
          <w:rFonts w:hint="eastAsia" w:ascii="仿宋" w:hAnsi="仿宋" w:eastAsia="仿宋" w:cs="仿宋"/>
          <w:color w:val="000000"/>
          <w:highlight w:val="none"/>
        </w:rPr>
        <w:t>网上公告成交结果。</w:t>
      </w:r>
    </w:p>
    <w:p w14:paraId="246AF677">
      <w:pPr>
        <w:spacing w:line="360" w:lineRule="auto"/>
        <w:ind w:firstLine="480"/>
        <w:jc w:val="left"/>
        <w:rPr>
          <w:rFonts w:hint="eastAsia" w:ascii="仿宋" w:hAnsi="仿宋" w:eastAsia="仿宋" w:cs="仿宋"/>
          <w:b/>
          <w:bCs/>
          <w:color w:val="000000"/>
          <w:kern w:val="0"/>
          <w:sz w:val="36"/>
          <w:szCs w:val="36"/>
          <w:highlight w:val="none"/>
        </w:rPr>
      </w:pPr>
      <w:r>
        <w:rPr>
          <w:rFonts w:hint="eastAsia" w:ascii="仿宋" w:hAnsi="仿宋" w:eastAsia="仿宋" w:cs="仿宋"/>
          <w:color w:val="000000"/>
          <w:highlight w:val="none"/>
        </w:rPr>
        <w:t>21.2《成交通知书》发出后，采购人改变成交结果的，或者成交人无正当理由放弃成交项目的，依法承担法律责任。</w:t>
      </w:r>
      <w:bookmarkStart w:id="216" w:name="_Toc376936758"/>
    </w:p>
    <w:p w14:paraId="74428C1D">
      <w:pPr>
        <w:pStyle w:val="3"/>
        <w:rPr>
          <w:rFonts w:hint="eastAsia" w:ascii="仿宋" w:hAnsi="仿宋" w:eastAsia="仿宋" w:cs="仿宋"/>
          <w:color w:val="000000"/>
          <w:highlight w:val="none"/>
        </w:rPr>
      </w:pPr>
      <w:bookmarkStart w:id="217" w:name="_Toc30197"/>
      <w:bookmarkStart w:id="218" w:name="_Toc23842"/>
      <w:bookmarkStart w:id="219" w:name="_Toc6942"/>
      <w:bookmarkStart w:id="220" w:name="_Toc18851"/>
      <w:bookmarkStart w:id="221" w:name="_Toc29567"/>
      <w:bookmarkStart w:id="222" w:name="_Toc16551"/>
      <w:bookmarkStart w:id="223" w:name="_Toc8039"/>
      <w:r>
        <w:rPr>
          <w:rFonts w:hint="eastAsia" w:ascii="仿宋" w:hAnsi="仿宋" w:eastAsia="仿宋" w:cs="仿宋"/>
          <w:color w:val="000000"/>
          <w:highlight w:val="none"/>
        </w:rPr>
        <w:t>九、授予合同</w:t>
      </w:r>
      <w:bookmarkEnd w:id="212"/>
      <w:bookmarkEnd w:id="216"/>
      <w:bookmarkEnd w:id="217"/>
      <w:bookmarkEnd w:id="218"/>
      <w:bookmarkEnd w:id="219"/>
      <w:bookmarkEnd w:id="220"/>
      <w:bookmarkEnd w:id="221"/>
      <w:bookmarkEnd w:id="222"/>
      <w:bookmarkEnd w:id="223"/>
    </w:p>
    <w:p w14:paraId="7CEBBC5D">
      <w:pPr>
        <w:spacing w:line="360" w:lineRule="auto"/>
        <w:rPr>
          <w:rFonts w:hint="eastAsia" w:ascii="仿宋" w:hAnsi="仿宋" w:eastAsia="仿宋" w:cs="仿宋"/>
          <w:b/>
          <w:bCs/>
          <w:color w:val="000000"/>
          <w:sz w:val="28"/>
          <w:szCs w:val="28"/>
          <w:highlight w:val="none"/>
          <w:lang w:val="zh-CN"/>
        </w:rPr>
      </w:pPr>
      <w:bookmarkStart w:id="224" w:name="_Toc376936760"/>
      <w:bookmarkStart w:id="225" w:name="_Toc11003"/>
      <w:bookmarkStart w:id="226" w:name="_Toc325726029"/>
      <w:r>
        <w:rPr>
          <w:rFonts w:hint="eastAsia" w:ascii="仿宋" w:hAnsi="仿宋" w:eastAsia="仿宋" w:cs="仿宋"/>
          <w:b/>
          <w:bCs/>
          <w:color w:val="000000"/>
          <w:sz w:val="28"/>
          <w:szCs w:val="28"/>
          <w:highlight w:val="none"/>
          <w:lang w:val="zh-CN"/>
        </w:rPr>
        <w:t>22.签订合同</w:t>
      </w:r>
      <w:bookmarkEnd w:id="224"/>
      <w:bookmarkEnd w:id="225"/>
      <w:bookmarkEnd w:id="226"/>
    </w:p>
    <w:p w14:paraId="618F66CA">
      <w:pPr>
        <w:spacing w:line="360" w:lineRule="auto"/>
        <w:ind w:firstLine="480"/>
        <w:jc w:val="left"/>
        <w:rPr>
          <w:rFonts w:hint="eastAsia" w:ascii="仿宋" w:hAnsi="仿宋" w:eastAsia="仿宋" w:cs="仿宋"/>
          <w:color w:val="000000"/>
          <w:highlight w:val="none"/>
        </w:rPr>
      </w:pPr>
      <w:bookmarkStart w:id="227" w:name="_Toc325726030"/>
      <w:bookmarkStart w:id="228" w:name="_Toc376936761"/>
      <w:r>
        <w:rPr>
          <w:rFonts w:hint="eastAsia" w:ascii="仿宋" w:hAnsi="仿宋" w:eastAsia="仿宋" w:cs="仿宋"/>
          <w:color w:val="000000"/>
          <w:highlight w:val="none"/>
        </w:rPr>
        <w:t>22.1采购人与成交人双方应当自《成交通知书》发出之日起30日内，按照磋商文件确定的合同文本以及采购标的、服务要求等事项签订政府采购合同，并送至采购代理机构审核备案。</w:t>
      </w:r>
    </w:p>
    <w:p w14:paraId="133549EF">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22.2采购人不得向成交人提出超出磋商文件以外的任何要求作为订立合同的条件，不得与成交</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订立背离磋商文件确定的合同文本以及采购标的、技术和服务要求等实质性内容的协议。</w:t>
      </w:r>
    </w:p>
    <w:p w14:paraId="79F40D15">
      <w:pPr>
        <w:spacing w:line="360" w:lineRule="auto"/>
        <w:ind w:firstLine="480"/>
        <w:rPr>
          <w:rFonts w:hint="eastAsia" w:ascii="仿宋" w:hAnsi="仿宋" w:eastAsia="仿宋" w:cs="仿宋"/>
          <w:color w:val="000000"/>
          <w:szCs w:val="20"/>
          <w:highlight w:val="none"/>
        </w:rPr>
      </w:pPr>
      <w:r>
        <w:rPr>
          <w:rFonts w:hint="eastAsia" w:ascii="仿宋" w:hAnsi="仿宋" w:eastAsia="仿宋" w:cs="仿宋"/>
          <w:color w:val="000000"/>
          <w:highlight w:val="none"/>
        </w:rPr>
        <w:t>22.3</w:t>
      </w:r>
      <w:r>
        <w:rPr>
          <w:rFonts w:hint="eastAsia" w:ascii="仿宋" w:hAnsi="仿宋" w:eastAsia="仿宋" w:cs="仿宋"/>
          <w:color w:val="000000"/>
          <w:szCs w:val="20"/>
          <w:highlight w:val="none"/>
        </w:rPr>
        <w:t>签订合同时，成交人应按规定向采购人提交履约保证金</w:t>
      </w:r>
      <w:r>
        <w:rPr>
          <w:rFonts w:hint="eastAsia" w:ascii="仿宋" w:hAnsi="仿宋" w:eastAsia="仿宋" w:cs="仿宋"/>
          <w:color w:val="000000"/>
          <w:highlight w:val="none"/>
          <w:lang w:val="zh-CN"/>
        </w:rPr>
        <w:t>（履约保证金的数额由采购人与成交商定，但数额不得超出采购合同总金额的10%）</w:t>
      </w:r>
      <w:r>
        <w:rPr>
          <w:rFonts w:hint="eastAsia" w:ascii="仿宋" w:hAnsi="仿宋" w:eastAsia="仿宋" w:cs="仿宋"/>
          <w:color w:val="000000"/>
          <w:szCs w:val="20"/>
          <w:highlight w:val="none"/>
        </w:rPr>
        <w:t>，履约保证金须缴纳到采购人指定的账户。</w:t>
      </w:r>
    </w:p>
    <w:p w14:paraId="16EF8ED6">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22.4成交人在法定期限内无正当理由拒签合同的，按违约处理。同时，采购代理机构和采购人可依成交候选人排序重新确定成交人，并协调双方签订采购合同。</w:t>
      </w:r>
    </w:p>
    <w:p w14:paraId="6B107F75">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22.5磋商文件、成交人的磋商响应文件、《成交通知书》及其澄清、说明文件等，均为签订采购合同的依据。</w:t>
      </w:r>
    </w:p>
    <w:p w14:paraId="2707F546">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22.6采购人或采购代理机构应当自采购合同签订之日起2个工作日内，将采购合同在</w:t>
      </w:r>
      <w:r>
        <w:rPr>
          <w:rFonts w:hint="eastAsia" w:ascii="仿宋" w:hAnsi="仿宋" w:eastAsia="仿宋" w:cs="仿宋"/>
          <w:color w:val="000000"/>
          <w:highlight w:val="none"/>
          <w:lang w:val="en-US" w:eastAsia="zh-CN"/>
        </w:rPr>
        <w:t>青海省</w:t>
      </w:r>
      <w:r>
        <w:rPr>
          <w:rFonts w:hint="eastAsia" w:ascii="仿宋" w:hAnsi="仿宋" w:eastAsia="仿宋" w:cs="仿宋"/>
          <w:color w:val="000000"/>
          <w:highlight w:val="none"/>
        </w:rPr>
        <w:t>政府采购网上公告，但政府采购合同中涉及国家秘密、商业秘密的内容除外。</w:t>
      </w:r>
    </w:p>
    <w:p w14:paraId="131D646B">
      <w:pPr>
        <w:pStyle w:val="3"/>
        <w:rPr>
          <w:rFonts w:hint="eastAsia" w:ascii="仿宋" w:hAnsi="仿宋" w:eastAsia="仿宋" w:cs="仿宋"/>
          <w:color w:val="000000"/>
          <w:highlight w:val="none"/>
        </w:rPr>
      </w:pPr>
      <w:bookmarkStart w:id="229" w:name="_Toc31871"/>
      <w:bookmarkStart w:id="230" w:name="_Toc24768"/>
      <w:bookmarkStart w:id="231" w:name="_Toc24550"/>
      <w:bookmarkStart w:id="232" w:name="_Toc20499"/>
      <w:bookmarkStart w:id="233" w:name="_Toc32149"/>
      <w:bookmarkStart w:id="234" w:name="_Toc4493"/>
      <w:bookmarkStart w:id="235" w:name="_Toc3640"/>
      <w:r>
        <w:rPr>
          <w:rFonts w:hint="eastAsia" w:ascii="仿宋" w:hAnsi="仿宋" w:eastAsia="仿宋" w:cs="仿宋"/>
          <w:color w:val="000000"/>
          <w:highlight w:val="none"/>
        </w:rPr>
        <w:t>十、</w:t>
      </w:r>
      <w:bookmarkEnd w:id="227"/>
      <w:bookmarkEnd w:id="228"/>
      <w:r>
        <w:rPr>
          <w:rFonts w:hint="eastAsia" w:ascii="仿宋" w:hAnsi="仿宋" w:eastAsia="仿宋" w:cs="仿宋"/>
          <w:color w:val="000000"/>
          <w:highlight w:val="none"/>
        </w:rPr>
        <w:t>磋商活动终止</w:t>
      </w:r>
      <w:bookmarkEnd w:id="229"/>
      <w:bookmarkEnd w:id="230"/>
      <w:bookmarkEnd w:id="231"/>
      <w:bookmarkEnd w:id="232"/>
      <w:bookmarkEnd w:id="233"/>
      <w:bookmarkEnd w:id="234"/>
      <w:bookmarkEnd w:id="235"/>
    </w:p>
    <w:p w14:paraId="757426D7">
      <w:pPr>
        <w:spacing w:line="360" w:lineRule="auto"/>
        <w:rPr>
          <w:rFonts w:hint="eastAsia" w:ascii="仿宋" w:hAnsi="仿宋" w:eastAsia="仿宋" w:cs="仿宋"/>
          <w:b/>
          <w:bCs/>
          <w:color w:val="000000"/>
          <w:sz w:val="28"/>
          <w:szCs w:val="28"/>
          <w:highlight w:val="none"/>
          <w:lang w:val="zh-CN"/>
        </w:rPr>
      </w:pPr>
      <w:bookmarkStart w:id="236" w:name="_Toc28251"/>
      <w:bookmarkStart w:id="237" w:name="_Toc325726031"/>
      <w:bookmarkStart w:id="238" w:name="_Toc376936762"/>
      <w:r>
        <w:rPr>
          <w:rFonts w:hint="eastAsia" w:ascii="仿宋" w:hAnsi="仿宋" w:eastAsia="仿宋" w:cs="仿宋"/>
          <w:b/>
          <w:bCs/>
          <w:color w:val="000000"/>
          <w:sz w:val="28"/>
          <w:szCs w:val="28"/>
          <w:highlight w:val="none"/>
          <w:lang w:val="zh-CN"/>
        </w:rPr>
        <w:t>23. 终止情形</w:t>
      </w:r>
      <w:bookmarkEnd w:id="236"/>
    </w:p>
    <w:p w14:paraId="010581E6">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23.1在竞争性磋商采购中，出现下列情形之一的，终止磋商活动：</w:t>
      </w:r>
      <w:bookmarkEnd w:id="237"/>
      <w:bookmarkEnd w:id="238"/>
    </w:p>
    <w:p w14:paraId="7A9FDDFE">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（1）因情况变化，不再符合规定的竞争性磋商采购方式适用情形的。</w:t>
      </w:r>
    </w:p>
    <w:p w14:paraId="676B08E2">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（2）出现影响采购活动公正的违法、违规行为的。</w:t>
      </w:r>
    </w:p>
    <w:p w14:paraId="5047ECC0">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（3）不符合《政府采购竞争性磋商采购方式管理暂行办法》以及《财政部关于政府采购竞争性磋商采购方式管理暂行办法有关问题的补充通知》的。</w:t>
      </w:r>
    </w:p>
    <w:p w14:paraId="3E0058B6">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（4）因重大变故，采购任务取消的。</w:t>
      </w:r>
    </w:p>
    <w:p w14:paraId="56F972B4">
      <w:pPr>
        <w:spacing w:line="360" w:lineRule="auto"/>
        <w:ind w:firstLine="480"/>
        <w:rPr>
          <w:rFonts w:hint="eastAsia" w:ascii="仿宋" w:hAnsi="仿宋" w:eastAsia="仿宋" w:cs="仿宋"/>
          <w:b/>
          <w:bCs/>
          <w:color w:val="000000"/>
          <w:kern w:val="0"/>
          <w:sz w:val="36"/>
          <w:szCs w:val="36"/>
          <w:highlight w:val="none"/>
        </w:rPr>
      </w:pPr>
      <w:r>
        <w:rPr>
          <w:rFonts w:hint="eastAsia" w:ascii="仿宋" w:hAnsi="仿宋" w:eastAsia="仿宋" w:cs="仿宋"/>
          <w:color w:val="000000"/>
          <w:highlight w:val="none"/>
        </w:rPr>
        <w:t>23.2终止磋商活动</w:t>
      </w:r>
      <w:r>
        <w:rPr>
          <w:rFonts w:hint="eastAsia" w:ascii="仿宋" w:hAnsi="仿宋" w:eastAsia="仿宋" w:cs="仿宋"/>
          <w:color w:val="000000"/>
          <w:szCs w:val="20"/>
          <w:highlight w:val="none"/>
        </w:rPr>
        <w:t>后，由</w:t>
      </w:r>
      <w:r>
        <w:rPr>
          <w:rFonts w:hint="eastAsia" w:ascii="仿宋" w:hAnsi="仿宋" w:eastAsia="仿宋" w:cs="仿宋"/>
          <w:color w:val="000000"/>
          <w:highlight w:val="none"/>
        </w:rPr>
        <w:t>采购代理机构</w:t>
      </w:r>
      <w:r>
        <w:rPr>
          <w:rFonts w:hint="eastAsia" w:ascii="仿宋" w:hAnsi="仿宋" w:eastAsia="仿宋" w:cs="仿宋"/>
          <w:color w:val="000000"/>
          <w:szCs w:val="20"/>
          <w:highlight w:val="none"/>
        </w:rPr>
        <w:t>发布终止公告并说明原因。</w:t>
      </w:r>
      <w:bookmarkStart w:id="239" w:name="_Toc376936763"/>
      <w:bookmarkStart w:id="240" w:name="_Toc325726032"/>
    </w:p>
    <w:p w14:paraId="3D2B3123">
      <w:pPr>
        <w:pStyle w:val="3"/>
        <w:rPr>
          <w:rFonts w:hint="eastAsia" w:ascii="仿宋" w:hAnsi="仿宋" w:eastAsia="仿宋" w:cs="仿宋"/>
          <w:color w:val="000000"/>
          <w:highlight w:val="none"/>
        </w:rPr>
      </w:pPr>
      <w:bookmarkStart w:id="241" w:name="_Toc24150"/>
      <w:bookmarkStart w:id="242" w:name="_Toc31483"/>
      <w:bookmarkStart w:id="243" w:name="_Toc31896"/>
      <w:bookmarkStart w:id="244" w:name="_Toc5872"/>
      <w:bookmarkStart w:id="245" w:name="_Toc25301"/>
      <w:bookmarkStart w:id="246" w:name="_Toc4956"/>
      <w:bookmarkStart w:id="247" w:name="_Toc30973"/>
      <w:r>
        <w:rPr>
          <w:rFonts w:hint="eastAsia" w:ascii="仿宋" w:hAnsi="仿宋" w:eastAsia="仿宋" w:cs="仿宋"/>
          <w:color w:val="000000"/>
          <w:highlight w:val="none"/>
        </w:rPr>
        <w:t>十一、处罚</w:t>
      </w:r>
      <w:bookmarkEnd w:id="239"/>
      <w:bookmarkEnd w:id="240"/>
      <w:bookmarkEnd w:id="241"/>
      <w:bookmarkEnd w:id="242"/>
      <w:bookmarkEnd w:id="243"/>
      <w:bookmarkEnd w:id="244"/>
      <w:bookmarkEnd w:id="245"/>
      <w:bookmarkEnd w:id="246"/>
      <w:bookmarkEnd w:id="247"/>
    </w:p>
    <w:p w14:paraId="7BBDA4A0">
      <w:pPr>
        <w:spacing w:line="360" w:lineRule="auto"/>
        <w:rPr>
          <w:rFonts w:hint="eastAsia" w:ascii="仿宋" w:hAnsi="仿宋" w:eastAsia="仿宋" w:cs="仿宋"/>
          <w:b/>
          <w:bCs/>
          <w:color w:val="000000"/>
          <w:sz w:val="28"/>
          <w:szCs w:val="28"/>
          <w:highlight w:val="none"/>
          <w:lang w:val="zh-CN"/>
        </w:rPr>
      </w:pPr>
      <w:bookmarkStart w:id="248" w:name="_Toc28526"/>
      <w:bookmarkStart w:id="249" w:name="_Toc325726033"/>
      <w:bookmarkStart w:id="250" w:name="_Toc376936764"/>
      <w:r>
        <w:rPr>
          <w:rFonts w:hint="eastAsia" w:ascii="仿宋" w:hAnsi="仿宋" w:eastAsia="仿宋" w:cs="仿宋"/>
          <w:b/>
          <w:bCs/>
          <w:color w:val="000000"/>
          <w:sz w:val="28"/>
          <w:szCs w:val="28"/>
          <w:highlight w:val="none"/>
          <w:lang w:val="zh-CN"/>
        </w:rPr>
        <w:t>24.处罚情形</w:t>
      </w:r>
      <w:bookmarkEnd w:id="248"/>
      <w:bookmarkEnd w:id="249"/>
      <w:bookmarkEnd w:id="250"/>
    </w:p>
    <w:p w14:paraId="67B6778F">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有下列情形之一的，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的磋商保证金不予退还；成交人的成交结果无效，履约保证金不予退还。情节严重的，报省财政厅依法进行处理：</w:t>
      </w:r>
    </w:p>
    <w:p w14:paraId="37010730">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24.1</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在提交响应文件截止时间之后撤回响应文件的。</w:t>
      </w:r>
    </w:p>
    <w:p w14:paraId="04BF89C8">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24.2</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在响应文件中提供虚假材料的。</w:t>
      </w:r>
    </w:p>
    <w:p w14:paraId="4A31EEC6">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24.3采取不正当手段诋毁、排挤其他</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的。</w:t>
      </w:r>
    </w:p>
    <w:p w14:paraId="045112D2">
      <w:pPr>
        <w:spacing w:line="360" w:lineRule="auto"/>
        <w:ind w:firstLine="439" w:firstLineChars="183"/>
        <w:jc w:val="left"/>
        <w:rPr>
          <w:rFonts w:hint="eastAsia" w:ascii="仿宋" w:hAnsi="仿宋" w:eastAsia="仿宋" w:cs="仿宋"/>
          <w:color w:val="000000"/>
          <w:highlight w:val="none"/>
        </w:rPr>
      </w:pPr>
      <w:r>
        <w:rPr>
          <w:rFonts w:hint="eastAsia" w:ascii="仿宋" w:hAnsi="仿宋" w:eastAsia="仿宋" w:cs="仿宋"/>
          <w:color w:val="000000"/>
          <w:highlight w:val="none"/>
        </w:rPr>
        <w:t>24.4有恶意串通等不正当竞争行为的。</w:t>
      </w:r>
    </w:p>
    <w:p w14:paraId="1F5583B9">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24.5成交后无正当理由拒不与采购人签订采购合同的。</w:t>
      </w:r>
    </w:p>
    <w:p w14:paraId="274014B5">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24.6未按照磋商文件、磋商响应文件确定的事项签订采购合同的。</w:t>
      </w:r>
    </w:p>
    <w:p w14:paraId="6F0FD9C0">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24.7擅自变更、中止或者终止政府采购合同的。</w:t>
      </w:r>
    </w:p>
    <w:p w14:paraId="162FE8AC">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24.8成交人签订合同后，因种种原因不能履约或无故拖延履约期的。</w:t>
      </w:r>
    </w:p>
    <w:p w14:paraId="27D6905F">
      <w:pPr>
        <w:spacing w:line="360" w:lineRule="auto"/>
        <w:ind w:firstLine="480"/>
        <w:jc w:val="left"/>
        <w:rPr>
          <w:rFonts w:hint="eastAsia" w:ascii="仿宋" w:hAnsi="仿宋" w:eastAsia="仿宋" w:cs="仿宋"/>
          <w:color w:val="000000"/>
          <w:highlight w:val="none"/>
        </w:rPr>
      </w:pPr>
      <w:r>
        <w:rPr>
          <w:rFonts w:hint="eastAsia" w:ascii="仿宋" w:hAnsi="仿宋" w:eastAsia="仿宋" w:cs="仿宋"/>
          <w:color w:val="000000"/>
          <w:highlight w:val="none"/>
        </w:rPr>
        <w:t>24.9法律、法规规定的其他情形的。</w:t>
      </w:r>
      <w:bookmarkStart w:id="251" w:name="_Toc11132"/>
    </w:p>
    <w:p w14:paraId="14A74512">
      <w:pPr>
        <w:pStyle w:val="3"/>
        <w:rPr>
          <w:rFonts w:hint="eastAsia" w:ascii="仿宋" w:hAnsi="仿宋" w:eastAsia="仿宋" w:cs="仿宋"/>
          <w:color w:val="000000"/>
          <w:highlight w:val="none"/>
        </w:rPr>
      </w:pPr>
      <w:bookmarkStart w:id="252" w:name="_Toc114"/>
      <w:bookmarkStart w:id="253" w:name="_Toc12322"/>
      <w:bookmarkStart w:id="254" w:name="_Toc26230"/>
      <w:bookmarkStart w:id="255" w:name="_Toc18429"/>
      <w:bookmarkStart w:id="256" w:name="_Toc29687"/>
      <w:bookmarkStart w:id="257" w:name="_Toc2699"/>
      <w:r>
        <w:rPr>
          <w:rFonts w:hint="eastAsia" w:ascii="仿宋" w:hAnsi="仿宋" w:eastAsia="仿宋" w:cs="仿宋"/>
          <w:color w:val="000000"/>
          <w:highlight w:val="none"/>
        </w:rPr>
        <w:t>十二、招标代理服务收费标准</w:t>
      </w:r>
      <w:bookmarkEnd w:id="251"/>
      <w:bookmarkEnd w:id="252"/>
      <w:bookmarkEnd w:id="253"/>
      <w:bookmarkEnd w:id="254"/>
      <w:bookmarkEnd w:id="255"/>
      <w:bookmarkEnd w:id="256"/>
      <w:bookmarkEnd w:id="257"/>
    </w:p>
    <w:p w14:paraId="71923339">
      <w:pPr>
        <w:spacing w:line="300" w:lineRule="auto"/>
        <w:ind w:left="482" w:firstLine="0" w:firstLineChars="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1、收取对象：</w:t>
      </w:r>
      <w:r>
        <w:rPr>
          <w:rFonts w:hint="eastAsia" w:ascii="仿宋" w:hAnsi="仿宋" w:eastAsia="仿宋" w:cs="仿宋"/>
          <w:color w:val="auto"/>
          <w:kern w:val="0"/>
          <w:sz w:val="24"/>
          <w:szCs w:val="24"/>
          <w:highlight w:val="none"/>
          <w:lang w:val="en-US" w:eastAsia="zh-CN" w:bidi="ar-SA"/>
        </w:rPr>
        <w:t>甲方支付</w:t>
      </w:r>
    </w:p>
    <w:p w14:paraId="474B1CD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highlight w:val="none"/>
          <w:lang w:val="zh-CN"/>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zh-CN" w:eastAsia="zh-CN" w:bidi="ar-SA"/>
        </w:rPr>
        <w:t>收费金额：</w:t>
      </w:r>
      <w:r>
        <w:rPr>
          <w:rFonts w:hint="eastAsia" w:ascii="仿宋" w:hAnsi="仿宋" w:eastAsia="仿宋" w:cs="仿宋"/>
          <w:color w:val="000000"/>
          <w:kern w:val="0"/>
          <w:highlight w:val="none"/>
          <w:lang w:val="en-US" w:eastAsia="zh-CN"/>
        </w:rPr>
        <w:t>按合同约定执行</w:t>
      </w:r>
      <w:r>
        <w:rPr>
          <w:rFonts w:hint="eastAsia" w:ascii="仿宋" w:hAnsi="仿宋" w:eastAsia="仿宋" w:cs="仿宋"/>
          <w:color w:val="000000"/>
          <w:kern w:val="0"/>
          <w:highlight w:val="none"/>
          <w:lang w:val="zh-CN"/>
        </w:rPr>
        <w:t>。</w:t>
      </w:r>
    </w:p>
    <w:p w14:paraId="4646D79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3、代理公司：</w:t>
      </w:r>
      <w:r>
        <w:rPr>
          <w:rFonts w:hint="eastAsia" w:ascii="仿宋" w:hAnsi="仿宋" w:eastAsia="仿宋" w:cs="仿宋"/>
          <w:highlight w:val="none"/>
          <w:lang w:val="zh-CN"/>
        </w:rPr>
        <w:t>青海科越全过程工程管理有限责任公司</w:t>
      </w:r>
    </w:p>
    <w:p w14:paraId="3EE35826">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highlight w:val="none"/>
          <w:lang w:val="zh-CN"/>
        </w:rPr>
      </w:pPr>
      <w:r>
        <w:rPr>
          <w:rFonts w:hint="eastAsia" w:ascii="仿宋" w:hAnsi="仿宋" w:eastAsia="仿宋" w:cs="仿宋"/>
        </w:rPr>
        <w:t>银行账号</w:t>
      </w:r>
      <w:r>
        <w:rPr>
          <w:rFonts w:hint="eastAsia" w:ascii="仿宋" w:hAnsi="仿宋" w:eastAsia="仿宋" w:cs="仿宋"/>
          <w:highlight w:val="none"/>
          <w:lang w:val="en-US" w:eastAsia="zh-CN"/>
        </w:rPr>
        <w:t>：28042001040005504</w:t>
      </w:r>
    </w:p>
    <w:p w14:paraId="2B2E8BA0">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lang w:eastAsia="zh-CN"/>
        </w:rPr>
      </w:pPr>
      <w:r>
        <w:rPr>
          <w:rFonts w:hint="eastAsia" w:ascii="仿宋" w:hAnsi="仿宋" w:eastAsia="仿宋" w:cs="仿宋"/>
        </w:rPr>
        <w:t>开户银行</w:t>
      </w:r>
      <w:r>
        <w:rPr>
          <w:rFonts w:hint="eastAsia" w:ascii="仿宋" w:hAnsi="仿宋" w:eastAsia="仿宋" w:cs="仿宋"/>
          <w:lang w:eastAsia="zh-CN"/>
        </w:rPr>
        <w:t>：中国农业银行股份有限公司西宁市城西同仁路支行</w:t>
      </w:r>
    </w:p>
    <w:p w14:paraId="27E9E4E5">
      <w:pPr>
        <w:pStyle w:val="2"/>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收费依据：参照《招标代理服务收费管理暂行办法》（计价格[2002]1980号）以及《关于进一步放开建设项目专项业务服务价格的通知》（发改价格[2015]299号）规定执行。在领取成交通知书前向采购代理机构交纳。</w:t>
      </w:r>
    </w:p>
    <w:p w14:paraId="1B83D2AC">
      <w:pPr>
        <w:pStyle w:val="3"/>
        <w:rPr>
          <w:rFonts w:hint="eastAsia" w:ascii="仿宋" w:hAnsi="仿宋" w:eastAsia="仿宋" w:cs="仿宋"/>
          <w:color w:val="000000"/>
          <w:highlight w:val="none"/>
          <w:lang w:val="zh-CN"/>
        </w:rPr>
      </w:pPr>
      <w:bookmarkStart w:id="258" w:name="_Toc13958"/>
      <w:bookmarkStart w:id="259" w:name="_Toc12786"/>
      <w:bookmarkStart w:id="260" w:name="_Toc4523"/>
      <w:bookmarkStart w:id="261" w:name="_Toc19544"/>
      <w:bookmarkStart w:id="262" w:name="_Toc2044"/>
      <w:bookmarkStart w:id="263" w:name="_Toc17913"/>
      <w:bookmarkStart w:id="264" w:name="_Toc3526"/>
      <w:r>
        <w:rPr>
          <w:rFonts w:hint="eastAsia" w:ascii="仿宋" w:hAnsi="仿宋" w:eastAsia="仿宋" w:cs="仿宋"/>
          <w:color w:val="000000"/>
          <w:highlight w:val="none"/>
        </w:rPr>
        <w:t>十三、其他</w:t>
      </w:r>
      <w:bookmarkEnd w:id="258"/>
      <w:bookmarkEnd w:id="259"/>
      <w:bookmarkEnd w:id="260"/>
      <w:bookmarkEnd w:id="261"/>
      <w:bookmarkEnd w:id="262"/>
      <w:bookmarkEnd w:id="263"/>
      <w:bookmarkEnd w:id="264"/>
    </w:p>
    <w:p w14:paraId="5F7DDC85">
      <w:pPr>
        <w:spacing w:line="360" w:lineRule="auto"/>
        <w:ind w:left="480" w:hanging="480" w:hangingChars="200"/>
        <w:jc w:val="left"/>
        <w:rPr>
          <w:rFonts w:hint="eastAsia" w:ascii="仿宋" w:hAnsi="仿宋" w:eastAsia="仿宋" w:cs="仿宋"/>
          <w:b/>
          <w:color w:val="000000"/>
          <w:kern w:val="28"/>
          <w:sz w:val="36"/>
          <w:szCs w:val="20"/>
          <w:highlight w:val="none"/>
        </w:rPr>
      </w:pPr>
      <w:r>
        <w:rPr>
          <w:rFonts w:hint="eastAsia" w:ascii="仿宋" w:hAnsi="仿宋" w:eastAsia="仿宋" w:cs="仿宋"/>
          <w:color w:val="000000"/>
          <w:highlight w:val="none"/>
        </w:rPr>
        <w:t xml:space="preserve">        其他未尽事宜，按照《中华人民共和国政府采购法</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中华人民共和国民法典</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中华人民共和国政府采购法实施条例</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政府采购竞争性磋商采购方式管理暂行办法》等法律法规的有关条款执行。</w:t>
      </w:r>
      <w:r>
        <w:rPr>
          <w:rFonts w:hint="eastAsia" w:ascii="仿宋" w:hAnsi="仿宋" w:eastAsia="仿宋" w:cs="仿宋"/>
          <w:b/>
          <w:color w:val="000000"/>
          <w:kern w:val="28"/>
          <w:sz w:val="36"/>
          <w:szCs w:val="20"/>
          <w:highlight w:val="none"/>
        </w:rPr>
        <w:t xml:space="preserve"> </w:t>
      </w:r>
    </w:p>
    <w:p w14:paraId="0DEA57AD">
      <w:pPr>
        <w:pStyle w:val="6"/>
        <w:ind w:firstLine="0"/>
        <w:rPr>
          <w:rFonts w:hint="eastAsia" w:ascii="仿宋" w:hAnsi="仿宋" w:eastAsia="仿宋" w:cs="仿宋"/>
          <w:color w:val="000000"/>
          <w:highlight w:val="none"/>
        </w:rPr>
      </w:pPr>
    </w:p>
    <w:p w14:paraId="23CC209A">
      <w:pPr>
        <w:pStyle w:val="29"/>
        <w:rPr>
          <w:rFonts w:hint="eastAsia" w:ascii="仿宋" w:hAnsi="仿宋" w:eastAsia="仿宋" w:cs="仿宋"/>
          <w:color w:val="000000"/>
          <w:highlight w:val="none"/>
        </w:rPr>
      </w:pPr>
    </w:p>
    <w:p w14:paraId="27A6CAC5">
      <w:pPr>
        <w:spacing w:line="360" w:lineRule="auto"/>
        <w:outlineLvl w:val="0"/>
        <w:rPr>
          <w:rStyle w:val="48"/>
          <w:rFonts w:hint="eastAsia" w:ascii="仿宋" w:hAnsi="仿宋" w:eastAsia="仿宋" w:cs="仿宋"/>
          <w:color w:val="000000"/>
          <w:highlight w:val="none"/>
          <w:lang w:val="en-US" w:eastAsia="zh-CN"/>
        </w:rPr>
      </w:pPr>
      <w:bookmarkStart w:id="265" w:name="_Toc22684"/>
      <w:bookmarkStart w:id="266" w:name="_Toc29891"/>
      <w:bookmarkStart w:id="267" w:name="_Toc4377"/>
      <w:bookmarkStart w:id="268" w:name="_Toc30964"/>
      <w:bookmarkStart w:id="269" w:name="_Toc18043"/>
      <w:bookmarkStart w:id="270" w:name="_Toc28576"/>
      <w:r>
        <w:rPr>
          <w:rStyle w:val="48"/>
          <w:rFonts w:hint="eastAsia" w:ascii="仿宋" w:hAnsi="仿宋" w:eastAsia="仿宋" w:cs="仿宋"/>
          <w:color w:val="000000"/>
          <w:highlight w:val="none"/>
          <w:lang w:val="en-US" w:eastAsia="zh-CN"/>
        </w:rPr>
        <w:t xml:space="preserve">   </w:t>
      </w:r>
      <w:bookmarkStart w:id="271" w:name="_Toc18231"/>
      <w:r>
        <w:rPr>
          <w:rStyle w:val="48"/>
          <w:rFonts w:hint="eastAsia" w:ascii="仿宋" w:hAnsi="仿宋" w:eastAsia="仿宋" w:cs="仿宋"/>
          <w:color w:val="000000"/>
          <w:highlight w:val="none"/>
          <w:lang w:val="en-US" w:eastAsia="zh-CN"/>
        </w:rPr>
        <w:t xml:space="preserve">    </w:t>
      </w:r>
    </w:p>
    <w:p w14:paraId="14524831">
      <w:pPr>
        <w:pStyle w:val="2"/>
        <w:spacing w:line="578" w:lineRule="auto"/>
        <w:jc w:val="both"/>
        <w:rPr>
          <w:rFonts w:hint="eastAsia" w:ascii="仿宋" w:hAnsi="仿宋" w:eastAsia="仿宋" w:cs="仿宋"/>
          <w:b/>
          <w:bCs/>
          <w:color w:val="000000"/>
          <w:highlight w:val="none"/>
          <w:lang w:val="en-US" w:eastAsia="zh-CN"/>
        </w:rPr>
      </w:pPr>
      <w:r>
        <w:rPr>
          <w:rStyle w:val="48"/>
          <w:rFonts w:hint="eastAsia" w:ascii="仿宋" w:hAnsi="仿宋" w:eastAsia="仿宋" w:cs="仿宋"/>
          <w:b/>
          <w:bCs/>
          <w:color w:val="000000"/>
          <w:highlight w:val="none"/>
          <w:lang w:val="en-US" w:eastAsia="zh-CN"/>
        </w:rPr>
        <w:br w:type="page"/>
      </w:r>
      <w:r>
        <w:rPr>
          <w:rStyle w:val="48"/>
          <w:rFonts w:hint="eastAsia" w:ascii="仿宋" w:hAnsi="仿宋" w:eastAsia="仿宋" w:cs="仿宋"/>
          <w:b/>
          <w:bCs/>
          <w:color w:val="000000"/>
          <w:highlight w:val="none"/>
          <w:lang w:val="en-US" w:eastAsia="zh-CN"/>
        </w:rPr>
        <w:t xml:space="preserve">  </w:t>
      </w:r>
      <w:bookmarkEnd w:id="265"/>
      <w:bookmarkEnd w:id="266"/>
      <w:bookmarkEnd w:id="267"/>
      <w:bookmarkEnd w:id="268"/>
      <w:bookmarkEnd w:id="271"/>
    </w:p>
    <w:p w14:paraId="118EA5F7">
      <w:pPr>
        <w:pStyle w:val="2"/>
        <w:spacing w:line="578" w:lineRule="auto"/>
        <w:jc w:val="center"/>
        <w:rPr>
          <w:rFonts w:hint="eastAsia" w:ascii="仿宋" w:hAnsi="仿宋" w:eastAsia="仿宋" w:cs="仿宋"/>
          <w:b/>
          <w:bCs/>
          <w:sz w:val="44"/>
          <w:highlight w:val="none"/>
        </w:rPr>
      </w:pPr>
      <w:r>
        <w:rPr>
          <w:rFonts w:hint="eastAsia" w:ascii="仿宋" w:hAnsi="仿宋" w:eastAsia="仿宋" w:cs="仿宋"/>
          <w:b/>
          <w:bCs/>
          <w:color w:val="000000"/>
          <w:highlight w:val="none"/>
          <w:lang w:val="zh-CN"/>
        </w:rPr>
        <w:t xml:space="preserve">第三部分 </w:t>
      </w:r>
      <w:r>
        <w:rPr>
          <w:rFonts w:hint="eastAsia" w:ascii="仿宋" w:hAnsi="仿宋" w:eastAsia="仿宋" w:cs="仿宋"/>
          <w:b/>
          <w:bCs/>
          <w:color w:val="000000"/>
          <w:highlight w:val="none"/>
        </w:rPr>
        <w:t xml:space="preserve"> </w:t>
      </w:r>
      <w:r>
        <w:rPr>
          <w:rFonts w:hint="eastAsia" w:ascii="仿宋" w:hAnsi="仿宋" w:eastAsia="仿宋" w:cs="仿宋"/>
          <w:b/>
          <w:bCs/>
          <w:color w:val="000000"/>
          <w:highlight w:val="none"/>
          <w:lang w:val="en-US" w:eastAsia="zh-CN"/>
        </w:rPr>
        <w:t xml:space="preserve"> </w:t>
      </w:r>
      <w:r>
        <w:rPr>
          <w:rFonts w:hint="eastAsia" w:ascii="仿宋" w:hAnsi="仿宋" w:eastAsia="仿宋" w:cs="仿宋"/>
          <w:b/>
          <w:bCs/>
          <w:color w:val="000000"/>
          <w:sz w:val="44"/>
          <w:szCs w:val="28"/>
          <w:highlight w:val="none"/>
        </w:rPr>
        <w:t>合同条款及格式</w:t>
      </w:r>
    </w:p>
    <w:p w14:paraId="64757E81">
      <w:pPr>
        <w:keepNext/>
        <w:keepLines/>
        <w:widowControl/>
        <w:snapToGrid w:val="0"/>
        <w:spacing w:line="360" w:lineRule="auto"/>
        <w:ind w:firstLine="0" w:firstLineChars="0"/>
        <w:jc w:val="center"/>
        <w:outlineLvl w:val="0"/>
        <w:rPr>
          <w:rFonts w:hint="eastAsia" w:ascii="仿宋" w:hAnsi="仿宋" w:eastAsia="仿宋" w:cs="仿宋"/>
          <w:color w:val="000000"/>
          <w:highlight w:val="none"/>
        </w:rPr>
      </w:pPr>
    </w:p>
    <w:p w14:paraId="30D6E3CB">
      <w:pPr>
        <w:pStyle w:val="30"/>
        <w:rPr>
          <w:rFonts w:hint="eastAsia"/>
        </w:rPr>
      </w:pPr>
    </w:p>
    <w:p w14:paraId="5BCEC2DD">
      <w:pPr>
        <w:pStyle w:val="30"/>
        <w:rPr>
          <w:rFonts w:hint="eastAsia"/>
        </w:rPr>
      </w:pPr>
    </w:p>
    <w:p w14:paraId="56C5F999">
      <w:pPr>
        <w:autoSpaceDE w:val="0"/>
        <w:autoSpaceDN w:val="0"/>
        <w:adjustRightInd w:val="0"/>
        <w:spacing w:line="360" w:lineRule="auto"/>
        <w:jc w:val="center"/>
        <w:rPr>
          <w:rFonts w:hint="eastAsia" w:ascii="仿宋" w:hAnsi="仿宋" w:eastAsia="仿宋" w:cs="仿宋"/>
          <w:b/>
          <w:bCs/>
          <w:color w:val="000000"/>
          <w:kern w:val="0"/>
          <w:sz w:val="36"/>
          <w:szCs w:val="36"/>
          <w:highlight w:val="none"/>
        </w:rPr>
      </w:pPr>
      <w:bookmarkStart w:id="272" w:name="_Toc25795"/>
      <w:bookmarkStart w:id="273" w:name="_Toc30272"/>
      <w:bookmarkStart w:id="274" w:name="_Toc10801"/>
      <w:bookmarkStart w:id="275" w:name="_Toc26129"/>
      <w:r>
        <w:rPr>
          <w:rFonts w:hint="eastAsia" w:ascii="仿宋" w:hAnsi="仿宋" w:eastAsia="仿宋" w:cs="仿宋"/>
          <w:b/>
          <w:bCs/>
          <w:color w:val="000000"/>
          <w:kern w:val="0"/>
          <w:sz w:val="36"/>
          <w:szCs w:val="36"/>
          <w:highlight w:val="none"/>
          <w:lang w:val="en-US" w:eastAsia="zh-CN"/>
        </w:rPr>
        <w:t xml:space="preserve">    </w:t>
      </w:r>
      <w:r>
        <w:rPr>
          <w:rFonts w:hint="eastAsia" w:ascii="仿宋" w:hAnsi="仿宋" w:eastAsia="仿宋" w:cs="仿宋"/>
          <w:b/>
          <w:bCs/>
          <w:color w:val="000000"/>
          <w:kern w:val="0"/>
          <w:sz w:val="36"/>
          <w:szCs w:val="36"/>
          <w:highlight w:val="none"/>
          <w:lang w:val="zh-CN"/>
        </w:rPr>
        <w:t>（服务类）</w:t>
      </w:r>
    </w:p>
    <w:p w14:paraId="1914595E">
      <w:pPr>
        <w:autoSpaceDE w:val="0"/>
        <w:autoSpaceDN w:val="0"/>
        <w:adjustRightInd w:val="0"/>
        <w:spacing w:line="360" w:lineRule="auto"/>
        <w:rPr>
          <w:rFonts w:hint="eastAsia" w:ascii="仿宋" w:hAnsi="仿宋" w:eastAsia="仿宋" w:cs="仿宋"/>
          <w:color w:val="000000"/>
          <w:kern w:val="0"/>
          <w:sz w:val="28"/>
          <w:szCs w:val="28"/>
          <w:highlight w:val="none"/>
        </w:rPr>
      </w:pPr>
    </w:p>
    <w:p w14:paraId="20629BA6">
      <w:pPr>
        <w:autoSpaceDE w:val="0"/>
        <w:autoSpaceDN w:val="0"/>
        <w:adjustRightInd w:val="0"/>
        <w:spacing w:line="360" w:lineRule="auto"/>
        <w:rPr>
          <w:rFonts w:hint="eastAsia" w:ascii="仿宋" w:hAnsi="仿宋" w:eastAsia="仿宋" w:cs="仿宋"/>
          <w:color w:val="000000"/>
          <w:kern w:val="0"/>
          <w:sz w:val="28"/>
          <w:szCs w:val="28"/>
          <w:highlight w:val="none"/>
        </w:rPr>
      </w:pPr>
    </w:p>
    <w:p w14:paraId="248E4F4C">
      <w:pPr>
        <w:autoSpaceDE w:val="0"/>
        <w:autoSpaceDN w:val="0"/>
        <w:adjustRightInd w:val="0"/>
        <w:spacing w:line="360" w:lineRule="auto"/>
        <w:rPr>
          <w:rFonts w:hint="eastAsia" w:ascii="仿宋" w:hAnsi="仿宋" w:eastAsia="仿宋" w:cs="仿宋"/>
          <w:color w:val="000000"/>
          <w:kern w:val="0"/>
          <w:sz w:val="28"/>
          <w:szCs w:val="28"/>
          <w:highlight w:val="none"/>
        </w:rPr>
      </w:pPr>
    </w:p>
    <w:p w14:paraId="1127A25F">
      <w:pPr>
        <w:autoSpaceDE w:val="0"/>
        <w:autoSpaceDN w:val="0"/>
        <w:adjustRightInd w:val="0"/>
        <w:spacing w:line="360" w:lineRule="auto"/>
        <w:jc w:val="center"/>
        <w:rPr>
          <w:rFonts w:hint="eastAsia" w:ascii="仿宋" w:hAnsi="仿宋" w:eastAsia="仿宋" w:cs="仿宋"/>
          <w:b/>
          <w:bCs/>
          <w:color w:val="000000"/>
          <w:kern w:val="0"/>
          <w:sz w:val="48"/>
          <w:szCs w:val="48"/>
          <w:highlight w:val="none"/>
        </w:rPr>
      </w:pPr>
      <w:r>
        <w:rPr>
          <w:rFonts w:hint="eastAsia" w:ascii="仿宋" w:hAnsi="仿宋" w:eastAsia="仿宋" w:cs="仿宋"/>
          <w:b/>
          <w:bCs/>
          <w:color w:val="000000"/>
          <w:kern w:val="0"/>
          <w:sz w:val="48"/>
          <w:szCs w:val="48"/>
          <w:highlight w:val="none"/>
          <w:lang w:val="zh-CN"/>
        </w:rPr>
        <w:t>政府采购项目合同书</w:t>
      </w:r>
    </w:p>
    <w:p w14:paraId="444BD2CA">
      <w:pPr>
        <w:autoSpaceDE w:val="0"/>
        <w:autoSpaceDN w:val="0"/>
        <w:adjustRightInd w:val="0"/>
        <w:spacing w:line="360" w:lineRule="auto"/>
        <w:rPr>
          <w:rFonts w:hint="eastAsia" w:ascii="仿宋" w:hAnsi="仿宋" w:eastAsia="仿宋" w:cs="仿宋"/>
          <w:color w:val="000000"/>
          <w:kern w:val="0"/>
          <w:sz w:val="28"/>
          <w:szCs w:val="28"/>
          <w:highlight w:val="none"/>
        </w:rPr>
      </w:pPr>
    </w:p>
    <w:p w14:paraId="671EBBAE">
      <w:pPr>
        <w:autoSpaceDE w:val="0"/>
        <w:autoSpaceDN w:val="0"/>
        <w:adjustRightInd w:val="0"/>
        <w:spacing w:line="360" w:lineRule="auto"/>
        <w:rPr>
          <w:rFonts w:hint="eastAsia" w:ascii="仿宋" w:hAnsi="仿宋" w:eastAsia="仿宋" w:cs="仿宋"/>
          <w:color w:val="000000"/>
          <w:kern w:val="0"/>
          <w:sz w:val="28"/>
          <w:szCs w:val="28"/>
          <w:highlight w:val="none"/>
        </w:rPr>
      </w:pPr>
    </w:p>
    <w:p w14:paraId="24025220">
      <w:pPr>
        <w:autoSpaceDE w:val="0"/>
        <w:autoSpaceDN w:val="0"/>
        <w:adjustRightInd w:val="0"/>
        <w:spacing w:line="360" w:lineRule="auto"/>
        <w:rPr>
          <w:rFonts w:hint="eastAsia" w:ascii="仿宋" w:hAnsi="仿宋" w:eastAsia="仿宋" w:cs="仿宋"/>
          <w:b/>
          <w:bCs/>
          <w:color w:val="000000"/>
          <w:kern w:val="0"/>
          <w:sz w:val="30"/>
          <w:szCs w:val="30"/>
          <w:highlight w:val="none"/>
          <w:lang w:val="zh-CN"/>
        </w:rPr>
      </w:pPr>
      <w:r>
        <w:rPr>
          <w:rFonts w:hint="eastAsia" w:ascii="仿宋" w:hAnsi="仿宋" w:eastAsia="仿宋" w:cs="仿宋"/>
          <w:b/>
          <w:bCs/>
          <w:color w:val="000000"/>
          <w:kern w:val="0"/>
          <w:sz w:val="30"/>
          <w:szCs w:val="30"/>
          <w:highlight w:val="none"/>
          <w:lang w:val="zh-CN"/>
        </w:rPr>
        <w:t>采购项目编号：</w:t>
      </w:r>
    </w:p>
    <w:p w14:paraId="38B0D688">
      <w:pPr>
        <w:autoSpaceDE w:val="0"/>
        <w:autoSpaceDN w:val="0"/>
        <w:adjustRightInd w:val="0"/>
        <w:spacing w:line="360" w:lineRule="auto"/>
        <w:rPr>
          <w:rFonts w:hint="eastAsia" w:ascii="仿宋" w:hAnsi="仿宋" w:eastAsia="仿宋" w:cs="仿宋"/>
          <w:b/>
          <w:bCs/>
          <w:color w:val="000000"/>
          <w:kern w:val="0"/>
          <w:sz w:val="30"/>
          <w:szCs w:val="30"/>
          <w:highlight w:val="none"/>
          <w:u w:val="single"/>
        </w:rPr>
      </w:pPr>
      <w:r>
        <w:rPr>
          <w:rFonts w:hint="eastAsia" w:ascii="仿宋" w:hAnsi="仿宋" w:eastAsia="仿宋" w:cs="仿宋"/>
          <w:b/>
          <w:bCs/>
          <w:color w:val="000000"/>
          <w:kern w:val="0"/>
          <w:sz w:val="30"/>
          <w:szCs w:val="30"/>
          <w:highlight w:val="none"/>
          <w:lang w:val="zh-CN"/>
        </w:rPr>
        <w:t>采购项目名称：</w:t>
      </w:r>
    </w:p>
    <w:p w14:paraId="64D57ED0">
      <w:pPr>
        <w:autoSpaceDE w:val="0"/>
        <w:autoSpaceDN w:val="0"/>
        <w:adjustRightInd w:val="0"/>
        <w:spacing w:line="360" w:lineRule="auto"/>
        <w:rPr>
          <w:rFonts w:hint="default" w:ascii="仿宋" w:hAnsi="仿宋" w:eastAsia="仿宋" w:cs="仿宋"/>
          <w:b/>
          <w:color w:val="000000"/>
          <w:kern w:val="0"/>
          <w:sz w:val="30"/>
          <w:szCs w:val="30"/>
          <w:highlight w:val="none"/>
          <w:u w:val="single"/>
          <w:lang w:val="en-US" w:eastAsia="zh-CN"/>
        </w:rPr>
      </w:pPr>
      <w:r>
        <w:rPr>
          <w:rFonts w:hint="eastAsia" w:ascii="仿宋" w:hAnsi="仿宋" w:eastAsia="仿宋" w:cs="仿宋"/>
          <w:b/>
          <w:bCs/>
          <w:color w:val="000000"/>
          <w:kern w:val="0"/>
          <w:sz w:val="30"/>
          <w:szCs w:val="30"/>
          <w:highlight w:val="none"/>
          <w:lang w:val="zh-CN"/>
        </w:rPr>
        <w:t>采购合同编号：</w:t>
      </w:r>
      <w:r>
        <w:rPr>
          <w:rFonts w:hint="eastAsia" w:ascii="仿宋" w:hAnsi="仿宋" w:eastAsia="仿宋" w:cs="仿宋"/>
          <w:b/>
          <w:bCs/>
          <w:color w:val="000000"/>
          <w:kern w:val="0"/>
          <w:sz w:val="30"/>
          <w:szCs w:val="30"/>
          <w:highlight w:val="none"/>
          <w:u w:val="none"/>
          <w:lang w:val="en-US" w:eastAsia="zh-CN"/>
        </w:rPr>
        <w:t xml:space="preserve">                             </w:t>
      </w:r>
    </w:p>
    <w:p w14:paraId="438D3745">
      <w:pPr>
        <w:autoSpaceDE w:val="0"/>
        <w:autoSpaceDN w:val="0"/>
        <w:adjustRightInd w:val="0"/>
        <w:spacing w:line="360" w:lineRule="auto"/>
        <w:rPr>
          <w:rFonts w:hint="eastAsia" w:ascii="仿宋" w:hAnsi="仿宋" w:eastAsia="仿宋" w:cs="仿宋"/>
          <w:b/>
          <w:bCs/>
          <w:color w:val="000000"/>
          <w:kern w:val="0"/>
          <w:sz w:val="30"/>
          <w:szCs w:val="30"/>
          <w:highlight w:val="none"/>
        </w:rPr>
      </w:pPr>
      <w:r>
        <w:rPr>
          <w:rFonts w:hint="eastAsia" w:ascii="仿宋" w:hAnsi="仿宋" w:eastAsia="仿宋" w:cs="仿宋"/>
          <w:b/>
          <w:bCs/>
          <w:color w:val="000000"/>
          <w:kern w:val="0"/>
          <w:sz w:val="30"/>
          <w:szCs w:val="30"/>
          <w:highlight w:val="none"/>
          <w:lang w:val="zh-CN"/>
        </w:rPr>
        <w:t>合同金额（人民币）：</w:t>
      </w:r>
      <w:r>
        <w:rPr>
          <w:rFonts w:hint="eastAsia" w:ascii="仿宋" w:hAnsi="仿宋" w:eastAsia="仿宋" w:cs="仿宋"/>
          <w:b/>
          <w:bCs/>
          <w:color w:val="000000"/>
          <w:kern w:val="0"/>
          <w:sz w:val="30"/>
          <w:szCs w:val="30"/>
          <w:highlight w:val="none"/>
          <w:u w:val="single"/>
        </w:rPr>
        <w:t xml:space="preserve">                           </w:t>
      </w:r>
    </w:p>
    <w:p w14:paraId="5E1B2AFE">
      <w:pPr>
        <w:autoSpaceDE w:val="0"/>
        <w:autoSpaceDN w:val="0"/>
        <w:adjustRightInd w:val="0"/>
        <w:spacing w:line="360" w:lineRule="auto"/>
        <w:rPr>
          <w:rFonts w:hint="eastAsia" w:ascii="仿宋" w:hAnsi="仿宋" w:eastAsia="仿宋" w:cs="仿宋"/>
          <w:b/>
          <w:bCs/>
          <w:color w:val="000000"/>
          <w:kern w:val="0"/>
          <w:sz w:val="30"/>
          <w:szCs w:val="30"/>
          <w:highlight w:val="none"/>
        </w:rPr>
      </w:pPr>
      <w:r>
        <w:rPr>
          <w:rFonts w:hint="eastAsia" w:ascii="仿宋" w:hAnsi="仿宋" w:eastAsia="仿宋" w:cs="仿宋"/>
          <w:b/>
          <w:bCs/>
          <w:color w:val="000000"/>
          <w:kern w:val="0"/>
          <w:sz w:val="30"/>
          <w:szCs w:val="30"/>
          <w:highlight w:val="none"/>
          <w:lang w:val="zh-CN"/>
        </w:rPr>
        <w:t>采购人（甲方）：</w:t>
      </w:r>
      <w:r>
        <w:rPr>
          <w:rFonts w:hint="eastAsia" w:ascii="仿宋" w:hAnsi="仿宋" w:eastAsia="仿宋" w:cs="仿宋"/>
          <w:b/>
          <w:bCs/>
          <w:color w:val="000000"/>
          <w:kern w:val="0"/>
          <w:sz w:val="30"/>
          <w:szCs w:val="30"/>
          <w:highlight w:val="none"/>
          <w:u w:val="single"/>
        </w:rPr>
        <w:t xml:space="preserve">                       </w:t>
      </w:r>
      <w:r>
        <w:rPr>
          <w:rFonts w:hint="eastAsia" w:ascii="仿宋" w:hAnsi="仿宋" w:eastAsia="仿宋" w:cs="仿宋"/>
          <w:b/>
          <w:bCs/>
          <w:color w:val="000000"/>
          <w:kern w:val="0"/>
          <w:sz w:val="30"/>
          <w:szCs w:val="30"/>
          <w:highlight w:val="none"/>
          <w:u w:val="single"/>
          <w:lang w:val="zh-CN"/>
        </w:rPr>
        <w:t>（盖章）</w:t>
      </w:r>
    </w:p>
    <w:p w14:paraId="0576C26F">
      <w:pPr>
        <w:autoSpaceDE w:val="0"/>
        <w:autoSpaceDN w:val="0"/>
        <w:adjustRightInd w:val="0"/>
        <w:spacing w:line="360" w:lineRule="auto"/>
        <w:rPr>
          <w:rFonts w:hint="eastAsia" w:ascii="仿宋" w:hAnsi="仿宋" w:eastAsia="仿宋" w:cs="仿宋"/>
          <w:b/>
          <w:bCs/>
          <w:color w:val="000000"/>
          <w:kern w:val="0"/>
          <w:sz w:val="30"/>
          <w:szCs w:val="30"/>
          <w:highlight w:val="none"/>
          <w:lang w:val="en-US" w:eastAsia="zh-CN"/>
        </w:rPr>
      </w:pPr>
      <w:r>
        <w:rPr>
          <w:rFonts w:hint="eastAsia" w:ascii="仿宋" w:hAnsi="仿宋" w:eastAsia="仿宋" w:cs="仿宋"/>
          <w:b/>
          <w:bCs/>
          <w:color w:val="000000"/>
          <w:kern w:val="0"/>
          <w:sz w:val="30"/>
          <w:szCs w:val="30"/>
          <w:highlight w:val="none"/>
          <w:lang w:val="en-US" w:eastAsia="zh-CN"/>
        </w:rPr>
        <w:t>成交</w:t>
      </w:r>
      <w:r>
        <w:rPr>
          <w:rFonts w:hint="eastAsia" w:ascii="仿宋" w:hAnsi="仿宋" w:eastAsia="仿宋" w:cs="仿宋"/>
          <w:b/>
          <w:bCs/>
          <w:color w:val="000000"/>
          <w:kern w:val="0"/>
          <w:sz w:val="30"/>
          <w:szCs w:val="30"/>
          <w:highlight w:val="none"/>
          <w:lang w:val="zh-CN"/>
        </w:rPr>
        <w:t>人（乙方）：</w:t>
      </w:r>
      <w:r>
        <w:rPr>
          <w:rFonts w:hint="eastAsia" w:ascii="仿宋" w:hAnsi="仿宋" w:eastAsia="仿宋" w:cs="仿宋"/>
          <w:b/>
          <w:bCs/>
          <w:color w:val="000000"/>
          <w:kern w:val="0"/>
          <w:sz w:val="30"/>
          <w:szCs w:val="30"/>
          <w:highlight w:val="none"/>
          <w:u w:val="single"/>
        </w:rPr>
        <w:t xml:space="preserve">                </w:t>
      </w:r>
      <w:r>
        <w:rPr>
          <w:rFonts w:hint="eastAsia" w:ascii="仿宋" w:hAnsi="仿宋" w:eastAsia="仿宋" w:cs="仿宋"/>
          <w:b/>
          <w:bCs/>
          <w:color w:val="000000"/>
          <w:kern w:val="0"/>
          <w:sz w:val="30"/>
          <w:szCs w:val="30"/>
          <w:highlight w:val="none"/>
          <w:u w:val="single"/>
          <w:lang w:val="en-US" w:eastAsia="zh-CN"/>
        </w:rPr>
        <w:t xml:space="preserve">       </w:t>
      </w:r>
      <w:r>
        <w:rPr>
          <w:rFonts w:hint="eastAsia" w:ascii="仿宋" w:hAnsi="仿宋" w:eastAsia="仿宋" w:cs="仿宋"/>
          <w:b/>
          <w:bCs/>
          <w:color w:val="000000"/>
          <w:kern w:val="0"/>
          <w:sz w:val="30"/>
          <w:szCs w:val="30"/>
          <w:highlight w:val="none"/>
          <w:u w:val="single"/>
          <w:lang w:val="zh-CN" w:eastAsia="zh-CN"/>
        </w:rPr>
        <w:t>（盖章）</w:t>
      </w:r>
    </w:p>
    <w:p w14:paraId="055CD79E">
      <w:pPr>
        <w:autoSpaceDE w:val="0"/>
        <w:autoSpaceDN w:val="0"/>
        <w:adjustRightInd w:val="0"/>
        <w:spacing w:line="360" w:lineRule="auto"/>
        <w:rPr>
          <w:rFonts w:hint="eastAsia" w:ascii="仿宋" w:hAnsi="仿宋" w:eastAsia="仿宋" w:cs="仿宋"/>
          <w:b/>
          <w:bCs/>
          <w:color w:val="000000"/>
          <w:kern w:val="0"/>
          <w:sz w:val="30"/>
          <w:szCs w:val="30"/>
          <w:highlight w:val="none"/>
        </w:rPr>
      </w:pPr>
      <w:r>
        <w:rPr>
          <w:rFonts w:hint="eastAsia" w:ascii="仿宋" w:hAnsi="仿宋" w:eastAsia="仿宋" w:cs="仿宋"/>
          <w:b/>
          <w:bCs/>
          <w:color w:val="000000"/>
          <w:kern w:val="0"/>
          <w:sz w:val="30"/>
          <w:szCs w:val="30"/>
          <w:highlight w:val="none"/>
          <w:lang w:val="zh-CN" w:eastAsia="zh-CN"/>
        </w:rPr>
        <w:t>采购日期：</w:t>
      </w:r>
    </w:p>
    <w:p w14:paraId="1C4D45B4">
      <w:pPr>
        <w:widowControl w:val="0"/>
        <w:snapToGrid w:val="0"/>
        <w:spacing w:after="120" w:line="400" w:lineRule="atLeast"/>
        <w:ind w:left="0" w:leftChars="0"/>
        <w:jc w:val="both"/>
        <w:rPr>
          <w:rFonts w:hint="eastAsia" w:ascii="仿宋" w:hAnsi="仿宋" w:eastAsia="仿宋" w:cs="仿宋"/>
          <w:kern w:val="2"/>
          <w:sz w:val="24"/>
          <w:szCs w:val="24"/>
          <w:highlight w:val="none"/>
          <w:lang w:val="en-US" w:eastAsia="zh-CN" w:bidi="ar-SA"/>
        </w:rPr>
      </w:pPr>
    </w:p>
    <w:p w14:paraId="46D11B34">
      <w:pPr>
        <w:keepNext/>
        <w:keepLines/>
        <w:widowControl w:val="0"/>
        <w:spacing w:before="260" w:after="260" w:line="400" w:lineRule="exact"/>
        <w:jc w:val="center"/>
        <w:outlineLvl w:val="1"/>
        <w:rPr>
          <w:rFonts w:hint="eastAsia" w:ascii="仿宋" w:hAnsi="仿宋" w:eastAsia="仿宋" w:cs="仿宋"/>
          <w:b/>
          <w:kern w:val="2"/>
          <w:sz w:val="32"/>
          <w:highlight w:val="none"/>
          <w:lang w:val="en-US" w:eastAsia="zh-CN" w:bidi="ar-SA"/>
        </w:rPr>
      </w:pPr>
      <w:bookmarkStart w:id="276" w:name="_Toc26234"/>
      <w:bookmarkStart w:id="277" w:name="_Toc256000022"/>
      <w:bookmarkStart w:id="278" w:name="_Toc8442"/>
      <w:r>
        <w:rPr>
          <w:rFonts w:hint="eastAsia" w:ascii="仿宋" w:hAnsi="仿宋" w:eastAsia="仿宋" w:cs="仿宋"/>
          <w:b/>
          <w:kern w:val="2"/>
          <w:sz w:val="32"/>
          <w:highlight w:val="none"/>
          <w:lang w:val="en-US" w:eastAsia="zh-CN" w:bidi="ar-SA"/>
        </w:rPr>
        <w:t>第一部分  合同协议书</w:t>
      </w:r>
      <w:bookmarkEnd w:id="276"/>
      <w:bookmarkEnd w:id="277"/>
      <w:bookmarkEnd w:id="278"/>
    </w:p>
    <w:p w14:paraId="59F0B88E">
      <w:pPr>
        <w:spacing w:line="400" w:lineRule="exact"/>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 xml:space="preserve">委托人（全称）：                                      </w:t>
      </w:r>
    </w:p>
    <w:p w14:paraId="667EA628">
      <w:pPr>
        <w:spacing w:line="400" w:lineRule="exact"/>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 xml:space="preserve">监理人（全称）：                                      </w:t>
      </w:r>
    </w:p>
    <w:p w14:paraId="091BA98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根据《中华人民共和国</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中华人民共和国建筑法》及其他有关法律、法规，遵循平等、自愿、公平和诚信的原则，双方就下述工程委托监理与相关服务事项协商一致，订立本合同。</w:t>
      </w:r>
    </w:p>
    <w:p w14:paraId="6C8D8829">
      <w:pPr>
        <w:spacing w:line="400" w:lineRule="exact"/>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一、工程概况</w:t>
      </w:r>
    </w:p>
    <w:p w14:paraId="3C0BFA5B">
      <w:pPr>
        <w:spacing w:line="40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 工程名称：</w:t>
      </w:r>
    </w:p>
    <w:p w14:paraId="0C6F438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工程地点：</w:t>
      </w:r>
    </w:p>
    <w:p w14:paraId="18CCD30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工程规模：</w:t>
      </w:r>
    </w:p>
    <w:p w14:paraId="1674190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 工程概算投资额或建筑安装工程费： </w:t>
      </w:r>
    </w:p>
    <w:p w14:paraId="03536EED">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二、词语限定</w:t>
      </w:r>
    </w:p>
    <w:p w14:paraId="186FA11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协议书中相关词语的含义与通用条件中的定义与解释相同。</w:t>
      </w:r>
    </w:p>
    <w:p w14:paraId="577AF50B">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三、组成本合同的文件</w:t>
      </w:r>
    </w:p>
    <w:p w14:paraId="1B3AF9C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协议书；</w:t>
      </w:r>
    </w:p>
    <w:p w14:paraId="61CFAF3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中标通知书（适用于招标工程）或委托书（适用于非招标工程）；</w:t>
      </w:r>
    </w:p>
    <w:p w14:paraId="53E3082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投标文件（适用于招标工程）或监理与相关服务建议书（适用于非招标工程）；</w:t>
      </w:r>
    </w:p>
    <w:p w14:paraId="18254E8F">
      <w:pPr>
        <w:spacing w:line="400" w:lineRule="exact"/>
        <w:rPr>
          <w:rFonts w:hint="eastAsia" w:ascii="仿宋" w:hAnsi="仿宋" w:eastAsia="仿宋" w:cs="仿宋"/>
          <w:sz w:val="24"/>
          <w:highlight w:val="none"/>
        </w:rPr>
      </w:pPr>
      <w:r>
        <w:rPr>
          <w:rFonts w:hint="eastAsia" w:ascii="仿宋" w:hAnsi="仿宋" w:eastAsia="仿宋" w:cs="仿宋"/>
          <w:sz w:val="24"/>
          <w:highlight w:val="none"/>
        </w:rPr>
        <w:t xml:space="preserve">    4. 专用条件；</w:t>
      </w:r>
    </w:p>
    <w:p w14:paraId="59AF897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 通用条件；</w:t>
      </w:r>
    </w:p>
    <w:p w14:paraId="454B206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 附录，即：</w:t>
      </w:r>
    </w:p>
    <w:p w14:paraId="465A7D7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附录A  相关服务的范围和内容</w:t>
      </w:r>
    </w:p>
    <w:p w14:paraId="580B280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附录B  委托人派遣的人员和提供的房屋、资料、设备</w:t>
      </w:r>
    </w:p>
    <w:p w14:paraId="3396CA2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本合同签订后，双方依法签订的补充协议也是本合同文件的组成部分。</w:t>
      </w:r>
    </w:p>
    <w:p w14:paraId="0138D768">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四、总监理工程师</w:t>
      </w:r>
    </w:p>
    <w:p w14:paraId="074493B2">
      <w:pPr>
        <w:spacing w:line="400" w:lineRule="exact"/>
        <w:ind w:left="480" w:leftChars="200"/>
        <w:rPr>
          <w:rFonts w:hint="eastAsia" w:ascii="仿宋" w:hAnsi="仿宋" w:eastAsia="仿宋" w:cs="仿宋"/>
          <w:sz w:val="24"/>
          <w:highlight w:val="none"/>
        </w:rPr>
      </w:pPr>
      <w:r>
        <w:rPr>
          <w:rFonts w:hint="eastAsia" w:ascii="仿宋" w:hAnsi="仿宋" w:eastAsia="仿宋" w:cs="仿宋"/>
          <w:sz w:val="24"/>
          <w:highlight w:val="none"/>
        </w:rPr>
        <w:t>总监理工程师姓名：，身份证号码： ，                     注册号： 。</w:t>
      </w:r>
    </w:p>
    <w:p w14:paraId="54897BF4">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五、签约酬金</w:t>
      </w:r>
    </w:p>
    <w:p w14:paraId="75EF6D5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签约酬金（大写）： （¥  ）。</w:t>
      </w:r>
    </w:p>
    <w:p w14:paraId="20F65B8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包括：</w:t>
      </w:r>
    </w:p>
    <w:p w14:paraId="28CE367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 监理酬金： </w:t>
      </w:r>
    </w:p>
    <w:p w14:paraId="2B6EEA6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 相关服务酬金： </w:t>
      </w:r>
    </w:p>
    <w:p w14:paraId="43EDE13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其中：</w:t>
      </w:r>
    </w:p>
    <w:p w14:paraId="1C6D92E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（1）勘察阶段服务酬金： </w:t>
      </w:r>
    </w:p>
    <w:p w14:paraId="379557D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（2）设计阶段服务酬金： </w:t>
      </w:r>
    </w:p>
    <w:p w14:paraId="35FCD9B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（3）保修阶段服务酬金： </w:t>
      </w:r>
    </w:p>
    <w:p w14:paraId="42378E5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（4）其他相关服务酬金： </w:t>
      </w:r>
    </w:p>
    <w:p w14:paraId="63C5D0B7">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六、期限</w:t>
      </w:r>
    </w:p>
    <w:p w14:paraId="17EFA4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监理期限：</w:t>
      </w:r>
      <w:r>
        <w:rPr>
          <w:rFonts w:hint="eastAsia" w:ascii="仿宋" w:hAnsi="仿宋" w:eastAsia="仿宋" w:cs="仿宋"/>
          <w:sz w:val="24"/>
          <w:highlight w:val="none"/>
          <w:u w:val="single"/>
        </w:rPr>
        <w:t>自       年   月   日始，至       年   月   日止</w:t>
      </w:r>
      <w:r>
        <w:rPr>
          <w:rFonts w:hint="eastAsia" w:ascii="仿宋" w:hAnsi="仿宋" w:eastAsia="仿宋" w:cs="仿宋"/>
          <w:sz w:val="24"/>
          <w:highlight w:val="none"/>
        </w:rPr>
        <w:t>。</w:t>
      </w:r>
    </w:p>
    <w:p w14:paraId="081BD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相关服务期限：</w:t>
      </w:r>
    </w:p>
    <w:p w14:paraId="4A92286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（1）勘察阶段服务期限</w:t>
      </w:r>
      <w:r>
        <w:rPr>
          <w:rFonts w:hint="eastAsia" w:ascii="仿宋" w:hAnsi="仿宋" w:eastAsia="仿宋" w:cs="仿宋"/>
          <w:sz w:val="24"/>
          <w:highlight w:val="none"/>
          <w:u w:val="single"/>
        </w:rPr>
        <w:t>自     年   月   日始，至     年   月   日止</w:t>
      </w:r>
      <w:r>
        <w:rPr>
          <w:rFonts w:hint="eastAsia" w:ascii="仿宋" w:hAnsi="仿宋" w:eastAsia="仿宋" w:cs="仿宋"/>
          <w:sz w:val="24"/>
          <w:highlight w:val="none"/>
        </w:rPr>
        <w:t>。</w:t>
      </w:r>
    </w:p>
    <w:p w14:paraId="5FE47D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（2）设计阶段服务期限</w:t>
      </w:r>
      <w:r>
        <w:rPr>
          <w:rFonts w:hint="eastAsia" w:ascii="仿宋" w:hAnsi="仿宋" w:eastAsia="仿宋" w:cs="仿宋"/>
          <w:sz w:val="24"/>
          <w:highlight w:val="none"/>
          <w:u w:val="single"/>
        </w:rPr>
        <w:t>自     年   月   日始，至     年   月   日止</w:t>
      </w:r>
      <w:r>
        <w:rPr>
          <w:rFonts w:hint="eastAsia" w:ascii="仿宋" w:hAnsi="仿宋" w:eastAsia="仿宋" w:cs="仿宋"/>
          <w:sz w:val="24"/>
          <w:highlight w:val="none"/>
        </w:rPr>
        <w:t>。</w:t>
      </w:r>
    </w:p>
    <w:p w14:paraId="70F125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（3）保修阶段服务期限</w:t>
      </w:r>
      <w:r>
        <w:rPr>
          <w:rFonts w:hint="eastAsia" w:ascii="仿宋" w:hAnsi="仿宋" w:eastAsia="仿宋" w:cs="仿宋"/>
          <w:sz w:val="24"/>
          <w:highlight w:val="none"/>
          <w:u w:val="single"/>
        </w:rPr>
        <w:t>自      年   月   日始，至      年   月   日</w:t>
      </w:r>
      <w:r>
        <w:rPr>
          <w:rFonts w:hint="eastAsia" w:ascii="仿宋" w:hAnsi="仿宋" w:eastAsia="仿宋" w:cs="仿宋"/>
          <w:sz w:val="24"/>
          <w:highlight w:val="none"/>
        </w:rPr>
        <w:t>止。</w:t>
      </w:r>
    </w:p>
    <w:p w14:paraId="57CF79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（4）其他相关服务期限自      年   月   日始，至     年   月   日止。</w:t>
      </w:r>
    </w:p>
    <w:p w14:paraId="7043D259">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七、双方承诺</w:t>
      </w:r>
    </w:p>
    <w:p w14:paraId="037F2B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监理人向委托人承诺，按照本合同约定提供监理与相关服务。</w:t>
      </w:r>
    </w:p>
    <w:p w14:paraId="5729EE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委托人向监理人承诺，按照本合同约定派遣相应的人员，提供房屋、资料、设备，并按本合同约定支付酬金。</w:t>
      </w:r>
    </w:p>
    <w:p w14:paraId="4E82E9B7">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八、合同订立</w:t>
      </w:r>
    </w:p>
    <w:p w14:paraId="4B80335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订立时间：</w:t>
      </w:r>
      <w:r>
        <w:rPr>
          <w:rFonts w:hint="eastAsia" w:ascii="仿宋" w:hAnsi="仿宋" w:eastAsia="仿宋" w:cs="仿宋"/>
          <w:sz w:val="24"/>
          <w:highlight w:val="none"/>
          <w:u w:val="single"/>
        </w:rPr>
        <w:t xml:space="preserve">          年       月      </w:t>
      </w:r>
      <w:r>
        <w:rPr>
          <w:rFonts w:hint="eastAsia" w:ascii="仿宋" w:hAnsi="仿宋" w:eastAsia="仿宋" w:cs="仿宋"/>
          <w:sz w:val="24"/>
          <w:highlight w:val="none"/>
        </w:rPr>
        <w:t>日。</w:t>
      </w:r>
    </w:p>
    <w:p w14:paraId="3E1362CC">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2. 订立地点：</w:t>
      </w:r>
    </w:p>
    <w:p w14:paraId="341D80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本合同一式份，具有同等法律效力，双方各执  份。</w:t>
      </w:r>
    </w:p>
    <w:p w14:paraId="62CAF246">
      <w:pPr>
        <w:spacing w:line="400" w:lineRule="exact"/>
        <w:ind w:firstLine="480" w:firstLineChars="200"/>
        <w:rPr>
          <w:rFonts w:hint="eastAsia" w:ascii="仿宋" w:hAnsi="仿宋" w:eastAsia="仿宋" w:cs="仿宋"/>
          <w:sz w:val="24"/>
          <w:highlight w:val="none"/>
        </w:rPr>
      </w:pPr>
    </w:p>
    <w:p w14:paraId="6DFF480B">
      <w:pPr>
        <w:spacing w:line="400" w:lineRule="exact"/>
        <w:rPr>
          <w:rFonts w:hint="eastAsia" w:ascii="仿宋" w:hAnsi="仿宋" w:eastAsia="仿宋" w:cs="仿宋"/>
          <w:sz w:val="24"/>
          <w:highlight w:val="none"/>
        </w:rPr>
      </w:pPr>
      <w:r>
        <w:rPr>
          <w:rFonts w:hint="eastAsia" w:ascii="仿宋" w:hAnsi="仿宋" w:eastAsia="仿宋" w:cs="仿宋"/>
          <w:sz w:val="24"/>
          <w:highlight w:val="none"/>
        </w:rPr>
        <w:t>委托人：   （盖章）                监理人：   （盖章）</w:t>
      </w:r>
    </w:p>
    <w:p w14:paraId="452C365A">
      <w:pPr>
        <w:spacing w:line="400" w:lineRule="exact"/>
        <w:rPr>
          <w:rFonts w:hint="eastAsia" w:ascii="仿宋" w:hAnsi="仿宋" w:eastAsia="仿宋" w:cs="仿宋"/>
          <w:sz w:val="24"/>
          <w:highlight w:val="none"/>
        </w:rPr>
      </w:pPr>
      <w:r>
        <w:rPr>
          <w:rFonts w:hint="eastAsia" w:ascii="仿宋" w:hAnsi="仿宋" w:eastAsia="仿宋" w:cs="仿宋"/>
          <w:sz w:val="24"/>
          <w:highlight w:val="none"/>
        </w:rPr>
        <w:t>住所：                             住所：</w:t>
      </w:r>
    </w:p>
    <w:p w14:paraId="001C517B">
      <w:pPr>
        <w:spacing w:line="400" w:lineRule="exact"/>
        <w:rPr>
          <w:rFonts w:hint="eastAsia" w:ascii="仿宋" w:hAnsi="仿宋" w:eastAsia="仿宋" w:cs="仿宋"/>
          <w:sz w:val="24"/>
          <w:highlight w:val="none"/>
        </w:rPr>
      </w:pPr>
      <w:r>
        <w:rPr>
          <w:rFonts w:hint="eastAsia" w:ascii="仿宋" w:hAnsi="仿宋" w:eastAsia="仿宋" w:cs="仿宋"/>
          <w:sz w:val="24"/>
          <w:highlight w:val="none"/>
        </w:rPr>
        <w:t>邮政编码：                         邮政编码：</w:t>
      </w:r>
    </w:p>
    <w:p w14:paraId="5E1FF8C5">
      <w:pPr>
        <w:spacing w:line="400" w:lineRule="exact"/>
        <w:rPr>
          <w:rFonts w:hint="eastAsia" w:ascii="仿宋" w:hAnsi="仿宋" w:eastAsia="仿宋" w:cs="仿宋"/>
          <w:sz w:val="24"/>
          <w:highlight w:val="none"/>
        </w:rPr>
      </w:pPr>
      <w:r>
        <w:rPr>
          <w:rFonts w:hint="eastAsia" w:ascii="仿宋" w:hAnsi="仿宋" w:eastAsia="仿宋" w:cs="仿宋"/>
          <w:sz w:val="24"/>
          <w:highlight w:val="none"/>
        </w:rPr>
        <w:t>法定代表人或其授权                 法定代表人或其授权</w:t>
      </w:r>
    </w:p>
    <w:p w14:paraId="06CFA3AD">
      <w:pPr>
        <w:spacing w:line="400" w:lineRule="exact"/>
        <w:rPr>
          <w:rFonts w:hint="eastAsia" w:ascii="仿宋" w:hAnsi="仿宋" w:eastAsia="仿宋" w:cs="仿宋"/>
          <w:sz w:val="24"/>
          <w:highlight w:val="none"/>
        </w:rPr>
      </w:pPr>
      <w:r>
        <w:rPr>
          <w:rFonts w:hint="eastAsia" w:ascii="仿宋" w:hAnsi="仿宋" w:eastAsia="仿宋" w:cs="仿宋"/>
          <w:sz w:val="24"/>
          <w:highlight w:val="none"/>
        </w:rPr>
        <w:t>的代理人：（签字）                 的代理人：（签字）</w:t>
      </w:r>
    </w:p>
    <w:p w14:paraId="170E8DCC">
      <w:pPr>
        <w:spacing w:line="400" w:lineRule="exact"/>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2E2C0505">
      <w:pPr>
        <w:spacing w:line="400" w:lineRule="exact"/>
        <w:rPr>
          <w:rFonts w:hint="eastAsia" w:ascii="仿宋" w:hAnsi="仿宋" w:eastAsia="仿宋" w:cs="仿宋"/>
          <w:sz w:val="24"/>
          <w:highlight w:val="none"/>
        </w:rPr>
      </w:pPr>
      <w:r>
        <w:rPr>
          <w:rFonts w:hint="eastAsia" w:ascii="仿宋" w:hAnsi="仿宋" w:eastAsia="仿宋" w:cs="仿宋"/>
          <w:sz w:val="24"/>
          <w:highlight w:val="none"/>
        </w:rPr>
        <w:t>账号：                             账号：</w:t>
      </w:r>
    </w:p>
    <w:p w14:paraId="7191DA23">
      <w:pPr>
        <w:spacing w:line="400" w:lineRule="exact"/>
        <w:rPr>
          <w:rFonts w:hint="eastAsia" w:ascii="仿宋" w:hAnsi="仿宋" w:eastAsia="仿宋" w:cs="仿宋"/>
          <w:sz w:val="24"/>
          <w:highlight w:val="none"/>
        </w:rPr>
      </w:pPr>
      <w:r>
        <w:rPr>
          <w:rFonts w:hint="eastAsia" w:ascii="仿宋" w:hAnsi="仿宋" w:eastAsia="仿宋" w:cs="仿宋"/>
          <w:sz w:val="24"/>
          <w:highlight w:val="none"/>
        </w:rPr>
        <w:t>电话：                             电话：</w:t>
      </w:r>
    </w:p>
    <w:p w14:paraId="3CE35112">
      <w:pPr>
        <w:spacing w:line="400" w:lineRule="exact"/>
        <w:rPr>
          <w:rFonts w:hint="eastAsia" w:ascii="仿宋" w:hAnsi="仿宋" w:eastAsia="仿宋" w:cs="仿宋"/>
          <w:sz w:val="24"/>
          <w:highlight w:val="none"/>
        </w:rPr>
      </w:pPr>
      <w:r>
        <w:rPr>
          <w:rFonts w:hint="eastAsia" w:ascii="仿宋" w:hAnsi="仿宋" w:eastAsia="仿宋" w:cs="仿宋"/>
          <w:sz w:val="24"/>
          <w:highlight w:val="none"/>
        </w:rPr>
        <w:t>传真：                             传真：</w:t>
      </w:r>
    </w:p>
    <w:p w14:paraId="34A62860">
      <w:pPr>
        <w:pStyle w:val="30"/>
        <w:rPr>
          <w:rFonts w:hint="eastAsia" w:ascii="仿宋" w:hAnsi="仿宋" w:eastAsia="仿宋" w:cs="仿宋"/>
          <w:sz w:val="24"/>
          <w:highlight w:val="none"/>
        </w:rPr>
      </w:pPr>
    </w:p>
    <w:p w14:paraId="78008481">
      <w:pPr>
        <w:pStyle w:val="25"/>
        <w:spacing w:line="24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招标代理机构：</w:t>
      </w:r>
      <w:r>
        <w:rPr>
          <w:rFonts w:hint="eastAsia" w:ascii="仿宋" w:hAnsi="仿宋" w:eastAsia="仿宋" w:cs="仿宋"/>
          <w:sz w:val="24"/>
          <w:highlight w:val="none"/>
          <w:lang w:val="en-US" w:eastAsia="zh-CN"/>
        </w:rPr>
        <w:t>青海科越全过程工程管理有限责任公司</w:t>
      </w:r>
    </w:p>
    <w:p w14:paraId="1DF4FDC2">
      <w:pPr>
        <w:pStyle w:val="25"/>
        <w:spacing w:line="24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经办人：</w:t>
      </w:r>
    </w:p>
    <w:p w14:paraId="624CCA4E">
      <w:pPr>
        <w:pStyle w:val="25"/>
        <w:spacing w:line="24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日期：</w:t>
      </w:r>
    </w:p>
    <w:p w14:paraId="2FD6834C">
      <w:pPr>
        <w:keepNext/>
        <w:keepLines/>
        <w:widowControl w:val="0"/>
        <w:spacing w:before="260" w:after="260" w:line="400" w:lineRule="exact"/>
        <w:jc w:val="center"/>
        <w:outlineLvl w:val="1"/>
        <w:rPr>
          <w:rFonts w:hint="eastAsia" w:ascii="仿宋" w:hAnsi="仿宋" w:eastAsia="仿宋" w:cs="仿宋"/>
          <w:b/>
          <w:kern w:val="2"/>
          <w:sz w:val="24"/>
          <w:szCs w:val="24"/>
          <w:highlight w:val="none"/>
          <w:lang w:val="en-US" w:eastAsia="zh-CN" w:bidi="ar-SA"/>
        </w:rPr>
      </w:pPr>
      <w:bookmarkStart w:id="279" w:name="_Toc6943"/>
      <w:bookmarkStart w:id="280" w:name="_Toc2837"/>
      <w:r>
        <w:rPr>
          <w:rFonts w:hint="eastAsia" w:ascii="仿宋" w:hAnsi="仿宋" w:eastAsia="仿宋" w:cs="仿宋"/>
          <w:b/>
          <w:kern w:val="2"/>
          <w:sz w:val="24"/>
          <w:szCs w:val="24"/>
          <w:highlight w:val="none"/>
          <w:lang w:val="en-US" w:eastAsia="zh-CN" w:bidi="ar-SA"/>
        </w:rPr>
        <w:t>第二部分   通用合同条款</w:t>
      </w:r>
      <w:bookmarkEnd w:id="279"/>
      <w:bookmarkEnd w:id="280"/>
    </w:p>
    <w:p w14:paraId="73D9A82F">
      <w:pPr>
        <w:rPr>
          <w:rFonts w:hint="eastAsia" w:ascii="仿宋" w:hAnsi="仿宋" w:eastAsia="仿宋" w:cs="仿宋"/>
          <w:sz w:val="24"/>
          <w:szCs w:val="32"/>
          <w:highlight w:val="none"/>
        </w:rPr>
      </w:pPr>
      <w:bookmarkStart w:id="281" w:name="_Toc28887"/>
      <w:bookmarkStart w:id="282" w:name="_Toc256000024"/>
      <w:r>
        <w:rPr>
          <w:rFonts w:hint="eastAsia" w:ascii="仿宋" w:hAnsi="仿宋" w:eastAsia="仿宋" w:cs="仿宋"/>
          <w:sz w:val="24"/>
          <w:szCs w:val="32"/>
          <w:highlight w:val="none"/>
        </w:rPr>
        <w:t>1. 一般约定</w:t>
      </w:r>
      <w:bookmarkEnd w:id="281"/>
      <w:bookmarkEnd w:id="282"/>
    </w:p>
    <w:p w14:paraId="523074A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 词语定义</w:t>
      </w:r>
    </w:p>
    <w:p w14:paraId="0FBDAE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通用合同条款、专用合同条款中的下列词语应具有本款所赋予的含义。</w:t>
      </w:r>
    </w:p>
    <w:p w14:paraId="0567F69E">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1.1.1 合同</w:t>
      </w:r>
    </w:p>
    <w:p w14:paraId="6AFA37F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1.1.1.1 合同文件（或称合同）：指合同协议书、中标通知书、投标函和投标函附录、专用合同条款、通用合同条款、委托人要求、监理报酬清单、监理大纲，以及其他构成合同组成部分的文件。</w:t>
      </w:r>
    </w:p>
    <w:p w14:paraId="22C372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1.1.1.2 合同协议书：指委托人和监理人共同签署的合同协议书。</w:t>
      </w:r>
    </w:p>
    <w:p w14:paraId="088733B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1.1.1.3 中标通知书：指委托人通知监理人中标的函件。</w:t>
      </w:r>
    </w:p>
    <w:p w14:paraId="655A72A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1.1.1.4 投标函：指由监理人填写并签署的，名为“投标函”的函件。</w:t>
      </w:r>
    </w:p>
    <w:p w14:paraId="55AEFD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1.1.1.5 投标函附录：指由监理人填写并签署的、附在投标函后，名为“投标函附录”的函件。</w:t>
      </w:r>
    </w:p>
    <w:p w14:paraId="6DAEFB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1.1.1.6 委托人要求：指合同文件中名为“委托人要求”的文件。</w:t>
      </w:r>
    </w:p>
    <w:p w14:paraId="6A90710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1.1.1.7 监理大纲：指监理人在投标文件中的监理大纲。</w:t>
      </w:r>
    </w:p>
    <w:p w14:paraId="0BA3E2B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1.1.1.8 监理报酬清单：指监理人投标文件中的监理报酬清单。</w:t>
      </w:r>
    </w:p>
    <w:p w14:paraId="7F7DC03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1.1.1.9 其他合同文件：指经合同双方当事人确认构成合同文件的其他文件。</w:t>
      </w:r>
    </w:p>
    <w:p w14:paraId="7F8D3A1B">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1.1.2 合同当事人和人员</w:t>
      </w:r>
    </w:p>
    <w:p w14:paraId="1148CD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1.1.2.1 合同当事人：指委托人和（或）监理人。</w:t>
      </w:r>
    </w:p>
    <w:p w14:paraId="17DF5D3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1.1.2.2 委托人：指与监理人签订合同协议书的当事人，及其合法继承人。</w:t>
      </w:r>
    </w:p>
    <w:p w14:paraId="5A7806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1.1.2.3 监理人：指与委托人签订合同协议书的当事人，及其合法继承人。</w:t>
      </w:r>
    </w:p>
    <w:p w14:paraId="1EA5FF7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1.1.2.4 委托人代表：指由委托人任命，并在授权范围和期限内代表委托人行使权利和履行义务的全权负责人。</w:t>
      </w:r>
    </w:p>
    <w:p w14:paraId="5F5BB3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1.1.2.5 总监理工程师：指由监理人任命，代表监理人行使权利和履行义务的全权负责人。</w:t>
      </w:r>
    </w:p>
    <w:p w14:paraId="24E6E3C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1.1.2.6 承包人：指在本工程监理范围内，与委托人签订勘察、设计、施工承包合同的当事人。</w:t>
      </w:r>
    </w:p>
    <w:p w14:paraId="40428557">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1.1.3 工程和监理</w:t>
      </w:r>
    </w:p>
    <w:p w14:paraId="3E535AD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1.1.3.1 工程：指永久工程和（或）临时工程。</w:t>
      </w:r>
    </w:p>
    <w:p w14:paraId="44291E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1.1.3.2 监理服务：指监理人接受委托人的委托，依照法律、规范标准和监理合同等，对建设工程勘察、设计或施工等阶段进行质量控制、进度控制、投资控制、合同管理、信息管理、组织协调和安全监理、环保监理的服务活动。</w:t>
      </w:r>
    </w:p>
    <w:p w14:paraId="50DFDAB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1.1.3.3 监理资料：是委托人按合同约定向监理人提供的，用于完成监理范围与内容所需要的资料。</w:t>
      </w:r>
    </w:p>
    <w:p w14:paraId="20F399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1.1.3.4 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3EEC3BFC">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1.1.4 日期</w:t>
      </w:r>
    </w:p>
    <w:p w14:paraId="7B28B2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1.1.4.1 开始监理通知：指委托人按第6.1款通知监理人开始监理的函件。</w:t>
      </w:r>
    </w:p>
    <w:p w14:paraId="194881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1.1.4.2 开始监理日期：指委托人按第6.1款发出的开始监理通知中写明的开始监理日期。</w:t>
      </w:r>
    </w:p>
    <w:p w14:paraId="791BBC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1.1.4.3 监理服务期限：指监理人在投标函中承诺的完成合同监理服务所需的期限，包括按第6.2款和第6.3.2项约定所作的调整。</w:t>
      </w:r>
    </w:p>
    <w:p w14:paraId="202553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1.1.4.4 完成监理日期：指第1.1.4.3目约定监理服务期限届满时的日期。</w:t>
      </w:r>
    </w:p>
    <w:p w14:paraId="30499F4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1.1.4.5 基准日：指投标截止时间前28天的日期。</w:t>
      </w:r>
    </w:p>
    <w:p w14:paraId="561048A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1.1.4.6 天：除特别指明外，指日历天。合同中按天计算时间的，开始当天不计入，从次日开始计算。期限最后一天的截止时间为当天24:00。</w:t>
      </w:r>
    </w:p>
    <w:p w14:paraId="11C4AE1A">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1.1.5 合同价格和费用</w:t>
      </w:r>
    </w:p>
    <w:p w14:paraId="0A200E1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1.1.5.1 签约合同价：指签订合同时合同协议书中写明的监理报酬总金额。</w:t>
      </w:r>
    </w:p>
    <w:p w14:paraId="77807F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1.1.5.2 合同价格：指监理人按合同约定完成了全部监理工作后，委托人应付给监理人的金额，包括在履行合同过程中按合同约定进行的变更和调整。</w:t>
      </w:r>
    </w:p>
    <w:p w14:paraId="3BB2E54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1.1.5.3 费用：指为履行合同所发生的或将要发生的所有合理开支，包括管理费和应分摊的其他费用，但不包括利润。</w:t>
      </w:r>
    </w:p>
    <w:p w14:paraId="54D83EA7">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1.1.6 其他</w:t>
      </w:r>
    </w:p>
    <w:p w14:paraId="2952451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1.1.6.1 书面形式：指合同文件、信件和数据电文（包括电报、电传、传真、电子数据交换和电子邮件）等可以有形地表现所载内容的形式。</w:t>
      </w:r>
    </w:p>
    <w:p w14:paraId="0B8B826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1.2 语言文字</w:t>
      </w:r>
    </w:p>
    <w:p w14:paraId="7A3DE4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合同使用的语言文字为中文。专用术语使用外文的，应附有中文注释。</w:t>
      </w:r>
    </w:p>
    <w:p w14:paraId="4B8286F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 适用法律</w:t>
      </w:r>
    </w:p>
    <w:p w14:paraId="1265FF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适用于合同的法律包括中华人民共和国法律、行政法规、部门规章，以及工程所在地的地方法规、自治条例、单行条例和地方政府规章。</w:t>
      </w:r>
    </w:p>
    <w:p w14:paraId="7D602D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本合同适用的其他规范性文件，可在专用合同条款中约定。</w:t>
      </w:r>
    </w:p>
    <w:p w14:paraId="6DB374FD">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 合同文件的优先顺序</w:t>
      </w:r>
    </w:p>
    <w:p w14:paraId="2A4F29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组成合同的各项文件应互相解释，互为说明。除专用合同条款另有约定外，解释合同文件的优先顺序如下：</w:t>
      </w:r>
    </w:p>
    <w:p w14:paraId="42AD8F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（1）合同协议书；</w:t>
      </w:r>
    </w:p>
    <w:p w14:paraId="3E8323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（2）中标通知书；</w:t>
      </w:r>
    </w:p>
    <w:p w14:paraId="073AED1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（3）投标函及投标函附录；</w:t>
      </w:r>
    </w:p>
    <w:p w14:paraId="3C451A0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（4）专用合同条款；</w:t>
      </w:r>
    </w:p>
    <w:p w14:paraId="619AAF5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（5）通用合同条款；</w:t>
      </w:r>
    </w:p>
    <w:p w14:paraId="4DF036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（6）委托人要求；</w:t>
      </w:r>
    </w:p>
    <w:p w14:paraId="0B9B871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（7）监理报酬清单；</w:t>
      </w:r>
    </w:p>
    <w:p w14:paraId="50F83B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（8）监理大纲；</w:t>
      </w:r>
    </w:p>
    <w:p w14:paraId="755246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（9）其他合同文件。</w:t>
      </w:r>
    </w:p>
    <w:p w14:paraId="12AC608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 合同协议书</w:t>
      </w:r>
    </w:p>
    <w:p w14:paraId="4FE3B09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监理人按中标通知书规定的时间与委托人签订合同协议书。除法律另有规定或合同另有约定外，委托人和监理人的法定代表人或其委托代理人在合同协议书上签字并盖单位章后，合同生效。</w:t>
      </w:r>
    </w:p>
    <w:p w14:paraId="09F7AF6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 文件的提供和照管</w:t>
      </w:r>
    </w:p>
    <w:p w14:paraId="606D12B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1.6.1 监理文件的提供</w:t>
      </w:r>
    </w:p>
    <w:p w14:paraId="4498F66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除专用合同条款另有约定外，监理人应在合理的期限内按照合同约定的数量向委托人提供监理文件。合同约定监理文件应经委托人批复的，委托人应当在合同约定的期限内批复或提出修改意见。</w:t>
      </w:r>
    </w:p>
    <w:p w14:paraId="7AEA58AB">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1.6.2 委托人提供的文件</w:t>
      </w:r>
    </w:p>
    <w:p w14:paraId="3C4C9CF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按专用合同条款约定由委托人提供的文件，包括规范标准、承包合同、勘察文件、设计文件等，委托人应按约定的数量和期限交给监理人。由于委托人未按时提供文件造成监理服务期限延误的，按第6.2款约定执行。</w:t>
      </w:r>
    </w:p>
    <w:p w14:paraId="36279D5E">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1.6.3 文件错误的通知</w:t>
      </w:r>
    </w:p>
    <w:p w14:paraId="0E59AB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任何一方当事人发现文件中存在的明显错误或疏忽，均应及时通知对方当事人，并应立即采取适当的措施防止损失扩大。</w:t>
      </w:r>
    </w:p>
    <w:p w14:paraId="3F35EFA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1.6.4 文件的照管</w:t>
      </w:r>
    </w:p>
    <w:p w14:paraId="7104ED3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监理人应在现场保留一份合同文件、监理文件、委托人要求中的所列文件</w:t>
      </w:r>
      <w:r>
        <w:rPr>
          <w:rFonts w:hint="eastAsia" w:ascii="仿宋" w:hAnsi="仿宋" w:eastAsia="仿宋" w:cs="仿宋"/>
          <w:sz w:val="24"/>
          <w:highlight w:val="none"/>
          <w:lang w:eastAsia="zh-CN"/>
        </w:rPr>
        <w:t>，以及</w:t>
      </w:r>
      <w:r>
        <w:rPr>
          <w:rFonts w:hint="eastAsia" w:ascii="仿宋" w:hAnsi="仿宋" w:eastAsia="仿宋" w:cs="仿宋"/>
          <w:sz w:val="24"/>
          <w:highlight w:val="none"/>
        </w:rPr>
        <w:t>其他根据合同收发的往来信函，以备委托人和行政管理部门查阅使用。</w:t>
      </w:r>
    </w:p>
    <w:p w14:paraId="21A0D0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 联络</w:t>
      </w:r>
    </w:p>
    <w:p w14:paraId="3624500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与合同有关的通知、批准、证明、证书、指示、要求、请求、同意、意见、确定和决定等，均应采用书面形式。</w:t>
      </w:r>
    </w:p>
    <w:p w14:paraId="0DADC8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上述通知、批准、证明、证书、指示、要求、请求、同意、意见、确定和决定等来往函件，均应在合同约定的期限内送达指定的地点和指定的接收人，并办理签收手续。</w:t>
      </w:r>
    </w:p>
    <w:p w14:paraId="7682C39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 转让</w:t>
      </w:r>
    </w:p>
    <w:p w14:paraId="3F126E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除专用合同条款另有约定外，未经对方当事人同意，一方当事人不得将合同权利全部或部分转让给第三人，也不得全部或部分转移合同义务。</w:t>
      </w:r>
    </w:p>
    <w:p w14:paraId="7B4A6F20">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 严禁贿赂</w:t>
      </w:r>
    </w:p>
    <w:p w14:paraId="1CA903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合同双方当事人不得以贿赂或变相贿赂的方式，谋取不当利益或损害对方权益。因贿赂造成对方当事人损失的，行为人应当赔偿损失，并承担相应的法律责任。</w:t>
      </w:r>
    </w:p>
    <w:p w14:paraId="3621F4A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1.10 知识产权</w:t>
      </w:r>
    </w:p>
    <w:p w14:paraId="197321F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1.10.1除专用合同条款另有约定外，监理人完成的监理工作成果，除署名权以外的著作权和其他知识产权均归委托人享有。</w:t>
      </w:r>
    </w:p>
    <w:p w14:paraId="08E5F2D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1.10.2 监理人从事监理活动时不得侵犯他人的知识产权。因侵犯专利权或其他知识产权所引起的责任，由监理人自行承担。因委托人提供的监理资料导致侵权的，由委托人承担责任。</w:t>
      </w:r>
    </w:p>
    <w:p w14:paraId="58ADE34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1.10.3 监理人在投标文件中采用专利技术、专有技术的，相应的使用费视为已包含在投标报价之中。</w:t>
      </w:r>
    </w:p>
    <w:p w14:paraId="1766E85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1.11 文件及信息的保密</w:t>
      </w:r>
    </w:p>
    <w:p w14:paraId="699786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未经对方同意，任何一方当事人不得将有关文件、技术秘密、需要保密的资料和信息泄露给他人或公开发表与引用。</w:t>
      </w:r>
    </w:p>
    <w:p w14:paraId="112CCA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1.12 委托人要求</w:t>
      </w:r>
    </w:p>
    <w:p w14:paraId="1CE34B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1.12.1 监理人应认真阅读、复核委托人要求，发现错误的，应及时书面通知委托人。无论是否存在错误，委托人均有权修改委托人要求，并在修改后3日内通知监理人。除专用合同条款另有约定外，由此导致监理人费用增加和(或)周期延误的，委托人应当相应地增加费用和(或)延长周期。</w:t>
      </w:r>
    </w:p>
    <w:p w14:paraId="2F30EEF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1.12.2 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14:paraId="1D02A9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1.12.3 委托人要求采用国外规范和标准进行监理时，应由委托人负责提供该规范和标准的外国文本和中文译本，提供的时间、份数和其他要求在专用合同条款中约定。</w:t>
      </w:r>
    </w:p>
    <w:p w14:paraId="567E5FA4">
      <w:pPr>
        <w:rPr>
          <w:rFonts w:hint="eastAsia" w:ascii="仿宋" w:hAnsi="仿宋" w:eastAsia="仿宋" w:cs="仿宋"/>
          <w:sz w:val="24"/>
          <w:szCs w:val="32"/>
          <w:highlight w:val="none"/>
        </w:rPr>
      </w:pPr>
      <w:bookmarkStart w:id="283" w:name="_Toc256000025"/>
      <w:bookmarkStart w:id="284" w:name="_Toc22566"/>
      <w:r>
        <w:rPr>
          <w:rFonts w:hint="eastAsia" w:ascii="仿宋" w:hAnsi="仿宋" w:eastAsia="仿宋" w:cs="仿宋"/>
          <w:sz w:val="24"/>
          <w:szCs w:val="32"/>
          <w:highlight w:val="none"/>
        </w:rPr>
        <w:t>2. 委托人义务</w:t>
      </w:r>
      <w:bookmarkEnd w:id="283"/>
      <w:bookmarkEnd w:id="284"/>
    </w:p>
    <w:p w14:paraId="4918C32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 遵守法律</w:t>
      </w:r>
    </w:p>
    <w:p w14:paraId="2F8E58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委托人在履行合同过程中应遵守法律，并保证监理人免于承担因委托人违反法律而引起的任何责任。</w:t>
      </w:r>
    </w:p>
    <w:p w14:paraId="4594CFB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 发出开始监理通知</w:t>
      </w:r>
    </w:p>
    <w:p w14:paraId="1B02BD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委托人应按第6.1款的约定向监理人发出开始监理通知。</w:t>
      </w:r>
    </w:p>
    <w:p w14:paraId="4739BC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除专用合同条款另有约定外，委托人应为监理人的现场人员，在施工期间提供办公房间、办公桌椅、互联网接口、冷暖设施、生活设施、进出现场交通服务和其他便利条件。</w:t>
      </w:r>
    </w:p>
    <w:p w14:paraId="1A8CBC2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 办理证件和批件</w:t>
      </w:r>
    </w:p>
    <w:p w14:paraId="26E3D8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法律规定和（或）合同约定由委托人负责办理的工程建设项目必须履行的各类审批、核准或备案手续，委托人应当按时办理，监理人应给予必要的协助。</w:t>
      </w:r>
    </w:p>
    <w:p w14:paraId="7A089F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法律规定和（或）合同约定由监理人负责办理的监理所需的证件和批件，委托人应给予必要的协助。</w:t>
      </w:r>
    </w:p>
    <w:p w14:paraId="1384ABA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 支付合同价款</w:t>
      </w:r>
    </w:p>
    <w:p w14:paraId="3757918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委托人应按合同约定向监理人及时支付合同价款。</w:t>
      </w:r>
    </w:p>
    <w:p w14:paraId="268B4E20">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 提供监理资料</w:t>
      </w:r>
    </w:p>
    <w:p w14:paraId="68DCB07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委托人应按第1.6.2项的约定向监理人提供监理资料。</w:t>
      </w:r>
    </w:p>
    <w:p w14:paraId="6504FC1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2.6 其他义务</w:t>
      </w:r>
    </w:p>
    <w:p w14:paraId="6527FB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委托人应履行合同约定的其他义务。</w:t>
      </w:r>
    </w:p>
    <w:p w14:paraId="7DDDA8DA">
      <w:pPr>
        <w:rPr>
          <w:rFonts w:hint="eastAsia" w:ascii="仿宋" w:hAnsi="仿宋" w:eastAsia="仿宋" w:cs="仿宋"/>
          <w:sz w:val="24"/>
          <w:szCs w:val="32"/>
          <w:highlight w:val="none"/>
        </w:rPr>
      </w:pPr>
      <w:bookmarkStart w:id="285" w:name="_Toc2564"/>
      <w:bookmarkStart w:id="286" w:name="_Toc256000026"/>
      <w:r>
        <w:rPr>
          <w:rFonts w:hint="eastAsia" w:ascii="仿宋" w:hAnsi="仿宋" w:eastAsia="仿宋" w:cs="仿宋"/>
          <w:sz w:val="24"/>
          <w:szCs w:val="32"/>
          <w:highlight w:val="none"/>
        </w:rPr>
        <w:t>3. 委托人管理</w:t>
      </w:r>
      <w:bookmarkEnd w:id="285"/>
      <w:bookmarkEnd w:id="286"/>
    </w:p>
    <w:p w14:paraId="399DF857">
      <w:pPr>
        <w:spacing w:line="360" w:lineRule="auto"/>
        <w:rPr>
          <w:rFonts w:hint="eastAsia" w:ascii="仿宋" w:hAnsi="仿宋" w:eastAsia="仿宋" w:cs="仿宋"/>
          <w:sz w:val="24"/>
          <w:highlight w:val="none"/>
        </w:rPr>
      </w:pPr>
      <w:r>
        <w:rPr>
          <w:rFonts w:hint="eastAsia" w:ascii="仿宋" w:hAnsi="仿宋" w:eastAsia="仿宋" w:cs="仿宋"/>
          <w:sz w:val="24"/>
          <w:highlight w:val="none"/>
        </w:rPr>
        <w:t>3.1 委托人代表</w:t>
      </w:r>
    </w:p>
    <w:p w14:paraId="0BE176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3.1.1除专用合同条款另有约定外，委托人应在合同签订后14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7DC640F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14:paraId="3002DA9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3.1.3 委托人更换委托人代表的，应提前14天将更换人员的姓名、职务、联系方式、授权范围和授权期限书面通知监理人。委托人代表超过2天不能履行职责的，应委派代表代行其职责，并通知监理人。</w:t>
      </w:r>
    </w:p>
    <w:p w14:paraId="10CE306F">
      <w:pPr>
        <w:spacing w:line="360" w:lineRule="auto"/>
        <w:rPr>
          <w:rFonts w:hint="eastAsia" w:ascii="仿宋" w:hAnsi="仿宋" w:eastAsia="仿宋" w:cs="仿宋"/>
          <w:sz w:val="24"/>
          <w:highlight w:val="none"/>
        </w:rPr>
      </w:pPr>
      <w:r>
        <w:rPr>
          <w:rFonts w:hint="eastAsia" w:ascii="仿宋" w:hAnsi="仿宋" w:eastAsia="仿宋" w:cs="仿宋"/>
          <w:sz w:val="24"/>
          <w:highlight w:val="none"/>
        </w:rPr>
        <w:t>3.2 委托人的指示</w:t>
      </w:r>
    </w:p>
    <w:p w14:paraId="77504DC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 委托人应按合同约定向监理人发出指示，委托人的指示应盖有委托人单位章，并由委托人代表签字确认。</w:t>
      </w:r>
    </w:p>
    <w:p w14:paraId="46A0C8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监理人收到委托人作出的指示后应遵照执行。指示构成变更的，应按第8条执行。</w:t>
      </w:r>
    </w:p>
    <w:p w14:paraId="771213E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 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14:paraId="4999F0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 由于委托人未能按合同约定发出指示、指示延误或指示错误而导致监理人费用增加和（或）周期延误的，委托人应承担由此增加的费用和（或）周期延误。</w:t>
      </w:r>
    </w:p>
    <w:p w14:paraId="3EADDD85">
      <w:pPr>
        <w:spacing w:line="360" w:lineRule="auto"/>
        <w:rPr>
          <w:rFonts w:hint="eastAsia" w:ascii="仿宋" w:hAnsi="仿宋" w:eastAsia="仿宋" w:cs="仿宋"/>
          <w:sz w:val="24"/>
          <w:highlight w:val="none"/>
        </w:rPr>
      </w:pPr>
      <w:r>
        <w:rPr>
          <w:rFonts w:hint="eastAsia" w:ascii="仿宋" w:hAnsi="仿宋" w:eastAsia="仿宋" w:cs="仿宋"/>
          <w:sz w:val="24"/>
          <w:highlight w:val="none"/>
        </w:rPr>
        <w:t>3.3 决定或答复</w:t>
      </w:r>
    </w:p>
    <w:p w14:paraId="598D4A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 委托人在法律允许的范围内有权对监理人的监理工作和/或监理文件作出处理决定，监理人应按照委托人的决定执行，涉及监理服务期限或监理报酬等问题按第8条的约定处理。</w:t>
      </w:r>
    </w:p>
    <w:p w14:paraId="7AFA0C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3.3.2 委托人应在专用合同条款约定的时间之内，对监理人书面提出的事项作出书面答复；逾期没有</w:t>
      </w:r>
      <w:r>
        <w:rPr>
          <w:rFonts w:hint="eastAsia" w:ascii="仿宋" w:hAnsi="仿宋" w:eastAsia="仿宋" w:cs="仿宋"/>
          <w:sz w:val="24"/>
          <w:highlight w:val="none"/>
          <w:lang w:eastAsia="zh-CN"/>
        </w:rPr>
        <w:t>作出</w:t>
      </w:r>
      <w:r>
        <w:rPr>
          <w:rFonts w:hint="eastAsia" w:ascii="仿宋" w:hAnsi="仿宋" w:eastAsia="仿宋" w:cs="仿宋"/>
          <w:sz w:val="24"/>
          <w:highlight w:val="none"/>
        </w:rPr>
        <w:t>答复的，视为已获得委托人的批准。</w:t>
      </w:r>
    </w:p>
    <w:p w14:paraId="41A2532C">
      <w:pPr>
        <w:rPr>
          <w:rFonts w:hint="eastAsia" w:ascii="仿宋" w:hAnsi="仿宋" w:eastAsia="仿宋" w:cs="仿宋"/>
          <w:sz w:val="24"/>
          <w:szCs w:val="32"/>
          <w:highlight w:val="none"/>
        </w:rPr>
      </w:pPr>
      <w:bookmarkStart w:id="287" w:name="_Toc256000027"/>
      <w:bookmarkStart w:id="288" w:name="_Toc6517"/>
      <w:r>
        <w:rPr>
          <w:rFonts w:hint="eastAsia" w:ascii="仿宋" w:hAnsi="仿宋" w:eastAsia="仿宋" w:cs="仿宋"/>
          <w:sz w:val="24"/>
          <w:szCs w:val="32"/>
          <w:highlight w:val="none"/>
        </w:rPr>
        <w:t>4. 监理人义务</w:t>
      </w:r>
      <w:bookmarkEnd w:id="287"/>
      <w:bookmarkEnd w:id="288"/>
    </w:p>
    <w:p w14:paraId="67D9B649">
      <w:pPr>
        <w:spacing w:line="360" w:lineRule="auto"/>
        <w:rPr>
          <w:rFonts w:hint="eastAsia" w:ascii="仿宋" w:hAnsi="仿宋" w:eastAsia="仿宋" w:cs="仿宋"/>
          <w:sz w:val="24"/>
          <w:highlight w:val="none"/>
        </w:rPr>
      </w:pPr>
      <w:r>
        <w:rPr>
          <w:rFonts w:hint="eastAsia" w:ascii="仿宋" w:hAnsi="仿宋" w:eastAsia="仿宋" w:cs="仿宋"/>
          <w:sz w:val="24"/>
          <w:highlight w:val="none"/>
        </w:rPr>
        <w:t>4.1 监理人的一般义务</w:t>
      </w:r>
    </w:p>
    <w:p w14:paraId="069359A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4.1.1 遵守法律</w:t>
      </w:r>
    </w:p>
    <w:p w14:paraId="0C4BF4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监理人在履行合同过程中应遵守法律，并保证委托人免于承担因监理人违反法律而引起的任何责任。</w:t>
      </w:r>
    </w:p>
    <w:p w14:paraId="4DFC3625">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4.1.2 依法纳税</w:t>
      </w:r>
    </w:p>
    <w:p w14:paraId="5629BCA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监理人应按有关法律规定纳税，应缴纳的税金（含增值税）包括在合同价格之中。</w:t>
      </w:r>
    </w:p>
    <w:p w14:paraId="040D2C1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4.1.3 完成全部监理工作</w:t>
      </w:r>
    </w:p>
    <w:p w14:paraId="3D3AA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监理人应按合同约定以及委托人要求，完成合同约定的全部工作，并对工作中的任何缺陷进行整改，使其满足合同约定的目的。</w:t>
      </w:r>
    </w:p>
    <w:p w14:paraId="253C60E8">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4.1.4 其他义务</w:t>
      </w:r>
    </w:p>
    <w:p w14:paraId="35C02B3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监理人应履行合同约定的其他义务。</w:t>
      </w:r>
    </w:p>
    <w:p w14:paraId="3394FD25">
      <w:pPr>
        <w:spacing w:line="360" w:lineRule="auto"/>
        <w:rPr>
          <w:rFonts w:hint="eastAsia" w:ascii="仿宋" w:hAnsi="仿宋" w:eastAsia="仿宋" w:cs="仿宋"/>
          <w:sz w:val="24"/>
          <w:highlight w:val="none"/>
        </w:rPr>
      </w:pPr>
      <w:r>
        <w:rPr>
          <w:rFonts w:hint="eastAsia" w:ascii="仿宋" w:hAnsi="仿宋" w:eastAsia="仿宋" w:cs="仿宋"/>
          <w:sz w:val="24"/>
          <w:highlight w:val="none"/>
        </w:rPr>
        <w:t>4.2 履约保证金</w:t>
      </w:r>
    </w:p>
    <w:p w14:paraId="6E55B6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专用合同条款另有约定外，履约保证金自合同生效之日起生效，在委托人签发竣工验收证书之日起28日后失效。如果监理人不履行合同约定的义务或其履行不符合合同的约定，委托人有权扣划相应金额的履约保证金。</w:t>
      </w:r>
    </w:p>
    <w:p w14:paraId="5CB8EA1D">
      <w:pPr>
        <w:spacing w:line="360" w:lineRule="auto"/>
        <w:rPr>
          <w:rFonts w:hint="eastAsia" w:ascii="仿宋" w:hAnsi="仿宋" w:eastAsia="仿宋" w:cs="仿宋"/>
          <w:sz w:val="24"/>
          <w:highlight w:val="none"/>
        </w:rPr>
      </w:pPr>
      <w:r>
        <w:rPr>
          <w:rFonts w:hint="eastAsia" w:ascii="仿宋" w:hAnsi="仿宋" w:eastAsia="仿宋" w:cs="仿宋"/>
          <w:sz w:val="24"/>
          <w:highlight w:val="none"/>
        </w:rPr>
        <w:t>4.3 联合体</w:t>
      </w:r>
    </w:p>
    <w:p w14:paraId="5CBAB7A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4.3.1 联合体各方应共同与委托人签订合同。联合体各方应为履行合同承担连带责任。</w:t>
      </w:r>
    </w:p>
    <w:p w14:paraId="58CA66E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 联合体协议经委托人确认后作为合同附件。在履行合同过程中，未经委托人同意，不得修改联合体协议。</w:t>
      </w:r>
    </w:p>
    <w:p w14:paraId="0FF6B7B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4.3.3 联合体牵头人或联合体授权的代表负责与委托人联系，并接受指示，负责组织联合体各成员全面履行合同。</w:t>
      </w:r>
    </w:p>
    <w:p w14:paraId="16DB8DD2">
      <w:pPr>
        <w:spacing w:line="360" w:lineRule="auto"/>
        <w:rPr>
          <w:rFonts w:hint="eastAsia" w:ascii="仿宋" w:hAnsi="仿宋" w:eastAsia="仿宋" w:cs="仿宋"/>
          <w:sz w:val="24"/>
          <w:highlight w:val="none"/>
        </w:rPr>
      </w:pPr>
      <w:r>
        <w:rPr>
          <w:rFonts w:hint="eastAsia" w:ascii="仿宋" w:hAnsi="仿宋" w:eastAsia="仿宋" w:cs="仿宋"/>
          <w:sz w:val="24"/>
          <w:highlight w:val="none"/>
        </w:rPr>
        <w:t>4.4 总监理工程师</w:t>
      </w:r>
    </w:p>
    <w:p w14:paraId="5328054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4.4.1 监理人应按合同协议书的约定指派总监理工程师，并在约定的期限内到职。监理人更换总监理工程师应事先征得委托人同意，并应在更换14天前将拟更换的总监理工程师的姓名和详细资料提交委托人。总监理工程师2天内不能履行职责的，应事先征得委托人同意，并委派代表代行其职责。</w:t>
      </w:r>
    </w:p>
    <w:p w14:paraId="450E3EF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4.4.2总监理工程师应按合同约定以及委托人要求，负责组织合同工作的实施。在情况紧急且无法与委托人取得联系时，可采取保证工程和人员生命财产安全的紧急措施，并在采取措施后24小时内向委托人提交书面报告。</w:t>
      </w:r>
    </w:p>
    <w:p w14:paraId="30F685B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4.4.3 监理人为履行合同发出的一切函件均应盖有监理人单位章或由监理人授权的项目机构章，并由监理人的总监理工程师签字确认。</w:t>
      </w:r>
    </w:p>
    <w:p w14:paraId="6E39E2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4.4.4 按照专用合同条款约定，总监理工程师可以授权其下属人员履行其某项职责，但事先应将这些人员的姓名和授权范围书面通知委托人和承包人。</w:t>
      </w:r>
    </w:p>
    <w:p w14:paraId="095408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4.5 监理人员的管理</w:t>
      </w:r>
    </w:p>
    <w:p w14:paraId="41CCDC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4.5.1 监理人应在接到开始监理通知之日起7天内，向委托人提交监理项目机构以及人员安排的报告，其内容应包括项目机构设置、主要监理人员和作业人员的名单及资格条件。主要监理人员应相对稳定，更换主要监理人员的，应取得委托人的同意,并向委托人提交继任人员的资格、管理经验等资料。总监理工程师的更换，应按照本章第4.4.1项规定执行。</w:t>
      </w:r>
    </w:p>
    <w:p w14:paraId="0E21A5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4.5.2除专用合同条款另有约定外，主要监理人员包括总监理工程师、专业监理工程师等；其他人员包括各专业的监理员、资料员等。</w:t>
      </w:r>
    </w:p>
    <w:p w14:paraId="505FD9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4.5.3监理人应保证其主要监理人员在合同期限内的任何时候，都能按时参加委托人组织的工作会议。</w:t>
      </w:r>
    </w:p>
    <w:p w14:paraId="7E85E30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4.5.4 国家规定应当持证上岗的工作人员均应持有相应的资格证明，委托人有权随时检查。委托人认为有必要时，可以进行现场考核。</w:t>
      </w:r>
    </w:p>
    <w:p w14:paraId="3BD9AD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4.6 撤换总监理工程师和其他人员</w:t>
      </w:r>
    </w:p>
    <w:p w14:paraId="4015F7C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监理人应对其总监理工程师和其他人员进行有效管理。委托人要求撤换不能胜任本职工作、行为不端或玩忽职守的总监理工程师和其他人员的，监理人应予以撤换。</w:t>
      </w:r>
    </w:p>
    <w:p w14:paraId="416E6688">
      <w:pPr>
        <w:spacing w:line="360" w:lineRule="auto"/>
        <w:rPr>
          <w:rFonts w:hint="eastAsia" w:ascii="仿宋" w:hAnsi="仿宋" w:eastAsia="仿宋" w:cs="仿宋"/>
          <w:sz w:val="24"/>
          <w:highlight w:val="none"/>
        </w:rPr>
      </w:pPr>
      <w:r>
        <w:rPr>
          <w:rFonts w:hint="eastAsia" w:ascii="仿宋" w:hAnsi="仿宋" w:eastAsia="仿宋" w:cs="仿宋"/>
          <w:sz w:val="24"/>
          <w:highlight w:val="none"/>
        </w:rPr>
        <w:t>4.7 保障人员的合法权益</w:t>
      </w:r>
    </w:p>
    <w:p w14:paraId="161AF9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4.7.1 监理人应与其雇佣的人员签订劳动合同，并按时发放工资。</w:t>
      </w:r>
    </w:p>
    <w:p w14:paraId="2407D1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4.7.2 监理人应按劳动法的规定安排工作时间，保证其雇佣人员享有休息和休假的权利。因监理需要占用休假日或延长工作时间的，应不超过法律规定的限度，并按法律规定给予补休或付酬。</w:t>
      </w:r>
    </w:p>
    <w:p w14:paraId="25DECA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4.7.3 监理人应按有关法律规定和合同约定，为其雇佣人员办理保险。</w:t>
      </w:r>
    </w:p>
    <w:p w14:paraId="065ABCD9">
      <w:pPr>
        <w:spacing w:line="360" w:lineRule="auto"/>
        <w:rPr>
          <w:rFonts w:hint="eastAsia" w:ascii="仿宋" w:hAnsi="仿宋" w:eastAsia="仿宋" w:cs="仿宋"/>
          <w:sz w:val="24"/>
          <w:highlight w:val="none"/>
        </w:rPr>
      </w:pPr>
      <w:r>
        <w:rPr>
          <w:rFonts w:hint="eastAsia" w:ascii="仿宋" w:hAnsi="仿宋" w:eastAsia="仿宋" w:cs="仿宋"/>
          <w:sz w:val="24"/>
          <w:highlight w:val="none"/>
        </w:rPr>
        <w:t>4.8 合同价款应专款专用</w:t>
      </w:r>
    </w:p>
    <w:p w14:paraId="19A19C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委托人按合同约定支付给监理人的各项价款，应专用于合同监理工作。</w:t>
      </w:r>
    </w:p>
    <w:p w14:paraId="48CCC260">
      <w:pPr>
        <w:rPr>
          <w:rFonts w:hint="eastAsia" w:ascii="仿宋" w:hAnsi="仿宋" w:eastAsia="仿宋" w:cs="仿宋"/>
          <w:sz w:val="24"/>
          <w:szCs w:val="32"/>
          <w:highlight w:val="none"/>
        </w:rPr>
      </w:pPr>
      <w:bookmarkStart w:id="289" w:name="_Toc9906"/>
      <w:bookmarkStart w:id="290" w:name="_Toc256000028"/>
      <w:r>
        <w:rPr>
          <w:rFonts w:hint="eastAsia" w:ascii="仿宋" w:hAnsi="仿宋" w:eastAsia="仿宋" w:cs="仿宋"/>
          <w:sz w:val="24"/>
          <w:szCs w:val="32"/>
          <w:highlight w:val="none"/>
        </w:rPr>
        <w:t>5. 监理要求</w:t>
      </w:r>
      <w:bookmarkEnd w:id="289"/>
      <w:bookmarkEnd w:id="290"/>
    </w:p>
    <w:p w14:paraId="1E4B5E37">
      <w:pPr>
        <w:spacing w:line="360" w:lineRule="auto"/>
        <w:rPr>
          <w:rFonts w:hint="eastAsia" w:ascii="仿宋" w:hAnsi="仿宋" w:eastAsia="仿宋" w:cs="仿宋"/>
          <w:sz w:val="24"/>
          <w:highlight w:val="none"/>
        </w:rPr>
      </w:pPr>
      <w:r>
        <w:rPr>
          <w:rFonts w:hint="eastAsia" w:ascii="仿宋" w:hAnsi="仿宋" w:eastAsia="仿宋" w:cs="仿宋"/>
          <w:sz w:val="24"/>
          <w:highlight w:val="none"/>
        </w:rPr>
        <w:t>5.1 监理范围</w:t>
      </w:r>
    </w:p>
    <w:p w14:paraId="576B8B0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5.1.1 本合同的监理范围包括工程范围、阶段范围和工作范围，具体监理范围应当根据三者之间的关联内容进行确定。</w:t>
      </w:r>
    </w:p>
    <w:p w14:paraId="18292A4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5.1.2 工程范围指所监理工程的建设内容，具体范围在专用合同条款中约定。</w:t>
      </w:r>
    </w:p>
    <w:p w14:paraId="0CFF61C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5.1.3 阶段范围指工程建设程序中的勘察阶段、设计阶段、施工阶段、缺陷责任期及保修阶段中的一个或者多个阶段，具体范围在专用合同条款中约定。</w:t>
      </w:r>
    </w:p>
    <w:p w14:paraId="211970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5.1.4 工作范围指监理工作中的质量控制、进度控制、投资控制、合同管理、信息管理、组织协调和安全监理、环保监理中的一项或者多项工作，具体范围在专用合同条款中约定。</w:t>
      </w:r>
    </w:p>
    <w:p w14:paraId="246A336A">
      <w:pPr>
        <w:spacing w:line="360" w:lineRule="auto"/>
        <w:rPr>
          <w:rFonts w:hint="eastAsia" w:ascii="仿宋" w:hAnsi="仿宋" w:eastAsia="仿宋" w:cs="仿宋"/>
          <w:sz w:val="24"/>
          <w:highlight w:val="none"/>
        </w:rPr>
      </w:pPr>
      <w:r>
        <w:rPr>
          <w:rFonts w:hint="eastAsia" w:ascii="仿宋" w:hAnsi="仿宋" w:eastAsia="仿宋" w:cs="仿宋"/>
          <w:sz w:val="24"/>
          <w:highlight w:val="none"/>
        </w:rPr>
        <w:t>5.2 监理依据</w:t>
      </w:r>
    </w:p>
    <w:p w14:paraId="05CC16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除专用合同条款另有约定外，本工程的监理依据如下：</w:t>
      </w:r>
    </w:p>
    <w:p w14:paraId="766B19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（1）适用的法律、行政法规及部门规章；</w:t>
      </w:r>
    </w:p>
    <w:p w14:paraId="67DED2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（2）与工程有关的规范、标准、规程；</w:t>
      </w:r>
    </w:p>
    <w:p w14:paraId="1A5320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（3）工程勘察文件、设计文件及其他文件；</w:t>
      </w:r>
    </w:p>
    <w:p w14:paraId="0C488F8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（4）本工程监理的委托合同及补充合同；</w:t>
      </w:r>
    </w:p>
    <w:p w14:paraId="3D1533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（5）委托人签订的勘察、设计和施工承包合同；</w:t>
      </w:r>
    </w:p>
    <w:p w14:paraId="7FFA5B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（6）合同履行中与监理服务有关的来往函件；</w:t>
      </w:r>
    </w:p>
    <w:p w14:paraId="167D27A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（7）其他监理依据。</w:t>
      </w:r>
    </w:p>
    <w:p w14:paraId="3BF5DDB9">
      <w:pPr>
        <w:spacing w:line="360" w:lineRule="auto"/>
        <w:rPr>
          <w:rFonts w:hint="eastAsia" w:ascii="仿宋" w:hAnsi="仿宋" w:eastAsia="仿宋" w:cs="仿宋"/>
          <w:sz w:val="24"/>
          <w:highlight w:val="none"/>
        </w:rPr>
      </w:pPr>
      <w:r>
        <w:rPr>
          <w:rFonts w:hint="eastAsia" w:ascii="仿宋" w:hAnsi="仿宋" w:eastAsia="仿宋" w:cs="仿宋"/>
          <w:sz w:val="24"/>
          <w:highlight w:val="none"/>
        </w:rPr>
        <w:t>5.3 监理内容</w:t>
      </w:r>
    </w:p>
    <w:p w14:paraId="1CF3A6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除专用条件另有约定外，监理工作内容包括：</w:t>
      </w:r>
    </w:p>
    <w:p w14:paraId="559173D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（1）收到工程设计文件后编制监理规划，并在第一次工地会议7天前报委托人。根据有关规定和监理工作需要，编制监理实施细则；</w:t>
      </w:r>
    </w:p>
    <w:p w14:paraId="41FBD2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（2）熟悉工程设计文件，并参加由委托人主持的图纸会审和设计交底会议；</w:t>
      </w:r>
    </w:p>
    <w:p w14:paraId="094F07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（3）参加由委托人主持的第一次工地会议；主持监理例会并根据工程需要主持或参加专题会议；</w:t>
      </w:r>
    </w:p>
    <w:p w14:paraId="38C4F5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（4）审查施工承包人提交的施工组织设计，重点审查其中的质量安全技术措施、专项施工方案与工程建设强制性标准的符合性；</w:t>
      </w:r>
    </w:p>
    <w:p w14:paraId="17FFE51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（5）检查施工承包人工程质量、安全生产管理制度及组织机构和人员资格；</w:t>
      </w:r>
    </w:p>
    <w:p w14:paraId="3DFE970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（6）检查施工承包人专职安全生产管理人员的配备情况；</w:t>
      </w:r>
    </w:p>
    <w:p w14:paraId="36EAE42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（7）审查施工承包人提交的施工进度计划，核查承包人对施工进度计划的调整；</w:t>
      </w:r>
    </w:p>
    <w:p w14:paraId="2308F31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（8）检查施工承包人的试验室；</w:t>
      </w:r>
    </w:p>
    <w:p w14:paraId="6383E48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（9）审核施工分包人资质条件；</w:t>
      </w:r>
    </w:p>
    <w:p w14:paraId="7FFE4B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（10）查验施工承包人的施工测量放线成果；</w:t>
      </w:r>
    </w:p>
    <w:p w14:paraId="15A690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（11）审查工程开工条件，对条件具备的签发开工令；</w:t>
      </w:r>
    </w:p>
    <w:p w14:paraId="40BCDA3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（12）审查施工承包人报送的工程材料、构配件、设备质量证明文件的有效性和符合性，并按规定对用于工程的材料采取平行检验或见证取样方式进行抽检；</w:t>
      </w:r>
    </w:p>
    <w:p w14:paraId="27791D4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（13）审核施工承包人提交的工程款支付申请，签发或出具工程款支付证书，并报委托人审核、批准；</w:t>
      </w:r>
    </w:p>
    <w:p w14:paraId="683CD5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（14）在巡视、旁站和检验过程中，发现工程质量、施工安全存在事故隐患的，要求施工承包人整改并报委托人；</w:t>
      </w:r>
    </w:p>
    <w:p w14:paraId="3C603C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（15）经委托人同意，签发工程暂停令和复工令；</w:t>
      </w:r>
    </w:p>
    <w:p w14:paraId="2FD789F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（16）审查施工承包人提交的采用新材料、新工艺、新技术、新设备的论证材料及相关验收标准；</w:t>
      </w:r>
    </w:p>
    <w:p w14:paraId="232F78C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（17）验收隐蔽工程、分部分项工程；</w:t>
      </w:r>
    </w:p>
    <w:p w14:paraId="1783C8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（18）审查施工承包人提交的工程变更申请，协调处理施工进度调整、费用索赔、合同争议等事项；</w:t>
      </w:r>
    </w:p>
    <w:p w14:paraId="1B7A72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（19）审查施工承包人提交的竣工验收申请，编写工程质量评估报告；</w:t>
      </w:r>
    </w:p>
    <w:p w14:paraId="1259239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（20）参加工程竣工验收，签署竣工验收意见；</w:t>
      </w:r>
    </w:p>
    <w:p w14:paraId="3822E6E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（21）审查施工承包人提交的竣工结算申请并报委托人；</w:t>
      </w:r>
    </w:p>
    <w:p w14:paraId="0A90EC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（22）编制、整理工程监理归档文件并报委托人。</w:t>
      </w:r>
    </w:p>
    <w:p w14:paraId="7511D37F">
      <w:pPr>
        <w:spacing w:line="360" w:lineRule="auto"/>
        <w:rPr>
          <w:rFonts w:hint="eastAsia" w:ascii="仿宋" w:hAnsi="仿宋" w:eastAsia="仿宋" w:cs="仿宋"/>
          <w:sz w:val="24"/>
          <w:highlight w:val="none"/>
        </w:rPr>
      </w:pPr>
      <w:r>
        <w:rPr>
          <w:rFonts w:hint="eastAsia" w:ascii="仿宋" w:hAnsi="仿宋" w:eastAsia="仿宋" w:cs="仿宋"/>
          <w:sz w:val="24"/>
          <w:highlight w:val="none"/>
        </w:rPr>
        <w:t>5.4 监理文件要求</w:t>
      </w:r>
    </w:p>
    <w:p w14:paraId="7AD0BA9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5.4.1 监理文件的编制应符合法律、规范标准的强制性规定和委托人要求，相关的监理依据应当完整准确，文件内容和相应数据应当真实可靠。</w:t>
      </w:r>
    </w:p>
    <w:p w14:paraId="0434BD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5.4.2 监理文件的深度应满足本阶段相应监理工作的规定要求，满足委托人的下步工作需要，并应符合国家和行业现行规定。</w:t>
      </w:r>
    </w:p>
    <w:p w14:paraId="23AE21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5.4.3本工程监理文件的具体类别、编制要求、编制内容、提交时间和份数等，在专用合同条款中约定。</w:t>
      </w:r>
    </w:p>
    <w:p w14:paraId="455B1A6B">
      <w:pPr>
        <w:rPr>
          <w:rFonts w:hint="eastAsia" w:ascii="仿宋" w:hAnsi="仿宋" w:eastAsia="仿宋" w:cs="仿宋"/>
          <w:sz w:val="24"/>
          <w:szCs w:val="32"/>
          <w:highlight w:val="none"/>
        </w:rPr>
      </w:pPr>
      <w:bookmarkStart w:id="291" w:name="_Toc256000029"/>
      <w:bookmarkStart w:id="292" w:name="_Toc3133"/>
      <w:r>
        <w:rPr>
          <w:rFonts w:hint="eastAsia" w:ascii="仿宋" w:hAnsi="仿宋" w:eastAsia="仿宋" w:cs="仿宋"/>
          <w:sz w:val="24"/>
          <w:szCs w:val="32"/>
          <w:highlight w:val="none"/>
        </w:rPr>
        <w:t>6. 开始监理和完成监理</w:t>
      </w:r>
      <w:bookmarkEnd w:id="291"/>
      <w:bookmarkEnd w:id="292"/>
    </w:p>
    <w:p w14:paraId="12209035">
      <w:pPr>
        <w:spacing w:line="360" w:lineRule="auto"/>
        <w:rPr>
          <w:rFonts w:hint="eastAsia" w:ascii="仿宋" w:hAnsi="仿宋" w:eastAsia="仿宋" w:cs="仿宋"/>
          <w:sz w:val="24"/>
          <w:highlight w:val="none"/>
        </w:rPr>
      </w:pPr>
      <w:r>
        <w:rPr>
          <w:rFonts w:hint="eastAsia" w:ascii="仿宋" w:hAnsi="仿宋" w:eastAsia="仿宋" w:cs="仿宋"/>
          <w:sz w:val="24"/>
          <w:highlight w:val="none"/>
        </w:rPr>
        <w:t>6.1 开始监理</w:t>
      </w:r>
    </w:p>
    <w:p w14:paraId="0BF8FF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6.1.1符合专用合同条款约定的开始监理条件的，委托人应提前7天向监理人发出开始监理通知。监理服务期限自开始监理通知中载明的开始监理日期起计算。</w:t>
      </w:r>
    </w:p>
    <w:p w14:paraId="618E42E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6.1.2除专用合同条款另有约定外，因委托人原因造成合同签订之日起90天内未能发出开始监理通知的，监理人有权提出价格调整要求，或者解除合同。委托人应当承担由此增加的费用和（或）周期延误。</w:t>
      </w:r>
    </w:p>
    <w:p w14:paraId="6AC6AD9F">
      <w:pPr>
        <w:spacing w:line="360" w:lineRule="auto"/>
        <w:rPr>
          <w:rFonts w:hint="eastAsia" w:ascii="仿宋" w:hAnsi="仿宋" w:eastAsia="仿宋" w:cs="仿宋"/>
          <w:sz w:val="24"/>
          <w:highlight w:val="none"/>
        </w:rPr>
      </w:pPr>
      <w:r>
        <w:rPr>
          <w:rFonts w:hint="eastAsia" w:ascii="仿宋" w:hAnsi="仿宋" w:eastAsia="仿宋" w:cs="仿宋"/>
          <w:sz w:val="24"/>
          <w:highlight w:val="none"/>
        </w:rPr>
        <w:t>6.2 监理周期延误</w:t>
      </w:r>
    </w:p>
    <w:p w14:paraId="60FD15E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在履行合同过程中，由于下列原因造成监理服务期限延误的，委托人应当延长监理服务期限并增加监理报酬，具体方法在专用合同条款中约定。</w:t>
      </w:r>
    </w:p>
    <w:p w14:paraId="0F20C7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（1）合同变更；</w:t>
      </w:r>
    </w:p>
    <w:p w14:paraId="6A9EB6A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（2）因委托人原因导致的监理工作暂停； </w:t>
      </w:r>
    </w:p>
    <w:p w14:paraId="02466DB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（3）未按合同约定及时支付监理报酬；</w:t>
      </w:r>
    </w:p>
    <w:p w14:paraId="489C55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（4）未及时履行合同约定的相关义务；</w:t>
      </w:r>
    </w:p>
    <w:p w14:paraId="47BE31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（5）由于承包人延误、行政管理造成的监理服务期延误；</w:t>
      </w:r>
    </w:p>
    <w:p w14:paraId="040F1B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（6）造成监理服务期限延误的其他原因。</w:t>
      </w:r>
    </w:p>
    <w:p w14:paraId="44AE07F0">
      <w:pPr>
        <w:spacing w:line="360" w:lineRule="auto"/>
        <w:rPr>
          <w:rFonts w:hint="eastAsia" w:ascii="仿宋" w:hAnsi="仿宋" w:eastAsia="仿宋" w:cs="仿宋"/>
          <w:sz w:val="24"/>
          <w:highlight w:val="none"/>
        </w:rPr>
      </w:pPr>
      <w:r>
        <w:rPr>
          <w:rFonts w:hint="eastAsia" w:ascii="仿宋" w:hAnsi="仿宋" w:eastAsia="仿宋" w:cs="仿宋"/>
          <w:sz w:val="24"/>
          <w:highlight w:val="none"/>
        </w:rPr>
        <w:t>6.3 完成监理</w:t>
      </w:r>
    </w:p>
    <w:p w14:paraId="209DD7E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6.3.1 监理人应当根据法律、规范标准、合同约定和委托人要求实施和完成监理，并编制和移交监理文件。</w:t>
      </w:r>
    </w:p>
    <w:p w14:paraId="215880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6.3.2 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14:paraId="235C654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6.3.3 缺陷修复监理指缺陷责任期间，监理人对承包人修复质量缺陷进行的监理。缺陷修复监理的责任由监理人负责。</w:t>
      </w:r>
    </w:p>
    <w:p w14:paraId="30824D0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6.3.4 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572838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6.3.5 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U盘分别贮存。</w:t>
      </w:r>
    </w:p>
    <w:p w14:paraId="0BC176C0">
      <w:pPr>
        <w:rPr>
          <w:rFonts w:hint="eastAsia" w:ascii="仿宋" w:hAnsi="仿宋" w:eastAsia="仿宋" w:cs="仿宋"/>
          <w:sz w:val="24"/>
          <w:szCs w:val="32"/>
          <w:highlight w:val="none"/>
        </w:rPr>
      </w:pPr>
      <w:bookmarkStart w:id="293" w:name="_Toc256000030"/>
      <w:bookmarkStart w:id="294" w:name="_Toc13316"/>
      <w:r>
        <w:rPr>
          <w:rFonts w:hint="eastAsia" w:ascii="仿宋" w:hAnsi="仿宋" w:eastAsia="仿宋" w:cs="仿宋"/>
          <w:sz w:val="24"/>
          <w:szCs w:val="32"/>
          <w:highlight w:val="none"/>
        </w:rPr>
        <w:t>7. 监理责任与保险</w:t>
      </w:r>
      <w:bookmarkEnd w:id="293"/>
      <w:bookmarkEnd w:id="294"/>
    </w:p>
    <w:p w14:paraId="5A0BDFD8">
      <w:pPr>
        <w:spacing w:line="360" w:lineRule="auto"/>
        <w:rPr>
          <w:rFonts w:hint="eastAsia" w:ascii="仿宋" w:hAnsi="仿宋" w:eastAsia="仿宋" w:cs="仿宋"/>
          <w:sz w:val="24"/>
          <w:highlight w:val="none"/>
        </w:rPr>
      </w:pPr>
      <w:r>
        <w:rPr>
          <w:rFonts w:hint="eastAsia" w:ascii="仿宋" w:hAnsi="仿宋" w:eastAsia="仿宋" w:cs="仿宋"/>
          <w:sz w:val="24"/>
          <w:highlight w:val="none"/>
        </w:rPr>
        <w:t>7.1 监理责任主体</w:t>
      </w:r>
    </w:p>
    <w:p w14:paraId="5D53D45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7.1.1 监理人应运用一切合理的专业技术、知识技能和项目经验，按照职业道德准则和行业公认标准尽其全部职责，勤勉、谨慎、公正地履行其在本合同项下的责任和义务。</w:t>
      </w:r>
    </w:p>
    <w:p w14:paraId="50E9085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7.1.2 监理责任为监理单位项目负责人终身责任制。总监理工程师应当按照法律法规、有关技术标准、设计文件和工程承包合同进行监理，对施工质量承担监理责任。</w:t>
      </w:r>
    </w:p>
    <w:p w14:paraId="0CDF23F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7.1.3 总监理工程师应当在办理工程质量监督手续前签署工程质量终身责任承诺书，连同法定代表人出具的授权书，报工程质量监督机构备案。</w:t>
      </w:r>
    </w:p>
    <w:p w14:paraId="20912FB5">
      <w:pPr>
        <w:spacing w:line="360" w:lineRule="auto"/>
        <w:rPr>
          <w:rFonts w:hint="eastAsia" w:ascii="仿宋" w:hAnsi="仿宋" w:eastAsia="仿宋" w:cs="仿宋"/>
          <w:sz w:val="24"/>
          <w:highlight w:val="none"/>
        </w:rPr>
      </w:pPr>
      <w:r>
        <w:rPr>
          <w:rFonts w:hint="eastAsia" w:ascii="仿宋" w:hAnsi="仿宋" w:eastAsia="仿宋" w:cs="仿宋"/>
          <w:sz w:val="24"/>
          <w:highlight w:val="none"/>
        </w:rPr>
        <w:t>7.2 监理责任保险</w:t>
      </w:r>
    </w:p>
    <w:p w14:paraId="2231755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除专用合同条款另有约定外，建议监理人根据工程情况对监理责任进行保险，并在合同履行期间保持足额、有效。</w:t>
      </w:r>
    </w:p>
    <w:p w14:paraId="76898636">
      <w:pPr>
        <w:rPr>
          <w:rFonts w:hint="eastAsia" w:ascii="仿宋" w:hAnsi="仿宋" w:eastAsia="仿宋" w:cs="仿宋"/>
          <w:sz w:val="24"/>
          <w:szCs w:val="32"/>
          <w:highlight w:val="none"/>
        </w:rPr>
      </w:pPr>
      <w:bookmarkStart w:id="295" w:name="_Toc256000031"/>
      <w:bookmarkStart w:id="296" w:name="_Toc29413"/>
      <w:r>
        <w:rPr>
          <w:rFonts w:hint="eastAsia" w:ascii="仿宋" w:hAnsi="仿宋" w:eastAsia="仿宋" w:cs="仿宋"/>
          <w:sz w:val="24"/>
          <w:szCs w:val="32"/>
          <w:highlight w:val="none"/>
        </w:rPr>
        <w:t>8. 合同变更</w:t>
      </w:r>
      <w:bookmarkEnd w:id="295"/>
      <w:bookmarkEnd w:id="296"/>
    </w:p>
    <w:p w14:paraId="7D6A81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8.1 变更情形</w:t>
      </w:r>
    </w:p>
    <w:p w14:paraId="215D444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8.1.1 合同履行中发生下述情形时，合同一方均可向对方提出变更请求，经双方协商一致后进行变更，监理服务期限和监理报酬的调整方法在专用合同条款中约定。</w:t>
      </w:r>
    </w:p>
    <w:p w14:paraId="2FA45B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（1）监理范围发生变化；</w:t>
      </w:r>
    </w:p>
    <w:p w14:paraId="36CAD54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（2）除不可抗力外，非监理人的原因引起的周期延误；</w:t>
      </w:r>
    </w:p>
    <w:p w14:paraId="5301FF2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（3）非监理人的原因，对工程同一部分重复进行监理；</w:t>
      </w:r>
    </w:p>
    <w:p w14:paraId="654964D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（4）非监理人的原因，对工程暂停监理及恢复监理。</w:t>
      </w:r>
    </w:p>
    <w:p w14:paraId="6671111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8.1.2 基准日后，因颁布新的或修订原有法律、法规、规范和标准等引发合同变更情形的，按照上述约定进行调整。</w:t>
      </w:r>
    </w:p>
    <w:p w14:paraId="58EFF4FE">
      <w:pPr>
        <w:spacing w:line="360" w:lineRule="auto"/>
        <w:rPr>
          <w:rFonts w:hint="eastAsia" w:ascii="仿宋" w:hAnsi="仿宋" w:eastAsia="仿宋" w:cs="仿宋"/>
          <w:sz w:val="24"/>
          <w:highlight w:val="none"/>
        </w:rPr>
      </w:pPr>
      <w:r>
        <w:rPr>
          <w:rFonts w:hint="eastAsia" w:ascii="仿宋" w:hAnsi="仿宋" w:eastAsia="仿宋" w:cs="仿宋"/>
          <w:sz w:val="24"/>
          <w:highlight w:val="none"/>
        </w:rPr>
        <w:t>8.2 合理化建议</w:t>
      </w:r>
    </w:p>
    <w:p w14:paraId="77333A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8.2.1 合同履行中，监理人可对委托人要求提出合理化建议。合理化建议应以书面形式提交委托人，被委托人采纳并构成变更的，执行第8.1款约定。</w:t>
      </w:r>
    </w:p>
    <w:p w14:paraId="28CA38B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8.2.2 监理人提出的合理化建议降低了工程投资、缩短了施工期限或者提高了工程经济效益的，委托人应按专用合同条款中的约定给予奖励。</w:t>
      </w:r>
    </w:p>
    <w:p w14:paraId="05E37DFE">
      <w:pPr>
        <w:rPr>
          <w:rFonts w:hint="eastAsia" w:ascii="仿宋" w:hAnsi="仿宋" w:eastAsia="仿宋" w:cs="仿宋"/>
          <w:sz w:val="24"/>
          <w:szCs w:val="32"/>
          <w:highlight w:val="none"/>
        </w:rPr>
      </w:pPr>
      <w:bookmarkStart w:id="297" w:name="_Toc256000032"/>
      <w:bookmarkStart w:id="298" w:name="_Toc5462"/>
      <w:r>
        <w:rPr>
          <w:rFonts w:hint="eastAsia" w:ascii="仿宋" w:hAnsi="仿宋" w:eastAsia="仿宋" w:cs="仿宋"/>
          <w:sz w:val="24"/>
          <w:szCs w:val="32"/>
          <w:highlight w:val="none"/>
        </w:rPr>
        <w:t>9. 合同价格与支付</w:t>
      </w:r>
      <w:bookmarkEnd w:id="297"/>
      <w:bookmarkEnd w:id="298"/>
    </w:p>
    <w:p w14:paraId="3120DBA4">
      <w:pPr>
        <w:spacing w:line="360" w:lineRule="auto"/>
        <w:rPr>
          <w:rFonts w:hint="eastAsia" w:ascii="仿宋" w:hAnsi="仿宋" w:eastAsia="仿宋" w:cs="仿宋"/>
          <w:sz w:val="24"/>
          <w:highlight w:val="none"/>
        </w:rPr>
      </w:pPr>
      <w:r>
        <w:rPr>
          <w:rFonts w:hint="eastAsia" w:ascii="仿宋" w:hAnsi="仿宋" w:eastAsia="仿宋" w:cs="仿宋"/>
          <w:sz w:val="24"/>
          <w:highlight w:val="none"/>
        </w:rPr>
        <w:t>9.1 合同价格</w:t>
      </w:r>
    </w:p>
    <w:p w14:paraId="4E1183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9.1.1 本合同的价款确定方式、调整方式和风险范围划分，在专用合同条款中约定。</w:t>
      </w:r>
    </w:p>
    <w:p w14:paraId="6EAF8D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9.1.2 除专用合同条款另有约定外，合同价格应当包括收集资料、踏勘现场、制订纲要、实施监理、编制监理文件等全部费用和国家规定的增值税税金。</w:t>
      </w:r>
    </w:p>
    <w:p w14:paraId="087957E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9.1.3 委托人要求监理人进行外出考察、试验检测、专项咨询或专家评审时，相应费用不含在合同价格之中，由委托人另行支付。</w:t>
      </w:r>
    </w:p>
    <w:p w14:paraId="19B8393B">
      <w:pPr>
        <w:spacing w:line="360" w:lineRule="auto"/>
        <w:rPr>
          <w:rFonts w:hint="eastAsia" w:ascii="仿宋" w:hAnsi="仿宋" w:eastAsia="仿宋" w:cs="仿宋"/>
          <w:sz w:val="24"/>
          <w:highlight w:val="none"/>
        </w:rPr>
      </w:pPr>
      <w:r>
        <w:rPr>
          <w:rFonts w:hint="eastAsia" w:ascii="仿宋" w:hAnsi="仿宋" w:eastAsia="仿宋" w:cs="仿宋"/>
          <w:sz w:val="24"/>
          <w:highlight w:val="none"/>
        </w:rPr>
        <w:t>9.2 预付款</w:t>
      </w:r>
    </w:p>
    <w:p w14:paraId="177AC9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9.2.1预付款应专用于本工程的监理。预付款的额度、支付方式及抵扣方式在专用合同条款中约定。</w:t>
      </w:r>
    </w:p>
    <w:p w14:paraId="4731EA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9.2.2 委托人应在收到预付款支付申请后28天内，将预付款支付给监理人；监理人应当提供等额的增值税发票。</w:t>
      </w:r>
    </w:p>
    <w:p w14:paraId="35FED258">
      <w:pPr>
        <w:spacing w:line="360" w:lineRule="auto"/>
        <w:rPr>
          <w:rFonts w:hint="eastAsia" w:ascii="仿宋" w:hAnsi="仿宋" w:eastAsia="仿宋" w:cs="仿宋"/>
          <w:sz w:val="24"/>
          <w:highlight w:val="none"/>
        </w:rPr>
      </w:pPr>
      <w:r>
        <w:rPr>
          <w:rFonts w:hint="eastAsia" w:ascii="仿宋" w:hAnsi="仿宋" w:eastAsia="仿宋" w:cs="仿宋"/>
          <w:sz w:val="24"/>
          <w:highlight w:val="none"/>
        </w:rPr>
        <w:t>9.3 中期支付</w:t>
      </w:r>
    </w:p>
    <w:p w14:paraId="5AEA28F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9.3.1 监理人应按委托人批准或专用合同条款约定的格式及份数，向委托人提交中期支付申请，并附相应的支持性证明文件。</w:t>
      </w:r>
    </w:p>
    <w:p w14:paraId="60F105F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9.3.2 委托人应在收到中期支付申请后的28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14:paraId="5DE237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9.3.3 中期支付涉及政府投资资金的，按照国库集中支付等国家相关规定和专用合同条款的约定执行。</w:t>
      </w:r>
    </w:p>
    <w:p w14:paraId="24521326">
      <w:pPr>
        <w:spacing w:line="360" w:lineRule="auto"/>
        <w:rPr>
          <w:rFonts w:hint="eastAsia" w:ascii="仿宋" w:hAnsi="仿宋" w:eastAsia="仿宋" w:cs="仿宋"/>
          <w:sz w:val="24"/>
          <w:highlight w:val="none"/>
        </w:rPr>
      </w:pPr>
      <w:r>
        <w:rPr>
          <w:rFonts w:hint="eastAsia" w:ascii="仿宋" w:hAnsi="仿宋" w:eastAsia="仿宋" w:cs="仿宋"/>
          <w:sz w:val="24"/>
          <w:highlight w:val="none"/>
        </w:rPr>
        <w:t>9.4 费用结算</w:t>
      </w:r>
    </w:p>
    <w:p w14:paraId="7E1604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9.4.1 合同工作完成后，监理人可按专用合同条款约定的份数和期限，向委托人提交监理费用结算申请，并提供相关证明材料。</w:t>
      </w:r>
    </w:p>
    <w:p w14:paraId="4CA8727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9.4.2 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14:paraId="7B8DA7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9.4.3 委托人对费用结算申请内容有异议的，有权要求监理人进行修正和提供补充资料，由监理人重新提交。监理人对此有异议的，按第12条的约定执行。</w:t>
      </w:r>
    </w:p>
    <w:p w14:paraId="0F16296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9.4.4 最终结清付款涉及政府投资资金的，按第9.3.3项的约定执行。</w:t>
      </w:r>
    </w:p>
    <w:p w14:paraId="73E0F1C6">
      <w:pPr>
        <w:rPr>
          <w:rFonts w:hint="eastAsia" w:ascii="仿宋" w:hAnsi="仿宋" w:eastAsia="仿宋" w:cs="仿宋"/>
          <w:sz w:val="24"/>
          <w:szCs w:val="32"/>
          <w:highlight w:val="none"/>
        </w:rPr>
      </w:pPr>
      <w:bookmarkStart w:id="299" w:name="_Toc19388"/>
      <w:r>
        <w:rPr>
          <w:rFonts w:hint="eastAsia" w:ascii="仿宋" w:hAnsi="仿宋" w:eastAsia="仿宋" w:cs="仿宋"/>
          <w:sz w:val="24"/>
          <w:szCs w:val="32"/>
          <w:highlight w:val="none"/>
        </w:rPr>
        <w:t>10. 不可抗力</w:t>
      </w:r>
      <w:bookmarkEnd w:id="299"/>
    </w:p>
    <w:p w14:paraId="7D80D55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10.1 不可抗力的确认</w:t>
      </w:r>
    </w:p>
    <w:p w14:paraId="6CEC96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10.1.1 不可抗力是指监理人和委托人在订立合同时不可预见，在履行合同过程中不可避免发生并不能克服的自然灾害和社会性突发事件，如地震、海啸、瘟疫、水灾、骚乱、暴动、战争和专用合同条款约定的其他情形。</w:t>
      </w:r>
    </w:p>
    <w:p w14:paraId="1C4F48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10.1.2 不可抗力发生后，委托人和监理人应及时认真统计所造成的损失，收集不可抗力造成损失的证据。合同双方对是否属于不可抗力或其损失的意见不一致的，由合同双方协商确定。</w:t>
      </w:r>
    </w:p>
    <w:p w14:paraId="1A54F25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10.2 不可抗力的通知</w:t>
      </w:r>
    </w:p>
    <w:p w14:paraId="695BDB4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10.2.1 合同一方当事人遇到不可抗力事件，使其履行合同义务受到阻碍时，应立即通知合同另一方当事人，书面说明不可抗力和受阻碍的详细情况，并提供必要的证明。</w:t>
      </w:r>
    </w:p>
    <w:p w14:paraId="77D967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10.2.2 如不可抗力持续发生，合同一方当事人应及时向合同另一方当事人提交中间报告，说明不可抗力和履行合同受阻的情况，并于不可抗力事件结束后28天内提交最终报告及有关资料。</w:t>
      </w:r>
    </w:p>
    <w:p w14:paraId="0765FB7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10.3 不可抗力后果及其处理</w:t>
      </w:r>
    </w:p>
    <w:p w14:paraId="3FCE32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10.3.1 不可抗力引起的后果及其损失，应由合同当事人依据法律规定各自承担。不可抗力发生前已完成的监理工作，应当按照合同约定进行支付。</w:t>
      </w:r>
    </w:p>
    <w:p w14:paraId="53B4DEF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10.3.2 不可抗力发生后，合同当事人应当采取有效措施避免损失进一步扩大，如未采取有效措施致使损失扩大的，应当自行承担扩大部分的损失。</w:t>
      </w:r>
    </w:p>
    <w:p w14:paraId="10E78F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10.3.3 因一方当事人迟延履行合同义务，致使迟延履行期间遭遇不可抗力的，应由该当事人承担全部损失。</w:t>
      </w:r>
    </w:p>
    <w:p w14:paraId="78A2B9B9">
      <w:pPr>
        <w:rPr>
          <w:rFonts w:hint="eastAsia" w:ascii="仿宋" w:hAnsi="仿宋" w:eastAsia="仿宋" w:cs="仿宋"/>
          <w:sz w:val="24"/>
          <w:szCs w:val="32"/>
          <w:highlight w:val="none"/>
        </w:rPr>
      </w:pPr>
      <w:bookmarkStart w:id="300" w:name="_Toc24203"/>
      <w:r>
        <w:rPr>
          <w:rFonts w:hint="eastAsia" w:ascii="仿宋" w:hAnsi="仿宋" w:eastAsia="仿宋" w:cs="仿宋"/>
          <w:sz w:val="24"/>
          <w:szCs w:val="32"/>
          <w:highlight w:val="none"/>
        </w:rPr>
        <w:t>11. 违约</w:t>
      </w:r>
      <w:bookmarkEnd w:id="300"/>
    </w:p>
    <w:p w14:paraId="2296BACA">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11.1 监理人违约</w:t>
      </w:r>
    </w:p>
    <w:p w14:paraId="4EA9C7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11.1.1合同履行中发生下列情况之一的，属监理人违约：</w:t>
      </w:r>
    </w:p>
    <w:p w14:paraId="616904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（1）监理文件不符合规范标准以及合同约定；</w:t>
      </w:r>
    </w:p>
    <w:p w14:paraId="340A93C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（2）监理人转让监理工作；</w:t>
      </w:r>
    </w:p>
    <w:p w14:paraId="6D618ED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（3）监理人未按合同约定实施监理并造成工程损失；</w:t>
      </w:r>
    </w:p>
    <w:p w14:paraId="309119B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（4）监理人无法履行或停止履行合同；</w:t>
      </w:r>
    </w:p>
    <w:p w14:paraId="5620A8F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（5）监理人不履行合同约定的其他义务。</w:t>
      </w:r>
    </w:p>
    <w:p w14:paraId="3BEF6C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11.1.2 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3F12221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11.2 委托人违约</w:t>
      </w:r>
    </w:p>
    <w:p w14:paraId="2AAE7E5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12.2.1合同履行中发生下列情况之一的，属委托人违约：</w:t>
      </w:r>
    </w:p>
    <w:p w14:paraId="6A98866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（1）委托人未按合同约定支付监理报酬；</w:t>
      </w:r>
    </w:p>
    <w:p w14:paraId="789C4F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（2）委托人原因造成监理停止；</w:t>
      </w:r>
    </w:p>
    <w:p w14:paraId="7436F1B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（3）委托人无法履行或停止履行合同；</w:t>
      </w:r>
    </w:p>
    <w:p w14:paraId="21D30EC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（4）委托人不履行合同约定的其他义务。</w:t>
      </w:r>
    </w:p>
    <w:p w14:paraId="78B2182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43BA917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11.3 第三人造成的违约</w:t>
      </w:r>
    </w:p>
    <w:p w14:paraId="6D54CB5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在履行合同过程中，一方当事人因第三人的原因造成违约的，应当向对方当事人承担违约责任。一方当事人和第三人之间的纠纷，依照法律规定或者按照约定解决。</w:t>
      </w:r>
    </w:p>
    <w:p w14:paraId="739DA938">
      <w:pPr>
        <w:rPr>
          <w:rFonts w:hint="eastAsia" w:ascii="仿宋" w:hAnsi="仿宋" w:eastAsia="仿宋" w:cs="仿宋"/>
          <w:sz w:val="24"/>
          <w:szCs w:val="32"/>
          <w:highlight w:val="none"/>
        </w:rPr>
      </w:pPr>
      <w:bookmarkStart w:id="301" w:name="_Toc5770"/>
      <w:r>
        <w:rPr>
          <w:rFonts w:hint="eastAsia" w:ascii="仿宋" w:hAnsi="仿宋" w:eastAsia="仿宋" w:cs="仿宋"/>
          <w:sz w:val="24"/>
          <w:szCs w:val="32"/>
          <w:highlight w:val="none"/>
        </w:rPr>
        <w:t>12. 争议的解决</w:t>
      </w:r>
      <w:bookmarkEnd w:id="301"/>
    </w:p>
    <w:p w14:paraId="2373D9B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委托人和监理人在履行合同中发生争议的，可以友好协商解决。合同当事人友好协商解决不成的，可在专用合同条款中约定下列一种方式解决：</w:t>
      </w:r>
    </w:p>
    <w:p w14:paraId="70496B2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（1）向约定的仲裁委员会申请仲裁；</w:t>
      </w:r>
    </w:p>
    <w:p w14:paraId="01CCCF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（2）向有管辖权的人民法院提起诉讼。</w:t>
      </w:r>
    </w:p>
    <w:p w14:paraId="77A9A65C">
      <w:pPr>
        <w:spacing w:line="36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highlight w:val="none"/>
        </w:rPr>
        <w:br w:type="page"/>
      </w:r>
      <w:bookmarkStart w:id="302" w:name="_Toc5552"/>
      <w:bookmarkStart w:id="303" w:name="_Toc9725"/>
      <w:r>
        <w:rPr>
          <w:rFonts w:hint="eastAsia" w:ascii="仿宋" w:hAnsi="仿宋" w:eastAsia="仿宋" w:cs="仿宋"/>
          <w:b/>
          <w:kern w:val="2"/>
          <w:sz w:val="24"/>
          <w:szCs w:val="24"/>
          <w:highlight w:val="none"/>
          <w:lang w:val="en-US" w:eastAsia="zh-CN" w:bidi="ar-SA"/>
        </w:rPr>
        <w:t>第三部分  专用合同条款</w:t>
      </w:r>
      <w:bookmarkEnd w:id="302"/>
      <w:bookmarkEnd w:id="303"/>
    </w:p>
    <w:p w14:paraId="5AE26A6B">
      <w:pPr>
        <w:rPr>
          <w:rFonts w:hint="eastAsia" w:ascii="仿宋" w:hAnsi="仿宋" w:eastAsia="仿宋" w:cs="仿宋"/>
          <w:sz w:val="24"/>
          <w:szCs w:val="32"/>
          <w:highlight w:val="none"/>
        </w:rPr>
      </w:pPr>
      <w:bookmarkStart w:id="304" w:name="_Toc256000037"/>
      <w:bookmarkStart w:id="305" w:name="_Toc30530"/>
      <w:r>
        <w:rPr>
          <w:rFonts w:hint="eastAsia" w:ascii="仿宋" w:hAnsi="仿宋" w:eastAsia="仿宋" w:cs="仿宋"/>
          <w:sz w:val="24"/>
          <w:szCs w:val="32"/>
          <w:highlight w:val="none"/>
        </w:rPr>
        <w:t>1. 定义与解释</w:t>
      </w:r>
      <w:bookmarkEnd w:id="304"/>
      <w:bookmarkEnd w:id="305"/>
    </w:p>
    <w:p w14:paraId="51953A61">
      <w:pPr>
        <w:rPr>
          <w:rFonts w:hint="eastAsia" w:ascii="仿宋" w:hAnsi="仿宋" w:eastAsia="仿宋" w:cs="仿宋"/>
          <w:sz w:val="24"/>
          <w:highlight w:val="none"/>
        </w:rPr>
      </w:pPr>
      <w:r>
        <w:rPr>
          <w:rFonts w:hint="eastAsia" w:ascii="仿宋" w:hAnsi="仿宋" w:eastAsia="仿宋" w:cs="仿宋"/>
          <w:sz w:val="24"/>
          <w:highlight w:val="none"/>
        </w:rPr>
        <w:t>1.2  解释</w:t>
      </w:r>
    </w:p>
    <w:p w14:paraId="0359F8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 本合同文件除使用中文外，还可用 ：</w:t>
      </w:r>
    </w:p>
    <w:p w14:paraId="7F6350D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1.2.2 约定本合同文件的解释顺序为： </w:t>
      </w:r>
    </w:p>
    <w:p w14:paraId="60BE8F23">
      <w:pPr>
        <w:rPr>
          <w:rFonts w:hint="eastAsia" w:ascii="仿宋" w:hAnsi="仿宋" w:eastAsia="仿宋" w:cs="仿宋"/>
          <w:sz w:val="24"/>
          <w:szCs w:val="32"/>
          <w:highlight w:val="none"/>
        </w:rPr>
      </w:pPr>
      <w:bookmarkStart w:id="306" w:name="_Toc21193"/>
      <w:bookmarkStart w:id="307" w:name="_Toc256000038"/>
      <w:r>
        <w:rPr>
          <w:rFonts w:hint="eastAsia" w:ascii="仿宋" w:hAnsi="仿宋" w:eastAsia="仿宋" w:cs="仿宋"/>
          <w:sz w:val="24"/>
          <w:szCs w:val="32"/>
          <w:highlight w:val="none"/>
        </w:rPr>
        <w:t>2. 监理人义务</w:t>
      </w:r>
      <w:bookmarkEnd w:id="306"/>
      <w:bookmarkEnd w:id="307"/>
    </w:p>
    <w:p w14:paraId="1A2588CB">
      <w:pPr>
        <w:rPr>
          <w:rFonts w:hint="eastAsia" w:ascii="仿宋" w:hAnsi="仿宋" w:eastAsia="仿宋" w:cs="仿宋"/>
          <w:sz w:val="24"/>
          <w:highlight w:val="none"/>
        </w:rPr>
      </w:pPr>
      <w:r>
        <w:rPr>
          <w:rFonts w:hint="eastAsia" w:ascii="仿宋" w:hAnsi="仿宋" w:eastAsia="仿宋" w:cs="仿宋"/>
          <w:sz w:val="24"/>
          <w:highlight w:val="none"/>
        </w:rPr>
        <w:t>2.1 监理的范围和内容</w:t>
      </w:r>
    </w:p>
    <w:p w14:paraId="06A13A1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2.1.1 监理范围包括： </w:t>
      </w:r>
    </w:p>
    <w:p w14:paraId="4AB1256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2.1.2 监理工作内容还包括： </w:t>
      </w:r>
    </w:p>
    <w:p w14:paraId="7CFB18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监理与相关服务依据</w:t>
      </w:r>
    </w:p>
    <w:p w14:paraId="2816E4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监理依据包括：</w:t>
      </w:r>
    </w:p>
    <w:p w14:paraId="1E2D648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相关服务依据包括：</w:t>
      </w:r>
    </w:p>
    <w:p w14:paraId="434202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2.3项目监理机构和人员</w:t>
      </w:r>
    </w:p>
    <w:p w14:paraId="7812C1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2.3.4 更换监理人员的其他情形： </w:t>
      </w:r>
    </w:p>
    <w:p w14:paraId="4FE1548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 履行职责</w:t>
      </w:r>
    </w:p>
    <w:p w14:paraId="56098F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2.4.3 对监理人的授权范围：</w:t>
      </w:r>
    </w:p>
    <w:p w14:paraId="24E1A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在涉及工程延期天内和（或）金额万元内的变更，监理人不需请示委托人即可向承包人发布变更通知。</w:t>
      </w:r>
    </w:p>
    <w:p w14:paraId="6E83150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2.4.4 监理人有权要求承包人调换其人员的限制条件：</w:t>
      </w:r>
    </w:p>
    <w:p w14:paraId="33903E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 提交报告</w:t>
      </w:r>
    </w:p>
    <w:p w14:paraId="39536D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监理人应提交报告的种类(包括监理规划、监理月报及约定的专项报告)、时间和份数：</w:t>
      </w:r>
    </w:p>
    <w:p w14:paraId="1C33B39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2.7 使用委托人的财产</w:t>
      </w:r>
    </w:p>
    <w:p w14:paraId="2E578E0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附录B中由委托人无偿提供的房屋、设备的所有权属于： </w:t>
      </w:r>
    </w:p>
    <w:p w14:paraId="3A13322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监理人应在本合同终止后 天内移交委托人无偿提供的房屋、设备，移交的时间和方式为：               。</w:t>
      </w:r>
    </w:p>
    <w:p w14:paraId="1A3EF616">
      <w:pPr>
        <w:rPr>
          <w:rFonts w:hint="eastAsia" w:ascii="仿宋" w:hAnsi="仿宋" w:eastAsia="仿宋" w:cs="仿宋"/>
          <w:sz w:val="24"/>
          <w:szCs w:val="32"/>
          <w:highlight w:val="none"/>
        </w:rPr>
      </w:pPr>
      <w:bookmarkStart w:id="308" w:name="_Toc10145"/>
      <w:bookmarkStart w:id="309" w:name="_Toc256000039"/>
      <w:r>
        <w:rPr>
          <w:rFonts w:hint="eastAsia" w:ascii="仿宋" w:hAnsi="仿宋" w:eastAsia="仿宋" w:cs="仿宋"/>
          <w:sz w:val="24"/>
          <w:szCs w:val="32"/>
          <w:highlight w:val="none"/>
        </w:rPr>
        <w:t>3. 委托人义务</w:t>
      </w:r>
      <w:bookmarkEnd w:id="308"/>
      <w:bookmarkEnd w:id="309"/>
    </w:p>
    <w:p w14:paraId="27C061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3.4 委托人代表</w:t>
      </w:r>
    </w:p>
    <w:p w14:paraId="4222CD0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委托人代表为：</w:t>
      </w:r>
    </w:p>
    <w:p w14:paraId="3F7A2ACD">
      <w:pPr>
        <w:spacing w:line="360" w:lineRule="auto"/>
        <w:rPr>
          <w:rFonts w:hint="eastAsia" w:ascii="仿宋" w:hAnsi="仿宋" w:eastAsia="仿宋" w:cs="仿宋"/>
          <w:sz w:val="24"/>
          <w:highlight w:val="none"/>
        </w:rPr>
      </w:pPr>
      <w:r>
        <w:rPr>
          <w:rFonts w:hint="eastAsia" w:ascii="仿宋" w:hAnsi="仿宋" w:eastAsia="仿宋" w:cs="仿宋"/>
          <w:sz w:val="24"/>
          <w:highlight w:val="none"/>
        </w:rPr>
        <w:t>3.6 答复</w:t>
      </w:r>
    </w:p>
    <w:p w14:paraId="25D2EE5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委托人同意在天内，对监理人书面提交并要求</w:t>
      </w:r>
      <w:r>
        <w:rPr>
          <w:rFonts w:hint="eastAsia" w:ascii="仿宋" w:hAnsi="仿宋" w:eastAsia="仿宋" w:cs="仿宋"/>
          <w:sz w:val="24"/>
          <w:highlight w:val="none"/>
          <w:lang w:eastAsia="zh-CN"/>
        </w:rPr>
        <w:t>作出决定</w:t>
      </w:r>
      <w:r>
        <w:rPr>
          <w:rFonts w:hint="eastAsia" w:ascii="仿宋" w:hAnsi="仿宋" w:eastAsia="仿宋" w:cs="仿宋"/>
          <w:sz w:val="24"/>
          <w:highlight w:val="none"/>
        </w:rPr>
        <w:t>的事宜给予书面答复。</w:t>
      </w:r>
    </w:p>
    <w:p w14:paraId="3B13A496">
      <w:pPr>
        <w:rPr>
          <w:rFonts w:hint="eastAsia" w:ascii="仿宋" w:hAnsi="仿宋" w:eastAsia="仿宋" w:cs="仿宋"/>
          <w:sz w:val="24"/>
          <w:szCs w:val="32"/>
          <w:highlight w:val="none"/>
        </w:rPr>
      </w:pPr>
      <w:bookmarkStart w:id="310" w:name="_Toc12932"/>
      <w:bookmarkStart w:id="311" w:name="_Toc256000040"/>
      <w:r>
        <w:rPr>
          <w:rFonts w:hint="eastAsia" w:ascii="仿宋" w:hAnsi="仿宋" w:eastAsia="仿宋" w:cs="仿宋"/>
          <w:sz w:val="24"/>
          <w:szCs w:val="32"/>
          <w:highlight w:val="none"/>
        </w:rPr>
        <w:t>4. 违约责任</w:t>
      </w:r>
      <w:bookmarkEnd w:id="310"/>
      <w:bookmarkEnd w:id="311"/>
    </w:p>
    <w:p w14:paraId="63936368">
      <w:pPr>
        <w:spacing w:line="360" w:lineRule="auto"/>
        <w:rPr>
          <w:rFonts w:hint="eastAsia" w:ascii="仿宋" w:hAnsi="仿宋" w:eastAsia="仿宋" w:cs="仿宋"/>
          <w:sz w:val="24"/>
          <w:highlight w:val="none"/>
        </w:rPr>
      </w:pPr>
      <w:r>
        <w:rPr>
          <w:rFonts w:hint="eastAsia" w:ascii="仿宋" w:hAnsi="仿宋" w:eastAsia="仿宋" w:cs="仿宋"/>
          <w:sz w:val="24"/>
          <w:highlight w:val="none"/>
        </w:rPr>
        <w:t>4.1 监理人的违约责任</w:t>
      </w:r>
    </w:p>
    <w:p w14:paraId="487876A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4.1.1监理人赔偿金额按下列方法确定：</w:t>
      </w:r>
    </w:p>
    <w:p w14:paraId="053F3B5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赔偿金＝直接经济损失×正常工作酬金÷工程概算投资额（或建筑安装工程费）</w:t>
      </w:r>
    </w:p>
    <w:p w14:paraId="27A4154E">
      <w:pPr>
        <w:spacing w:line="360" w:lineRule="auto"/>
        <w:rPr>
          <w:rFonts w:hint="eastAsia" w:ascii="仿宋" w:hAnsi="仿宋" w:eastAsia="仿宋" w:cs="仿宋"/>
          <w:sz w:val="24"/>
          <w:highlight w:val="none"/>
        </w:rPr>
      </w:pPr>
      <w:r>
        <w:rPr>
          <w:rFonts w:hint="eastAsia" w:ascii="仿宋" w:hAnsi="仿宋" w:eastAsia="仿宋" w:cs="仿宋"/>
          <w:sz w:val="24"/>
          <w:highlight w:val="none"/>
        </w:rPr>
        <w:t>4.2 委托人的违约责任</w:t>
      </w:r>
    </w:p>
    <w:p w14:paraId="44A33E5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4.2.3 委托人逾期付款利息按下列方法确定：</w:t>
      </w:r>
    </w:p>
    <w:p w14:paraId="233702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逾期付款利息＝当期应付款总额×银行同期贷款利率×拖延支付天数</w:t>
      </w:r>
    </w:p>
    <w:p w14:paraId="385DE8F4">
      <w:pPr>
        <w:rPr>
          <w:rFonts w:hint="eastAsia" w:ascii="仿宋" w:hAnsi="仿宋" w:eastAsia="仿宋" w:cs="仿宋"/>
          <w:sz w:val="24"/>
          <w:szCs w:val="32"/>
          <w:highlight w:val="none"/>
        </w:rPr>
      </w:pPr>
      <w:bookmarkStart w:id="312" w:name="_Toc30344"/>
      <w:bookmarkStart w:id="313" w:name="_Toc256000041"/>
      <w:r>
        <w:rPr>
          <w:rFonts w:hint="eastAsia" w:ascii="仿宋" w:hAnsi="仿宋" w:eastAsia="仿宋" w:cs="仿宋"/>
          <w:sz w:val="24"/>
          <w:szCs w:val="32"/>
          <w:highlight w:val="none"/>
        </w:rPr>
        <w:t>5. 支付</w:t>
      </w:r>
      <w:bookmarkEnd w:id="312"/>
      <w:bookmarkEnd w:id="313"/>
    </w:p>
    <w:p w14:paraId="2696381F">
      <w:pPr>
        <w:spacing w:line="360" w:lineRule="auto"/>
        <w:rPr>
          <w:rFonts w:hint="eastAsia" w:ascii="仿宋" w:hAnsi="仿宋" w:eastAsia="仿宋" w:cs="仿宋"/>
          <w:sz w:val="24"/>
          <w:highlight w:val="none"/>
        </w:rPr>
      </w:pPr>
      <w:r>
        <w:rPr>
          <w:rFonts w:hint="eastAsia" w:ascii="仿宋" w:hAnsi="仿宋" w:eastAsia="仿宋" w:cs="仿宋"/>
          <w:sz w:val="24"/>
          <w:highlight w:val="none"/>
        </w:rPr>
        <w:t>5.1 支付货币</w:t>
      </w:r>
    </w:p>
    <w:p w14:paraId="198353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币种为：  ，比例为：，汇率为： 。 </w:t>
      </w:r>
    </w:p>
    <w:p w14:paraId="56003401">
      <w:pPr>
        <w:spacing w:line="360" w:lineRule="auto"/>
        <w:rPr>
          <w:rFonts w:hint="eastAsia" w:ascii="仿宋" w:hAnsi="仿宋" w:eastAsia="仿宋" w:cs="仿宋"/>
          <w:sz w:val="24"/>
          <w:highlight w:val="none"/>
        </w:rPr>
      </w:pPr>
      <w:r>
        <w:rPr>
          <w:rFonts w:hint="eastAsia" w:ascii="仿宋" w:hAnsi="仿宋" w:eastAsia="仿宋" w:cs="仿宋"/>
          <w:sz w:val="24"/>
          <w:highlight w:val="none"/>
        </w:rPr>
        <w:t>5.3 支付酬金</w:t>
      </w:r>
    </w:p>
    <w:p w14:paraId="1719C30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正常工作酬金的支付：</w:t>
      </w:r>
    </w:p>
    <w:tbl>
      <w:tblPr>
        <w:tblStyle w:val="31"/>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910"/>
        <w:gridCol w:w="1630"/>
        <w:gridCol w:w="2959"/>
      </w:tblGrid>
      <w:tr w14:paraId="6597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14:paraId="69A59A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支付次数</w:t>
            </w:r>
          </w:p>
        </w:tc>
        <w:tc>
          <w:tcPr>
            <w:tcW w:w="1910" w:type="dxa"/>
            <w:noWrap w:val="0"/>
            <w:vAlign w:val="center"/>
          </w:tcPr>
          <w:p w14:paraId="3F1C21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支付时间</w:t>
            </w:r>
          </w:p>
        </w:tc>
        <w:tc>
          <w:tcPr>
            <w:tcW w:w="1630" w:type="dxa"/>
            <w:noWrap w:val="0"/>
            <w:vAlign w:val="top"/>
          </w:tcPr>
          <w:p w14:paraId="5D9AF5BC">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支付比例</w:t>
            </w:r>
          </w:p>
        </w:tc>
        <w:tc>
          <w:tcPr>
            <w:tcW w:w="2959" w:type="dxa"/>
            <w:noWrap w:val="0"/>
            <w:vAlign w:val="center"/>
          </w:tcPr>
          <w:p w14:paraId="6C33FB6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支付金额（万元）</w:t>
            </w:r>
          </w:p>
        </w:tc>
      </w:tr>
      <w:tr w14:paraId="07B5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top"/>
          </w:tcPr>
          <w:p w14:paraId="355A2FA9">
            <w:pPr>
              <w:spacing w:line="360" w:lineRule="auto"/>
              <w:ind w:firstLine="480" w:firstLineChars="200"/>
              <w:rPr>
                <w:rFonts w:hint="eastAsia" w:ascii="仿宋" w:hAnsi="仿宋" w:eastAsia="仿宋" w:cs="仿宋"/>
                <w:sz w:val="24"/>
                <w:highlight w:val="none"/>
              </w:rPr>
            </w:pPr>
          </w:p>
        </w:tc>
        <w:tc>
          <w:tcPr>
            <w:tcW w:w="1910" w:type="dxa"/>
            <w:noWrap w:val="0"/>
            <w:vAlign w:val="top"/>
          </w:tcPr>
          <w:p w14:paraId="7B32C6E4">
            <w:pPr>
              <w:spacing w:line="360" w:lineRule="auto"/>
              <w:rPr>
                <w:rFonts w:hint="eastAsia" w:ascii="仿宋" w:hAnsi="仿宋" w:eastAsia="仿宋" w:cs="仿宋"/>
                <w:sz w:val="24"/>
                <w:highlight w:val="none"/>
              </w:rPr>
            </w:pPr>
          </w:p>
        </w:tc>
        <w:tc>
          <w:tcPr>
            <w:tcW w:w="1630" w:type="dxa"/>
            <w:noWrap w:val="0"/>
            <w:vAlign w:val="top"/>
          </w:tcPr>
          <w:p w14:paraId="35AF6C89">
            <w:pPr>
              <w:spacing w:line="360" w:lineRule="auto"/>
              <w:ind w:firstLine="480" w:firstLineChars="200"/>
              <w:rPr>
                <w:rFonts w:hint="eastAsia" w:ascii="仿宋" w:hAnsi="仿宋" w:eastAsia="仿宋" w:cs="仿宋"/>
                <w:sz w:val="24"/>
                <w:highlight w:val="none"/>
              </w:rPr>
            </w:pPr>
          </w:p>
        </w:tc>
        <w:tc>
          <w:tcPr>
            <w:tcW w:w="2959" w:type="dxa"/>
            <w:noWrap w:val="0"/>
            <w:vAlign w:val="top"/>
          </w:tcPr>
          <w:p w14:paraId="4B3C694F">
            <w:pPr>
              <w:spacing w:line="360" w:lineRule="auto"/>
              <w:ind w:firstLine="480" w:firstLineChars="200"/>
              <w:rPr>
                <w:rFonts w:hint="eastAsia" w:ascii="仿宋" w:hAnsi="仿宋" w:eastAsia="仿宋" w:cs="仿宋"/>
                <w:sz w:val="24"/>
                <w:highlight w:val="none"/>
              </w:rPr>
            </w:pPr>
          </w:p>
        </w:tc>
      </w:tr>
      <w:tr w14:paraId="3F6F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top"/>
          </w:tcPr>
          <w:p w14:paraId="265002CB">
            <w:pPr>
              <w:spacing w:line="360" w:lineRule="auto"/>
              <w:ind w:firstLine="480" w:firstLineChars="200"/>
              <w:rPr>
                <w:rFonts w:hint="eastAsia" w:ascii="仿宋" w:hAnsi="仿宋" w:eastAsia="仿宋" w:cs="仿宋"/>
                <w:sz w:val="24"/>
                <w:highlight w:val="none"/>
              </w:rPr>
            </w:pPr>
          </w:p>
        </w:tc>
        <w:tc>
          <w:tcPr>
            <w:tcW w:w="1910" w:type="dxa"/>
            <w:noWrap w:val="0"/>
            <w:vAlign w:val="top"/>
          </w:tcPr>
          <w:p w14:paraId="2D436709">
            <w:pPr>
              <w:spacing w:line="360" w:lineRule="auto"/>
              <w:rPr>
                <w:rFonts w:hint="eastAsia" w:ascii="仿宋" w:hAnsi="仿宋" w:eastAsia="仿宋" w:cs="仿宋"/>
                <w:sz w:val="24"/>
                <w:highlight w:val="none"/>
              </w:rPr>
            </w:pPr>
          </w:p>
        </w:tc>
        <w:tc>
          <w:tcPr>
            <w:tcW w:w="1630" w:type="dxa"/>
            <w:noWrap w:val="0"/>
            <w:vAlign w:val="top"/>
          </w:tcPr>
          <w:p w14:paraId="54740A24">
            <w:pPr>
              <w:spacing w:line="360" w:lineRule="auto"/>
              <w:ind w:firstLine="480" w:firstLineChars="200"/>
              <w:rPr>
                <w:rFonts w:hint="eastAsia" w:ascii="仿宋" w:hAnsi="仿宋" w:eastAsia="仿宋" w:cs="仿宋"/>
                <w:sz w:val="24"/>
                <w:highlight w:val="none"/>
              </w:rPr>
            </w:pPr>
          </w:p>
        </w:tc>
        <w:tc>
          <w:tcPr>
            <w:tcW w:w="2959" w:type="dxa"/>
            <w:noWrap w:val="0"/>
            <w:vAlign w:val="top"/>
          </w:tcPr>
          <w:p w14:paraId="5D10AD05">
            <w:pPr>
              <w:spacing w:line="360" w:lineRule="auto"/>
              <w:ind w:firstLine="480" w:firstLineChars="200"/>
              <w:rPr>
                <w:rFonts w:hint="eastAsia" w:ascii="仿宋" w:hAnsi="仿宋" w:eastAsia="仿宋" w:cs="仿宋"/>
                <w:sz w:val="24"/>
                <w:highlight w:val="none"/>
              </w:rPr>
            </w:pPr>
          </w:p>
        </w:tc>
      </w:tr>
    </w:tbl>
    <w:p w14:paraId="106B2ACD">
      <w:pPr>
        <w:spacing w:line="360" w:lineRule="auto"/>
        <w:rPr>
          <w:rFonts w:hint="eastAsia" w:ascii="仿宋" w:hAnsi="仿宋" w:eastAsia="仿宋" w:cs="仿宋"/>
          <w:sz w:val="24"/>
          <w:highlight w:val="none"/>
        </w:rPr>
      </w:pPr>
    </w:p>
    <w:p w14:paraId="62B964D6">
      <w:pPr>
        <w:rPr>
          <w:rFonts w:hint="eastAsia" w:ascii="仿宋" w:hAnsi="仿宋" w:eastAsia="仿宋" w:cs="仿宋"/>
          <w:b/>
          <w:bCs/>
          <w:sz w:val="24"/>
          <w:szCs w:val="32"/>
          <w:highlight w:val="none"/>
        </w:rPr>
      </w:pPr>
      <w:bookmarkStart w:id="314" w:name="_Toc14756"/>
      <w:bookmarkStart w:id="315" w:name="_Toc256000042"/>
      <w:r>
        <w:rPr>
          <w:rFonts w:hint="eastAsia" w:ascii="仿宋" w:hAnsi="仿宋" w:eastAsia="仿宋" w:cs="仿宋"/>
          <w:b/>
          <w:bCs/>
          <w:sz w:val="24"/>
          <w:szCs w:val="32"/>
          <w:highlight w:val="none"/>
        </w:rPr>
        <w:t>6. 合同生效、变更、暂停、解除与终止</w:t>
      </w:r>
      <w:bookmarkEnd w:id="314"/>
      <w:bookmarkEnd w:id="315"/>
    </w:p>
    <w:p w14:paraId="017F7C12">
      <w:pPr>
        <w:rPr>
          <w:rFonts w:hint="eastAsia" w:ascii="仿宋" w:hAnsi="仿宋" w:eastAsia="仿宋" w:cs="仿宋"/>
          <w:sz w:val="24"/>
          <w:szCs w:val="32"/>
          <w:highlight w:val="none"/>
        </w:rPr>
      </w:pPr>
      <w:r>
        <w:rPr>
          <w:rFonts w:hint="eastAsia" w:ascii="仿宋" w:hAnsi="仿宋" w:eastAsia="仿宋" w:cs="仿宋"/>
          <w:sz w:val="24"/>
          <w:highlight w:val="none"/>
        </w:rPr>
        <w:t>6.1 生效</w:t>
      </w:r>
    </w:p>
    <w:p w14:paraId="283BB33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本合同生效条件：                               。</w:t>
      </w:r>
    </w:p>
    <w:p w14:paraId="572135B0">
      <w:pPr>
        <w:spacing w:line="360" w:lineRule="auto"/>
        <w:rPr>
          <w:rFonts w:hint="eastAsia" w:ascii="仿宋" w:hAnsi="仿宋" w:eastAsia="仿宋" w:cs="仿宋"/>
          <w:sz w:val="24"/>
          <w:highlight w:val="none"/>
        </w:rPr>
      </w:pPr>
      <w:r>
        <w:rPr>
          <w:rFonts w:hint="eastAsia" w:ascii="仿宋" w:hAnsi="仿宋" w:eastAsia="仿宋" w:cs="仿宋"/>
          <w:sz w:val="24"/>
          <w:highlight w:val="none"/>
        </w:rPr>
        <w:t>6.2 变更</w:t>
      </w:r>
    </w:p>
    <w:p w14:paraId="02EF775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6.2.2 除不可抗力外， 因非监理人原因导致本合同期限延长时，附加工作酬金按下列方法确定：</w:t>
      </w:r>
    </w:p>
    <w:p w14:paraId="66F48FB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附加工作酬金=本合同期限延长时间（天）×正常工作酬金÷协议书约定的监理与相关服务期限（天）</w:t>
      </w:r>
    </w:p>
    <w:p w14:paraId="7DDAF5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6.2.3附加工作酬金按下列方法确定：</w:t>
      </w:r>
    </w:p>
    <w:p w14:paraId="2545906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附加工作酬金=善后工作及恢复服务的准备工作时间（天）×正常工作酬金÷协议书约定的监理与相关服务期限（天）</w:t>
      </w:r>
    </w:p>
    <w:p w14:paraId="0AB36B7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6.2.5 正常工作酬金增加额按下列方法确定： </w:t>
      </w:r>
    </w:p>
    <w:p w14:paraId="13E8D9E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正常工作酬金增加额=工程投资额或建筑安装工程费增加额×正常工作酬金÷工程概算投资额（或建筑安装工程费）</w:t>
      </w:r>
    </w:p>
    <w:p w14:paraId="349946D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6.2.6 因工程规模、监理范围的变化导致监理人的正常工作量减少时，按减少工作量的比例从协议书约定的正常工作酬金中扣减相同比例的酬金。</w:t>
      </w:r>
    </w:p>
    <w:p w14:paraId="5D268935">
      <w:pPr>
        <w:rPr>
          <w:rFonts w:hint="eastAsia" w:ascii="仿宋" w:hAnsi="仿宋" w:eastAsia="仿宋" w:cs="仿宋"/>
          <w:b/>
          <w:bCs/>
          <w:sz w:val="24"/>
          <w:szCs w:val="32"/>
          <w:highlight w:val="none"/>
        </w:rPr>
      </w:pPr>
      <w:bookmarkStart w:id="316" w:name="_Toc19272"/>
      <w:bookmarkStart w:id="317" w:name="_Toc256000043"/>
      <w:r>
        <w:rPr>
          <w:rFonts w:hint="eastAsia" w:ascii="仿宋" w:hAnsi="仿宋" w:eastAsia="仿宋" w:cs="仿宋"/>
          <w:b/>
          <w:bCs/>
          <w:sz w:val="24"/>
          <w:szCs w:val="32"/>
          <w:highlight w:val="none"/>
        </w:rPr>
        <w:t>7. 争议解决</w:t>
      </w:r>
      <w:bookmarkEnd w:id="316"/>
      <w:bookmarkEnd w:id="317"/>
    </w:p>
    <w:p w14:paraId="14F04855">
      <w:pPr>
        <w:spacing w:line="360" w:lineRule="auto"/>
        <w:rPr>
          <w:rFonts w:hint="eastAsia" w:ascii="仿宋" w:hAnsi="仿宋" w:eastAsia="仿宋" w:cs="仿宋"/>
          <w:sz w:val="24"/>
          <w:highlight w:val="none"/>
        </w:rPr>
      </w:pPr>
      <w:r>
        <w:rPr>
          <w:rFonts w:hint="eastAsia" w:ascii="仿宋" w:hAnsi="仿宋" w:eastAsia="仿宋" w:cs="仿宋"/>
          <w:sz w:val="24"/>
          <w:highlight w:val="none"/>
        </w:rPr>
        <w:t>7.2 调解</w:t>
      </w:r>
    </w:p>
    <w:p w14:paraId="0EEDC30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本合同争议进行调解时，可提交进行调解。</w:t>
      </w:r>
    </w:p>
    <w:p w14:paraId="1B59BB31">
      <w:pPr>
        <w:spacing w:line="360" w:lineRule="auto"/>
        <w:rPr>
          <w:rFonts w:hint="eastAsia" w:ascii="仿宋" w:hAnsi="仿宋" w:eastAsia="仿宋" w:cs="仿宋"/>
          <w:sz w:val="24"/>
          <w:highlight w:val="none"/>
        </w:rPr>
      </w:pPr>
      <w:r>
        <w:rPr>
          <w:rFonts w:hint="eastAsia" w:ascii="仿宋" w:hAnsi="仿宋" w:eastAsia="仿宋" w:cs="仿宋"/>
          <w:sz w:val="24"/>
          <w:highlight w:val="none"/>
        </w:rPr>
        <w:t>7.3 仲裁或诉讼</w:t>
      </w:r>
    </w:p>
    <w:p w14:paraId="315AD3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合同争议的最终解决方式为下列第种方式：</w:t>
      </w:r>
    </w:p>
    <w:p w14:paraId="4D94A6B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（1）提请 仲裁委员会进行仲裁。</w:t>
      </w:r>
    </w:p>
    <w:p w14:paraId="22E5F51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（2）向人民法院提起诉讼。</w:t>
      </w:r>
    </w:p>
    <w:p w14:paraId="0ED407EE">
      <w:pPr>
        <w:rPr>
          <w:rFonts w:hint="eastAsia" w:ascii="仿宋" w:hAnsi="仿宋" w:eastAsia="仿宋" w:cs="仿宋"/>
          <w:b/>
          <w:bCs/>
          <w:sz w:val="24"/>
          <w:szCs w:val="32"/>
          <w:highlight w:val="none"/>
        </w:rPr>
      </w:pPr>
      <w:bookmarkStart w:id="318" w:name="_Toc11295"/>
      <w:bookmarkStart w:id="319" w:name="_Toc256000044"/>
      <w:r>
        <w:rPr>
          <w:rFonts w:hint="eastAsia" w:ascii="仿宋" w:hAnsi="仿宋" w:eastAsia="仿宋" w:cs="仿宋"/>
          <w:b/>
          <w:bCs/>
          <w:sz w:val="24"/>
          <w:szCs w:val="32"/>
          <w:highlight w:val="none"/>
        </w:rPr>
        <w:t>8. 其他</w:t>
      </w:r>
      <w:bookmarkEnd w:id="318"/>
      <w:bookmarkEnd w:id="319"/>
    </w:p>
    <w:p w14:paraId="24F14B7D">
      <w:pPr>
        <w:spacing w:line="360" w:lineRule="auto"/>
        <w:rPr>
          <w:rFonts w:hint="eastAsia" w:ascii="仿宋" w:hAnsi="仿宋" w:eastAsia="仿宋" w:cs="仿宋"/>
          <w:sz w:val="24"/>
          <w:highlight w:val="none"/>
        </w:rPr>
      </w:pPr>
      <w:r>
        <w:rPr>
          <w:rFonts w:hint="eastAsia" w:ascii="仿宋" w:hAnsi="仿宋" w:eastAsia="仿宋" w:cs="仿宋"/>
          <w:sz w:val="24"/>
          <w:highlight w:val="none"/>
        </w:rPr>
        <w:t>8.2 检测费用</w:t>
      </w:r>
    </w:p>
    <w:p w14:paraId="4D4BC1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委托人应在检测工作完成后天内支付检测费用。</w:t>
      </w:r>
    </w:p>
    <w:p w14:paraId="7581D0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8.3 咨询费用</w:t>
      </w:r>
    </w:p>
    <w:p w14:paraId="4CD8488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委托人应在咨询工作完成后天内支付咨询费用。</w:t>
      </w:r>
    </w:p>
    <w:p w14:paraId="57BA0F3B">
      <w:pPr>
        <w:spacing w:line="360" w:lineRule="auto"/>
        <w:rPr>
          <w:rFonts w:hint="eastAsia" w:ascii="仿宋" w:hAnsi="仿宋" w:eastAsia="仿宋" w:cs="仿宋"/>
          <w:sz w:val="24"/>
          <w:highlight w:val="none"/>
        </w:rPr>
      </w:pPr>
      <w:r>
        <w:rPr>
          <w:rFonts w:hint="eastAsia" w:ascii="仿宋" w:hAnsi="仿宋" w:eastAsia="仿宋" w:cs="仿宋"/>
          <w:sz w:val="24"/>
          <w:highlight w:val="none"/>
        </w:rPr>
        <w:t>8.4 奖励</w:t>
      </w:r>
    </w:p>
    <w:p w14:paraId="505F118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合理化建议的奖励金额按下列方法确定为：</w:t>
      </w:r>
    </w:p>
    <w:p w14:paraId="0893E9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奖励金额＝工程投资节省额×奖励金额的比率；</w:t>
      </w:r>
    </w:p>
    <w:p w14:paraId="6916E2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奖励金额的比率为       %。</w:t>
      </w:r>
    </w:p>
    <w:p w14:paraId="2245F39C">
      <w:pPr>
        <w:spacing w:line="360" w:lineRule="auto"/>
        <w:rPr>
          <w:rFonts w:hint="eastAsia" w:ascii="仿宋" w:hAnsi="仿宋" w:eastAsia="仿宋" w:cs="仿宋"/>
          <w:sz w:val="24"/>
          <w:highlight w:val="none"/>
        </w:rPr>
      </w:pPr>
      <w:r>
        <w:rPr>
          <w:rFonts w:hint="eastAsia" w:ascii="仿宋" w:hAnsi="仿宋" w:eastAsia="仿宋" w:cs="仿宋"/>
          <w:sz w:val="24"/>
          <w:highlight w:val="none"/>
        </w:rPr>
        <w:t>8.6 保密</w:t>
      </w:r>
    </w:p>
    <w:p w14:paraId="479241C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委托人申明的保密事项和期限： 。</w:t>
      </w:r>
    </w:p>
    <w:p w14:paraId="3ACFEA6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监理人申明的保密事项和期限： 。</w:t>
      </w:r>
    </w:p>
    <w:p w14:paraId="33876F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第三方申明的保密事项和期限： 。</w:t>
      </w:r>
    </w:p>
    <w:p w14:paraId="11AC4057">
      <w:pPr>
        <w:spacing w:line="360" w:lineRule="auto"/>
        <w:rPr>
          <w:rFonts w:hint="eastAsia" w:ascii="仿宋" w:hAnsi="仿宋" w:eastAsia="仿宋" w:cs="仿宋"/>
          <w:sz w:val="24"/>
          <w:highlight w:val="none"/>
        </w:rPr>
      </w:pPr>
      <w:r>
        <w:rPr>
          <w:rFonts w:hint="eastAsia" w:ascii="仿宋" w:hAnsi="仿宋" w:eastAsia="仿宋" w:cs="仿宋"/>
          <w:sz w:val="24"/>
          <w:highlight w:val="none"/>
        </w:rPr>
        <w:t>8.8著作权</w:t>
      </w:r>
    </w:p>
    <w:p w14:paraId="04934E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监理人在本合同履行期间及本合同终止后两年内出版涉及本工程的有关监理与相关服务的资料的限制条件：</w:t>
      </w:r>
    </w:p>
    <w:p w14:paraId="5C47C8B6">
      <w:pPr>
        <w:keepNext w:val="0"/>
        <w:keepLines w:val="0"/>
        <w:pageBreakBefore w:val="0"/>
        <w:widowControl w:val="0"/>
        <w:tabs>
          <w:tab w:val="left" w:pos="4335"/>
        </w:tabs>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kern w:val="2"/>
          <w:sz w:val="24"/>
          <w:szCs w:val="24"/>
          <w:highlight w:val="none"/>
          <w:lang w:val="en-US" w:eastAsia="zh-CN" w:bidi="ar-SA"/>
        </w:rPr>
        <w:sectPr>
          <w:headerReference r:id="rId4" w:type="default"/>
          <w:footerReference r:id="rId5" w:type="default"/>
          <w:pgSz w:w="11906" w:h="16838"/>
          <w:pgMar w:top="1327" w:right="1570" w:bottom="1327" w:left="157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bookmarkStart w:id="320" w:name="_Toc256000045"/>
      <w:bookmarkStart w:id="321" w:name="_Toc5187"/>
      <w:r>
        <w:rPr>
          <w:rFonts w:hint="eastAsia" w:ascii="仿宋" w:hAnsi="仿宋" w:eastAsia="仿宋" w:cs="仿宋"/>
          <w:b/>
          <w:bCs/>
          <w:sz w:val="24"/>
          <w:szCs w:val="32"/>
          <w:highlight w:val="none"/>
        </w:rPr>
        <w:t>9. 补充条款：</w:t>
      </w:r>
      <w:bookmarkEnd w:id="320"/>
      <w:bookmarkEnd w:id="321"/>
      <w:r>
        <w:rPr>
          <w:rFonts w:hint="eastAsia" w:ascii="仿宋" w:hAnsi="仿宋" w:eastAsia="仿宋" w:cs="仿宋"/>
          <w:b w:val="0"/>
          <w:bCs w:val="0"/>
          <w:color w:val="000000"/>
          <w:kern w:val="2"/>
          <w:sz w:val="24"/>
          <w:szCs w:val="24"/>
          <w:highlight w:val="none"/>
          <w:lang w:val="en-US" w:eastAsia="zh-CN" w:bidi="ar-SA"/>
        </w:rPr>
        <w:t xml:space="preserve">      </w:t>
      </w:r>
    </w:p>
    <w:bookmarkEnd w:id="272"/>
    <w:bookmarkEnd w:id="273"/>
    <w:bookmarkEnd w:id="274"/>
    <w:bookmarkEnd w:id="275"/>
    <w:p w14:paraId="3D7D111E">
      <w:pPr>
        <w:pStyle w:val="2"/>
        <w:jc w:val="center"/>
        <w:rPr>
          <w:rFonts w:hint="eastAsia" w:ascii="仿宋" w:hAnsi="仿宋" w:eastAsia="仿宋" w:cs="仿宋"/>
          <w:b/>
          <w:bCs/>
          <w:color w:val="000000"/>
          <w:highlight w:val="none"/>
          <w:lang w:val="zh-CN"/>
        </w:rPr>
      </w:pPr>
      <w:bookmarkStart w:id="322" w:name="_Toc19475"/>
    </w:p>
    <w:p w14:paraId="00ACD509">
      <w:pPr>
        <w:pStyle w:val="2"/>
        <w:jc w:val="center"/>
        <w:rPr>
          <w:rFonts w:hint="eastAsia" w:ascii="仿宋" w:hAnsi="仿宋" w:eastAsia="仿宋" w:cs="仿宋"/>
          <w:b/>
          <w:bCs/>
          <w:color w:val="000000"/>
          <w:highlight w:val="none"/>
          <w:lang w:val="zh-CN"/>
        </w:rPr>
      </w:pPr>
      <w:r>
        <w:rPr>
          <w:rFonts w:hint="eastAsia" w:ascii="仿宋" w:hAnsi="仿宋" w:eastAsia="仿宋" w:cs="仿宋"/>
          <w:b/>
          <w:bCs/>
          <w:color w:val="000000"/>
          <w:highlight w:val="none"/>
          <w:lang w:val="zh-CN"/>
        </w:rPr>
        <w:t>第四部分  磋商响应文件格式</w:t>
      </w:r>
      <w:bookmarkEnd w:id="322"/>
    </w:p>
    <w:p w14:paraId="7994F0EC">
      <w:pPr>
        <w:autoSpaceDE w:val="0"/>
        <w:autoSpaceDN w:val="0"/>
        <w:spacing w:line="360" w:lineRule="auto"/>
        <w:jc w:val="center"/>
        <w:rPr>
          <w:rFonts w:hint="eastAsia" w:ascii="仿宋" w:hAnsi="仿宋" w:eastAsia="仿宋" w:cs="仿宋"/>
          <w:b/>
          <w:bCs/>
          <w:color w:val="000000"/>
          <w:kern w:val="0"/>
          <w:sz w:val="40"/>
          <w:szCs w:val="40"/>
          <w:highlight w:val="none"/>
        </w:rPr>
      </w:pPr>
      <w:bookmarkStart w:id="323" w:name="_Toc25839"/>
      <w:bookmarkStart w:id="324" w:name="_Toc13690"/>
      <w:bookmarkStart w:id="325" w:name="_Toc11851"/>
      <w:bookmarkStart w:id="326" w:name="_Toc19780"/>
      <w:bookmarkStart w:id="327" w:name="_Toc25613"/>
      <w:bookmarkStart w:id="328" w:name="_Toc28959"/>
      <w:bookmarkStart w:id="329" w:name="_Toc25255"/>
      <w:bookmarkStart w:id="330" w:name="_Toc3866"/>
      <w:bookmarkStart w:id="331" w:name="_Toc28938"/>
      <w:bookmarkStart w:id="332" w:name="_Toc13422"/>
      <w:r>
        <w:rPr>
          <w:rFonts w:hint="eastAsia" w:ascii="仿宋" w:hAnsi="仿宋" w:eastAsia="仿宋" w:cs="仿宋"/>
          <w:b/>
          <w:bCs/>
          <w:color w:val="000000"/>
          <w:sz w:val="28"/>
          <w:szCs w:val="28"/>
          <w:highlight w:val="none"/>
          <w:lang w:val="zh-CN"/>
        </w:rPr>
        <w:t>一、磋商响应文件封面</w:t>
      </w:r>
      <w:bookmarkEnd w:id="323"/>
      <w:bookmarkEnd w:id="324"/>
      <w:bookmarkEnd w:id="325"/>
      <w:bookmarkEnd w:id="326"/>
      <w:bookmarkEnd w:id="327"/>
      <w:bookmarkEnd w:id="328"/>
      <w:bookmarkEnd w:id="329"/>
      <w:bookmarkEnd w:id="330"/>
      <w:bookmarkEnd w:id="331"/>
      <w:bookmarkEnd w:id="332"/>
    </w:p>
    <w:p w14:paraId="255F10F1">
      <w:pPr>
        <w:autoSpaceDE w:val="0"/>
        <w:autoSpaceDN w:val="0"/>
        <w:spacing w:line="360" w:lineRule="auto"/>
        <w:jc w:val="right"/>
        <w:rPr>
          <w:rFonts w:hint="eastAsia" w:ascii="仿宋" w:hAnsi="仿宋" w:eastAsia="仿宋" w:cs="仿宋"/>
          <w:b/>
          <w:bCs/>
          <w:color w:val="000000"/>
          <w:kern w:val="0"/>
          <w:sz w:val="36"/>
          <w:szCs w:val="36"/>
          <w:highlight w:val="none"/>
        </w:rPr>
      </w:pPr>
    </w:p>
    <w:p w14:paraId="016B071D">
      <w:pPr>
        <w:autoSpaceDE w:val="0"/>
        <w:autoSpaceDN w:val="0"/>
        <w:spacing w:line="360" w:lineRule="auto"/>
        <w:jc w:val="center"/>
        <w:rPr>
          <w:rFonts w:hint="eastAsia" w:ascii="仿宋" w:hAnsi="仿宋" w:eastAsia="仿宋" w:cs="仿宋"/>
          <w:b/>
          <w:bCs/>
          <w:color w:val="000000"/>
          <w:kern w:val="0"/>
          <w:sz w:val="52"/>
          <w:szCs w:val="52"/>
          <w:highlight w:val="none"/>
          <w:lang w:val="zh-CN"/>
        </w:rPr>
      </w:pPr>
    </w:p>
    <w:p w14:paraId="6DFAA496">
      <w:pPr>
        <w:autoSpaceDE w:val="0"/>
        <w:autoSpaceDN w:val="0"/>
        <w:spacing w:line="360" w:lineRule="auto"/>
        <w:jc w:val="center"/>
        <w:rPr>
          <w:rFonts w:hint="eastAsia" w:ascii="仿宋" w:hAnsi="仿宋" w:eastAsia="仿宋" w:cs="仿宋"/>
          <w:b/>
          <w:bCs/>
          <w:color w:val="000000"/>
          <w:kern w:val="0"/>
          <w:sz w:val="52"/>
          <w:szCs w:val="52"/>
          <w:highlight w:val="none"/>
          <w:lang w:val="zh-CN"/>
        </w:rPr>
      </w:pPr>
      <w:r>
        <w:rPr>
          <w:rFonts w:hint="eastAsia" w:ascii="仿宋" w:hAnsi="仿宋" w:eastAsia="仿宋" w:cs="仿宋"/>
          <w:b/>
          <w:bCs/>
          <w:color w:val="000000"/>
          <w:kern w:val="0"/>
          <w:sz w:val="52"/>
          <w:szCs w:val="52"/>
          <w:highlight w:val="none"/>
          <w:lang w:val="zh-CN"/>
        </w:rPr>
        <w:t>政府采购项目</w:t>
      </w:r>
    </w:p>
    <w:p w14:paraId="08DF6106">
      <w:pPr>
        <w:pStyle w:val="30"/>
        <w:rPr>
          <w:rFonts w:hint="eastAsia" w:ascii="仿宋" w:hAnsi="仿宋" w:eastAsia="仿宋" w:cs="仿宋"/>
          <w:highlight w:val="none"/>
          <w:lang w:val="zh-CN"/>
        </w:rPr>
      </w:pPr>
    </w:p>
    <w:p w14:paraId="1908A54E">
      <w:pPr>
        <w:autoSpaceDE w:val="0"/>
        <w:autoSpaceDN w:val="0"/>
        <w:spacing w:line="360" w:lineRule="auto"/>
        <w:rPr>
          <w:rFonts w:hint="eastAsia" w:ascii="仿宋" w:hAnsi="仿宋" w:eastAsia="仿宋" w:cs="仿宋"/>
          <w:color w:val="000000"/>
          <w:kern w:val="0"/>
          <w:sz w:val="36"/>
          <w:szCs w:val="36"/>
          <w:highlight w:val="none"/>
        </w:rPr>
      </w:pPr>
    </w:p>
    <w:p w14:paraId="735F49F9">
      <w:pPr>
        <w:autoSpaceDE w:val="0"/>
        <w:autoSpaceDN w:val="0"/>
        <w:spacing w:line="360" w:lineRule="auto"/>
        <w:jc w:val="center"/>
        <w:rPr>
          <w:rFonts w:hint="eastAsia" w:ascii="仿宋" w:hAnsi="仿宋" w:eastAsia="仿宋" w:cs="仿宋"/>
          <w:b/>
          <w:bCs/>
          <w:color w:val="000000"/>
          <w:kern w:val="0"/>
          <w:sz w:val="72"/>
          <w:szCs w:val="72"/>
          <w:highlight w:val="none"/>
          <w:lang w:val="zh-CN"/>
        </w:rPr>
      </w:pPr>
      <w:r>
        <w:rPr>
          <w:rFonts w:hint="eastAsia" w:ascii="仿宋" w:hAnsi="仿宋" w:eastAsia="仿宋" w:cs="仿宋"/>
          <w:b/>
          <w:bCs/>
          <w:color w:val="000000"/>
          <w:kern w:val="0"/>
          <w:sz w:val="72"/>
          <w:szCs w:val="72"/>
          <w:highlight w:val="none"/>
          <w:lang w:val="en-US" w:eastAsia="zh-CN"/>
        </w:rPr>
        <w:t>磋 商 响 应</w:t>
      </w:r>
      <w:r>
        <w:rPr>
          <w:rFonts w:hint="eastAsia" w:ascii="仿宋" w:hAnsi="仿宋" w:eastAsia="仿宋" w:cs="仿宋"/>
          <w:b/>
          <w:bCs/>
          <w:color w:val="000000"/>
          <w:kern w:val="0"/>
          <w:sz w:val="72"/>
          <w:szCs w:val="72"/>
          <w:highlight w:val="none"/>
        </w:rPr>
        <w:t xml:space="preserve"> </w:t>
      </w:r>
      <w:r>
        <w:rPr>
          <w:rFonts w:hint="eastAsia" w:ascii="仿宋" w:hAnsi="仿宋" w:eastAsia="仿宋" w:cs="仿宋"/>
          <w:b/>
          <w:bCs/>
          <w:color w:val="000000"/>
          <w:kern w:val="0"/>
          <w:sz w:val="72"/>
          <w:szCs w:val="72"/>
          <w:highlight w:val="none"/>
          <w:lang w:val="zh-CN"/>
        </w:rPr>
        <w:t>文</w:t>
      </w:r>
      <w:r>
        <w:rPr>
          <w:rFonts w:hint="eastAsia" w:ascii="仿宋" w:hAnsi="仿宋" w:eastAsia="仿宋" w:cs="仿宋"/>
          <w:b/>
          <w:bCs/>
          <w:color w:val="000000"/>
          <w:kern w:val="0"/>
          <w:sz w:val="72"/>
          <w:szCs w:val="72"/>
          <w:highlight w:val="none"/>
        </w:rPr>
        <w:t xml:space="preserve"> </w:t>
      </w:r>
      <w:r>
        <w:rPr>
          <w:rFonts w:hint="eastAsia" w:ascii="仿宋" w:hAnsi="仿宋" w:eastAsia="仿宋" w:cs="仿宋"/>
          <w:b/>
          <w:bCs/>
          <w:color w:val="000000"/>
          <w:kern w:val="0"/>
          <w:sz w:val="72"/>
          <w:szCs w:val="72"/>
          <w:highlight w:val="none"/>
          <w:lang w:val="zh-CN"/>
        </w:rPr>
        <w:t>件</w:t>
      </w:r>
    </w:p>
    <w:p w14:paraId="6CD4B8E2">
      <w:pPr>
        <w:autoSpaceDE w:val="0"/>
        <w:autoSpaceDN w:val="0"/>
        <w:spacing w:line="360" w:lineRule="auto"/>
        <w:rPr>
          <w:rFonts w:hint="eastAsia" w:ascii="仿宋" w:hAnsi="仿宋" w:eastAsia="仿宋" w:cs="仿宋"/>
          <w:color w:val="000000"/>
          <w:kern w:val="0"/>
          <w:sz w:val="36"/>
          <w:szCs w:val="36"/>
          <w:highlight w:val="none"/>
        </w:rPr>
      </w:pPr>
    </w:p>
    <w:p w14:paraId="4EE0F7E9">
      <w:pPr>
        <w:autoSpaceDE w:val="0"/>
        <w:autoSpaceDN w:val="0"/>
        <w:spacing w:line="360" w:lineRule="auto"/>
        <w:rPr>
          <w:rFonts w:hint="eastAsia" w:ascii="仿宋" w:hAnsi="仿宋" w:eastAsia="仿宋" w:cs="仿宋"/>
          <w:b/>
          <w:bCs/>
          <w:color w:val="000000"/>
          <w:kern w:val="0"/>
          <w:sz w:val="36"/>
          <w:szCs w:val="36"/>
          <w:highlight w:val="none"/>
        </w:rPr>
      </w:pPr>
      <w:r>
        <w:rPr>
          <w:rFonts w:hint="eastAsia" w:ascii="仿宋" w:hAnsi="仿宋" w:eastAsia="仿宋" w:cs="仿宋"/>
          <w:b/>
          <w:bCs/>
          <w:color w:val="000000"/>
          <w:kern w:val="0"/>
          <w:sz w:val="36"/>
          <w:szCs w:val="36"/>
          <w:highlight w:val="none"/>
          <w:lang w:val="zh-CN"/>
        </w:rPr>
        <w:t>采购项目编号：</w:t>
      </w:r>
    </w:p>
    <w:p w14:paraId="67D25271">
      <w:pPr>
        <w:autoSpaceDE w:val="0"/>
        <w:autoSpaceDN w:val="0"/>
        <w:spacing w:line="360" w:lineRule="auto"/>
        <w:rPr>
          <w:rFonts w:hint="eastAsia" w:ascii="仿宋" w:hAnsi="仿宋" w:eastAsia="仿宋" w:cs="仿宋"/>
          <w:b/>
          <w:bCs/>
          <w:color w:val="000000"/>
          <w:kern w:val="0"/>
          <w:sz w:val="36"/>
          <w:szCs w:val="36"/>
          <w:highlight w:val="none"/>
        </w:rPr>
      </w:pPr>
      <w:r>
        <w:rPr>
          <w:rFonts w:hint="eastAsia" w:ascii="仿宋" w:hAnsi="仿宋" w:eastAsia="仿宋" w:cs="仿宋"/>
          <w:b/>
          <w:bCs/>
          <w:color w:val="000000"/>
          <w:kern w:val="0"/>
          <w:sz w:val="36"/>
          <w:szCs w:val="36"/>
          <w:highlight w:val="none"/>
          <w:lang w:val="zh-CN"/>
        </w:rPr>
        <w:t>采购项目名称</w:t>
      </w:r>
      <w:r>
        <w:rPr>
          <w:rFonts w:hint="eastAsia" w:ascii="仿宋" w:hAnsi="仿宋" w:eastAsia="仿宋" w:cs="仿宋"/>
          <w:b/>
          <w:bCs/>
          <w:color w:val="000000"/>
          <w:kern w:val="0"/>
          <w:sz w:val="36"/>
          <w:szCs w:val="36"/>
          <w:highlight w:val="none"/>
        </w:rPr>
        <w:t>：</w:t>
      </w:r>
    </w:p>
    <w:p w14:paraId="3C685A2E">
      <w:pPr>
        <w:autoSpaceDE w:val="0"/>
        <w:autoSpaceDN w:val="0"/>
        <w:spacing w:line="360" w:lineRule="auto"/>
        <w:rPr>
          <w:rFonts w:hint="eastAsia" w:ascii="仿宋" w:hAnsi="仿宋" w:eastAsia="仿宋" w:cs="仿宋"/>
          <w:b/>
          <w:bCs/>
          <w:color w:val="000000"/>
          <w:kern w:val="0"/>
          <w:sz w:val="36"/>
          <w:szCs w:val="36"/>
          <w:highlight w:val="none"/>
          <w:lang w:eastAsia="zh-CN"/>
        </w:rPr>
      </w:pPr>
    </w:p>
    <w:p w14:paraId="4CEC0D79">
      <w:pPr>
        <w:autoSpaceDE w:val="0"/>
        <w:autoSpaceDN w:val="0"/>
        <w:spacing w:line="360" w:lineRule="auto"/>
        <w:rPr>
          <w:rFonts w:hint="eastAsia" w:ascii="仿宋" w:hAnsi="仿宋" w:eastAsia="仿宋" w:cs="仿宋"/>
          <w:b/>
          <w:bCs/>
          <w:color w:val="000000"/>
          <w:kern w:val="0"/>
          <w:sz w:val="36"/>
          <w:szCs w:val="36"/>
          <w:highlight w:val="none"/>
          <w:lang w:val="zh-CN"/>
        </w:rPr>
      </w:pPr>
    </w:p>
    <w:p w14:paraId="581EFA5C">
      <w:pPr>
        <w:autoSpaceDE w:val="0"/>
        <w:autoSpaceDN w:val="0"/>
        <w:spacing w:line="360" w:lineRule="auto"/>
        <w:rPr>
          <w:rFonts w:hint="eastAsia" w:ascii="仿宋" w:hAnsi="仿宋" w:eastAsia="仿宋" w:cs="仿宋"/>
          <w:b/>
          <w:bCs/>
          <w:color w:val="000000"/>
          <w:kern w:val="0"/>
          <w:sz w:val="32"/>
          <w:szCs w:val="32"/>
          <w:highlight w:val="none"/>
          <w:lang w:val="zh-CN"/>
        </w:rPr>
      </w:pPr>
      <w:r>
        <w:rPr>
          <w:rFonts w:hint="eastAsia" w:ascii="仿宋" w:hAnsi="仿宋" w:eastAsia="仿宋" w:cs="仿宋"/>
          <w:b/>
          <w:bCs/>
          <w:color w:val="000000"/>
          <w:kern w:val="0"/>
          <w:sz w:val="32"/>
          <w:szCs w:val="32"/>
          <w:highlight w:val="none"/>
          <w:lang w:val="zh-CN"/>
        </w:rPr>
        <w:t>供应商：</w:t>
      </w:r>
      <w:r>
        <w:rPr>
          <w:rFonts w:hint="eastAsia" w:ascii="仿宋" w:hAnsi="仿宋" w:eastAsia="仿宋" w:cs="仿宋"/>
          <w:b/>
          <w:bCs/>
          <w:color w:val="000000"/>
          <w:kern w:val="0"/>
          <w:sz w:val="32"/>
          <w:szCs w:val="32"/>
          <w:highlight w:val="none"/>
          <w:u w:val="single"/>
        </w:rPr>
        <w:t xml:space="preserve">                          </w:t>
      </w:r>
      <w:r>
        <w:rPr>
          <w:rFonts w:hint="eastAsia" w:ascii="仿宋" w:hAnsi="仿宋" w:eastAsia="仿宋" w:cs="仿宋"/>
          <w:b/>
          <w:bCs/>
          <w:color w:val="000000"/>
          <w:kern w:val="0"/>
          <w:sz w:val="32"/>
          <w:szCs w:val="32"/>
          <w:highlight w:val="none"/>
        </w:rPr>
        <w:t>（</w:t>
      </w:r>
      <w:r>
        <w:rPr>
          <w:rFonts w:hint="eastAsia" w:ascii="仿宋" w:hAnsi="仿宋" w:eastAsia="仿宋" w:cs="仿宋"/>
          <w:b/>
          <w:bCs/>
          <w:color w:val="000000"/>
          <w:kern w:val="0"/>
          <w:sz w:val="32"/>
          <w:szCs w:val="32"/>
          <w:highlight w:val="none"/>
          <w:lang w:val="zh-CN"/>
        </w:rPr>
        <w:t>公章）</w:t>
      </w:r>
    </w:p>
    <w:p w14:paraId="0AD49BE7">
      <w:pPr>
        <w:autoSpaceDE w:val="0"/>
        <w:autoSpaceDN w:val="0"/>
        <w:spacing w:line="360" w:lineRule="auto"/>
        <w:rPr>
          <w:rFonts w:hint="eastAsia" w:ascii="仿宋" w:hAnsi="仿宋" w:eastAsia="仿宋" w:cs="仿宋"/>
          <w:b/>
          <w:bCs/>
          <w:color w:val="000000"/>
          <w:kern w:val="0"/>
          <w:sz w:val="36"/>
          <w:szCs w:val="36"/>
          <w:highlight w:val="none"/>
        </w:rPr>
      </w:pPr>
      <w:r>
        <w:rPr>
          <w:rFonts w:hint="eastAsia" w:ascii="仿宋" w:hAnsi="仿宋" w:eastAsia="仿宋" w:cs="仿宋"/>
          <w:b/>
          <w:bCs/>
          <w:color w:val="000000"/>
          <w:kern w:val="0"/>
          <w:sz w:val="32"/>
          <w:szCs w:val="32"/>
          <w:highlight w:val="none"/>
          <w:lang w:val="zh-CN"/>
        </w:rPr>
        <w:t>法定代表人或委托代理人：</w:t>
      </w:r>
      <w:r>
        <w:rPr>
          <w:rFonts w:hint="eastAsia" w:ascii="仿宋" w:hAnsi="仿宋" w:eastAsia="仿宋" w:cs="仿宋"/>
          <w:b/>
          <w:bCs/>
          <w:color w:val="000000"/>
          <w:kern w:val="0"/>
          <w:sz w:val="32"/>
          <w:szCs w:val="32"/>
          <w:highlight w:val="none"/>
          <w:u w:val="single"/>
        </w:rPr>
        <w:t xml:space="preserve">           </w:t>
      </w:r>
      <w:r>
        <w:rPr>
          <w:rFonts w:hint="eastAsia" w:ascii="仿宋" w:hAnsi="仿宋" w:eastAsia="仿宋" w:cs="仿宋"/>
          <w:b/>
          <w:bCs/>
          <w:color w:val="000000"/>
          <w:kern w:val="0"/>
          <w:sz w:val="32"/>
          <w:szCs w:val="32"/>
          <w:highlight w:val="none"/>
          <w:lang w:val="zh-CN"/>
        </w:rPr>
        <w:t>（签字或盖章）</w:t>
      </w:r>
    </w:p>
    <w:p w14:paraId="2A6756C5">
      <w:pPr>
        <w:autoSpaceDE w:val="0"/>
        <w:autoSpaceDN w:val="0"/>
        <w:spacing w:line="360" w:lineRule="auto"/>
        <w:rPr>
          <w:rFonts w:hint="eastAsia" w:ascii="仿宋" w:hAnsi="仿宋" w:eastAsia="仿宋" w:cs="仿宋"/>
          <w:b/>
          <w:bCs/>
          <w:color w:val="000000"/>
          <w:kern w:val="0"/>
          <w:sz w:val="36"/>
          <w:szCs w:val="36"/>
          <w:highlight w:val="none"/>
        </w:rPr>
      </w:pPr>
      <w:r>
        <w:rPr>
          <w:rFonts w:hint="eastAsia" w:ascii="仿宋" w:hAnsi="仿宋" w:eastAsia="仿宋" w:cs="仿宋"/>
          <w:b/>
          <w:bCs/>
          <w:color w:val="000000"/>
          <w:kern w:val="0"/>
          <w:sz w:val="36"/>
          <w:szCs w:val="36"/>
          <w:highlight w:val="none"/>
        </w:rPr>
        <w:t xml:space="preserve">                   </w:t>
      </w:r>
    </w:p>
    <w:p w14:paraId="68BB18B7">
      <w:pPr>
        <w:autoSpaceDE w:val="0"/>
        <w:autoSpaceDN w:val="0"/>
        <w:spacing w:line="360" w:lineRule="auto"/>
        <w:ind w:firstLine="2530" w:firstLineChars="700"/>
        <w:rPr>
          <w:rFonts w:hint="eastAsia" w:ascii="仿宋" w:hAnsi="仿宋" w:eastAsia="仿宋" w:cs="仿宋"/>
          <w:b/>
          <w:bCs/>
          <w:color w:val="000000"/>
          <w:kern w:val="0"/>
          <w:sz w:val="36"/>
          <w:szCs w:val="36"/>
          <w:highlight w:val="none"/>
          <w:lang w:val="zh-CN"/>
        </w:rPr>
      </w:pPr>
      <w:r>
        <w:rPr>
          <w:rFonts w:hint="eastAsia" w:ascii="仿宋" w:hAnsi="仿宋" w:eastAsia="仿宋" w:cs="仿宋"/>
          <w:b/>
          <w:bCs/>
          <w:color w:val="000000"/>
          <w:kern w:val="0"/>
          <w:sz w:val="36"/>
          <w:szCs w:val="36"/>
          <w:highlight w:val="none"/>
        </w:rPr>
        <w:t xml:space="preserve"> </w:t>
      </w:r>
      <w:r>
        <w:rPr>
          <w:rFonts w:hint="eastAsia" w:ascii="仿宋" w:hAnsi="仿宋" w:eastAsia="仿宋" w:cs="仿宋"/>
          <w:b/>
          <w:bCs/>
          <w:color w:val="000000"/>
          <w:kern w:val="0"/>
          <w:sz w:val="36"/>
          <w:szCs w:val="36"/>
          <w:highlight w:val="none"/>
          <w:lang w:val="zh-CN"/>
        </w:rPr>
        <w:t>年</w:t>
      </w:r>
      <w:r>
        <w:rPr>
          <w:rFonts w:hint="eastAsia" w:ascii="仿宋" w:hAnsi="仿宋" w:eastAsia="仿宋" w:cs="仿宋"/>
          <w:b/>
          <w:bCs/>
          <w:color w:val="000000"/>
          <w:kern w:val="0"/>
          <w:sz w:val="36"/>
          <w:szCs w:val="36"/>
          <w:highlight w:val="none"/>
        </w:rPr>
        <w:t xml:space="preserve">    </w:t>
      </w:r>
      <w:r>
        <w:rPr>
          <w:rFonts w:hint="eastAsia" w:ascii="仿宋" w:hAnsi="仿宋" w:eastAsia="仿宋" w:cs="仿宋"/>
          <w:b/>
          <w:bCs/>
          <w:color w:val="000000"/>
          <w:kern w:val="0"/>
          <w:sz w:val="36"/>
          <w:szCs w:val="36"/>
          <w:highlight w:val="none"/>
          <w:lang w:val="zh-CN"/>
        </w:rPr>
        <w:t>月</w:t>
      </w:r>
      <w:r>
        <w:rPr>
          <w:rFonts w:hint="eastAsia" w:ascii="仿宋" w:hAnsi="仿宋" w:eastAsia="仿宋" w:cs="仿宋"/>
          <w:b/>
          <w:bCs/>
          <w:color w:val="000000"/>
          <w:kern w:val="0"/>
          <w:sz w:val="36"/>
          <w:szCs w:val="36"/>
          <w:highlight w:val="none"/>
        </w:rPr>
        <w:t xml:space="preserve">    </w:t>
      </w:r>
      <w:r>
        <w:rPr>
          <w:rFonts w:hint="eastAsia" w:ascii="仿宋" w:hAnsi="仿宋" w:eastAsia="仿宋" w:cs="仿宋"/>
          <w:b/>
          <w:bCs/>
          <w:color w:val="000000"/>
          <w:kern w:val="0"/>
          <w:sz w:val="36"/>
          <w:szCs w:val="36"/>
          <w:highlight w:val="none"/>
          <w:lang w:val="zh-CN"/>
        </w:rPr>
        <w:t>日</w:t>
      </w:r>
    </w:p>
    <w:p w14:paraId="62B43A07">
      <w:pPr>
        <w:rPr>
          <w:rFonts w:hint="eastAsia" w:ascii="仿宋" w:hAnsi="仿宋" w:eastAsia="仿宋" w:cs="仿宋"/>
          <w:color w:val="000000"/>
          <w:highlight w:val="none"/>
          <w:lang w:val="zh-CN"/>
        </w:rPr>
      </w:pPr>
    </w:p>
    <w:p w14:paraId="6ED5F956">
      <w:pPr>
        <w:pStyle w:val="3"/>
        <w:jc w:val="both"/>
        <w:rPr>
          <w:rFonts w:hint="eastAsia" w:ascii="仿宋" w:hAnsi="仿宋" w:eastAsia="仿宋" w:cs="仿宋"/>
          <w:color w:val="000000"/>
          <w:highlight w:val="none"/>
          <w:lang w:val="zh-CN"/>
        </w:rPr>
      </w:pPr>
      <w:bookmarkStart w:id="333" w:name="_Toc6945"/>
      <w:bookmarkStart w:id="334" w:name="_Toc31177"/>
      <w:bookmarkStart w:id="335" w:name="_Toc20567"/>
      <w:bookmarkStart w:id="336" w:name="_Toc32144"/>
      <w:bookmarkStart w:id="337" w:name="_Toc14810"/>
      <w:bookmarkStart w:id="338" w:name="_Toc27015"/>
      <w:bookmarkStart w:id="339" w:name="_Toc14727"/>
      <w:bookmarkStart w:id="340" w:name="_Toc29080"/>
      <w:bookmarkStart w:id="341" w:name="_Toc20625"/>
      <w:bookmarkStart w:id="342" w:name="_Toc11796"/>
      <w:bookmarkStart w:id="343" w:name="_Toc8514"/>
      <w:bookmarkStart w:id="344" w:name="_Toc29902"/>
      <w:r>
        <w:rPr>
          <w:rFonts w:hint="eastAsia" w:ascii="仿宋" w:hAnsi="仿宋" w:eastAsia="仿宋" w:cs="仿宋"/>
          <w:color w:val="000000"/>
          <w:highlight w:val="none"/>
          <w:lang w:val="zh-CN"/>
        </w:rPr>
        <w:t>二、磋商响应文件目录</w:t>
      </w:r>
      <w:bookmarkEnd w:id="333"/>
      <w:bookmarkEnd w:id="334"/>
      <w:bookmarkEnd w:id="335"/>
      <w:bookmarkEnd w:id="336"/>
      <w:bookmarkEnd w:id="337"/>
      <w:bookmarkEnd w:id="338"/>
      <w:bookmarkEnd w:id="339"/>
      <w:bookmarkEnd w:id="340"/>
      <w:bookmarkEnd w:id="341"/>
      <w:bookmarkEnd w:id="342"/>
    </w:p>
    <w:p w14:paraId="7FE177AE">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01.磋商函</w:t>
      </w:r>
      <w:r>
        <w:rPr>
          <w:rFonts w:hint="eastAsia" w:ascii="仿宋" w:hAnsi="仿宋" w:eastAsia="仿宋" w:cs="仿宋"/>
          <w:color w:val="000000"/>
          <w:kern w:val="0"/>
          <w:highlight w:val="none"/>
          <w:lang w:val="zh-CN"/>
        </w:rPr>
        <w:t>……………………………………………………………所在页码</w:t>
      </w:r>
    </w:p>
    <w:p w14:paraId="08F6028B">
      <w:pPr>
        <w:adjustRightInd w:val="0"/>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0</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.竞争性磋商首次报价表</w:t>
      </w:r>
      <w:r>
        <w:rPr>
          <w:rFonts w:hint="eastAsia" w:ascii="仿宋" w:hAnsi="仿宋" w:eastAsia="仿宋" w:cs="仿宋"/>
          <w:color w:val="000000"/>
          <w:kern w:val="0"/>
          <w:highlight w:val="none"/>
          <w:lang w:val="zh-CN"/>
        </w:rPr>
        <w:t>…………………………………………所在页码</w:t>
      </w:r>
    </w:p>
    <w:p w14:paraId="042A44DB">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en-US" w:eastAsia="zh-CN"/>
        </w:rPr>
        <w:t>3</w:t>
      </w:r>
      <w:r>
        <w:rPr>
          <w:rFonts w:hint="eastAsia" w:ascii="仿宋" w:hAnsi="仿宋" w:eastAsia="仿宋" w:cs="仿宋"/>
          <w:color w:val="000000"/>
          <w:kern w:val="0"/>
          <w:highlight w:val="none"/>
        </w:rPr>
        <w:t>.法定代表人证明书</w:t>
      </w:r>
      <w:r>
        <w:rPr>
          <w:rFonts w:hint="eastAsia" w:ascii="仿宋" w:hAnsi="仿宋" w:eastAsia="仿宋" w:cs="仿宋"/>
          <w:color w:val="000000"/>
          <w:kern w:val="0"/>
          <w:highlight w:val="none"/>
          <w:lang w:val="zh-CN"/>
        </w:rPr>
        <w:t>………………………………………………所在页码</w:t>
      </w:r>
    </w:p>
    <w:p w14:paraId="4B3134EA">
      <w:pPr>
        <w:autoSpaceDE w:val="0"/>
        <w:autoSpaceDN w:val="0"/>
        <w:spacing w:line="360" w:lineRule="auto"/>
        <w:rPr>
          <w:rFonts w:hint="eastAsia" w:ascii="仿宋" w:hAnsi="仿宋" w:eastAsia="仿宋" w:cs="仿宋"/>
          <w:color w:val="000000"/>
          <w:kern w:val="0"/>
          <w:highlight w:val="none"/>
        </w:rPr>
      </w:pP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en-US" w:eastAsia="zh-CN"/>
        </w:rPr>
        <w:t>4</w:t>
      </w:r>
      <w:r>
        <w:rPr>
          <w:rFonts w:hint="eastAsia" w:ascii="仿宋" w:hAnsi="仿宋" w:eastAsia="仿宋" w:cs="仿宋"/>
          <w:color w:val="000000"/>
          <w:kern w:val="0"/>
          <w:highlight w:val="none"/>
        </w:rPr>
        <w:t>.法定代表人授权书</w:t>
      </w:r>
      <w:r>
        <w:rPr>
          <w:rFonts w:hint="eastAsia" w:ascii="仿宋" w:hAnsi="仿宋" w:eastAsia="仿宋" w:cs="仿宋"/>
          <w:color w:val="000000"/>
          <w:kern w:val="0"/>
          <w:highlight w:val="none"/>
          <w:lang w:val="zh-CN"/>
        </w:rPr>
        <w:t>………………………………………………所在页码</w:t>
      </w:r>
    </w:p>
    <w:p w14:paraId="4E7525B0">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en-US" w:eastAsia="zh-CN"/>
        </w:rPr>
        <w:t>5</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供应商承诺函……………………………………………………所在页码</w:t>
      </w:r>
    </w:p>
    <w:p w14:paraId="18DA12B6">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en-US" w:eastAsia="zh-CN"/>
        </w:rPr>
        <w:t>6</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供应商诚信承诺书………………………………………………所在页码</w:t>
      </w:r>
    </w:p>
    <w:p w14:paraId="131C96DB">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en-US" w:eastAsia="zh-CN"/>
        </w:rPr>
        <w:t>7</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资格证明材料……………………………………………………所在页码</w:t>
      </w:r>
    </w:p>
    <w:p w14:paraId="51321C6E">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08</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财务状况报告，依法缴纳税收和社会保障资金的相关材料…所在页码</w:t>
      </w:r>
    </w:p>
    <w:p w14:paraId="7B7915FD">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09</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具备履行合同所必需的设备和专业技术能力的证明材料……所在页码</w:t>
      </w:r>
    </w:p>
    <w:p w14:paraId="739C9ADA">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10</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无重大违法记录声明……………………………………………所在页码</w:t>
      </w:r>
    </w:p>
    <w:p w14:paraId="1CE78F08">
      <w:pPr>
        <w:autoSpaceDE w:val="0"/>
        <w:autoSpaceDN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1</w:t>
      </w:r>
      <w:r>
        <w:rPr>
          <w:rFonts w:hint="eastAsia" w:ascii="仿宋" w:hAnsi="仿宋" w:eastAsia="仿宋" w:cs="仿宋"/>
          <w:color w:val="000000"/>
          <w:kern w:val="0"/>
          <w:highlight w:val="none"/>
          <w:lang w:val="en-US" w:eastAsia="zh-CN"/>
        </w:rPr>
        <w:t>1</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保证金证明…………………………………………………所在页码</w:t>
      </w:r>
    </w:p>
    <w:p w14:paraId="6CCA96D5">
      <w:pPr>
        <w:adjustRightInd w:val="0"/>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w:t>
      </w:r>
      <w:r>
        <w:rPr>
          <w:rFonts w:hint="eastAsia" w:ascii="仿宋" w:hAnsi="仿宋" w:eastAsia="仿宋" w:cs="仿宋"/>
          <w:color w:val="000000"/>
          <w:highlight w:val="none"/>
          <w:lang w:eastAsia="zh-CN"/>
        </w:rPr>
        <w:t>监理大纲</w:t>
      </w:r>
      <w:r>
        <w:rPr>
          <w:rFonts w:hint="eastAsia" w:ascii="仿宋" w:hAnsi="仿宋" w:eastAsia="仿宋" w:cs="仿宋"/>
          <w:color w:val="000000"/>
          <w:kern w:val="0"/>
          <w:highlight w:val="none"/>
          <w:lang w:val="zh-CN"/>
        </w:rPr>
        <w:t>…………………………………………………………所在页码</w:t>
      </w:r>
    </w:p>
    <w:p w14:paraId="1D0992F0">
      <w:pPr>
        <w:adjustRightInd w:val="0"/>
        <w:snapToGrid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的类似业绩证明材料</w:t>
      </w:r>
      <w:r>
        <w:rPr>
          <w:rFonts w:hint="eastAsia" w:ascii="仿宋" w:hAnsi="仿宋" w:eastAsia="仿宋" w:cs="仿宋"/>
          <w:color w:val="000000"/>
          <w:kern w:val="0"/>
          <w:highlight w:val="none"/>
          <w:lang w:val="zh-CN"/>
        </w:rPr>
        <w:t>……………………………………所在页码</w:t>
      </w:r>
    </w:p>
    <w:p w14:paraId="6A7FB942">
      <w:pPr>
        <w:adjustRightInd w:val="0"/>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lang w:val="zh-CN"/>
        </w:rPr>
        <w:t>1</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.享受政府采购政策优惠的证明资料</w:t>
      </w:r>
      <w:r>
        <w:rPr>
          <w:rFonts w:hint="eastAsia" w:ascii="仿宋" w:hAnsi="仿宋" w:eastAsia="仿宋" w:cs="仿宋"/>
          <w:color w:val="000000"/>
          <w:highlight w:val="none"/>
          <w:lang w:val="zh-CN"/>
        </w:rPr>
        <w:t>……………………………所在页码</w:t>
      </w:r>
    </w:p>
    <w:p w14:paraId="33C17182">
      <w:pPr>
        <w:adjustRightInd w:val="0"/>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15.</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认为在其他方面有必要说明的事项</w:t>
      </w:r>
      <w:r>
        <w:rPr>
          <w:rFonts w:hint="eastAsia" w:ascii="仿宋" w:hAnsi="仿宋" w:eastAsia="仿宋" w:cs="仿宋"/>
          <w:color w:val="000000"/>
          <w:kern w:val="0"/>
          <w:highlight w:val="none"/>
          <w:lang w:val="zh-CN"/>
        </w:rPr>
        <w:t>……………………所在页码</w:t>
      </w:r>
    </w:p>
    <w:p w14:paraId="4377B983">
      <w:pPr>
        <w:adjustRightInd w:val="0"/>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.竞争性磋商最终报价表</w:t>
      </w:r>
      <w:r>
        <w:rPr>
          <w:rFonts w:hint="eastAsia" w:ascii="仿宋" w:hAnsi="仿宋" w:eastAsia="仿宋" w:cs="仿宋"/>
          <w:color w:val="000000"/>
          <w:kern w:val="0"/>
          <w:highlight w:val="none"/>
          <w:lang w:val="zh-CN"/>
        </w:rPr>
        <w:t>…………………………………………所在页码</w:t>
      </w:r>
    </w:p>
    <w:p w14:paraId="2E3EA0F1">
      <w:pPr>
        <w:adjustRightInd w:val="0"/>
        <w:snapToGrid w:val="0"/>
        <w:spacing w:line="360" w:lineRule="auto"/>
        <w:rPr>
          <w:rFonts w:hint="eastAsia" w:ascii="仿宋" w:hAnsi="仿宋" w:eastAsia="仿宋" w:cs="仿宋"/>
          <w:color w:val="000000"/>
          <w:kern w:val="0"/>
          <w:highlight w:val="none"/>
          <w:lang w:val="zh-CN"/>
        </w:rPr>
      </w:pPr>
    </w:p>
    <w:p w14:paraId="28514694">
      <w:pPr>
        <w:autoSpaceDE w:val="0"/>
        <w:autoSpaceDN w:val="0"/>
        <w:spacing w:line="360" w:lineRule="auto"/>
        <w:jc w:val="left"/>
        <w:rPr>
          <w:rFonts w:hint="eastAsia" w:ascii="仿宋" w:hAnsi="仿宋" w:eastAsia="仿宋" w:cs="仿宋"/>
          <w:color w:val="000000"/>
          <w:kern w:val="0"/>
          <w:highlight w:val="none"/>
          <w:lang w:val="zh-CN"/>
        </w:rPr>
      </w:pPr>
    </w:p>
    <w:bookmarkEnd w:id="343"/>
    <w:bookmarkEnd w:id="344"/>
    <w:p w14:paraId="6BBC503F">
      <w:pPr>
        <w:pStyle w:val="27"/>
        <w:spacing w:before="0" w:after="0" w:line="360" w:lineRule="auto"/>
        <w:jc w:val="left"/>
        <w:rPr>
          <w:rFonts w:hint="eastAsia" w:ascii="仿宋" w:hAnsi="仿宋" w:eastAsia="仿宋" w:cs="仿宋"/>
          <w:color w:val="000000"/>
          <w:sz w:val="30"/>
          <w:szCs w:val="30"/>
          <w:highlight w:val="none"/>
        </w:rPr>
      </w:pPr>
      <w:bookmarkStart w:id="345" w:name="_Toc19582"/>
      <w:bookmarkStart w:id="346" w:name="_Toc16581"/>
    </w:p>
    <w:p w14:paraId="25034B1C">
      <w:pPr>
        <w:pStyle w:val="27"/>
        <w:spacing w:before="0" w:after="0" w:line="360" w:lineRule="auto"/>
        <w:outlineLvl w:val="1"/>
        <w:rPr>
          <w:rFonts w:hint="eastAsia" w:ascii="仿宋" w:hAnsi="仿宋" w:eastAsia="仿宋" w:cs="仿宋"/>
          <w:color w:val="000000"/>
          <w:sz w:val="30"/>
          <w:szCs w:val="30"/>
          <w:highlight w:val="none"/>
        </w:rPr>
      </w:pPr>
      <w:bookmarkStart w:id="347" w:name="_Toc32200"/>
    </w:p>
    <w:p w14:paraId="27BF7E76">
      <w:pPr>
        <w:pStyle w:val="27"/>
        <w:spacing w:before="0" w:after="0" w:line="360" w:lineRule="auto"/>
        <w:outlineLvl w:val="1"/>
        <w:rPr>
          <w:rFonts w:hint="eastAsia" w:ascii="仿宋" w:hAnsi="仿宋" w:eastAsia="仿宋" w:cs="仿宋"/>
          <w:color w:val="000000"/>
          <w:sz w:val="30"/>
          <w:szCs w:val="30"/>
          <w:highlight w:val="none"/>
        </w:rPr>
      </w:pPr>
    </w:p>
    <w:p w14:paraId="67BC33CD">
      <w:pPr>
        <w:pStyle w:val="27"/>
        <w:spacing w:before="0" w:after="0" w:line="360" w:lineRule="auto"/>
        <w:outlineLvl w:val="1"/>
        <w:rPr>
          <w:rFonts w:hint="eastAsia" w:ascii="仿宋" w:hAnsi="仿宋" w:eastAsia="仿宋" w:cs="仿宋"/>
          <w:color w:val="000000"/>
          <w:sz w:val="30"/>
          <w:szCs w:val="30"/>
          <w:highlight w:val="none"/>
        </w:rPr>
      </w:pPr>
    </w:p>
    <w:p w14:paraId="491D0BBF">
      <w:pPr>
        <w:pStyle w:val="27"/>
        <w:spacing w:before="0" w:after="0" w:line="360" w:lineRule="auto"/>
        <w:outlineLvl w:val="1"/>
        <w:rPr>
          <w:rFonts w:hint="eastAsia" w:ascii="仿宋" w:hAnsi="仿宋" w:eastAsia="仿宋" w:cs="仿宋"/>
          <w:color w:val="000000"/>
          <w:sz w:val="30"/>
          <w:szCs w:val="30"/>
          <w:highlight w:val="none"/>
        </w:rPr>
      </w:pPr>
    </w:p>
    <w:p w14:paraId="3D00F3C3">
      <w:pPr>
        <w:rPr>
          <w:rFonts w:hint="eastAsia" w:ascii="仿宋" w:hAnsi="仿宋" w:eastAsia="仿宋" w:cs="仿宋"/>
          <w:color w:val="000000"/>
          <w:sz w:val="30"/>
          <w:szCs w:val="30"/>
          <w:highlight w:val="none"/>
        </w:rPr>
      </w:pPr>
    </w:p>
    <w:p w14:paraId="648411BC">
      <w:pPr>
        <w:pStyle w:val="29"/>
        <w:rPr>
          <w:rFonts w:hint="eastAsia" w:ascii="仿宋" w:hAnsi="仿宋" w:eastAsia="仿宋" w:cs="仿宋"/>
          <w:color w:val="000000"/>
          <w:highlight w:val="none"/>
        </w:rPr>
      </w:pPr>
    </w:p>
    <w:p w14:paraId="0936A33F">
      <w:pPr>
        <w:spacing w:line="360" w:lineRule="auto"/>
        <w:jc w:val="both"/>
        <w:outlineLvl w:val="0"/>
        <w:rPr>
          <w:rFonts w:hint="eastAsia" w:ascii="仿宋" w:hAnsi="仿宋" w:eastAsia="仿宋" w:cs="仿宋"/>
          <w:b/>
          <w:bCs/>
          <w:color w:val="000000"/>
          <w:sz w:val="32"/>
          <w:szCs w:val="32"/>
          <w:highlight w:val="none"/>
          <w:lang w:val="zh-CN"/>
        </w:rPr>
      </w:pPr>
      <w:bookmarkStart w:id="348" w:name="_Toc1065"/>
    </w:p>
    <w:p w14:paraId="4521BF70">
      <w:pPr>
        <w:spacing w:line="360" w:lineRule="auto"/>
        <w:jc w:val="center"/>
        <w:outlineLvl w:val="0"/>
        <w:rPr>
          <w:rFonts w:hint="eastAsia" w:ascii="仿宋" w:hAnsi="仿宋" w:eastAsia="仿宋" w:cs="仿宋"/>
          <w:b/>
          <w:bCs/>
          <w:color w:val="000000"/>
          <w:sz w:val="32"/>
          <w:szCs w:val="32"/>
          <w:highlight w:val="none"/>
          <w:lang w:val="zh-CN"/>
        </w:rPr>
      </w:pPr>
      <w:bookmarkStart w:id="349" w:name="_Toc10182"/>
    </w:p>
    <w:p w14:paraId="5E7B65CF">
      <w:pPr>
        <w:spacing w:line="360" w:lineRule="auto"/>
        <w:jc w:val="center"/>
        <w:outlineLvl w:val="0"/>
        <w:rPr>
          <w:rFonts w:hint="eastAsia" w:ascii="仿宋" w:hAnsi="仿宋" w:eastAsia="仿宋" w:cs="仿宋"/>
          <w:b/>
          <w:bCs/>
          <w:color w:val="000000"/>
          <w:sz w:val="32"/>
          <w:szCs w:val="32"/>
          <w:highlight w:val="none"/>
          <w:lang w:val="zh-CN"/>
        </w:rPr>
      </w:pPr>
      <w:r>
        <w:rPr>
          <w:rFonts w:hint="eastAsia" w:ascii="仿宋" w:hAnsi="仿宋" w:eastAsia="仿宋" w:cs="仿宋"/>
          <w:b/>
          <w:bCs/>
          <w:color w:val="000000"/>
          <w:sz w:val="32"/>
          <w:szCs w:val="32"/>
          <w:highlight w:val="none"/>
          <w:lang w:val="zh-CN"/>
        </w:rPr>
        <w:t>01.磋商函</w:t>
      </w:r>
      <w:bookmarkEnd w:id="345"/>
      <w:bookmarkEnd w:id="346"/>
      <w:bookmarkEnd w:id="347"/>
      <w:bookmarkEnd w:id="348"/>
      <w:bookmarkEnd w:id="349"/>
    </w:p>
    <w:p w14:paraId="1DA2F52D">
      <w:pPr>
        <w:autoSpaceDE w:val="0"/>
        <w:autoSpaceDN w:val="0"/>
        <w:spacing w:line="360" w:lineRule="auto"/>
        <w:rPr>
          <w:rFonts w:hint="eastAsia" w:ascii="仿宋" w:hAnsi="仿宋" w:eastAsia="仿宋" w:cs="仿宋"/>
          <w:b/>
          <w:bCs/>
          <w:color w:val="000000"/>
          <w:kern w:val="0"/>
          <w:sz w:val="28"/>
          <w:szCs w:val="28"/>
          <w:highlight w:val="none"/>
          <w:lang w:val="zh-CN"/>
        </w:rPr>
      </w:pPr>
    </w:p>
    <w:p w14:paraId="38AA18E3">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致：青海科越全过程工程管理有限责任公司</w:t>
      </w:r>
    </w:p>
    <w:p w14:paraId="2F3F9F31">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我们收到</w:t>
      </w:r>
      <w:r>
        <w:rPr>
          <w:rFonts w:hint="eastAsia" w:ascii="仿宋" w:hAnsi="仿宋" w:eastAsia="仿宋" w:cs="仿宋"/>
          <w:color w:val="000000"/>
          <w:kern w:val="0"/>
          <w:highlight w:val="none"/>
          <w:u w:val="single"/>
          <w:lang w:val="zh-CN"/>
        </w:rPr>
        <w:t>采购项目名称（采购项目编号）</w:t>
      </w:r>
      <w:r>
        <w:rPr>
          <w:rFonts w:hint="eastAsia" w:ascii="仿宋" w:hAnsi="仿宋" w:eastAsia="仿宋" w:cs="仿宋"/>
          <w:color w:val="000000"/>
          <w:kern w:val="0"/>
          <w:highlight w:val="none"/>
          <w:lang w:val="zh-CN"/>
        </w:rPr>
        <w:t>磋商文件，经研究，法定代表人（姓名、职务）正式授权（委托代理人姓名、职务）代表供应商（供应商名称、地址）提交磋商响应文件。</w:t>
      </w:r>
    </w:p>
    <w:p w14:paraId="5B45C508">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据此函，签字代表宣布同意如下：</w:t>
      </w:r>
    </w:p>
    <w:p w14:paraId="019698D6">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1.我方已详阅竞争性磋商文件的全部内容，包括澄清、修改条款等有关附件，承诺对其完全理解并接受。</w:t>
      </w:r>
    </w:p>
    <w:p w14:paraId="77C9A648">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2.磋商有效期：</w:t>
      </w:r>
      <w:r>
        <w:rPr>
          <w:rFonts w:hint="eastAsia" w:ascii="仿宋" w:hAnsi="仿宋" w:eastAsia="仿宋" w:cs="仿宋"/>
          <w:color w:val="000000"/>
          <w:highlight w:val="none"/>
          <w:shd w:val="clear" w:color="auto" w:fill="FFFFFF"/>
        </w:rPr>
        <w:t>从提交</w:t>
      </w:r>
      <w:r>
        <w:rPr>
          <w:rFonts w:hint="eastAsia" w:ascii="仿宋" w:hAnsi="仿宋" w:eastAsia="仿宋" w:cs="仿宋"/>
          <w:color w:val="000000"/>
          <w:kern w:val="0"/>
          <w:highlight w:val="none"/>
          <w:lang w:val="zh-CN"/>
        </w:rPr>
        <w:t>磋商</w:t>
      </w:r>
      <w:r>
        <w:rPr>
          <w:rFonts w:hint="eastAsia" w:ascii="仿宋" w:hAnsi="仿宋" w:eastAsia="仿宋" w:cs="仿宋"/>
          <w:color w:val="000000"/>
          <w:highlight w:val="none"/>
          <w:shd w:val="clear" w:color="auto" w:fill="FFFFFF"/>
        </w:rPr>
        <w:t>文件的截止之日起</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u w:val="single"/>
        </w:rPr>
        <w:t>60</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日历日内有效。如果我方在磋商有效期内撤回</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或</w:t>
      </w:r>
      <w:r>
        <w:rPr>
          <w:rFonts w:hint="eastAsia" w:ascii="仿宋" w:hAnsi="仿宋" w:eastAsia="仿宋" w:cs="仿宋"/>
          <w:color w:val="000000"/>
          <w:kern w:val="0"/>
          <w:highlight w:val="none"/>
          <w:lang w:val="en-US" w:eastAsia="zh-CN"/>
        </w:rPr>
        <w:t>成交后</w:t>
      </w:r>
      <w:r>
        <w:rPr>
          <w:rFonts w:hint="eastAsia" w:ascii="仿宋" w:hAnsi="仿宋" w:eastAsia="仿宋" w:cs="仿宋"/>
          <w:color w:val="000000"/>
          <w:kern w:val="0"/>
          <w:highlight w:val="none"/>
          <w:lang w:val="zh-CN"/>
        </w:rPr>
        <w:t>不签约的，磋商保证金将被贵方没收。</w:t>
      </w:r>
    </w:p>
    <w:p w14:paraId="5C4A78CB">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3.我方同意按照贵方要求提供与</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有关的一切数据或资料，理解并接受贵方制定的评审办法。</w:t>
      </w:r>
    </w:p>
    <w:p w14:paraId="27A93B6B">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4.与本磋商有关的一切正式往来通讯请寄：</w:t>
      </w:r>
    </w:p>
    <w:p w14:paraId="02157FCA">
      <w:pPr>
        <w:autoSpaceDE w:val="0"/>
        <w:autoSpaceDN w:val="0"/>
        <w:spacing w:line="360" w:lineRule="auto"/>
        <w:rPr>
          <w:rFonts w:hint="eastAsia" w:ascii="仿宋" w:hAnsi="仿宋" w:eastAsia="仿宋" w:cs="仿宋"/>
          <w:color w:val="000000"/>
          <w:kern w:val="0"/>
          <w:highlight w:val="none"/>
          <w:lang w:val="zh-CN"/>
        </w:rPr>
      </w:pPr>
    </w:p>
    <w:p w14:paraId="22AD79BE">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地址：_______________          邮编：______________</w:t>
      </w:r>
    </w:p>
    <w:p w14:paraId="37FF2A3F">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电话：_______________          传真：______________</w:t>
      </w:r>
    </w:p>
    <w:p w14:paraId="188CC06E">
      <w:pPr>
        <w:autoSpaceDE w:val="0"/>
        <w:autoSpaceDN w:val="0"/>
        <w:spacing w:line="360" w:lineRule="auto"/>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zh-CN"/>
        </w:rPr>
        <w:t xml:space="preserve">法定代表人姓名：___________   </w:t>
      </w:r>
      <w:r>
        <w:rPr>
          <w:rFonts w:hint="eastAsia" w:ascii="仿宋" w:hAnsi="仿宋" w:eastAsia="仿宋" w:cs="仿宋"/>
          <w:color w:val="000000"/>
          <w:kern w:val="0"/>
          <w:highlight w:val="none"/>
          <w:lang w:val="en-US" w:eastAsia="zh-CN"/>
        </w:rPr>
        <w:t xml:space="preserve"> </w:t>
      </w:r>
      <w:r>
        <w:rPr>
          <w:rFonts w:hint="eastAsia" w:ascii="仿宋" w:hAnsi="仿宋" w:eastAsia="仿宋" w:cs="仿宋"/>
          <w:color w:val="000000"/>
          <w:kern w:val="0"/>
          <w:highlight w:val="none"/>
          <w:lang w:val="zh-CN"/>
        </w:rPr>
        <w:t>职务：____________</w:t>
      </w:r>
    </w:p>
    <w:p w14:paraId="0F2F1B16">
      <w:pPr>
        <w:autoSpaceDE w:val="0"/>
        <w:autoSpaceDN w:val="0"/>
        <w:spacing w:line="360" w:lineRule="auto"/>
        <w:rPr>
          <w:rFonts w:hint="eastAsia" w:ascii="仿宋" w:hAnsi="仿宋" w:eastAsia="仿宋" w:cs="仿宋"/>
          <w:color w:val="000000"/>
          <w:kern w:val="0"/>
          <w:highlight w:val="none"/>
          <w:lang w:val="zh-CN"/>
        </w:rPr>
      </w:pPr>
    </w:p>
    <w:p w14:paraId="148FE0FD">
      <w:pPr>
        <w:autoSpaceDE w:val="0"/>
        <w:autoSpaceDN w:val="0"/>
        <w:spacing w:line="360" w:lineRule="auto"/>
        <w:rPr>
          <w:rFonts w:hint="eastAsia" w:ascii="仿宋" w:hAnsi="仿宋" w:eastAsia="仿宋" w:cs="仿宋"/>
          <w:color w:val="000000"/>
          <w:kern w:val="0"/>
          <w:highlight w:val="none"/>
          <w:lang w:val="zh-CN"/>
        </w:rPr>
      </w:pPr>
    </w:p>
    <w:p w14:paraId="62A019C6">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6E32CFD3">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（签字或盖章）</w:t>
      </w:r>
    </w:p>
    <w:p w14:paraId="1D5BF473">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0F694B3F">
      <w:pPr>
        <w:pStyle w:val="27"/>
        <w:spacing w:before="0" w:after="0" w:line="360" w:lineRule="auto"/>
        <w:jc w:val="left"/>
        <w:rPr>
          <w:rFonts w:hint="eastAsia" w:ascii="仿宋" w:hAnsi="仿宋" w:eastAsia="仿宋" w:cs="仿宋"/>
          <w:b w:val="0"/>
          <w:bCs w:val="0"/>
          <w:color w:val="000000"/>
          <w:kern w:val="0"/>
          <w:sz w:val="24"/>
          <w:highlight w:val="none"/>
          <w:lang w:val="zh-CN"/>
        </w:rPr>
      </w:pPr>
    </w:p>
    <w:p w14:paraId="174CA6F8">
      <w:pPr>
        <w:pStyle w:val="27"/>
        <w:spacing w:before="0" w:after="0" w:line="360" w:lineRule="auto"/>
        <w:jc w:val="left"/>
        <w:rPr>
          <w:rFonts w:hint="eastAsia" w:ascii="仿宋" w:hAnsi="仿宋" w:eastAsia="仿宋" w:cs="仿宋"/>
          <w:b w:val="0"/>
          <w:bCs w:val="0"/>
          <w:color w:val="000000"/>
          <w:kern w:val="0"/>
          <w:sz w:val="24"/>
          <w:highlight w:val="none"/>
          <w:lang w:val="zh-CN"/>
        </w:rPr>
      </w:pPr>
    </w:p>
    <w:p w14:paraId="0A963A0B">
      <w:pPr>
        <w:pStyle w:val="27"/>
        <w:spacing w:before="0" w:after="0" w:line="360" w:lineRule="auto"/>
        <w:jc w:val="left"/>
        <w:rPr>
          <w:rFonts w:hint="eastAsia" w:ascii="仿宋" w:hAnsi="仿宋" w:eastAsia="仿宋" w:cs="仿宋"/>
          <w:b w:val="0"/>
          <w:bCs w:val="0"/>
          <w:color w:val="000000"/>
          <w:kern w:val="0"/>
          <w:sz w:val="24"/>
          <w:highlight w:val="none"/>
          <w:lang w:val="zh-CN"/>
        </w:rPr>
      </w:pPr>
    </w:p>
    <w:p w14:paraId="3F13938D">
      <w:pPr>
        <w:pStyle w:val="27"/>
        <w:spacing w:before="0" w:after="0" w:line="360" w:lineRule="auto"/>
        <w:jc w:val="left"/>
        <w:rPr>
          <w:rFonts w:hint="eastAsia" w:ascii="仿宋" w:hAnsi="仿宋" w:eastAsia="仿宋" w:cs="仿宋"/>
          <w:b w:val="0"/>
          <w:bCs w:val="0"/>
          <w:color w:val="000000"/>
          <w:kern w:val="0"/>
          <w:sz w:val="24"/>
          <w:highlight w:val="none"/>
          <w:lang w:val="zh-CN"/>
        </w:rPr>
      </w:pPr>
    </w:p>
    <w:p w14:paraId="51FC80FB">
      <w:pPr>
        <w:widowControl/>
        <w:snapToGrid w:val="0"/>
        <w:spacing w:line="360" w:lineRule="auto"/>
        <w:outlineLvl w:val="1"/>
        <w:rPr>
          <w:rFonts w:hint="eastAsia" w:ascii="仿宋" w:hAnsi="仿宋" w:eastAsia="仿宋" w:cs="仿宋"/>
          <w:b/>
          <w:bCs/>
          <w:color w:val="000000"/>
          <w:sz w:val="30"/>
          <w:szCs w:val="30"/>
          <w:highlight w:val="none"/>
        </w:rPr>
      </w:pPr>
      <w:bookmarkStart w:id="350" w:name="_Toc376936769"/>
      <w:bookmarkStart w:id="351" w:name="_Toc325726038"/>
      <w:bookmarkStart w:id="352" w:name="_Toc25201"/>
      <w:bookmarkStart w:id="353" w:name="_Toc8953"/>
      <w:bookmarkStart w:id="354" w:name="_Toc30833"/>
      <w:bookmarkStart w:id="355" w:name="_Toc24481"/>
      <w:bookmarkStart w:id="356" w:name="_Toc25855"/>
      <w:bookmarkStart w:id="357" w:name="_Toc10709"/>
      <w:bookmarkStart w:id="358" w:name="_Toc16411"/>
    </w:p>
    <w:p w14:paraId="4B818991">
      <w:pPr>
        <w:pStyle w:val="29"/>
        <w:rPr>
          <w:rFonts w:hint="eastAsia" w:ascii="仿宋" w:hAnsi="仿宋" w:eastAsia="仿宋" w:cs="仿宋"/>
          <w:color w:val="000000"/>
          <w:highlight w:val="none"/>
        </w:rPr>
      </w:pPr>
    </w:p>
    <w:p w14:paraId="56242C4C">
      <w:pPr>
        <w:spacing w:line="360" w:lineRule="auto"/>
        <w:jc w:val="center"/>
        <w:outlineLvl w:val="0"/>
        <w:rPr>
          <w:rFonts w:hint="eastAsia" w:ascii="仿宋" w:hAnsi="仿宋" w:eastAsia="仿宋" w:cs="仿宋"/>
          <w:b/>
          <w:bCs/>
          <w:color w:val="000000"/>
          <w:sz w:val="32"/>
          <w:szCs w:val="32"/>
          <w:highlight w:val="none"/>
          <w:lang w:val="zh-CN"/>
        </w:rPr>
      </w:pPr>
      <w:bookmarkStart w:id="359" w:name="_Toc6439"/>
      <w:r>
        <w:rPr>
          <w:rFonts w:hint="eastAsia" w:ascii="仿宋" w:hAnsi="仿宋" w:eastAsia="仿宋" w:cs="仿宋"/>
          <w:b/>
          <w:bCs/>
          <w:color w:val="000000"/>
          <w:sz w:val="32"/>
          <w:szCs w:val="32"/>
          <w:highlight w:val="none"/>
          <w:lang w:val="zh-CN"/>
        </w:rPr>
        <w:t>0</w:t>
      </w:r>
      <w:bookmarkEnd w:id="350"/>
      <w:bookmarkEnd w:id="351"/>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color w:val="000000"/>
          <w:sz w:val="32"/>
          <w:szCs w:val="32"/>
          <w:highlight w:val="none"/>
          <w:lang w:val="zh-CN"/>
        </w:rPr>
        <w:t>.竞争性磋商首次报价表</w:t>
      </w:r>
      <w:bookmarkEnd w:id="352"/>
      <w:bookmarkEnd w:id="353"/>
      <w:bookmarkEnd w:id="354"/>
      <w:bookmarkEnd w:id="355"/>
      <w:bookmarkEnd w:id="356"/>
      <w:bookmarkEnd w:id="357"/>
      <w:bookmarkEnd w:id="358"/>
      <w:bookmarkEnd w:id="359"/>
    </w:p>
    <w:p w14:paraId="799E8C2C">
      <w:pPr>
        <w:ind w:firstLine="2711" w:firstLineChars="750"/>
        <w:rPr>
          <w:rFonts w:hint="eastAsia" w:ascii="仿宋" w:hAnsi="仿宋" w:eastAsia="仿宋" w:cs="仿宋"/>
          <w:b/>
          <w:color w:val="000000"/>
          <w:sz w:val="36"/>
          <w:szCs w:val="36"/>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4922"/>
      </w:tblGrid>
      <w:tr w14:paraId="783C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B83CD28">
            <w:pPr>
              <w:pStyle w:val="6"/>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0"/>
              <w:jc w:val="center"/>
              <w:textAlignment w:val="auto"/>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供应商名称</w:t>
            </w:r>
          </w:p>
        </w:tc>
        <w:tc>
          <w:tcPr>
            <w:tcW w:w="4922" w:type="dxa"/>
            <w:noWrap w:val="0"/>
            <w:vAlign w:val="center"/>
          </w:tcPr>
          <w:p w14:paraId="10D3BF49">
            <w:pPr>
              <w:pStyle w:val="6"/>
              <w:spacing w:line="360" w:lineRule="auto"/>
              <w:ind w:firstLine="0"/>
              <w:rPr>
                <w:rFonts w:hint="eastAsia" w:ascii="仿宋" w:hAnsi="仿宋" w:eastAsia="仿宋" w:cs="仿宋"/>
                <w:color w:val="000000"/>
                <w:szCs w:val="24"/>
                <w:highlight w:val="none"/>
                <w:lang w:val="en-US" w:eastAsia="zh-CN"/>
              </w:rPr>
            </w:pPr>
          </w:p>
        </w:tc>
      </w:tr>
      <w:tr w14:paraId="7283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3EB684C">
            <w:pPr>
              <w:pStyle w:val="6"/>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0"/>
              <w:jc w:val="center"/>
              <w:textAlignment w:val="auto"/>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磋商</w:t>
            </w:r>
            <w:r>
              <w:rPr>
                <w:rFonts w:hint="eastAsia" w:ascii="仿宋" w:hAnsi="仿宋" w:eastAsia="仿宋" w:cs="仿宋"/>
                <w:color w:val="000000"/>
                <w:szCs w:val="24"/>
                <w:highlight w:val="none"/>
                <w:lang w:val="zh-CN" w:eastAsia="zh-CN"/>
              </w:rPr>
              <w:t>包号</w:t>
            </w:r>
          </w:p>
        </w:tc>
        <w:tc>
          <w:tcPr>
            <w:tcW w:w="4922" w:type="dxa"/>
            <w:noWrap w:val="0"/>
            <w:vAlign w:val="center"/>
          </w:tcPr>
          <w:p w14:paraId="506751B3">
            <w:pPr>
              <w:pStyle w:val="6"/>
              <w:spacing w:line="360" w:lineRule="auto"/>
              <w:ind w:firstLine="0"/>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无</w:t>
            </w:r>
          </w:p>
        </w:tc>
      </w:tr>
      <w:tr w14:paraId="564F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136BF7E">
            <w:pPr>
              <w:pStyle w:val="6"/>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0"/>
              <w:jc w:val="center"/>
              <w:textAlignment w:val="auto"/>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磋商报价</w:t>
            </w:r>
          </w:p>
        </w:tc>
        <w:tc>
          <w:tcPr>
            <w:tcW w:w="4922" w:type="dxa"/>
            <w:noWrap w:val="0"/>
            <w:vAlign w:val="center"/>
          </w:tcPr>
          <w:p w14:paraId="1B72ECB4">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大写：</w:t>
            </w:r>
          </w:p>
          <w:p w14:paraId="0014F5E7">
            <w:pPr>
              <w:pStyle w:val="6"/>
              <w:spacing w:line="360" w:lineRule="auto"/>
              <w:ind w:firstLine="0"/>
              <w:rPr>
                <w:rFonts w:hint="eastAsia" w:ascii="仿宋" w:hAnsi="仿宋" w:eastAsia="仿宋" w:cs="仿宋"/>
                <w:color w:val="000000"/>
                <w:szCs w:val="24"/>
                <w:highlight w:val="none"/>
                <w:lang w:val="en-US" w:eastAsia="zh-CN"/>
              </w:rPr>
            </w:pPr>
            <w:r>
              <w:rPr>
                <w:rFonts w:hint="eastAsia" w:ascii="仿宋" w:hAnsi="仿宋" w:eastAsia="仿宋" w:cs="仿宋"/>
                <w:color w:val="000000"/>
                <w:kern w:val="0"/>
                <w:szCs w:val="24"/>
                <w:highlight w:val="none"/>
                <w:lang w:val="zh-CN" w:eastAsia="zh-CN"/>
              </w:rPr>
              <w:t>小写：</w:t>
            </w:r>
            <w:r>
              <w:rPr>
                <w:rFonts w:hint="eastAsia" w:ascii="仿宋" w:hAnsi="仿宋" w:eastAsia="仿宋" w:cs="仿宋"/>
                <w:color w:val="000000"/>
                <w:kern w:val="0"/>
                <w:szCs w:val="24"/>
                <w:highlight w:val="none"/>
                <w:lang w:val="en-US" w:eastAsia="zh-CN"/>
              </w:rPr>
              <w:t xml:space="preserve">           </w:t>
            </w:r>
          </w:p>
        </w:tc>
      </w:tr>
      <w:tr w14:paraId="39DD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4F8BB6E">
            <w:pPr>
              <w:pStyle w:val="6"/>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0"/>
              <w:jc w:val="center"/>
              <w:textAlignment w:val="auto"/>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服务期</w:t>
            </w:r>
          </w:p>
        </w:tc>
        <w:tc>
          <w:tcPr>
            <w:tcW w:w="4922" w:type="dxa"/>
            <w:noWrap w:val="0"/>
            <w:vAlign w:val="center"/>
          </w:tcPr>
          <w:p w14:paraId="4A6732B0">
            <w:pPr>
              <w:pStyle w:val="6"/>
              <w:spacing w:line="360" w:lineRule="auto"/>
              <w:ind w:firstLine="0"/>
              <w:rPr>
                <w:rFonts w:hint="eastAsia" w:ascii="仿宋" w:hAnsi="仿宋" w:eastAsia="仿宋" w:cs="仿宋"/>
                <w:color w:val="000000"/>
                <w:szCs w:val="24"/>
                <w:highlight w:val="none"/>
                <w:lang w:val="en-US" w:eastAsia="zh-CN"/>
              </w:rPr>
            </w:pPr>
          </w:p>
        </w:tc>
      </w:tr>
    </w:tbl>
    <w:p w14:paraId="2FEEF2B0">
      <w:pPr>
        <w:adjustRightInd w:val="0"/>
        <w:ind w:firstLine="426" w:firstLineChars="177"/>
        <w:textAlignment w:val="baseline"/>
        <w:rPr>
          <w:rFonts w:hint="eastAsia" w:ascii="仿宋" w:hAnsi="仿宋" w:eastAsia="仿宋" w:cs="仿宋"/>
          <w:b/>
          <w:color w:val="000000"/>
          <w:highlight w:val="none"/>
        </w:rPr>
      </w:pPr>
    </w:p>
    <w:p w14:paraId="29AC77AF">
      <w:pPr>
        <w:adjustRightInd w:val="0"/>
        <w:spacing w:line="360" w:lineRule="auto"/>
        <w:ind w:firstLine="426" w:firstLineChars="177"/>
        <w:textAlignment w:val="baseline"/>
        <w:rPr>
          <w:rFonts w:hint="eastAsia" w:ascii="仿宋" w:hAnsi="仿宋" w:eastAsia="仿宋" w:cs="仿宋"/>
          <w:color w:val="000000"/>
          <w:highlight w:val="none"/>
        </w:rPr>
      </w:pPr>
      <w:r>
        <w:rPr>
          <w:rFonts w:hint="eastAsia" w:ascii="仿宋" w:hAnsi="仿宋" w:eastAsia="仿宋" w:cs="仿宋"/>
          <w:b/>
          <w:color w:val="000000"/>
          <w:highlight w:val="none"/>
        </w:rPr>
        <w:t>注：</w:t>
      </w: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填写此表时不得改变表格形式。</w:t>
      </w:r>
    </w:p>
    <w:p w14:paraId="5E9DA7D9">
      <w:pPr>
        <w:adjustRightInd w:val="0"/>
        <w:spacing w:line="360" w:lineRule="auto"/>
        <w:ind w:firstLine="900" w:firstLineChars="375"/>
        <w:textAlignment w:val="baseline"/>
        <w:rPr>
          <w:rFonts w:hint="eastAsia" w:ascii="仿宋" w:hAnsi="仿宋" w:eastAsia="仿宋" w:cs="仿宋"/>
          <w:color w:val="000000"/>
          <w:highlight w:val="none"/>
          <w:lang w:val="zh-CN"/>
        </w:rPr>
      </w:pPr>
      <w:bookmarkStart w:id="360" w:name="_Toc27092"/>
      <w:bookmarkStart w:id="361" w:name="_Toc10718"/>
      <w:r>
        <w:rPr>
          <w:rFonts w:hint="eastAsia" w:ascii="仿宋" w:hAnsi="仿宋" w:eastAsia="仿宋" w:cs="仿宋"/>
          <w:color w:val="000000"/>
          <w:highlight w:val="none"/>
          <w:lang w:val="zh-CN"/>
        </w:rPr>
        <w:t>2.“服务期”是指本项目服务期限。</w:t>
      </w:r>
      <w:bookmarkEnd w:id="360"/>
      <w:bookmarkEnd w:id="361"/>
    </w:p>
    <w:p w14:paraId="0F093F5C">
      <w:pPr>
        <w:adjustRightInd w:val="0"/>
        <w:spacing w:line="360" w:lineRule="auto"/>
        <w:ind w:firstLine="900" w:firstLineChars="375"/>
        <w:textAlignment w:val="baseline"/>
        <w:rPr>
          <w:rFonts w:hint="eastAsia" w:ascii="仿宋" w:hAnsi="仿宋" w:eastAsia="仿宋" w:cs="仿宋"/>
          <w:color w:val="000000"/>
          <w:highlight w:val="none"/>
          <w:lang w:val="zh-CN"/>
        </w:rPr>
      </w:pPr>
      <w:bookmarkStart w:id="362" w:name="_Toc2100"/>
      <w:bookmarkStart w:id="363" w:name="_Toc15918"/>
      <w:bookmarkStart w:id="364" w:name="_Toc17982"/>
      <w:r>
        <w:rPr>
          <w:rFonts w:hint="eastAsia" w:ascii="仿宋" w:hAnsi="仿宋" w:eastAsia="仿宋" w:cs="仿宋"/>
          <w:color w:val="000000"/>
          <w:highlight w:val="none"/>
          <w:lang w:val="zh-CN"/>
        </w:rPr>
        <w:t>3.</w:t>
      </w:r>
      <w:r>
        <w:rPr>
          <w:rFonts w:hint="eastAsia" w:ascii="仿宋" w:hAnsi="仿宋" w:eastAsia="仿宋" w:cs="仿宋"/>
          <w:color w:val="000000"/>
          <w:highlight w:val="none"/>
          <w:lang w:val="en-US" w:eastAsia="zh-CN"/>
        </w:rPr>
        <w:t>磋商</w:t>
      </w:r>
      <w:r>
        <w:rPr>
          <w:rFonts w:hint="eastAsia" w:ascii="仿宋" w:hAnsi="仿宋" w:eastAsia="仿宋" w:cs="仿宋"/>
          <w:color w:val="000000"/>
          <w:highlight w:val="none"/>
          <w:lang w:val="zh-CN"/>
        </w:rPr>
        <w:t>报价不能有两个或两个以上的报价方案，否则</w:t>
      </w:r>
      <w:r>
        <w:rPr>
          <w:rFonts w:hint="eastAsia" w:ascii="仿宋" w:hAnsi="仿宋" w:eastAsia="仿宋" w:cs="仿宋"/>
          <w:color w:val="000000"/>
          <w:highlight w:val="none"/>
          <w:lang w:val="en-US" w:eastAsia="zh-CN"/>
        </w:rPr>
        <w:t>磋商</w:t>
      </w:r>
      <w:r>
        <w:rPr>
          <w:rFonts w:hint="eastAsia" w:ascii="仿宋" w:hAnsi="仿宋" w:eastAsia="仿宋" w:cs="仿宋"/>
          <w:color w:val="000000"/>
          <w:highlight w:val="none"/>
          <w:lang w:val="zh-CN"/>
        </w:rPr>
        <w:t>无效。</w:t>
      </w:r>
      <w:bookmarkEnd w:id="362"/>
      <w:bookmarkEnd w:id="363"/>
      <w:bookmarkEnd w:id="364"/>
    </w:p>
    <w:p w14:paraId="05E16EC3">
      <w:pPr>
        <w:pStyle w:val="29"/>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 </w:t>
      </w:r>
    </w:p>
    <w:p w14:paraId="6B3DF736">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00154D68">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（签字或盖章）</w:t>
      </w:r>
    </w:p>
    <w:p w14:paraId="2EE9E3A9">
      <w:pPr>
        <w:autoSpaceDE w:val="0"/>
        <w:autoSpaceDN w:val="0"/>
        <w:spacing w:line="360" w:lineRule="auto"/>
        <w:jc w:val="center"/>
        <w:rPr>
          <w:rFonts w:hint="eastAsia" w:ascii="仿宋" w:hAnsi="仿宋" w:eastAsia="仿宋" w:cs="仿宋"/>
          <w:b/>
          <w:bCs/>
          <w:color w:val="000000"/>
          <w:kern w:val="0"/>
          <w:sz w:val="28"/>
          <w:szCs w:val="28"/>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05BE224C">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39B381C1">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7C2F48C0">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02652B6D">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75C6153A">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17D2D508">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1D975683">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1606F2B0">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52E784A8">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490B1299">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36E07824">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457ACAA4">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614A954E">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1184D64F">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2FC324F3">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5041F48E">
      <w:pPr>
        <w:autoSpaceDE w:val="0"/>
        <w:autoSpaceDN w:val="0"/>
        <w:adjustRightInd w:val="0"/>
        <w:spacing w:line="400" w:lineRule="exact"/>
        <w:jc w:val="center"/>
        <w:rPr>
          <w:rFonts w:hint="eastAsia" w:ascii="仿宋" w:hAnsi="仿宋" w:eastAsia="仿宋" w:cs="仿宋"/>
          <w:b/>
          <w:bCs/>
          <w:color w:val="000000"/>
          <w:kern w:val="0"/>
          <w:sz w:val="28"/>
          <w:szCs w:val="28"/>
          <w:highlight w:val="none"/>
          <w:lang w:val="zh-CN"/>
        </w:rPr>
      </w:pPr>
      <w:r>
        <w:rPr>
          <w:rFonts w:hint="eastAsia" w:ascii="仿宋" w:hAnsi="仿宋" w:eastAsia="仿宋" w:cs="仿宋"/>
          <w:b/>
          <w:bCs/>
          <w:color w:val="000000"/>
          <w:kern w:val="0"/>
          <w:sz w:val="28"/>
          <w:szCs w:val="28"/>
          <w:highlight w:val="none"/>
          <w:lang w:val="zh-CN"/>
        </w:rPr>
        <w:t>监理报酬清单</w:t>
      </w:r>
    </w:p>
    <w:p w14:paraId="3FC3604D">
      <w:pPr>
        <w:pStyle w:val="29"/>
        <w:rPr>
          <w:rFonts w:hint="eastAsia" w:ascii="仿宋" w:hAnsi="仿宋" w:eastAsia="仿宋" w:cs="仿宋"/>
          <w:highlight w:val="none"/>
          <w:lang w:val="zh-CN"/>
        </w:rPr>
      </w:pPr>
    </w:p>
    <w:p w14:paraId="71EB95A3">
      <w:pPr>
        <w:autoSpaceDE w:val="0"/>
        <w:autoSpaceDN w:val="0"/>
        <w:spacing w:line="360" w:lineRule="auto"/>
        <w:jc w:val="both"/>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1.监理报酬清单说明 </w:t>
      </w:r>
    </w:p>
    <w:p w14:paraId="7528171A">
      <w:pPr>
        <w:autoSpaceDE w:val="0"/>
        <w:autoSpaceDN w:val="0"/>
        <w:spacing w:line="360" w:lineRule="auto"/>
        <w:jc w:val="both"/>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2.监理报酬清单</w:t>
      </w:r>
    </w:p>
    <w:p w14:paraId="10B64066">
      <w:pPr>
        <w:autoSpaceDE w:val="0"/>
        <w:autoSpaceDN w:val="0"/>
        <w:spacing w:line="360" w:lineRule="auto"/>
        <w:jc w:val="right"/>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eastAsia="zh-CN"/>
        </w:rPr>
        <w:t>单位：人民币元</w:t>
      </w:r>
    </w:p>
    <w:tbl>
      <w:tblPr>
        <w:tblStyle w:val="31"/>
        <w:tblW w:w="8541" w:type="dxa"/>
        <w:jc w:val="center"/>
        <w:tblLayout w:type="fixed"/>
        <w:tblCellMar>
          <w:top w:w="0" w:type="dxa"/>
          <w:left w:w="28" w:type="dxa"/>
          <w:bottom w:w="0" w:type="dxa"/>
          <w:right w:w="28" w:type="dxa"/>
        </w:tblCellMar>
      </w:tblPr>
      <w:tblGrid>
        <w:gridCol w:w="680"/>
        <w:gridCol w:w="1988"/>
        <w:gridCol w:w="2863"/>
        <w:gridCol w:w="1365"/>
        <w:gridCol w:w="1645"/>
      </w:tblGrid>
      <w:tr w14:paraId="072A2BC7">
        <w:tblPrEx>
          <w:tblCellMar>
            <w:top w:w="0" w:type="dxa"/>
            <w:left w:w="28" w:type="dxa"/>
            <w:bottom w:w="0" w:type="dxa"/>
            <w:right w:w="28" w:type="dxa"/>
          </w:tblCellMar>
        </w:tblPrEx>
        <w:trPr>
          <w:trHeight w:val="23" w:hRule="atLeast"/>
          <w:jc w:val="center"/>
        </w:trPr>
        <w:tc>
          <w:tcPr>
            <w:tcW w:w="680" w:type="dxa"/>
            <w:tcBorders>
              <w:top w:val="single" w:color="000000" w:sz="8" w:space="0"/>
              <w:left w:val="single" w:color="000000" w:sz="8" w:space="0"/>
              <w:bottom w:val="single" w:color="000000" w:sz="6" w:space="0"/>
              <w:right w:val="single" w:color="000000" w:sz="6" w:space="0"/>
            </w:tcBorders>
            <w:noWrap w:val="0"/>
            <w:vAlign w:val="center"/>
          </w:tcPr>
          <w:p w14:paraId="0B76DACB">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序号</w:t>
            </w:r>
          </w:p>
        </w:tc>
        <w:tc>
          <w:tcPr>
            <w:tcW w:w="1988" w:type="dxa"/>
            <w:tcBorders>
              <w:top w:val="single" w:color="000000" w:sz="8" w:space="0"/>
              <w:left w:val="single" w:color="000000" w:sz="6" w:space="0"/>
              <w:bottom w:val="single" w:color="000000" w:sz="6" w:space="0"/>
              <w:right w:val="single" w:color="000000" w:sz="6" w:space="0"/>
            </w:tcBorders>
            <w:noWrap w:val="0"/>
            <w:vAlign w:val="center"/>
          </w:tcPr>
          <w:p w14:paraId="3A887049">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监理报酬分项名称</w:t>
            </w:r>
          </w:p>
        </w:tc>
        <w:tc>
          <w:tcPr>
            <w:tcW w:w="2863" w:type="dxa"/>
            <w:tcBorders>
              <w:top w:val="single" w:color="000000" w:sz="8" w:space="0"/>
              <w:left w:val="single" w:color="000000" w:sz="6" w:space="0"/>
              <w:bottom w:val="single" w:color="000000" w:sz="6" w:space="0"/>
              <w:right w:val="single" w:color="000000" w:sz="6" w:space="0"/>
            </w:tcBorders>
            <w:noWrap w:val="0"/>
            <w:vAlign w:val="center"/>
          </w:tcPr>
          <w:p w14:paraId="03692FF1">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计算依据、过程和公式</w:t>
            </w:r>
          </w:p>
        </w:tc>
        <w:tc>
          <w:tcPr>
            <w:tcW w:w="1365" w:type="dxa"/>
            <w:tcBorders>
              <w:top w:val="single" w:color="000000" w:sz="8" w:space="0"/>
              <w:left w:val="single" w:color="000000" w:sz="6" w:space="0"/>
              <w:bottom w:val="single" w:color="000000" w:sz="6" w:space="0"/>
              <w:right w:val="single" w:color="000000" w:sz="6" w:space="0"/>
            </w:tcBorders>
            <w:noWrap w:val="0"/>
            <w:vAlign w:val="center"/>
          </w:tcPr>
          <w:p w14:paraId="03BAEEF6">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金额（元）</w:t>
            </w:r>
          </w:p>
        </w:tc>
        <w:tc>
          <w:tcPr>
            <w:tcW w:w="1645" w:type="dxa"/>
            <w:tcBorders>
              <w:top w:val="single" w:color="000000" w:sz="8" w:space="0"/>
              <w:left w:val="single" w:color="000000" w:sz="6" w:space="0"/>
              <w:bottom w:val="single" w:color="000000" w:sz="6" w:space="0"/>
              <w:right w:val="single" w:color="000000" w:sz="6" w:space="0"/>
            </w:tcBorders>
            <w:noWrap w:val="0"/>
            <w:vAlign w:val="center"/>
          </w:tcPr>
          <w:p w14:paraId="5B9255D0">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备注</w:t>
            </w:r>
          </w:p>
        </w:tc>
      </w:tr>
      <w:tr w14:paraId="591984AB">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5DE4CC23">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3C190685">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0FF052C1">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5C9652AA">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3C3AEDC1">
            <w:pPr>
              <w:autoSpaceDE w:val="0"/>
              <w:autoSpaceDN w:val="0"/>
              <w:spacing w:line="360" w:lineRule="auto"/>
              <w:jc w:val="center"/>
              <w:rPr>
                <w:rFonts w:hint="eastAsia" w:ascii="仿宋" w:hAnsi="仿宋" w:eastAsia="仿宋" w:cs="仿宋"/>
                <w:color w:val="000000"/>
                <w:kern w:val="0"/>
                <w:highlight w:val="none"/>
                <w:lang w:val="zh-CN"/>
              </w:rPr>
            </w:pPr>
          </w:p>
        </w:tc>
      </w:tr>
      <w:tr w14:paraId="727BCC8F">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77B234AA">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24024122">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17D94972">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3E436CDE">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6CB0C713">
            <w:pPr>
              <w:autoSpaceDE w:val="0"/>
              <w:autoSpaceDN w:val="0"/>
              <w:spacing w:line="360" w:lineRule="auto"/>
              <w:jc w:val="center"/>
              <w:rPr>
                <w:rFonts w:hint="eastAsia" w:ascii="仿宋" w:hAnsi="仿宋" w:eastAsia="仿宋" w:cs="仿宋"/>
                <w:color w:val="000000"/>
                <w:kern w:val="0"/>
                <w:highlight w:val="none"/>
                <w:lang w:val="zh-CN"/>
              </w:rPr>
            </w:pPr>
          </w:p>
        </w:tc>
      </w:tr>
      <w:tr w14:paraId="30A41021">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16E346AE">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3</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623B9ED9">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0D95AF2D">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04968E86">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660952B0">
            <w:pPr>
              <w:autoSpaceDE w:val="0"/>
              <w:autoSpaceDN w:val="0"/>
              <w:spacing w:line="360" w:lineRule="auto"/>
              <w:jc w:val="center"/>
              <w:rPr>
                <w:rFonts w:hint="eastAsia" w:ascii="仿宋" w:hAnsi="仿宋" w:eastAsia="仿宋" w:cs="仿宋"/>
                <w:color w:val="000000"/>
                <w:kern w:val="0"/>
                <w:highlight w:val="none"/>
                <w:lang w:val="zh-CN"/>
              </w:rPr>
            </w:pPr>
          </w:p>
        </w:tc>
      </w:tr>
      <w:tr w14:paraId="2DB75DC2">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71AD32AF">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4</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028EAF73">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4E0E370D">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62B7DF32">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301CFA9B">
            <w:pPr>
              <w:autoSpaceDE w:val="0"/>
              <w:autoSpaceDN w:val="0"/>
              <w:spacing w:line="360" w:lineRule="auto"/>
              <w:jc w:val="center"/>
              <w:rPr>
                <w:rFonts w:hint="eastAsia" w:ascii="仿宋" w:hAnsi="仿宋" w:eastAsia="仿宋" w:cs="仿宋"/>
                <w:color w:val="000000"/>
                <w:kern w:val="0"/>
                <w:highlight w:val="none"/>
                <w:lang w:val="zh-CN"/>
              </w:rPr>
            </w:pPr>
          </w:p>
        </w:tc>
      </w:tr>
      <w:tr w14:paraId="5B43C50A">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77CE351F">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2BF09F37">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66129982">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1C9592EB">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39850ADF">
            <w:pPr>
              <w:autoSpaceDE w:val="0"/>
              <w:autoSpaceDN w:val="0"/>
              <w:spacing w:line="360" w:lineRule="auto"/>
              <w:jc w:val="center"/>
              <w:rPr>
                <w:rFonts w:hint="eastAsia" w:ascii="仿宋" w:hAnsi="仿宋" w:eastAsia="仿宋" w:cs="仿宋"/>
                <w:color w:val="000000"/>
                <w:kern w:val="0"/>
                <w:highlight w:val="none"/>
                <w:lang w:val="zh-CN"/>
              </w:rPr>
            </w:pPr>
          </w:p>
        </w:tc>
      </w:tr>
      <w:tr w14:paraId="46E4ED87">
        <w:tblPrEx>
          <w:tblCellMar>
            <w:top w:w="0" w:type="dxa"/>
            <w:left w:w="28" w:type="dxa"/>
            <w:bottom w:w="0" w:type="dxa"/>
            <w:right w:w="28" w:type="dxa"/>
          </w:tblCellMar>
        </w:tblPrEx>
        <w:trPr>
          <w:trHeight w:val="23" w:hRule="atLeast"/>
          <w:jc w:val="center"/>
        </w:trPr>
        <w:tc>
          <w:tcPr>
            <w:tcW w:w="2668" w:type="dxa"/>
            <w:gridSpan w:val="2"/>
            <w:tcBorders>
              <w:top w:val="single" w:color="000000" w:sz="6" w:space="0"/>
              <w:left w:val="single" w:color="000000" w:sz="8" w:space="0"/>
              <w:bottom w:val="single" w:color="000000" w:sz="6" w:space="0"/>
              <w:right w:val="single" w:color="000000" w:sz="6" w:space="0"/>
            </w:tcBorders>
            <w:noWrap w:val="0"/>
            <w:vAlign w:val="center"/>
          </w:tcPr>
          <w:p w14:paraId="6AB8E9DF">
            <w:pPr>
              <w:autoSpaceDE w:val="0"/>
              <w:autoSpaceDN w:val="0"/>
              <w:spacing w:line="360" w:lineRule="auto"/>
              <w:jc w:val="center"/>
              <w:rPr>
                <w:rFonts w:hint="eastAsia" w:ascii="仿宋" w:hAnsi="仿宋" w:eastAsia="仿宋" w:cs="仿宋"/>
                <w:color w:val="000000"/>
                <w:kern w:val="0"/>
                <w:highlight w:val="none"/>
              </w:rPr>
            </w:pPr>
            <w:r>
              <w:rPr>
                <w:rFonts w:hint="eastAsia" w:ascii="仿宋" w:hAnsi="仿宋" w:eastAsia="仿宋" w:cs="仿宋"/>
                <w:color w:val="000000"/>
                <w:kern w:val="0"/>
                <w:highlight w:val="none"/>
              </w:rPr>
              <w:t>合计报价</w:t>
            </w:r>
          </w:p>
        </w:tc>
        <w:tc>
          <w:tcPr>
            <w:tcW w:w="5873" w:type="dxa"/>
            <w:gridSpan w:val="3"/>
            <w:tcBorders>
              <w:top w:val="single" w:color="000000" w:sz="6" w:space="0"/>
              <w:left w:val="single" w:color="000000" w:sz="6" w:space="0"/>
              <w:bottom w:val="single" w:color="000000" w:sz="6" w:space="0"/>
              <w:right w:val="single" w:color="000000" w:sz="6" w:space="0"/>
            </w:tcBorders>
            <w:noWrap w:val="0"/>
            <w:vAlign w:val="center"/>
          </w:tcPr>
          <w:p w14:paraId="0C8CB760">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大写：</w:t>
            </w:r>
          </w:p>
          <w:p w14:paraId="1505FFF1">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小写：</w:t>
            </w:r>
          </w:p>
        </w:tc>
      </w:tr>
    </w:tbl>
    <w:p w14:paraId="04565FBD">
      <w:pPr>
        <w:autoSpaceDE w:val="0"/>
        <w:autoSpaceDN w:val="0"/>
        <w:adjustRightInd w:val="0"/>
        <w:spacing w:line="400" w:lineRule="exact"/>
        <w:rPr>
          <w:rFonts w:hint="eastAsia" w:ascii="仿宋" w:hAnsi="仿宋" w:eastAsia="仿宋" w:cs="仿宋"/>
          <w:kern w:val="0"/>
          <w:highlight w:val="none"/>
          <w:lang w:val="zh-CN"/>
        </w:rPr>
      </w:pPr>
    </w:p>
    <w:p w14:paraId="7D6D0AF1">
      <w:pPr>
        <w:autoSpaceDE w:val="0"/>
        <w:autoSpaceDN w:val="0"/>
        <w:adjustRightInd w:val="0"/>
        <w:spacing w:line="400" w:lineRule="exact"/>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w:t>
      </w:r>
    </w:p>
    <w:p w14:paraId="55386535">
      <w:pPr>
        <w:autoSpaceDE w:val="0"/>
        <w:autoSpaceDN w:val="0"/>
        <w:adjustRightInd w:val="0"/>
        <w:spacing w:line="400" w:lineRule="exact"/>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w:t>
      </w:r>
    </w:p>
    <w:p w14:paraId="5B903502">
      <w:pPr>
        <w:autoSpaceDE w:val="0"/>
        <w:autoSpaceDN w:val="0"/>
        <w:adjustRightInd w:val="0"/>
        <w:spacing w:line="400" w:lineRule="exact"/>
        <w:ind w:firstLine="4453" w:firstLineChars="1848"/>
        <w:rPr>
          <w:rFonts w:hint="eastAsia" w:ascii="仿宋" w:hAnsi="仿宋" w:eastAsia="仿宋" w:cs="仿宋"/>
          <w:b/>
          <w:bCs/>
          <w:kern w:val="0"/>
          <w:highlight w:val="none"/>
          <w:lang w:val="zh-CN"/>
        </w:rPr>
      </w:pPr>
      <w:r>
        <w:rPr>
          <w:rFonts w:hint="eastAsia" w:ascii="仿宋" w:hAnsi="仿宋" w:eastAsia="仿宋" w:cs="仿宋"/>
          <w:b/>
          <w:bCs/>
          <w:kern w:val="0"/>
          <w:highlight w:val="none"/>
          <w:lang w:val="zh-CN"/>
        </w:rPr>
        <w:t>供应商：             （公章）</w:t>
      </w:r>
    </w:p>
    <w:p w14:paraId="2193EF6C">
      <w:pPr>
        <w:autoSpaceDE w:val="0"/>
        <w:autoSpaceDN w:val="0"/>
        <w:adjustRightInd w:val="0"/>
        <w:spacing w:line="400" w:lineRule="exact"/>
        <w:rPr>
          <w:rFonts w:hint="eastAsia" w:ascii="仿宋" w:hAnsi="仿宋" w:eastAsia="仿宋" w:cs="仿宋"/>
          <w:b/>
          <w:bCs/>
          <w:kern w:val="0"/>
          <w:highlight w:val="none"/>
          <w:lang w:val="zh-CN"/>
        </w:rPr>
      </w:pPr>
      <w:r>
        <w:rPr>
          <w:rFonts w:hint="eastAsia" w:ascii="仿宋" w:hAnsi="仿宋" w:eastAsia="仿宋" w:cs="仿宋"/>
          <w:b/>
          <w:bCs/>
          <w:kern w:val="0"/>
          <w:highlight w:val="none"/>
          <w:lang w:val="zh-CN"/>
        </w:rPr>
        <w:t xml:space="preserve">                     法定代表人或委托代理人：            （</w:t>
      </w:r>
      <w:r>
        <w:rPr>
          <w:rFonts w:hint="eastAsia" w:ascii="仿宋" w:hAnsi="仿宋" w:eastAsia="仿宋" w:cs="仿宋"/>
          <w:b/>
          <w:bCs/>
          <w:color w:val="000000"/>
          <w:kern w:val="0"/>
          <w:highlight w:val="none"/>
          <w:lang w:val="zh-CN"/>
        </w:rPr>
        <w:t>签字或盖章</w:t>
      </w:r>
      <w:r>
        <w:rPr>
          <w:rFonts w:hint="eastAsia" w:ascii="仿宋" w:hAnsi="仿宋" w:eastAsia="仿宋" w:cs="仿宋"/>
          <w:b/>
          <w:bCs/>
          <w:kern w:val="0"/>
          <w:highlight w:val="none"/>
          <w:lang w:val="zh-CN"/>
        </w:rPr>
        <w:t>）</w:t>
      </w:r>
    </w:p>
    <w:p w14:paraId="6C0CB761">
      <w:pPr>
        <w:autoSpaceDE w:val="0"/>
        <w:autoSpaceDN w:val="0"/>
        <w:adjustRightInd w:val="0"/>
        <w:spacing w:line="400" w:lineRule="exact"/>
        <w:rPr>
          <w:rFonts w:hint="eastAsia" w:ascii="仿宋" w:hAnsi="仿宋" w:eastAsia="仿宋" w:cs="仿宋"/>
          <w:kern w:val="0"/>
          <w:highlight w:val="none"/>
          <w:lang w:val="zh-CN"/>
        </w:rPr>
      </w:pPr>
      <w:r>
        <w:rPr>
          <w:rFonts w:hint="eastAsia" w:ascii="仿宋" w:hAnsi="仿宋" w:eastAsia="仿宋" w:cs="仿宋"/>
          <w:b/>
          <w:bCs/>
          <w:kern w:val="0"/>
          <w:highlight w:val="none"/>
          <w:lang w:val="zh-CN"/>
        </w:rPr>
        <w:t xml:space="preserve">                                         年   月   日</w:t>
      </w:r>
    </w:p>
    <w:p w14:paraId="495A4EC2">
      <w:pPr>
        <w:pStyle w:val="27"/>
        <w:spacing w:before="0" w:after="0" w:line="360" w:lineRule="auto"/>
        <w:jc w:val="left"/>
        <w:rPr>
          <w:rFonts w:hint="eastAsia" w:ascii="仿宋" w:hAnsi="仿宋" w:eastAsia="仿宋" w:cs="仿宋"/>
          <w:b w:val="0"/>
          <w:bCs w:val="0"/>
          <w:color w:val="000000"/>
          <w:kern w:val="0"/>
          <w:sz w:val="24"/>
          <w:highlight w:val="none"/>
          <w:lang w:val="zh-CN"/>
        </w:rPr>
      </w:pPr>
    </w:p>
    <w:p w14:paraId="0D6B4834">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6011B667">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22E382A1">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3886D78D">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1E99A60C">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73FC658D">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376F682C">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7AC96EDC">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2203684C">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33588206">
      <w:pPr>
        <w:spacing w:line="360" w:lineRule="auto"/>
        <w:jc w:val="center"/>
        <w:outlineLvl w:val="0"/>
        <w:rPr>
          <w:rFonts w:hint="eastAsia" w:ascii="仿宋" w:hAnsi="仿宋" w:eastAsia="仿宋" w:cs="仿宋"/>
          <w:b/>
          <w:bCs/>
          <w:color w:val="000000"/>
          <w:sz w:val="32"/>
          <w:szCs w:val="32"/>
          <w:highlight w:val="none"/>
          <w:lang w:val="zh-CN"/>
        </w:rPr>
      </w:pPr>
      <w:bookmarkStart w:id="365" w:name="_Toc5749"/>
      <w:bookmarkStart w:id="366" w:name="_Toc26900"/>
      <w:bookmarkStart w:id="367" w:name="_Toc6936"/>
      <w:bookmarkStart w:id="368" w:name="_Toc12504"/>
      <w:bookmarkStart w:id="369" w:name="_Toc29944"/>
      <w:r>
        <w:rPr>
          <w:rFonts w:hint="eastAsia" w:ascii="仿宋" w:hAnsi="仿宋" w:eastAsia="仿宋" w:cs="仿宋"/>
          <w:b/>
          <w:bCs/>
          <w:color w:val="000000"/>
          <w:sz w:val="32"/>
          <w:szCs w:val="32"/>
          <w:highlight w:val="none"/>
          <w:lang w:val="zh-CN"/>
        </w:rPr>
        <w:t>0</w:t>
      </w:r>
      <w:r>
        <w:rPr>
          <w:rFonts w:hint="eastAsia" w:ascii="仿宋" w:hAnsi="仿宋" w:eastAsia="仿宋" w:cs="仿宋"/>
          <w:b/>
          <w:bCs/>
          <w:color w:val="000000"/>
          <w:sz w:val="32"/>
          <w:szCs w:val="32"/>
          <w:highlight w:val="none"/>
          <w:lang w:val="en-US" w:eastAsia="zh-CN"/>
        </w:rPr>
        <w:t>3</w:t>
      </w:r>
      <w:r>
        <w:rPr>
          <w:rFonts w:hint="eastAsia" w:ascii="仿宋" w:hAnsi="仿宋" w:eastAsia="仿宋" w:cs="仿宋"/>
          <w:b/>
          <w:bCs/>
          <w:color w:val="000000"/>
          <w:sz w:val="32"/>
          <w:szCs w:val="32"/>
          <w:highlight w:val="none"/>
          <w:lang w:val="zh-CN"/>
        </w:rPr>
        <w:t>.法定代表人证明书</w:t>
      </w:r>
      <w:bookmarkEnd w:id="365"/>
      <w:bookmarkEnd w:id="366"/>
      <w:bookmarkEnd w:id="367"/>
      <w:bookmarkEnd w:id="368"/>
    </w:p>
    <w:p w14:paraId="2991DB74">
      <w:pPr>
        <w:autoSpaceDE w:val="0"/>
        <w:autoSpaceDN w:val="0"/>
        <w:spacing w:line="360" w:lineRule="auto"/>
        <w:rPr>
          <w:rFonts w:hint="eastAsia" w:ascii="仿宋" w:hAnsi="仿宋" w:eastAsia="仿宋" w:cs="仿宋"/>
          <w:b/>
          <w:bCs/>
          <w:color w:val="000000"/>
          <w:kern w:val="0"/>
          <w:sz w:val="28"/>
          <w:szCs w:val="28"/>
          <w:highlight w:val="none"/>
          <w:lang w:val="zh-CN"/>
        </w:rPr>
      </w:pPr>
    </w:p>
    <w:p w14:paraId="2602D7F0">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致：青海科越全过程工程管理有限责任公司</w:t>
      </w:r>
    </w:p>
    <w:p w14:paraId="69AD8C18">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u w:val="single"/>
          <w:lang w:val="zh-CN"/>
        </w:rPr>
        <w:t>（法定代表人姓名）</w:t>
      </w:r>
      <w:r>
        <w:rPr>
          <w:rFonts w:hint="eastAsia" w:ascii="仿宋" w:hAnsi="仿宋" w:eastAsia="仿宋" w:cs="仿宋"/>
          <w:color w:val="000000"/>
          <w:kern w:val="0"/>
          <w:highlight w:val="none"/>
          <w:lang w:val="zh-CN"/>
        </w:rPr>
        <w:t>现任我单位</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职务，为法定代表人，特此证明。</w:t>
      </w:r>
    </w:p>
    <w:p w14:paraId="031952AC">
      <w:pPr>
        <w:autoSpaceDE w:val="0"/>
        <w:autoSpaceDN w:val="0"/>
        <w:spacing w:line="360" w:lineRule="auto"/>
        <w:rPr>
          <w:rFonts w:hint="eastAsia" w:ascii="仿宋" w:hAnsi="仿宋" w:eastAsia="仿宋" w:cs="仿宋"/>
          <w:color w:val="000000"/>
          <w:kern w:val="0"/>
          <w:highlight w:val="none"/>
          <w:lang w:val="zh-CN"/>
        </w:rPr>
      </w:pPr>
    </w:p>
    <w:p w14:paraId="11E361C0">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法定代表人基本情况：</w:t>
      </w:r>
    </w:p>
    <w:p w14:paraId="2697300C">
      <w:pPr>
        <w:autoSpaceDE w:val="0"/>
        <w:autoSpaceDN w:val="0"/>
        <w:spacing w:line="360" w:lineRule="auto"/>
        <w:rPr>
          <w:rFonts w:hint="eastAsia" w:ascii="仿宋" w:hAnsi="仿宋" w:eastAsia="仿宋" w:cs="仿宋"/>
          <w:color w:val="000000"/>
          <w:kern w:val="0"/>
          <w:highlight w:val="none"/>
          <w:u w:val="single"/>
          <w:lang w:val="zh-CN"/>
        </w:rPr>
      </w:pPr>
      <w:r>
        <w:rPr>
          <w:rFonts w:hint="eastAsia" w:ascii="仿宋" w:hAnsi="仿宋" w:eastAsia="仿宋" w:cs="仿宋"/>
          <w:color w:val="000000"/>
          <w:kern w:val="0"/>
          <w:highlight w:val="none"/>
          <w:lang w:val="zh-CN"/>
        </w:rPr>
        <w:t>性别：</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年龄：</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 xml:space="preserve"> 民族：</w:t>
      </w:r>
      <w:r>
        <w:rPr>
          <w:rFonts w:hint="eastAsia" w:ascii="仿宋" w:hAnsi="仿宋" w:eastAsia="仿宋" w:cs="仿宋"/>
          <w:color w:val="000000"/>
          <w:kern w:val="0"/>
          <w:highlight w:val="none"/>
          <w:u w:val="single"/>
          <w:lang w:val="en-US" w:eastAsia="zh-CN"/>
        </w:rPr>
        <w:t xml:space="preserve">   </w:t>
      </w:r>
      <w:r>
        <w:rPr>
          <w:rFonts w:hint="eastAsia" w:ascii="仿宋" w:hAnsi="仿宋" w:eastAsia="仿宋" w:cs="仿宋"/>
          <w:color w:val="000000"/>
          <w:kern w:val="0"/>
          <w:highlight w:val="none"/>
          <w:u w:val="single"/>
          <w:lang w:val="zh-CN"/>
        </w:rPr>
        <w:t xml:space="preserve">         </w:t>
      </w:r>
    </w:p>
    <w:p w14:paraId="6EF67902">
      <w:pPr>
        <w:autoSpaceDE w:val="0"/>
        <w:autoSpaceDN w:val="0"/>
        <w:spacing w:line="360" w:lineRule="auto"/>
        <w:rPr>
          <w:rFonts w:hint="eastAsia" w:ascii="仿宋" w:hAnsi="仿宋" w:eastAsia="仿宋" w:cs="仿宋"/>
          <w:color w:val="000000"/>
          <w:kern w:val="0"/>
          <w:highlight w:val="none"/>
          <w:u w:val="single"/>
          <w:lang w:val="zh-CN"/>
        </w:rPr>
      </w:pPr>
      <w:r>
        <w:rPr>
          <w:rFonts w:hint="eastAsia" w:ascii="仿宋" w:hAnsi="仿宋" w:eastAsia="仿宋" w:cs="仿宋"/>
          <w:color w:val="000000"/>
          <w:kern w:val="0"/>
          <w:highlight w:val="none"/>
          <w:lang w:val="zh-CN"/>
        </w:rPr>
        <w:t>地址：</w:t>
      </w:r>
      <w:r>
        <w:rPr>
          <w:rFonts w:hint="eastAsia" w:ascii="仿宋" w:hAnsi="仿宋" w:eastAsia="仿宋" w:cs="仿宋"/>
          <w:color w:val="000000"/>
          <w:kern w:val="0"/>
          <w:highlight w:val="none"/>
          <w:u w:val="single"/>
          <w:lang w:val="zh-CN"/>
        </w:rPr>
        <w:t xml:space="preserve">                                            </w:t>
      </w:r>
    </w:p>
    <w:p w14:paraId="53C30CDC">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身份证号码：</w:t>
      </w:r>
      <w:r>
        <w:rPr>
          <w:rFonts w:hint="eastAsia" w:ascii="仿宋" w:hAnsi="仿宋" w:eastAsia="仿宋" w:cs="仿宋"/>
          <w:color w:val="000000"/>
          <w:kern w:val="0"/>
          <w:highlight w:val="none"/>
          <w:u w:val="single"/>
          <w:lang w:val="zh-CN"/>
        </w:rPr>
        <w:t xml:space="preserve">                                      </w:t>
      </w:r>
    </w:p>
    <w:p w14:paraId="091439CA">
      <w:pPr>
        <w:autoSpaceDE w:val="0"/>
        <w:autoSpaceDN w:val="0"/>
        <w:spacing w:line="360" w:lineRule="auto"/>
        <w:rPr>
          <w:rFonts w:hint="eastAsia" w:ascii="仿宋" w:hAnsi="仿宋" w:eastAsia="仿宋" w:cs="仿宋"/>
          <w:color w:val="000000"/>
          <w:kern w:val="0"/>
          <w:highlight w:val="none"/>
          <w:lang w:val="zh-CN"/>
        </w:rPr>
      </w:pPr>
    </w:p>
    <w:p w14:paraId="199B7C91">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附法定代表人第二代身份证双面扫描（或复印）件</w:t>
      </w:r>
    </w:p>
    <w:p w14:paraId="44F0816D">
      <w:pPr>
        <w:autoSpaceDE w:val="0"/>
        <w:autoSpaceDN w:val="0"/>
        <w:spacing w:line="360" w:lineRule="auto"/>
        <w:rPr>
          <w:rFonts w:hint="eastAsia" w:ascii="仿宋" w:hAnsi="仿宋" w:eastAsia="仿宋" w:cs="仿宋"/>
          <w:color w:val="000000"/>
          <w:kern w:val="0"/>
          <w:highlight w:val="none"/>
          <w:lang w:val="zh-CN"/>
        </w:rPr>
      </w:pPr>
    </w:p>
    <w:p w14:paraId="1C9FBC08">
      <w:pPr>
        <w:autoSpaceDE w:val="0"/>
        <w:autoSpaceDN w:val="0"/>
        <w:spacing w:line="360" w:lineRule="auto"/>
        <w:rPr>
          <w:rFonts w:hint="eastAsia" w:ascii="仿宋" w:hAnsi="仿宋" w:eastAsia="仿宋" w:cs="仿宋"/>
          <w:color w:val="000000"/>
          <w:kern w:val="0"/>
          <w:highlight w:val="none"/>
          <w:lang w:val="zh-CN"/>
        </w:rPr>
      </w:pPr>
    </w:p>
    <w:p w14:paraId="1FCA6E61">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79487F16">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29E20E69">
      <w:pPr>
        <w:autoSpaceDE w:val="0"/>
        <w:autoSpaceDN w:val="0"/>
        <w:spacing w:line="360" w:lineRule="auto"/>
        <w:jc w:val="center"/>
        <w:outlineLvl w:val="0"/>
        <w:rPr>
          <w:rFonts w:hint="eastAsia" w:ascii="仿宋" w:hAnsi="仿宋" w:eastAsia="仿宋" w:cs="仿宋"/>
          <w:b/>
          <w:bCs/>
          <w:color w:val="000000"/>
          <w:kern w:val="0"/>
          <w:sz w:val="36"/>
          <w:szCs w:val="36"/>
          <w:highlight w:val="none"/>
          <w:lang w:val="zh-CN"/>
        </w:rPr>
      </w:pPr>
      <w:r>
        <w:rPr>
          <w:rFonts w:hint="eastAsia" w:ascii="仿宋" w:hAnsi="仿宋" w:eastAsia="仿宋" w:cs="仿宋"/>
          <w:color w:val="000000"/>
          <w:highlight w:val="none"/>
          <w:lang w:val="zh-CN"/>
        </w:rPr>
        <w:br w:type="page"/>
      </w:r>
      <w:bookmarkEnd w:id="369"/>
      <w:bookmarkStart w:id="370" w:name="_Toc5558"/>
      <w:bookmarkStart w:id="371" w:name="_Toc17782"/>
      <w:bookmarkStart w:id="372" w:name="_Toc31962"/>
      <w:bookmarkStart w:id="373" w:name="_Toc5799"/>
      <w:bookmarkStart w:id="374" w:name="_Toc17284"/>
      <w:r>
        <w:rPr>
          <w:rFonts w:hint="eastAsia" w:ascii="仿宋" w:hAnsi="仿宋" w:eastAsia="仿宋" w:cs="仿宋"/>
          <w:b/>
          <w:bCs/>
          <w:color w:val="000000"/>
          <w:sz w:val="32"/>
          <w:szCs w:val="32"/>
          <w:highlight w:val="none"/>
        </w:rPr>
        <w:t>0</w:t>
      </w: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lang w:val="zh-CN"/>
        </w:rPr>
        <w:t>法定代表人授权书</w:t>
      </w:r>
      <w:bookmarkEnd w:id="370"/>
    </w:p>
    <w:bookmarkEnd w:id="371"/>
    <w:bookmarkEnd w:id="372"/>
    <w:bookmarkEnd w:id="373"/>
    <w:p w14:paraId="45D5FEA6">
      <w:pPr>
        <w:autoSpaceDE w:val="0"/>
        <w:autoSpaceDN w:val="0"/>
        <w:spacing w:line="360" w:lineRule="auto"/>
        <w:rPr>
          <w:rFonts w:hint="eastAsia" w:ascii="仿宋" w:hAnsi="仿宋" w:eastAsia="仿宋" w:cs="仿宋"/>
          <w:b/>
          <w:bCs/>
          <w:color w:val="000000"/>
          <w:kern w:val="0"/>
          <w:sz w:val="28"/>
          <w:szCs w:val="28"/>
          <w:highlight w:val="none"/>
          <w:lang w:val="zh-CN"/>
        </w:rPr>
      </w:pPr>
    </w:p>
    <w:p w14:paraId="1BC7D6B5">
      <w:pPr>
        <w:autoSpaceDE w:val="0"/>
        <w:autoSpaceDN w:val="0"/>
        <w:spacing w:line="360" w:lineRule="auto"/>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致：青海科越全过程工程管理有限责任公司</w:t>
      </w:r>
    </w:p>
    <w:p w14:paraId="1D5B5807">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u w:val="single"/>
          <w:lang w:val="zh-CN"/>
        </w:rPr>
        <w:t>（供应商名称）</w:t>
      </w:r>
      <w:r>
        <w:rPr>
          <w:rFonts w:hint="eastAsia" w:ascii="仿宋" w:hAnsi="仿宋" w:eastAsia="仿宋" w:cs="仿宋"/>
          <w:color w:val="000000"/>
          <w:kern w:val="0"/>
          <w:highlight w:val="none"/>
          <w:lang w:val="zh-CN"/>
        </w:rPr>
        <w:t>系中华人民共和国合法企业，法定地址</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w:t>
      </w:r>
    </w:p>
    <w:p w14:paraId="6E5987C4">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u w:val="single"/>
          <w:lang w:val="zh-CN"/>
        </w:rPr>
        <w:t>（法定代表人姓名）</w:t>
      </w:r>
      <w:r>
        <w:rPr>
          <w:rFonts w:hint="eastAsia" w:ascii="仿宋" w:hAnsi="仿宋" w:eastAsia="仿宋" w:cs="仿宋"/>
          <w:color w:val="000000"/>
          <w:kern w:val="0"/>
          <w:highlight w:val="none"/>
          <w:lang w:val="zh-CN"/>
        </w:rPr>
        <w:t>特授权</w:t>
      </w:r>
      <w:r>
        <w:rPr>
          <w:rFonts w:hint="eastAsia" w:ascii="仿宋" w:hAnsi="仿宋" w:eastAsia="仿宋" w:cs="仿宋"/>
          <w:color w:val="000000"/>
          <w:kern w:val="0"/>
          <w:highlight w:val="none"/>
          <w:u w:val="single"/>
          <w:lang w:val="zh-CN"/>
        </w:rPr>
        <w:t>（委托代理人姓名）</w:t>
      </w:r>
      <w:r>
        <w:rPr>
          <w:rFonts w:hint="eastAsia" w:ascii="仿宋" w:hAnsi="仿宋" w:eastAsia="仿宋" w:cs="仿宋"/>
          <w:color w:val="000000"/>
          <w:kern w:val="0"/>
          <w:highlight w:val="none"/>
          <w:lang w:val="zh-CN"/>
        </w:rPr>
        <w:t>代表我单位全权办理</w:t>
      </w:r>
    </w:p>
    <w:p w14:paraId="436C976D">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项目的</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、答疑等具体工作，并签署全部有关的文件、资料。</w:t>
      </w:r>
    </w:p>
    <w:p w14:paraId="4DE328B2">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我单位对被授权人的签名负全部责任。</w:t>
      </w:r>
    </w:p>
    <w:p w14:paraId="63BD22EC">
      <w:pPr>
        <w:pStyle w:val="29"/>
        <w:ind w:left="0" w:leftChars="0"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sz w:val="24"/>
          <w:szCs w:val="24"/>
          <w:highlight w:val="none"/>
          <w:lang w:val="zh-CN" w:eastAsia="zh-CN" w:bidi="ar-SA"/>
        </w:rPr>
        <w:t>授权期限：自</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lang w:val="zh-CN" w:eastAsia="zh-CN" w:bidi="ar-SA"/>
        </w:rPr>
        <w:t>年</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u w:val="single"/>
          <w:lang w:val="en-US" w:eastAsia="zh-CN" w:bidi="ar-SA"/>
        </w:rPr>
        <w:t xml:space="preserve">  </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lang w:val="zh-CN" w:eastAsia="zh-CN" w:bidi="ar-SA"/>
        </w:rPr>
        <w:t>月</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u w:val="single"/>
          <w:lang w:val="en-US" w:eastAsia="zh-CN" w:bidi="ar-SA"/>
        </w:rPr>
        <w:t xml:space="preserve">  </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lang w:val="zh-CN" w:eastAsia="zh-CN" w:bidi="ar-SA"/>
        </w:rPr>
        <w:t>日起至</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u w:val="single"/>
          <w:lang w:val="en-US" w:eastAsia="zh-CN" w:bidi="ar-SA"/>
        </w:rPr>
        <w:t xml:space="preserve"> </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lang w:val="zh-CN" w:eastAsia="zh-CN" w:bidi="ar-SA"/>
        </w:rPr>
        <w:t>年</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u w:val="single"/>
          <w:lang w:val="en-US" w:eastAsia="zh-CN" w:bidi="ar-SA"/>
        </w:rPr>
        <w:t xml:space="preserve">  </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lang w:val="zh-CN" w:eastAsia="zh-CN" w:bidi="ar-SA"/>
        </w:rPr>
        <w:t>月</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u w:val="single"/>
          <w:lang w:val="en-US" w:eastAsia="zh-CN" w:bidi="ar-SA"/>
        </w:rPr>
        <w:t xml:space="preserve">  </w:t>
      </w:r>
      <w:r>
        <w:rPr>
          <w:rFonts w:hint="eastAsia" w:ascii="仿宋" w:hAnsi="仿宋" w:eastAsia="仿宋" w:cs="仿宋"/>
          <w:color w:val="000000"/>
          <w:kern w:val="0"/>
          <w:sz w:val="24"/>
          <w:szCs w:val="24"/>
          <w:highlight w:val="none"/>
          <w:u w:val="single"/>
          <w:lang w:val="zh-CN" w:eastAsia="zh-CN" w:bidi="ar-SA"/>
        </w:rPr>
        <w:t xml:space="preserve"> </w:t>
      </w:r>
      <w:r>
        <w:rPr>
          <w:rFonts w:hint="eastAsia" w:ascii="仿宋" w:hAnsi="仿宋" w:eastAsia="仿宋" w:cs="仿宋"/>
          <w:color w:val="000000"/>
          <w:kern w:val="0"/>
          <w:sz w:val="24"/>
          <w:szCs w:val="24"/>
          <w:highlight w:val="none"/>
          <w:lang w:val="zh-CN" w:eastAsia="zh-CN" w:bidi="ar-SA"/>
        </w:rPr>
        <w:t>日止。</w:t>
      </w:r>
    </w:p>
    <w:p w14:paraId="17808A46">
      <w:pPr>
        <w:autoSpaceDE w:val="0"/>
        <w:autoSpaceDN w:val="0"/>
        <w:spacing w:line="360" w:lineRule="auto"/>
        <w:ind w:firstLine="480"/>
        <w:rPr>
          <w:rFonts w:hint="eastAsia" w:ascii="仿宋" w:hAnsi="仿宋" w:eastAsia="仿宋" w:cs="仿宋"/>
          <w:color w:val="000000"/>
          <w:kern w:val="0"/>
          <w:highlight w:val="none"/>
          <w:lang w:val="zh-CN"/>
        </w:rPr>
      </w:pPr>
    </w:p>
    <w:p w14:paraId="7D17C2EF">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被授权人联系电话：</w:t>
      </w:r>
    </w:p>
    <w:p w14:paraId="6F601ECC">
      <w:pPr>
        <w:autoSpaceDE w:val="0"/>
        <w:autoSpaceDN w:val="0"/>
        <w:spacing w:line="360" w:lineRule="auto"/>
        <w:rPr>
          <w:rFonts w:hint="eastAsia" w:ascii="仿宋" w:hAnsi="仿宋" w:eastAsia="仿宋" w:cs="仿宋"/>
          <w:color w:val="000000"/>
          <w:kern w:val="0"/>
          <w:highlight w:val="none"/>
          <w:u w:val="single"/>
          <w:lang w:val="zh-CN"/>
        </w:rPr>
      </w:pPr>
      <w:r>
        <w:rPr>
          <w:rFonts w:hint="eastAsia" w:ascii="仿宋" w:hAnsi="仿宋" w:eastAsia="仿宋" w:cs="仿宋"/>
          <w:color w:val="000000"/>
          <w:kern w:val="0"/>
          <w:highlight w:val="none"/>
          <w:lang w:val="zh-CN"/>
        </w:rPr>
        <w:t>被授权人（委托代理人）签字或盖章：</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授权人（法定代表人）签字或盖章：</w:t>
      </w:r>
      <w:r>
        <w:rPr>
          <w:rFonts w:hint="eastAsia" w:ascii="仿宋" w:hAnsi="仿宋" w:eastAsia="仿宋" w:cs="仿宋"/>
          <w:color w:val="000000"/>
          <w:kern w:val="0"/>
          <w:highlight w:val="none"/>
          <w:u w:val="single"/>
          <w:lang w:val="zh-CN"/>
        </w:rPr>
        <w:t xml:space="preserve">       </w:t>
      </w:r>
    </w:p>
    <w:p w14:paraId="64EC9678">
      <w:pPr>
        <w:autoSpaceDE w:val="0"/>
        <w:autoSpaceDN w:val="0"/>
        <w:spacing w:line="360" w:lineRule="auto"/>
        <w:rPr>
          <w:rFonts w:hint="eastAsia" w:ascii="仿宋" w:hAnsi="仿宋" w:eastAsia="仿宋" w:cs="仿宋"/>
          <w:color w:val="000000"/>
          <w:kern w:val="0"/>
          <w:highlight w:val="none"/>
          <w:u w:val="single"/>
          <w:lang w:val="zh-CN"/>
        </w:rPr>
      </w:pPr>
      <w:r>
        <w:rPr>
          <w:rFonts w:hint="eastAsia" w:ascii="仿宋" w:hAnsi="仿宋" w:eastAsia="仿宋" w:cs="仿宋"/>
          <w:color w:val="000000"/>
          <w:kern w:val="0"/>
          <w:highlight w:val="none"/>
          <w:lang w:val="zh-CN"/>
        </w:rPr>
        <w:t>职务：</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 xml:space="preserve">  职务：</w:t>
      </w:r>
      <w:r>
        <w:rPr>
          <w:rFonts w:hint="eastAsia" w:ascii="仿宋" w:hAnsi="仿宋" w:eastAsia="仿宋" w:cs="仿宋"/>
          <w:color w:val="000000"/>
          <w:kern w:val="0"/>
          <w:highlight w:val="none"/>
          <w:lang w:val="en-US"/>
        </w:rPr>
        <w:t xml:space="preserve"> </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u w:val="single"/>
          <w:lang w:val="en-US"/>
        </w:rPr>
        <w:t xml:space="preserve">         </w:t>
      </w:r>
      <w:r>
        <w:rPr>
          <w:rFonts w:hint="eastAsia" w:ascii="仿宋" w:hAnsi="仿宋" w:eastAsia="仿宋" w:cs="仿宋"/>
          <w:color w:val="000000"/>
          <w:kern w:val="0"/>
          <w:highlight w:val="none"/>
          <w:u w:val="single"/>
          <w:lang w:val="zh-CN"/>
        </w:rPr>
        <w:t xml:space="preserve">                           </w:t>
      </w:r>
    </w:p>
    <w:p w14:paraId="730D9545">
      <w:pPr>
        <w:autoSpaceDE w:val="0"/>
        <w:autoSpaceDN w:val="0"/>
        <w:spacing w:line="360" w:lineRule="auto"/>
        <w:rPr>
          <w:rFonts w:hint="eastAsia" w:ascii="仿宋" w:hAnsi="仿宋" w:eastAsia="仿宋" w:cs="仿宋"/>
          <w:color w:val="000000"/>
          <w:kern w:val="0"/>
          <w:highlight w:val="none"/>
          <w:lang w:val="zh-CN"/>
        </w:rPr>
      </w:pPr>
    </w:p>
    <w:p w14:paraId="161CE1C7">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附被授权人第二代身份证双面扫描（或复印）件</w:t>
      </w:r>
    </w:p>
    <w:p w14:paraId="18769A76">
      <w:pPr>
        <w:autoSpaceDE w:val="0"/>
        <w:autoSpaceDN w:val="0"/>
        <w:spacing w:line="360" w:lineRule="auto"/>
        <w:rPr>
          <w:rFonts w:hint="eastAsia" w:ascii="仿宋" w:hAnsi="仿宋" w:eastAsia="仿宋" w:cs="仿宋"/>
          <w:color w:val="000000"/>
          <w:kern w:val="0"/>
          <w:highlight w:val="none"/>
          <w:lang w:val="zh-CN"/>
        </w:rPr>
      </w:pPr>
    </w:p>
    <w:p w14:paraId="7FCB1C5A">
      <w:pPr>
        <w:autoSpaceDE w:val="0"/>
        <w:autoSpaceDN w:val="0"/>
        <w:spacing w:line="360" w:lineRule="auto"/>
        <w:rPr>
          <w:rFonts w:hint="eastAsia" w:ascii="仿宋" w:hAnsi="仿宋" w:eastAsia="仿宋" w:cs="仿宋"/>
          <w:color w:val="000000"/>
          <w:kern w:val="0"/>
          <w:highlight w:val="none"/>
          <w:lang w:val="zh-CN"/>
        </w:rPr>
      </w:pPr>
    </w:p>
    <w:p w14:paraId="14E2CC85">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592F1D63">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17AF2E1F">
      <w:pPr>
        <w:autoSpaceDE w:val="0"/>
        <w:autoSpaceDN w:val="0"/>
        <w:spacing w:line="360" w:lineRule="auto"/>
        <w:rPr>
          <w:rFonts w:hint="eastAsia" w:ascii="仿宋" w:hAnsi="仿宋" w:eastAsia="仿宋" w:cs="仿宋"/>
          <w:color w:val="000000"/>
          <w:kern w:val="0"/>
          <w:highlight w:val="none"/>
          <w:lang w:val="zh-CN"/>
        </w:rPr>
      </w:pPr>
    </w:p>
    <w:p w14:paraId="399045C3">
      <w:pPr>
        <w:pStyle w:val="27"/>
        <w:spacing w:before="0" w:after="0" w:line="360" w:lineRule="auto"/>
        <w:jc w:val="left"/>
        <w:rPr>
          <w:rFonts w:hint="eastAsia" w:ascii="仿宋" w:hAnsi="仿宋" w:eastAsia="仿宋" w:cs="仿宋"/>
          <w:color w:val="000000"/>
          <w:highlight w:val="none"/>
          <w:lang w:val="zh-CN"/>
        </w:rPr>
      </w:pPr>
    </w:p>
    <w:p w14:paraId="770A1D7C">
      <w:pPr>
        <w:pStyle w:val="27"/>
        <w:spacing w:before="0" w:after="0" w:line="360" w:lineRule="auto"/>
        <w:jc w:val="left"/>
        <w:rPr>
          <w:rFonts w:hint="eastAsia" w:ascii="仿宋" w:hAnsi="仿宋" w:eastAsia="仿宋" w:cs="仿宋"/>
          <w:color w:val="000000"/>
          <w:highlight w:val="none"/>
          <w:lang w:val="zh-CN"/>
        </w:rPr>
      </w:pPr>
    </w:p>
    <w:p w14:paraId="1EFA2597">
      <w:pPr>
        <w:pStyle w:val="27"/>
        <w:spacing w:before="0" w:after="0" w:line="360" w:lineRule="auto"/>
        <w:jc w:val="left"/>
        <w:rPr>
          <w:rFonts w:hint="eastAsia" w:ascii="仿宋" w:hAnsi="仿宋" w:eastAsia="仿宋" w:cs="仿宋"/>
          <w:color w:val="000000"/>
          <w:highlight w:val="none"/>
          <w:lang w:val="zh-CN"/>
        </w:rPr>
      </w:pPr>
    </w:p>
    <w:p w14:paraId="29AA5C74">
      <w:pPr>
        <w:rPr>
          <w:rFonts w:hint="eastAsia" w:ascii="仿宋" w:hAnsi="仿宋" w:eastAsia="仿宋" w:cs="仿宋"/>
          <w:color w:val="000000"/>
          <w:highlight w:val="none"/>
          <w:lang w:val="zh-CN"/>
        </w:rPr>
      </w:pPr>
    </w:p>
    <w:p w14:paraId="7FA5B96D">
      <w:pPr>
        <w:pStyle w:val="29"/>
        <w:rPr>
          <w:rFonts w:hint="eastAsia" w:ascii="仿宋" w:hAnsi="仿宋" w:eastAsia="仿宋" w:cs="仿宋"/>
          <w:color w:val="000000"/>
          <w:highlight w:val="none"/>
          <w:lang w:val="zh-CN"/>
        </w:rPr>
      </w:pPr>
    </w:p>
    <w:p w14:paraId="55A702F1">
      <w:pPr>
        <w:rPr>
          <w:rFonts w:hint="eastAsia" w:ascii="仿宋" w:hAnsi="仿宋" w:eastAsia="仿宋" w:cs="仿宋"/>
          <w:color w:val="000000"/>
          <w:highlight w:val="none"/>
          <w:lang w:val="zh-CN"/>
        </w:rPr>
      </w:pPr>
    </w:p>
    <w:p w14:paraId="2E9DA09C">
      <w:pPr>
        <w:pStyle w:val="29"/>
        <w:rPr>
          <w:rFonts w:hint="eastAsia" w:ascii="仿宋" w:hAnsi="仿宋" w:eastAsia="仿宋" w:cs="仿宋"/>
          <w:color w:val="000000"/>
          <w:highlight w:val="none"/>
          <w:lang w:val="zh-CN"/>
        </w:rPr>
      </w:pPr>
    </w:p>
    <w:p w14:paraId="08F08289">
      <w:pPr>
        <w:rPr>
          <w:rFonts w:hint="eastAsia" w:ascii="仿宋" w:hAnsi="仿宋" w:eastAsia="仿宋" w:cs="仿宋"/>
          <w:color w:val="000000"/>
          <w:highlight w:val="none"/>
          <w:lang w:val="zh-CN"/>
        </w:rPr>
      </w:pPr>
    </w:p>
    <w:p w14:paraId="4913C816">
      <w:pPr>
        <w:pStyle w:val="27"/>
        <w:spacing w:before="0" w:after="0" w:line="360" w:lineRule="auto"/>
        <w:jc w:val="left"/>
        <w:outlineLvl w:val="1"/>
        <w:rPr>
          <w:rFonts w:hint="eastAsia" w:ascii="仿宋" w:hAnsi="仿宋" w:eastAsia="仿宋" w:cs="仿宋"/>
          <w:color w:val="000000"/>
          <w:sz w:val="30"/>
          <w:szCs w:val="30"/>
          <w:highlight w:val="none"/>
        </w:rPr>
      </w:pPr>
      <w:bookmarkStart w:id="375" w:name="_Toc11641"/>
      <w:bookmarkStart w:id="376" w:name="_Toc1221"/>
    </w:p>
    <w:p w14:paraId="15AF402D">
      <w:pPr>
        <w:spacing w:line="360" w:lineRule="auto"/>
        <w:jc w:val="center"/>
        <w:outlineLvl w:val="0"/>
        <w:rPr>
          <w:rFonts w:hint="eastAsia" w:ascii="仿宋" w:hAnsi="仿宋" w:eastAsia="仿宋" w:cs="仿宋"/>
          <w:b/>
          <w:bCs/>
          <w:color w:val="000000"/>
          <w:sz w:val="32"/>
          <w:szCs w:val="32"/>
          <w:highlight w:val="none"/>
          <w:lang w:val="zh-CN"/>
        </w:rPr>
      </w:pPr>
      <w:bookmarkStart w:id="377" w:name="_Toc21755"/>
      <w:bookmarkStart w:id="378" w:name="_Toc13882"/>
      <w:r>
        <w:rPr>
          <w:rFonts w:hint="eastAsia" w:ascii="仿宋" w:hAnsi="仿宋" w:eastAsia="仿宋" w:cs="仿宋"/>
          <w:b/>
          <w:bCs/>
          <w:color w:val="000000"/>
          <w:sz w:val="32"/>
          <w:szCs w:val="32"/>
          <w:highlight w:val="none"/>
          <w:lang w:val="zh-CN"/>
        </w:rPr>
        <w:t>0</w:t>
      </w:r>
      <w:r>
        <w:rPr>
          <w:rFonts w:hint="eastAsia" w:ascii="仿宋" w:hAnsi="仿宋" w:eastAsia="仿宋" w:cs="仿宋"/>
          <w:b/>
          <w:bCs/>
          <w:color w:val="000000"/>
          <w:sz w:val="32"/>
          <w:szCs w:val="32"/>
          <w:highlight w:val="none"/>
          <w:lang w:val="en-US" w:eastAsia="zh-CN"/>
        </w:rPr>
        <w:t>5</w:t>
      </w:r>
      <w:r>
        <w:rPr>
          <w:rFonts w:hint="eastAsia" w:ascii="仿宋" w:hAnsi="仿宋" w:eastAsia="仿宋" w:cs="仿宋"/>
          <w:b/>
          <w:bCs/>
          <w:color w:val="000000"/>
          <w:sz w:val="32"/>
          <w:szCs w:val="32"/>
          <w:highlight w:val="none"/>
          <w:lang w:val="zh-CN"/>
        </w:rPr>
        <w:t>.供应商承诺函</w:t>
      </w:r>
      <w:bookmarkEnd w:id="375"/>
      <w:bookmarkEnd w:id="376"/>
      <w:bookmarkEnd w:id="377"/>
      <w:bookmarkEnd w:id="378"/>
    </w:p>
    <w:p w14:paraId="1315F165">
      <w:pPr>
        <w:autoSpaceDE w:val="0"/>
        <w:autoSpaceDN w:val="0"/>
        <w:spacing w:line="360" w:lineRule="auto"/>
        <w:rPr>
          <w:rFonts w:hint="eastAsia" w:ascii="仿宋" w:hAnsi="仿宋" w:eastAsia="仿宋" w:cs="仿宋"/>
          <w:b/>
          <w:bCs/>
          <w:color w:val="000000"/>
          <w:kern w:val="0"/>
          <w:sz w:val="28"/>
          <w:szCs w:val="28"/>
          <w:highlight w:val="none"/>
          <w:lang w:val="zh-CN"/>
        </w:rPr>
      </w:pPr>
    </w:p>
    <w:p w14:paraId="22FE5585">
      <w:pPr>
        <w:autoSpaceDE w:val="0"/>
        <w:autoSpaceDN w:val="0"/>
        <w:spacing w:line="360" w:lineRule="auto"/>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致：青海科越全过程工程管理有限责任公司</w:t>
      </w:r>
    </w:p>
    <w:p w14:paraId="2605F711">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关于贵方20</w:t>
      </w:r>
      <w:r>
        <w:rPr>
          <w:rFonts w:hint="eastAsia" w:ascii="仿宋" w:hAnsi="仿宋" w:eastAsia="仿宋" w:cs="仿宋"/>
          <w:color w:val="000000"/>
          <w:kern w:val="0"/>
          <w:highlight w:val="none"/>
        </w:rPr>
        <w:t>XX</w:t>
      </w:r>
      <w:r>
        <w:rPr>
          <w:rFonts w:hint="eastAsia" w:ascii="仿宋" w:hAnsi="仿宋" w:eastAsia="仿宋" w:cs="仿宋"/>
          <w:color w:val="000000"/>
          <w:kern w:val="0"/>
          <w:highlight w:val="none"/>
          <w:lang w:val="zh-CN"/>
        </w:rPr>
        <w:t>年</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月</w:t>
      </w:r>
      <w:r>
        <w:rPr>
          <w:rFonts w:hint="eastAsia" w:ascii="仿宋" w:hAnsi="仿宋" w:eastAsia="仿宋" w:cs="仿宋"/>
          <w:color w:val="000000"/>
          <w:kern w:val="0"/>
          <w:highlight w:val="none"/>
          <w:u w:val="single"/>
          <w:lang w:val="zh-CN"/>
        </w:rPr>
        <w:t xml:space="preserve">   </w:t>
      </w:r>
      <w:r>
        <w:rPr>
          <w:rFonts w:hint="eastAsia" w:ascii="仿宋" w:hAnsi="仿宋" w:eastAsia="仿宋" w:cs="仿宋"/>
          <w:color w:val="000000"/>
          <w:kern w:val="0"/>
          <w:highlight w:val="none"/>
          <w:lang w:val="zh-CN"/>
        </w:rPr>
        <w:t>日</w:t>
      </w:r>
      <w:r>
        <w:rPr>
          <w:rFonts w:hint="eastAsia" w:ascii="仿宋" w:hAnsi="仿宋" w:eastAsia="仿宋" w:cs="仿宋"/>
          <w:color w:val="000000"/>
          <w:kern w:val="0"/>
          <w:highlight w:val="none"/>
          <w:u w:val="single"/>
          <w:lang w:val="zh-CN"/>
        </w:rPr>
        <w:t xml:space="preserve">          (项目名称)</w:t>
      </w:r>
      <w:r>
        <w:rPr>
          <w:rFonts w:hint="eastAsia" w:ascii="仿宋" w:hAnsi="仿宋" w:eastAsia="仿宋" w:cs="仿宋"/>
          <w:color w:val="000000"/>
          <w:kern w:val="0"/>
          <w:highlight w:val="none"/>
          <w:lang w:val="zh-CN"/>
        </w:rPr>
        <w:t>采购项目，本签字人愿意参加</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，提供采购一览表中要求的所有产品，并证实提交的所有资料是准确的和真实的。同时，我代表（供应商名称），在此作如下承诺：</w:t>
      </w:r>
    </w:p>
    <w:p w14:paraId="17844819">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1.完全理解和接受竞争性磋商文件的一切规定和要求；</w:t>
      </w:r>
    </w:p>
    <w:p w14:paraId="28D76F30">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2.若</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，我方将按照竞争性磋商文件的具体规定与采购人签订采购合同，并且严格履行合同义务，按时提供服务。</w:t>
      </w:r>
    </w:p>
    <w:p w14:paraId="14A21116">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 xml:space="preserve"> 3.在整个招标过程中我方若有违规行为，贵方可按竞争性磋商文件之规定给予处罚，我方完全接受。</w:t>
      </w:r>
    </w:p>
    <w:p w14:paraId="79C61F1A">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 xml:space="preserve">   </w:t>
      </w:r>
      <w:r>
        <w:rPr>
          <w:rFonts w:hint="eastAsia" w:ascii="仿宋" w:hAnsi="仿宋" w:eastAsia="仿宋" w:cs="仿宋"/>
          <w:color w:val="000000"/>
          <w:kern w:val="0"/>
          <w:highlight w:val="none"/>
        </w:rPr>
        <w:t xml:space="preserve"> </w:t>
      </w:r>
      <w:r>
        <w:rPr>
          <w:rFonts w:hint="eastAsia" w:ascii="仿宋" w:hAnsi="仿宋" w:eastAsia="仿宋" w:cs="仿宋"/>
          <w:color w:val="000000"/>
          <w:kern w:val="0"/>
          <w:highlight w:val="none"/>
          <w:lang w:val="zh-CN"/>
        </w:rPr>
        <w:t>4.若</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，本承诺将成为合同不可分割的一部分，与合同具有同等的法律效力。</w:t>
      </w:r>
    </w:p>
    <w:p w14:paraId="142305D6">
      <w:pPr>
        <w:autoSpaceDE w:val="0"/>
        <w:autoSpaceDN w:val="0"/>
        <w:spacing w:line="360" w:lineRule="auto"/>
        <w:rPr>
          <w:rFonts w:hint="eastAsia" w:ascii="仿宋" w:hAnsi="仿宋" w:eastAsia="仿宋" w:cs="仿宋"/>
          <w:color w:val="000000"/>
          <w:kern w:val="0"/>
          <w:highlight w:val="none"/>
          <w:lang w:val="zh-CN"/>
        </w:rPr>
      </w:pPr>
    </w:p>
    <w:p w14:paraId="44A5AAF2">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2186CD8E">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（签字或盖章）</w:t>
      </w:r>
    </w:p>
    <w:p w14:paraId="4F243A52">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bookmarkStart w:id="379" w:name="_Toc930"/>
      <w:bookmarkStart w:id="380" w:name="_Toc3151"/>
    </w:p>
    <w:p w14:paraId="22F2E941">
      <w:pPr>
        <w:autoSpaceDE w:val="0"/>
        <w:autoSpaceDN w:val="0"/>
        <w:spacing w:line="360" w:lineRule="auto"/>
        <w:jc w:val="center"/>
        <w:rPr>
          <w:rFonts w:hint="eastAsia" w:ascii="仿宋" w:hAnsi="仿宋" w:eastAsia="仿宋" w:cs="仿宋"/>
          <w:color w:val="000000"/>
          <w:sz w:val="30"/>
          <w:szCs w:val="30"/>
          <w:highlight w:val="none"/>
        </w:rPr>
      </w:pPr>
    </w:p>
    <w:p w14:paraId="44480959">
      <w:pPr>
        <w:autoSpaceDE w:val="0"/>
        <w:autoSpaceDN w:val="0"/>
        <w:spacing w:line="360" w:lineRule="auto"/>
        <w:jc w:val="center"/>
        <w:rPr>
          <w:rFonts w:hint="eastAsia" w:ascii="仿宋" w:hAnsi="仿宋" w:eastAsia="仿宋" w:cs="仿宋"/>
          <w:color w:val="000000"/>
          <w:sz w:val="30"/>
          <w:szCs w:val="30"/>
          <w:highlight w:val="none"/>
        </w:rPr>
      </w:pPr>
    </w:p>
    <w:p w14:paraId="0359FAEB">
      <w:pPr>
        <w:autoSpaceDE w:val="0"/>
        <w:autoSpaceDN w:val="0"/>
        <w:spacing w:line="360" w:lineRule="auto"/>
        <w:jc w:val="center"/>
        <w:rPr>
          <w:rFonts w:hint="eastAsia" w:ascii="仿宋" w:hAnsi="仿宋" w:eastAsia="仿宋" w:cs="仿宋"/>
          <w:color w:val="000000"/>
          <w:sz w:val="30"/>
          <w:szCs w:val="30"/>
          <w:highlight w:val="none"/>
        </w:rPr>
      </w:pPr>
    </w:p>
    <w:p w14:paraId="75643ED4">
      <w:pPr>
        <w:autoSpaceDE w:val="0"/>
        <w:autoSpaceDN w:val="0"/>
        <w:spacing w:line="360" w:lineRule="auto"/>
        <w:jc w:val="center"/>
        <w:rPr>
          <w:rFonts w:hint="eastAsia" w:ascii="仿宋" w:hAnsi="仿宋" w:eastAsia="仿宋" w:cs="仿宋"/>
          <w:color w:val="000000"/>
          <w:sz w:val="30"/>
          <w:szCs w:val="30"/>
          <w:highlight w:val="none"/>
        </w:rPr>
      </w:pPr>
    </w:p>
    <w:p w14:paraId="57A4B9F6">
      <w:pPr>
        <w:pStyle w:val="29"/>
        <w:rPr>
          <w:rFonts w:hint="eastAsia" w:ascii="仿宋" w:hAnsi="仿宋" w:eastAsia="仿宋" w:cs="仿宋"/>
          <w:color w:val="000000"/>
          <w:sz w:val="30"/>
          <w:szCs w:val="30"/>
          <w:highlight w:val="none"/>
        </w:rPr>
      </w:pPr>
    </w:p>
    <w:p w14:paraId="136E068C">
      <w:pPr>
        <w:rPr>
          <w:rFonts w:hint="eastAsia" w:ascii="仿宋" w:hAnsi="仿宋" w:eastAsia="仿宋" w:cs="仿宋"/>
          <w:color w:val="000000"/>
          <w:highlight w:val="none"/>
        </w:rPr>
      </w:pPr>
    </w:p>
    <w:p w14:paraId="12F66CB8">
      <w:pPr>
        <w:autoSpaceDE w:val="0"/>
        <w:autoSpaceDN w:val="0"/>
        <w:spacing w:line="360" w:lineRule="auto"/>
        <w:jc w:val="center"/>
        <w:rPr>
          <w:rFonts w:hint="eastAsia" w:ascii="仿宋" w:hAnsi="仿宋" w:eastAsia="仿宋" w:cs="仿宋"/>
          <w:color w:val="000000"/>
          <w:sz w:val="30"/>
          <w:szCs w:val="30"/>
          <w:highlight w:val="none"/>
        </w:rPr>
      </w:pPr>
    </w:p>
    <w:p w14:paraId="4087D240">
      <w:pPr>
        <w:autoSpaceDE w:val="0"/>
        <w:autoSpaceDN w:val="0"/>
        <w:spacing w:line="360" w:lineRule="auto"/>
        <w:jc w:val="center"/>
        <w:rPr>
          <w:rFonts w:hint="eastAsia" w:ascii="仿宋" w:hAnsi="仿宋" w:eastAsia="仿宋" w:cs="仿宋"/>
          <w:color w:val="000000"/>
          <w:sz w:val="30"/>
          <w:szCs w:val="30"/>
          <w:highlight w:val="none"/>
        </w:rPr>
      </w:pPr>
    </w:p>
    <w:p w14:paraId="445102CC">
      <w:pPr>
        <w:autoSpaceDE w:val="0"/>
        <w:autoSpaceDN w:val="0"/>
        <w:spacing w:line="360" w:lineRule="auto"/>
        <w:jc w:val="center"/>
        <w:rPr>
          <w:rFonts w:hint="eastAsia" w:ascii="仿宋" w:hAnsi="仿宋" w:eastAsia="仿宋" w:cs="仿宋"/>
          <w:color w:val="000000"/>
          <w:sz w:val="30"/>
          <w:szCs w:val="30"/>
          <w:highlight w:val="none"/>
        </w:rPr>
      </w:pPr>
    </w:p>
    <w:p w14:paraId="0355B16A">
      <w:pPr>
        <w:spacing w:line="360" w:lineRule="auto"/>
        <w:jc w:val="center"/>
        <w:rPr>
          <w:rFonts w:hint="eastAsia" w:ascii="仿宋" w:hAnsi="仿宋" w:eastAsia="仿宋" w:cs="仿宋"/>
          <w:b/>
          <w:bCs/>
          <w:color w:val="000000"/>
          <w:sz w:val="32"/>
          <w:szCs w:val="32"/>
          <w:highlight w:val="none"/>
          <w:lang w:val="zh-CN"/>
        </w:rPr>
      </w:pPr>
    </w:p>
    <w:p w14:paraId="503C95BF">
      <w:pPr>
        <w:spacing w:line="360" w:lineRule="auto"/>
        <w:jc w:val="center"/>
        <w:outlineLvl w:val="0"/>
        <w:rPr>
          <w:rFonts w:hint="eastAsia" w:ascii="仿宋" w:hAnsi="仿宋" w:eastAsia="仿宋" w:cs="仿宋"/>
          <w:b/>
          <w:bCs/>
          <w:color w:val="000000"/>
          <w:sz w:val="32"/>
          <w:szCs w:val="32"/>
          <w:highlight w:val="none"/>
          <w:lang w:val="zh-CN"/>
        </w:rPr>
      </w:pPr>
      <w:bookmarkStart w:id="381" w:name="_Toc14465"/>
      <w:r>
        <w:rPr>
          <w:rFonts w:hint="eastAsia" w:ascii="仿宋" w:hAnsi="仿宋" w:eastAsia="仿宋" w:cs="仿宋"/>
          <w:b/>
          <w:bCs/>
          <w:color w:val="000000"/>
          <w:sz w:val="32"/>
          <w:szCs w:val="32"/>
          <w:highlight w:val="none"/>
          <w:lang w:val="zh-CN"/>
        </w:rPr>
        <w:t>0</w:t>
      </w:r>
      <w:r>
        <w:rPr>
          <w:rFonts w:hint="eastAsia" w:ascii="仿宋" w:hAnsi="仿宋" w:eastAsia="仿宋" w:cs="仿宋"/>
          <w:b/>
          <w:bCs/>
          <w:color w:val="000000"/>
          <w:sz w:val="32"/>
          <w:szCs w:val="32"/>
          <w:highlight w:val="none"/>
          <w:lang w:val="en-US" w:eastAsia="zh-CN"/>
        </w:rPr>
        <w:t>6</w:t>
      </w:r>
      <w:r>
        <w:rPr>
          <w:rFonts w:hint="eastAsia" w:ascii="仿宋" w:hAnsi="仿宋" w:eastAsia="仿宋" w:cs="仿宋"/>
          <w:b/>
          <w:bCs/>
          <w:color w:val="000000"/>
          <w:sz w:val="32"/>
          <w:szCs w:val="32"/>
          <w:highlight w:val="none"/>
          <w:lang w:val="zh-CN"/>
        </w:rPr>
        <w:t>.供应商诚信承诺书</w:t>
      </w:r>
      <w:bookmarkEnd w:id="379"/>
      <w:bookmarkEnd w:id="380"/>
      <w:bookmarkEnd w:id="381"/>
    </w:p>
    <w:p w14:paraId="4FEAB1DE">
      <w:pPr>
        <w:spacing w:line="360" w:lineRule="auto"/>
        <w:jc w:val="center"/>
        <w:rPr>
          <w:rFonts w:hint="eastAsia" w:ascii="仿宋" w:hAnsi="仿宋" w:eastAsia="仿宋" w:cs="仿宋"/>
          <w:color w:val="000000"/>
          <w:sz w:val="28"/>
          <w:szCs w:val="28"/>
          <w:highlight w:val="none"/>
          <w:lang w:val="zh-CN"/>
        </w:rPr>
      </w:pPr>
    </w:p>
    <w:p w14:paraId="2DD1229E">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致：青海科越全过程工程管理有限责任公司</w:t>
      </w:r>
    </w:p>
    <w:p w14:paraId="11622C8D">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为了诚实、客观、有序地参与政府采购活动，愿就以下内容作出承诺：</w:t>
      </w:r>
    </w:p>
    <w:p w14:paraId="26A3220D">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一、自觉遵守各项法律、法规、规章、制度以及社会公德，维护廉洁环境，与同场竞争的其他供应商平等参加政府采购活动。</w:t>
      </w:r>
    </w:p>
    <w:p w14:paraId="10B52881">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二、参加采购代理机构组织的政府采购活动时，严格按照竞争性磋商文件的规定和要求提供所需的相关材料，并对所提供的各类资料的真实性负责，不虚假应标，不虚列业绩。</w:t>
      </w:r>
    </w:p>
    <w:p w14:paraId="005932F6">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三、尊重参与政府采购活动各相关方的合法行为，接受政府采购活动依法形成的意见、结果。</w:t>
      </w:r>
    </w:p>
    <w:p w14:paraId="36338725">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四、依法参加政府采购活动，不围标、串标，维护市场秩序，不提供“三无”产品、以次充好。</w:t>
      </w:r>
    </w:p>
    <w:p w14:paraId="3F796AC4">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五、积极推动政府采购活动健康开展，对采购活动有疑问、异议时，按法律规定的程序实名反映情况，不恶意中伤、无事生非，以和谐、平等的心态参加政府采购活动。</w:t>
      </w:r>
    </w:p>
    <w:p w14:paraId="06EA8446">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六、认真履行</w:t>
      </w:r>
      <w:r>
        <w:rPr>
          <w:rFonts w:hint="eastAsia" w:ascii="仿宋" w:hAnsi="仿宋" w:eastAsia="仿宋" w:cs="仿宋"/>
          <w:color w:val="000000"/>
          <w:kern w:val="0"/>
          <w:highlight w:val="none"/>
          <w:lang w:val="en-US" w:eastAsia="zh-CN"/>
        </w:rPr>
        <w:t>成交</w:t>
      </w:r>
      <w:r>
        <w:rPr>
          <w:rFonts w:hint="eastAsia" w:ascii="仿宋" w:hAnsi="仿宋" w:eastAsia="仿宋" w:cs="仿宋"/>
          <w:color w:val="000000"/>
          <w:kern w:val="0"/>
          <w:highlight w:val="none"/>
          <w:lang w:val="zh-CN"/>
        </w:rPr>
        <w:t>人应承担的责任和义务，全面执行采购合同规定的各项内容，保质保量地按时提供采购物品。</w:t>
      </w:r>
    </w:p>
    <w:p w14:paraId="0082B4E4">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若本企业（单位）发生有悖于上述承诺的行为，愿意接受《中华人民共和国政府采购法》和《中华人民共和国政府采购法实施条例》中对供应商的相关处理。</w:t>
      </w:r>
    </w:p>
    <w:p w14:paraId="0778C6C0">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本承诺是采购项目磋商响应文件的组成部分。</w:t>
      </w:r>
    </w:p>
    <w:p w14:paraId="5BBD00A5">
      <w:pPr>
        <w:autoSpaceDE w:val="0"/>
        <w:autoSpaceDN w:val="0"/>
        <w:spacing w:line="360" w:lineRule="auto"/>
        <w:rPr>
          <w:rFonts w:hint="eastAsia" w:ascii="仿宋" w:hAnsi="仿宋" w:eastAsia="仿宋" w:cs="仿宋"/>
          <w:color w:val="000000"/>
          <w:kern w:val="0"/>
          <w:highlight w:val="none"/>
          <w:lang w:val="zh-CN"/>
        </w:rPr>
      </w:pPr>
    </w:p>
    <w:p w14:paraId="235FEE6E">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00EDC319">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（签字或盖章）</w:t>
      </w:r>
    </w:p>
    <w:p w14:paraId="3E180731">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663D272B">
      <w:pPr>
        <w:autoSpaceDE w:val="0"/>
        <w:autoSpaceDN w:val="0"/>
        <w:spacing w:line="360" w:lineRule="auto"/>
        <w:jc w:val="center"/>
        <w:outlineLvl w:val="0"/>
        <w:rPr>
          <w:rFonts w:hint="eastAsia" w:ascii="仿宋" w:hAnsi="仿宋" w:eastAsia="仿宋" w:cs="仿宋"/>
          <w:b/>
          <w:bCs/>
          <w:color w:val="000000"/>
          <w:kern w:val="0"/>
          <w:sz w:val="36"/>
          <w:szCs w:val="36"/>
          <w:highlight w:val="none"/>
          <w:lang w:val="zh-CN"/>
        </w:rPr>
      </w:pPr>
      <w:r>
        <w:rPr>
          <w:rFonts w:hint="eastAsia" w:ascii="仿宋" w:hAnsi="仿宋" w:eastAsia="仿宋" w:cs="仿宋"/>
          <w:color w:val="000000"/>
          <w:kern w:val="0"/>
          <w:highlight w:val="none"/>
          <w:lang w:val="zh-CN"/>
        </w:rPr>
        <w:br w:type="page"/>
      </w:r>
      <w:bookmarkEnd w:id="374"/>
      <w:bookmarkStart w:id="382" w:name="_Toc10525"/>
      <w:bookmarkStart w:id="383" w:name="_Toc17802"/>
      <w:bookmarkStart w:id="384" w:name="_Toc25406"/>
      <w:bookmarkStart w:id="385" w:name="_Toc20167"/>
      <w:bookmarkStart w:id="386" w:name="_Toc8344"/>
      <w:r>
        <w:rPr>
          <w:rFonts w:hint="eastAsia" w:ascii="仿宋" w:hAnsi="仿宋" w:eastAsia="仿宋" w:cs="仿宋"/>
          <w:b/>
          <w:bCs/>
          <w:color w:val="000000"/>
          <w:sz w:val="30"/>
          <w:szCs w:val="30"/>
          <w:highlight w:val="none"/>
        </w:rPr>
        <w:t>0</w:t>
      </w:r>
      <w:r>
        <w:rPr>
          <w:rFonts w:hint="eastAsia" w:ascii="仿宋" w:hAnsi="仿宋" w:eastAsia="仿宋" w:cs="仿宋"/>
          <w:b/>
          <w:bCs/>
          <w:color w:val="000000"/>
          <w:sz w:val="30"/>
          <w:szCs w:val="30"/>
          <w:highlight w:val="none"/>
          <w:lang w:val="en-US" w:eastAsia="zh-CN"/>
        </w:rPr>
        <w:t>7</w:t>
      </w:r>
      <w:r>
        <w:rPr>
          <w:rFonts w:hint="eastAsia" w:ascii="仿宋" w:hAnsi="仿宋" w:eastAsia="仿宋" w:cs="仿宋"/>
          <w:b/>
          <w:bCs/>
          <w:color w:val="000000"/>
          <w:sz w:val="30"/>
          <w:szCs w:val="30"/>
          <w:highlight w:val="none"/>
        </w:rPr>
        <w:t>.</w:t>
      </w:r>
      <w:r>
        <w:rPr>
          <w:rFonts w:hint="eastAsia" w:ascii="仿宋" w:hAnsi="仿宋" w:eastAsia="仿宋" w:cs="仿宋"/>
          <w:b/>
          <w:bCs/>
          <w:color w:val="000000"/>
          <w:sz w:val="30"/>
          <w:szCs w:val="30"/>
          <w:highlight w:val="none"/>
          <w:lang w:val="zh-CN"/>
        </w:rPr>
        <w:t>资格证明材料</w:t>
      </w:r>
      <w:bookmarkEnd w:id="382"/>
    </w:p>
    <w:bookmarkEnd w:id="383"/>
    <w:bookmarkEnd w:id="384"/>
    <w:bookmarkEnd w:id="385"/>
    <w:p w14:paraId="51E315A3">
      <w:pPr>
        <w:autoSpaceDE w:val="0"/>
        <w:autoSpaceDN w:val="0"/>
        <w:spacing w:line="360" w:lineRule="auto"/>
        <w:rPr>
          <w:rFonts w:hint="eastAsia" w:ascii="仿宋" w:hAnsi="仿宋" w:eastAsia="仿宋" w:cs="仿宋"/>
          <w:color w:val="000000"/>
          <w:kern w:val="0"/>
          <w:sz w:val="28"/>
          <w:szCs w:val="28"/>
          <w:highlight w:val="none"/>
          <w:lang w:val="zh-CN"/>
        </w:rPr>
      </w:pPr>
    </w:p>
    <w:p w14:paraId="24DAE8EB">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资格证明材料包括：企业法人需提交“统一社会信用代码的营业执照”，未换证的提交“营业执照、组织机构代码证、税务登记证”；事业法人需提交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EB6876E">
      <w:pPr>
        <w:numPr>
          <w:ilvl w:val="0"/>
          <w:numId w:val="0"/>
        </w:num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rPr>
        <w:t>）提供有效的营业执照、税务登记证、机构代码证或三证（五证）合一统一社会代码证及其他资格证明文件（扫描或复印件）；</w:t>
      </w:r>
    </w:p>
    <w:p w14:paraId="713FF936">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（2）</w:t>
      </w:r>
      <w:r>
        <w:rPr>
          <w:rFonts w:hint="eastAsia" w:ascii="仿宋" w:hAnsi="仿宋" w:eastAsia="仿宋" w:cs="仿宋"/>
          <w:color w:val="000000"/>
          <w:highlight w:val="none"/>
          <w:lang w:eastAsia="zh-CN"/>
        </w:rPr>
        <w:t>竞争性磋商文件</w:t>
      </w:r>
      <w:r>
        <w:rPr>
          <w:rFonts w:hint="eastAsia" w:ascii="仿宋" w:hAnsi="仿宋" w:eastAsia="仿宋" w:cs="仿宋"/>
          <w:color w:val="000000"/>
          <w:highlight w:val="none"/>
        </w:rPr>
        <w:t>规定的有关资格证书、许可证书、认证等；</w:t>
      </w:r>
    </w:p>
    <w:p w14:paraId="1771C2B9">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（3）</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认为有必要提供的其他资格证明文件。</w:t>
      </w:r>
    </w:p>
    <w:p w14:paraId="570868E4">
      <w:pPr>
        <w:pStyle w:val="27"/>
        <w:spacing w:before="0" w:after="0" w:line="360" w:lineRule="auto"/>
        <w:jc w:val="both"/>
        <w:outlineLvl w:val="1"/>
        <w:rPr>
          <w:rFonts w:hint="eastAsia" w:ascii="仿宋" w:hAnsi="仿宋" w:eastAsia="仿宋" w:cs="仿宋"/>
          <w:color w:val="000000"/>
          <w:kern w:val="0"/>
          <w:sz w:val="24"/>
          <w:highlight w:val="none"/>
          <w:lang w:val="zh-CN"/>
        </w:rPr>
      </w:pPr>
      <w:bookmarkStart w:id="387" w:name="_Toc13162"/>
      <w:bookmarkStart w:id="388" w:name="_Toc22703"/>
      <w:bookmarkStart w:id="389" w:name="_Toc7165"/>
    </w:p>
    <w:p w14:paraId="6154A984">
      <w:pPr>
        <w:rPr>
          <w:rFonts w:hint="eastAsia" w:ascii="仿宋" w:hAnsi="仿宋" w:eastAsia="仿宋" w:cs="仿宋"/>
          <w:color w:val="000000"/>
          <w:kern w:val="0"/>
          <w:highlight w:val="none"/>
          <w:lang w:val="zh-CN"/>
        </w:rPr>
      </w:pPr>
    </w:p>
    <w:p w14:paraId="34067EF2">
      <w:pPr>
        <w:pStyle w:val="29"/>
        <w:rPr>
          <w:rFonts w:hint="eastAsia" w:ascii="仿宋" w:hAnsi="仿宋" w:eastAsia="仿宋" w:cs="仿宋"/>
          <w:color w:val="000000"/>
          <w:kern w:val="0"/>
          <w:sz w:val="24"/>
          <w:highlight w:val="none"/>
          <w:lang w:val="zh-CN"/>
        </w:rPr>
      </w:pPr>
    </w:p>
    <w:p w14:paraId="54659DFA">
      <w:pPr>
        <w:pStyle w:val="29"/>
        <w:rPr>
          <w:rFonts w:hint="eastAsia" w:ascii="仿宋" w:hAnsi="仿宋" w:eastAsia="仿宋" w:cs="仿宋"/>
          <w:color w:val="000000"/>
          <w:kern w:val="0"/>
          <w:sz w:val="24"/>
          <w:highlight w:val="none"/>
          <w:lang w:val="zh-CN"/>
        </w:rPr>
      </w:pPr>
    </w:p>
    <w:p w14:paraId="2B2E3AAF">
      <w:pPr>
        <w:pStyle w:val="29"/>
        <w:rPr>
          <w:rFonts w:hint="eastAsia" w:ascii="仿宋" w:hAnsi="仿宋" w:eastAsia="仿宋" w:cs="仿宋"/>
          <w:color w:val="000000"/>
          <w:kern w:val="0"/>
          <w:sz w:val="24"/>
          <w:highlight w:val="none"/>
          <w:lang w:val="zh-CN"/>
        </w:rPr>
      </w:pPr>
    </w:p>
    <w:p w14:paraId="30CFCEE1">
      <w:pPr>
        <w:pStyle w:val="29"/>
        <w:rPr>
          <w:rFonts w:hint="eastAsia" w:ascii="仿宋" w:hAnsi="仿宋" w:eastAsia="仿宋" w:cs="仿宋"/>
          <w:color w:val="000000"/>
          <w:kern w:val="0"/>
          <w:sz w:val="24"/>
          <w:highlight w:val="none"/>
          <w:lang w:val="zh-CN"/>
        </w:rPr>
      </w:pPr>
    </w:p>
    <w:p w14:paraId="51704BF5">
      <w:pPr>
        <w:rPr>
          <w:rFonts w:hint="eastAsia" w:ascii="仿宋" w:hAnsi="仿宋" w:eastAsia="仿宋" w:cs="仿宋"/>
          <w:color w:val="000000"/>
          <w:highlight w:val="none"/>
          <w:lang w:val="zh-CN"/>
        </w:rPr>
      </w:pPr>
    </w:p>
    <w:p w14:paraId="05BA5174">
      <w:pPr>
        <w:rPr>
          <w:rFonts w:hint="eastAsia" w:ascii="仿宋" w:hAnsi="仿宋" w:eastAsia="仿宋" w:cs="仿宋"/>
          <w:color w:val="000000"/>
          <w:highlight w:val="none"/>
        </w:rPr>
      </w:pPr>
    </w:p>
    <w:p w14:paraId="05B86A02">
      <w:pPr>
        <w:rPr>
          <w:rFonts w:hint="eastAsia" w:ascii="仿宋" w:hAnsi="仿宋" w:eastAsia="仿宋" w:cs="仿宋"/>
          <w:color w:val="000000"/>
          <w:highlight w:val="none"/>
        </w:rPr>
      </w:pPr>
    </w:p>
    <w:p w14:paraId="4FE34DC0">
      <w:pPr>
        <w:pStyle w:val="29"/>
        <w:rPr>
          <w:rFonts w:hint="eastAsia" w:ascii="仿宋" w:hAnsi="仿宋" w:eastAsia="仿宋" w:cs="仿宋"/>
          <w:color w:val="000000"/>
          <w:highlight w:val="none"/>
        </w:rPr>
      </w:pPr>
    </w:p>
    <w:p w14:paraId="44AD26C0">
      <w:pPr>
        <w:pStyle w:val="29"/>
        <w:rPr>
          <w:rFonts w:hint="eastAsia" w:ascii="仿宋" w:hAnsi="仿宋" w:eastAsia="仿宋" w:cs="仿宋"/>
          <w:color w:val="000000"/>
          <w:highlight w:val="none"/>
        </w:rPr>
      </w:pPr>
    </w:p>
    <w:p w14:paraId="74EE8975">
      <w:pPr>
        <w:rPr>
          <w:rFonts w:hint="eastAsia" w:ascii="仿宋" w:hAnsi="仿宋" w:eastAsia="仿宋" w:cs="仿宋"/>
          <w:color w:val="000000"/>
          <w:highlight w:val="none"/>
        </w:rPr>
      </w:pPr>
    </w:p>
    <w:p w14:paraId="048CB2F3">
      <w:pPr>
        <w:pStyle w:val="29"/>
        <w:rPr>
          <w:rFonts w:hint="eastAsia" w:ascii="仿宋" w:hAnsi="仿宋" w:eastAsia="仿宋" w:cs="仿宋"/>
          <w:color w:val="000000"/>
          <w:highlight w:val="none"/>
        </w:rPr>
      </w:pPr>
    </w:p>
    <w:p w14:paraId="384EA57D">
      <w:pPr>
        <w:rPr>
          <w:rFonts w:hint="eastAsia" w:ascii="仿宋" w:hAnsi="仿宋" w:eastAsia="仿宋" w:cs="仿宋"/>
          <w:color w:val="000000"/>
          <w:highlight w:val="none"/>
        </w:rPr>
      </w:pPr>
    </w:p>
    <w:p w14:paraId="03162081">
      <w:pPr>
        <w:pStyle w:val="29"/>
        <w:rPr>
          <w:rFonts w:hint="eastAsia" w:ascii="仿宋" w:hAnsi="仿宋" w:eastAsia="仿宋" w:cs="仿宋"/>
          <w:color w:val="000000"/>
          <w:highlight w:val="none"/>
        </w:rPr>
      </w:pPr>
    </w:p>
    <w:p w14:paraId="5DD5B701">
      <w:pPr>
        <w:pStyle w:val="29"/>
        <w:rPr>
          <w:rFonts w:hint="eastAsia" w:ascii="仿宋" w:hAnsi="仿宋" w:eastAsia="仿宋" w:cs="仿宋"/>
          <w:color w:val="000000"/>
          <w:highlight w:val="none"/>
        </w:rPr>
      </w:pPr>
    </w:p>
    <w:p w14:paraId="6ADB3A69">
      <w:pPr>
        <w:pStyle w:val="29"/>
        <w:rPr>
          <w:rFonts w:hint="eastAsia" w:ascii="仿宋" w:hAnsi="仿宋" w:eastAsia="仿宋" w:cs="仿宋"/>
          <w:color w:val="000000"/>
          <w:highlight w:val="none"/>
        </w:rPr>
      </w:pPr>
    </w:p>
    <w:p w14:paraId="5DFA8571">
      <w:pPr>
        <w:pStyle w:val="29"/>
        <w:rPr>
          <w:rFonts w:hint="eastAsia" w:ascii="仿宋" w:hAnsi="仿宋" w:eastAsia="仿宋" w:cs="仿宋"/>
          <w:color w:val="000000"/>
          <w:highlight w:val="none"/>
        </w:rPr>
      </w:pPr>
    </w:p>
    <w:p w14:paraId="3450B72B">
      <w:pPr>
        <w:rPr>
          <w:rFonts w:hint="eastAsia" w:ascii="仿宋" w:hAnsi="仿宋" w:eastAsia="仿宋" w:cs="仿宋"/>
          <w:color w:val="000000"/>
          <w:highlight w:val="none"/>
        </w:rPr>
      </w:pPr>
    </w:p>
    <w:p w14:paraId="6E2BF66B">
      <w:pPr>
        <w:autoSpaceDE w:val="0"/>
        <w:autoSpaceDN w:val="0"/>
        <w:spacing w:line="360" w:lineRule="auto"/>
        <w:jc w:val="center"/>
        <w:outlineLvl w:val="0"/>
        <w:rPr>
          <w:rFonts w:hint="eastAsia" w:ascii="仿宋" w:hAnsi="仿宋" w:eastAsia="仿宋" w:cs="仿宋"/>
          <w:b/>
          <w:bCs/>
          <w:color w:val="000000"/>
          <w:sz w:val="30"/>
          <w:szCs w:val="30"/>
          <w:highlight w:val="none"/>
        </w:rPr>
      </w:pPr>
    </w:p>
    <w:p w14:paraId="1182D5F9">
      <w:pPr>
        <w:autoSpaceDE w:val="0"/>
        <w:autoSpaceDN w:val="0"/>
        <w:spacing w:line="360" w:lineRule="auto"/>
        <w:jc w:val="center"/>
        <w:outlineLvl w:val="0"/>
        <w:rPr>
          <w:rFonts w:hint="eastAsia" w:ascii="仿宋" w:hAnsi="仿宋" w:eastAsia="仿宋" w:cs="仿宋"/>
          <w:b/>
          <w:bCs/>
          <w:color w:val="000000"/>
          <w:sz w:val="30"/>
          <w:szCs w:val="30"/>
          <w:highlight w:val="none"/>
        </w:rPr>
      </w:pPr>
      <w:bookmarkStart w:id="390" w:name="_Toc18479"/>
      <w:r>
        <w:rPr>
          <w:rFonts w:hint="eastAsia" w:ascii="仿宋" w:hAnsi="仿宋" w:eastAsia="仿宋" w:cs="仿宋"/>
          <w:b/>
          <w:bCs/>
          <w:color w:val="000000"/>
          <w:sz w:val="30"/>
          <w:szCs w:val="30"/>
          <w:highlight w:val="none"/>
        </w:rPr>
        <w:t>0</w:t>
      </w:r>
      <w:r>
        <w:rPr>
          <w:rFonts w:hint="eastAsia" w:ascii="仿宋" w:hAnsi="仿宋" w:eastAsia="仿宋" w:cs="仿宋"/>
          <w:b/>
          <w:bCs/>
          <w:color w:val="000000"/>
          <w:sz w:val="30"/>
          <w:szCs w:val="30"/>
          <w:highlight w:val="none"/>
          <w:lang w:val="en-US" w:eastAsia="zh-CN"/>
        </w:rPr>
        <w:t>8</w:t>
      </w:r>
      <w:r>
        <w:rPr>
          <w:rFonts w:hint="eastAsia" w:ascii="仿宋" w:hAnsi="仿宋" w:eastAsia="仿宋" w:cs="仿宋"/>
          <w:b/>
          <w:bCs/>
          <w:color w:val="000000"/>
          <w:sz w:val="30"/>
          <w:szCs w:val="30"/>
          <w:highlight w:val="none"/>
        </w:rPr>
        <w:t>.</w:t>
      </w:r>
      <w:r>
        <w:rPr>
          <w:rFonts w:hint="eastAsia" w:ascii="仿宋" w:hAnsi="仿宋" w:eastAsia="仿宋" w:cs="仿宋"/>
          <w:b/>
          <w:bCs/>
          <w:color w:val="000000"/>
          <w:sz w:val="30"/>
          <w:szCs w:val="30"/>
          <w:highlight w:val="none"/>
          <w:lang w:val="zh-CN"/>
        </w:rPr>
        <w:t>财务状况报告，依法缴纳税收和社会保障资金的相关材料</w:t>
      </w:r>
      <w:bookmarkEnd w:id="390"/>
    </w:p>
    <w:bookmarkEnd w:id="387"/>
    <w:bookmarkEnd w:id="388"/>
    <w:bookmarkEnd w:id="389"/>
    <w:p w14:paraId="7B955328">
      <w:pPr>
        <w:autoSpaceDE w:val="0"/>
        <w:autoSpaceDN w:val="0"/>
        <w:spacing w:line="360" w:lineRule="auto"/>
        <w:rPr>
          <w:rFonts w:hint="eastAsia" w:ascii="仿宋" w:hAnsi="仿宋" w:eastAsia="仿宋" w:cs="仿宋"/>
          <w:color w:val="000000"/>
          <w:kern w:val="0"/>
          <w:sz w:val="28"/>
          <w:szCs w:val="28"/>
          <w:highlight w:val="none"/>
          <w:lang w:val="zh-CN"/>
        </w:rPr>
      </w:pPr>
    </w:p>
    <w:p w14:paraId="21334D2E">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按照竞争性磋商文件第2.2款（1）中第&lt;2&gt;条规定提供以下相关材料。</w:t>
      </w:r>
    </w:p>
    <w:p w14:paraId="70D2502A">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1、供应商是法人的，提供基本开户银行近三个月内出具的资信证明（同时提供基本存款账户开户许可证）或202</w:t>
      </w:r>
      <w:r>
        <w:rPr>
          <w:rFonts w:hint="eastAsia" w:ascii="仿宋" w:hAnsi="仿宋" w:eastAsia="仿宋" w:cs="仿宋"/>
          <w:color w:val="000000"/>
          <w:kern w:val="0"/>
          <w:highlight w:val="none"/>
          <w:lang w:val="en-US" w:eastAsia="zh-CN"/>
        </w:rPr>
        <w:t>3年或2024年</w:t>
      </w:r>
      <w:r>
        <w:rPr>
          <w:rFonts w:hint="eastAsia" w:ascii="仿宋" w:hAnsi="仿宋" w:eastAsia="仿宋" w:cs="仿宋"/>
          <w:color w:val="000000"/>
          <w:highlight w:val="none"/>
        </w:rPr>
        <w:t>经第三方审计的财务状况报告</w:t>
      </w:r>
      <w:r>
        <w:rPr>
          <w:rFonts w:hint="eastAsia" w:ascii="仿宋" w:hAnsi="仿宋" w:eastAsia="仿宋" w:cs="仿宋"/>
          <w:color w:val="000000"/>
          <w:kern w:val="0"/>
          <w:highlight w:val="none"/>
          <w:lang w:val="zh-CN"/>
        </w:rPr>
        <w:t>（扫描或复印件应全面、完整、清晰），包括资产负债表、现金流量表、利润表和财务（会计）报表附注</w:t>
      </w:r>
      <w:r>
        <w:rPr>
          <w:rFonts w:hint="eastAsia" w:ascii="仿宋" w:hAnsi="仿宋" w:eastAsia="仿宋" w:cs="仿宋"/>
          <w:color w:val="000000"/>
          <w:kern w:val="0"/>
          <w:highlight w:val="none"/>
        </w:rPr>
        <w:t>，</w:t>
      </w:r>
      <w:r>
        <w:rPr>
          <w:rFonts w:hint="eastAsia" w:ascii="仿宋" w:hAnsi="仿宋" w:eastAsia="仿宋" w:cs="仿宋"/>
          <w:color w:val="000000"/>
          <w:kern w:val="0"/>
          <w:highlight w:val="none"/>
          <w:lang w:val="zh-CN"/>
        </w:rPr>
        <w:t>并提供第三方机构的营业执照、执业证书。</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是其他组织和自然人，没有经审计的财务报告，可以提供基本开户银行出具的资信证明（同时提供基本存款账户开户许可证）。</w:t>
      </w:r>
    </w:p>
    <w:p w14:paraId="304BBD38">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2、近</w:t>
      </w:r>
      <w:r>
        <w:rPr>
          <w:rFonts w:hint="eastAsia" w:ascii="仿宋" w:hAnsi="仿宋" w:eastAsia="仿宋" w:cs="仿宋"/>
          <w:color w:val="000000"/>
          <w:kern w:val="0"/>
          <w:highlight w:val="none"/>
          <w:lang w:val="en-US" w:eastAsia="zh-CN"/>
        </w:rPr>
        <w:t>半</w:t>
      </w:r>
      <w:r>
        <w:rPr>
          <w:rFonts w:hint="eastAsia" w:ascii="仿宋" w:hAnsi="仿宋" w:eastAsia="仿宋" w:cs="仿宋"/>
          <w:color w:val="000000"/>
          <w:kern w:val="0"/>
          <w:highlight w:val="none"/>
          <w:lang w:val="zh-CN"/>
        </w:rPr>
        <w:t>个月内的</w:t>
      </w:r>
      <w:r>
        <w:rPr>
          <w:rFonts w:hint="eastAsia" w:ascii="仿宋" w:hAnsi="仿宋" w:eastAsia="仿宋" w:cs="仿宋"/>
          <w:color w:val="000000"/>
          <w:kern w:val="0"/>
          <w:highlight w:val="none"/>
          <w:lang w:val="en-US" w:eastAsia="zh-CN"/>
        </w:rPr>
        <w:t>任意三个月</w:t>
      </w:r>
      <w:r>
        <w:rPr>
          <w:rFonts w:hint="eastAsia" w:ascii="仿宋" w:hAnsi="仿宋" w:eastAsia="仿宋" w:cs="仿宋"/>
          <w:color w:val="000000"/>
          <w:kern w:val="0"/>
          <w:highlight w:val="none"/>
          <w:lang w:val="zh-CN"/>
        </w:rPr>
        <w:t>依法缴纳税收和社会保障资金记录的证明材料；依法免税或不需要缴纳社会保障资金的供应商须提供相应文件证明其依法免税或不需要缴纳社会保障资金。</w:t>
      </w:r>
    </w:p>
    <w:p w14:paraId="7072EEFB">
      <w:pPr>
        <w:autoSpaceDE w:val="0"/>
        <w:autoSpaceDN w:val="0"/>
        <w:spacing w:line="360" w:lineRule="auto"/>
        <w:outlineLvl w:val="0"/>
        <w:rPr>
          <w:rFonts w:hint="eastAsia" w:ascii="仿宋" w:hAnsi="仿宋" w:eastAsia="仿宋" w:cs="仿宋"/>
          <w:b/>
          <w:bCs/>
          <w:color w:val="000000"/>
          <w:kern w:val="0"/>
          <w:sz w:val="36"/>
          <w:szCs w:val="36"/>
          <w:highlight w:val="none"/>
          <w:lang w:val="zh-CN"/>
        </w:rPr>
      </w:pPr>
      <w:r>
        <w:rPr>
          <w:rFonts w:hint="eastAsia" w:ascii="仿宋" w:hAnsi="仿宋" w:eastAsia="仿宋" w:cs="仿宋"/>
          <w:color w:val="000000"/>
          <w:kern w:val="0"/>
          <w:highlight w:val="none"/>
          <w:lang w:val="zh-CN"/>
        </w:rPr>
        <w:br w:type="page"/>
      </w:r>
      <w:bookmarkEnd w:id="386"/>
      <w:bookmarkStart w:id="391" w:name="_Toc4343"/>
      <w:bookmarkStart w:id="392" w:name="_Toc31347"/>
      <w:bookmarkStart w:id="393" w:name="_Toc26233"/>
      <w:bookmarkStart w:id="394" w:name="_Toc26251"/>
      <w:bookmarkStart w:id="395" w:name="_Toc21530"/>
      <w:r>
        <w:rPr>
          <w:rFonts w:hint="eastAsia" w:ascii="仿宋" w:hAnsi="仿宋" w:eastAsia="仿宋" w:cs="仿宋"/>
          <w:b/>
          <w:bCs/>
          <w:color w:val="000000"/>
          <w:kern w:val="0"/>
          <w:sz w:val="32"/>
          <w:szCs w:val="32"/>
          <w:highlight w:val="none"/>
          <w:lang w:val="en-US" w:eastAsia="zh-CN"/>
        </w:rPr>
        <w:t>09</w:t>
      </w:r>
      <w:r>
        <w:rPr>
          <w:rFonts w:hint="eastAsia" w:ascii="仿宋" w:hAnsi="仿宋" w:eastAsia="仿宋" w:cs="仿宋"/>
          <w:b/>
          <w:bCs/>
          <w:color w:val="000000"/>
          <w:kern w:val="0"/>
          <w:sz w:val="32"/>
          <w:szCs w:val="32"/>
          <w:highlight w:val="none"/>
        </w:rPr>
        <w:t>.</w:t>
      </w:r>
      <w:r>
        <w:rPr>
          <w:rFonts w:hint="eastAsia" w:ascii="仿宋" w:hAnsi="仿宋" w:eastAsia="仿宋" w:cs="仿宋"/>
          <w:b/>
          <w:bCs/>
          <w:color w:val="000000"/>
          <w:kern w:val="0"/>
          <w:sz w:val="32"/>
          <w:szCs w:val="32"/>
          <w:highlight w:val="none"/>
          <w:lang w:val="zh-CN"/>
        </w:rPr>
        <w:t>具备履行合同所必需的设备和专业技术能力的证明材料</w:t>
      </w:r>
      <w:bookmarkEnd w:id="391"/>
    </w:p>
    <w:p w14:paraId="6DFBCE50">
      <w:pPr>
        <w:pStyle w:val="27"/>
        <w:spacing w:before="0" w:after="0" w:line="360" w:lineRule="auto"/>
        <w:outlineLvl w:val="1"/>
        <w:rPr>
          <w:rFonts w:hint="eastAsia" w:ascii="仿宋" w:hAnsi="仿宋" w:eastAsia="仿宋" w:cs="仿宋"/>
          <w:color w:val="000000"/>
          <w:kern w:val="0"/>
          <w:sz w:val="24"/>
          <w:highlight w:val="none"/>
        </w:rPr>
      </w:pPr>
    </w:p>
    <w:bookmarkEnd w:id="392"/>
    <w:bookmarkEnd w:id="393"/>
    <w:bookmarkEnd w:id="394"/>
    <w:p w14:paraId="2DCD8B2A">
      <w:pPr>
        <w:autoSpaceDE w:val="0"/>
        <w:autoSpaceDN w:val="0"/>
        <w:spacing w:line="360" w:lineRule="auto"/>
        <w:rPr>
          <w:rFonts w:hint="eastAsia" w:ascii="仿宋" w:hAnsi="仿宋" w:eastAsia="仿宋" w:cs="仿宋"/>
          <w:color w:val="000000"/>
          <w:kern w:val="0"/>
          <w:sz w:val="28"/>
          <w:szCs w:val="28"/>
          <w:highlight w:val="none"/>
          <w:lang w:val="zh-CN"/>
        </w:rPr>
      </w:pPr>
    </w:p>
    <w:p w14:paraId="18528822">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7B4EDFF6">
      <w:pPr>
        <w:autoSpaceDE w:val="0"/>
        <w:autoSpaceDN w:val="0"/>
        <w:spacing w:line="360" w:lineRule="auto"/>
        <w:jc w:val="center"/>
        <w:outlineLvl w:val="0"/>
        <w:rPr>
          <w:rFonts w:hint="eastAsia" w:ascii="仿宋" w:hAnsi="仿宋" w:eastAsia="仿宋" w:cs="仿宋"/>
          <w:b/>
          <w:bCs/>
          <w:color w:val="000000"/>
          <w:sz w:val="28"/>
          <w:szCs w:val="28"/>
          <w:highlight w:val="none"/>
        </w:rPr>
      </w:pPr>
      <w:r>
        <w:rPr>
          <w:rFonts w:hint="eastAsia" w:ascii="仿宋" w:hAnsi="仿宋" w:eastAsia="仿宋" w:cs="仿宋"/>
          <w:color w:val="000000"/>
          <w:kern w:val="0"/>
          <w:highlight w:val="none"/>
          <w:lang w:val="zh-CN"/>
        </w:rPr>
        <w:br w:type="page"/>
      </w:r>
      <w:bookmarkStart w:id="396" w:name="_Toc6808"/>
      <w:bookmarkStart w:id="397" w:name="_Toc24625"/>
      <w:bookmarkStart w:id="398" w:name="_Toc26690"/>
      <w:bookmarkStart w:id="399" w:name="_Toc20696"/>
      <w:r>
        <w:rPr>
          <w:rFonts w:hint="eastAsia" w:ascii="仿宋" w:hAnsi="仿宋" w:eastAsia="仿宋" w:cs="仿宋"/>
          <w:b/>
          <w:bCs/>
          <w:color w:val="000000"/>
          <w:sz w:val="30"/>
          <w:szCs w:val="30"/>
          <w:highlight w:val="none"/>
        </w:rPr>
        <w:t>1</w:t>
      </w:r>
      <w:r>
        <w:rPr>
          <w:rFonts w:hint="eastAsia" w:ascii="仿宋" w:hAnsi="仿宋" w:eastAsia="仿宋" w:cs="仿宋"/>
          <w:b/>
          <w:bCs/>
          <w:color w:val="000000"/>
          <w:sz w:val="30"/>
          <w:szCs w:val="30"/>
          <w:highlight w:val="none"/>
          <w:lang w:val="en-US" w:eastAsia="zh-CN"/>
        </w:rPr>
        <w:t>0</w:t>
      </w:r>
      <w:r>
        <w:rPr>
          <w:rFonts w:hint="eastAsia" w:ascii="仿宋" w:hAnsi="仿宋" w:eastAsia="仿宋" w:cs="仿宋"/>
          <w:b/>
          <w:bCs/>
          <w:color w:val="000000"/>
          <w:sz w:val="30"/>
          <w:szCs w:val="30"/>
          <w:highlight w:val="none"/>
        </w:rPr>
        <w:t>.</w:t>
      </w:r>
      <w:r>
        <w:rPr>
          <w:rFonts w:hint="eastAsia" w:ascii="仿宋" w:hAnsi="仿宋" w:eastAsia="仿宋" w:cs="仿宋"/>
          <w:b/>
          <w:bCs/>
          <w:color w:val="000000"/>
          <w:sz w:val="30"/>
          <w:szCs w:val="30"/>
          <w:highlight w:val="none"/>
          <w:lang w:val="zh-CN"/>
        </w:rPr>
        <w:t>无重大违法记录声明</w:t>
      </w:r>
      <w:bookmarkEnd w:id="396"/>
      <w:bookmarkEnd w:id="397"/>
      <w:bookmarkEnd w:id="398"/>
      <w:bookmarkEnd w:id="399"/>
    </w:p>
    <w:p w14:paraId="00AD8043">
      <w:pPr>
        <w:spacing w:line="360" w:lineRule="auto"/>
        <w:rPr>
          <w:rFonts w:hint="eastAsia" w:ascii="仿宋" w:hAnsi="仿宋" w:eastAsia="仿宋" w:cs="仿宋"/>
          <w:b/>
          <w:bCs/>
          <w:color w:val="000000"/>
          <w:highlight w:val="none"/>
        </w:rPr>
      </w:pPr>
      <w:r>
        <w:rPr>
          <w:rFonts w:hint="eastAsia" w:ascii="仿宋" w:hAnsi="仿宋" w:eastAsia="仿宋" w:cs="仿宋"/>
          <w:b/>
          <w:bCs/>
          <w:color w:val="000000"/>
          <w:highlight w:val="none"/>
        </w:rPr>
        <w:t>致：</w:t>
      </w:r>
      <w:r>
        <w:rPr>
          <w:rFonts w:hint="eastAsia" w:ascii="仿宋" w:hAnsi="仿宋" w:eastAsia="仿宋" w:cs="仿宋"/>
          <w:b/>
          <w:bCs/>
          <w:color w:val="000000"/>
          <w:kern w:val="0"/>
          <w:highlight w:val="none"/>
          <w:lang w:val="zh-CN"/>
        </w:rPr>
        <w:t>青海科越全过程工程管理有限责任公司</w:t>
      </w:r>
    </w:p>
    <w:p w14:paraId="67D93455">
      <w:pPr>
        <w:spacing w:line="360" w:lineRule="auto"/>
        <w:ind w:firstLine="480" w:firstLineChars="200"/>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rPr>
        <w:t>我单位参加本次政府采购项目活动前三年内，在经营活动中无重大违法活动记录，符合《</w:t>
      </w:r>
      <w:r>
        <w:rPr>
          <w:rFonts w:hint="eastAsia" w:ascii="仿宋" w:hAnsi="仿宋" w:eastAsia="仿宋" w:cs="仿宋"/>
          <w:color w:val="000000"/>
          <w:highlight w:val="none"/>
          <w:lang w:eastAsia="zh-CN"/>
        </w:rPr>
        <w:t>中华人民共和国政府采购法</w:t>
      </w:r>
      <w:r>
        <w:rPr>
          <w:rFonts w:hint="eastAsia" w:ascii="仿宋" w:hAnsi="仿宋" w:eastAsia="仿宋" w:cs="仿宋"/>
          <w:color w:val="000000"/>
          <w:highlight w:val="none"/>
        </w:rPr>
        <w:t>》规定的供应商资格条</w:t>
      </w:r>
      <w:r>
        <w:rPr>
          <w:rFonts w:hint="eastAsia" w:ascii="仿宋" w:hAnsi="仿宋" w:eastAsia="仿宋" w:cs="仿宋"/>
          <w:color w:val="000000"/>
          <w:highlight w:val="none"/>
          <w:shd w:val="clear" w:color="auto" w:fill="FFFFFF"/>
        </w:rPr>
        <w:t>件。我方对此声明负全部法律责任。</w:t>
      </w:r>
    </w:p>
    <w:p w14:paraId="76484D0A">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特此声明。</w:t>
      </w:r>
    </w:p>
    <w:p w14:paraId="776100A0">
      <w:pPr>
        <w:autoSpaceDE w:val="0"/>
        <w:autoSpaceDN w:val="0"/>
        <w:spacing w:line="360" w:lineRule="auto"/>
        <w:jc w:val="left"/>
        <w:rPr>
          <w:rFonts w:hint="eastAsia" w:ascii="仿宋" w:hAnsi="仿宋" w:eastAsia="仿宋" w:cs="仿宋"/>
          <w:color w:val="000000"/>
          <w:kern w:val="0"/>
          <w:highlight w:val="none"/>
          <w:lang w:val="zh-CN"/>
        </w:rPr>
      </w:pPr>
    </w:p>
    <w:p w14:paraId="7FA74C79">
      <w:pPr>
        <w:autoSpaceDE w:val="0"/>
        <w:autoSpaceDN w:val="0"/>
        <w:spacing w:line="360" w:lineRule="auto"/>
        <w:jc w:val="left"/>
        <w:rPr>
          <w:rFonts w:hint="eastAsia" w:ascii="仿宋" w:hAnsi="仿宋" w:eastAsia="仿宋" w:cs="仿宋"/>
          <w:color w:val="000000"/>
          <w:kern w:val="0"/>
          <w:highlight w:val="none"/>
          <w:lang w:val="zh-CN"/>
        </w:rPr>
      </w:pPr>
    </w:p>
    <w:p w14:paraId="51377ACB">
      <w:pPr>
        <w:autoSpaceDE w:val="0"/>
        <w:autoSpaceDN w:val="0"/>
        <w:spacing w:line="360" w:lineRule="auto"/>
        <w:jc w:val="left"/>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附“信用中国”网站查询截图，时间为</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截止时间前</w:t>
      </w:r>
      <w:r>
        <w:rPr>
          <w:rFonts w:hint="eastAsia" w:ascii="仿宋" w:hAnsi="仿宋" w:eastAsia="仿宋" w:cs="仿宋"/>
          <w:color w:val="000000"/>
          <w:kern w:val="0"/>
          <w:highlight w:val="none"/>
          <w:lang w:val="en-US" w:eastAsia="zh-CN"/>
        </w:rPr>
        <w:t>10</w:t>
      </w:r>
      <w:r>
        <w:rPr>
          <w:rFonts w:hint="eastAsia" w:ascii="仿宋" w:hAnsi="仿宋" w:eastAsia="仿宋" w:cs="仿宋"/>
          <w:color w:val="000000"/>
          <w:kern w:val="0"/>
          <w:highlight w:val="none"/>
          <w:lang w:val="zh-CN"/>
        </w:rPr>
        <w:t>天内。</w:t>
      </w:r>
    </w:p>
    <w:p w14:paraId="6618924F">
      <w:pPr>
        <w:autoSpaceDE w:val="0"/>
        <w:autoSpaceDN w:val="0"/>
        <w:spacing w:line="360" w:lineRule="auto"/>
        <w:jc w:val="left"/>
        <w:rPr>
          <w:rFonts w:hint="eastAsia" w:ascii="仿宋" w:hAnsi="仿宋" w:eastAsia="仿宋" w:cs="仿宋"/>
          <w:color w:val="000000"/>
          <w:kern w:val="0"/>
          <w:highlight w:val="none"/>
          <w:lang w:val="zh-CN"/>
        </w:rPr>
      </w:pPr>
    </w:p>
    <w:p w14:paraId="6684C535">
      <w:pPr>
        <w:autoSpaceDE w:val="0"/>
        <w:autoSpaceDN w:val="0"/>
        <w:spacing w:line="360" w:lineRule="auto"/>
        <w:jc w:val="left"/>
        <w:rPr>
          <w:rFonts w:hint="eastAsia" w:ascii="仿宋" w:hAnsi="仿宋" w:eastAsia="仿宋" w:cs="仿宋"/>
          <w:color w:val="000000"/>
          <w:kern w:val="0"/>
          <w:highlight w:val="none"/>
          <w:lang w:val="zh-CN"/>
        </w:rPr>
      </w:pPr>
    </w:p>
    <w:p w14:paraId="0DD567FE">
      <w:pPr>
        <w:autoSpaceDE w:val="0"/>
        <w:autoSpaceDN w:val="0"/>
        <w:spacing w:line="360" w:lineRule="auto"/>
        <w:jc w:val="left"/>
        <w:rPr>
          <w:rFonts w:hint="eastAsia" w:ascii="仿宋" w:hAnsi="仿宋" w:eastAsia="仿宋" w:cs="仿宋"/>
          <w:color w:val="000000"/>
          <w:kern w:val="0"/>
          <w:highlight w:val="none"/>
          <w:lang w:val="zh-CN"/>
        </w:rPr>
      </w:pPr>
    </w:p>
    <w:p w14:paraId="4A06DF6F">
      <w:pPr>
        <w:autoSpaceDE w:val="0"/>
        <w:autoSpaceDN w:val="0"/>
        <w:spacing w:line="360" w:lineRule="auto"/>
        <w:jc w:val="left"/>
        <w:rPr>
          <w:rFonts w:hint="eastAsia" w:ascii="仿宋" w:hAnsi="仿宋" w:eastAsia="仿宋" w:cs="仿宋"/>
          <w:color w:val="000000"/>
          <w:kern w:val="0"/>
          <w:highlight w:val="none"/>
          <w:lang w:val="zh-CN"/>
        </w:rPr>
      </w:pPr>
    </w:p>
    <w:p w14:paraId="04BD8DCF">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5DE0F010">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（签字或盖章）</w:t>
      </w:r>
    </w:p>
    <w:p w14:paraId="458DE75A">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163744A5">
      <w:pPr>
        <w:pStyle w:val="27"/>
        <w:spacing w:before="0" w:after="0" w:line="360" w:lineRule="auto"/>
        <w:jc w:val="left"/>
        <w:outlineLvl w:val="1"/>
        <w:rPr>
          <w:rFonts w:hint="eastAsia" w:ascii="仿宋" w:hAnsi="仿宋" w:eastAsia="仿宋" w:cs="仿宋"/>
          <w:color w:val="000000"/>
          <w:highlight w:val="none"/>
          <w:lang w:val="zh-CN"/>
        </w:rPr>
      </w:pPr>
    </w:p>
    <w:p w14:paraId="5CB4AE20">
      <w:pPr>
        <w:pStyle w:val="27"/>
        <w:spacing w:before="0" w:after="0" w:line="360" w:lineRule="auto"/>
        <w:jc w:val="left"/>
        <w:outlineLvl w:val="1"/>
        <w:rPr>
          <w:rFonts w:hint="eastAsia" w:ascii="仿宋" w:hAnsi="仿宋" w:eastAsia="仿宋" w:cs="仿宋"/>
          <w:color w:val="000000"/>
          <w:highlight w:val="none"/>
          <w:lang w:val="zh-CN"/>
        </w:rPr>
      </w:pPr>
    </w:p>
    <w:p w14:paraId="6EE824C9">
      <w:pPr>
        <w:pStyle w:val="27"/>
        <w:spacing w:before="0" w:after="0" w:line="360" w:lineRule="auto"/>
        <w:jc w:val="left"/>
        <w:outlineLvl w:val="1"/>
        <w:rPr>
          <w:rFonts w:hint="eastAsia" w:ascii="仿宋" w:hAnsi="仿宋" w:eastAsia="仿宋" w:cs="仿宋"/>
          <w:color w:val="000000"/>
          <w:highlight w:val="none"/>
          <w:lang w:val="zh-CN"/>
        </w:rPr>
      </w:pPr>
    </w:p>
    <w:p w14:paraId="7461B31E">
      <w:pPr>
        <w:pStyle w:val="27"/>
        <w:spacing w:before="0" w:after="0" w:line="360" w:lineRule="auto"/>
        <w:jc w:val="left"/>
        <w:outlineLvl w:val="1"/>
        <w:rPr>
          <w:rFonts w:hint="eastAsia" w:ascii="仿宋" w:hAnsi="仿宋" w:eastAsia="仿宋" w:cs="仿宋"/>
          <w:color w:val="000000"/>
          <w:highlight w:val="none"/>
          <w:lang w:val="zh-CN"/>
        </w:rPr>
      </w:pPr>
    </w:p>
    <w:p w14:paraId="1BDA49B8">
      <w:pPr>
        <w:pStyle w:val="27"/>
        <w:spacing w:before="0" w:after="0" w:line="360" w:lineRule="auto"/>
        <w:jc w:val="left"/>
        <w:outlineLvl w:val="1"/>
        <w:rPr>
          <w:rFonts w:hint="eastAsia" w:ascii="仿宋" w:hAnsi="仿宋" w:eastAsia="仿宋" w:cs="仿宋"/>
          <w:color w:val="000000"/>
          <w:highlight w:val="none"/>
          <w:lang w:val="zh-CN"/>
        </w:rPr>
      </w:pPr>
    </w:p>
    <w:p w14:paraId="5228F041">
      <w:pPr>
        <w:pStyle w:val="27"/>
        <w:spacing w:before="0" w:after="0" w:line="360" w:lineRule="auto"/>
        <w:jc w:val="left"/>
        <w:outlineLvl w:val="1"/>
        <w:rPr>
          <w:rFonts w:hint="eastAsia" w:ascii="仿宋" w:hAnsi="仿宋" w:eastAsia="仿宋" w:cs="仿宋"/>
          <w:color w:val="000000"/>
          <w:highlight w:val="none"/>
          <w:lang w:val="zh-CN"/>
        </w:rPr>
      </w:pPr>
    </w:p>
    <w:p w14:paraId="234755D9">
      <w:pPr>
        <w:autoSpaceDE w:val="0"/>
        <w:autoSpaceDN w:val="0"/>
        <w:spacing w:line="360" w:lineRule="auto"/>
        <w:jc w:val="center"/>
        <w:outlineLvl w:val="0"/>
        <w:rPr>
          <w:rFonts w:hint="eastAsia" w:ascii="仿宋" w:hAnsi="仿宋" w:eastAsia="仿宋" w:cs="仿宋"/>
          <w:b/>
          <w:bCs/>
          <w:color w:val="000000"/>
          <w:kern w:val="0"/>
          <w:sz w:val="36"/>
          <w:szCs w:val="36"/>
          <w:highlight w:val="none"/>
          <w:lang w:val="zh-CN"/>
        </w:rPr>
      </w:pPr>
      <w:r>
        <w:rPr>
          <w:rFonts w:hint="eastAsia" w:ascii="仿宋" w:hAnsi="仿宋" w:eastAsia="仿宋" w:cs="仿宋"/>
          <w:color w:val="000000"/>
          <w:highlight w:val="none"/>
          <w:lang w:val="zh-CN"/>
        </w:rPr>
        <w:br w:type="page"/>
      </w:r>
      <w:bookmarkStart w:id="400" w:name="_Toc4087"/>
      <w:bookmarkStart w:id="401" w:name="_Toc21448"/>
      <w:bookmarkStart w:id="402" w:name="_Toc61"/>
      <w:bookmarkStart w:id="403" w:name="_Toc14194"/>
      <w:r>
        <w:rPr>
          <w:rFonts w:hint="eastAsia" w:ascii="仿宋" w:hAnsi="仿宋" w:eastAsia="仿宋" w:cs="仿宋"/>
          <w:b/>
          <w:bCs/>
          <w:color w:val="000000"/>
          <w:sz w:val="30"/>
          <w:szCs w:val="30"/>
          <w:highlight w:val="none"/>
        </w:rPr>
        <w:t>1</w:t>
      </w:r>
      <w:r>
        <w:rPr>
          <w:rFonts w:hint="eastAsia" w:ascii="仿宋" w:hAnsi="仿宋" w:eastAsia="仿宋" w:cs="仿宋"/>
          <w:b/>
          <w:bCs/>
          <w:color w:val="000000"/>
          <w:sz w:val="30"/>
          <w:szCs w:val="30"/>
          <w:highlight w:val="none"/>
          <w:lang w:val="en-US" w:eastAsia="zh-CN"/>
        </w:rPr>
        <w:t>1</w:t>
      </w:r>
      <w:r>
        <w:rPr>
          <w:rFonts w:hint="eastAsia" w:ascii="仿宋" w:hAnsi="仿宋" w:eastAsia="仿宋" w:cs="仿宋"/>
          <w:b/>
          <w:bCs/>
          <w:color w:val="000000"/>
          <w:sz w:val="30"/>
          <w:szCs w:val="30"/>
          <w:highlight w:val="none"/>
        </w:rPr>
        <w:t>.</w:t>
      </w:r>
      <w:r>
        <w:rPr>
          <w:rFonts w:hint="eastAsia" w:ascii="仿宋" w:hAnsi="仿宋" w:eastAsia="仿宋" w:cs="仿宋"/>
          <w:b/>
          <w:bCs/>
          <w:color w:val="000000"/>
          <w:sz w:val="30"/>
          <w:szCs w:val="30"/>
          <w:highlight w:val="none"/>
          <w:lang w:val="en-US" w:eastAsia="zh-CN"/>
        </w:rPr>
        <w:t>磋商</w:t>
      </w:r>
      <w:r>
        <w:rPr>
          <w:rFonts w:hint="eastAsia" w:ascii="仿宋" w:hAnsi="仿宋" w:eastAsia="仿宋" w:cs="仿宋"/>
          <w:b/>
          <w:bCs/>
          <w:color w:val="000000"/>
          <w:sz w:val="30"/>
          <w:szCs w:val="30"/>
          <w:highlight w:val="none"/>
          <w:lang w:val="zh-CN"/>
        </w:rPr>
        <w:t>保证金证明</w:t>
      </w:r>
      <w:bookmarkEnd w:id="400"/>
    </w:p>
    <w:bookmarkEnd w:id="401"/>
    <w:bookmarkEnd w:id="402"/>
    <w:bookmarkEnd w:id="403"/>
    <w:p w14:paraId="7011BB6D">
      <w:pPr>
        <w:autoSpaceDE w:val="0"/>
        <w:autoSpaceDN w:val="0"/>
        <w:spacing w:line="360" w:lineRule="auto"/>
        <w:rPr>
          <w:rFonts w:hint="eastAsia" w:ascii="仿宋" w:hAnsi="仿宋" w:eastAsia="仿宋" w:cs="仿宋"/>
          <w:b/>
          <w:bCs/>
          <w:color w:val="000000"/>
          <w:kern w:val="0"/>
          <w:sz w:val="28"/>
          <w:szCs w:val="28"/>
          <w:highlight w:val="none"/>
          <w:lang w:val="zh-CN"/>
        </w:rPr>
      </w:pPr>
    </w:p>
    <w:p w14:paraId="244B70EF">
      <w:pPr>
        <w:autoSpaceDE w:val="0"/>
        <w:autoSpaceDN w:val="0"/>
        <w:spacing w:line="360" w:lineRule="auto"/>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致：青海科越全过程工程管理有限责任公司</w:t>
      </w:r>
    </w:p>
    <w:p w14:paraId="06288566">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我方为（采购项目名称）项目（采购项目编号为：        ）递交保证金人民币       （大写：人民币        元）已于     年    月    日以转账方式汇入你方账户。</w:t>
      </w:r>
    </w:p>
    <w:p w14:paraId="649F786D">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附件：保证金交款证明复印件（加盖公章）</w:t>
      </w:r>
    </w:p>
    <w:p w14:paraId="32BE00DD">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26772A54">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户    名：</w:t>
      </w:r>
    </w:p>
    <w:p w14:paraId="5721BF99">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开户银行：</w:t>
      </w:r>
    </w:p>
    <w:p w14:paraId="5BBB9DC2">
      <w:pPr>
        <w:autoSpaceDE w:val="0"/>
        <w:autoSpaceDN w:val="0"/>
        <w:spacing w:line="360" w:lineRule="auto"/>
        <w:ind w:firstLine="36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开户账号：</w:t>
      </w:r>
    </w:p>
    <w:p w14:paraId="5A5ECBE2">
      <w:pPr>
        <w:autoSpaceDE w:val="0"/>
        <w:autoSpaceDN w:val="0"/>
        <w:spacing w:line="360" w:lineRule="auto"/>
        <w:ind w:firstLine="360"/>
        <w:rPr>
          <w:rFonts w:hint="eastAsia" w:ascii="仿宋" w:hAnsi="仿宋" w:eastAsia="仿宋" w:cs="仿宋"/>
          <w:color w:val="000000"/>
          <w:kern w:val="0"/>
          <w:highlight w:val="none"/>
          <w:lang w:val="zh-CN"/>
        </w:rPr>
      </w:pPr>
    </w:p>
    <w:p w14:paraId="7ACE07D8">
      <w:pPr>
        <w:autoSpaceDE w:val="0"/>
        <w:autoSpaceDN w:val="0"/>
        <w:spacing w:line="360" w:lineRule="auto"/>
        <w:ind w:firstLine="360"/>
        <w:rPr>
          <w:rFonts w:hint="eastAsia" w:ascii="仿宋" w:hAnsi="仿宋" w:eastAsia="仿宋" w:cs="仿宋"/>
          <w:color w:val="000000"/>
          <w:kern w:val="0"/>
          <w:highlight w:val="none"/>
          <w:lang w:val="zh-CN"/>
        </w:rPr>
      </w:pPr>
    </w:p>
    <w:p w14:paraId="6CB12742">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52AA2200">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（签字或盖章）</w:t>
      </w:r>
    </w:p>
    <w:p w14:paraId="72A36DD1">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p w14:paraId="323EB930">
      <w:pPr>
        <w:autoSpaceDE w:val="0"/>
        <w:autoSpaceDN w:val="0"/>
        <w:spacing w:line="360" w:lineRule="auto"/>
        <w:rPr>
          <w:rFonts w:hint="eastAsia" w:ascii="仿宋" w:hAnsi="仿宋" w:eastAsia="仿宋" w:cs="仿宋"/>
          <w:b/>
          <w:bCs/>
          <w:color w:val="000000"/>
          <w:kern w:val="0"/>
          <w:highlight w:val="none"/>
          <w:lang w:val="zh-CN"/>
        </w:rPr>
      </w:pPr>
    </w:p>
    <w:bookmarkEnd w:id="395"/>
    <w:p w14:paraId="4E086EE4">
      <w:pPr>
        <w:jc w:val="center"/>
        <w:outlineLvl w:val="1"/>
        <w:rPr>
          <w:rFonts w:hint="eastAsia" w:ascii="仿宋" w:hAnsi="仿宋" w:eastAsia="仿宋" w:cs="仿宋"/>
          <w:b/>
          <w:bCs/>
          <w:color w:val="000000"/>
          <w:sz w:val="30"/>
          <w:szCs w:val="30"/>
          <w:highlight w:val="none"/>
          <w:lang w:eastAsia="zh-CN"/>
        </w:rPr>
      </w:pPr>
      <w:r>
        <w:rPr>
          <w:rFonts w:hint="eastAsia" w:ascii="仿宋" w:hAnsi="仿宋" w:eastAsia="仿宋" w:cs="仿宋"/>
          <w:color w:val="000000"/>
          <w:kern w:val="0"/>
          <w:highlight w:val="none"/>
          <w:lang w:val="zh-CN"/>
        </w:rPr>
        <w:br w:type="page"/>
      </w:r>
      <w:bookmarkStart w:id="404" w:name="_Toc32386"/>
      <w:bookmarkStart w:id="405" w:name="_Toc5446"/>
      <w:bookmarkStart w:id="406" w:name="_Toc14290"/>
      <w:r>
        <w:rPr>
          <w:rFonts w:hint="eastAsia" w:ascii="仿宋" w:hAnsi="仿宋" w:eastAsia="仿宋" w:cs="仿宋"/>
          <w:b/>
          <w:bCs/>
          <w:color w:val="000000"/>
          <w:sz w:val="30"/>
          <w:szCs w:val="30"/>
          <w:highlight w:val="none"/>
        </w:rPr>
        <w:t>1</w:t>
      </w:r>
      <w:r>
        <w:rPr>
          <w:rFonts w:hint="eastAsia" w:ascii="仿宋" w:hAnsi="仿宋" w:eastAsia="仿宋" w:cs="仿宋"/>
          <w:b/>
          <w:bCs/>
          <w:color w:val="000000"/>
          <w:sz w:val="30"/>
          <w:szCs w:val="30"/>
          <w:highlight w:val="none"/>
          <w:lang w:val="en-US" w:eastAsia="zh-CN"/>
        </w:rPr>
        <w:t>2</w:t>
      </w:r>
      <w:r>
        <w:rPr>
          <w:rFonts w:hint="eastAsia" w:ascii="仿宋" w:hAnsi="仿宋" w:eastAsia="仿宋" w:cs="仿宋"/>
          <w:b/>
          <w:bCs/>
          <w:color w:val="000000"/>
          <w:sz w:val="30"/>
          <w:szCs w:val="30"/>
          <w:highlight w:val="none"/>
        </w:rPr>
        <w:t>.</w:t>
      </w:r>
      <w:bookmarkEnd w:id="404"/>
      <w:r>
        <w:rPr>
          <w:rFonts w:hint="eastAsia" w:ascii="仿宋" w:hAnsi="仿宋" w:eastAsia="仿宋" w:cs="仿宋"/>
          <w:b/>
          <w:bCs/>
          <w:color w:val="000000"/>
          <w:sz w:val="30"/>
          <w:szCs w:val="30"/>
          <w:highlight w:val="none"/>
        </w:rPr>
        <w:t>监理大纲</w:t>
      </w:r>
    </w:p>
    <w:p w14:paraId="7B1E1ED0">
      <w:pPr>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  </w:t>
      </w:r>
    </w:p>
    <w:p w14:paraId="5297B157">
      <w:pPr>
        <w:pStyle w:val="27"/>
        <w:spacing w:before="0" w:after="0" w:line="360" w:lineRule="auto"/>
        <w:jc w:val="left"/>
        <w:rPr>
          <w:rFonts w:hint="eastAsia" w:ascii="仿宋" w:hAnsi="仿宋" w:eastAsia="仿宋" w:cs="仿宋"/>
          <w:color w:val="000000"/>
          <w:sz w:val="30"/>
          <w:szCs w:val="30"/>
          <w:highlight w:val="none"/>
        </w:rPr>
      </w:pPr>
    </w:p>
    <w:p w14:paraId="27D8A22E">
      <w:pPr>
        <w:pStyle w:val="27"/>
        <w:spacing w:before="0" w:after="0" w:line="360" w:lineRule="auto"/>
        <w:jc w:val="left"/>
        <w:rPr>
          <w:rFonts w:hint="eastAsia" w:ascii="仿宋" w:hAnsi="仿宋" w:eastAsia="仿宋" w:cs="仿宋"/>
          <w:color w:val="000000"/>
          <w:sz w:val="30"/>
          <w:szCs w:val="30"/>
          <w:highlight w:val="none"/>
        </w:rPr>
      </w:pPr>
    </w:p>
    <w:p w14:paraId="41F1D0F3">
      <w:pPr>
        <w:pStyle w:val="27"/>
        <w:spacing w:before="0" w:after="0" w:line="360" w:lineRule="auto"/>
        <w:jc w:val="left"/>
        <w:rPr>
          <w:rFonts w:hint="eastAsia" w:ascii="仿宋" w:hAnsi="仿宋" w:eastAsia="仿宋" w:cs="仿宋"/>
          <w:color w:val="000000"/>
          <w:sz w:val="30"/>
          <w:szCs w:val="30"/>
          <w:highlight w:val="none"/>
        </w:rPr>
      </w:pPr>
    </w:p>
    <w:p w14:paraId="35A0EF24">
      <w:pPr>
        <w:pStyle w:val="27"/>
        <w:spacing w:before="0" w:after="0" w:line="360" w:lineRule="auto"/>
        <w:jc w:val="left"/>
        <w:rPr>
          <w:rFonts w:hint="eastAsia" w:ascii="仿宋" w:hAnsi="仿宋" w:eastAsia="仿宋" w:cs="仿宋"/>
          <w:color w:val="000000"/>
          <w:sz w:val="30"/>
          <w:szCs w:val="30"/>
          <w:highlight w:val="none"/>
        </w:rPr>
      </w:pPr>
    </w:p>
    <w:p w14:paraId="4D9BC288">
      <w:pPr>
        <w:pStyle w:val="27"/>
        <w:spacing w:before="0" w:after="0" w:line="360" w:lineRule="auto"/>
        <w:jc w:val="left"/>
        <w:rPr>
          <w:rFonts w:hint="eastAsia" w:ascii="仿宋" w:hAnsi="仿宋" w:eastAsia="仿宋" w:cs="仿宋"/>
          <w:color w:val="000000"/>
          <w:sz w:val="30"/>
          <w:szCs w:val="30"/>
          <w:highlight w:val="none"/>
        </w:rPr>
      </w:pPr>
    </w:p>
    <w:p w14:paraId="75B4547F">
      <w:pPr>
        <w:pStyle w:val="27"/>
        <w:spacing w:before="0" w:after="0" w:line="360" w:lineRule="auto"/>
        <w:jc w:val="left"/>
        <w:rPr>
          <w:rFonts w:hint="eastAsia" w:ascii="仿宋" w:hAnsi="仿宋" w:eastAsia="仿宋" w:cs="仿宋"/>
          <w:color w:val="000000"/>
          <w:sz w:val="30"/>
          <w:szCs w:val="30"/>
          <w:highlight w:val="none"/>
        </w:rPr>
      </w:pPr>
    </w:p>
    <w:p w14:paraId="534F60E2">
      <w:pPr>
        <w:pStyle w:val="27"/>
        <w:spacing w:before="0" w:after="0" w:line="360" w:lineRule="auto"/>
        <w:jc w:val="left"/>
        <w:rPr>
          <w:rFonts w:hint="eastAsia" w:ascii="仿宋" w:hAnsi="仿宋" w:eastAsia="仿宋" w:cs="仿宋"/>
          <w:color w:val="000000"/>
          <w:sz w:val="30"/>
          <w:szCs w:val="30"/>
          <w:highlight w:val="none"/>
        </w:rPr>
      </w:pPr>
    </w:p>
    <w:p w14:paraId="35A2055F">
      <w:pPr>
        <w:pStyle w:val="27"/>
        <w:spacing w:before="0" w:after="0" w:line="360" w:lineRule="auto"/>
        <w:jc w:val="left"/>
        <w:rPr>
          <w:rFonts w:hint="eastAsia" w:ascii="仿宋" w:hAnsi="仿宋" w:eastAsia="仿宋" w:cs="仿宋"/>
          <w:color w:val="000000"/>
          <w:sz w:val="30"/>
          <w:szCs w:val="30"/>
          <w:highlight w:val="none"/>
        </w:rPr>
      </w:pPr>
    </w:p>
    <w:p w14:paraId="11B49FBC">
      <w:pPr>
        <w:pStyle w:val="27"/>
        <w:spacing w:before="0" w:after="0" w:line="360" w:lineRule="auto"/>
        <w:jc w:val="left"/>
        <w:rPr>
          <w:rFonts w:hint="eastAsia" w:ascii="仿宋" w:hAnsi="仿宋" w:eastAsia="仿宋" w:cs="仿宋"/>
          <w:color w:val="000000"/>
          <w:sz w:val="30"/>
          <w:szCs w:val="30"/>
          <w:highlight w:val="none"/>
        </w:rPr>
      </w:pPr>
    </w:p>
    <w:p w14:paraId="26C04482">
      <w:pPr>
        <w:pStyle w:val="27"/>
        <w:spacing w:before="0" w:after="0" w:line="360" w:lineRule="auto"/>
        <w:jc w:val="left"/>
        <w:rPr>
          <w:rFonts w:hint="eastAsia" w:ascii="仿宋" w:hAnsi="仿宋" w:eastAsia="仿宋" w:cs="仿宋"/>
          <w:color w:val="000000"/>
          <w:sz w:val="30"/>
          <w:szCs w:val="30"/>
          <w:highlight w:val="none"/>
        </w:rPr>
      </w:pPr>
    </w:p>
    <w:p w14:paraId="1A65F40B">
      <w:pPr>
        <w:rPr>
          <w:rFonts w:hint="eastAsia" w:ascii="仿宋" w:hAnsi="仿宋" w:eastAsia="仿宋" w:cs="仿宋"/>
          <w:color w:val="000000"/>
          <w:sz w:val="30"/>
          <w:szCs w:val="30"/>
          <w:highlight w:val="none"/>
        </w:rPr>
      </w:pPr>
    </w:p>
    <w:p w14:paraId="564DA9E6">
      <w:pPr>
        <w:pStyle w:val="29"/>
        <w:rPr>
          <w:rFonts w:hint="eastAsia" w:ascii="仿宋" w:hAnsi="仿宋" w:eastAsia="仿宋" w:cs="仿宋"/>
          <w:color w:val="000000"/>
          <w:sz w:val="30"/>
          <w:szCs w:val="30"/>
          <w:highlight w:val="none"/>
        </w:rPr>
      </w:pPr>
    </w:p>
    <w:p w14:paraId="79BC347F">
      <w:pPr>
        <w:rPr>
          <w:rFonts w:hint="eastAsia" w:ascii="仿宋" w:hAnsi="仿宋" w:eastAsia="仿宋" w:cs="仿宋"/>
          <w:color w:val="000000"/>
          <w:sz w:val="30"/>
          <w:szCs w:val="30"/>
          <w:highlight w:val="none"/>
        </w:rPr>
      </w:pPr>
    </w:p>
    <w:p w14:paraId="3233D294">
      <w:pPr>
        <w:pStyle w:val="29"/>
        <w:rPr>
          <w:rFonts w:hint="eastAsia" w:ascii="仿宋" w:hAnsi="仿宋" w:eastAsia="仿宋" w:cs="仿宋"/>
          <w:color w:val="000000"/>
          <w:sz w:val="30"/>
          <w:szCs w:val="30"/>
          <w:highlight w:val="none"/>
        </w:rPr>
      </w:pPr>
    </w:p>
    <w:p w14:paraId="7F693A37">
      <w:pPr>
        <w:rPr>
          <w:rFonts w:hint="eastAsia" w:ascii="仿宋" w:hAnsi="仿宋" w:eastAsia="仿宋" w:cs="仿宋"/>
          <w:color w:val="000000"/>
          <w:sz w:val="30"/>
          <w:szCs w:val="30"/>
          <w:highlight w:val="none"/>
        </w:rPr>
      </w:pPr>
    </w:p>
    <w:p w14:paraId="4785D81B">
      <w:pPr>
        <w:pStyle w:val="29"/>
        <w:rPr>
          <w:rFonts w:hint="eastAsia" w:ascii="仿宋" w:hAnsi="仿宋" w:eastAsia="仿宋" w:cs="仿宋"/>
          <w:color w:val="000000"/>
          <w:sz w:val="30"/>
          <w:szCs w:val="30"/>
          <w:highlight w:val="none"/>
        </w:rPr>
      </w:pPr>
    </w:p>
    <w:p w14:paraId="1F990195">
      <w:pPr>
        <w:rPr>
          <w:rFonts w:hint="eastAsia" w:ascii="仿宋" w:hAnsi="仿宋" w:eastAsia="仿宋" w:cs="仿宋"/>
          <w:color w:val="000000"/>
          <w:sz w:val="30"/>
          <w:szCs w:val="30"/>
          <w:highlight w:val="none"/>
        </w:rPr>
      </w:pPr>
    </w:p>
    <w:p w14:paraId="40022A89">
      <w:pPr>
        <w:pStyle w:val="29"/>
        <w:rPr>
          <w:rFonts w:hint="eastAsia" w:ascii="仿宋" w:hAnsi="仿宋" w:eastAsia="仿宋" w:cs="仿宋"/>
          <w:color w:val="000000"/>
          <w:sz w:val="30"/>
          <w:szCs w:val="30"/>
          <w:highlight w:val="none"/>
        </w:rPr>
      </w:pPr>
    </w:p>
    <w:p w14:paraId="5185BAD6">
      <w:pPr>
        <w:rPr>
          <w:rFonts w:hint="eastAsia" w:ascii="仿宋" w:hAnsi="仿宋" w:eastAsia="仿宋" w:cs="仿宋"/>
          <w:color w:val="000000"/>
          <w:sz w:val="30"/>
          <w:szCs w:val="30"/>
          <w:highlight w:val="none"/>
        </w:rPr>
      </w:pPr>
    </w:p>
    <w:p w14:paraId="438905C5">
      <w:pPr>
        <w:pStyle w:val="29"/>
        <w:rPr>
          <w:rFonts w:hint="eastAsia" w:ascii="仿宋" w:hAnsi="仿宋" w:eastAsia="仿宋" w:cs="仿宋"/>
          <w:color w:val="000000"/>
          <w:sz w:val="30"/>
          <w:szCs w:val="30"/>
          <w:highlight w:val="none"/>
        </w:rPr>
      </w:pPr>
    </w:p>
    <w:p w14:paraId="59E8E65E">
      <w:pPr>
        <w:rPr>
          <w:rFonts w:hint="eastAsia" w:ascii="仿宋" w:hAnsi="仿宋" w:eastAsia="仿宋" w:cs="仿宋"/>
          <w:color w:val="000000"/>
          <w:sz w:val="30"/>
          <w:szCs w:val="30"/>
          <w:highlight w:val="none"/>
        </w:rPr>
      </w:pPr>
    </w:p>
    <w:p w14:paraId="5EBE29D3">
      <w:pPr>
        <w:pStyle w:val="29"/>
        <w:rPr>
          <w:rFonts w:hint="eastAsia" w:ascii="仿宋" w:hAnsi="仿宋" w:eastAsia="仿宋" w:cs="仿宋"/>
          <w:color w:val="000000"/>
          <w:highlight w:val="none"/>
        </w:rPr>
      </w:pPr>
    </w:p>
    <w:p w14:paraId="1247AE1B">
      <w:pPr>
        <w:pStyle w:val="27"/>
        <w:spacing w:before="0" w:after="0" w:line="360" w:lineRule="auto"/>
        <w:jc w:val="left"/>
        <w:rPr>
          <w:rFonts w:hint="eastAsia" w:ascii="仿宋" w:hAnsi="仿宋" w:eastAsia="仿宋" w:cs="仿宋"/>
          <w:color w:val="000000"/>
          <w:sz w:val="30"/>
          <w:szCs w:val="30"/>
          <w:highlight w:val="none"/>
        </w:rPr>
      </w:pPr>
    </w:p>
    <w:p w14:paraId="0FE47455">
      <w:pPr>
        <w:rPr>
          <w:rFonts w:hint="eastAsia" w:ascii="仿宋" w:hAnsi="仿宋" w:eastAsia="仿宋" w:cs="仿宋"/>
          <w:color w:val="000000"/>
          <w:sz w:val="30"/>
          <w:szCs w:val="30"/>
          <w:highlight w:val="none"/>
        </w:rPr>
      </w:pPr>
    </w:p>
    <w:p w14:paraId="2686BB23">
      <w:pPr>
        <w:pStyle w:val="29"/>
        <w:rPr>
          <w:rFonts w:hint="eastAsia" w:ascii="仿宋" w:hAnsi="仿宋" w:eastAsia="仿宋" w:cs="仿宋"/>
          <w:color w:val="000000"/>
          <w:sz w:val="30"/>
          <w:szCs w:val="30"/>
          <w:highlight w:val="none"/>
        </w:rPr>
      </w:pPr>
    </w:p>
    <w:p w14:paraId="129E61EF">
      <w:pPr>
        <w:rPr>
          <w:rFonts w:hint="eastAsia" w:ascii="仿宋" w:hAnsi="仿宋" w:eastAsia="仿宋" w:cs="仿宋"/>
          <w:color w:val="000000"/>
          <w:highlight w:val="none"/>
        </w:rPr>
      </w:pPr>
    </w:p>
    <w:p w14:paraId="084DB4FD">
      <w:pPr>
        <w:pStyle w:val="17"/>
        <w:rPr>
          <w:rFonts w:hint="eastAsia" w:ascii="仿宋" w:hAnsi="仿宋" w:eastAsia="仿宋" w:cs="仿宋"/>
          <w:color w:val="000000"/>
          <w:highlight w:val="none"/>
        </w:rPr>
      </w:pPr>
    </w:p>
    <w:p w14:paraId="19F11853">
      <w:pPr>
        <w:spacing w:line="360" w:lineRule="auto"/>
        <w:jc w:val="center"/>
        <w:outlineLvl w:val="0"/>
        <w:rPr>
          <w:rFonts w:hint="eastAsia" w:ascii="仿宋" w:hAnsi="仿宋" w:eastAsia="仿宋" w:cs="仿宋"/>
          <w:b/>
          <w:bCs/>
          <w:color w:val="000000"/>
          <w:sz w:val="32"/>
          <w:szCs w:val="32"/>
          <w:highlight w:val="none"/>
        </w:rPr>
      </w:pPr>
      <w:bookmarkStart w:id="407" w:name="_Toc24255"/>
      <w:bookmarkStart w:id="408" w:name="_Toc2620"/>
    </w:p>
    <w:p w14:paraId="3BFD9E5A">
      <w:pPr>
        <w:spacing w:line="360" w:lineRule="auto"/>
        <w:jc w:val="center"/>
        <w:outlineLvl w:val="0"/>
        <w:rPr>
          <w:rFonts w:hint="eastAsia" w:ascii="仿宋" w:hAnsi="仿宋" w:eastAsia="仿宋" w:cs="仿宋"/>
          <w:b/>
          <w:bCs/>
          <w:color w:val="000000"/>
          <w:sz w:val="32"/>
          <w:szCs w:val="32"/>
          <w:highlight w:val="none"/>
        </w:rPr>
      </w:pPr>
      <w:bookmarkStart w:id="409" w:name="_Toc30363"/>
      <w:r>
        <w:rPr>
          <w:rFonts w:hint="eastAsia" w:ascii="仿宋" w:hAnsi="仿宋" w:eastAsia="仿宋" w:cs="仿宋"/>
          <w:b/>
          <w:bCs/>
          <w:color w:val="000000"/>
          <w:sz w:val="32"/>
          <w:szCs w:val="32"/>
          <w:highlight w:val="none"/>
        </w:rPr>
        <w:t>1</w:t>
      </w:r>
      <w:r>
        <w:rPr>
          <w:rFonts w:hint="eastAsia" w:ascii="仿宋" w:hAnsi="仿宋" w:eastAsia="仿宋" w:cs="仿宋"/>
          <w:b/>
          <w:bCs/>
          <w:color w:val="000000"/>
          <w:sz w:val="32"/>
          <w:szCs w:val="32"/>
          <w:highlight w:val="none"/>
          <w:lang w:val="en-US" w:eastAsia="zh-CN"/>
        </w:rPr>
        <w:t>3</w:t>
      </w: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lang w:eastAsia="zh-CN"/>
        </w:rPr>
        <w:t>供应商</w:t>
      </w:r>
      <w:r>
        <w:rPr>
          <w:rFonts w:hint="eastAsia" w:ascii="仿宋" w:hAnsi="仿宋" w:eastAsia="仿宋" w:cs="仿宋"/>
          <w:b/>
          <w:bCs/>
          <w:color w:val="000000"/>
          <w:sz w:val="32"/>
          <w:szCs w:val="32"/>
          <w:highlight w:val="none"/>
        </w:rPr>
        <w:t>的</w:t>
      </w:r>
      <w:r>
        <w:rPr>
          <w:rFonts w:hint="eastAsia" w:ascii="仿宋" w:hAnsi="仿宋" w:eastAsia="仿宋" w:cs="仿宋"/>
          <w:b/>
          <w:bCs/>
          <w:color w:val="000000"/>
          <w:sz w:val="32"/>
          <w:szCs w:val="32"/>
          <w:highlight w:val="none"/>
          <w:lang w:val="zh-CN"/>
        </w:rPr>
        <w:t>类似业绩证明材料</w:t>
      </w:r>
      <w:bookmarkEnd w:id="409"/>
    </w:p>
    <w:bookmarkEnd w:id="405"/>
    <w:bookmarkEnd w:id="406"/>
    <w:bookmarkEnd w:id="407"/>
    <w:bookmarkEnd w:id="408"/>
    <w:p w14:paraId="3033E2BD">
      <w:pPr>
        <w:autoSpaceDE w:val="0"/>
        <w:autoSpaceDN w:val="0"/>
        <w:spacing w:line="360" w:lineRule="auto"/>
        <w:ind w:firstLine="360"/>
        <w:rPr>
          <w:rFonts w:hint="eastAsia" w:ascii="仿宋" w:hAnsi="仿宋" w:eastAsia="仿宋" w:cs="仿宋"/>
          <w:color w:val="000000"/>
          <w:kern w:val="0"/>
          <w:highlight w:val="none"/>
          <w:lang w:val="zh-CN"/>
        </w:rPr>
      </w:pPr>
    </w:p>
    <w:p w14:paraId="6D3B395D">
      <w:pPr>
        <w:autoSpaceDE w:val="0"/>
        <w:autoSpaceDN w:val="0"/>
        <w:spacing w:line="360" w:lineRule="auto"/>
        <w:ind w:firstLine="36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提供自20</w:t>
      </w:r>
      <w:r>
        <w:rPr>
          <w:rFonts w:hint="eastAsia" w:ascii="仿宋" w:hAnsi="仿宋" w:eastAsia="仿宋" w:cs="仿宋"/>
          <w:color w:val="auto"/>
          <w:kern w:val="0"/>
          <w:highlight w:val="none"/>
          <w:lang w:val="en-US" w:eastAsia="zh-CN"/>
        </w:rPr>
        <w:t>22</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lang w:val="en-US" w:eastAsia="zh-CN"/>
        </w:rPr>
        <w:t>1月1日</w:t>
      </w:r>
      <w:r>
        <w:rPr>
          <w:rFonts w:hint="eastAsia" w:ascii="仿宋" w:hAnsi="仿宋" w:eastAsia="仿宋" w:cs="仿宋"/>
          <w:color w:val="auto"/>
          <w:kern w:val="0"/>
          <w:highlight w:val="none"/>
          <w:lang w:val="zh-CN"/>
        </w:rPr>
        <w:t>以来取得的类似项目业绩证明材料（提供中标通知书</w:t>
      </w:r>
      <w:r>
        <w:rPr>
          <w:rFonts w:hint="eastAsia" w:ascii="仿宋" w:hAnsi="仿宋" w:eastAsia="仿宋" w:cs="仿宋"/>
          <w:color w:val="auto"/>
          <w:kern w:val="0"/>
          <w:highlight w:val="none"/>
          <w:lang w:val="en-US" w:eastAsia="zh-CN"/>
        </w:rPr>
        <w:t>或</w:t>
      </w:r>
      <w:bookmarkStart w:id="443" w:name="_GoBack"/>
      <w:bookmarkEnd w:id="443"/>
      <w:r>
        <w:rPr>
          <w:rFonts w:hint="eastAsia" w:ascii="仿宋" w:hAnsi="仿宋" w:eastAsia="仿宋" w:cs="仿宋"/>
          <w:color w:val="auto"/>
          <w:kern w:val="0"/>
          <w:highlight w:val="none"/>
          <w:lang w:val="zh-CN"/>
        </w:rPr>
        <w:t>监理委托合同）。</w:t>
      </w:r>
    </w:p>
    <w:p w14:paraId="3D62433D">
      <w:pPr>
        <w:pStyle w:val="29"/>
        <w:rPr>
          <w:rFonts w:hint="eastAsia" w:ascii="仿宋" w:hAnsi="仿宋" w:eastAsia="仿宋" w:cs="仿宋"/>
          <w:color w:val="000000"/>
          <w:highlight w:val="none"/>
          <w:lang w:val="zh-CN"/>
        </w:rPr>
      </w:pPr>
    </w:p>
    <w:p w14:paraId="54D873C4">
      <w:pPr>
        <w:pStyle w:val="29"/>
        <w:rPr>
          <w:rFonts w:hint="eastAsia" w:ascii="仿宋" w:hAnsi="仿宋" w:eastAsia="仿宋" w:cs="仿宋"/>
          <w:color w:val="000000"/>
          <w:highlight w:val="none"/>
          <w:lang w:val="zh-CN"/>
        </w:rPr>
      </w:pPr>
    </w:p>
    <w:p w14:paraId="482EDD06">
      <w:pPr>
        <w:pStyle w:val="29"/>
        <w:rPr>
          <w:rFonts w:hint="eastAsia" w:ascii="仿宋" w:hAnsi="仿宋" w:eastAsia="仿宋" w:cs="仿宋"/>
          <w:color w:val="000000"/>
          <w:highlight w:val="none"/>
          <w:lang w:val="zh-CN"/>
        </w:rPr>
      </w:pPr>
    </w:p>
    <w:p w14:paraId="2C63A373">
      <w:pPr>
        <w:pStyle w:val="29"/>
        <w:rPr>
          <w:rFonts w:hint="eastAsia" w:ascii="仿宋" w:hAnsi="仿宋" w:eastAsia="仿宋" w:cs="仿宋"/>
          <w:color w:val="000000"/>
          <w:highlight w:val="none"/>
          <w:lang w:val="zh-CN"/>
        </w:rPr>
      </w:pPr>
    </w:p>
    <w:p w14:paraId="4BDB856E">
      <w:pPr>
        <w:pStyle w:val="29"/>
        <w:rPr>
          <w:rFonts w:hint="eastAsia" w:ascii="仿宋" w:hAnsi="仿宋" w:eastAsia="仿宋" w:cs="仿宋"/>
          <w:color w:val="000000"/>
          <w:highlight w:val="none"/>
          <w:lang w:val="zh-CN"/>
        </w:rPr>
      </w:pPr>
    </w:p>
    <w:p w14:paraId="49AEACF2">
      <w:pPr>
        <w:pStyle w:val="29"/>
        <w:rPr>
          <w:rFonts w:hint="eastAsia" w:ascii="仿宋" w:hAnsi="仿宋" w:eastAsia="仿宋" w:cs="仿宋"/>
          <w:color w:val="000000"/>
          <w:highlight w:val="none"/>
          <w:lang w:val="zh-CN"/>
        </w:rPr>
      </w:pPr>
    </w:p>
    <w:p w14:paraId="061D01D2">
      <w:pPr>
        <w:pStyle w:val="29"/>
        <w:rPr>
          <w:rFonts w:hint="eastAsia" w:ascii="仿宋" w:hAnsi="仿宋" w:eastAsia="仿宋" w:cs="仿宋"/>
          <w:color w:val="000000"/>
          <w:highlight w:val="none"/>
          <w:lang w:val="zh-CN"/>
        </w:rPr>
      </w:pPr>
    </w:p>
    <w:p w14:paraId="7FAF5DFA">
      <w:pPr>
        <w:pStyle w:val="29"/>
        <w:rPr>
          <w:rFonts w:hint="eastAsia" w:ascii="仿宋" w:hAnsi="仿宋" w:eastAsia="仿宋" w:cs="仿宋"/>
          <w:color w:val="000000"/>
          <w:highlight w:val="none"/>
          <w:lang w:val="zh-CN"/>
        </w:rPr>
      </w:pPr>
    </w:p>
    <w:p w14:paraId="092DF94D">
      <w:pPr>
        <w:pStyle w:val="29"/>
        <w:rPr>
          <w:rFonts w:hint="eastAsia" w:ascii="仿宋" w:hAnsi="仿宋" w:eastAsia="仿宋" w:cs="仿宋"/>
          <w:color w:val="000000"/>
          <w:highlight w:val="none"/>
          <w:lang w:val="zh-CN"/>
        </w:rPr>
      </w:pPr>
    </w:p>
    <w:p w14:paraId="3F4A803E">
      <w:pPr>
        <w:pStyle w:val="29"/>
        <w:rPr>
          <w:rFonts w:hint="eastAsia" w:ascii="仿宋" w:hAnsi="仿宋" w:eastAsia="仿宋" w:cs="仿宋"/>
          <w:color w:val="000000"/>
          <w:highlight w:val="none"/>
          <w:lang w:val="zh-CN"/>
        </w:rPr>
      </w:pPr>
    </w:p>
    <w:p w14:paraId="15BD806A">
      <w:pPr>
        <w:pStyle w:val="29"/>
        <w:rPr>
          <w:rFonts w:hint="eastAsia" w:ascii="仿宋" w:hAnsi="仿宋" w:eastAsia="仿宋" w:cs="仿宋"/>
          <w:color w:val="000000"/>
          <w:highlight w:val="none"/>
          <w:lang w:val="zh-CN"/>
        </w:rPr>
      </w:pPr>
    </w:p>
    <w:p w14:paraId="2DEE2D49">
      <w:pPr>
        <w:pStyle w:val="29"/>
        <w:rPr>
          <w:rFonts w:hint="eastAsia" w:ascii="仿宋" w:hAnsi="仿宋" w:eastAsia="仿宋" w:cs="仿宋"/>
          <w:color w:val="000000"/>
          <w:highlight w:val="none"/>
          <w:lang w:val="zh-CN"/>
        </w:rPr>
      </w:pPr>
    </w:p>
    <w:p w14:paraId="6F61E0C1">
      <w:pPr>
        <w:pStyle w:val="29"/>
        <w:rPr>
          <w:rFonts w:hint="eastAsia" w:ascii="仿宋" w:hAnsi="仿宋" w:eastAsia="仿宋" w:cs="仿宋"/>
          <w:color w:val="000000"/>
          <w:highlight w:val="none"/>
          <w:lang w:val="zh-CN"/>
        </w:rPr>
      </w:pPr>
    </w:p>
    <w:p w14:paraId="2C18B65C">
      <w:pPr>
        <w:pStyle w:val="29"/>
        <w:rPr>
          <w:rFonts w:hint="eastAsia" w:ascii="仿宋" w:hAnsi="仿宋" w:eastAsia="仿宋" w:cs="仿宋"/>
          <w:color w:val="000000"/>
          <w:highlight w:val="none"/>
          <w:lang w:val="zh-CN"/>
        </w:rPr>
      </w:pPr>
    </w:p>
    <w:p w14:paraId="4201DBFB">
      <w:pPr>
        <w:pStyle w:val="29"/>
        <w:rPr>
          <w:rFonts w:hint="eastAsia" w:ascii="仿宋" w:hAnsi="仿宋" w:eastAsia="仿宋" w:cs="仿宋"/>
          <w:color w:val="000000"/>
          <w:highlight w:val="none"/>
          <w:lang w:val="zh-CN"/>
        </w:rPr>
      </w:pPr>
    </w:p>
    <w:p w14:paraId="15683834">
      <w:pPr>
        <w:pStyle w:val="29"/>
        <w:rPr>
          <w:rFonts w:hint="eastAsia" w:ascii="仿宋" w:hAnsi="仿宋" w:eastAsia="仿宋" w:cs="仿宋"/>
          <w:color w:val="000000"/>
          <w:highlight w:val="none"/>
          <w:lang w:val="zh-CN"/>
        </w:rPr>
      </w:pPr>
    </w:p>
    <w:p w14:paraId="7F657674">
      <w:pPr>
        <w:pStyle w:val="29"/>
        <w:rPr>
          <w:rFonts w:hint="eastAsia" w:ascii="仿宋" w:hAnsi="仿宋" w:eastAsia="仿宋" w:cs="仿宋"/>
          <w:color w:val="000000"/>
          <w:highlight w:val="none"/>
          <w:lang w:val="zh-CN"/>
        </w:rPr>
      </w:pPr>
    </w:p>
    <w:p w14:paraId="11852DC5">
      <w:pPr>
        <w:pStyle w:val="29"/>
        <w:rPr>
          <w:rFonts w:hint="eastAsia" w:ascii="仿宋" w:hAnsi="仿宋" w:eastAsia="仿宋" w:cs="仿宋"/>
          <w:color w:val="000000"/>
          <w:highlight w:val="none"/>
          <w:lang w:val="zh-CN"/>
        </w:rPr>
      </w:pPr>
    </w:p>
    <w:p w14:paraId="2D1EF6EE">
      <w:pPr>
        <w:pStyle w:val="29"/>
        <w:rPr>
          <w:rFonts w:hint="eastAsia" w:ascii="仿宋" w:hAnsi="仿宋" w:eastAsia="仿宋" w:cs="仿宋"/>
          <w:color w:val="000000"/>
          <w:highlight w:val="none"/>
          <w:lang w:val="zh-CN"/>
        </w:rPr>
      </w:pPr>
    </w:p>
    <w:p w14:paraId="7B465A3A">
      <w:pPr>
        <w:pStyle w:val="29"/>
        <w:rPr>
          <w:rFonts w:hint="eastAsia" w:ascii="仿宋" w:hAnsi="仿宋" w:eastAsia="仿宋" w:cs="仿宋"/>
          <w:color w:val="000000"/>
          <w:highlight w:val="none"/>
          <w:lang w:val="zh-CN"/>
        </w:rPr>
      </w:pPr>
    </w:p>
    <w:p w14:paraId="0DB0BA2D">
      <w:pPr>
        <w:pStyle w:val="29"/>
        <w:rPr>
          <w:rFonts w:hint="eastAsia" w:ascii="仿宋" w:hAnsi="仿宋" w:eastAsia="仿宋" w:cs="仿宋"/>
          <w:color w:val="000000"/>
          <w:highlight w:val="none"/>
          <w:lang w:val="zh-CN"/>
        </w:rPr>
      </w:pPr>
    </w:p>
    <w:p w14:paraId="5B5462C4">
      <w:pPr>
        <w:pStyle w:val="29"/>
        <w:rPr>
          <w:rFonts w:hint="eastAsia" w:ascii="仿宋" w:hAnsi="仿宋" w:eastAsia="仿宋" w:cs="仿宋"/>
          <w:color w:val="000000"/>
          <w:highlight w:val="none"/>
          <w:lang w:val="zh-CN"/>
        </w:rPr>
      </w:pPr>
    </w:p>
    <w:p w14:paraId="1E01129B">
      <w:pPr>
        <w:pStyle w:val="29"/>
        <w:rPr>
          <w:rFonts w:hint="eastAsia" w:ascii="仿宋" w:hAnsi="仿宋" w:eastAsia="仿宋" w:cs="仿宋"/>
          <w:color w:val="000000"/>
          <w:highlight w:val="none"/>
          <w:lang w:val="zh-CN"/>
        </w:rPr>
      </w:pPr>
    </w:p>
    <w:p w14:paraId="4792AA6A">
      <w:pPr>
        <w:pStyle w:val="29"/>
        <w:rPr>
          <w:rFonts w:hint="eastAsia" w:ascii="仿宋" w:hAnsi="仿宋" w:eastAsia="仿宋" w:cs="仿宋"/>
          <w:color w:val="000000"/>
          <w:highlight w:val="none"/>
          <w:lang w:val="zh-CN"/>
        </w:rPr>
      </w:pPr>
    </w:p>
    <w:p w14:paraId="38153416">
      <w:pPr>
        <w:pStyle w:val="29"/>
        <w:rPr>
          <w:rFonts w:hint="eastAsia" w:ascii="仿宋" w:hAnsi="仿宋" w:eastAsia="仿宋" w:cs="仿宋"/>
          <w:color w:val="000000"/>
          <w:highlight w:val="none"/>
          <w:lang w:val="zh-CN"/>
        </w:rPr>
      </w:pPr>
    </w:p>
    <w:p w14:paraId="36627BC6">
      <w:pPr>
        <w:pStyle w:val="29"/>
        <w:rPr>
          <w:rFonts w:hint="eastAsia" w:ascii="仿宋" w:hAnsi="仿宋" w:eastAsia="仿宋" w:cs="仿宋"/>
          <w:color w:val="000000"/>
          <w:highlight w:val="none"/>
          <w:lang w:val="zh-CN"/>
        </w:rPr>
      </w:pPr>
    </w:p>
    <w:p w14:paraId="04BA64D5">
      <w:pPr>
        <w:jc w:val="center"/>
        <w:rPr>
          <w:rFonts w:hint="eastAsia" w:ascii="仿宋" w:hAnsi="仿宋" w:eastAsia="仿宋" w:cs="仿宋"/>
          <w:b/>
          <w:bCs/>
          <w:color w:val="000000"/>
          <w:sz w:val="32"/>
          <w:szCs w:val="32"/>
          <w:highlight w:val="none"/>
        </w:rPr>
      </w:pPr>
      <w:bookmarkStart w:id="410" w:name="_Toc13493"/>
      <w:bookmarkStart w:id="411" w:name="_Toc515908226"/>
      <w:bookmarkStart w:id="412" w:name="_Toc29248"/>
      <w:bookmarkStart w:id="413" w:name="_Toc10010"/>
    </w:p>
    <w:p w14:paraId="78C98CE9">
      <w:pPr>
        <w:pStyle w:val="29"/>
        <w:rPr>
          <w:rFonts w:hint="eastAsia" w:ascii="仿宋" w:hAnsi="仿宋" w:eastAsia="仿宋" w:cs="仿宋"/>
          <w:b/>
          <w:bCs/>
          <w:color w:val="000000"/>
          <w:sz w:val="32"/>
          <w:szCs w:val="32"/>
          <w:highlight w:val="none"/>
        </w:rPr>
      </w:pPr>
    </w:p>
    <w:p w14:paraId="2E2E8CC3">
      <w:pPr>
        <w:rPr>
          <w:rFonts w:hint="eastAsia" w:ascii="仿宋" w:hAnsi="仿宋" w:eastAsia="仿宋" w:cs="仿宋"/>
          <w:color w:val="000000"/>
          <w:highlight w:val="none"/>
        </w:rPr>
      </w:pPr>
    </w:p>
    <w:bookmarkEnd w:id="410"/>
    <w:bookmarkEnd w:id="411"/>
    <w:bookmarkEnd w:id="412"/>
    <w:bookmarkEnd w:id="413"/>
    <w:p w14:paraId="0C42475D">
      <w:pPr>
        <w:pStyle w:val="27"/>
        <w:spacing w:before="0" w:after="0" w:line="360" w:lineRule="auto"/>
        <w:jc w:val="both"/>
        <w:outlineLvl w:val="0"/>
        <w:rPr>
          <w:rFonts w:hint="eastAsia" w:ascii="仿宋" w:hAnsi="仿宋" w:eastAsia="仿宋" w:cs="仿宋"/>
          <w:color w:val="000000"/>
          <w:highlight w:val="none"/>
          <w:lang w:val="en-US" w:eastAsia="zh-CN"/>
        </w:rPr>
      </w:pPr>
      <w:bookmarkStart w:id="414" w:name="_Toc29721"/>
      <w:bookmarkStart w:id="415" w:name="_Toc14905"/>
      <w:bookmarkStart w:id="416" w:name="_Toc14942"/>
      <w:bookmarkStart w:id="417" w:name="_Toc13590"/>
      <w:r>
        <w:rPr>
          <w:rFonts w:hint="eastAsia" w:ascii="仿宋" w:hAnsi="仿宋" w:eastAsia="仿宋" w:cs="仿宋"/>
          <w:b/>
          <w:bCs/>
          <w:color w:val="000000"/>
          <w:sz w:val="30"/>
          <w:szCs w:val="30"/>
          <w:highlight w:val="none"/>
          <w:lang w:val="en-US" w:eastAsia="zh-CN"/>
        </w:rPr>
        <w:t>14.享受政府采购政策优惠的证明资料</w:t>
      </w:r>
      <w:bookmarkEnd w:id="414"/>
    </w:p>
    <w:bookmarkEnd w:id="415"/>
    <w:bookmarkEnd w:id="416"/>
    <w:p w14:paraId="4F2A4292">
      <w:pPr>
        <w:autoSpaceDE w:val="0"/>
        <w:autoSpaceDN w:val="0"/>
        <w:spacing w:line="360" w:lineRule="auto"/>
        <w:jc w:val="center"/>
        <w:rPr>
          <w:rFonts w:hint="eastAsia" w:ascii="仿宋" w:hAnsi="仿宋" w:eastAsia="仿宋" w:cs="仿宋"/>
          <w:b/>
          <w:bCs/>
          <w:color w:val="000000"/>
          <w:sz w:val="32"/>
          <w:szCs w:val="32"/>
          <w:highlight w:val="none"/>
          <w:lang w:val="en-US" w:eastAsia="zh-CN"/>
        </w:rPr>
      </w:pPr>
    </w:p>
    <w:p w14:paraId="7857D94E">
      <w:pPr>
        <w:autoSpaceDE w:val="0"/>
        <w:autoSpaceDN w:val="0"/>
        <w:spacing w:line="360" w:lineRule="auto"/>
        <w:jc w:val="center"/>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14.1</w:t>
      </w:r>
      <w:r>
        <w:rPr>
          <w:rFonts w:hint="eastAsia" w:ascii="仿宋" w:hAnsi="仿宋" w:eastAsia="仿宋" w:cs="仿宋"/>
          <w:b/>
          <w:bCs/>
          <w:color w:val="000000"/>
          <w:kern w:val="0"/>
          <w:sz w:val="28"/>
          <w:szCs w:val="28"/>
          <w:highlight w:val="none"/>
          <w:lang w:val="zh-CN" w:eastAsia="zh-CN" w:bidi="ar-SA"/>
        </w:rPr>
        <w:t>中小企业声明函（服务）</w:t>
      </w:r>
    </w:p>
    <w:p w14:paraId="4E289227">
      <w:pPr>
        <w:autoSpaceDE w:val="0"/>
        <w:autoSpaceDN w:val="0"/>
        <w:spacing w:line="360" w:lineRule="auto"/>
        <w:rPr>
          <w:rFonts w:hint="eastAsia" w:ascii="仿宋" w:hAnsi="仿宋" w:eastAsia="仿宋" w:cs="仿宋"/>
          <w:color w:val="000000"/>
          <w:kern w:val="0"/>
          <w:sz w:val="28"/>
          <w:szCs w:val="28"/>
          <w:highlight w:val="none"/>
          <w:lang w:val="zh-CN"/>
        </w:rPr>
      </w:pPr>
    </w:p>
    <w:p w14:paraId="393BED9B">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致：青海科越全过程工程管理有限责任公司</w:t>
      </w:r>
    </w:p>
    <w:p w14:paraId="41C4DA37">
      <w:pPr>
        <w:adjustRightInd w:val="0"/>
        <w:snapToGrid w:val="0"/>
        <w:spacing w:line="44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本公司（联合体）郑重声明，根据《政府采购促进中小企业发展管理办法》（财库﹝2020﹞46 号）的规定，本公司（联合体）参加</w:t>
      </w:r>
      <w:r>
        <w:rPr>
          <w:rFonts w:hint="eastAsia" w:ascii="仿宋" w:hAnsi="仿宋" w:eastAsia="仿宋" w:cs="仿宋"/>
          <w:color w:val="000000"/>
          <w:highlight w:val="none"/>
          <w:u w:val="single"/>
          <w:lang w:val="en-US" w:eastAsia="zh-CN"/>
        </w:rPr>
        <w:t>（单位名称）</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u w:val="single"/>
          <w:lang w:val="en-US" w:eastAsia="zh-CN"/>
        </w:rPr>
        <w:t>（项目名称）</w:t>
      </w:r>
      <w:r>
        <w:rPr>
          <w:rFonts w:hint="eastAsia" w:ascii="仿宋" w:hAnsi="仿宋" w:eastAsia="仿宋" w:cs="仿宋"/>
          <w:color w:val="000000"/>
          <w:highlight w:val="none"/>
          <w:lang w:val="en-US" w:eastAsia="zh-CN"/>
        </w:rPr>
        <w:t>采购活动，服务全部由符合政策要求的中小企业承接。相关企业（含联合体中的中小企业、签订分包意向协议的中小企业）的具体情况如下：</w:t>
      </w:r>
    </w:p>
    <w:p w14:paraId="03BA1426">
      <w:pPr>
        <w:adjustRightInd w:val="0"/>
        <w:snapToGrid w:val="0"/>
        <w:spacing w:line="44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u w:val="single"/>
          <w:lang w:val="en-US" w:eastAsia="zh-CN"/>
        </w:rPr>
        <w:t xml:space="preserve"> （标的名称）</w:t>
      </w:r>
      <w:r>
        <w:rPr>
          <w:rFonts w:hint="eastAsia" w:ascii="仿宋" w:hAnsi="仿宋" w:eastAsia="仿宋" w:cs="仿宋"/>
          <w:color w:val="000000"/>
          <w:sz w:val="24"/>
          <w:highlight w:val="none"/>
          <w:lang w:val="en-US" w:eastAsia="zh-CN"/>
        </w:rPr>
        <w:t xml:space="preserve"> ，属于</w:t>
      </w:r>
      <w:r>
        <w:rPr>
          <w:rFonts w:hint="eastAsia" w:ascii="仿宋" w:hAnsi="仿宋" w:eastAsia="仿宋" w:cs="仿宋"/>
          <w:color w:val="000000"/>
          <w:sz w:val="24"/>
          <w:highlight w:val="none"/>
          <w:u w:val="single"/>
          <w:lang w:val="en-US" w:eastAsia="zh-CN"/>
        </w:rPr>
        <w:t>（其他未列明行业）</w:t>
      </w:r>
      <w:r>
        <w:rPr>
          <w:rFonts w:hint="eastAsia" w:ascii="仿宋" w:hAnsi="仿宋" w:eastAsia="仿宋" w:cs="仿宋"/>
          <w:color w:val="000000"/>
          <w:sz w:val="24"/>
          <w:highlight w:val="none"/>
          <w:lang w:val="en-US" w:eastAsia="zh-CN"/>
        </w:rPr>
        <w:t>；承建（承接）企业为</w:t>
      </w:r>
      <w:r>
        <w:rPr>
          <w:rFonts w:hint="eastAsia" w:ascii="仿宋" w:hAnsi="仿宋" w:eastAsia="仿宋" w:cs="仿宋"/>
          <w:color w:val="000000"/>
          <w:sz w:val="24"/>
          <w:highlight w:val="none"/>
          <w:u w:val="single"/>
          <w:lang w:val="en-US" w:eastAsia="zh-CN"/>
        </w:rPr>
        <w:t>（企业名称）</w:t>
      </w:r>
      <w:r>
        <w:rPr>
          <w:rFonts w:hint="eastAsia" w:ascii="仿宋" w:hAnsi="仿宋" w:eastAsia="仿宋" w:cs="仿宋"/>
          <w:color w:val="000000"/>
          <w:sz w:val="24"/>
          <w:highlight w:val="none"/>
          <w:lang w:val="en-US" w:eastAsia="zh-CN"/>
        </w:rPr>
        <w:t>，从业人员</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lang w:val="en-US" w:eastAsia="zh-CN"/>
        </w:rPr>
        <w:t>人，营业收入为</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lang w:val="en-US" w:eastAsia="zh-CN"/>
        </w:rPr>
        <w:t>万元，资产总额为</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lang w:val="en-US" w:eastAsia="zh-CN"/>
        </w:rPr>
        <w:t>万元，属于</w:t>
      </w:r>
      <w:r>
        <w:rPr>
          <w:rFonts w:hint="eastAsia" w:ascii="仿宋" w:hAnsi="仿宋" w:eastAsia="仿宋" w:cs="仿宋"/>
          <w:color w:val="000000"/>
          <w:sz w:val="24"/>
          <w:highlight w:val="none"/>
          <w:u w:val="single"/>
          <w:lang w:val="en-US" w:eastAsia="zh-CN"/>
        </w:rPr>
        <w:t>（中型企业、小型企业、微型企业）</w:t>
      </w:r>
      <w:r>
        <w:rPr>
          <w:rFonts w:hint="eastAsia" w:ascii="仿宋" w:hAnsi="仿宋" w:eastAsia="仿宋" w:cs="仿宋"/>
          <w:color w:val="000000"/>
          <w:sz w:val="24"/>
          <w:highlight w:val="none"/>
          <w:lang w:val="en-US" w:eastAsia="zh-CN"/>
        </w:rPr>
        <w:t xml:space="preserve">； </w:t>
      </w:r>
    </w:p>
    <w:p w14:paraId="55655058">
      <w:pPr>
        <w:adjustRightInd w:val="0"/>
        <w:snapToGrid w:val="0"/>
        <w:spacing w:line="44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u w:val="single"/>
          <w:lang w:val="en-US" w:eastAsia="zh-CN"/>
        </w:rPr>
        <w:t xml:space="preserve">（标的名称） </w:t>
      </w:r>
      <w:r>
        <w:rPr>
          <w:rFonts w:hint="eastAsia" w:ascii="仿宋" w:hAnsi="仿宋" w:eastAsia="仿宋" w:cs="仿宋"/>
          <w:color w:val="000000"/>
          <w:sz w:val="24"/>
          <w:highlight w:val="none"/>
          <w:lang w:val="en-US" w:eastAsia="zh-CN"/>
        </w:rPr>
        <w:t>，属于</w:t>
      </w:r>
      <w:r>
        <w:rPr>
          <w:rFonts w:hint="eastAsia" w:ascii="仿宋" w:hAnsi="仿宋" w:eastAsia="仿宋" w:cs="仿宋"/>
          <w:color w:val="000000"/>
          <w:sz w:val="24"/>
          <w:highlight w:val="none"/>
          <w:u w:val="single"/>
          <w:lang w:val="en-US" w:eastAsia="zh-CN"/>
        </w:rPr>
        <w:t>（其他未列明行业）</w:t>
      </w:r>
      <w:r>
        <w:rPr>
          <w:rFonts w:hint="eastAsia" w:ascii="仿宋" w:hAnsi="仿宋" w:eastAsia="仿宋" w:cs="仿宋"/>
          <w:color w:val="000000"/>
          <w:sz w:val="24"/>
          <w:highlight w:val="none"/>
          <w:lang w:val="en-US" w:eastAsia="zh-CN"/>
        </w:rPr>
        <w:t>； 承建（承接）企业为（企业名称），从业人员</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lang w:val="en-US" w:eastAsia="zh-CN"/>
        </w:rPr>
        <w:t>人，营业收入为</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lang w:val="en-US" w:eastAsia="zh-CN"/>
        </w:rPr>
        <w:t>万元，资产总额为</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lang w:val="en-US" w:eastAsia="zh-CN"/>
        </w:rPr>
        <w:t>万元，属于</w:t>
      </w:r>
      <w:r>
        <w:rPr>
          <w:rFonts w:hint="eastAsia" w:ascii="仿宋" w:hAnsi="仿宋" w:eastAsia="仿宋" w:cs="仿宋"/>
          <w:color w:val="000000"/>
          <w:sz w:val="24"/>
          <w:highlight w:val="none"/>
          <w:u w:val="single"/>
          <w:lang w:val="en-US" w:eastAsia="zh-CN"/>
        </w:rPr>
        <w:t>（中型企业、 小型企业、微型企业）；</w:t>
      </w:r>
      <w:r>
        <w:rPr>
          <w:rFonts w:hint="eastAsia" w:ascii="仿宋" w:hAnsi="仿宋" w:eastAsia="仿宋" w:cs="仿宋"/>
          <w:color w:val="000000"/>
          <w:sz w:val="24"/>
          <w:highlight w:val="none"/>
          <w:lang w:val="en-US" w:eastAsia="zh-CN"/>
        </w:rPr>
        <w:t xml:space="preserve"> </w:t>
      </w:r>
    </w:p>
    <w:p w14:paraId="53ABF80C">
      <w:pPr>
        <w:adjustRightInd w:val="0"/>
        <w:snapToGrid w:val="0"/>
        <w:spacing w:line="44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w:t>
      </w:r>
    </w:p>
    <w:p w14:paraId="7F82E771">
      <w:pPr>
        <w:adjustRightInd w:val="0"/>
        <w:snapToGrid w:val="0"/>
        <w:spacing w:line="44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以上企业，不属于大企业的分支机构，不存在控股股东为大企业的情形，也不存在与大企业的负责人为同一人的情形。</w:t>
      </w:r>
    </w:p>
    <w:p w14:paraId="1B7D3A26">
      <w:pPr>
        <w:adjustRightInd w:val="0"/>
        <w:snapToGrid w:val="0"/>
        <w:spacing w:line="44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本企业对上述声明内容的真实性负责。如有虚假，将依法承担相应责任。 </w:t>
      </w:r>
    </w:p>
    <w:p w14:paraId="09C30280">
      <w:pPr>
        <w:adjustRightInd w:val="0"/>
        <w:snapToGrid w:val="0"/>
        <w:spacing w:line="440" w:lineRule="exact"/>
        <w:ind w:left="-5" w:leftChars="-2" w:firstLine="480" w:firstLineChars="200"/>
        <w:rPr>
          <w:rFonts w:hint="eastAsia" w:ascii="仿宋" w:hAnsi="仿宋" w:eastAsia="仿宋" w:cs="仿宋"/>
          <w:color w:val="000000"/>
          <w:highlight w:val="none"/>
          <w:lang w:val="en-US" w:eastAsia="zh-CN"/>
        </w:rPr>
      </w:pPr>
    </w:p>
    <w:p w14:paraId="2A5DDE7D">
      <w:pPr>
        <w:adjustRightInd w:val="0"/>
        <w:snapToGrid w:val="0"/>
        <w:spacing w:line="440" w:lineRule="exact"/>
        <w:ind w:left="-5" w:leftChars="-2" w:firstLine="4080" w:firstLineChars="17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企业名称（盖章）： </w:t>
      </w:r>
    </w:p>
    <w:p w14:paraId="02A17CA1">
      <w:pPr>
        <w:adjustRightInd w:val="0"/>
        <w:snapToGrid w:val="0"/>
        <w:spacing w:line="440" w:lineRule="exact"/>
        <w:ind w:firstLine="4080" w:firstLineChars="1700"/>
        <w:rPr>
          <w:rFonts w:hint="eastAsia" w:ascii="仿宋" w:hAnsi="仿宋" w:eastAsia="仿宋" w:cs="仿宋"/>
          <w:color w:val="000000"/>
          <w:highlight w:val="none"/>
          <w:lang w:val="zh-CN" w:eastAsia="zh-CN"/>
        </w:rPr>
      </w:pPr>
      <w:r>
        <w:rPr>
          <w:rFonts w:hint="eastAsia" w:ascii="仿宋" w:hAnsi="仿宋" w:eastAsia="仿宋" w:cs="仿宋"/>
          <w:color w:val="000000"/>
          <w:highlight w:val="none"/>
          <w:lang w:val="en-US" w:eastAsia="zh-CN"/>
        </w:rPr>
        <w:t>日 期：</w:t>
      </w:r>
    </w:p>
    <w:p w14:paraId="559851A6">
      <w:pPr>
        <w:pStyle w:val="27"/>
        <w:spacing w:before="0" w:after="0" w:line="360" w:lineRule="auto"/>
        <w:jc w:val="left"/>
        <w:outlineLvl w:val="1"/>
        <w:rPr>
          <w:rFonts w:hint="eastAsia" w:ascii="仿宋" w:hAnsi="仿宋" w:eastAsia="仿宋" w:cs="仿宋"/>
          <w:b w:val="0"/>
          <w:color w:val="000000"/>
          <w:sz w:val="28"/>
          <w:szCs w:val="28"/>
          <w:highlight w:val="none"/>
        </w:rPr>
      </w:pPr>
    </w:p>
    <w:p w14:paraId="08891E8C">
      <w:pPr>
        <w:jc w:val="center"/>
        <w:rPr>
          <w:rFonts w:hint="eastAsia" w:ascii="仿宋" w:hAnsi="仿宋" w:eastAsia="仿宋" w:cs="仿宋"/>
          <w:b/>
          <w:color w:val="000000"/>
          <w:sz w:val="36"/>
          <w:szCs w:val="36"/>
          <w:highlight w:val="none"/>
        </w:rPr>
      </w:pPr>
      <w:bookmarkStart w:id="418" w:name="OLE_LINK13"/>
      <w:bookmarkStart w:id="419" w:name="OLE_LINK14"/>
    </w:p>
    <w:p w14:paraId="253937CF">
      <w:pPr>
        <w:jc w:val="center"/>
        <w:rPr>
          <w:rFonts w:hint="eastAsia" w:ascii="仿宋" w:hAnsi="仿宋" w:eastAsia="仿宋" w:cs="仿宋"/>
          <w:b/>
          <w:color w:val="000000"/>
          <w:sz w:val="36"/>
          <w:szCs w:val="36"/>
          <w:highlight w:val="none"/>
        </w:rPr>
      </w:pPr>
    </w:p>
    <w:p w14:paraId="423AF551">
      <w:pPr>
        <w:jc w:val="center"/>
        <w:rPr>
          <w:rFonts w:hint="eastAsia" w:ascii="仿宋" w:hAnsi="仿宋" w:eastAsia="仿宋" w:cs="仿宋"/>
          <w:b/>
          <w:color w:val="000000"/>
          <w:sz w:val="36"/>
          <w:szCs w:val="36"/>
          <w:highlight w:val="none"/>
        </w:rPr>
      </w:pPr>
    </w:p>
    <w:p w14:paraId="65566076">
      <w:pPr>
        <w:jc w:val="center"/>
        <w:rPr>
          <w:rFonts w:hint="eastAsia" w:ascii="仿宋" w:hAnsi="仿宋" w:eastAsia="仿宋" w:cs="仿宋"/>
          <w:b/>
          <w:color w:val="000000"/>
          <w:sz w:val="36"/>
          <w:szCs w:val="36"/>
          <w:highlight w:val="none"/>
        </w:rPr>
      </w:pPr>
    </w:p>
    <w:p w14:paraId="448B5EAC">
      <w:pPr>
        <w:jc w:val="center"/>
        <w:rPr>
          <w:rFonts w:hint="eastAsia" w:ascii="仿宋" w:hAnsi="仿宋" w:eastAsia="仿宋" w:cs="仿宋"/>
          <w:b/>
          <w:color w:val="000000"/>
          <w:sz w:val="36"/>
          <w:szCs w:val="36"/>
          <w:highlight w:val="none"/>
        </w:rPr>
      </w:pPr>
    </w:p>
    <w:p w14:paraId="7307EFAC">
      <w:pPr>
        <w:pStyle w:val="29"/>
        <w:rPr>
          <w:rFonts w:hint="eastAsia" w:ascii="仿宋" w:hAnsi="仿宋" w:eastAsia="仿宋" w:cs="仿宋"/>
          <w:color w:val="000000"/>
          <w:highlight w:val="none"/>
          <w:lang w:val="en-US" w:eastAsia="zh-CN"/>
        </w:rPr>
      </w:pPr>
    </w:p>
    <w:p w14:paraId="518B1E22">
      <w:pPr>
        <w:autoSpaceDE w:val="0"/>
        <w:autoSpaceDN w:val="0"/>
        <w:spacing w:line="360" w:lineRule="auto"/>
        <w:jc w:val="center"/>
        <w:rPr>
          <w:rFonts w:hint="eastAsia" w:ascii="仿宋" w:hAnsi="仿宋" w:eastAsia="仿宋" w:cs="仿宋"/>
          <w:b/>
          <w:bCs/>
          <w:color w:val="000000"/>
          <w:kern w:val="0"/>
          <w:sz w:val="28"/>
          <w:szCs w:val="28"/>
          <w:highlight w:val="none"/>
          <w:lang w:val="en-US" w:eastAsia="zh-CN" w:bidi="ar-SA"/>
        </w:rPr>
      </w:pPr>
    </w:p>
    <w:p w14:paraId="248D81FA">
      <w:pPr>
        <w:autoSpaceDE w:val="0"/>
        <w:autoSpaceDN w:val="0"/>
        <w:spacing w:line="360" w:lineRule="auto"/>
        <w:jc w:val="center"/>
        <w:rPr>
          <w:rFonts w:hint="eastAsia" w:ascii="仿宋" w:hAnsi="仿宋" w:eastAsia="仿宋" w:cs="仿宋"/>
          <w:b/>
          <w:bCs/>
          <w:color w:val="000000"/>
          <w:kern w:val="0"/>
          <w:sz w:val="28"/>
          <w:szCs w:val="28"/>
          <w:highlight w:val="none"/>
          <w:lang w:val="zh-CN" w:eastAsia="zh-CN" w:bidi="ar-SA"/>
        </w:rPr>
      </w:pPr>
      <w:r>
        <w:rPr>
          <w:rFonts w:hint="eastAsia" w:ascii="仿宋" w:hAnsi="仿宋" w:eastAsia="仿宋" w:cs="仿宋"/>
          <w:b/>
          <w:bCs/>
          <w:color w:val="000000"/>
          <w:kern w:val="0"/>
          <w:sz w:val="28"/>
          <w:szCs w:val="28"/>
          <w:highlight w:val="none"/>
          <w:lang w:val="en-US" w:eastAsia="zh-CN" w:bidi="ar-SA"/>
        </w:rPr>
        <w:t>14.2</w:t>
      </w:r>
      <w:r>
        <w:rPr>
          <w:rFonts w:hint="eastAsia" w:ascii="仿宋" w:hAnsi="仿宋" w:eastAsia="仿宋" w:cs="仿宋"/>
          <w:b/>
          <w:bCs/>
          <w:color w:val="000000"/>
          <w:kern w:val="0"/>
          <w:sz w:val="28"/>
          <w:szCs w:val="28"/>
          <w:highlight w:val="none"/>
          <w:lang w:val="zh-CN" w:eastAsia="zh-CN" w:bidi="ar-SA"/>
        </w:rPr>
        <w:t>残疾人福利性单位声明函</w:t>
      </w:r>
    </w:p>
    <w:bookmarkEnd w:id="418"/>
    <w:bookmarkEnd w:id="419"/>
    <w:p w14:paraId="110500F2">
      <w:pPr>
        <w:spacing w:after="120" w:afterLines="50"/>
        <w:rPr>
          <w:rFonts w:hint="eastAsia" w:ascii="仿宋" w:hAnsi="仿宋" w:eastAsia="仿宋" w:cs="仿宋"/>
          <w:bCs/>
          <w:color w:val="000000"/>
          <w:highlight w:val="none"/>
        </w:rPr>
      </w:pPr>
    </w:p>
    <w:p w14:paraId="17466389">
      <w:pPr>
        <w:spacing w:line="360" w:lineRule="auto"/>
        <w:jc w:val="center"/>
        <w:rPr>
          <w:rFonts w:hint="eastAsia" w:ascii="仿宋" w:hAnsi="仿宋" w:eastAsia="仿宋" w:cs="仿宋"/>
          <w:color w:val="000000"/>
          <w:highlight w:val="none"/>
        </w:rPr>
      </w:pPr>
      <w:r>
        <w:rPr>
          <w:rFonts w:hint="eastAsia" w:ascii="仿宋" w:hAnsi="仿宋" w:eastAsia="仿宋" w:cs="仿宋"/>
          <w:b/>
          <w:bCs/>
          <w:color w:val="000000"/>
          <w:highlight w:val="none"/>
        </w:rPr>
        <w:t>(不属于残疾人福利性单位的无需填写)</w:t>
      </w:r>
    </w:p>
    <w:p w14:paraId="789D3277">
      <w:pPr>
        <w:spacing w:line="360" w:lineRule="auto"/>
        <w:rPr>
          <w:rFonts w:hint="eastAsia" w:ascii="仿宋" w:hAnsi="仿宋" w:eastAsia="仿宋" w:cs="仿宋"/>
          <w:color w:val="000000"/>
          <w:highlight w:val="none"/>
        </w:rPr>
      </w:pPr>
      <w:r>
        <w:rPr>
          <w:rFonts w:hint="eastAsia" w:ascii="仿宋" w:hAnsi="仿宋" w:eastAsia="仿宋" w:cs="仿宋"/>
          <w:color w:val="000000"/>
          <w:kern w:val="0"/>
          <w:highlight w:val="none"/>
          <w:lang w:val="zh-CN"/>
        </w:rPr>
        <w:t>致：青海科越全过程工程管理有限责任公司</w:t>
      </w:r>
    </w:p>
    <w:p w14:paraId="5D1F8FDD">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人，安置的残疾人人数人。且本单位参加</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单位的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项目采购活动提供本单位制造的货物（由本单位承担工程/提供服务），或者提供其他残疾人福利性单位制造的货物（不包括使用非残疾人福利性单位注册商标的货物）。</w:t>
      </w:r>
    </w:p>
    <w:p w14:paraId="42A5756A">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本单位对上述声明的真实性负责。如有虚假，将依法承担相应责任。</w:t>
      </w:r>
    </w:p>
    <w:p w14:paraId="1A40DD90">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14:paraId="1145B42B">
      <w:pPr>
        <w:spacing w:line="360" w:lineRule="auto"/>
        <w:ind w:firstLine="2160" w:firstLineChars="900"/>
        <w:rPr>
          <w:rFonts w:hint="eastAsia" w:ascii="仿宋" w:hAnsi="仿宋" w:eastAsia="仿宋" w:cs="仿宋"/>
          <w:color w:val="000000"/>
          <w:highlight w:val="none"/>
        </w:rPr>
      </w:pPr>
      <w:r>
        <w:rPr>
          <w:rFonts w:hint="eastAsia" w:ascii="仿宋" w:hAnsi="仿宋" w:eastAsia="仿宋" w:cs="仿宋"/>
          <w:color w:val="000000"/>
          <w:highlight w:val="none"/>
        </w:rPr>
        <w:t xml:space="preserve">  单位名称：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（公章）</w:t>
      </w:r>
    </w:p>
    <w:p w14:paraId="5524CA3F">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 xml:space="preserve">        法定代表人或委托代理人：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（签字或盖章）</w:t>
      </w:r>
    </w:p>
    <w:p w14:paraId="531EB5E1">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 xml:space="preserve">                                    年   月  日</w:t>
      </w:r>
    </w:p>
    <w:p w14:paraId="23FC14C6">
      <w:pPr>
        <w:spacing w:line="360" w:lineRule="auto"/>
        <w:ind w:firstLine="480"/>
        <w:rPr>
          <w:rFonts w:hint="eastAsia" w:ascii="仿宋" w:hAnsi="仿宋" w:eastAsia="仿宋" w:cs="仿宋"/>
          <w:color w:val="000000"/>
          <w:highlight w:val="none"/>
        </w:rPr>
      </w:pPr>
    </w:p>
    <w:p w14:paraId="5ED55525">
      <w:pPr>
        <w:spacing w:line="360" w:lineRule="auto"/>
        <w:ind w:firstLine="480"/>
        <w:rPr>
          <w:rFonts w:hint="eastAsia" w:ascii="仿宋" w:hAnsi="仿宋" w:eastAsia="仿宋" w:cs="仿宋"/>
          <w:color w:val="000000"/>
          <w:highlight w:val="none"/>
        </w:rPr>
      </w:pPr>
    </w:p>
    <w:p w14:paraId="7C516D9D">
      <w:pPr>
        <w:spacing w:line="360" w:lineRule="auto"/>
        <w:ind w:firstLine="480"/>
        <w:rPr>
          <w:rFonts w:hint="eastAsia" w:ascii="仿宋" w:hAnsi="仿宋" w:eastAsia="仿宋" w:cs="仿宋"/>
          <w:color w:val="000000"/>
          <w:highlight w:val="none"/>
        </w:rPr>
      </w:pPr>
    </w:p>
    <w:p w14:paraId="4EEF2CA0">
      <w:pPr>
        <w:spacing w:line="360" w:lineRule="auto"/>
        <w:ind w:firstLine="480"/>
        <w:rPr>
          <w:rFonts w:hint="eastAsia" w:ascii="仿宋" w:hAnsi="仿宋" w:eastAsia="仿宋" w:cs="仿宋"/>
          <w:color w:val="000000"/>
          <w:highlight w:val="none"/>
        </w:rPr>
      </w:pPr>
    </w:p>
    <w:p w14:paraId="338E2B6B">
      <w:pPr>
        <w:spacing w:line="360" w:lineRule="auto"/>
        <w:ind w:firstLine="480"/>
        <w:rPr>
          <w:rFonts w:hint="eastAsia" w:ascii="仿宋" w:hAnsi="仿宋" w:eastAsia="仿宋" w:cs="仿宋"/>
          <w:color w:val="000000"/>
          <w:highlight w:val="none"/>
        </w:rPr>
      </w:pPr>
    </w:p>
    <w:p w14:paraId="4F6163A5">
      <w:pPr>
        <w:spacing w:line="360" w:lineRule="auto"/>
        <w:ind w:firstLine="480"/>
        <w:rPr>
          <w:rFonts w:hint="eastAsia" w:ascii="仿宋" w:hAnsi="仿宋" w:eastAsia="仿宋" w:cs="仿宋"/>
          <w:color w:val="000000"/>
          <w:highlight w:val="none"/>
        </w:rPr>
      </w:pPr>
    </w:p>
    <w:p w14:paraId="61F4123D">
      <w:pPr>
        <w:pStyle w:val="9"/>
        <w:rPr>
          <w:rFonts w:hint="eastAsia" w:ascii="仿宋" w:hAnsi="仿宋" w:eastAsia="仿宋" w:cs="仿宋"/>
          <w:color w:val="000000"/>
          <w:highlight w:val="none"/>
        </w:rPr>
      </w:pPr>
    </w:p>
    <w:p w14:paraId="4EF21B48">
      <w:pPr>
        <w:pStyle w:val="9"/>
        <w:rPr>
          <w:rFonts w:hint="eastAsia" w:ascii="仿宋" w:hAnsi="仿宋" w:eastAsia="仿宋" w:cs="仿宋"/>
          <w:color w:val="000000"/>
          <w:highlight w:val="none"/>
        </w:rPr>
      </w:pPr>
    </w:p>
    <w:p w14:paraId="200491AD">
      <w:pPr>
        <w:pStyle w:val="9"/>
        <w:rPr>
          <w:rFonts w:hint="eastAsia" w:ascii="仿宋" w:hAnsi="仿宋" w:eastAsia="仿宋" w:cs="仿宋"/>
          <w:color w:val="000000"/>
          <w:highlight w:val="none"/>
        </w:rPr>
      </w:pPr>
    </w:p>
    <w:p w14:paraId="6345AD5A">
      <w:pPr>
        <w:pStyle w:val="9"/>
        <w:rPr>
          <w:rFonts w:hint="eastAsia" w:ascii="仿宋" w:hAnsi="仿宋" w:eastAsia="仿宋" w:cs="仿宋"/>
          <w:color w:val="000000"/>
          <w:highlight w:val="none"/>
        </w:rPr>
      </w:pPr>
    </w:p>
    <w:p w14:paraId="768F9713">
      <w:pPr>
        <w:pStyle w:val="10"/>
        <w:rPr>
          <w:rFonts w:hint="eastAsia" w:ascii="仿宋" w:hAnsi="仿宋" w:eastAsia="仿宋" w:cs="仿宋"/>
          <w:color w:val="000000"/>
          <w:highlight w:val="none"/>
        </w:rPr>
      </w:pPr>
    </w:p>
    <w:p w14:paraId="5DA993A6">
      <w:pPr>
        <w:rPr>
          <w:rFonts w:hint="eastAsia" w:ascii="仿宋" w:hAnsi="仿宋" w:eastAsia="仿宋" w:cs="仿宋"/>
          <w:color w:val="000000"/>
          <w:highlight w:val="none"/>
        </w:rPr>
      </w:pPr>
    </w:p>
    <w:p w14:paraId="1EB722D6">
      <w:pPr>
        <w:pStyle w:val="29"/>
        <w:rPr>
          <w:rFonts w:hint="eastAsia" w:ascii="仿宋" w:hAnsi="仿宋" w:eastAsia="仿宋" w:cs="仿宋"/>
          <w:color w:val="000000"/>
          <w:highlight w:val="none"/>
        </w:rPr>
      </w:pPr>
    </w:p>
    <w:p w14:paraId="60DB6AA7">
      <w:pPr>
        <w:spacing w:line="360" w:lineRule="auto"/>
        <w:ind w:firstLine="480"/>
        <w:rPr>
          <w:rFonts w:hint="eastAsia" w:ascii="仿宋" w:hAnsi="仿宋" w:eastAsia="仿宋" w:cs="仿宋"/>
          <w:color w:val="000000"/>
          <w:highlight w:val="none"/>
        </w:rPr>
      </w:pPr>
    </w:p>
    <w:p w14:paraId="439107A1">
      <w:pPr>
        <w:autoSpaceDE w:val="0"/>
        <w:autoSpaceDN w:val="0"/>
        <w:spacing w:line="360" w:lineRule="auto"/>
        <w:jc w:val="center"/>
        <w:rPr>
          <w:rFonts w:hint="eastAsia" w:ascii="仿宋" w:hAnsi="仿宋" w:eastAsia="仿宋" w:cs="仿宋"/>
          <w:b/>
          <w:bCs/>
          <w:color w:val="000000"/>
          <w:kern w:val="0"/>
          <w:sz w:val="28"/>
          <w:szCs w:val="28"/>
          <w:highlight w:val="none"/>
          <w:lang w:val="en-US" w:eastAsia="zh-CN" w:bidi="ar-SA"/>
        </w:rPr>
      </w:pPr>
      <w:bookmarkStart w:id="420" w:name="_Toc30801"/>
      <w:bookmarkStart w:id="421" w:name="_Toc9477"/>
    </w:p>
    <w:p w14:paraId="5135F500">
      <w:pPr>
        <w:autoSpaceDE w:val="0"/>
        <w:autoSpaceDN w:val="0"/>
        <w:spacing w:line="360" w:lineRule="auto"/>
        <w:jc w:val="center"/>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14.3监狱企业证明资料</w:t>
      </w:r>
      <w:bookmarkEnd w:id="420"/>
      <w:bookmarkEnd w:id="421"/>
    </w:p>
    <w:p w14:paraId="0A59D843">
      <w:pPr>
        <w:pStyle w:val="9"/>
        <w:numPr>
          <w:ilvl w:val="0"/>
          <w:numId w:val="0"/>
        </w:numPr>
        <w:ind w:left="480" w:leftChars="0"/>
        <w:rPr>
          <w:rFonts w:hint="eastAsia" w:ascii="仿宋" w:hAnsi="仿宋" w:eastAsia="仿宋" w:cs="仿宋"/>
          <w:color w:val="000000"/>
          <w:highlight w:val="none"/>
          <w:lang w:val="en-US" w:eastAsia="zh-CN"/>
        </w:rPr>
      </w:pPr>
    </w:p>
    <w:p w14:paraId="0E11388A">
      <w:pPr>
        <w:spacing w:line="360" w:lineRule="auto"/>
        <w:jc w:val="center"/>
        <w:rPr>
          <w:rFonts w:hint="eastAsia" w:ascii="仿宋" w:hAnsi="仿宋" w:eastAsia="仿宋" w:cs="仿宋"/>
          <w:color w:val="000000"/>
          <w:highlight w:val="none"/>
        </w:rPr>
      </w:pPr>
      <w:bookmarkStart w:id="422" w:name="_Toc28022_WPSOffice_Level3"/>
      <w:bookmarkStart w:id="423" w:name="_Toc25903_WPSOffice_Level3"/>
      <w:r>
        <w:rPr>
          <w:rFonts w:hint="eastAsia" w:ascii="仿宋" w:hAnsi="仿宋" w:eastAsia="仿宋" w:cs="仿宋"/>
          <w:b/>
          <w:bCs/>
          <w:color w:val="000000"/>
          <w:highlight w:val="none"/>
        </w:rPr>
        <w:t>(不属于监狱企业的无需提供)</w:t>
      </w:r>
      <w:bookmarkEnd w:id="422"/>
      <w:bookmarkEnd w:id="423"/>
    </w:p>
    <w:p w14:paraId="35E9B256">
      <w:pPr>
        <w:spacing w:line="360" w:lineRule="auto"/>
        <w:ind w:firstLine="480"/>
        <w:rPr>
          <w:rFonts w:hint="eastAsia" w:ascii="仿宋" w:hAnsi="仿宋" w:eastAsia="仿宋" w:cs="仿宋"/>
          <w:color w:val="000000"/>
          <w:highlight w:val="none"/>
        </w:rPr>
      </w:pPr>
      <w:r>
        <w:rPr>
          <w:rFonts w:hint="eastAsia" w:ascii="仿宋" w:hAnsi="仿宋" w:eastAsia="仿宋" w:cs="仿宋"/>
          <w:color w:val="000000"/>
          <w:highlight w:val="none"/>
        </w:rPr>
        <w:t>备注：按《财政部 司法部关于政府采购支持监狱企业发展有关问题的通知》(财库〔2014〕68号)文件规定提供证明文件（复印件）。</w:t>
      </w:r>
    </w:p>
    <w:p w14:paraId="46328109">
      <w:pPr>
        <w:spacing w:line="360" w:lineRule="auto"/>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                 </w:t>
      </w:r>
      <w:bookmarkStart w:id="424" w:name="_Toc22071_WPSOffice_Level3"/>
    </w:p>
    <w:p w14:paraId="0898DBE1">
      <w:pPr>
        <w:spacing w:line="360" w:lineRule="auto"/>
        <w:ind w:firstLine="3120" w:firstLineChars="1300"/>
        <w:rPr>
          <w:rFonts w:hint="eastAsia" w:ascii="仿宋" w:hAnsi="仿宋" w:eastAsia="仿宋" w:cs="仿宋"/>
          <w:color w:val="000000"/>
          <w:highlight w:val="none"/>
        </w:rPr>
      </w:pPr>
      <w:r>
        <w:rPr>
          <w:rFonts w:hint="eastAsia" w:ascii="仿宋" w:hAnsi="仿宋" w:eastAsia="仿宋" w:cs="仿宋"/>
          <w:color w:val="000000"/>
          <w:highlight w:val="none"/>
        </w:rPr>
        <w:t>单位</w:t>
      </w:r>
      <w:r>
        <w:rPr>
          <w:rFonts w:hint="eastAsia" w:ascii="仿宋" w:hAnsi="仿宋" w:eastAsia="仿宋" w:cs="仿宋"/>
          <w:color w:val="000000"/>
          <w:highlight w:val="none"/>
          <w:lang w:eastAsia="zh-CN"/>
        </w:rPr>
        <w:t>名称</w:t>
      </w:r>
      <w:r>
        <w:rPr>
          <w:rFonts w:hint="eastAsia" w:ascii="仿宋" w:hAnsi="仿宋" w:eastAsia="仿宋" w:cs="仿宋"/>
          <w:color w:val="000000"/>
          <w:highlight w:val="none"/>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（公章）</w:t>
      </w:r>
      <w:bookmarkEnd w:id="424"/>
    </w:p>
    <w:p w14:paraId="274BB57E">
      <w:pPr>
        <w:spacing w:line="360" w:lineRule="auto"/>
        <w:ind w:firstLine="480"/>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bookmarkStart w:id="425" w:name="_Toc11539_WPSOffice_Level3"/>
      <w:r>
        <w:rPr>
          <w:rFonts w:hint="eastAsia" w:ascii="仿宋" w:hAnsi="仿宋" w:eastAsia="仿宋" w:cs="仿宋"/>
          <w:color w:val="000000"/>
          <w:highlight w:val="none"/>
        </w:rPr>
        <w:t>法定代表人或委托代理人：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（签字或盖章）</w:t>
      </w:r>
      <w:bookmarkEnd w:id="425"/>
    </w:p>
    <w:p w14:paraId="210D849E">
      <w:pPr>
        <w:spacing w:line="360" w:lineRule="auto"/>
        <w:ind w:firstLine="480"/>
        <w:rPr>
          <w:rFonts w:hint="eastAsia" w:ascii="仿宋" w:hAnsi="仿宋" w:eastAsia="仿宋" w:cs="仿宋"/>
          <w:color w:val="000000"/>
          <w:sz w:val="30"/>
          <w:szCs w:val="30"/>
          <w:highlight w:val="none"/>
        </w:rPr>
      </w:pPr>
      <w:r>
        <w:rPr>
          <w:rFonts w:hint="eastAsia" w:ascii="仿宋" w:hAnsi="仿宋" w:eastAsia="仿宋" w:cs="仿宋"/>
          <w:color w:val="000000"/>
          <w:highlight w:val="none"/>
        </w:rPr>
        <w:t xml:space="preserve">              </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rPr>
        <w:t xml:space="preserve"> </w:t>
      </w:r>
      <w:bookmarkStart w:id="426" w:name="_Toc3285_WPSOffice_Level3"/>
      <w:r>
        <w:rPr>
          <w:rFonts w:hint="eastAsia" w:ascii="仿宋" w:hAnsi="仿宋" w:eastAsia="仿宋" w:cs="仿宋"/>
          <w:color w:val="000000"/>
          <w:highlight w:val="none"/>
        </w:rPr>
        <w:t xml:space="preserve">年   月  </w:t>
      </w:r>
      <w:r>
        <w:rPr>
          <w:rFonts w:hint="eastAsia" w:ascii="仿宋" w:hAnsi="仿宋" w:eastAsia="仿宋" w:cs="仿宋"/>
          <w:color w:val="000000"/>
          <w:highlight w:val="none"/>
          <w:lang w:eastAsia="zh-CN"/>
        </w:rPr>
        <w:t>日</w:t>
      </w:r>
      <w:bookmarkEnd w:id="426"/>
    </w:p>
    <w:p w14:paraId="03865D61">
      <w:pPr>
        <w:pStyle w:val="27"/>
        <w:spacing w:before="0" w:after="0" w:line="360" w:lineRule="auto"/>
        <w:jc w:val="left"/>
        <w:rPr>
          <w:rFonts w:hint="eastAsia" w:ascii="仿宋" w:hAnsi="仿宋" w:eastAsia="仿宋" w:cs="仿宋"/>
          <w:color w:val="000000"/>
          <w:sz w:val="30"/>
          <w:szCs w:val="30"/>
          <w:highlight w:val="none"/>
        </w:rPr>
      </w:pPr>
    </w:p>
    <w:p w14:paraId="2222534A">
      <w:pPr>
        <w:pStyle w:val="27"/>
        <w:spacing w:before="0" w:after="0" w:line="360" w:lineRule="auto"/>
        <w:jc w:val="left"/>
        <w:rPr>
          <w:rFonts w:hint="eastAsia" w:ascii="仿宋" w:hAnsi="仿宋" w:eastAsia="仿宋" w:cs="仿宋"/>
          <w:color w:val="000000"/>
          <w:sz w:val="30"/>
          <w:szCs w:val="30"/>
          <w:highlight w:val="none"/>
        </w:rPr>
      </w:pPr>
    </w:p>
    <w:p w14:paraId="533C6880">
      <w:pPr>
        <w:pStyle w:val="27"/>
        <w:spacing w:before="0" w:after="0" w:line="360" w:lineRule="auto"/>
        <w:jc w:val="left"/>
        <w:rPr>
          <w:rFonts w:hint="eastAsia" w:ascii="仿宋" w:hAnsi="仿宋" w:eastAsia="仿宋" w:cs="仿宋"/>
          <w:color w:val="000000"/>
          <w:sz w:val="30"/>
          <w:szCs w:val="30"/>
          <w:highlight w:val="none"/>
        </w:rPr>
      </w:pPr>
    </w:p>
    <w:p w14:paraId="32530375">
      <w:pPr>
        <w:rPr>
          <w:rFonts w:hint="eastAsia" w:ascii="仿宋" w:hAnsi="仿宋" w:eastAsia="仿宋" w:cs="仿宋"/>
          <w:color w:val="000000"/>
          <w:sz w:val="30"/>
          <w:szCs w:val="30"/>
          <w:highlight w:val="none"/>
        </w:rPr>
      </w:pPr>
    </w:p>
    <w:p w14:paraId="74A38ACA">
      <w:pPr>
        <w:rPr>
          <w:rFonts w:hint="eastAsia" w:ascii="仿宋" w:hAnsi="仿宋" w:eastAsia="仿宋" w:cs="仿宋"/>
          <w:color w:val="000000"/>
          <w:sz w:val="30"/>
          <w:szCs w:val="30"/>
          <w:highlight w:val="none"/>
        </w:rPr>
      </w:pPr>
    </w:p>
    <w:p w14:paraId="3CED79E2">
      <w:pPr>
        <w:rPr>
          <w:rFonts w:hint="eastAsia" w:ascii="仿宋" w:hAnsi="仿宋" w:eastAsia="仿宋" w:cs="仿宋"/>
          <w:color w:val="000000"/>
          <w:sz w:val="30"/>
          <w:szCs w:val="30"/>
          <w:highlight w:val="none"/>
        </w:rPr>
      </w:pPr>
    </w:p>
    <w:p w14:paraId="6BC15C04">
      <w:pPr>
        <w:rPr>
          <w:rFonts w:hint="eastAsia" w:ascii="仿宋" w:hAnsi="仿宋" w:eastAsia="仿宋" w:cs="仿宋"/>
          <w:color w:val="000000"/>
          <w:sz w:val="30"/>
          <w:szCs w:val="30"/>
          <w:highlight w:val="none"/>
        </w:rPr>
      </w:pPr>
    </w:p>
    <w:p w14:paraId="681EB657">
      <w:pPr>
        <w:rPr>
          <w:rFonts w:hint="eastAsia" w:ascii="仿宋" w:hAnsi="仿宋" w:eastAsia="仿宋" w:cs="仿宋"/>
          <w:color w:val="000000"/>
          <w:sz w:val="30"/>
          <w:szCs w:val="30"/>
          <w:highlight w:val="none"/>
        </w:rPr>
      </w:pPr>
    </w:p>
    <w:p w14:paraId="19508F27">
      <w:pPr>
        <w:rPr>
          <w:rFonts w:hint="eastAsia" w:ascii="仿宋" w:hAnsi="仿宋" w:eastAsia="仿宋" w:cs="仿宋"/>
          <w:color w:val="000000"/>
          <w:sz w:val="30"/>
          <w:szCs w:val="30"/>
          <w:highlight w:val="none"/>
        </w:rPr>
      </w:pPr>
    </w:p>
    <w:p w14:paraId="0963415D">
      <w:pPr>
        <w:rPr>
          <w:rFonts w:hint="eastAsia" w:ascii="仿宋" w:hAnsi="仿宋" w:eastAsia="仿宋" w:cs="仿宋"/>
          <w:color w:val="000000"/>
          <w:sz w:val="30"/>
          <w:szCs w:val="30"/>
          <w:highlight w:val="none"/>
        </w:rPr>
      </w:pPr>
    </w:p>
    <w:p w14:paraId="34D2246B">
      <w:pPr>
        <w:rPr>
          <w:rFonts w:hint="eastAsia" w:ascii="仿宋" w:hAnsi="仿宋" w:eastAsia="仿宋" w:cs="仿宋"/>
          <w:color w:val="000000"/>
          <w:sz w:val="30"/>
          <w:szCs w:val="30"/>
          <w:highlight w:val="none"/>
        </w:rPr>
      </w:pPr>
    </w:p>
    <w:p w14:paraId="330A1D15">
      <w:pPr>
        <w:rPr>
          <w:rFonts w:hint="eastAsia" w:ascii="仿宋" w:hAnsi="仿宋" w:eastAsia="仿宋" w:cs="仿宋"/>
          <w:color w:val="000000"/>
          <w:sz w:val="30"/>
          <w:szCs w:val="30"/>
          <w:highlight w:val="none"/>
        </w:rPr>
      </w:pPr>
    </w:p>
    <w:p w14:paraId="43CF3132">
      <w:pPr>
        <w:rPr>
          <w:rFonts w:hint="eastAsia" w:ascii="仿宋" w:hAnsi="仿宋" w:eastAsia="仿宋" w:cs="仿宋"/>
          <w:color w:val="000000"/>
          <w:sz w:val="30"/>
          <w:szCs w:val="30"/>
          <w:highlight w:val="none"/>
        </w:rPr>
      </w:pPr>
    </w:p>
    <w:p w14:paraId="04D42B67">
      <w:pPr>
        <w:rPr>
          <w:rFonts w:hint="eastAsia" w:ascii="仿宋" w:hAnsi="仿宋" w:eastAsia="仿宋" w:cs="仿宋"/>
          <w:color w:val="000000"/>
          <w:sz w:val="30"/>
          <w:szCs w:val="30"/>
          <w:highlight w:val="none"/>
        </w:rPr>
      </w:pPr>
    </w:p>
    <w:p w14:paraId="37EE520F">
      <w:pPr>
        <w:rPr>
          <w:rFonts w:hint="eastAsia" w:ascii="仿宋" w:hAnsi="仿宋" w:eastAsia="仿宋" w:cs="仿宋"/>
          <w:color w:val="000000"/>
          <w:sz w:val="30"/>
          <w:szCs w:val="30"/>
          <w:highlight w:val="none"/>
        </w:rPr>
      </w:pPr>
    </w:p>
    <w:p w14:paraId="251C5C81">
      <w:pPr>
        <w:rPr>
          <w:rFonts w:hint="eastAsia" w:ascii="仿宋" w:hAnsi="仿宋" w:eastAsia="仿宋" w:cs="仿宋"/>
          <w:color w:val="000000"/>
          <w:sz w:val="30"/>
          <w:szCs w:val="30"/>
          <w:highlight w:val="none"/>
        </w:rPr>
      </w:pPr>
    </w:p>
    <w:p w14:paraId="3B6F05B6">
      <w:pPr>
        <w:rPr>
          <w:rFonts w:hint="eastAsia" w:ascii="仿宋" w:hAnsi="仿宋" w:eastAsia="仿宋" w:cs="仿宋"/>
          <w:color w:val="000000"/>
          <w:sz w:val="30"/>
          <w:szCs w:val="30"/>
          <w:highlight w:val="none"/>
        </w:rPr>
      </w:pPr>
    </w:p>
    <w:p w14:paraId="4FFF60CA">
      <w:pPr>
        <w:rPr>
          <w:rFonts w:hint="eastAsia" w:ascii="仿宋" w:hAnsi="仿宋" w:eastAsia="仿宋" w:cs="仿宋"/>
          <w:color w:val="000000"/>
          <w:sz w:val="30"/>
          <w:szCs w:val="30"/>
          <w:highlight w:val="none"/>
        </w:rPr>
      </w:pPr>
    </w:p>
    <w:p w14:paraId="130E04E8">
      <w:pPr>
        <w:rPr>
          <w:rFonts w:hint="eastAsia" w:ascii="仿宋" w:hAnsi="仿宋" w:eastAsia="仿宋" w:cs="仿宋"/>
          <w:color w:val="000000"/>
          <w:sz w:val="30"/>
          <w:szCs w:val="30"/>
          <w:highlight w:val="none"/>
        </w:rPr>
      </w:pPr>
    </w:p>
    <w:p w14:paraId="0392F769">
      <w:pPr>
        <w:rPr>
          <w:rFonts w:hint="eastAsia" w:ascii="仿宋" w:hAnsi="仿宋" w:eastAsia="仿宋" w:cs="仿宋"/>
          <w:color w:val="000000"/>
          <w:sz w:val="30"/>
          <w:szCs w:val="30"/>
          <w:highlight w:val="none"/>
        </w:rPr>
      </w:pPr>
    </w:p>
    <w:p w14:paraId="7A13C1BC">
      <w:pPr>
        <w:pStyle w:val="27"/>
        <w:spacing w:before="0" w:after="0" w:line="360" w:lineRule="auto"/>
        <w:jc w:val="left"/>
        <w:rPr>
          <w:rFonts w:hint="eastAsia" w:ascii="仿宋" w:hAnsi="仿宋" w:eastAsia="仿宋" w:cs="仿宋"/>
          <w:color w:val="000000"/>
          <w:sz w:val="30"/>
          <w:szCs w:val="30"/>
          <w:highlight w:val="none"/>
        </w:rPr>
      </w:pPr>
    </w:p>
    <w:p w14:paraId="3BEA7B9F">
      <w:pPr>
        <w:jc w:val="center"/>
        <w:outlineLvl w:val="0"/>
        <w:rPr>
          <w:rFonts w:hint="eastAsia" w:ascii="仿宋" w:hAnsi="仿宋" w:eastAsia="仿宋" w:cs="仿宋"/>
          <w:b/>
          <w:bCs/>
          <w:color w:val="000000"/>
          <w:sz w:val="32"/>
          <w:szCs w:val="32"/>
          <w:highlight w:val="none"/>
          <w:lang w:val="zh-CN"/>
        </w:rPr>
      </w:pPr>
      <w:bookmarkStart w:id="427" w:name="_Toc18947"/>
      <w:bookmarkStart w:id="428" w:name="_Toc30576"/>
    </w:p>
    <w:p w14:paraId="4E48DBA6">
      <w:pPr>
        <w:jc w:val="center"/>
        <w:outlineLvl w:val="0"/>
        <w:rPr>
          <w:rFonts w:hint="eastAsia" w:ascii="仿宋" w:hAnsi="仿宋" w:eastAsia="仿宋" w:cs="仿宋"/>
          <w:b/>
          <w:bCs/>
          <w:color w:val="000000"/>
          <w:sz w:val="32"/>
          <w:szCs w:val="32"/>
          <w:highlight w:val="none"/>
          <w:lang w:val="zh-CN"/>
        </w:rPr>
      </w:pPr>
      <w:r>
        <w:rPr>
          <w:rFonts w:hint="eastAsia" w:ascii="仿宋" w:hAnsi="仿宋" w:eastAsia="仿宋" w:cs="仿宋"/>
          <w:b/>
          <w:bCs/>
          <w:color w:val="000000"/>
          <w:sz w:val="32"/>
          <w:szCs w:val="32"/>
          <w:highlight w:val="none"/>
          <w:lang w:val="zh-CN"/>
        </w:rPr>
        <w:t>1</w:t>
      </w:r>
      <w:r>
        <w:rPr>
          <w:rFonts w:hint="eastAsia" w:ascii="仿宋" w:hAnsi="仿宋" w:eastAsia="仿宋" w:cs="仿宋"/>
          <w:b/>
          <w:bCs/>
          <w:color w:val="000000"/>
          <w:sz w:val="32"/>
          <w:szCs w:val="32"/>
          <w:highlight w:val="none"/>
          <w:lang w:val="en-US" w:eastAsia="zh-CN"/>
        </w:rPr>
        <w:t>5.</w:t>
      </w:r>
      <w:r>
        <w:rPr>
          <w:rFonts w:hint="eastAsia" w:ascii="仿宋" w:hAnsi="仿宋" w:eastAsia="仿宋" w:cs="仿宋"/>
          <w:b/>
          <w:bCs/>
          <w:color w:val="000000"/>
          <w:sz w:val="32"/>
          <w:szCs w:val="32"/>
          <w:highlight w:val="none"/>
          <w:lang w:val="zh-CN"/>
        </w:rPr>
        <w:t>供应商认为在其他方面有必要说明的事项</w:t>
      </w:r>
      <w:bookmarkEnd w:id="417"/>
      <w:bookmarkEnd w:id="427"/>
      <w:bookmarkEnd w:id="428"/>
    </w:p>
    <w:p w14:paraId="1E4C3FC7">
      <w:pPr>
        <w:autoSpaceDE w:val="0"/>
        <w:autoSpaceDN w:val="0"/>
        <w:spacing w:line="360" w:lineRule="auto"/>
        <w:rPr>
          <w:rFonts w:hint="eastAsia" w:ascii="仿宋" w:hAnsi="仿宋" w:eastAsia="仿宋" w:cs="仿宋"/>
          <w:color w:val="000000"/>
          <w:highlight w:val="none"/>
          <w:lang w:val="zh-CN"/>
        </w:rPr>
      </w:pPr>
    </w:p>
    <w:p w14:paraId="1D0C5187">
      <w:pPr>
        <w:autoSpaceDE w:val="0"/>
        <w:autoSpaceDN w:val="0"/>
        <w:spacing w:line="360" w:lineRule="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格式自定</w:t>
      </w:r>
    </w:p>
    <w:p w14:paraId="56717FA7">
      <w:pPr>
        <w:pStyle w:val="27"/>
        <w:spacing w:before="0" w:after="0" w:line="360" w:lineRule="auto"/>
        <w:jc w:val="both"/>
        <w:outlineLvl w:val="1"/>
        <w:rPr>
          <w:rFonts w:hint="eastAsia" w:ascii="仿宋" w:hAnsi="仿宋" w:eastAsia="仿宋" w:cs="仿宋"/>
          <w:color w:val="000000"/>
          <w:highlight w:val="none"/>
          <w:lang w:val="zh-CN"/>
        </w:rPr>
      </w:pPr>
    </w:p>
    <w:p w14:paraId="25AD325D">
      <w:pPr>
        <w:pStyle w:val="27"/>
        <w:spacing w:before="0" w:after="0" w:line="360" w:lineRule="auto"/>
        <w:jc w:val="both"/>
        <w:outlineLvl w:val="1"/>
        <w:rPr>
          <w:rFonts w:hint="eastAsia" w:ascii="仿宋" w:hAnsi="仿宋" w:eastAsia="仿宋" w:cs="仿宋"/>
          <w:color w:val="000000"/>
          <w:highlight w:val="none"/>
          <w:lang w:val="zh-CN"/>
        </w:rPr>
      </w:pPr>
    </w:p>
    <w:p w14:paraId="17987710">
      <w:pPr>
        <w:pStyle w:val="27"/>
        <w:spacing w:before="0" w:after="0" w:line="360" w:lineRule="auto"/>
        <w:jc w:val="both"/>
        <w:outlineLvl w:val="1"/>
        <w:rPr>
          <w:rFonts w:hint="eastAsia" w:ascii="仿宋" w:hAnsi="仿宋" w:eastAsia="仿宋" w:cs="仿宋"/>
          <w:color w:val="000000"/>
          <w:highlight w:val="none"/>
          <w:lang w:val="zh-CN"/>
        </w:rPr>
      </w:pPr>
    </w:p>
    <w:p w14:paraId="5D3D668D">
      <w:pPr>
        <w:pStyle w:val="27"/>
        <w:spacing w:before="0" w:after="0" w:line="360" w:lineRule="auto"/>
        <w:jc w:val="both"/>
        <w:outlineLvl w:val="1"/>
        <w:rPr>
          <w:rFonts w:hint="eastAsia" w:ascii="仿宋" w:hAnsi="仿宋" w:eastAsia="仿宋" w:cs="仿宋"/>
          <w:color w:val="000000"/>
          <w:highlight w:val="none"/>
          <w:lang w:val="zh-CN"/>
        </w:rPr>
      </w:pPr>
    </w:p>
    <w:p w14:paraId="67EB273D">
      <w:pPr>
        <w:pStyle w:val="27"/>
        <w:spacing w:before="0" w:after="0" w:line="360" w:lineRule="auto"/>
        <w:jc w:val="both"/>
        <w:outlineLvl w:val="1"/>
        <w:rPr>
          <w:rFonts w:hint="eastAsia" w:ascii="仿宋" w:hAnsi="仿宋" w:eastAsia="仿宋" w:cs="仿宋"/>
          <w:color w:val="000000"/>
          <w:highlight w:val="none"/>
          <w:lang w:val="zh-CN"/>
        </w:rPr>
      </w:pPr>
    </w:p>
    <w:p w14:paraId="03D4CA98">
      <w:pPr>
        <w:pStyle w:val="27"/>
        <w:spacing w:before="0" w:after="0" w:line="360" w:lineRule="auto"/>
        <w:jc w:val="both"/>
        <w:outlineLvl w:val="1"/>
        <w:rPr>
          <w:rFonts w:hint="eastAsia" w:ascii="仿宋" w:hAnsi="仿宋" w:eastAsia="仿宋" w:cs="仿宋"/>
          <w:color w:val="000000"/>
          <w:highlight w:val="none"/>
          <w:lang w:val="zh-CN"/>
        </w:rPr>
      </w:pPr>
    </w:p>
    <w:p w14:paraId="5A6F9F90">
      <w:pPr>
        <w:pStyle w:val="27"/>
        <w:spacing w:before="0" w:after="0" w:line="360" w:lineRule="auto"/>
        <w:jc w:val="both"/>
        <w:outlineLvl w:val="1"/>
        <w:rPr>
          <w:rFonts w:hint="eastAsia" w:ascii="仿宋" w:hAnsi="仿宋" w:eastAsia="仿宋" w:cs="仿宋"/>
          <w:color w:val="000000"/>
          <w:highlight w:val="none"/>
          <w:lang w:val="zh-CN"/>
        </w:rPr>
      </w:pPr>
    </w:p>
    <w:p w14:paraId="6C928BD1">
      <w:pPr>
        <w:pStyle w:val="27"/>
        <w:spacing w:before="0" w:after="0" w:line="360" w:lineRule="auto"/>
        <w:jc w:val="both"/>
        <w:outlineLvl w:val="1"/>
        <w:rPr>
          <w:rFonts w:hint="eastAsia" w:ascii="仿宋" w:hAnsi="仿宋" w:eastAsia="仿宋" w:cs="仿宋"/>
          <w:color w:val="000000"/>
          <w:highlight w:val="none"/>
          <w:lang w:val="zh-CN"/>
        </w:rPr>
      </w:pPr>
    </w:p>
    <w:p w14:paraId="7293198B">
      <w:pPr>
        <w:pStyle w:val="27"/>
        <w:spacing w:before="0" w:after="0" w:line="360" w:lineRule="auto"/>
        <w:jc w:val="both"/>
        <w:outlineLvl w:val="1"/>
        <w:rPr>
          <w:rFonts w:hint="eastAsia" w:ascii="仿宋" w:hAnsi="仿宋" w:eastAsia="仿宋" w:cs="仿宋"/>
          <w:color w:val="000000"/>
          <w:highlight w:val="none"/>
          <w:lang w:val="zh-CN"/>
        </w:rPr>
      </w:pPr>
    </w:p>
    <w:p w14:paraId="50204EE1">
      <w:pPr>
        <w:pStyle w:val="27"/>
        <w:spacing w:before="0" w:after="0" w:line="360" w:lineRule="auto"/>
        <w:jc w:val="both"/>
        <w:outlineLvl w:val="1"/>
        <w:rPr>
          <w:rFonts w:hint="eastAsia" w:ascii="仿宋" w:hAnsi="仿宋" w:eastAsia="仿宋" w:cs="仿宋"/>
          <w:color w:val="000000"/>
          <w:highlight w:val="none"/>
          <w:lang w:val="zh-CN"/>
        </w:rPr>
      </w:pPr>
    </w:p>
    <w:p w14:paraId="34B53EC7">
      <w:pPr>
        <w:pStyle w:val="27"/>
        <w:spacing w:before="0" w:after="0" w:line="360" w:lineRule="auto"/>
        <w:jc w:val="both"/>
        <w:outlineLvl w:val="1"/>
        <w:rPr>
          <w:rFonts w:hint="eastAsia" w:ascii="仿宋" w:hAnsi="仿宋" w:eastAsia="仿宋" w:cs="仿宋"/>
          <w:color w:val="000000"/>
          <w:highlight w:val="none"/>
          <w:lang w:val="zh-CN"/>
        </w:rPr>
      </w:pPr>
    </w:p>
    <w:p w14:paraId="6B78BE6F">
      <w:pPr>
        <w:pStyle w:val="27"/>
        <w:spacing w:before="0" w:after="0" w:line="360" w:lineRule="auto"/>
        <w:jc w:val="both"/>
        <w:outlineLvl w:val="1"/>
        <w:rPr>
          <w:rFonts w:hint="eastAsia" w:ascii="仿宋" w:hAnsi="仿宋" w:eastAsia="仿宋" w:cs="仿宋"/>
          <w:color w:val="000000"/>
          <w:highlight w:val="none"/>
          <w:lang w:val="zh-CN"/>
        </w:rPr>
      </w:pPr>
    </w:p>
    <w:p w14:paraId="30152B54">
      <w:pPr>
        <w:pStyle w:val="27"/>
        <w:spacing w:before="0" w:after="0" w:line="360" w:lineRule="auto"/>
        <w:jc w:val="both"/>
        <w:outlineLvl w:val="1"/>
        <w:rPr>
          <w:rFonts w:hint="eastAsia" w:ascii="仿宋" w:hAnsi="仿宋" w:eastAsia="仿宋" w:cs="仿宋"/>
          <w:color w:val="000000"/>
          <w:highlight w:val="none"/>
          <w:lang w:val="zh-CN"/>
        </w:rPr>
      </w:pPr>
    </w:p>
    <w:p w14:paraId="56AFEC29">
      <w:pPr>
        <w:pStyle w:val="27"/>
        <w:spacing w:before="0" w:after="0" w:line="360" w:lineRule="auto"/>
        <w:jc w:val="both"/>
        <w:outlineLvl w:val="1"/>
        <w:rPr>
          <w:rFonts w:hint="eastAsia" w:ascii="仿宋" w:hAnsi="仿宋" w:eastAsia="仿宋" w:cs="仿宋"/>
          <w:color w:val="000000"/>
          <w:highlight w:val="none"/>
          <w:lang w:val="zh-CN"/>
        </w:rPr>
      </w:pPr>
    </w:p>
    <w:p w14:paraId="45EC12C2">
      <w:pPr>
        <w:jc w:val="center"/>
        <w:outlineLvl w:val="0"/>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br w:type="page"/>
      </w:r>
      <w:bookmarkStart w:id="429" w:name="_Toc6530"/>
      <w:bookmarkStart w:id="430" w:name="_Toc32010"/>
      <w:bookmarkStart w:id="431" w:name="_Toc12897"/>
      <w:bookmarkStart w:id="432" w:name="_Toc8586"/>
      <w:bookmarkStart w:id="433" w:name="_Toc18752"/>
      <w:r>
        <w:rPr>
          <w:rFonts w:hint="eastAsia" w:ascii="仿宋" w:hAnsi="仿宋" w:eastAsia="仿宋" w:cs="仿宋"/>
          <w:b/>
          <w:bCs/>
          <w:color w:val="000000"/>
          <w:sz w:val="32"/>
          <w:szCs w:val="32"/>
          <w:highlight w:val="none"/>
          <w:lang w:val="zh-CN"/>
        </w:rPr>
        <w:t>1</w:t>
      </w:r>
      <w:r>
        <w:rPr>
          <w:rFonts w:hint="eastAsia" w:ascii="仿宋" w:hAnsi="仿宋" w:eastAsia="仿宋" w:cs="仿宋"/>
          <w:b/>
          <w:bCs/>
          <w:color w:val="000000"/>
          <w:sz w:val="32"/>
          <w:szCs w:val="32"/>
          <w:highlight w:val="none"/>
          <w:lang w:val="en-US" w:eastAsia="zh-CN"/>
        </w:rPr>
        <w:t>6</w:t>
      </w:r>
      <w:r>
        <w:rPr>
          <w:rFonts w:hint="eastAsia" w:ascii="仿宋" w:hAnsi="仿宋" w:eastAsia="仿宋" w:cs="仿宋"/>
          <w:b/>
          <w:bCs/>
          <w:color w:val="000000"/>
          <w:sz w:val="32"/>
          <w:szCs w:val="32"/>
          <w:highlight w:val="none"/>
          <w:lang w:val="zh-CN"/>
        </w:rPr>
        <w:t>.竞争性磋商最终报价表</w:t>
      </w:r>
      <w:bookmarkEnd w:id="429"/>
      <w:bookmarkEnd w:id="430"/>
      <w:bookmarkEnd w:id="431"/>
      <w:bookmarkEnd w:id="432"/>
    </w:p>
    <w:p w14:paraId="6E5867EC">
      <w:pPr>
        <w:autoSpaceDE w:val="0"/>
        <w:autoSpaceDN w:val="0"/>
        <w:spacing w:line="360" w:lineRule="auto"/>
        <w:rPr>
          <w:rFonts w:hint="eastAsia" w:ascii="仿宋" w:hAnsi="仿宋" w:eastAsia="仿宋" w:cs="仿宋"/>
          <w:b/>
          <w:bCs/>
          <w:color w:val="000000"/>
          <w:kern w:val="0"/>
          <w:sz w:val="28"/>
          <w:szCs w:val="28"/>
          <w:highlight w:val="none"/>
          <w:lang w:val="zh-CN"/>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496"/>
      </w:tblGrid>
      <w:tr w14:paraId="4238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0AA9A5D">
            <w:pPr>
              <w:pStyle w:val="6"/>
              <w:spacing w:line="360" w:lineRule="auto"/>
              <w:ind w:firstLine="0"/>
              <w:jc w:val="center"/>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供应商名称</w:t>
            </w:r>
          </w:p>
        </w:tc>
        <w:tc>
          <w:tcPr>
            <w:tcW w:w="5496" w:type="dxa"/>
            <w:noWrap w:val="0"/>
            <w:vAlign w:val="center"/>
          </w:tcPr>
          <w:p w14:paraId="6556D329">
            <w:pPr>
              <w:pStyle w:val="6"/>
              <w:spacing w:line="360" w:lineRule="auto"/>
              <w:ind w:firstLine="0"/>
              <w:rPr>
                <w:rFonts w:hint="eastAsia" w:ascii="仿宋" w:hAnsi="仿宋" w:eastAsia="仿宋" w:cs="仿宋"/>
                <w:color w:val="000000"/>
                <w:szCs w:val="24"/>
                <w:highlight w:val="none"/>
                <w:lang w:val="en-US" w:eastAsia="zh-CN"/>
              </w:rPr>
            </w:pPr>
          </w:p>
        </w:tc>
      </w:tr>
      <w:tr w14:paraId="0D3D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4F4571A7">
            <w:pPr>
              <w:pStyle w:val="6"/>
              <w:spacing w:line="360" w:lineRule="auto"/>
              <w:ind w:firstLine="0"/>
              <w:jc w:val="center"/>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磋商</w:t>
            </w:r>
            <w:r>
              <w:rPr>
                <w:rFonts w:hint="eastAsia" w:ascii="仿宋" w:hAnsi="仿宋" w:eastAsia="仿宋" w:cs="仿宋"/>
                <w:color w:val="000000"/>
                <w:szCs w:val="24"/>
                <w:highlight w:val="none"/>
                <w:lang w:val="zh-CN" w:eastAsia="zh-CN"/>
              </w:rPr>
              <w:t>包号</w:t>
            </w:r>
          </w:p>
        </w:tc>
        <w:tc>
          <w:tcPr>
            <w:tcW w:w="5496" w:type="dxa"/>
            <w:noWrap w:val="0"/>
            <w:vAlign w:val="center"/>
          </w:tcPr>
          <w:p w14:paraId="491C4492">
            <w:pPr>
              <w:pStyle w:val="6"/>
              <w:spacing w:line="360" w:lineRule="auto"/>
              <w:ind w:firstLine="0"/>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无</w:t>
            </w:r>
          </w:p>
        </w:tc>
      </w:tr>
      <w:tr w14:paraId="18F5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F5EC09A">
            <w:pPr>
              <w:pStyle w:val="6"/>
              <w:spacing w:line="360" w:lineRule="auto"/>
              <w:ind w:firstLine="0"/>
              <w:jc w:val="center"/>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磋商报价</w:t>
            </w:r>
          </w:p>
        </w:tc>
        <w:tc>
          <w:tcPr>
            <w:tcW w:w="5496" w:type="dxa"/>
            <w:noWrap w:val="0"/>
            <w:vAlign w:val="center"/>
          </w:tcPr>
          <w:p w14:paraId="5163F1C7">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大写：</w:t>
            </w:r>
          </w:p>
          <w:p w14:paraId="0CBA971D">
            <w:pPr>
              <w:pStyle w:val="6"/>
              <w:spacing w:line="360" w:lineRule="auto"/>
              <w:ind w:firstLine="0"/>
              <w:rPr>
                <w:rFonts w:hint="eastAsia" w:ascii="仿宋" w:hAnsi="仿宋" w:eastAsia="仿宋" w:cs="仿宋"/>
                <w:color w:val="000000"/>
                <w:szCs w:val="24"/>
                <w:highlight w:val="none"/>
                <w:lang w:val="en-US" w:eastAsia="zh-CN"/>
              </w:rPr>
            </w:pPr>
            <w:r>
              <w:rPr>
                <w:rFonts w:hint="eastAsia" w:ascii="仿宋" w:hAnsi="仿宋" w:eastAsia="仿宋" w:cs="仿宋"/>
                <w:color w:val="000000"/>
                <w:kern w:val="0"/>
                <w:szCs w:val="24"/>
                <w:highlight w:val="none"/>
                <w:lang w:val="zh-CN" w:eastAsia="zh-CN"/>
              </w:rPr>
              <w:t>小写：</w:t>
            </w:r>
          </w:p>
        </w:tc>
      </w:tr>
      <w:tr w14:paraId="3180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34BE2B4">
            <w:pPr>
              <w:pStyle w:val="6"/>
              <w:spacing w:line="360" w:lineRule="auto"/>
              <w:ind w:firstLine="0"/>
              <w:jc w:val="center"/>
              <w:rPr>
                <w:rFonts w:hint="eastAsia" w:ascii="仿宋" w:hAnsi="仿宋" w:eastAsia="仿宋" w:cs="仿宋"/>
                <w:color w:val="000000"/>
                <w:szCs w:val="24"/>
                <w:highlight w:val="none"/>
                <w:lang w:val="en-US" w:eastAsia="zh-CN"/>
              </w:rPr>
            </w:pPr>
            <w:r>
              <w:rPr>
                <w:rFonts w:hint="eastAsia" w:ascii="仿宋" w:hAnsi="仿宋" w:eastAsia="仿宋" w:cs="仿宋"/>
                <w:color w:val="000000"/>
                <w:szCs w:val="24"/>
                <w:highlight w:val="none"/>
                <w:lang w:val="en-US" w:eastAsia="zh-CN"/>
              </w:rPr>
              <w:t>服务期</w:t>
            </w:r>
          </w:p>
        </w:tc>
        <w:tc>
          <w:tcPr>
            <w:tcW w:w="5496" w:type="dxa"/>
            <w:noWrap w:val="0"/>
            <w:vAlign w:val="center"/>
          </w:tcPr>
          <w:p w14:paraId="1A754340">
            <w:pPr>
              <w:pStyle w:val="6"/>
              <w:spacing w:line="360" w:lineRule="auto"/>
              <w:ind w:firstLine="0"/>
              <w:jc w:val="both"/>
              <w:rPr>
                <w:rFonts w:hint="eastAsia" w:ascii="仿宋" w:hAnsi="仿宋" w:eastAsia="仿宋" w:cs="仿宋"/>
                <w:color w:val="000000"/>
                <w:szCs w:val="24"/>
                <w:highlight w:val="none"/>
                <w:lang w:val="en-US" w:eastAsia="zh-CN"/>
              </w:rPr>
            </w:pPr>
          </w:p>
        </w:tc>
      </w:tr>
    </w:tbl>
    <w:p w14:paraId="3B409A93">
      <w:pPr>
        <w:autoSpaceDE w:val="0"/>
        <w:autoSpaceDN w:val="0"/>
        <w:spacing w:line="360" w:lineRule="auto"/>
        <w:ind w:firstLine="480"/>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注：</w:t>
      </w:r>
      <w:r>
        <w:rPr>
          <w:rFonts w:hint="eastAsia" w:ascii="仿宋" w:hAnsi="仿宋" w:eastAsia="仿宋" w:cs="仿宋"/>
          <w:b/>
          <w:color w:val="000000"/>
          <w:highlight w:val="none"/>
          <w:lang w:eastAsia="zh-CN"/>
        </w:rPr>
        <w:t>供应商</w:t>
      </w:r>
      <w:r>
        <w:rPr>
          <w:rFonts w:hint="eastAsia" w:ascii="仿宋" w:hAnsi="仿宋" w:eastAsia="仿宋" w:cs="仿宋"/>
          <w:b/>
          <w:color w:val="000000"/>
          <w:highlight w:val="none"/>
        </w:rPr>
        <w:t>在资格性审查通过后进入第二轮报价时提供，作为最终报价。</w:t>
      </w:r>
    </w:p>
    <w:p w14:paraId="5E63A9A5">
      <w:pPr>
        <w:autoSpaceDE w:val="0"/>
        <w:autoSpaceDN w:val="0"/>
        <w:spacing w:line="360" w:lineRule="auto"/>
        <w:ind w:firstLine="480"/>
        <w:rPr>
          <w:rFonts w:hint="eastAsia" w:ascii="仿宋" w:hAnsi="仿宋" w:eastAsia="仿宋" w:cs="仿宋"/>
          <w:color w:val="000000"/>
          <w:kern w:val="0"/>
          <w:highlight w:val="none"/>
          <w:lang w:val="zh-CN"/>
        </w:rPr>
      </w:pPr>
    </w:p>
    <w:p w14:paraId="27FEC187">
      <w:pPr>
        <w:autoSpaceDE w:val="0"/>
        <w:autoSpaceDN w:val="0"/>
        <w:spacing w:line="360" w:lineRule="auto"/>
        <w:rPr>
          <w:rFonts w:hint="eastAsia" w:ascii="仿宋" w:hAnsi="仿宋" w:eastAsia="仿宋" w:cs="仿宋"/>
          <w:color w:val="000000"/>
          <w:kern w:val="0"/>
          <w:highlight w:val="none"/>
          <w:lang w:val="zh-CN"/>
        </w:rPr>
      </w:pPr>
    </w:p>
    <w:p w14:paraId="53C8A19E">
      <w:pPr>
        <w:autoSpaceDE w:val="0"/>
        <w:autoSpaceDN w:val="0"/>
        <w:spacing w:line="360" w:lineRule="auto"/>
        <w:rPr>
          <w:rFonts w:hint="eastAsia" w:ascii="仿宋" w:hAnsi="仿宋" w:eastAsia="仿宋" w:cs="仿宋"/>
          <w:color w:val="000000"/>
          <w:kern w:val="0"/>
          <w:highlight w:val="none"/>
          <w:lang w:val="zh-CN"/>
        </w:rPr>
      </w:pPr>
    </w:p>
    <w:p w14:paraId="01E213F7">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 xml:space="preserve">供应商：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（公章）</w:t>
      </w:r>
    </w:p>
    <w:p w14:paraId="10DD4F03">
      <w:pPr>
        <w:autoSpaceDE w:val="0"/>
        <w:autoSpaceDN w:val="0"/>
        <w:spacing w:line="360" w:lineRule="auto"/>
        <w:jc w:val="center"/>
        <w:rPr>
          <w:rFonts w:hint="eastAsia" w:ascii="仿宋" w:hAnsi="仿宋" w:eastAsia="仿宋" w:cs="仿宋"/>
          <w:b/>
          <w:bCs/>
          <w:color w:val="000000"/>
          <w:kern w:val="0"/>
          <w:highlight w:val="none"/>
          <w:lang w:val="zh-CN"/>
        </w:rPr>
      </w:pPr>
      <w:r>
        <w:rPr>
          <w:rFonts w:hint="eastAsia" w:ascii="仿宋" w:hAnsi="仿宋" w:eastAsia="仿宋" w:cs="仿宋"/>
          <w:b/>
          <w:bCs/>
          <w:color w:val="000000"/>
          <w:kern w:val="0"/>
          <w:highlight w:val="none"/>
          <w:lang w:val="zh-CN"/>
        </w:rPr>
        <w:t>法定代表人或委托代理人：        （签字或盖章）</w:t>
      </w:r>
    </w:p>
    <w:p w14:paraId="0B8EF356">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b/>
          <w:bCs/>
          <w:color w:val="000000"/>
          <w:kern w:val="0"/>
          <w:highlight w:val="none"/>
          <w:lang w:val="zh-CN"/>
        </w:rPr>
        <w:t xml:space="preserve">年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月  </w:t>
      </w:r>
      <w:r>
        <w:rPr>
          <w:rFonts w:hint="eastAsia" w:ascii="仿宋" w:hAnsi="仿宋" w:eastAsia="仿宋" w:cs="仿宋"/>
          <w:b/>
          <w:bCs/>
          <w:color w:val="000000"/>
          <w:kern w:val="0"/>
          <w:highlight w:val="none"/>
        </w:rPr>
        <w:t xml:space="preserve"> </w:t>
      </w:r>
      <w:r>
        <w:rPr>
          <w:rFonts w:hint="eastAsia" w:ascii="仿宋" w:hAnsi="仿宋" w:eastAsia="仿宋" w:cs="仿宋"/>
          <w:b/>
          <w:bCs/>
          <w:color w:val="000000"/>
          <w:kern w:val="0"/>
          <w:highlight w:val="none"/>
          <w:lang w:val="zh-CN"/>
        </w:rPr>
        <w:t xml:space="preserve"> 日</w:t>
      </w:r>
    </w:p>
    <w:bookmarkEnd w:id="269"/>
    <w:bookmarkEnd w:id="270"/>
    <w:bookmarkEnd w:id="433"/>
    <w:p w14:paraId="5B904EE4">
      <w:pPr>
        <w:pStyle w:val="27"/>
        <w:spacing w:before="0" w:after="0" w:line="360" w:lineRule="auto"/>
        <w:jc w:val="both"/>
        <w:rPr>
          <w:rFonts w:hint="eastAsia" w:ascii="仿宋" w:hAnsi="仿宋" w:eastAsia="仿宋" w:cs="仿宋"/>
          <w:color w:val="000000"/>
          <w:szCs w:val="36"/>
          <w:highlight w:val="none"/>
          <w:lang w:val="zh-CN"/>
        </w:rPr>
      </w:pPr>
    </w:p>
    <w:p w14:paraId="43CBB532">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4A0ACA89">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720CCA3A">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6C2F41D2">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22030F90">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557FBF41">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45A58C14">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1FE77897">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0DD8F6B8">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3D834280">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44FE6C27">
      <w:pPr>
        <w:pStyle w:val="9"/>
        <w:rPr>
          <w:rFonts w:hint="eastAsia" w:ascii="仿宋" w:hAnsi="仿宋" w:eastAsia="仿宋" w:cs="仿宋"/>
          <w:b/>
          <w:bCs/>
          <w:kern w:val="0"/>
          <w:sz w:val="28"/>
          <w:szCs w:val="28"/>
          <w:highlight w:val="none"/>
          <w:lang w:val="zh-CN"/>
        </w:rPr>
      </w:pPr>
    </w:p>
    <w:p w14:paraId="344CE9A5">
      <w:pPr>
        <w:pStyle w:val="10"/>
        <w:rPr>
          <w:rFonts w:hint="eastAsia" w:ascii="仿宋" w:hAnsi="仿宋" w:eastAsia="仿宋" w:cs="仿宋"/>
          <w:highlight w:val="none"/>
          <w:lang w:val="zh-CN"/>
        </w:rPr>
      </w:pPr>
    </w:p>
    <w:p w14:paraId="78F8AC2B">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0103FD62">
      <w:pPr>
        <w:autoSpaceDE w:val="0"/>
        <w:autoSpaceDN w:val="0"/>
        <w:adjustRightInd w:val="0"/>
        <w:spacing w:line="400" w:lineRule="exact"/>
        <w:jc w:val="center"/>
        <w:rPr>
          <w:rFonts w:hint="eastAsia" w:ascii="仿宋" w:hAnsi="仿宋" w:eastAsia="仿宋" w:cs="仿宋"/>
          <w:b/>
          <w:bCs/>
          <w:kern w:val="0"/>
          <w:sz w:val="28"/>
          <w:szCs w:val="28"/>
          <w:highlight w:val="none"/>
          <w:lang w:val="zh-CN"/>
        </w:rPr>
      </w:pPr>
    </w:p>
    <w:p w14:paraId="36764374">
      <w:pPr>
        <w:autoSpaceDE w:val="0"/>
        <w:autoSpaceDN w:val="0"/>
        <w:adjustRightInd w:val="0"/>
        <w:spacing w:line="400" w:lineRule="exact"/>
        <w:jc w:val="center"/>
        <w:rPr>
          <w:rFonts w:hint="eastAsia" w:ascii="仿宋" w:hAnsi="仿宋" w:eastAsia="仿宋" w:cs="仿宋"/>
          <w:b/>
          <w:bCs/>
          <w:color w:val="000000"/>
          <w:kern w:val="0"/>
          <w:sz w:val="28"/>
          <w:szCs w:val="28"/>
          <w:highlight w:val="none"/>
          <w:lang w:val="zh-CN"/>
        </w:rPr>
      </w:pPr>
      <w:r>
        <w:rPr>
          <w:rFonts w:hint="eastAsia" w:ascii="仿宋" w:hAnsi="仿宋" w:eastAsia="仿宋" w:cs="仿宋"/>
          <w:b/>
          <w:bCs/>
          <w:color w:val="000000"/>
          <w:kern w:val="0"/>
          <w:sz w:val="28"/>
          <w:szCs w:val="28"/>
          <w:highlight w:val="none"/>
          <w:lang w:val="zh-CN"/>
        </w:rPr>
        <w:t>监理报酬清单</w:t>
      </w:r>
    </w:p>
    <w:p w14:paraId="1E96D31D">
      <w:pPr>
        <w:widowControl w:val="0"/>
        <w:ind w:firstLine="420"/>
        <w:jc w:val="both"/>
        <w:rPr>
          <w:rFonts w:hint="eastAsia" w:ascii="仿宋" w:hAnsi="仿宋" w:eastAsia="仿宋" w:cs="仿宋"/>
          <w:kern w:val="2"/>
          <w:sz w:val="32"/>
          <w:szCs w:val="24"/>
          <w:highlight w:val="none"/>
          <w:lang w:val="zh-CN" w:eastAsia="zh-CN" w:bidi="ar-SA"/>
        </w:rPr>
      </w:pPr>
    </w:p>
    <w:p w14:paraId="285E8DA2">
      <w:pPr>
        <w:autoSpaceDE w:val="0"/>
        <w:autoSpaceDN w:val="0"/>
        <w:spacing w:line="360" w:lineRule="auto"/>
        <w:jc w:val="both"/>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en-US" w:eastAsia="zh-CN"/>
        </w:rPr>
        <w:t xml:space="preserve">1.监理报酬清单说明 </w:t>
      </w:r>
    </w:p>
    <w:p w14:paraId="773A5A7A">
      <w:pPr>
        <w:autoSpaceDE w:val="0"/>
        <w:autoSpaceDN w:val="0"/>
        <w:spacing w:line="360" w:lineRule="auto"/>
        <w:jc w:val="both"/>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2.监理报酬清单</w:t>
      </w:r>
    </w:p>
    <w:p w14:paraId="45387E36">
      <w:pPr>
        <w:autoSpaceDE w:val="0"/>
        <w:autoSpaceDN w:val="0"/>
        <w:spacing w:line="360" w:lineRule="auto"/>
        <w:jc w:val="right"/>
        <w:rPr>
          <w:rFonts w:hint="eastAsia" w:ascii="仿宋" w:hAnsi="仿宋" w:eastAsia="仿宋" w:cs="仿宋"/>
          <w:color w:val="000000"/>
          <w:kern w:val="0"/>
          <w:highlight w:val="none"/>
          <w:lang w:val="zh-CN" w:eastAsia="zh-CN"/>
        </w:rPr>
      </w:pPr>
      <w:r>
        <w:rPr>
          <w:rFonts w:hint="eastAsia" w:ascii="仿宋" w:hAnsi="仿宋" w:eastAsia="仿宋" w:cs="仿宋"/>
          <w:color w:val="000000"/>
          <w:kern w:val="0"/>
          <w:highlight w:val="none"/>
          <w:lang w:val="zh-CN" w:eastAsia="zh-CN"/>
        </w:rPr>
        <w:t>单位：人民币元</w:t>
      </w:r>
    </w:p>
    <w:tbl>
      <w:tblPr>
        <w:tblStyle w:val="31"/>
        <w:tblW w:w="8541" w:type="dxa"/>
        <w:jc w:val="center"/>
        <w:tblLayout w:type="fixed"/>
        <w:tblCellMar>
          <w:top w:w="0" w:type="dxa"/>
          <w:left w:w="28" w:type="dxa"/>
          <w:bottom w:w="0" w:type="dxa"/>
          <w:right w:w="28" w:type="dxa"/>
        </w:tblCellMar>
      </w:tblPr>
      <w:tblGrid>
        <w:gridCol w:w="680"/>
        <w:gridCol w:w="1988"/>
        <w:gridCol w:w="2863"/>
        <w:gridCol w:w="1365"/>
        <w:gridCol w:w="1645"/>
      </w:tblGrid>
      <w:tr w14:paraId="6FD022E9">
        <w:tblPrEx>
          <w:tblCellMar>
            <w:top w:w="0" w:type="dxa"/>
            <w:left w:w="28" w:type="dxa"/>
            <w:bottom w:w="0" w:type="dxa"/>
            <w:right w:w="28" w:type="dxa"/>
          </w:tblCellMar>
        </w:tblPrEx>
        <w:trPr>
          <w:trHeight w:val="23" w:hRule="atLeast"/>
          <w:jc w:val="center"/>
        </w:trPr>
        <w:tc>
          <w:tcPr>
            <w:tcW w:w="680" w:type="dxa"/>
            <w:tcBorders>
              <w:top w:val="single" w:color="000000" w:sz="8" w:space="0"/>
              <w:left w:val="single" w:color="000000" w:sz="8" w:space="0"/>
              <w:bottom w:val="single" w:color="000000" w:sz="6" w:space="0"/>
              <w:right w:val="single" w:color="000000" w:sz="6" w:space="0"/>
            </w:tcBorders>
            <w:noWrap w:val="0"/>
            <w:vAlign w:val="center"/>
          </w:tcPr>
          <w:p w14:paraId="209EF2C1">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序号</w:t>
            </w:r>
          </w:p>
        </w:tc>
        <w:tc>
          <w:tcPr>
            <w:tcW w:w="1988" w:type="dxa"/>
            <w:tcBorders>
              <w:top w:val="single" w:color="000000" w:sz="8" w:space="0"/>
              <w:left w:val="single" w:color="000000" w:sz="6" w:space="0"/>
              <w:bottom w:val="single" w:color="000000" w:sz="6" w:space="0"/>
              <w:right w:val="single" w:color="000000" w:sz="6" w:space="0"/>
            </w:tcBorders>
            <w:noWrap w:val="0"/>
            <w:vAlign w:val="center"/>
          </w:tcPr>
          <w:p w14:paraId="7205D8C6">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监理报酬分项名称</w:t>
            </w:r>
          </w:p>
        </w:tc>
        <w:tc>
          <w:tcPr>
            <w:tcW w:w="2863" w:type="dxa"/>
            <w:tcBorders>
              <w:top w:val="single" w:color="000000" w:sz="8" w:space="0"/>
              <w:left w:val="single" w:color="000000" w:sz="6" w:space="0"/>
              <w:bottom w:val="single" w:color="000000" w:sz="6" w:space="0"/>
              <w:right w:val="single" w:color="000000" w:sz="6" w:space="0"/>
            </w:tcBorders>
            <w:noWrap w:val="0"/>
            <w:vAlign w:val="center"/>
          </w:tcPr>
          <w:p w14:paraId="1818263B">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计算依据、过程和公式</w:t>
            </w:r>
          </w:p>
        </w:tc>
        <w:tc>
          <w:tcPr>
            <w:tcW w:w="1365" w:type="dxa"/>
            <w:tcBorders>
              <w:top w:val="single" w:color="000000" w:sz="8" w:space="0"/>
              <w:left w:val="single" w:color="000000" w:sz="6" w:space="0"/>
              <w:bottom w:val="single" w:color="000000" w:sz="6" w:space="0"/>
              <w:right w:val="single" w:color="000000" w:sz="6" w:space="0"/>
            </w:tcBorders>
            <w:noWrap w:val="0"/>
            <w:vAlign w:val="center"/>
          </w:tcPr>
          <w:p w14:paraId="76DEA459">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金额（元）</w:t>
            </w:r>
          </w:p>
        </w:tc>
        <w:tc>
          <w:tcPr>
            <w:tcW w:w="1645" w:type="dxa"/>
            <w:tcBorders>
              <w:top w:val="single" w:color="000000" w:sz="8" w:space="0"/>
              <w:left w:val="single" w:color="000000" w:sz="6" w:space="0"/>
              <w:bottom w:val="single" w:color="000000" w:sz="6" w:space="0"/>
              <w:right w:val="single" w:color="000000" w:sz="6" w:space="0"/>
            </w:tcBorders>
            <w:noWrap w:val="0"/>
            <w:vAlign w:val="center"/>
          </w:tcPr>
          <w:p w14:paraId="68A23BEF">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备注</w:t>
            </w:r>
          </w:p>
        </w:tc>
      </w:tr>
      <w:tr w14:paraId="77FB0BB9">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44918550">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1</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3E0E65D2">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3776F94A">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6E750A08">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18721351">
            <w:pPr>
              <w:autoSpaceDE w:val="0"/>
              <w:autoSpaceDN w:val="0"/>
              <w:spacing w:line="360" w:lineRule="auto"/>
              <w:jc w:val="center"/>
              <w:rPr>
                <w:rFonts w:hint="eastAsia" w:ascii="仿宋" w:hAnsi="仿宋" w:eastAsia="仿宋" w:cs="仿宋"/>
                <w:color w:val="000000"/>
                <w:kern w:val="0"/>
                <w:highlight w:val="none"/>
                <w:lang w:val="zh-CN"/>
              </w:rPr>
            </w:pPr>
          </w:p>
        </w:tc>
      </w:tr>
      <w:tr w14:paraId="4E399AE7">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06E0658D">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2</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6131F41A">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17055DD3">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1096EEBB">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3648F322">
            <w:pPr>
              <w:autoSpaceDE w:val="0"/>
              <w:autoSpaceDN w:val="0"/>
              <w:spacing w:line="360" w:lineRule="auto"/>
              <w:jc w:val="center"/>
              <w:rPr>
                <w:rFonts w:hint="eastAsia" w:ascii="仿宋" w:hAnsi="仿宋" w:eastAsia="仿宋" w:cs="仿宋"/>
                <w:color w:val="000000"/>
                <w:kern w:val="0"/>
                <w:highlight w:val="none"/>
                <w:lang w:val="zh-CN"/>
              </w:rPr>
            </w:pPr>
          </w:p>
        </w:tc>
      </w:tr>
      <w:tr w14:paraId="0526019F">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203F2FC5">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3</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31203875">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4305AFBE">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2CA37E15">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4B7F84F1">
            <w:pPr>
              <w:autoSpaceDE w:val="0"/>
              <w:autoSpaceDN w:val="0"/>
              <w:spacing w:line="360" w:lineRule="auto"/>
              <w:jc w:val="center"/>
              <w:rPr>
                <w:rFonts w:hint="eastAsia" w:ascii="仿宋" w:hAnsi="仿宋" w:eastAsia="仿宋" w:cs="仿宋"/>
                <w:color w:val="000000"/>
                <w:kern w:val="0"/>
                <w:highlight w:val="none"/>
                <w:lang w:val="zh-CN"/>
              </w:rPr>
            </w:pPr>
          </w:p>
        </w:tc>
      </w:tr>
      <w:tr w14:paraId="143C2489">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777E1AE5">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4</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776F1204">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3A552DA4">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7330CD06">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119F472E">
            <w:pPr>
              <w:autoSpaceDE w:val="0"/>
              <w:autoSpaceDN w:val="0"/>
              <w:spacing w:line="360" w:lineRule="auto"/>
              <w:jc w:val="center"/>
              <w:rPr>
                <w:rFonts w:hint="eastAsia" w:ascii="仿宋" w:hAnsi="仿宋" w:eastAsia="仿宋" w:cs="仿宋"/>
                <w:color w:val="000000"/>
                <w:kern w:val="0"/>
                <w:highlight w:val="none"/>
                <w:lang w:val="zh-CN"/>
              </w:rPr>
            </w:pPr>
          </w:p>
        </w:tc>
      </w:tr>
      <w:tr w14:paraId="337F54AD">
        <w:tblPrEx>
          <w:tblCellMar>
            <w:top w:w="0" w:type="dxa"/>
            <w:left w:w="28" w:type="dxa"/>
            <w:bottom w:w="0" w:type="dxa"/>
            <w:right w:w="28" w:type="dxa"/>
          </w:tblCellMar>
        </w:tblPrEx>
        <w:trPr>
          <w:trHeight w:val="23" w:hRule="atLeast"/>
          <w:jc w:val="center"/>
        </w:trPr>
        <w:tc>
          <w:tcPr>
            <w:tcW w:w="680" w:type="dxa"/>
            <w:tcBorders>
              <w:top w:val="single" w:color="000000" w:sz="6" w:space="0"/>
              <w:left w:val="single" w:color="000000" w:sz="8" w:space="0"/>
              <w:bottom w:val="single" w:color="000000" w:sz="6" w:space="0"/>
              <w:right w:val="single" w:color="000000" w:sz="6" w:space="0"/>
            </w:tcBorders>
            <w:noWrap w:val="0"/>
            <w:vAlign w:val="center"/>
          </w:tcPr>
          <w:p w14:paraId="686CF7CF">
            <w:pPr>
              <w:autoSpaceDE w:val="0"/>
              <w:autoSpaceDN w:val="0"/>
              <w:spacing w:line="360" w:lineRule="auto"/>
              <w:jc w:val="center"/>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w:t>
            </w:r>
          </w:p>
        </w:tc>
        <w:tc>
          <w:tcPr>
            <w:tcW w:w="1988" w:type="dxa"/>
            <w:tcBorders>
              <w:top w:val="single" w:color="000000" w:sz="6" w:space="0"/>
              <w:left w:val="single" w:color="000000" w:sz="6" w:space="0"/>
              <w:bottom w:val="single" w:color="000000" w:sz="6" w:space="0"/>
              <w:right w:val="single" w:color="000000" w:sz="6" w:space="0"/>
            </w:tcBorders>
            <w:noWrap w:val="0"/>
            <w:vAlign w:val="center"/>
          </w:tcPr>
          <w:p w14:paraId="11686F44">
            <w:pPr>
              <w:autoSpaceDE w:val="0"/>
              <w:autoSpaceDN w:val="0"/>
              <w:spacing w:line="360" w:lineRule="auto"/>
              <w:jc w:val="center"/>
              <w:rPr>
                <w:rFonts w:hint="eastAsia" w:ascii="仿宋" w:hAnsi="仿宋" w:eastAsia="仿宋" w:cs="仿宋"/>
                <w:color w:val="000000"/>
                <w:kern w:val="0"/>
                <w:highlight w:val="none"/>
                <w:lang w:val="zh-CN"/>
              </w:rPr>
            </w:pP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60A0C1CE">
            <w:pPr>
              <w:autoSpaceDE w:val="0"/>
              <w:autoSpaceDN w:val="0"/>
              <w:spacing w:line="360" w:lineRule="auto"/>
              <w:jc w:val="center"/>
              <w:rPr>
                <w:rFonts w:hint="eastAsia" w:ascii="仿宋" w:hAnsi="仿宋" w:eastAsia="仿宋" w:cs="仿宋"/>
                <w:color w:val="000000"/>
                <w:kern w:val="0"/>
                <w:highlight w:val="none"/>
                <w:lang w:val="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6A9764EE">
            <w:pPr>
              <w:autoSpaceDE w:val="0"/>
              <w:autoSpaceDN w:val="0"/>
              <w:spacing w:line="360" w:lineRule="auto"/>
              <w:jc w:val="center"/>
              <w:rPr>
                <w:rFonts w:hint="eastAsia" w:ascii="仿宋" w:hAnsi="仿宋" w:eastAsia="仿宋" w:cs="仿宋"/>
                <w:color w:val="000000"/>
                <w:kern w:val="0"/>
                <w:highlight w:val="none"/>
                <w:lang w:val="zh-CN"/>
              </w:rPr>
            </w:pPr>
          </w:p>
        </w:tc>
        <w:tc>
          <w:tcPr>
            <w:tcW w:w="1645" w:type="dxa"/>
            <w:tcBorders>
              <w:top w:val="single" w:color="000000" w:sz="6" w:space="0"/>
              <w:left w:val="single" w:color="000000" w:sz="6" w:space="0"/>
              <w:bottom w:val="single" w:color="000000" w:sz="6" w:space="0"/>
              <w:right w:val="single" w:color="000000" w:sz="6" w:space="0"/>
            </w:tcBorders>
            <w:noWrap w:val="0"/>
            <w:vAlign w:val="center"/>
          </w:tcPr>
          <w:p w14:paraId="5F92C272">
            <w:pPr>
              <w:autoSpaceDE w:val="0"/>
              <w:autoSpaceDN w:val="0"/>
              <w:spacing w:line="360" w:lineRule="auto"/>
              <w:jc w:val="center"/>
              <w:rPr>
                <w:rFonts w:hint="eastAsia" w:ascii="仿宋" w:hAnsi="仿宋" w:eastAsia="仿宋" w:cs="仿宋"/>
                <w:color w:val="000000"/>
                <w:kern w:val="0"/>
                <w:highlight w:val="none"/>
                <w:lang w:val="zh-CN"/>
              </w:rPr>
            </w:pPr>
          </w:p>
        </w:tc>
      </w:tr>
      <w:tr w14:paraId="398E308B">
        <w:tblPrEx>
          <w:tblCellMar>
            <w:top w:w="0" w:type="dxa"/>
            <w:left w:w="28" w:type="dxa"/>
            <w:bottom w:w="0" w:type="dxa"/>
            <w:right w:w="28" w:type="dxa"/>
          </w:tblCellMar>
        </w:tblPrEx>
        <w:trPr>
          <w:trHeight w:val="23" w:hRule="atLeast"/>
          <w:jc w:val="center"/>
        </w:trPr>
        <w:tc>
          <w:tcPr>
            <w:tcW w:w="2668" w:type="dxa"/>
            <w:gridSpan w:val="2"/>
            <w:tcBorders>
              <w:top w:val="single" w:color="000000" w:sz="6" w:space="0"/>
              <w:left w:val="single" w:color="000000" w:sz="8" w:space="0"/>
              <w:bottom w:val="single" w:color="000000" w:sz="6" w:space="0"/>
              <w:right w:val="single" w:color="000000" w:sz="6" w:space="0"/>
            </w:tcBorders>
            <w:noWrap w:val="0"/>
            <w:vAlign w:val="center"/>
          </w:tcPr>
          <w:p w14:paraId="2910C34F">
            <w:pPr>
              <w:autoSpaceDE w:val="0"/>
              <w:autoSpaceDN w:val="0"/>
              <w:spacing w:line="360" w:lineRule="auto"/>
              <w:jc w:val="center"/>
              <w:rPr>
                <w:rFonts w:hint="eastAsia" w:ascii="仿宋" w:hAnsi="仿宋" w:eastAsia="仿宋" w:cs="仿宋"/>
                <w:color w:val="000000"/>
                <w:kern w:val="0"/>
                <w:highlight w:val="none"/>
              </w:rPr>
            </w:pPr>
            <w:r>
              <w:rPr>
                <w:rFonts w:hint="eastAsia" w:ascii="仿宋" w:hAnsi="仿宋" w:eastAsia="仿宋" w:cs="仿宋"/>
                <w:color w:val="000000"/>
                <w:kern w:val="0"/>
                <w:highlight w:val="none"/>
              </w:rPr>
              <w:t>合计报价</w:t>
            </w:r>
          </w:p>
        </w:tc>
        <w:tc>
          <w:tcPr>
            <w:tcW w:w="5873" w:type="dxa"/>
            <w:gridSpan w:val="3"/>
            <w:tcBorders>
              <w:top w:val="single" w:color="000000" w:sz="6" w:space="0"/>
              <w:left w:val="single" w:color="000000" w:sz="6" w:space="0"/>
              <w:bottom w:val="single" w:color="000000" w:sz="6" w:space="0"/>
              <w:right w:val="single" w:color="000000" w:sz="6" w:space="0"/>
            </w:tcBorders>
            <w:noWrap w:val="0"/>
            <w:vAlign w:val="center"/>
          </w:tcPr>
          <w:p w14:paraId="4DFCF8F3">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大写：</w:t>
            </w:r>
          </w:p>
          <w:p w14:paraId="0BE66607">
            <w:pPr>
              <w:autoSpaceDE w:val="0"/>
              <w:autoSpaceDN w:val="0"/>
              <w:spacing w:line="360" w:lineRule="auto"/>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小写：</w:t>
            </w:r>
          </w:p>
        </w:tc>
      </w:tr>
    </w:tbl>
    <w:p w14:paraId="7FB48513">
      <w:pPr>
        <w:autoSpaceDE w:val="0"/>
        <w:autoSpaceDN w:val="0"/>
        <w:adjustRightInd w:val="0"/>
        <w:spacing w:line="400" w:lineRule="exact"/>
        <w:rPr>
          <w:rFonts w:hint="eastAsia" w:ascii="仿宋" w:hAnsi="仿宋" w:eastAsia="仿宋" w:cs="仿宋"/>
          <w:kern w:val="0"/>
          <w:highlight w:val="none"/>
          <w:lang w:val="zh-CN"/>
        </w:rPr>
      </w:pPr>
    </w:p>
    <w:p w14:paraId="4A5C13CF">
      <w:pPr>
        <w:autoSpaceDE w:val="0"/>
        <w:autoSpaceDN w:val="0"/>
        <w:adjustRightInd w:val="0"/>
        <w:spacing w:line="400" w:lineRule="exact"/>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w:t>
      </w:r>
    </w:p>
    <w:p w14:paraId="3E630545">
      <w:pPr>
        <w:autoSpaceDE w:val="0"/>
        <w:autoSpaceDN w:val="0"/>
        <w:adjustRightInd w:val="0"/>
        <w:spacing w:line="400" w:lineRule="exact"/>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w:t>
      </w:r>
    </w:p>
    <w:p w14:paraId="255B7D58">
      <w:pPr>
        <w:autoSpaceDE w:val="0"/>
        <w:autoSpaceDN w:val="0"/>
        <w:adjustRightInd w:val="0"/>
        <w:spacing w:line="400" w:lineRule="exact"/>
        <w:ind w:firstLine="4453" w:firstLineChars="1848"/>
        <w:rPr>
          <w:rFonts w:hint="eastAsia" w:ascii="仿宋" w:hAnsi="仿宋" w:eastAsia="仿宋" w:cs="仿宋"/>
          <w:b/>
          <w:bCs/>
          <w:kern w:val="0"/>
          <w:highlight w:val="none"/>
          <w:lang w:val="zh-CN"/>
        </w:rPr>
      </w:pPr>
      <w:r>
        <w:rPr>
          <w:rFonts w:hint="eastAsia" w:ascii="仿宋" w:hAnsi="仿宋" w:eastAsia="仿宋" w:cs="仿宋"/>
          <w:b/>
          <w:bCs/>
          <w:kern w:val="0"/>
          <w:highlight w:val="none"/>
          <w:lang w:val="zh-CN"/>
        </w:rPr>
        <w:t>供应商：             （公章）</w:t>
      </w:r>
    </w:p>
    <w:p w14:paraId="7A83A4C5">
      <w:pPr>
        <w:autoSpaceDE w:val="0"/>
        <w:autoSpaceDN w:val="0"/>
        <w:adjustRightInd w:val="0"/>
        <w:spacing w:line="400" w:lineRule="exact"/>
        <w:rPr>
          <w:rFonts w:hint="eastAsia" w:ascii="仿宋" w:hAnsi="仿宋" w:eastAsia="仿宋" w:cs="仿宋"/>
          <w:b/>
          <w:bCs/>
          <w:kern w:val="0"/>
          <w:highlight w:val="none"/>
          <w:lang w:val="zh-CN"/>
        </w:rPr>
      </w:pPr>
      <w:r>
        <w:rPr>
          <w:rFonts w:hint="eastAsia" w:ascii="仿宋" w:hAnsi="仿宋" w:eastAsia="仿宋" w:cs="仿宋"/>
          <w:b/>
          <w:bCs/>
          <w:kern w:val="0"/>
          <w:highlight w:val="none"/>
          <w:lang w:val="zh-CN"/>
        </w:rPr>
        <w:t xml:space="preserve">                     法定代表人或委托代理人：            （</w:t>
      </w:r>
      <w:r>
        <w:rPr>
          <w:rFonts w:hint="eastAsia" w:ascii="仿宋" w:hAnsi="仿宋" w:eastAsia="仿宋" w:cs="仿宋"/>
          <w:b/>
          <w:bCs/>
          <w:color w:val="000000"/>
          <w:kern w:val="0"/>
          <w:highlight w:val="none"/>
          <w:lang w:val="zh-CN"/>
        </w:rPr>
        <w:t>签字或盖章</w:t>
      </w:r>
      <w:r>
        <w:rPr>
          <w:rFonts w:hint="eastAsia" w:ascii="仿宋" w:hAnsi="仿宋" w:eastAsia="仿宋" w:cs="仿宋"/>
          <w:b/>
          <w:bCs/>
          <w:kern w:val="0"/>
          <w:highlight w:val="none"/>
          <w:lang w:val="zh-CN"/>
        </w:rPr>
        <w:t>）</w:t>
      </w:r>
    </w:p>
    <w:p w14:paraId="3E0A0E3C">
      <w:pPr>
        <w:autoSpaceDE w:val="0"/>
        <w:autoSpaceDN w:val="0"/>
        <w:adjustRightInd w:val="0"/>
        <w:spacing w:line="400" w:lineRule="exact"/>
        <w:rPr>
          <w:rFonts w:hint="eastAsia" w:ascii="仿宋" w:hAnsi="仿宋" w:eastAsia="仿宋" w:cs="仿宋"/>
          <w:kern w:val="0"/>
          <w:highlight w:val="none"/>
          <w:lang w:val="zh-CN"/>
        </w:rPr>
      </w:pPr>
      <w:r>
        <w:rPr>
          <w:rFonts w:hint="eastAsia" w:ascii="仿宋" w:hAnsi="仿宋" w:eastAsia="仿宋" w:cs="仿宋"/>
          <w:b/>
          <w:bCs/>
          <w:kern w:val="0"/>
          <w:highlight w:val="none"/>
          <w:lang w:val="zh-CN"/>
        </w:rPr>
        <w:t xml:space="preserve">                                         年   月   日</w:t>
      </w:r>
    </w:p>
    <w:p w14:paraId="6E83D810">
      <w:pPr>
        <w:pStyle w:val="27"/>
        <w:spacing w:before="0" w:after="0" w:line="360" w:lineRule="auto"/>
        <w:jc w:val="left"/>
        <w:rPr>
          <w:rFonts w:hint="eastAsia" w:ascii="仿宋" w:hAnsi="仿宋" w:eastAsia="仿宋" w:cs="仿宋"/>
          <w:b w:val="0"/>
          <w:bCs w:val="0"/>
          <w:color w:val="000000"/>
          <w:kern w:val="0"/>
          <w:sz w:val="24"/>
          <w:highlight w:val="none"/>
          <w:lang w:val="zh-CN"/>
        </w:rPr>
      </w:pPr>
    </w:p>
    <w:p w14:paraId="2D069931">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7E865D05">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28BEBB00">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0DCFD5E5">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1A470D3B">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662CA3D3">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06177CCB">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53BE72A3">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12CAE45F">
      <w:pPr>
        <w:autoSpaceDE w:val="0"/>
        <w:autoSpaceDN w:val="0"/>
        <w:spacing w:line="360" w:lineRule="auto"/>
        <w:jc w:val="center"/>
        <w:rPr>
          <w:rFonts w:hint="eastAsia" w:ascii="仿宋" w:hAnsi="仿宋" w:eastAsia="仿宋" w:cs="仿宋"/>
          <w:b/>
          <w:bCs/>
          <w:color w:val="000000"/>
          <w:kern w:val="0"/>
          <w:sz w:val="28"/>
          <w:szCs w:val="28"/>
          <w:highlight w:val="none"/>
          <w:lang w:val="zh-CN"/>
        </w:rPr>
      </w:pPr>
    </w:p>
    <w:p w14:paraId="4024966B">
      <w:pPr>
        <w:keepNext/>
        <w:keepLines/>
        <w:widowControl w:val="0"/>
        <w:numPr>
          <w:ilvl w:val="0"/>
          <w:numId w:val="2"/>
        </w:numPr>
        <w:spacing w:before="340" w:after="330" w:line="240" w:lineRule="auto"/>
        <w:ind w:firstLine="1807" w:firstLineChars="500"/>
        <w:jc w:val="both"/>
        <w:outlineLvl w:val="0"/>
        <w:rPr>
          <w:rFonts w:hint="eastAsia" w:ascii="仿宋" w:hAnsi="仿宋" w:eastAsia="仿宋" w:cs="仿宋"/>
          <w:b/>
          <w:bCs/>
          <w:color w:val="000000"/>
          <w:kern w:val="44"/>
          <w:sz w:val="36"/>
          <w:szCs w:val="44"/>
          <w:highlight w:val="none"/>
          <w:lang w:val="zh-CN" w:eastAsia="zh-CN" w:bidi="ar-SA"/>
        </w:rPr>
      </w:pPr>
      <w:bookmarkStart w:id="434" w:name="_Toc18781"/>
      <w:r>
        <w:rPr>
          <w:rFonts w:hint="eastAsia" w:ascii="仿宋" w:hAnsi="仿宋" w:eastAsia="仿宋" w:cs="仿宋"/>
          <w:b/>
          <w:bCs/>
          <w:color w:val="000000"/>
          <w:kern w:val="44"/>
          <w:sz w:val="36"/>
          <w:szCs w:val="44"/>
          <w:highlight w:val="none"/>
          <w:lang w:val="zh-CN" w:eastAsia="zh-CN" w:bidi="ar-SA"/>
        </w:rPr>
        <w:t>服务内容及要求</w:t>
      </w:r>
      <w:bookmarkEnd w:id="434"/>
    </w:p>
    <w:p w14:paraId="0B03AD03">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1"/>
        <w:rPr>
          <w:rFonts w:hint="eastAsia" w:ascii="仿宋" w:hAnsi="仿宋" w:eastAsia="仿宋" w:cs="仿宋"/>
          <w:b/>
          <w:bCs/>
          <w:color w:val="000000"/>
          <w:kern w:val="2"/>
          <w:sz w:val="36"/>
          <w:szCs w:val="36"/>
          <w:highlight w:val="none"/>
          <w:lang w:val="en-US" w:eastAsia="zh-CN" w:bidi="ar-SA"/>
        </w:rPr>
      </w:pPr>
      <w:bookmarkStart w:id="435" w:name="_Toc10479"/>
      <w:r>
        <w:rPr>
          <w:rFonts w:hint="eastAsia" w:ascii="仿宋" w:hAnsi="仿宋" w:eastAsia="仿宋" w:cs="仿宋"/>
          <w:b/>
          <w:bCs/>
          <w:color w:val="000000"/>
          <w:kern w:val="2"/>
          <w:sz w:val="36"/>
          <w:szCs w:val="32"/>
          <w:highlight w:val="none"/>
          <w:lang w:val="zh-CN" w:eastAsia="zh-CN" w:bidi="ar-SA"/>
        </w:rPr>
        <w:t>（一）</w:t>
      </w:r>
      <w:r>
        <w:rPr>
          <w:rFonts w:hint="eastAsia" w:ascii="仿宋" w:hAnsi="仿宋" w:eastAsia="仿宋" w:cs="仿宋"/>
          <w:b/>
          <w:bCs/>
          <w:color w:val="000000"/>
          <w:kern w:val="2"/>
          <w:sz w:val="36"/>
          <w:szCs w:val="32"/>
          <w:highlight w:val="none"/>
          <w:lang w:val="en-US" w:eastAsia="zh-CN" w:bidi="ar-SA"/>
        </w:rPr>
        <w:t>磋商</w:t>
      </w:r>
      <w:r>
        <w:rPr>
          <w:rFonts w:hint="eastAsia" w:ascii="仿宋" w:hAnsi="仿宋" w:eastAsia="仿宋" w:cs="仿宋"/>
          <w:b/>
          <w:bCs/>
          <w:color w:val="000000"/>
          <w:kern w:val="2"/>
          <w:sz w:val="36"/>
          <w:szCs w:val="32"/>
          <w:highlight w:val="none"/>
          <w:lang w:val="zh-CN" w:eastAsia="zh-CN" w:bidi="ar-SA"/>
        </w:rPr>
        <w:t>要求</w:t>
      </w:r>
      <w:bookmarkEnd w:id="435"/>
    </w:p>
    <w:p w14:paraId="2CC7E7EC">
      <w:pPr>
        <w:widowControl w:val="0"/>
        <w:spacing w:before="0" w:after="0" w:line="360" w:lineRule="auto"/>
        <w:jc w:val="left"/>
        <w:outlineLvl w:val="0"/>
        <w:rPr>
          <w:rFonts w:hint="eastAsia" w:ascii="仿宋" w:hAnsi="仿宋" w:eastAsia="仿宋" w:cs="仿宋"/>
          <w:b/>
          <w:bCs/>
          <w:color w:val="000000"/>
          <w:kern w:val="2"/>
          <w:sz w:val="36"/>
          <w:szCs w:val="32"/>
          <w:highlight w:val="none"/>
          <w:lang w:val="zh-CN" w:eastAsia="zh-CN" w:bidi="ar-SA"/>
        </w:rPr>
      </w:pPr>
      <w:bookmarkStart w:id="436" w:name="_Toc26842"/>
      <w:r>
        <w:rPr>
          <w:rFonts w:hint="eastAsia" w:ascii="仿宋" w:hAnsi="仿宋" w:eastAsia="仿宋" w:cs="仿宋"/>
          <w:b/>
          <w:bCs/>
          <w:color w:val="000000"/>
          <w:kern w:val="2"/>
          <w:sz w:val="28"/>
          <w:szCs w:val="28"/>
          <w:highlight w:val="none"/>
          <w:lang w:val="zh-CN" w:eastAsia="zh-CN" w:bidi="ar-SA"/>
        </w:rPr>
        <w:t>1.</w:t>
      </w:r>
      <w:r>
        <w:rPr>
          <w:rFonts w:hint="eastAsia" w:ascii="仿宋" w:hAnsi="仿宋" w:eastAsia="仿宋" w:cs="仿宋"/>
          <w:b/>
          <w:bCs/>
          <w:color w:val="000000"/>
          <w:kern w:val="2"/>
          <w:sz w:val="28"/>
          <w:szCs w:val="28"/>
          <w:highlight w:val="none"/>
          <w:lang w:val="en-US" w:eastAsia="zh-CN" w:bidi="ar-SA"/>
        </w:rPr>
        <w:t>磋商</w:t>
      </w:r>
      <w:r>
        <w:rPr>
          <w:rFonts w:hint="eastAsia" w:ascii="仿宋" w:hAnsi="仿宋" w:eastAsia="仿宋" w:cs="仿宋"/>
          <w:b/>
          <w:bCs/>
          <w:color w:val="000000"/>
          <w:kern w:val="2"/>
          <w:sz w:val="28"/>
          <w:szCs w:val="28"/>
          <w:highlight w:val="none"/>
          <w:lang w:val="zh-CN" w:eastAsia="zh-CN" w:bidi="ar-SA"/>
        </w:rPr>
        <w:t>说明</w:t>
      </w:r>
      <w:bookmarkEnd w:id="436"/>
    </w:p>
    <w:p w14:paraId="15188B04">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供应商可以按照竞争性磋商文件规定的包号选择</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，但必须对所投包号中的所有内容作为一个整体进行</w:t>
      </w:r>
      <w:r>
        <w:rPr>
          <w:rFonts w:hint="eastAsia" w:ascii="仿宋" w:hAnsi="仿宋" w:eastAsia="仿宋" w:cs="仿宋"/>
          <w:color w:val="000000"/>
          <w:kern w:val="0"/>
          <w:highlight w:val="none"/>
          <w:lang w:val="en-US" w:eastAsia="zh-CN"/>
        </w:rPr>
        <w:t>磋商</w:t>
      </w:r>
      <w:r>
        <w:rPr>
          <w:rFonts w:hint="eastAsia" w:ascii="仿宋" w:hAnsi="仿宋" w:eastAsia="仿宋" w:cs="仿宋"/>
          <w:color w:val="000000"/>
          <w:kern w:val="0"/>
          <w:highlight w:val="none"/>
          <w:lang w:val="zh-CN"/>
        </w:rPr>
        <w:t>，不能拆分或少报。否则，投标无效。</w:t>
      </w:r>
    </w:p>
    <w:p w14:paraId="0590403D">
      <w:pPr>
        <w:widowControl w:val="0"/>
        <w:spacing w:before="0" w:after="0" w:line="360" w:lineRule="auto"/>
        <w:jc w:val="left"/>
        <w:outlineLvl w:val="0"/>
        <w:rPr>
          <w:rFonts w:hint="eastAsia" w:ascii="仿宋" w:hAnsi="仿宋" w:eastAsia="仿宋" w:cs="仿宋"/>
          <w:b/>
          <w:bCs/>
          <w:color w:val="000000"/>
          <w:kern w:val="2"/>
          <w:sz w:val="28"/>
          <w:szCs w:val="28"/>
          <w:highlight w:val="none"/>
          <w:lang w:val="en-US" w:eastAsia="zh-CN" w:bidi="ar-SA"/>
        </w:rPr>
      </w:pPr>
      <w:bookmarkStart w:id="437" w:name="_Toc26791"/>
      <w:r>
        <w:rPr>
          <w:rFonts w:hint="eastAsia" w:ascii="仿宋" w:hAnsi="仿宋" w:eastAsia="仿宋" w:cs="仿宋"/>
          <w:b/>
          <w:bCs/>
          <w:color w:val="000000"/>
          <w:kern w:val="2"/>
          <w:sz w:val="28"/>
          <w:szCs w:val="28"/>
          <w:highlight w:val="none"/>
          <w:lang w:val="en-US" w:eastAsia="zh-CN" w:bidi="ar-SA"/>
        </w:rPr>
        <w:t>2.报价说明</w:t>
      </w:r>
      <w:bookmarkEnd w:id="437"/>
    </w:p>
    <w:p w14:paraId="12588B9B">
      <w:pPr>
        <w:autoSpaceDE w:val="0"/>
        <w:autoSpaceDN w:val="0"/>
        <w:spacing w:line="360" w:lineRule="auto"/>
        <w:ind w:firstLine="480" w:firstLineChars="200"/>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本次招标文件中规定的采购预算额度为招标最高限价，投标单位的投标报价不得超出此额度。否则，投标无效。</w:t>
      </w:r>
    </w:p>
    <w:p w14:paraId="1CB8F8BC">
      <w:pPr>
        <w:widowControl w:val="0"/>
        <w:spacing w:before="0" w:after="0" w:line="360" w:lineRule="auto"/>
        <w:jc w:val="left"/>
        <w:outlineLvl w:val="0"/>
        <w:rPr>
          <w:rFonts w:hint="eastAsia" w:ascii="仿宋" w:hAnsi="仿宋" w:eastAsia="仿宋" w:cs="仿宋"/>
          <w:b/>
          <w:bCs/>
          <w:color w:val="000000"/>
          <w:kern w:val="2"/>
          <w:sz w:val="36"/>
          <w:szCs w:val="32"/>
          <w:highlight w:val="none"/>
          <w:lang w:val="zh-CN" w:eastAsia="zh-CN" w:bidi="ar-SA"/>
        </w:rPr>
      </w:pPr>
      <w:bookmarkStart w:id="438" w:name="_Toc22592"/>
      <w:r>
        <w:rPr>
          <w:rFonts w:hint="eastAsia" w:ascii="仿宋" w:hAnsi="仿宋" w:eastAsia="仿宋" w:cs="仿宋"/>
          <w:b/>
          <w:bCs/>
          <w:color w:val="000000"/>
          <w:kern w:val="2"/>
          <w:sz w:val="28"/>
          <w:szCs w:val="28"/>
          <w:highlight w:val="none"/>
          <w:lang w:val="en-US" w:eastAsia="zh-CN" w:bidi="ar-SA"/>
        </w:rPr>
        <w:t>3</w:t>
      </w:r>
      <w:r>
        <w:rPr>
          <w:rFonts w:hint="eastAsia" w:ascii="仿宋" w:hAnsi="仿宋" w:eastAsia="仿宋" w:cs="仿宋"/>
          <w:b/>
          <w:bCs/>
          <w:color w:val="000000"/>
          <w:kern w:val="2"/>
          <w:sz w:val="28"/>
          <w:szCs w:val="28"/>
          <w:highlight w:val="none"/>
          <w:lang w:val="zh-CN" w:eastAsia="zh-CN" w:bidi="ar-SA"/>
        </w:rPr>
        <w:t>.商务要求</w:t>
      </w:r>
      <w:bookmarkEnd w:id="438"/>
    </w:p>
    <w:p w14:paraId="42668648">
      <w:pPr>
        <w:autoSpaceDE w:val="0"/>
        <w:autoSpaceDN w:val="0"/>
        <w:spacing w:line="360" w:lineRule="auto"/>
        <w:ind w:firstLine="480" w:firstLineChars="200"/>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en-US" w:eastAsia="zh-CN"/>
        </w:rPr>
        <w:t>3</w:t>
      </w:r>
      <w:r>
        <w:rPr>
          <w:rFonts w:hint="eastAsia" w:ascii="仿宋" w:hAnsi="仿宋" w:eastAsia="仿宋" w:cs="仿宋"/>
          <w:color w:val="000000"/>
          <w:kern w:val="0"/>
          <w:highlight w:val="none"/>
          <w:lang w:val="zh-CN" w:eastAsia="zh-CN"/>
        </w:rPr>
        <w:t>.</w:t>
      </w:r>
      <w:r>
        <w:rPr>
          <w:rFonts w:hint="eastAsia" w:ascii="仿宋" w:hAnsi="仿宋" w:eastAsia="仿宋" w:cs="仿宋"/>
          <w:color w:val="000000"/>
          <w:kern w:val="0"/>
          <w:highlight w:val="none"/>
          <w:lang w:val="en-US" w:eastAsia="zh-CN"/>
        </w:rPr>
        <w:t>1</w:t>
      </w:r>
      <w:r>
        <w:rPr>
          <w:rFonts w:hint="eastAsia" w:ascii="仿宋" w:hAnsi="仿宋" w:eastAsia="仿宋" w:cs="仿宋"/>
          <w:color w:val="000000"/>
          <w:kern w:val="0"/>
          <w:highlight w:val="none"/>
          <w:lang w:val="zh-CN" w:eastAsia="zh-CN"/>
        </w:rPr>
        <w:t>.服务期限：</w:t>
      </w:r>
      <w:r>
        <w:rPr>
          <w:rFonts w:hint="eastAsia" w:ascii="仿宋" w:hAnsi="仿宋" w:eastAsia="仿宋" w:cs="仿宋"/>
          <w:color w:val="000000"/>
          <w:kern w:val="0"/>
          <w:highlight w:val="none"/>
          <w:lang w:val="en-US" w:eastAsia="zh-CN"/>
        </w:rPr>
        <w:t xml:space="preserve">同施工工期 </w:t>
      </w:r>
    </w:p>
    <w:p w14:paraId="191B18CB">
      <w:pPr>
        <w:widowControl w:val="0"/>
        <w:spacing w:before="0" w:after="0" w:line="360" w:lineRule="auto"/>
        <w:ind w:firstLine="480" w:firstLineChars="200"/>
        <w:jc w:val="left"/>
        <w:outlineLvl w:val="0"/>
        <w:rPr>
          <w:rFonts w:hint="default" w:ascii="仿宋" w:hAnsi="仿宋" w:eastAsia="仿宋" w:cs="仿宋"/>
          <w:color w:val="000000"/>
          <w:highlight w:val="none"/>
          <w:lang w:val="en-US" w:eastAsia="zh-CN"/>
        </w:rPr>
      </w:pPr>
      <w:r>
        <w:rPr>
          <w:rFonts w:hint="eastAsia" w:ascii="仿宋" w:hAnsi="仿宋" w:eastAsia="仿宋" w:cs="仿宋"/>
          <w:color w:val="000000"/>
          <w:kern w:val="0"/>
          <w:highlight w:val="none"/>
          <w:lang w:val="en-US" w:eastAsia="zh-CN"/>
        </w:rPr>
        <w:t>3</w:t>
      </w:r>
      <w:r>
        <w:rPr>
          <w:rFonts w:hint="eastAsia" w:ascii="仿宋" w:hAnsi="仿宋" w:eastAsia="仿宋" w:cs="仿宋"/>
          <w:color w:val="000000"/>
          <w:kern w:val="0"/>
          <w:highlight w:val="none"/>
          <w:lang w:val="zh-CN" w:eastAsia="zh-CN"/>
        </w:rPr>
        <w:t>.2</w:t>
      </w:r>
      <w:r>
        <w:rPr>
          <w:rFonts w:hint="eastAsia" w:ascii="仿宋" w:hAnsi="仿宋" w:eastAsia="仿宋" w:cs="仿宋"/>
          <w:color w:val="000000"/>
          <w:kern w:val="0"/>
          <w:highlight w:val="none"/>
          <w:lang w:val="en-US" w:eastAsia="zh-CN"/>
        </w:rPr>
        <w:t>.</w:t>
      </w:r>
      <w:r>
        <w:rPr>
          <w:rFonts w:hint="eastAsia" w:ascii="仿宋" w:hAnsi="仿宋" w:eastAsia="仿宋" w:cs="仿宋"/>
          <w:color w:val="000000"/>
          <w:kern w:val="0"/>
          <w:highlight w:val="none"/>
          <w:lang w:val="zh-CN" w:eastAsia="zh-CN"/>
        </w:rPr>
        <w:t>服务地点：青海省西宁市湟中区李家山境内</w:t>
      </w:r>
    </w:p>
    <w:p w14:paraId="21276895">
      <w:pPr>
        <w:autoSpaceDE w:val="0"/>
        <w:autoSpaceDN w:val="0"/>
        <w:spacing w:line="360" w:lineRule="auto"/>
        <w:rPr>
          <w:rFonts w:hint="eastAsia" w:ascii="仿宋" w:hAnsi="仿宋" w:eastAsia="仿宋" w:cs="仿宋"/>
          <w:color w:val="0000FF"/>
          <w:kern w:val="0"/>
          <w:highlight w:val="none"/>
          <w:lang w:val="zh-CN"/>
        </w:rPr>
      </w:pPr>
    </w:p>
    <w:p w14:paraId="1DB9288E">
      <w:pPr>
        <w:widowControl w:val="0"/>
        <w:spacing w:before="0" w:after="0" w:line="360" w:lineRule="auto"/>
        <w:jc w:val="center"/>
        <w:outlineLvl w:val="0"/>
        <w:rPr>
          <w:rFonts w:hint="eastAsia" w:ascii="仿宋" w:hAnsi="仿宋" w:eastAsia="仿宋" w:cs="仿宋"/>
          <w:b/>
          <w:bCs/>
          <w:color w:val="000000"/>
          <w:kern w:val="2"/>
          <w:sz w:val="36"/>
          <w:szCs w:val="32"/>
          <w:highlight w:val="none"/>
          <w:lang w:val="zh-CN" w:eastAsia="zh-CN" w:bidi="ar-SA"/>
        </w:rPr>
      </w:pPr>
      <w:bookmarkStart w:id="439" w:name="_Toc29539"/>
      <w:r>
        <w:rPr>
          <w:rFonts w:hint="eastAsia" w:ascii="仿宋" w:hAnsi="仿宋" w:eastAsia="仿宋" w:cs="仿宋"/>
          <w:b/>
          <w:bCs/>
          <w:color w:val="000000"/>
          <w:kern w:val="2"/>
          <w:sz w:val="36"/>
          <w:szCs w:val="32"/>
          <w:highlight w:val="none"/>
          <w:lang w:val="zh-CN" w:eastAsia="zh-CN" w:bidi="ar-SA"/>
        </w:rPr>
        <w:t>（二）服务内容及要求</w:t>
      </w:r>
      <w:bookmarkEnd w:id="439"/>
      <w:bookmarkStart w:id="440" w:name="_Hlk486599483"/>
      <w:bookmarkStart w:id="441" w:name="_Toc459377899"/>
      <w:bookmarkStart w:id="442" w:name="_Toc480468113"/>
    </w:p>
    <w:bookmarkEnd w:id="440"/>
    <w:bookmarkEnd w:id="441"/>
    <w:bookmarkEnd w:id="442"/>
    <w:p w14:paraId="417E24AC">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一、服务内容：</w:t>
      </w:r>
      <w:r>
        <w:rPr>
          <w:rFonts w:hint="eastAsia" w:ascii="仿宋" w:hAnsi="仿宋" w:eastAsia="仿宋" w:cs="仿宋"/>
          <w:color w:val="000000"/>
          <w:kern w:val="0"/>
          <w:highlight w:val="none"/>
          <w:lang w:val="zh-CN" w:eastAsia="zh-CN"/>
        </w:rPr>
        <w:t>工程修建排洪通道18.62km，新建宾格网箱护岸6.38km，新建C25F200W4现浇混凝土矩形排洪渠13.73km，新建拦沙坎50座。（</w:t>
      </w:r>
      <w:r>
        <w:rPr>
          <w:rFonts w:hint="eastAsia" w:ascii="仿宋" w:hAnsi="仿宋" w:eastAsia="仿宋" w:cs="仿宋"/>
          <w:color w:val="000000"/>
          <w:kern w:val="0"/>
          <w:highlight w:val="none"/>
          <w:lang w:val="en-US" w:eastAsia="zh-CN"/>
        </w:rPr>
        <w:t>监理服务</w:t>
      </w:r>
      <w:r>
        <w:rPr>
          <w:rFonts w:hint="eastAsia" w:ascii="仿宋" w:hAnsi="仿宋" w:eastAsia="仿宋" w:cs="仿宋"/>
          <w:color w:val="000000"/>
          <w:kern w:val="0"/>
          <w:highlight w:val="none"/>
          <w:lang w:val="zh-CN" w:eastAsia="zh-CN"/>
        </w:rPr>
        <w:t>）</w:t>
      </w:r>
    </w:p>
    <w:p w14:paraId="41996B7B">
      <w:pPr>
        <w:autoSpaceDE w:val="0"/>
        <w:autoSpaceDN w:val="0"/>
        <w:spacing w:line="360" w:lineRule="auto"/>
        <w:ind w:firstLine="480" w:firstLineChars="200"/>
        <w:rPr>
          <w:rFonts w:hint="eastAsia" w:ascii="仿宋" w:hAnsi="仿宋" w:eastAsia="仿宋" w:cs="仿宋"/>
          <w:color w:val="000000"/>
          <w:kern w:val="0"/>
          <w:highlight w:val="none"/>
          <w:lang w:val="zh-CN"/>
        </w:rPr>
      </w:pPr>
      <w:r>
        <w:rPr>
          <w:rFonts w:hint="eastAsia" w:ascii="仿宋" w:hAnsi="仿宋" w:eastAsia="仿宋" w:cs="仿宋"/>
          <w:color w:val="000000"/>
          <w:kern w:val="0"/>
          <w:highlight w:val="none"/>
          <w:lang w:val="zh-CN"/>
        </w:rPr>
        <w:t>二、服务期限：</w:t>
      </w:r>
      <w:r>
        <w:rPr>
          <w:rFonts w:hint="eastAsia" w:ascii="仿宋" w:hAnsi="仿宋" w:eastAsia="仿宋" w:cs="仿宋"/>
          <w:color w:val="000000"/>
          <w:kern w:val="0"/>
          <w:highlight w:val="none"/>
          <w:lang w:val="en-US" w:eastAsia="zh-CN"/>
        </w:rPr>
        <w:t>同施工工期</w:t>
      </w:r>
    </w:p>
    <w:p w14:paraId="61245558">
      <w:pPr>
        <w:autoSpaceDE w:val="0"/>
        <w:autoSpaceDN w:val="0"/>
        <w:spacing w:line="360" w:lineRule="auto"/>
        <w:ind w:firstLine="480" w:firstLineChars="200"/>
        <w:rPr>
          <w:rFonts w:hint="eastAsia" w:ascii="仿宋" w:hAnsi="仿宋" w:eastAsia="仿宋" w:cs="仿宋"/>
          <w:color w:val="000000"/>
          <w:kern w:val="0"/>
          <w:highlight w:val="none"/>
          <w:lang w:val="en-US" w:eastAsia="zh-CN"/>
        </w:rPr>
      </w:pPr>
      <w:r>
        <w:rPr>
          <w:rFonts w:hint="eastAsia" w:ascii="仿宋" w:hAnsi="仿宋" w:eastAsia="仿宋" w:cs="仿宋"/>
          <w:color w:val="000000"/>
          <w:kern w:val="0"/>
          <w:highlight w:val="none"/>
          <w:lang w:val="zh-CN" w:eastAsia="zh-CN"/>
        </w:rPr>
        <w:t>三、</w:t>
      </w:r>
      <w:r>
        <w:rPr>
          <w:rFonts w:hint="eastAsia" w:ascii="仿宋" w:hAnsi="仿宋" w:eastAsia="仿宋" w:cs="仿宋"/>
          <w:color w:val="000000"/>
          <w:kern w:val="0"/>
          <w:highlight w:val="none"/>
          <w:lang w:val="zh-CN"/>
        </w:rPr>
        <w:t>服务地点：青海省西宁市湟中区</w:t>
      </w:r>
      <w:r>
        <w:rPr>
          <w:rFonts w:hint="eastAsia" w:ascii="仿宋" w:hAnsi="仿宋" w:eastAsia="仿宋" w:cs="仿宋"/>
          <w:color w:val="000000"/>
          <w:kern w:val="0"/>
          <w:highlight w:val="none"/>
          <w:lang w:val="zh-CN" w:eastAsia="zh-CN"/>
        </w:rPr>
        <w:t>李家山境内</w:t>
      </w:r>
    </w:p>
    <w:sectPr>
      <w:headerReference r:id="rId6" w:type="default"/>
      <w:footerReference r:id="rId7" w:type="default"/>
      <w:pgSz w:w="11911" w:h="16838"/>
      <w:pgMar w:top="1440" w:right="1800" w:bottom="1440" w:left="1800" w:header="0" w:footer="334" w:gutter="0"/>
      <w:pgNumType w:fmt="decimal"/>
      <w:cols w:space="72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29830">
    <w:pPr>
      <w:widowControl w:val="0"/>
      <w:tabs>
        <w:tab w:val="center" w:pos="4153"/>
        <w:tab w:val="right" w:pos="8306"/>
      </w:tabs>
      <w:snapToGrid w:val="0"/>
      <w:jc w:val="left"/>
      <w:rPr>
        <w:rFonts w:ascii="Calibri" w:hAnsi="Calibri" w:eastAsia="仿宋_GB2312" w:cs="Times New Roman"/>
        <w:kern w:val="2"/>
        <w:sz w:val="24"/>
        <w:szCs w:val="24"/>
        <w:lang w:val="en-US" w:eastAsia="zh-CN" w:bidi="ar-SA"/>
      </w:rPr>
    </w:pPr>
    <w:r>
      <w:rPr>
        <w:rFonts w:ascii="Calibri" w:hAnsi="Calibri" w:eastAsia="宋体" w:cs="Times New Roman"/>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B80523">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36</w:t>
                          </w:r>
                          <w:r>
                            <w:rPr>
                              <w:rFonts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43B80523">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36</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26615">
    <w:pPr>
      <w:pStyle w:val="9"/>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2182495</wp:posOffset>
              </wp:positionH>
              <wp:positionV relativeFrom="paragraph">
                <wp:posOffset>-627380</wp:posOffset>
              </wp:positionV>
              <wp:extent cx="1828800" cy="1828800"/>
              <wp:effectExtent l="0" t="0" r="0" b="0"/>
              <wp:wrapNone/>
              <wp:docPr id="3"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495D9A">
                          <w:pPr>
                            <w:pStyle w:val="17"/>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left:171.85pt;margin-top:-49.4pt;height:144pt;width:144pt;mso-position-horizontal-relative:margin;mso-wrap-style:none;z-index:251661312;mso-width-relative:page;mso-height-relative:page;" filled="f" stroked="f" coordsize="21600,21600" o:gfxdata="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qB2zfXAAAACwEAAA8A&#10;AAAAAAAAAQAgAAAAIgAAAGRycy9kb3ducmV2LnhtbFBLAQIUABQAAAAIAIdO4kCfx6Lm3wEAAL8D&#10;AAAOAAAAAAAAAAEAIAAAACYBAABkcnMvZTJvRG9jLnhtbFBLBQYAAAAABgAGAFkBAAB3BQAAAAA=&#10;">
              <v:fill on="f" focussize="0,0"/>
              <v:stroke on="f"/>
              <v:imagedata o:title=""/>
              <o:lock v:ext="edit" aspectratio="f"/>
              <v:textbox inset="0mm,0mm,0mm,0mm" style="mso-fit-shape-to-text:t;">
                <w:txbxContent>
                  <w:p w14:paraId="68495D9A">
                    <w:pPr>
                      <w:pStyle w:val="17"/>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4AB79">
    <w:pPr>
      <w:widowControl/>
      <w:jc w:val="left"/>
      <w:rPr>
        <w:rFonts w:cs="宋体"/>
        <w:kern w:val="0"/>
      </w:rPr>
    </w:pPr>
  </w:p>
  <w:p w14:paraId="04B446F0">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9356">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89E6">
    <w:pPr>
      <w:widowControl/>
      <w:jc w:val="left"/>
      <w:rPr>
        <w:rFonts w:cs="宋体"/>
        <w:kern w:val="0"/>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8C5396">
                          <w:pPr>
                            <w:pStyle w:val="18"/>
                          </w:pP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cbw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ku&#10;sz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xvCyQEAAJoDAAAOAAAAAAAAAAEAIAAAAB4BAABkcnMvZTJvRG9j&#10;LnhtbFBLBQYAAAAABgAGAFkBAABZBQAAAAA=&#10;">
              <v:fill on="f" focussize="0,0"/>
              <v:stroke on="f"/>
              <v:imagedata o:title=""/>
              <o:lock v:ext="edit" aspectratio="f"/>
              <v:textbox inset="0mm,0mm,0mm,0mm" style="mso-fit-shape-to-text:t;">
                <w:txbxContent>
                  <w:p w14:paraId="538C5396">
                    <w:pPr>
                      <w:pStyle w:val="18"/>
                    </w:pPr>
                  </w:p>
                </w:txbxContent>
              </v:textbox>
            </v:shape>
          </w:pict>
        </mc:Fallback>
      </mc:AlternateContent>
    </w:r>
  </w:p>
  <w:p w14:paraId="24AB4997">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26BC"/>
    <w:multiLevelType w:val="singleLevel"/>
    <w:tmpl w:val="982F26BC"/>
    <w:lvl w:ilvl="0" w:tentative="0">
      <w:start w:val="5"/>
      <w:numFmt w:val="chineseCounting"/>
      <w:suff w:val="nothing"/>
      <w:lvlText w:val="%1、"/>
      <w:lvlJc w:val="left"/>
      <w:rPr>
        <w:rFonts w:hint="eastAsia"/>
      </w:rPr>
    </w:lvl>
  </w:abstractNum>
  <w:abstractNum w:abstractNumId="1">
    <w:nsid w:val="9D66969B"/>
    <w:multiLevelType w:val="singleLevel"/>
    <w:tmpl w:val="9D66969B"/>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DkxN2U2NzNkMjkzNzJkOTk2MjZjZjQzMDEzNzYifQ=="/>
  </w:docVars>
  <w:rsids>
    <w:rsidRoot w:val="00172A27"/>
    <w:rsid w:val="000067DE"/>
    <w:rsid w:val="00024DEB"/>
    <w:rsid w:val="00053F84"/>
    <w:rsid w:val="00056467"/>
    <w:rsid w:val="000669B7"/>
    <w:rsid w:val="0007143B"/>
    <w:rsid w:val="00073997"/>
    <w:rsid w:val="00074E53"/>
    <w:rsid w:val="0007570E"/>
    <w:rsid w:val="00076EC7"/>
    <w:rsid w:val="000813AE"/>
    <w:rsid w:val="00081465"/>
    <w:rsid w:val="000875EB"/>
    <w:rsid w:val="000942B7"/>
    <w:rsid w:val="00094CC6"/>
    <w:rsid w:val="00094E26"/>
    <w:rsid w:val="000A29BD"/>
    <w:rsid w:val="000A2F6A"/>
    <w:rsid w:val="000A3592"/>
    <w:rsid w:val="000A7B0F"/>
    <w:rsid w:val="000B652B"/>
    <w:rsid w:val="000C0D8F"/>
    <w:rsid w:val="000C2C06"/>
    <w:rsid w:val="000C38E9"/>
    <w:rsid w:val="000C643B"/>
    <w:rsid w:val="000D2AAD"/>
    <w:rsid w:val="000D4E4C"/>
    <w:rsid w:val="000D5A34"/>
    <w:rsid w:val="000F50C2"/>
    <w:rsid w:val="000F51BE"/>
    <w:rsid w:val="000F5960"/>
    <w:rsid w:val="0010245D"/>
    <w:rsid w:val="00102BAF"/>
    <w:rsid w:val="0011659F"/>
    <w:rsid w:val="00116952"/>
    <w:rsid w:val="00126F4C"/>
    <w:rsid w:val="00135C35"/>
    <w:rsid w:val="00136100"/>
    <w:rsid w:val="00142020"/>
    <w:rsid w:val="00143D09"/>
    <w:rsid w:val="001442A4"/>
    <w:rsid w:val="00147EDF"/>
    <w:rsid w:val="00150ABF"/>
    <w:rsid w:val="001531B3"/>
    <w:rsid w:val="00164E2A"/>
    <w:rsid w:val="00173B38"/>
    <w:rsid w:val="00176062"/>
    <w:rsid w:val="001760E1"/>
    <w:rsid w:val="00176AF6"/>
    <w:rsid w:val="00186696"/>
    <w:rsid w:val="001913E0"/>
    <w:rsid w:val="001A5FA1"/>
    <w:rsid w:val="001A6ACB"/>
    <w:rsid w:val="001B603E"/>
    <w:rsid w:val="001C2819"/>
    <w:rsid w:val="001D3C28"/>
    <w:rsid w:val="001D61ED"/>
    <w:rsid w:val="001E1516"/>
    <w:rsid w:val="001E3E7B"/>
    <w:rsid w:val="001F5C10"/>
    <w:rsid w:val="001F67C5"/>
    <w:rsid w:val="002001D6"/>
    <w:rsid w:val="00241045"/>
    <w:rsid w:val="00254A31"/>
    <w:rsid w:val="00255D41"/>
    <w:rsid w:val="00256A00"/>
    <w:rsid w:val="00261540"/>
    <w:rsid w:val="00267527"/>
    <w:rsid w:val="00271C7E"/>
    <w:rsid w:val="00276FCB"/>
    <w:rsid w:val="002812F8"/>
    <w:rsid w:val="00283FF2"/>
    <w:rsid w:val="002844AD"/>
    <w:rsid w:val="00286755"/>
    <w:rsid w:val="002A6A11"/>
    <w:rsid w:val="002A7A2B"/>
    <w:rsid w:val="002B2485"/>
    <w:rsid w:val="002B604B"/>
    <w:rsid w:val="002B7366"/>
    <w:rsid w:val="002C2609"/>
    <w:rsid w:val="002D2150"/>
    <w:rsid w:val="002D4A01"/>
    <w:rsid w:val="002E4BCC"/>
    <w:rsid w:val="002E6377"/>
    <w:rsid w:val="002F08E4"/>
    <w:rsid w:val="002F5A30"/>
    <w:rsid w:val="002F725E"/>
    <w:rsid w:val="003018C1"/>
    <w:rsid w:val="00303D96"/>
    <w:rsid w:val="003046DB"/>
    <w:rsid w:val="00313530"/>
    <w:rsid w:val="0031428C"/>
    <w:rsid w:val="00316056"/>
    <w:rsid w:val="00323322"/>
    <w:rsid w:val="0033120F"/>
    <w:rsid w:val="00334E2E"/>
    <w:rsid w:val="00347276"/>
    <w:rsid w:val="003521FD"/>
    <w:rsid w:val="003578BE"/>
    <w:rsid w:val="00362622"/>
    <w:rsid w:val="0036431D"/>
    <w:rsid w:val="00375CF6"/>
    <w:rsid w:val="0038064F"/>
    <w:rsid w:val="00382B31"/>
    <w:rsid w:val="003850AB"/>
    <w:rsid w:val="00396A55"/>
    <w:rsid w:val="003A01AD"/>
    <w:rsid w:val="003A408E"/>
    <w:rsid w:val="003A58AB"/>
    <w:rsid w:val="003B1757"/>
    <w:rsid w:val="003B3039"/>
    <w:rsid w:val="003C12D3"/>
    <w:rsid w:val="003C5ABC"/>
    <w:rsid w:val="003D3BFB"/>
    <w:rsid w:val="003E4059"/>
    <w:rsid w:val="003E599E"/>
    <w:rsid w:val="003F00B9"/>
    <w:rsid w:val="003F6CBF"/>
    <w:rsid w:val="0040252C"/>
    <w:rsid w:val="00406596"/>
    <w:rsid w:val="00407E63"/>
    <w:rsid w:val="0041505E"/>
    <w:rsid w:val="004173C4"/>
    <w:rsid w:val="00425A11"/>
    <w:rsid w:val="00444234"/>
    <w:rsid w:val="00447EA8"/>
    <w:rsid w:val="0045445C"/>
    <w:rsid w:val="00456BAD"/>
    <w:rsid w:val="0046568B"/>
    <w:rsid w:val="004672BB"/>
    <w:rsid w:val="0048778F"/>
    <w:rsid w:val="00490B57"/>
    <w:rsid w:val="004919C2"/>
    <w:rsid w:val="0049304E"/>
    <w:rsid w:val="004A1525"/>
    <w:rsid w:val="004A1CBF"/>
    <w:rsid w:val="004B006E"/>
    <w:rsid w:val="004B3308"/>
    <w:rsid w:val="004B35C8"/>
    <w:rsid w:val="004C1A4B"/>
    <w:rsid w:val="004D3E3D"/>
    <w:rsid w:val="004E296C"/>
    <w:rsid w:val="0051222C"/>
    <w:rsid w:val="00550B71"/>
    <w:rsid w:val="0055204B"/>
    <w:rsid w:val="00553260"/>
    <w:rsid w:val="00557529"/>
    <w:rsid w:val="0056068B"/>
    <w:rsid w:val="00563274"/>
    <w:rsid w:val="00566C2B"/>
    <w:rsid w:val="00576B72"/>
    <w:rsid w:val="00580E9F"/>
    <w:rsid w:val="00585828"/>
    <w:rsid w:val="00585952"/>
    <w:rsid w:val="00593313"/>
    <w:rsid w:val="0059642A"/>
    <w:rsid w:val="005A12C3"/>
    <w:rsid w:val="005A3C59"/>
    <w:rsid w:val="005A724E"/>
    <w:rsid w:val="005B41EA"/>
    <w:rsid w:val="005B5287"/>
    <w:rsid w:val="005C0370"/>
    <w:rsid w:val="005D0E23"/>
    <w:rsid w:val="005D32AB"/>
    <w:rsid w:val="005D46EB"/>
    <w:rsid w:val="005D4A12"/>
    <w:rsid w:val="005D71D1"/>
    <w:rsid w:val="005E3F0B"/>
    <w:rsid w:val="005E7159"/>
    <w:rsid w:val="005F67F7"/>
    <w:rsid w:val="0060723A"/>
    <w:rsid w:val="00607B75"/>
    <w:rsid w:val="006119EB"/>
    <w:rsid w:val="006120CC"/>
    <w:rsid w:val="006139B1"/>
    <w:rsid w:val="006247C1"/>
    <w:rsid w:val="0065456E"/>
    <w:rsid w:val="006557C8"/>
    <w:rsid w:val="00656EE0"/>
    <w:rsid w:val="006610D8"/>
    <w:rsid w:val="00664CF9"/>
    <w:rsid w:val="006737B0"/>
    <w:rsid w:val="006825AC"/>
    <w:rsid w:val="00686935"/>
    <w:rsid w:val="00694657"/>
    <w:rsid w:val="006A5595"/>
    <w:rsid w:val="006B1CEA"/>
    <w:rsid w:val="006C2A85"/>
    <w:rsid w:val="006D6BA4"/>
    <w:rsid w:val="006D72B6"/>
    <w:rsid w:val="006D7FCC"/>
    <w:rsid w:val="006E41EC"/>
    <w:rsid w:val="006E4A62"/>
    <w:rsid w:val="007100DD"/>
    <w:rsid w:val="007144AC"/>
    <w:rsid w:val="00723C48"/>
    <w:rsid w:val="00725A21"/>
    <w:rsid w:val="007262EE"/>
    <w:rsid w:val="0075045E"/>
    <w:rsid w:val="00756E89"/>
    <w:rsid w:val="007605AE"/>
    <w:rsid w:val="00764029"/>
    <w:rsid w:val="00771B68"/>
    <w:rsid w:val="00776220"/>
    <w:rsid w:val="00776822"/>
    <w:rsid w:val="007D4F9E"/>
    <w:rsid w:val="007D66DC"/>
    <w:rsid w:val="007D6B41"/>
    <w:rsid w:val="007E6102"/>
    <w:rsid w:val="007E790F"/>
    <w:rsid w:val="007F221C"/>
    <w:rsid w:val="007F4660"/>
    <w:rsid w:val="007F5E2E"/>
    <w:rsid w:val="008004A5"/>
    <w:rsid w:val="0080763C"/>
    <w:rsid w:val="008143E4"/>
    <w:rsid w:val="00816D7C"/>
    <w:rsid w:val="00823282"/>
    <w:rsid w:val="00823793"/>
    <w:rsid w:val="00826D51"/>
    <w:rsid w:val="0083157B"/>
    <w:rsid w:val="00840D1E"/>
    <w:rsid w:val="00844265"/>
    <w:rsid w:val="00871646"/>
    <w:rsid w:val="00873992"/>
    <w:rsid w:val="00885747"/>
    <w:rsid w:val="0088679E"/>
    <w:rsid w:val="00890848"/>
    <w:rsid w:val="00894E70"/>
    <w:rsid w:val="008A504B"/>
    <w:rsid w:val="008B17BF"/>
    <w:rsid w:val="008C6910"/>
    <w:rsid w:val="008D128B"/>
    <w:rsid w:val="008D564E"/>
    <w:rsid w:val="008D6341"/>
    <w:rsid w:val="008F4A34"/>
    <w:rsid w:val="008F6B95"/>
    <w:rsid w:val="0090105F"/>
    <w:rsid w:val="00915D8E"/>
    <w:rsid w:val="009304CE"/>
    <w:rsid w:val="00942454"/>
    <w:rsid w:val="00950D65"/>
    <w:rsid w:val="009518EC"/>
    <w:rsid w:val="00953BD5"/>
    <w:rsid w:val="009561F4"/>
    <w:rsid w:val="00971D4D"/>
    <w:rsid w:val="009745CE"/>
    <w:rsid w:val="0097673F"/>
    <w:rsid w:val="00980AC7"/>
    <w:rsid w:val="00983908"/>
    <w:rsid w:val="0099074C"/>
    <w:rsid w:val="00997094"/>
    <w:rsid w:val="0099741C"/>
    <w:rsid w:val="00997583"/>
    <w:rsid w:val="009A0B8D"/>
    <w:rsid w:val="009A5C2A"/>
    <w:rsid w:val="009B1754"/>
    <w:rsid w:val="009B31E1"/>
    <w:rsid w:val="009C0D13"/>
    <w:rsid w:val="009D01CB"/>
    <w:rsid w:val="009E1E08"/>
    <w:rsid w:val="009E2929"/>
    <w:rsid w:val="009F412D"/>
    <w:rsid w:val="009F4C02"/>
    <w:rsid w:val="009F4D00"/>
    <w:rsid w:val="009F7D4B"/>
    <w:rsid w:val="00A025D9"/>
    <w:rsid w:val="00A10562"/>
    <w:rsid w:val="00A165FF"/>
    <w:rsid w:val="00A17AA6"/>
    <w:rsid w:val="00A2722E"/>
    <w:rsid w:val="00A27B25"/>
    <w:rsid w:val="00A30A2D"/>
    <w:rsid w:val="00A338E3"/>
    <w:rsid w:val="00A35956"/>
    <w:rsid w:val="00A35CC8"/>
    <w:rsid w:val="00A37D9E"/>
    <w:rsid w:val="00A46179"/>
    <w:rsid w:val="00A51AC3"/>
    <w:rsid w:val="00A526A1"/>
    <w:rsid w:val="00A55CA7"/>
    <w:rsid w:val="00A60305"/>
    <w:rsid w:val="00A73DCF"/>
    <w:rsid w:val="00A73F74"/>
    <w:rsid w:val="00A80A3F"/>
    <w:rsid w:val="00A95A9A"/>
    <w:rsid w:val="00AA07F7"/>
    <w:rsid w:val="00AA1439"/>
    <w:rsid w:val="00AA35FD"/>
    <w:rsid w:val="00AA5A1B"/>
    <w:rsid w:val="00AA6AC6"/>
    <w:rsid w:val="00AB34DC"/>
    <w:rsid w:val="00AB49D3"/>
    <w:rsid w:val="00AB5683"/>
    <w:rsid w:val="00AB5D2E"/>
    <w:rsid w:val="00AC58EB"/>
    <w:rsid w:val="00AD1B50"/>
    <w:rsid w:val="00AD22B7"/>
    <w:rsid w:val="00AD37A6"/>
    <w:rsid w:val="00AD39F5"/>
    <w:rsid w:val="00AD7338"/>
    <w:rsid w:val="00AE02B4"/>
    <w:rsid w:val="00AE2EF2"/>
    <w:rsid w:val="00AF1AB2"/>
    <w:rsid w:val="00AF5B25"/>
    <w:rsid w:val="00AF611D"/>
    <w:rsid w:val="00B03D6D"/>
    <w:rsid w:val="00B04A82"/>
    <w:rsid w:val="00B04ABF"/>
    <w:rsid w:val="00B055EE"/>
    <w:rsid w:val="00B06CEC"/>
    <w:rsid w:val="00B0702B"/>
    <w:rsid w:val="00B13061"/>
    <w:rsid w:val="00B14A39"/>
    <w:rsid w:val="00B20F31"/>
    <w:rsid w:val="00B212DB"/>
    <w:rsid w:val="00B26540"/>
    <w:rsid w:val="00B36905"/>
    <w:rsid w:val="00B41C7E"/>
    <w:rsid w:val="00B43EA4"/>
    <w:rsid w:val="00B46F91"/>
    <w:rsid w:val="00B602F3"/>
    <w:rsid w:val="00B6645A"/>
    <w:rsid w:val="00B73184"/>
    <w:rsid w:val="00B74DFE"/>
    <w:rsid w:val="00B7501D"/>
    <w:rsid w:val="00B7647A"/>
    <w:rsid w:val="00B81C5A"/>
    <w:rsid w:val="00B81D0C"/>
    <w:rsid w:val="00B8232D"/>
    <w:rsid w:val="00B82B26"/>
    <w:rsid w:val="00B91897"/>
    <w:rsid w:val="00BC0429"/>
    <w:rsid w:val="00BC5848"/>
    <w:rsid w:val="00BC7E30"/>
    <w:rsid w:val="00BD1EE7"/>
    <w:rsid w:val="00BD591B"/>
    <w:rsid w:val="00BE18A1"/>
    <w:rsid w:val="00BE4987"/>
    <w:rsid w:val="00BF0E15"/>
    <w:rsid w:val="00BF1378"/>
    <w:rsid w:val="00C00458"/>
    <w:rsid w:val="00C02A98"/>
    <w:rsid w:val="00C1074F"/>
    <w:rsid w:val="00C17EE5"/>
    <w:rsid w:val="00C20449"/>
    <w:rsid w:val="00C21747"/>
    <w:rsid w:val="00C307BD"/>
    <w:rsid w:val="00C36DDF"/>
    <w:rsid w:val="00C41BC3"/>
    <w:rsid w:val="00C44013"/>
    <w:rsid w:val="00C55C49"/>
    <w:rsid w:val="00C569E9"/>
    <w:rsid w:val="00C57A0E"/>
    <w:rsid w:val="00C6188F"/>
    <w:rsid w:val="00C72510"/>
    <w:rsid w:val="00C84863"/>
    <w:rsid w:val="00C86AFA"/>
    <w:rsid w:val="00C93085"/>
    <w:rsid w:val="00C93F6C"/>
    <w:rsid w:val="00CA3318"/>
    <w:rsid w:val="00CB2A27"/>
    <w:rsid w:val="00CB642C"/>
    <w:rsid w:val="00CB6A13"/>
    <w:rsid w:val="00CC2820"/>
    <w:rsid w:val="00CC322D"/>
    <w:rsid w:val="00CC74BE"/>
    <w:rsid w:val="00CC7752"/>
    <w:rsid w:val="00CD0524"/>
    <w:rsid w:val="00CD2688"/>
    <w:rsid w:val="00CD2D66"/>
    <w:rsid w:val="00CE1056"/>
    <w:rsid w:val="00CE4471"/>
    <w:rsid w:val="00CE515F"/>
    <w:rsid w:val="00CF67D1"/>
    <w:rsid w:val="00D13F4F"/>
    <w:rsid w:val="00D167A0"/>
    <w:rsid w:val="00D276D2"/>
    <w:rsid w:val="00D45D77"/>
    <w:rsid w:val="00D551CD"/>
    <w:rsid w:val="00D62A5E"/>
    <w:rsid w:val="00D70A28"/>
    <w:rsid w:val="00D86E3B"/>
    <w:rsid w:val="00D90B7C"/>
    <w:rsid w:val="00D926F7"/>
    <w:rsid w:val="00D96548"/>
    <w:rsid w:val="00DA389F"/>
    <w:rsid w:val="00DA6A5C"/>
    <w:rsid w:val="00DA6B82"/>
    <w:rsid w:val="00DA7B8E"/>
    <w:rsid w:val="00DB008E"/>
    <w:rsid w:val="00DB57FA"/>
    <w:rsid w:val="00DC598E"/>
    <w:rsid w:val="00DE02D0"/>
    <w:rsid w:val="00DE181E"/>
    <w:rsid w:val="00DE436A"/>
    <w:rsid w:val="00E0057B"/>
    <w:rsid w:val="00E04299"/>
    <w:rsid w:val="00E10CCC"/>
    <w:rsid w:val="00E148A7"/>
    <w:rsid w:val="00E20A86"/>
    <w:rsid w:val="00E2268D"/>
    <w:rsid w:val="00E25C10"/>
    <w:rsid w:val="00E32A0E"/>
    <w:rsid w:val="00E463C4"/>
    <w:rsid w:val="00E476AD"/>
    <w:rsid w:val="00E47F08"/>
    <w:rsid w:val="00E63BB1"/>
    <w:rsid w:val="00E76349"/>
    <w:rsid w:val="00E76C49"/>
    <w:rsid w:val="00E820A6"/>
    <w:rsid w:val="00E82FC4"/>
    <w:rsid w:val="00E93E4A"/>
    <w:rsid w:val="00E951AD"/>
    <w:rsid w:val="00EA2A26"/>
    <w:rsid w:val="00EA52CE"/>
    <w:rsid w:val="00EB6573"/>
    <w:rsid w:val="00EC09CE"/>
    <w:rsid w:val="00EC0AAA"/>
    <w:rsid w:val="00EC5226"/>
    <w:rsid w:val="00ED4F91"/>
    <w:rsid w:val="00ED7F06"/>
    <w:rsid w:val="00EE4B74"/>
    <w:rsid w:val="00EE552E"/>
    <w:rsid w:val="00EF2F63"/>
    <w:rsid w:val="00EF5C32"/>
    <w:rsid w:val="00F03A51"/>
    <w:rsid w:val="00F05A47"/>
    <w:rsid w:val="00F0681D"/>
    <w:rsid w:val="00F07E4A"/>
    <w:rsid w:val="00F17D95"/>
    <w:rsid w:val="00F263F9"/>
    <w:rsid w:val="00F33751"/>
    <w:rsid w:val="00F3453D"/>
    <w:rsid w:val="00F37FCB"/>
    <w:rsid w:val="00F43292"/>
    <w:rsid w:val="00F55B7E"/>
    <w:rsid w:val="00F61641"/>
    <w:rsid w:val="00F62D82"/>
    <w:rsid w:val="00F65160"/>
    <w:rsid w:val="00F70DD1"/>
    <w:rsid w:val="00F7498F"/>
    <w:rsid w:val="00F75A49"/>
    <w:rsid w:val="00F76032"/>
    <w:rsid w:val="00F7613F"/>
    <w:rsid w:val="00F7634C"/>
    <w:rsid w:val="00F764D0"/>
    <w:rsid w:val="00F76D7F"/>
    <w:rsid w:val="00F76D83"/>
    <w:rsid w:val="00F80A06"/>
    <w:rsid w:val="00F93ECF"/>
    <w:rsid w:val="00F94EFE"/>
    <w:rsid w:val="00FB102E"/>
    <w:rsid w:val="00FB1B53"/>
    <w:rsid w:val="00FB2724"/>
    <w:rsid w:val="00FB30A4"/>
    <w:rsid w:val="00FB47A0"/>
    <w:rsid w:val="00FB484C"/>
    <w:rsid w:val="00FB788D"/>
    <w:rsid w:val="00FB7A52"/>
    <w:rsid w:val="00FC6EAB"/>
    <w:rsid w:val="00FD274C"/>
    <w:rsid w:val="00FD6F04"/>
    <w:rsid w:val="00FE07EF"/>
    <w:rsid w:val="00FE2A83"/>
    <w:rsid w:val="00FE6885"/>
    <w:rsid w:val="00FE6BDD"/>
    <w:rsid w:val="00FF0013"/>
    <w:rsid w:val="00FF10DA"/>
    <w:rsid w:val="00FF687F"/>
    <w:rsid w:val="01062EEC"/>
    <w:rsid w:val="01066A48"/>
    <w:rsid w:val="010B75EB"/>
    <w:rsid w:val="010D427B"/>
    <w:rsid w:val="013E4434"/>
    <w:rsid w:val="018117C1"/>
    <w:rsid w:val="018146BC"/>
    <w:rsid w:val="01865798"/>
    <w:rsid w:val="01910A08"/>
    <w:rsid w:val="01BC48BA"/>
    <w:rsid w:val="01BD17FD"/>
    <w:rsid w:val="01BD6817"/>
    <w:rsid w:val="01C67A7F"/>
    <w:rsid w:val="01CD7566"/>
    <w:rsid w:val="01CF32DE"/>
    <w:rsid w:val="01D86703"/>
    <w:rsid w:val="01DA46B9"/>
    <w:rsid w:val="01DF6AA8"/>
    <w:rsid w:val="01FF1E15"/>
    <w:rsid w:val="02005B8D"/>
    <w:rsid w:val="02021905"/>
    <w:rsid w:val="020E2058"/>
    <w:rsid w:val="02133725"/>
    <w:rsid w:val="02196006"/>
    <w:rsid w:val="02251150"/>
    <w:rsid w:val="023613C7"/>
    <w:rsid w:val="023B4FA2"/>
    <w:rsid w:val="02503296"/>
    <w:rsid w:val="02511F45"/>
    <w:rsid w:val="02552160"/>
    <w:rsid w:val="0256755B"/>
    <w:rsid w:val="02590402"/>
    <w:rsid w:val="026056DF"/>
    <w:rsid w:val="026B6BDD"/>
    <w:rsid w:val="026E0517"/>
    <w:rsid w:val="02721349"/>
    <w:rsid w:val="02897931"/>
    <w:rsid w:val="0293255D"/>
    <w:rsid w:val="029C5D3A"/>
    <w:rsid w:val="02A824AD"/>
    <w:rsid w:val="02C62933"/>
    <w:rsid w:val="02E34EA5"/>
    <w:rsid w:val="030176FB"/>
    <w:rsid w:val="03083283"/>
    <w:rsid w:val="03194A61"/>
    <w:rsid w:val="031E62CB"/>
    <w:rsid w:val="03205208"/>
    <w:rsid w:val="03205647"/>
    <w:rsid w:val="03280F36"/>
    <w:rsid w:val="0328539C"/>
    <w:rsid w:val="0333257A"/>
    <w:rsid w:val="03394EB3"/>
    <w:rsid w:val="033D0017"/>
    <w:rsid w:val="033D2D5F"/>
    <w:rsid w:val="033E4BBF"/>
    <w:rsid w:val="034C72DC"/>
    <w:rsid w:val="03575C81"/>
    <w:rsid w:val="03653EFA"/>
    <w:rsid w:val="03682BA6"/>
    <w:rsid w:val="03691062"/>
    <w:rsid w:val="036B1E87"/>
    <w:rsid w:val="03824272"/>
    <w:rsid w:val="03870314"/>
    <w:rsid w:val="038A15BC"/>
    <w:rsid w:val="03915587"/>
    <w:rsid w:val="039274DD"/>
    <w:rsid w:val="03965151"/>
    <w:rsid w:val="0399389A"/>
    <w:rsid w:val="039D426C"/>
    <w:rsid w:val="03AF33C1"/>
    <w:rsid w:val="03BB1D6C"/>
    <w:rsid w:val="03EA08A3"/>
    <w:rsid w:val="03F62DA4"/>
    <w:rsid w:val="03FD5B9C"/>
    <w:rsid w:val="04023C70"/>
    <w:rsid w:val="04070988"/>
    <w:rsid w:val="04101AA4"/>
    <w:rsid w:val="04243DB5"/>
    <w:rsid w:val="04267B2D"/>
    <w:rsid w:val="044313D6"/>
    <w:rsid w:val="04B1068B"/>
    <w:rsid w:val="04BD2621"/>
    <w:rsid w:val="04BD453F"/>
    <w:rsid w:val="04D74983"/>
    <w:rsid w:val="04DD3F64"/>
    <w:rsid w:val="04F33EFA"/>
    <w:rsid w:val="04F70794"/>
    <w:rsid w:val="04F82B4C"/>
    <w:rsid w:val="04F96FF0"/>
    <w:rsid w:val="05094D06"/>
    <w:rsid w:val="050F15EC"/>
    <w:rsid w:val="05143E2A"/>
    <w:rsid w:val="051904CC"/>
    <w:rsid w:val="051B76CD"/>
    <w:rsid w:val="05290F57"/>
    <w:rsid w:val="054F4E62"/>
    <w:rsid w:val="055432E3"/>
    <w:rsid w:val="055F5908"/>
    <w:rsid w:val="056A43A2"/>
    <w:rsid w:val="057448C8"/>
    <w:rsid w:val="057A2C00"/>
    <w:rsid w:val="0583332C"/>
    <w:rsid w:val="059A4CE1"/>
    <w:rsid w:val="05A84572"/>
    <w:rsid w:val="05B60A3D"/>
    <w:rsid w:val="05BE5B43"/>
    <w:rsid w:val="05C018BB"/>
    <w:rsid w:val="05C55B0A"/>
    <w:rsid w:val="05DD185D"/>
    <w:rsid w:val="05E519BA"/>
    <w:rsid w:val="05E66A8C"/>
    <w:rsid w:val="05F11A75"/>
    <w:rsid w:val="05F20275"/>
    <w:rsid w:val="05F551FA"/>
    <w:rsid w:val="05F61781"/>
    <w:rsid w:val="060B3E7E"/>
    <w:rsid w:val="061F61BA"/>
    <w:rsid w:val="062F19B9"/>
    <w:rsid w:val="062F78A0"/>
    <w:rsid w:val="063A78C0"/>
    <w:rsid w:val="064F4566"/>
    <w:rsid w:val="06616D34"/>
    <w:rsid w:val="06682119"/>
    <w:rsid w:val="068B0223"/>
    <w:rsid w:val="06A4058D"/>
    <w:rsid w:val="06BA630B"/>
    <w:rsid w:val="06BF6642"/>
    <w:rsid w:val="06CA06CA"/>
    <w:rsid w:val="06D84AD0"/>
    <w:rsid w:val="06DE46EF"/>
    <w:rsid w:val="06EB6E0C"/>
    <w:rsid w:val="06ED6E5F"/>
    <w:rsid w:val="06F12C84"/>
    <w:rsid w:val="07041C7C"/>
    <w:rsid w:val="07094094"/>
    <w:rsid w:val="070954E4"/>
    <w:rsid w:val="07121927"/>
    <w:rsid w:val="07181283"/>
    <w:rsid w:val="071A1FD4"/>
    <w:rsid w:val="07252831"/>
    <w:rsid w:val="072564FC"/>
    <w:rsid w:val="07320957"/>
    <w:rsid w:val="073E48D6"/>
    <w:rsid w:val="074D4254"/>
    <w:rsid w:val="074E2EF7"/>
    <w:rsid w:val="07500A1D"/>
    <w:rsid w:val="075C5855"/>
    <w:rsid w:val="07656609"/>
    <w:rsid w:val="076A36E5"/>
    <w:rsid w:val="07702E6D"/>
    <w:rsid w:val="078F6413"/>
    <w:rsid w:val="07C31D5B"/>
    <w:rsid w:val="07CD1A62"/>
    <w:rsid w:val="07D13CE1"/>
    <w:rsid w:val="07D462CC"/>
    <w:rsid w:val="07F4584C"/>
    <w:rsid w:val="07F615C4"/>
    <w:rsid w:val="080F215A"/>
    <w:rsid w:val="081910DD"/>
    <w:rsid w:val="081E0B1B"/>
    <w:rsid w:val="082E6D53"/>
    <w:rsid w:val="08364679"/>
    <w:rsid w:val="08387E2F"/>
    <w:rsid w:val="08423BD7"/>
    <w:rsid w:val="08484B64"/>
    <w:rsid w:val="084E51DF"/>
    <w:rsid w:val="085A6F61"/>
    <w:rsid w:val="086467C6"/>
    <w:rsid w:val="086F4CD4"/>
    <w:rsid w:val="087B7D1C"/>
    <w:rsid w:val="08826B46"/>
    <w:rsid w:val="089120B1"/>
    <w:rsid w:val="08A07782"/>
    <w:rsid w:val="08A7734D"/>
    <w:rsid w:val="08A94889"/>
    <w:rsid w:val="08B12BD3"/>
    <w:rsid w:val="08B50D5A"/>
    <w:rsid w:val="08B80F70"/>
    <w:rsid w:val="08C22586"/>
    <w:rsid w:val="08CB50A1"/>
    <w:rsid w:val="08D13DE0"/>
    <w:rsid w:val="08DC4C5E"/>
    <w:rsid w:val="091268D2"/>
    <w:rsid w:val="092B7994"/>
    <w:rsid w:val="09497E1A"/>
    <w:rsid w:val="09540C99"/>
    <w:rsid w:val="095852CB"/>
    <w:rsid w:val="095A3DD5"/>
    <w:rsid w:val="0960626F"/>
    <w:rsid w:val="096505C6"/>
    <w:rsid w:val="09664528"/>
    <w:rsid w:val="096864F2"/>
    <w:rsid w:val="096A2870"/>
    <w:rsid w:val="09706D78"/>
    <w:rsid w:val="097D59CC"/>
    <w:rsid w:val="098037C2"/>
    <w:rsid w:val="09864BCA"/>
    <w:rsid w:val="098B3F8E"/>
    <w:rsid w:val="098C2FDB"/>
    <w:rsid w:val="09AA6728"/>
    <w:rsid w:val="09B44F11"/>
    <w:rsid w:val="09BE129E"/>
    <w:rsid w:val="09C778C0"/>
    <w:rsid w:val="09CB21A9"/>
    <w:rsid w:val="09CE4847"/>
    <w:rsid w:val="09D33008"/>
    <w:rsid w:val="09DC0409"/>
    <w:rsid w:val="09DD2DF2"/>
    <w:rsid w:val="09E5240F"/>
    <w:rsid w:val="09E707A0"/>
    <w:rsid w:val="09EA6F07"/>
    <w:rsid w:val="09F5101B"/>
    <w:rsid w:val="0A140428"/>
    <w:rsid w:val="0A1421D6"/>
    <w:rsid w:val="0A320DD3"/>
    <w:rsid w:val="0A4E6813"/>
    <w:rsid w:val="0A5151D8"/>
    <w:rsid w:val="0A5D0D48"/>
    <w:rsid w:val="0A670D6D"/>
    <w:rsid w:val="0A6E69C4"/>
    <w:rsid w:val="0A717628"/>
    <w:rsid w:val="0A764C3F"/>
    <w:rsid w:val="0A7E74B7"/>
    <w:rsid w:val="0A8316B6"/>
    <w:rsid w:val="0A890C78"/>
    <w:rsid w:val="0A92134D"/>
    <w:rsid w:val="0AA5215D"/>
    <w:rsid w:val="0AA52EBD"/>
    <w:rsid w:val="0AA9231F"/>
    <w:rsid w:val="0AA96DC2"/>
    <w:rsid w:val="0AAA48E8"/>
    <w:rsid w:val="0AD876A7"/>
    <w:rsid w:val="0AEA2F37"/>
    <w:rsid w:val="0AF2606C"/>
    <w:rsid w:val="0B2E1485"/>
    <w:rsid w:val="0B352404"/>
    <w:rsid w:val="0B380146"/>
    <w:rsid w:val="0B4C33C5"/>
    <w:rsid w:val="0B4C599F"/>
    <w:rsid w:val="0B534A39"/>
    <w:rsid w:val="0B583175"/>
    <w:rsid w:val="0B5A630E"/>
    <w:rsid w:val="0B666A61"/>
    <w:rsid w:val="0B683107"/>
    <w:rsid w:val="0B6D4294"/>
    <w:rsid w:val="0B914909"/>
    <w:rsid w:val="0B927856"/>
    <w:rsid w:val="0BA47589"/>
    <w:rsid w:val="0BB73761"/>
    <w:rsid w:val="0BB91287"/>
    <w:rsid w:val="0BBC48D3"/>
    <w:rsid w:val="0BC50D28"/>
    <w:rsid w:val="0BC86369"/>
    <w:rsid w:val="0BD7795F"/>
    <w:rsid w:val="0BF724D8"/>
    <w:rsid w:val="0C000C64"/>
    <w:rsid w:val="0C010AE8"/>
    <w:rsid w:val="0C023101"/>
    <w:rsid w:val="0C0B585A"/>
    <w:rsid w:val="0C153FA6"/>
    <w:rsid w:val="0C1D7BFA"/>
    <w:rsid w:val="0C2A5CE1"/>
    <w:rsid w:val="0C311A80"/>
    <w:rsid w:val="0C384898"/>
    <w:rsid w:val="0C393A70"/>
    <w:rsid w:val="0C400627"/>
    <w:rsid w:val="0C4D7C21"/>
    <w:rsid w:val="0C5B52D0"/>
    <w:rsid w:val="0C5E3BDC"/>
    <w:rsid w:val="0C6A56C7"/>
    <w:rsid w:val="0C726BE9"/>
    <w:rsid w:val="0C8A4468"/>
    <w:rsid w:val="0C9B273A"/>
    <w:rsid w:val="0CD345CA"/>
    <w:rsid w:val="0CDE6ACB"/>
    <w:rsid w:val="0CEF2A86"/>
    <w:rsid w:val="0CF87B8D"/>
    <w:rsid w:val="0D00780E"/>
    <w:rsid w:val="0D0F04C2"/>
    <w:rsid w:val="0D18022F"/>
    <w:rsid w:val="0D29026C"/>
    <w:rsid w:val="0D291525"/>
    <w:rsid w:val="0D3F6F08"/>
    <w:rsid w:val="0D404258"/>
    <w:rsid w:val="0D417786"/>
    <w:rsid w:val="0D5142D2"/>
    <w:rsid w:val="0D5B1C94"/>
    <w:rsid w:val="0D6276FC"/>
    <w:rsid w:val="0D646FD0"/>
    <w:rsid w:val="0D660F9A"/>
    <w:rsid w:val="0D7A67F4"/>
    <w:rsid w:val="0D846222"/>
    <w:rsid w:val="0D906017"/>
    <w:rsid w:val="0D930DE1"/>
    <w:rsid w:val="0DA11FD2"/>
    <w:rsid w:val="0DAA1045"/>
    <w:rsid w:val="0DAF1ECE"/>
    <w:rsid w:val="0DBD15EE"/>
    <w:rsid w:val="0DC73CDF"/>
    <w:rsid w:val="0DE63E89"/>
    <w:rsid w:val="0DE7227D"/>
    <w:rsid w:val="0DEE21D7"/>
    <w:rsid w:val="0E072635"/>
    <w:rsid w:val="0E0A6763"/>
    <w:rsid w:val="0E324B23"/>
    <w:rsid w:val="0E3472A5"/>
    <w:rsid w:val="0E555F42"/>
    <w:rsid w:val="0E6A2D0C"/>
    <w:rsid w:val="0E6B438E"/>
    <w:rsid w:val="0E78592B"/>
    <w:rsid w:val="0E7E7133"/>
    <w:rsid w:val="0E8867FA"/>
    <w:rsid w:val="0E9C299C"/>
    <w:rsid w:val="0E9E29B6"/>
    <w:rsid w:val="0EB65F51"/>
    <w:rsid w:val="0ECC7523"/>
    <w:rsid w:val="0ED85EC8"/>
    <w:rsid w:val="0EE170EA"/>
    <w:rsid w:val="0EE81414"/>
    <w:rsid w:val="0EEE030E"/>
    <w:rsid w:val="0EEF4387"/>
    <w:rsid w:val="0EF15D5C"/>
    <w:rsid w:val="0EF619F6"/>
    <w:rsid w:val="0EF8445B"/>
    <w:rsid w:val="0EFC3981"/>
    <w:rsid w:val="0EFF3DDE"/>
    <w:rsid w:val="0F236DD3"/>
    <w:rsid w:val="0F2A424A"/>
    <w:rsid w:val="0F403E47"/>
    <w:rsid w:val="0F6F69D3"/>
    <w:rsid w:val="0F7D25CB"/>
    <w:rsid w:val="0F854FE4"/>
    <w:rsid w:val="0F855859"/>
    <w:rsid w:val="0F8E47D8"/>
    <w:rsid w:val="0F8F70F5"/>
    <w:rsid w:val="0F953DB9"/>
    <w:rsid w:val="0F9C1270"/>
    <w:rsid w:val="0FA2244A"/>
    <w:rsid w:val="0FB360BB"/>
    <w:rsid w:val="0FC402A4"/>
    <w:rsid w:val="0FC63F72"/>
    <w:rsid w:val="0FD04DF1"/>
    <w:rsid w:val="0FD81EB4"/>
    <w:rsid w:val="0FE438C8"/>
    <w:rsid w:val="0FFF1232"/>
    <w:rsid w:val="10025BC8"/>
    <w:rsid w:val="10067455"/>
    <w:rsid w:val="101E3DAE"/>
    <w:rsid w:val="10221347"/>
    <w:rsid w:val="102F1E22"/>
    <w:rsid w:val="10303BCC"/>
    <w:rsid w:val="1030763E"/>
    <w:rsid w:val="10313A25"/>
    <w:rsid w:val="103F5AD3"/>
    <w:rsid w:val="10516791"/>
    <w:rsid w:val="105700EB"/>
    <w:rsid w:val="1057702E"/>
    <w:rsid w:val="10597FF8"/>
    <w:rsid w:val="1064587E"/>
    <w:rsid w:val="10647FC7"/>
    <w:rsid w:val="106A6FF4"/>
    <w:rsid w:val="10757746"/>
    <w:rsid w:val="107939B1"/>
    <w:rsid w:val="107C055F"/>
    <w:rsid w:val="107E2A9F"/>
    <w:rsid w:val="10923DA8"/>
    <w:rsid w:val="109776BD"/>
    <w:rsid w:val="10993435"/>
    <w:rsid w:val="10A67900"/>
    <w:rsid w:val="10B95885"/>
    <w:rsid w:val="10BF5AFA"/>
    <w:rsid w:val="10D87F49"/>
    <w:rsid w:val="10E7106E"/>
    <w:rsid w:val="10F53430"/>
    <w:rsid w:val="11020FDA"/>
    <w:rsid w:val="11050ACA"/>
    <w:rsid w:val="1106155B"/>
    <w:rsid w:val="11082369"/>
    <w:rsid w:val="1116328E"/>
    <w:rsid w:val="1125708C"/>
    <w:rsid w:val="11260D8F"/>
    <w:rsid w:val="113608CF"/>
    <w:rsid w:val="113D39E9"/>
    <w:rsid w:val="113E2E5F"/>
    <w:rsid w:val="114E421F"/>
    <w:rsid w:val="1154735C"/>
    <w:rsid w:val="115B4B8E"/>
    <w:rsid w:val="11720898"/>
    <w:rsid w:val="11731D72"/>
    <w:rsid w:val="117B6F04"/>
    <w:rsid w:val="11895257"/>
    <w:rsid w:val="118B48BD"/>
    <w:rsid w:val="1194159F"/>
    <w:rsid w:val="119500A0"/>
    <w:rsid w:val="11A40933"/>
    <w:rsid w:val="11A958FA"/>
    <w:rsid w:val="11B20C52"/>
    <w:rsid w:val="11B76268"/>
    <w:rsid w:val="11BA5663"/>
    <w:rsid w:val="11C444E1"/>
    <w:rsid w:val="11C71B03"/>
    <w:rsid w:val="11CB257E"/>
    <w:rsid w:val="11E8713C"/>
    <w:rsid w:val="11F730FC"/>
    <w:rsid w:val="11FE3E97"/>
    <w:rsid w:val="12135469"/>
    <w:rsid w:val="121A3E42"/>
    <w:rsid w:val="122B630F"/>
    <w:rsid w:val="122D0B62"/>
    <w:rsid w:val="122D652B"/>
    <w:rsid w:val="12404407"/>
    <w:rsid w:val="12463148"/>
    <w:rsid w:val="12597E88"/>
    <w:rsid w:val="126E241E"/>
    <w:rsid w:val="127E0B34"/>
    <w:rsid w:val="12836248"/>
    <w:rsid w:val="12A15AE1"/>
    <w:rsid w:val="12A6008B"/>
    <w:rsid w:val="12AD19F7"/>
    <w:rsid w:val="12B502CE"/>
    <w:rsid w:val="12C549B5"/>
    <w:rsid w:val="12DB1EEA"/>
    <w:rsid w:val="12E125D6"/>
    <w:rsid w:val="12F634DC"/>
    <w:rsid w:val="12F928B1"/>
    <w:rsid w:val="12FF5F0C"/>
    <w:rsid w:val="13076D7C"/>
    <w:rsid w:val="130D1EB8"/>
    <w:rsid w:val="131E40C5"/>
    <w:rsid w:val="13292A34"/>
    <w:rsid w:val="132C233E"/>
    <w:rsid w:val="13370CE3"/>
    <w:rsid w:val="13475C0F"/>
    <w:rsid w:val="134A6C68"/>
    <w:rsid w:val="135935DB"/>
    <w:rsid w:val="13630E68"/>
    <w:rsid w:val="13647F6B"/>
    <w:rsid w:val="136C052B"/>
    <w:rsid w:val="136D076B"/>
    <w:rsid w:val="13781A27"/>
    <w:rsid w:val="13AA4738"/>
    <w:rsid w:val="13B01ACC"/>
    <w:rsid w:val="13B31B41"/>
    <w:rsid w:val="13B43D64"/>
    <w:rsid w:val="13BF6174"/>
    <w:rsid w:val="13C174E8"/>
    <w:rsid w:val="13C20EF5"/>
    <w:rsid w:val="13CC35C6"/>
    <w:rsid w:val="13D23C34"/>
    <w:rsid w:val="13D25485"/>
    <w:rsid w:val="13D529D6"/>
    <w:rsid w:val="13DB09C3"/>
    <w:rsid w:val="13FC512A"/>
    <w:rsid w:val="140052C2"/>
    <w:rsid w:val="14180B15"/>
    <w:rsid w:val="141D25CF"/>
    <w:rsid w:val="142B7D95"/>
    <w:rsid w:val="14623A1F"/>
    <w:rsid w:val="14640102"/>
    <w:rsid w:val="14697FC0"/>
    <w:rsid w:val="14860F5C"/>
    <w:rsid w:val="148D1503"/>
    <w:rsid w:val="14941322"/>
    <w:rsid w:val="14952165"/>
    <w:rsid w:val="14AD3150"/>
    <w:rsid w:val="14B5438D"/>
    <w:rsid w:val="14C237F1"/>
    <w:rsid w:val="14C311E8"/>
    <w:rsid w:val="14C34F24"/>
    <w:rsid w:val="14C50C9C"/>
    <w:rsid w:val="14C750E1"/>
    <w:rsid w:val="14CB5942"/>
    <w:rsid w:val="14E530ED"/>
    <w:rsid w:val="14F670A8"/>
    <w:rsid w:val="14FC21E4"/>
    <w:rsid w:val="1502169B"/>
    <w:rsid w:val="151359E0"/>
    <w:rsid w:val="15171117"/>
    <w:rsid w:val="15177CB6"/>
    <w:rsid w:val="1519109A"/>
    <w:rsid w:val="15192D96"/>
    <w:rsid w:val="151F3822"/>
    <w:rsid w:val="15264D8E"/>
    <w:rsid w:val="153A3C2D"/>
    <w:rsid w:val="153B087C"/>
    <w:rsid w:val="154716B1"/>
    <w:rsid w:val="155D088A"/>
    <w:rsid w:val="1570239E"/>
    <w:rsid w:val="15714980"/>
    <w:rsid w:val="15915022"/>
    <w:rsid w:val="15AC0A2C"/>
    <w:rsid w:val="15B6217B"/>
    <w:rsid w:val="15BA6327"/>
    <w:rsid w:val="15C76C14"/>
    <w:rsid w:val="15D75F26"/>
    <w:rsid w:val="15DA02B3"/>
    <w:rsid w:val="15EE7D7F"/>
    <w:rsid w:val="15FF24CF"/>
    <w:rsid w:val="1610340A"/>
    <w:rsid w:val="161833C3"/>
    <w:rsid w:val="162639BD"/>
    <w:rsid w:val="16297009"/>
    <w:rsid w:val="162C08A7"/>
    <w:rsid w:val="163C6D3C"/>
    <w:rsid w:val="166242C9"/>
    <w:rsid w:val="166338B1"/>
    <w:rsid w:val="166E18A1"/>
    <w:rsid w:val="16746484"/>
    <w:rsid w:val="168B5AAC"/>
    <w:rsid w:val="16950879"/>
    <w:rsid w:val="169A4262"/>
    <w:rsid w:val="16B5089D"/>
    <w:rsid w:val="16C86822"/>
    <w:rsid w:val="16CD690B"/>
    <w:rsid w:val="16D06155"/>
    <w:rsid w:val="16D7443F"/>
    <w:rsid w:val="16FC471D"/>
    <w:rsid w:val="17000EE5"/>
    <w:rsid w:val="17094A67"/>
    <w:rsid w:val="170A0BE8"/>
    <w:rsid w:val="170D2F07"/>
    <w:rsid w:val="17126A87"/>
    <w:rsid w:val="172B6DB1"/>
    <w:rsid w:val="17345C65"/>
    <w:rsid w:val="17465999"/>
    <w:rsid w:val="174D31CB"/>
    <w:rsid w:val="174D4F79"/>
    <w:rsid w:val="176B6A0A"/>
    <w:rsid w:val="176F47AF"/>
    <w:rsid w:val="17795D6E"/>
    <w:rsid w:val="177B042B"/>
    <w:rsid w:val="17A032FB"/>
    <w:rsid w:val="17A10E21"/>
    <w:rsid w:val="17A50911"/>
    <w:rsid w:val="17BE4BA3"/>
    <w:rsid w:val="17CC308A"/>
    <w:rsid w:val="17CC40F0"/>
    <w:rsid w:val="17CF1E32"/>
    <w:rsid w:val="17DB70A1"/>
    <w:rsid w:val="17E01949"/>
    <w:rsid w:val="17E85080"/>
    <w:rsid w:val="17F11DA8"/>
    <w:rsid w:val="17F27011"/>
    <w:rsid w:val="17F378CF"/>
    <w:rsid w:val="17F45E20"/>
    <w:rsid w:val="17F72AB1"/>
    <w:rsid w:val="17FA6EAF"/>
    <w:rsid w:val="18036C31"/>
    <w:rsid w:val="180917A0"/>
    <w:rsid w:val="180970F2"/>
    <w:rsid w:val="180C6BE2"/>
    <w:rsid w:val="181A2EDE"/>
    <w:rsid w:val="181B6E25"/>
    <w:rsid w:val="1829415E"/>
    <w:rsid w:val="183121A5"/>
    <w:rsid w:val="1847787C"/>
    <w:rsid w:val="18482A2D"/>
    <w:rsid w:val="185F12B2"/>
    <w:rsid w:val="18645239"/>
    <w:rsid w:val="187D53EA"/>
    <w:rsid w:val="18AD593E"/>
    <w:rsid w:val="18BC4164"/>
    <w:rsid w:val="18C1177B"/>
    <w:rsid w:val="18C80D5B"/>
    <w:rsid w:val="18C87A43"/>
    <w:rsid w:val="18CA18EA"/>
    <w:rsid w:val="18CD4271"/>
    <w:rsid w:val="18DA6CE0"/>
    <w:rsid w:val="18E41886"/>
    <w:rsid w:val="18E90CD1"/>
    <w:rsid w:val="18F300E9"/>
    <w:rsid w:val="18FF4184"/>
    <w:rsid w:val="19006747"/>
    <w:rsid w:val="19063631"/>
    <w:rsid w:val="19082CD8"/>
    <w:rsid w:val="19087626"/>
    <w:rsid w:val="19151AC7"/>
    <w:rsid w:val="192D0BBE"/>
    <w:rsid w:val="194B54E8"/>
    <w:rsid w:val="19632832"/>
    <w:rsid w:val="196D0FF0"/>
    <w:rsid w:val="19755A2A"/>
    <w:rsid w:val="197608B1"/>
    <w:rsid w:val="19792055"/>
    <w:rsid w:val="19884A55"/>
    <w:rsid w:val="1991739F"/>
    <w:rsid w:val="19946E8F"/>
    <w:rsid w:val="19A05834"/>
    <w:rsid w:val="19A77DC9"/>
    <w:rsid w:val="19A80871"/>
    <w:rsid w:val="19B117EF"/>
    <w:rsid w:val="19B95FC0"/>
    <w:rsid w:val="19C71013"/>
    <w:rsid w:val="19CD2323"/>
    <w:rsid w:val="19E25E4D"/>
    <w:rsid w:val="19E576EB"/>
    <w:rsid w:val="19EA2F53"/>
    <w:rsid w:val="19F0144A"/>
    <w:rsid w:val="19F459F1"/>
    <w:rsid w:val="1A165AF6"/>
    <w:rsid w:val="1A1C1EBF"/>
    <w:rsid w:val="1A1E30A1"/>
    <w:rsid w:val="1A2E47C6"/>
    <w:rsid w:val="1A303DBF"/>
    <w:rsid w:val="1A340CCE"/>
    <w:rsid w:val="1A345059"/>
    <w:rsid w:val="1A381F10"/>
    <w:rsid w:val="1A39322B"/>
    <w:rsid w:val="1A4D5428"/>
    <w:rsid w:val="1A525D9F"/>
    <w:rsid w:val="1A580E7D"/>
    <w:rsid w:val="1A5D24F8"/>
    <w:rsid w:val="1A640659"/>
    <w:rsid w:val="1A6525DA"/>
    <w:rsid w:val="1A780D13"/>
    <w:rsid w:val="1A8A3DEE"/>
    <w:rsid w:val="1A9472A1"/>
    <w:rsid w:val="1A950225"/>
    <w:rsid w:val="1AB21051"/>
    <w:rsid w:val="1AB95F42"/>
    <w:rsid w:val="1ABA2925"/>
    <w:rsid w:val="1ABA636C"/>
    <w:rsid w:val="1ABC669E"/>
    <w:rsid w:val="1AD02149"/>
    <w:rsid w:val="1AD25EC1"/>
    <w:rsid w:val="1AE15F08"/>
    <w:rsid w:val="1AEC331C"/>
    <w:rsid w:val="1AF42C7B"/>
    <w:rsid w:val="1AFA71C6"/>
    <w:rsid w:val="1B0B4F2F"/>
    <w:rsid w:val="1B0C1C69"/>
    <w:rsid w:val="1B1A0784"/>
    <w:rsid w:val="1B1E34B5"/>
    <w:rsid w:val="1B2304CB"/>
    <w:rsid w:val="1B252495"/>
    <w:rsid w:val="1B302BE8"/>
    <w:rsid w:val="1B306197"/>
    <w:rsid w:val="1B32070E"/>
    <w:rsid w:val="1B3E5305"/>
    <w:rsid w:val="1B3F2E2B"/>
    <w:rsid w:val="1B455A0F"/>
    <w:rsid w:val="1B5C1C2F"/>
    <w:rsid w:val="1B634D6B"/>
    <w:rsid w:val="1B6C00C4"/>
    <w:rsid w:val="1B7104CB"/>
    <w:rsid w:val="1B815986"/>
    <w:rsid w:val="1B917BF6"/>
    <w:rsid w:val="1BAD4238"/>
    <w:rsid w:val="1BB074A7"/>
    <w:rsid w:val="1BB0753E"/>
    <w:rsid w:val="1BBB6267"/>
    <w:rsid w:val="1BC70ED3"/>
    <w:rsid w:val="1BDD0528"/>
    <w:rsid w:val="1BFD6F6E"/>
    <w:rsid w:val="1C1E6EE4"/>
    <w:rsid w:val="1C292AFF"/>
    <w:rsid w:val="1C3D41AE"/>
    <w:rsid w:val="1C3D736A"/>
    <w:rsid w:val="1C406E5A"/>
    <w:rsid w:val="1C41040D"/>
    <w:rsid w:val="1C4526C3"/>
    <w:rsid w:val="1C5E7F52"/>
    <w:rsid w:val="1C7134B8"/>
    <w:rsid w:val="1C7C35E7"/>
    <w:rsid w:val="1C8B27CB"/>
    <w:rsid w:val="1CAC1736"/>
    <w:rsid w:val="1CAC44F0"/>
    <w:rsid w:val="1CB33AD0"/>
    <w:rsid w:val="1CBD494F"/>
    <w:rsid w:val="1CC950A2"/>
    <w:rsid w:val="1CCC104A"/>
    <w:rsid w:val="1CCF7E0D"/>
    <w:rsid w:val="1CD001DE"/>
    <w:rsid w:val="1CD5426B"/>
    <w:rsid w:val="1CDA72AF"/>
    <w:rsid w:val="1CDF6D93"/>
    <w:rsid w:val="1CEB0E6B"/>
    <w:rsid w:val="1CEC0D90"/>
    <w:rsid w:val="1CF53945"/>
    <w:rsid w:val="1CFE4297"/>
    <w:rsid w:val="1D0406A0"/>
    <w:rsid w:val="1D07573C"/>
    <w:rsid w:val="1D102CD1"/>
    <w:rsid w:val="1D156539"/>
    <w:rsid w:val="1D1F1D81"/>
    <w:rsid w:val="1D337EDC"/>
    <w:rsid w:val="1D3F35B6"/>
    <w:rsid w:val="1D3F7D2B"/>
    <w:rsid w:val="1D4D7A81"/>
    <w:rsid w:val="1D556936"/>
    <w:rsid w:val="1D613002"/>
    <w:rsid w:val="1D61678E"/>
    <w:rsid w:val="1D73442E"/>
    <w:rsid w:val="1D81260B"/>
    <w:rsid w:val="1D8159A2"/>
    <w:rsid w:val="1D864D41"/>
    <w:rsid w:val="1D882867"/>
    <w:rsid w:val="1D9073F6"/>
    <w:rsid w:val="1D9B6A3E"/>
    <w:rsid w:val="1DA959F1"/>
    <w:rsid w:val="1DB45FB8"/>
    <w:rsid w:val="1DD12B31"/>
    <w:rsid w:val="1DD75B50"/>
    <w:rsid w:val="1DDB2360"/>
    <w:rsid w:val="1DE11024"/>
    <w:rsid w:val="1DF94EBE"/>
    <w:rsid w:val="1DFC54D6"/>
    <w:rsid w:val="1E002D45"/>
    <w:rsid w:val="1E0552AF"/>
    <w:rsid w:val="1E171FCF"/>
    <w:rsid w:val="1E1E4F79"/>
    <w:rsid w:val="1E2E5FDF"/>
    <w:rsid w:val="1E3B3D7D"/>
    <w:rsid w:val="1E495E71"/>
    <w:rsid w:val="1E555448"/>
    <w:rsid w:val="1E624CA4"/>
    <w:rsid w:val="1E6A01BF"/>
    <w:rsid w:val="1E6A5D5B"/>
    <w:rsid w:val="1E6D22DB"/>
    <w:rsid w:val="1E6E5F01"/>
    <w:rsid w:val="1E7847F7"/>
    <w:rsid w:val="1E7E1EBC"/>
    <w:rsid w:val="1E7E58E4"/>
    <w:rsid w:val="1E824E6F"/>
    <w:rsid w:val="1E920021"/>
    <w:rsid w:val="1EAC6A29"/>
    <w:rsid w:val="1EB14D8E"/>
    <w:rsid w:val="1EB3718E"/>
    <w:rsid w:val="1EB83620"/>
    <w:rsid w:val="1EBC34D9"/>
    <w:rsid w:val="1EBD3607"/>
    <w:rsid w:val="1EC43DD5"/>
    <w:rsid w:val="1ECD061A"/>
    <w:rsid w:val="1ECD3FE4"/>
    <w:rsid w:val="1ED21923"/>
    <w:rsid w:val="1ED32208"/>
    <w:rsid w:val="1EDA5344"/>
    <w:rsid w:val="1EE7180F"/>
    <w:rsid w:val="1EF61D88"/>
    <w:rsid w:val="1F0871E8"/>
    <w:rsid w:val="1F222E17"/>
    <w:rsid w:val="1F2B2044"/>
    <w:rsid w:val="1F2B3DF2"/>
    <w:rsid w:val="1F2F2272"/>
    <w:rsid w:val="1F363C01"/>
    <w:rsid w:val="1F370A7E"/>
    <w:rsid w:val="1F3E1D77"/>
    <w:rsid w:val="1F5570C1"/>
    <w:rsid w:val="1F5A0833"/>
    <w:rsid w:val="1F5E6ACC"/>
    <w:rsid w:val="1F6D072D"/>
    <w:rsid w:val="1F711456"/>
    <w:rsid w:val="1F771771"/>
    <w:rsid w:val="1F932D5E"/>
    <w:rsid w:val="1F933745"/>
    <w:rsid w:val="1F944F55"/>
    <w:rsid w:val="1FA156CC"/>
    <w:rsid w:val="1FB34905"/>
    <w:rsid w:val="1FB72C7E"/>
    <w:rsid w:val="1FBA3C12"/>
    <w:rsid w:val="1FDB75C6"/>
    <w:rsid w:val="1FE10954"/>
    <w:rsid w:val="1FED10A7"/>
    <w:rsid w:val="1FED7E25"/>
    <w:rsid w:val="1FF438D6"/>
    <w:rsid w:val="200D2AFA"/>
    <w:rsid w:val="200D363E"/>
    <w:rsid w:val="200D69B9"/>
    <w:rsid w:val="20165F01"/>
    <w:rsid w:val="20355485"/>
    <w:rsid w:val="203B62B7"/>
    <w:rsid w:val="20631369"/>
    <w:rsid w:val="207B182E"/>
    <w:rsid w:val="208900CB"/>
    <w:rsid w:val="208A0422"/>
    <w:rsid w:val="20937EA1"/>
    <w:rsid w:val="209E5180"/>
    <w:rsid w:val="20A025BE"/>
    <w:rsid w:val="20AE7BFE"/>
    <w:rsid w:val="20B821F8"/>
    <w:rsid w:val="20B87907"/>
    <w:rsid w:val="20C85F8C"/>
    <w:rsid w:val="20D65FDF"/>
    <w:rsid w:val="20E325CD"/>
    <w:rsid w:val="20E701EC"/>
    <w:rsid w:val="20F070A1"/>
    <w:rsid w:val="20F64114"/>
    <w:rsid w:val="20F76B2D"/>
    <w:rsid w:val="20FF5536"/>
    <w:rsid w:val="20FF72E4"/>
    <w:rsid w:val="21015A43"/>
    <w:rsid w:val="21042B4C"/>
    <w:rsid w:val="21117017"/>
    <w:rsid w:val="211518AF"/>
    <w:rsid w:val="211803A6"/>
    <w:rsid w:val="214747E7"/>
    <w:rsid w:val="21555C9B"/>
    <w:rsid w:val="215D400B"/>
    <w:rsid w:val="215D54BB"/>
    <w:rsid w:val="21621621"/>
    <w:rsid w:val="21771570"/>
    <w:rsid w:val="218115A4"/>
    <w:rsid w:val="21922417"/>
    <w:rsid w:val="21A7794F"/>
    <w:rsid w:val="21BA320B"/>
    <w:rsid w:val="21C26E80"/>
    <w:rsid w:val="21C72A3E"/>
    <w:rsid w:val="21D01A69"/>
    <w:rsid w:val="21E26745"/>
    <w:rsid w:val="21E464DA"/>
    <w:rsid w:val="21E93AF0"/>
    <w:rsid w:val="220375DD"/>
    <w:rsid w:val="22087C6F"/>
    <w:rsid w:val="220A1A75"/>
    <w:rsid w:val="221C624F"/>
    <w:rsid w:val="222B0335"/>
    <w:rsid w:val="22372AAE"/>
    <w:rsid w:val="2251012E"/>
    <w:rsid w:val="22513B6F"/>
    <w:rsid w:val="225418B2"/>
    <w:rsid w:val="225A42AC"/>
    <w:rsid w:val="2260049A"/>
    <w:rsid w:val="22625D7D"/>
    <w:rsid w:val="226F2E2B"/>
    <w:rsid w:val="22723AE6"/>
    <w:rsid w:val="22742762"/>
    <w:rsid w:val="227930C6"/>
    <w:rsid w:val="22815520"/>
    <w:rsid w:val="228201CD"/>
    <w:rsid w:val="22A25CBE"/>
    <w:rsid w:val="22A55984"/>
    <w:rsid w:val="22B03AA4"/>
    <w:rsid w:val="22B12860"/>
    <w:rsid w:val="22B23A1B"/>
    <w:rsid w:val="22B660C8"/>
    <w:rsid w:val="22B94799"/>
    <w:rsid w:val="22BF48B2"/>
    <w:rsid w:val="22C4015A"/>
    <w:rsid w:val="22CC58EC"/>
    <w:rsid w:val="22D020B4"/>
    <w:rsid w:val="22DF7267"/>
    <w:rsid w:val="22F430FD"/>
    <w:rsid w:val="230E1A60"/>
    <w:rsid w:val="232079E6"/>
    <w:rsid w:val="23234941"/>
    <w:rsid w:val="23243032"/>
    <w:rsid w:val="23256C77"/>
    <w:rsid w:val="23280B18"/>
    <w:rsid w:val="23294515"/>
    <w:rsid w:val="23304B4A"/>
    <w:rsid w:val="233B037C"/>
    <w:rsid w:val="23404164"/>
    <w:rsid w:val="23452FA8"/>
    <w:rsid w:val="234A25AF"/>
    <w:rsid w:val="234B4A63"/>
    <w:rsid w:val="234C2589"/>
    <w:rsid w:val="235F6C41"/>
    <w:rsid w:val="237335E8"/>
    <w:rsid w:val="2376485C"/>
    <w:rsid w:val="237740DD"/>
    <w:rsid w:val="238C431D"/>
    <w:rsid w:val="23993EF4"/>
    <w:rsid w:val="23B03722"/>
    <w:rsid w:val="23BE3058"/>
    <w:rsid w:val="23C21737"/>
    <w:rsid w:val="23C860B3"/>
    <w:rsid w:val="23D321EF"/>
    <w:rsid w:val="23D35AA3"/>
    <w:rsid w:val="23E40A13"/>
    <w:rsid w:val="23E46C65"/>
    <w:rsid w:val="23FE1AD5"/>
    <w:rsid w:val="24023FC6"/>
    <w:rsid w:val="24117007"/>
    <w:rsid w:val="242C3DA0"/>
    <w:rsid w:val="242D5726"/>
    <w:rsid w:val="24451FCF"/>
    <w:rsid w:val="244E12E9"/>
    <w:rsid w:val="2455546D"/>
    <w:rsid w:val="246F388C"/>
    <w:rsid w:val="24711127"/>
    <w:rsid w:val="247D50F0"/>
    <w:rsid w:val="247D649C"/>
    <w:rsid w:val="24851033"/>
    <w:rsid w:val="24885842"/>
    <w:rsid w:val="24975A86"/>
    <w:rsid w:val="24A0256F"/>
    <w:rsid w:val="24A87C93"/>
    <w:rsid w:val="24AF4B7D"/>
    <w:rsid w:val="24C04FDC"/>
    <w:rsid w:val="24C90335"/>
    <w:rsid w:val="24D40A88"/>
    <w:rsid w:val="24DE36B4"/>
    <w:rsid w:val="24DE5462"/>
    <w:rsid w:val="24E46F1D"/>
    <w:rsid w:val="24F02F5F"/>
    <w:rsid w:val="24F84776"/>
    <w:rsid w:val="24F8724C"/>
    <w:rsid w:val="250E5D48"/>
    <w:rsid w:val="25145D5F"/>
    <w:rsid w:val="251656BE"/>
    <w:rsid w:val="251B2213"/>
    <w:rsid w:val="251B2F37"/>
    <w:rsid w:val="253100F7"/>
    <w:rsid w:val="25423C43"/>
    <w:rsid w:val="254E18D1"/>
    <w:rsid w:val="25536D9E"/>
    <w:rsid w:val="255D6CCF"/>
    <w:rsid w:val="258067F6"/>
    <w:rsid w:val="25A20B86"/>
    <w:rsid w:val="25A25549"/>
    <w:rsid w:val="25AC5561"/>
    <w:rsid w:val="25B61F3B"/>
    <w:rsid w:val="25C66622"/>
    <w:rsid w:val="25D326E0"/>
    <w:rsid w:val="25DB3DEA"/>
    <w:rsid w:val="25DC69E3"/>
    <w:rsid w:val="261D719B"/>
    <w:rsid w:val="2638764A"/>
    <w:rsid w:val="26457AB8"/>
    <w:rsid w:val="26597496"/>
    <w:rsid w:val="265B432B"/>
    <w:rsid w:val="267830B3"/>
    <w:rsid w:val="26826FD5"/>
    <w:rsid w:val="268A58A2"/>
    <w:rsid w:val="268B161A"/>
    <w:rsid w:val="26921487"/>
    <w:rsid w:val="2696242A"/>
    <w:rsid w:val="26967288"/>
    <w:rsid w:val="269B7AAF"/>
    <w:rsid w:val="26A15193"/>
    <w:rsid w:val="26A16528"/>
    <w:rsid w:val="26AE04D4"/>
    <w:rsid w:val="26C64400"/>
    <w:rsid w:val="26CC7B31"/>
    <w:rsid w:val="26D60AE7"/>
    <w:rsid w:val="26D61BFC"/>
    <w:rsid w:val="26DD1E76"/>
    <w:rsid w:val="26EA6341"/>
    <w:rsid w:val="26FE76C2"/>
    <w:rsid w:val="270F7B55"/>
    <w:rsid w:val="271B3315"/>
    <w:rsid w:val="27206206"/>
    <w:rsid w:val="2722135D"/>
    <w:rsid w:val="2729330D"/>
    <w:rsid w:val="27475541"/>
    <w:rsid w:val="274A5031"/>
    <w:rsid w:val="27512DBC"/>
    <w:rsid w:val="27532138"/>
    <w:rsid w:val="275859A0"/>
    <w:rsid w:val="275D2881"/>
    <w:rsid w:val="27710810"/>
    <w:rsid w:val="27734588"/>
    <w:rsid w:val="277420AE"/>
    <w:rsid w:val="278E16CD"/>
    <w:rsid w:val="278F6BB7"/>
    <w:rsid w:val="27952750"/>
    <w:rsid w:val="279C5449"/>
    <w:rsid w:val="27AA4889"/>
    <w:rsid w:val="27AC1848"/>
    <w:rsid w:val="27BA21B7"/>
    <w:rsid w:val="27BC0750"/>
    <w:rsid w:val="27C052F3"/>
    <w:rsid w:val="27D042B1"/>
    <w:rsid w:val="27D269E0"/>
    <w:rsid w:val="27D3520F"/>
    <w:rsid w:val="27DE653F"/>
    <w:rsid w:val="27EB6F2C"/>
    <w:rsid w:val="280B3292"/>
    <w:rsid w:val="2818512F"/>
    <w:rsid w:val="282060B7"/>
    <w:rsid w:val="283416A9"/>
    <w:rsid w:val="28364710"/>
    <w:rsid w:val="284101E2"/>
    <w:rsid w:val="28447CD2"/>
    <w:rsid w:val="28506925"/>
    <w:rsid w:val="285D08F3"/>
    <w:rsid w:val="28786FFD"/>
    <w:rsid w:val="287C08DE"/>
    <w:rsid w:val="28845322"/>
    <w:rsid w:val="288527C5"/>
    <w:rsid w:val="28861624"/>
    <w:rsid w:val="288F26D5"/>
    <w:rsid w:val="28A644E9"/>
    <w:rsid w:val="28B91194"/>
    <w:rsid w:val="28CA01D8"/>
    <w:rsid w:val="28D41761"/>
    <w:rsid w:val="28DC615D"/>
    <w:rsid w:val="28EF0ABB"/>
    <w:rsid w:val="2905302E"/>
    <w:rsid w:val="290553E2"/>
    <w:rsid w:val="290D6316"/>
    <w:rsid w:val="292A5542"/>
    <w:rsid w:val="292D4D4B"/>
    <w:rsid w:val="292F2731"/>
    <w:rsid w:val="2936596F"/>
    <w:rsid w:val="29491A7E"/>
    <w:rsid w:val="294E0E09"/>
    <w:rsid w:val="294F301C"/>
    <w:rsid w:val="2964062C"/>
    <w:rsid w:val="29656EC9"/>
    <w:rsid w:val="297D16EE"/>
    <w:rsid w:val="29A529F3"/>
    <w:rsid w:val="29BF68A5"/>
    <w:rsid w:val="29CB3C83"/>
    <w:rsid w:val="29D357B2"/>
    <w:rsid w:val="29E47F9A"/>
    <w:rsid w:val="29EE38AF"/>
    <w:rsid w:val="29F57890"/>
    <w:rsid w:val="29F57A3A"/>
    <w:rsid w:val="29F714A0"/>
    <w:rsid w:val="29F7627D"/>
    <w:rsid w:val="29F80D74"/>
    <w:rsid w:val="29F86FC6"/>
    <w:rsid w:val="2A0B16EA"/>
    <w:rsid w:val="2A1A326A"/>
    <w:rsid w:val="2A2B432F"/>
    <w:rsid w:val="2A3744DC"/>
    <w:rsid w:val="2A4D7312"/>
    <w:rsid w:val="2A5054FF"/>
    <w:rsid w:val="2A5362E0"/>
    <w:rsid w:val="2A557D5C"/>
    <w:rsid w:val="2A5F5D4C"/>
    <w:rsid w:val="2A61270E"/>
    <w:rsid w:val="2A676202"/>
    <w:rsid w:val="2A681556"/>
    <w:rsid w:val="2A751F72"/>
    <w:rsid w:val="2A8041E3"/>
    <w:rsid w:val="2A8D5961"/>
    <w:rsid w:val="2A9F7442"/>
    <w:rsid w:val="2AAD1B5F"/>
    <w:rsid w:val="2AB949A8"/>
    <w:rsid w:val="2ABC4498"/>
    <w:rsid w:val="2ABF11E3"/>
    <w:rsid w:val="2AC23AB6"/>
    <w:rsid w:val="2AC64312"/>
    <w:rsid w:val="2ACB72AC"/>
    <w:rsid w:val="2AD25A69"/>
    <w:rsid w:val="2AD92954"/>
    <w:rsid w:val="2AE846A5"/>
    <w:rsid w:val="2AEB4A25"/>
    <w:rsid w:val="2AFC6642"/>
    <w:rsid w:val="2B046C50"/>
    <w:rsid w:val="2B2067D5"/>
    <w:rsid w:val="2B2636BF"/>
    <w:rsid w:val="2B301100"/>
    <w:rsid w:val="2B400C25"/>
    <w:rsid w:val="2B522706"/>
    <w:rsid w:val="2B575D74"/>
    <w:rsid w:val="2B845E85"/>
    <w:rsid w:val="2B8723B0"/>
    <w:rsid w:val="2BA53E29"/>
    <w:rsid w:val="2BD1187D"/>
    <w:rsid w:val="2BD2062A"/>
    <w:rsid w:val="2BDB094E"/>
    <w:rsid w:val="2BDD6474"/>
    <w:rsid w:val="2BF57C61"/>
    <w:rsid w:val="2BF67536"/>
    <w:rsid w:val="2BFD614D"/>
    <w:rsid w:val="2C0559CB"/>
    <w:rsid w:val="2C0E2AD1"/>
    <w:rsid w:val="2C1B1B6C"/>
    <w:rsid w:val="2C273B93"/>
    <w:rsid w:val="2C3342E6"/>
    <w:rsid w:val="2C54199B"/>
    <w:rsid w:val="2C646B95"/>
    <w:rsid w:val="2C6F6103"/>
    <w:rsid w:val="2C8132A3"/>
    <w:rsid w:val="2C912607"/>
    <w:rsid w:val="2C9E472D"/>
    <w:rsid w:val="2CA60F5C"/>
    <w:rsid w:val="2CA73138"/>
    <w:rsid w:val="2CB371D5"/>
    <w:rsid w:val="2CC72B21"/>
    <w:rsid w:val="2CCF4938"/>
    <w:rsid w:val="2CD86C3B"/>
    <w:rsid w:val="2CDE23AC"/>
    <w:rsid w:val="2CE50969"/>
    <w:rsid w:val="2CEF2903"/>
    <w:rsid w:val="2CFA3055"/>
    <w:rsid w:val="2D016192"/>
    <w:rsid w:val="2D04536F"/>
    <w:rsid w:val="2D151C3D"/>
    <w:rsid w:val="2D2F6528"/>
    <w:rsid w:val="2D393B7E"/>
    <w:rsid w:val="2D3A16A4"/>
    <w:rsid w:val="2D3F2DDE"/>
    <w:rsid w:val="2D517DC6"/>
    <w:rsid w:val="2D800808"/>
    <w:rsid w:val="2D852054"/>
    <w:rsid w:val="2D8F7C42"/>
    <w:rsid w:val="2DA37628"/>
    <w:rsid w:val="2DAA3582"/>
    <w:rsid w:val="2DB41456"/>
    <w:rsid w:val="2DBB27E5"/>
    <w:rsid w:val="2DBD5CF2"/>
    <w:rsid w:val="2DC6061F"/>
    <w:rsid w:val="2DD01D76"/>
    <w:rsid w:val="2DD07BA8"/>
    <w:rsid w:val="2DD827BF"/>
    <w:rsid w:val="2DE24837"/>
    <w:rsid w:val="2DF301D1"/>
    <w:rsid w:val="2DFA6D9F"/>
    <w:rsid w:val="2DFC031D"/>
    <w:rsid w:val="2E0010B6"/>
    <w:rsid w:val="2E077C93"/>
    <w:rsid w:val="2E0852E0"/>
    <w:rsid w:val="2E095599"/>
    <w:rsid w:val="2E0D1D9F"/>
    <w:rsid w:val="2E204920"/>
    <w:rsid w:val="2E296FEF"/>
    <w:rsid w:val="2E29793B"/>
    <w:rsid w:val="2E3D225E"/>
    <w:rsid w:val="2E4D4FA1"/>
    <w:rsid w:val="2E651367"/>
    <w:rsid w:val="2E657ACF"/>
    <w:rsid w:val="2E663FE7"/>
    <w:rsid w:val="2E6D511A"/>
    <w:rsid w:val="2E724F4B"/>
    <w:rsid w:val="2E872138"/>
    <w:rsid w:val="2E913A09"/>
    <w:rsid w:val="2E933762"/>
    <w:rsid w:val="2EB05544"/>
    <w:rsid w:val="2EB84FED"/>
    <w:rsid w:val="2EC102CF"/>
    <w:rsid w:val="2EC16497"/>
    <w:rsid w:val="2ED6267A"/>
    <w:rsid w:val="2EDA6C9B"/>
    <w:rsid w:val="2EDF27DF"/>
    <w:rsid w:val="2EDF69A7"/>
    <w:rsid w:val="2EF04710"/>
    <w:rsid w:val="2EF33079"/>
    <w:rsid w:val="2EF7784D"/>
    <w:rsid w:val="2EFC1307"/>
    <w:rsid w:val="2F086BA0"/>
    <w:rsid w:val="2F087CAC"/>
    <w:rsid w:val="2F0E4B96"/>
    <w:rsid w:val="2F120292"/>
    <w:rsid w:val="2F127420"/>
    <w:rsid w:val="2F234AE5"/>
    <w:rsid w:val="2F253250"/>
    <w:rsid w:val="2F27685C"/>
    <w:rsid w:val="2F2820FC"/>
    <w:rsid w:val="2F2B399A"/>
    <w:rsid w:val="2F2D326E"/>
    <w:rsid w:val="2F3359BA"/>
    <w:rsid w:val="2F3569AE"/>
    <w:rsid w:val="2F3926C8"/>
    <w:rsid w:val="2F452CAE"/>
    <w:rsid w:val="2F522CD5"/>
    <w:rsid w:val="2F560993"/>
    <w:rsid w:val="2F5E5B1E"/>
    <w:rsid w:val="2F847D7A"/>
    <w:rsid w:val="2F850D48"/>
    <w:rsid w:val="2F8A1A74"/>
    <w:rsid w:val="2F913897"/>
    <w:rsid w:val="2FCC477A"/>
    <w:rsid w:val="2FDB716E"/>
    <w:rsid w:val="2FDE61E8"/>
    <w:rsid w:val="2FFA179F"/>
    <w:rsid w:val="2FFA5549"/>
    <w:rsid w:val="2FFB511A"/>
    <w:rsid w:val="2FFE22D3"/>
    <w:rsid w:val="30010DF5"/>
    <w:rsid w:val="300C557A"/>
    <w:rsid w:val="30154B62"/>
    <w:rsid w:val="301A21B9"/>
    <w:rsid w:val="301A5EE8"/>
    <w:rsid w:val="30231FAB"/>
    <w:rsid w:val="303E35FC"/>
    <w:rsid w:val="3043013E"/>
    <w:rsid w:val="30433115"/>
    <w:rsid w:val="3050190A"/>
    <w:rsid w:val="30550CCF"/>
    <w:rsid w:val="30556F21"/>
    <w:rsid w:val="305F259A"/>
    <w:rsid w:val="30820364"/>
    <w:rsid w:val="30896BCA"/>
    <w:rsid w:val="30914BF5"/>
    <w:rsid w:val="309D74A7"/>
    <w:rsid w:val="30AD0B0B"/>
    <w:rsid w:val="30BA3228"/>
    <w:rsid w:val="30C03C3E"/>
    <w:rsid w:val="30C64CD4"/>
    <w:rsid w:val="30CC4D09"/>
    <w:rsid w:val="30CF5860"/>
    <w:rsid w:val="30D05F7A"/>
    <w:rsid w:val="30D316B2"/>
    <w:rsid w:val="30F23441"/>
    <w:rsid w:val="30F85AFE"/>
    <w:rsid w:val="30FE0870"/>
    <w:rsid w:val="310B3EA9"/>
    <w:rsid w:val="311350AC"/>
    <w:rsid w:val="3119495C"/>
    <w:rsid w:val="31197F4E"/>
    <w:rsid w:val="311B3A19"/>
    <w:rsid w:val="31462A95"/>
    <w:rsid w:val="314F479A"/>
    <w:rsid w:val="314F75D8"/>
    <w:rsid w:val="316D3DF6"/>
    <w:rsid w:val="31761559"/>
    <w:rsid w:val="317A07B3"/>
    <w:rsid w:val="317E6003"/>
    <w:rsid w:val="318765DF"/>
    <w:rsid w:val="318A08D2"/>
    <w:rsid w:val="318B6972"/>
    <w:rsid w:val="31A83080"/>
    <w:rsid w:val="31B5579D"/>
    <w:rsid w:val="31CD6F8B"/>
    <w:rsid w:val="31E0438A"/>
    <w:rsid w:val="31E7004C"/>
    <w:rsid w:val="31E7285C"/>
    <w:rsid w:val="31F00C99"/>
    <w:rsid w:val="320E702E"/>
    <w:rsid w:val="322C0915"/>
    <w:rsid w:val="32317519"/>
    <w:rsid w:val="323A5703"/>
    <w:rsid w:val="323B3EF4"/>
    <w:rsid w:val="324F4049"/>
    <w:rsid w:val="3250563F"/>
    <w:rsid w:val="32543208"/>
    <w:rsid w:val="327F40CE"/>
    <w:rsid w:val="329A4AF6"/>
    <w:rsid w:val="32A27CEB"/>
    <w:rsid w:val="32C71C2C"/>
    <w:rsid w:val="32CB5278"/>
    <w:rsid w:val="32E21EBD"/>
    <w:rsid w:val="32E4633A"/>
    <w:rsid w:val="32F32A21"/>
    <w:rsid w:val="32FC53AF"/>
    <w:rsid w:val="32FD2735"/>
    <w:rsid w:val="32FD34E2"/>
    <w:rsid w:val="32FD73FC"/>
    <w:rsid w:val="32FF3174"/>
    <w:rsid w:val="33000C82"/>
    <w:rsid w:val="33022C64"/>
    <w:rsid w:val="330339DB"/>
    <w:rsid w:val="33100986"/>
    <w:rsid w:val="33226E62"/>
    <w:rsid w:val="332F2C45"/>
    <w:rsid w:val="333252F7"/>
    <w:rsid w:val="333472C1"/>
    <w:rsid w:val="3344327C"/>
    <w:rsid w:val="334B6EF8"/>
    <w:rsid w:val="334C416E"/>
    <w:rsid w:val="335E0AF0"/>
    <w:rsid w:val="336E3E48"/>
    <w:rsid w:val="336F744F"/>
    <w:rsid w:val="33814BD7"/>
    <w:rsid w:val="338673F1"/>
    <w:rsid w:val="33900270"/>
    <w:rsid w:val="3391619F"/>
    <w:rsid w:val="339F6EE7"/>
    <w:rsid w:val="33A511BD"/>
    <w:rsid w:val="33A51DAA"/>
    <w:rsid w:val="33AF2786"/>
    <w:rsid w:val="33B4665D"/>
    <w:rsid w:val="33F17F05"/>
    <w:rsid w:val="33F20F2A"/>
    <w:rsid w:val="33FF13EE"/>
    <w:rsid w:val="3402116D"/>
    <w:rsid w:val="344B0107"/>
    <w:rsid w:val="34572B3B"/>
    <w:rsid w:val="345B206D"/>
    <w:rsid w:val="345E0B69"/>
    <w:rsid w:val="3461527D"/>
    <w:rsid w:val="34677222"/>
    <w:rsid w:val="34A4199F"/>
    <w:rsid w:val="34A53D28"/>
    <w:rsid w:val="34A80B05"/>
    <w:rsid w:val="34C06933"/>
    <w:rsid w:val="34DB19BE"/>
    <w:rsid w:val="34DD58C9"/>
    <w:rsid w:val="34DF325D"/>
    <w:rsid w:val="34DF63B8"/>
    <w:rsid w:val="34E34B75"/>
    <w:rsid w:val="34EC2744"/>
    <w:rsid w:val="34ED4A5B"/>
    <w:rsid w:val="34EF2A8C"/>
    <w:rsid w:val="34F04076"/>
    <w:rsid w:val="34FA1E45"/>
    <w:rsid w:val="34FF4CB1"/>
    <w:rsid w:val="350D601C"/>
    <w:rsid w:val="350F034E"/>
    <w:rsid w:val="351404A7"/>
    <w:rsid w:val="352528EA"/>
    <w:rsid w:val="35411630"/>
    <w:rsid w:val="35416969"/>
    <w:rsid w:val="355552CD"/>
    <w:rsid w:val="355C665B"/>
    <w:rsid w:val="356D35A4"/>
    <w:rsid w:val="356D4E03"/>
    <w:rsid w:val="357E1440"/>
    <w:rsid w:val="357F691A"/>
    <w:rsid w:val="3585655F"/>
    <w:rsid w:val="358A4199"/>
    <w:rsid w:val="35AD7D09"/>
    <w:rsid w:val="35B3194B"/>
    <w:rsid w:val="35B45818"/>
    <w:rsid w:val="35BD72BC"/>
    <w:rsid w:val="35CD1DA9"/>
    <w:rsid w:val="35CD57AB"/>
    <w:rsid w:val="35D86C2A"/>
    <w:rsid w:val="35E07F32"/>
    <w:rsid w:val="36160F00"/>
    <w:rsid w:val="36183395"/>
    <w:rsid w:val="361A2073"/>
    <w:rsid w:val="362178A5"/>
    <w:rsid w:val="362846EB"/>
    <w:rsid w:val="3644687E"/>
    <w:rsid w:val="36526B3A"/>
    <w:rsid w:val="36573411"/>
    <w:rsid w:val="365D6D9A"/>
    <w:rsid w:val="366070FA"/>
    <w:rsid w:val="36825C31"/>
    <w:rsid w:val="36853990"/>
    <w:rsid w:val="3692123A"/>
    <w:rsid w:val="36A54032"/>
    <w:rsid w:val="36A93B22"/>
    <w:rsid w:val="36B129D7"/>
    <w:rsid w:val="36B14785"/>
    <w:rsid w:val="36C344B8"/>
    <w:rsid w:val="36C51D11"/>
    <w:rsid w:val="36CF10AF"/>
    <w:rsid w:val="36F11025"/>
    <w:rsid w:val="370D78DF"/>
    <w:rsid w:val="3712622C"/>
    <w:rsid w:val="3720190B"/>
    <w:rsid w:val="37206E4B"/>
    <w:rsid w:val="37307DA0"/>
    <w:rsid w:val="374675C3"/>
    <w:rsid w:val="375A306E"/>
    <w:rsid w:val="375F7C98"/>
    <w:rsid w:val="3762240D"/>
    <w:rsid w:val="376C68FE"/>
    <w:rsid w:val="377829EF"/>
    <w:rsid w:val="377B16ED"/>
    <w:rsid w:val="37807E60"/>
    <w:rsid w:val="3781784A"/>
    <w:rsid w:val="37A01329"/>
    <w:rsid w:val="37B3277F"/>
    <w:rsid w:val="37B757E9"/>
    <w:rsid w:val="37BD53AB"/>
    <w:rsid w:val="37C130EE"/>
    <w:rsid w:val="37C6490D"/>
    <w:rsid w:val="37C87FD8"/>
    <w:rsid w:val="37CB314C"/>
    <w:rsid w:val="37D470DF"/>
    <w:rsid w:val="37F039D3"/>
    <w:rsid w:val="37F52D97"/>
    <w:rsid w:val="3810372D"/>
    <w:rsid w:val="38107BD1"/>
    <w:rsid w:val="38194065"/>
    <w:rsid w:val="381A7091"/>
    <w:rsid w:val="3821593A"/>
    <w:rsid w:val="38303DCF"/>
    <w:rsid w:val="38417D8A"/>
    <w:rsid w:val="384F06F9"/>
    <w:rsid w:val="385B5773"/>
    <w:rsid w:val="385B709E"/>
    <w:rsid w:val="38665938"/>
    <w:rsid w:val="386718D0"/>
    <w:rsid w:val="38671C2E"/>
    <w:rsid w:val="386771FA"/>
    <w:rsid w:val="38721562"/>
    <w:rsid w:val="388303A3"/>
    <w:rsid w:val="38883308"/>
    <w:rsid w:val="38883C0B"/>
    <w:rsid w:val="388A3609"/>
    <w:rsid w:val="388F7868"/>
    <w:rsid w:val="38975BFC"/>
    <w:rsid w:val="38A345A1"/>
    <w:rsid w:val="38A547BD"/>
    <w:rsid w:val="38AC16A8"/>
    <w:rsid w:val="38B95B73"/>
    <w:rsid w:val="38C033A5"/>
    <w:rsid w:val="38CC1E25"/>
    <w:rsid w:val="38CC7F9C"/>
    <w:rsid w:val="38D40BFF"/>
    <w:rsid w:val="38D45B95"/>
    <w:rsid w:val="38D64977"/>
    <w:rsid w:val="38E075A3"/>
    <w:rsid w:val="38E5105E"/>
    <w:rsid w:val="38EF1A67"/>
    <w:rsid w:val="38F92413"/>
    <w:rsid w:val="38FC1761"/>
    <w:rsid w:val="38FC3134"/>
    <w:rsid w:val="39027D49"/>
    <w:rsid w:val="391A58EB"/>
    <w:rsid w:val="391F00CC"/>
    <w:rsid w:val="392D6043"/>
    <w:rsid w:val="393B2A2C"/>
    <w:rsid w:val="39423DBA"/>
    <w:rsid w:val="3950297B"/>
    <w:rsid w:val="395064D7"/>
    <w:rsid w:val="39515E8C"/>
    <w:rsid w:val="395D29A2"/>
    <w:rsid w:val="39627FB8"/>
    <w:rsid w:val="39756BF3"/>
    <w:rsid w:val="3982065B"/>
    <w:rsid w:val="39882115"/>
    <w:rsid w:val="399B4A66"/>
    <w:rsid w:val="39A119CE"/>
    <w:rsid w:val="39A55928"/>
    <w:rsid w:val="39A838A2"/>
    <w:rsid w:val="39A85880"/>
    <w:rsid w:val="39AE79B7"/>
    <w:rsid w:val="39B07E07"/>
    <w:rsid w:val="39B80DA7"/>
    <w:rsid w:val="39BB7CA8"/>
    <w:rsid w:val="39C80763"/>
    <w:rsid w:val="39D0586A"/>
    <w:rsid w:val="39DB5415"/>
    <w:rsid w:val="39DE4B3C"/>
    <w:rsid w:val="39DE7F87"/>
    <w:rsid w:val="39E21701"/>
    <w:rsid w:val="39E37330"/>
    <w:rsid w:val="39E906DA"/>
    <w:rsid w:val="39EB26A4"/>
    <w:rsid w:val="39F03816"/>
    <w:rsid w:val="39F703B9"/>
    <w:rsid w:val="39F80CC5"/>
    <w:rsid w:val="3A072C82"/>
    <w:rsid w:val="3A18087C"/>
    <w:rsid w:val="3A1B7A94"/>
    <w:rsid w:val="3A1C460B"/>
    <w:rsid w:val="3A1F234D"/>
    <w:rsid w:val="3A2240D2"/>
    <w:rsid w:val="3A2636DC"/>
    <w:rsid w:val="3A29762E"/>
    <w:rsid w:val="3A3A0F35"/>
    <w:rsid w:val="3A406600"/>
    <w:rsid w:val="3A485400"/>
    <w:rsid w:val="3A4F678F"/>
    <w:rsid w:val="3A6508A5"/>
    <w:rsid w:val="3A8464C5"/>
    <w:rsid w:val="3A85007D"/>
    <w:rsid w:val="3A8551B6"/>
    <w:rsid w:val="3A9318CD"/>
    <w:rsid w:val="3A946C61"/>
    <w:rsid w:val="3AAC1E33"/>
    <w:rsid w:val="3AB6385C"/>
    <w:rsid w:val="3ABD4A28"/>
    <w:rsid w:val="3AD351E8"/>
    <w:rsid w:val="3AD7401D"/>
    <w:rsid w:val="3AFD6AEB"/>
    <w:rsid w:val="3B044861"/>
    <w:rsid w:val="3B0B7F63"/>
    <w:rsid w:val="3B0E664A"/>
    <w:rsid w:val="3B1D1724"/>
    <w:rsid w:val="3B2846B6"/>
    <w:rsid w:val="3B2A1C29"/>
    <w:rsid w:val="3B401C07"/>
    <w:rsid w:val="3B5D3A5A"/>
    <w:rsid w:val="3B750404"/>
    <w:rsid w:val="3B871F58"/>
    <w:rsid w:val="3B8941BE"/>
    <w:rsid w:val="3BEB24E7"/>
    <w:rsid w:val="3C0256F9"/>
    <w:rsid w:val="3C0D205D"/>
    <w:rsid w:val="3C10772C"/>
    <w:rsid w:val="3C1478F9"/>
    <w:rsid w:val="3C243C4B"/>
    <w:rsid w:val="3C2B6D87"/>
    <w:rsid w:val="3C385593"/>
    <w:rsid w:val="3C493E09"/>
    <w:rsid w:val="3C4D430D"/>
    <w:rsid w:val="3C5856E7"/>
    <w:rsid w:val="3C6E011A"/>
    <w:rsid w:val="3C6F6336"/>
    <w:rsid w:val="3C744B0D"/>
    <w:rsid w:val="3C77306C"/>
    <w:rsid w:val="3C7B15CF"/>
    <w:rsid w:val="3C7B1FCB"/>
    <w:rsid w:val="3C7C3A87"/>
    <w:rsid w:val="3C7E77FF"/>
    <w:rsid w:val="3C863711"/>
    <w:rsid w:val="3C8D359E"/>
    <w:rsid w:val="3C9377CF"/>
    <w:rsid w:val="3C9633B9"/>
    <w:rsid w:val="3C9934EC"/>
    <w:rsid w:val="3CA32DC2"/>
    <w:rsid w:val="3CAA4150"/>
    <w:rsid w:val="3CAA5080"/>
    <w:rsid w:val="3CAF79B9"/>
    <w:rsid w:val="3CB87FF1"/>
    <w:rsid w:val="3CD00901"/>
    <w:rsid w:val="3CD13DD3"/>
    <w:rsid w:val="3CD56CDE"/>
    <w:rsid w:val="3CD63197"/>
    <w:rsid w:val="3CDE4F7D"/>
    <w:rsid w:val="3CE05DC4"/>
    <w:rsid w:val="3CE07F0B"/>
    <w:rsid w:val="3CE13042"/>
    <w:rsid w:val="3CE358B4"/>
    <w:rsid w:val="3CF278A5"/>
    <w:rsid w:val="3CF54E60"/>
    <w:rsid w:val="3CFA1ECB"/>
    <w:rsid w:val="3D0A4BEF"/>
    <w:rsid w:val="3D0E5F56"/>
    <w:rsid w:val="3D1141CF"/>
    <w:rsid w:val="3D1F5633"/>
    <w:rsid w:val="3D370FD9"/>
    <w:rsid w:val="3D510A70"/>
    <w:rsid w:val="3D597924"/>
    <w:rsid w:val="3D5F6C0A"/>
    <w:rsid w:val="3D612512"/>
    <w:rsid w:val="3D622C7D"/>
    <w:rsid w:val="3D6469F5"/>
    <w:rsid w:val="3D70539A"/>
    <w:rsid w:val="3D8F1598"/>
    <w:rsid w:val="3D9372DA"/>
    <w:rsid w:val="3D962926"/>
    <w:rsid w:val="3D9A41C5"/>
    <w:rsid w:val="3D9D2591"/>
    <w:rsid w:val="3DA37D71"/>
    <w:rsid w:val="3DA52B6A"/>
    <w:rsid w:val="3DA6675E"/>
    <w:rsid w:val="3DAC2B89"/>
    <w:rsid w:val="3DB00644"/>
    <w:rsid w:val="3DC21AB7"/>
    <w:rsid w:val="3DC6320C"/>
    <w:rsid w:val="3DC65BE7"/>
    <w:rsid w:val="3DCF189E"/>
    <w:rsid w:val="3DD1395F"/>
    <w:rsid w:val="3DF53AF1"/>
    <w:rsid w:val="3DFF005A"/>
    <w:rsid w:val="3E014660"/>
    <w:rsid w:val="3E10092B"/>
    <w:rsid w:val="3E126451"/>
    <w:rsid w:val="3E154B00"/>
    <w:rsid w:val="3E184F36"/>
    <w:rsid w:val="3E1C107E"/>
    <w:rsid w:val="3E3B3BEB"/>
    <w:rsid w:val="3E4368FA"/>
    <w:rsid w:val="3E554590"/>
    <w:rsid w:val="3E5A7DF8"/>
    <w:rsid w:val="3E5C1DEB"/>
    <w:rsid w:val="3E5F68F1"/>
    <w:rsid w:val="3E652775"/>
    <w:rsid w:val="3E7549DE"/>
    <w:rsid w:val="3E7762B4"/>
    <w:rsid w:val="3E95498C"/>
    <w:rsid w:val="3EA80B63"/>
    <w:rsid w:val="3EA91853"/>
    <w:rsid w:val="3EAD617A"/>
    <w:rsid w:val="3EB66681"/>
    <w:rsid w:val="3EB913A4"/>
    <w:rsid w:val="3EC51715"/>
    <w:rsid w:val="3EC55271"/>
    <w:rsid w:val="3EC9254A"/>
    <w:rsid w:val="3ED14FA9"/>
    <w:rsid w:val="3EE576C2"/>
    <w:rsid w:val="3EED7294"/>
    <w:rsid w:val="3F046B32"/>
    <w:rsid w:val="3F0510C0"/>
    <w:rsid w:val="3F057D64"/>
    <w:rsid w:val="3F1D1466"/>
    <w:rsid w:val="3F2325EB"/>
    <w:rsid w:val="3F2C5366"/>
    <w:rsid w:val="3F2F3033"/>
    <w:rsid w:val="3F3D5750"/>
    <w:rsid w:val="3F47037C"/>
    <w:rsid w:val="3F60143E"/>
    <w:rsid w:val="3F694D54"/>
    <w:rsid w:val="3F746C6A"/>
    <w:rsid w:val="3F797F56"/>
    <w:rsid w:val="3F8A2017"/>
    <w:rsid w:val="3F8C11CB"/>
    <w:rsid w:val="3F9115C8"/>
    <w:rsid w:val="3F912431"/>
    <w:rsid w:val="3F966D63"/>
    <w:rsid w:val="3FA0000A"/>
    <w:rsid w:val="3FB8669C"/>
    <w:rsid w:val="3FC207F2"/>
    <w:rsid w:val="3FC956DF"/>
    <w:rsid w:val="3FCB2D5B"/>
    <w:rsid w:val="3FD50E49"/>
    <w:rsid w:val="3FFF47B3"/>
    <w:rsid w:val="40095BE2"/>
    <w:rsid w:val="401F09B1"/>
    <w:rsid w:val="402B1A4C"/>
    <w:rsid w:val="403227BB"/>
    <w:rsid w:val="40391CF5"/>
    <w:rsid w:val="405C1C05"/>
    <w:rsid w:val="406059AB"/>
    <w:rsid w:val="4060676C"/>
    <w:rsid w:val="407713DF"/>
    <w:rsid w:val="40776A3F"/>
    <w:rsid w:val="408C22F8"/>
    <w:rsid w:val="40B546CB"/>
    <w:rsid w:val="40B569E2"/>
    <w:rsid w:val="40B76E3C"/>
    <w:rsid w:val="40C003E6"/>
    <w:rsid w:val="40D11B72"/>
    <w:rsid w:val="40D32BD9"/>
    <w:rsid w:val="40E423C7"/>
    <w:rsid w:val="40E44172"/>
    <w:rsid w:val="40F31DDA"/>
    <w:rsid w:val="4107346F"/>
    <w:rsid w:val="410F0A26"/>
    <w:rsid w:val="41173D7E"/>
    <w:rsid w:val="41241745"/>
    <w:rsid w:val="412D35A2"/>
    <w:rsid w:val="4135464F"/>
    <w:rsid w:val="41374720"/>
    <w:rsid w:val="413C3BCB"/>
    <w:rsid w:val="41410DFB"/>
    <w:rsid w:val="4144103E"/>
    <w:rsid w:val="41443AE3"/>
    <w:rsid w:val="41456B3D"/>
    <w:rsid w:val="414836F0"/>
    <w:rsid w:val="41526B64"/>
    <w:rsid w:val="41627119"/>
    <w:rsid w:val="416430E7"/>
    <w:rsid w:val="416A65A4"/>
    <w:rsid w:val="417B255F"/>
    <w:rsid w:val="41827CCE"/>
    <w:rsid w:val="41AE6491"/>
    <w:rsid w:val="41B94E35"/>
    <w:rsid w:val="41C45CB4"/>
    <w:rsid w:val="41C912EE"/>
    <w:rsid w:val="41CC2DBB"/>
    <w:rsid w:val="41CE08E1"/>
    <w:rsid w:val="41CE435E"/>
    <w:rsid w:val="41D16037"/>
    <w:rsid w:val="41D30398"/>
    <w:rsid w:val="41E031D2"/>
    <w:rsid w:val="41E07C3D"/>
    <w:rsid w:val="42072045"/>
    <w:rsid w:val="42092942"/>
    <w:rsid w:val="421D0512"/>
    <w:rsid w:val="421D3616"/>
    <w:rsid w:val="422449A5"/>
    <w:rsid w:val="42253035"/>
    <w:rsid w:val="423B584A"/>
    <w:rsid w:val="423F115F"/>
    <w:rsid w:val="42541DA4"/>
    <w:rsid w:val="427F7E2D"/>
    <w:rsid w:val="42847313"/>
    <w:rsid w:val="42884F34"/>
    <w:rsid w:val="428A0E0B"/>
    <w:rsid w:val="42A31D6D"/>
    <w:rsid w:val="42A74D56"/>
    <w:rsid w:val="42AA3BB9"/>
    <w:rsid w:val="42AE6CB6"/>
    <w:rsid w:val="42C73523"/>
    <w:rsid w:val="42CB7163"/>
    <w:rsid w:val="42CD6DEA"/>
    <w:rsid w:val="42D53EF1"/>
    <w:rsid w:val="42EA799C"/>
    <w:rsid w:val="4317336F"/>
    <w:rsid w:val="43301127"/>
    <w:rsid w:val="43430E5B"/>
    <w:rsid w:val="4348021F"/>
    <w:rsid w:val="434A3F97"/>
    <w:rsid w:val="434A7267"/>
    <w:rsid w:val="434C0A8B"/>
    <w:rsid w:val="43572D5C"/>
    <w:rsid w:val="43651FF1"/>
    <w:rsid w:val="436F0444"/>
    <w:rsid w:val="43762FDE"/>
    <w:rsid w:val="43784477"/>
    <w:rsid w:val="43904600"/>
    <w:rsid w:val="43947908"/>
    <w:rsid w:val="43AF4742"/>
    <w:rsid w:val="43BA03B0"/>
    <w:rsid w:val="43BC29BB"/>
    <w:rsid w:val="43C424B3"/>
    <w:rsid w:val="43CB1EA1"/>
    <w:rsid w:val="43D62CBE"/>
    <w:rsid w:val="43F6411F"/>
    <w:rsid w:val="44010BBF"/>
    <w:rsid w:val="441822E7"/>
    <w:rsid w:val="441E725A"/>
    <w:rsid w:val="441F4330"/>
    <w:rsid w:val="444E7AB7"/>
    <w:rsid w:val="44514BEC"/>
    <w:rsid w:val="4451791B"/>
    <w:rsid w:val="4456696C"/>
    <w:rsid w:val="445873A3"/>
    <w:rsid w:val="446B7251"/>
    <w:rsid w:val="447C11AA"/>
    <w:rsid w:val="44887A4A"/>
    <w:rsid w:val="448E4357"/>
    <w:rsid w:val="44A35BF4"/>
    <w:rsid w:val="44CD30D2"/>
    <w:rsid w:val="44D3415D"/>
    <w:rsid w:val="44D42A00"/>
    <w:rsid w:val="44E346A3"/>
    <w:rsid w:val="44F248E6"/>
    <w:rsid w:val="45156827"/>
    <w:rsid w:val="451F2C01"/>
    <w:rsid w:val="45390CAA"/>
    <w:rsid w:val="45525385"/>
    <w:rsid w:val="45637AC1"/>
    <w:rsid w:val="456757A7"/>
    <w:rsid w:val="4583549B"/>
    <w:rsid w:val="45862EBB"/>
    <w:rsid w:val="458925A9"/>
    <w:rsid w:val="45A41B1E"/>
    <w:rsid w:val="45B515CB"/>
    <w:rsid w:val="45B95404"/>
    <w:rsid w:val="45C24E83"/>
    <w:rsid w:val="45D83281"/>
    <w:rsid w:val="45DB537A"/>
    <w:rsid w:val="45DC1497"/>
    <w:rsid w:val="45DD5596"/>
    <w:rsid w:val="45F4643C"/>
    <w:rsid w:val="45FA3DAB"/>
    <w:rsid w:val="46126D30"/>
    <w:rsid w:val="46250CEB"/>
    <w:rsid w:val="462915CA"/>
    <w:rsid w:val="46313B9D"/>
    <w:rsid w:val="463E140B"/>
    <w:rsid w:val="463E26A5"/>
    <w:rsid w:val="464253F9"/>
    <w:rsid w:val="46464C5D"/>
    <w:rsid w:val="46601D24"/>
    <w:rsid w:val="466E4440"/>
    <w:rsid w:val="468123C6"/>
    <w:rsid w:val="46833448"/>
    <w:rsid w:val="468A4D8B"/>
    <w:rsid w:val="4691012F"/>
    <w:rsid w:val="4698326B"/>
    <w:rsid w:val="46B10D57"/>
    <w:rsid w:val="46BB4E26"/>
    <w:rsid w:val="46DC75FC"/>
    <w:rsid w:val="46EB3CE3"/>
    <w:rsid w:val="46EB442E"/>
    <w:rsid w:val="46EC35B7"/>
    <w:rsid w:val="47094169"/>
    <w:rsid w:val="470D345D"/>
    <w:rsid w:val="470D5A07"/>
    <w:rsid w:val="471054F8"/>
    <w:rsid w:val="471A6376"/>
    <w:rsid w:val="472E369D"/>
    <w:rsid w:val="473C62ED"/>
    <w:rsid w:val="47462CC7"/>
    <w:rsid w:val="47466FB1"/>
    <w:rsid w:val="47611305"/>
    <w:rsid w:val="477C2B8D"/>
    <w:rsid w:val="47855E69"/>
    <w:rsid w:val="47887784"/>
    <w:rsid w:val="478B38B6"/>
    <w:rsid w:val="479E6FA7"/>
    <w:rsid w:val="47A53E92"/>
    <w:rsid w:val="47A67599"/>
    <w:rsid w:val="47B65530"/>
    <w:rsid w:val="47BE31A6"/>
    <w:rsid w:val="47C54534"/>
    <w:rsid w:val="47D143BA"/>
    <w:rsid w:val="47F70466"/>
    <w:rsid w:val="48002B22"/>
    <w:rsid w:val="480D47B5"/>
    <w:rsid w:val="48141921"/>
    <w:rsid w:val="481C1C7A"/>
    <w:rsid w:val="484A2C8B"/>
    <w:rsid w:val="484A4A39"/>
    <w:rsid w:val="485222FC"/>
    <w:rsid w:val="485A1120"/>
    <w:rsid w:val="48633523"/>
    <w:rsid w:val="486755EB"/>
    <w:rsid w:val="487D6BBD"/>
    <w:rsid w:val="48834259"/>
    <w:rsid w:val="488E1926"/>
    <w:rsid w:val="48931989"/>
    <w:rsid w:val="48952158"/>
    <w:rsid w:val="48972E18"/>
    <w:rsid w:val="489B0A81"/>
    <w:rsid w:val="489B5295"/>
    <w:rsid w:val="48BF71D5"/>
    <w:rsid w:val="48C74AF3"/>
    <w:rsid w:val="48DF75B5"/>
    <w:rsid w:val="48EA3B26"/>
    <w:rsid w:val="48F36E7F"/>
    <w:rsid w:val="48F7014B"/>
    <w:rsid w:val="48F84495"/>
    <w:rsid w:val="490D6ABE"/>
    <w:rsid w:val="49223C3A"/>
    <w:rsid w:val="4923660B"/>
    <w:rsid w:val="49282693"/>
    <w:rsid w:val="49284D7B"/>
    <w:rsid w:val="49521DF7"/>
    <w:rsid w:val="495F2766"/>
    <w:rsid w:val="49673BFB"/>
    <w:rsid w:val="49680CD8"/>
    <w:rsid w:val="496A11F3"/>
    <w:rsid w:val="496C3B5C"/>
    <w:rsid w:val="496C77AA"/>
    <w:rsid w:val="49724248"/>
    <w:rsid w:val="49725FF6"/>
    <w:rsid w:val="49862C23"/>
    <w:rsid w:val="498D5A32"/>
    <w:rsid w:val="498E223E"/>
    <w:rsid w:val="49983FA5"/>
    <w:rsid w:val="49A60395"/>
    <w:rsid w:val="49A62E0C"/>
    <w:rsid w:val="49A81E9E"/>
    <w:rsid w:val="49AB1508"/>
    <w:rsid w:val="49B2774B"/>
    <w:rsid w:val="49B52190"/>
    <w:rsid w:val="49BD04C4"/>
    <w:rsid w:val="49C94968"/>
    <w:rsid w:val="49CA7BE0"/>
    <w:rsid w:val="49CD382B"/>
    <w:rsid w:val="49DB1DED"/>
    <w:rsid w:val="49DC3DB7"/>
    <w:rsid w:val="49DE18DD"/>
    <w:rsid w:val="4A051D29"/>
    <w:rsid w:val="4A070E34"/>
    <w:rsid w:val="4A185986"/>
    <w:rsid w:val="4A1B58E2"/>
    <w:rsid w:val="4A2318C9"/>
    <w:rsid w:val="4A2A55A8"/>
    <w:rsid w:val="4A345076"/>
    <w:rsid w:val="4A3459A1"/>
    <w:rsid w:val="4A3E0978"/>
    <w:rsid w:val="4A59229A"/>
    <w:rsid w:val="4A6F2535"/>
    <w:rsid w:val="4A7F22E3"/>
    <w:rsid w:val="4A8D1231"/>
    <w:rsid w:val="4A993A56"/>
    <w:rsid w:val="4A9D52F4"/>
    <w:rsid w:val="4AA817F3"/>
    <w:rsid w:val="4ABC2DB0"/>
    <w:rsid w:val="4AC40AD3"/>
    <w:rsid w:val="4AC72B6B"/>
    <w:rsid w:val="4ACC0362"/>
    <w:rsid w:val="4AF01A1F"/>
    <w:rsid w:val="4AF57F71"/>
    <w:rsid w:val="4AFA62A3"/>
    <w:rsid w:val="4AFE28BB"/>
    <w:rsid w:val="4AFE29C3"/>
    <w:rsid w:val="4B046E4B"/>
    <w:rsid w:val="4B107D40"/>
    <w:rsid w:val="4B332D80"/>
    <w:rsid w:val="4B3739F8"/>
    <w:rsid w:val="4B375749"/>
    <w:rsid w:val="4B3814C1"/>
    <w:rsid w:val="4B3865A2"/>
    <w:rsid w:val="4B3C553D"/>
    <w:rsid w:val="4B4327E6"/>
    <w:rsid w:val="4B4E5A7B"/>
    <w:rsid w:val="4B6422B6"/>
    <w:rsid w:val="4B7A3887"/>
    <w:rsid w:val="4B8131EA"/>
    <w:rsid w:val="4B887FE4"/>
    <w:rsid w:val="4B893ACB"/>
    <w:rsid w:val="4B95421D"/>
    <w:rsid w:val="4B957DFE"/>
    <w:rsid w:val="4BA4226B"/>
    <w:rsid w:val="4BC821DC"/>
    <w:rsid w:val="4BD9235C"/>
    <w:rsid w:val="4BFA22D2"/>
    <w:rsid w:val="4BFF6959"/>
    <w:rsid w:val="4C1424C7"/>
    <w:rsid w:val="4C15535E"/>
    <w:rsid w:val="4C185704"/>
    <w:rsid w:val="4C26596E"/>
    <w:rsid w:val="4C30524F"/>
    <w:rsid w:val="4C4A1381"/>
    <w:rsid w:val="4C4F0870"/>
    <w:rsid w:val="4C567E51"/>
    <w:rsid w:val="4C575977"/>
    <w:rsid w:val="4C651E42"/>
    <w:rsid w:val="4C673E0C"/>
    <w:rsid w:val="4C6A0B74"/>
    <w:rsid w:val="4C7D362F"/>
    <w:rsid w:val="4C800A2A"/>
    <w:rsid w:val="4C822202"/>
    <w:rsid w:val="4C99450B"/>
    <w:rsid w:val="4CA706AC"/>
    <w:rsid w:val="4CAD039E"/>
    <w:rsid w:val="4CD92F5B"/>
    <w:rsid w:val="4CDA1D3F"/>
    <w:rsid w:val="4CDD7C2A"/>
    <w:rsid w:val="4CEB19DA"/>
    <w:rsid w:val="4D063625"/>
    <w:rsid w:val="4D0C15CA"/>
    <w:rsid w:val="4D1563E8"/>
    <w:rsid w:val="4D2B4E39"/>
    <w:rsid w:val="4D3930F6"/>
    <w:rsid w:val="4D3B2BA3"/>
    <w:rsid w:val="4D4978AF"/>
    <w:rsid w:val="4D581FEA"/>
    <w:rsid w:val="4D5D520F"/>
    <w:rsid w:val="4D663AFD"/>
    <w:rsid w:val="4D73213F"/>
    <w:rsid w:val="4D815625"/>
    <w:rsid w:val="4D834C75"/>
    <w:rsid w:val="4D8E5013"/>
    <w:rsid w:val="4D9549A9"/>
    <w:rsid w:val="4D9C1CEC"/>
    <w:rsid w:val="4DA250CF"/>
    <w:rsid w:val="4DBD5EE2"/>
    <w:rsid w:val="4DC05783"/>
    <w:rsid w:val="4DCE1C69"/>
    <w:rsid w:val="4DCE357C"/>
    <w:rsid w:val="4DD24797"/>
    <w:rsid w:val="4DD637A3"/>
    <w:rsid w:val="4DDF5745"/>
    <w:rsid w:val="4DE65204"/>
    <w:rsid w:val="4DF905AE"/>
    <w:rsid w:val="4DFA0CB0"/>
    <w:rsid w:val="4E0715C7"/>
    <w:rsid w:val="4E182B5E"/>
    <w:rsid w:val="4E1D27B5"/>
    <w:rsid w:val="4E21623C"/>
    <w:rsid w:val="4E4A42F5"/>
    <w:rsid w:val="4E4E1B92"/>
    <w:rsid w:val="4E5A0DF0"/>
    <w:rsid w:val="4E6A7265"/>
    <w:rsid w:val="4E726A98"/>
    <w:rsid w:val="4E9859DB"/>
    <w:rsid w:val="4E9E5454"/>
    <w:rsid w:val="4EC07803"/>
    <w:rsid w:val="4EDD38A3"/>
    <w:rsid w:val="4EF101B9"/>
    <w:rsid w:val="4EF43951"/>
    <w:rsid w:val="4EFB5536"/>
    <w:rsid w:val="4F06596D"/>
    <w:rsid w:val="4F1010CA"/>
    <w:rsid w:val="4F1162B1"/>
    <w:rsid w:val="4F1D2EA8"/>
    <w:rsid w:val="4F2B6157"/>
    <w:rsid w:val="4F504C12"/>
    <w:rsid w:val="4F6E54B1"/>
    <w:rsid w:val="4F9A2326"/>
    <w:rsid w:val="4F9C763A"/>
    <w:rsid w:val="4FA930E5"/>
    <w:rsid w:val="4FC14440"/>
    <w:rsid w:val="4FC7696F"/>
    <w:rsid w:val="4FC8602C"/>
    <w:rsid w:val="4FCD667C"/>
    <w:rsid w:val="4FD25A40"/>
    <w:rsid w:val="4FF0751A"/>
    <w:rsid w:val="5004072B"/>
    <w:rsid w:val="500C016B"/>
    <w:rsid w:val="501A27B4"/>
    <w:rsid w:val="501E1D3F"/>
    <w:rsid w:val="50261F25"/>
    <w:rsid w:val="502831D8"/>
    <w:rsid w:val="5031374E"/>
    <w:rsid w:val="5039102D"/>
    <w:rsid w:val="504F52E3"/>
    <w:rsid w:val="50504BB7"/>
    <w:rsid w:val="505A5A36"/>
    <w:rsid w:val="50615016"/>
    <w:rsid w:val="509379C7"/>
    <w:rsid w:val="50AA1A16"/>
    <w:rsid w:val="50AB6D0D"/>
    <w:rsid w:val="50B67110"/>
    <w:rsid w:val="50BD32B2"/>
    <w:rsid w:val="50BD7DFA"/>
    <w:rsid w:val="50CE6C76"/>
    <w:rsid w:val="50EC3C76"/>
    <w:rsid w:val="51001A72"/>
    <w:rsid w:val="51121E6C"/>
    <w:rsid w:val="511856D5"/>
    <w:rsid w:val="511D00FA"/>
    <w:rsid w:val="512F2A1E"/>
    <w:rsid w:val="513E2C61"/>
    <w:rsid w:val="51422684"/>
    <w:rsid w:val="51433A94"/>
    <w:rsid w:val="514F30C0"/>
    <w:rsid w:val="51523067"/>
    <w:rsid w:val="516B614C"/>
    <w:rsid w:val="518014CC"/>
    <w:rsid w:val="51813440"/>
    <w:rsid w:val="519A2A2F"/>
    <w:rsid w:val="51B330B4"/>
    <w:rsid w:val="51B61539"/>
    <w:rsid w:val="51B82CA2"/>
    <w:rsid w:val="52064694"/>
    <w:rsid w:val="52065E75"/>
    <w:rsid w:val="520E2B94"/>
    <w:rsid w:val="521045FE"/>
    <w:rsid w:val="521F58B5"/>
    <w:rsid w:val="522964D2"/>
    <w:rsid w:val="522D2622"/>
    <w:rsid w:val="52341F69"/>
    <w:rsid w:val="524349D3"/>
    <w:rsid w:val="524A3FB4"/>
    <w:rsid w:val="524B4D3B"/>
    <w:rsid w:val="5253098E"/>
    <w:rsid w:val="525874B3"/>
    <w:rsid w:val="527276B4"/>
    <w:rsid w:val="52880638"/>
    <w:rsid w:val="528D0FBB"/>
    <w:rsid w:val="52927709"/>
    <w:rsid w:val="52A35472"/>
    <w:rsid w:val="52AA2CA4"/>
    <w:rsid w:val="52AB4326"/>
    <w:rsid w:val="52B61649"/>
    <w:rsid w:val="52C47DCF"/>
    <w:rsid w:val="52D3730D"/>
    <w:rsid w:val="52D94894"/>
    <w:rsid w:val="52E000A8"/>
    <w:rsid w:val="52F31A56"/>
    <w:rsid w:val="53080E48"/>
    <w:rsid w:val="5311687F"/>
    <w:rsid w:val="53213F78"/>
    <w:rsid w:val="53242F2F"/>
    <w:rsid w:val="53311A55"/>
    <w:rsid w:val="53321D72"/>
    <w:rsid w:val="53435786"/>
    <w:rsid w:val="53446C55"/>
    <w:rsid w:val="53461A8A"/>
    <w:rsid w:val="53531BD2"/>
    <w:rsid w:val="53542C10"/>
    <w:rsid w:val="536D372A"/>
    <w:rsid w:val="53756B51"/>
    <w:rsid w:val="538C70AB"/>
    <w:rsid w:val="538D4820"/>
    <w:rsid w:val="53B06098"/>
    <w:rsid w:val="53BC6AF0"/>
    <w:rsid w:val="53C078FD"/>
    <w:rsid w:val="53C20860"/>
    <w:rsid w:val="53D0297F"/>
    <w:rsid w:val="53D05CD6"/>
    <w:rsid w:val="53DA5AFE"/>
    <w:rsid w:val="53DF7779"/>
    <w:rsid w:val="53E2021C"/>
    <w:rsid w:val="53E24B5F"/>
    <w:rsid w:val="54004698"/>
    <w:rsid w:val="540366B0"/>
    <w:rsid w:val="54077C82"/>
    <w:rsid w:val="540A4BE7"/>
    <w:rsid w:val="54100745"/>
    <w:rsid w:val="54136031"/>
    <w:rsid w:val="541960F0"/>
    <w:rsid w:val="54282845"/>
    <w:rsid w:val="543436C1"/>
    <w:rsid w:val="544D1B56"/>
    <w:rsid w:val="54534C76"/>
    <w:rsid w:val="54562C35"/>
    <w:rsid w:val="545C1D7C"/>
    <w:rsid w:val="546105B9"/>
    <w:rsid w:val="546148C3"/>
    <w:rsid w:val="546619D3"/>
    <w:rsid w:val="546B072B"/>
    <w:rsid w:val="547277F2"/>
    <w:rsid w:val="547B6991"/>
    <w:rsid w:val="548F2DD4"/>
    <w:rsid w:val="5492689A"/>
    <w:rsid w:val="549459BA"/>
    <w:rsid w:val="54AB6827"/>
    <w:rsid w:val="54B17344"/>
    <w:rsid w:val="54C16083"/>
    <w:rsid w:val="54C350C0"/>
    <w:rsid w:val="54C81203"/>
    <w:rsid w:val="54CA5AD2"/>
    <w:rsid w:val="54CF22DF"/>
    <w:rsid w:val="54D630D0"/>
    <w:rsid w:val="54D73AF9"/>
    <w:rsid w:val="54DA5642"/>
    <w:rsid w:val="54DA77A2"/>
    <w:rsid w:val="54DB252E"/>
    <w:rsid w:val="54E219E5"/>
    <w:rsid w:val="54E63D3C"/>
    <w:rsid w:val="54EE6EEB"/>
    <w:rsid w:val="54FE1E95"/>
    <w:rsid w:val="550C51F6"/>
    <w:rsid w:val="551C150B"/>
    <w:rsid w:val="551E6B2A"/>
    <w:rsid w:val="551E7032"/>
    <w:rsid w:val="552C0A96"/>
    <w:rsid w:val="552C446C"/>
    <w:rsid w:val="552C5AEB"/>
    <w:rsid w:val="553121D2"/>
    <w:rsid w:val="553C284B"/>
    <w:rsid w:val="553F13FA"/>
    <w:rsid w:val="554747DA"/>
    <w:rsid w:val="554A28A3"/>
    <w:rsid w:val="55556085"/>
    <w:rsid w:val="55677031"/>
    <w:rsid w:val="55771094"/>
    <w:rsid w:val="55821277"/>
    <w:rsid w:val="558F6181"/>
    <w:rsid w:val="559D089E"/>
    <w:rsid w:val="559D478B"/>
    <w:rsid w:val="55A75279"/>
    <w:rsid w:val="55A92CDF"/>
    <w:rsid w:val="55B34B3D"/>
    <w:rsid w:val="55BD4A9D"/>
    <w:rsid w:val="55BE23BC"/>
    <w:rsid w:val="55D17D4B"/>
    <w:rsid w:val="55E0078B"/>
    <w:rsid w:val="55E42029"/>
    <w:rsid w:val="55FA7A9F"/>
    <w:rsid w:val="560403F4"/>
    <w:rsid w:val="56067310"/>
    <w:rsid w:val="560B7692"/>
    <w:rsid w:val="56170651"/>
    <w:rsid w:val="5637484F"/>
    <w:rsid w:val="563805C7"/>
    <w:rsid w:val="5664316A"/>
    <w:rsid w:val="566B44F9"/>
    <w:rsid w:val="567203C9"/>
    <w:rsid w:val="56752052"/>
    <w:rsid w:val="567775EB"/>
    <w:rsid w:val="567D422C"/>
    <w:rsid w:val="56867584"/>
    <w:rsid w:val="56925F29"/>
    <w:rsid w:val="56951575"/>
    <w:rsid w:val="569F23F4"/>
    <w:rsid w:val="56A64EB1"/>
    <w:rsid w:val="56A90D5C"/>
    <w:rsid w:val="56AE2637"/>
    <w:rsid w:val="56CB4F97"/>
    <w:rsid w:val="56D14554"/>
    <w:rsid w:val="56E147BB"/>
    <w:rsid w:val="56E878F7"/>
    <w:rsid w:val="56EB73E7"/>
    <w:rsid w:val="56F272FF"/>
    <w:rsid w:val="56F67C59"/>
    <w:rsid w:val="56F715E8"/>
    <w:rsid w:val="5702651C"/>
    <w:rsid w:val="57083950"/>
    <w:rsid w:val="57083C31"/>
    <w:rsid w:val="571E77BD"/>
    <w:rsid w:val="572B448C"/>
    <w:rsid w:val="57353056"/>
    <w:rsid w:val="573F208A"/>
    <w:rsid w:val="573F29C9"/>
    <w:rsid w:val="57541431"/>
    <w:rsid w:val="57601FE9"/>
    <w:rsid w:val="57603931"/>
    <w:rsid w:val="576176AA"/>
    <w:rsid w:val="576A2A02"/>
    <w:rsid w:val="576C2C3D"/>
    <w:rsid w:val="577F3808"/>
    <w:rsid w:val="57813603"/>
    <w:rsid w:val="578F2469"/>
    <w:rsid w:val="57931591"/>
    <w:rsid w:val="579D735C"/>
    <w:rsid w:val="57B819BF"/>
    <w:rsid w:val="57D26A53"/>
    <w:rsid w:val="57DD3ED9"/>
    <w:rsid w:val="57E52A8A"/>
    <w:rsid w:val="57E95E6D"/>
    <w:rsid w:val="57F4051E"/>
    <w:rsid w:val="57FB365A"/>
    <w:rsid w:val="57FD73D2"/>
    <w:rsid w:val="57FF28BC"/>
    <w:rsid w:val="58164938"/>
    <w:rsid w:val="582232DD"/>
    <w:rsid w:val="58262DCD"/>
    <w:rsid w:val="582C7CB7"/>
    <w:rsid w:val="58605BFD"/>
    <w:rsid w:val="58627B7D"/>
    <w:rsid w:val="58705DF6"/>
    <w:rsid w:val="58720FDE"/>
    <w:rsid w:val="587B6A7C"/>
    <w:rsid w:val="588F01AE"/>
    <w:rsid w:val="58910F35"/>
    <w:rsid w:val="58957B8F"/>
    <w:rsid w:val="58A37915"/>
    <w:rsid w:val="58A61818"/>
    <w:rsid w:val="58BF6D7E"/>
    <w:rsid w:val="58C06A9A"/>
    <w:rsid w:val="58C3686E"/>
    <w:rsid w:val="58C94131"/>
    <w:rsid w:val="58CE570A"/>
    <w:rsid w:val="58D740C7"/>
    <w:rsid w:val="58DA7713"/>
    <w:rsid w:val="58EA741E"/>
    <w:rsid w:val="58FC1D80"/>
    <w:rsid w:val="591C6A1C"/>
    <w:rsid w:val="59232E69"/>
    <w:rsid w:val="592A2449"/>
    <w:rsid w:val="593D06A9"/>
    <w:rsid w:val="593D2046"/>
    <w:rsid w:val="59505C28"/>
    <w:rsid w:val="596404E6"/>
    <w:rsid w:val="596671F9"/>
    <w:rsid w:val="596A75FD"/>
    <w:rsid w:val="597D4C6F"/>
    <w:rsid w:val="59822933"/>
    <w:rsid w:val="59827B1F"/>
    <w:rsid w:val="59875677"/>
    <w:rsid w:val="598C67F8"/>
    <w:rsid w:val="59927FEE"/>
    <w:rsid w:val="59A71CEC"/>
    <w:rsid w:val="59AC09C7"/>
    <w:rsid w:val="59B461B6"/>
    <w:rsid w:val="59B85ED0"/>
    <w:rsid w:val="59C86CF0"/>
    <w:rsid w:val="59DA2104"/>
    <w:rsid w:val="59DB1995"/>
    <w:rsid w:val="59E2121B"/>
    <w:rsid w:val="59E6248C"/>
    <w:rsid w:val="5A0F25EA"/>
    <w:rsid w:val="5A1F5BA7"/>
    <w:rsid w:val="5A230DCA"/>
    <w:rsid w:val="5A380B96"/>
    <w:rsid w:val="5A481D9F"/>
    <w:rsid w:val="5A4E03B9"/>
    <w:rsid w:val="5A56101C"/>
    <w:rsid w:val="5A5D274B"/>
    <w:rsid w:val="5A7740F8"/>
    <w:rsid w:val="5A80128B"/>
    <w:rsid w:val="5A8B6F17"/>
    <w:rsid w:val="5A975865"/>
    <w:rsid w:val="5AA46CD2"/>
    <w:rsid w:val="5AB93F1D"/>
    <w:rsid w:val="5AC07554"/>
    <w:rsid w:val="5AC35040"/>
    <w:rsid w:val="5AD36B10"/>
    <w:rsid w:val="5AE03087"/>
    <w:rsid w:val="5AE662CB"/>
    <w:rsid w:val="5AF6148B"/>
    <w:rsid w:val="5B307706"/>
    <w:rsid w:val="5B70435F"/>
    <w:rsid w:val="5B71145A"/>
    <w:rsid w:val="5B8B207C"/>
    <w:rsid w:val="5B9C389A"/>
    <w:rsid w:val="5BA67D81"/>
    <w:rsid w:val="5BA858A7"/>
    <w:rsid w:val="5BAE5AE0"/>
    <w:rsid w:val="5BBF512C"/>
    <w:rsid w:val="5BC31F35"/>
    <w:rsid w:val="5BC546AB"/>
    <w:rsid w:val="5BC71385"/>
    <w:rsid w:val="5BC91427"/>
    <w:rsid w:val="5BD25782"/>
    <w:rsid w:val="5BDB67E0"/>
    <w:rsid w:val="5BFB5AE4"/>
    <w:rsid w:val="5C07081F"/>
    <w:rsid w:val="5C166CB5"/>
    <w:rsid w:val="5C1A7F01"/>
    <w:rsid w:val="5C1E36DF"/>
    <w:rsid w:val="5C2A2760"/>
    <w:rsid w:val="5C3C35AB"/>
    <w:rsid w:val="5C4850FD"/>
    <w:rsid w:val="5C6A0DAE"/>
    <w:rsid w:val="5C6C0FCA"/>
    <w:rsid w:val="5C6C151F"/>
    <w:rsid w:val="5C7B2FBB"/>
    <w:rsid w:val="5C92040C"/>
    <w:rsid w:val="5C950521"/>
    <w:rsid w:val="5C95460A"/>
    <w:rsid w:val="5C983B6D"/>
    <w:rsid w:val="5CA00C74"/>
    <w:rsid w:val="5CAF2C65"/>
    <w:rsid w:val="5CCC3CFF"/>
    <w:rsid w:val="5CCE758F"/>
    <w:rsid w:val="5CD80C10"/>
    <w:rsid w:val="5CD85E7D"/>
    <w:rsid w:val="5CD93552"/>
    <w:rsid w:val="5CDA23D8"/>
    <w:rsid w:val="5CDA4186"/>
    <w:rsid w:val="5CE037DD"/>
    <w:rsid w:val="5CF539D1"/>
    <w:rsid w:val="5CF944A5"/>
    <w:rsid w:val="5D00211E"/>
    <w:rsid w:val="5D156F6C"/>
    <w:rsid w:val="5D1D22C5"/>
    <w:rsid w:val="5D273EB3"/>
    <w:rsid w:val="5D310E69"/>
    <w:rsid w:val="5D3E52C4"/>
    <w:rsid w:val="5D417EB1"/>
    <w:rsid w:val="5D445AA3"/>
    <w:rsid w:val="5D4B0BE0"/>
    <w:rsid w:val="5D4D2637"/>
    <w:rsid w:val="5D4F5A37"/>
    <w:rsid w:val="5D552BF4"/>
    <w:rsid w:val="5D5C1A6F"/>
    <w:rsid w:val="5D7C6FEB"/>
    <w:rsid w:val="5D8207FE"/>
    <w:rsid w:val="5D89747D"/>
    <w:rsid w:val="5D973E25"/>
    <w:rsid w:val="5D9953D6"/>
    <w:rsid w:val="5DB6074F"/>
    <w:rsid w:val="5DBB2687"/>
    <w:rsid w:val="5DBE5856"/>
    <w:rsid w:val="5DD52086"/>
    <w:rsid w:val="5DDD1BC5"/>
    <w:rsid w:val="5E084D23"/>
    <w:rsid w:val="5E105298"/>
    <w:rsid w:val="5E1473CF"/>
    <w:rsid w:val="5E156E97"/>
    <w:rsid w:val="5E2A4C99"/>
    <w:rsid w:val="5E305A39"/>
    <w:rsid w:val="5E4757F5"/>
    <w:rsid w:val="5E636240"/>
    <w:rsid w:val="5E6554CB"/>
    <w:rsid w:val="5E6737F7"/>
    <w:rsid w:val="5E6B4F01"/>
    <w:rsid w:val="5E6C3504"/>
    <w:rsid w:val="5E6C52B2"/>
    <w:rsid w:val="5E84084D"/>
    <w:rsid w:val="5E8D75D3"/>
    <w:rsid w:val="5EB06204"/>
    <w:rsid w:val="5EC92704"/>
    <w:rsid w:val="5ECD3ABF"/>
    <w:rsid w:val="5ED03A93"/>
    <w:rsid w:val="5ED852BC"/>
    <w:rsid w:val="5EDC2437"/>
    <w:rsid w:val="5EE74938"/>
    <w:rsid w:val="5EF65AAD"/>
    <w:rsid w:val="5EFC4888"/>
    <w:rsid w:val="5F145645"/>
    <w:rsid w:val="5F2F03DD"/>
    <w:rsid w:val="5F4B4EC7"/>
    <w:rsid w:val="5F5024DD"/>
    <w:rsid w:val="5F5F6BC4"/>
    <w:rsid w:val="5F612727"/>
    <w:rsid w:val="5F6B0794"/>
    <w:rsid w:val="5F6E5059"/>
    <w:rsid w:val="5F6E6B7C"/>
    <w:rsid w:val="5F7A1C50"/>
    <w:rsid w:val="5F7A4C58"/>
    <w:rsid w:val="5F7C7862"/>
    <w:rsid w:val="5F8F0951"/>
    <w:rsid w:val="5F907DDA"/>
    <w:rsid w:val="5FAA42E4"/>
    <w:rsid w:val="5FC307D6"/>
    <w:rsid w:val="5FC37153"/>
    <w:rsid w:val="5FDC1FC3"/>
    <w:rsid w:val="5FE24921"/>
    <w:rsid w:val="5FED6689"/>
    <w:rsid w:val="5FFA1467"/>
    <w:rsid w:val="5FFF5CB2"/>
    <w:rsid w:val="600357A2"/>
    <w:rsid w:val="600A2FD4"/>
    <w:rsid w:val="60116111"/>
    <w:rsid w:val="60177D10"/>
    <w:rsid w:val="60193217"/>
    <w:rsid w:val="6031230F"/>
    <w:rsid w:val="604A2631"/>
    <w:rsid w:val="604E179A"/>
    <w:rsid w:val="606036A1"/>
    <w:rsid w:val="60605561"/>
    <w:rsid w:val="606F1F22"/>
    <w:rsid w:val="607D519B"/>
    <w:rsid w:val="608001A3"/>
    <w:rsid w:val="608F2E73"/>
    <w:rsid w:val="6091414A"/>
    <w:rsid w:val="60972553"/>
    <w:rsid w:val="60992AD7"/>
    <w:rsid w:val="60AC424F"/>
    <w:rsid w:val="60B114FF"/>
    <w:rsid w:val="60B15BE1"/>
    <w:rsid w:val="60B6278B"/>
    <w:rsid w:val="60BE4219"/>
    <w:rsid w:val="60C211B9"/>
    <w:rsid w:val="60D96503"/>
    <w:rsid w:val="60E52B6C"/>
    <w:rsid w:val="60E92BEA"/>
    <w:rsid w:val="60F03F78"/>
    <w:rsid w:val="60F8107F"/>
    <w:rsid w:val="61002FCE"/>
    <w:rsid w:val="61176028"/>
    <w:rsid w:val="611D6D37"/>
    <w:rsid w:val="6123069F"/>
    <w:rsid w:val="61246603"/>
    <w:rsid w:val="61285BD1"/>
    <w:rsid w:val="612F39C4"/>
    <w:rsid w:val="61475B62"/>
    <w:rsid w:val="614C5B81"/>
    <w:rsid w:val="61643990"/>
    <w:rsid w:val="616507CC"/>
    <w:rsid w:val="616B35FF"/>
    <w:rsid w:val="617374F5"/>
    <w:rsid w:val="61742C47"/>
    <w:rsid w:val="61B83B4B"/>
    <w:rsid w:val="61C807BC"/>
    <w:rsid w:val="61CF7808"/>
    <w:rsid w:val="61D228D4"/>
    <w:rsid w:val="61DC274E"/>
    <w:rsid w:val="61E433B1"/>
    <w:rsid w:val="61EF59E1"/>
    <w:rsid w:val="61F92E99"/>
    <w:rsid w:val="61FD208D"/>
    <w:rsid w:val="62164FF8"/>
    <w:rsid w:val="621A068C"/>
    <w:rsid w:val="62214605"/>
    <w:rsid w:val="62214CDD"/>
    <w:rsid w:val="62255EA3"/>
    <w:rsid w:val="62331D93"/>
    <w:rsid w:val="623B7383"/>
    <w:rsid w:val="62522CB9"/>
    <w:rsid w:val="62546789"/>
    <w:rsid w:val="625E3163"/>
    <w:rsid w:val="62617F3C"/>
    <w:rsid w:val="62650996"/>
    <w:rsid w:val="62732DAC"/>
    <w:rsid w:val="6286134E"/>
    <w:rsid w:val="628C0609"/>
    <w:rsid w:val="62A95894"/>
    <w:rsid w:val="62BE0818"/>
    <w:rsid w:val="62BE1E54"/>
    <w:rsid w:val="62C104C8"/>
    <w:rsid w:val="62C331A1"/>
    <w:rsid w:val="62C6388D"/>
    <w:rsid w:val="62CD3344"/>
    <w:rsid w:val="62D615EF"/>
    <w:rsid w:val="62F41A14"/>
    <w:rsid w:val="62F85366"/>
    <w:rsid w:val="62FA7330"/>
    <w:rsid w:val="63057A83"/>
    <w:rsid w:val="630A5099"/>
    <w:rsid w:val="630E5713"/>
    <w:rsid w:val="63147CC6"/>
    <w:rsid w:val="631830BF"/>
    <w:rsid w:val="63223418"/>
    <w:rsid w:val="63252EFD"/>
    <w:rsid w:val="63267810"/>
    <w:rsid w:val="632B74E9"/>
    <w:rsid w:val="632C14B3"/>
    <w:rsid w:val="633B2D27"/>
    <w:rsid w:val="634B193A"/>
    <w:rsid w:val="63514A76"/>
    <w:rsid w:val="635448FF"/>
    <w:rsid w:val="636570D5"/>
    <w:rsid w:val="63803986"/>
    <w:rsid w:val="638C5AAE"/>
    <w:rsid w:val="63950E07"/>
    <w:rsid w:val="639B621F"/>
    <w:rsid w:val="63A0369D"/>
    <w:rsid w:val="63A454EE"/>
    <w:rsid w:val="63BF586F"/>
    <w:rsid w:val="63CE4319"/>
    <w:rsid w:val="63EE0517"/>
    <w:rsid w:val="63F878F7"/>
    <w:rsid w:val="63FC411B"/>
    <w:rsid w:val="640970FF"/>
    <w:rsid w:val="64233F56"/>
    <w:rsid w:val="643B38A3"/>
    <w:rsid w:val="647838E3"/>
    <w:rsid w:val="64790728"/>
    <w:rsid w:val="647F3BA1"/>
    <w:rsid w:val="64882719"/>
    <w:rsid w:val="648A3343"/>
    <w:rsid w:val="64A07AD4"/>
    <w:rsid w:val="64A77F4C"/>
    <w:rsid w:val="64AD436A"/>
    <w:rsid w:val="64AE3DEB"/>
    <w:rsid w:val="64B24D13"/>
    <w:rsid w:val="64B67287"/>
    <w:rsid w:val="64B928D3"/>
    <w:rsid w:val="64C952CF"/>
    <w:rsid w:val="64D15E6F"/>
    <w:rsid w:val="64D30F52"/>
    <w:rsid w:val="64DB1713"/>
    <w:rsid w:val="64DF023C"/>
    <w:rsid w:val="64E93C50"/>
    <w:rsid w:val="64EE6A20"/>
    <w:rsid w:val="64EF1BBB"/>
    <w:rsid w:val="64F14763"/>
    <w:rsid w:val="64F41B5D"/>
    <w:rsid w:val="64F57AEF"/>
    <w:rsid w:val="65055B18"/>
    <w:rsid w:val="650D7CD7"/>
    <w:rsid w:val="65271198"/>
    <w:rsid w:val="652E32C1"/>
    <w:rsid w:val="65360830"/>
    <w:rsid w:val="653829FF"/>
    <w:rsid w:val="65420B1A"/>
    <w:rsid w:val="654C1999"/>
    <w:rsid w:val="65530F79"/>
    <w:rsid w:val="656243C4"/>
    <w:rsid w:val="656411D4"/>
    <w:rsid w:val="65655E8C"/>
    <w:rsid w:val="656D6F29"/>
    <w:rsid w:val="65733764"/>
    <w:rsid w:val="657B16D0"/>
    <w:rsid w:val="658D2133"/>
    <w:rsid w:val="65940562"/>
    <w:rsid w:val="659F5F6D"/>
    <w:rsid w:val="65AB34EF"/>
    <w:rsid w:val="65B65064"/>
    <w:rsid w:val="65CE47E2"/>
    <w:rsid w:val="65CF0BE6"/>
    <w:rsid w:val="65D75707"/>
    <w:rsid w:val="65E60204"/>
    <w:rsid w:val="65EE7AD0"/>
    <w:rsid w:val="660D0B21"/>
    <w:rsid w:val="66183441"/>
    <w:rsid w:val="662760F3"/>
    <w:rsid w:val="66315989"/>
    <w:rsid w:val="66317469"/>
    <w:rsid w:val="66341D78"/>
    <w:rsid w:val="66464DE6"/>
    <w:rsid w:val="664D37C1"/>
    <w:rsid w:val="665925BF"/>
    <w:rsid w:val="665E1AB3"/>
    <w:rsid w:val="66684A01"/>
    <w:rsid w:val="66805D9E"/>
    <w:rsid w:val="66887712"/>
    <w:rsid w:val="668E19BB"/>
    <w:rsid w:val="669E7C1C"/>
    <w:rsid w:val="66A302D7"/>
    <w:rsid w:val="66A66CB3"/>
    <w:rsid w:val="66B26720"/>
    <w:rsid w:val="66B27F22"/>
    <w:rsid w:val="66B617C0"/>
    <w:rsid w:val="66BD7954"/>
    <w:rsid w:val="66C22D3A"/>
    <w:rsid w:val="66CB4CA4"/>
    <w:rsid w:val="66D954AE"/>
    <w:rsid w:val="66D97180"/>
    <w:rsid w:val="66EC51E2"/>
    <w:rsid w:val="66ED6CE2"/>
    <w:rsid w:val="66F67E0E"/>
    <w:rsid w:val="66FB5425"/>
    <w:rsid w:val="67087B42"/>
    <w:rsid w:val="670A5668"/>
    <w:rsid w:val="67112452"/>
    <w:rsid w:val="672159E1"/>
    <w:rsid w:val="672F50CE"/>
    <w:rsid w:val="67322A2B"/>
    <w:rsid w:val="673A5406"/>
    <w:rsid w:val="676B1FC5"/>
    <w:rsid w:val="676D6BD3"/>
    <w:rsid w:val="678378A7"/>
    <w:rsid w:val="67872145"/>
    <w:rsid w:val="678E44EB"/>
    <w:rsid w:val="67957627"/>
    <w:rsid w:val="67967359"/>
    <w:rsid w:val="67AC2BC3"/>
    <w:rsid w:val="67B1545C"/>
    <w:rsid w:val="67C16680"/>
    <w:rsid w:val="67DD3829"/>
    <w:rsid w:val="67E62480"/>
    <w:rsid w:val="681D664B"/>
    <w:rsid w:val="681F3395"/>
    <w:rsid w:val="68251FD1"/>
    <w:rsid w:val="682664D1"/>
    <w:rsid w:val="683055A2"/>
    <w:rsid w:val="685F3791"/>
    <w:rsid w:val="68670295"/>
    <w:rsid w:val="687436E1"/>
    <w:rsid w:val="688C3F71"/>
    <w:rsid w:val="68A1024E"/>
    <w:rsid w:val="68B55C45"/>
    <w:rsid w:val="68BD0BEB"/>
    <w:rsid w:val="68BF2482"/>
    <w:rsid w:val="68C83A2C"/>
    <w:rsid w:val="68C857DA"/>
    <w:rsid w:val="68E02B24"/>
    <w:rsid w:val="68F24765"/>
    <w:rsid w:val="690A4AA4"/>
    <w:rsid w:val="690E58E3"/>
    <w:rsid w:val="692D3040"/>
    <w:rsid w:val="693A7D1A"/>
    <w:rsid w:val="693B41FE"/>
    <w:rsid w:val="694921C5"/>
    <w:rsid w:val="695B190D"/>
    <w:rsid w:val="695B21AB"/>
    <w:rsid w:val="6968059C"/>
    <w:rsid w:val="696C3423"/>
    <w:rsid w:val="69743D6C"/>
    <w:rsid w:val="69931944"/>
    <w:rsid w:val="6994390F"/>
    <w:rsid w:val="69A02B10"/>
    <w:rsid w:val="69B414FF"/>
    <w:rsid w:val="69B53FB1"/>
    <w:rsid w:val="69B55AF0"/>
    <w:rsid w:val="69B57BDB"/>
    <w:rsid w:val="69BE2739"/>
    <w:rsid w:val="69C6692F"/>
    <w:rsid w:val="69CE068E"/>
    <w:rsid w:val="69E6019D"/>
    <w:rsid w:val="69E91EAC"/>
    <w:rsid w:val="69EE7718"/>
    <w:rsid w:val="69FA19C4"/>
    <w:rsid w:val="6A0411DA"/>
    <w:rsid w:val="6A0A597F"/>
    <w:rsid w:val="6A462CC6"/>
    <w:rsid w:val="6A4E0945"/>
    <w:rsid w:val="6A4E3ABD"/>
    <w:rsid w:val="6A52407B"/>
    <w:rsid w:val="6A527A52"/>
    <w:rsid w:val="6A535578"/>
    <w:rsid w:val="6A72590B"/>
    <w:rsid w:val="6A845731"/>
    <w:rsid w:val="6A973B65"/>
    <w:rsid w:val="6A9D50DC"/>
    <w:rsid w:val="6AA61B4B"/>
    <w:rsid w:val="6AA62697"/>
    <w:rsid w:val="6AAE7282"/>
    <w:rsid w:val="6AD14E1A"/>
    <w:rsid w:val="6AD402F9"/>
    <w:rsid w:val="6AD93CCF"/>
    <w:rsid w:val="6AED378C"/>
    <w:rsid w:val="6AF01164"/>
    <w:rsid w:val="6AF723A7"/>
    <w:rsid w:val="6AF97652"/>
    <w:rsid w:val="6B197F55"/>
    <w:rsid w:val="6B272FFA"/>
    <w:rsid w:val="6B2A62D8"/>
    <w:rsid w:val="6B2C4572"/>
    <w:rsid w:val="6B333CEE"/>
    <w:rsid w:val="6B532E6B"/>
    <w:rsid w:val="6B541C51"/>
    <w:rsid w:val="6B6E08BB"/>
    <w:rsid w:val="6B715CB5"/>
    <w:rsid w:val="6B723E02"/>
    <w:rsid w:val="6B785DA2"/>
    <w:rsid w:val="6B9A7588"/>
    <w:rsid w:val="6BA07834"/>
    <w:rsid w:val="6BB77A32"/>
    <w:rsid w:val="6BBC1336"/>
    <w:rsid w:val="6BC73F84"/>
    <w:rsid w:val="6BD17BB5"/>
    <w:rsid w:val="6BD3071E"/>
    <w:rsid w:val="6BD34BC2"/>
    <w:rsid w:val="6BFB7C75"/>
    <w:rsid w:val="6C052924"/>
    <w:rsid w:val="6C167B61"/>
    <w:rsid w:val="6C180827"/>
    <w:rsid w:val="6C1D155B"/>
    <w:rsid w:val="6C223454"/>
    <w:rsid w:val="6C360CAD"/>
    <w:rsid w:val="6C376EFF"/>
    <w:rsid w:val="6C3D38D3"/>
    <w:rsid w:val="6C40568B"/>
    <w:rsid w:val="6C6121CE"/>
    <w:rsid w:val="6C700663"/>
    <w:rsid w:val="6C702411"/>
    <w:rsid w:val="6C816D46"/>
    <w:rsid w:val="6C86788C"/>
    <w:rsid w:val="6C8C76CC"/>
    <w:rsid w:val="6C9003BD"/>
    <w:rsid w:val="6CAE6A95"/>
    <w:rsid w:val="6CB0280D"/>
    <w:rsid w:val="6CB46DAE"/>
    <w:rsid w:val="6CC01BEC"/>
    <w:rsid w:val="6CC60283"/>
    <w:rsid w:val="6CCF0BC8"/>
    <w:rsid w:val="6CD31382"/>
    <w:rsid w:val="6CDE381E"/>
    <w:rsid w:val="6CEE39BC"/>
    <w:rsid w:val="6CF2070F"/>
    <w:rsid w:val="6CF272CA"/>
    <w:rsid w:val="6CF7668E"/>
    <w:rsid w:val="6D0F1C2A"/>
    <w:rsid w:val="6D104DE1"/>
    <w:rsid w:val="6D1159A2"/>
    <w:rsid w:val="6D1B05CF"/>
    <w:rsid w:val="6D1C60F5"/>
    <w:rsid w:val="6D1E680C"/>
    <w:rsid w:val="6D214AA3"/>
    <w:rsid w:val="6D281F33"/>
    <w:rsid w:val="6D282CEC"/>
    <w:rsid w:val="6D2B6338"/>
    <w:rsid w:val="6D2F0485"/>
    <w:rsid w:val="6D4C36C0"/>
    <w:rsid w:val="6D634080"/>
    <w:rsid w:val="6D6A6E60"/>
    <w:rsid w:val="6D6C2735"/>
    <w:rsid w:val="6D7F3806"/>
    <w:rsid w:val="6D8223FC"/>
    <w:rsid w:val="6D9D5488"/>
    <w:rsid w:val="6DA074FB"/>
    <w:rsid w:val="6DA22A9E"/>
    <w:rsid w:val="6DA5433C"/>
    <w:rsid w:val="6DA97B06"/>
    <w:rsid w:val="6DAC4ABB"/>
    <w:rsid w:val="6DAF47D3"/>
    <w:rsid w:val="6DBD0123"/>
    <w:rsid w:val="6DBE3D56"/>
    <w:rsid w:val="6DC25705"/>
    <w:rsid w:val="6DCB0760"/>
    <w:rsid w:val="6DD644F6"/>
    <w:rsid w:val="6DE9765A"/>
    <w:rsid w:val="6DF122E8"/>
    <w:rsid w:val="6DF879A3"/>
    <w:rsid w:val="6DFB5D0A"/>
    <w:rsid w:val="6E111AF6"/>
    <w:rsid w:val="6E1A0CBE"/>
    <w:rsid w:val="6E2164C0"/>
    <w:rsid w:val="6E315BD0"/>
    <w:rsid w:val="6E5374D5"/>
    <w:rsid w:val="6E5932D5"/>
    <w:rsid w:val="6E5C0818"/>
    <w:rsid w:val="6E632DA3"/>
    <w:rsid w:val="6E664066"/>
    <w:rsid w:val="6E67201A"/>
    <w:rsid w:val="6E7C2DF0"/>
    <w:rsid w:val="6EA6036C"/>
    <w:rsid w:val="6EB04D47"/>
    <w:rsid w:val="6EB15B1D"/>
    <w:rsid w:val="6EB62B4A"/>
    <w:rsid w:val="6ECD11B2"/>
    <w:rsid w:val="6ED41FE8"/>
    <w:rsid w:val="6EDC4C57"/>
    <w:rsid w:val="6EEB5737"/>
    <w:rsid w:val="6EEC1AF6"/>
    <w:rsid w:val="6EF02D3D"/>
    <w:rsid w:val="6EF2535F"/>
    <w:rsid w:val="6EF50787"/>
    <w:rsid w:val="6EF5746F"/>
    <w:rsid w:val="6EFA2466"/>
    <w:rsid w:val="6F0D37A3"/>
    <w:rsid w:val="6F1572A0"/>
    <w:rsid w:val="6F180722"/>
    <w:rsid w:val="6F1E6154"/>
    <w:rsid w:val="6F265009"/>
    <w:rsid w:val="6F304979"/>
    <w:rsid w:val="6F435BBB"/>
    <w:rsid w:val="6F5956E3"/>
    <w:rsid w:val="6F5D07F6"/>
    <w:rsid w:val="6F621FF2"/>
    <w:rsid w:val="6F6D702D"/>
    <w:rsid w:val="6F765F90"/>
    <w:rsid w:val="6F8306AD"/>
    <w:rsid w:val="6F847BBA"/>
    <w:rsid w:val="6F8A09AF"/>
    <w:rsid w:val="6F997ED1"/>
    <w:rsid w:val="6F9E54E7"/>
    <w:rsid w:val="6FA81EC2"/>
    <w:rsid w:val="6FB149D1"/>
    <w:rsid w:val="6FB839EA"/>
    <w:rsid w:val="6FC7059A"/>
    <w:rsid w:val="6FCA1E38"/>
    <w:rsid w:val="6FCD30AE"/>
    <w:rsid w:val="6FD00DF1"/>
    <w:rsid w:val="6FD83CE8"/>
    <w:rsid w:val="6FD902CD"/>
    <w:rsid w:val="6FDE58E3"/>
    <w:rsid w:val="6FE949B4"/>
    <w:rsid w:val="6FED3D79"/>
    <w:rsid w:val="6FFE5F86"/>
    <w:rsid w:val="6FFF3CC3"/>
    <w:rsid w:val="70003AAC"/>
    <w:rsid w:val="70031466"/>
    <w:rsid w:val="7003534A"/>
    <w:rsid w:val="701632CF"/>
    <w:rsid w:val="704A2F79"/>
    <w:rsid w:val="705067E1"/>
    <w:rsid w:val="70525C4E"/>
    <w:rsid w:val="7052767A"/>
    <w:rsid w:val="705362D1"/>
    <w:rsid w:val="70640519"/>
    <w:rsid w:val="70657DB3"/>
    <w:rsid w:val="70764E85"/>
    <w:rsid w:val="70783D6C"/>
    <w:rsid w:val="709E14B2"/>
    <w:rsid w:val="70A906F2"/>
    <w:rsid w:val="70B054D2"/>
    <w:rsid w:val="70C82C4E"/>
    <w:rsid w:val="70C86EA2"/>
    <w:rsid w:val="70C93A90"/>
    <w:rsid w:val="70CB5BD3"/>
    <w:rsid w:val="70D25448"/>
    <w:rsid w:val="70D555AF"/>
    <w:rsid w:val="70E364A3"/>
    <w:rsid w:val="70EA3271"/>
    <w:rsid w:val="70EC6B1F"/>
    <w:rsid w:val="70F52CD9"/>
    <w:rsid w:val="711F4406"/>
    <w:rsid w:val="71211F2C"/>
    <w:rsid w:val="71257C6E"/>
    <w:rsid w:val="71347EB1"/>
    <w:rsid w:val="71353C29"/>
    <w:rsid w:val="713E2ADE"/>
    <w:rsid w:val="714325E3"/>
    <w:rsid w:val="714571EE"/>
    <w:rsid w:val="714F4CEB"/>
    <w:rsid w:val="714F6A99"/>
    <w:rsid w:val="716532B6"/>
    <w:rsid w:val="717C2ABA"/>
    <w:rsid w:val="717C3606"/>
    <w:rsid w:val="717E7F94"/>
    <w:rsid w:val="71864D87"/>
    <w:rsid w:val="718A11B3"/>
    <w:rsid w:val="719E17CE"/>
    <w:rsid w:val="71A1371B"/>
    <w:rsid w:val="71AC3EEB"/>
    <w:rsid w:val="71B75DA8"/>
    <w:rsid w:val="71C4488E"/>
    <w:rsid w:val="71D609EB"/>
    <w:rsid w:val="71D92806"/>
    <w:rsid w:val="71D945B4"/>
    <w:rsid w:val="71FB09CF"/>
    <w:rsid w:val="71FF5D94"/>
    <w:rsid w:val="720535FB"/>
    <w:rsid w:val="7206696E"/>
    <w:rsid w:val="721730CF"/>
    <w:rsid w:val="72226F3F"/>
    <w:rsid w:val="722B3685"/>
    <w:rsid w:val="724539F8"/>
    <w:rsid w:val="72523032"/>
    <w:rsid w:val="72606CAC"/>
    <w:rsid w:val="726976E0"/>
    <w:rsid w:val="72760055"/>
    <w:rsid w:val="72772208"/>
    <w:rsid w:val="728066C2"/>
    <w:rsid w:val="72855F71"/>
    <w:rsid w:val="72862412"/>
    <w:rsid w:val="729966AE"/>
    <w:rsid w:val="72AE5A41"/>
    <w:rsid w:val="72D405E0"/>
    <w:rsid w:val="72F316A6"/>
    <w:rsid w:val="72F71196"/>
    <w:rsid w:val="7315161C"/>
    <w:rsid w:val="73155AC0"/>
    <w:rsid w:val="73214465"/>
    <w:rsid w:val="73221A02"/>
    <w:rsid w:val="732643FD"/>
    <w:rsid w:val="732769CB"/>
    <w:rsid w:val="732E6B82"/>
    <w:rsid w:val="733555EE"/>
    <w:rsid w:val="734463A5"/>
    <w:rsid w:val="734D525A"/>
    <w:rsid w:val="734E2D80"/>
    <w:rsid w:val="73655314"/>
    <w:rsid w:val="73683F57"/>
    <w:rsid w:val="73942E89"/>
    <w:rsid w:val="73952B25"/>
    <w:rsid w:val="73973E9D"/>
    <w:rsid w:val="73A0182E"/>
    <w:rsid w:val="73AA4038"/>
    <w:rsid w:val="73C179F6"/>
    <w:rsid w:val="73D51187"/>
    <w:rsid w:val="73E07695"/>
    <w:rsid w:val="73E223A7"/>
    <w:rsid w:val="73E36F5D"/>
    <w:rsid w:val="73F706C9"/>
    <w:rsid w:val="74005A72"/>
    <w:rsid w:val="740238DF"/>
    <w:rsid w:val="740A34E2"/>
    <w:rsid w:val="74101AAD"/>
    <w:rsid w:val="74152A3F"/>
    <w:rsid w:val="741E6BF6"/>
    <w:rsid w:val="74257F85"/>
    <w:rsid w:val="742A55D7"/>
    <w:rsid w:val="742F670E"/>
    <w:rsid w:val="7443040B"/>
    <w:rsid w:val="7447614D"/>
    <w:rsid w:val="74591560"/>
    <w:rsid w:val="745E6FF3"/>
    <w:rsid w:val="746451DC"/>
    <w:rsid w:val="74675EA7"/>
    <w:rsid w:val="7473007E"/>
    <w:rsid w:val="748049F5"/>
    <w:rsid w:val="74A40EAA"/>
    <w:rsid w:val="74AC7D5E"/>
    <w:rsid w:val="74B51309"/>
    <w:rsid w:val="74BE3AF2"/>
    <w:rsid w:val="74C41B1A"/>
    <w:rsid w:val="74DF6386"/>
    <w:rsid w:val="74EE65C9"/>
    <w:rsid w:val="74F33BDF"/>
    <w:rsid w:val="74F811F5"/>
    <w:rsid w:val="75022074"/>
    <w:rsid w:val="75043BF2"/>
    <w:rsid w:val="75061B64"/>
    <w:rsid w:val="750C6A4F"/>
    <w:rsid w:val="75151D89"/>
    <w:rsid w:val="75231A3D"/>
    <w:rsid w:val="75374E13"/>
    <w:rsid w:val="75450067"/>
    <w:rsid w:val="754B46EE"/>
    <w:rsid w:val="754B57C9"/>
    <w:rsid w:val="75572054"/>
    <w:rsid w:val="755A2EDC"/>
    <w:rsid w:val="756845CD"/>
    <w:rsid w:val="75736ACE"/>
    <w:rsid w:val="75792336"/>
    <w:rsid w:val="758E0441"/>
    <w:rsid w:val="75A91E7D"/>
    <w:rsid w:val="75B82733"/>
    <w:rsid w:val="75C24D02"/>
    <w:rsid w:val="75DA6B4D"/>
    <w:rsid w:val="75EB36D0"/>
    <w:rsid w:val="75F55735"/>
    <w:rsid w:val="75FB3E47"/>
    <w:rsid w:val="76007D9C"/>
    <w:rsid w:val="7601057E"/>
    <w:rsid w:val="76053833"/>
    <w:rsid w:val="760F0FCE"/>
    <w:rsid w:val="761050D9"/>
    <w:rsid w:val="761A3245"/>
    <w:rsid w:val="761B0FE9"/>
    <w:rsid w:val="761B2010"/>
    <w:rsid w:val="761E2EDE"/>
    <w:rsid w:val="762229CE"/>
    <w:rsid w:val="762713BA"/>
    <w:rsid w:val="762F1005"/>
    <w:rsid w:val="762F7804"/>
    <w:rsid w:val="763A3FE7"/>
    <w:rsid w:val="764534B5"/>
    <w:rsid w:val="764C17F9"/>
    <w:rsid w:val="76676633"/>
    <w:rsid w:val="76870A83"/>
    <w:rsid w:val="76911B49"/>
    <w:rsid w:val="769136B0"/>
    <w:rsid w:val="769306BB"/>
    <w:rsid w:val="76990910"/>
    <w:rsid w:val="769B55BF"/>
    <w:rsid w:val="76AE4262"/>
    <w:rsid w:val="76B35000"/>
    <w:rsid w:val="76B455F0"/>
    <w:rsid w:val="76C05D43"/>
    <w:rsid w:val="76C07AF1"/>
    <w:rsid w:val="76C770D1"/>
    <w:rsid w:val="76CF0AEB"/>
    <w:rsid w:val="76E732D0"/>
    <w:rsid w:val="76F0487A"/>
    <w:rsid w:val="76F36118"/>
    <w:rsid w:val="76FB4FCD"/>
    <w:rsid w:val="770245AD"/>
    <w:rsid w:val="77043971"/>
    <w:rsid w:val="77092BF1"/>
    <w:rsid w:val="77143445"/>
    <w:rsid w:val="7725732A"/>
    <w:rsid w:val="77266DCC"/>
    <w:rsid w:val="772C5B12"/>
    <w:rsid w:val="774C7398"/>
    <w:rsid w:val="775B19BE"/>
    <w:rsid w:val="77657E74"/>
    <w:rsid w:val="776F502E"/>
    <w:rsid w:val="77734CFF"/>
    <w:rsid w:val="77843214"/>
    <w:rsid w:val="778925D9"/>
    <w:rsid w:val="778C3E77"/>
    <w:rsid w:val="778F3BAC"/>
    <w:rsid w:val="779E55C2"/>
    <w:rsid w:val="77AD08D9"/>
    <w:rsid w:val="77B2479E"/>
    <w:rsid w:val="77D05D13"/>
    <w:rsid w:val="77D86B5B"/>
    <w:rsid w:val="77DA2E34"/>
    <w:rsid w:val="77DF669D"/>
    <w:rsid w:val="77F34984"/>
    <w:rsid w:val="77FE4D75"/>
    <w:rsid w:val="77FF5B15"/>
    <w:rsid w:val="78014971"/>
    <w:rsid w:val="782B2864"/>
    <w:rsid w:val="78303463"/>
    <w:rsid w:val="783A59DD"/>
    <w:rsid w:val="783D0FEE"/>
    <w:rsid w:val="7840309C"/>
    <w:rsid w:val="78412EB3"/>
    <w:rsid w:val="7859083E"/>
    <w:rsid w:val="785C1A9B"/>
    <w:rsid w:val="78636056"/>
    <w:rsid w:val="78670B6C"/>
    <w:rsid w:val="7878508A"/>
    <w:rsid w:val="78800AA7"/>
    <w:rsid w:val="78887081"/>
    <w:rsid w:val="789D1150"/>
    <w:rsid w:val="789E697D"/>
    <w:rsid w:val="78A43B6E"/>
    <w:rsid w:val="78C53AE4"/>
    <w:rsid w:val="78CA34CA"/>
    <w:rsid w:val="78D13BAA"/>
    <w:rsid w:val="78D86ECE"/>
    <w:rsid w:val="78DB3308"/>
    <w:rsid w:val="78EB6CD4"/>
    <w:rsid w:val="791365FE"/>
    <w:rsid w:val="791F3F4F"/>
    <w:rsid w:val="79386064"/>
    <w:rsid w:val="793951E7"/>
    <w:rsid w:val="793F73F3"/>
    <w:rsid w:val="794A5770"/>
    <w:rsid w:val="7952681A"/>
    <w:rsid w:val="795D3561"/>
    <w:rsid w:val="796055BB"/>
    <w:rsid w:val="79621333"/>
    <w:rsid w:val="796E7CD8"/>
    <w:rsid w:val="797D7F1B"/>
    <w:rsid w:val="799E27B4"/>
    <w:rsid w:val="79A8143C"/>
    <w:rsid w:val="79B25C79"/>
    <w:rsid w:val="79B25D48"/>
    <w:rsid w:val="79B53B59"/>
    <w:rsid w:val="79C57062"/>
    <w:rsid w:val="79C70B90"/>
    <w:rsid w:val="79D044EF"/>
    <w:rsid w:val="79E41D48"/>
    <w:rsid w:val="79F20909"/>
    <w:rsid w:val="7A034416"/>
    <w:rsid w:val="7A073509"/>
    <w:rsid w:val="7A1C36EF"/>
    <w:rsid w:val="7A344A7E"/>
    <w:rsid w:val="7A3642F9"/>
    <w:rsid w:val="7A3B22B0"/>
    <w:rsid w:val="7A4078C7"/>
    <w:rsid w:val="7A422D94"/>
    <w:rsid w:val="7A4B6142"/>
    <w:rsid w:val="7A4D3D91"/>
    <w:rsid w:val="7A51531A"/>
    <w:rsid w:val="7A5F4070"/>
    <w:rsid w:val="7A6335B5"/>
    <w:rsid w:val="7A695C16"/>
    <w:rsid w:val="7A6A11CE"/>
    <w:rsid w:val="7A9A6B39"/>
    <w:rsid w:val="7AAB02D3"/>
    <w:rsid w:val="7AB45BBF"/>
    <w:rsid w:val="7AC06311"/>
    <w:rsid w:val="7AC40804"/>
    <w:rsid w:val="7AD40B85"/>
    <w:rsid w:val="7AE446F6"/>
    <w:rsid w:val="7AE64B34"/>
    <w:rsid w:val="7AF72273"/>
    <w:rsid w:val="7B036915"/>
    <w:rsid w:val="7B042AAF"/>
    <w:rsid w:val="7B0B2FAC"/>
    <w:rsid w:val="7B0C073A"/>
    <w:rsid w:val="7B1D7C08"/>
    <w:rsid w:val="7B2777E0"/>
    <w:rsid w:val="7B3A2568"/>
    <w:rsid w:val="7B3B1E3C"/>
    <w:rsid w:val="7B416E2A"/>
    <w:rsid w:val="7B46417A"/>
    <w:rsid w:val="7B523868"/>
    <w:rsid w:val="7B533629"/>
    <w:rsid w:val="7B580C40"/>
    <w:rsid w:val="7B65510B"/>
    <w:rsid w:val="7B711D02"/>
    <w:rsid w:val="7BA26827"/>
    <w:rsid w:val="7BA9149B"/>
    <w:rsid w:val="7BAB1850"/>
    <w:rsid w:val="7BB0282A"/>
    <w:rsid w:val="7BB51BEE"/>
    <w:rsid w:val="7BC11666"/>
    <w:rsid w:val="7BC55C0C"/>
    <w:rsid w:val="7BD205AC"/>
    <w:rsid w:val="7BD511DE"/>
    <w:rsid w:val="7BD71894"/>
    <w:rsid w:val="7BDA78A7"/>
    <w:rsid w:val="7BE91898"/>
    <w:rsid w:val="7BF546E1"/>
    <w:rsid w:val="7C030BAC"/>
    <w:rsid w:val="7C052A67"/>
    <w:rsid w:val="7C1E31A6"/>
    <w:rsid w:val="7C1F350C"/>
    <w:rsid w:val="7C333720"/>
    <w:rsid w:val="7C396B93"/>
    <w:rsid w:val="7C4411C4"/>
    <w:rsid w:val="7C4A597F"/>
    <w:rsid w:val="7C4B18D5"/>
    <w:rsid w:val="7C4F3DF1"/>
    <w:rsid w:val="7C5425A0"/>
    <w:rsid w:val="7C576D03"/>
    <w:rsid w:val="7C5F5CD1"/>
    <w:rsid w:val="7C6C6DA5"/>
    <w:rsid w:val="7C95557C"/>
    <w:rsid w:val="7CA01C54"/>
    <w:rsid w:val="7CAA54CB"/>
    <w:rsid w:val="7CAC1243"/>
    <w:rsid w:val="7CCC6CAD"/>
    <w:rsid w:val="7CD047E3"/>
    <w:rsid w:val="7CD30761"/>
    <w:rsid w:val="7CF96057"/>
    <w:rsid w:val="7D111CA4"/>
    <w:rsid w:val="7D1E1A15"/>
    <w:rsid w:val="7D2E16CF"/>
    <w:rsid w:val="7D31799A"/>
    <w:rsid w:val="7D4D11CD"/>
    <w:rsid w:val="7D4E22FA"/>
    <w:rsid w:val="7D5528AE"/>
    <w:rsid w:val="7D562F5D"/>
    <w:rsid w:val="7D567401"/>
    <w:rsid w:val="7D584F27"/>
    <w:rsid w:val="7D692F72"/>
    <w:rsid w:val="7D6F2271"/>
    <w:rsid w:val="7D7A30EF"/>
    <w:rsid w:val="7D92635D"/>
    <w:rsid w:val="7DA21C10"/>
    <w:rsid w:val="7DA71A0B"/>
    <w:rsid w:val="7DAE7286"/>
    <w:rsid w:val="7DBB519F"/>
    <w:rsid w:val="7DBE047A"/>
    <w:rsid w:val="7DCA095D"/>
    <w:rsid w:val="7DCC06C7"/>
    <w:rsid w:val="7DDF2F52"/>
    <w:rsid w:val="7DE62533"/>
    <w:rsid w:val="7DEB329C"/>
    <w:rsid w:val="7DFB4006"/>
    <w:rsid w:val="7DFE1453"/>
    <w:rsid w:val="7E0B1F99"/>
    <w:rsid w:val="7E114F00"/>
    <w:rsid w:val="7E334BFF"/>
    <w:rsid w:val="7E484F9C"/>
    <w:rsid w:val="7E56137C"/>
    <w:rsid w:val="7E5A64F3"/>
    <w:rsid w:val="7E5D6B37"/>
    <w:rsid w:val="7E6E396D"/>
    <w:rsid w:val="7E851D4C"/>
    <w:rsid w:val="7E9004DD"/>
    <w:rsid w:val="7EBA1E90"/>
    <w:rsid w:val="7EC641F4"/>
    <w:rsid w:val="7ED06B9C"/>
    <w:rsid w:val="7ED44008"/>
    <w:rsid w:val="7EDC1B88"/>
    <w:rsid w:val="7EF163D9"/>
    <w:rsid w:val="7EF667A6"/>
    <w:rsid w:val="7F0D6F31"/>
    <w:rsid w:val="7F18322E"/>
    <w:rsid w:val="7F1E3F4E"/>
    <w:rsid w:val="7F1E59D2"/>
    <w:rsid w:val="7F201A75"/>
    <w:rsid w:val="7F274392"/>
    <w:rsid w:val="7F2F7F0A"/>
    <w:rsid w:val="7F316E9A"/>
    <w:rsid w:val="7F3379FA"/>
    <w:rsid w:val="7F3B2D1C"/>
    <w:rsid w:val="7F4D1BDF"/>
    <w:rsid w:val="7F726FAE"/>
    <w:rsid w:val="7F741DC0"/>
    <w:rsid w:val="7F775F02"/>
    <w:rsid w:val="7F7E4319"/>
    <w:rsid w:val="7F8749B1"/>
    <w:rsid w:val="7F91176C"/>
    <w:rsid w:val="7F9164CE"/>
    <w:rsid w:val="7FA90210"/>
    <w:rsid w:val="7FB4040F"/>
    <w:rsid w:val="7FB5609A"/>
    <w:rsid w:val="7FCD3A03"/>
    <w:rsid w:val="7FDF36DE"/>
    <w:rsid w:val="7FEA5BDF"/>
    <w:rsid w:val="7FEB20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8"/>
    <w:qFormat/>
    <w:uiPriority w:val="0"/>
    <w:pPr>
      <w:keepNext/>
      <w:keepLines/>
      <w:spacing w:before="340" w:after="330" w:line="240" w:lineRule="auto"/>
      <w:jc w:val="center"/>
      <w:outlineLvl w:val="0"/>
    </w:pPr>
    <w:rPr>
      <w:rFonts w:ascii="Calibri" w:hAnsi="Calibri"/>
      <w:b/>
      <w:bCs/>
      <w:kern w:val="44"/>
      <w:sz w:val="36"/>
      <w:szCs w:val="44"/>
    </w:rPr>
  </w:style>
  <w:style w:type="paragraph" w:styleId="3">
    <w:name w:val="heading 2"/>
    <w:basedOn w:val="1"/>
    <w:next w:val="1"/>
    <w:link w:val="49"/>
    <w:qFormat/>
    <w:uiPriority w:val="0"/>
    <w:pPr>
      <w:keepNext/>
      <w:keepLines/>
      <w:spacing w:before="260" w:after="260" w:line="240" w:lineRule="auto"/>
      <w:jc w:val="center"/>
      <w:outlineLvl w:val="1"/>
    </w:pPr>
    <w:rPr>
      <w:rFonts w:ascii="Cambria" w:hAnsi="Cambria"/>
      <w:b/>
      <w:bCs/>
      <w:sz w:val="32"/>
      <w:szCs w:val="32"/>
    </w:rPr>
  </w:style>
  <w:style w:type="paragraph" w:styleId="4">
    <w:name w:val="heading 3"/>
    <w:basedOn w:val="3"/>
    <w:next w:val="1"/>
    <w:qFormat/>
    <w:uiPriority w:val="0"/>
    <w:pPr>
      <w:ind w:left="753"/>
      <w:outlineLvl w:val="2"/>
    </w:pPr>
    <w:rPr>
      <w:rFonts w:ascii="Microsoft JhengHei" w:hAnsi="Microsoft JhengHei" w:eastAsia="Microsoft JhengHei" w:cs="Microsoft JhengHei"/>
      <w:sz w:val="27"/>
      <w:szCs w:val="27"/>
    </w:rPr>
  </w:style>
  <w:style w:type="paragraph" w:styleId="5">
    <w:name w:val="heading 4"/>
    <w:basedOn w:val="1"/>
    <w:next w:val="1"/>
    <w:qFormat/>
    <w:uiPriority w:val="0"/>
    <w:pPr>
      <w:widowControl w:val="0"/>
      <w:adjustRightInd w:val="0"/>
      <w:snapToGrid w:val="0"/>
      <w:spacing w:line="360" w:lineRule="auto"/>
      <w:ind w:firstLine="602" w:firstLineChars="200"/>
      <w:jc w:val="left"/>
      <w:textAlignment w:val="bottom"/>
      <w:outlineLvl w:val="3"/>
    </w:pPr>
    <w:rPr>
      <w:rFonts w:ascii="Times New Roman" w:hAnsi="Times New Roman" w:eastAsia="仿宋_GB2312" w:cs="Times New Roman"/>
      <w:snapToGrid w:val="0"/>
      <w:color w:val="000000"/>
      <w:kern w:val="0"/>
      <w:sz w:val="30"/>
      <w:szCs w:val="32"/>
      <w:lang w:val="en-US" w:eastAsia="zh-CN" w:bidi="ar-SA"/>
    </w:rPr>
  </w:style>
  <w:style w:type="character" w:default="1" w:styleId="33">
    <w:name w:val="Default Paragraph Font"/>
    <w:uiPriority w:val="0"/>
    <w:rPr>
      <w:rFonts w:ascii="Times New Roman" w:hAnsi="Times New Roman" w:eastAsia="宋体" w:cs="Times New Roman"/>
    </w:rPr>
  </w:style>
  <w:style w:type="table" w:default="1" w:styleId="31">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Normal Indent"/>
    <w:basedOn w:val="1"/>
    <w:link w:val="50"/>
    <w:uiPriority w:val="0"/>
    <w:pPr>
      <w:ind w:firstLine="420"/>
    </w:pPr>
    <w:rPr>
      <w:szCs w:val="20"/>
    </w:rPr>
  </w:style>
  <w:style w:type="paragraph" w:styleId="7">
    <w:name w:val="Document Map"/>
    <w:basedOn w:val="1"/>
    <w:uiPriority w:val="0"/>
    <w:pPr>
      <w:shd w:val="clear" w:color="auto" w:fill="000080"/>
    </w:pPr>
    <w:rPr>
      <w:rFonts w:ascii="Times New Roman" w:hAnsi="Times New Roman" w:eastAsia="宋体" w:cs="Times New Roman"/>
    </w:rPr>
  </w:style>
  <w:style w:type="paragraph" w:styleId="8">
    <w:name w:val="annotation text"/>
    <w:basedOn w:val="1"/>
    <w:link w:val="51"/>
    <w:uiPriority w:val="0"/>
    <w:pPr>
      <w:jc w:val="left"/>
    </w:pPr>
  </w:style>
  <w:style w:type="paragraph" w:styleId="9">
    <w:name w:val="Body Text"/>
    <w:basedOn w:val="1"/>
    <w:next w:val="10"/>
    <w:uiPriority w:val="0"/>
    <w:rPr>
      <w:rFonts w:ascii="Times New Roman" w:hAnsi="Times New Roman" w:eastAsia="黑体" w:cs="Times New Roman"/>
      <w:sz w:val="36"/>
    </w:rPr>
  </w:style>
  <w:style w:type="paragraph" w:customStyle="1" w:styleId="10">
    <w:name w:val="一级条标题"/>
    <w:basedOn w:val="11"/>
    <w:next w:val="1"/>
    <w:qFormat/>
    <w:uiPriority w:val="0"/>
    <w:pPr>
      <w:spacing w:line="240" w:lineRule="auto"/>
      <w:ind w:left="420"/>
      <w:outlineLvl w:val="2"/>
    </w:pPr>
    <w:rPr>
      <w:rFonts w:ascii="Times New Roman" w:hAnsi="Times New Roman" w:eastAsia="宋体" w:cs="Times New Roman"/>
    </w:rPr>
  </w:style>
  <w:style w:type="paragraph" w:customStyle="1" w:styleId="1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12">
    <w:name w:val="Body Text Indent"/>
    <w:basedOn w:val="1"/>
    <w:next w:val="1"/>
    <w:link w:val="52"/>
    <w:uiPriority w:val="0"/>
    <w:pPr>
      <w:spacing w:after="120"/>
      <w:ind w:left="420" w:leftChars="200"/>
    </w:pPr>
    <w:rPr>
      <w:sz w:val="21"/>
    </w:rPr>
  </w:style>
  <w:style w:type="paragraph" w:styleId="13">
    <w:name w:val="toc 3"/>
    <w:basedOn w:val="1"/>
    <w:next w:val="1"/>
    <w:qFormat/>
    <w:uiPriority w:val="0"/>
    <w:pPr>
      <w:widowControl/>
      <w:spacing w:after="100" w:line="276" w:lineRule="auto"/>
      <w:ind w:left="440"/>
      <w:jc w:val="left"/>
    </w:pPr>
    <w:rPr>
      <w:rFonts w:ascii="Calibri" w:hAnsi="Calibri" w:eastAsia="宋体" w:cs="Times New Roman"/>
      <w:kern w:val="0"/>
      <w:sz w:val="22"/>
      <w:szCs w:val="22"/>
    </w:rPr>
  </w:style>
  <w:style w:type="paragraph" w:styleId="14">
    <w:name w:val="Plain Text"/>
    <w:basedOn w:val="1"/>
    <w:link w:val="53"/>
    <w:qFormat/>
    <w:uiPriority w:val="0"/>
    <w:rPr>
      <w:rFonts w:ascii="宋体" w:hAnsi="Courier New"/>
      <w:sz w:val="21"/>
      <w:szCs w:val="21"/>
    </w:rPr>
  </w:style>
  <w:style w:type="paragraph" w:styleId="15">
    <w:name w:val="Date"/>
    <w:basedOn w:val="1"/>
    <w:next w:val="1"/>
    <w:uiPriority w:val="0"/>
    <w:pPr>
      <w:ind w:left="100" w:leftChars="2500"/>
    </w:pPr>
    <w:rPr>
      <w:rFonts w:ascii="Times New Roman" w:hAnsi="Times New Roman" w:eastAsia="仿宋_GB2312" w:cs="Times New Roman"/>
      <w:sz w:val="32"/>
    </w:rPr>
  </w:style>
  <w:style w:type="paragraph" w:styleId="16">
    <w:name w:val="Balloon Text"/>
    <w:basedOn w:val="1"/>
    <w:uiPriority w:val="0"/>
    <w:rPr>
      <w:rFonts w:ascii="Times New Roman" w:hAnsi="Times New Roman" w:eastAsia="宋体" w:cs="Times New Roman"/>
      <w:sz w:val="18"/>
      <w:szCs w:val="18"/>
    </w:rPr>
  </w:style>
  <w:style w:type="paragraph" w:styleId="17">
    <w:name w:val="footer"/>
    <w:basedOn w:val="1"/>
    <w:link w:val="54"/>
    <w:uiPriority w:val="0"/>
    <w:pPr>
      <w:tabs>
        <w:tab w:val="center" w:pos="4153"/>
        <w:tab w:val="right" w:pos="8306"/>
      </w:tabs>
      <w:snapToGrid w:val="0"/>
      <w:jc w:val="left"/>
    </w:pPr>
    <w:rPr>
      <w:sz w:val="18"/>
      <w:szCs w:val="18"/>
    </w:rPr>
  </w:style>
  <w:style w:type="paragraph" w:styleId="18">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spacing w:before="120" w:after="120" w:line="240" w:lineRule="auto"/>
      <w:ind w:firstLine="200" w:firstLineChars="200"/>
      <w:jc w:val="left"/>
    </w:pPr>
    <w:rPr>
      <w:rFonts w:ascii="Calibri" w:hAnsi="Calibri" w:eastAsia="宋体" w:cs="Times New Roman"/>
      <w:b/>
      <w:bCs/>
      <w:caps/>
      <w:sz w:val="28"/>
      <w:szCs w:val="20"/>
    </w:rPr>
  </w:style>
  <w:style w:type="paragraph" w:styleId="20">
    <w:name w:val="Subtitle"/>
    <w:basedOn w:val="1"/>
    <w:next w:val="1"/>
    <w:link w:val="56"/>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57"/>
    <w:uiPriority w:val="0"/>
    <w:pPr>
      <w:spacing w:after="120"/>
      <w:ind w:left="420" w:leftChars="200"/>
    </w:pPr>
    <w:rPr>
      <w:sz w:val="16"/>
      <w:szCs w:val="16"/>
    </w:rPr>
  </w:style>
  <w:style w:type="paragraph" w:styleId="22">
    <w:name w:val="toc 2"/>
    <w:basedOn w:val="1"/>
    <w:next w:val="1"/>
    <w:uiPriority w:val="0"/>
    <w:pPr>
      <w:widowControl/>
      <w:spacing w:after="100" w:line="240" w:lineRule="auto"/>
      <w:ind w:left="220"/>
      <w:jc w:val="left"/>
    </w:pPr>
    <w:rPr>
      <w:rFonts w:ascii="Calibri" w:hAnsi="Calibri" w:eastAsia="宋体" w:cs="Times New Roman"/>
      <w:kern w:val="0"/>
      <w:sz w:val="28"/>
      <w:szCs w:val="22"/>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autoSpaceDE w:val="0"/>
      <w:autoSpaceDN w:val="0"/>
      <w:adjustRightInd w:val="0"/>
      <w:snapToGrid w:val="0"/>
      <w:spacing w:after="0"/>
      <w:jc w:val="left"/>
      <w:textAlignment w:val="baseline"/>
    </w:pPr>
    <w:rPr>
      <w:rFonts w:ascii="宋体" w:hAnsi="宋体" w:eastAsia="宋体" w:cs="Times New Roman"/>
      <w:snapToGrid w:val="0"/>
      <w:color w:val="000000"/>
      <w:kern w:val="0"/>
      <w:sz w:val="21"/>
      <w:szCs w:val="21"/>
      <w:lang w:val="en-US" w:eastAsia="en-US" w:bidi="ar-SA"/>
    </w:rPr>
  </w:style>
  <w:style w:type="paragraph" w:styleId="25">
    <w:name w:val="Normal (Web)"/>
    <w:basedOn w:val="1"/>
    <w:next w:val="26"/>
    <w:link w:val="58"/>
    <w:qFormat/>
    <w:uiPriority w:val="0"/>
    <w:pPr>
      <w:spacing w:before="100" w:beforeAutospacing="1" w:after="100" w:afterAutospacing="1"/>
      <w:ind w:left="0" w:right="0"/>
      <w:jc w:val="left"/>
    </w:pPr>
    <w:rPr>
      <w:kern w:val="0"/>
      <w:szCs w:val="20"/>
    </w:rPr>
  </w:style>
  <w:style w:type="paragraph" w:customStyle="1" w:styleId="2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7">
    <w:name w:val="Title"/>
    <w:basedOn w:val="1"/>
    <w:next w:val="1"/>
    <w:link w:val="59"/>
    <w:qFormat/>
    <w:uiPriority w:val="0"/>
    <w:pPr>
      <w:spacing w:before="240" w:after="60"/>
      <w:jc w:val="center"/>
      <w:outlineLvl w:val="0"/>
    </w:pPr>
    <w:rPr>
      <w:rFonts w:ascii="Cambria" w:hAnsi="Cambria"/>
      <w:b/>
      <w:bCs/>
      <w:sz w:val="36"/>
      <w:szCs w:val="32"/>
    </w:rPr>
  </w:style>
  <w:style w:type="paragraph" w:styleId="28">
    <w:name w:val="annotation subject"/>
    <w:basedOn w:val="8"/>
    <w:next w:val="8"/>
    <w:link w:val="60"/>
    <w:uiPriority w:val="0"/>
    <w:rPr>
      <w:rFonts w:ascii="Times New Roman" w:hAnsi="Times New Roman" w:eastAsia="宋体" w:cs="Times New Roman"/>
      <w:b/>
      <w:bCs/>
    </w:rPr>
  </w:style>
  <w:style w:type="paragraph" w:styleId="29">
    <w:name w:val="Body Text First Indent"/>
    <w:basedOn w:val="9"/>
    <w:next w:val="1"/>
    <w:qFormat/>
    <w:uiPriority w:val="0"/>
    <w:pPr>
      <w:ind w:firstLine="420"/>
    </w:pPr>
    <w:rPr>
      <w:rFonts w:ascii="Times New Roman" w:hAnsi="Times New Roman" w:eastAsia="宋体" w:cs="Times New Roman"/>
      <w:sz w:val="32"/>
    </w:rPr>
  </w:style>
  <w:style w:type="paragraph" w:styleId="30">
    <w:name w:val="Body Text First Indent 2"/>
    <w:basedOn w:val="12"/>
    <w:next w:val="25"/>
    <w:unhideWhenUsed/>
    <w:qFormat/>
    <w:uiPriority w:val="99"/>
    <w:pPr>
      <w:ind w:firstLine="420" w:firstLineChars="200"/>
    </w:pPr>
  </w:style>
  <w:style w:type="table" w:styleId="32">
    <w:name w:val="Table Grid"/>
    <w:basedOn w:val="3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rFonts w:ascii="Times New Roman" w:hAnsi="Times New Roman" w:eastAsia="宋体" w:cs="Times New Roman"/>
      <w:b/>
      <w:bCs/>
    </w:rPr>
  </w:style>
  <w:style w:type="character" w:styleId="35">
    <w:name w:val="page number"/>
    <w:basedOn w:val="33"/>
    <w:qFormat/>
    <w:uiPriority w:val="0"/>
    <w:rPr>
      <w:rFonts w:ascii="Times New Roman" w:hAnsi="Times New Roman" w:eastAsia="宋体" w:cs="Times New Roman"/>
    </w:rPr>
  </w:style>
  <w:style w:type="character" w:styleId="36">
    <w:name w:val="FollowedHyperlink"/>
    <w:qFormat/>
    <w:uiPriority w:val="0"/>
    <w:rPr>
      <w:rFonts w:ascii="Times New Roman" w:hAnsi="Times New Roman" w:eastAsia="宋体" w:cs="Times New Roman"/>
      <w:color w:val="000000"/>
      <w:u w:val="none"/>
    </w:rPr>
  </w:style>
  <w:style w:type="character" w:styleId="37">
    <w:name w:val="Emphasis"/>
    <w:qFormat/>
    <w:uiPriority w:val="0"/>
    <w:rPr>
      <w:rFonts w:ascii="Times New Roman" w:hAnsi="Times New Roman" w:eastAsia="宋体" w:cs="Times New Roman"/>
    </w:rPr>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qFormat/>
    <w:uiPriority w:val="0"/>
    <w:rPr>
      <w:rFonts w:ascii="Times New Roman" w:hAnsi="Times New Roman" w:eastAsia="宋体" w:cs="Times New Roman"/>
      <w:color w:val="000000"/>
      <w:u w:val="none"/>
    </w:rPr>
  </w:style>
  <w:style w:type="character" w:styleId="43">
    <w:name w:val="HTML Code"/>
    <w:basedOn w:val="33"/>
    <w:qFormat/>
    <w:uiPriority w:val="0"/>
    <w:rPr>
      <w:rFonts w:hint="default" w:ascii="monospace" w:hAnsi="monospace" w:eastAsia="monospace" w:cs="monospace"/>
      <w:sz w:val="20"/>
    </w:rPr>
  </w:style>
  <w:style w:type="character" w:styleId="44">
    <w:name w:val="annotation reference"/>
    <w:qFormat/>
    <w:uiPriority w:val="0"/>
    <w:rPr>
      <w:rFonts w:ascii="Times New Roman" w:hAnsi="Times New Roman" w:eastAsia="宋体" w:cs="Times New Roman"/>
      <w:sz w:val="21"/>
      <w:szCs w:val="21"/>
    </w:rPr>
  </w:style>
  <w:style w:type="character" w:styleId="45">
    <w:name w:val="HTML Cite"/>
    <w:basedOn w:val="33"/>
    <w:qFormat/>
    <w:uiPriority w:val="0"/>
  </w:style>
  <w:style w:type="character" w:styleId="46">
    <w:name w:val="HTML Keyboard"/>
    <w:basedOn w:val="33"/>
    <w:qFormat/>
    <w:uiPriority w:val="0"/>
    <w:rPr>
      <w:rFonts w:hint="default" w:ascii="monospace" w:hAnsi="monospace" w:eastAsia="monospace" w:cs="monospace"/>
      <w:sz w:val="20"/>
    </w:rPr>
  </w:style>
  <w:style w:type="character" w:styleId="47">
    <w:name w:val="HTML Sample"/>
    <w:basedOn w:val="33"/>
    <w:qFormat/>
    <w:uiPriority w:val="0"/>
    <w:rPr>
      <w:rFonts w:ascii="monospace" w:hAnsi="monospace" w:eastAsia="monospace" w:cs="monospace"/>
    </w:rPr>
  </w:style>
  <w:style w:type="character" w:customStyle="1" w:styleId="48">
    <w:name w:val="标题 1 Char"/>
    <w:link w:val="2"/>
    <w:qFormat/>
    <w:uiPriority w:val="0"/>
    <w:rPr>
      <w:rFonts w:ascii="Calibri" w:hAnsi="Calibri" w:eastAsia="宋体" w:cs="Times New Roman"/>
      <w:b/>
      <w:bCs/>
      <w:kern w:val="44"/>
      <w:sz w:val="36"/>
      <w:szCs w:val="44"/>
    </w:rPr>
  </w:style>
  <w:style w:type="character" w:customStyle="1" w:styleId="49">
    <w:name w:val="标题 2 Char"/>
    <w:link w:val="3"/>
    <w:qFormat/>
    <w:uiPriority w:val="0"/>
    <w:rPr>
      <w:rFonts w:ascii="Cambria" w:hAnsi="Cambria" w:eastAsia="宋体" w:cs="Times New Roman"/>
      <w:b/>
      <w:bCs/>
      <w:kern w:val="2"/>
      <w:sz w:val="32"/>
      <w:szCs w:val="32"/>
    </w:rPr>
  </w:style>
  <w:style w:type="character" w:customStyle="1" w:styleId="50">
    <w:name w:val="正文缩进 Char"/>
    <w:link w:val="6"/>
    <w:qFormat/>
    <w:uiPriority w:val="0"/>
    <w:rPr>
      <w:rFonts w:ascii="Times New Roman" w:hAnsi="Times New Roman" w:eastAsia="宋体" w:cs="Times New Roman"/>
      <w:kern w:val="2"/>
      <w:sz w:val="24"/>
    </w:rPr>
  </w:style>
  <w:style w:type="character" w:customStyle="1" w:styleId="51">
    <w:name w:val="批注文字 Char"/>
    <w:link w:val="8"/>
    <w:qFormat/>
    <w:uiPriority w:val="0"/>
    <w:rPr>
      <w:rFonts w:ascii="Times New Roman" w:hAnsi="Times New Roman" w:eastAsia="宋体" w:cs="Times New Roman"/>
      <w:kern w:val="2"/>
      <w:sz w:val="24"/>
      <w:szCs w:val="24"/>
    </w:rPr>
  </w:style>
  <w:style w:type="character" w:customStyle="1" w:styleId="52">
    <w:name w:val="正文文本缩进 Char"/>
    <w:link w:val="12"/>
    <w:qFormat/>
    <w:uiPriority w:val="0"/>
    <w:rPr>
      <w:rFonts w:ascii="Times New Roman" w:hAnsi="Times New Roman" w:eastAsia="宋体" w:cs="Times New Roman"/>
      <w:kern w:val="2"/>
      <w:sz w:val="21"/>
      <w:szCs w:val="24"/>
    </w:rPr>
  </w:style>
  <w:style w:type="character" w:customStyle="1" w:styleId="53">
    <w:name w:val="纯文本 Char"/>
    <w:link w:val="14"/>
    <w:qFormat/>
    <w:uiPriority w:val="0"/>
    <w:rPr>
      <w:rFonts w:ascii="宋体" w:hAnsi="Courier New" w:eastAsia="宋体" w:cs="Courier New"/>
      <w:kern w:val="2"/>
      <w:sz w:val="21"/>
      <w:szCs w:val="21"/>
    </w:rPr>
  </w:style>
  <w:style w:type="character" w:customStyle="1" w:styleId="54">
    <w:name w:val="页脚 Char"/>
    <w:link w:val="17"/>
    <w:qFormat/>
    <w:uiPriority w:val="0"/>
    <w:rPr>
      <w:rFonts w:ascii="Times New Roman" w:hAnsi="Times New Roman" w:eastAsia="宋体" w:cs="Times New Roman"/>
      <w:kern w:val="2"/>
      <w:sz w:val="18"/>
      <w:szCs w:val="18"/>
    </w:rPr>
  </w:style>
  <w:style w:type="character" w:customStyle="1" w:styleId="55">
    <w:name w:val="页眉 Char"/>
    <w:link w:val="18"/>
    <w:qFormat/>
    <w:uiPriority w:val="0"/>
    <w:rPr>
      <w:rFonts w:ascii="Times New Roman" w:hAnsi="Times New Roman" w:eastAsia="宋体" w:cs="Times New Roman"/>
      <w:kern w:val="2"/>
      <w:sz w:val="18"/>
      <w:szCs w:val="18"/>
    </w:rPr>
  </w:style>
  <w:style w:type="character" w:customStyle="1" w:styleId="56">
    <w:name w:val="副标题 Char"/>
    <w:link w:val="20"/>
    <w:qFormat/>
    <w:uiPriority w:val="0"/>
    <w:rPr>
      <w:rFonts w:ascii="Cambria" w:hAnsi="Cambria" w:eastAsia="宋体" w:cs="Times New Roman"/>
      <w:b/>
      <w:bCs/>
      <w:kern w:val="28"/>
      <w:sz w:val="32"/>
      <w:szCs w:val="32"/>
    </w:rPr>
  </w:style>
  <w:style w:type="character" w:customStyle="1" w:styleId="57">
    <w:name w:val="正文文本缩进 3 Char"/>
    <w:link w:val="21"/>
    <w:qFormat/>
    <w:uiPriority w:val="0"/>
    <w:rPr>
      <w:rFonts w:ascii="Times New Roman" w:hAnsi="Times New Roman" w:eastAsia="宋体" w:cs="Times New Roman"/>
      <w:kern w:val="2"/>
      <w:sz w:val="16"/>
      <w:szCs w:val="16"/>
    </w:rPr>
  </w:style>
  <w:style w:type="character" w:customStyle="1" w:styleId="58">
    <w:name w:val="普通(网站) Char"/>
    <w:link w:val="25"/>
    <w:qFormat/>
    <w:uiPriority w:val="0"/>
    <w:rPr>
      <w:rFonts w:ascii="Times New Roman" w:hAnsi="Times New Roman" w:eastAsia="宋体" w:cs="Times New Roman"/>
      <w:kern w:val="0"/>
      <w:sz w:val="24"/>
      <w:lang w:val="en-US" w:eastAsia="zh-CN" w:bidi="ar"/>
    </w:rPr>
  </w:style>
  <w:style w:type="character" w:customStyle="1" w:styleId="59">
    <w:name w:val="标题 Char"/>
    <w:link w:val="27"/>
    <w:qFormat/>
    <w:uiPriority w:val="0"/>
    <w:rPr>
      <w:rFonts w:ascii="Cambria" w:hAnsi="Cambria" w:eastAsia="宋体" w:cs="Times New Roman"/>
      <w:b/>
      <w:bCs/>
      <w:kern w:val="2"/>
      <w:sz w:val="36"/>
      <w:szCs w:val="32"/>
    </w:rPr>
  </w:style>
  <w:style w:type="character" w:customStyle="1" w:styleId="60">
    <w:name w:val="批注主题 Char"/>
    <w:basedOn w:val="51"/>
    <w:link w:val="28"/>
    <w:qFormat/>
    <w:uiPriority w:val="0"/>
    <w:rPr>
      <w:rFonts w:ascii="Times New Roman" w:hAnsi="Times New Roman" w:eastAsia="宋体" w:cs="Times New Roman"/>
    </w:rPr>
  </w:style>
  <w:style w:type="paragraph" w:customStyle="1" w:styleId="61">
    <w:name w:val="WPSOffice手动目录 2"/>
    <w:qFormat/>
    <w:uiPriority w:val="0"/>
    <w:pPr>
      <w:ind w:leftChars="200"/>
    </w:pPr>
    <w:rPr>
      <w:rFonts w:ascii="Times New Roman" w:hAnsi="Times New Roman" w:eastAsia="宋体" w:cs="Times New Roman"/>
      <w:sz w:val="20"/>
      <w:szCs w:val="20"/>
    </w:rPr>
  </w:style>
  <w:style w:type="paragraph" w:customStyle="1" w:styleId="62">
    <w:name w:val="BodyText"/>
    <w:basedOn w:val="1"/>
    <w:next w:val="63"/>
    <w:qFormat/>
    <w:uiPriority w:val="0"/>
    <w:pPr>
      <w:spacing w:after="120"/>
    </w:pPr>
  </w:style>
  <w:style w:type="paragraph" w:customStyle="1" w:styleId="63">
    <w:name w:val="BodyTextIndent"/>
    <w:basedOn w:val="1"/>
    <w:qFormat/>
    <w:uiPriority w:val="0"/>
    <w:pPr>
      <w:spacing w:after="120"/>
      <w:ind w:left="420" w:leftChars="200"/>
    </w:pPr>
    <w:rPr>
      <w:sz w:val="21"/>
    </w:rPr>
  </w:style>
  <w:style w:type="character" w:customStyle="1" w:styleId="64">
    <w:name w:val="标题 2 Char_1"/>
    <w:link w:val="65"/>
    <w:qFormat/>
    <w:uiPriority w:val="0"/>
    <w:rPr>
      <w:rFonts w:ascii="Arial" w:hAnsi="Arial" w:eastAsia="黑体" w:cs="Times New Roman"/>
      <w:b/>
      <w:sz w:val="32"/>
    </w:rPr>
  </w:style>
  <w:style w:type="paragraph" w:customStyle="1" w:styleId="65">
    <w:name w:val="标题 2_1"/>
    <w:basedOn w:val="66"/>
    <w:next w:val="66"/>
    <w:link w:val="64"/>
    <w:qFormat/>
    <w:uiPriority w:val="0"/>
    <w:pPr>
      <w:keepNext/>
      <w:keepLines/>
      <w:spacing w:before="260" w:after="260" w:line="412" w:lineRule="auto"/>
      <w:outlineLvl w:val="1"/>
    </w:pPr>
    <w:rPr>
      <w:rFonts w:ascii="Arial" w:hAnsi="Arial" w:eastAsia="黑体"/>
      <w:b/>
      <w:kern w:val="0"/>
      <w:sz w:val="32"/>
      <w:szCs w:val="20"/>
    </w:rPr>
  </w:style>
  <w:style w:type="paragraph" w:customStyle="1" w:styleId="6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副标题 Char1"/>
    <w:qFormat/>
    <w:uiPriority w:val="0"/>
    <w:rPr>
      <w:rFonts w:ascii="Cambria" w:hAnsi="Cambria" w:eastAsia="宋体" w:cs="Times New Roman"/>
      <w:b/>
      <w:bCs/>
      <w:kern w:val="28"/>
      <w:sz w:val="32"/>
      <w:szCs w:val="32"/>
    </w:rPr>
  </w:style>
  <w:style w:type="character" w:customStyle="1" w:styleId="68">
    <w:name w:val="font31"/>
    <w:basedOn w:val="33"/>
    <w:qFormat/>
    <w:uiPriority w:val="0"/>
    <w:rPr>
      <w:rFonts w:hint="default" w:ascii="Times New Roman" w:hAnsi="Times New Roman" w:cs="Times New Roman"/>
      <w:color w:val="000000"/>
      <w:sz w:val="18"/>
      <w:szCs w:val="18"/>
      <w:u w:val="none"/>
    </w:rPr>
  </w:style>
  <w:style w:type="character" w:customStyle="1" w:styleId="69">
    <w:name w:val="font11"/>
    <w:basedOn w:val="33"/>
    <w:qFormat/>
    <w:uiPriority w:val="0"/>
    <w:rPr>
      <w:rFonts w:hint="eastAsia" w:ascii="宋体" w:hAnsi="宋体" w:eastAsia="宋体" w:cs="宋体"/>
      <w:color w:val="000000"/>
      <w:sz w:val="18"/>
      <w:szCs w:val="18"/>
      <w:u w:val="none"/>
    </w:rPr>
  </w:style>
  <w:style w:type="character" w:customStyle="1" w:styleId="70">
    <w:name w:val="标题 3 Char_0"/>
    <w:link w:val="71"/>
    <w:qFormat/>
    <w:uiPriority w:val="0"/>
    <w:rPr>
      <w:rFonts w:ascii="黑体" w:hAnsi="Calibri" w:eastAsia="黑体" w:cs="Times New Roman"/>
      <w:sz w:val="28"/>
    </w:rPr>
  </w:style>
  <w:style w:type="paragraph" w:customStyle="1" w:styleId="71">
    <w:name w:val="标题 3_0"/>
    <w:basedOn w:val="66"/>
    <w:next w:val="66"/>
    <w:link w:val="70"/>
    <w:qFormat/>
    <w:uiPriority w:val="0"/>
    <w:pPr>
      <w:keepNext/>
      <w:keepLines/>
      <w:spacing w:before="260" w:after="260" w:line="412" w:lineRule="auto"/>
      <w:ind w:firstLine="49" w:firstLineChars="49"/>
      <w:outlineLvl w:val="2"/>
    </w:pPr>
    <w:rPr>
      <w:rFonts w:ascii="黑体" w:hAnsi="Calibri" w:eastAsia="黑体"/>
      <w:kern w:val="0"/>
      <w:sz w:val="28"/>
      <w:szCs w:val="20"/>
    </w:rPr>
  </w:style>
  <w:style w:type="character" w:customStyle="1" w:styleId="72">
    <w:name w:val="tabg"/>
    <w:qFormat/>
    <w:uiPriority w:val="0"/>
    <w:rPr>
      <w:rFonts w:ascii="微软雅黑" w:hAnsi="微软雅黑" w:eastAsia="微软雅黑" w:cs="微软雅黑"/>
      <w:color w:val="FFFFFF"/>
      <w:sz w:val="27"/>
      <w:szCs w:val="27"/>
    </w:rPr>
  </w:style>
  <w:style w:type="character" w:customStyle="1" w:styleId="73">
    <w:name w:val="bg01"/>
    <w:basedOn w:val="33"/>
    <w:qFormat/>
    <w:uiPriority w:val="0"/>
    <w:rPr>
      <w:rFonts w:ascii="Times New Roman" w:hAnsi="Times New Roman" w:eastAsia="宋体" w:cs="Times New Roman"/>
    </w:rPr>
  </w:style>
  <w:style w:type="character" w:customStyle="1" w:styleId="74">
    <w:name w:val="font41"/>
    <w:basedOn w:val="33"/>
    <w:qFormat/>
    <w:uiPriority w:val="0"/>
    <w:rPr>
      <w:rFonts w:hint="default" w:ascii="Times New Roman" w:hAnsi="Times New Roman" w:cs="Times New Roman"/>
      <w:color w:val="000000"/>
      <w:sz w:val="20"/>
      <w:szCs w:val="20"/>
      <w:u w:val="none"/>
    </w:rPr>
  </w:style>
  <w:style w:type="character" w:customStyle="1" w:styleId="75">
    <w:name w:val="标题 Char1"/>
    <w:qFormat/>
    <w:uiPriority w:val="0"/>
    <w:rPr>
      <w:rFonts w:ascii="Cambria" w:hAnsi="Cambria" w:eastAsia="宋体" w:cs="Times New Roman"/>
      <w:b/>
      <w:bCs/>
      <w:kern w:val="2"/>
      <w:sz w:val="32"/>
      <w:szCs w:val="32"/>
    </w:rPr>
  </w:style>
  <w:style w:type="character" w:customStyle="1" w:styleId="76">
    <w:name w:val="more"/>
    <w:qFormat/>
    <w:uiPriority w:val="0"/>
    <w:rPr>
      <w:rFonts w:ascii="Times New Roman" w:hAnsi="Times New Roman" w:eastAsia="宋体" w:cs="Times New Roman"/>
      <w:color w:val="666666"/>
      <w:sz w:val="18"/>
      <w:szCs w:val="18"/>
    </w:rPr>
  </w:style>
  <w:style w:type="character" w:customStyle="1" w:styleId="77">
    <w:name w:val="font01"/>
    <w:basedOn w:val="33"/>
    <w:qFormat/>
    <w:uiPriority w:val="0"/>
    <w:rPr>
      <w:rFonts w:hint="eastAsia" w:ascii="宋体" w:hAnsi="宋体" w:eastAsia="宋体" w:cs="宋体"/>
      <w:color w:val="000000"/>
      <w:sz w:val="22"/>
      <w:szCs w:val="22"/>
      <w:u w:val="none"/>
    </w:rPr>
  </w:style>
  <w:style w:type="character" w:customStyle="1" w:styleId="78">
    <w:name w:val="bg02"/>
    <w:basedOn w:val="33"/>
    <w:qFormat/>
    <w:uiPriority w:val="0"/>
    <w:rPr>
      <w:rFonts w:ascii="Times New Roman" w:hAnsi="Times New Roman" w:eastAsia="宋体" w:cs="Times New Roman"/>
    </w:rPr>
  </w:style>
  <w:style w:type="character" w:customStyle="1" w:styleId="79">
    <w:name w:val="fontstyle01"/>
    <w:qFormat/>
    <w:uiPriority w:val="0"/>
    <w:rPr>
      <w:rFonts w:hint="eastAsia" w:ascii="宋体" w:hAnsi="宋体" w:eastAsia="宋体" w:cs="Times New Roman"/>
      <w:color w:val="000000"/>
      <w:sz w:val="24"/>
      <w:szCs w:val="24"/>
    </w:rPr>
  </w:style>
  <w:style w:type="character" w:customStyle="1" w:styleId="80">
    <w:name w:val="sub_title"/>
    <w:basedOn w:val="33"/>
    <w:qFormat/>
    <w:uiPriority w:val="0"/>
    <w:rPr>
      <w:rFonts w:ascii="Times New Roman" w:hAnsi="Times New Roman" w:eastAsia="宋体" w:cs="Times New Roman"/>
    </w:rPr>
  </w:style>
  <w:style w:type="character" w:customStyle="1" w:styleId="81">
    <w:name w:val="正文文本缩进 3 Char1"/>
    <w:qFormat/>
    <w:uiPriority w:val="0"/>
    <w:rPr>
      <w:rFonts w:ascii="Times New Roman" w:hAnsi="Times New Roman" w:eastAsia="宋体" w:cs="Times New Roman"/>
      <w:kern w:val="2"/>
      <w:sz w:val="16"/>
      <w:szCs w:val="16"/>
    </w:rPr>
  </w:style>
  <w:style w:type="character" w:customStyle="1" w:styleId="82">
    <w:name w:val="style_kwd"/>
    <w:basedOn w:val="33"/>
    <w:qFormat/>
    <w:uiPriority w:val="0"/>
    <w:rPr>
      <w:rFonts w:ascii="Times New Roman" w:hAnsi="Times New Roman" w:eastAsia="宋体" w:cs="Times New Roman"/>
    </w:rPr>
  </w:style>
  <w:style w:type="character" w:customStyle="1" w:styleId="83">
    <w:name w:val="纯文本 Char1"/>
    <w:qFormat/>
    <w:uiPriority w:val="0"/>
    <w:rPr>
      <w:rFonts w:ascii="宋体" w:hAnsi="Courier New" w:eastAsia="宋体" w:cs="Times New Roman"/>
      <w:szCs w:val="20"/>
    </w:rPr>
  </w:style>
  <w:style w:type="paragraph" w:customStyle="1" w:styleId="84">
    <w:name w:val="Other|1"/>
    <w:basedOn w:val="1"/>
    <w:qFormat/>
    <w:uiPriority w:val="0"/>
    <w:pPr>
      <w:spacing w:line="466" w:lineRule="exact"/>
      <w:jc w:val="left"/>
    </w:pPr>
    <w:rPr>
      <w:rFonts w:ascii="宋体" w:hAnsi="宋体" w:cs="宋体"/>
      <w:kern w:val="0"/>
      <w:sz w:val="22"/>
      <w:szCs w:val="22"/>
      <w:lang w:val="zh-TW" w:eastAsia="zh-TW" w:bidi="zh-TW"/>
    </w:rPr>
  </w:style>
  <w:style w:type="paragraph" w:customStyle="1" w:styleId="85">
    <w:name w:val="样式3"/>
    <w:basedOn w:val="86"/>
    <w:qFormat/>
    <w:uiPriority w:val="0"/>
    <w:pPr>
      <w:jc w:val="center"/>
    </w:pPr>
    <w:rPr>
      <w:rFonts w:ascii="Times New Roman" w:hAnsi="Times New Roman" w:eastAsia="宋体" w:cs="Times New Roman"/>
    </w:rPr>
  </w:style>
  <w:style w:type="paragraph" w:customStyle="1" w:styleId="86">
    <w:name w:val="样式2"/>
    <w:basedOn w:val="1"/>
    <w:qFormat/>
    <w:uiPriority w:val="0"/>
    <w:rPr>
      <w:rFonts w:ascii="Times New Roman" w:hAnsi="Times New Roman" w:eastAsia="华文中宋" w:cs="Times New Roman"/>
      <w:sz w:val="44"/>
    </w:rPr>
  </w:style>
  <w:style w:type="paragraph" w:customStyle="1" w:styleId="87">
    <w:name w:val="_Style 31"/>
    <w:basedOn w:val="7"/>
    <w:qFormat/>
    <w:uiPriority w:val="0"/>
    <w:rPr>
      <w:rFonts w:ascii="Times New Roman" w:hAnsi="Times New Roman" w:eastAsia="宋体" w:cs="Times New Roman"/>
      <w:szCs w:val="20"/>
      <w:shd w:val="clear" w:color="auto" w:fill="000080"/>
    </w:rPr>
  </w:style>
  <w:style w:type="paragraph" w:customStyle="1" w:styleId="88">
    <w:name w:val="样式1"/>
    <w:basedOn w:val="1"/>
    <w:qFormat/>
    <w:uiPriority w:val="0"/>
    <w:rPr>
      <w:rFonts w:ascii="Times New Roman" w:hAnsi="Times New Roman" w:eastAsia="仿宋_GB2312" w:cs="Times New Roman"/>
      <w:sz w:val="32"/>
    </w:rPr>
  </w:style>
  <w:style w:type="paragraph" w:customStyle="1" w:styleId="89">
    <w:name w:val=" Char"/>
    <w:basedOn w:val="1"/>
    <w:qFormat/>
    <w:uiPriority w:val="0"/>
    <w:rPr>
      <w:rFonts w:ascii="Times New Roman" w:hAnsi="Times New Roman" w:eastAsia="宋体" w:cs="Times New Roman"/>
      <w:szCs w:val="21"/>
    </w:rPr>
  </w:style>
  <w:style w:type="paragraph" w:customStyle="1" w:styleId="90">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_Style 90"/>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92">
    <w:name w:val="Style1"/>
    <w:basedOn w:val="1"/>
    <w:qFormat/>
    <w:uiPriority w:val="0"/>
    <w:pPr>
      <w:tabs>
        <w:tab w:val="left" w:pos="-720"/>
      </w:tabs>
      <w:spacing w:after="120"/>
    </w:pPr>
    <w:rPr>
      <w:rFonts w:ascii="Times New Roman" w:hAnsi="Times New Roman" w:eastAsia="宋体" w:cs="Times New Roman"/>
      <w:spacing w:val="-3"/>
      <w:sz w:val="24"/>
      <w:lang w:val="en-AU" w:eastAsia="en-US"/>
    </w:rPr>
  </w:style>
  <w:style w:type="paragraph" w:customStyle="1" w:styleId="93">
    <w:name w:val="Char Char Char Char Char Char Char1 Char"/>
    <w:basedOn w:val="1"/>
    <w:qFormat/>
    <w:uiPriority w:val="0"/>
    <w:pPr>
      <w:spacing w:line="400" w:lineRule="exact"/>
      <w:ind w:firstLine="200" w:firstLineChars="200"/>
    </w:pPr>
    <w:rPr>
      <w:rFonts w:ascii="Tahoma" w:hAnsi="Tahoma" w:eastAsia="宋体" w:cs="宋体"/>
      <w:bCs/>
      <w:iCs/>
      <w:color w:val="000000"/>
      <w:kern w:val="0"/>
      <w:sz w:val="20"/>
      <w:szCs w:val="20"/>
    </w:rPr>
  </w:style>
  <w:style w:type="paragraph" w:customStyle="1" w:styleId="94">
    <w:name w:val="Normal_10"/>
    <w:qFormat/>
    <w:uiPriority w:val="0"/>
    <w:rPr>
      <w:rFonts w:ascii="Times New Roman" w:hAnsi="Times New Roman" w:eastAsia="Times New Roman" w:cs="Times New Roman"/>
      <w:sz w:val="24"/>
      <w:szCs w:val="24"/>
      <w:lang w:bidi="ar-SA"/>
    </w:rPr>
  </w:style>
  <w:style w:type="paragraph" w:customStyle="1" w:styleId="9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96">
    <w:name w:val="段"/>
    <w:next w:val="1"/>
    <w:qFormat/>
    <w:uiPriority w:val="0"/>
    <w:pPr>
      <w:autoSpaceDE w:val="0"/>
      <w:autoSpaceDN w:val="0"/>
      <w:ind w:firstLine="200" w:firstLineChars="200"/>
      <w:jc w:val="both"/>
    </w:pPr>
    <w:rPr>
      <w:rFonts w:ascii="Times New Roman" w:hAnsi="Times New Roman" w:eastAsia="宋体" w:cs="宋体"/>
      <w:sz w:val="21"/>
      <w:szCs w:val="21"/>
      <w:lang w:val="en-US" w:eastAsia="zh-CN" w:bidi="ar-SA"/>
    </w:rPr>
  </w:style>
  <w:style w:type="paragraph" w:customStyle="1" w:styleId="97">
    <w:name w:val="Normal_11"/>
    <w:qFormat/>
    <w:uiPriority w:val="0"/>
    <w:rPr>
      <w:rFonts w:ascii="Times New Roman" w:hAnsi="Times New Roman" w:eastAsia="Times New Roman" w:cs="Times New Roman"/>
      <w:sz w:val="24"/>
      <w:szCs w:val="24"/>
      <w:lang w:bidi="ar-SA"/>
    </w:rPr>
  </w:style>
  <w:style w:type="paragraph" w:customStyle="1" w:styleId="98">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p0"/>
    <w:basedOn w:val="1"/>
    <w:qFormat/>
    <w:uiPriority w:val="0"/>
    <w:rPr>
      <w:rFonts w:ascii="Calibri" w:hAnsi="Calibri" w:eastAsia="宋体" w:cs="Times New Roman"/>
      <w:kern w:val="0"/>
    </w:rPr>
  </w:style>
  <w:style w:type="paragraph" w:customStyle="1" w:styleId="100">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Table Paragraph"/>
    <w:basedOn w:val="1"/>
    <w:qFormat/>
    <w:uiPriority w:val="0"/>
    <w:rPr>
      <w:rFonts w:ascii="Times New Roman" w:hAnsi="Times New Roman" w:eastAsia="宋体" w:cs="Times New Roman"/>
    </w:rPr>
  </w:style>
  <w:style w:type="paragraph" w:styleId="102">
    <w:name w:val="List Paragraph"/>
    <w:basedOn w:val="1"/>
    <w:qFormat/>
    <w:uiPriority w:val="0"/>
    <w:pPr>
      <w:ind w:left="1804" w:hanging="701"/>
    </w:pPr>
    <w:rPr>
      <w:rFonts w:ascii="Times New Roman" w:hAnsi="Times New Roman" w:eastAsia="宋体" w:cs="Times New Roman"/>
    </w:rPr>
  </w:style>
  <w:style w:type="table" w:customStyle="1" w:styleId="103">
    <w:name w:val="Table Normal"/>
    <w:qFormat/>
    <w:uiPriority w:val="0"/>
    <w:rPr>
      <w:lang w:val="en-US" w:eastAsia="zh-CN" w:bidi="ar-SA"/>
    </w:rPr>
    <w:tblPr>
      <w:tblCellMar>
        <w:top w:w="0" w:type="dxa"/>
        <w:left w:w="0" w:type="dxa"/>
        <w:bottom w:w="0" w:type="dxa"/>
        <w:right w:w="0" w:type="dxa"/>
      </w:tblCellMar>
    </w:tblPr>
  </w:style>
  <w:style w:type="paragraph" w:customStyle="1" w:styleId="104">
    <w:name w:val="正文（首行缩进2字符）211"/>
    <w:basedOn w:val="1"/>
    <w:qFormat/>
    <w:uiPriority w:val="99"/>
    <w:pPr>
      <w:ind w:firstLine="480"/>
    </w:pPr>
    <w:rPr>
      <w:rFonts w:ascii="Times New Roman" w:hAnsi="Times New Roman" w:cs="Times New Roman"/>
    </w:rPr>
  </w:style>
  <w:style w:type="paragraph" w:customStyle="1" w:styleId="105">
    <w:name w:val="3"/>
    <w:basedOn w:val="106"/>
    <w:qFormat/>
    <w:uiPriority w:val="0"/>
    <w:pPr>
      <w:outlineLvl w:val="2"/>
    </w:pPr>
    <w:rPr>
      <w:rFonts w:ascii="Times New Roman"/>
    </w:rPr>
  </w:style>
  <w:style w:type="paragraph" w:customStyle="1" w:styleId="106">
    <w:name w:val="3级标题"/>
    <w:basedOn w:val="4"/>
    <w:qFormat/>
    <w:uiPriority w:val="0"/>
    <w:pPr>
      <w:overflowPunct w:val="0"/>
      <w:ind w:firstLine="560" w:firstLineChars="200"/>
    </w:pPr>
    <w:rPr>
      <w:rFonts w:ascii="Times New Roman" w:hAnsi="Times New Roman" w:eastAsia="楷体"/>
      <w:sz w:val="28"/>
      <w:szCs w:val="30"/>
    </w:rPr>
  </w:style>
  <w:style w:type="character" w:customStyle="1" w:styleId="107">
    <w:name w:val="NormalCharacter"/>
    <w:semiHidden/>
    <w:qFormat/>
    <w:uiPriority w:val="0"/>
  </w:style>
  <w:style w:type="paragraph" w:customStyle="1" w:styleId="108">
    <w:name w:val="Normal_0"/>
    <w:qFormat/>
    <w:uiPriority w:val="0"/>
    <w:rPr>
      <w:rFonts w:ascii="Times New Roman" w:hAnsi="Times New Roman" w:eastAsia="Times New Roman" w:cs="Times New Roman"/>
      <w:sz w:val="24"/>
      <w:szCs w:val="24"/>
    </w:rPr>
  </w:style>
  <w:style w:type="paragraph" w:customStyle="1" w:styleId="109">
    <w:name w:val="正文文本缩进_0"/>
    <w:basedOn w:val="66"/>
    <w:qFormat/>
    <w:uiPriority w:val="0"/>
    <w:pPr>
      <w:spacing w:after="120"/>
      <w:ind w:left="420" w:leftChars="200"/>
    </w:pPr>
    <w:rPr>
      <w:rFonts w:ascii="Times New Roman" w:hAnsi="Times New Roman"/>
      <w:kern w:val="0"/>
      <w:sz w:val="20"/>
      <w:szCs w:val="20"/>
    </w:rPr>
  </w:style>
  <w:style w:type="paragraph" w:customStyle="1" w:styleId="110">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1">
    <w:name w:val="font51"/>
    <w:basedOn w:val="33"/>
    <w:qFormat/>
    <w:uiPriority w:val="0"/>
    <w:rPr>
      <w:rFonts w:hint="eastAsia" w:ascii="华文仿宋" w:hAnsi="华文仿宋" w:eastAsia="华文仿宋" w:cs="华文仿宋"/>
      <w:color w:val="000000"/>
      <w:sz w:val="18"/>
      <w:szCs w:val="18"/>
      <w:u w:val="none"/>
    </w:rPr>
  </w:style>
  <w:style w:type="character" w:customStyle="1" w:styleId="112">
    <w:name w:val="font21"/>
    <w:basedOn w:val="33"/>
    <w:qFormat/>
    <w:uiPriority w:val="0"/>
    <w:rPr>
      <w:rFonts w:hint="default" w:ascii="华文仿宋" w:hAnsi="华文仿宋" w:eastAsia="华文仿宋" w:cs="华文仿宋"/>
      <w:color w:val="000000"/>
      <w:sz w:val="18"/>
      <w:szCs w:val="18"/>
      <w:u w:val="none"/>
    </w:rPr>
  </w:style>
  <w:style w:type="character" w:customStyle="1" w:styleId="113">
    <w:name w:val="font13"/>
    <w:basedOn w:val="33"/>
    <w:qFormat/>
    <w:uiPriority w:val="0"/>
    <w:rPr>
      <w:rFonts w:hint="eastAsia" w:ascii="宋体" w:hAnsi="宋体" w:eastAsia="宋体" w:cs="宋体"/>
      <w:color w:val="000000"/>
      <w:sz w:val="18"/>
      <w:szCs w:val="18"/>
      <w:u w:val="none"/>
    </w:rPr>
  </w:style>
  <w:style w:type="paragraph" w:customStyle="1" w:styleId="114">
    <w:name w:val="列表段落1"/>
    <w:basedOn w:val="1"/>
    <w:qFormat/>
    <w:uiPriority w:val="34"/>
    <w:pPr>
      <w:ind w:firstLine="420" w:firstLineChars="200"/>
    </w:pPr>
    <w:rPr>
      <w:rFonts w:ascii="Calibri" w:hAnsi="Calibri"/>
      <w:kern w:val="0"/>
      <w:sz w:val="20"/>
      <w:szCs w:val="20"/>
    </w:rPr>
  </w:style>
  <w:style w:type="paragraph" w:customStyle="1" w:styleId="115">
    <w:name w:val="正文文本缩进1"/>
    <w:qFormat/>
    <w:uiPriority w:val="0"/>
    <w:pPr>
      <w:widowControl w:val="0"/>
      <w:spacing w:after="120"/>
      <w:ind w:left="420" w:leftChars="200"/>
      <w:jc w:val="both"/>
    </w:pPr>
    <w:rPr>
      <w:rFonts w:ascii="Times New Roman" w:hAnsi="Times New Roman" w:eastAsia="宋体" w:cs="Times New Roman"/>
      <w:lang w:val="en-US" w:eastAsia="zh-CN" w:bidi="ar-SA"/>
    </w:rPr>
  </w:style>
  <w:style w:type="paragraph" w:customStyle="1" w:styleId="116">
    <w:name w:val="Heading 2"/>
    <w:next w:val="108"/>
    <w:qFormat/>
    <w:uiPriority w:val="0"/>
    <w:pPr>
      <w:keepNext/>
      <w:keepLines/>
      <w:widowControl w:val="0"/>
      <w:spacing w:before="260" w:after="260" w:line="412" w:lineRule="auto"/>
      <w:jc w:val="both"/>
      <w:outlineLvl w:val="1"/>
    </w:pPr>
    <w:rPr>
      <w:rFonts w:ascii="Arial" w:hAnsi="Arial" w:eastAsia="黑体" w:cs="Times New Roman"/>
      <w:b/>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63</Pages>
  <Words>27347</Words>
  <Characters>29146</Characters>
  <Lines>272</Lines>
  <Paragraphs>76</Paragraphs>
  <TotalTime>18</TotalTime>
  <ScaleCrop>false</ScaleCrop>
  <LinksUpToDate>false</LinksUpToDate>
  <CharactersWithSpaces>31452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2019-12-03T07:47:00Z</dcterms:created>
  <dc:creator>太子弹琴</dc:creator>
  <cp:lastModifiedBy>A.堂Gege！</cp:lastModifiedBy>
  <cp:lastPrinted>2021-07-15T03:56:00Z</cp:lastPrinted>
  <dcterms:modified xsi:type="dcterms:W3CDTF">2025-07-16T03:30:29Z</dcterms:modified>
  <dc:title>竞争性磋商文件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88C01F5D009E4042937AAD5D1F03AC20_13</vt:lpwstr>
  </property>
  <property fmtid="{D5CDD505-2E9C-101B-9397-08002B2CF9AE}" pid="4" name="commondata">
    <vt:lpwstr>eyJoZGlkIjoiNTc1MjYxZmQyOGYxMzkzNWU0NzE2YTI5NjM4YmYwODEifQ==</vt:lpwstr>
  </property>
  <property fmtid="{D5CDD505-2E9C-101B-9397-08002B2CF9AE}" pid="5" name="KSOTemplateDocerSaveRecord">
    <vt:lpwstr>eyJoZGlkIjoiY2QyOTU4ODJjZDZhMjViNDMxNDNlNGE3ZWRlOGEyMzkiLCJ1c2VySWQiOiI5MjE3OTg5ODAifQ==</vt:lpwstr>
  </property>
</Properties>
</file>