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exact"/>
        <w:rPr>
          <w:rFonts w:hint="eastAsia"/>
          <w:b/>
          <w:sz w:val="52"/>
          <w:szCs w:val="52"/>
          <w:highlight w:val="none"/>
          <w:lang w:val="zh-CN"/>
        </w:rPr>
      </w:pPr>
      <w:r>
        <w:rPr>
          <w:rFonts w:hint="eastAsia"/>
          <w:b/>
          <w:sz w:val="52"/>
          <w:szCs w:val="52"/>
          <w:highlight w:val="none"/>
          <w:lang w:val="zh-CN"/>
        </w:rPr>
        <w:t xml:space="preserve"> </w:t>
      </w:r>
    </w:p>
    <w:p>
      <w:pPr>
        <w:autoSpaceDE w:val="0"/>
        <w:autoSpaceDN w:val="0"/>
        <w:adjustRightInd w:val="0"/>
        <w:spacing w:line="400" w:lineRule="exact"/>
        <w:rPr>
          <w:rFonts w:hint="eastAsia"/>
          <w:b/>
          <w:sz w:val="52"/>
          <w:szCs w:val="52"/>
          <w:highlight w:val="none"/>
          <w:lang w:val="zh-CN"/>
        </w:rPr>
      </w:pPr>
    </w:p>
    <w:p>
      <w:pPr>
        <w:autoSpaceDE w:val="0"/>
        <w:autoSpaceDN w:val="0"/>
        <w:adjustRightInd w:val="0"/>
        <w:spacing w:line="400" w:lineRule="exact"/>
        <w:rPr>
          <w:rFonts w:hint="eastAsia"/>
          <w:b/>
          <w:sz w:val="52"/>
          <w:szCs w:val="52"/>
          <w:highlight w:val="none"/>
          <w:lang w:val="zh-CN"/>
        </w:rPr>
      </w:pPr>
    </w:p>
    <w:p>
      <w:pPr>
        <w:autoSpaceDE w:val="0"/>
        <w:autoSpaceDN w:val="0"/>
        <w:adjustRightInd w:val="0"/>
        <w:spacing w:line="480" w:lineRule="auto"/>
        <w:jc w:val="center"/>
        <w:rPr>
          <w:rFonts w:hint="eastAsia"/>
          <w:b/>
          <w:sz w:val="84"/>
          <w:szCs w:val="84"/>
          <w:highlight w:val="none"/>
          <w:lang w:val="zh-CN"/>
        </w:rPr>
      </w:pPr>
      <w:r>
        <w:rPr>
          <w:rFonts w:hint="eastAsia"/>
          <w:b/>
          <w:sz w:val="84"/>
          <w:szCs w:val="84"/>
          <w:highlight w:val="none"/>
        </w:rPr>
        <w:t>竞争性</w:t>
      </w:r>
      <w:r>
        <w:rPr>
          <w:rFonts w:hint="eastAsia"/>
          <w:b/>
          <w:sz w:val="84"/>
          <w:szCs w:val="84"/>
          <w:highlight w:val="none"/>
          <w:lang w:val="zh-CN"/>
        </w:rPr>
        <w:t>磋商文件</w:t>
      </w:r>
    </w:p>
    <w:p>
      <w:pPr>
        <w:adjustRightInd w:val="0"/>
        <w:spacing w:line="480" w:lineRule="auto"/>
        <w:textAlignment w:val="baseline"/>
        <w:rPr>
          <w:rFonts w:hint="eastAsia"/>
          <w:b/>
          <w:sz w:val="52"/>
          <w:szCs w:val="52"/>
          <w:highlight w:val="none"/>
        </w:rPr>
      </w:pPr>
    </w:p>
    <w:p>
      <w:pPr>
        <w:adjustRightInd w:val="0"/>
        <w:spacing w:line="480" w:lineRule="auto"/>
        <w:textAlignment w:val="baseline"/>
        <w:rPr>
          <w:rFonts w:hint="eastAsia"/>
          <w:b/>
          <w:sz w:val="36"/>
          <w:szCs w:val="36"/>
          <w:highlight w:val="none"/>
        </w:rPr>
      </w:pPr>
    </w:p>
    <w:p>
      <w:pPr>
        <w:pStyle w:val="45"/>
        <w:rPr>
          <w:rFonts w:hint="eastAsia"/>
        </w:rPr>
      </w:pPr>
    </w:p>
    <w:p>
      <w:pPr>
        <w:adjustRightInd w:val="0"/>
        <w:spacing w:line="480" w:lineRule="auto"/>
        <w:textAlignment w:val="baseline"/>
        <w:rPr>
          <w:rFonts w:hint="default" w:eastAsia="宋体"/>
          <w:b/>
          <w:sz w:val="36"/>
          <w:szCs w:val="36"/>
          <w:highlight w:val="none"/>
          <w:lang w:val="en-US" w:eastAsia="zh-CN"/>
        </w:rPr>
      </w:pPr>
      <w:r>
        <w:rPr>
          <w:rFonts w:hint="eastAsia"/>
          <w:b/>
          <w:sz w:val="36"/>
          <w:szCs w:val="36"/>
          <w:highlight w:val="none"/>
        </w:rPr>
        <w:t>采购项目编号：</w:t>
      </w:r>
      <w:r>
        <w:rPr>
          <w:rFonts w:hint="eastAsia"/>
          <w:b/>
          <w:sz w:val="36"/>
          <w:szCs w:val="36"/>
          <w:highlight w:val="none"/>
          <w:lang w:eastAsia="zh-CN"/>
        </w:rPr>
        <w:t>青海天达竞磋（工程）2023-004号</w:t>
      </w:r>
    </w:p>
    <w:p>
      <w:pPr>
        <w:adjustRightInd w:val="0"/>
        <w:spacing w:line="480" w:lineRule="auto"/>
        <w:ind w:left="2530" w:hanging="2530" w:hangingChars="700"/>
        <w:textAlignment w:val="baseline"/>
        <w:rPr>
          <w:rFonts w:hint="eastAsia" w:eastAsia="宋体"/>
          <w:b/>
          <w:sz w:val="36"/>
          <w:szCs w:val="36"/>
          <w:highlight w:val="none"/>
          <w:lang w:eastAsia="zh-CN"/>
        </w:rPr>
      </w:pPr>
      <w:r>
        <w:rPr>
          <w:rFonts w:hint="eastAsia"/>
          <w:b/>
          <w:sz w:val="36"/>
          <w:szCs w:val="36"/>
          <w:highlight w:val="none"/>
        </w:rPr>
        <w:t>采购项目名称：</w:t>
      </w:r>
      <w:r>
        <w:rPr>
          <w:rFonts w:hint="eastAsia"/>
          <w:b/>
          <w:sz w:val="36"/>
          <w:szCs w:val="36"/>
          <w:highlight w:val="none"/>
          <w:lang w:eastAsia="zh-CN"/>
        </w:rPr>
        <w:t>2023年洪水镇双一村拱棚建设项目</w:t>
      </w:r>
    </w:p>
    <w:p>
      <w:pPr>
        <w:adjustRightInd w:val="0"/>
        <w:spacing w:line="480" w:lineRule="auto"/>
        <w:textAlignment w:val="baseline"/>
        <w:rPr>
          <w:rFonts w:hint="default" w:eastAsia="宋体"/>
          <w:b/>
          <w:sz w:val="36"/>
          <w:szCs w:val="36"/>
          <w:highlight w:val="none"/>
          <w:lang w:val="en-US" w:eastAsia="zh-CN"/>
        </w:rPr>
      </w:pPr>
      <w:r>
        <w:rPr>
          <w:rFonts w:hint="eastAsia" w:eastAsia="宋体"/>
          <w:b/>
          <w:sz w:val="36"/>
          <w:szCs w:val="36"/>
          <w:highlight w:val="none"/>
          <w:lang w:eastAsia="zh-CN"/>
        </w:rPr>
        <w:t>采   购   人：</w:t>
      </w:r>
      <w:r>
        <w:rPr>
          <w:rFonts w:hint="eastAsia" w:eastAsia="宋体"/>
          <w:b/>
          <w:sz w:val="36"/>
          <w:szCs w:val="36"/>
          <w:highlight w:val="none"/>
          <w:lang w:val="en-US" w:eastAsia="zh-CN"/>
        </w:rPr>
        <w:t>海东市乐都区洪水镇人民政府</w:t>
      </w:r>
    </w:p>
    <w:p>
      <w:pPr>
        <w:adjustRightInd w:val="0"/>
        <w:spacing w:line="480" w:lineRule="auto"/>
        <w:textAlignment w:val="baseline"/>
        <w:rPr>
          <w:rFonts w:hint="eastAsia"/>
          <w:b/>
          <w:sz w:val="52"/>
          <w:szCs w:val="52"/>
          <w:highlight w:val="none"/>
        </w:rPr>
      </w:pPr>
      <w:r>
        <w:rPr>
          <w:rFonts w:hint="eastAsia"/>
          <w:b/>
          <w:sz w:val="36"/>
          <w:szCs w:val="36"/>
          <w:highlight w:val="none"/>
        </w:rPr>
        <w:t>采购代理机构：</w:t>
      </w:r>
      <w:r>
        <w:rPr>
          <w:rFonts w:hint="eastAsia"/>
          <w:b/>
          <w:sz w:val="36"/>
          <w:szCs w:val="36"/>
          <w:highlight w:val="none"/>
          <w:lang w:eastAsia="zh-CN"/>
        </w:rPr>
        <w:t>青海天达工程管理有限公司</w:t>
      </w:r>
      <w:r>
        <w:rPr>
          <w:rFonts w:hint="eastAsia"/>
          <w:b/>
          <w:sz w:val="52"/>
          <w:szCs w:val="52"/>
          <w:highlight w:val="none"/>
        </w:rPr>
        <w:t xml:space="preserve">     </w:t>
      </w:r>
    </w:p>
    <w:p>
      <w:pPr>
        <w:adjustRightInd w:val="0"/>
        <w:spacing w:line="480" w:lineRule="auto"/>
        <w:ind w:left="3072" w:hanging="4437" w:hangingChars="850"/>
        <w:textAlignment w:val="baseline"/>
        <w:rPr>
          <w:rFonts w:hint="eastAsia"/>
          <w:b/>
          <w:sz w:val="52"/>
          <w:szCs w:val="52"/>
          <w:highlight w:val="none"/>
        </w:rPr>
      </w:pPr>
    </w:p>
    <w:p>
      <w:pPr>
        <w:adjustRightInd w:val="0"/>
        <w:spacing w:line="480" w:lineRule="auto"/>
        <w:ind w:left="3063" w:leftChars="1201" w:hanging="181" w:hangingChars="50"/>
        <w:textAlignment w:val="baseline"/>
        <w:rPr>
          <w:rFonts w:hint="eastAsia"/>
          <w:b/>
          <w:sz w:val="52"/>
          <w:szCs w:val="52"/>
          <w:highlight w:val="none"/>
        </w:rPr>
      </w:pPr>
      <w:r>
        <w:rPr>
          <w:rFonts w:hint="eastAsia"/>
          <w:b/>
          <w:sz w:val="36"/>
          <w:szCs w:val="36"/>
          <w:highlight w:val="none"/>
        </w:rPr>
        <w:t>202</w:t>
      </w:r>
      <w:r>
        <w:rPr>
          <w:rFonts w:hint="eastAsia"/>
          <w:b/>
          <w:sz w:val="36"/>
          <w:szCs w:val="36"/>
          <w:highlight w:val="none"/>
          <w:lang w:val="en-US" w:eastAsia="zh-CN"/>
        </w:rPr>
        <w:t>3</w:t>
      </w:r>
      <w:r>
        <w:rPr>
          <w:rFonts w:hint="eastAsia"/>
          <w:b/>
          <w:sz w:val="36"/>
          <w:szCs w:val="36"/>
          <w:highlight w:val="none"/>
        </w:rPr>
        <w:t>年</w:t>
      </w:r>
      <w:r>
        <w:rPr>
          <w:rFonts w:hint="eastAsia"/>
          <w:b/>
          <w:sz w:val="36"/>
          <w:szCs w:val="36"/>
          <w:highlight w:val="none"/>
          <w:lang w:val="en-US" w:eastAsia="zh-CN"/>
        </w:rPr>
        <w:t>3</w:t>
      </w:r>
      <w:r>
        <w:rPr>
          <w:rFonts w:hint="eastAsia"/>
          <w:b/>
          <w:sz w:val="36"/>
          <w:szCs w:val="36"/>
          <w:highlight w:val="none"/>
        </w:rPr>
        <w:t>月</w:t>
      </w:r>
    </w:p>
    <w:p>
      <w:pPr>
        <w:adjustRightInd w:val="0"/>
        <w:spacing w:line="480" w:lineRule="auto"/>
        <w:textAlignment w:val="baseline"/>
        <w:rPr>
          <w:rFonts w:hint="eastAsia"/>
          <w:b/>
          <w:sz w:val="40"/>
          <w:szCs w:val="30"/>
          <w:highlight w:val="none"/>
        </w:rPr>
        <w:sectPr>
          <w:headerReference r:id="rId6" w:type="first"/>
          <w:footerReference r:id="rId9" w:type="first"/>
          <w:headerReference r:id="rId4" w:type="default"/>
          <w:footerReference r:id="rId7" w:type="default"/>
          <w:headerReference r:id="rId5" w:type="even"/>
          <w:footerReference r:id="rId8" w:type="even"/>
          <w:pgSz w:w="11850" w:h="16783"/>
          <w:pgMar w:top="1440" w:right="1803" w:bottom="1440" w:left="1803" w:header="850" w:footer="992" w:gutter="0"/>
          <w:pgNumType w:start="1"/>
          <w:cols w:space="720" w:num="1"/>
          <w:docGrid w:linePitch="312" w:charSpace="0"/>
        </w:sectPr>
      </w:pPr>
    </w:p>
    <w:p>
      <w:pPr>
        <w:adjustRightInd w:val="0"/>
        <w:spacing w:line="400" w:lineRule="exact"/>
        <w:jc w:val="center"/>
        <w:textAlignment w:val="baseline"/>
        <w:rPr>
          <w:rFonts w:hint="eastAsia"/>
          <w:b/>
          <w:sz w:val="40"/>
          <w:szCs w:val="30"/>
          <w:highlight w:val="none"/>
        </w:rPr>
      </w:pPr>
      <w:r>
        <w:rPr>
          <w:rFonts w:hint="eastAsia"/>
          <w:b/>
          <w:sz w:val="40"/>
          <w:szCs w:val="30"/>
          <w:highlight w:val="none"/>
        </w:rPr>
        <w:t>目  录</w:t>
      </w:r>
    </w:p>
    <w:p>
      <w:pPr>
        <w:adjustRightInd w:val="0"/>
        <w:spacing w:line="400" w:lineRule="exact"/>
        <w:jc w:val="center"/>
        <w:textAlignment w:val="baseline"/>
        <w:rPr>
          <w:rFonts w:hint="eastAsia"/>
          <w:b/>
          <w:sz w:val="40"/>
          <w:szCs w:val="30"/>
          <w:highlight w:val="none"/>
        </w:rPr>
      </w:pPr>
    </w:p>
    <w:p>
      <w:pPr>
        <w:pStyle w:val="45"/>
        <w:tabs>
          <w:tab w:val="right" w:leader="dot" w:pos="8244"/>
        </w:tabs>
        <w:spacing w:line="360" w:lineRule="auto"/>
      </w:pPr>
      <w:r>
        <w:rPr>
          <w:rFonts w:hint="eastAsia" w:ascii="宋体" w:hAnsi="宋体"/>
          <w:b w:val="0"/>
          <w:bCs w:val="0"/>
          <w:kern w:val="28"/>
          <w:sz w:val="24"/>
          <w:szCs w:val="24"/>
          <w:highlight w:val="none"/>
        </w:rPr>
        <w:fldChar w:fldCharType="begin"/>
      </w:r>
      <w:r>
        <w:rPr>
          <w:rStyle w:val="80"/>
          <w:rFonts w:hint="eastAsia" w:ascii="宋体" w:hAnsi="宋体"/>
          <w:b w:val="0"/>
          <w:bCs w:val="0"/>
          <w:color w:val="auto"/>
          <w:kern w:val="28"/>
          <w:sz w:val="24"/>
          <w:szCs w:val="24"/>
          <w:highlight w:val="none"/>
        </w:rPr>
        <w:instrText xml:space="preserve"> TOC \o "1-3" \h \z \u </w:instrText>
      </w:r>
      <w:r>
        <w:rPr>
          <w:rFonts w:hint="eastAsia" w:ascii="宋体" w:hAnsi="宋体"/>
          <w:b w:val="0"/>
          <w:bCs w:val="0"/>
          <w:kern w:val="28"/>
          <w:sz w:val="24"/>
          <w:szCs w:val="24"/>
          <w:highlight w:val="none"/>
        </w:rPr>
        <w:fldChar w:fldCharType="separate"/>
      </w: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_Toc17942 </w:instrText>
      </w:r>
      <w:r>
        <w:rPr>
          <w:rFonts w:hint="eastAsia" w:ascii="宋体" w:hAnsi="宋体"/>
          <w:bCs w:val="0"/>
          <w:kern w:val="28"/>
          <w:szCs w:val="24"/>
          <w:highlight w:val="none"/>
        </w:rPr>
        <w:fldChar w:fldCharType="separate"/>
      </w:r>
      <w:r>
        <w:rPr>
          <w:rFonts w:hint="eastAsia"/>
        </w:rPr>
        <w:t xml:space="preserve">第一部分 </w:t>
      </w:r>
      <w:r>
        <w:rPr>
          <w:rFonts w:hint="eastAsia"/>
          <w:highlight w:val="none"/>
        </w:rPr>
        <w:t>投标邀请</w:t>
      </w:r>
      <w:r>
        <w:tab/>
      </w:r>
      <w:r>
        <w:fldChar w:fldCharType="begin"/>
      </w:r>
      <w:r>
        <w:instrText xml:space="preserve"> PAGEREF _Toc17942 \h </w:instrText>
      </w:r>
      <w:r>
        <w:fldChar w:fldCharType="separate"/>
      </w:r>
      <w:r>
        <w:t>4</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_Toc17343 </w:instrText>
      </w:r>
      <w:r>
        <w:rPr>
          <w:rFonts w:hint="eastAsia" w:ascii="宋体" w:hAnsi="宋体"/>
          <w:bCs w:val="0"/>
          <w:kern w:val="28"/>
          <w:szCs w:val="24"/>
          <w:highlight w:val="none"/>
        </w:rPr>
        <w:fldChar w:fldCharType="separate"/>
      </w:r>
      <w:r>
        <w:rPr>
          <w:rFonts w:hint="eastAsia"/>
          <w:bCs/>
          <w:highlight w:val="none"/>
        </w:rPr>
        <w:t>一、项目基本情况</w:t>
      </w:r>
      <w:r>
        <w:tab/>
      </w:r>
      <w:r>
        <w:fldChar w:fldCharType="begin"/>
      </w:r>
      <w:r>
        <w:instrText xml:space="preserve"> PAGEREF _Toc17343 \h </w:instrText>
      </w:r>
      <w:r>
        <w:fldChar w:fldCharType="separate"/>
      </w:r>
      <w:r>
        <w:t>4</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_Toc27209 </w:instrText>
      </w:r>
      <w:r>
        <w:rPr>
          <w:rFonts w:hint="eastAsia" w:ascii="宋体" w:hAnsi="宋体"/>
          <w:bCs w:val="0"/>
          <w:kern w:val="28"/>
          <w:szCs w:val="24"/>
          <w:highlight w:val="none"/>
        </w:rPr>
        <w:fldChar w:fldCharType="separate"/>
      </w:r>
      <w:r>
        <w:rPr>
          <w:rFonts w:hint="eastAsia"/>
          <w:bCs/>
          <w:highlight w:val="none"/>
        </w:rPr>
        <w:t>二、申请人的资格要求：</w:t>
      </w:r>
      <w:r>
        <w:tab/>
      </w:r>
      <w:r>
        <w:fldChar w:fldCharType="begin"/>
      </w:r>
      <w:r>
        <w:instrText xml:space="preserve"> PAGEREF _Toc27209 \h </w:instrText>
      </w:r>
      <w:r>
        <w:fldChar w:fldCharType="separate"/>
      </w:r>
      <w:r>
        <w:t>4</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_Toc8269 </w:instrText>
      </w:r>
      <w:r>
        <w:rPr>
          <w:rFonts w:hint="eastAsia" w:ascii="宋体" w:hAnsi="宋体"/>
          <w:bCs w:val="0"/>
          <w:kern w:val="28"/>
          <w:szCs w:val="24"/>
          <w:highlight w:val="none"/>
        </w:rPr>
        <w:fldChar w:fldCharType="separate"/>
      </w:r>
      <w:r>
        <w:rPr>
          <w:rFonts w:hint="eastAsia"/>
          <w:bCs/>
          <w:highlight w:val="none"/>
        </w:rPr>
        <w:t>三、获取采购文件</w:t>
      </w:r>
      <w:r>
        <w:tab/>
      </w:r>
      <w:r>
        <w:fldChar w:fldCharType="begin"/>
      </w:r>
      <w:r>
        <w:instrText xml:space="preserve"> PAGEREF _Toc8269 \h </w:instrText>
      </w:r>
      <w:r>
        <w:fldChar w:fldCharType="separate"/>
      </w:r>
      <w:r>
        <w:t>5</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_Toc10440 </w:instrText>
      </w:r>
      <w:r>
        <w:rPr>
          <w:rFonts w:hint="eastAsia" w:ascii="宋体" w:hAnsi="宋体"/>
          <w:bCs w:val="0"/>
          <w:kern w:val="28"/>
          <w:szCs w:val="24"/>
          <w:highlight w:val="none"/>
        </w:rPr>
        <w:fldChar w:fldCharType="separate"/>
      </w:r>
      <w:r>
        <w:rPr>
          <w:rFonts w:hint="eastAsia"/>
          <w:bCs/>
          <w:highlight w:val="none"/>
          <w:lang w:val="zh-CN"/>
        </w:rPr>
        <w:t>四、</w:t>
      </w:r>
      <w:r>
        <w:rPr>
          <w:rFonts w:hint="eastAsia"/>
          <w:bCs/>
          <w:highlight w:val="none"/>
        </w:rPr>
        <w:t>响应文件的提交</w:t>
      </w:r>
      <w:r>
        <w:tab/>
      </w:r>
      <w:r>
        <w:fldChar w:fldCharType="begin"/>
      </w:r>
      <w:r>
        <w:instrText xml:space="preserve"> PAGEREF _Toc10440 \h </w:instrText>
      </w:r>
      <w:r>
        <w:fldChar w:fldCharType="separate"/>
      </w:r>
      <w:r>
        <w:t>5</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_Toc22898 </w:instrText>
      </w:r>
      <w:r>
        <w:rPr>
          <w:rFonts w:hint="eastAsia" w:ascii="宋体" w:hAnsi="宋体"/>
          <w:bCs w:val="0"/>
          <w:kern w:val="28"/>
          <w:szCs w:val="24"/>
          <w:highlight w:val="none"/>
        </w:rPr>
        <w:fldChar w:fldCharType="separate"/>
      </w:r>
      <w:r>
        <w:rPr>
          <w:bCs/>
          <w:kern w:val="2"/>
          <w:highlight w:val="none"/>
        </w:rPr>
        <w:t>五、响应文件开启</w:t>
      </w:r>
      <w:r>
        <w:tab/>
      </w:r>
      <w:r>
        <w:fldChar w:fldCharType="begin"/>
      </w:r>
      <w:r>
        <w:instrText xml:space="preserve"> PAGEREF _Toc22898 \h </w:instrText>
      </w:r>
      <w:r>
        <w:fldChar w:fldCharType="separate"/>
      </w:r>
      <w:r>
        <w:t>5</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_Toc19473 </w:instrText>
      </w:r>
      <w:r>
        <w:rPr>
          <w:rFonts w:hint="eastAsia" w:ascii="宋体" w:hAnsi="宋体"/>
          <w:bCs w:val="0"/>
          <w:kern w:val="28"/>
          <w:szCs w:val="24"/>
          <w:highlight w:val="none"/>
        </w:rPr>
        <w:fldChar w:fldCharType="separate"/>
      </w:r>
      <w:r>
        <w:rPr>
          <w:rFonts w:hint="eastAsia"/>
          <w:bCs/>
          <w:highlight w:val="none"/>
        </w:rPr>
        <w:t>六、</w:t>
      </w:r>
      <w:r>
        <w:rPr>
          <w:bCs/>
          <w:highlight w:val="none"/>
        </w:rPr>
        <w:t>公告期限</w:t>
      </w:r>
      <w:r>
        <w:tab/>
      </w:r>
      <w:r>
        <w:fldChar w:fldCharType="begin"/>
      </w:r>
      <w:r>
        <w:instrText xml:space="preserve"> PAGEREF _Toc19473 \h </w:instrText>
      </w:r>
      <w:r>
        <w:fldChar w:fldCharType="separate"/>
      </w:r>
      <w:r>
        <w:t>6</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_Toc32143 </w:instrText>
      </w:r>
      <w:r>
        <w:rPr>
          <w:rFonts w:hint="eastAsia" w:ascii="宋体" w:hAnsi="宋体"/>
          <w:bCs w:val="0"/>
          <w:kern w:val="28"/>
          <w:szCs w:val="24"/>
          <w:highlight w:val="none"/>
        </w:rPr>
        <w:fldChar w:fldCharType="separate"/>
      </w:r>
      <w:r>
        <w:rPr>
          <w:rFonts w:hint="eastAsia"/>
          <w:bCs w:val="0"/>
        </w:rPr>
        <w:t xml:space="preserve">七、 </w:t>
      </w:r>
      <w:r>
        <w:rPr>
          <w:rFonts w:hint="eastAsia"/>
          <w:bCs/>
          <w:highlight w:val="none"/>
        </w:rPr>
        <w:t>其他补充事宜</w:t>
      </w:r>
      <w:r>
        <w:tab/>
      </w:r>
      <w:r>
        <w:fldChar w:fldCharType="begin"/>
      </w:r>
      <w:r>
        <w:instrText xml:space="preserve"> PAGEREF _Toc32143 \h </w:instrText>
      </w:r>
      <w:r>
        <w:fldChar w:fldCharType="separate"/>
      </w:r>
      <w:r>
        <w:t>6</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_Toc18291 </w:instrText>
      </w:r>
      <w:r>
        <w:rPr>
          <w:rFonts w:hint="eastAsia" w:ascii="宋体" w:hAnsi="宋体"/>
          <w:bCs w:val="0"/>
          <w:kern w:val="28"/>
          <w:szCs w:val="24"/>
          <w:highlight w:val="none"/>
        </w:rPr>
        <w:fldChar w:fldCharType="separate"/>
      </w:r>
      <w:r>
        <w:rPr>
          <w:rFonts w:hint="eastAsia"/>
          <w:bCs/>
          <w:highlight w:val="none"/>
        </w:rPr>
        <w:t>八</w:t>
      </w:r>
      <w:r>
        <w:rPr>
          <w:rFonts w:hint="eastAsia"/>
          <w:bCs/>
          <w:highlight w:val="none"/>
          <w:lang w:val="zh-CN"/>
        </w:rPr>
        <w:t>、对本次招标提出询问，请按以下方式联系</w:t>
      </w:r>
      <w:r>
        <w:tab/>
      </w:r>
      <w:r>
        <w:fldChar w:fldCharType="begin"/>
      </w:r>
      <w:r>
        <w:instrText xml:space="preserve"> PAGEREF _Toc18291 \h </w:instrText>
      </w:r>
      <w:r>
        <w:fldChar w:fldCharType="separate"/>
      </w:r>
      <w:r>
        <w:t>6</w:t>
      </w:r>
      <w:r>
        <w:fldChar w:fldCharType="end"/>
      </w:r>
      <w:r>
        <w:rPr>
          <w:rFonts w:hint="eastAsia" w:ascii="宋体" w:hAnsi="宋体"/>
          <w:bCs w:val="0"/>
          <w:kern w:val="28"/>
          <w:szCs w:val="24"/>
          <w:highlight w:val="none"/>
        </w:rPr>
        <w:fldChar w:fldCharType="end"/>
      </w:r>
    </w:p>
    <w:p>
      <w:pPr>
        <w:pStyle w:val="45"/>
        <w:tabs>
          <w:tab w:val="right" w:leader="dot" w:pos="8244"/>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_Toc8032 </w:instrText>
      </w:r>
      <w:r>
        <w:rPr>
          <w:rFonts w:hint="eastAsia" w:ascii="宋体" w:hAnsi="宋体"/>
          <w:bCs w:val="0"/>
          <w:kern w:val="28"/>
          <w:szCs w:val="24"/>
          <w:highlight w:val="none"/>
        </w:rPr>
        <w:fldChar w:fldCharType="separate"/>
      </w:r>
      <w:r>
        <w:rPr>
          <w:rFonts w:hint="eastAsia"/>
          <w:bCs/>
          <w:highlight w:val="none"/>
        </w:rPr>
        <w:t>第二部分  供应商须知前附表</w:t>
      </w:r>
      <w:r>
        <w:tab/>
      </w:r>
      <w:r>
        <w:fldChar w:fldCharType="begin"/>
      </w:r>
      <w:r>
        <w:instrText xml:space="preserve"> PAGEREF _Toc8032 \h </w:instrText>
      </w:r>
      <w:r>
        <w:fldChar w:fldCharType="separate"/>
      </w:r>
      <w:r>
        <w:t>7</w:t>
      </w:r>
      <w:r>
        <w:fldChar w:fldCharType="end"/>
      </w:r>
      <w:r>
        <w:rPr>
          <w:rFonts w:hint="eastAsia" w:ascii="宋体" w:hAnsi="宋体"/>
          <w:bCs w:val="0"/>
          <w:kern w:val="28"/>
          <w:szCs w:val="24"/>
          <w:highlight w:val="none"/>
        </w:rPr>
        <w:fldChar w:fldCharType="end"/>
      </w:r>
    </w:p>
    <w:p>
      <w:pPr>
        <w:pStyle w:val="45"/>
        <w:tabs>
          <w:tab w:val="right" w:leader="dot" w:pos="8244"/>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_Toc17595 </w:instrText>
      </w:r>
      <w:r>
        <w:rPr>
          <w:rFonts w:hint="eastAsia" w:ascii="宋体" w:hAnsi="宋体"/>
          <w:bCs w:val="0"/>
          <w:kern w:val="28"/>
          <w:szCs w:val="24"/>
          <w:highlight w:val="none"/>
        </w:rPr>
        <w:fldChar w:fldCharType="separate"/>
      </w:r>
      <w:r>
        <w:rPr>
          <w:rFonts w:hint="eastAsia"/>
          <w:bCs/>
          <w:highlight w:val="none"/>
        </w:rPr>
        <w:t>第三部分  供应商须知</w:t>
      </w:r>
      <w:r>
        <w:tab/>
      </w:r>
      <w:r>
        <w:fldChar w:fldCharType="begin"/>
      </w:r>
      <w:r>
        <w:instrText xml:space="preserve"> PAGEREF _Toc17595 \h </w:instrText>
      </w:r>
      <w:r>
        <w:fldChar w:fldCharType="separate"/>
      </w:r>
      <w:r>
        <w:t>10</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_Toc9083 </w:instrText>
      </w:r>
      <w:r>
        <w:rPr>
          <w:rFonts w:hint="eastAsia" w:ascii="宋体" w:hAnsi="宋体"/>
          <w:bCs w:val="0"/>
          <w:kern w:val="28"/>
          <w:szCs w:val="24"/>
          <w:highlight w:val="none"/>
        </w:rPr>
        <w:fldChar w:fldCharType="separate"/>
      </w:r>
      <w:r>
        <w:rPr>
          <w:rFonts w:hint="eastAsia"/>
          <w:bCs/>
          <w:szCs w:val="36"/>
          <w:highlight w:val="none"/>
        </w:rPr>
        <w:t>一、说  明</w:t>
      </w:r>
      <w:r>
        <w:tab/>
      </w:r>
      <w:r>
        <w:fldChar w:fldCharType="begin"/>
      </w:r>
      <w:r>
        <w:instrText xml:space="preserve"> PAGEREF _Toc9083 \h </w:instrText>
      </w:r>
      <w:r>
        <w:fldChar w:fldCharType="separate"/>
      </w:r>
      <w:r>
        <w:t>10</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_Toc22585 </w:instrText>
      </w:r>
      <w:r>
        <w:rPr>
          <w:rFonts w:hint="eastAsia" w:ascii="宋体" w:hAnsi="宋体"/>
          <w:bCs w:val="0"/>
          <w:kern w:val="28"/>
          <w:szCs w:val="24"/>
          <w:highlight w:val="none"/>
        </w:rPr>
        <w:fldChar w:fldCharType="separate"/>
      </w:r>
      <w:r>
        <w:rPr>
          <w:rFonts w:hint="eastAsia"/>
          <w:bCs/>
          <w:szCs w:val="36"/>
          <w:highlight w:val="none"/>
        </w:rPr>
        <w:t>二、磋商文件说明</w:t>
      </w:r>
      <w:r>
        <w:tab/>
      </w:r>
      <w:r>
        <w:fldChar w:fldCharType="begin"/>
      </w:r>
      <w:r>
        <w:instrText xml:space="preserve"> PAGEREF _Toc22585 \h </w:instrText>
      </w:r>
      <w:r>
        <w:fldChar w:fldCharType="separate"/>
      </w:r>
      <w:r>
        <w:t>11</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_Toc20147 </w:instrText>
      </w:r>
      <w:r>
        <w:rPr>
          <w:rFonts w:hint="eastAsia" w:ascii="宋体" w:hAnsi="宋体"/>
          <w:bCs w:val="0"/>
          <w:kern w:val="28"/>
          <w:szCs w:val="24"/>
          <w:highlight w:val="none"/>
        </w:rPr>
        <w:fldChar w:fldCharType="separate"/>
      </w:r>
      <w:r>
        <w:rPr>
          <w:rFonts w:hint="eastAsia"/>
          <w:bCs/>
          <w:szCs w:val="36"/>
          <w:highlight w:val="none"/>
        </w:rPr>
        <w:t>三、响应文件的编制</w:t>
      </w:r>
      <w:r>
        <w:tab/>
      </w:r>
      <w:r>
        <w:fldChar w:fldCharType="begin"/>
      </w:r>
      <w:r>
        <w:instrText xml:space="preserve"> PAGEREF _Toc20147 \h </w:instrText>
      </w:r>
      <w:r>
        <w:fldChar w:fldCharType="separate"/>
      </w:r>
      <w:r>
        <w:t>12</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_Toc22035 </w:instrText>
      </w:r>
      <w:r>
        <w:rPr>
          <w:rFonts w:hint="eastAsia" w:ascii="宋体" w:hAnsi="宋体"/>
          <w:bCs w:val="0"/>
          <w:kern w:val="28"/>
          <w:szCs w:val="24"/>
          <w:highlight w:val="none"/>
        </w:rPr>
        <w:fldChar w:fldCharType="separate"/>
      </w:r>
      <w:r>
        <w:rPr>
          <w:rFonts w:hint="eastAsia"/>
          <w:bCs/>
          <w:szCs w:val="36"/>
          <w:highlight w:val="none"/>
        </w:rPr>
        <w:t>四、响应文件的递交</w:t>
      </w:r>
      <w:r>
        <w:tab/>
      </w:r>
      <w:r>
        <w:fldChar w:fldCharType="begin"/>
      </w:r>
      <w:r>
        <w:instrText xml:space="preserve"> PAGEREF _Toc22035 \h </w:instrText>
      </w:r>
      <w:r>
        <w:fldChar w:fldCharType="separate"/>
      </w:r>
      <w:r>
        <w:t>15</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_Toc17588 </w:instrText>
      </w:r>
      <w:r>
        <w:rPr>
          <w:rFonts w:hint="eastAsia" w:ascii="宋体" w:hAnsi="宋体"/>
          <w:bCs w:val="0"/>
          <w:kern w:val="28"/>
          <w:szCs w:val="24"/>
          <w:highlight w:val="none"/>
        </w:rPr>
        <w:fldChar w:fldCharType="separate"/>
      </w:r>
      <w:r>
        <w:rPr>
          <w:rFonts w:hint="eastAsia"/>
          <w:bCs/>
          <w:szCs w:val="36"/>
          <w:highlight w:val="none"/>
        </w:rPr>
        <w:t>五、磋商过程</w:t>
      </w:r>
      <w:r>
        <w:tab/>
      </w:r>
      <w:r>
        <w:fldChar w:fldCharType="begin"/>
      </w:r>
      <w:r>
        <w:instrText xml:space="preserve"> PAGEREF _Toc17588 \h </w:instrText>
      </w:r>
      <w:r>
        <w:fldChar w:fldCharType="separate"/>
      </w:r>
      <w:r>
        <w:t>15</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_Toc23294 </w:instrText>
      </w:r>
      <w:r>
        <w:rPr>
          <w:rFonts w:hint="eastAsia" w:ascii="宋体" w:hAnsi="宋体"/>
          <w:bCs w:val="0"/>
          <w:kern w:val="28"/>
          <w:szCs w:val="24"/>
          <w:highlight w:val="none"/>
        </w:rPr>
        <w:fldChar w:fldCharType="separate"/>
      </w:r>
      <w:r>
        <w:rPr>
          <w:rFonts w:hint="eastAsia"/>
          <w:bCs/>
          <w:szCs w:val="36"/>
          <w:highlight w:val="none"/>
        </w:rPr>
        <w:t>六、磋商程序及方法</w:t>
      </w:r>
      <w:r>
        <w:tab/>
      </w:r>
      <w:r>
        <w:fldChar w:fldCharType="begin"/>
      </w:r>
      <w:r>
        <w:instrText xml:space="preserve"> PAGEREF _Toc23294 \h </w:instrText>
      </w:r>
      <w:r>
        <w:fldChar w:fldCharType="separate"/>
      </w:r>
      <w:r>
        <w:t>16</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_Toc24654 </w:instrText>
      </w:r>
      <w:r>
        <w:rPr>
          <w:rFonts w:hint="eastAsia" w:ascii="宋体" w:hAnsi="宋体"/>
          <w:bCs w:val="0"/>
          <w:kern w:val="28"/>
          <w:szCs w:val="24"/>
          <w:highlight w:val="none"/>
        </w:rPr>
        <w:fldChar w:fldCharType="separate"/>
      </w:r>
      <w:r>
        <w:rPr>
          <w:rFonts w:hint="eastAsia"/>
          <w:bCs/>
          <w:szCs w:val="36"/>
          <w:highlight w:val="none"/>
        </w:rPr>
        <w:t>七、确定成交供应商</w:t>
      </w:r>
      <w:r>
        <w:tab/>
      </w:r>
      <w:r>
        <w:fldChar w:fldCharType="begin"/>
      </w:r>
      <w:r>
        <w:instrText xml:space="preserve"> PAGEREF _Toc24654 \h </w:instrText>
      </w:r>
      <w:r>
        <w:fldChar w:fldCharType="separate"/>
      </w:r>
      <w:r>
        <w:t>20</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_Toc27592 </w:instrText>
      </w:r>
      <w:r>
        <w:rPr>
          <w:rFonts w:hint="eastAsia" w:ascii="宋体" w:hAnsi="宋体"/>
          <w:bCs w:val="0"/>
          <w:kern w:val="28"/>
          <w:szCs w:val="24"/>
          <w:highlight w:val="none"/>
        </w:rPr>
        <w:fldChar w:fldCharType="separate"/>
      </w:r>
      <w:r>
        <w:rPr>
          <w:rFonts w:hint="eastAsia"/>
          <w:bCs/>
          <w:szCs w:val="36"/>
          <w:highlight w:val="none"/>
        </w:rPr>
        <w:t>八、授予合同</w:t>
      </w:r>
      <w:r>
        <w:tab/>
      </w:r>
      <w:r>
        <w:fldChar w:fldCharType="begin"/>
      </w:r>
      <w:r>
        <w:instrText xml:space="preserve"> PAGEREF _Toc27592 \h </w:instrText>
      </w:r>
      <w:r>
        <w:fldChar w:fldCharType="separate"/>
      </w:r>
      <w:r>
        <w:t>21</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_Toc23368 </w:instrText>
      </w:r>
      <w:r>
        <w:rPr>
          <w:rFonts w:hint="eastAsia" w:ascii="宋体" w:hAnsi="宋体"/>
          <w:bCs w:val="0"/>
          <w:kern w:val="28"/>
          <w:szCs w:val="24"/>
          <w:highlight w:val="none"/>
        </w:rPr>
        <w:fldChar w:fldCharType="separate"/>
      </w:r>
      <w:r>
        <w:rPr>
          <w:rFonts w:hint="eastAsia"/>
          <w:bCs/>
          <w:szCs w:val="36"/>
          <w:highlight w:val="none"/>
        </w:rPr>
        <w:t>九、磋商活动终止</w:t>
      </w:r>
      <w:r>
        <w:tab/>
      </w:r>
      <w:r>
        <w:fldChar w:fldCharType="begin"/>
      </w:r>
      <w:r>
        <w:instrText xml:space="preserve"> PAGEREF _Toc23368 \h </w:instrText>
      </w:r>
      <w:r>
        <w:fldChar w:fldCharType="separate"/>
      </w:r>
      <w:r>
        <w:t>21</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_Toc27246 </w:instrText>
      </w:r>
      <w:r>
        <w:rPr>
          <w:rFonts w:hint="eastAsia" w:ascii="宋体" w:hAnsi="宋体"/>
          <w:bCs w:val="0"/>
          <w:kern w:val="28"/>
          <w:szCs w:val="24"/>
          <w:highlight w:val="none"/>
        </w:rPr>
        <w:fldChar w:fldCharType="separate"/>
      </w:r>
      <w:r>
        <w:rPr>
          <w:rFonts w:hint="eastAsia"/>
          <w:bCs/>
          <w:szCs w:val="36"/>
          <w:highlight w:val="none"/>
        </w:rPr>
        <w:t>十、处罚</w:t>
      </w:r>
      <w:r>
        <w:tab/>
      </w:r>
      <w:r>
        <w:fldChar w:fldCharType="begin"/>
      </w:r>
      <w:r>
        <w:instrText xml:space="preserve"> PAGEREF _Toc27246 \h </w:instrText>
      </w:r>
      <w:r>
        <w:fldChar w:fldCharType="separate"/>
      </w:r>
      <w:r>
        <w:t>21</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_Toc10683 </w:instrText>
      </w:r>
      <w:r>
        <w:rPr>
          <w:rFonts w:hint="eastAsia" w:ascii="宋体" w:hAnsi="宋体"/>
          <w:bCs w:val="0"/>
          <w:kern w:val="28"/>
          <w:szCs w:val="24"/>
          <w:highlight w:val="none"/>
        </w:rPr>
        <w:fldChar w:fldCharType="separate"/>
      </w:r>
      <w:r>
        <w:rPr>
          <w:rFonts w:hint="eastAsia"/>
          <w:bCs/>
          <w:szCs w:val="36"/>
          <w:highlight w:val="none"/>
        </w:rPr>
        <w:t>十一、其他</w:t>
      </w:r>
      <w:r>
        <w:tab/>
      </w:r>
      <w:r>
        <w:fldChar w:fldCharType="begin"/>
      </w:r>
      <w:r>
        <w:instrText xml:space="preserve"> PAGEREF _Toc10683 \h </w:instrText>
      </w:r>
      <w:r>
        <w:fldChar w:fldCharType="separate"/>
      </w:r>
      <w:r>
        <w:t>22</w:t>
      </w:r>
      <w:r>
        <w:fldChar w:fldCharType="end"/>
      </w:r>
      <w:r>
        <w:rPr>
          <w:rFonts w:hint="eastAsia" w:ascii="宋体" w:hAnsi="宋体"/>
          <w:bCs w:val="0"/>
          <w:kern w:val="28"/>
          <w:szCs w:val="24"/>
          <w:highlight w:val="none"/>
        </w:rPr>
        <w:fldChar w:fldCharType="end"/>
      </w:r>
    </w:p>
    <w:p>
      <w:pPr>
        <w:pStyle w:val="45"/>
        <w:tabs>
          <w:tab w:val="right" w:leader="dot" w:pos="8244"/>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_Toc21638 </w:instrText>
      </w:r>
      <w:r>
        <w:rPr>
          <w:rFonts w:hint="eastAsia" w:ascii="宋体" w:hAnsi="宋体"/>
          <w:bCs w:val="0"/>
          <w:kern w:val="28"/>
          <w:szCs w:val="24"/>
          <w:highlight w:val="none"/>
        </w:rPr>
        <w:fldChar w:fldCharType="separate"/>
      </w:r>
      <w:r>
        <w:rPr>
          <w:rFonts w:hint="eastAsia"/>
          <w:highlight w:val="none"/>
        </w:rPr>
        <w:t>第四部分  合同条款及格式</w:t>
      </w:r>
      <w:r>
        <w:tab/>
      </w:r>
      <w:r>
        <w:fldChar w:fldCharType="begin"/>
      </w:r>
      <w:r>
        <w:instrText xml:space="preserve"> PAGEREF _Toc21638 \h </w:instrText>
      </w:r>
      <w:r>
        <w:fldChar w:fldCharType="separate"/>
      </w:r>
      <w:r>
        <w:t>23</w:t>
      </w:r>
      <w:r>
        <w:fldChar w:fldCharType="end"/>
      </w:r>
      <w:r>
        <w:rPr>
          <w:rFonts w:hint="eastAsia" w:ascii="宋体" w:hAnsi="宋体"/>
          <w:bCs w:val="0"/>
          <w:kern w:val="28"/>
          <w:szCs w:val="24"/>
          <w:highlight w:val="none"/>
        </w:rPr>
        <w:fldChar w:fldCharType="end"/>
      </w:r>
    </w:p>
    <w:p>
      <w:pPr>
        <w:pStyle w:val="36"/>
        <w:tabs>
          <w:tab w:val="right" w:leader="dot" w:pos="8244"/>
          <w:tab w:val="clear" w:pos="8777"/>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_Toc19774 </w:instrText>
      </w:r>
      <w:r>
        <w:rPr>
          <w:rFonts w:hint="eastAsia" w:ascii="宋体" w:hAnsi="宋体"/>
          <w:bCs w:val="0"/>
          <w:kern w:val="28"/>
          <w:szCs w:val="24"/>
          <w:highlight w:val="none"/>
        </w:rPr>
        <w:fldChar w:fldCharType="separate"/>
      </w:r>
      <w:r>
        <w:rPr>
          <w:rFonts w:hint="eastAsia" w:ascii="宋体" w:hAnsi="宋体" w:cs="宋体"/>
          <w:szCs w:val="30"/>
        </w:rPr>
        <w:t>第一节    通用合同条款</w:t>
      </w:r>
      <w:r>
        <w:tab/>
      </w:r>
      <w:r>
        <w:fldChar w:fldCharType="begin"/>
      </w:r>
      <w:r>
        <w:instrText xml:space="preserve"> PAGEREF _Toc19774 \h </w:instrText>
      </w:r>
      <w:r>
        <w:fldChar w:fldCharType="separate"/>
      </w:r>
      <w:r>
        <w:t>24</w:t>
      </w:r>
      <w:r>
        <w:fldChar w:fldCharType="end"/>
      </w:r>
      <w:r>
        <w:rPr>
          <w:rFonts w:hint="eastAsia" w:ascii="宋体" w:hAnsi="宋体"/>
          <w:bCs w:val="0"/>
          <w:kern w:val="28"/>
          <w:szCs w:val="24"/>
          <w:highlight w:val="none"/>
        </w:rPr>
        <w:fldChar w:fldCharType="end"/>
      </w:r>
    </w:p>
    <w:p>
      <w:pPr>
        <w:pStyle w:val="36"/>
        <w:tabs>
          <w:tab w:val="right" w:leader="dot" w:pos="8244"/>
          <w:tab w:val="clear" w:pos="8777"/>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_Toc7745 </w:instrText>
      </w:r>
      <w:r>
        <w:rPr>
          <w:rFonts w:hint="eastAsia" w:ascii="宋体" w:hAnsi="宋体"/>
          <w:bCs w:val="0"/>
          <w:kern w:val="28"/>
          <w:szCs w:val="24"/>
          <w:highlight w:val="none"/>
        </w:rPr>
        <w:fldChar w:fldCharType="separate"/>
      </w:r>
      <w:r>
        <w:rPr>
          <w:rFonts w:hint="eastAsia" w:ascii="宋体" w:hAnsi="宋体" w:cs="宋体"/>
          <w:szCs w:val="30"/>
        </w:rPr>
        <w:t>第</w:t>
      </w:r>
      <w:r>
        <w:rPr>
          <w:rFonts w:hint="eastAsia" w:ascii="宋体" w:hAnsi="宋体" w:cs="宋体"/>
          <w:szCs w:val="30"/>
          <w:lang w:val="en-US" w:eastAsia="zh-CN"/>
        </w:rPr>
        <w:t>二</w:t>
      </w:r>
      <w:r>
        <w:rPr>
          <w:rFonts w:hint="eastAsia" w:ascii="宋体" w:hAnsi="宋体" w:cs="宋体"/>
          <w:szCs w:val="30"/>
        </w:rPr>
        <w:t>节　专用合同条款</w:t>
      </w:r>
      <w:r>
        <w:tab/>
      </w:r>
      <w:r>
        <w:fldChar w:fldCharType="begin"/>
      </w:r>
      <w:r>
        <w:instrText xml:space="preserve"> PAGEREF _Toc7745 \h </w:instrText>
      </w:r>
      <w:r>
        <w:fldChar w:fldCharType="separate"/>
      </w:r>
      <w:r>
        <w:t>66</w:t>
      </w:r>
      <w:r>
        <w:fldChar w:fldCharType="end"/>
      </w:r>
      <w:r>
        <w:rPr>
          <w:rFonts w:hint="eastAsia" w:ascii="宋体" w:hAnsi="宋体"/>
          <w:bCs w:val="0"/>
          <w:kern w:val="28"/>
          <w:szCs w:val="24"/>
          <w:highlight w:val="none"/>
        </w:rPr>
        <w:fldChar w:fldCharType="end"/>
      </w:r>
    </w:p>
    <w:p>
      <w:pPr>
        <w:pStyle w:val="36"/>
        <w:tabs>
          <w:tab w:val="right" w:leader="dot" w:pos="8244"/>
          <w:tab w:val="clear" w:pos="8777"/>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_Toc18021 </w:instrText>
      </w:r>
      <w:r>
        <w:rPr>
          <w:rFonts w:hint="eastAsia" w:ascii="宋体" w:hAnsi="宋体"/>
          <w:bCs w:val="0"/>
          <w:kern w:val="28"/>
          <w:szCs w:val="24"/>
          <w:highlight w:val="none"/>
        </w:rPr>
        <w:fldChar w:fldCharType="separate"/>
      </w:r>
      <w:r>
        <w:rPr>
          <w:rFonts w:hint="eastAsia" w:ascii="宋体" w:hAnsi="宋体" w:cs="宋体"/>
          <w:szCs w:val="30"/>
        </w:rPr>
        <w:t>第</w:t>
      </w:r>
      <w:r>
        <w:rPr>
          <w:rFonts w:hint="eastAsia" w:ascii="宋体" w:hAnsi="宋体" w:cs="宋体"/>
          <w:szCs w:val="30"/>
          <w:lang w:val="en-US" w:eastAsia="zh-CN"/>
        </w:rPr>
        <w:t>三</w:t>
      </w:r>
      <w:r>
        <w:rPr>
          <w:rFonts w:hint="eastAsia" w:ascii="宋体" w:hAnsi="宋体" w:cs="宋体"/>
          <w:szCs w:val="30"/>
        </w:rPr>
        <w:t>节　合同附件格式</w:t>
      </w:r>
      <w:r>
        <w:tab/>
      </w:r>
      <w:r>
        <w:fldChar w:fldCharType="begin"/>
      </w:r>
      <w:r>
        <w:instrText xml:space="preserve"> PAGEREF _Toc18021 \h </w:instrText>
      </w:r>
      <w:r>
        <w:fldChar w:fldCharType="separate"/>
      </w:r>
      <w:r>
        <w:t>74</w:t>
      </w:r>
      <w:r>
        <w:fldChar w:fldCharType="end"/>
      </w:r>
      <w:r>
        <w:rPr>
          <w:rFonts w:hint="eastAsia" w:ascii="宋体" w:hAnsi="宋体"/>
          <w:bCs w:val="0"/>
          <w:kern w:val="28"/>
          <w:szCs w:val="24"/>
          <w:highlight w:val="none"/>
        </w:rPr>
        <w:fldChar w:fldCharType="end"/>
      </w:r>
    </w:p>
    <w:p>
      <w:pPr>
        <w:pStyle w:val="45"/>
        <w:tabs>
          <w:tab w:val="right" w:leader="dot" w:pos="8244"/>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_Toc22111 </w:instrText>
      </w:r>
      <w:r>
        <w:rPr>
          <w:rFonts w:hint="eastAsia" w:ascii="宋体" w:hAnsi="宋体"/>
          <w:bCs w:val="0"/>
          <w:kern w:val="28"/>
          <w:szCs w:val="24"/>
          <w:highlight w:val="none"/>
        </w:rPr>
        <w:fldChar w:fldCharType="separate"/>
      </w:r>
      <w:r>
        <w:rPr>
          <w:rFonts w:hint="eastAsia"/>
          <w:bCs/>
          <w:highlight w:val="none"/>
        </w:rPr>
        <w:t>第五部分  工程量清单</w:t>
      </w:r>
      <w:r>
        <w:tab/>
      </w:r>
      <w:r>
        <w:fldChar w:fldCharType="begin"/>
      </w:r>
      <w:r>
        <w:instrText xml:space="preserve"> PAGEREF _Toc22111 \h </w:instrText>
      </w:r>
      <w:r>
        <w:fldChar w:fldCharType="separate"/>
      </w:r>
      <w:r>
        <w:t>75</w:t>
      </w:r>
      <w:r>
        <w:fldChar w:fldCharType="end"/>
      </w:r>
      <w:r>
        <w:rPr>
          <w:rFonts w:hint="eastAsia" w:ascii="宋体" w:hAnsi="宋体"/>
          <w:bCs w:val="0"/>
          <w:kern w:val="28"/>
          <w:szCs w:val="24"/>
          <w:highlight w:val="none"/>
        </w:rPr>
        <w:fldChar w:fldCharType="end"/>
      </w:r>
    </w:p>
    <w:p>
      <w:pPr>
        <w:pStyle w:val="45"/>
        <w:tabs>
          <w:tab w:val="right" w:leader="dot" w:pos="8244"/>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_Toc25277 </w:instrText>
      </w:r>
      <w:r>
        <w:rPr>
          <w:rFonts w:hint="eastAsia" w:ascii="宋体" w:hAnsi="宋体"/>
          <w:bCs w:val="0"/>
          <w:kern w:val="28"/>
          <w:szCs w:val="24"/>
          <w:highlight w:val="none"/>
        </w:rPr>
        <w:fldChar w:fldCharType="separate"/>
      </w:r>
      <w:r>
        <w:rPr>
          <w:rFonts w:hint="eastAsia"/>
          <w:bCs/>
          <w:highlight w:val="none"/>
        </w:rPr>
        <w:t>第</w:t>
      </w:r>
      <w:r>
        <w:rPr>
          <w:rFonts w:hint="eastAsia"/>
          <w:bCs/>
          <w:highlight w:val="none"/>
          <w:lang w:val="en-US" w:eastAsia="zh-CN"/>
        </w:rPr>
        <w:t>六</w:t>
      </w:r>
      <w:r>
        <w:rPr>
          <w:rFonts w:hint="eastAsia"/>
          <w:bCs/>
          <w:highlight w:val="none"/>
        </w:rPr>
        <w:t>部分  采购项目要求</w:t>
      </w:r>
      <w:r>
        <w:tab/>
      </w:r>
      <w:r>
        <w:fldChar w:fldCharType="begin"/>
      </w:r>
      <w:r>
        <w:instrText xml:space="preserve"> PAGEREF _Toc25277 \h </w:instrText>
      </w:r>
      <w:r>
        <w:fldChar w:fldCharType="separate"/>
      </w:r>
      <w:r>
        <w:t>78</w:t>
      </w:r>
      <w:r>
        <w:fldChar w:fldCharType="end"/>
      </w:r>
      <w:r>
        <w:rPr>
          <w:rFonts w:hint="eastAsia" w:ascii="宋体" w:hAnsi="宋体"/>
          <w:bCs w:val="0"/>
          <w:kern w:val="28"/>
          <w:szCs w:val="24"/>
          <w:highlight w:val="none"/>
        </w:rPr>
        <w:fldChar w:fldCharType="end"/>
      </w:r>
    </w:p>
    <w:p>
      <w:pPr>
        <w:pStyle w:val="36"/>
        <w:tabs>
          <w:tab w:val="right" w:leader="dot" w:pos="8244"/>
          <w:tab w:val="clear" w:pos="8777"/>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_Toc8456 </w:instrText>
      </w:r>
      <w:r>
        <w:rPr>
          <w:rFonts w:hint="eastAsia" w:ascii="宋体" w:hAnsi="宋体"/>
          <w:bCs w:val="0"/>
          <w:kern w:val="28"/>
          <w:szCs w:val="24"/>
          <w:highlight w:val="none"/>
        </w:rPr>
        <w:fldChar w:fldCharType="separate"/>
      </w:r>
      <w:r>
        <w:rPr>
          <w:rFonts w:hint="eastAsia"/>
          <w:bCs/>
          <w:szCs w:val="28"/>
          <w:highlight w:val="none"/>
        </w:rPr>
        <w:t>一、磋商内容</w:t>
      </w:r>
      <w:r>
        <w:tab/>
      </w:r>
      <w:r>
        <w:fldChar w:fldCharType="begin"/>
      </w:r>
      <w:r>
        <w:instrText xml:space="preserve"> PAGEREF _Toc8456 \h </w:instrText>
      </w:r>
      <w:r>
        <w:fldChar w:fldCharType="separate"/>
      </w:r>
      <w:r>
        <w:t>78</w:t>
      </w:r>
      <w:r>
        <w:fldChar w:fldCharType="end"/>
      </w:r>
      <w:r>
        <w:rPr>
          <w:rFonts w:hint="eastAsia" w:ascii="宋体" w:hAnsi="宋体"/>
          <w:bCs w:val="0"/>
          <w:kern w:val="28"/>
          <w:szCs w:val="24"/>
          <w:highlight w:val="none"/>
        </w:rPr>
        <w:fldChar w:fldCharType="end"/>
      </w:r>
    </w:p>
    <w:p>
      <w:pPr>
        <w:pStyle w:val="36"/>
        <w:tabs>
          <w:tab w:val="right" w:leader="dot" w:pos="8244"/>
          <w:tab w:val="clear" w:pos="8777"/>
        </w:tabs>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_Toc25199 </w:instrText>
      </w:r>
      <w:r>
        <w:rPr>
          <w:rFonts w:hint="eastAsia" w:ascii="宋体" w:hAnsi="宋体"/>
          <w:bCs w:val="0"/>
          <w:kern w:val="28"/>
          <w:szCs w:val="24"/>
          <w:highlight w:val="none"/>
        </w:rPr>
        <w:fldChar w:fldCharType="separate"/>
      </w:r>
      <w:r>
        <w:rPr>
          <w:rFonts w:hint="eastAsia"/>
          <w:bCs/>
          <w:szCs w:val="28"/>
          <w:highlight w:val="none"/>
        </w:rPr>
        <w:t>二、磋商报价说明</w:t>
      </w:r>
      <w:r>
        <w:tab/>
      </w:r>
      <w:r>
        <w:fldChar w:fldCharType="begin"/>
      </w:r>
      <w:r>
        <w:instrText xml:space="preserve"> PAGEREF _Toc25199 \h </w:instrText>
      </w:r>
      <w:r>
        <w:fldChar w:fldCharType="separate"/>
      </w:r>
      <w:r>
        <w:t>78</w:t>
      </w:r>
      <w:r>
        <w:fldChar w:fldCharType="end"/>
      </w:r>
      <w:r>
        <w:rPr>
          <w:rFonts w:hint="eastAsia" w:ascii="宋体" w:hAnsi="宋体"/>
          <w:bCs w:val="0"/>
          <w:kern w:val="28"/>
          <w:szCs w:val="24"/>
          <w:highlight w:val="none"/>
        </w:rPr>
        <w:fldChar w:fldCharType="end"/>
      </w:r>
    </w:p>
    <w:p>
      <w:pPr>
        <w:pStyle w:val="36"/>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_Toc2710 </w:instrText>
      </w:r>
      <w:r>
        <w:rPr>
          <w:rFonts w:hint="eastAsia" w:ascii="宋体" w:hAnsi="宋体"/>
          <w:bCs w:val="0"/>
          <w:kern w:val="28"/>
          <w:szCs w:val="24"/>
          <w:highlight w:val="none"/>
        </w:rPr>
        <w:fldChar w:fldCharType="separate"/>
      </w:r>
      <w:r>
        <w:rPr>
          <w:rFonts w:hint="eastAsia"/>
          <w:bCs/>
          <w:szCs w:val="28"/>
          <w:highlight w:val="none"/>
        </w:rPr>
        <w:t>三、技术标准和要求</w:t>
      </w:r>
      <w:r>
        <w:tab/>
      </w:r>
      <w:r>
        <w:fldChar w:fldCharType="begin"/>
      </w:r>
      <w:r>
        <w:instrText xml:space="preserve"> PAGEREF _Toc2710 \h </w:instrText>
      </w:r>
      <w:r>
        <w:fldChar w:fldCharType="separate"/>
      </w:r>
      <w:r>
        <w:t>78</w:t>
      </w:r>
      <w:r>
        <w:fldChar w:fldCharType="end"/>
      </w:r>
      <w:r>
        <w:rPr>
          <w:rFonts w:hint="eastAsia" w:ascii="宋体" w:hAnsi="宋体"/>
          <w:bCs w:val="0"/>
          <w:kern w:val="28"/>
          <w:szCs w:val="24"/>
          <w:highlight w:val="none"/>
        </w:rPr>
        <w:fldChar w:fldCharType="end"/>
      </w:r>
    </w:p>
    <w:p>
      <w:pPr>
        <w:pStyle w:val="45"/>
        <w:tabs>
          <w:tab w:val="right" w:leader="dot" w:pos="8244"/>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_Toc27005 </w:instrText>
      </w:r>
      <w:r>
        <w:rPr>
          <w:rFonts w:hint="eastAsia" w:ascii="宋体" w:hAnsi="宋体"/>
          <w:bCs w:val="0"/>
          <w:kern w:val="28"/>
          <w:szCs w:val="24"/>
          <w:highlight w:val="none"/>
        </w:rPr>
        <w:fldChar w:fldCharType="separate"/>
      </w:r>
      <w:r>
        <w:rPr>
          <w:rFonts w:hint="eastAsia"/>
          <w:bCs/>
          <w:highlight w:val="none"/>
        </w:rPr>
        <w:t>第</w:t>
      </w:r>
      <w:r>
        <w:rPr>
          <w:rFonts w:hint="eastAsia"/>
          <w:bCs/>
          <w:highlight w:val="none"/>
          <w:lang w:val="en-US" w:eastAsia="zh-CN"/>
        </w:rPr>
        <w:t>七</w:t>
      </w:r>
      <w:r>
        <w:rPr>
          <w:rFonts w:hint="eastAsia"/>
          <w:bCs/>
          <w:highlight w:val="none"/>
        </w:rPr>
        <w:t>部分  响应文件格式</w:t>
      </w:r>
      <w:r>
        <w:tab/>
      </w:r>
      <w:r>
        <w:fldChar w:fldCharType="begin"/>
      </w:r>
      <w:r>
        <w:instrText xml:space="preserve"> PAGEREF _Toc27005 \h </w:instrText>
      </w:r>
      <w:r>
        <w:fldChar w:fldCharType="separate"/>
      </w:r>
      <w:r>
        <w:t>79</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_Toc12645 </w:instrText>
      </w:r>
      <w:r>
        <w:rPr>
          <w:rFonts w:hint="eastAsia" w:ascii="宋体" w:hAnsi="宋体"/>
          <w:bCs w:val="0"/>
          <w:kern w:val="28"/>
          <w:szCs w:val="24"/>
          <w:highlight w:val="none"/>
        </w:rPr>
        <w:fldChar w:fldCharType="separate"/>
      </w:r>
      <w:r>
        <w:rPr>
          <w:rFonts w:hint="eastAsia"/>
          <w:szCs w:val="28"/>
          <w:highlight w:val="none"/>
        </w:rPr>
        <w:t>附件1：响应文件封面</w:t>
      </w:r>
      <w:r>
        <w:tab/>
      </w:r>
      <w:r>
        <w:fldChar w:fldCharType="begin"/>
      </w:r>
      <w:r>
        <w:instrText xml:space="preserve"> PAGEREF _Toc12645 \h </w:instrText>
      </w:r>
      <w:r>
        <w:fldChar w:fldCharType="separate"/>
      </w:r>
      <w:r>
        <w:t>80</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_Toc11200 </w:instrText>
      </w:r>
      <w:r>
        <w:rPr>
          <w:rFonts w:hint="eastAsia" w:ascii="宋体" w:hAnsi="宋体"/>
          <w:bCs w:val="0"/>
          <w:kern w:val="28"/>
          <w:szCs w:val="24"/>
          <w:highlight w:val="none"/>
        </w:rPr>
        <w:fldChar w:fldCharType="separate"/>
      </w:r>
      <w:r>
        <w:rPr>
          <w:rFonts w:hint="eastAsia"/>
          <w:szCs w:val="28"/>
          <w:highlight w:val="none"/>
        </w:rPr>
        <w:t>附件2：响应文件目录</w:t>
      </w:r>
      <w:r>
        <w:tab/>
      </w:r>
      <w:r>
        <w:fldChar w:fldCharType="begin"/>
      </w:r>
      <w:r>
        <w:instrText xml:space="preserve"> PAGEREF _Toc11200 \h </w:instrText>
      </w:r>
      <w:r>
        <w:fldChar w:fldCharType="separate"/>
      </w:r>
      <w:r>
        <w:t>81</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_Toc1705 </w:instrText>
      </w:r>
      <w:r>
        <w:rPr>
          <w:rFonts w:hint="eastAsia" w:ascii="宋体" w:hAnsi="宋体"/>
          <w:bCs w:val="0"/>
          <w:kern w:val="28"/>
          <w:szCs w:val="24"/>
          <w:highlight w:val="none"/>
        </w:rPr>
        <w:fldChar w:fldCharType="separate"/>
      </w:r>
      <w:r>
        <w:rPr>
          <w:rFonts w:hint="eastAsia"/>
          <w:szCs w:val="28"/>
          <w:highlight w:val="none"/>
        </w:rPr>
        <w:t>附件3：</w:t>
      </w:r>
      <w:r>
        <w:rPr>
          <w:rFonts w:hint="eastAsia"/>
          <w:szCs w:val="28"/>
          <w:highlight w:val="none"/>
          <w:lang w:eastAsia="zh-CN"/>
        </w:rPr>
        <w:t>磋商函及磋商首次报价表</w:t>
      </w:r>
      <w:r>
        <w:tab/>
      </w:r>
      <w:r>
        <w:fldChar w:fldCharType="begin"/>
      </w:r>
      <w:r>
        <w:instrText xml:space="preserve"> PAGEREF _Toc1705 \h </w:instrText>
      </w:r>
      <w:r>
        <w:fldChar w:fldCharType="separate"/>
      </w:r>
      <w:r>
        <w:t>82</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_Toc6002 </w:instrText>
      </w:r>
      <w:r>
        <w:rPr>
          <w:rFonts w:hint="eastAsia" w:ascii="宋体" w:hAnsi="宋体"/>
          <w:bCs w:val="0"/>
          <w:kern w:val="28"/>
          <w:szCs w:val="24"/>
          <w:highlight w:val="none"/>
        </w:rPr>
        <w:fldChar w:fldCharType="separate"/>
      </w:r>
      <w:r>
        <w:rPr>
          <w:rFonts w:hint="eastAsia"/>
          <w:szCs w:val="28"/>
          <w:highlight w:val="none"/>
        </w:rPr>
        <w:t>附件4：法定代表人证明书</w:t>
      </w:r>
      <w:r>
        <w:tab/>
      </w:r>
      <w:r>
        <w:fldChar w:fldCharType="begin"/>
      </w:r>
      <w:r>
        <w:instrText xml:space="preserve"> PAGEREF _Toc6002 \h </w:instrText>
      </w:r>
      <w:r>
        <w:fldChar w:fldCharType="separate"/>
      </w:r>
      <w:r>
        <w:t>84</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_Toc16954 </w:instrText>
      </w:r>
      <w:r>
        <w:rPr>
          <w:rFonts w:hint="eastAsia" w:ascii="宋体" w:hAnsi="宋体"/>
          <w:bCs w:val="0"/>
          <w:kern w:val="28"/>
          <w:szCs w:val="24"/>
          <w:highlight w:val="none"/>
        </w:rPr>
        <w:fldChar w:fldCharType="separate"/>
      </w:r>
      <w:r>
        <w:rPr>
          <w:rFonts w:hint="eastAsia"/>
          <w:szCs w:val="28"/>
          <w:highlight w:val="none"/>
        </w:rPr>
        <w:t>附件5：法定代表人授权书</w:t>
      </w:r>
      <w:r>
        <w:tab/>
      </w:r>
      <w:r>
        <w:fldChar w:fldCharType="begin"/>
      </w:r>
      <w:r>
        <w:instrText xml:space="preserve"> PAGEREF _Toc16954 \h </w:instrText>
      </w:r>
      <w:r>
        <w:fldChar w:fldCharType="separate"/>
      </w:r>
      <w:r>
        <w:t>85</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_Toc9579 </w:instrText>
      </w:r>
      <w:r>
        <w:rPr>
          <w:rFonts w:hint="eastAsia" w:ascii="宋体" w:hAnsi="宋体"/>
          <w:bCs w:val="0"/>
          <w:kern w:val="28"/>
          <w:szCs w:val="24"/>
          <w:highlight w:val="none"/>
        </w:rPr>
        <w:fldChar w:fldCharType="separate"/>
      </w:r>
      <w:r>
        <w:rPr>
          <w:rFonts w:hint="eastAsia"/>
          <w:szCs w:val="28"/>
          <w:highlight w:val="none"/>
        </w:rPr>
        <w:t>附件6：供应商</w:t>
      </w:r>
      <w:r>
        <w:rPr>
          <w:rFonts w:hint="eastAsia"/>
          <w:bCs/>
          <w:szCs w:val="28"/>
          <w:highlight w:val="none"/>
          <w:lang w:val="zh-CN"/>
        </w:rPr>
        <w:t>承诺函</w:t>
      </w:r>
      <w:r>
        <w:tab/>
      </w:r>
      <w:r>
        <w:fldChar w:fldCharType="begin"/>
      </w:r>
      <w:r>
        <w:instrText xml:space="preserve"> PAGEREF _Toc9579 \h </w:instrText>
      </w:r>
      <w:r>
        <w:fldChar w:fldCharType="separate"/>
      </w:r>
      <w:r>
        <w:t>86</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_Toc8298 </w:instrText>
      </w:r>
      <w:r>
        <w:rPr>
          <w:rFonts w:hint="eastAsia" w:ascii="宋体" w:hAnsi="宋体"/>
          <w:bCs w:val="0"/>
          <w:kern w:val="28"/>
          <w:szCs w:val="24"/>
          <w:highlight w:val="none"/>
        </w:rPr>
        <w:fldChar w:fldCharType="separate"/>
      </w:r>
      <w:r>
        <w:rPr>
          <w:rFonts w:hint="eastAsia"/>
          <w:szCs w:val="28"/>
          <w:highlight w:val="none"/>
        </w:rPr>
        <w:t>附件7：供应商诚信承诺书</w:t>
      </w:r>
      <w:r>
        <w:tab/>
      </w:r>
      <w:r>
        <w:fldChar w:fldCharType="begin"/>
      </w:r>
      <w:r>
        <w:instrText xml:space="preserve"> PAGEREF _Toc8298 \h </w:instrText>
      </w:r>
      <w:r>
        <w:fldChar w:fldCharType="separate"/>
      </w:r>
      <w:r>
        <w:t>87</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_Toc5159 </w:instrText>
      </w:r>
      <w:r>
        <w:rPr>
          <w:rFonts w:hint="eastAsia" w:ascii="宋体" w:hAnsi="宋体"/>
          <w:bCs w:val="0"/>
          <w:kern w:val="28"/>
          <w:szCs w:val="24"/>
          <w:highlight w:val="none"/>
        </w:rPr>
        <w:fldChar w:fldCharType="separate"/>
      </w:r>
      <w:r>
        <w:rPr>
          <w:rFonts w:hint="eastAsia"/>
          <w:bCs/>
          <w:szCs w:val="28"/>
          <w:highlight w:val="none"/>
        </w:rPr>
        <w:t>附件8：</w:t>
      </w:r>
      <w:r>
        <w:rPr>
          <w:rFonts w:hint="eastAsia"/>
          <w:bCs/>
          <w:highlight w:val="none"/>
        </w:rPr>
        <w:t>已标价工程量清单部分格式</w:t>
      </w:r>
      <w:r>
        <w:tab/>
      </w:r>
      <w:r>
        <w:fldChar w:fldCharType="begin"/>
      </w:r>
      <w:r>
        <w:instrText xml:space="preserve"> PAGEREF _Toc5159 \h </w:instrText>
      </w:r>
      <w:r>
        <w:fldChar w:fldCharType="separate"/>
      </w:r>
      <w:r>
        <w:t>88</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_Toc21361 </w:instrText>
      </w:r>
      <w:r>
        <w:rPr>
          <w:rFonts w:hint="eastAsia" w:ascii="宋体" w:hAnsi="宋体"/>
          <w:bCs w:val="0"/>
          <w:kern w:val="28"/>
          <w:szCs w:val="24"/>
          <w:highlight w:val="none"/>
        </w:rPr>
        <w:fldChar w:fldCharType="separate"/>
      </w:r>
      <w:r>
        <w:rPr>
          <w:rFonts w:hint="eastAsia"/>
          <w:szCs w:val="28"/>
          <w:highlight w:val="none"/>
        </w:rPr>
        <w:t>附件9：施工组织设计</w:t>
      </w:r>
      <w:r>
        <w:tab/>
      </w:r>
      <w:r>
        <w:fldChar w:fldCharType="begin"/>
      </w:r>
      <w:r>
        <w:instrText xml:space="preserve"> PAGEREF _Toc21361 \h </w:instrText>
      </w:r>
      <w:r>
        <w:fldChar w:fldCharType="separate"/>
      </w:r>
      <w:r>
        <w:t>89</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_Toc11264 </w:instrText>
      </w:r>
      <w:r>
        <w:rPr>
          <w:rFonts w:hint="eastAsia" w:ascii="宋体" w:hAnsi="宋体"/>
          <w:bCs w:val="0"/>
          <w:kern w:val="28"/>
          <w:szCs w:val="24"/>
          <w:highlight w:val="none"/>
        </w:rPr>
        <w:fldChar w:fldCharType="separate"/>
      </w:r>
      <w:r>
        <w:rPr>
          <w:rFonts w:hint="eastAsia"/>
          <w:szCs w:val="28"/>
          <w:highlight w:val="none"/>
        </w:rPr>
        <w:t>附件10：项目管理机构</w:t>
      </w:r>
      <w:r>
        <w:tab/>
      </w:r>
      <w:r>
        <w:fldChar w:fldCharType="begin"/>
      </w:r>
      <w:r>
        <w:instrText xml:space="preserve"> PAGEREF _Toc11264 \h </w:instrText>
      </w:r>
      <w:r>
        <w:fldChar w:fldCharType="separate"/>
      </w:r>
      <w:r>
        <w:t>93</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_Toc27962 </w:instrText>
      </w:r>
      <w:r>
        <w:rPr>
          <w:rFonts w:hint="eastAsia" w:ascii="宋体" w:hAnsi="宋体"/>
          <w:bCs w:val="0"/>
          <w:kern w:val="28"/>
          <w:szCs w:val="24"/>
          <w:highlight w:val="none"/>
        </w:rPr>
        <w:fldChar w:fldCharType="separate"/>
      </w:r>
      <w:r>
        <w:rPr>
          <w:rFonts w:hint="eastAsia"/>
          <w:szCs w:val="28"/>
          <w:highlight w:val="none"/>
        </w:rPr>
        <w:t>附件11：资格审查资料</w:t>
      </w:r>
      <w:r>
        <w:tab/>
      </w:r>
      <w:r>
        <w:fldChar w:fldCharType="begin"/>
      </w:r>
      <w:r>
        <w:instrText xml:space="preserve"> PAGEREF _Toc27962 \h </w:instrText>
      </w:r>
      <w:r>
        <w:fldChar w:fldCharType="separate"/>
      </w:r>
      <w:r>
        <w:t>94</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_Toc24137 </w:instrText>
      </w:r>
      <w:r>
        <w:rPr>
          <w:rFonts w:hint="eastAsia" w:ascii="宋体" w:hAnsi="宋体"/>
          <w:bCs w:val="0"/>
          <w:kern w:val="28"/>
          <w:szCs w:val="24"/>
          <w:highlight w:val="none"/>
        </w:rPr>
        <w:fldChar w:fldCharType="separate"/>
      </w:r>
      <w:r>
        <w:rPr>
          <w:rFonts w:hint="eastAsia"/>
          <w:szCs w:val="28"/>
          <w:highlight w:val="none"/>
        </w:rPr>
        <w:t>附件1</w:t>
      </w:r>
      <w:r>
        <w:rPr>
          <w:rFonts w:hint="eastAsia"/>
          <w:szCs w:val="28"/>
          <w:highlight w:val="none"/>
          <w:lang w:val="en-US" w:eastAsia="zh-CN"/>
        </w:rPr>
        <w:t>3</w:t>
      </w:r>
      <w:r>
        <w:rPr>
          <w:rFonts w:hint="eastAsia"/>
          <w:szCs w:val="28"/>
          <w:highlight w:val="none"/>
        </w:rPr>
        <w:t>：中小企业声明函（工程）</w:t>
      </w:r>
      <w:r>
        <w:tab/>
      </w:r>
      <w:r>
        <w:fldChar w:fldCharType="begin"/>
      </w:r>
      <w:r>
        <w:instrText xml:space="preserve"> PAGEREF _Toc24137 \h </w:instrText>
      </w:r>
      <w:r>
        <w:fldChar w:fldCharType="separate"/>
      </w:r>
      <w:r>
        <w:t>99</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_Toc27800 </w:instrText>
      </w:r>
      <w:r>
        <w:rPr>
          <w:rFonts w:hint="eastAsia" w:ascii="宋体" w:hAnsi="宋体"/>
          <w:bCs w:val="0"/>
          <w:kern w:val="28"/>
          <w:szCs w:val="24"/>
          <w:highlight w:val="none"/>
        </w:rPr>
        <w:fldChar w:fldCharType="separate"/>
      </w:r>
      <w:r>
        <w:rPr>
          <w:rFonts w:hint="eastAsia" w:ascii="宋体" w:hAnsi="宋体" w:cs="宋体"/>
          <w:smallCaps w:val="0"/>
          <w:kern w:val="0"/>
          <w:szCs w:val="28"/>
          <w:highlight w:val="none"/>
          <w:lang w:val="zh-CN" w:eastAsia="zh-CN"/>
        </w:rPr>
        <w:t>附件1</w:t>
      </w:r>
      <w:r>
        <w:rPr>
          <w:rFonts w:hint="eastAsia" w:ascii="宋体" w:hAnsi="宋体" w:cs="宋体"/>
          <w:smallCaps w:val="0"/>
          <w:kern w:val="0"/>
          <w:szCs w:val="28"/>
          <w:highlight w:val="none"/>
          <w:lang w:val="en-US" w:eastAsia="zh-CN"/>
        </w:rPr>
        <w:t>4</w:t>
      </w:r>
      <w:r>
        <w:rPr>
          <w:rFonts w:hint="eastAsia" w:ascii="宋体" w:hAnsi="宋体" w:cs="宋体"/>
          <w:smallCaps w:val="0"/>
          <w:kern w:val="0"/>
          <w:szCs w:val="28"/>
          <w:highlight w:val="none"/>
          <w:lang w:val="zh-CN" w:eastAsia="zh-CN"/>
        </w:rPr>
        <w:t>：残疾人福利性单位声明函</w:t>
      </w:r>
      <w:r>
        <w:tab/>
      </w:r>
      <w:r>
        <w:fldChar w:fldCharType="begin"/>
      </w:r>
      <w:r>
        <w:instrText xml:space="preserve"> PAGEREF _Toc27800 \h </w:instrText>
      </w:r>
      <w:r>
        <w:fldChar w:fldCharType="separate"/>
      </w:r>
      <w:r>
        <w:t>100</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_Toc24104 </w:instrText>
      </w:r>
      <w:r>
        <w:rPr>
          <w:rFonts w:hint="eastAsia" w:ascii="宋体" w:hAnsi="宋体"/>
          <w:bCs w:val="0"/>
          <w:kern w:val="28"/>
          <w:szCs w:val="24"/>
          <w:highlight w:val="none"/>
        </w:rPr>
        <w:fldChar w:fldCharType="separate"/>
      </w:r>
      <w:r>
        <w:rPr>
          <w:rFonts w:hint="eastAsia" w:ascii="宋体" w:hAnsi="宋体" w:cs="宋体"/>
          <w:smallCaps w:val="0"/>
          <w:kern w:val="0"/>
          <w:szCs w:val="28"/>
          <w:highlight w:val="none"/>
          <w:lang w:val="zh-CN" w:eastAsia="zh-CN"/>
        </w:rPr>
        <w:t>附件</w:t>
      </w:r>
      <w:r>
        <w:rPr>
          <w:rFonts w:hint="eastAsia" w:ascii="宋体" w:hAnsi="宋体" w:cs="宋体"/>
          <w:smallCaps w:val="0"/>
          <w:kern w:val="0"/>
          <w:szCs w:val="28"/>
          <w:highlight w:val="none"/>
          <w:lang w:eastAsia="zh-CN"/>
        </w:rPr>
        <w:t>1</w:t>
      </w:r>
      <w:r>
        <w:rPr>
          <w:rFonts w:hint="eastAsia" w:ascii="宋体" w:hAnsi="宋体" w:cs="宋体"/>
          <w:smallCaps w:val="0"/>
          <w:kern w:val="0"/>
          <w:szCs w:val="28"/>
          <w:highlight w:val="none"/>
          <w:lang w:val="en-US" w:eastAsia="zh-CN"/>
        </w:rPr>
        <w:t>5</w:t>
      </w:r>
      <w:r>
        <w:rPr>
          <w:rFonts w:hint="eastAsia" w:ascii="宋体" w:hAnsi="宋体" w:cs="宋体"/>
          <w:smallCaps w:val="0"/>
          <w:kern w:val="0"/>
          <w:szCs w:val="28"/>
          <w:highlight w:val="none"/>
          <w:lang w:eastAsia="zh-CN"/>
        </w:rPr>
        <w:t>：监狱企业证明资料</w:t>
      </w:r>
      <w:r>
        <w:tab/>
      </w:r>
      <w:r>
        <w:fldChar w:fldCharType="begin"/>
      </w:r>
      <w:r>
        <w:instrText xml:space="preserve"> PAGEREF _Toc24104 \h </w:instrText>
      </w:r>
      <w:r>
        <w:fldChar w:fldCharType="separate"/>
      </w:r>
      <w:r>
        <w:t>101</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_Toc12590 </w:instrText>
      </w:r>
      <w:r>
        <w:rPr>
          <w:rFonts w:hint="eastAsia" w:ascii="宋体" w:hAnsi="宋体"/>
          <w:bCs w:val="0"/>
          <w:kern w:val="28"/>
          <w:szCs w:val="24"/>
          <w:highlight w:val="none"/>
        </w:rPr>
        <w:fldChar w:fldCharType="separate"/>
      </w:r>
      <w:r>
        <w:rPr>
          <w:rFonts w:hint="eastAsia"/>
          <w:szCs w:val="28"/>
          <w:highlight w:val="none"/>
        </w:rPr>
        <w:t>附件1</w:t>
      </w:r>
      <w:r>
        <w:rPr>
          <w:rFonts w:hint="eastAsia"/>
          <w:szCs w:val="28"/>
          <w:highlight w:val="none"/>
          <w:lang w:val="en-US" w:eastAsia="zh-CN"/>
        </w:rPr>
        <w:t>6</w:t>
      </w:r>
      <w:r>
        <w:rPr>
          <w:rFonts w:hint="eastAsia"/>
          <w:szCs w:val="28"/>
          <w:highlight w:val="none"/>
        </w:rPr>
        <w:t>：供应商认为在其他方面有必要说明的事项</w:t>
      </w:r>
      <w:r>
        <w:tab/>
      </w:r>
      <w:r>
        <w:fldChar w:fldCharType="begin"/>
      </w:r>
      <w:r>
        <w:instrText xml:space="preserve"> PAGEREF _Toc12590 \h </w:instrText>
      </w:r>
      <w:r>
        <w:fldChar w:fldCharType="separate"/>
      </w:r>
      <w:r>
        <w:t>102</w:t>
      </w:r>
      <w:r>
        <w:fldChar w:fldCharType="end"/>
      </w:r>
      <w:r>
        <w:rPr>
          <w:rFonts w:hint="eastAsia" w:ascii="宋体" w:hAnsi="宋体"/>
          <w:bCs w:val="0"/>
          <w:kern w:val="28"/>
          <w:szCs w:val="24"/>
          <w:highlight w:val="none"/>
        </w:rPr>
        <w:fldChar w:fldCharType="end"/>
      </w:r>
    </w:p>
    <w:p>
      <w:pPr>
        <w:pStyle w:val="57"/>
        <w:tabs>
          <w:tab w:val="right" w:leader="dot" w:pos="8244"/>
          <w:tab w:val="clear" w:pos="8777"/>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_Toc2406 </w:instrText>
      </w:r>
      <w:r>
        <w:rPr>
          <w:rFonts w:hint="eastAsia" w:ascii="宋体" w:hAnsi="宋体"/>
          <w:bCs w:val="0"/>
          <w:kern w:val="28"/>
          <w:szCs w:val="24"/>
          <w:highlight w:val="none"/>
        </w:rPr>
        <w:fldChar w:fldCharType="separate"/>
      </w:r>
      <w:r>
        <w:rPr>
          <w:rFonts w:hint="eastAsia"/>
          <w:szCs w:val="28"/>
          <w:highlight w:val="none"/>
        </w:rPr>
        <w:t>附件1</w:t>
      </w:r>
      <w:r>
        <w:rPr>
          <w:rFonts w:hint="eastAsia"/>
          <w:szCs w:val="28"/>
          <w:highlight w:val="none"/>
          <w:lang w:val="en-US" w:eastAsia="zh-CN"/>
        </w:rPr>
        <w:t>7</w:t>
      </w:r>
      <w:r>
        <w:rPr>
          <w:rFonts w:hint="eastAsia"/>
          <w:szCs w:val="28"/>
          <w:highlight w:val="none"/>
        </w:rPr>
        <w:t>：磋商最后报价表</w:t>
      </w:r>
      <w:r>
        <w:tab/>
      </w:r>
      <w:r>
        <w:fldChar w:fldCharType="begin"/>
      </w:r>
      <w:r>
        <w:instrText xml:space="preserve"> PAGEREF _Toc2406 \h </w:instrText>
      </w:r>
      <w:r>
        <w:fldChar w:fldCharType="separate"/>
      </w:r>
      <w:r>
        <w:t>103</w:t>
      </w:r>
      <w:r>
        <w:fldChar w:fldCharType="end"/>
      </w:r>
      <w:r>
        <w:rPr>
          <w:rFonts w:hint="eastAsia" w:ascii="宋体" w:hAnsi="宋体"/>
          <w:bCs w:val="0"/>
          <w:kern w:val="28"/>
          <w:szCs w:val="24"/>
          <w:highlight w:val="none"/>
        </w:rPr>
        <w:fldChar w:fldCharType="end"/>
      </w:r>
    </w:p>
    <w:p>
      <w:pPr>
        <w:pStyle w:val="45"/>
        <w:tabs>
          <w:tab w:val="right" w:leader="dot" w:pos="8244"/>
        </w:tabs>
        <w:spacing w:line="360" w:lineRule="auto"/>
      </w:pPr>
      <w:r>
        <w:rPr>
          <w:rFonts w:hint="eastAsia" w:ascii="宋体" w:hAnsi="宋体"/>
          <w:bCs w:val="0"/>
          <w:kern w:val="28"/>
          <w:szCs w:val="24"/>
          <w:highlight w:val="none"/>
        </w:rPr>
        <w:fldChar w:fldCharType="begin"/>
      </w:r>
      <w:r>
        <w:rPr>
          <w:rFonts w:hint="eastAsia" w:ascii="宋体" w:hAnsi="宋体"/>
          <w:bCs w:val="0"/>
          <w:kern w:val="28"/>
          <w:szCs w:val="24"/>
          <w:highlight w:val="none"/>
        </w:rPr>
        <w:instrText xml:space="preserve"> HYPERLINK \l _Toc29585 </w:instrText>
      </w:r>
      <w:r>
        <w:rPr>
          <w:rFonts w:hint="eastAsia" w:ascii="宋体" w:hAnsi="宋体"/>
          <w:bCs w:val="0"/>
          <w:kern w:val="28"/>
          <w:szCs w:val="24"/>
          <w:highlight w:val="none"/>
        </w:rPr>
        <w:fldChar w:fldCharType="separate"/>
      </w:r>
      <w:r>
        <w:rPr>
          <w:rFonts w:hint="eastAsia"/>
          <w:bCs/>
          <w:highlight w:val="none"/>
        </w:rPr>
        <w:t>第</w:t>
      </w:r>
      <w:r>
        <w:rPr>
          <w:rFonts w:hint="eastAsia"/>
          <w:bCs/>
          <w:highlight w:val="none"/>
          <w:lang w:val="en-US" w:eastAsia="zh-CN"/>
        </w:rPr>
        <w:t>八</w:t>
      </w:r>
      <w:r>
        <w:rPr>
          <w:rFonts w:hint="eastAsia"/>
          <w:bCs/>
          <w:highlight w:val="none"/>
        </w:rPr>
        <w:t>部分  工程量清单部分</w:t>
      </w:r>
      <w:r>
        <w:tab/>
      </w:r>
      <w:r>
        <w:fldChar w:fldCharType="begin"/>
      </w:r>
      <w:r>
        <w:instrText xml:space="preserve"> PAGEREF _Toc29585 \h </w:instrText>
      </w:r>
      <w:r>
        <w:fldChar w:fldCharType="separate"/>
      </w:r>
      <w:r>
        <w:t>104</w:t>
      </w:r>
      <w:r>
        <w:fldChar w:fldCharType="end"/>
      </w:r>
      <w:r>
        <w:rPr>
          <w:rFonts w:hint="eastAsia" w:ascii="宋体" w:hAnsi="宋体"/>
          <w:bCs w:val="0"/>
          <w:kern w:val="28"/>
          <w:szCs w:val="24"/>
          <w:highlight w:val="none"/>
        </w:rPr>
        <w:fldChar w:fldCharType="end"/>
      </w:r>
    </w:p>
    <w:p>
      <w:pPr>
        <w:pStyle w:val="45"/>
        <w:tabs>
          <w:tab w:val="right" w:leader="dot" w:pos="8777"/>
        </w:tabs>
        <w:spacing w:before="0" w:after="0" w:line="400" w:lineRule="exact"/>
        <w:outlineLvl w:val="1"/>
        <w:rPr>
          <w:rFonts w:hint="eastAsia" w:ascii="宋体" w:hAnsi="宋体"/>
          <w:b w:val="0"/>
          <w:bCs w:val="0"/>
          <w:caps w:val="0"/>
          <w:sz w:val="24"/>
          <w:szCs w:val="24"/>
          <w:highlight w:val="none"/>
        </w:rPr>
        <w:sectPr>
          <w:footerReference r:id="rId11" w:type="first"/>
          <w:footerReference r:id="rId10" w:type="default"/>
          <w:pgSz w:w="11850" w:h="16783"/>
          <w:pgMar w:top="1440" w:right="1803" w:bottom="1440" w:left="1803" w:header="850" w:footer="1134" w:gutter="0"/>
          <w:cols w:space="720" w:num="1"/>
          <w:docGrid w:linePitch="312" w:charSpace="0"/>
        </w:sectPr>
      </w:pPr>
      <w:r>
        <w:rPr>
          <w:rFonts w:hint="eastAsia" w:ascii="宋体" w:hAnsi="宋体"/>
          <w:bCs w:val="0"/>
          <w:kern w:val="28"/>
          <w:szCs w:val="24"/>
          <w:highlight w:val="none"/>
        </w:rPr>
        <w:fldChar w:fldCharType="end"/>
      </w:r>
    </w:p>
    <w:p>
      <w:pPr>
        <w:pStyle w:val="5"/>
        <w:numPr>
          <w:ilvl w:val="0"/>
          <w:numId w:val="20"/>
        </w:numPr>
        <w:spacing w:line="400" w:lineRule="exact"/>
        <w:rPr>
          <w:rFonts w:hint="eastAsia"/>
          <w:highlight w:val="none"/>
        </w:rPr>
      </w:pPr>
      <w:bookmarkStart w:id="0" w:name="_Toc17942"/>
      <w:bookmarkStart w:id="1" w:name="_Toc435174246"/>
      <w:bookmarkStart w:id="2" w:name="_Toc325725996"/>
      <w:r>
        <w:rPr>
          <w:rFonts w:hint="eastAsia"/>
          <w:highlight w:val="none"/>
        </w:rPr>
        <w:t>投标邀请</w:t>
      </w:r>
      <w:bookmarkEnd w:id="0"/>
      <w:bookmarkEnd w:id="1"/>
    </w:p>
    <w:p>
      <w:pPr>
        <w:rPr>
          <w:rFonts w:hint="eastAsia"/>
        </w:rPr>
      </w:pPr>
    </w:p>
    <w:p>
      <w:pPr>
        <w:spacing w:line="360" w:lineRule="auto"/>
        <w:jc w:val="center"/>
        <w:rPr>
          <w:rFonts w:hint="eastAsia"/>
          <w:b/>
          <w:bCs/>
          <w:color w:val="000000"/>
          <w:sz w:val="28"/>
          <w:szCs w:val="28"/>
          <w:highlight w:val="none"/>
          <w:lang w:val="en-US" w:eastAsia="zh-CN"/>
        </w:rPr>
      </w:pPr>
      <w:bookmarkStart w:id="3" w:name="_Toc28359001"/>
      <w:bookmarkStart w:id="4" w:name="_Toc35393789"/>
      <w:bookmarkStart w:id="5" w:name="_Toc435174247"/>
      <w:r>
        <w:rPr>
          <w:rFonts w:hint="eastAsia"/>
          <w:b/>
          <w:bCs/>
          <w:color w:val="000000"/>
          <w:sz w:val="28"/>
          <w:szCs w:val="28"/>
          <w:highlight w:val="none"/>
          <w:lang w:val="zh-CN"/>
        </w:rPr>
        <w:t>2023年洪水镇双一村拱棚建设项目</w:t>
      </w:r>
      <w:r>
        <w:rPr>
          <w:rFonts w:hint="eastAsia"/>
          <w:b/>
          <w:bCs/>
          <w:color w:val="000000"/>
          <w:sz w:val="28"/>
          <w:szCs w:val="28"/>
          <w:highlight w:val="none"/>
          <w:lang w:val="en-US" w:eastAsia="zh-CN"/>
        </w:rPr>
        <w:t xml:space="preserve">  </w:t>
      </w:r>
    </w:p>
    <w:p>
      <w:pPr>
        <w:spacing w:line="360" w:lineRule="auto"/>
        <w:jc w:val="center"/>
        <w:rPr>
          <w:rFonts w:hint="eastAsia"/>
          <w:b/>
          <w:bCs/>
          <w:sz w:val="22"/>
          <w:szCs w:val="22"/>
          <w:highlight w:val="none"/>
        </w:rPr>
      </w:pPr>
      <w:r>
        <w:rPr>
          <w:rFonts w:hint="eastAsia"/>
          <w:b/>
          <w:bCs/>
          <w:color w:val="000000"/>
          <w:sz w:val="28"/>
          <w:szCs w:val="28"/>
          <w:highlight w:val="none"/>
        </w:rPr>
        <w:t>竞争性磋商</w:t>
      </w:r>
      <w:r>
        <w:rPr>
          <w:rFonts w:hint="eastAsia"/>
          <w:b/>
          <w:bCs/>
          <w:sz w:val="28"/>
          <w:szCs w:val="28"/>
          <w:highlight w:val="none"/>
        </w:rPr>
        <w:t>公告</w:t>
      </w:r>
      <w:bookmarkEnd w:id="3"/>
      <w:bookmarkEnd w:id="4"/>
    </w:p>
    <w:p>
      <w:pPr>
        <w:widowControl w:val="0"/>
        <w:pBdr>
          <w:top w:val="single" w:color="auto" w:sz="4" w:space="1"/>
          <w:left w:val="single" w:color="auto" w:sz="4" w:space="4"/>
          <w:bottom w:val="single" w:color="auto" w:sz="4" w:space="1"/>
          <w:right w:val="single" w:color="auto" w:sz="4" w:space="4"/>
        </w:pBdr>
        <w:spacing w:line="360" w:lineRule="auto"/>
        <w:ind w:firstLine="482" w:firstLineChars="200"/>
        <w:rPr>
          <w:rFonts w:hint="eastAsia"/>
          <w:b/>
          <w:bCs/>
          <w:highlight w:val="none"/>
        </w:rPr>
      </w:pPr>
      <w:r>
        <w:rPr>
          <w:rFonts w:hint="eastAsia"/>
          <w:b/>
          <w:bCs/>
          <w:highlight w:val="none"/>
        </w:rPr>
        <w:t>项目概况</w:t>
      </w:r>
    </w:p>
    <w:p>
      <w:pPr>
        <w:widowControl w:val="0"/>
        <w:pBdr>
          <w:top w:val="single" w:color="auto" w:sz="4" w:space="1"/>
          <w:left w:val="single" w:color="auto" w:sz="4" w:space="4"/>
          <w:bottom w:val="single" w:color="auto" w:sz="4" w:space="1"/>
          <w:right w:val="single" w:color="auto" w:sz="4" w:space="4"/>
        </w:pBdr>
        <w:spacing w:line="400" w:lineRule="exact"/>
        <w:ind w:firstLine="480" w:firstLineChars="200"/>
        <w:rPr>
          <w:rFonts w:hint="eastAsia"/>
          <w:highlight w:val="none"/>
        </w:rPr>
      </w:pPr>
      <w:r>
        <w:rPr>
          <w:rFonts w:hint="eastAsia"/>
          <w:color w:val="000000"/>
          <w:highlight w:val="none"/>
          <w:u w:val="single"/>
          <w:lang w:val="zh-CN"/>
        </w:rPr>
        <w:t>（2023年洪水镇双一村拱棚建设项目）</w:t>
      </w:r>
      <w:r>
        <w:rPr>
          <w:rFonts w:hint="eastAsia"/>
          <w:highlight w:val="none"/>
        </w:rPr>
        <w:t>采购项目的潜在供应商应在（</w:t>
      </w:r>
      <w:r>
        <w:rPr>
          <w:rFonts w:hint="eastAsia"/>
          <w:highlight w:val="none"/>
          <w:u w:val="single"/>
          <w:lang w:val="zh-CN"/>
        </w:rPr>
        <w:t>青海天达工程管理有限公司</w:t>
      </w:r>
      <w:r>
        <w:rPr>
          <w:rFonts w:hint="eastAsia"/>
          <w:highlight w:val="none"/>
          <w:u w:val="single"/>
        </w:rPr>
        <w:t>）</w:t>
      </w:r>
      <w:r>
        <w:rPr>
          <w:rFonts w:hint="eastAsia"/>
          <w:highlight w:val="none"/>
        </w:rPr>
        <w:t>获取采购文件，并于</w:t>
      </w:r>
      <w:r>
        <w:rPr>
          <w:rFonts w:hint="eastAsia" w:ascii="宋体" w:hAnsi="宋体" w:eastAsia="宋体" w:cs="宋体"/>
          <w:color w:val="000000"/>
          <w:highlight w:val="none"/>
          <w:u w:val="single"/>
          <w:lang w:val="zh-CN" w:eastAsia="zh-CN"/>
        </w:rPr>
        <w:t>202</w:t>
      </w:r>
      <w:r>
        <w:rPr>
          <w:rFonts w:hint="eastAsia" w:cs="宋体"/>
          <w:color w:val="000000"/>
          <w:highlight w:val="none"/>
          <w:u w:val="single"/>
          <w:lang w:val="en-US" w:eastAsia="zh-CN"/>
        </w:rPr>
        <w:t>3</w:t>
      </w:r>
      <w:r>
        <w:rPr>
          <w:rFonts w:hint="eastAsia" w:ascii="宋体" w:hAnsi="宋体" w:eastAsia="宋体" w:cs="宋体"/>
          <w:color w:val="000000"/>
          <w:highlight w:val="none"/>
          <w:u w:val="single"/>
          <w:lang w:val="zh-CN" w:eastAsia="zh-CN"/>
        </w:rPr>
        <w:t>年</w:t>
      </w:r>
      <w:r>
        <w:rPr>
          <w:rFonts w:hint="eastAsia" w:cs="宋体"/>
          <w:color w:val="000000"/>
          <w:highlight w:val="none"/>
          <w:u w:val="single"/>
          <w:lang w:val="en-US" w:eastAsia="zh-CN"/>
        </w:rPr>
        <w:t>04</w:t>
      </w:r>
      <w:r>
        <w:rPr>
          <w:rFonts w:hint="eastAsia" w:ascii="宋体" w:hAnsi="宋体" w:eastAsia="宋体" w:cs="宋体"/>
          <w:color w:val="000000"/>
          <w:highlight w:val="none"/>
          <w:u w:val="single"/>
          <w:lang w:val="zh-CN" w:eastAsia="zh-CN"/>
        </w:rPr>
        <w:t>月</w:t>
      </w:r>
      <w:r>
        <w:rPr>
          <w:rFonts w:hint="eastAsia" w:cs="宋体"/>
          <w:color w:val="000000"/>
          <w:highlight w:val="none"/>
          <w:u w:val="single"/>
          <w:lang w:val="en-US" w:eastAsia="zh-CN"/>
        </w:rPr>
        <w:t>12</w:t>
      </w:r>
      <w:r>
        <w:rPr>
          <w:rFonts w:hint="eastAsia" w:ascii="宋体" w:hAnsi="宋体" w:eastAsia="宋体" w:cs="宋体"/>
          <w:color w:val="000000"/>
          <w:highlight w:val="none"/>
          <w:u w:val="single"/>
          <w:lang w:val="zh-CN" w:eastAsia="zh-CN"/>
        </w:rPr>
        <w:t>日</w:t>
      </w:r>
      <w:r>
        <w:rPr>
          <w:rFonts w:hint="eastAsia" w:ascii="宋体" w:hAnsi="宋体" w:eastAsia="宋体" w:cs="宋体"/>
          <w:color w:val="000000"/>
          <w:highlight w:val="none"/>
          <w:u w:val="single"/>
          <w:lang w:val="en-US" w:eastAsia="zh-CN"/>
        </w:rPr>
        <w:t>09</w:t>
      </w:r>
      <w:r>
        <w:rPr>
          <w:rFonts w:hint="eastAsia" w:ascii="宋体" w:hAnsi="宋体" w:eastAsia="宋体" w:cs="宋体"/>
          <w:color w:val="000000"/>
          <w:highlight w:val="none"/>
          <w:u w:val="single"/>
          <w:lang w:val="zh-CN" w:eastAsia="zh-CN"/>
        </w:rPr>
        <w:t>点30分</w:t>
      </w:r>
      <w:r>
        <w:rPr>
          <w:rFonts w:ascii="sans-serif" w:hAnsi="sans-serif" w:eastAsia="sans-serif" w:cs="sans-serif"/>
          <w:color w:val="000000"/>
          <w:sz w:val="32"/>
          <w:szCs w:val="32"/>
          <w:highlight w:val="none"/>
          <w:shd w:val="clear" w:color="auto" w:fill="FFFFFF"/>
        </w:rPr>
        <w:t>（</w:t>
      </w:r>
      <w:r>
        <w:rPr>
          <w:highlight w:val="none"/>
        </w:rPr>
        <w:t>北京时间）前提交响应文件。</w:t>
      </w:r>
    </w:p>
    <w:p>
      <w:pPr>
        <w:spacing w:line="400" w:lineRule="exact"/>
        <w:outlineLvl w:val="1"/>
        <w:rPr>
          <w:rFonts w:hint="eastAsia"/>
          <w:b/>
          <w:bCs/>
          <w:highlight w:val="none"/>
        </w:rPr>
      </w:pPr>
      <w:bookmarkStart w:id="6" w:name="_Toc8609"/>
      <w:bookmarkStart w:id="7" w:name="_Toc35393621"/>
      <w:bookmarkStart w:id="8" w:name="_Toc28359079"/>
      <w:bookmarkStart w:id="9" w:name="_Toc17343"/>
      <w:bookmarkStart w:id="10" w:name="_Toc35393790"/>
      <w:bookmarkStart w:id="11" w:name="_Toc28359002"/>
      <w:bookmarkStart w:id="12" w:name="_Hlk24379207"/>
      <w:r>
        <w:rPr>
          <w:rFonts w:hint="eastAsia"/>
          <w:b/>
          <w:bCs/>
          <w:highlight w:val="none"/>
        </w:rPr>
        <w:t>一、项目基本情况</w:t>
      </w:r>
      <w:bookmarkEnd w:id="6"/>
      <w:bookmarkEnd w:id="7"/>
      <w:bookmarkEnd w:id="8"/>
      <w:bookmarkEnd w:id="9"/>
      <w:bookmarkEnd w:id="10"/>
      <w:bookmarkEnd w:id="11"/>
    </w:p>
    <w:p>
      <w:pPr>
        <w:widowControl w:val="0"/>
        <w:spacing w:line="400" w:lineRule="exact"/>
        <w:ind w:firstLine="482" w:firstLineChars="200"/>
        <w:rPr>
          <w:rFonts w:hint="eastAsia"/>
          <w:highlight w:val="none"/>
          <w:lang w:eastAsia="zh-CN"/>
        </w:rPr>
      </w:pPr>
      <w:r>
        <w:rPr>
          <w:rFonts w:hint="eastAsia"/>
          <w:b/>
          <w:bCs/>
          <w:highlight w:val="none"/>
        </w:rPr>
        <w:t>项目编号：</w:t>
      </w:r>
      <w:r>
        <w:rPr>
          <w:rFonts w:hint="eastAsia"/>
          <w:highlight w:val="none"/>
          <w:lang w:eastAsia="zh-CN"/>
        </w:rPr>
        <w:t>青海天达竞磋（工程）2023-004号</w:t>
      </w:r>
    </w:p>
    <w:p>
      <w:pPr>
        <w:widowControl w:val="0"/>
        <w:spacing w:line="400" w:lineRule="exact"/>
        <w:ind w:firstLine="482" w:firstLineChars="200"/>
        <w:rPr>
          <w:rFonts w:hint="eastAsia"/>
          <w:highlight w:val="none"/>
          <w:lang w:val="zh-CN"/>
        </w:rPr>
      </w:pPr>
      <w:r>
        <w:rPr>
          <w:rFonts w:hint="eastAsia"/>
          <w:b/>
          <w:bCs/>
          <w:highlight w:val="none"/>
        </w:rPr>
        <w:t>项目名称：</w:t>
      </w:r>
      <w:r>
        <w:rPr>
          <w:rFonts w:hint="eastAsia"/>
          <w:highlight w:val="none"/>
          <w:lang w:val="zh-CN"/>
        </w:rPr>
        <w:t>2023年洪水镇双一村拱棚建设项目</w:t>
      </w:r>
    </w:p>
    <w:p>
      <w:pPr>
        <w:widowControl w:val="0"/>
        <w:spacing w:line="400" w:lineRule="exact"/>
        <w:ind w:firstLine="482" w:firstLineChars="200"/>
        <w:rPr>
          <w:rFonts w:hint="eastAsia"/>
          <w:b/>
          <w:bCs/>
          <w:highlight w:val="none"/>
        </w:rPr>
      </w:pPr>
      <w:r>
        <w:rPr>
          <w:rFonts w:hint="eastAsia"/>
          <w:b/>
          <w:bCs/>
          <w:highlight w:val="none"/>
        </w:rPr>
        <w:t>采购方式：</w:t>
      </w:r>
      <w:r>
        <w:rPr>
          <w:rFonts w:hint="eastAsia"/>
          <w:highlight w:val="none"/>
        </w:rPr>
        <w:t>竞争性磋商</w:t>
      </w:r>
    </w:p>
    <w:bookmarkEnd w:id="12"/>
    <w:p>
      <w:pPr>
        <w:widowControl w:val="0"/>
        <w:spacing w:line="400" w:lineRule="exact"/>
        <w:ind w:firstLine="482" w:firstLineChars="200"/>
        <w:rPr>
          <w:rFonts w:hint="default" w:eastAsia="宋体"/>
          <w:b/>
          <w:bCs/>
          <w:highlight w:val="none"/>
          <w:lang w:val="en-US" w:eastAsia="zh-CN"/>
        </w:rPr>
      </w:pPr>
      <w:r>
        <w:rPr>
          <w:rFonts w:hint="eastAsia" w:eastAsia="宋体"/>
          <w:b/>
          <w:bCs/>
          <w:highlight w:val="none"/>
        </w:rPr>
        <w:t>预算金额：</w:t>
      </w:r>
      <w:r>
        <w:rPr>
          <w:rFonts w:hint="eastAsia" w:cs="宋体"/>
          <w:highlight w:val="none"/>
          <w:lang w:val="en-US" w:eastAsia="zh-CN"/>
        </w:rPr>
        <w:t>2999511.18</w:t>
      </w:r>
      <w:r>
        <w:rPr>
          <w:rFonts w:hint="eastAsia" w:ascii="宋体" w:hAnsi="宋体" w:eastAsia="宋体" w:cs="宋体"/>
          <w:highlight w:val="none"/>
        </w:rPr>
        <w:t>元</w:t>
      </w:r>
    </w:p>
    <w:p>
      <w:pPr>
        <w:widowControl w:val="0"/>
        <w:spacing w:line="400" w:lineRule="exact"/>
        <w:ind w:firstLine="482" w:firstLineChars="200"/>
        <w:rPr>
          <w:b/>
          <w:bCs/>
          <w:highlight w:val="none"/>
        </w:rPr>
      </w:pPr>
      <w:r>
        <w:rPr>
          <w:rFonts w:hint="eastAsia"/>
          <w:b/>
          <w:bCs/>
          <w:highlight w:val="none"/>
        </w:rPr>
        <w:t>最高限价（如有）：</w:t>
      </w:r>
      <w:r>
        <w:rPr>
          <w:rFonts w:hint="eastAsia" w:eastAsia="宋体"/>
          <w:highlight w:val="none"/>
          <w:lang w:val="en-US" w:eastAsia="zh-CN"/>
        </w:rPr>
        <w:t>/</w:t>
      </w:r>
    </w:p>
    <w:p>
      <w:pPr>
        <w:widowControl w:val="0"/>
        <w:spacing w:line="400" w:lineRule="exact"/>
        <w:ind w:firstLine="482" w:firstLineChars="200"/>
        <w:rPr>
          <w:rFonts w:hint="eastAsia"/>
          <w:highlight w:val="none"/>
        </w:rPr>
      </w:pPr>
      <w:r>
        <w:rPr>
          <w:rFonts w:hint="eastAsia"/>
          <w:b/>
          <w:bCs/>
          <w:highlight w:val="none"/>
        </w:rPr>
        <w:t>采购需求</w:t>
      </w:r>
    </w:p>
    <w:p>
      <w:pPr>
        <w:spacing w:line="400" w:lineRule="exact"/>
        <w:ind w:left="480" w:leftChars="200" w:firstLine="0" w:firstLineChars="0"/>
        <w:rPr>
          <w:rFonts w:hint="eastAsia" w:eastAsia="宋体"/>
          <w:highlight w:val="none"/>
          <w:lang w:eastAsia="zh-CN"/>
        </w:rPr>
      </w:pPr>
      <w:r>
        <w:rPr>
          <w:rFonts w:hint="eastAsia"/>
          <w:highlight w:val="none"/>
        </w:rPr>
        <w:t>标项一 </w:t>
      </w:r>
    </w:p>
    <w:p>
      <w:pPr>
        <w:spacing w:line="400" w:lineRule="exact"/>
        <w:ind w:left="480" w:leftChars="200" w:firstLine="0" w:firstLineChars="0"/>
        <w:rPr>
          <w:rFonts w:hint="eastAsia"/>
          <w:highlight w:val="none"/>
        </w:rPr>
      </w:pPr>
      <w:r>
        <w:rPr>
          <w:rFonts w:hint="eastAsia"/>
          <w:highlight w:val="none"/>
        </w:rPr>
        <w:t>数量：1 </w:t>
      </w:r>
    </w:p>
    <w:p>
      <w:pPr>
        <w:spacing w:line="400" w:lineRule="exact"/>
        <w:ind w:firstLine="480" w:firstLineChars="200"/>
        <w:rPr>
          <w:rFonts w:hint="eastAsia" w:eastAsia="宋体"/>
          <w:highlight w:val="none"/>
        </w:rPr>
      </w:pPr>
      <w:r>
        <w:rPr>
          <w:rFonts w:hint="eastAsia" w:eastAsia="宋体"/>
          <w:highlight w:val="none"/>
        </w:rPr>
        <w:t>预算金额（元）：2999511.18元</w:t>
      </w:r>
    </w:p>
    <w:p>
      <w:pPr>
        <w:spacing w:line="400" w:lineRule="exact"/>
        <w:ind w:firstLine="480" w:firstLineChars="200"/>
        <w:rPr>
          <w:rFonts w:hint="eastAsia"/>
          <w:highlight w:val="none"/>
        </w:rPr>
      </w:pPr>
      <w:r>
        <w:rPr>
          <w:rFonts w:hint="eastAsia"/>
          <w:highlight w:val="none"/>
        </w:rPr>
        <w:t>单位：/ </w:t>
      </w:r>
    </w:p>
    <w:p>
      <w:pPr>
        <w:spacing w:line="400" w:lineRule="exact"/>
        <w:ind w:left="480" w:leftChars="200" w:firstLine="0" w:firstLineChars="0"/>
        <w:rPr>
          <w:rFonts w:hint="eastAsia" w:ascii="宋体" w:hAnsi="宋体" w:eastAsia="宋体" w:cs="宋体"/>
          <w:highlight w:val="none"/>
          <w:lang w:val="en-US" w:eastAsia="zh-CN"/>
        </w:rPr>
      </w:pPr>
      <w:r>
        <w:rPr>
          <w:rFonts w:hint="eastAsia" w:ascii="宋体" w:hAnsi="宋体" w:eastAsia="宋体" w:cs="宋体"/>
          <w:highlight w:val="none"/>
        </w:rPr>
        <w:t>简要规格描述：新建拱棚净面积40000㎡，计划单栋标准拱棚建设面积400㎡，折合标准栋100栋（最终以实际建设面积数量为准），实际可因地块大小调整单栋拱棚建设面积。</w:t>
      </w:r>
    </w:p>
    <w:p>
      <w:pPr>
        <w:spacing w:line="400" w:lineRule="exact"/>
        <w:ind w:left="480" w:leftChars="200" w:firstLine="0" w:firstLineChars="0"/>
        <w:rPr>
          <w:rFonts w:hint="default" w:ascii="宋体" w:hAnsi="宋体" w:eastAsia="宋体" w:cs="宋体"/>
          <w:highlight w:val="none"/>
          <w:lang w:val="en-US" w:eastAsia="zh-CN"/>
        </w:rPr>
      </w:pPr>
      <w:r>
        <w:rPr>
          <w:rFonts w:hint="eastAsia" w:ascii="宋体" w:hAnsi="宋体" w:eastAsia="宋体" w:cs="宋体"/>
          <w:highlight w:val="none"/>
          <w:lang w:val="en-US" w:eastAsia="zh-CN"/>
        </w:rPr>
        <w:t>工期</w:t>
      </w:r>
      <w:r>
        <w:rPr>
          <w:rFonts w:hint="eastAsia" w:ascii="宋体" w:hAnsi="宋体" w:eastAsia="宋体" w:cs="宋体"/>
          <w:highlight w:val="none"/>
          <w:lang w:val="zh-CN" w:eastAsia="zh-CN"/>
        </w:rPr>
        <w:t>：</w:t>
      </w:r>
      <w:r>
        <w:rPr>
          <w:rFonts w:hint="eastAsia" w:cs="宋体"/>
          <w:highlight w:val="none"/>
          <w:lang w:val="en-US" w:eastAsia="zh-CN"/>
        </w:rPr>
        <w:t>180天</w:t>
      </w:r>
    </w:p>
    <w:p>
      <w:pPr>
        <w:spacing w:line="400" w:lineRule="exact"/>
        <w:ind w:firstLine="482" w:firstLineChars="200"/>
        <w:rPr>
          <w:rFonts w:hint="eastAsia"/>
          <w:b/>
          <w:bCs/>
          <w:highlight w:val="none"/>
        </w:rPr>
      </w:pPr>
      <w:r>
        <w:rPr>
          <w:rFonts w:hint="eastAsia"/>
          <w:b/>
          <w:bCs/>
          <w:highlight w:val="none"/>
        </w:rPr>
        <w:t>本项目不接受联合体投标。</w:t>
      </w:r>
    </w:p>
    <w:p>
      <w:pPr>
        <w:spacing w:line="400" w:lineRule="exact"/>
        <w:outlineLvl w:val="1"/>
        <w:rPr>
          <w:rFonts w:hint="eastAsia"/>
          <w:b/>
          <w:bCs/>
          <w:highlight w:val="none"/>
        </w:rPr>
      </w:pPr>
      <w:bookmarkStart w:id="13" w:name="_Toc35393622"/>
      <w:bookmarkStart w:id="14" w:name="_Toc35393791"/>
      <w:bookmarkStart w:id="15" w:name="_Toc28359080"/>
      <w:bookmarkStart w:id="16" w:name="_Toc31044"/>
      <w:bookmarkStart w:id="17" w:name="_Toc27209"/>
      <w:bookmarkStart w:id="18" w:name="_Toc28359003"/>
      <w:r>
        <w:rPr>
          <w:rFonts w:hint="eastAsia"/>
          <w:b/>
          <w:bCs/>
          <w:highlight w:val="none"/>
        </w:rPr>
        <w:t>二、申请人的资格要求：</w:t>
      </w:r>
      <w:bookmarkEnd w:id="13"/>
      <w:bookmarkEnd w:id="14"/>
      <w:bookmarkEnd w:id="15"/>
      <w:bookmarkEnd w:id="16"/>
      <w:bookmarkEnd w:id="17"/>
      <w:bookmarkEnd w:id="18"/>
    </w:p>
    <w:p>
      <w:pPr>
        <w:pStyle w:val="40"/>
        <w:spacing w:line="400" w:lineRule="exact"/>
        <w:ind w:left="480"/>
        <w:rPr>
          <w:rFonts w:hint="eastAsia" w:ascii="宋体" w:hAnsi="宋体" w:cs="宋体"/>
          <w:sz w:val="24"/>
          <w:szCs w:val="24"/>
          <w:highlight w:val="none"/>
        </w:rPr>
      </w:pPr>
      <w:r>
        <w:rPr>
          <w:rFonts w:hint="eastAsia" w:ascii="宋体" w:hAnsi="宋体" w:cs="宋体"/>
          <w:sz w:val="24"/>
          <w:szCs w:val="24"/>
          <w:highlight w:val="none"/>
        </w:rPr>
        <w:t>1.满足《中华人民共和国政府采购法》第二十二条规定；</w:t>
      </w:r>
    </w:p>
    <w:p>
      <w:pPr>
        <w:pStyle w:val="40"/>
        <w:spacing w:line="400" w:lineRule="exact"/>
        <w:ind w:left="480"/>
        <w:rPr>
          <w:rFonts w:hint="eastAsia" w:ascii="宋体" w:hAnsi="宋体" w:cs="宋体"/>
          <w:sz w:val="24"/>
          <w:szCs w:val="24"/>
          <w:highlight w:val="none"/>
        </w:rPr>
      </w:pPr>
      <w:bookmarkStart w:id="19" w:name="_Toc28359004"/>
      <w:bookmarkStart w:id="20" w:name="_Toc28359081"/>
      <w:r>
        <w:rPr>
          <w:rFonts w:hint="eastAsia" w:ascii="宋体" w:hAnsi="宋体" w:cs="宋体"/>
          <w:sz w:val="24"/>
          <w:szCs w:val="24"/>
          <w:highlight w:val="none"/>
        </w:rPr>
        <w:t>2.落实政府采购政策需满足的资格要求：/</w:t>
      </w:r>
    </w:p>
    <w:p>
      <w:pPr>
        <w:pStyle w:val="40"/>
        <w:spacing w:line="400" w:lineRule="exact"/>
        <w:ind w:left="480"/>
        <w:rPr>
          <w:rFonts w:hint="eastAsia" w:ascii="宋体" w:hAnsi="宋体" w:cs="宋体"/>
          <w:sz w:val="24"/>
          <w:szCs w:val="24"/>
          <w:highlight w:val="none"/>
        </w:rPr>
      </w:pPr>
      <w:r>
        <w:rPr>
          <w:rFonts w:hint="eastAsia" w:ascii="宋体" w:hAnsi="宋体" w:cs="宋体"/>
          <w:sz w:val="24"/>
          <w:szCs w:val="24"/>
          <w:highlight w:val="none"/>
        </w:rPr>
        <w:t>3.本项目的特定资格要求：</w:t>
      </w:r>
    </w:p>
    <w:p>
      <w:pPr>
        <w:pStyle w:val="40"/>
        <w:spacing w:line="400" w:lineRule="exact"/>
        <w:ind w:left="480"/>
        <w:rPr>
          <w:rFonts w:hint="eastAsia" w:ascii="宋体" w:hAnsi="宋体" w:eastAsia="宋体" w:cs="宋体"/>
          <w:sz w:val="24"/>
          <w:szCs w:val="24"/>
          <w:highlight w:val="none"/>
          <w:lang w:val="zh-CN"/>
        </w:rPr>
      </w:pPr>
      <w:bookmarkStart w:id="21" w:name="_Toc35393792"/>
      <w:bookmarkStart w:id="22" w:name="_Toc35393623"/>
      <w:r>
        <w:rPr>
          <w:rFonts w:hint="eastAsia" w:ascii="宋体" w:hAnsi="宋体" w:cs="宋体"/>
          <w:sz w:val="24"/>
          <w:szCs w:val="24"/>
          <w:highlight w:val="none"/>
        </w:rPr>
        <w:t>（1）</w:t>
      </w:r>
      <w:r>
        <w:rPr>
          <w:rFonts w:hint="eastAsia" w:ascii="宋体" w:hAnsi="宋体" w:cs="宋体"/>
          <w:sz w:val="24"/>
          <w:szCs w:val="24"/>
          <w:highlight w:val="none"/>
          <w:u w:val="single"/>
        </w:rPr>
        <w:t>本次采购要求</w:t>
      </w:r>
      <w:r>
        <w:rPr>
          <w:rFonts w:hint="eastAsia" w:ascii="宋体" w:hAnsi="宋体" w:cs="宋体"/>
          <w:sz w:val="24"/>
          <w:szCs w:val="24"/>
          <w:highlight w:val="none"/>
          <w:u w:val="single"/>
          <w:lang w:eastAsia="zh-CN"/>
        </w:rPr>
        <w:t>供应</w:t>
      </w:r>
      <w:r>
        <w:rPr>
          <w:rFonts w:hint="eastAsia" w:ascii="宋体" w:hAnsi="宋体" w:eastAsia="宋体" w:cs="宋体"/>
          <w:sz w:val="24"/>
          <w:szCs w:val="24"/>
          <w:highlight w:val="none"/>
          <w:lang w:eastAsia="zh-CN"/>
        </w:rPr>
        <w:t>商具备[建筑工程·建筑工程三级](含)以上资质</w:t>
      </w:r>
      <w:r>
        <w:rPr>
          <w:rFonts w:hint="eastAsia" w:ascii="宋体" w:hAnsi="宋体" w:eastAsia="宋体" w:cs="宋体"/>
          <w:sz w:val="24"/>
          <w:szCs w:val="24"/>
          <w:highlight w:val="none"/>
        </w:rPr>
        <w:t>，并在人员、设备、资金等方面具有相应的施工能力</w:t>
      </w:r>
      <w:r>
        <w:rPr>
          <w:rFonts w:hint="eastAsia" w:ascii="宋体" w:hAnsi="宋体" w:eastAsia="宋体" w:cs="宋体"/>
          <w:sz w:val="24"/>
          <w:szCs w:val="24"/>
          <w:highlight w:val="none"/>
          <w:lang w:val="zh-CN"/>
        </w:rPr>
        <w:t>；</w:t>
      </w:r>
    </w:p>
    <w:p>
      <w:pPr>
        <w:pStyle w:val="40"/>
        <w:spacing w:line="400" w:lineRule="exact"/>
        <w:ind w:left="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（2）项目经理须具备[注册二级建造师·建筑工程](含)以上专业级注册建造师执业资格和有效的安全生产考核合格证书；</w:t>
      </w:r>
    </w:p>
    <w:p>
      <w:pPr>
        <w:pStyle w:val="40"/>
        <w:spacing w:line="400" w:lineRule="exact"/>
        <w:ind w:left="48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u w:val="single"/>
        </w:rPr>
        <w:t>供应商须具有有效的《安全生产许可证》；</w:t>
      </w:r>
    </w:p>
    <w:p>
      <w:pPr>
        <w:pStyle w:val="40"/>
        <w:spacing w:line="400" w:lineRule="exact"/>
        <w:ind w:left="480"/>
        <w:rPr>
          <w:rFonts w:hint="eastAsia" w:ascii="宋体" w:hAnsi="宋体" w:cs="宋体"/>
          <w:sz w:val="24"/>
          <w:szCs w:val="24"/>
          <w:highlight w:val="none"/>
          <w:u w:val="single"/>
        </w:rPr>
      </w:pPr>
      <w:r>
        <w:rPr>
          <w:rFonts w:hint="eastAsia" w:ascii="宋体" w:hAnsi="宋体" w:cs="宋体"/>
          <w:sz w:val="24"/>
          <w:szCs w:val="24"/>
          <w:highlight w:val="none"/>
        </w:rPr>
        <w:t>（4）</w:t>
      </w:r>
      <w:r>
        <w:rPr>
          <w:rFonts w:hint="eastAsia" w:ascii="宋体" w:hAnsi="宋体" w:cs="宋体"/>
          <w:sz w:val="24"/>
          <w:szCs w:val="24"/>
          <w:highlight w:val="none"/>
          <w:u w:val="single"/>
        </w:rPr>
        <w:t>外省企业须具有有效的《省外进青建筑企业报告登记证书》；</w:t>
      </w:r>
    </w:p>
    <w:p>
      <w:pPr>
        <w:pStyle w:val="40"/>
        <w:spacing w:line="400" w:lineRule="exact"/>
        <w:ind w:left="480"/>
        <w:rPr>
          <w:rFonts w:hint="eastAsia" w:ascii="宋体" w:hAnsi="宋体" w:cs="宋体"/>
          <w:sz w:val="24"/>
          <w:szCs w:val="24"/>
          <w:highlight w:val="none"/>
          <w:lang w:val="zh-CN"/>
        </w:rPr>
      </w:pP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5</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rPr>
        <w:t>经信用中国（www.creditchina.gov.cn）、中国政府采购网（www.ccgp.gov.cn）等渠道查询后，列入失信被执行人、重大税收违法案件当事人名单、政府采购严重违法失信行为记录名单的，取消投标资格。（提供“信用中国”网站下载的完整的信用信息和“中国政府采购网”截图，信息生成时间和截图时间为磋商时间前</w:t>
      </w:r>
      <w:r>
        <w:rPr>
          <w:rFonts w:hint="eastAsia" w:ascii="宋体" w:hAnsi="宋体" w:cs="宋体"/>
          <w:sz w:val="24"/>
          <w:szCs w:val="24"/>
          <w:highlight w:val="none"/>
          <w:u w:val="single"/>
          <w:lang w:val="en-US" w:eastAsia="zh-CN"/>
        </w:rPr>
        <w:t>2</w:t>
      </w:r>
      <w:bookmarkStart w:id="346" w:name="_GoBack"/>
      <w:bookmarkEnd w:id="346"/>
      <w:r>
        <w:rPr>
          <w:rFonts w:hint="eastAsia" w:ascii="宋体" w:hAnsi="宋体" w:cs="宋体"/>
          <w:sz w:val="24"/>
          <w:szCs w:val="24"/>
          <w:highlight w:val="none"/>
          <w:u w:val="single"/>
        </w:rPr>
        <w:t>0天内）</w:t>
      </w:r>
      <w:r>
        <w:rPr>
          <w:rFonts w:hint="eastAsia" w:ascii="宋体" w:hAnsi="宋体" w:cs="宋体"/>
          <w:sz w:val="24"/>
          <w:szCs w:val="24"/>
          <w:highlight w:val="none"/>
          <w:u w:val="single"/>
          <w:lang w:val="zh-CN"/>
        </w:rPr>
        <w:t>；</w:t>
      </w:r>
    </w:p>
    <w:p>
      <w:pPr>
        <w:pStyle w:val="40"/>
        <w:spacing w:line="400" w:lineRule="exact"/>
        <w:ind w:left="480"/>
        <w:rPr>
          <w:rFonts w:hint="eastAsia" w:ascii="宋体" w:hAnsi="宋体" w:cs="宋体"/>
          <w:sz w:val="24"/>
          <w:szCs w:val="24"/>
          <w:highlight w:val="none"/>
          <w:lang w:val="zh-CN"/>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6</w:t>
      </w:r>
      <w:r>
        <w:rPr>
          <w:rFonts w:hint="eastAsia" w:ascii="宋体" w:hAnsi="宋体" w:cs="宋体"/>
          <w:sz w:val="24"/>
          <w:szCs w:val="24"/>
          <w:highlight w:val="none"/>
        </w:rPr>
        <w:t>）</w:t>
      </w:r>
      <w:r>
        <w:rPr>
          <w:rFonts w:hint="eastAsia" w:ascii="宋体" w:hAnsi="宋体" w:cs="宋体"/>
          <w:sz w:val="24"/>
          <w:szCs w:val="24"/>
          <w:highlight w:val="none"/>
          <w:u w:val="single"/>
          <w:lang w:val="zh-CN"/>
        </w:rPr>
        <w:t>供应商可对上述项目进行投标，但不得就本项目内容拆分投标，所投内容必须完全响应采购文件所列示内容。</w:t>
      </w:r>
    </w:p>
    <w:p>
      <w:pPr>
        <w:pStyle w:val="40"/>
        <w:spacing w:line="400" w:lineRule="exact"/>
        <w:ind w:left="480"/>
        <w:rPr>
          <w:rFonts w:hint="eastAsia" w:ascii="宋体" w:hAnsi="宋体" w:cs="宋体"/>
          <w:sz w:val="24"/>
          <w:szCs w:val="24"/>
          <w:highlight w:val="none"/>
          <w:u w:val="single"/>
          <w:lang w:val="zh-CN"/>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7</w:t>
      </w:r>
      <w:r>
        <w:rPr>
          <w:rFonts w:hint="eastAsia" w:ascii="宋体" w:hAnsi="宋体" w:cs="宋体"/>
          <w:sz w:val="24"/>
          <w:szCs w:val="24"/>
          <w:highlight w:val="none"/>
        </w:rPr>
        <w:t>）</w:t>
      </w:r>
      <w:r>
        <w:rPr>
          <w:rFonts w:hint="eastAsia" w:ascii="宋体" w:hAnsi="宋体" w:cs="宋体"/>
          <w:sz w:val="24"/>
          <w:szCs w:val="24"/>
          <w:highlight w:val="none"/>
          <w:u w:val="single"/>
          <w:lang w:val="zh-CN"/>
        </w:rPr>
        <w:t>单位负责人为同一人或者存在直接控股、管理关系的不同供应商，不得参加同一合同项下的政府采购活动。否则，皆取消投标资格；</w:t>
      </w:r>
    </w:p>
    <w:p>
      <w:pPr>
        <w:spacing w:line="400" w:lineRule="exact"/>
        <w:ind w:firstLine="480" w:firstLineChars="200"/>
        <w:rPr>
          <w:rFonts w:hint="eastAsia"/>
          <w:highlight w:val="none"/>
          <w:lang w:val="zh-CN"/>
        </w:rPr>
      </w:pPr>
      <w:r>
        <w:rPr>
          <w:rFonts w:hint="eastAsia"/>
          <w:highlight w:val="none"/>
        </w:rPr>
        <w:t>（</w:t>
      </w:r>
      <w:r>
        <w:rPr>
          <w:rFonts w:hint="eastAsia"/>
          <w:highlight w:val="none"/>
          <w:lang w:val="en-US" w:eastAsia="zh-CN"/>
        </w:rPr>
        <w:t>8</w:t>
      </w:r>
      <w:r>
        <w:rPr>
          <w:rFonts w:hint="eastAsia"/>
          <w:highlight w:val="none"/>
        </w:rPr>
        <w:t>）</w:t>
      </w:r>
      <w:r>
        <w:rPr>
          <w:rFonts w:hint="eastAsia"/>
          <w:highlight w:val="none"/>
          <w:u w:val="single"/>
          <w:lang w:val="zh-CN"/>
        </w:rPr>
        <w:t>为本采购项目提供整体规范编制或者项目管理、监理、检测等服务的供应商，不得再参加该采购项目的其他采购活动；</w:t>
      </w:r>
    </w:p>
    <w:p>
      <w:pPr>
        <w:spacing w:line="400" w:lineRule="exact"/>
        <w:outlineLvl w:val="1"/>
        <w:rPr>
          <w:rFonts w:hint="eastAsia"/>
          <w:b/>
          <w:bCs/>
          <w:highlight w:val="none"/>
        </w:rPr>
      </w:pPr>
      <w:bookmarkStart w:id="23" w:name="_Toc8269"/>
      <w:bookmarkStart w:id="24" w:name="_Toc17750"/>
      <w:r>
        <w:rPr>
          <w:rFonts w:hint="eastAsia"/>
          <w:b/>
          <w:bCs/>
          <w:highlight w:val="none"/>
        </w:rPr>
        <w:t>三、获取采购文件</w:t>
      </w:r>
      <w:bookmarkEnd w:id="19"/>
      <w:bookmarkEnd w:id="20"/>
      <w:bookmarkEnd w:id="21"/>
      <w:bookmarkEnd w:id="22"/>
      <w:bookmarkEnd w:id="23"/>
      <w:bookmarkEnd w:id="24"/>
    </w:p>
    <w:p>
      <w:pPr>
        <w:spacing w:line="400" w:lineRule="exact"/>
        <w:ind w:firstLine="540"/>
        <w:rPr>
          <w:rFonts w:hint="eastAsia"/>
          <w:highlight w:val="red"/>
          <w:u w:val="single"/>
        </w:rPr>
      </w:pPr>
      <w:r>
        <w:rPr>
          <w:rFonts w:hint="eastAsia"/>
          <w:b/>
          <w:bCs/>
          <w:highlight w:val="none"/>
        </w:rPr>
        <w:t>时间：</w:t>
      </w:r>
      <w:r>
        <w:rPr>
          <w:rFonts w:hint="eastAsia" w:ascii="宋体" w:hAnsi="宋体" w:eastAsia="宋体" w:cs="宋体"/>
          <w:b/>
          <w:bCs/>
          <w:highlight w:val="none"/>
          <w:u w:val="single"/>
          <w:lang w:val="zh-CN" w:eastAsia="zh-CN"/>
        </w:rPr>
        <w:t>202</w:t>
      </w:r>
      <w:r>
        <w:rPr>
          <w:rFonts w:hint="eastAsia" w:cs="宋体"/>
          <w:b/>
          <w:bCs/>
          <w:highlight w:val="none"/>
          <w:u w:val="single"/>
          <w:lang w:val="en-US" w:eastAsia="zh-CN"/>
        </w:rPr>
        <w:t>3</w:t>
      </w:r>
      <w:r>
        <w:rPr>
          <w:rFonts w:hint="eastAsia" w:ascii="宋体" w:hAnsi="宋体" w:eastAsia="宋体" w:cs="宋体"/>
          <w:b/>
          <w:bCs/>
          <w:highlight w:val="none"/>
          <w:u w:val="single"/>
          <w:lang w:val="zh-CN" w:eastAsia="zh-CN"/>
        </w:rPr>
        <w:t>年</w:t>
      </w:r>
      <w:r>
        <w:rPr>
          <w:rFonts w:hint="eastAsia" w:cs="宋体"/>
          <w:b/>
          <w:bCs/>
          <w:highlight w:val="none"/>
          <w:u w:val="single"/>
          <w:lang w:val="en-US" w:eastAsia="zh-CN"/>
        </w:rPr>
        <w:t>03</w:t>
      </w:r>
      <w:r>
        <w:rPr>
          <w:rFonts w:hint="eastAsia" w:ascii="宋体" w:hAnsi="宋体" w:eastAsia="宋体" w:cs="宋体"/>
          <w:b/>
          <w:bCs/>
          <w:highlight w:val="none"/>
          <w:u w:val="single"/>
          <w:lang w:val="zh-CN" w:eastAsia="zh-CN"/>
        </w:rPr>
        <w:t>月</w:t>
      </w:r>
      <w:r>
        <w:rPr>
          <w:rFonts w:hint="eastAsia" w:cs="宋体"/>
          <w:b/>
          <w:bCs/>
          <w:highlight w:val="none"/>
          <w:u w:val="single"/>
          <w:lang w:val="en-US" w:eastAsia="zh-CN"/>
        </w:rPr>
        <w:t>30</w:t>
      </w:r>
      <w:r>
        <w:rPr>
          <w:rFonts w:hint="eastAsia" w:ascii="宋体" w:hAnsi="宋体" w:eastAsia="宋体" w:cs="宋体"/>
          <w:b/>
          <w:bCs/>
          <w:highlight w:val="none"/>
          <w:u w:val="single"/>
          <w:lang w:val="zh-CN" w:eastAsia="zh-CN"/>
        </w:rPr>
        <w:t>日至202</w:t>
      </w:r>
      <w:r>
        <w:rPr>
          <w:rFonts w:hint="eastAsia" w:cs="宋体"/>
          <w:b/>
          <w:bCs/>
          <w:highlight w:val="none"/>
          <w:u w:val="single"/>
          <w:lang w:val="en-US" w:eastAsia="zh-CN"/>
        </w:rPr>
        <w:t>3</w:t>
      </w:r>
      <w:r>
        <w:rPr>
          <w:rFonts w:hint="eastAsia" w:ascii="宋体" w:hAnsi="宋体" w:eastAsia="宋体" w:cs="宋体"/>
          <w:b/>
          <w:bCs/>
          <w:highlight w:val="none"/>
          <w:u w:val="single"/>
          <w:lang w:val="zh-CN" w:eastAsia="zh-CN"/>
        </w:rPr>
        <w:t>年</w:t>
      </w:r>
      <w:r>
        <w:rPr>
          <w:rFonts w:hint="eastAsia" w:cs="宋体"/>
          <w:b/>
          <w:bCs/>
          <w:highlight w:val="none"/>
          <w:u w:val="single"/>
          <w:lang w:val="en-US" w:eastAsia="zh-CN"/>
        </w:rPr>
        <w:t>04</w:t>
      </w:r>
      <w:r>
        <w:rPr>
          <w:rFonts w:hint="eastAsia" w:ascii="宋体" w:hAnsi="宋体" w:eastAsia="宋体" w:cs="宋体"/>
          <w:b/>
          <w:bCs/>
          <w:highlight w:val="none"/>
          <w:u w:val="single"/>
          <w:lang w:val="zh-CN" w:eastAsia="zh-CN"/>
        </w:rPr>
        <w:t>月</w:t>
      </w:r>
      <w:r>
        <w:rPr>
          <w:rFonts w:hint="eastAsia" w:cs="宋体"/>
          <w:b/>
          <w:bCs/>
          <w:highlight w:val="none"/>
          <w:u w:val="single"/>
          <w:lang w:val="en-US" w:eastAsia="zh-CN"/>
        </w:rPr>
        <w:t>06</w:t>
      </w:r>
      <w:r>
        <w:rPr>
          <w:rFonts w:hint="eastAsia" w:ascii="宋体" w:hAnsi="宋体" w:eastAsia="宋体" w:cs="宋体"/>
          <w:b/>
          <w:bCs/>
          <w:highlight w:val="none"/>
          <w:u w:val="single"/>
          <w:lang w:val="zh-CN" w:eastAsia="zh-CN"/>
        </w:rPr>
        <w:t>日</w:t>
      </w:r>
      <w:r>
        <w:rPr>
          <w:rFonts w:hint="eastAsia" w:eastAsia="宋体"/>
          <w:b/>
          <w:bCs/>
          <w:highlight w:val="none"/>
          <w:u w:val="single"/>
          <w:lang w:val="zh-CN" w:eastAsia="zh-CN"/>
        </w:rPr>
        <w:t>（</w:t>
      </w:r>
      <w:r>
        <w:rPr>
          <w:rFonts w:hint="eastAsia" w:eastAsia="宋体"/>
          <w:b/>
          <w:bCs/>
          <w:highlight w:val="none"/>
          <w:u w:val="single"/>
          <w:lang w:val="en-US" w:eastAsia="zh-CN"/>
        </w:rPr>
        <w:t>周末</w:t>
      </w:r>
      <w:r>
        <w:rPr>
          <w:rFonts w:hint="eastAsia"/>
          <w:b/>
          <w:bCs/>
          <w:highlight w:val="none"/>
          <w:u w:val="single"/>
          <w:lang w:val="en-US" w:eastAsia="zh-CN"/>
        </w:rPr>
        <w:t>与节假日除外</w:t>
      </w:r>
      <w:r>
        <w:rPr>
          <w:rFonts w:hint="eastAsia"/>
          <w:b/>
          <w:bCs/>
          <w:highlight w:val="none"/>
          <w:u w:val="single"/>
          <w:lang w:val="zh-CN"/>
        </w:rPr>
        <w:t>），每日上午</w:t>
      </w:r>
      <w:r>
        <w:rPr>
          <w:rFonts w:hint="eastAsia"/>
          <w:b/>
          <w:bCs/>
          <w:highlight w:val="none"/>
          <w:u w:val="single"/>
        </w:rPr>
        <w:t>9</w:t>
      </w:r>
      <w:r>
        <w:rPr>
          <w:rFonts w:hint="eastAsia"/>
          <w:b/>
          <w:bCs/>
          <w:highlight w:val="none"/>
          <w:u w:val="single"/>
          <w:lang w:val="zh-CN"/>
        </w:rPr>
        <w:t>：</w:t>
      </w:r>
      <w:r>
        <w:rPr>
          <w:rFonts w:hint="eastAsia"/>
          <w:b/>
          <w:bCs/>
          <w:highlight w:val="none"/>
          <w:u w:val="single"/>
        </w:rPr>
        <w:t>0</w:t>
      </w:r>
      <w:r>
        <w:rPr>
          <w:rFonts w:hint="eastAsia"/>
          <w:b/>
          <w:bCs/>
          <w:highlight w:val="none"/>
          <w:u w:val="single"/>
          <w:lang w:val="zh-CN"/>
        </w:rPr>
        <w:t>0时至1</w:t>
      </w:r>
      <w:r>
        <w:rPr>
          <w:rFonts w:hint="eastAsia"/>
          <w:b/>
          <w:bCs/>
          <w:highlight w:val="none"/>
          <w:u w:val="single"/>
          <w:lang w:val="en-US" w:eastAsia="zh-CN"/>
        </w:rPr>
        <w:t>2</w:t>
      </w:r>
      <w:r>
        <w:rPr>
          <w:rFonts w:hint="eastAsia"/>
          <w:b/>
          <w:bCs/>
          <w:highlight w:val="none"/>
          <w:u w:val="single"/>
          <w:lang w:val="zh-CN"/>
        </w:rPr>
        <w:t>:</w:t>
      </w:r>
      <w:r>
        <w:rPr>
          <w:rFonts w:hint="eastAsia"/>
          <w:b/>
          <w:bCs/>
          <w:highlight w:val="none"/>
          <w:u w:val="single"/>
          <w:lang w:val="en-US" w:eastAsia="zh-CN"/>
        </w:rPr>
        <w:t>0</w:t>
      </w:r>
      <w:r>
        <w:rPr>
          <w:rFonts w:hint="eastAsia"/>
          <w:b/>
          <w:bCs/>
          <w:highlight w:val="none"/>
          <w:u w:val="single"/>
          <w:lang w:val="zh-CN"/>
        </w:rPr>
        <w:t>0时(北京时间，下同)，下午1</w:t>
      </w:r>
      <w:r>
        <w:rPr>
          <w:rFonts w:hint="eastAsia"/>
          <w:b/>
          <w:bCs/>
          <w:highlight w:val="none"/>
          <w:u w:val="single"/>
          <w:lang w:val="en-US" w:eastAsia="zh-CN"/>
        </w:rPr>
        <w:t>4</w:t>
      </w:r>
      <w:r>
        <w:rPr>
          <w:rFonts w:hint="eastAsia"/>
          <w:b/>
          <w:bCs/>
          <w:highlight w:val="none"/>
          <w:u w:val="single"/>
          <w:lang w:val="zh-CN"/>
        </w:rPr>
        <w:t>:30时至</w:t>
      </w:r>
      <w:r>
        <w:rPr>
          <w:rFonts w:hint="eastAsia"/>
          <w:b/>
          <w:bCs/>
          <w:highlight w:val="none"/>
          <w:u w:val="single"/>
        </w:rPr>
        <w:t>1</w:t>
      </w:r>
      <w:r>
        <w:rPr>
          <w:rFonts w:hint="eastAsia"/>
          <w:b/>
          <w:bCs/>
          <w:highlight w:val="none"/>
          <w:u w:val="single"/>
          <w:lang w:val="en-US" w:eastAsia="zh-CN"/>
        </w:rPr>
        <w:t>7</w:t>
      </w:r>
      <w:r>
        <w:rPr>
          <w:rFonts w:hint="eastAsia"/>
          <w:b/>
          <w:bCs/>
          <w:highlight w:val="none"/>
          <w:u w:val="single"/>
        </w:rPr>
        <w:t>:</w:t>
      </w:r>
      <w:r>
        <w:rPr>
          <w:rFonts w:hint="eastAsia"/>
          <w:b/>
          <w:bCs/>
          <w:highlight w:val="none"/>
          <w:u w:val="single"/>
          <w:lang w:val="en-US" w:eastAsia="zh-CN"/>
        </w:rPr>
        <w:t>3</w:t>
      </w:r>
      <w:r>
        <w:rPr>
          <w:rFonts w:hint="eastAsia"/>
          <w:b/>
          <w:bCs/>
          <w:highlight w:val="none"/>
          <w:u w:val="single"/>
        </w:rPr>
        <w:t>0</w:t>
      </w:r>
      <w:r>
        <w:rPr>
          <w:rFonts w:hint="eastAsia"/>
          <w:b/>
          <w:bCs/>
          <w:highlight w:val="none"/>
          <w:u w:val="single"/>
          <w:lang w:val="zh-CN"/>
        </w:rPr>
        <w:t>时</w:t>
      </w:r>
    </w:p>
    <w:p>
      <w:pPr>
        <w:spacing w:line="400" w:lineRule="exact"/>
        <w:ind w:firstLine="540"/>
        <w:rPr>
          <w:rFonts w:hint="default" w:eastAsia="宋体"/>
          <w:highlight w:val="none"/>
          <w:u w:val="single"/>
          <w:lang w:val="en-US" w:eastAsia="zh-CN"/>
        </w:rPr>
      </w:pPr>
      <w:r>
        <w:rPr>
          <w:rFonts w:hint="eastAsia"/>
          <w:b/>
          <w:bCs/>
          <w:highlight w:val="none"/>
        </w:rPr>
        <w:t>地点：</w:t>
      </w:r>
      <w:r>
        <w:rPr>
          <w:rFonts w:hint="eastAsia"/>
          <w:color w:val="000000"/>
          <w:highlight w:val="none"/>
          <w:u w:val="single"/>
          <w:lang w:val="en-US" w:eastAsia="zh-CN"/>
        </w:rPr>
        <w:t>青海天达工程管理有限公司(青海省西宁市城东区南山路中惠紫金城20号楼2单元2282室）</w:t>
      </w:r>
    </w:p>
    <w:p>
      <w:pPr>
        <w:spacing w:line="400" w:lineRule="exact"/>
        <w:ind w:firstLine="482" w:firstLineChars="200"/>
        <w:rPr>
          <w:rFonts w:hint="eastAsia" w:ascii="宋体" w:hAnsi="宋体" w:cs="宋体"/>
        </w:rPr>
      </w:pPr>
      <w:r>
        <w:rPr>
          <w:rFonts w:hint="eastAsia"/>
          <w:b/>
          <w:bCs/>
          <w:highlight w:val="none"/>
        </w:rPr>
        <w:t>方式：</w:t>
      </w:r>
      <w:r>
        <w:rPr>
          <w:rFonts w:hint="eastAsia"/>
          <w:b w:val="0"/>
          <w:bCs w:val="0"/>
          <w:highlight w:val="none"/>
          <w:lang w:eastAsia="zh-CN"/>
        </w:rPr>
        <w:t>现场购买或</w:t>
      </w:r>
      <w:r>
        <w:rPr>
          <w:rFonts w:hint="eastAsia" w:ascii="宋体" w:hAnsi="宋体" w:cs="宋体"/>
          <w:b w:val="0"/>
          <w:bCs w:val="0"/>
          <w:highlight w:val="none"/>
        </w:rPr>
        <w:t>网</w:t>
      </w:r>
      <w:r>
        <w:rPr>
          <w:rFonts w:hint="eastAsia" w:ascii="宋体" w:hAnsi="宋体" w:cs="宋体"/>
          <w:highlight w:val="none"/>
        </w:rPr>
        <w:t>上购买</w:t>
      </w:r>
      <w:r>
        <w:rPr>
          <w:rFonts w:hint="eastAsia" w:ascii="宋体" w:hAnsi="宋体" w:cs="宋体"/>
          <w:color w:val="000000"/>
          <w:kern w:val="0"/>
          <w:sz w:val="24"/>
          <w:szCs w:val="24"/>
          <w:lang w:val="zh-CN"/>
        </w:rPr>
        <w:t>【</w:t>
      </w:r>
      <w:r>
        <w:rPr>
          <w:rFonts w:hint="eastAsia" w:ascii="宋体" w:hAnsi="宋体" w:cs="宋体"/>
          <w:color w:val="000000"/>
          <w:kern w:val="0"/>
          <w:sz w:val="24"/>
          <w:szCs w:val="24"/>
          <w:u w:val="none"/>
          <w:lang w:val="en-US" w:eastAsia="zh-CN"/>
        </w:rPr>
        <w:t>现</w:t>
      </w:r>
      <w:r>
        <w:rPr>
          <w:rFonts w:hint="eastAsia" w:ascii="宋体" w:hAnsi="宋体" w:cs="宋体"/>
          <w:kern w:val="0"/>
          <w:sz w:val="24"/>
          <w:szCs w:val="24"/>
          <w:u w:val="none"/>
          <w:lang w:val="zh-CN"/>
        </w:rPr>
        <w:t>场购买</w:t>
      </w:r>
      <w:r>
        <w:rPr>
          <w:rFonts w:hint="eastAsia" w:ascii="宋体" w:hAnsi="宋体" w:cs="宋体"/>
          <w:kern w:val="0"/>
          <w:sz w:val="24"/>
          <w:szCs w:val="24"/>
          <w:u w:val="none"/>
        </w:rPr>
        <w:t>招标</w:t>
      </w:r>
      <w:r>
        <w:rPr>
          <w:rFonts w:hint="eastAsia" w:ascii="宋体" w:hAnsi="宋体" w:cs="宋体"/>
          <w:kern w:val="0"/>
          <w:sz w:val="24"/>
          <w:szCs w:val="24"/>
          <w:u w:val="none"/>
          <w:lang w:val="zh-CN"/>
        </w:rPr>
        <w:t>文件的供应商请持投标单位营业执照复印件、法人授权委托书（原件）及法人和委托代理人身份证复印件</w:t>
      </w:r>
      <w:r>
        <w:rPr>
          <w:rFonts w:hint="eastAsia" w:cs="宋体"/>
          <w:kern w:val="0"/>
          <w:sz w:val="24"/>
          <w:szCs w:val="24"/>
          <w:u w:val="none"/>
          <w:lang w:val="en-US" w:eastAsia="zh-CN"/>
        </w:rPr>
        <w:t>（加盖公章）</w:t>
      </w:r>
      <w:r>
        <w:rPr>
          <w:rFonts w:hint="eastAsia" w:ascii="宋体" w:hAnsi="宋体" w:cs="宋体"/>
          <w:kern w:val="0"/>
          <w:sz w:val="24"/>
          <w:szCs w:val="24"/>
          <w:u w:val="none"/>
          <w:lang w:val="zh-CN"/>
        </w:rPr>
        <w:t>在</w:t>
      </w:r>
      <w:r>
        <w:rPr>
          <w:rFonts w:hint="eastAsia" w:cs="宋体"/>
          <w:kern w:val="0"/>
          <w:sz w:val="24"/>
          <w:szCs w:val="24"/>
          <w:u w:val="none"/>
          <w:lang w:eastAsia="zh-CN"/>
        </w:rPr>
        <w:t>青海天达工程管理有限公司</w:t>
      </w:r>
      <w:r>
        <w:rPr>
          <w:rFonts w:hint="eastAsia" w:ascii="宋体" w:hAnsi="宋体" w:cs="宋体"/>
          <w:kern w:val="0"/>
          <w:sz w:val="24"/>
          <w:szCs w:val="24"/>
          <w:u w:val="none"/>
          <w:lang w:val="zh-CN"/>
        </w:rPr>
        <w:t>报名并购买</w:t>
      </w:r>
      <w:r>
        <w:rPr>
          <w:rFonts w:hint="eastAsia" w:cs="宋体"/>
          <w:kern w:val="0"/>
          <w:sz w:val="24"/>
          <w:szCs w:val="24"/>
          <w:u w:val="none"/>
          <w:lang w:val="en-US" w:eastAsia="zh-CN"/>
        </w:rPr>
        <w:t>磋商</w:t>
      </w:r>
      <w:r>
        <w:rPr>
          <w:rFonts w:hint="eastAsia" w:ascii="宋体" w:hAnsi="宋体" w:cs="宋体"/>
          <w:kern w:val="0"/>
          <w:sz w:val="24"/>
          <w:szCs w:val="24"/>
          <w:u w:val="none"/>
          <w:lang w:val="zh-CN"/>
        </w:rPr>
        <w:t>文件</w:t>
      </w:r>
      <w:r>
        <w:rPr>
          <w:rFonts w:hint="eastAsia" w:ascii="宋体" w:hAnsi="宋体" w:cs="宋体"/>
          <w:kern w:val="0"/>
          <w:sz w:val="24"/>
          <w:szCs w:val="24"/>
          <w:u w:val="none"/>
        </w:rPr>
        <w:t>；</w:t>
      </w:r>
      <w:r>
        <w:rPr>
          <w:rFonts w:hint="eastAsia" w:ascii="宋体" w:hAnsi="宋体" w:cs="宋体"/>
          <w:kern w:val="0"/>
          <w:sz w:val="24"/>
          <w:szCs w:val="24"/>
          <w:u w:val="none"/>
          <w:lang w:val="zh-CN"/>
        </w:rPr>
        <w:t>网上购买</w:t>
      </w:r>
      <w:r>
        <w:rPr>
          <w:rFonts w:hint="eastAsia" w:ascii="宋体" w:hAnsi="宋体" w:cs="宋体"/>
          <w:kern w:val="0"/>
          <w:sz w:val="24"/>
          <w:szCs w:val="24"/>
          <w:u w:val="none"/>
        </w:rPr>
        <w:t>招标文件</w:t>
      </w:r>
      <w:r>
        <w:rPr>
          <w:rFonts w:hint="eastAsia" w:ascii="宋体" w:hAnsi="宋体" w:cs="宋体"/>
          <w:kern w:val="0"/>
          <w:sz w:val="24"/>
          <w:szCs w:val="24"/>
          <w:u w:val="none"/>
          <w:lang w:val="zh-CN"/>
        </w:rPr>
        <w:t>的供应商请将投标单位营业执照复印件、法人授权委托书（原件）及法人和委托代理人身份证复印件扫描后发至我公司联系邮箱</w:t>
      </w:r>
      <w:r>
        <w:rPr>
          <w:rFonts w:hint="eastAsia" w:ascii="宋体" w:hAnsi="宋体" w:cs="宋体"/>
          <w:kern w:val="0"/>
          <w:sz w:val="24"/>
          <w:szCs w:val="24"/>
          <w:highlight w:val="none"/>
          <w:u w:val="none"/>
        </w:rPr>
        <w:t>（</w:t>
      </w:r>
      <w:r>
        <w:rPr>
          <w:rFonts w:hint="eastAsia" w:cs="宋体"/>
          <w:kern w:val="0"/>
          <w:sz w:val="24"/>
          <w:szCs w:val="24"/>
          <w:highlight w:val="none"/>
          <w:u w:val="none"/>
          <w:lang w:val="en-US" w:eastAsia="zh-CN"/>
        </w:rPr>
        <w:t>811290032</w:t>
      </w:r>
      <w:r>
        <w:rPr>
          <w:rFonts w:hint="eastAsia" w:ascii="宋体" w:hAnsi="宋体" w:cs="宋体"/>
          <w:kern w:val="0"/>
          <w:sz w:val="24"/>
          <w:szCs w:val="24"/>
          <w:highlight w:val="none"/>
          <w:u w:val="none"/>
          <w:lang w:val="zh-CN"/>
        </w:rPr>
        <w:fldChar w:fldCharType="begin"/>
      </w:r>
      <w:r>
        <w:rPr>
          <w:rFonts w:hint="eastAsia" w:ascii="宋体" w:hAnsi="宋体" w:cs="宋体"/>
          <w:kern w:val="0"/>
          <w:sz w:val="24"/>
          <w:szCs w:val="24"/>
          <w:highlight w:val="none"/>
          <w:u w:val="none"/>
        </w:rPr>
        <w:instrText xml:space="preserve"> HYPERLINK \l "mailto:dy8211136@163.com" </w:instrText>
      </w:r>
      <w:r>
        <w:rPr>
          <w:rFonts w:hint="eastAsia" w:ascii="宋体" w:hAnsi="宋体" w:cs="宋体"/>
          <w:kern w:val="0"/>
          <w:sz w:val="24"/>
          <w:szCs w:val="24"/>
          <w:highlight w:val="none"/>
          <w:u w:val="none"/>
          <w:lang w:val="zh-CN"/>
        </w:rPr>
        <w:fldChar w:fldCharType="separate"/>
      </w:r>
      <w:r>
        <w:rPr>
          <w:rFonts w:hint="eastAsia" w:ascii="宋体" w:hAnsi="宋体" w:cs="宋体"/>
          <w:kern w:val="0"/>
          <w:sz w:val="24"/>
          <w:szCs w:val="24"/>
          <w:highlight w:val="none"/>
          <w:u w:val="none"/>
        </w:rPr>
        <w:t>@</w:t>
      </w:r>
      <w:r>
        <w:rPr>
          <w:rFonts w:hint="eastAsia" w:cs="宋体"/>
          <w:kern w:val="0"/>
          <w:sz w:val="24"/>
          <w:szCs w:val="24"/>
          <w:highlight w:val="none"/>
          <w:u w:val="none"/>
          <w:lang w:val="en-US" w:eastAsia="zh-CN"/>
        </w:rPr>
        <w:t>qq</w:t>
      </w:r>
      <w:r>
        <w:rPr>
          <w:rFonts w:hint="eastAsia" w:ascii="宋体" w:hAnsi="宋体" w:cs="宋体"/>
          <w:kern w:val="0"/>
          <w:sz w:val="24"/>
          <w:szCs w:val="24"/>
          <w:highlight w:val="none"/>
          <w:u w:val="none"/>
        </w:rPr>
        <w:t>.com</w:t>
      </w:r>
      <w:r>
        <w:rPr>
          <w:rFonts w:hint="eastAsia" w:ascii="宋体" w:hAnsi="宋体" w:cs="宋体"/>
          <w:kern w:val="0"/>
          <w:sz w:val="24"/>
          <w:szCs w:val="24"/>
          <w:highlight w:val="none"/>
          <w:u w:val="none"/>
          <w:lang w:val="zh-CN"/>
        </w:rPr>
        <w:fldChar w:fldCharType="end"/>
      </w:r>
      <w:r>
        <w:rPr>
          <w:rFonts w:hint="eastAsia" w:ascii="宋体" w:hAnsi="宋体" w:cs="宋体"/>
          <w:kern w:val="0"/>
          <w:sz w:val="24"/>
          <w:szCs w:val="24"/>
          <w:u w:val="none"/>
        </w:rPr>
        <w:t>），</w:t>
      </w:r>
      <w:r>
        <w:rPr>
          <w:rFonts w:hint="eastAsia" w:ascii="宋体" w:hAnsi="宋体" w:cs="宋体"/>
          <w:kern w:val="0"/>
          <w:sz w:val="24"/>
          <w:szCs w:val="24"/>
          <w:u w:val="none"/>
          <w:lang w:val="zh-CN"/>
        </w:rPr>
        <w:t>并在邮件中标明购买项目名称、项目编号、</w:t>
      </w:r>
      <w:r>
        <w:rPr>
          <w:rFonts w:hint="eastAsia" w:ascii="宋体" w:hAnsi="宋体" w:cs="宋体"/>
          <w:kern w:val="0"/>
          <w:sz w:val="24"/>
          <w:szCs w:val="24"/>
          <w:u w:val="none"/>
        </w:rPr>
        <w:t>包号、</w:t>
      </w:r>
      <w:r>
        <w:rPr>
          <w:rFonts w:hint="eastAsia" w:ascii="宋体" w:hAnsi="宋体" w:cs="宋体"/>
          <w:kern w:val="0"/>
          <w:sz w:val="24"/>
          <w:szCs w:val="24"/>
          <w:u w:val="none"/>
          <w:lang w:val="zh-CN"/>
        </w:rPr>
        <w:t>联系人及联系方式</w:t>
      </w:r>
      <w:r>
        <w:rPr>
          <w:rFonts w:hint="eastAsia" w:ascii="宋体" w:hAnsi="宋体" w:cs="宋体"/>
          <w:kern w:val="0"/>
          <w:sz w:val="24"/>
          <w:szCs w:val="24"/>
          <w:u w:val="none"/>
        </w:rPr>
        <w:t>，</w:t>
      </w:r>
      <w:r>
        <w:rPr>
          <w:rFonts w:hint="eastAsia" w:ascii="宋体" w:hAnsi="宋体" w:cs="宋体"/>
          <w:kern w:val="0"/>
          <w:sz w:val="24"/>
          <w:szCs w:val="24"/>
          <w:u w:val="none"/>
          <w:lang w:val="zh-CN"/>
        </w:rPr>
        <w:t>并与我公司工作人员进行联系确认</w:t>
      </w:r>
      <w:r>
        <w:rPr>
          <w:rFonts w:hint="eastAsia" w:ascii="宋体" w:hAnsi="宋体" w:cs="宋体"/>
          <w:kern w:val="0"/>
          <w:sz w:val="24"/>
          <w:szCs w:val="24"/>
          <w:u w:val="none"/>
        </w:rPr>
        <w:t>，</w:t>
      </w:r>
      <w:r>
        <w:rPr>
          <w:rFonts w:hint="eastAsia" w:ascii="宋体" w:hAnsi="宋体" w:cs="宋体"/>
          <w:kern w:val="0"/>
          <w:sz w:val="24"/>
          <w:szCs w:val="24"/>
          <w:u w:val="none"/>
          <w:lang w:val="zh-CN"/>
        </w:rPr>
        <w:t>联系人</w:t>
      </w:r>
      <w:r>
        <w:rPr>
          <w:rFonts w:hint="eastAsia" w:ascii="宋体" w:hAnsi="宋体" w:cs="宋体"/>
          <w:kern w:val="0"/>
          <w:sz w:val="24"/>
          <w:szCs w:val="24"/>
          <w:u w:val="none"/>
        </w:rPr>
        <w:t>：</w:t>
      </w:r>
      <w:r>
        <w:rPr>
          <w:rFonts w:hint="eastAsia" w:cs="宋体"/>
          <w:kern w:val="0"/>
          <w:sz w:val="24"/>
          <w:szCs w:val="24"/>
          <w:u w:val="none"/>
          <w:lang w:val="en-US" w:eastAsia="zh-CN"/>
        </w:rPr>
        <w:t>申先生</w:t>
      </w:r>
      <w:r>
        <w:rPr>
          <w:rFonts w:hint="eastAsia" w:ascii="宋体" w:hAnsi="宋体" w:cs="宋体"/>
          <w:kern w:val="0"/>
          <w:sz w:val="24"/>
          <w:szCs w:val="24"/>
          <w:u w:val="none"/>
        </w:rPr>
        <w:t>，</w:t>
      </w:r>
      <w:r>
        <w:rPr>
          <w:rFonts w:hint="eastAsia" w:ascii="宋体" w:hAnsi="宋体" w:cs="宋体"/>
          <w:kern w:val="0"/>
          <w:sz w:val="24"/>
          <w:szCs w:val="24"/>
          <w:u w:val="none"/>
          <w:lang w:val="zh-CN"/>
        </w:rPr>
        <w:t>电话</w:t>
      </w:r>
      <w:r>
        <w:rPr>
          <w:rFonts w:hint="eastAsia" w:ascii="宋体" w:hAnsi="宋体" w:cs="宋体"/>
          <w:kern w:val="0"/>
          <w:sz w:val="24"/>
          <w:szCs w:val="24"/>
          <w:u w:val="none"/>
        </w:rPr>
        <w:t>：</w:t>
      </w:r>
      <w:r>
        <w:rPr>
          <w:rFonts w:hint="eastAsia"/>
          <w:highlight w:val="none"/>
          <w:u w:val="single"/>
          <w:lang w:val="en-US" w:eastAsia="zh-CN"/>
        </w:rPr>
        <w:t>18997072008</w:t>
      </w:r>
      <w:r>
        <w:rPr>
          <w:rFonts w:hint="eastAsia" w:cs="宋体"/>
          <w:color w:val="000000"/>
          <w:kern w:val="0"/>
          <w:sz w:val="24"/>
          <w:szCs w:val="24"/>
          <w:lang w:val="zh-CN"/>
        </w:rPr>
        <w:t>。</w:t>
      </w:r>
    </w:p>
    <w:p>
      <w:pPr>
        <w:spacing w:line="400" w:lineRule="exact"/>
        <w:ind w:firstLine="540"/>
        <w:rPr>
          <w:rFonts w:hint="eastAsia"/>
          <w:highlight w:val="none"/>
          <w:lang w:val="zh-CN"/>
        </w:rPr>
      </w:pPr>
      <w:r>
        <w:rPr>
          <w:rFonts w:hint="eastAsia"/>
          <w:b/>
          <w:bCs/>
          <w:highlight w:val="none"/>
          <w:lang w:val="zh-CN"/>
        </w:rPr>
        <w:t>售价：</w:t>
      </w:r>
      <w:r>
        <w:rPr>
          <w:rFonts w:hint="eastAsia"/>
          <w:highlight w:val="none"/>
          <w:u w:val="single"/>
          <w:lang w:val="zh-CN"/>
        </w:rPr>
        <w:t>500.00元（</w:t>
      </w:r>
      <w:r>
        <w:rPr>
          <w:rFonts w:hint="eastAsia"/>
          <w:highlight w:val="none"/>
          <w:u w:val="single"/>
        </w:rPr>
        <w:t>竞争性磋商文件</w:t>
      </w:r>
      <w:r>
        <w:rPr>
          <w:rFonts w:hint="eastAsia"/>
          <w:highlight w:val="none"/>
          <w:u w:val="single"/>
          <w:lang w:val="zh-CN"/>
        </w:rPr>
        <w:t>售后不退,投标资格不能转让）</w:t>
      </w:r>
    </w:p>
    <w:p>
      <w:pPr>
        <w:spacing w:line="400" w:lineRule="exact"/>
        <w:outlineLvl w:val="1"/>
        <w:rPr>
          <w:b/>
          <w:bCs/>
          <w:highlight w:val="none"/>
        </w:rPr>
      </w:pPr>
      <w:bookmarkStart w:id="25" w:name="_Toc35393793"/>
      <w:bookmarkStart w:id="26" w:name="_Toc28359005"/>
      <w:bookmarkStart w:id="27" w:name="_Toc35393624"/>
      <w:bookmarkStart w:id="28" w:name="_Toc28359082"/>
      <w:bookmarkStart w:id="29" w:name="_Toc24601"/>
      <w:bookmarkStart w:id="30" w:name="_Toc10440"/>
      <w:r>
        <w:rPr>
          <w:rFonts w:hint="eastAsia"/>
          <w:b/>
          <w:bCs/>
          <w:highlight w:val="none"/>
          <w:lang w:val="zh-CN"/>
        </w:rPr>
        <w:t>四、</w:t>
      </w:r>
      <w:bookmarkEnd w:id="25"/>
      <w:bookmarkEnd w:id="26"/>
      <w:bookmarkEnd w:id="27"/>
      <w:bookmarkEnd w:id="28"/>
      <w:r>
        <w:rPr>
          <w:rFonts w:hint="eastAsia"/>
          <w:b/>
          <w:bCs/>
          <w:highlight w:val="none"/>
        </w:rPr>
        <w:t>响应文件的提交</w:t>
      </w:r>
      <w:bookmarkEnd w:id="29"/>
      <w:bookmarkEnd w:id="30"/>
    </w:p>
    <w:p>
      <w:pPr>
        <w:spacing w:line="400" w:lineRule="exact"/>
        <w:ind w:firstLine="540"/>
        <w:rPr>
          <w:rFonts w:hint="eastAsia"/>
          <w:b/>
          <w:bCs/>
          <w:highlight w:val="none"/>
        </w:rPr>
      </w:pPr>
      <w:r>
        <w:rPr>
          <w:rFonts w:hint="eastAsia"/>
          <w:b/>
          <w:bCs/>
          <w:highlight w:val="none"/>
        </w:rPr>
        <w:t>截止时间</w:t>
      </w:r>
      <w:r>
        <w:rPr>
          <w:rFonts w:hint="eastAsia" w:ascii="宋体" w:hAnsi="宋体" w:eastAsia="宋体" w:cs="宋体"/>
          <w:b/>
          <w:bCs/>
          <w:color w:val="000000"/>
          <w:highlight w:val="none"/>
          <w:u w:val="single"/>
          <w:lang w:val="en-US" w:eastAsia="zh-CN"/>
        </w:rPr>
        <w:t>：</w:t>
      </w:r>
      <w:r>
        <w:rPr>
          <w:rFonts w:hint="eastAsia" w:ascii="宋体" w:hAnsi="宋体" w:eastAsia="宋体" w:cs="宋体"/>
          <w:b/>
          <w:bCs/>
          <w:highlight w:val="none"/>
          <w:u w:val="single"/>
          <w:lang w:val="zh-CN" w:eastAsia="zh-CN"/>
        </w:rPr>
        <w:t>202</w:t>
      </w:r>
      <w:r>
        <w:rPr>
          <w:rFonts w:hint="eastAsia" w:cs="宋体"/>
          <w:b/>
          <w:bCs/>
          <w:highlight w:val="none"/>
          <w:u w:val="single"/>
          <w:lang w:val="en-US" w:eastAsia="zh-CN"/>
        </w:rPr>
        <w:t>3</w:t>
      </w:r>
      <w:r>
        <w:rPr>
          <w:rFonts w:hint="eastAsia" w:ascii="宋体" w:hAnsi="宋体" w:eastAsia="宋体" w:cs="宋体"/>
          <w:b/>
          <w:bCs/>
          <w:highlight w:val="none"/>
          <w:u w:val="single"/>
          <w:lang w:val="zh-CN" w:eastAsia="zh-CN"/>
        </w:rPr>
        <w:t>年</w:t>
      </w:r>
      <w:r>
        <w:rPr>
          <w:rFonts w:hint="eastAsia" w:cs="宋体"/>
          <w:b/>
          <w:bCs/>
          <w:highlight w:val="none"/>
          <w:u w:val="single"/>
          <w:lang w:val="en-US" w:eastAsia="zh-CN"/>
        </w:rPr>
        <w:t>04</w:t>
      </w:r>
      <w:r>
        <w:rPr>
          <w:rFonts w:hint="eastAsia" w:ascii="宋体" w:hAnsi="宋体" w:eastAsia="宋体" w:cs="宋体"/>
          <w:b/>
          <w:bCs/>
          <w:highlight w:val="none"/>
          <w:u w:val="single"/>
          <w:lang w:val="zh-CN" w:eastAsia="zh-CN"/>
        </w:rPr>
        <w:t>月</w:t>
      </w:r>
      <w:r>
        <w:rPr>
          <w:rFonts w:hint="eastAsia" w:cs="宋体"/>
          <w:b/>
          <w:bCs/>
          <w:highlight w:val="none"/>
          <w:u w:val="single"/>
          <w:lang w:val="en-US" w:eastAsia="zh-CN"/>
        </w:rPr>
        <w:t>12</w:t>
      </w:r>
      <w:r>
        <w:rPr>
          <w:rFonts w:hint="eastAsia" w:ascii="宋体" w:hAnsi="宋体" w:eastAsia="宋体" w:cs="宋体"/>
          <w:b/>
          <w:bCs/>
          <w:highlight w:val="none"/>
          <w:u w:val="single"/>
          <w:lang w:val="zh-CN" w:eastAsia="zh-CN"/>
        </w:rPr>
        <w:t>日</w:t>
      </w:r>
      <w:r>
        <w:rPr>
          <w:rFonts w:hint="eastAsia" w:cs="宋体"/>
          <w:b/>
          <w:bCs/>
          <w:highlight w:val="none"/>
          <w:u w:val="single"/>
          <w:lang w:val="en-US" w:eastAsia="zh-CN"/>
        </w:rPr>
        <w:t>09</w:t>
      </w:r>
      <w:r>
        <w:rPr>
          <w:rFonts w:hint="eastAsia" w:ascii="宋体" w:hAnsi="宋体" w:eastAsia="宋体" w:cs="宋体"/>
          <w:b/>
          <w:bCs/>
          <w:highlight w:val="none"/>
          <w:u w:val="single"/>
          <w:lang w:val="zh-CN" w:eastAsia="zh-CN"/>
        </w:rPr>
        <w:t>点30</w:t>
      </w:r>
      <w:r>
        <w:rPr>
          <w:rFonts w:hint="eastAsia" w:eastAsia="宋体"/>
          <w:b/>
          <w:bCs/>
          <w:highlight w:val="none"/>
          <w:u w:val="single"/>
          <w:lang w:val="zh-CN" w:eastAsia="zh-CN"/>
        </w:rPr>
        <w:t>分</w:t>
      </w:r>
      <w:r>
        <w:rPr>
          <w:rFonts w:hint="eastAsia" w:ascii="宋体" w:hAnsi="宋体" w:eastAsia="宋体" w:cs="宋体"/>
          <w:b/>
          <w:bCs/>
          <w:color w:val="000000"/>
          <w:highlight w:val="none"/>
          <w:u w:val="single"/>
          <w:lang w:val="en-US" w:eastAsia="zh-CN"/>
        </w:rPr>
        <w:t>（北京时间）</w:t>
      </w:r>
    </w:p>
    <w:p>
      <w:pPr>
        <w:spacing w:line="400" w:lineRule="exact"/>
        <w:ind w:firstLine="540"/>
        <w:rPr>
          <w:rFonts w:hint="default" w:ascii="宋体" w:hAnsi="宋体" w:eastAsia="宋体" w:cs="宋体"/>
          <w:b/>
          <w:bCs/>
          <w:color w:val="000000"/>
          <w:highlight w:val="none"/>
          <w:u w:val="single"/>
          <w:lang w:val="en-US" w:eastAsia="zh-CN"/>
        </w:rPr>
      </w:pPr>
      <w:r>
        <w:rPr>
          <w:rFonts w:hint="eastAsia"/>
          <w:b/>
          <w:bCs/>
          <w:highlight w:val="none"/>
        </w:rPr>
        <w:t>地点：</w:t>
      </w:r>
      <w:r>
        <w:rPr>
          <w:rFonts w:hint="eastAsia" w:eastAsia="宋体" w:cs="宋体"/>
          <w:b/>
          <w:bCs/>
          <w:color w:val="000000"/>
          <w:highlight w:val="none"/>
          <w:u w:val="single"/>
          <w:lang w:val="en-US" w:eastAsia="zh-CN"/>
        </w:rPr>
        <w:t>青海天达工程管理有限公司</w:t>
      </w:r>
      <w:r>
        <w:rPr>
          <w:rFonts w:hint="eastAsia" w:ascii="宋体" w:hAnsi="宋体" w:eastAsia="宋体" w:cs="宋体"/>
          <w:b/>
          <w:bCs/>
          <w:color w:val="000000"/>
          <w:highlight w:val="none"/>
          <w:u w:val="single"/>
          <w:lang w:val="en-US" w:eastAsia="zh-CN"/>
        </w:rPr>
        <w:t>开标室(青海省海东市乐都区西门光明小区西侧2楼301开标室）</w:t>
      </w:r>
    </w:p>
    <w:p>
      <w:pPr>
        <w:pStyle w:val="63"/>
        <w:spacing w:line="400" w:lineRule="exact"/>
        <w:jc w:val="both"/>
        <w:outlineLvl w:val="1"/>
        <w:rPr>
          <w:rFonts w:hint="eastAsia"/>
          <w:b/>
          <w:bCs/>
          <w:kern w:val="2"/>
          <w:highlight w:val="none"/>
        </w:rPr>
      </w:pPr>
      <w:bookmarkStart w:id="31" w:name="_Toc27416"/>
      <w:bookmarkStart w:id="32" w:name="_Toc22898"/>
      <w:r>
        <w:rPr>
          <w:b/>
          <w:bCs/>
          <w:kern w:val="2"/>
          <w:highlight w:val="none"/>
        </w:rPr>
        <w:t>五、响应文件开启</w:t>
      </w:r>
      <w:bookmarkEnd w:id="31"/>
      <w:bookmarkEnd w:id="32"/>
    </w:p>
    <w:p>
      <w:pPr>
        <w:pStyle w:val="63"/>
        <w:spacing w:before="75" w:after="75" w:line="400" w:lineRule="exact"/>
        <w:ind w:firstLine="482" w:firstLineChars="200"/>
        <w:rPr>
          <w:rFonts w:hint="eastAsia" w:eastAsia="宋体"/>
          <w:b/>
          <w:bCs/>
          <w:highlight w:val="none"/>
          <w:lang w:eastAsia="zh-CN"/>
        </w:rPr>
      </w:pPr>
      <w:r>
        <w:rPr>
          <w:b/>
          <w:bCs/>
          <w:highlight w:val="none"/>
        </w:rPr>
        <w:t>开启时间：</w:t>
      </w:r>
      <w:r>
        <w:rPr>
          <w:rFonts w:hint="eastAsia"/>
          <w:b/>
          <w:bCs/>
          <w:highlight w:val="none"/>
          <w:u w:val="single"/>
          <w:lang w:eastAsia="zh-CN"/>
        </w:rPr>
        <w:t>2023年04月12日09点30分（北京时间）</w:t>
      </w:r>
    </w:p>
    <w:p>
      <w:pPr>
        <w:spacing w:line="400" w:lineRule="exact"/>
        <w:ind w:firstLine="540"/>
        <w:rPr>
          <w:rFonts w:hint="default" w:ascii="宋体" w:hAnsi="宋体" w:eastAsia="宋体" w:cs="宋体"/>
          <w:b/>
          <w:bCs/>
          <w:color w:val="000000"/>
          <w:highlight w:val="none"/>
          <w:u w:val="single"/>
          <w:lang w:val="en-US" w:eastAsia="zh-CN"/>
        </w:rPr>
      </w:pPr>
      <w:r>
        <w:rPr>
          <w:b/>
          <w:bCs/>
          <w:highlight w:val="none"/>
        </w:rPr>
        <w:t>地点：</w:t>
      </w:r>
      <w:bookmarkStart w:id="33" w:name="_Toc35393795"/>
      <w:bookmarkStart w:id="34" w:name="_Toc35393626"/>
      <w:r>
        <w:rPr>
          <w:rFonts w:hint="eastAsia" w:eastAsia="宋体" w:cs="宋体"/>
          <w:b/>
          <w:bCs/>
          <w:color w:val="000000"/>
          <w:highlight w:val="none"/>
          <w:u w:val="single"/>
          <w:lang w:val="en-US" w:eastAsia="zh-CN"/>
        </w:rPr>
        <w:t>青海天达工程管理有限公司</w:t>
      </w:r>
      <w:r>
        <w:rPr>
          <w:rFonts w:hint="eastAsia" w:ascii="宋体" w:hAnsi="宋体" w:eastAsia="宋体" w:cs="宋体"/>
          <w:b/>
          <w:bCs/>
          <w:color w:val="000000"/>
          <w:highlight w:val="none"/>
          <w:u w:val="single"/>
          <w:lang w:val="en-US" w:eastAsia="zh-CN"/>
        </w:rPr>
        <w:t>开标室(青海省海东市乐都区西门光明小区西侧2楼301开标室）</w:t>
      </w:r>
    </w:p>
    <w:p>
      <w:pPr>
        <w:spacing w:line="400" w:lineRule="exact"/>
        <w:ind w:firstLine="540"/>
        <w:rPr>
          <w:rFonts w:hint="eastAsia"/>
          <w:b/>
          <w:bCs/>
          <w:highlight w:val="none"/>
        </w:rPr>
      </w:pPr>
    </w:p>
    <w:p>
      <w:pPr>
        <w:pStyle w:val="63"/>
        <w:spacing w:line="400" w:lineRule="exact"/>
        <w:jc w:val="both"/>
        <w:outlineLvl w:val="1"/>
        <w:rPr>
          <w:b/>
          <w:bCs/>
          <w:highlight w:val="none"/>
        </w:rPr>
      </w:pPr>
      <w:bookmarkStart w:id="35" w:name="_Toc28597"/>
      <w:bookmarkStart w:id="36" w:name="_Toc19473"/>
      <w:r>
        <w:rPr>
          <w:rFonts w:hint="eastAsia"/>
          <w:b/>
          <w:bCs/>
          <w:highlight w:val="none"/>
        </w:rPr>
        <w:t>六、</w:t>
      </w:r>
      <w:r>
        <w:rPr>
          <w:b/>
          <w:bCs/>
          <w:highlight w:val="none"/>
        </w:rPr>
        <w:t>公告期限</w:t>
      </w:r>
      <w:bookmarkEnd w:id="35"/>
      <w:bookmarkEnd w:id="36"/>
    </w:p>
    <w:p>
      <w:pPr>
        <w:pStyle w:val="63"/>
        <w:spacing w:before="75" w:after="75" w:line="400" w:lineRule="exact"/>
        <w:ind w:firstLine="480" w:firstLineChars="200"/>
        <w:rPr>
          <w:rFonts w:hint="eastAsia"/>
          <w:highlight w:val="none"/>
        </w:rPr>
      </w:pPr>
      <w:r>
        <w:rPr>
          <w:highlight w:val="none"/>
        </w:rPr>
        <w:t>自本公告发布之日起</w:t>
      </w:r>
      <w:r>
        <w:rPr>
          <w:rFonts w:hint="eastAsia"/>
          <w:highlight w:val="none"/>
        </w:rPr>
        <w:t>5</w:t>
      </w:r>
      <w:r>
        <w:rPr>
          <w:highlight w:val="none"/>
        </w:rPr>
        <w:t>个工作日。</w:t>
      </w:r>
    </w:p>
    <w:p>
      <w:pPr>
        <w:numPr>
          <w:ilvl w:val="0"/>
          <w:numId w:val="21"/>
        </w:numPr>
        <w:spacing w:line="400" w:lineRule="exact"/>
        <w:outlineLvl w:val="1"/>
        <w:rPr>
          <w:rFonts w:hint="eastAsia"/>
          <w:b/>
          <w:bCs/>
          <w:highlight w:val="none"/>
        </w:rPr>
      </w:pPr>
      <w:bookmarkStart w:id="37" w:name="_Toc32143"/>
      <w:bookmarkStart w:id="38" w:name="_Toc2752"/>
      <w:r>
        <w:rPr>
          <w:rFonts w:hint="eastAsia"/>
          <w:b/>
          <w:bCs/>
          <w:highlight w:val="none"/>
        </w:rPr>
        <w:t>其他补充事宜</w:t>
      </w:r>
      <w:bookmarkEnd w:id="33"/>
      <w:bookmarkEnd w:id="34"/>
      <w:bookmarkEnd w:id="37"/>
      <w:bookmarkEnd w:id="38"/>
    </w:p>
    <w:p>
      <w:pPr>
        <w:pStyle w:val="40"/>
        <w:spacing w:line="400" w:lineRule="exact"/>
        <w:ind w:left="0" w:leftChars="0" w:firstLine="480" w:firstLineChars="200"/>
        <w:rPr>
          <w:rFonts w:hint="eastAsia"/>
          <w:sz w:val="24"/>
          <w:szCs w:val="24"/>
          <w:highlight w:val="none"/>
        </w:rPr>
      </w:pPr>
      <w:r>
        <w:rPr>
          <w:rFonts w:hint="eastAsia" w:ascii="宋体" w:hAnsi="宋体" w:cs="宋体"/>
          <w:color w:val="000000"/>
          <w:sz w:val="24"/>
          <w:highlight w:val="none"/>
          <w:lang w:val="zh-CN"/>
        </w:rPr>
        <w:t>本公告同时在《青海政府采购网》和《</w:t>
      </w:r>
      <w:r>
        <w:rPr>
          <w:rFonts w:hint="eastAsia" w:ascii="宋体" w:hAnsi="宋体" w:cs="宋体"/>
          <w:color w:val="000000"/>
          <w:sz w:val="24"/>
          <w:highlight w:val="none"/>
          <w:lang w:val="en-US" w:eastAsia="zh-CN"/>
        </w:rPr>
        <w:t>中国采购与招标网</w:t>
      </w:r>
      <w:r>
        <w:rPr>
          <w:rFonts w:hint="eastAsia" w:ascii="宋体" w:hAnsi="宋体" w:cs="宋体"/>
          <w:color w:val="000000"/>
          <w:sz w:val="24"/>
          <w:highlight w:val="none"/>
          <w:lang w:val="zh-CN"/>
        </w:rPr>
        <w:t>》上发布。</w:t>
      </w:r>
    </w:p>
    <w:p>
      <w:pPr>
        <w:spacing w:line="400" w:lineRule="exact"/>
        <w:outlineLvl w:val="1"/>
        <w:rPr>
          <w:rFonts w:hint="eastAsia"/>
          <w:b/>
          <w:bCs/>
          <w:highlight w:val="none"/>
          <w:lang w:val="zh-CN"/>
        </w:rPr>
      </w:pPr>
      <w:bookmarkStart w:id="39" w:name="_Toc28359008"/>
      <w:bookmarkStart w:id="40" w:name="_Toc12783"/>
      <w:bookmarkStart w:id="41" w:name="_Toc35393796"/>
      <w:bookmarkStart w:id="42" w:name="_Toc28359085"/>
      <w:bookmarkStart w:id="43" w:name="_Toc35393627"/>
      <w:bookmarkStart w:id="44" w:name="_Toc18291"/>
      <w:r>
        <w:rPr>
          <w:rFonts w:hint="eastAsia"/>
          <w:b/>
          <w:bCs/>
          <w:highlight w:val="none"/>
        </w:rPr>
        <w:t>八</w:t>
      </w:r>
      <w:r>
        <w:rPr>
          <w:rFonts w:hint="eastAsia"/>
          <w:b/>
          <w:bCs/>
          <w:highlight w:val="none"/>
          <w:lang w:val="zh-CN"/>
        </w:rPr>
        <w:t>、对本次招标提出询问，请按以下方式联系</w:t>
      </w:r>
      <w:bookmarkEnd w:id="39"/>
      <w:bookmarkEnd w:id="40"/>
      <w:bookmarkEnd w:id="41"/>
      <w:bookmarkEnd w:id="42"/>
      <w:bookmarkEnd w:id="43"/>
      <w:bookmarkEnd w:id="44"/>
    </w:p>
    <w:p>
      <w:pPr>
        <w:spacing w:line="400" w:lineRule="exact"/>
        <w:ind w:firstLine="482" w:firstLineChars="200"/>
        <w:rPr>
          <w:rFonts w:hint="eastAsia"/>
          <w:b/>
          <w:bCs/>
          <w:highlight w:val="none"/>
          <w:lang w:val="zh-CN"/>
        </w:rPr>
      </w:pPr>
      <w:r>
        <w:rPr>
          <w:rFonts w:hint="eastAsia"/>
          <w:b/>
          <w:bCs/>
          <w:highlight w:val="none"/>
          <w:lang w:val="zh-CN"/>
        </w:rPr>
        <w:t>1.采购人信息</w:t>
      </w:r>
    </w:p>
    <w:p>
      <w:pPr>
        <w:spacing w:line="400" w:lineRule="exact"/>
        <w:ind w:firstLine="480" w:firstLineChars="200"/>
        <w:rPr>
          <w:rFonts w:hint="default" w:eastAsia="宋体"/>
          <w:highlight w:val="none"/>
          <w:u w:val="single"/>
          <w:lang w:val="en-US" w:eastAsia="zh-CN"/>
        </w:rPr>
      </w:pPr>
      <w:bookmarkStart w:id="45" w:name="_Toc28359009"/>
      <w:bookmarkStart w:id="46" w:name="_Toc28359086"/>
      <w:r>
        <w:rPr>
          <w:rFonts w:hint="eastAsia"/>
          <w:highlight w:val="none"/>
          <w:lang w:val="zh-CN"/>
        </w:rPr>
        <w:t>名 称：</w:t>
      </w:r>
      <w:r>
        <w:rPr>
          <w:rFonts w:hint="eastAsia"/>
          <w:highlight w:val="none"/>
          <w:u w:val="single"/>
          <w:lang w:val="en-US" w:eastAsia="zh-CN"/>
        </w:rPr>
        <w:t>海东市乐都区洪水镇人民政府</w:t>
      </w:r>
    </w:p>
    <w:p>
      <w:pPr>
        <w:spacing w:line="400" w:lineRule="exact"/>
        <w:ind w:firstLine="480" w:firstLineChars="200"/>
        <w:rPr>
          <w:rFonts w:hint="eastAsia" w:eastAsia="宋体"/>
          <w:highlight w:val="none"/>
          <w:lang w:val="zh-CN" w:eastAsia="zh-CN"/>
        </w:rPr>
      </w:pPr>
      <w:r>
        <w:rPr>
          <w:rFonts w:hint="eastAsia"/>
          <w:highlight w:val="none"/>
          <w:lang w:val="zh-CN"/>
        </w:rPr>
        <w:t>地址：</w:t>
      </w:r>
      <w:r>
        <w:rPr>
          <w:rFonts w:hint="eastAsia"/>
          <w:highlight w:val="none"/>
          <w:u w:val="single"/>
          <w:lang w:val="en-US" w:eastAsia="zh-CN"/>
        </w:rPr>
        <w:t>乐都区</w:t>
      </w:r>
    </w:p>
    <w:p>
      <w:pPr>
        <w:spacing w:line="400" w:lineRule="exact"/>
        <w:ind w:firstLine="480" w:firstLineChars="200"/>
        <w:rPr>
          <w:rFonts w:hint="eastAsia" w:ascii="宋体" w:hAnsi="宋体" w:eastAsia="宋体" w:cs="宋体"/>
          <w:color w:val="000000"/>
          <w:kern w:val="2"/>
          <w:sz w:val="24"/>
          <w:szCs w:val="20"/>
          <w:highlight w:val="none"/>
          <w:lang w:val="en-US" w:eastAsia="zh-CN" w:bidi="ar-SA"/>
        </w:rPr>
      </w:pPr>
      <w:r>
        <w:rPr>
          <w:rFonts w:hint="eastAsia" w:ascii="宋体" w:hAnsi="宋体" w:eastAsia="宋体" w:cs="宋体"/>
          <w:color w:val="000000"/>
          <w:kern w:val="2"/>
          <w:sz w:val="24"/>
          <w:szCs w:val="20"/>
          <w:highlight w:val="none"/>
          <w:lang w:val="zh-CN" w:eastAsia="zh-CN" w:bidi="ar-SA"/>
        </w:rPr>
        <w:t>项目联系人（询问）：</w:t>
      </w:r>
      <w:r>
        <w:rPr>
          <w:rFonts w:hint="eastAsia" w:ascii="宋体" w:hAnsi="宋体" w:eastAsia="宋体" w:cs="宋体"/>
          <w:color w:val="000000"/>
          <w:kern w:val="2"/>
          <w:sz w:val="24"/>
          <w:szCs w:val="20"/>
          <w:highlight w:val="none"/>
          <w:u w:val="single"/>
          <w:lang w:val="zh-CN" w:eastAsia="zh-CN" w:bidi="ar-SA"/>
        </w:rPr>
        <w:t xml:space="preserve"> 赵先生</w:t>
      </w:r>
    </w:p>
    <w:p>
      <w:pPr>
        <w:spacing w:line="400" w:lineRule="exact"/>
        <w:ind w:firstLine="480" w:firstLineChars="200"/>
        <w:rPr>
          <w:rFonts w:hint="default" w:ascii="宋体" w:hAnsi="宋体" w:eastAsia="宋体" w:cs="宋体"/>
          <w:color w:val="000000"/>
          <w:kern w:val="2"/>
          <w:sz w:val="24"/>
          <w:szCs w:val="20"/>
          <w:highlight w:val="none"/>
          <w:lang w:val="en-US" w:eastAsia="zh-CN" w:bidi="ar-SA"/>
        </w:rPr>
      </w:pPr>
      <w:r>
        <w:rPr>
          <w:rFonts w:hint="eastAsia" w:ascii="宋体" w:hAnsi="宋体" w:eastAsia="宋体" w:cs="宋体"/>
          <w:color w:val="000000"/>
          <w:kern w:val="2"/>
          <w:sz w:val="24"/>
          <w:szCs w:val="20"/>
          <w:highlight w:val="none"/>
          <w:lang w:val="zh-CN" w:eastAsia="zh-CN" w:bidi="ar-SA"/>
        </w:rPr>
        <w:t>项目联系方式（询问）：</w:t>
      </w:r>
      <w:r>
        <w:rPr>
          <w:rFonts w:hint="eastAsia" w:ascii="宋体" w:hAnsi="宋体" w:eastAsia="宋体" w:cs="宋体"/>
          <w:color w:val="000000"/>
          <w:kern w:val="2"/>
          <w:sz w:val="24"/>
          <w:szCs w:val="20"/>
          <w:highlight w:val="none"/>
          <w:u w:val="single"/>
          <w:lang w:val="zh-CN" w:eastAsia="zh-CN" w:bidi="ar-SA"/>
        </w:rPr>
        <w:t>0972-8650205</w:t>
      </w:r>
    </w:p>
    <w:p>
      <w:pPr>
        <w:spacing w:line="400" w:lineRule="exact"/>
        <w:ind w:firstLine="482" w:firstLineChars="200"/>
        <w:rPr>
          <w:rFonts w:hint="eastAsia"/>
          <w:b/>
          <w:bCs/>
          <w:highlight w:val="none"/>
        </w:rPr>
      </w:pPr>
      <w:r>
        <w:rPr>
          <w:rFonts w:hint="eastAsia"/>
          <w:b/>
          <w:bCs/>
          <w:highlight w:val="none"/>
        </w:rPr>
        <w:t>2.采购代理机构信息</w:t>
      </w:r>
      <w:bookmarkEnd w:id="45"/>
      <w:bookmarkEnd w:id="46"/>
    </w:p>
    <w:p>
      <w:pPr>
        <w:spacing w:line="400" w:lineRule="exact"/>
        <w:ind w:firstLine="480" w:firstLineChars="200"/>
        <w:rPr>
          <w:rFonts w:hint="eastAsia" w:eastAsia="宋体"/>
          <w:highlight w:val="none"/>
          <w:lang w:val="zh-CN" w:eastAsia="zh-CN"/>
        </w:rPr>
      </w:pPr>
      <w:r>
        <w:rPr>
          <w:rFonts w:hint="eastAsia"/>
          <w:highlight w:val="none"/>
          <w:lang w:val="zh-CN"/>
        </w:rPr>
        <w:t>名称：</w:t>
      </w:r>
      <w:r>
        <w:rPr>
          <w:rFonts w:hint="eastAsia"/>
          <w:highlight w:val="none"/>
          <w:u w:val="single"/>
          <w:lang w:eastAsia="zh-CN"/>
        </w:rPr>
        <w:t>青海天达工程管理有限公司</w:t>
      </w:r>
    </w:p>
    <w:p>
      <w:pPr>
        <w:spacing w:line="400" w:lineRule="exact"/>
        <w:ind w:left="480" w:leftChars="200" w:firstLine="0" w:firstLineChars="0"/>
        <w:rPr>
          <w:rFonts w:hint="eastAsia"/>
          <w:color w:val="000000"/>
          <w:highlight w:val="none"/>
          <w:u w:val="single"/>
          <w:lang w:val="en-US" w:eastAsia="zh-CN"/>
        </w:rPr>
      </w:pPr>
      <w:r>
        <w:rPr>
          <w:rFonts w:hint="eastAsia"/>
          <w:highlight w:val="none"/>
          <w:lang w:val="zh-CN"/>
        </w:rPr>
        <w:t>地址：</w:t>
      </w:r>
      <w:r>
        <w:rPr>
          <w:rFonts w:hint="eastAsia"/>
          <w:color w:val="000000"/>
          <w:highlight w:val="none"/>
          <w:u w:val="single"/>
          <w:lang w:val="en-US" w:eastAsia="zh-CN"/>
        </w:rPr>
        <w:t>青海省西宁市城东区南山路中惠紫金城20号楼2单元2282室</w:t>
      </w:r>
    </w:p>
    <w:p>
      <w:pPr>
        <w:spacing w:line="400" w:lineRule="exact"/>
        <w:ind w:left="480" w:leftChars="200" w:firstLine="0" w:firstLineChars="0"/>
        <w:rPr>
          <w:rFonts w:hint="default" w:eastAsia="宋体"/>
          <w:highlight w:val="none"/>
          <w:lang w:val="en-US" w:eastAsia="zh-CN"/>
        </w:rPr>
      </w:pPr>
      <w:r>
        <w:rPr>
          <w:rFonts w:hint="eastAsia"/>
          <w:highlight w:val="none"/>
          <w:lang w:val="zh-CN"/>
        </w:rPr>
        <w:t>传真：</w:t>
      </w:r>
      <w:r>
        <w:rPr>
          <w:rFonts w:hint="eastAsia"/>
          <w:highlight w:val="none"/>
          <w:u w:val="single"/>
        </w:rPr>
        <w:t>0971-</w:t>
      </w:r>
      <w:r>
        <w:rPr>
          <w:rFonts w:hint="eastAsia"/>
          <w:highlight w:val="none"/>
          <w:u w:val="single"/>
          <w:lang w:val="en-US" w:eastAsia="zh-CN"/>
        </w:rPr>
        <w:t>3535167</w:t>
      </w:r>
    </w:p>
    <w:p>
      <w:pPr>
        <w:spacing w:line="400" w:lineRule="exact"/>
        <w:ind w:firstLine="482" w:firstLineChars="200"/>
        <w:rPr>
          <w:rFonts w:hint="eastAsia"/>
          <w:b/>
          <w:bCs/>
          <w:highlight w:val="none"/>
          <w:u w:val="single"/>
        </w:rPr>
      </w:pPr>
      <w:bookmarkStart w:id="47" w:name="_Toc28359010"/>
      <w:bookmarkStart w:id="48" w:name="_Toc28359087"/>
      <w:r>
        <w:rPr>
          <w:rFonts w:hint="eastAsia"/>
          <w:b/>
          <w:bCs/>
          <w:highlight w:val="none"/>
        </w:rPr>
        <w:t>3.项目联系方式</w:t>
      </w:r>
      <w:bookmarkEnd w:id="47"/>
      <w:bookmarkEnd w:id="48"/>
    </w:p>
    <w:p>
      <w:pPr>
        <w:pStyle w:val="37"/>
        <w:spacing w:line="400" w:lineRule="exact"/>
        <w:ind w:firstLine="480" w:firstLineChars="200"/>
        <w:rPr>
          <w:rFonts w:hint="default" w:hAnsi="宋体" w:eastAsia="宋体" w:cs="宋体"/>
          <w:kern w:val="0"/>
          <w:szCs w:val="24"/>
          <w:highlight w:val="none"/>
          <w:lang w:val="en-US" w:eastAsia="zh-CN"/>
        </w:rPr>
      </w:pPr>
      <w:r>
        <w:rPr>
          <w:rFonts w:hint="eastAsia" w:hAnsi="宋体" w:cs="宋体"/>
          <w:kern w:val="0"/>
          <w:szCs w:val="24"/>
          <w:highlight w:val="none"/>
          <w:lang w:val="zh-CN"/>
        </w:rPr>
        <w:t>项目联系人（询问）：</w:t>
      </w:r>
      <w:r>
        <w:rPr>
          <w:rFonts w:hint="eastAsia" w:hAnsi="宋体" w:cs="宋体"/>
          <w:kern w:val="0"/>
          <w:szCs w:val="24"/>
          <w:highlight w:val="none"/>
          <w:u w:val="single"/>
          <w:lang w:val="en-US" w:eastAsia="zh-CN"/>
        </w:rPr>
        <w:t>申</w:t>
      </w:r>
      <w:r>
        <w:rPr>
          <w:rFonts w:hint="eastAsia" w:hAnsi="宋体" w:cs="宋体"/>
          <w:kern w:val="0"/>
          <w:szCs w:val="24"/>
          <w:highlight w:val="none"/>
          <w:u w:val="single"/>
          <w:lang w:eastAsia="zh-CN"/>
        </w:rPr>
        <w:t>先生</w:t>
      </w:r>
      <w:r>
        <w:rPr>
          <w:rFonts w:hint="eastAsia" w:hAnsi="宋体" w:cs="宋体"/>
          <w:kern w:val="0"/>
          <w:szCs w:val="24"/>
          <w:highlight w:val="none"/>
          <w:u w:val="single"/>
          <w:lang w:val="en-US" w:eastAsia="zh-CN"/>
        </w:rPr>
        <w:t xml:space="preserve"> </w:t>
      </w:r>
    </w:p>
    <w:p>
      <w:pPr>
        <w:pStyle w:val="63"/>
        <w:keepNext w:val="0"/>
        <w:keepLines w:val="0"/>
        <w:widowControl/>
        <w:suppressLineNumbers w:val="0"/>
        <w:spacing w:line="240" w:lineRule="auto"/>
        <w:ind w:firstLine="480" w:firstLineChars="200"/>
        <w:rPr>
          <w:u w:val="single"/>
        </w:rPr>
      </w:pPr>
      <w:r>
        <w:rPr>
          <w:rFonts w:hint="eastAsia"/>
          <w:highlight w:val="none"/>
          <w:lang w:val="zh-CN"/>
        </w:rPr>
        <w:t>项目联系方式（询问）：</w:t>
      </w:r>
      <w:r>
        <w:rPr>
          <w:rFonts w:hint="eastAsia"/>
          <w:highlight w:val="none"/>
          <w:u w:val="single"/>
        </w:rPr>
        <w:t>0971-</w:t>
      </w:r>
      <w:r>
        <w:rPr>
          <w:rFonts w:hint="eastAsia"/>
          <w:highlight w:val="none"/>
          <w:u w:val="single"/>
          <w:lang w:val="en-US" w:eastAsia="zh-CN"/>
        </w:rPr>
        <w:t xml:space="preserve">3535167 </w:t>
      </w:r>
    </w:p>
    <w:p>
      <w:pPr>
        <w:spacing w:line="400" w:lineRule="exact"/>
        <w:ind w:firstLine="480" w:firstLineChars="200"/>
        <w:rPr>
          <w:rFonts w:hint="default"/>
          <w:highlight w:val="none"/>
          <w:lang w:val="en-US"/>
        </w:rPr>
      </w:pPr>
    </w:p>
    <w:p>
      <w:pPr>
        <w:rPr>
          <w:highlight w:val="none"/>
        </w:rPr>
      </w:pPr>
    </w:p>
    <w:p>
      <w:pPr>
        <w:pStyle w:val="67"/>
        <w:ind w:firstLine="210"/>
        <w:rPr>
          <w:highlight w:val="none"/>
        </w:rPr>
      </w:pPr>
    </w:p>
    <w:p>
      <w:pPr>
        <w:spacing w:line="400" w:lineRule="exact"/>
        <w:ind w:firstLine="480" w:firstLineChars="200"/>
        <w:jc w:val="right"/>
        <w:rPr>
          <w:rFonts w:hint="eastAsia" w:ascii="宋体" w:hAnsi="宋体" w:eastAsia="宋体" w:cs="宋体"/>
          <w:kern w:val="0"/>
          <w:sz w:val="24"/>
          <w:szCs w:val="24"/>
          <w:highlight w:val="none"/>
          <w:lang w:val="zh-CN" w:eastAsia="zh-CN" w:bidi="ar"/>
        </w:rPr>
      </w:pPr>
      <w:r>
        <w:rPr>
          <w:rFonts w:hint="eastAsia" w:ascii="宋体" w:hAnsi="宋体" w:eastAsia="宋体" w:cs="宋体"/>
          <w:kern w:val="0"/>
          <w:sz w:val="24"/>
          <w:szCs w:val="24"/>
          <w:highlight w:val="none"/>
          <w:lang w:val="zh-CN" w:eastAsia="zh-CN" w:bidi="ar"/>
        </w:rPr>
        <w:t>202</w:t>
      </w:r>
      <w:r>
        <w:rPr>
          <w:rFonts w:hint="eastAsia" w:cs="宋体"/>
          <w:kern w:val="0"/>
          <w:sz w:val="24"/>
          <w:szCs w:val="24"/>
          <w:highlight w:val="none"/>
          <w:lang w:val="en-US" w:eastAsia="zh-CN" w:bidi="ar"/>
        </w:rPr>
        <w:t>3</w:t>
      </w:r>
      <w:r>
        <w:rPr>
          <w:rFonts w:hint="eastAsia" w:ascii="宋体" w:hAnsi="宋体" w:eastAsia="宋体" w:cs="宋体"/>
          <w:kern w:val="0"/>
          <w:sz w:val="24"/>
          <w:szCs w:val="24"/>
          <w:highlight w:val="none"/>
          <w:lang w:val="zh-CN" w:eastAsia="zh-CN" w:bidi="ar"/>
        </w:rPr>
        <w:t>年</w:t>
      </w:r>
      <w:r>
        <w:rPr>
          <w:rFonts w:hint="eastAsia" w:cs="宋体"/>
          <w:kern w:val="0"/>
          <w:sz w:val="24"/>
          <w:szCs w:val="24"/>
          <w:highlight w:val="none"/>
          <w:lang w:val="en-US" w:eastAsia="zh-CN" w:bidi="ar"/>
        </w:rPr>
        <w:t>03</w:t>
      </w:r>
      <w:r>
        <w:rPr>
          <w:rFonts w:hint="eastAsia" w:ascii="宋体" w:hAnsi="宋体" w:eastAsia="宋体" w:cs="宋体"/>
          <w:kern w:val="0"/>
          <w:sz w:val="24"/>
          <w:szCs w:val="24"/>
          <w:highlight w:val="none"/>
          <w:lang w:val="zh-CN" w:eastAsia="zh-CN" w:bidi="ar"/>
        </w:rPr>
        <w:t>月</w:t>
      </w:r>
      <w:r>
        <w:rPr>
          <w:rFonts w:hint="eastAsia" w:cs="宋体"/>
          <w:kern w:val="0"/>
          <w:sz w:val="24"/>
          <w:szCs w:val="24"/>
          <w:highlight w:val="none"/>
          <w:lang w:val="en-US" w:eastAsia="zh-CN" w:bidi="ar"/>
        </w:rPr>
        <w:t>29</w:t>
      </w:r>
      <w:r>
        <w:rPr>
          <w:rFonts w:hint="eastAsia" w:ascii="宋体" w:hAnsi="宋体" w:eastAsia="宋体" w:cs="宋体"/>
          <w:kern w:val="0"/>
          <w:sz w:val="24"/>
          <w:szCs w:val="24"/>
          <w:highlight w:val="none"/>
          <w:lang w:val="zh-CN" w:eastAsia="zh-CN" w:bidi="ar"/>
        </w:rPr>
        <w:t>日</w:t>
      </w:r>
    </w:p>
    <w:p>
      <w:pPr>
        <w:rPr>
          <w:highlight w:val="none"/>
        </w:rPr>
      </w:pPr>
    </w:p>
    <w:p>
      <w:pPr>
        <w:spacing w:line="360" w:lineRule="exact"/>
        <w:rPr>
          <w:rFonts w:hint="eastAsia"/>
          <w:bCs/>
          <w:highlight w:val="none"/>
        </w:rPr>
      </w:pPr>
    </w:p>
    <w:p>
      <w:pPr>
        <w:rPr>
          <w:rFonts w:hint="eastAsia"/>
          <w:highlight w:val="none"/>
        </w:rPr>
      </w:pPr>
    </w:p>
    <w:p>
      <w:pPr>
        <w:pStyle w:val="26"/>
        <w:rPr>
          <w:rFonts w:hint="eastAsia"/>
          <w:highlight w:val="none"/>
        </w:rPr>
      </w:pPr>
    </w:p>
    <w:p>
      <w:pPr>
        <w:pStyle w:val="26"/>
        <w:rPr>
          <w:rFonts w:hint="eastAsia"/>
          <w:highlight w:val="none"/>
        </w:rPr>
      </w:pPr>
    </w:p>
    <w:p>
      <w:pPr>
        <w:pStyle w:val="26"/>
        <w:rPr>
          <w:rFonts w:hint="eastAsia"/>
          <w:highlight w:val="none"/>
        </w:rPr>
      </w:pPr>
    </w:p>
    <w:p>
      <w:pPr>
        <w:pStyle w:val="5"/>
        <w:spacing w:line="360" w:lineRule="exact"/>
        <w:rPr>
          <w:rFonts w:hint="eastAsia"/>
          <w:b w:val="0"/>
          <w:highlight w:val="none"/>
        </w:rPr>
      </w:pPr>
      <w:r>
        <w:rPr>
          <w:rFonts w:hint="eastAsia"/>
          <w:bCs/>
          <w:highlight w:val="none"/>
        </w:rPr>
        <w:br w:type="page"/>
      </w:r>
      <w:bookmarkStart w:id="49" w:name="_Toc8032"/>
      <w:r>
        <w:rPr>
          <w:rFonts w:hint="eastAsia"/>
          <w:bCs/>
          <w:highlight w:val="none"/>
        </w:rPr>
        <w:t>第二部分  供应商须知前附表</w:t>
      </w:r>
      <w:bookmarkEnd w:id="5"/>
      <w:bookmarkEnd w:id="49"/>
    </w:p>
    <w:tbl>
      <w:tblPr>
        <w:tblStyle w:val="68"/>
        <w:tblW w:w="10205" w:type="dxa"/>
        <w:jc w:val="center"/>
        <w:tblLayout w:type="fixed"/>
        <w:tblCellMar>
          <w:top w:w="0" w:type="dxa"/>
          <w:left w:w="57" w:type="dxa"/>
          <w:bottom w:w="0" w:type="dxa"/>
          <w:right w:w="57" w:type="dxa"/>
        </w:tblCellMar>
      </w:tblPr>
      <w:tblGrid>
        <w:gridCol w:w="898"/>
        <w:gridCol w:w="2556"/>
        <w:gridCol w:w="6751"/>
      </w:tblGrid>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序号</w:t>
            </w:r>
          </w:p>
        </w:tc>
        <w:tc>
          <w:tcPr>
            <w:tcW w:w="9307"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内容</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采购项目编号</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青海天达竞磋（工程）2023-004号</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采购项目名称</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b/>
                <w:highlight w:val="none"/>
                <w:lang w:val="zh-CN"/>
              </w:rPr>
            </w:pPr>
            <w:r>
              <w:rPr>
                <w:rFonts w:hint="eastAsia"/>
                <w:highlight w:val="none"/>
                <w:lang w:val="zh-CN"/>
              </w:rPr>
              <w:t>2023年洪水镇双一村拱棚建设项目</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采购人</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default" w:eastAsia="宋体"/>
                <w:highlight w:val="none"/>
                <w:lang w:val="en-US" w:eastAsia="zh-CN"/>
              </w:rPr>
            </w:pPr>
            <w:r>
              <w:rPr>
                <w:rFonts w:hint="eastAsia"/>
                <w:highlight w:val="none"/>
                <w:lang w:val="en-US" w:eastAsia="zh-CN"/>
              </w:rPr>
              <w:t>海东市乐都区洪水镇人民政府</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采购代理机构</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青海天达工程管理有限公司</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采购方式</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竞争性磋商</w:t>
            </w:r>
          </w:p>
        </w:tc>
      </w:tr>
      <w:tr>
        <w:tblPrEx>
          <w:tblCellMar>
            <w:top w:w="0" w:type="dxa"/>
            <w:left w:w="57" w:type="dxa"/>
            <w:bottom w:w="0" w:type="dxa"/>
            <w:right w:w="57" w:type="dxa"/>
          </w:tblCellMar>
        </w:tblPrEx>
        <w:trPr>
          <w:trHeight w:val="341"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评分办法</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综合</w:t>
            </w:r>
            <w:r>
              <w:rPr>
                <w:rFonts w:hint="eastAsia" w:eastAsia="宋体"/>
                <w:highlight w:val="none"/>
                <w:lang w:val="zh-CN"/>
              </w:rPr>
              <w:t>评分法</w:t>
            </w:r>
          </w:p>
        </w:tc>
      </w:tr>
      <w:tr>
        <w:tblPrEx>
          <w:tblCellMar>
            <w:top w:w="0" w:type="dxa"/>
            <w:left w:w="57" w:type="dxa"/>
            <w:bottom w:w="0" w:type="dxa"/>
            <w:right w:w="57" w:type="dxa"/>
          </w:tblCellMar>
        </w:tblPrEx>
        <w:trPr>
          <w:trHeight w:val="90"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eastAsia="宋体"/>
                <w:highlight w:val="none"/>
                <w:lang w:val="zh-CN"/>
              </w:rPr>
            </w:pPr>
            <w:r>
              <w:rPr>
                <w:rFonts w:hint="eastAsia" w:eastAsia="宋体"/>
                <w:highlight w:val="none"/>
                <w:lang w:val="zh-CN"/>
              </w:rPr>
              <w:t>采购预算控制额度</w:t>
            </w:r>
          </w:p>
        </w:tc>
        <w:tc>
          <w:tcPr>
            <w:tcW w:w="675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left"/>
              <w:rPr>
                <w:rFonts w:hint="eastAsia" w:eastAsia="宋体"/>
                <w:highlight w:val="none"/>
                <w:lang w:val="zh-CN"/>
              </w:rPr>
            </w:pPr>
            <w:r>
              <w:rPr>
                <w:rFonts w:hint="eastAsia" w:eastAsia="宋体"/>
                <w:highlight w:val="none"/>
                <w:lang w:val="zh-CN"/>
              </w:rPr>
              <w:t>2999511.18元</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项目分包个数</w:t>
            </w:r>
          </w:p>
        </w:tc>
        <w:tc>
          <w:tcPr>
            <w:tcW w:w="675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rPr>
                <w:rFonts w:hint="eastAsia"/>
                <w:highlight w:val="none"/>
              </w:rPr>
            </w:pPr>
            <w:r>
              <w:rPr>
                <w:rFonts w:hint="eastAsia"/>
                <w:highlight w:val="none"/>
                <w:lang w:val="zh-CN"/>
              </w:rPr>
              <w:t>无分包</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采购要求</w:t>
            </w:r>
          </w:p>
        </w:tc>
        <w:tc>
          <w:tcPr>
            <w:tcW w:w="675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rPr>
                <w:rFonts w:hint="eastAsia"/>
                <w:highlight w:val="none"/>
                <w:lang w:val="zh-CN"/>
              </w:rPr>
            </w:pPr>
            <w:r>
              <w:rPr>
                <w:rFonts w:hint="eastAsia"/>
                <w:highlight w:val="none"/>
                <w:lang w:val="zh-CN"/>
              </w:rPr>
              <w:t>详见磋商文件第七部分</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供应商资格条件</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spacing w:line="400" w:lineRule="exact"/>
              <w:rPr>
                <w:rFonts w:hint="eastAsia"/>
                <w:highlight w:val="none"/>
              </w:rPr>
            </w:pPr>
            <w:r>
              <w:rPr>
                <w:rFonts w:hint="eastAsia"/>
                <w:highlight w:val="none"/>
              </w:rPr>
              <w:t>1、符合《政府采购法》第22条条件，并提供下列材料：</w:t>
            </w:r>
          </w:p>
          <w:p>
            <w:pPr>
              <w:spacing w:line="400" w:lineRule="exact"/>
              <w:rPr>
                <w:rFonts w:hint="eastAsia"/>
                <w:highlight w:val="none"/>
              </w:rPr>
            </w:pPr>
            <w:r>
              <w:rPr>
                <w:rFonts w:hint="eastAsia"/>
                <w:highlight w:val="none"/>
              </w:rPr>
              <w:t>&lt;1&gt;投标人的营业执照等证明文件，自然人的身份证明。</w:t>
            </w:r>
          </w:p>
          <w:p>
            <w:pPr>
              <w:spacing w:line="400" w:lineRule="exact"/>
              <w:rPr>
                <w:rFonts w:hint="eastAsia"/>
                <w:highlight w:val="none"/>
              </w:rPr>
            </w:pPr>
            <w:r>
              <w:rPr>
                <w:rFonts w:hint="eastAsia"/>
                <w:highlight w:val="none"/>
              </w:rPr>
              <w:t>&lt;2&gt;财务状况报告，依法缴纳税收和社会保障资金的相关材料。</w:t>
            </w:r>
          </w:p>
          <w:p>
            <w:pPr>
              <w:spacing w:line="400" w:lineRule="exact"/>
              <w:rPr>
                <w:rFonts w:hint="eastAsia"/>
                <w:highlight w:val="none"/>
              </w:rPr>
            </w:pPr>
            <w:r>
              <w:rPr>
                <w:rFonts w:hint="eastAsia"/>
                <w:highlight w:val="none"/>
              </w:rPr>
              <w:t>&lt;3&gt;具备履行合同所必需的设备和专业技术能力的证明材料。</w:t>
            </w:r>
          </w:p>
          <w:p>
            <w:pPr>
              <w:spacing w:line="400" w:lineRule="exact"/>
              <w:rPr>
                <w:rFonts w:hint="eastAsia"/>
                <w:highlight w:val="none"/>
              </w:rPr>
            </w:pPr>
            <w:r>
              <w:rPr>
                <w:rFonts w:hint="eastAsia"/>
                <w:highlight w:val="none"/>
              </w:rPr>
              <w:t>&lt;4&gt;参加政府采购活动前3年内在经营活动中没有重大违法记录的书面声明。</w:t>
            </w:r>
          </w:p>
          <w:p>
            <w:pPr>
              <w:spacing w:line="400" w:lineRule="exact"/>
              <w:rPr>
                <w:rFonts w:hint="eastAsia"/>
                <w:highlight w:val="none"/>
              </w:rPr>
            </w:pPr>
            <w:r>
              <w:rPr>
                <w:rFonts w:hint="eastAsia"/>
                <w:highlight w:val="none"/>
              </w:rPr>
              <w:t>&lt;5&gt;具备法律、行政法规规定的其他条件的证明材料。</w:t>
            </w:r>
          </w:p>
          <w:p>
            <w:pPr>
              <w:spacing w:line="400" w:lineRule="exact"/>
              <w:rPr>
                <w:rFonts w:hint="eastAsia"/>
                <w:highlight w:val="none"/>
              </w:rPr>
            </w:pPr>
            <w:r>
              <w:rPr>
                <w:rFonts w:hint="eastAsia"/>
                <w:highlight w:val="none"/>
              </w:rPr>
              <w:t>2.单位负责人为同一人或者存在直接控股、管理关系的不同投标人，不得参加同一合同项下的政府采购活动。否则，皆取消投标资格；</w:t>
            </w:r>
          </w:p>
          <w:p>
            <w:pPr>
              <w:spacing w:line="400" w:lineRule="exact"/>
              <w:rPr>
                <w:rFonts w:hint="eastAsia"/>
                <w:highlight w:val="none"/>
              </w:rPr>
            </w:pPr>
            <w:r>
              <w:rPr>
                <w:rFonts w:hint="eastAsia"/>
                <w:highlight w:val="none"/>
              </w:rPr>
              <w:t>3.为本采购项目提供整体设计、规范编制或者项目管理、监理、检测等服务的投标人，不得再参加该采购项目的其他采购活动；</w:t>
            </w:r>
          </w:p>
          <w:p>
            <w:pPr>
              <w:spacing w:line="400" w:lineRule="exact"/>
              <w:rPr>
                <w:rFonts w:hint="eastAsia"/>
                <w:highlight w:val="none"/>
              </w:rPr>
            </w:pPr>
            <w:r>
              <w:rPr>
                <w:rFonts w:hint="eastAsia"/>
                <w:highlight w:val="none"/>
              </w:rPr>
              <w:t>4.本项目不接受投标人以联合体方式进行投标；</w:t>
            </w:r>
          </w:p>
          <w:p>
            <w:pPr>
              <w:spacing w:line="400" w:lineRule="exact"/>
              <w:rPr>
                <w:rFonts w:hint="eastAsia" w:hAnsi="Calibri"/>
                <w:highlight w:val="none"/>
              </w:rPr>
            </w:pPr>
            <w:r>
              <w:rPr>
                <w:rFonts w:hint="eastAsia"/>
                <w:highlight w:val="none"/>
              </w:rPr>
              <w:t>5.经信用中国（www.creditchina.gov.cn）、中国政府采购网（www.ccgp.gov.cn）等渠道查询后，列入失信被执行人、重大税收违法案件当事人名单、政府采购严重违法失信行为记录名单的，取消投标资格。（提供“信用中国”网站下载的完整的信用信息和“中国政府采购网”截图，信息生成时间和截图时间为磋商时间前</w:t>
            </w:r>
            <w:r>
              <w:rPr>
                <w:rFonts w:hint="eastAsia"/>
                <w:highlight w:val="none"/>
                <w:lang w:val="en-US" w:eastAsia="zh-CN"/>
              </w:rPr>
              <w:t>2</w:t>
            </w:r>
            <w:r>
              <w:rPr>
                <w:rFonts w:hint="eastAsia"/>
                <w:highlight w:val="none"/>
              </w:rPr>
              <w:t>0天内）；</w:t>
            </w:r>
          </w:p>
          <w:p>
            <w:pPr>
              <w:spacing w:line="400" w:lineRule="exact"/>
              <w:rPr>
                <w:rFonts w:hint="eastAsia"/>
                <w:highlight w:val="none"/>
                <w:lang w:val="zh-CN"/>
              </w:rPr>
            </w:pPr>
            <w:r>
              <w:rPr>
                <w:rFonts w:hint="eastAsia" w:hAnsi="Calibri"/>
                <w:highlight w:val="none"/>
              </w:rPr>
              <w:t>6、</w:t>
            </w:r>
            <w:r>
              <w:rPr>
                <w:rFonts w:hint="eastAsia"/>
                <w:highlight w:val="none"/>
                <w:lang w:val="zh-CN"/>
              </w:rPr>
              <w:t>其他资质条件：</w:t>
            </w:r>
          </w:p>
          <w:p>
            <w:pPr>
              <w:spacing w:line="400" w:lineRule="exact"/>
              <w:rPr>
                <w:rFonts w:hint="eastAsia" w:eastAsia="宋体"/>
                <w:highlight w:val="none"/>
                <w:lang w:val="zh-CN"/>
              </w:rPr>
            </w:pPr>
            <w:r>
              <w:rPr>
                <w:rFonts w:hint="eastAsia"/>
                <w:highlight w:val="none"/>
              </w:rPr>
              <w:t>（1）本次采购要求</w:t>
            </w:r>
            <w:r>
              <w:rPr>
                <w:rFonts w:hint="eastAsia"/>
                <w:highlight w:val="none"/>
                <w:lang w:eastAsia="zh-CN"/>
              </w:rPr>
              <w:t>供应商具备[建筑工程·建筑工程三级](含)以上资质，并在人员、设备、资金等方面具有相应的施工能力</w:t>
            </w:r>
            <w:r>
              <w:rPr>
                <w:rFonts w:hint="eastAsia"/>
                <w:highlight w:val="none"/>
                <w:lang w:val="zh-CN" w:eastAsia="zh-CN"/>
              </w:rPr>
              <w:t>；</w:t>
            </w:r>
          </w:p>
          <w:p>
            <w:pPr>
              <w:spacing w:line="400" w:lineRule="exact"/>
              <w:rPr>
                <w:rFonts w:hint="eastAsia" w:eastAsia="宋体"/>
                <w:highlight w:val="none"/>
                <w:lang w:val="zh-CN" w:eastAsia="zh-CN"/>
              </w:rPr>
            </w:pPr>
            <w:r>
              <w:rPr>
                <w:rFonts w:hint="eastAsia" w:eastAsia="宋体"/>
                <w:highlight w:val="none"/>
                <w:lang w:val="zh-CN"/>
              </w:rPr>
              <w:t>（2）</w:t>
            </w:r>
            <w:r>
              <w:rPr>
                <w:rFonts w:hint="eastAsia" w:eastAsia="宋体"/>
                <w:highlight w:val="none"/>
                <w:lang w:val="zh-CN" w:eastAsia="zh-CN"/>
              </w:rPr>
              <w:t>项目经理须具备[注册二级建造师·建筑工程](含)以上专业级注册建造师执业资格和有效的安全生产考核合格证书；符合 2016 年《注册建造师管理规定》（建设 部令第 153 号）相关规定；</w:t>
            </w:r>
          </w:p>
          <w:p>
            <w:pPr>
              <w:spacing w:line="400" w:lineRule="exact"/>
              <w:rPr>
                <w:rFonts w:hint="eastAsia"/>
                <w:highlight w:val="none"/>
              </w:rPr>
            </w:pPr>
            <w:r>
              <w:rPr>
                <w:rFonts w:hint="eastAsia"/>
                <w:highlight w:val="none"/>
              </w:rPr>
              <w:t>（3）供应商须具有有效的《安全生产许可证》；</w:t>
            </w:r>
          </w:p>
          <w:p>
            <w:pPr>
              <w:spacing w:line="400" w:lineRule="exact"/>
              <w:rPr>
                <w:rFonts w:hint="eastAsia"/>
                <w:highlight w:val="none"/>
              </w:rPr>
            </w:pPr>
            <w:r>
              <w:rPr>
                <w:rFonts w:hint="eastAsia"/>
                <w:highlight w:val="none"/>
              </w:rPr>
              <w:t>（4）外省企业须具有有效的《省外进青建筑企业报告登记证书》；</w:t>
            </w:r>
          </w:p>
          <w:p>
            <w:pPr>
              <w:spacing w:line="400" w:lineRule="exact"/>
              <w:rPr>
                <w:rFonts w:hint="eastAsia"/>
                <w:highlight w:val="none"/>
              </w:rPr>
            </w:pPr>
            <w:r>
              <w:rPr>
                <w:rFonts w:hint="eastAsia"/>
                <w:highlight w:val="none"/>
                <w:lang w:val="zh-CN"/>
              </w:rPr>
              <w:t>（</w:t>
            </w:r>
            <w:r>
              <w:rPr>
                <w:rFonts w:hint="eastAsia"/>
                <w:highlight w:val="none"/>
                <w:lang w:val="en-US" w:eastAsia="zh-CN"/>
              </w:rPr>
              <w:t>5</w:t>
            </w:r>
            <w:r>
              <w:rPr>
                <w:rFonts w:hint="eastAsia"/>
                <w:highlight w:val="none"/>
                <w:lang w:val="zh-CN"/>
              </w:rPr>
              <w:t>）供应商可对上述项目进行投标，但不得就本项目中内容进行拆分投标，所投内容必须完全</w:t>
            </w:r>
            <w:r>
              <w:rPr>
                <w:rFonts w:hint="eastAsia"/>
                <w:highlight w:val="none"/>
                <w:lang w:val="en-US" w:eastAsia="zh-CN"/>
              </w:rPr>
              <w:t>响应</w:t>
            </w:r>
            <w:r>
              <w:rPr>
                <w:rFonts w:hint="eastAsia"/>
                <w:highlight w:val="none"/>
                <w:lang w:val="zh-CN"/>
              </w:rPr>
              <w:t>竞争性磋商文件所列示内容。</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磋商保证金</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jc w:val="left"/>
              <w:rPr>
                <w:rFonts w:hint="eastAsia" w:ascii="宋体" w:hAnsi="宋体" w:eastAsia="宋体" w:cs="宋体"/>
                <w:b/>
                <w:bCs/>
                <w:sz w:val="24"/>
                <w:lang w:val="en-US" w:eastAsia="zh-CN"/>
              </w:rPr>
            </w:pPr>
            <w:r>
              <w:rPr>
                <w:rFonts w:hint="eastAsia" w:ascii="宋体" w:hAnsi="宋体" w:eastAsia="宋体" w:cs="宋体"/>
                <w:b/>
                <w:bCs/>
                <w:sz w:val="24"/>
                <w:lang w:val="en-US" w:eastAsia="zh-CN"/>
              </w:rPr>
              <w:t xml:space="preserve">（大写） </w:t>
            </w:r>
            <w:r>
              <w:rPr>
                <w:rFonts w:hint="eastAsia" w:cs="宋体"/>
                <w:b/>
                <w:bCs/>
                <w:sz w:val="24"/>
                <w:lang w:val="en-US" w:eastAsia="zh-CN"/>
              </w:rPr>
              <w:t>伍万元零角零分</w:t>
            </w:r>
          </w:p>
          <w:p>
            <w:pPr>
              <w:autoSpaceDE w:val="0"/>
              <w:autoSpaceDN w:val="0"/>
              <w:spacing w:line="400" w:lineRule="exact"/>
              <w:jc w:val="left"/>
              <w:rPr>
                <w:rFonts w:hint="default" w:ascii="宋体" w:hAnsi="宋体" w:eastAsia="宋体" w:cs="宋体"/>
                <w:b/>
                <w:bCs/>
                <w:sz w:val="24"/>
                <w:lang w:val="en-US" w:eastAsia="zh-CN"/>
              </w:rPr>
            </w:pPr>
            <w:r>
              <w:rPr>
                <w:rFonts w:hint="eastAsia" w:ascii="宋体" w:hAnsi="宋体" w:eastAsia="宋体" w:cs="宋体"/>
                <w:b/>
                <w:bCs/>
                <w:sz w:val="24"/>
                <w:lang w:val="en-US" w:eastAsia="zh-CN"/>
              </w:rPr>
              <w:t>（小写）</w:t>
            </w:r>
            <w:r>
              <w:rPr>
                <w:rFonts w:hint="eastAsia" w:cs="宋体"/>
                <w:b/>
                <w:bCs/>
                <w:sz w:val="24"/>
                <w:lang w:val="en-US" w:eastAsia="zh-CN"/>
              </w:rPr>
              <w:t>50000</w:t>
            </w:r>
            <w:r>
              <w:rPr>
                <w:rFonts w:hint="eastAsia" w:eastAsia="宋体" w:cs="宋体"/>
                <w:b/>
                <w:bCs/>
                <w:sz w:val="24"/>
                <w:lang w:val="en-US" w:eastAsia="zh-CN"/>
              </w:rPr>
              <w:t>.00元</w:t>
            </w:r>
          </w:p>
          <w:p>
            <w:pPr>
              <w:autoSpaceDE w:val="0"/>
              <w:autoSpaceDN w:val="0"/>
              <w:spacing w:line="400" w:lineRule="exact"/>
              <w:jc w:val="left"/>
              <w:rPr>
                <w:rFonts w:hint="eastAsia" w:ascii="宋体" w:hAnsi="宋体" w:eastAsia="宋体" w:cs="宋体"/>
                <w:b/>
                <w:bCs/>
                <w:sz w:val="24"/>
                <w:lang w:val="en-US" w:eastAsia="zh-CN"/>
              </w:rPr>
            </w:pPr>
            <w:r>
              <w:rPr>
                <w:rFonts w:hint="eastAsia" w:ascii="宋体" w:hAnsi="宋体" w:eastAsia="宋体" w:cs="宋体"/>
                <w:b/>
                <w:bCs/>
                <w:sz w:val="24"/>
                <w:lang w:val="en-US" w:eastAsia="zh-CN"/>
              </w:rPr>
              <w:t>开户银行：中国邮政储蓄银行股份有限公司西宁市滨河南路支行</w:t>
            </w:r>
          </w:p>
          <w:p>
            <w:pPr>
              <w:autoSpaceDE w:val="0"/>
              <w:autoSpaceDN w:val="0"/>
              <w:spacing w:line="400" w:lineRule="exact"/>
              <w:jc w:val="left"/>
              <w:rPr>
                <w:rFonts w:hint="eastAsia" w:ascii="宋体" w:hAnsi="宋体" w:eastAsia="宋体" w:cs="宋体"/>
                <w:b/>
                <w:bCs/>
                <w:sz w:val="24"/>
                <w:lang w:val="en-US" w:eastAsia="zh-CN"/>
              </w:rPr>
            </w:pPr>
            <w:r>
              <w:rPr>
                <w:rFonts w:hint="eastAsia" w:ascii="宋体" w:hAnsi="宋体" w:eastAsia="宋体" w:cs="宋体"/>
                <w:b/>
                <w:bCs/>
                <w:sz w:val="24"/>
                <w:lang w:val="en-US" w:eastAsia="zh-CN"/>
              </w:rPr>
              <w:t>磋商保证金账号：963007010020246689</w:t>
            </w:r>
          </w:p>
          <w:p>
            <w:pPr>
              <w:autoSpaceDE w:val="0"/>
              <w:autoSpaceDN w:val="0"/>
              <w:spacing w:line="400" w:lineRule="exact"/>
              <w:jc w:val="left"/>
              <w:rPr>
                <w:rFonts w:hint="eastAsia" w:ascii="宋体" w:hAnsi="宋体" w:eastAsia="宋体" w:cs="宋体"/>
                <w:b/>
                <w:bCs/>
                <w:sz w:val="24"/>
                <w:lang w:val="en-US" w:eastAsia="zh-CN"/>
              </w:rPr>
            </w:pPr>
            <w:r>
              <w:rPr>
                <w:rFonts w:hint="eastAsia" w:ascii="宋体" w:hAnsi="宋体" w:eastAsia="宋体" w:cs="宋体"/>
                <w:b/>
                <w:bCs/>
                <w:sz w:val="24"/>
                <w:lang w:val="en-US" w:eastAsia="zh-CN"/>
              </w:rPr>
              <w:t>收款单位：</w:t>
            </w:r>
            <w:r>
              <w:rPr>
                <w:rFonts w:hint="eastAsia" w:eastAsia="宋体" w:cs="宋体"/>
                <w:b/>
                <w:bCs/>
                <w:sz w:val="24"/>
                <w:lang w:val="en-US" w:eastAsia="zh-CN"/>
              </w:rPr>
              <w:t>青海天达工程管理有限公司</w:t>
            </w:r>
          </w:p>
          <w:p>
            <w:pPr>
              <w:autoSpaceDE w:val="0"/>
              <w:autoSpaceDN w:val="0"/>
              <w:spacing w:line="400" w:lineRule="exact"/>
              <w:jc w:val="left"/>
              <w:rPr>
                <w:rFonts w:hint="eastAsia" w:eastAsia="宋体"/>
                <w:highlight w:val="none"/>
                <w:lang w:val="zh-CN" w:eastAsia="zh-CN"/>
              </w:rPr>
            </w:pPr>
            <w:r>
              <w:rPr>
                <w:rFonts w:hint="eastAsia" w:ascii="宋体" w:hAnsi="宋体" w:eastAsia="宋体" w:cs="宋体"/>
                <w:b/>
                <w:bCs/>
                <w:sz w:val="24"/>
                <w:lang w:val="en-US" w:eastAsia="zh-CN"/>
              </w:rPr>
              <w:t>缴费时间：供应商在磋商响应文件递交截止时间前，以银行到账时间为准。</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提交方式</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eastAsia="宋体"/>
                <w:highlight w:val="none"/>
                <w:lang w:eastAsia="zh-CN"/>
              </w:rPr>
            </w:pPr>
            <w:r>
              <w:rPr>
                <w:rFonts w:hint="eastAsia" w:ascii="宋体" w:hAnsi="宋体" w:eastAsia="宋体" w:cs="宋体"/>
                <w:sz w:val="24"/>
                <w:lang w:val="zh-CN"/>
              </w:rPr>
              <w:t>提交方式：磋商保证金应当以支票、汇票、本票或者金融机构、担保机构出具的保函等非现金形式提交。通过银行转账的，必须由供应商从其企业账户汇（转）入采购代理机构指定账户。供应商未按照磋商文件要求提交磋商保证金的，磋商无效。</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磋商保证金退还</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spacing w:line="400" w:lineRule="exact"/>
              <w:rPr>
                <w:rFonts w:hint="eastAsia" w:eastAsia="宋体"/>
                <w:highlight w:val="none"/>
                <w:lang w:val="zh-CN" w:eastAsia="zh-CN"/>
              </w:rPr>
            </w:pPr>
            <w:r>
              <w:rPr>
                <w:rFonts w:hint="eastAsia" w:ascii="宋体" w:hAnsi="宋体" w:eastAsia="宋体" w:cs="宋体"/>
                <w:sz w:val="24"/>
                <w:lang w:val="zh-CN"/>
              </w:rPr>
              <w:t>未成交供应商的磋商保证金自成交通知书发出之日起5个工作日内退还（不退现金）；成交供应商的磋商保证金，自政府采购合同签订之日起5个工作日内退还（不退现金）。</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磋商文件编制要求</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1.供应商应按照磋商文件所提供的响应文件格式，分别填写磋商文件第八部分的内容。</w:t>
            </w:r>
          </w:p>
          <w:p>
            <w:pPr>
              <w:autoSpaceDE w:val="0"/>
              <w:autoSpaceDN w:val="0"/>
              <w:spacing w:line="400" w:lineRule="exact"/>
              <w:rPr>
                <w:rFonts w:hint="eastAsia"/>
                <w:highlight w:val="none"/>
                <w:lang w:val="zh-CN"/>
              </w:rPr>
            </w:pPr>
            <w:r>
              <w:rPr>
                <w:rFonts w:hint="eastAsia"/>
                <w:highlight w:val="none"/>
                <w:lang w:val="zh-CN"/>
              </w:rPr>
              <w:t>2.供应商应按磋商文件要求准备响应文件</w:t>
            </w:r>
            <w:r>
              <w:rPr>
                <w:rFonts w:hint="eastAsia"/>
                <w:b/>
                <w:bCs/>
                <w:highlight w:val="none"/>
                <w:lang w:val="zh-CN"/>
              </w:rPr>
              <w:t>（1份正本、</w:t>
            </w:r>
            <w:r>
              <w:rPr>
                <w:rFonts w:hint="eastAsia"/>
                <w:b/>
                <w:bCs/>
                <w:highlight w:val="none"/>
              </w:rPr>
              <w:t>3份</w:t>
            </w:r>
            <w:r>
              <w:rPr>
                <w:rFonts w:hint="eastAsia"/>
                <w:b/>
                <w:bCs/>
                <w:highlight w:val="none"/>
                <w:lang w:val="zh-CN"/>
              </w:rPr>
              <w:t>副本）</w:t>
            </w:r>
            <w:r>
              <w:rPr>
                <w:rFonts w:hint="eastAsia" w:hAnsi="宋体" w:cs="宋体"/>
                <w:b/>
                <w:bCs/>
                <w:szCs w:val="24"/>
                <w:highlight w:val="none"/>
              </w:rPr>
              <w:t>相应的电子文档1份</w:t>
            </w:r>
            <w:r>
              <w:rPr>
                <w:rFonts w:hint="eastAsia"/>
                <w:highlight w:val="none"/>
                <w:lang w:val="zh-CN"/>
              </w:rPr>
              <w:t>。每份响应文件都必须清楚地标明“正本”或“副本”字样。响应文件统一使用A4幅面的纸张印制，必须胶装成册并编码，其他方式装订的响应文件一概按无效标处理。</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磋商文件的密封</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color w:val="000000"/>
                <w:highlight w:val="none"/>
                <w:lang w:val="zh-CN"/>
              </w:rPr>
            </w:pPr>
            <w:r>
              <w:rPr>
                <w:rFonts w:hint="eastAsia"/>
                <w:color w:val="000000"/>
                <w:highlight w:val="none"/>
                <w:lang w:val="zh-CN"/>
              </w:rPr>
              <w:t>响应文件外层密封袋的标注：采购项目编号、采购项目名称、供应商名称、年月日以及</w:t>
            </w:r>
            <w:r>
              <w:rPr>
                <w:rFonts w:hint="eastAsia"/>
                <w:b/>
                <w:bCs/>
                <w:color w:val="000000"/>
                <w:highlight w:val="none"/>
                <w:lang w:val="zh-CN"/>
              </w:rPr>
              <w:t>“</w:t>
            </w:r>
            <w:r>
              <w:rPr>
                <w:rFonts w:hint="eastAsia" w:ascii="宋体" w:hAnsi="宋体" w:eastAsia="宋体" w:cs="宋体"/>
                <w:b/>
                <w:bCs/>
                <w:highlight w:val="none"/>
                <w:lang w:val="zh-CN"/>
              </w:rPr>
              <w:t>于</w:t>
            </w:r>
            <w:r>
              <w:rPr>
                <w:rFonts w:hint="eastAsia" w:cs="宋体"/>
                <w:b/>
                <w:bCs/>
                <w:highlight w:val="none"/>
                <w:lang w:val="zh-CN" w:eastAsia="zh-CN"/>
              </w:rPr>
              <w:t>2023年04月12日09点30分</w:t>
            </w:r>
            <w:r>
              <w:rPr>
                <w:rFonts w:hint="eastAsia" w:eastAsia="宋体"/>
                <w:b/>
                <w:bCs/>
                <w:highlight w:val="none"/>
                <w:lang w:val="zh-CN"/>
              </w:rPr>
              <w:t>之前不准启封”字样。</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递交磋商文件方式</w:t>
            </w:r>
          </w:p>
        </w:tc>
        <w:tc>
          <w:tcPr>
            <w:tcW w:w="675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rPr>
                <w:rFonts w:hint="eastAsia"/>
                <w:color w:val="000000"/>
                <w:highlight w:val="none"/>
                <w:lang w:val="zh-CN"/>
              </w:rPr>
            </w:pPr>
            <w:r>
              <w:rPr>
                <w:rFonts w:hint="eastAsia"/>
                <w:color w:val="000000"/>
                <w:highlight w:val="none"/>
                <w:lang w:val="zh-CN"/>
              </w:rPr>
              <w:t>现场递交，不接受邮寄磋商</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hint="eastAsia"/>
                <w:highlight w:val="none"/>
                <w:lang w:val="zh-CN"/>
              </w:rPr>
            </w:pPr>
            <w:r>
              <w:rPr>
                <w:rFonts w:hint="eastAsia"/>
                <w:highlight w:val="none"/>
              </w:rPr>
              <w:t>响应文件提交截止时间</w:t>
            </w:r>
          </w:p>
        </w:tc>
        <w:tc>
          <w:tcPr>
            <w:tcW w:w="675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rPr>
                <w:rFonts w:hint="eastAsia" w:eastAsia="宋体"/>
                <w:b/>
                <w:bCs/>
                <w:color w:val="000000"/>
                <w:highlight w:val="none"/>
                <w:lang w:val="zh-CN" w:eastAsia="zh-CN"/>
              </w:rPr>
            </w:pPr>
            <w:r>
              <w:rPr>
                <w:rFonts w:hint="eastAsia" w:cs="宋体"/>
                <w:b/>
                <w:bCs/>
                <w:highlight w:val="none"/>
                <w:lang w:val="zh-CN" w:eastAsia="zh-CN"/>
              </w:rPr>
              <w:t>2023年04月12日09点30分</w:t>
            </w:r>
          </w:p>
        </w:tc>
      </w:tr>
      <w:tr>
        <w:tblPrEx>
          <w:tblCellMar>
            <w:top w:w="0" w:type="dxa"/>
            <w:left w:w="57" w:type="dxa"/>
            <w:bottom w:w="0" w:type="dxa"/>
            <w:right w:w="57" w:type="dxa"/>
          </w:tblCellMar>
        </w:tblPrEx>
        <w:trPr>
          <w:trHeight w:val="371"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hint="eastAsia"/>
                <w:highlight w:val="none"/>
                <w:lang w:val="zh-CN"/>
              </w:rPr>
            </w:pPr>
            <w:r>
              <w:rPr>
                <w:rFonts w:hint="eastAsia"/>
                <w:highlight w:val="none"/>
              </w:rPr>
              <w:t>响应文件开启时间</w:t>
            </w:r>
          </w:p>
        </w:tc>
        <w:tc>
          <w:tcPr>
            <w:tcW w:w="675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rPr>
                <w:rFonts w:hint="eastAsia" w:eastAsia="宋体"/>
                <w:b/>
                <w:bCs/>
                <w:color w:val="000000"/>
                <w:highlight w:val="none"/>
                <w:lang w:val="zh-CN" w:eastAsia="zh-CN"/>
              </w:rPr>
            </w:pPr>
            <w:r>
              <w:rPr>
                <w:rFonts w:hint="eastAsia" w:cs="宋体"/>
                <w:b/>
                <w:bCs/>
                <w:highlight w:val="none"/>
                <w:lang w:val="zh-CN" w:eastAsia="zh-CN"/>
              </w:rPr>
              <w:t>2023年04月12日09点30分</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响应文件提交地点</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default" w:eastAsia="宋体"/>
                <w:color w:val="000000"/>
                <w:highlight w:val="none"/>
                <w:lang w:val="en-US" w:eastAsia="zh-CN"/>
              </w:rPr>
            </w:pPr>
            <w:r>
              <w:rPr>
                <w:rFonts w:hint="eastAsia"/>
                <w:b/>
                <w:bCs/>
                <w:color w:val="000000"/>
                <w:highlight w:val="none"/>
                <w:lang w:val="en-US" w:eastAsia="zh-CN"/>
              </w:rPr>
              <w:t>青海天达工程管理有限公司开标室（青海省海东市乐都区西门光明小区西侧2楼301开标室）</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答疑澄清方式</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采用现场答疑。供应商须提供准确的联系方式（手机和固定电话），应在规定的时间内到达评审现场进行答疑澄清，如在规定的时间内联系无果或未按时到达的，视同放弃答疑。</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代理服务费收取</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eastAsia="宋体"/>
                <w:highlight w:val="none"/>
                <w:lang w:val="zh-CN"/>
              </w:rPr>
            </w:pPr>
            <w:r>
              <w:rPr>
                <w:rFonts w:hint="eastAsia" w:eastAsia="宋体"/>
                <w:highlight w:val="none"/>
                <w:lang w:val="zh-CN"/>
              </w:rPr>
              <w:t>招标代理服务费：根据国家发改委《关于进一步放开建设项目专业服务价格的通知》（发改价格[2015]299号）规定</w:t>
            </w:r>
            <w:r>
              <w:rPr>
                <w:rFonts w:hint="eastAsia" w:eastAsia="宋体"/>
                <w:highlight w:val="none"/>
                <w:lang w:val="en-US" w:eastAsia="zh-CN"/>
              </w:rPr>
              <w:t>支付</w:t>
            </w:r>
            <w:r>
              <w:rPr>
                <w:rFonts w:hint="eastAsia" w:eastAsia="宋体"/>
                <w:highlight w:val="none"/>
                <w:lang w:val="zh-CN"/>
              </w:rPr>
              <w:t>。</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合同签订有效期</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eastAsia="宋体"/>
                <w:highlight w:val="none"/>
                <w:lang w:val="zh-CN"/>
              </w:rPr>
            </w:pPr>
            <w:r>
              <w:rPr>
                <w:rFonts w:hint="eastAsia" w:eastAsia="宋体"/>
                <w:highlight w:val="none"/>
                <w:lang w:val="zh-CN"/>
              </w:rPr>
              <w:t>自成交通知书发出之日起30日内与采购人签订合同。</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政府采购合同备案</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采购合同全数返回采购代理机构鉴证，盖章。</w:t>
            </w:r>
          </w:p>
          <w:p>
            <w:pPr>
              <w:autoSpaceDE w:val="0"/>
              <w:autoSpaceDN w:val="0"/>
              <w:spacing w:line="400" w:lineRule="exact"/>
              <w:rPr>
                <w:rFonts w:hint="eastAsia"/>
                <w:highlight w:val="none"/>
                <w:lang w:val="zh-CN"/>
              </w:rPr>
            </w:pPr>
            <w:r>
              <w:rPr>
                <w:rFonts w:hint="eastAsia"/>
                <w:highlight w:val="none"/>
                <w:lang w:val="zh-CN"/>
              </w:rPr>
              <w:t>采购代理机构留存</w:t>
            </w:r>
            <w:r>
              <w:rPr>
                <w:rFonts w:hint="eastAsia"/>
                <w:highlight w:val="none"/>
                <w:lang w:val="en-US" w:eastAsia="zh-CN"/>
              </w:rPr>
              <w:t>两</w:t>
            </w:r>
            <w:r>
              <w:rPr>
                <w:rFonts w:hint="eastAsia"/>
                <w:highlight w:val="none"/>
                <w:lang w:val="zh-CN"/>
              </w:rPr>
              <w:t>份原件备案。</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磋商有效期</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rFonts w:hint="eastAsia"/>
                <w:highlight w:val="none"/>
                <w:lang w:val="zh-CN"/>
              </w:rPr>
            </w:pPr>
            <w:r>
              <w:rPr>
                <w:rFonts w:hint="eastAsia"/>
                <w:highlight w:val="none"/>
                <w:lang w:val="zh-CN"/>
              </w:rPr>
              <w:t>本次磋商有效期为响应文件提交截止时间起60个日历日</w:t>
            </w:r>
          </w:p>
        </w:tc>
      </w:tr>
      <w:tr>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noWrap w:val="0"/>
            <w:vAlign w:val="center"/>
          </w:tcPr>
          <w:p>
            <w:pPr>
              <w:numPr>
                <w:ilvl w:val="0"/>
                <w:numId w:val="22"/>
              </w:numPr>
              <w:autoSpaceDE w:val="0"/>
              <w:autoSpaceDN w:val="0"/>
              <w:spacing w:line="400" w:lineRule="exact"/>
              <w:jc w:val="center"/>
              <w:rPr>
                <w:rFonts w:hint="eastAsia"/>
                <w:highlight w:val="none"/>
                <w:lang w:val="zh-CN"/>
              </w:rPr>
            </w:pPr>
          </w:p>
        </w:tc>
        <w:tc>
          <w:tcPr>
            <w:tcW w:w="255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400" w:lineRule="exact"/>
              <w:jc w:val="center"/>
              <w:rPr>
                <w:rFonts w:hint="eastAsia"/>
                <w:highlight w:val="none"/>
                <w:lang w:val="zh-CN"/>
              </w:rPr>
            </w:pPr>
            <w:r>
              <w:rPr>
                <w:rFonts w:hint="eastAsia"/>
                <w:highlight w:val="none"/>
                <w:lang w:val="zh-CN"/>
              </w:rPr>
              <w:t>其他事项</w:t>
            </w:r>
          </w:p>
        </w:tc>
        <w:tc>
          <w:tcPr>
            <w:tcW w:w="6751"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400" w:lineRule="exact"/>
              <w:rPr>
                <w:highlight w:val="none"/>
              </w:rPr>
            </w:pPr>
            <w:r>
              <w:rPr>
                <w:rFonts w:hint="eastAsia"/>
                <w:highlight w:val="none"/>
              </w:rPr>
              <w:t>各供应商递交的响应文件不予退还</w:t>
            </w:r>
          </w:p>
        </w:tc>
      </w:tr>
      <w:bookmarkEnd w:id="2"/>
    </w:tbl>
    <w:p>
      <w:pPr>
        <w:pStyle w:val="5"/>
        <w:spacing w:line="400" w:lineRule="exact"/>
        <w:rPr>
          <w:rFonts w:hint="eastAsia"/>
          <w:bCs/>
          <w:highlight w:val="none"/>
        </w:rPr>
      </w:pPr>
      <w:bookmarkStart w:id="50" w:name="_Toc376936727"/>
      <w:r>
        <w:rPr>
          <w:rFonts w:hint="eastAsia"/>
          <w:b w:val="0"/>
          <w:highlight w:val="none"/>
        </w:rPr>
        <w:br w:type="page"/>
      </w:r>
      <w:bookmarkStart w:id="51" w:name="_Toc17595"/>
      <w:r>
        <w:rPr>
          <w:rFonts w:hint="eastAsia"/>
          <w:bCs/>
          <w:highlight w:val="none"/>
        </w:rPr>
        <w:t>第三部分  供应商须知</w:t>
      </w:r>
      <w:bookmarkEnd w:id="50"/>
      <w:bookmarkEnd w:id="51"/>
      <w:bookmarkStart w:id="52" w:name="_Toc325725997"/>
    </w:p>
    <w:p>
      <w:pPr>
        <w:spacing w:before="480" w:beforeLines="200" w:after="480" w:afterLines="200" w:line="400" w:lineRule="exact"/>
        <w:jc w:val="center"/>
        <w:outlineLvl w:val="1"/>
        <w:rPr>
          <w:rFonts w:hint="eastAsia"/>
          <w:b/>
          <w:bCs/>
          <w:sz w:val="36"/>
          <w:szCs w:val="36"/>
          <w:highlight w:val="none"/>
        </w:rPr>
      </w:pPr>
      <w:bookmarkStart w:id="53" w:name="_Toc27453"/>
      <w:bookmarkStart w:id="54" w:name="_Toc376936728"/>
      <w:bookmarkStart w:id="55" w:name="_Toc9083"/>
      <w:r>
        <w:rPr>
          <w:rFonts w:hint="eastAsia"/>
          <w:b/>
          <w:bCs/>
          <w:sz w:val="36"/>
          <w:szCs w:val="36"/>
          <w:highlight w:val="none"/>
        </w:rPr>
        <w:t>一、说  明</w:t>
      </w:r>
      <w:bookmarkEnd w:id="52"/>
      <w:bookmarkEnd w:id="53"/>
      <w:bookmarkEnd w:id="54"/>
      <w:bookmarkEnd w:id="55"/>
    </w:p>
    <w:p>
      <w:pPr>
        <w:spacing w:before="100" w:beforeAutospacing="1" w:after="100" w:afterAutospacing="1" w:line="400" w:lineRule="exact"/>
        <w:ind w:firstLine="542"/>
        <w:rPr>
          <w:rFonts w:hint="eastAsia"/>
          <w:b/>
          <w:bCs/>
          <w:sz w:val="27"/>
          <w:szCs w:val="27"/>
          <w:highlight w:val="none"/>
        </w:rPr>
      </w:pPr>
      <w:bookmarkStart w:id="56" w:name="_Toc8300"/>
      <w:bookmarkStart w:id="57" w:name="_Toc376936729"/>
      <w:bookmarkStart w:id="58" w:name="_Toc325725998"/>
      <w:r>
        <w:rPr>
          <w:rFonts w:hint="eastAsia"/>
          <w:b/>
          <w:bCs/>
          <w:sz w:val="27"/>
          <w:szCs w:val="27"/>
          <w:highlight w:val="none"/>
        </w:rPr>
        <w:t>1.适用范围</w:t>
      </w:r>
      <w:bookmarkEnd w:id="56"/>
      <w:bookmarkEnd w:id="57"/>
      <w:bookmarkEnd w:id="58"/>
    </w:p>
    <w:p>
      <w:pPr>
        <w:tabs>
          <w:tab w:val="left" w:pos="840"/>
        </w:tabs>
        <w:spacing w:line="400" w:lineRule="exact"/>
        <w:ind w:firstLine="360" w:firstLineChars="150"/>
        <w:rPr>
          <w:rFonts w:hint="eastAsia"/>
          <w:highlight w:val="none"/>
        </w:rPr>
      </w:pPr>
      <w:r>
        <w:rPr>
          <w:rFonts w:hint="eastAsia"/>
          <w:highlight w:val="none"/>
        </w:rPr>
        <w:t>1.1本次采购依据</w:t>
      </w:r>
      <w:r>
        <w:rPr>
          <w:rFonts w:hint="eastAsia"/>
          <w:highlight w:val="none"/>
          <w:lang w:val="en-US" w:eastAsia="zh-CN"/>
        </w:rPr>
        <w:t>乐都区</w:t>
      </w:r>
      <w:r>
        <w:rPr>
          <w:rFonts w:hint="eastAsia"/>
          <w:highlight w:val="none"/>
          <w:lang w:eastAsia="zh-CN"/>
        </w:rPr>
        <w:t>财政局</w:t>
      </w:r>
      <w:r>
        <w:rPr>
          <w:rFonts w:hint="eastAsia"/>
          <w:highlight w:val="none"/>
        </w:rPr>
        <w:t>下达的采购计划，仅适用于本磋商文件（以下简称“磋商文件”）中所叙述的项目。</w:t>
      </w:r>
    </w:p>
    <w:p>
      <w:pPr>
        <w:spacing w:before="100" w:beforeAutospacing="1" w:after="100" w:afterAutospacing="1" w:line="400" w:lineRule="exact"/>
        <w:ind w:firstLine="542"/>
        <w:rPr>
          <w:rFonts w:hint="eastAsia"/>
          <w:b/>
          <w:bCs/>
          <w:sz w:val="27"/>
          <w:szCs w:val="27"/>
          <w:highlight w:val="none"/>
        </w:rPr>
      </w:pPr>
      <w:bookmarkStart w:id="59" w:name="_Toc27313"/>
      <w:bookmarkStart w:id="60" w:name="_Toc325725999"/>
      <w:bookmarkStart w:id="61" w:name="_Toc376936730"/>
      <w:r>
        <w:rPr>
          <w:rFonts w:hint="eastAsia"/>
          <w:b/>
          <w:bCs/>
          <w:sz w:val="27"/>
          <w:szCs w:val="27"/>
          <w:highlight w:val="none"/>
        </w:rPr>
        <w:t>2.采购方式、合格的供应商</w:t>
      </w:r>
      <w:bookmarkEnd w:id="59"/>
      <w:bookmarkEnd w:id="60"/>
      <w:bookmarkEnd w:id="61"/>
    </w:p>
    <w:p>
      <w:pPr>
        <w:tabs>
          <w:tab w:val="left" w:pos="840"/>
        </w:tabs>
        <w:spacing w:line="400" w:lineRule="exact"/>
        <w:ind w:firstLine="360" w:firstLineChars="150"/>
        <w:rPr>
          <w:rFonts w:hint="eastAsia"/>
          <w:highlight w:val="none"/>
        </w:rPr>
      </w:pPr>
      <w:r>
        <w:rPr>
          <w:rFonts w:hint="eastAsia"/>
          <w:highlight w:val="none"/>
        </w:rPr>
        <w:t>2.1本次采购采取竞争性磋商方式。</w:t>
      </w:r>
    </w:p>
    <w:p>
      <w:pPr>
        <w:tabs>
          <w:tab w:val="left" w:pos="840"/>
        </w:tabs>
        <w:spacing w:line="400" w:lineRule="exact"/>
        <w:ind w:firstLine="360" w:firstLineChars="150"/>
        <w:rPr>
          <w:rFonts w:hint="eastAsia"/>
          <w:highlight w:val="none"/>
        </w:rPr>
      </w:pPr>
      <w:r>
        <w:rPr>
          <w:rFonts w:hint="eastAsia"/>
          <w:highlight w:val="none"/>
        </w:rPr>
        <w:t>2.2合格的供应商：</w:t>
      </w:r>
    </w:p>
    <w:p>
      <w:pPr>
        <w:tabs>
          <w:tab w:val="left" w:pos="840"/>
        </w:tabs>
        <w:spacing w:line="400" w:lineRule="exact"/>
        <w:ind w:firstLine="361" w:firstLineChars="150"/>
        <w:rPr>
          <w:rFonts w:hint="eastAsia"/>
          <w:b/>
          <w:bCs/>
          <w:highlight w:val="none"/>
        </w:rPr>
      </w:pPr>
      <w:r>
        <w:rPr>
          <w:rFonts w:hint="eastAsia"/>
          <w:b/>
          <w:bCs/>
          <w:highlight w:val="none"/>
        </w:rPr>
        <w:t>(1) 符合《政府采购法》第22条条件，并提供下列材料：</w:t>
      </w:r>
    </w:p>
    <w:p>
      <w:pPr>
        <w:tabs>
          <w:tab w:val="left" w:pos="840"/>
        </w:tabs>
        <w:spacing w:line="400" w:lineRule="exact"/>
        <w:ind w:firstLine="360" w:firstLineChars="150"/>
        <w:rPr>
          <w:rFonts w:hint="eastAsia"/>
          <w:highlight w:val="none"/>
        </w:rPr>
      </w:pPr>
      <w:r>
        <w:rPr>
          <w:rFonts w:hint="eastAsia"/>
          <w:highlight w:val="none"/>
        </w:rPr>
        <w:t xml:space="preserve">   &lt;1&gt;供应商的营业执照等证明文件，自然人的身份证明。</w:t>
      </w:r>
    </w:p>
    <w:p>
      <w:pPr>
        <w:tabs>
          <w:tab w:val="left" w:pos="840"/>
        </w:tabs>
        <w:spacing w:line="400" w:lineRule="exact"/>
        <w:ind w:firstLine="360" w:firstLineChars="150"/>
        <w:rPr>
          <w:rFonts w:hint="eastAsia"/>
          <w:highlight w:val="none"/>
        </w:rPr>
      </w:pPr>
      <w:r>
        <w:rPr>
          <w:rFonts w:hint="eastAsia"/>
          <w:highlight w:val="none"/>
        </w:rPr>
        <w:t xml:space="preserve">   &lt;2&gt;财务状况报告和依法缴纳税收和社会保障资金的相关材料。</w:t>
      </w:r>
    </w:p>
    <w:p>
      <w:pPr>
        <w:tabs>
          <w:tab w:val="left" w:pos="840"/>
        </w:tabs>
        <w:spacing w:line="400" w:lineRule="exact"/>
        <w:ind w:firstLine="360" w:firstLineChars="150"/>
        <w:rPr>
          <w:rFonts w:hint="eastAsia"/>
          <w:highlight w:val="none"/>
        </w:rPr>
      </w:pPr>
      <w:r>
        <w:rPr>
          <w:rFonts w:hint="eastAsia"/>
          <w:highlight w:val="none"/>
        </w:rPr>
        <w:t xml:space="preserve">   &lt;3&gt;具备履行合同所必须的服务和专业技术能力的证明材料。</w:t>
      </w:r>
    </w:p>
    <w:p>
      <w:pPr>
        <w:tabs>
          <w:tab w:val="left" w:pos="840"/>
        </w:tabs>
        <w:spacing w:line="400" w:lineRule="exact"/>
        <w:ind w:firstLine="360" w:firstLineChars="150"/>
        <w:rPr>
          <w:rFonts w:hint="eastAsia"/>
          <w:highlight w:val="none"/>
        </w:rPr>
      </w:pPr>
      <w:r>
        <w:rPr>
          <w:rFonts w:hint="eastAsia"/>
          <w:highlight w:val="none"/>
        </w:rPr>
        <w:t xml:space="preserve">   &lt;4&gt;参加政府采购活动前3年内在经营活动中没有重大违法记录的书面声明。</w:t>
      </w:r>
    </w:p>
    <w:p>
      <w:pPr>
        <w:tabs>
          <w:tab w:val="left" w:pos="840"/>
        </w:tabs>
        <w:spacing w:line="400" w:lineRule="exact"/>
        <w:ind w:firstLine="360" w:firstLineChars="150"/>
        <w:rPr>
          <w:rFonts w:hint="eastAsia"/>
          <w:highlight w:val="none"/>
        </w:rPr>
      </w:pPr>
      <w:r>
        <w:rPr>
          <w:rFonts w:hint="eastAsia"/>
          <w:highlight w:val="none"/>
        </w:rPr>
        <w:t xml:space="preserve">   &lt;5&gt;具备法律、行政法规规定的其他条件的证明材料。</w:t>
      </w:r>
    </w:p>
    <w:p>
      <w:pPr>
        <w:tabs>
          <w:tab w:val="left" w:pos="840"/>
        </w:tabs>
        <w:spacing w:line="400" w:lineRule="exact"/>
        <w:ind w:firstLine="361" w:firstLineChars="150"/>
        <w:rPr>
          <w:rFonts w:hint="eastAsia"/>
          <w:b/>
          <w:bCs/>
          <w:highlight w:val="none"/>
        </w:rPr>
      </w:pPr>
      <w:r>
        <w:rPr>
          <w:rFonts w:hint="eastAsia"/>
          <w:b/>
          <w:bCs/>
          <w:highlight w:val="none"/>
        </w:rPr>
        <w:t>(2) 在中华人民共和国境内合法注册的，具有独立法人资格；</w:t>
      </w:r>
    </w:p>
    <w:p>
      <w:pPr>
        <w:tabs>
          <w:tab w:val="left" w:pos="840"/>
        </w:tabs>
        <w:spacing w:line="400" w:lineRule="exact"/>
        <w:ind w:firstLine="361" w:firstLineChars="150"/>
        <w:rPr>
          <w:rFonts w:hint="eastAsia"/>
          <w:b/>
          <w:bCs/>
          <w:highlight w:val="none"/>
        </w:rPr>
      </w:pPr>
      <w:r>
        <w:rPr>
          <w:rFonts w:hint="eastAsia"/>
          <w:b/>
          <w:bCs/>
          <w:highlight w:val="none"/>
        </w:rPr>
        <w:t xml:space="preserve">(3) </w:t>
      </w:r>
      <w:r>
        <w:rPr>
          <w:rFonts w:hint="eastAsia"/>
          <w:b/>
          <w:bCs/>
          <w:highlight w:val="none"/>
          <w:lang w:val="zh-CN"/>
        </w:rPr>
        <w:t>单位负责人为同一人或者存在直接控股、管理关系的不同供应商，不得参加同一合同项下的政府采购活动。否则，皆取消投标资格；</w:t>
      </w:r>
    </w:p>
    <w:p>
      <w:pPr>
        <w:tabs>
          <w:tab w:val="left" w:pos="840"/>
        </w:tabs>
        <w:spacing w:line="400" w:lineRule="exact"/>
        <w:ind w:firstLine="361" w:firstLineChars="150"/>
        <w:rPr>
          <w:rFonts w:hint="eastAsia"/>
          <w:b/>
          <w:bCs/>
          <w:highlight w:val="none"/>
          <w:lang w:val="zh-CN"/>
        </w:rPr>
      </w:pPr>
      <w:r>
        <w:rPr>
          <w:rFonts w:hint="eastAsia"/>
          <w:b/>
          <w:bCs/>
          <w:highlight w:val="none"/>
        </w:rPr>
        <w:t xml:space="preserve">(4) </w:t>
      </w:r>
      <w:r>
        <w:rPr>
          <w:rFonts w:hint="eastAsia"/>
          <w:b/>
          <w:bCs/>
          <w:highlight w:val="none"/>
          <w:lang w:val="zh-CN"/>
        </w:rPr>
        <w:t>为本采购项目提供整体设计、规范编制或者项目管理、监理、检测等服务的供应商，不得再参加该采购项目的其他采购活动；</w:t>
      </w:r>
    </w:p>
    <w:p>
      <w:pPr>
        <w:tabs>
          <w:tab w:val="left" w:pos="840"/>
        </w:tabs>
        <w:spacing w:line="400" w:lineRule="exact"/>
        <w:ind w:firstLine="361" w:firstLineChars="150"/>
        <w:rPr>
          <w:rFonts w:hint="eastAsia"/>
          <w:b/>
          <w:bCs/>
          <w:highlight w:val="none"/>
          <w:lang w:val="zh-CN"/>
        </w:rPr>
      </w:pPr>
      <w:r>
        <w:rPr>
          <w:rFonts w:hint="eastAsia"/>
          <w:b/>
          <w:bCs/>
          <w:highlight w:val="none"/>
        </w:rPr>
        <w:t xml:space="preserve">(5) </w:t>
      </w:r>
      <w:r>
        <w:rPr>
          <w:rFonts w:hint="eastAsia"/>
          <w:b/>
          <w:bCs/>
          <w:highlight w:val="none"/>
          <w:lang w:val="zh-CN"/>
        </w:rPr>
        <w:t>本项目不接受供应商以联合体方式进行投标；</w:t>
      </w:r>
    </w:p>
    <w:p>
      <w:pPr>
        <w:tabs>
          <w:tab w:val="left" w:pos="840"/>
        </w:tabs>
        <w:spacing w:line="400" w:lineRule="exact"/>
        <w:ind w:firstLine="361" w:firstLineChars="150"/>
        <w:rPr>
          <w:rFonts w:hint="eastAsia"/>
          <w:b/>
          <w:bCs/>
          <w:highlight w:val="none"/>
        </w:rPr>
      </w:pPr>
      <w:r>
        <w:rPr>
          <w:rFonts w:hint="eastAsia"/>
          <w:b/>
          <w:bCs/>
          <w:highlight w:val="none"/>
        </w:rPr>
        <w:t>(6) 供应商必须向采购代理机构购买磋商文件并登记，未经向采购代理机构购买磋商文件并登记的潜在供应商均无资格参加本次投标；</w:t>
      </w:r>
    </w:p>
    <w:p>
      <w:pPr>
        <w:tabs>
          <w:tab w:val="left" w:pos="840"/>
        </w:tabs>
        <w:spacing w:line="400" w:lineRule="exact"/>
        <w:ind w:firstLine="241" w:firstLineChars="100"/>
        <w:rPr>
          <w:rFonts w:hint="eastAsia" w:eastAsia="宋体"/>
          <w:b/>
          <w:bCs/>
          <w:highlight w:val="none"/>
          <w:lang w:val="zh-CN"/>
        </w:rPr>
      </w:pPr>
      <w:r>
        <w:rPr>
          <w:rFonts w:hint="eastAsia"/>
          <w:b/>
          <w:bCs/>
          <w:highlight w:val="none"/>
          <w:lang w:val="zh-CN"/>
        </w:rPr>
        <w:t>（</w:t>
      </w:r>
      <w:r>
        <w:rPr>
          <w:rFonts w:hint="eastAsia"/>
          <w:b/>
          <w:bCs/>
          <w:highlight w:val="none"/>
        </w:rPr>
        <w:t>7</w:t>
      </w:r>
      <w:r>
        <w:rPr>
          <w:rFonts w:hint="eastAsia"/>
          <w:b/>
          <w:bCs/>
          <w:highlight w:val="none"/>
          <w:lang w:val="zh-CN"/>
        </w:rPr>
        <w:t>）经信用中国（www.creditchina.gov.cn）、中国政府采购网（www.ccgp.gov.cn）等渠道查询后，列入失信被执行人、重大税收违法案件当事人名单、政府采购严重违法失信行为记录名单的，取消投标资格。（提供“信用中国”网站下载的完整的信用信息和“中国政府采购网”截图，信息生成时间和截图时间为磋商时间前</w:t>
      </w:r>
      <w:r>
        <w:rPr>
          <w:rFonts w:hint="eastAsia"/>
          <w:b/>
          <w:bCs/>
          <w:highlight w:val="none"/>
          <w:lang w:val="en-US" w:eastAsia="zh-CN"/>
        </w:rPr>
        <w:t>2</w:t>
      </w:r>
      <w:r>
        <w:rPr>
          <w:rFonts w:hint="eastAsia"/>
          <w:b/>
          <w:bCs/>
          <w:highlight w:val="none"/>
          <w:lang w:val="zh-CN"/>
        </w:rPr>
        <w:t>0天内）。</w:t>
      </w:r>
    </w:p>
    <w:p>
      <w:pPr>
        <w:tabs>
          <w:tab w:val="left" w:pos="840"/>
        </w:tabs>
        <w:spacing w:line="400" w:lineRule="exact"/>
        <w:ind w:firstLine="361" w:firstLineChars="150"/>
        <w:rPr>
          <w:rFonts w:hint="eastAsia" w:eastAsia="宋体"/>
          <w:b/>
          <w:bCs/>
          <w:highlight w:val="none"/>
          <w:lang w:val="zh-CN"/>
        </w:rPr>
      </w:pPr>
      <w:r>
        <w:rPr>
          <w:rFonts w:hint="eastAsia" w:eastAsia="宋体"/>
          <w:b/>
          <w:bCs/>
          <w:highlight w:val="none"/>
          <w:lang w:val="zh-CN"/>
        </w:rPr>
        <w:t>（</w:t>
      </w:r>
      <w:r>
        <w:rPr>
          <w:rFonts w:hint="eastAsia" w:eastAsia="宋体"/>
          <w:b/>
          <w:bCs/>
          <w:highlight w:val="none"/>
          <w:lang w:val="en-US" w:eastAsia="zh-CN"/>
        </w:rPr>
        <w:t>8</w:t>
      </w:r>
      <w:r>
        <w:rPr>
          <w:rFonts w:hint="eastAsia" w:eastAsia="宋体"/>
          <w:b/>
          <w:bCs/>
          <w:highlight w:val="none"/>
          <w:lang w:val="zh-CN"/>
        </w:rPr>
        <w:t>）本次采购要求</w:t>
      </w:r>
      <w:r>
        <w:rPr>
          <w:rFonts w:hint="eastAsia" w:eastAsia="宋体"/>
          <w:b/>
          <w:bCs/>
          <w:highlight w:val="none"/>
          <w:lang w:val="zh-CN" w:eastAsia="zh-CN"/>
        </w:rPr>
        <w:t>供应商具备[建筑工程·建筑工程三级](含)以上资质，并在人员、设备、资金等方面具有相应的施工能力；</w:t>
      </w:r>
    </w:p>
    <w:p>
      <w:pPr>
        <w:tabs>
          <w:tab w:val="left" w:pos="840"/>
        </w:tabs>
        <w:spacing w:line="400" w:lineRule="exact"/>
        <w:ind w:firstLine="361" w:firstLineChars="150"/>
        <w:rPr>
          <w:rFonts w:hint="eastAsia" w:eastAsia="宋体"/>
          <w:b/>
          <w:bCs/>
          <w:highlight w:val="none"/>
          <w:lang w:val="zh-CN" w:eastAsia="zh-CN"/>
        </w:rPr>
      </w:pPr>
      <w:r>
        <w:rPr>
          <w:rFonts w:hint="eastAsia" w:eastAsia="宋体"/>
          <w:b/>
          <w:bCs/>
          <w:highlight w:val="none"/>
          <w:lang w:val="zh-CN"/>
        </w:rPr>
        <w:t>（</w:t>
      </w:r>
      <w:r>
        <w:rPr>
          <w:rFonts w:hint="eastAsia" w:eastAsia="宋体"/>
          <w:b/>
          <w:bCs/>
          <w:highlight w:val="none"/>
          <w:lang w:val="en-US" w:eastAsia="zh-CN"/>
        </w:rPr>
        <w:t>9</w:t>
      </w:r>
      <w:r>
        <w:rPr>
          <w:rFonts w:hint="eastAsia" w:eastAsia="宋体"/>
          <w:b/>
          <w:bCs/>
          <w:highlight w:val="none"/>
          <w:lang w:val="zh-CN"/>
        </w:rPr>
        <w:t>）</w:t>
      </w:r>
      <w:r>
        <w:rPr>
          <w:rFonts w:hint="eastAsia" w:eastAsia="宋体"/>
          <w:b/>
          <w:bCs/>
          <w:highlight w:val="none"/>
          <w:lang w:val="zh-CN" w:eastAsia="zh-CN"/>
        </w:rPr>
        <w:t>项目经理须具备[注册二级建造师·建筑工程](含)以上专业级注册建造师执业资格和有效的安全生产考核合格证书；符合 2016 年《注册建造师管理规定》（建设 部令第 153 号）相关规定；</w:t>
      </w:r>
    </w:p>
    <w:p>
      <w:pPr>
        <w:tabs>
          <w:tab w:val="left" w:pos="840"/>
        </w:tabs>
        <w:spacing w:line="400" w:lineRule="exact"/>
        <w:ind w:firstLine="361" w:firstLineChars="150"/>
        <w:rPr>
          <w:rFonts w:hint="eastAsia" w:ascii="宋体" w:hAnsi="宋体" w:eastAsia="宋体" w:cs="宋体"/>
          <w:b/>
          <w:bCs/>
          <w:highlight w:val="none"/>
          <w:lang w:val="zh-CN"/>
        </w:rPr>
      </w:pPr>
      <w:r>
        <w:rPr>
          <w:rFonts w:hint="eastAsia" w:ascii="宋体" w:hAnsi="宋体" w:eastAsia="宋体" w:cs="宋体"/>
          <w:b/>
          <w:bCs/>
          <w:highlight w:val="none"/>
          <w:lang w:val="zh-CN"/>
        </w:rPr>
        <w:t>（</w:t>
      </w:r>
      <w:r>
        <w:rPr>
          <w:rFonts w:hint="eastAsia" w:ascii="宋体" w:hAnsi="宋体" w:eastAsia="宋体" w:cs="宋体"/>
          <w:b/>
          <w:bCs/>
          <w:highlight w:val="none"/>
          <w:lang w:val="en-US" w:eastAsia="zh-CN"/>
        </w:rPr>
        <w:t>10</w:t>
      </w:r>
      <w:r>
        <w:rPr>
          <w:rFonts w:hint="eastAsia" w:ascii="宋体" w:hAnsi="宋体" w:eastAsia="宋体" w:cs="宋体"/>
          <w:b/>
          <w:bCs/>
          <w:highlight w:val="none"/>
          <w:lang w:val="zh-CN"/>
        </w:rPr>
        <w:t>）供应商须具有有效的《安全生产许可证》；</w:t>
      </w:r>
    </w:p>
    <w:p>
      <w:pPr>
        <w:tabs>
          <w:tab w:val="left" w:pos="840"/>
        </w:tabs>
        <w:spacing w:line="400" w:lineRule="exact"/>
        <w:ind w:firstLine="361" w:firstLineChars="150"/>
        <w:rPr>
          <w:rFonts w:hint="eastAsia" w:ascii="宋体" w:hAnsi="宋体" w:eastAsia="宋体" w:cs="宋体"/>
          <w:b/>
          <w:bCs/>
          <w:highlight w:val="none"/>
          <w:lang w:val="zh-CN"/>
        </w:rPr>
      </w:pPr>
      <w:r>
        <w:rPr>
          <w:rFonts w:hint="eastAsia" w:ascii="宋体" w:hAnsi="宋体" w:eastAsia="宋体" w:cs="宋体"/>
          <w:b/>
          <w:bCs/>
          <w:highlight w:val="none"/>
          <w:lang w:val="zh-CN"/>
        </w:rPr>
        <w:t>（</w:t>
      </w:r>
      <w:r>
        <w:rPr>
          <w:rFonts w:hint="eastAsia" w:ascii="宋体" w:hAnsi="宋体" w:eastAsia="宋体" w:cs="宋体"/>
          <w:b/>
          <w:bCs/>
          <w:highlight w:val="none"/>
          <w:lang w:val="en-US" w:eastAsia="zh-CN"/>
        </w:rPr>
        <w:t>11</w:t>
      </w:r>
      <w:r>
        <w:rPr>
          <w:rFonts w:hint="eastAsia" w:ascii="宋体" w:hAnsi="宋体" w:eastAsia="宋体" w:cs="宋体"/>
          <w:b/>
          <w:bCs/>
          <w:highlight w:val="none"/>
          <w:lang w:val="zh-CN"/>
        </w:rPr>
        <w:t>）外省企业须具有有效的《省外进青建筑企业报告登记证书》；</w:t>
      </w:r>
    </w:p>
    <w:p>
      <w:pPr>
        <w:spacing w:line="480" w:lineRule="exact"/>
        <w:ind w:firstLine="241" w:firstLineChars="100"/>
        <w:rPr>
          <w:rFonts w:hint="eastAsia"/>
          <w:b/>
          <w:bCs/>
          <w:highlight w:val="none"/>
          <w:lang w:val="zh-CN"/>
        </w:rPr>
      </w:pPr>
      <w:r>
        <w:rPr>
          <w:rFonts w:hint="eastAsia"/>
          <w:b/>
          <w:bCs/>
          <w:highlight w:val="none"/>
          <w:lang w:val="zh-CN"/>
        </w:rPr>
        <w:t>（</w:t>
      </w:r>
      <w:r>
        <w:rPr>
          <w:rFonts w:hint="eastAsia"/>
          <w:b/>
          <w:bCs/>
          <w:highlight w:val="none"/>
          <w:lang w:val="en-US" w:eastAsia="zh-CN"/>
        </w:rPr>
        <w:t>12</w:t>
      </w:r>
      <w:r>
        <w:rPr>
          <w:rFonts w:hint="eastAsia"/>
          <w:b/>
          <w:bCs/>
          <w:highlight w:val="none"/>
          <w:lang w:val="zh-CN"/>
        </w:rPr>
        <w:t>）供应商可对上述项目进行投标，但不得就本项目中内容进行拆分投标，所投内容必须完全响应竞争性磋商文件所列示内容；</w:t>
      </w:r>
    </w:p>
    <w:p>
      <w:pPr>
        <w:tabs>
          <w:tab w:val="left" w:pos="840"/>
        </w:tabs>
        <w:spacing w:line="400" w:lineRule="exact"/>
        <w:ind w:firstLine="480" w:firstLineChars="200"/>
        <w:rPr>
          <w:rFonts w:hint="eastAsia"/>
          <w:highlight w:val="none"/>
          <w:lang w:val="zh-CN"/>
        </w:rPr>
      </w:pPr>
      <w:r>
        <w:rPr>
          <w:rFonts w:hint="eastAsia"/>
          <w:highlight w:val="none"/>
          <w:lang w:val="zh-CN"/>
        </w:rPr>
        <w:t>2.3供应商不得存在下列情形之一：</w:t>
      </w:r>
    </w:p>
    <w:p>
      <w:pPr>
        <w:tabs>
          <w:tab w:val="left" w:pos="840"/>
        </w:tabs>
        <w:spacing w:line="400" w:lineRule="exact"/>
        <w:ind w:firstLine="360" w:firstLineChars="150"/>
        <w:rPr>
          <w:rFonts w:hint="eastAsia"/>
          <w:highlight w:val="none"/>
          <w:lang w:val="zh-CN"/>
        </w:rPr>
      </w:pPr>
      <w:r>
        <w:rPr>
          <w:rFonts w:hint="eastAsia"/>
          <w:highlight w:val="none"/>
          <w:lang w:val="zh-CN"/>
        </w:rPr>
        <w:t>(l）为采购人不具有独立法人资格的附属机构（单位）；</w:t>
      </w:r>
    </w:p>
    <w:p>
      <w:pPr>
        <w:spacing w:line="400" w:lineRule="exact"/>
        <w:ind w:firstLine="360" w:firstLineChars="150"/>
        <w:rPr>
          <w:rFonts w:hint="eastAsia"/>
          <w:highlight w:val="none"/>
          <w:lang w:val="zh-CN"/>
        </w:rPr>
      </w:pPr>
      <w:r>
        <w:rPr>
          <w:rFonts w:hint="eastAsia"/>
          <w:highlight w:val="none"/>
          <w:lang w:val="zh-CN"/>
        </w:rPr>
        <w:t>(2）为本采购项目前期准备提供设计或咨询服务的，但设计施工总承包的除外；</w:t>
      </w:r>
    </w:p>
    <w:p>
      <w:pPr>
        <w:spacing w:line="400" w:lineRule="exact"/>
        <w:ind w:firstLine="360" w:firstLineChars="150"/>
        <w:rPr>
          <w:rFonts w:hint="eastAsia"/>
          <w:highlight w:val="none"/>
          <w:lang w:val="zh-CN"/>
        </w:rPr>
      </w:pPr>
      <w:r>
        <w:rPr>
          <w:rFonts w:hint="eastAsia"/>
          <w:highlight w:val="none"/>
          <w:lang w:val="zh-CN"/>
        </w:rPr>
        <w:t>(3）为本采购项目的监理人；</w:t>
      </w:r>
    </w:p>
    <w:p>
      <w:pPr>
        <w:tabs>
          <w:tab w:val="left" w:pos="840"/>
        </w:tabs>
        <w:spacing w:line="400" w:lineRule="exact"/>
        <w:ind w:firstLine="360" w:firstLineChars="150"/>
        <w:rPr>
          <w:rFonts w:hint="eastAsia"/>
          <w:highlight w:val="none"/>
        </w:rPr>
      </w:pPr>
      <w:r>
        <w:rPr>
          <w:rFonts w:hint="eastAsia"/>
          <w:highlight w:val="none"/>
        </w:rPr>
        <w:t>(4）为本采购项目的代建人；</w:t>
      </w:r>
    </w:p>
    <w:p>
      <w:pPr>
        <w:tabs>
          <w:tab w:val="left" w:pos="840"/>
        </w:tabs>
        <w:spacing w:line="400" w:lineRule="exact"/>
        <w:ind w:firstLine="360" w:firstLineChars="150"/>
        <w:rPr>
          <w:rFonts w:hint="eastAsia"/>
          <w:highlight w:val="none"/>
        </w:rPr>
      </w:pPr>
      <w:r>
        <w:rPr>
          <w:rFonts w:hint="eastAsia"/>
          <w:highlight w:val="none"/>
        </w:rPr>
        <w:t>(5）为本采购项目提供磋商代理服务的；</w:t>
      </w:r>
    </w:p>
    <w:p>
      <w:pPr>
        <w:tabs>
          <w:tab w:val="left" w:pos="840"/>
        </w:tabs>
        <w:spacing w:line="400" w:lineRule="exact"/>
        <w:ind w:firstLine="360" w:firstLineChars="150"/>
        <w:rPr>
          <w:rFonts w:hint="eastAsia"/>
          <w:highlight w:val="none"/>
        </w:rPr>
      </w:pPr>
      <w:r>
        <w:rPr>
          <w:rFonts w:hint="eastAsia"/>
          <w:highlight w:val="none"/>
        </w:rPr>
        <w:t>(6）与本采购项目的监理人或代建人或磋商代理机构同为一个法定代表人的；</w:t>
      </w:r>
    </w:p>
    <w:p>
      <w:pPr>
        <w:tabs>
          <w:tab w:val="left" w:pos="840"/>
        </w:tabs>
        <w:spacing w:line="400" w:lineRule="exact"/>
        <w:ind w:firstLine="360" w:firstLineChars="150"/>
        <w:rPr>
          <w:rFonts w:hint="eastAsia"/>
          <w:highlight w:val="none"/>
        </w:rPr>
      </w:pPr>
      <w:r>
        <w:rPr>
          <w:rFonts w:hint="eastAsia"/>
          <w:highlight w:val="none"/>
        </w:rPr>
        <w:t>(7）与本采购项目的监理人或代建人或磋商代理机构相互控股或参股的；</w:t>
      </w:r>
    </w:p>
    <w:p>
      <w:pPr>
        <w:tabs>
          <w:tab w:val="left" w:pos="840"/>
        </w:tabs>
        <w:spacing w:line="400" w:lineRule="exact"/>
        <w:ind w:firstLine="360" w:firstLineChars="150"/>
        <w:rPr>
          <w:rFonts w:hint="eastAsia"/>
          <w:highlight w:val="none"/>
        </w:rPr>
      </w:pPr>
      <w:r>
        <w:rPr>
          <w:rFonts w:hint="eastAsia"/>
          <w:highlight w:val="none"/>
        </w:rPr>
        <w:t>(8）与本采购项目的监理人或代建人或磋商代理机构相互任职或工作的；</w:t>
      </w:r>
    </w:p>
    <w:p>
      <w:pPr>
        <w:tabs>
          <w:tab w:val="left" w:pos="840"/>
        </w:tabs>
        <w:spacing w:line="400" w:lineRule="exact"/>
        <w:ind w:firstLine="240" w:firstLineChars="100"/>
        <w:rPr>
          <w:rFonts w:hint="eastAsia"/>
          <w:highlight w:val="none"/>
        </w:rPr>
      </w:pPr>
      <w:r>
        <w:rPr>
          <w:rFonts w:hint="eastAsia"/>
          <w:highlight w:val="none"/>
        </w:rPr>
        <w:t>（9）被责令停业的；</w:t>
      </w:r>
    </w:p>
    <w:p>
      <w:pPr>
        <w:tabs>
          <w:tab w:val="left" w:pos="840"/>
        </w:tabs>
        <w:spacing w:line="400" w:lineRule="exact"/>
        <w:ind w:firstLine="360" w:firstLineChars="150"/>
        <w:rPr>
          <w:rFonts w:hint="eastAsia"/>
          <w:highlight w:val="none"/>
        </w:rPr>
      </w:pPr>
      <w:r>
        <w:rPr>
          <w:rFonts w:hint="eastAsia"/>
          <w:highlight w:val="none"/>
        </w:rPr>
        <w:t>(10）被暂停或取消磋商资格的；</w:t>
      </w:r>
    </w:p>
    <w:p>
      <w:pPr>
        <w:tabs>
          <w:tab w:val="left" w:pos="840"/>
        </w:tabs>
        <w:spacing w:line="400" w:lineRule="exact"/>
        <w:ind w:firstLine="360" w:firstLineChars="150"/>
        <w:rPr>
          <w:rFonts w:hint="eastAsia"/>
          <w:highlight w:val="none"/>
        </w:rPr>
      </w:pPr>
      <w:r>
        <w:rPr>
          <w:rFonts w:hint="eastAsia"/>
          <w:highlight w:val="none"/>
        </w:rPr>
        <w:t>(11）财产被接管或冻结的；</w:t>
      </w:r>
    </w:p>
    <w:p>
      <w:pPr>
        <w:tabs>
          <w:tab w:val="left" w:pos="840"/>
        </w:tabs>
        <w:spacing w:line="400" w:lineRule="exact"/>
        <w:ind w:firstLine="360" w:firstLineChars="150"/>
        <w:rPr>
          <w:rFonts w:hint="eastAsia"/>
          <w:highlight w:val="none"/>
        </w:rPr>
      </w:pPr>
      <w:r>
        <w:rPr>
          <w:rFonts w:hint="eastAsia"/>
          <w:highlight w:val="none"/>
        </w:rPr>
        <w:t>(12）在最近三年内有骗取中标或严重违约或重大工程质量问题的；</w:t>
      </w:r>
    </w:p>
    <w:p>
      <w:pPr>
        <w:tabs>
          <w:tab w:val="left" w:pos="840"/>
        </w:tabs>
        <w:spacing w:line="400" w:lineRule="exact"/>
        <w:ind w:firstLine="283" w:firstLineChars="118"/>
        <w:rPr>
          <w:rFonts w:hint="eastAsia"/>
          <w:highlight w:val="none"/>
        </w:rPr>
      </w:pPr>
      <w:r>
        <w:rPr>
          <w:rFonts w:hint="eastAsia"/>
          <w:highlight w:val="none"/>
        </w:rPr>
        <w:t>（13）单位负责人为同一人或者存在控股、管理关系的不同单位，参加同一标段磋商或者未划分标段的同一采购项目磋商的。</w:t>
      </w:r>
    </w:p>
    <w:p>
      <w:pPr>
        <w:spacing w:before="100" w:beforeAutospacing="1" w:after="100" w:afterAutospacing="1" w:line="400" w:lineRule="exact"/>
        <w:ind w:firstLine="542"/>
        <w:rPr>
          <w:rFonts w:hint="eastAsia"/>
          <w:b/>
          <w:bCs/>
          <w:sz w:val="27"/>
          <w:szCs w:val="27"/>
          <w:highlight w:val="none"/>
        </w:rPr>
      </w:pPr>
      <w:bookmarkStart w:id="62" w:name="_Toc325726000"/>
      <w:bookmarkStart w:id="63" w:name="_Toc376936731"/>
      <w:bookmarkStart w:id="64" w:name="_Toc11097"/>
      <w:r>
        <w:rPr>
          <w:rFonts w:hint="eastAsia"/>
          <w:b/>
          <w:bCs/>
          <w:sz w:val="27"/>
          <w:szCs w:val="27"/>
          <w:highlight w:val="none"/>
        </w:rPr>
        <w:t>3.磋商费用</w:t>
      </w:r>
      <w:bookmarkEnd w:id="62"/>
      <w:bookmarkEnd w:id="63"/>
      <w:bookmarkEnd w:id="64"/>
    </w:p>
    <w:p>
      <w:pPr>
        <w:tabs>
          <w:tab w:val="left" w:pos="840"/>
        </w:tabs>
        <w:spacing w:line="400" w:lineRule="exact"/>
        <w:ind w:firstLine="360" w:firstLineChars="150"/>
        <w:rPr>
          <w:rFonts w:hint="eastAsia"/>
          <w:highlight w:val="none"/>
        </w:rPr>
      </w:pPr>
      <w:r>
        <w:rPr>
          <w:rFonts w:hint="eastAsia"/>
          <w:highlight w:val="none"/>
        </w:rPr>
        <w:t>供应商应自愿承担与参加本次磋商有关的费用。采购代理机构对供应商发生的费用不承担任何责任。</w:t>
      </w:r>
    </w:p>
    <w:p>
      <w:pPr>
        <w:spacing w:before="480" w:beforeLines="200" w:after="480" w:afterLines="200" w:line="400" w:lineRule="exact"/>
        <w:jc w:val="center"/>
        <w:outlineLvl w:val="1"/>
        <w:rPr>
          <w:rFonts w:hint="eastAsia"/>
          <w:b/>
          <w:bCs/>
          <w:sz w:val="36"/>
          <w:szCs w:val="36"/>
          <w:highlight w:val="none"/>
        </w:rPr>
      </w:pPr>
      <w:bookmarkStart w:id="65" w:name="_Toc22585"/>
      <w:bookmarkStart w:id="66" w:name="_Toc376936732"/>
      <w:bookmarkStart w:id="67" w:name="_Toc13352"/>
      <w:bookmarkStart w:id="68" w:name="_Toc325726001"/>
      <w:r>
        <w:rPr>
          <w:rFonts w:hint="eastAsia"/>
          <w:b/>
          <w:bCs/>
          <w:sz w:val="36"/>
          <w:szCs w:val="36"/>
          <w:highlight w:val="none"/>
        </w:rPr>
        <w:t>二、磋商文件说明</w:t>
      </w:r>
      <w:bookmarkEnd w:id="65"/>
      <w:bookmarkEnd w:id="66"/>
      <w:bookmarkEnd w:id="67"/>
      <w:bookmarkEnd w:id="68"/>
    </w:p>
    <w:p>
      <w:pPr>
        <w:spacing w:before="100" w:beforeAutospacing="1" w:after="100" w:afterAutospacing="1" w:line="400" w:lineRule="exact"/>
        <w:ind w:firstLine="542"/>
        <w:rPr>
          <w:rFonts w:hint="eastAsia"/>
          <w:b/>
          <w:bCs/>
          <w:sz w:val="27"/>
          <w:szCs w:val="27"/>
          <w:highlight w:val="none"/>
        </w:rPr>
      </w:pPr>
      <w:bookmarkStart w:id="69" w:name="_Toc376936733"/>
      <w:bookmarkStart w:id="70" w:name="_Toc32217"/>
      <w:bookmarkStart w:id="71" w:name="_Toc325726002"/>
      <w:r>
        <w:rPr>
          <w:rFonts w:hint="eastAsia"/>
          <w:b/>
          <w:bCs/>
          <w:sz w:val="27"/>
          <w:szCs w:val="27"/>
          <w:highlight w:val="none"/>
        </w:rPr>
        <w:t>4.磋商文件的构成</w:t>
      </w:r>
      <w:bookmarkEnd w:id="69"/>
      <w:bookmarkEnd w:id="70"/>
      <w:bookmarkEnd w:id="71"/>
    </w:p>
    <w:p>
      <w:pPr>
        <w:spacing w:line="400" w:lineRule="exact"/>
        <w:ind w:firstLine="480"/>
        <w:rPr>
          <w:rFonts w:hint="eastAsia"/>
          <w:highlight w:val="none"/>
        </w:rPr>
      </w:pPr>
      <w:r>
        <w:rPr>
          <w:rFonts w:hint="eastAsia"/>
          <w:highlight w:val="none"/>
        </w:rPr>
        <w:t>4.1磋商文件包括：</w:t>
      </w:r>
    </w:p>
    <w:p>
      <w:pPr>
        <w:spacing w:line="400" w:lineRule="exact"/>
        <w:ind w:firstLine="480"/>
        <w:rPr>
          <w:rFonts w:hint="eastAsia"/>
          <w:highlight w:val="none"/>
        </w:rPr>
      </w:pPr>
      <w:r>
        <w:rPr>
          <w:rFonts w:hint="eastAsia"/>
          <w:highlight w:val="none"/>
        </w:rPr>
        <w:t>（1）竞争性磋商公告</w:t>
      </w:r>
    </w:p>
    <w:p>
      <w:pPr>
        <w:spacing w:line="400" w:lineRule="exact"/>
        <w:ind w:firstLine="480"/>
        <w:rPr>
          <w:rFonts w:hint="eastAsia"/>
          <w:highlight w:val="none"/>
        </w:rPr>
      </w:pPr>
      <w:r>
        <w:rPr>
          <w:rFonts w:hint="eastAsia"/>
          <w:highlight w:val="none"/>
        </w:rPr>
        <w:t>（2）供应商须知前附表</w:t>
      </w:r>
    </w:p>
    <w:p>
      <w:pPr>
        <w:spacing w:line="400" w:lineRule="exact"/>
        <w:ind w:firstLine="480"/>
        <w:rPr>
          <w:rFonts w:hint="eastAsia"/>
          <w:highlight w:val="none"/>
        </w:rPr>
      </w:pPr>
      <w:r>
        <w:rPr>
          <w:rFonts w:hint="eastAsia"/>
          <w:highlight w:val="none"/>
        </w:rPr>
        <w:t>（3）供应商须知</w:t>
      </w:r>
    </w:p>
    <w:p>
      <w:pPr>
        <w:spacing w:line="400" w:lineRule="exact"/>
        <w:ind w:firstLine="480"/>
        <w:rPr>
          <w:rFonts w:hint="eastAsia"/>
          <w:highlight w:val="none"/>
        </w:rPr>
      </w:pPr>
      <w:r>
        <w:rPr>
          <w:rFonts w:hint="eastAsia"/>
          <w:highlight w:val="none"/>
        </w:rPr>
        <w:t>（4）合同条款及格式</w:t>
      </w:r>
    </w:p>
    <w:p>
      <w:pPr>
        <w:spacing w:line="400" w:lineRule="exact"/>
        <w:ind w:firstLine="480"/>
        <w:rPr>
          <w:rFonts w:hint="eastAsia"/>
          <w:highlight w:val="none"/>
        </w:rPr>
      </w:pPr>
      <w:r>
        <w:rPr>
          <w:rFonts w:hint="eastAsia"/>
          <w:highlight w:val="none"/>
        </w:rPr>
        <w:t>（5）工程量清单</w:t>
      </w:r>
    </w:p>
    <w:p>
      <w:pPr>
        <w:spacing w:line="400" w:lineRule="exact"/>
        <w:ind w:firstLine="480"/>
        <w:rPr>
          <w:rFonts w:hint="eastAsia"/>
          <w:highlight w:val="none"/>
        </w:rPr>
      </w:pPr>
      <w:r>
        <w:rPr>
          <w:rFonts w:hint="eastAsia"/>
          <w:highlight w:val="none"/>
        </w:rPr>
        <w:t>（</w:t>
      </w:r>
      <w:r>
        <w:rPr>
          <w:rFonts w:hint="eastAsia"/>
          <w:highlight w:val="none"/>
          <w:lang w:val="en-US" w:eastAsia="zh-CN"/>
        </w:rPr>
        <w:t>6</w:t>
      </w:r>
      <w:r>
        <w:rPr>
          <w:rFonts w:hint="eastAsia"/>
          <w:highlight w:val="none"/>
        </w:rPr>
        <w:t>）采购项目要求</w:t>
      </w:r>
    </w:p>
    <w:p>
      <w:pPr>
        <w:spacing w:line="400" w:lineRule="exact"/>
        <w:ind w:firstLine="480"/>
        <w:rPr>
          <w:rFonts w:hint="eastAsia"/>
          <w:highlight w:val="none"/>
        </w:rPr>
      </w:pPr>
      <w:r>
        <w:rPr>
          <w:rFonts w:hint="eastAsia"/>
          <w:highlight w:val="none"/>
        </w:rPr>
        <w:t>（</w:t>
      </w:r>
      <w:r>
        <w:rPr>
          <w:rFonts w:hint="eastAsia"/>
          <w:highlight w:val="none"/>
          <w:lang w:val="en-US" w:eastAsia="zh-CN"/>
        </w:rPr>
        <w:t>7</w:t>
      </w:r>
      <w:r>
        <w:rPr>
          <w:rFonts w:hint="eastAsia"/>
          <w:highlight w:val="none"/>
        </w:rPr>
        <w:t>）响应文件格式</w:t>
      </w:r>
    </w:p>
    <w:p>
      <w:pPr>
        <w:spacing w:line="400" w:lineRule="exact"/>
        <w:ind w:firstLine="480"/>
        <w:rPr>
          <w:rFonts w:hint="eastAsia"/>
          <w:highlight w:val="none"/>
        </w:rPr>
      </w:pPr>
      <w:r>
        <w:rPr>
          <w:rFonts w:hint="eastAsia"/>
          <w:highlight w:val="none"/>
        </w:rPr>
        <w:t>（</w:t>
      </w:r>
      <w:r>
        <w:rPr>
          <w:rFonts w:hint="eastAsia"/>
          <w:highlight w:val="none"/>
          <w:lang w:val="en-US" w:eastAsia="zh-CN"/>
        </w:rPr>
        <w:t>8</w:t>
      </w:r>
      <w:r>
        <w:rPr>
          <w:rFonts w:hint="eastAsia"/>
          <w:highlight w:val="none"/>
        </w:rPr>
        <w:t>）工程量清单部分</w:t>
      </w:r>
    </w:p>
    <w:p>
      <w:pPr>
        <w:spacing w:line="400" w:lineRule="exact"/>
        <w:ind w:firstLine="480"/>
        <w:rPr>
          <w:rFonts w:hint="eastAsia"/>
          <w:highlight w:val="none"/>
        </w:rPr>
      </w:pPr>
      <w:r>
        <w:rPr>
          <w:rFonts w:hint="eastAsia"/>
          <w:highlight w:val="none"/>
        </w:rPr>
        <w:t>（</w:t>
      </w:r>
      <w:r>
        <w:rPr>
          <w:rFonts w:hint="eastAsia"/>
          <w:highlight w:val="none"/>
          <w:lang w:val="en-US" w:eastAsia="zh-CN"/>
        </w:rPr>
        <w:t>9</w:t>
      </w:r>
      <w:r>
        <w:rPr>
          <w:rFonts w:hint="eastAsia"/>
          <w:highlight w:val="none"/>
        </w:rPr>
        <w:t>）磋商过程中发生的澄清、变更和补充文件</w:t>
      </w:r>
    </w:p>
    <w:p>
      <w:pPr>
        <w:spacing w:line="400" w:lineRule="exact"/>
        <w:ind w:firstLine="480"/>
        <w:rPr>
          <w:rFonts w:hint="eastAsia"/>
          <w:highlight w:val="none"/>
        </w:rPr>
      </w:pPr>
      <w:r>
        <w:rPr>
          <w:rFonts w:hint="eastAsia"/>
          <w:highlight w:val="none"/>
        </w:rPr>
        <w:t>4.2 供应商应认真阅读磋商文件中列示的事项、格式、条款和要求等内容。如果供应商未按磋商文件要求提交全部资料，或者对磋商文件未作出实质性响应的，根据相关法规要求，此类磋商将被拒绝（视为无效磋商）。</w:t>
      </w:r>
    </w:p>
    <w:p>
      <w:pPr>
        <w:spacing w:before="100" w:beforeAutospacing="1" w:after="100" w:afterAutospacing="1" w:line="400" w:lineRule="exact"/>
        <w:ind w:firstLine="542"/>
        <w:rPr>
          <w:rFonts w:hint="eastAsia"/>
          <w:b/>
          <w:bCs/>
          <w:sz w:val="27"/>
          <w:szCs w:val="27"/>
          <w:highlight w:val="none"/>
        </w:rPr>
      </w:pPr>
      <w:bookmarkStart w:id="72" w:name="_Toc325726003"/>
      <w:bookmarkStart w:id="73" w:name="_Toc376936734"/>
      <w:bookmarkStart w:id="74" w:name="_Toc26399"/>
      <w:r>
        <w:rPr>
          <w:rFonts w:hint="eastAsia"/>
          <w:b/>
          <w:bCs/>
          <w:sz w:val="27"/>
          <w:szCs w:val="27"/>
          <w:highlight w:val="none"/>
        </w:rPr>
        <w:t>5.磋商文件的</w:t>
      </w:r>
      <w:bookmarkEnd w:id="72"/>
      <w:bookmarkEnd w:id="73"/>
      <w:r>
        <w:rPr>
          <w:rFonts w:hint="eastAsia"/>
          <w:b/>
          <w:bCs/>
          <w:sz w:val="27"/>
          <w:szCs w:val="27"/>
          <w:highlight w:val="none"/>
        </w:rPr>
        <w:t>质疑</w:t>
      </w:r>
      <w:bookmarkEnd w:id="74"/>
    </w:p>
    <w:p>
      <w:pPr>
        <w:spacing w:line="400" w:lineRule="exact"/>
        <w:ind w:firstLine="480"/>
        <w:rPr>
          <w:rFonts w:hint="eastAsia"/>
          <w:highlight w:val="none"/>
        </w:rPr>
      </w:pPr>
      <w:r>
        <w:rPr>
          <w:rFonts w:hint="eastAsia"/>
          <w:highlight w:val="none"/>
        </w:rPr>
        <w:t>供应商对磋商文件有异议的，应在获取磋商文件止日或者提交首次响应文件截止时间至少1日前以书面形式提出（不接受匿名质疑），采购代理机构在收到供应商的书面质疑后视情况予以答复，并将变更事宜在青海政府采购信息网上发布公告，告知本项目的所有潜在供应商。</w:t>
      </w:r>
    </w:p>
    <w:p>
      <w:pPr>
        <w:spacing w:before="100" w:beforeAutospacing="1" w:after="100" w:afterAutospacing="1" w:line="400" w:lineRule="exact"/>
        <w:ind w:firstLine="542"/>
        <w:rPr>
          <w:rFonts w:hint="eastAsia"/>
          <w:b/>
          <w:bCs/>
          <w:sz w:val="27"/>
          <w:szCs w:val="27"/>
          <w:highlight w:val="none"/>
        </w:rPr>
      </w:pPr>
      <w:bookmarkStart w:id="75" w:name="_Toc16432"/>
      <w:bookmarkStart w:id="76" w:name="_Toc325726004"/>
      <w:bookmarkStart w:id="77" w:name="_Toc376936735"/>
      <w:r>
        <w:rPr>
          <w:rFonts w:hint="eastAsia"/>
          <w:b/>
          <w:bCs/>
          <w:sz w:val="27"/>
          <w:szCs w:val="27"/>
          <w:highlight w:val="none"/>
        </w:rPr>
        <w:t>6.磋商文件的澄清、修改</w:t>
      </w:r>
      <w:bookmarkEnd w:id="75"/>
      <w:bookmarkEnd w:id="76"/>
      <w:bookmarkEnd w:id="77"/>
    </w:p>
    <w:p>
      <w:pPr>
        <w:spacing w:line="400" w:lineRule="exact"/>
        <w:ind w:firstLine="480"/>
        <w:rPr>
          <w:rFonts w:hint="eastAsia"/>
          <w:highlight w:val="none"/>
        </w:rPr>
      </w:pPr>
      <w:r>
        <w:rPr>
          <w:rFonts w:hint="eastAsia"/>
          <w:highlight w:val="none"/>
        </w:rPr>
        <w:t>6.1 在</w:t>
      </w:r>
      <w:r>
        <w:rPr>
          <w:rFonts w:hint="eastAsia"/>
          <w:highlight w:val="none"/>
          <w:lang w:val="zh-CN"/>
        </w:rPr>
        <w:t>磋商</w:t>
      </w:r>
      <w:r>
        <w:rPr>
          <w:rFonts w:hint="eastAsia"/>
          <w:highlight w:val="none"/>
        </w:rPr>
        <w:t>截止期前，采购代理机构可对磋商文件进行必要的修改或者澄清。</w:t>
      </w:r>
    </w:p>
    <w:p>
      <w:pPr>
        <w:spacing w:line="400" w:lineRule="exact"/>
        <w:ind w:firstLine="480"/>
        <w:rPr>
          <w:rFonts w:hint="eastAsia"/>
          <w:highlight w:val="none"/>
        </w:rPr>
      </w:pPr>
      <w:r>
        <w:rPr>
          <w:rFonts w:hint="eastAsia"/>
          <w:highlight w:val="none"/>
        </w:rPr>
        <w:t>6.2 采购代理机构对已发出磋商文件进行必要的澄清或者修改的，在磋商文件要求提交首次响应文件截止时间至少5日前，在青海政府采购信息网上发布公告；不足5日的，顺延提交首次响应文件的截止时间。该澄清或者修改的内容为磋商文件的组成部分。</w:t>
      </w:r>
    </w:p>
    <w:p>
      <w:pPr>
        <w:spacing w:line="400" w:lineRule="exact"/>
        <w:ind w:firstLine="480"/>
        <w:rPr>
          <w:rFonts w:hint="eastAsia"/>
          <w:highlight w:val="none"/>
        </w:rPr>
      </w:pPr>
      <w:r>
        <w:rPr>
          <w:rFonts w:hint="eastAsia"/>
          <w:highlight w:val="none"/>
        </w:rPr>
        <w:t>6.3在</w:t>
      </w:r>
      <w:r>
        <w:rPr>
          <w:rFonts w:hint="eastAsia"/>
          <w:highlight w:val="none"/>
          <w:lang w:val="zh-CN"/>
        </w:rPr>
        <w:t>磋商</w:t>
      </w:r>
      <w:r>
        <w:rPr>
          <w:rFonts w:hint="eastAsia"/>
          <w:highlight w:val="none"/>
        </w:rPr>
        <w:t>截止时间前，采购人或采购代理机构可以视采购具体情况，延长</w:t>
      </w:r>
      <w:r>
        <w:rPr>
          <w:rFonts w:hint="eastAsia"/>
          <w:highlight w:val="none"/>
          <w:lang w:val="zh-CN"/>
        </w:rPr>
        <w:t>磋商</w:t>
      </w:r>
      <w:r>
        <w:rPr>
          <w:rFonts w:hint="eastAsia"/>
          <w:highlight w:val="none"/>
        </w:rPr>
        <w:t>截止时间和开标时间，并在磋商文件中要求的磋商截止时间和磋商时间的三日前，将变更公告发布在青海省政府采购信息网上。</w:t>
      </w:r>
    </w:p>
    <w:p>
      <w:pPr>
        <w:spacing w:before="480" w:beforeLines="200" w:after="480" w:afterLines="200" w:line="400" w:lineRule="exact"/>
        <w:jc w:val="center"/>
        <w:outlineLvl w:val="1"/>
        <w:rPr>
          <w:rFonts w:hint="eastAsia"/>
          <w:b/>
          <w:bCs/>
          <w:sz w:val="36"/>
          <w:szCs w:val="36"/>
          <w:highlight w:val="none"/>
        </w:rPr>
      </w:pPr>
      <w:bookmarkStart w:id="78" w:name="_Toc20147"/>
      <w:bookmarkStart w:id="79" w:name="_Toc325726005"/>
      <w:bookmarkStart w:id="80" w:name="_Toc376936736"/>
      <w:bookmarkStart w:id="81" w:name="_Toc32384"/>
      <w:r>
        <w:rPr>
          <w:rFonts w:hint="eastAsia"/>
          <w:b/>
          <w:bCs/>
          <w:sz w:val="36"/>
          <w:szCs w:val="36"/>
          <w:highlight w:val="none"/>
        </w:rPr>
        <w:t>三、响应文件的编制</w:t>
      </w:r>
      <w:bookmarkEnd w:id="78"/>
      <w:bookmarkEnd w:id="79"/>
      <w:bookmarkEnd w:id="80"/>
      <w:bookmarkEnd w:id="81"/>
    </w:p>
    <w:p>
      <w:pPr>
        <w:spacing w:before="100" w:beforeAutospacing="1" w:after="100" w:afterAutospacing="1" w:line="400" w:lineRule="exact"/>
        <w:ind w:firstLine="542"/>
        <w:rPr>
          <w:rFonts w:hint="eastAsia"/>
          <w:b/>
          <w:bCs/>
          <w:sz w:val="27"/>
          <w:szCs w:val="27"/>
          <w:highlight w:val="none"/>
        </w:rPr>
      </w:pPr>
      <w:bookmarkStart w:id="82" w:name="_Toc376936737"/>
      <w:bookmarkStart w:id="83" w:name="_Toc3702"/>
      <w:bookmarkStart w:id="84" w:name="_Toc325726006"/>
      <w:r>
        <w:rPr>
          <w:rFonts w:hint="eastAsia"/>
          <w:b/>
          <w:bCs/>
          <w:sz w:val="27"/>
          <w:szCs w:val="27"/>
          <w:highlight w:val="none"/>
        </w:rPr>
        <w:t>7.响应文件的语言及度量衡单位</w:t>
      </w:r>
      <w:bookmarkEnd w:id="82"/>
      <w:bookmarkEnd w:id="83"/>
      <w:bookmarkEnd w:id="84"/>
    </w:p>
    <w:p>
      <w:pPr>
        <w:spacing w:line="400" w:lineRule="exact"/>
        <w:ind w:firstLine="480"/>
        <w:rPr>
          <w:rFonts w:hint="eastAsia"/>
          <w:highlight w:val="none"/>
        </w:rPr>
      </w:pPr>
      <w:r>
        <w:rPr>
          <w:rFonts w:hint="eastAsia"/>
          <w:highlight w:val="none"/>
        </w:rPr>
        <w:t>7.1供应商提交的响应文件以及供应商与采购代理机构就此磋商发生的所有来往函电均应使用简体中文。</w:t>
      </w:r>
    </w:p>
    <w:p>
      <w:pPr>
        <w:spacing w:line="400" w:lineRule="exact"/>
        <w:ind w:firstLine="480"/>
        <w:rPr>
          <w:rFonts w:hint="eastAsia"/>
          <w:highlight w:val="none"/>
        </w:rPr>
      </w:pPr>
      <w:r>
        <w:rPr>
          <w:rFonts w:hint="eastAsia"/>
          <w:highlight w:val="none"/>
        </w:rPr>
        <w:t>7.2 除磋商文件中另有规定外，响应文件所使用的度量衡单位，均须采用国家法定计量单位。</w:t>
      </w:r>
    </w:p>
    <w:p>
      <w:pPr>
        <w:spacing w:line="400" w:lineRule="exact"/>
        <w:ind w:firstLine="480"/>
        <w:rPr>
          <w:rFonts w:hint="eastAsia"/>
          <w:highlight w:val="none"/>
        </w:rPr>
      </w:pPr>
      <w:r>
        <w:rPr>
          <w:rFonts w:hint="eastAsia"/>
          <w:highlight w:val="none"/>
        </w:rPr>
        <w:t>7.3附有外文资料的，须翻译成中文并加盖供应商公章，如果翻译的中文资料与外文资料存在差异和矛盾时，以中文资料为准。其准确性由供应商负责。</w:t>
      </w:r>
    </w:p>
    <w:p>
      <w:pPr>
        <w:spacing w:before="100" w:beforeAutospacing="1" w:after="100" w:afterAutospacing="1" w:line="400" w:lineRule="exact"/>
        <w:ind w:firstLine="542"/>
        <w:rPr>
          <w:rFonts w:hint="eastAsia"/>
          <w:b/>
          <w:bCs/>
          <w:sz w:val="27"/>
          <w:szCs w:val="27"/>
          <w:highlight w:val="none"/>
        </w:rPr>
      </w:pPr>
      <w:bookmarkStart w:id="85" w:name="_Toc325726007"/>
      <w:bookmarkStart w:id="86" w:name="_Toc376936738"/>
      <w:bookmarkStart w:id="87" w:name="_Toc18321"/>
      <w:r>
        <w:rPr>
          <w:rFonts w:hint="eastAsia"/>
          <w:b/>
          <w:bCs/>
          <w:sz w:val="27"/>
          <w:szCs w:val="27"/>
          <w:highlight w:val="none"/>
        </w:rPr>
        <w:t>8.磋商报价及币种</w:t>
      </w:r>
      <w:bookmarkEnd w:id="85"/>
      <w:bookmarkEnd w:id="86"/>
      <w:bookmarkEnd w:id="87"/>
    </w:p>
    <w:p>
      <w:pPr>
        <w:spacing w:before="240" w:line="400" w:lineRule="exact"/>
        <w:ind w:firstLine="480"/>
        <w:rPr>
          <w:rFonts w:hint="eastAsia"/>
          <w:highlight w:val="none"/>
        </w:rPr>
      </w:pPr>
      <w:r>
        <w:rPr>
          <w:rFonts w:hint="eastAsia"/>
          <w:highlight w:val="none"/>
        </w:rPr>
        <w:t>8.l磋商报价为总报价。必须包括：分部分项工程费、措施项目费、其他项目费、规费、税金、及不可预见费等全部费用。</w:t>
      </w:r>
    </w:p>
    <w:p>
      <w:pPr>
        <w:spacing w:line="400" w:lineRule="exact"/>
        <w:ind w:firstLine="480"/>
        <w:rPr>
          <w:rFonts w:hint="eastAsia"/>
          <w:highlight w:val="none"/>
        </w:rPr>
      </w:pPr>
      <w:r>
        <w:rPr>
          <w:rFonts w:hint="eastAsia"/>
          <w:highlight w:val="none"/>
        </w:rPr>
        <w:t>8.2 磋商函中应注明</w:t>
      </w:r>
      <w:r>
        <w:rPr>
          <w:rFonts w:hint="eastAsia"/>
          <w:highlight w:val="none"/>
          <w:lang w:val="zh-CN"/>
        </w:rPr>
        <w:t>磋商</w:t>
      </w:r>
      <w:r>
        <w:rPr>
          <w:rFonts w:hint="eastAsia"/>
          <w:highlight w:val="none"/>
        </w:rPr>
        <w:t>有效期。</w:t>
      </w:r>
    </w:p>
    <w:p>
      <w:pPr>
        <w:spacing w:line="400" w:lineRule="exact"/>
        <w:ind w:firstLine="480"/>
        <w:rPr>
          <w:rFonts w:hint="eastAsia"/>
          <w:highlight w:val="none"/>
          <w:shd w:val="pct10" w:color="auto" w:fill="FFFFFF"/>
        </w:rPr>
      </w:pPr>
      <w:r>
        <w:rPr>
          <w:rFonts w:hint="eastAsia"/>
          <w:highlight w:val="none"/>
        </w:rPr>
        <w:t>8.3 供应商应根据磋商文件规定的格式完整填写所有内容，并保证所提供的全部资料真实可信，自愿承担相应责任。</w:t>
      </w:r>
    </w:p>
    <w:p>
      <w:pPr>
        <w:spacing w:line="400" w:lineRule="exact"/>
        <w:ind w:firstLine="480"/>
        <w:rPr>
          <w:rFonts w:hint="eastAsia"/>
          <w:highlight w:val="none"/>
        </w:rPr>
      </w:pPr>
      <w:r>
        <w:rPr>
          <w:rFonts w:hint="eastAsia"/>
          <w:highlight w:val="none"/>
        </w:rPr>
        <w:t>8.4  磋商最后报价为闭口价，即成交后在合同有效期内价格不变。</w:t>
      </w:r>
    </w:p>
    <w:p>
      <w:pPr>
        <w:spacing w:line="400" w:lineRule="exact"/>
        <w:ind w:firstLine="480"/>
        <w:rPr>
          <w:rFonts w:hint="eastAsia"/>
          <w:b/>
          <w:bCs/>
          <w:sz w:val="27"/>
          <w:szCs w:val="27"/>
          <w:highlight w:val="none"/>
        </w:rPr>
      </w:pPr>
      <w:r>
        <w:rPr>
          <w:rFonts w:hint="eastAsia"/>
          <w:highlight w:val="none"/>
        </w:rPr>
        <w:t>8.5 磋商币种为人民币。</w:t>
      </w:r>
      <w:bookmarkStart w:id="88" w:name="_Toc325726012"/>
      <w:bookmarkStart w:id="89" w:name="_Toc376936743"/>
    </w:p>
    <w:p>
      <w:pPr>
        <w:spacing w:before="100" w:beforeAutospacing="1" w:after="100" w:afterAutospacing="1" w:line="400" w:lineRule="exact"/>
        <w:ind w:firstLine="542"/>
        <w:rPr>
          <w:rFonts w:hint="eastAsia"/>
          <w:b/>
          <w:bCs/>
          <w:sz w:val="27"/>
          <w:szCs w:val="27"/>
          <w:highlight w:val="none"/>
        </w:rPr>
      </w:pPr>
      <w:bookmarkStart w:id="90" w:name="_Toc17468"/>
      <w:r>
        <w:rPr>
          <w:rFonts w:hint="eastAsia"/>
          <w:b/>
          <w:bCs/>
          <w:sz w:val="27"/>
          <w:szCs w:val="27"/>
          <w:highlight w:val="none"/>
        </w:rPr>
        <w:t>9.磋商保证金</w:t>
      </w:r>
      <w:bookmarkEnd w:id="88"/>
      <w:bookmarkEnd w:id="89"/>
      <w:bookmarkEnd w:id="90"/>
    </w:p>
    <w:p>
      <w:pPr>
        <w:autoSpaceDE w:val="0"/>
        <w:autoSpaceDN w:val="0"/>
        <w:adjustRightInd w:val="0"/>
        <w:spacing w:line="400" w:lineRule="exact"/>
        <w:ind w:firstLine="480"/>
        <w:rPr>
          <w:rFonts w:hint="eastAsia"/>
          <w:highlight w:val="none"/>
          <w:lang w:val="zh-CN"/>
        </w:rPr>
      </w:pPr>
      <w:bookmarkStart w:id="91" w:name="_Toc376936744"/>
      <w:bookmarkStart w:id="92" w:name="_Toc325726013"/>
      <w:r>
        <w:rPr>
          <w:rFonts w:hint="eastAsia"/>
          <w:highlight w:val="none"/>
          <w:lang w:val="zh-CN"/>
        </w:rPr>
        <w:t>9.1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pPr>
        <w:autoSpaceDE w:val="0"/>
        <w:autoSpaceDN w:val="0"/>
        <w:adjustRightInd w:val="0"/>
        <w:spacing w:line="400" w:lineRule="exact"/>
        <w:ind w:firstLine="480"/>
        <w:rPr>
          <w:rFonts w:hint="eastAsia"/>
          <w:highlight w:val="none"/>
          <w:lang w:val="zh-CN"/>
        </w:rPr>
      </w:pPr>
      <w:r>
        <w:rPr>
          <w:rFonts w:hint="eastAsia"/>
          <w:highlight w:val="none"/>
          <w:lang w:val="zh-CN"/>
        </w:rPr>
        <w:t>9.2供应商应在磋商截止期前一工作日将磋商保证金提交到采购代理机构账户，以银行到账时间为准。</w:t>
      </w:r>
    </w:p>
    <w:p>
      <w:pPr>
        <w:autoSpaceDE w:val="0"/>
        <w:autoSpaceDN w:val="0"/>
        <w:adjustRightInd w:val="0"/>
        <w:spacing w:line="400" w:lineRule="exact"/>
        <w:ind w:firstLine="480"/>
        <w:rPr>
          <w:rFonts w:hint="eastAsia"/>
          <w:highlight w:val="none"/>
          <w:lang w:val="zh-CN"/>
        </w:rPr>
      </w:pPr>
      <w:r>
        <w:rPr>
          <w:rFonts w:hint="eastAsia"/>
          <w:highlight w:val="none"/>
          <w:lang w:val="zh-CN"/>
        </w:rPr>
        <w:t>9.3磋商保证金应当以支票、汇票、本票或者金融机构、担保机构出具的保函等非现金形式提交，通过银行转账的，从其企业账户汇（转）入采购代理机构指定账户。</w:t>
      </w:r>
    </w:p>
    <w:p>
      <w:pPr>
        <w:autoSpaceDE w:val="0"/>
        <w:autoSpaceDN w:val="0"/>
        <w:adjustRightInd w:val="0"/>
        <w:spacing w:line="400" w:lineRule="exact"/>
        <w:ind w:firstLine="480"/>
        <w:rPr>
          <w:rFonts w:hint="eastAsia"/>
          <w:highlight w:val="none"/>
          <w:lang w:val="zh-CN"/>
        </w:rPr>
      </w:pPr>
      <w:r>
        <w:rPr>
          <w:rFonts w:hint="eastAsia"/>
          <w:highlight w:val="none"/>
          <w:lang w:val="zh-CN"/>
        </w:rPr>
        <w:t>9.4未按磋商文件要求在规定时间前提交规定数额磋商保证金的磋商将被拒绝。</w:t>
      </w:r>
    </w:p>
    <w:p>
      <w:pPr>
        <w:autoSpaceDE w:val="0"/>
        <w:autoSpaceDN w:val="0"/>
        <w:adjustRightInd w:val="0"/>
        <w:spacing w:line="400" w:lineRule="exact"/>
        <w:ind w:firstLine="480"/>
        <w:rPr>
          <w:rFonts w:hint="eastAsia"/>
          <w:highlight w:val="none"/>
          <w:lang w:val="zh-CN"/>
        </w:rPr>
      </w:pPr>
      <w:r>
        <w:rPr>
          <w:rFonts w:hint="eastAsia"/>
          <w:highlight w:val="none"/>
          <w:lang w:val="zh-CN"/>
        </w:rPr>
        <w:t>9.5未成交供应商的磋商保证金自成交通知书发出之日起5个工作日内全额无息退还（不退现金）；成交供应商的磋商保证金，自政府采购合同签订之日起5个工作日内全额无息退还（不退现金）。</w:t>
      </w:r>
    </w:p>
    <w:p>
      <w:pPr>
        <w:autoSpaceDE w:val="0"/>
        <w:autoSpaceDN w:val="0"/>
        <w:adjustRightInd w:val="0"/>
        <w:spacing w:line="400" w:lineRule="exact"/>
        <w:ind w:firstLine="480"/>
        <w:rPr>
          <w:rFonts w:hint="eastAsia"/>
          <w:highlight w:val="none"/>
          <w:lang w:val="zh-CN"/>
        </w:rPr>
      </w:pPr>
      <w:r>
        <w:rPr>
          <w:rFonts w:hint="eastAsia"/>
          <w:highlight w:val="none"/>
          <w:lang w:val="zh-CN"/>
        </w:rPr>
        <w:t>9.6下列任何情况发生时，磋商保证金将不予退还：</w:t>
      </w:r>
    </w:p>
    <w:p>
      <w:pPr>
        <w:autoSpaceDE w:val="0"/>
        <w:autoSpaceDN w:val="0"/>
        <w:adjustRightInd w:val="0"/>
        <w:spacing w:line="400" w:lineRule="exact"/>
        <w:ind w:firstLine="480"/>
        <w:rPr>
          <w:rFonts w:hint="eastAsia"/>
          <w:highlight w:val="none"/>
          <w:lang w:val="zh-CN"/>
        </w:rPr>
      </w:pPr>
      <w:r>
        <w:rPr>
          <w:rFonts w:hint="eastAsia"/>
          <w:highlight w:val="none"/>
          <w:lang w:val="zh-CN"/>
        </w:rPr>
        <w:t>（1）供应商在递交响应文件的截止时间前未到达现场并且没有以书面形式如信函、传真等告知采购代理机构要撤其磋商的；</w:t>
      </w:r>
    </w:p>
    <w:p>
      <w:pPr>
        <w:autoSpaceDE w:val="0"/>
        <w:autoSpaceDN w:val="0"/>
        <w:adjustRightInd w:val="0"/>
        <w:spacing w:line="400" w:lineRule="exact"/>
        <w:ind w:firstLine="480"/>
        <w:rPr>
          <w:rFonts w:hint="eastAsia"/>
          <w:highlight w:val="none"/>
          <w:lang w:val="zh-CN"/>
        </w:rPr>
      </w:pPr>
      <w:r>
        <w:rPr>
          <w:rFonts w:hint="eastAsia"/>
          <w:highlight w:val="none"/>
          <w:lang w:val="zh-CN"/>
        </w:rPr>
        <w:t>（2）成交供应商在规定期限内未能按规定签订合同或未按规定缴纳中标服务费；</w:t>
      </w:r>
    </w:p>
    <w:p>
      <w:pPr>
        <w:autoSpaceDE w:val="0"/>
        <w:autoSpaceDN w:val="0"/>
        <w:adjustRightInd w:val="0"/>
        <w:spacing w:line="400" w:lineRule="exact"/>
        <w:ind w:firstLine="480"/>
        <w:rPr>
          <w:rFonts w:hint="eastAsia"/>
          <w:highlight w:val="none"/>
          <w:lang w:val="zh-CN"/>
        </w:rPr>
      </w:pPr>
      <w:r>
        <w:rPr>
          <w:rFonts w:hint="eastAsia"/>
          <w:highlight w:val="none"/>
          <w:lang w:val="zh-CN"/>
        </w:rPr>
        <w:t>（3）提供虚假材料谋取中标的；</w:t>
      </w:r>
    </w:p>
    <w:p>
      <w:pPr>
        <w:autoSpaceDE w:val="0"/>
        <w:autoSpaceDN w:val="0"/>
        <w:adjustRightInd w:val="0"/>
        <w:spacing w:line="400" w:lineRule="exact"/>
        <w:ind w:firstLine="480"/>
        <w:rPr>
          <w:rFonts w:hint="eastAsia"/>
          <w:highlight w:val="none"/>
          <w:lang w:val="zh-CN"/>
        </w:rPr>
      </w:pPr>
      <w:r>
        <w:rPr>
          <w:rFonts w:hint="eastAsia"/>
          <w:highlight w:val="none"/>
          <w:lang w:val="zh-CN"/>
        </w:rPr>
        <w:t>（4）将中标项目转让给他人，或者在响应文件中未说明，将中标项目分包给他人的；</w:t>
      </w:r>
    </w:p>
    <w:p>
      <w:pPr>
        <w:autoSpaceDE w:val="0"/>
        <w:autoSpaceDN w:val="0"/>
        <w:adjustRightInd w:val="0"/>
        <w:spacing w:line="400" w:lineRule="exact"/>
        <w:ind w:firstLine="480"/>
        <w:rPr>
          <w:rFonts w:hint="eastAsia"/>
          <w:highlight w:val="none"/>
          <w:lang w:val="zh-CN"/>
        </w:rPr>
      </w:pPr>
      <w:r>
        <w:rPr>
          <w:rFonts w:hint="eastAsia"/>
          <w:highlight w:val="none"/>
          <w:lang w:val="zh-CN"/>
        </w:rPr>
        <w:t>（5）拒绝履行合同义务的；</w:t>
      </w:r>
    </w:p>
    <w:p>
      <w:pPr>
        <w:autoSpaceDE w:val="0"/>
        <w:autoSpaceDN w:val="0"/>
        <w:adjustRightInd w:val="0"/>
        <w:spacing w:line="400" w:lineRule="exact"/>
        <w:ind w:firstLine="480"/>
        <w:rPr>
          <w:rFonts w:hint="eastAsia"/>
          <w:highlight w:val="none"/>
        </w:rPr>
      </w:pPr>
      <w:r>
        <w:rPr>
          <w:rFonts w:hint="eastAsia"/>
          <w:highlight w:val="none"/>
          <w:lang w:val="zh-CN"/>
        </w:rPr>
        <w:t>（6）法律、法规规定的其他情形。</w:t>
      </w:r>
    </w:p>
    <w:p>
      <w:pPr>
        <w:spacing w:before="100" w:beforeAutospacing="1" w:after="100" w:afterAutospacing="1" w:line="400" w:lineRule="exact"/>
        <w:ind w:firstLine="542"/>
        <w:rPr>
          <w:rFonts w:hint="eastAsia"/>
          <w:b/>
          <w:bCs/>
          <w:sz w:val="27"/>
          <w:szCs w:val="27"/>
          <w:highlight w:val="none"/>
        </w:rPr>
      </w:pPr>
      <w:bookmarkStart w:id="93" w:name="_Toc28022"/>
      <w:r>
        <w:rPr>
          <w:rFonts w:hint="eastAsia"/>
          <w:b/>
          <w:bCs/>
          <w:sz w:val="27"/>
          <w:szCs w:val="27"/>
          <w:highlight w:val="none"/>
        </w:rPr>
        <w:t>10.</w:t>
      </w:r>
      <w:bookmarkEnd w:id="91"/>
      <w:bookmarkEnd w:id="92"/>
      <w:bookmarkEnd w:id="93"/>
      <w:r>
        <w:rPr>
          <w:rFonts w:hint="eastAsia"/>
          <w:b/>
          <w:bCs/>
          <w:sz w:val="27"/>
          <w:szCs w:val="27"/>
          <w:highlight w:val="none"/>
        </w:rPr>
        <w:t>磋商有效期</w:t>
      </w:r>
    </w:p>
    <w:p>
      <w:pPr>
        <w:spacing w:line="400" w:lineRule="exact"/>
        <w:ind w:firstLine="480"/>
        <w:rPr>
          <w:rFonts w:hint="eastAsia"/>
          <w:highlight w:val="none"/>
        </w:rPr>
      </w:pPr>
      <w:r>
        <w:rPr>
          <w:rFonts w:hint="eastAsia"/>
          <w:highlight w:val="none"/>
        </w:rPr>
        <w:t>为</w:t>
      </w:r>
      <w:r>
        <w:rPr>
          <w:rFonts w:hint="eastAsia"/>
          <w:highlight w:val="none"/>
          <w:lang w:val="zh-CN"/>
        </w:rPr>
        <w:t>本次磋商有效期为响应文件提交截止时间起60个日历日</w:t>
      </w:r>
      <w:r>
        <w:rPr>
          <w:rFonts w:hint="eastAsia"/>
          <w:highlight w:val="none"/>
        </w:rPr>
        <w:t>。</w:t>
      </w:r>
    </w:p>
    <w:p>
      <w:pPr>
        <w:spacing w:before="100" w:beforeAutospacing="1" w:after="100" w:afterAutospacing="1" w:line="400" w:lineRule="exact"/>
        <w:ind w:firstLine="542"/>
        <w:rPr>
          <w:rFonts w:hint="eastAsia"/>
          <w:b/>
          <w:bCs/>
          <w:sz w:val="27"/>
          <w:szCs w:val="27"/>
          <w:highlight w:val="none"/>
        </w:rPr>
      </w:pPr>
      <w:bookmarkStart w:id="94" w:name="_Toc325726008"/>
      <w:bookmarkStart w:id="95" w:name="_Toc3718"/>
      <w:bookmarkStart w:id="96" w:name="_Toc376936739"/>
      <w:r>
        <w:rPr>
          <w:rFonts w:hint="eastAsia"/>
          <w:b/>
          <w:bCs/>
          <w:sz w:val="27"/>
          <w:szCs w:val="27"/>
          <w:highlight w:val="none"/>
        </w:rPr>
        <w:t>11.响应文件构成</w:t>
      </w:r>
      <w:bookmarkEnd w:id="94"/>
      <w:bookmarkEnd w:id="95"/>
      <w:bookmarkEnd w:id="96"/>
    </w:p>
    <w:p>
      <w:pPr>
        <w:spacing w:line="400" w:lineRule="exact"/>
        <w:ind w:firstLine="480"/>
        <w:rPr>
          <w:rFonts w:hint="eastAsia"/>
          <w:highlight w:val="none"/>
        </w:rPr>
      </w:pPr>
      <w:r>
        <w:rPr>
          <w:rFonts w:hint="eastAsia"/>
          <w:highlight w:val="none"/>
          <w:lang w:val="zh-CN"/>
        </w:rPr>
        <w:t>11.1</w:t>
      </w:r>
      <w:r>
        <w:rPr>
          <w:rFonts w:hint="eastAsia"/>
          <w:highlight w:val="none"/>
        </w:rPr>
        <w:t>供应商应提交相关证明材料，作为其参加磋商和成交后有能力履行合同的证明。编写的响应文件须包括以下内容（格式详见磋商文件第八章内容）：</w:t>
      </w:r>
    </w:p>
    <w:p>
      <w:pPr>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rPr>
        <w:t xml:space="preserve"> </w:t>
      </w:r>
      <w:r>
        <w:rPr>
          <w:rFonts w:hint="eastAsia"/>
          <w:highlight w:val="none"/>
          <w:lang w:val="zh-CN"/>
        </w:rPr>
        <w:t>响应文件封面</w:t>
      </w:r>
    </w:p>
    <w:p>
      <w:pPr>
        <w:autoSpaceDE w:val="0"/>
        <w:autoSpaceDN w:val="0"/>
        <w:adjustRightInd w:val="0"/>
        <w:spacing w:line="400" w:lineRule="exact"/>
        <w:rPr>
          <w:rFonts w:hint="eastAsia"/>
          <w:highlight w:val="none"/>
          <w:lang w:val="zh-CN"/>
        </w:rPr>
      </w:pPr>
      <w:r>
        <w:rPr>
          <w:rFonts w:hint="eastAsia"/>
          <w:highlight w:val="none"/>
          <w:lang w:val="zh-CN"/>
        </w:rPr>
        <w:t>（2）</w:t>
      </w:r>
      <w:r>
        <w:rPr>
          <w:rFonts w:hint="eastAsia"/>
          <w:highlight w:val="none"/>
        </w:rPr>
        <w:t xml:space="preserve"> </w:t>
      </w:r>
      <w:r>
        <w:rPr>
          <w:rFonts w:hint="eastAsia"/>
          <w:highlight w:val="none"/>
          <w:lang w:val="zh-CN"/>
        </w:rPr>
        <w:t>响应文件目录</w:t>
      </w:r>
    </w:p>
    <w:p>
      <w:pPr>
        <w:autoSpaceDE w:val="0"/>
        <w:autoSpaceDN w:val="0"/>
        <w:adjustRightInd w:val="0"/>
        <w:spacing w:line="400" w:lineRule="exact"/>
        <w:rPr>
          <w:rFonts w:hint="eastAsia"/>
          <w:highlight w:val="none"/>
          <w:lang w:val="zh-CN"/>
        </w:rPr>
      </w:pPr>
      <w:r>
        <w:rPr>
          <w:rFonts w:hint="eastAsia"/>
          <w:highlight w:val="none"/>
          <w:lang w:val="zh-CN"/>
        </w:rPr>
        <w:t>（3）</w:t>
      </w:r>
      <w:r>
        <w:rPr>
          <w:rFonts w:hint="eastAsia"/>
          <w:highlight w:val="none"/>
        </w:rPr>
        <w:t xml:space="preserve"> </w:t>
      </w:r>
      <w:r>
        <w:rPr>
          <w:rFonts w:hint="eastAsia"/>
          <w:highlight w:val="none"/>
          <w:lang w:val="zh-CN"/>
        </w:rPr>
        <w:t>磋商函及磋商首次报价表</w:t>
      </w:r>
    </w:p>
    <w:p>
      <w:pPr>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4</w:t>
      </w:r>
      <w:r>
        <w:rPr>
          <w:rFonts w:hint="eastAsia"/>
          <w:highlight w:val="none"/>
          <w:lang w:val="zh-CN"/>
        </w:rPr>
        <w:t>）</w:t>
      </w:r>
      <w:r>
        <w:rPr>
          <w:rFonts w:hint="eastAsia"/>
          <w:highlight w:val="none"/>
        </w:rPr>
        <w:t xml:space="preserve"> </w:t>
      </w:r>
      <w:r>
        <w:rPr>
          <w:rFonts w:hint="eastAsia"/>
          <w:highlight w:val="none"/>
          <w:lang w:val="zh-CN"/>
        </w:rPr>
        <w:t>法定代表人证明书</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5</w:t>
      </w:r>
      <w:r>
        <w:rPr>
          <w:rFonts w:hint="eastAsia"/>
          <w:highlight w:val="none"/>
          <w:lang w:val="zh-CN"/>
        </w:rPr>
        <w:t>）</w:t>
      </w:r>
      <w:r>
        <w:rPr>
          <w:rFonts w:hint="eastAsia"/>
          <w:highlight w:val="none"/>
        </w:rPr>
        <w:t xml:space="preserve"> </w:t>
      </w:r>
      <w:r>
        <w:rPr>
          <w:rFonts w:hint="eastAsia"/>
          <w:highlight w:val="none"/>
          <w:lang w:val="zh-CN"/>
        </w:rPr>
        <w:t>法定代表人授权书</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6</w:t>
      </w:r>
      <w:r>
        <w:rPr>
          <w:rFonts w:hint="eastAsia"/>
          <w:highlight w:val="none"/>
          <w:lang w:val="zh-CN"/>
        </w:rPr>
        <w:t>）</w:t>
      </w:r>
      <w:r>
        <w:rPr>
          <w:rFonts w:hint="eastAsia"/>
          <w:highlight w:val="none"/>
        </w:rPr>
        <w:t xml:space="preserve"> 供应商承诺函</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7</w:t>
      </w:r>
      <w:r>
        <w:rPr>
          <w:rFonts w:hint="eastAsia"/>
          <w:highlight w:val="none"/>
          <w:lang w:val="zh-CN"/>
        </w:rPr>
        <w:t>）</w:t>
      </w:r>
      <w:r>
        <w:rPr>
          <w:rFonts w:hint="eastAsia"/>
          <w:highlight w:val="none"/>
        </w:rPr>
        <w:t xml:space="preserve"> </w:t>
      </w:r>
      <w:r>
        <w:rPr>
          <w:rFonts w:hint="eastAsia"/>
          <w:highlight w:val="none"/>
          <w:lang w:val="zh-CN"/>
        </w:rPr>
        <w:t>供应商诚信承诺书</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8</w:t>
      </w:r>
      <w:r>
        <w:rPr>
          <w:rFonts w:hint="eastAsia"/>
          <w:highlight w:val="none"/>
          <w:lang w:val="zh-CN"/>
        </w:rPr>
        <w:t>）</w:t>
      </w:r>
      <w:r>
        <w:rPr>
          <w:rFonts w:hint="eastAsia"/>
          <w:highlight w:val="none"/>
        </w:rPr>
        <w:t xml:space="preserve"> </w:t>
      </w:r>
      <w:r>
        <w:rPr>
          <w:rFonts w:hint="eastAsia"/>
          <w:highlight w:val="none"/>
          <w:lang w:val="zh-CN"/>
        </w:rPr>
        <w:t>已标价工程量清单</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9</w:t>
      </w:r>
      <w:r>
        <w:rPr>
          <w:rFonts w:hint="eastAsia"/>
          <w:highlight w:val="none"/>
          <w:lang w:val="zh-CN"/>
        </w:rPr>
        <w:t>） 施工组织设计</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10</w:t>
      </w:r>
      <w:r>
        <w:rPr>
          <w:rFonts w:hint="eastAsia"/>
          <w:highlight w:val="none"/>
          <w:lang w:val="zh-CN"/>
        </w:rPr>
        <w:t>）项目管理机构</w:t>
      </w:r>
    </w:p>
    <w:p>
      <w:pPr>
        <w:wordWrap w:val="0"/>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rPr>
        <w:t>1</w:t>
      </w:r>
      <w:r>
        <w:rPr>
          <w:rFonts w:hint="eastAsia"/>
          <w:highlight w:val="none"/>
          <w:lang w:val="zh-CN"/>
        </w:rPr>
        <w:t>）资格审查资料</w:t>
      </w:r>
    </w:p>
    <w:p>
      <w:pPr>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lang w:val="en-US" w:eastAsia="zh-CN"/>
        </w:rPr>
        <w:t>2</w:t>
      </w:r>
      <w:r>
        <w:rPr>
          <w:rFonts w:hint="eastAsia"/>
          <w:highlight w:val="none"/>
          <w:lang w:val="zh-CN"/>
        </w:rPr>
        <w:t>）无重大违法记录声明</w:t>
      </w:r>
    </w:p>
    <w:p>
      <w:pPr>
        <w:wordWrap w:val="0"/>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lang w:val="en-US" w:eastAsia="zh-CN"/>
        </w:rPr>
        <w:t>3</w:t>
      </w:r>
      <w:r>
        <w:rPr>
          <w:rFonts w:hint="eastAsia"/>
          <w:highlight w:val="none"/>
          <w:lang w:val="zh-CN"/>
        </w:rPr>
        <w:t>）中小企业声明函（工程）</w:t>
      </w:r>
    </w:p>
    <w:p>
      <w:pPr>
        <w:wordWrap w:val="0"/>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lang w:val="en-US" w:eastAsia="zh-CN"/>
        </w:rPr>
        <w:t>4</w:t>
      </w:r>
      <w:r>
        <w:rPr>
          <w:rFonts w:hint="eastAsia"/>
          <w:highlight w:val="none"/>
          <w:lang w:val="zh-CN"/>
        </w:rPr>
        <w:t>）残疾人福利性单位声明函</w:t>
      </w:r>
    </w:p>
    <w:p>
      <w:pPr>
        <w:wordWrap w:val="0"/>
        <w:autoSpaceDE w:val="0"/>
        <w:autoSpaceDN w:val="0"/>
        <w:adjustRightInd w:val="0"/>
        <w:spacing w:line="400" w:lineRule="exact"/>
        <w:rPr>
          <w:rFonts w:hint="eastAsia"/>
          <w:highlight w:val="none"/>
          <w:lang w:val="zh-CN"/>
        </w:rPr>
      </w:pPr>
      <w:r>
        <w:rPr>
          <w:rFonts w:hint="eastAsia"/>
          <w:highlight w:val="none"/>
          <w:lang w:val="zh-CN"/>
        </w:rPr>
        <w:t>（</w:t>
      </w:r>
      <w:r>
        <w:rPr>
          <w:rFonts w:hint="eastAsia"/>
          <w:highlight w:val="none"/>
        </w:rPr>
        <w:t>1</w:t>
      </w:r>
      <w:r>
        <w:rPr>
          <w:rFonts w:hint="eastAsia"/>
          <w:highlight w:val="none"/>
          <w:lang w:val="en-US" w:eastAsia="zh-CN"/>
        </w:rPr>
        <w:t>5</w:t>
      </w:r>
      <w:r>
        <w:rPr>
          <w:rFonts w:hint="eastAsia"/>
          <w:highlight w:val="none"/>
          <w:lang w:val="zh-CN"/>
        </w:rPr>
        <w:t>）</w:t>
      </w:r>
      <w:r>
        <w:rPr>
          <w:rFonts w:hint="eastAsia"/>
          <w:highlight w:val="none"/>
        </w:rPr>
        <w:t>监狱企业证明资料</w:t>
      </w:r>
    </w:p>
    <w:p>
      <w:pPr>
        <w:wordWrap w:val="0"/>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lang w:val="en-US" w:eastAsia="zh-CN"/>
        </w:rPr>
        <w:t>6</w:t>
      </w:r>
      <w:r>
        <w:rPr>
          <w:rFonts w:hint="eastAsia"/>
          <w:highlight w:val="none"/>
          <w:lang w:val="zh-CN"/>
        </w:rPr>
        <w:t>）供应商认为在其他方面有必要说明的事项</w:t>
      </w:r>
    </w:p>
    <w:p>
      <w:pPr>
        <w:wordWrap w:val="0"/>
        <w:autoSpaceDE w:val="0"/>
        <w:autoSpaceDN w:val="0"/>
        <w:adjustRightInd w:val="0"/>
        <w:spacing w:line="400" w:lineRule="exact"/>
        <w:rPr>
          <w:rFonts w:hint="eastAsia"/>
          <w:highlight w:val="none"/>
          <w:lang w:val="zh-CN"/>
        </w:rPr>
      </w:pPr>
      <w:r>
        <w:rPr>
          <w:rFonts w:hint="eastAsia"/>
          <w:highlight w:val="none"/>
          <w:lang w:val="zh-CN"/>
        </w:rPr>
        <w:t>（1</w:t>
      </w:r>
      <w:r>
        <w:rPr>
          <w:rFonts w:hint="eastAsia"/>
          <w:highlight w:val="none"/>
          <w:lang w:val="en-US" w:eastAsia="zh-CN"/>
        </w:rPr>
        <w:t>7</w:t>
      </w:r>
      <w:r>
        <w:rPr>
          <w:rFonts w:hint="eastAsia"/>
          <w:highlight w:val="none"/>
          <w:lang w:val="zh-CN"/>
        </w:rPr>
        <w:t>）磋商最后报价</w:t>
      </w:r>
    </w:p>
    <w:p>
      <w:pPr>
        <w:spacing w:line="400" w:lineRule="exact"/>
        <w:ind w:left="2" w:firstLine="422" w:firstLineChars="176"/>
        <w:rPr>
          <w:rFonts w:hint="eastAsia"/>
          <w:highlight w:val="none"/>
        </w:rPr>
      </w:pPr>
      <w:r>
        <w:rPr>
          <w:rFonts w:hint="eastAsia"/>
          <w:highlight w:val="none"/>
        </w:rPr>
        <w:t>注：磋商文件要求签字、盖章的地方必须由供应商的法定代表人或委托代理人按要求签字、盖章；供应商提供的扫描（或复印）件均需加盖公章。供应商须按上述内容、顺序和格式编制响应文件，并按要求编制目录、页码。</w:t>
      </w:r>
    </w:p>
    <w:p>
      <w:pPr>
        <w:spacing w:before="100" w:beforeAutospacing="1" w:after="100" w:afterAutospacing="1" w:line="400" w:lineRule="exact"/>
        <w:ind w:firstLine="542"/>
        <w:rPr>
          <w:rFonts w:hint="eastAsia"/>
          <w:b/>
          <w:bCs/>
          <w:sz w:val="27"/>
          <w:szCs w:val="27"/>
          <w:highlight w:val="none"/>
        </w:rPr>
      </w:pPr>
      <w:bookmarkStart w:id="97" w:name="_Toc9679"/>
      <w:bookmarkStart w:id="98" w:name="_Toc412617729"/>
      <w:bookmarkStart w:id="99" w:name="_Toc373392580"/>
      <w:r>
        <w:rPr>
          <w:rFonts w:hint="eastAsia"/>
          <w:b/>
          <w:bCs/>
          <w:sz w:val="27"/>
          <w:szCs w:val="27"/>
          <w:highlight w:val="none"/>
        </w:rPr>
        <w:t>12.响应文件编印和签署</w:t>
      </w:r>
      <w:bookmarkEnd w:id="97"/>
      <w:bookmarkEnd w:id="98"/>
      <w:bookmarkEnd w:id="99"/>
    </w:p>
    <w:p>
      <w:pPr>
        <w:pStyle w:val="37"/>
        <w:spacing w:line="400" w:lineRule="exact"/>
        <w:ind w:firstLine="480"/>
        <w:rPr>
          <w:rFonts w:hint="eastAsia" w:hAnsi="宋体" w:cs="宋体"/>
          <w:szCs w:val="24"/>
          <w:highlight w:val="none"/>
        </w:rPr>
      </w:pPr>
      <w:r>
        <w:rPr>
          <w:rFonts w:hint="eastAsia" w:hAnsi="宋体" w:cs="宋体"/>
          <w:szCs w:val="24"/>
          <w:highlight w:val="none"/>
        </w:rPr>
        <w:t xml:space="preserve">12.1 </w:t>
      </w:r>
      <w:r>
        <w:rPr>
          <w:rFonts w:hint="eastAsia" w:hAnsi="宋体" w:cs="宋体"/>
          <w:b/>
          <w:bCs/>
          <w:szCs w:val="24"/>
          <w:highlight w:val="none"/>
        </w:rPr>
        <w:t>供应商须提交一式四份响应文件（一份正本、三份副本）和相应的电子文档1份，每份响应文件须清楚地标明“正本”或“副本”字样。</w:t>
      </w:r>
      <w:r>
        <w:rPr>
          <w:rFonts w:hint="eastAsia" w:hAnsi="宋体" w:cs="宋体"/>
          <w:szCs w:val="24"/>
          <w:highlight w:val="none"/>
        </w:rPr>
        <w:t>若发生正本和副本不符，以正本为准。响应文件统一使用A4幅面的纸张印制，左侧胶装，其他方式装订的响应文件一概按无效标处理。</w:t>
      </w:r>
    </w:p>
    <w:p>
      <w:pPr>
        <w:pStyle w:val="37"/>
        <w:spacing w:line="400" w:lineRule="exact"/>
        <w:ind w:firstLine="480"/>
        <w:rPr>
          <w:rFonts w:hint="eastAsia" w:hAnsi="宋体" w:cs="宋体"/>
          <w:szCs w:val="24"/>
          <w:highlight w:val="none"/>
        </w:rPr>
      </w:pPr>
      <w:r>
        <w:rPr>
          <w:rFonts w:hint="eastAsia" w:hAnsi="宋体" w:cs="宋体"/>
          <w:szCs w:val="24"/>
          <w:highlight w:val="none"/>
        </w:rPr>
        <w:t>12.2响应文件的正、副本均需打印，并由供应商的法定代表人或委托代理人按要求签字、盖章。</w:t>
      </w:r>
    </w:p>
    <w:p>
      <w:pPr>
        <w:pStyle w:val="37"/>
        <w:spacing w:line="400" w:lineRule="exact"/>
        <w:ind w:firstLine="480"/>
        <w:rPr>
          <w:rFonts w:hint="eastAsia" w:hAnsi="宋体" w:cs="宋体"/>
          <w:szCs w:val="24"/>
          <w:highlight w:val="none"/>
        </w:rPr>
      </w:pPr>
      <w:r>
        <w:rPr>
          <w:rFonts w:hint="eastAsia" w:hAnsi="宋体" w:cs="宋体"/>
          <w:szCs w:val="24"/>
          <w:highlight w:val="none"/>
        </w:rPr>
        <w:t>12.3响应文件中不得行间插字、涂改或增删，如有修改错漏处，须由供应商法定代表人或其委托代理人签字和盖章。</w:t>
      </w:r>
    </w:p>
    <w:p>
      <w:pPr>
        <w:spacing w:before="480" w:beforeLines="200" w:after="480" w:afterLines="200" w:line="400" w:lineRule="exact"/>
        <w:jc w:val="center"/>
        <w:outlineLvl w:val="1"/>
        <w:rPr>
          <w:rFonts w:hint="eastAsia"/>
          <w:b/>
          <w:bCs/>
          <w:sz w:val="36"/>
          <w:szCs w:val="36"/>
          <w:highlight w:val="none"/>
        </w:rPr>
      </w:pPr>
      <w:bookmarkStart w:id="100" w:name="_Toc22035"/>
      <w:bookmarkStart w:id="101" w:name="_Toc412617730"/>
      <w:bookmarkStart w:id="102" w:name="_Toc15988"/>
      <w:bookmarkStart w:id="103" w:name="_Toc371090029"/>
      <w:bookmarkStart w:id="104" w:name="_Toc376936748"/>
      <w:r>
        <w:rPr>
          <w:rFonts w:hint="eastAsia"/>
          <w:b/>
          <w:bCs/>
          <w:sz w:val="36"/>
          <w:szCs w:val="36"/>
          <w:highlight w:val="none"/>
        </w:rPr>
        <w:t>四、响应文件的递交</w:t>
      </w:r>
      <w:bookmarkEnd w:id="100"/>
      <w:bookmarkEnd w:id="101"/>
      <w:bookmarkEnd w:id="102"/>
    </w:p>
    <w:p>
      <w:pPr>
        <w:spacing w:before="100" w:beforeAutospacing="1" w:after="100" w:afterAutospacing="1" w:line="400" w:lineRule="exact"/>
        <w:ind w:firstLine="542"/>
        <w:rPr>
          <w:rFonts w:hint="eastAsia"/>
          <w:b/>
          <w:bCs/>
          <w:sz w:val="27"/>
          <w:szCs w:val="27"/>
          <w:highlight w:val="none"/>
        </w:rPr>
      </w:pPr>
      <w:bookmarkStart w:id="105" w:name="_Toc325726016"/>
      <w:bookmarkStart w:id="106" w:name="_Toc412617731"/>
      <w:bookmarkStart w:id="107" w:name="_Toc373392582"/>
      <w:bookmarkStart w:id="108" w:name="_Toc12087"/>
      <w:r>
        <w:rPr>
          <w:rFonts w:hint="eastAsia"/>
          <w:b/>
          <w:bCs/>
          <w:sz w:val="27"/>
          <w:szCs w:val="27"/>
          <w:highlight w:val="none"/>
        </w:rPr>
        <w:t>13.响应文件的密封和标记</w:t>
      </w:r>
      <w:bookmarkEnd w:id="105"/>
      <w:bookmarkEnd w:id="106"/>
      <w:bookmarkEnd w:id="107"/>
      <w:bookmarkEnd w:id="108"/>
    </w:p>
    <w:bookmarkEnd w:id="103"/>
    <w:bookmarkEnd w:id="104"/>
    <w:p>
      <w:pPr>
        <w:autoSpaceDE w:val="0"/>
        <w:autoSpaceDN w:val="0"/>
        <w:adjustRightInd w:val="0"/>
        <w:spacing w:line="400" w:lineRule="exact"/>
        <w:ind w:firstLine="480"/>
        <w:rPr>
          <w:rFonts w:hint="eastAsia"/>
          <w:highlight w:val="none"/>
          <w:lang w:val="zh-CN"/>
        </w:rPr>
      </w:pPr>
      <w:bookmarkStart w:id="109" w:name="_Toc412617732"/>
      <w:bookmarkStart w:id="110" w:name="_Toc373392583"/>
      <w:bookmarkStart w:id="111" w:name="_Toc325726017"/>
      <w:bookmarkStart w:id="112" w:name="_Toc371090030"/>
      <w:bookmarkStart w:id="113" w:name="_Toc376936749"/>
      <w:r>
        <w:rPr>
          <w:rFonts w:hint="eastAsia"/>
          <w:highlight w:val="none"/>
          <w:lang w:val="zh-CN"/>
        </w:rPr>
        <w:t>13.1响应文件正本、所有副本，应分别封装于不同的密封袋内，密封袋上应分别标上“正本”、“副本”字样，并注明供应商名称、采购项目编号、采购项目名称。</w:t>
      </w:r>
    </w:p>
    <w:p>
      <w:pPr>
        <w:autoSpaceDE w:val="0"/>
        <w:autoSpaceDN w:val="0"/>
        <w:adjustRightInd w:val="0"/>
        <w:spacing w:line="400" w:lineRule="exact"/>
        <w:ind w:firstLine="480"/>
        <w:rPr>
          <w:rFonts w:hint="eastAsia"/>
          <w:highlight w:val="none"/>
          <w:lang w:val="zh-CN"/>
        </w:rPr>
      </w:pPr>
      <w:r>
        <w:rPr>
          <w:rFonts w:hint="eastAsia"/>
          <w:highlight w:val="none"/>
          <w:lang w:val="zh-CN"/>
        </w:rPr>
        <w:t>13.</w:t>
      </w:r>
      <w:r>
        <w:rPr>
          <w:rFonts w:hint="eastAsia"/>
          <w:highlight w:val="none"/>
        </w:rPr>
        <w:t>2</w:t>
      </w:r>
      <w:r>
        <w:rPr>
          <w:rFonts w:hint="eastAsia"/>
          <w:highlight w:val="none"/>
          <w:lang w:val="zh-CN"/>
        </w:rPr>
        <w:t>密封后的响应文件均应：</w:t>
      </w:r>
    </w:p>
    <w:p>
      <w:pPr>
        <w:autoSpaceDE w:val="0"/>
        <w:autoSpaceDN w:val="0"/>
        <w:adjustRightInd w:val="0"/>
        <w:spacing w:line="400" w:lineRule="exact"/>
        <w:ind w:firstLine="480"/>
        <w:rPr>
          <w:rFonts w:hint="eastAsia"/>
          <w:highlight w:val="none"/>
          <w:lang w:val="zh-CN"/>
        </w:rPr>
      </w:pPr>
      <w:r>
        <w:rPr>
          <w:rFonts w:hint="eastAsia"/>
          <w:highlight w:val="none"/>
          <w:lang w:val="zh-CN"/>
        </w:rPr>
        <w:t>(1)按“供应商须知”注明的时间、地址送达；</w:t>
      </w:r>
    </w:p>
    <w:p>
      <w:pPr>
        <w:autoSpaceDE w:val="0"/>
        <w:autoSpaceDN w:val="0"/>
        <w:adjustRightInd w:val="0"/>
        <w:spacing w:line="400" w:lineRule="exact"/>
        <w:ind w:firstLine="480"/>
        <w:rPr>
          <w:rFonts w:hint="eastAsia"/>
          <w:highlight w:val="none"/>
          <w:lang w:val="zh-CN"/>
        </w:rPr>
      </w:pPr>
      <w:r>
        <w:rPr>
          <w:rFonts w:hint="eastAsia"/>
          <w:highlight w:val="none"/>
          <w:lang w:val="zh-CN"/>
        </w:rPr>
        <w:t>(2)响应文件密封袋用</w:t>
      </w:r>
      <w:r>
        <w:rPr>
          <w:rFonts w:hint="eastAsia"/>
          <w:b/>
          <w:bCs/>
          <w:highlight w:val="none"/>
          <w:lang w:val="zh-CN"/>
        </w:rPr>
        <w:t>“</w:t>
      </w:r>
      <w:r>
        <w:rPr>
          <w:rFonts w:hint="eastAsia"/>
          <w:b/>
          <w:bCs/>
          <w:color w:val="000000"/>
          <w:highlight w:val="none"/>
          <w:lang w:val="zh-CN"/>
        </w:rPr>
        <w:t>于2022年</w:t>
      </w:r>
      <w:r>
        <w:rPr>
          <w:rFonts w:hint="eastAsia"/>
          <w:b/>
          <w:bCs/>
          <w:color w:val="000000"/>
          <w:highlight w:val="none"/>
          <w:lang w:val="en-US" w:eastAsia="zh-CN"/>
        </w:rPr>
        <w:t>**</w:t>
      </w:r>
      <w:r>
        <w:rPr>
          <w:rFonts w:hint="eastAsia"/>
          <w:b/>
          <w:bCs/>
          <w:color w:val="000000"/>
          <w:highlight w:val="none"/>
          <w:lang w:val="zh-CN"/>
        </w:rPr>
        <w:t>月</w:t>
      </w:r>
      <w:r>
        <w:rPr>
          <w:rFonts w:hint="eastAsia"/>
          <w:b/>
          <w:bCs/>
          <w:color w:val="000000"/>
          <w:highlight w:val="none"/>
          <w:lang w:val="en-US" w:eastAsia="zh-CN"/>
        </w:rPr>
        <w:t>**</w:t>
      </w:r>
      <w:r>
        <w:rPr>
          <w:rFonts w:hint="eastAsia"/>
          <w:b/>
          <w:bCs/>
          <w:color w:val="000000"/>
          <w:highlight w:val="none"/>
          <w:lang w:val="zh-CN"/>
        </w:rPr>
        <w:t>日</w:t>
      </w:r>
      <w:r>
        <w:rPr>
          <w:rFonts w:hint="eastAsia"/>
          <w:b/>
          <w:bCs/>
          <w:color w:val="000000"/>
          <w:highlight w:val="none"/>
          <w:lang w:val="en-US" w:eastAsia="zh-CN"/>
        </w:rPr>
        <w:t>**</w:t>
      </w:r>
      <w:r>
        <w:rPr>
          <w:rFonts w:hint="eastAsia"/>
          <w:b/>
          <w:bCs/>
          <w:color w:val="000000"/>
          <w:highlight w:val="none"/>
          <w:lang w:val="zh-CN"/>
        </w:rPr>
        <w:t>点</w:t>
      </w:r>
      <w:r>
        <w:rPr>
          <w:rFonts w:hint="eastAsia"/>
          <w:b/>
          <w:bCs/>
          <w:color w:val="000000"/>
          <w:highlight w:val="none"/>
          <w:lang w:val="en-US" w:eastAsia="zh-CN"/>
        </w:rPr>
        <w:t>**</w:t>
      </w:r>
      <w:r>
        <w:rPr>
          <w:rFonts w:hint="eastAsia"/>
          <w:b/>
          <w:bCs/>
          <w:color w:val="000000"/>
          <w:highlight w:val="none"/>
          <w:lang w:val="zh-CN"/>
        </w:rPr>
        <w:t>分之前不准启封</w:t>
      </w:r>
      <w:r>
        <w:rPr>
          <w:rFonts w:hint="eastAsia"/>
          <w:highlight w:val="none"/>
          <w:lang w:val="zh-CN"/>
        </w:rPr>
        <w:t>”的标签密封。</w:t>
      </w:r>
    </w:p>
    <w:p>
      <w:pPr>
        <w:autoSpaceDE w:val="0"/>
        <w:autoSpaceDN w:val="0"/>
        <w:adjustRightInd w:val="0"/>
        <w:spacing w:line="400" w:lineRule="exact"/>
        <w:ind w:firstLine="480"/>
        <w:rPr>
          <w:rFonts w:hint="eastAsia"/>
          <w:highlight w:val="none"/>
          <w:lang w:val="zh-CN"/>
        </w:rPr>
      </w:pPr>
      <w:r>
        <w:rPr>
          <w:rFonts w:hint="eastAsia"/>
          <w:highlight w:val="none"/>
          <w:lang w:val="zh-CN"/>
        </w:rPr>
        <w:t>13.</w:t>
      </w:r>
      <w:r>
        <w:rPr>
          <w:rFonts w:hint="eastAsia"/>
          <w:highlight w:val="none"/>
        </w:rPr>
        <w:t>3</w:t>
      </w:r>
      <w:r>
        <w:rPr>
          <w:rFonts w:hint="eastAsia"/>
          <w:highlight w:val="none"/>
          <w:lang w:val="zh-CN"/>
        </w:rPr>
        <w:t>如果供应商未按第13.1-13.</w:t>
      </w:r>
      <w:r>
        <w:rPr>
          <w:rFonts w:hint="eastAsia"/>
          <w:highlight w:val="none"/>
        </w:rPr>
        <w:t>2</w:t>
      </w:r>
      <w:r>
        <w:rPr>
          <w:rFonts w:hint="eastAsia"/>
          <w:highlight w:val="none"/>
          <w:lang w:val="zh-CN"/>
        </w:rPr>
        <w:t>条要求将响应文件密封或在密封袋上加写标记，采购代理机构对误投或过早启封概不负责。由此造成提前启封的响应文件，采购代理机构予以拒绝，并退回供应商。</w:t>
      </w:r>
    </w:p>
    <w:p>
      <w:pPr>
        <w:autoSpaceDE w:val="0"/>
        <w:autoSpaceDN w:val="0"/>
        <w:adjustRightInd w:val="0"/>
        <w:spacing w:line="400" w:lineRule="exact"/>
        <w:ind w:firstLine="480"/>
        <w:rPr>
          <w:rFonts w:hint="eastAsia"/>
          <w:highlight w:val="none"/>
          <w:lang w:val="zh-CN"/>
        </w:rPr>
      </w:pPr>
      <w:r>
        <w:rPr>
          <w:rFonts w:hint="eastAsia"/>
          <w:highlight w:val="none"/>
          <w:lang w:val="zh-CN"/>
        </w:rPr>
        <w:t>13.</w:t>
      </w:r>
      <w:r>
        <w:rPr>
          <w:rFonts w:hint="eastAsia"/>
          <w:highlight w:val="none"/>
        </w:rPr>
        <w:t>4</w:t>
      </w:r>
      <w:r>
        <w:rPr>
          <w:rFonts w:hint="eastAsia"/>
          <w:highlight w:val="none"/>
          <w:lang w:val="zh-CN"/>
        </w:rPr>
        <w:t>供应商以电报、电话、传真形式磋商的，采购代理机构概不接受。</w:t>
      </w:r>
    </w:p>
    <w:p>
      <w:pPr>
        <w:spacing w:before="100" w:beforeAutospacing="1" w:after="100" w:afterAutospacing="1" w:line="400" w:lineRule="exact"/>
        <w:ind w:firstLine="542"/>
        <w:rPr>
          <w:rFonts w:hint="eastAsia"/>
          <w:b/>
          <w:bCs/>
          <w:sz w:val="27"/>
          <w:szCs w:val="27"/>
          <w:highlight w:val="none"/>
        </w:rPr>
      </w:pPr>
      <w:bookmarkStart w:id="114" w:name="_Toc27211"/>
      <w:r>
        <w:rPr>
          <w:rFonts w:hint="eastAsia"/>
          <w:b/>
          <w:bCs/>
          <w:sz w:val="27"/>
          <w:szCs w:val="27"/>
          <w:highlight w:val="none"/>
        </w:rPr>
        <w:t>14.递送响应文件的地点、截止日期</w:t>
      </w:r>
      <w:bookmarkEnd w:id="109"/>
      <w:bookmarkEnd w:id="110"/>
      <w:bookmarkEnd w:id="111"/>
      <w:bookmarkEnd w:id="114"/>
    </w:p>
    <w:p>
      <w:pPr>
        <w:pStyle w:val="37"/>
        <w:spacing w:line="400" w:lineRule="exact"/>
        <w:ind w:left="480" w:hanging="480" w:hangingChars="200"/>
        <w:rPr>
          <w:rFonts w:hint="eastAsia" w:hAnsi="宋体" w:cs="宋体"/>
          <w:szCs w:val="24"/>
          <w:highlight w:val="none"/>
        </w:rPr>
      </w:pPr>
      <w:r>
        <w:rPr>
          <w:rFonts w:hint="eastAsia" w:hAnsi="宋体" w:cs="宋体"/>
          <w:szCs w:val="24"/>
          <w:highlight w:val="none"/>
        </w:rPr>
        <w:t xml:space="preserve">    14.1响应文件的递交地点与磋商地点相同。</w:t>
      </w:r>
    </w:p>
    <w:p>
      <w:pPr>
        <w:pStyle w:val="37"/>
        <w:spacing w:line="400" w:lineRule="exact"/>
        <w:ind w:firstLine="480"/>
        <w:rPr>
          <w:rFonts w:hint="eastAsia" w:hAnsi="宋体" w:cs="宋体"/>
          <w:szCs w:val="24"/>
          <w:highlight w:val="none"/>
        </w:rPr>
      </w:pPr>
      <w:r>
        <w:rPr>
          <w:rFonts w:hint="eastAsia" w:hAnsi="宋体" w:cs="宋体"/>
          <w:szCs w:val="24"/>
          <w:highlight w:val="none"/>
        </w:rPr>
        <w:t>14.2所有响应文件都必须按“供应商须知前附表”中规定的磋商截止时间之前送至磋商地点。</w:t>
      </w:r>
    </w:p>
    <w:p>
      <w:pPr>
        <w:pStyle w:val="37"/>
        <w:spacing w:line="400" w:lineRule="exact"/>
        <w:ind w:firstLine="480"/>
        <w:rPr>
          <w:rFonts w:hint="eastAsia" w:hAnsi="宋体" w:cs="宋体"/>
          <w:szCs w:val="24"/>
          <w:highlight w:val="none"/>
        </w:rPr>
      </w:pPr>
      <w:r>
        <w:rPr>
          <w:rFonts w:hint="eastAsia" w:hAnsi="宋体" w:cs="宋体"/>
          <w:szCs w:val="24"/>
          <w:highlight w:val="none"/>
        </w:rPr>
        <w:t>14.3</w:t>
      </w:r>
      <w:r>
        <w:rPr>
          <w:rFonts w:hint="eastAsia" w:hAnsi="宋体" w:cs="宋体"/>
          <w:highlight w:val="none"/>
        </w:rPr>
        <w:t>采购代理</w:t>
      </w:r>
      <w:r>
        <w:rPr>
          <w:rFonts w:hint="eastAsia" w:hAnsi="宋体" w:cs="宋体"/>
          <w:szCs w:val="24"/>
          <w:highlight w:val="none"/>
        </w:rPr>
        <w:t>机构将拒绝接受在磋商截止时间之后送达的响应文件。</w:t>
      </w:r>
    </w:p>
    <w:p>
      <w:pPr>
        <w:spacing w:before="100" w:beforeAutospacing="1" w:after="100" w:afterAutospacing="1" w:line="400" w:lineRule="exact"/>
        <w:ind w:firstLine="542"/>
        <w:rPr>
          <w:rFonts w:hint="eastAsia"/>
          <w:b/>
          <w:bCs/>
          <w:sz w:val="27"/>
          <w:szCs w:val="27"/>
          <w:highlight w:val="none"/>
        </w:rPr>
      </w:pPr>
      <w:bookmarkStart w:id="115" w:name="_Toc6310"/>
      <w:r>
        <w:rPr>
          <w:rFonts w:hint="eastAsia"/>
          <w:b/>
          <w:bCs/>
          <w:sz w:val="27"/>
          <w:szCs w:val="27"/>
          <w:highlight w:val="none"/>
        </w:rPr>
        <w:t>15.响应文件的撤回</w:t>
      </w:r>
      <w:bookmarkEnd w:id="112"/>
      <w:bookmarkEnd w:id="113"/>
      <w:bookmarkEnd w:id="115"/>
    </w:p>
    <w:p>
      <w:pPr>
        <w:spacing w:line="400" w:lineRule="exact"/>
        <w:ind w:firstLine="480"/>
        <w:rPr>
          <w:rFonts w:hint="eastAsia"/>
          <w:highlight w:val="none"/>
        </w:rPr>
      </w:pPr>
      <w:r>
        <w:rPr>
          <w:rFonts w:hint="eastAsia"/>
          <w:highlight w:val="none"/>
        </w:rPr>
        <w:t>允许供应商在提交最后报价之前声明撤回响应文件，但提交最后报价之后不得撤回其磋商，否则其磋商保证金将不予退还。</w:t>
      </w:r>
    </w:p>
    <w:p>
      <w:pPr>
        <w:spacing w:before="480" w:beforeLines="200" w:after="480" w:afterLines="200" w:line="400" w:lineRule="exact"/>
        <w:jc w:val="center"/>
        <w:outlineLvl w:val="1"/>
        <w:rPr>
          <w:rFonts w:hint="eastAsia"/>
          <w:b/>
          <w:bCs/>
          <w:sz w:val="36"/>
          <w:szCs w:val="36"/>
          <w:highlight w:val="none"/>
        </w:rPr>
      </w:pPr>
      <w:bookmarkStart w:id="116" w:name="_Toc376936750"/>
      <w:bookmarkStart w:id="117" w:name="_Toc325726019"/>
      <w:bookmarkStart w:id="118" w:name="_Toc17588"/>
      <w:bookmarkStart w:id="119" w:name="_Toc6085"/>
      <w:r>
        <w:rPr>
          <w:rFonts w:hint="eastAsia"/>
          <w:b/>
          <w:bCs/>
          <w:sz w:val="36"/>
          <w:szCs w:val="36"/>
          <w:highlight w:val="none"/>
        </w:rPr>
        <w:t>五、</w:t>
      </w:r>
      <w:bookmarkEnd w:id="116"/>
      <w:bookmarkEnd w:id="117"/>
      <w:r>
        <w:rPr>
          <w:rFonts w:hint="eastAsia"/>
          <w:b/>
          <w:bCs/>
          <w:sz w:val="36"/>
          <w:szCs w:val="36"/>
          <w:highlight w:val="none"/>
        </w:rPr>
        <w:t>磋商过程</w:t>
      </w:r>
      <w:bookmarkEnd w:id="118"/>
      <w:bookmarkEnd w:id="119"/>
    </w:p>
    <w:p>
      <w:pPr>
        <w:spacing w:before="100" w:beforeAutospacing="1" w:after="100" w:afterAutospacing="1" w:line="400" w:lineRule="exact"/>
        <w:ind w:firstLine="542"/>
        <w:rPr>
          <w:rFonts w:hint="eastAsia"/>
          <w:b/>
          <w:bCs/>
          <w:sz w:val="27"/>
          <w:szCs w:val="27"/>
          <w:highlight w:val="none"/>
        </w:rPr>
      </w:pPr>
      <w:bookmarkStart w:id="120" w:name="_Toc325726020"/>
      <w:bookmarkStart w:id="121" w:name="_Toc376936751"/>
      <w:bookmarkStart w:id="122" w:name="_Toc16649"/>
      <w:r>
        <w:rPr>
          <w:rFonts w:hint="eastAsia"/>
          <w:b/>
          <w:bCs/>
          <w:sz w:val="27"/>
          <w:szCs w:val="27"/>
          <w:highlight w:val="none"/>
        </w:rPr>
        <w:t>16.</w:t>
      </w:r>
      <w:bookmarkEnd w:id="120"/>
      <w:bookmarkEnd w:id="121"/>
      <w:r>
        <w:rPr>
          <w:rFonts w:hint="eastAsia"/>
          <w:b/>
          <w:bCs/>
          <w:sz w:val="27"/>
          <w:szCs w:val="27"/>
          <w:highlight w:val="none"/>
        </w:rPr>
        <w:t>磋商过程</w:t>
      </w:r>
      <w:bookmarkEnd w:id="122"/>
    </w:p>
    <w:p>
      <w:pPr>
        <w:spacing w:line="400" w:lineRule="exact"/>
        <w:ind w:firstLine="480"/>
        <w:rPr>
          <w:rFonts w:hint="eastAsia"/>
          <w:highlight w:val="none"/>
        </w:rPr>
      </w:pPr>
      <w:r>
        <w:rPr>
          <w:rFonts w:hint="eastAsia"/>
          <w:highlight w:val="none"/>
        </w:rPr>
        <w:t>16.1采购代理机构按本磋商文件中确定的时间和地点组织本项目的磋商活动。供应商应由其法定代表人或委托代理人参加。</w:t>
      </w:r>
    </w:p>
    <w:p>
      <w:pPr>
        <w:spacing w:line="400" w:lineRule="exact"/>
        <w:ind w:firstLine="480"/>
        <w:rPr>
          <w:rFonts w:hint="eastAsia"/>
          <w:highlight w:val="none"/>
        </w:rPr>
      </w:pPr>
      <w:r>
        <w:rPr>
          <w:rFonts w:hint="eastAsia"/>
          <w:highlight w:val="none"/>
        </w:rPr>
        <w:t>16.2磋商时，对不同文字文本响应文件的解释发生异议的，以中文文本为准。</w:t>
      </w:r>
    </w:p>
    <w:p>
      <w:pPr>
        <w:spacing w:line="400" w:lineRule="exact"/>
        <w:ind w:firstLine="480"/>
        <w:rPr>
          <w:rFonts w:hint="eastAsia"/>
          <w:highlight w:val="none"/>
        </w:rPr>
      </w:pPr>
      <w:r>
        <w:rPr>
          <w:rFonts w:hint="eastAsia"/>
          <w:highlight w:val="none"/>
        </w:rPr>
        <w:t>16.3磋商工作由采购代理机构组织，采购人、采购监管、纪检监察等有关方面代表可根据采购项目的具体情况列席。</w:t>
      </w:r>
    </w:p>
    <w:p>
      <w:pPr>
        <w:spacing w:line="400" w:lineRule="exact"/>
        <w:ind w:firstLine="480"/>
        <w:rPr>
          <w:rFonts w:hint="eastAsia"/>
          <w:highlight w:val="none"/>
        </w:rPr>
      </w:pPr>
      <w:r>
        <w:rPr>
          <w:rFonts w:hint="eastAsia"/>
          <w:highlight w:val="none"/>
        </w:rPr>
        <w:t>16.4磋商过程有专人记录，并存档备查。</w:t>
      </w:r>
    </w:p>
    <w:p>
      <w:pPr>
        <w:spacing w:before="480" w:beforeLines="200" w:after="480" w:afterLines="200" w:line="400" w:lineRule="exact"/>
        <w:jc w:val="center"/>
        <w:outlineLvl w:val="1"/>
        <w:rPr>
          <w:rFonts w:hint="eastAsia"/>
          <w:b/>
          <w:bCs/>
          <w:sz w:val="36"/>
          <w:szCs w:val="36"/>
          <w:highlight w:val="none"/>
        </w:rPr>
      </w:pPr>
      <w:bookmarkStart w:id="123" w:name="_Toc325726021"/>
      <w:bookmarkStart w:id="124" w:name="_Toc23294"/>
      <w:bookmarkStart w:id="125" w:name="_Toc16841"/>
      <w:bookmarkStart w:id="126" w:name="_Toc376936752"/>
      <w:r>
        <w:rPr>
          <w:rFonts w:hint="eastAsia"/>
          <w:b/>
          <w:bCs/>
          <w:sz w:val="36"/>
          <w:szCs w:val="36"/>
          <w:highlight w:val="none"/>
        </w:rPr>
        <w:t>六、磋商程序及方法</w:t>
      </w:r>
      <w:bookmarkEnd w:id="123"/>
      <w:bookmarkEnd w:id="124"/>
      <w:bookmarkEnd w:id="125"/>
      <w:bookmarkEnd w:id="126"/>
    </w:p>
    <w:p>
      <w:pPr>
        <w:spacing w:before="100" w:beforeAutospacing="1" w:after="100" w:afterAutospacing="1" w:line="400" w:lineRule="exact"/>
        <w:ind w:firstLine="542"/>
        <w:rPr>
          <w:rFonts w:hint="eastAsia"/>
          <w:b/>
          <w:bCs/>
          <w:sz w:val="27"/>
          <w:szCs w:val="27"/>
          <w:highlight w:val="none"/>
        </w:rPr>
      </w:pPr>
      <w:bookmarkStart w:id="127" w:name="_Toc376936753"/>
      <w:bookmarkStart w:id="128" w:name="_Toc325726022"/>
      <w:bookmarkStart w:id="129" w:name="_Toc14485"/>
      <w:r>
        <w:rPr>
          <w:rFonts w:hint="eastAsia"/>
          <w:b/>
          <w:bCs/>
          <w:sz w:val="27"/>
          <w:szCs w:val="27"/>
          <w:highlight w:val="none"/>
        </w:rPr>
        <w:t>17.磋商小组</w:t>
      </w:r>
      <w:bookmarkEnd w:id="127"/>
      <w:bookmarkEnd w:id="128"/>
      <w:bookmarkEnd w:id="129"/>
    </w:p>
    <w:p>
      <w:pPr>
        <w:spacing w:line="400" w:lineRule="exact"/>
        <w:ind w:firstLine="480"/>
        <w:rPr>
          <w:rFonts w:hint="eastAsia"/>
          <w:highlight w:val="none"/>
        </w:rPr>
      </w:pPr>
      <w:r>
        <w:rPr>
          <w:rFonts w:hint="eastAsia"/>
          <w:highlight w:val="none"/>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pPr>
        <w:spacing w:line="400" w:lineRule="exact"/>
        <w:ind w:firstLine="480"/>
        <w:rPr>
          <w:rFonts w:hint="eastAsia"/>
          <w:highlight w:val="none"/>
        </w:rPr>
      </w:pPr>
      <w:r>
        <w:rPr>
          <w:rFonts w:hint="eastAsia"/>
          <w:highlight w:val="none"/>
        </w:rPr>
        <w:t>17.2磋商由采购代理机构负责组织，具体磋商事务由依法组建的磋商小组负责，并独立履行下列职责：</w:t>
      </w:r>
    </w:p>
    <w:p>
      <w:pPr>
        <w:spacing w:line="400" w:lineRule="exact"/>
        <w:ind w:firstLine="480"/>
        <w:rPr>
          <w:rFonts w:hint="eastAsia"/>
          <w:highlight w:val="none"/>
        </w:rPr>
      </w:pPr>
      <w:r>
        <w:rPr>
          <w:rFonts w:hint="eastAsia"/>
          <w:highlight w:val="none"/>
        </w:rPr>
        <w:t>（1）审查响应文件是否符合磋商文件要求，并作出评价；</w:t>
      </w:r>
    </w:p>
    <w:p>
      <w:pPr>
        <w:spacing w:line="400" w:lineRule="exact"/>
        <w:ind w:firstLine="480"/>
        <w:rPr>
          <w:rFonts w:hint="eastAsia"/>
          <w:highlight w:val="none"/>
        </w:rPr>
      </w:pPr>
      <w:r>
        <w:rPr>
          <w:rFonts w:hint="eastAsia"/>
          <w:highlight w:val="none"/>
        </w:rPr>
        <w:t>（2）要求供应商对响应文件有关事项作出解释或澄清；</w:t>
      </w:r>
    </w:p>
    <w:p>
      <w:pPr>
        <w:spacing w:line="400" w:lineRule="exact"/>
        <w:ind w:firstLine="480"/>
        <w:rPr>
          <w:rFonts w:hint="eastAsia"/>
          <w:highlight w:val="none"/>
        </w:rPr>
      </w:pPr>
      <w:r>
        <w:rPr>
          <w:rFonts w:hint="eastAsia"/>
          <w:highlight w:val="none"/>
        </w:rPr>
        <w:t>（3）推荐预成交候选供应商；</w:t>
      </w:r>
    </w:p>
    <w:p>
      <w:pPr>
        <w:spacing w:line="400" w:lineRule="exact"/>
        <w:ind w:firstLine="480"/>
        <w:rPr>
          <w:rFonts w:hint="eastAsia"/>
          <w:highlight w:val="none"/>
        </w:rPr>
      </w:pPr>
      <w:r>
        <w:rPr>
          <w:rFonts w:hint="eastAsia"/>
          <w:highlight w:val="none"/>
        </w:rPr>
        <w:t>（4）对非法干预评标工作的人员和机构进行举报或投诉。</w:t>
      </w:r>
    </w:p>
    <w:p>
      <w:pPr>
        <w:spacing w:line="400" w:lineRule="exact"/>
        <w:ind w:firstLine="480"/>
        <w:rPr>
          <w:rFonts w:hint="eastAsia"/>
          <w:highlight w:val="none"/>
        </w:rPr>
      </w:pPr>
      <w:r>
        <w:rPr>
          <w:rFonts w:hint="eastAsia"/>
          <w:highlight w:val="none"/>
        </w:rPr>
        <w:t>17.3磋商小组应遵守并履行下列义务：</w:t>
      </w:r>
    </w:p>
    <w:p>
      <w:pPr>
        <w:spacing w:line="400" w:lineRule="exact"/>
        <w:ind w:firstLine="480"/>
        <w:rPr>
          <w:rFonts w:hint="eastAsia"/>
          <w:highlight w:val="none"/>
        </w:rPr>
      </w:pPr>
      <w:r>
        <w:rPr>
          <w:rFonts w:hint="eastAsia"/>
          <w:highlight w:val="none"/>
        </w:rPr>
        <w:t>（1）遵纪守法，客观、公正、廉洁地履行职责；</w:t>
      </w:r>
    </w:p>
    <w:p>
      <w:pPr>
        <w:spacing w:line="400" w:lineRule="exact"/>
        <w:ind w:firstLine="480"/>
        <w:rPr>
          <w:rFonts w:hint="eastAsia"/>
          <w:highlight w:val="none"/>
        </w:rPr>
      </w:pPr>
      <w:r>
        <w:rPr>
          <w:rFonts w:hint="eastAsia"/>
          <w:highlight w:val="none"/>
        </w:rPr>
        <w:t>（2）按照磋商文件规定的评审方法和评审标准进行评审，对评审意见承担磋商小组成员责任；</w:t>
      </w:r>
    </w:p>
    <w:p>
      <w:pPr>
        <w:spacing w:line="400" w:lineRule="exact"/>
        <w:ind w:firstLine="480"/>
        <w:rPr>
          <w:rFonts w:hint="eastAsia"/>
          <w:highlight w:val="none"/>
        </w:rPr>
      </w:pPr>
      <w:r>
        <w:rPr>
          <w:rFonts w:hint="eastAsia"/>
          <w:highlight w:val="none"/>
        </w:rPr>
        <w:t>（3）对响应文件、磋商情况和磋商中获悉的商业秘密保密；</w:t>
      </w:r>
    </w:p>
    <w:p>
      <w:pPr>
        <w:spacing w:line="400" w:lineRule="exact"/>
        <w:ind w:firstLine="480"/>
        <w:rPr>
          <w:rFonts w:hint="eastAsia"/>
          <w:highlight w:val="none"/>
        </w:rPr>
      </w:pPr>
      <w:r>
        <w:rPr>
          <w:rFonts w:hint="eastAsia"/>
          <w:highlight w:val="none"/>
        </w:rPr>
        <w:t>（4）参与磋商报告的起草；</w:t>
      </w:r>
    </w:p>
    <w:p>
      <w:pPr>
        <w:spacing w:line="400" w:lineRule="exact"/>
        <w:ind w:firstLine="480"/>
        <w:rPr>
          <w:rFonts w:hint="eastAsia"/>
          <w:highlight w:val="none"/>
        </w:rPr>
      </w:pPr>
      <w:r>
        <w:rPr>
          <w:rFonts w:hint="eastAsia"/>
          <w:highlight w:val="none"/>
        </w:rPr>
        <w:t>（5）解答供应商及有关方面的质疑；</w:t>
      </w:r>
    </w:p>
    <w:p>
      <w:pPr>
        <w:spacing w:line="400" w:lineRule="exact"/>
        <w:ind w:firstLine="480"/>
        <w:rPr>
          <w:rFonts w:hint="eastAsia"/>
          <w:highlight w:val="none"/>
        </w:rPr>
      </w:pPr>
      <w:r>
        <w:rPr>
          <w:rFonts w:hint="eastAsia"/>
          <w:highlight w:val="none"/>
        </w:rPr>
        <w:t>（6）配合纪检部门进行投诉处理工作。</w:t>
      </w:r>
    </w:p>
    <w:p>
      <w:pPr>
        <w:spacing w:line="400" w:lineRule="exact"/>
        <w:ind w:firstLine="480"/>
        <w:rPr>
          <w:rFonts w:hint="eastAsia"/>
          <w:highlight w:val="none"/>
        </w:rPr>
      </w:pPr>
      <w:r>
        <w:rPr>
          <w:rFonts w:hint="eastAsia"/>
          <w:highlight w:val="none"/>
        </w:rPr>
        <w:t>17.4磋商小组所有成员应当集中与单一供应商分别进行磋商，并给予所有参加磋商的供应商平等的磋商机会。</w:t>
      </w:r>
    </w:p>
    <w:p>
      <w:pPr>
        <w:spacing w:line="400" w:lineRule="exact"/>
        <w:ind w:firstLine="480"/>
        <w:rPr>
          <w:rFonts w:hint="eastAsia"/>
          <w:highlight w:val="none"/>
        </w:rPr>
      </w:pPr>
      <w:r>
        <w:rPr>
          <w:rFonts w:hint="eastAsia"/>
          <w:highlight w:val="none"/>
        </w:rPr>
        <w:t>17.5磋商工作在有关部门的监督和严格保密的情况下依法开展，任何单位和个人不得非法干预、影响磋商工作和磋商结果。</w:t>
      </w:r>
    </w:p>
    <w:p>
      <w:pPr>
        <w:spacing w:before="100" w:beforeAutospacing="1" w:after="100" w:afterAutospacing="1" w:line="400" w:lineRule="exact"/>
        <w:ind w:firstLine="542"/>
        <w:rPr>
          <w:rFonts w:hint="eastAsia"/>
          <w:b/>
          <w:bCs/>
          <w:sz w:val="27"/>
          <w:szCs w:val="27"/>
          <w:highlight w:val="none"/>
        </w:rPr>
      </w:pPr>
      <w:bookmarkStart w:id="130" w:name="_Toc23803"/>
      <w:bookmarkStart w:id="131" w:name="_Toc325726023"/>
      <w:bookmarkStart w:id="132" w:name="_Toc376936754"/>
      <w:r>
        <w:rPr>
          <w:rFonts w:hint="eastAsia"/>
          <w:b/>
          <w:bCs/>
          <w:sz w:val="27"/>
          <w:szCs w:val="27"/>
          <w:highlight w:val="none"/>
        </w:rPr>
        <w:t>18.磋商程序</w:t>
      </w:r>
      <w:bookmarkEnd w:id="130"/>
      <w:bookmarkEnd w:id="131"/>
      <w:bookmarkEnd w:id="132"/>
    </w:p>
    <w:p>
      <w:pPr>
        <w:spacing w:line="400" w:lineRule="exact"/>
        <w:ind w:firstLine="480"/>
        <w:rPr>
          <w:rFonts w:hint="eastAsia"/>
          <w:highlight w:val="none"/>
        </w:rPr>
      </w:pPr>
      <w:r>
        <w:rPr>
          <w:rFonts w:hint="eastAsia"/>
          <w:szCs w:val="20"/>
          <w:highlight w:val="none"/>
        </w:rPr>
        <w:t>18.1</w:t>
      </w:r>
      <w:r>
        <w:rPr>
          <w:rFonts w:hint="eastAsia"/>
          <w:highlight w:val="none"/>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pPr>
        <w:spacing w:line="400" w:lineRule="exact"/>
        <w:ind w:firstLine="480"/>
        <w:rPr>
          <w:rFonts w:hint="eastAsia"/>
          <w:highlight w:val="none"/>
        </w:rPr>
      </w:pPr>
      <w:r>
        <w:rPr>
          <w:rFonts w:hint="eastAsia"/>
          <w:highlight w:val="none"/>
        </w:rPr>
        <w:t>18.2初审阶段为资格性审查。响应文件在响应磋商文件要求方面出现的偏离，分为实质性偏离和非实质性偏离。</w:t>
      </w:r>
    </w:p>
    <w:p>
      <w:pPr>
        <w:spacing w:line="400" w:lineRule="exact"/>
        <w:ind w:firstLine="480"/>
        <w:rPr>
          <w:rFonts w:hint="eastAsia"/>
          <w:highlight w:val="none"/>
        </w:rPr>
      </w:pPr>
      <w:r>
        <w:rPr>
          <w:rFonts w:hint="eastAsia"/>
          <w:highlight w:val="none"/>
        </w:rPr>
        <w:t>18.2.1实质性偏离是指响应文件未能实质性响应磋商文件的要求。以下情况属于实质性偏离，响应文件有下列情况之一的，按无效响应处理。</w:t>
      </w:r>
    </w:p>
    <w:p>
      <w:pPr>
        <w:spacing w:line="400" w:lineRule="exact"/>
        <w:ind w:firstLine="480"/>
        <w:rPr>
          <w:rFonts w:hint="eastAsia"/>
          <w:b/>
          <w:bCs/>
          <w:highlight w:val="none"/>
        </w:rPr>
      </w:pPr>
      <w:r>
        <w:rPr>
          <w:rFonts w:hint="eastAsia"/>
          <w:b/>
          <w:bCs/>
          <w:highlight w:val="none"/>
        </w:rPr>
        <w:t>（1）不符合第</w:t>
      </w:r>
      <w:r>
        <w:rPr>
          <w:rFonts w:hint="eastAsia"/>
          <w:b/>
          <w:bCs/>
          <w:highlight w:val="none"/>
          <w:lang w:val="zh-CN"/>
        </w:rPr>
        <w:t>2</w:t>
      </w:r>
      <w:r>
        <w:rPr>
          <w:rFonts w:hint="eastAsia"/>
          <w:b/>
          <w:bCs/>
          <w:highlight w:val="none"/>
        </w:rPr>
        <w:t>.</w:t>
      </w:r>
      <w:r>
        <w:rPr>
          <w:rFonts w:hint="eastAsia"/>
          <w:b/>
          <w:bCs/>
          <w:highlight w:val="none"/>
          <w:lang w:val="zh-CN"/>
        </w:rPr>
        <w:t>2款“合格的供应商”之规定的；</w:t>
      </w:r>
    </w:p>
    <w:p>
      <w:pPr>
        <w:spacing w:line="400" w:lineRule="exact"/>
        <w:ind w:firstLine="480"/>
        <w:rPr>
          <w:rFonts w:hint="eastAsia"/>
          <w:b/>
          <w:bCs/>
          <w:highlight w:val="none"/>
        </w:rPr>
      </w:pPr>
      <w:r>
        <w:rPr>
          <w:rFonts w:hint="eastAsia"/>
          <w:b/>
          <w:bCs/>
          <w:highlight w:val="none"/>
        </w:rPr>
        <w:t>（2）符合第</w:t>
      </w:r>
      <w:r>
        <w:rPr>
          <w:rFonts w:hint="eastAsia"/>
          <w:b/>
          <w:bCs/>
          <w:highlight w:val="none"/>
          <w:lang w:val="zh-CN"/>
        </w:rPr>
        <w:t>2</w:t>
      </w:r>
      <w:r>
        <w:rPr>
          <w:rFonts w:hint="eastAsia"/>
          <w:b/>
          <w:bCs/>
          <w:highlight w:val="none"/>
        </w:rPr>
        <w:t>.</w:t>
      </w:r>
      <w:r>
        <w:rPr>
          <w:rFonts w:hint="eastAsia"/>
          <w:b/>
          <w:bCs/>
          <w:highlight w:val="none"/>
          <w:lang w:val="zh-CN"/>
        </w:rPr>
        <w:t>3款规定的任何一种情形的；</w:t>
      </w:r>
    </w:p>
    <w:p>
      <w:pPr>
        <w:spacing w:line="400" w:lineRule="exact"/>
        <w:ind w:firstLine="480"/>
        <w:rPr>
          <w:rFonts w:hint="eastAsia"/>
          <w:b/>
          <w:bCs/>
          <w:highlight w:val="none"/>
        </w:rPr>
      </w:pPr>
      <w:r>
        <w:rPr>
          <w:rFonts w:hint="eastAsia"/>
          <w:b/>
          <w:bCs/>
          <w:highlight w:val="none"/>
          <w:lang w:val="zh-CN"/>
        </w:rPr>
        <w:t>（</w:t>
      </w:r>
      <w:r>
        <w:rPr>
          <w:rFonts w:hint="eastAsia"/>
          <w:b/>
          <w:bCs/>
          <w:highlight w:val="none"/>
          <w:lang w:val="en-US" w:eastAsia="zh-CN"/>
        </w:rPr>
        <w:t>3</w:t>
      </w:r>
      <w:r>
        <w:rPr>
          <w:rFonts w:hint="eastAsia"/>
          <w:b/>
          <w:bCs/>
          <w:highlight w:val="none"/>
          <w:lang w:val="zh-CN"/>
        </w:rPr>
        <w:t>）未按第11</w:t>
      </w:r>
      <w:r>
        <w:rPr>
          <w:rFonts w:hint="eastAsia"/>
          <w:b/>
          <w:bCs/>
          <w:highlight w:val="none"/>
        </w:rPr>
        <w:t>.</w:t>
      </w:r>
      <w:r>
        <w:rPr>
          <w:rFonts w:hint="eastAsia"/>
          <w:b/>
          <w:bCs/>
          <w:highlight w:val="none"/>
          <w:lang w:val="zh-CN"/>
        </w:rPr>
        <w:t>1款（</w:t>
      </w:r>
      <w:r>
        <w:rPr>
          <w:rFonts w:hint="eastAsia"/>
          <w:b/>
          <w:bCs/>
          <w:highlight w:val="none"/>
          <w:lang w:val="en-US" w:eastAsia="zh-CN"/>
        </w:rPr>
        <w:t>3</w:t>
      </w:r>
      <w:r>
        <w:rPr>
          <w:rFonts w:hint="eastAsia"/>
          <w:b/>
          <w:bCs/>
          <w:highlight w:val="none"/>
          <w:lang w:val="zh-CN"/>
        </w:rPr>
        <w:t>）-（1</w:t>
      </w:r>
      <w:r>
        <w:rPr>
          <w:rFonts w:hint="eastAsia"/>
          <w:b/>
          <w:bCs/>
          <w:highlight w:val="none"/>
          <w:lang w:val="en-US" w:eastAsia="zh-CN"/>
        </w:rPr>
        <w:t>2</w:t>
      </w:r>
      <w:r>
        <w:rPr>
          <w:rFonts w:hint="eastAsia"/>
          <w:b/>
          <w:bCs/>
          <w:highlight w:val="none"/>
          <w:lang w:val="zh-CN"/>
        </w:rPr>
        <w:t>）要求提供相关资料的；</w:t>
      </w:r>
    </w:p>
    <w:p>
      <w:pPr>
        <w:spacing w:line="400" w:lineRule="exact"/>
        <w:ind w:firstLine="480"/>
        <w:rPr>
          <w:rFonts w:hint="eastAsia"/>
          <w:b/>
          <w:bCs/>
          <w:highlight w:val="none"/>
        </w:rPr>
      </w:pPr>
      <w:r>
        <w:rPr>
          <w:rFonts w:hint="eastAsia"/>
          <w:b/>
          <w:bCs/>
          <w:highlight w:val="none"/>
        </w:rPr>
        <w:t>（</w:t>
      </w:r>
      <w:r>
        <w:rPr>
          <w:rFonts w:hint="eastAsia"/>
          <w:b/>
          <w:bCs/>
          <w:highlight w:val="none"/>
          <w:lang w:val="en-US" w:eastAsia="zh-CN"/>
        </w:rPr>
        <w:t>4</w:t>
      </w:r>
      <w:r>
        <w:rPr>
          <w:rFonts w:hint="eastAsia"/>
          <w:b/>
          <w:bCs/>
          <w:highlight w:val="none"/>
        </w:rPr>
        <w:t>）响应文件内容没有按磋商文件规定和要求签字、盖章的；</w:t>
      </w:r>
    </w:p>
    <w:p>
      <w:pPr>
        <w:spacing w:line="400" w:lineRule="exact"/>
        <w:ind w:firstLine="480"/>
        <w:rPr>
          <w:rFonts w:hint="eastAsia"/>
          <w:b/>
          <w:bCs/>
          <w:highlight w:val="none"/>
        </w:rPr>
      </w:pPr>
      <w:r>
        <w:rPr>
          <w:rFonts w:hint="eastAsia"/>
          <w:b/>
          <w:bCs/>
          <w:highlight w:val="none"/>
        </w:rPr>
        <w:t>（</w:t>
      </w:r>
      <w:r>
        <w:rPr>
          <w:rFonts w:hint="eastAsia"/>
          <w:b/>
          <w:bCs/>
          <w:highlight w:val="none"/>
          <w:lang w:val="en-US" w:eastAsia="zh-CN"/>
        </w:rPr>
        <w:t>5</w:t>
      </w:r>
      <w:r>
        <w:rPr>
          <w:rFonts w:hint="eastAsia"/>
          <w:b/>
          <w:bCs/>
          <w:highlight w:val="none"/>
        </w:rPr>
        <w:t>）擅自修改磋商文件规定的格式内容的；</w:t>
      </w:r>
    </w:p>
    <w:p>
      <w:pPr>
        <w:spacing w:line="400" w:lineRule="exact"/>
        <w:ind w:firstLine="439" w:firstLineChars="182"/>
        <w:rPr>
          <w:rFonts w:hint="eastAsia"/>
          <w:b/>
          <w:bCs/>
          <w:highlight w:val="none"/>
        </w:rPr>
      </w:pPr>
      <w:r>
        <w:rPr>
          <w:rFonts w:hint="eastAsia"/>
          <w:b/>
          <w:bCs/>
          <w:highlight w:val="none"/>
        </w:rPr>
        <w:t>（</w:t>
      </w:r>
      <w:r>
        <w:rPr>
          <w:rFonts w:hint="eastAsia"/>
          <w:b/>
          <w:bCs/>
          <w:highlight w:val="none"/>
          <w:lang w:val="en-US" w:eastAsia="zh-CN"/>
        </w:rPr>
        <w:t>6</w:t>
      </w:r>
      <w:r>
        <w:rPr>
          <w:rFonts w:hint="eastAsia"/>
          <w:b/>
          <w:bCs/>
          <w:highlight w:val="none"/>
        </w:rPr>
        <w:t>）不可竞争费用未按相关规定计取</w:t>
      </w:r>
      <w:r>
        <w:rPr>
          <w:rFonts w:hint="eastAsia"/>
          <w:b/>
          <w:bCs/>
          <w:highlight w:val="none"/>
          <w:lang w:eastAsia="zh-CN"/>
        </w:rPr>
        <w:t>或已标价工程量清单不符合相关规定的</w:t>
      </w:r>
      <w:r>
        <w:rPr>
          <w:rFonts w:hint="eastAsia"/>
          <w:b/>
          <w:bCs/>
          <w:highlight w:val="none"/>
        </w:rPr>
        <w:t>；</w:t>
      </w:r>
    </w:p>
    <w:p>
      <w:pPr>
        <w:spacing w:line="400" w:lineRule="exact"/>
        <w:ind w:left="437" w:leftChars="182"/>
        <w:rPr>
          <w:rFonts w:hint="eastAsia"/>
          <w:b/>
          <w:bCs/>
          <w:highlight w:val="none"/>
        </w:rPr>
      </w:pPr>
      <w:r>
        <w:rPr>
          <w:rFonts w:hint="eastAsia"/>
          <w:b/>
          <w:bCs/>
          <w:highlight w:val="none"/>
        </w:rPr>
        <w:t>（</w:t>
      </w:r>
      <w:r>
        <w:rPr>
          <w:rFonts w:hint="eastAsia"/>
          <w:b/>
          <w:bCs/>
          <w:highlight w:val="none"/>
          <w:lang w:val="en-US" w:eastAsia="zh-CN"/>
        </w:rPr>
        <w:t>7</w:t>
      </w:r>
      <w:r>
        <w:rPr>
          <w:rFonts w:hint="eastAsia"/>
          <w:b/>
          <w:bCs/>
          <w:highlight w:val="none"/>
        </w:rPr>
        <w:t>）响应文件载明的</w:t>
      </w:r>
      <w:r>
        <w:rPr>
          <w:rFonts w:hint="eastAsia"/>
          <w:b/>
          <w:bCs/>
          <w:highlight w:val="none"/>
          <w:lang w:eastAsia="zh-CN"/>
        </w:rPr>
        <w:t>工期</w:t>
      </w:r>
      <w:r>
        <w:rPr>
          <w:rFonts w:hint="eastAsia"/>
          <w:b/>
          <w:bCs/>
          <w:highlight w:val="none"/>
        </w:rPr>
        <w:t>超过磋商文件规定的期限的；</w:t>
      </w:r>
    </w:p>
    <w:p>
      <w:pPr>
        <w:spacing w:line="400" w:lineRule="exact"/>
        <w:ind w:firstLine="439" w:firstLineChars="182"/>
        <w:rPr>
          <w:rFonts w:hint="eastAsia"/>
          <w:b/>
          <w:bCs/>
          <w:highlight w:val="none"/>
        </w:rPr>
      </w:pPr>
      <w:r>
        <w:rPr>
          <w:rFonts w:hint="eastAsia"/>
          <w:b/>
          <w:bCs/>
          <w:highlight w:val="none"/>
        </w:rPr>
        <w:t>（</w:t>
      </w:r>
      <w:r>
        <w:rPr>
          <w:rFonts w:hint="eastAsia"/>
          <w:b/>
          <w:bCs/>
          <w:highlight w:val="none"/>
          <w:lang w:val="en-US" w:eastAsia="zh-CN"/>
        </w:rPr>
        <w:t>8</w:t>
      </w:r>
      <w:r>
        <w:rPr>
          <w:rFonts w:hint="eastAsia"/>
          <w:b/>
          <w:bCs/>
          <w:highlight w:val="none"/>
        </w:rPr>
        <w:t>）磋商有效期不能满足磋商文件规定期限的；</w:t>
      </w:r>
    </w:p>
    <w:p>
      <w:pPr>
        <w:spacing w:line="400" w:lineRule="exact"/>
        <w:ind w:left="437" w:leftChars="182"/>
        <w:rPr>
          <w:rFonts w:hint="eastAsia"/>
          <w:b/>
          <w:bCs/>
          <w:highlight w:val="none"/>
        </w:rPr>
      </w:pPr>
      <w:r>
        <w:rPr>
          <w:rFonts w:hint="eastAsia"/>
          <w:b/>
          <w:bCs/>
          <w:highlight w:val="none"/>
        </w:rPr>
        <w:t>（</w:t>
      </w:r>
      <w:r>
        <w:rPr>
          <w:rFonts w:hint="eastAsia"/>
          <w:b/>
          <w:bCs/>
          <w:highlight w:val="none"/>
          <w:lang w:val="en-US" w:eastAsia="zh-CN"/>
        </w:rPr>
        <w:t>9</w:t>
      </w:r>
      <w:r>
        <w:rPr>
          <w:rFonts w:hint="eastAsia"/>
          <w:b/>
          <w:bCs/>
          <w:highlight w:val="none"/>
        </w:rPr>
        <w:t>）串通磋商或弄虚作假或有其他违法行为的；</w:t>
      </w:r>
    </w:p>
    <w:p>
      <w:pPr>
        <w:spacing w:line="400" w:lineRule="exact"/>
        <w:ind w:left="437" w:leftChars="182"/>
        <w:rPr>
          <w:rFonts w:hint="eastAsia"/>
          <w:b/>
          <w:bCs/>
          <w:highlight w:val="none"/>
        </w:rPr>
      </w:pPr>
      <w:r>
        <w:rPr>
          <w:rFonts w:hint="eastAsia"/>
          <w:b/>
          <w:bCs/>
          <w:highlight w:val="none"/>
        </w:rPr>
        <w:t>（1</w:t>
      </w:r>
      <w:r>
        <w:rPr>
          <w:rFonts w:hint="eastAsia"/>
          <w:b/>
          <w:bCs/>
          <w:highlight w:val="none"/>
          <w:lang w:val="en-US" w:eastAsia="zh-CN"/>
        </w:rPr>
        <w:t>0</w:t>
      </w:r>
      <w:r>
        <w:rPr>
          <w:rFonts w:hint="eastAsia"/>
          <w:b/>
          <w:bCs/>
          <w:highlight w:val="none"/>
        </w:rPr>
        <w:t>）不按磋商小组会要求澄清、说明或补正的；</w:t>
      </w:r>
    </w:p>
    <w:p>
      <w:pPr>
        <w:spacing w:line="400" w:lineRule="exact"/>
        <w:ind w:left="437" w:leftChars="182"/>
        <w:rPr>
          <w:rFonts w:hint="eastAsia"/>
          <w:b/>
          <w:bCs/>
          <w:szCs w:val="20"/>
          <w:highlight w:val="none"/>
        </w:rPr>
      </w:pPr>
      <w:r>
        <w:rPr>
          <w:rFonts w:hint="eastAsia"/>
          <w:b/>
          <w:bCs/>
          <w:szCs w:val="20"/>
          <w:highlight w:val="none"/>
        </w:rPr>
        <w:t>（1</w:t>
      </w:r>
      <w:r>
        <w:rPr>
          <w:rFonts w:hint="eastAsia"/>
          <w:b/>
          <w:bCs/>
          <w:szCs w:val="20"/>
          <w:highlight w:val="none"/>
          <w:lang w:val="en-US" w:eastAsia="zh-CN"/>
        </w:rPr>
        <w:t>1</w:t>
      </w:r>
      <w:r>
        <w:rPr>
          <w:rFonts w:hint="eastAsia"/>
          <w:b/>
          <w:bCs/>
          <w:szCs w:val="20"/>
          <w:highlight w:val="none"/>
        </w:rPr>
        <w:t>）响应文件中附有采购人不能接受的条件的；</w:t>
      </w:r>
    </w:p>
    <w:p>
      <w:pPr>
        <w:spacing w:line="400" w:lineRule="exact"/>
        <w:ind w:left="437" w:leftChars="182"/>
        <w:rPr>
          <w:rFonts w:hint="eastAsia"/>
          <w:b/>
          <w:bCs/>
          <w:highlight w:val="none"/>
        </w:rPr>
      </w:pPr>
      <w:r>
        <w:rPr>
          <w:rFonts w:hint="eastAsia"/>
          <w:b/>
          <w:bCs/>
          <w:highlight w:val="none"/>
        </w:rPr>
        <w:t>（1</w:t>
      </w:r>
      <w:r>
        <w:rPr>
          <w:rFonts w:hint="eastAsia"/>
          <w:b/>
          <w:bCs/>
          <w:highlight w:val="none"/>
          <w:lang w:val="en-US" w:eastAsia="zh-CN"/>
        </w:rPr>
        <w:t>2</w:t>
      </w:r>
      <w:r>
        <w:rPr>
          <w:rFonts w:hint="eastAsia"/>
          <w:b/>
          <w:bCs/>
          <w:highlight w:val="none"/>
        </w:rPr>
        <w:t>）磋商报价超过预算控制额度或最高限价的的；</w:t>
      </w:r>
    </w:p>
    <w:p>
      <w:pPr>
        <w:spacing w:line="400" w:lineRule="exact"/>
        <w:ind w:left="437" w:leftChars="182"/>
        <w:rPr>
          <w:rFonts w:hint="eastAsia"/>
          <w:b/>
          <w:bCs/>
          <w:highlight w:val="none"/>
        </w:rPr>
      </w:pPr>
      <w:r>
        <w:rPr>
          <w:rFonts w:hint="eastAsia"/>
          <w:b/>
          <w:bCs/>
          <w:highlight w:val="none"/>
        </w:rPr>
        <w:t>（1</w:t>
      </w:r>
      <w:r>
        <w:rPr>
          <w:rFonts w:hint="eastAsia"/>
          <w:b/>
          <w:bCs/>
          <w:highlight w:val="none"/>
          <w:lang w:val="en-US" w:eastAsia="zh-CN"/>
        </w:rPr>
        <w:t>3</w:t>
      </w:r>
      <w:r>
        <w:rPr>
          <w:rFonts w:hint="eastAsia"/>
          <w:b/>
          <w:bCs/>
          <w:highlight w:val="none"/>
        </w:rPr>
        <w:t>）法律、法规和磋商小组认为应按无效磋商处理的其他情况。</w:t>
      </w:r>
    </w:p>
    <w:p>
      <w:pPr>
        <w:tabs>
          <w:tab w:val="left" w:pos="8787"/>
        </w:tabs>
        <w:spacing w:line="400" w:lineRule="exact"/>
        <w:ind w:firstLine="480"/>
        <w:rPr>
          <w:rFonts w:hint="eastAsia"/>
          <w:highlight w:val="none"/>
        </w:rPr>
      </w:pPr>
      <w:r>
        <w:rPr>
          <w:rFonts w:hint="eastAsia"/>
          <w:highlight w:val="none"/>
        </w:rPr>
        <w:t>18.2.2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787"/>
        </w:tabs>
        <w:spacing w:line="400" w:lineRule="exact"/>
        <w:ind w:firstLine="480"/>
        <w:rPr>
          <w:rFonts w:hint="eastAsia"/>
          <w:highlight w:val="none"/>
        </w:rPr>
      </w:pPr>
      <w:r>
        <w:rPr>
          <w:rFonts w:hint="eastAsia"/>
          <w:highlight w:val="none"/>
        </w:rPr>
        <w:t>磋商小组要求供应商澄清、说明或者更正响应文件应当以书面形式作出。供应商的澄清、说明或者更正应当由法定代表人或其授权代表签字或者加盖公章。由授权代表签字的，应当附法定代表人授权书。</w:t>
      </w:r>
    </w:p>
    <w:p>
      <w:pPr>
        <w:autoSpaceDE w:val="0"/>
        <w:autoSpaceDN w:val="0"/>
        <w:adjustRightInd w:val="0"/>
        <w:spacing w:line="400" w:lineRule="exact"/>
        <w:ind w:firstLine="480"/>
        <w:rPr>
          <w:rFonts w:hint="eastAsia"/>
          <w:highlight w:val="none"/>
        </w:rPr>
      </w:pPr>
      <w:r>
        <w:rPr>
          <w:rFonts w:hint="eastAsia"/>
          <w:highlight w:val="none"/>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adjustRightInd w:val="0"/>
        <w:spacing w:line="400" w:lineRule="exact"/>
        <w:ind w:firstLine="480"/>
        <w:rPr>
          <w:rFonts w:hint="eastAsia"/>
          <w:highlight w:val="none"/>
        </w:rPr>
      </w:pPr>
      <w:r>
        <w:rPr>
          <w:rFonts w:hint="eastAsia"/>
          <w:highlight w:val="none"/>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spacing w:line="400" w:lineRule="exact"/>
        <w:ind w:firstLine="480"/>
        <w:rPr>
          <w:rFonts w:hint="eastAsia"/>
          <w:highlight w:val="none"/>
        </w:rPr>
      </w:pPr>
      <w:r>
        <w:rPr>
          <w:rFonts w:hint="eastAsia"/>
          <w:highlight w:val="none"/>
        </w:rPr>
        <w:t>18.4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autoSpaceDE w:val="0"/>
        <w:autoSpaceDN w:val="0"/>
        <w:spacing w:line="360" w:lineRule="auto"/>
        <w:ind w:firstLine="480" w:firstLineChars="200"/>
        <w:rPr>
          <w:rFonts w:hint="eastAsia"/>
          <w:highlight w:val="none"/>
          <w:lang w:val="zh-CN"/>
        </w:rPr>
      </w:pPr>
      <w:r>
        <w:rPr>
          <w:rFonts w:hint="eastAsia"/>
          <w:highlight w:val="none"/>
        </w:rPr>
        <w:t xml:space="preserve">18.5 </w:t>
      </w:r>
      <w:r>
        <w:rPr>
          <w:rFonts w:hint="eastAsia"/>
          <w:highlight w:val="none"/>
          <w:lang w:val="zh-CN"/>
        </w:rPr>
        <w:t>评审过程中，在同等条件下，优先采购具有环境标志、节能、自主创新的产品。</w:t>
      </w:r>
    </w:p>
    <w:p>
      <w:pPr>
        <w:autoSpaceDE w:val="0"/>
        <w:autoSpaceDN w:val="0"/>
        <w:spacing w:line="360" w:lineRule="auto"/>
        <w:ind w:firstLine="480" w:firstLineChars="200"/>
        <w:rPr>
          <w:rFonts w:hint="eastAsia"/>
          <w:highlight w:val="none"/>
          <w:lang w:val="zh-CN"/>
        </w:rPr>
      </w:pPr>
      <w:r>
        <w:rPr>
          <w:rFonts w:hint="eastAsia"/>
          <w:highlight w:val="none"/>
        </w:rPr>
        <w:t>18.6</w:t>
      </w:r>
      <w:r>
        <w:rPr>
          <w:rFonts w:hint="eastAsia"/>
          <w:highlight w:val="none"/>
          <w:lang w:val="zh-CN"/>
        </w:rPr>
        <w:t>根据《政府采购促进中小企业发展办法》，属于小型、微型企业的供应商须提供《中小企业声明函（工程）》（详见附件13），资料必须真实，否则，按照有关规定予以处理。</w:t>
      </w:r>
    </w:p>
    <w:p>
      <w:pPr>
        <w:autoSpaceDE w:val="0"/>
        <w:autoSpaceDN w:val="0"/>
        <w:spacing w:line="360" w:lineRule="auto"/>
        <w:ind w:firstLine="480" w:firstLineChars="200"/>
        <w:rPr>
          <w:rFonts w:hint="eastAsia"/>
          <w:highlight w:val="none"/>
          <w:lang w:val="zh-CN"/>
        </w:rPr>
      </w:pPr>
      <w:r>
        <w:rPr>
          <w:rFonts w:hint="eastAsia"/>
          <w:highlight w:val="none"/>
        </w:rPr>
        <w:t xml:space="preserve">18.7 </w:t>
      </w:r>
      <w:r>
        <w:rPr>
          <w:rFonts w:hint="eastAsia"/>
          <w:highlight w:val="none"/>
          <w:lang w:val="zh-CN"/>
        </w:rPr>
        <w:t>根据财政部、民政部、中国残疾人联合会出台的《关于促进残疾人就业政府采购政策的通知》（财库[2017]141号），属残疾人福利性单位的，投标人须提供《残疾人福利性单位声明函》（详见附件</w:t>
      </w:r>
      <w:r>
        <w:rPr>
          <w:rFonts w:hint="eastAsia"/>
          <w:highlight w:val="none"/>
        </w:rPr>
        <w:t>1</w:t>
      </w:r>
      <w:r>
        <w:rPr>
          <w:rFonts w:hint="eastAsia"/>
          <w:highlight w:val="none"/>
          <w:lang w:val="en-US" w:eastAsia="zh-CN"/>
        </w:rPr>
        <w:t>4</w:t>
      </w:r>
      <w:r>
        <w:rPr>
          <w:rFonts w:hint="eastAsia"/>
          <w:highlight w:val="none"/>
          <w:lang w:val="zh-CN"/>
        </w:rPr>
        <w:t>），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pPr>
        <w:pStyle w:val="37"/>
        <w:ind w:firstLine="480" w:firstLineChars="200"/>
        <w:rPr>
          <w:rFonts w:hint="eastAsia"/>
          <w:highlight w:val="none"/>
        </w:rPr>
      </w:pPr>
      <w:r>
        <w:rPr>
          <w:rFonts w:hint="eastAsia" w:ascii="宋体" w:hAnsi="宋体" w:eastAsia="宋体" w:cs="宋体"/>
          <w:kern w:val="0"/>
          <w:sz w:val="24"/>
          <w:szCs w:val="24"/>
          <w:highlight w:val="none"/>
          <w:lang w:val="zh-CN" w:eastAsia="zh-CN" w:bidi="ar-SA"/>
        </w:rPr>
        <w:t>属于监狱企业的，提供监狱企业证明资料（详见附件1</w:t>
      </w:r>
      <w:r>
        <w:rPr>
          <w:rFonts w:hint="eastAsia" w:ascii="宋体" w:hAnsi="宋体" w:eastAsia="宋体" w:cs="宋体"/>
          <w:kern w:val="0"/>
          <w:sz w:val="24"/>
          <w:szCs w:val="24"/>
          <w:highlight w:val="none"/>
          <w:lang w:val="en-US" w:eastAsia="zh-CN" w:bidi="ar-SA"/>
        </w:rPr>
        <w:t>5</w:t>
      </w:r>
      <w:r>
        <w:rPr>
          <w:rFonts w:hint="eastAsia" w:ascii="宋体" w:hAnsi="宋体" w:eastAsia="宋体" w:cs="宋体"/>
          <w:kern w:val="0"/>
          <w:sz w:val="24"/>
          <w:szCs w:val="24"/>
          <w:highlight w:val="none"/>
          <w:lang w:val="zh-CN" w:eastAsia="zh-CN" w:bidi="ar-SA"/>
        </w:rPr>
        <w:t>）并加盖公章的，在评标时价格给予5%的扣除。</w:t>
      </w:r>
      <w:r>
        <w:rPr>
          <w:rFonts w:hint="eastAsia" w:hAnsi="宋体" w:cs="宋体"/>
          <w:highlight w:val="none"/>
        </w:rPr>
        <w:t xml:space="preserve"> </w:t>
      </w:r>
    </w:p>
    <w:p>
      <w:pPr>
        <w:spacing w:before="100" w:beforeAutospacing="1" w:after="100" w:afterAutospacing="1" w:line="400" w:lineRule="exact"/>
        <w:ind w:firstLine="542"/>
        <w:rPr>
          <w:rFonts w:hint="eastAsia"/>
          <w:b/>
          <w:bCs/>
          <w:sz w:val="27"/>
          <w:szCs w:val="27"/>
          <w:highlight w:val="none"/>
        </w:rPr>
      </w:pPr>
      <w:bookmarkStart w:id="133" w:name="_Toc376936755"/>
      <w:bookmarkStart w:id="134" w:name="_Toc14742"/>
      <w:bookmarkStart w:id="135" w:name="_Toc325726024"/>
      <w:r>
        <w:rPr>
          <w:rFonts w:hint="eastAsia"/>
          <w:b/>
          <w:bCs/>
          <w:sz w:val="27"/>
          <w:szCs w:val="27"/>
          <w:highlight w:val="none"/>
        </w:rPr>
        <w:t>19.评审办法</w:t>
      </w:r>
      <w:bookmarkEnd w:id="133"/>
      <w:bookmarkEnd w:id="134"/>
      <w:bookmarkEnd w:id="135"/>
    </w:p>
    <w:p>
      <w:pPr>
        <w:spacing w:line="400" w:lineRule="exact"/>
        <w:ind w:firstLine="480"/>
        <w:rPr>
          <w:rFonts w:hint="eastAsia"/>
          <w:highlight w:val="none"/>
        </w:rPr>
      </w:pPr>
      <w:r>
        <w:rPr>
          <w:rFonts w:hint="eastAsia"/>
          <w:highlight w:val="none"/>
        </w:rPr>
        <w:t>19.1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四部分组成（满分100分）。</w:t>
      </w:r>
    </w:p>
    <w:p>
      <w:pPr>
        <w:spacing w:line="400" w:lineRule="exact"/>
        <w:ind w:firstLine="480"/>
        <w:rPr>
          <w:rFonts w:hint="eastAsia" w:eastAsia="宋体"/>
          <w:color w:val="auto"/>
          <w:highlight w:val="none"/>
          <w:lang w:val="en-US" w:eastAsia="zh-CN"/>
        </w:rPr>
      </w:pPr>
      <w:r>
        <w:rPr>
          <w:rFonts w:hint="eastAsia"/>
          <w:highlight w:val="none"/>
        </w:rPr>
        <w:t>19.2</w:t>
      </w:r>
      <w:r>
        <w:rPr>
          <w:rFonts w:hint="eastAsia" w:eastAsia="宋体"/>
          <w:color w:val="auto"/>
          <w:highlight w:val="none"/>
        </w:rPr>
        <w:t>初步评审</w:t>
      </w:r>
      <w:r>
        <w:rPr>
          <w:rFonts w:hint="eastAsia" w:eastAsia="宋体"/>
          <w:color w:val="auto"/>
          <w:highlight w:val="none"/>
          <w:lang w:val="en-US" w:eastAsia="zh-CN"/>
        </w:rPr>
        <w:t>：资格审查和符合性审查</w:t>
      </w:r>
    </w:p>
    <w:p>
      <w:pPr>
        <w:spacing w:line="400" w:lineRule="exact"/>
        <w:ind w:firstLine="480"/>
        <w:rPr>
          <w:rFonts w:hint="default" w:eastAsia="宋体"/>
          <w:b/>
          <w:bCs/>
          <w:color w:val="auto"/>
          <w:highlight w:val="none"/>
          <w:lang w:val="en-US" w:eastAsia="zh-CN"/>
        </w:rPr>
      </w:pPr>
      <w:bookmarkStart w:id="136" w:name="_Toc376936756"/>
      <w:bookmarkStart w:id="137" w:name="_Toc325726025"/>
      <w:r>
        <w:rPr>
          <w:rFonts w:hint="eastAsia" w:eastAsia="宋体"/>
          <w:b/>
          <w:bCs/>
          <w:color w:val="auto"/>
          <w:highlight w:val="none"/>
          <w:lang w:val="en-US" w:eastAsia="zh-CN"/>
        </w:rPr>
        <w:t>19.2.1资格审查，响应文件有下列情况之一的，按无效响应处理。</w:t>
      </w:r>
    </w:p>
    <w:p>
      <w:pPr>
        <w:spacing w:line="400" w:lineRule="exact"/>
        <w:ind w:firstLine="480"/>
        <w:rPr>
          <w:rFonts w:hint="eastAsia"/>
          <w:b/>
          <w:bCs/>
          <w:highlight w:val="none"/>
        </w:rPr>
      </w:pPr>
      <w:r>
        <w:rPr>
          <w:rFonts w:hint="eastAsia"/>
          <w:b/>
          <w:bCs/>
          <w:highlight w:val="none"/>
        </w:rPr>
        <w:t>（1）不符合第</w:t>
      </w:r>
      <w:r>
        <w:rPr>
          <w:rFonts w:hint="eastAsia"/>
          <w:b/>
          <w:bCs/>
          <w:highlight w:val="none"/>
          <w:lang w:val="zh-CN"/>
        </w:rPr>
        <w:t>2</w:t>
      </w:r>
      <w:r>
        <w:rPr>
          <w:rFonts w:hint="eastAsia"/>
          <w:b/>
          <w:bCs/>
          <w:highlight w:val="none"/>
        </w:rPr>
        <w:t>.</w:t>
      </w:r>
      <w:r>
        <w:rPr>
          <w:rFonts w:hint="eastAsia"/>
          <w:b/>
          <w:bCs/>
          <w:highlight w:val="none"/>
          <w:lang w:val="zh-CN"/>
        </w:rPr>
        <w:t>2款“合格的供应商”之规定的；</w:t>
      </w:r>
    </w:p>
    <w:p>
      <w:pPr>
        <w:spacing w:line="400" w:lineRule="exact"/>
        <w:ind w:firstLine="480"/>
        <w:rPr>
          <w:rFonts w:hint="eastAsia"/>
          <w:b/>
          <w:bCs/>
          <w:highlight w:val="none"/>
        </w:rPr>
      </w:pPr>
      <w:r>
        <w:rPr>
          <w:rFonts w:hint="eastAsia"/>
          <w:b/>
          <w:bCs/>
          <w:highlight w:val="none"/>
        </w:rPr>
        <w:t>（2）符合第</w:t>
      </w:r>
      <w:r>
        <w:rPr>
          <w:rFonts w:hint="eastAsia"/>
          <w:b/>
          <w:bCs/>
          <w:highlight w:val="none"/>
          <w:lang w:val="zh-CN"/>
        </w:rPr>
        <w:t>2</w:t>
      </w:r>
      <w:r>
        <w:rPr>
          <w:rFonts w:hint="eastAsia"/>
          <w:b/>
          <w:bCs/>
          <w:highlight w:val="none"/>
        </w:rPr>
        <w:t>.</w:t>
      </w:r>
      <w:r>
        <w:rPr>
          <w:rFonts w:hint="eastAsia"/>
          <w:b/>
          <w:bCs/>
          <w:highlight w:val="none"/>
          <w:lang w:val="zh-CN"/>
        </w:rPr>
        <w:t>3款规定的任何一种情形的；</w:t>
      </w:r>
    </w:p>
    <w:p>
      <w:pPr>
        <w:spacing w:line="400" w:lineRule="exact"/>
        <w:ind w:firstLine="480"/>
        <w:rPr>
          <w:rFonts w:hint="eastAsia" w:ascii="宋体" w:hAnsi="宋体" w:eastAsia="宋体" w:cs="宋体"/>
          <w:b/>
          <w:bCs/>
          <w:highlight w:val="none"/>
          <w:lang w:val="zh-CN"/>
        </w:rPr>
      </w:pPr>
      <w:r>
        <w:rPr>
          <w:rFonts w:hint="eastAsia" w:ascii="宋体" w:hAnsi="宋体" w:eastAsia="宋体" w:cs="宋体"/>
          <w:b/>
          <w:bCs/>
          <w:highlight w:val="none"/>
          <w:lang w:val="zh-CN"/>
        </w:rPr>
        <w:t>（</w:t>
      </w:r>
      <w:r>
        <w:rPr>
          <w:rFonts w:hint="eastAsia" w:ascii="宋体" w:hAnsi="宋体" w:eastAsia="宋体" w:cs="宋体"/>
          <w:b/>
          <w:bCs/>
          <w:highlight w:val="none"/>
          <w:lang w:val="en-US" w:eastAsia="zh-CN"/>
        </w:rPr>
        <w:t>3</w:t>
      </w:r>
      <w:r>
        <w:rPr>
          <w:rFonts w:hint="eastAsia" w:ascii="宋体" w:hAnsi="宋体" w:eastAsia="宋体" w:cs="宋体"/>
          <w:b/>
          <w:bCs/>
          <w:highlight w:val="none"/>
          <w:lang w:val="zh-CN"/>
        </w:rPr>
        <w:t>）未按第11.1款（</w:t>
      </w:r>
      <w:r>
        <w:rPr>
          <w:rFonts w:hint="eastAsia" w:ascii="宋体" w:hAnsi="宋体" w:eastAsia="宋体" w:cs="宋体"/>
          <w:b/>
          <w:bCs/>
          <w:highlight w:val="none"/>
          <w:lang w:val="en-US" w:eastAsia="zh-CN"/>
        </w:rPr>
        <w:t>3</w:t>
      </w:r>
      <w:r>
        <w:rPr>
          <w:rFonts w:hint="eastAsia" w:ascii="宋体" w:hAnsi="宋体" w:eastAsia="宋体" w:cs="宋体"/>
          <w:b/>
          <w:bCs/>
          <w:highlight w:val="none"/>
          <w:lang w:val="zh-CN"/>
        </w:rPr>
        <w:t>）-（12）要求提供相关资料的；</w:t>
      </w:r>
    </w:p>
    <w:p>
      <w:pPr>
        <w:spacing w:line="400" w:lineRule="exact"/>
        <w:ind w:firstLine="480"/>
        <w:rPr>
          <w:rFonts w:hint="eastAsia" w:ascii="宋体" w:hAnsi="宋体" w:eastAsia="宋体" w:cs="宋体"/>
          <w:b/>
          <w:bCs/>
          <w:highlight w:val="none"/>
          <w:lang w:val="zh-CN"/>
        </w:rPr>
      </w:pPr>
      <w:r>
        <w:rPr>
          <w:rFonts w:hint="eastAsia" w:ascii="宋体" w:hAnsi="宋体" w:eastAsia="宋体" w:cs="宋体"/>
          <w:b/>
          <w:bCs/>
          <w:highlight w:val="none"/>
          <w:lang w:val="zh-CN"/>
        </w:rPr>
        <w:t>（</w:t>
      </w:r>
      <w:r>
        <w:rPr>
          <w:rFonts w:hint="eastAsia" w:ascii="宋体" w:hAnsi="宋体" w:eastAsia="宋体" w:cs="宋体"/>
          <w:b/>
          <w:bCs/>
          <w:highlight w:val="none"/>
          <w:lang w:val="en-US" w:eastAsia="zh-CN"/>
        </w:rPr>
        <w:t>4</w:t>
      </w:r>
      <w:r>
        <w:rPr>
          <w:rFonts w:hint="eastAsia" w:ascii="宋体" w:hAnsi="宋体" w:eastAsia="宋体" w:cs="宋体"/>
          <w:b/>
          <w:bCs/>
          <w:highlight w:val="none"/>
          <w:lang w:val="zh-CN"/>
        </w:rPr>
        <w:t>）响应文件载明的</w:t>
      </w:r>
      <w:r>
        <w:rPr>
          <w:rFonts w:hint="eastAsia" w:eastAsia="宋体" w:cs="宋体"/>
          <w:b/>
          <w:bCs/>
          <w:highlight w:val="none"/>
          <w:lang w:val="zh-CN"/>
        </w:rPr>
        <w:t>工期</w:t>
      </w:r>
      <w:r>
        <w:rPr>
          <w:rFonts w:hint="eastAsia" w:ascii="宋体" w:hAnsi="宋体" w:eastAsia="宋体" w:cs="宋体"/>
          <w:b/>
          <w:bCs/>
          <w:highlight w:val="none"/>
          <w:lang w:val="zh-CN"/>
        </w:rPr>
        <w:t>超过磋商文件规定的期限的；</w:t>
      </w:r>
    </w:p>
    <w:p>
      <w:pPr>
        <w:spacing w:line="400" w:lineRule="exact"/>
        <w:ind w:firstLine="480"/>
        <w:rPr>
          <w:rFonts w:hint="eastAsia" w:ascii="宋体" w:hAnsi="宋体" w:eastAsia="宋体" w:cs="宋体"/>
          <w:b/>
          <w:bCs/>
          <w:highlight w:val="none"/>
          <w:lang w:val="zh-CN"/>
        </w:rPr>
      </w:pPr>
      <w:r>
        <w:rPr>
          <w:rFonts w:hint="eastAsia" w:ascii="宋体" w:hAnsi="宋体" w:eastAsia="宋体" w:cs="宋体"/>
          <w:b/>
          <w:bCs/>
          <w:highlight w:val="none"/>
          <w:lang w:val="zh-CN"/>
        </w:rPr>
        <w:t>（</w:t>
      </w:r>
      <w:r>
        <w:rPr>
          <w:rFonts w:hint="eastAsia" w:ascii="宋体" w:hAnsi="宋体" w:eastAsia="宋体" w:cs="宋体"/>
          <w:b/>
          <w:bCs/>
          <w:highlight w:val="none"/>
          <w:lang w:val="en-US" w:eastAsia="zh-CN"/>
        </w:rPr>
        <w:t>5</w:t>
      </w:r>
      <w:r>
        <w:rPr>
          <w:rFonts w:hint="eastAsia" w:ascii="宋体" w:hAnsi="宋体" w:eastAsia="宋体" w:cs="宋体"/>
          <w:b/>
          <w:bCs/>
          <w:highlight w:val="none"/>
          <w:lang w:val="zh-CN"/>
        </w:rPr>
        <w:t>）磋商有效期不能满足磋商文件规定期限的</w:t>
      </w:r>
    </w:p>
    <w:p>
      <w:pPr>
        <w:spacing w:line="400" w:lineRule="exact"/>
        <w:ind w:firstLine="480"/>
        <w:rPr>
          <w:rFonts w:hint="eastAsia" w:eastAsia="宋体"/>
          <w:b/>
          <w:bCs/>
          <w:color w:val="auto"/>
          <w:highlight w:val="none"/>
          <w:lang w:val="en-US" w:eastAsia="zh-CN"/>
        </w:rPr>
      </w:pPr>
      <w:r>
        <w:rPr>
          <w:rFonts w:hint="eastAsia"/>
          <w:b/>
          <w:bCs/>
          <w:color w:val="auto"/>
          <w:highlight w:val="none"/>
          <w:lang w:val="en-US" w:eastAsia="zh-CN"/>
        </w:rPr>
        <w:t>19.2.2符合性审查，</w:t>
      </w:r>
      <w:r>
        <w:rPr>
          <w:rFonts w:hint="eastAsia" w:eastAsia="宋体"/>
          <w:b/>
          <w:bCs/>
          <w:color w:val="auto"/>
          <w:highlight w:val="none"/>
          <w:lang w:val="en-US" w:eastAsia="zh-CN"/>
        </w:rPr>
        <w:t>响应文件有下列情况之一的，按无效响应处理。</w:t>
      </w:r>
    </w:p>
    <w:p>
      <w:pPr>
        <w:spacing w:line="400" w:lineRule="exact"/>
        <w:ind w:firstLine="480"/>
        <w:rPr>
          <w:rFonts w:hint="eastAsia"/>
          <w:b/>
          <w:bCs/>
          <w:highlight w:val="none"/>
        </w:rPr>
      </w:pPr>
      <w:r>
        <w:rPr>
          <w:rFonts w:hint="eastAsia"/>
          <w:b/>
          <w:bCs/>
          <w:highlight w:val="none"/>
          <w:lang w:eastAsia="zh-CN"/>
        </w:rPr>
        <w:t>（</w:t>
      </w:r>
      <w:r>
        <w:rPr>
          <w:rFonts w:hint="eastAsia"/>
          <w:b/>
          <w:bCs/>
          <w:highlight w:val="none"/>
          <w:lang w:val="en-US" w:eastAsia="zh-CN"/>
        </w:rPr>
        <w:t>1</w:t>
      </w:r>
      <w:r>
        <w:rPr>
          <w:rFonts w:hint="eastAsia"/>
          <w:b/>
          <w:bCs/>
          <w:highlight w:val="none"/>
          <w:lang w:eastAsia="zh-CN"/>
        </w:rPr>
        <w:t>）</w:t>
      </w:r>
      <w:r>
        <w:rPr>
          <w:rFonts w:hint="eastAsia"/>
          <w:b/>
          <w:bCs/>
          <w:highlight w:val="none"/>
        </w:rPr>
        <w:t>响应文件内容没有按磋商文件规定和要求签字、盖章的；</w:t>
      </w:r>
    </w:p>
    <w:p>
      <w:pPr>
        <w:spacing w:line="400" w:lineRule="exact"/>
        <w:ind w:firstLine="480"/>
        <w:rPr>
          <w:rFonts w:hint="eastAsia"/>
          <w:b/>
          <w:bCs/>
          <w:highlight w:val="none"/>
        </w:rPr>
      </w:pPr>
      <w:r>
        <w:rPr>
          <w:rFonts w:hint="eastAsia"/>
          <w:b/>
          <w:bCs/>
          <w:highlight w:val="none"/>
        </w:rPr>
        <w:t>（</w:t>
      </w:r>
      <w:r>
        <w:rPr>
          <w:rFonts w:hint="eastAsia"/>
          <w:b/>
          <w:bCs/>
          <w:highlight w:val="none"/>
          <w:lang w:val="en-US" w:eastAsia="zh-CN"/>
        </w:rPr>
        <w:t>2</w:t>
      </w:r>
      <w:r>
        <w:rPr>
          <w:rFonts w:hint="eastAsia"/>
          <w:b/>
          <w:bCs/>
          <w:highlight w:val="none"/>
        </w:rPr>
        <w:t>）擅自修改磋商文件规定的格式内容的；</w:t>
      </w:r>
    </w:p>
    <w:p>
      <w:pPr>
        <w:spacing w:line="400" w:lineRule="exact"/>
        <w:ind w:firstLine="439" w:firstLineChars="182"/>
        <w:rPr>
          <w:rFonts w:hint="eastAsia"/>
          <w:b/>
          <w:bCs/>
          <w:highlight w:val="none"/>
        </w:rPr>
      </w:pPr>
      <w:r>
        <w:rPr>
          <w:rFonts w:hint="eastAsia"/>
          <w:b/>
          <w:bCs/>
          <w:highlight w:val="none"/>
        </w:rPr>
        <w:t>（</w:t>
      </w:r>
      <w:r>
        <w:rPr>
          <w:rFonts w:hint="eastAsia"/>
          <w:b/>
          <w:bCs/>
          <w:highlight w:val="none"/>
          <w:lang w:val="en-US" w:eastAsia="zh-CN"/>
        </w:rPr>
        <w:t>3</w:t>
      </w:r>
      <w:r>
        <w:rPr>
          <w:rFonts w:hint="eastAsia"/>
          <w:b/>
          <w:bCs/>
          <w:highlight w:val="none"/>
        </w:rPr>
        <w:t>）</w:t>
      </w:r>
      <w:r>
        <w:rPr>
          <w:rFonts w:hint="eastAsia"/>
          <w:b/>
          <w:bCs/>
          <w:highlight w:val="none"/>
          <w:lang w:eastAsia="zh-CN"/>
        </w:rPr>
        <w:t>不可竞争费用未按相关规定计取或已标价工程量清单不符合相关规定的</w:t>
      </w:r>
      <w:r>
        <w:rPr>
          <w:rFonts w:hint="eastAsia"/>
          <w:b/>
          <w:bCs/>
          <w:highlight w:val="none"/>
        </w:rPr>
        <w:t>；</w:t>
      </w:r>
    </w:p>
    <w:p>
      <w:pPr>
        <w:spacing w:line="400" w:lineRule="exact"/>
        <w:ind w:firstLine="482" w:firstLineChars="200"/>
        <w:rPr>
          <w:rFonts w:hint="eastAsia"/>
          <w:b/>
          <w:bCs/>
          <w:highlight w:val="none"/>
        </w:rPr>
      </w:pPr>
      <w:r>
        <w:rPr>
          <w:rFonts w:hint="eastAsia"/>
          <w:b/>
          <w:bCs/>
          <w:highlight w:val="none"/>
        </w:rPr>
        <w:t>（</w:t>
      </w:r>
      <w:r>
        <w:rPr>
          <w:rFonts w:hint="eastAsia"/>
          <w:b/>
          <w:bCs/>
          <w:highlight w:val="none"/>
          <w:lang w:val="en-US" w:eastAsia="zh-CN"/>
        </w:rPr>
        <w:t>4</w:t>
      </w:r>
      <w:r>
        <w:rPr>
          <w:rFonts w:hint="eastAsia"/>
          <w:b/>
          <w:bCs/>
          <w:highlight w:val="none"/>
        </w:rPr>
        <w:t>）串通磋商或弄虚作假或有其他违法行为的；</w:t>
      </w:r>
    </w:p>
    <w:p>
      <w:pPr>
        <w:spacing w:line="400" w:lineRule="exact"/>
        <w:ind w:left="437" w:leftChars="182"/>
        <w:rPr>
          <w:rFonts w:hint="eastAsia"/>
          <w:b/>
          <w:bCs/>
          <w:highlight w:val="none"/>
        </w:rPr>
      </w:pPr>
      <w:r>
        <w:rPr>
          <w:rFonts w:hint="eastAsia"/>
          <w:b/>
          <w:bCs/>
          <w:highlight w:val="none"/>
        </w:rPr>
        <w:t>（</w:t>
      </w:r>
      <w:r>
        <w:rPr>
          <w:rFonts w:hint="eastAsia"/>
          <w:b/>
          <w:bCs/>
          <w:highlight w:val="none"/>
          <w:lang w:val="en-US" w:eastAsia="zh-CN"/>
        </w:rPr>
        <w:t>5</w:t>
      </w:r>
      <w:r>
        <w:rPr>
          <w:rFonts w:hint="eastAsia"/>
          <w:b/>
          <w:bCs/>
          <w:highlight w:val="none"/>
        </w:rPr>
        <w:t>）不按磋商小组会要求澄清、说明或补正的；</w:t>
      </w:r>
    </w:p>
    <w:p>
      <w:pPr>
        <w:spacing w:line="400" w:lineRule="exact"/>
        <w:ind w:left="437" w:leftChars="182"/>
        <w:rPr>
          <w:rFonts w:hint="eastAsia"/>
          <w:b/>
          <w:bCs/>
          <w:szCs w:val="20"/>
          <w:highlight w:val="none"/>
        </w:rPr>
      </w:pPr>
      <w:r>
        <w:rPr>
          <w:rFonts w:hint="eastAsia"/>
          <w:b/>
          <w:bCs/>
          <w:szCs w:val="20"/>
          <w:highlight w:val="none"/>
        </w:rPr>
        <w:t>（</w:t>
      </w:r>
      <w:r>
        <w:rPr>
          <w:rFonts w:hint="eastAsia"/>
          <w:b/>
          <w:bCs/>
          <w:szCs w:val="20"/>
          <w:highlight w:val="none"/>
          <w:lang w:val="en-US" w:eastAsia="zh-CN"/>
        </w:rPr>
        <w:t>6</w:t>
      </w:r>
      <w:r>
        <w:rPr>
          <w:rFonts w:hint="eastAsia"/>
          <w:b/>
          <w:bCs/>
          <w:szCs w:val="20"/>
          <w:highlight w:val="none"/>
        </w:rPr>
        <w:t>）响应文件中附有采购人不能接受的条件的；</w:t>
      </w:r>
    </w:p>
    <w:p>
      <w:pPr>
        <w:spacing w:line="400" w:lineRule="exact"/>
        <w:ind w:left="437" w:leftChars="182"/>
        <w:rPr>
          <w:rFonts w:hint="eastAsia"/>
          <w:b/>
          <w:bCs/>
          <w:highlight w:val="none"/>
        </w:rPr>
      </w:pPr>
      <w:r>
        <w:rPr>
          <w:rFonts w:hint="eastAsia"/>
          <w:b/>
          <w:bCs/>
          <w:highlight w:val="none"/>
        </w:rPr>
        <w:t>（</w:t>
      </w:r>
      <w:r>
        <w:rPr>
          <w:rFonts w:hint="eastAsia"/>
          <w:b/>
          <w:bCs/>
          <w:highlight w:val="none"/>
          <w:lang w:val="en-US" w:eastAsia="zh-CN"/>
        </w:rPr>
        <w:t>7</w:t>
      </w:r>
      <w:r>
        <w:rPr>
          <w:rFonts w:hint="eastAsia"/>
          <w:b/>
          <w:bCs/>
          <w:highlight w:val="none"/>
        </w:rPr>
        <w:t>）磋商报价超过预算控制额度</w:t>
      </w:r>
      <w:r>
        <w:rPr>
          <w:rFonts w:hint="eastAsia"/>
          <w:b/>
          <w:bCs/>
          <w:highlight w:val="none"/>
          <w:lang w:eastAsia="zh-CN"/>
        </w:rPr>
        <w:t>或最高限价的</w:t>
      </w:r>
      <w:r>
        <w:rPr>
          <w:rFonts w:hint="eastAsia"/>
          <w:b/>
          <w:bCs/>
          <w:highlight w:val="none"/>
        </w:rPr>
        <w:t>的；</w:t>
      </w:r>
    </w:p>
    <w:p>
      <w:pPr>
        <w:spacing w:line="400" w:lineRule="exact"/>
        <w:ind w:left="437" w:leftChars="182"/>
        <w:rPr>
          <w:rFonts w:hint="eastAsia"/>
          <w:b/>
          <w:bCs/>
          <w:highlight w:val="none"/>
        </w:rPr>
      </w:pPr>
      <w:r>
        <w:rPr>
          <w:rFonts w:hint="eastAsia"/>
          <w:b/>
          <w:bCs/>
          <w:highlight w:val="none"/>
        </w:rPr>
        <w:t>（</w:t>
      </w:r>
      <w:r>
        <w:rPr>
          <w:rFonts w:hint="eastAsia"/>
          <w:b/>
          <w:bCs/>
          <w:highlight w:val="none"/>
          <w:lang w:val="en-US" w:eastAsia="zh-CN"/>
        </w:rPr>
        <w:t>8</w:t>
      </w:r>
      <w:r>
        <w:rPr>
          <w:rFonts w:hint="eastAsia"/>
          <w:b/>
          <w:bCs/>
          <w:highlight w:val="none"/>
        </w:rPr>
        <w:t>）法律、法规和磋商小组认为应按无效磋商处理的其他情况。</w:t>
      </w:r>
    </w:p>
    <w:p>
      <w:pPr>
        <w:spacing w:line="400" w:lineRule="exact"/>
        <w:ind w:firstLine="480" w:firstLineChars="200"/>
        <w:rPr>
          <w:rFonts w:ascii="Arial"/>
          <w:sz w:val="21"/>
        </w:rPr>
      </w:pPr>
      <w:r>
        <w:rPr>
          <w:rFonts w:hint="eastAsia"/>
          <w:highlight w:val="none"/>
        </w:rPr>
        <w:t>19.3评审标准和分值分配（详细评审）</w:t>
      </w:r>
      <w:bookmarkStart w:id="138" w:name="_Toc22988"/>
    </w:p>
    <w:tbl>
      <w:tblPr>
        <w:tblStyle w:val="68"/>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19"/>
        <w:gridCol w:w="1717"/>
        <w:gridCol w:w="1603"/>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436" w:type="dxa"/>
            <w:gridSpan w:val="2"/>
            <w:noWrap w:val="0"/>
            <w:vAlign w:val="top"/>
          </w:tcPr>
          <w:p>
            <w:pPr>
              <w:autoSpaceDE w:val="0"/>
              <w:autoSpaceDN w:val="0"/>
              <w:spacing w:line="400" w:lineRule="exact"/>
              <w:jc w:val="center"/>
              <w:rPr>
                <w:rFonts w:hint="eastAsia"/>
                <w:b/>
                <w:highlight w:val="none"/>
              </w:rPr>
            </w:pPr>
            <w:bookmarkStart w:id="139" w:name="_Toc24654"/>
            <w:r>
              <w:rPr>
                <w:rFonts w:hint="eastAsia"/>
                <w:b/>
                <w:highlight w:val="none"/>
              </w:rPr>
              <w:t>条款号</w:t>
            </w:r>
          </w:p>
        </w:tc>
        <w:tc>
          <w:tcPr>
            <w:tcW w:w="1603" w:type="dxa"/>
            <w:noWrap w:val="0"/>
            <w:vAlign w:val="top"/>
          </w:tcPr>
          <w:p>
            <w:pPr>
              <w:autoSpaceDE w:val="0"/>
              <w:autoSpaceDN w:val="0"/>
              <w:spacing w:line="400" w:lineRule="exact"/>
              <w:jc w:val="center"/>
              <w:rPr>
                <w:rFonts w:hint="eastAsia"/>
                <w:b/>
                <w:highlight w:val="none"/>
              </w:rPr>
            </w:pPr>
            <w:r>
              <w:rPr>
                <w:rFonts w:hint="eastAsia"/>
                <w:b/>
                <w:highlight w:val="none"/>
              </w:rPr>
              <w:t>评分因素</w:t>
            </w:r>
          </w:p>
        </w:tc>
        <w:tc>
          <w:tcPr>
            <w:tcW w:w="6166" w:type="dxa"/>
            <w:noWrap w:val="0"/>
            <w:vAlign w:val="top"/>
          </w:tcPr>
          <w:p>
            <w:pPr>
              <w:autoSpaceDE w:val="0"/>
              <w:autoSpaceDN w:val="0"/>
              <w:spacing w:line="400" w:lineRule="exact"/>
              <w:jc w:val="center"/>
              <w:rPr>
                <w:rFonts w:hint="eastAsia"/>
                <w:b/>
                <w:highlight w:val="none"/>
              </w:rPr>
            </w:pPr>
            <w:r>
              <w:rPr>
                <w:rFonts w:hint="eastAsia"/>
                <w:b/>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61" w:hRule="atLeast"/>
          <w:jc w:val="center"/>
        </w:trPr>
        <w:tc>
          <w:tcPr>
            <w:tcW w:w="719" w:type="dxa"/>
            <w:vMerge w:val="restart"/>
            <w:noWrap w:val="0"/>
            <w:vAlign w:val="center"/>
          </w:tcPr>
          <w:p>
            <w:pPr>
              <w:autoSpaceDE w:val="0"/>
              <w:autoSpaceDN w:val="0"/>
              <w:spacing w:line="400" w:lineRule="exact"/>
              <w:jc w:val="center"/>
              <w:rPr>
                <w:rFonts w:hint="eastAsia"/>
                <w:highlight w:val="none"/>
              </w:rPr>
            </w:pPr>
            <w:r>
              <w:rPr>
                <w:rFonts w:hint="eastAsia"/>
                <w:highlight w:val="none"/>
              </w:rPr>
              <w:t>1</w:t>
            </w:r>
          </w:p>
        </w:tc>
        <w:tc>
          <w:tcPr>
            <w:tcW w:w="1717" w:type="dxa"/>
            <w:vMerge w:val="restart"/>
            <w:noWrap w:val="0"/>
            <w:vAlign w:val="center"/>
          </w:tcPr>
          <w:p>
            <w:pPr>
              <w:autoSpaceDE w:val="0"/>
              <w:autoSpaceDN w:val="0"/>
              <w:spacing w:line="400" w:lineRule="exact"/>
              <w:jc w:val="center"/>
              <w:rPr>
                <w:rFonts w:hint="eastAsia"/>
                <w:highlight w:val="none"/>
              </w:rPr>
            </w:pPr>
            <w:r>
              <w:rPr>
                <w:rFonts w:hint="eastAsia"/>
                <w:highlight w:val="none"/>
              </w:rPr>
              <w:t>施工组织设计评分标准</w:t>
            </w:r>
          </w:p>
          <w:p>
            <w:pPr>
              <w:autoSpaceDE w:val="0"/>
              <w:autoSpaceDN w:val="0"/>
              <w:spacing w:line="400" w:lineRule="exact"/>
              <w:jc w:val="center"/>
              <w:rPr>
                <w:rFonts w:hint="eastAsia"/>
                <w:highlight w:val="none"/>
              </w:rPr>
            </w:pPr>
            <w:r>
              <w:rPr>
                <w:rFonts w:hint="eastAsia"/>
                <w:highlight w:val="none"/>
              </w:rPr>
              <w:t>（48分）</w:t>
            </w:r>
          </w:p>
        </w:tc>
        <w:tc>
          <w:tcPr>
            <w:tcW w:w="1603" w:type="dxa"/>
            <w:vMerge w:val="restart"/>
            <w:noWrap w:val="0"/>
            <w:vAlign w:val="center"/>
          </w:tcPr>
          <w:p>
            <w:pPr>
              <w:autoSpaceDE w:val="0"/>
              <w:autoSpaceDN w:val="0"/>
              <w:spacing w:line="240" w:lineRule="atLeast"/>
              <w:jc w:val="center"/>
              <w:rPr>
                <w:rFonts w:hint="eastAsia"/>
                <w:highlight w:val="none"/>
              </w:rPr>
            </w:pPr>
            <w:r>
              <w:rPr>
                <w:rFonts w:hint="eastAsia"/>
                <w:color w:val="auto"/>
              </w:rPr>
              <w:t>全面性（</w:t>
            </w:r>
            <w:r>
              <w:rPr>
                <w:rFonts w:hint="eastAsia"/>
                <w:color w:val="auto"/>
                <w:lang w:val="en-US" w:eastAsia="zh-CN"/>
              </w:rPr>
              <w:t>18</w:t>
            </w:r>
            <w:r>
              <w:rPr>
                <w:rFonts w:hint="eastAsia"/>
                <w:color w:val="auto"/>
              </w:rPr>
              <w:t>分）</w:t>
            </w:r>
          </w:p>
        </w:tc>
        <w:tc>
          <w:tcPr>
            <w:tcW w:w="6166" w:type="dxa"/>
            <w:noWrap w:val="0"/>
            <w:vAlign w:val="top"/>
          </w:tcPr>
          <w:p>
            <w:pPr>
              <w:spacing w:line="460" w:lineRule="exact"/>
              <w:rPr>
                <w:rFonts w:hint="eastAsia"/>
                <w:highlight w:val="none"/>
                <w:shd w:val="clear" w:color="auto" w:fill="FFFFFF"/>
                <w:lang w:bidi="ar"/>
              </w:rPr>
            </w:pPr>
            <w:r>
              <w:rPr>
                <w:rFonts w:hint="eastAsia"/>
                <w:color w:val="auto"/>
                <w:lang w:eastAsia="zh-CN"/>
              </w:rPr>
              <w:t>根据供应商提供的施工组织设计全面性，包括但不限于：①</w:t>
            </w:r>
            <w:r>
              <w:rPr>
                <w:rFonts w:hint="eastAsia"/>
                <w:color w:val="auto"/>
              </w:rPr>
              <w:t>工作材料供应及计划</w:t>
            </w:r>
            <w:r>
              <w:rPr>
                <w:rFonts w:hint="eastAsia"/>
                <w:color w:val="auto"/>
                <w:lang w:eastAsia="zh-CN"/>
              </w:rPr>
              <w:t>、②</w:t>
            </w:r>
            <w:r>
              <w:rPr>
                <w:rFonts w:hint="eastAsia"/>
                <w:color w:val="auto"/>
              </w:rPr>
              <w:t xml:space="preserve"> 投入的机械及设备</w:t>
            </w:r>
            <w:r>
              <w:rPr>
                <w:rFonts w:hint="eastAsia"/>
                <w:color w:val="auto"/>
                <w:lang w:eastAsia="zh-CN"/>
              </w:rPr>
              <w:t>、③</w:t>
            </w:r>
            <w:r>
              <w:rPr>
                <w:rFonts w:hint="eastAsia"/>
                <w:color w:val="auto"/>
              </w:rPr>
              <w:t>施工方法及保证工程质量、安全和文明施工的措施</w:t>
            </w:r>
            <w:r>
              <w:rPr>
                <w:rFonts w:hint="eastAsia"/>
                <w:color w:val="auto"/>
                <w:lang w:eastAsia="zh-CN"/>
              </w:rPr>
              <w:t>、④</w:t>
            </w:r>
            <w:r>
              <w:rPr>
                <w:rFonts w:hint="eastAsia"/>
                <w:color w:val="auto"/>
              </w:rPr>
              <w:t xml:space="preserve"> 施工总进度计划</w:t>
            </w:r>
            <w:r>
              <w:rPr>
                <w:rFonts w:hint="eastAsia"/>
                <w:color w:val="auto"/>
                <w:lang w:eastAsia="zh-CN"/>
              </w:rPr>
              <w:t>等，</w:t>
            </w:r>
            <w:r>
              <w:rPr>
                <w:rFonts w:hint="eastAsia" w:ascii="宋体" w:hAnsi="宋体" w:eastAsia="宋体" w:cs="宋体"/>
                <w:kern w:val="2"/>
                <w:sz w:val="24"/>
                <w:szCs w:val="24"/>
                <w:lang w:val="en-US" w:eastAsia="zh-CN" w:bidi="ar-SA"/>
              </w:rPr>
              <w:t>以上4项内容</w:t>
            </w:r>
            <w:r>
              <w:rPr>
                <w:rFonts w:hint="eastAsia"/>
                <w:highlight w:val="none"/>
                <w:shd w:val="clear" w:color="auto" w:fill="FFFFFF"/>
                <w:lang w:bidi="ar"/>
              </w:rPr>
              <w:t>详细、科学、合理、切实可行，完全满足项目需求的得</w:t>
            </w:r>
            <w:r>
              <w:rPr>
                <w:rFonts w:hint="eastAsia"/>
                <w:highlight w:val="none"/>
                <w:shd w:val="clear" w:color="auto" w:fill="FFFFFF"/>
                <w:lang w:val="en-US" w:eastAsia="zh-CN" w:bidi="ar"/>
              </w:rPr>
              <w:t>12</w:t>
            </w:r>
            <w:r>
              <w:rPr>
                <w:rFonts w:hint="eastAsia"/>
                <w:highlight w:val="none"/>
                <w:shd w:val="clear" w:color="auto" w:fill="FFFFFF"/>
                <w:lang w:bidi="ar"/>
              </w:rPr>
              <w:t>分；</w:t>
            </w:r>
            <w:r>
              <w:rPr>
                <w:rFonts w:hint="eastAsia" w:ascii="宋体" w:hAnsi="宋体" w:eastAsia="宋体" w:cs="宋体"/>
                <w:kern w:val="2"/>
                <w:sz w:val="24"/>
                <w:szCs w:val="24"/>
                <w:lang w:val="en-US" w:eastAsia="zh-CN" w:bidi="ar-SA"/>
              </w:rPr>
              <w:t>每缺失一项扣</w:t>
            </w:r>
            <w:r>
              <w:rPr>
                <w:rFonts w:hint="eastAsia" w:eastAsia="宋体" w:cs="宋体"/>
                <w:kern w:val="2"/>
                <w:sz w:val="24"/>
                <w:szCs w:val="24"/>
                <w:lang w:val="en-US" w:eastAsia="zh-CN" w:bidi="ar-SA"/>
              </w:rPr>
              <w:t>3</w:t>
            </w:r>
            <w:r>
              <w:rPr>
                <w:rFonts w:hint="eastAsia" w:ascii="宋体" w:hAnsi="宋体" w:eastAsia="宋体" w:cs="宋体"/>
                <w:kern w:val="2"/>
                <w:sz w:val="24"/>
                <w:szCs w:val="24"/>
                <w:lang w:val="en-US" w:eastAsia="zh-CN" w:bidi="ar-SA"/>
              </w:rPr>
              <w:t>分，每项中每有一处</w:t>
            </w:r>
            <w:r>
              <w:rPr>
                <w:rFonts w:hint="eastAsia"/>
                <w:highlight w:val="none"/>
                <w:shd w:val="clear" w:color="auto" w:fill="FFFFFF"/>
                <w:lang w:bidi="ar"/>
              </w:rPr>
              <w:t>内容不合理</w:t>
            </w:r>
            <w:r>
              <w:rPr>
                <w:rFonts w:hint="eastAsia"/>
                <w:highlight w:val="none"/>
                <w:shd w:val="clear" w:color="auto" w:fill="FFFFFF"/>
                <w:lang w:val="en-US" w:eastAsia="zh-CN" w:bidi="ar"/>
              </w:rPr>
              <w:t>或</w:t>
            </w:r>
            <w:r>
              <w:rPr>
                <w:rFonts w:hint="eastAsia"/>
                <w:highlight w:val="none"/>
                <w:shd w:val="clear" w:color="auto" w:fill="FFFFFF"/>
                <w:lang w:bidi="ar"/>
              </w:rPr>
              <w:t>不能满足项目需求</w:t>
            </w:r>
            <w:r>
              <w:rPr>
                <w:rFonts w:hint="eastAsia" w:ascii="宋体" w:hAnsi="宋体" w:eastAsia="宋体" w:cs="宋体"/>
                <w:kern w:val="2"/>
                <w:sz w:val="24"/>
                <w:szCs w:val="24"/>
                <w:lang w:val="en-US" w:eastAsia="zh-CN" w:bidi="ar-SA"/>
              </w:rPr>
              <w:t>的扣</w:t>
            </w:r>
            <w:r>
              <w:rPr>
                <w:rFonts w:hint="eastAsia" w:eastAsia="宋体" w:cs="宋体"/>
                <w:kern w:val="2"/>
                <w:sz w:val="24"/>
                <w:szCs w:val="24"/>
                <w:lang w:val="en-US" w:eastAsia="zh-CN" w:bidi="ar-SA"/>
              </w:rPr>
              <w:t>1.5</w:t>
            </w:r>
            <w:r>
              <w:rPr>
                <w:rFonts w:hint="eastAsia" w:ascii="宋体" w:hAnsi="宋体" w:eastAsia="宋体" w:cs="宋体"/>
                <w:kern w:val="2"/>
                <w:sz w:val="24"/>
                <w:szCs w:val="24"/>
                <w:lang w:val="en-US" w:eastAsia="zh-CN" w:bidi="ar-SA"/>
              </w:rPr>
              <w:t>分</w:t>
            </w:r>
            <w:r>
              <w:rPr>
                <w:rFonts w:hint="eastAsia" w:eastAsia="宋体" w:cs="宋体"/>
                <w:kern w:val="2"/>
                <w:sz w:val="24"/>
                <w:szCs w:val="24"/>
                <w:lang w:val="en-US" w:eastAsia="zh-CN" w:bidi="ar-SA"/>
              </w:rPr>
              <w:t>，</w:t>
            </w:r>
            <w:r>
              <w:rPr>
                <w:rFonts w:hint="eastAsia" w:ascii="宋体" w:hAnsi="宋体" w:eastAsia="宋体" w:cs="宋体"/>
                <w:kern w:val="2"/>
                <w:sz w:val="24"/>
                <w:szCs w:val="24"/>
                <w:lang w:val="en-US" w:eastAsia="zh-CN" w:bidi="ar-SA"/>
              </w:rPr>
              <w:t>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70" w:hRule="atLeast"/>
          <w:jc w:val="center"/>
        </w:trPr>
        <w:tc>
          <w:tcPr>
            <w:tcW w:w="719" w:type="dxa"/>
            <w:vMerge w:val="continue"/>
            <w:noWrap w:val="0"/>
            <w:vAlign w:val="center"/>
          </w:tcPr>
          <w:p>
            <w:pPr>
              <w:pStyle w:val="37"/>
              <w:rPr>
                <w:rFonts w:hint="eastAsia"/>
                <w:highlight w:val="none"/>
                <w:shd w:val="clear" w:color="auto" w:fill="FFFFFF"/>
                <w:lang w:bidi="ar"/>
              </w:rPr>
            </w:pPr>
          </w:p>
        </w:tc>
        <w:tc>
          <w:tcPr>
            <w:tcW w:w="1717" w:type="dxa"/>
            <w:vMerge w:val="continue"/>
            <w:noWrap w:val="0"/>
            <w:vAlign w:val="center"/>
          </w:tcPr>
          <w:p>
            <w:pPr>
              <w:pStyle w:val="37"/>
              <w:rPr>
                <w:rFonts w:hint="eastAsia"/>
                <w:highlight w:val="none"/>
                <w:shd w:val="clear" w:color="auto" w:fill="FFFFFF"/>
                <w:lang w:bidi="ar"/>
              </w:rPr>
            </w:pPr>
          </w:p>
        </w:tc>
        <w:tc>
          <w:tcPr>
            <w:tcW w:w="1603" w:type="dxa"/>
            <w:vMerge w:val="continue"/>
            <w:noWrap w:val="0"/>
            <w:vAlign w:val="center"/>
          </w:tcPr>
          <w:p>
            <w:pPr>
              <w:pStyle w:val="37"/>
              <w:rPr>
                <w:rFonts w:hint="eastAsia"/>
                <w:highlight w:val="none"/>
                <w:shd w:val="clear" w:color="auto" w:fill="FFFFFF"/>
                <w:lang w:bidi="ar"/>
              </w:rPr>
            </w:pPr>
          </w:p>
        </w:tc>
        <w:tc>
          <w:tcPr>
            <w:tcW w:w="6166" w:type="dxa"/>
            <w:noWrap w:val="0"/>
            <w:vAlign w:val="top"/>
          </w:tcPr>
          <w:p>
            <w:pPr>
              <w:spacing w:line="460" w:lineRule="exact"/>
              <w:rPr>
                <w:rFonts w:hint="eastAsia" w:eastAsia="宋体"/>
                <w:highlight w:val="none"/>
                <w:shd w:val="clear" w:color="auto" w:fill="FFFFFF"/>
                <w:lang w:eastAsia="zh-CN" w:bidi="ar"/>
              </w:rPr>
            </w:pPr>
            <w:r>
              <w:rPr>
                <w:rFonts w:hint="eastAsia"/>
                <w:color w:val="auto"/>
                <w:lang w:eastAsia="zh-CN"/>
              </w:rPr>
              <w:t>根据供应商提供的①</w:t>
            </w:r>
            <w:r>
              <w:rPr>
                <w:rFonts w:hint="eastAsia"/>
                <w:color w:val="auto"/>
              </w:rPr>
              <w:t>横道图</w:t>
            </w:r>
            <w:r>
              <w:rPr>
                <w:rFonts w:hint="eastAsia"/>
                <w:color w:val="auto"/>
                <w:lang w:eastAsia="zh-CN"/>
              </w:rPr>
              <w:t>、②</w:t>
            </w:r>
            <w:r>
              <w:rPr>
                <w:rFonts w:hint="eastAsia"/>
                <w:color w:val="auto"/>
              </w:rPr>
              <w:t xml:space="preserve"> 网络图</w:t>
            </w:r>
            <w:r>
              <w:rPr>
                <w:rFonts w:hint="eastAsia"/>
                <w:color w:val="auto"/>
                <w:lang w:eastAsia="zh-CN"/>
              </w:rPr>
              <w:t>、③</w:t>
            </w:r>
            <w:r>
              <w:rPr>
                <w:rFonts w:hint="eastAsia"/>
                <w:color w:val="auto"/>
              </w:rPr>
              <w:t xml:space="preserve"> 施工平面布置(须附有平面布置图和文字明)</w:t>
            </w:r>
            <w:r>
              <w:rPr>
                <w:rFonts w:hint="eastAsia"/>
                <w:color w:val="auto"/>
                <w:lang w:eastAsia="zh-CN"/>
              </w:rPr>
              <w:t>，</w:t>
            </w:r>
            <w:r>
              <w:rPr>
                <w:rFonts w:hint="eastAsia" w:ascii="宋体" w:hAnsi="宋体" w:eastAsia="宋体" w:cs="宋体"/>
                <w:kern w:val="2"/>
                <w:sz w:val="24"/>
                <w:szCs w:val="24"/>
                <w:lang w:val="en-US" w:eastAsia="zh-CN" w:bidi="ar-SA"/>
              </w:rPr>
              <w:t>以上3项内容</w:t>
            </w:r>
            <w:r>
              <w:rPr>
                <w:rFonts w:hint="eastAsia"/>
                <w:highlight w:val="none"/>
                <w:shd w:val="clear" w:color="auto" w:fill="FFFFFF"/>
                <w:lang w:bidi="ar"/>
              </w:rPr>
              <w:t>详细、科学、合理、切实可行，完全满足项目需求的得</w:t>
            </w:r>
            <w:r>
              <w:rPr>
                <w:rFonts w:hint="eastAsia"/>
                <w:highlight w:val="none"/>
                <w:shd w:val="clear" w:color="auto" w:fill="FFFFFF"/>
                <w:lang w:val="en-US" w:eastAsia="zh-CN" w:bidi="ar"/>
              </w:rPr>
              <w:t>6</w:t>
            </w:r>
            <w:r>
              <w:rPr>
                <w:rFonts w:hint="eastAsia"/>
                <w:highlight w:val="none"/>
                <w:shd w:val="clear" w:color="auto" w:fill="FFFFFF"/>
                <w:lang w:bidi="ar"/>
              </w:rPr>
              <w:t>分；</w:t>
            </w:r>
            <w:r>
              <w:rPr>
                <w:rFonts w:hint="eastAsia" w:ascii="宋体" w:hAnsi="宋体" w:eastAsia="宋体" w:cs="宋体"/>
                <w:kern w:val="2"/>
                <w:sz w:val="24"/>
                <w:szCs w:val="24"/>
                <w:lang w:val="en-US" w:eastAsia="zh-CN" w:bidi="ar-SA"/>
              </w:rPr>
              <w:t>每缺失一项扣</w:t>
            </w:r>
            <w:r>
              <w:rPr>
                <w:rFonts w:hint="eastAsia" w:eastAsia="宋体" w:cs="宋体"/>
                <w:kern w:val="2"/>
                <w:sz w:val="24"/>
                <w:szCs w:val="24"/>
                <w:lang w:val="en-US" w:eastAsia="zh-CN" w:bidi="ar-SA"/>
              </w:rPr>
              <w:t>2</w:t>
            </w:r>
            <w:r>
              <w:rPr>
                <w:rFonts w:hint="eastAsia" w:ascii="宋体" w:hAnsi="宋体" w:eastAsia="宋体" w:cs="宋体"/>
                <w:kern w:val="2"/>
                <w:sz w:val="24"/>
                <w:szCs w:val="24"/>
                <w:lang w:val="en-US" w:eastAsia="zh-CN" w:bidi="ar-SA"/>
              </w:rPr>
              <w:t>分，每项中每有一处</w:t>
            </w:r>
            <w:r>
              <w:rPr>
                <w:rFonts w:hint="eastAsia"/>
                <w:highlight w:val="none"/>
                <w:shd w:val="clear" w:color="auto" w:fill="FFFFFF"/>
                <w:lang w:bidi="ar"/>
              </w:rPr>
              <w:t>内容不合理</w:t>
            </w:r>
            <w:r>
              <w:rPr>
                <w:rFonts w:hint="eastAsia"/>
                <w:highlight w:val="none"/>
                <w:shd w:val="clear" w:color="auto" w:fill="FFFFFF"/>
                <w:lang w:val="en-US" w:eastAsia="zh-CN" w:bidi="ar"/>
              </w:rPr>
              <w:t>或</w:t>
            </w:r>
            <w:r>
              <w:rPr>
                <w:rFonts w:hint="eastAsia"/>
                <w:highlight w:val="none"/>
                <w:shd w:val="clear" w:color="auto" w:fill="FFFFFF"/>
                <w:lang w:bidi="ar"/>
              </w:rPr>
              <w:t>不能满足项目需求</w:t>
            </w:r>
            <w:r>
              <w:rPr>
                <w:rFonts w:hint="eastAsia" w:ascii="宋体" w:hAnsi="宋体" w:eastAsia="宋体" w:cs="宋体"/>
                <w:kern w:val="2"/>
                <w:sz w:val="24"/>
                <w:szCs w:val="24"/>
                <w:lang w:val="en-US" w:eastAsia="zh-CN" w:bidi="ar-SA"/>
              </w:rPr>
              <w:t>的扣</w:t>
            </w:r>
            <w:r>
              <w:rPr>
                <w:rFonts w:hint="eastAsia" w:eastAsia="宋体" w:cs="宋体"/>
                <w:kern w:val="2"/>
                <w:sz w:val="24"/>
                <w:szCs w:val="24"/>
                <w:lang w:val="en-US" w:eastAsia="zh-CN" w:bidi="ar-SA"/>
              </w:rPr>
              <w:t>1</w:t>
            </w:r>
            <w:r>
              <w:rPr>
                <w:rFonts w:hint="eastAsia" w:ascii="宋体" w:hAnsi="宋体" w:eastAsia="宋体" w:cs="宋体"/>
                <w:kern w:val="2"/>
                <w:sz w:val="24"/>
                <w:szCs w:val="24"/>
                <w:lang w:val="en-US" w:eastAsia="zh-CN" w:bidi="ar-SA"/>
              </w:rPr>
              <w:t>分</w:t>
            </w:r>
            <w:r>
              <w:rPr>
                <w:rFonts w:hint="eastAsia" w:eastAsia="宋体" w:cs="宋体"/>
                <w:kern w:val="2"/>
                <w:sz w:val="24"/>
                <w:szCs w:val="24"/>
                <w:lang w:val="en-US" w:eastAsia="zh-CN" w:bidi="ar-SA"/>
              </w:rPr>
              <w:t>，</w:t>
            </w:r>
            <w:r>
              <w:rPr>
                <w:rFonts w:hint="eastAsia" w:ascii="宋体" w:hAnsi="宋体" w:eastAsia="宋体" w:cs="宋体"/>
                <w:kern w:val="2"/>
                <w:sz w:val="24"/>
                <w:szCs w:val="24"/>
                <w:lang w:val="en-US" w:eastAsia="zh-CN" w:bidi="ar-SA"/>
              </w:rPr>
              <w:t>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51" w:hRule="atLeast"/>
          <w:jc w:val="center"/>
        </w:trPr>
        <w:tc>
          <w:tcPr>
            <w:tcW w:w="719" w:type="dxa"/>
            <w:vMerge w:val="continue"/>
            <w:noWrap w:val="0"/>
            <w:vAlign w:val="center"/>
          </w:tcPr>
          <w:p>
            <w:pPr>
              <w:autoSpaceDE w:val="0"/>
              <w:autoSpaceDN w:val="0"/>
              <w:spacing w:line="400" w:lineRule="exact"/>
              <w:jc w:val="center"/>
              <w:rPr>
                <w:rFonts w:hint="eastAsia"/>
                <w:highlight w:val="none"/>
              </w:rPr>
            </w:pPr>
          </w:p>
        </w:tc>
        <w:tc>
          <w:tcPr>
            <w:tcW w:w="1717" w:type="dxa"/>
            <w:vMerge w:val="continue"/>
            <w:noWrap w:val="0"/>
            <w:vAlign w:val="center"/>
          </w:tcPr>
          <w:p>
            <w:pPr>
              <w:autoSpaceDE w:val="0"/>
              <w:autoSpaceDN w:val="0"/>
              <w:spacing w:line="400" w:lineRule="exact"/>
              <w:jc w:val="center"/>
              <w:rPr>
                <w:rFonts w:hint="eastAsia"/>
                <w:highlight w:val="none"/>
              </w:rPr>
            </w:pPr>
          </w:p>
        </w:tc>
        <w:tc>
          <w:tcPr>
            <w:tcW w:w="1603" w:type="dxa"/>
            <w:noWrap w:val="0"/>
            <w:vAlign w:val="center"/>
          </w:tcPr>
          <w:p>
            <w:pPr>
              <w:autoSpaceDE w:val="0"/>
              <w:autoSpaceDN w:val="0"/>
              <w:spacing w:line="240" w:lineRule="atLeast"/>
              <w:jc w:val="center"/>
              <w:rPr>
                <w:rFonts w:hint="eastAsia"/>
                <w:highlight w:val="none"/>
              </w:rPr>
            </w:pPr>
            <w:r>
              <w:rPr>
                <w:rFonts w:hint="eastAsia"/>
                <w:color w:val="auto"/>
              </w:rPr>
              <w:t>可行性（</w:t>
            </w:r>
            <w:r>
              <w:rPr>
                <w:rFonts w:hint="eastAsia"/>
                <w:color w:val="auto"/>
                <w:lang w:val="en-US" w:eastAsia="zh-CN"/>
              </w:rPr>
              <w:t>15</w:t>
            </w:r>
            <w:r>
              <w:rPr>
                <w:rFonts w:hint="eastAsia"/>
                <w:color w:val="auto"/>
              </w:rPr>
              <w:t xml:space="preserve"> 分）</w:t>
            </w:r>
          </w:p>
        </w:tc>
        <w:tc>
          <w:tcPr>
            <w:tcW w:w="6166" w:type="dxa"/>
            <w:noWrap w:val="0"/>
            <w:vAlign w:val="top"/>
          </w:tcPr>
          <w:p>
            <w:pPr>
              <w:spacing w:line="460" w:lineRule="exact"/>
              <w:rPr>
                <w:rFonts w:hint="eastAsia" w:ascii="宋体" w:hAnsi="宋体" w:cs="宋体"/>
                <w:color w:val="auto"/>
                <w:lang w:eastAsia="zh-CN"/>
              </w:rPr>
            </w:pPr>
            <w:r>
              <w:rPr>
                <w:rFonts w:hint="eastAsia" w:ascii="宋体" w:hAnsi="宋体" w:cs="宋体"/>
                <w:color w:val="auto"/>
                <w:lang w:eastAsia="zh-CN"/>
              </w:rPr>
              <w:t>根据供应商提供的施工组织设计可行性，包括但不限于①分部分项施工的方法、②进度计划、③分部分项工艺及设备等，</w:t>
            </w:r>
            <w:r>
              <w:rPr>
                <w:rFonts w:hint="eastAsia" w:ascii="宋体" w:hAnsi="宋体" w:cs="宋体"/>
                <w:color w:val="auto"/>
                <w:lang w:val="en-US" w:eastAsia="zh-CN"/>
              </w:rPr>
              <w:t>以上3项内容</w:t>
            </w:r>
            <w:r>
              <w:rPr>
                <w:rFonts w:hint="eastAsia" w:ascii="宋体" w:hAnsi="宋体" w:cs="宋体"/>
                <w:color w:val="auto"/>
                <w:lang w:eastAsia="zh-CN"/>
              </w:rPr>
              <w:t>详细、科学、合理、切实可行，完全满足项目需求的得</w:t>
            </w:r>
            <w:r>
              <w:rPr>
                <w:rFonts w:hint="eastAsia" w:ascii="宋体" w:hAnsi="宋体" w:cs="宋体"/>
                <w:color w:val="auto"/>
                <w:lang w:val="en-US" w:eastAsia="zh-CN"/>
              </w:rPr>
              <w:t>15</w:t>
            </w:r>
            <w:r>
              <w:rPr>
                <w:rFonts w:hint="eastAsia" w:ascii="宋体" w:hAnsi="宋体" w:cs="宋体"/>
                <w:color w:val="auto"/>
                <w:lang w:eastAsia="zh-CN"/>
              </w:rPr>
              <w:t>分；</w:t>
            </w:r>
            <w:r>
              <w:rPr>
                <w:rFonts w:hint="eastAsia" w:ascii="宋体" w:hAnsi="宋体" w:cs="宋体"/>
                <w:color w:val="auto"/>
                <w:lang w:val="en-US" w:eastAsia="zh-CN"/>
              </w:rPr>
              <w:t>每缺失一项扣5分，每项中每有一处</w:t>
            </w:r>
            <w:r>
              <w:rPr>
                <w:rFonts w:hint="eastAsia" w:ascii="宋体" w:hAnsi="宋体" w:cs="宋体"/>
                <w:color w:val="auto"/>
                <w:lang w:eastAsia="zh-CN"/>
              </w:rPr>
              <w:t>内容不合理</w:t>
            </w:r>
            <w:r>
              <w:rPr>
                <w:rFonts w:hint="eastAsia" w:cs="宋体"/>
                <w:color w:val="auto"/>
                <w:lang w:val="en-US" w:eastAsia="zh-CN"/>
              </w:rPr>
              <w:t>或</w:t>
            </w:r>
            <w:r>
              <w:rPr>
                <w:rFonts w:hint="eastAsia" w:ascii="宋体" w:hAnsi="宋体" w:cs="宋体"/>
                <w:color w:val="auto"/>
                <w:lang w:eastAsia="zh-CN"/>
              </w:rPr>
              <w:t>不能满足项目需求</w:t>
            </w:r>
            <w:r>
              <w:rPr>
                <w:rFonts w:hint="eastAsia" w:ascii="宋体" w:hAnsi="宋体" w:cs="宋体"/>
                <w:color w:val="auto"/>
                <w:lang w:val="en-US" w:eastAsia="zh-CN"/>
              </w:rPr>
              <w:t>的扣2.5分，扣完为止。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19" w:type="dxa"/>
            <w:vMerge w:val="continue"/>
            <w:noWrap w:val="0"/>
            <w:vAlign w:val="center"/>
          </w:tcPr>
          <w:p>
            <w:pPr>
              <w:autoSpaceDE w:val="0"/>
              <w:autoSpaceDN w:val="0"/>
              <w:spacing w:line="400" w:lineRule="exact"/>
              <w:jc w:val="center"/>
              <w:rPr>
                <w:rFonts w:hint="eastAsia"/>
                <w:highlight w:val="none"/>
              </w:rPr>
            </w:pPr>
          </w:p>
        </w:tc>
        <w:tc>
          <w:tcPr>
            <w:tcW w:w="1717" w:type="dxa"/>
            <w:vMerge w:val="continue"/>
            <w:noWrap w:val="0"/>
            <w:vAlign w:val="center"/>
          </w:tcPr>
          <w:p>
            <w:pPr>
              <w:autoSpaceDE w:val="0"/>
              <w:autoSpaceDN w:val="0"/>
              <w:spacing w:line="400" w:lineRule="exact"/>
              <w:jc w:val="center"/>
              <w:rPr>
                <w:rFonts w:hint="eastAsia"/>
                <w:highlight w:val="none"/>
              </w:rPr>
            </w:pPr>
          </w:p>
        </w:tc>
        <w:tc>
          <w:tcPr>
            <w:tcW w:w="1603" w:type="dxa"/>
            <w:noWrap w:val="0"/>
            <w:vAlign w:val="center"/>
          </w:tcPr>
          <w:p>
            <w:pPr>
              <w:autoSpaceDE w:val="0"/>
              <w:autoSpaceDN w:val="0"/>
              <w:spacing w:line="240" w:lineRule="atLeast"/>
              <w:jc w:val="center"/>
              <w:rPr>
                <w:rFonts w:hint="eastAsia"/>
                <w:highlight w:val="none"/>
              </w:rPr>
            </w:pPr>
            <w:r>
              <w:rPr>
                <w:rFonts w:hint="eastAsia"/>
                <w:color w:val="auto"/>
              </w:rPr>
              <w:t>针对性（</w:t>
            </w:r>
            <w:r>
              <w:rPr>
                <w:rFonts w:hint="eastAsia"/>
                <w:color w:val="auto"/>
                <w:lang w:val="en-US" w:eastAsia="zh-CN"/>
              </w:rPr>
              <w:t>15</w:t>
            </w:r>
            <w:r>
              <w:rPr>
                <w:rFonts w:hint="eastAsia"/>
                <w:color w:val="auto"/>
              </w:rPr>
              <w:t>分）</w:t>
            </w:r>
          </w:p>
        </w:tc>
        <w:tc>
          <w:tcPr>
            <w:tcW w:w="6166" w:type="dxa"/>
            <w:noWrap w:val="0"/>
            <w:vAlign w:val="top"/>
          </w:tcPr>
          <w:p>
            <w:pPr>
              <w:spacing w:line="460" w:lineRule="exact"/>
              <w:rPr>
                <w:rFonts w:hint="eastAsia" w:ascii="宋体" w:hAnsi="宋体" w:cs="宋体"/>
                <w:color w:val="auto"/>
                <w:lang w:eastAsia="zh-CN"/>
              </w:rPr>
            </w:pPr>
            <w:r>
              <w:rPr>
                <w:rFonts w:hint="eastAsia" w:ascii="宋体" w:hAnsi="宋体" w:cs="宋体"/>
                <w:color w:val="auto"/>
                <w:lang w:eastAsia="zh-CN"/>
              </w:rPr>
              <w:t>根据供应商提供的施工组织设计针对性，包括但不限于①工程质量保证体系、②主要工序控制措施、③工期控制措施等，</w:t>
            </w:r>
            <w:r>
              <w:rPr>
                <w:rFonts w:hint="eastAsia" w:ascii="宋体" w:hAnsi="宋体" w:cs="宋体"/>
                <w:color w:val="auto"/>
                <w:lang w:val="en-US" w:eastAsia="zh-CN"/>
              </w:rPr>
              <w:t>以上3项内容</w:t>
            </w:r>
            <w:r>
              <w:rPr>
                <w:rFonts w:hint="eastAsia" w:ascii="宋体" w:hAnsi="宋体" w:cs="宋体"/>
                <w:color w:val="auto"/>
                <w:lang w:eastAsia="zh-CN"/>
              </w:rPr>
              <w:t>详细、科学、合理、切实可行，完全满足项目需求的得</w:t>
            </w:r>
            <w:r>
              <w:rPr>
                <w:rFonts w:hint="eastAsia" w:ascii="宋体" w:hAnsi="宋体" w:cs="宋体"/>
                <w:color w:val="auto"/>
                <w:lang w:val="en-US" w:eastAsia="zh-CN"/>
              </w:rPr>
              <w:t>15</w:t>
            </w:r>
            <w:r>
              <w:rPr>
                <w:rFonts w:hint="eastAsia" w:ascii="宋体" w:hAnsi="宋体" w:cs="宋体"/>
                <w:color w:val="auto"/>
                <w:lang w:eastAsia="zh-CN"/>
              </w:rPr>
              <w:t>分；</w:t>
            </w:r>
            <w:r>
              <w:rPr>
                <w:rFonts w:hint="eastAsia" w:ascii="宋体" w:hAnsi="宋体" w:cs="宋体"/>
                <w:color w:val="auto"/>
                <w:lang w:val="en-US" w:eastAsia="zh-CN"/>
              </w:rPr>
              <w:t>每缺失一项扣5分，每项中每有一处</w:t>
            </w:r>
            <w:r>
              <w:rPr>
                <w:rFonts w:hint="eastAsia" w:ascii="宋体" w:hAnsi="宋体" w:cs="宋体"/>
                <w:color w:val="auto"/>
                <w:lang w:eastAsia="zh-CN"/>
              </w:rPr>
              <w:t>内容不合理</w:t>
            </w:r>
            <w:r>
              <w:rPr>
                <w:rFonts w:hint="eastAsia" w:cs="宋体"/>
                <w:color w:val="auto"/>
                <w:lang w:val="en-US" w:eastAsia="zh-CN"/>
              </w:rPr>
              <w:t>或</w:t>
            </w:r>
            <w:r>
              <w:rPr>
                <w:rFonts w:hint="eastAsia" w:ascii="宋体" w:hAnsi="宋体" w:cs="宋体"/>
                <w:color w:val="auto"/>
                <w:lang w:eastAsia="zh-CN"/>
              </w:rPr>
              <w:t>不能满足项目需求</w:t>
            </w:r>
            <w:r>
              <w:rPr>
                <w:rFonts w:hint="eastAsia" w:ascii="宋体" w:hAnsi="宋体" w:cs="宋体"/>
                <w:color w:val="auto"/>
                <w:lang w:val="en-US" w:eastAsia="zh-CN"/>
              </w:rPr>
              <w:t>的扣2.5分，扣完为止。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37" w:hRule="atLeast"/>
          <w:jc w:val="center"/>
        </w:trPr>
        <w:tc>
          <w:tcPr>
            <w:tcW w:w="719" w:type="dxa"/>
            <w:vMerge w:val="restart"/>
            <w:noWrap w:val="0"/>
            <w:vAlign w:val="center"/>
          </w:tcPr>
          <w:p>
            <w:pPr>
              <w:autoSpaceDE w:val="0"/>
              <w:autoSpaceDN w:val="0"/>
              <w:spacing w:line="400" w:lineRule="exact"/>
              <w:jc w:val="center"/>
              <w:rPr>
                <w:rFonts w:hint="eastAsia"/>
                <w:highlight w:val="none"/>
              </w:rPr>
            </w:pPr>
            <w:r>
              <w:rPr>
                <w:rFonts w:hint="eastAsia"/>
                <w:highlight w:val="none"/>
              </w:rPr>
              <w:t>2</w:t>
            </w:r>
          </w:p>
        </w:tc>
        <w:tc>
          <w:tcPr>
            <w:tcW w:w="1717" w:type="dxa"/>
            <w:vMerge w:val="restart"/>
            <w:noWrap w:val="0"/>
            <w:vAlign w:val="center"/>
          </w:tcPr>
          <w:p>
            <w:pPr>
              <w:autoSpaceDE w:val="0"/>
              <w:autoSpaceDN w:val="0"/>
              <w:spacing w:line="400" w:lineRule="exact"/>
              <w:jc w:val="center"/>
              <w:rPr>
                <w:rFonts w:hint="eastAsia"/>
                <w:highlight w:val="none"/>
              </w:rPr>
            </w:pPr>
            <w:r>
              <w:rPr>
                <w:rFonts w:hint="eastAsia"/>
                <w:highlight w:val="none"/>
              </w:rPr>
              <w:t>项目管理机构</w:t>
            </w:r>
          </w:p>
          <w:p>
            <w:pPr>
              <w:autoSpaceDE w:val="0"/>
              <w:autoSpaceDN w:val="0"/>
              <w:spacing w:line="400" w:lineRule="exact"/>
              <w:jc w:val="center"/>
              <w:rPr>
                <w:rFonts w:hint="eastAsia"/>
                <w:highlight w:val="none"/>
              </w:rPr>
            </w:pPr>
            <w:r>
              <w:rPr>
                <w:rFonts w:hint="eastAsia"/>
                <w:highlight w:val="none"/>
              </w:rPr>
              <w:t>（</w:t>
            </w:r>
            <w:r>
              <w:rPr>
                <w:rFonts w:hint="eastAsia"/>
                <w:highlight w:val="none"/>
                <w:lang w:val="en-US" w:eastAsia="zh-CN"/>
              </w:rPr>
              <w:t>10</w:t>
            </w:r>
            <w:r>
              <w:rPr>
                <w:rFonts w:hint="eastAsia"/>
                <w:highlight w:val="none"/>
              </w:rPr>
              <w:t>分）</w:t>
            </w:r>
          </w:p>
        </w:tc>
        <w:tc>
          <w:tcPr>
            <w:tcW w:w="1603" w:type="dxa"/>
            <w:noWrap w:val="0"/>
            <w:vAlign w:val="center"/>
          </w:tcPr>
          <w:p>
            <w:pPr>
              <w:autoSpaceDE w:val="0"/>
              <w:autoSpaceDN w:val="0"/>
              <w:spacing w:line="400" w:lineRule="exact"/>
              <w:jc w:val="center"/>
              <w:rPr>
                <w:rFonts w:hint="eastAsia"/>
                <w:highlight w:val="none"/>
              </w:rPr>
            </w:pPr>
            <w:r>
              <w:rPr>
                <w:rFonts w:hint="eastAsia"/>
                <w:highlight w:val="none"/>
              </w:rPr>
              <w:t>项目经理业绩（</w:t>
            </w:r>
            <w:r>
              <w:rPr>
                <w:rFonts w:hint="eastAsia"/>
                <w:highlight w:val="none"/>
                <w:lang w:val="en-US" w:eastAsia="zh-CN"/>
              </w:rPr>
              <w:t>6</w:t>
            </w:r>
            <w:r>
              <w:rPr>
                <w:rFonts w:hint="eastAsia"/>
                <w:highlight w:val="none"/>
              </w:rPr>
              <w:t>分）</w:t>
            </w:r>
          </w:p>
        </w:tc>
        <w:tc>
          <w:tcPr>
            <w:tcW w:w="6166" w:type="dxa"/>
            <w:noWrap w:val="0"/>
            <w:vAlign w:val="center"/>
          </w:tcPr>
          <w:p>
            <w:pPr>
              <w:spacing w:line="400" w:lineRule="exact"/>
              <w:rPr>
                <w:rFonts w:hint="eastAsia"/>
                <w:highlight w:val="none"/>
              </w:rPr>
            </w:pPr>
            <w:r>
              <w:rPr>
                <w:rFonts w:hint="eastAsia"/>
                <w:color w:val="auto"/>
                <w:highlight w:val="none"/>
                <w:lang w:val="en-US" w:eastAsia="zh-CN"/>
              </w:rPr>
              <w:t>2020年3月1日至今，</w:t>
            </w:r>
            <w:r>
              <w:rPr>
                <w:rFonts w:hint="eastAsia"/>
                <w:color w:val="auto"/>
                <w:highlight w:val="none"/>
              </w:rPr>
              <w:t>承担过类似工程的1个得</w:t>
            </w:r>
            <w:r>
              <w:rPr>
                <w:rFonts w:hint="eastAsia"/>
                <w:color w:val="auto"/>
                <w:highlight w:val="none"/>
                <w:lang w:val="en-US" w:eastAsia="zh-CN"/>
              </w:rPr>
              <w:t>2</w:t>
            </w:r>
            <w:r>
              <w:rPr>
                <w:rFonts w:hint="eastAsia"/>
                <w:color w:val="auto"/>
                <w:highlight w:val="none"/>
              </w:rPr>
              <w:t>分，满分</w:t>
            </w:r>
            <w:r>
              <w:rPr>
                <w:rFonts w:hint="eastAsia"/>
                <w:color w:val="auto"/>
                <w:highlight w:val="none"/>
                <w:lang w:val="en-US" w:eastAsia="zh-CN"/>
              </w:rPr>
              <w:t>6</w:t>
            </w:r>
            <w:r>
              <w:rPr>
                <w:rFonts w:hint="eastAsia"/>
                <w:color w:val="auto"/>
                <w:highlight w:val="none"/>
              </w:rPr>
              <w:t>分，未提供不得分。业绩以中标通知书或合同复印件为准。</w:t>
            </w:r>
            <w:r>
              <w:rPr>
                <w:rFonts w:hint="eastAsia"/>
                <w:b/>
                <w:bCs/>
                <w:highlight w:val="none"/>
              </w:rPr>
              <w:t>（以上证明材料须体现项目经理姓名，否则不得分）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19" w:type="dxa"/>
            <w:vMerge w:val="continue"/>
            <w:noWrap w:val="0"/>
            <w:vAlign w:val="center"/>
          </w:tcPr>
          <w:p>
            <w:pPr>
              <w:autoSpaceDE w:val="0"/>
              <w:autoSpaceDN w:val="0"/>
              <w:spacing w:line="400" w:lineRule="exact"/>
              <w:jc w:val="center"/>
              <w:rPr>
                <w:rFonts w:hint="eastAsia"/>
                <w:highlight w:val="none"/>
              </w:rPr>
            </w:pPr>
          </w:p>
        </w:tc>
        <w:tc>
          <w:tcPr>
            <w:tcW w:w="1717" w:type="dxa"/>
            <w:vMerge w:val="continue"/>
            <w:noWrap w:val="0"/>
            <w:vAlign w:val="center"/>
          </w:tcPr>
          <w:p>
            <w:pPr>
              <w:autoSpaceDE w:val="0"/>
              <w:autoSpaceDN w:val="0"/>
              <w:spacing w:line="400" w:lineRule="exact"/>
              <w:jc w:val="center"/>
              <w:rPr>
                <w:rFonts w:hint="eastAsia"/>
                <w:highlight w:val="none"/>
              </w:rPr>
            </w:pPr>
          </w:p>
        </w:tc>
        <w:tc>
          <w:tcPr>
            <w:tcW w:w="1603" w:type="dxa"/>
            <w:noWrap w:val="0"/>
            <w:vAlign w:val="center"/>
          </w:tcPr>
          <w:p>
            <w:pPr>
              <w:autoSpaceDE w:val="0"/>
              <w:autoSpaceDN w:val="0"/>
              <w:spacing w:line="400" w:lineRule="exact"/>
              <w:jc w:val="center"/>
              <w:rPr>
                <w:rFonts w:hint="eastAsia"/>
                <w:highlight w:val="none"/>
              </w:rPr>
            </w:pPr>
            <w:r>
              <w:rPr>
                <w:rFonts w:hint="eastAsia"/>
                <w:highlight w:val="none"/>
              </w:rPr>
              <w:t>项目班子的</w:t>
            </w:r>
          </w:p>
          <w:p>
            <w:pPr>
              <w:autoSpaceDE w:val="0"/>
              <w:autoSpaceDN w:val="0"/>
              <w:spacing w:line="400" w:lineRule="exact"/>
              <w:jc w:val="center"/>
              <w:rPr>
                <w:rFonts w:hint="eastAsia"/>
                <w:highlight w:val="none"/>
              </w:rPr>
            </w:pPr>
            <w:r>
              <w:rPr>
                <w:rFonts w:hint="eastAsia"/>
                <w:highlight w:val="none"/>
              </w:rPr>
              <w:t>组成（</w:t>
            </w:r>
            <w:r>
              <w:rPr>
                <w:rFonts w:hint="eastAsia"/>
                <w:highlight w:val="none"/>
                <w:lang w:val="en-US" w:eastAsia="zh-CN"/>
              </w:rPr>
              <w:t>4</w:t>
            </w:r>
            <w:r>
              <w:rPr>
                <w:rFonts w:hint="eastAsia"/>
                <w:highlight w:val="none"/>
              </w:rPr>
              <w:t>分）</w:t>
            </w:r>
          </w:p>
        </w:tc>
        <w:tc>
          <w:tcPr>
            <w:tcW w:w="6166" w:type="dxa"/>
            <w:noWrap w:val="0"/>
            <w:vAlign w:val="top"/>
          </w:tcPr>
          <w:p>
            <w:pPr>
              <w:autoSpaceDE w:val="0"/>
              <w:autoSpaceDN w:val="0"/>
              <w:spacing w:line="400" w:lineRule="exact"/>
              <w:rPr>
                <w:rFonts w:hint="eastAsia"/>
                <w:highlight w:val="none"/>
              </w:rPr>
            </w:pPr>
            <w:r>
              <w:rPr>
                <w:rFonts w:hint="eastAsia"/>
                <w:color w:val="auto"/>
              </w:rPr>
              <w:t>安全员、质量员、施工员</w:t>
            </w:r>
            <w:r>
              <w:rPr>
                <w:rFonts w:hint="eastAsia"/>
                <w:color w:val="auto"/>
                <w:lang w:eastAsia="zh-CN"/>
              </w:rPr>
              <w:t>、</w:t>
            </w:r>
            <w:r>
              <w:rPr>
                <w:rFonts w:hint="eastAsia"/>
                <w:color w:val="auto"/>
                <w:lang w:val="en-US" w:eastAsia="zh-CN"/>
              </w:rPr>
              <w:t>资料员</w:t>
            </w:r>
            <w:r>
              <w:rPr>
                <w:rFonts w:hint="eastAsia"/>
                <w:color w:val="auto"/>
              </w:rPr>
              <w:t xml:space="preserve">，各岗位证书齐全的每个得 </w:t>
            </w:r>
            <w:r>
              <w:rPr>
                <w:rFonts w:hint="eastAsia"/>
                <w:color w:val="auto"/>
                <w:lang w:val="en-US" w:eastAsia="zh-CN"/>
              </w:rPr>
              <w:t>1</w:t>
            </w:r>
            <w:r>
              <w:rPr>
                <w:rFonts w:hint="eastAsia"/>
                <w:color w:val="auto"/>
              </w:rPr>
              <w:t xml:space="preserve"> 分，满分</w:t>
            </w:r>
            <w:r>
              <w:rPr>
                <w:rFonts w:hint="eastAsia"/>
                <w:color w:val="auto"/>
                <w:lang w:val="en-US" w:eastAsia="zh-CN"/>
              </w:rPr>
              <w:t>4</w:t>
            </w:r>
            <w:r>
              <w:rPr>
                <w:rFonts w:hint="eastAsia"/>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80" w:hRule="atLeast"/>
          <w:jc w:val="center"/>
        </w:trPr>
        <w:tc>
          <w:tcPr>
            <w:tcW w:w="719" w:type="dxa"/>
            <w:noWrap w:val="0"/>
            <w:vAlign w:val="center"/>
          </w:tcPr>
          <w:p>
            <w:pPr>
              <w:autoSpaceDE w:val="0"/>
              <w:autoSpaceDN w:val="0"/>
              <w:spacing w:line="400" w:lineRule="exact"/>
              <w:jc w:val="center"/>
              <w:rPr>
                <w:rFonts w:hint="eastAsia"/>
                <w:highlight w:val="none"/>
              </w:rPr>
            </w:pPr>
            <w:r>
              <w:rPr>
                <w:rFonts w:hint="eastAsia"/>
                <w:highlight w:val="none"/>
              </w:rPr>
              <w:t>3</w:t>
            </w:r>
          </w:p>
        </w:tc>
        <w:tc>
          <w:tcPr>
            <w:tcW w:w="1717" w:type="dxa"/>
            <w:noWrap w:val="0"/>
            <w:vAlign w:val="center"/>
          </w:tcPr>
          <w:p>
            <w:pPr>
              <w:autoSpaceDE w:val="0"/>
              <w:autoSpaceDN w:val="0"/>
              <w:spacing w:line="400" w:lineRule="exact"/>
              <w:jc w:val="center"/>
              <w:rPr>
                <w:rFonts w:hint="eastAsia"/>
                <w:highlight w:val="none"/>
              </w:rPr>
            </w:pPr>
            <w:r>
              <w:rPr>
                <w:rFonts w:hint="eastAsia"/>
                <w:highlight w:val="none"/>
              </w:rPr>
              <w:t>企业业绩（</w:t>
            </w:r>
            <w:r>
              <w:rPr>
                <w:rFonts w:hint="eastAsia"/>
                <w:highlight w:val="none"/>
                <w:lang w:val="en-US" w:eastAsia="zh-CN"/>
              </w:rPr>
              <w:t>12</w:t>
            </w:r>
            <w:r>
              <w:rPr>
                <w:rFonts w:hint="eastAsia"/>
                <w:highlight w:val="none"/>
              </w:rPr>
              <w:t>分）</w:t>
            </w:r>
          </w:p>
        </w:tc>
        <w:tc>
          <w:tcPr>
            <w:tcW w:w="7769" w:type="dxa"/>
            <w:gridSpan w:val="2"/>
            <w:noWrap w:val="0"/>
            <w:vAlign w:val="center"/>
          </w:tcPr>
          <w:p>
            <w:pPr>
              <w:autoSpaceDE w:val="0"/>
              <w:autoSpaceDN w:val="0"/>
              <w:spacing w:line="400" w:lineRule="exact"/>
              <w:rPr>
                <w:rFonts w:hint="eastAsia"/>
                <w:highlight w:val="none"/>
              </w:rPr>
            </w:pPr>
            <w:r>
              <w:rPr>
                <w:rFonts w:hint="eastAsia"/>
                <w:highlight w:val="none"/>
              </w:rPr>
              <w:t>近三年承建的类似工程每承建一个得2分，以项目的中标（成交）通知书或生效的合同复印件为准,最高</w:t>
            </w:r>
            <w:r>
              <w:rPr>
                <w:rFonts w:hint="eastAsia"/>
                <w:highlight w:val="none"/>
                <w:lang w:val="en-US" w:eastAsia="zh-CN"/>
              </w:rPr>
              <w:t>12</w:t>
            </w:r>
            <w:r>
              <w:rPr>
                <w:rFonts w:hint="eastAsia"/>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19" w:type="dxa"/>
            <w:noWrap w:val="0"/>
            <w:vAlign w:val="center"/>
          </w:tcPr>
          <w:p>
            <w:pPr>
              <w:autoSpaceDE w:val="0"/>
              <w:autoSpaceDN w:val="0"/>
              <w:spacing w:line="400" w:lineRule="exact"/>
              <w:jc w:val="center"/>
              <w:rPr>
                <w:rFonts w:hint="eastAsia"/>
                <w:highlight w:val="none"/>
              </w:rPr>
            </w:pPr>
            <w:r>
              <w:rPr>
                <w:rFonts w:hint="eastAsia"/>
                <w:highlight w:val="none"/>
              </w:rPr>
              <w:t>4</w:t>
            </w:r>
          </w:p>
        </w:tc>
        <w:tc>
          <w:tcPr>
            <w:tcW w:w="1717" w:type="dxa"/>
            <w:noWrap w:val="0"/>
            <w:vAlign w:val="center"/>
          </w:tcPr>
          <w:p>
            <w:pPr>
              <w:autoSpaceDE w:val="0"/>
              <w:autoSpaceDN w:val="0"/>
              <w:spacing w:line="400" w:lineRule="exact"/>
              <w:jc w:val="center"/>
              <w:rPr>
                <w:rFonts w:hint="eastAsia"/>
                <w:highlight w:val="none"/>
              </w:rPr>
            </w:pPr>
            <w:r>
              <w:rPr>
                <w:rFonts w:hint="eastAsia"/>
                <w:highlight w:val="none"/>
              </w:rPr>
              <w:t>磋商报价</w:t>
            </w:r>
          </w:p>
          <w:p>
            <w:pPr>
              <w:autoSpaceDE w:val="0"/>
              <w:autoSpaceDN w:val="0"/>
              <w:spacing w:line="400" w:lineRule="exact"/>
              <w:jc w:val="center"/>
              <w:rPr>
                <w:rFonts w:hint="eastAsia"/>
                <w:highlight w:val="none"/>
              </w:rPr>
            </w:pPr>
            <w:r>
              <w:rPr>
                <w:rFonts w:hint="eastAsia"/>
                <w:highlight w:val="none"/>
              </w:rPr>
              <w:t>（</w:t>
            </w:r>
            <w:r>
              <w:rPr>
                <w:rFonts w:hint="eastAsia"/>
                <w:highlight w:val="none"/>
                <w:lang w:val="en-US" w:eastAsia="zh-CN"/>
              </w:rPr>
              <w:t>3</w:t>
            </w:r>
            <w:r>
              <w:rPr>
                <w:rFonts w:hint="eastAsia"/>
                <w:highlight w:val="none"/>
              </w:rPr>
              <w:t>0分）</w:t>
            </w:r>
          </w:p>
        </w:tc>
        <w:tc>
          <w:tcPr>
            <w:tcW w:w="1603" w:type="dxa"/>
            <w:noWrap w:val="0"/>
            <w:vAlign w:val="center"/>
          </w:tcPr>
          <w:p>
            <w:pPr>
              <w:autoSpaceDE w:val="0"/>
              <w:autoSpaceDN w:val="0"/>
              <w:spacing w:line="400" w:lineRule="exact"/>
              <w:jc w:val="center"/>
              <w:rPr>
                <w:rFonts w:hint="eastAsia"/>
                <w:highlight w:val="none"/>
              </w:rPr>
            </w:pPr>
            <w:r>
              <w:rPr>
                <w:rFonts w:hint="eastAsia"/>
                <w:highlight w:val="none"/>
              </w:rPr>
              <w:t>报价分（</w:t>
            </w:r>
            <w:r>
              <w:rPr>
                <w:rFonts w:hint="eastAsia"/>
                <w:highlight w:val="none"/>
                <w:lang w:val="en-US" w:eastAsia="zh-CN"/>
              </w:rPr>
              <w:t>3</w:t>
            </w:r>
            <w:r>
              <w:rPr>
                <w:rFonts w:hint="eastAsia"/>
                <w:highlight w:val="none"/>
              </w:rPr>
              <w:t>0分）</w:t>
            </w:r>
          </w:p>
        </w:tc>
        <w:tc>
          <w:tcPr>
            <w:tcW w:w="6166" w:type="dxa"/>
            <w:noWrap w:val="0"/>
            <w:vAlign w:val="top"/>
          </w:tcPr>
          <w:p>
            <w:pPr>
              <w:tabs>
                <w:tab w:val="left" w:pos="105"/>
                <w:tab w:val="left" w:pos="945"/>
                <w:tab w:val="left" w:pos="3360"/>
              </w:tabs>
              <w:adjustRightInd w:val="0"/>
              <w:snapToGrid w:val="0"/>
              <w:spacing w:line="360" w:lineRule="auto"/>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在所有的有效投标报价中，以最低投标报价为基准价，其价格分为满分。其他投标人的报价分统一按下列公式计算：投标报价得 分=(评标基准价／投标报价)×价格权值 (30%) × 100  (四舍五 入后保留小数点后两位) 。</w:t>
            </w:r>
          </w:p>
          <w:p>
            <w:pPr>
              <w:tabs>
                <w:tab w:val="left" w:pos="105"/>
                <w:tab w:val="left" w:pos="945"/>
                <w:tab w:val="left" w:pos="3360"/>
              </w:tabs>
              <w:adjustRightInd w:val="0"/>
              <w:snapToGrid w:val="0"/>
              <w:spacing w:line="360" w:lineRule="auto"/>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注：1、根据《政府采购促进中小企业发展管理办法》的相关规定对 小型和微型企业产品的价格给予 10％的扣除，用扣除后的价格参与评审；</w:t>
            </w:r>
          </w:p>
          <w:p>
            <w:pPr>
              <w:tabs>
                <w:tab w:val="left" w:pos="105"/>
                <w:tab w:val="left" w:pos="945"/>
                <w:tab w:val="left" w:pos="3360"/>
              </w:tabs>
              <w:adjustRightInd w:val="0"/>
              <w:snapToGrid w:val="0"/>
              <w:spacing w:line="360" w:lineRule="auto"/>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2、残疾人福利性单位属于小型、微型企业的，不重复享受政策。</w:t>
            </w:r>
          </w:p>
          <w:p>
            <w:pPr>
              <w:rPr>
                <w:rFonts w:hint="eastAsia"/>
                <w:highlight w:val="none"/>
              </w:rPr>
            </w:pPr>
            <w:r>
              <w:rPr>
                <w:rFonts w:hint="eastAsia" w:ascii="Times New Roman" w:hAnsi="Times New Roman" w:eastAsia="宋体" w:cs="Times New Roman"/>
                <w:bCs/>
                <w:sz w:val="24"/>
                <w:szCs w:val="24"/>
              </w:rPr>
              <w:t>3、根据《关于促进残疾人就业政府采购政策的通知》  (财库【2017】141 号) ，残疾人福利性单位视同小型、微型企业。</w:t>
            </w:r>
          </w:p>
        </w:tc>
      </w:tr>
    </w:tbl>
    <w:p>
      <w:pPr>
        <w:spacing w:before="480" w:beforeLines="200" w:after="480" w:afterLines="200" w:line="400" w:lineRule="exact"/>
        <w:jc w:val="center"/>
        <w:outlineLvl w:val="1"/>
        <w:rPr>
          <w:rFonts w:hint="eastAsia"/>
          <w:b/>
          <w:bCs/>
          <w:sz w:val="36"/>
          <w:szCs w:val="36"/>
          <w:highlight w:val="none"/>
        </w:rPr>
      </w:pPr>
      <w:r>
        <w:rPr>
          <w:rFonts w:hint="eastAsia"/>
          <w:b/>
          <w:bCs/>
          <w:sz w:val="36"/>
          <w:szCs w:val="36"/>
          <w:highlight w:val="none"/>
        </w:rPr>
        <w:t>七、</w:t>
      </w:r>
      <w:bookmarkEnd w:id="136"/>
      <w:bookmarkEnd w:id="137"/>
      <w:r>
        <w:rPr>
          <w:rFonts w:hint="eastAsia"/>
          <w:b/>
          <w:bCs/>
          <w:sz w:val="36"/>
          <w:szCs w:val="36"/>
          <w:highlight w:val="none"/>
        </w:rPr>
        <w:t>确定成交供应商</w:t>
      </w:r>
      <w:bookmarkEnd w:id="138"/>
      <w:bookmarkEnd w:id="139"/>
    </w:p>
    <w:p>
      <w:pPr>
        <w:spacing w:before="100" w:beforeAutospacing="1" w:after="100" w:afterAutospacing="1" w:line="400" w:lineRule="exact"/>
        <w:ind w:firstLine="542"/>
        <w:rPr>
          <w:rFonts w:hint="eastAsia"/>
          <w:b/>
          <w:bCs/>
          <w:sz w:val="27"/>
          <w:szCs w:val="27"/>
          <w:highlight w:val="none"/>
        </w:rPr>
      </w:pPr>
      <w:bookmarkStart w:id="140" w:name="_Toc376936757"/>
      <w:bookmarkStart w:id="141" w:name="_Toc325726026"/>
      <w:bookmarkStart w:id="142" w:name="_Toc23753"/>
      <w:r>
        <w:rPr>
          <w:rFonts w:hint="eastAsia"/>
          <w:b/>
          <w:bCs/>
          <w:sz w:val="27"/>
          <w:szCs w:val="27"/>
          <w:highlight w:val="none"/>
        </w:rPr>
        <w:t>20.推荐并确定成交</w:t>
      </w:r>
      <w:bookmarkEnd w:id="140"/>
      <w:bookmarkEnd w:id="141"/>
      <w:r>
        <w:rPr>
          <w:rFonts w:hint="eastAsia"/>
          <w:b/>
          <w:bCs/>
          <w:sz w:val="27"/>
          <w:szCs w:val="27"/>
          <w:highlight w:val="none"/>
        </w:rPr>
        <w:t>供应商</w:t>
      </w:r>
      <w:bookmarkEnd w:id="142"/>
    </w:p>
    <w:p>
      <w:pPr>
        <w:spacing w:line="400" w:lineRule="exact"/>
        <w:ind w:firstLine="480"/>
        <w:rPr>
          <w:rFonts w:hint="eastAsia"/>
          <w:highlight w:val="none"/>
        </w:rPr>
      </w:pPr>
      <w:bookmarkStart w:id="143" w:name="_Toc325726027"/>
      <w:r>
        <w:rPr>
          <w:rFonts w:hint="eastAsia" w:ascii="宋体" w:hAnsi="宋体" w:cs="宋体"/>
          <w:sz w:val="24"/>
          <w:szCs w:val="24"/>
          <w:highlight w:val="none"/>
        </w:rPr>
        <w:t>采购代理机构应当在评审结束后</w:t>
      </w:r>
      <w:r>
        <w:rPr>
          <w:rFonts w:ascii="宋体" w:hAnsi="宋体" w:cs="宋体"/>
          <w:sz w:val="24"/>
          <w:szCs w:val="24"/>
          <w:highlight w:val="none"/>
        </w:rPr>
        <w:t>2</w:t>
      </w:r>
      <w:r>
        <w:rPr>
          <w:rFonts w:hint="eastAsia" w:ascii="宋体" w:hAnsi="宋体" w:cs="宋体"/>
          <w:sz w:val="24"/>
          <w:szCs w:val="24"/>
          <w:highlight w:val="none"/>
        </w:rPr>
        <w:t>个工作日内将评审报告送采购人确认。采购人应当在收到评审报告后</w:t>
      </w:r>
      <w:r>
        <w:rPr>
          <w:rFonts w:ascii="宋体" w:hAnsi="宋体" w:cs="宋体"/>
          <w:sz w:val="24"/>
          <w:szCs w:val="24"/>
          <w:highlight w:val="none"/>
        </w:rPr>
        <w:t>5</w:t>
      </w:r>
      <w:r>
        <w:rPr>
          <w:rFonts w:hint="eastAsia" w:ascii="宋体" w:hAnsi="宋体" w:cs="宋体"/>
          <w:sz w:val="24"/>
          <w:szCs w:val="24"/>
          <w:highlight w:val="none"/>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rFonts w:hint="eastAsia"/>
          <w:highlight w:val="none"/>
        </w:rPr>
        <w:t>。</w:t>
      </w:r>
    </w:p>
    <w:p>
      <w:pPr>
        <w:spacing w:before="100" w:beforeAutospacing="1" w:after="100" w:afterAutospacing="1" w:line="400" w:lineRule="exact"/>
        <w:ind w:firstLine="542"/>
        <w:rPr>
          <w:rFonts w:hint="eastAsia"/>
          <w:b/>
          <w:bCs/>
          <w:sz w:val="27"/>
          <w:szCs w:val="27"/>
          <w:highlight w:val="none"/>
        </w:rPr>
      </w:pPr>
      <w:bookmarkStart w:id="144" w:name="_Toc376936759"/>
      <w:bookmarkStart w:id="145" w:name="_Toc325726028"/>
      <w:bookmarkStart w:id="146" w:name="_Toc22501"/>
      <w:r>
        <w:rPr>
          <w:rFonts w:hint="eastAsia"/>
          <w:b/>
          <w:bCs/>
          <w:sz w:val="27"/>
          <w:szCs w:val="27"/>
          <w:highlight w:val="none"/>
        </w:rPr>
        <w:t>21.成交通知</w:t>
      </w:r>
      <w:bookmarkEnd w:id="144"/>
      <w:bookmarkEnd w:id="145"/>
      <w:bookmarkEnd w:id="146"/>
    </w:p>
    <w:p>
      <w:pPr>
        <w:spacing w:line="400" w:lineRule="exact"/>
        <w:ind w:firstLine="480"/>
        <w:rPr>
          <w:rFonts w:hint="eastAsia"/>
          <w:highlight w:val="none"/>
        </w:rPr>
      </w:pPr>
      <w:r>
        <w:rPr>
          <w:rFonts w:hint="eastAsia"/>
          <w:highlight w:val="none"/>
        </w:rPr>
        <w:t>21.1采购人或者采购代理机构应当在成交供应商确定后2个工作日内，在青海政府采购网上公告成交结果，同时向成交供应商发出成交通知书。</w:t>
      </w:r>
    </w:p>
    <w:p>
      <w:pPr>
        <w:spacing w:line="400" w:lineRule="exact"/>
        <w:ind w:firstLine="480"/>
        <w:rPr>
          <w:rFonts w:hint="eastAsia"/>
          <w:highlight w:val="none"/>
        </w:rPr>
      </w:pPr>
      <w:r>
        <w:rPr>
          <w:rFonts w:hint="eastAsia"/>
          <w:highlight w:val="none"/>
        </w:rPr>
        <w:t>21.2《成交通知书》发出后，采购人改变成交结果的，或者成交供应商无正当理由放弃成交项目的，依法承担法律责任。</w:t>
      </w:r>
    </w:p>
    <w:p>
      <w:pPr>
        <w:spacing w:before="480" w:beforeLines="200" w:after="480" w:afterLines="200" w:line="400" w:lineRule="exact"/>
        <w:jc w:val="center"/>
        <w:outlineLvl w:val="1"/>
        <w:rPr>
          <w:rFonts w:hint="eastAsia"/>
          <w:b/>
          <w:bCs/>
          <w:sz w:val="36"/>
          <w:szCs w:val="36"/>
          <w:highlight w:val="none"/>
        </w:rPr>
      </w:pPr>
      <w:bookmarkStart w:id="147" w:name="_Toc3463"/>
      <w:bookmarkStart w:id="148" w:name="_Toc27592"/>
      <w:bookmarkStart w:id="149" w:name="_Toc376936758"/>
      <w:r>
        <w:rPr>
          <w:rFonts w:hint="eastAsia"/>
          <w:b/>
          <w:bCs/>
          <w:sz w:val="36"/>
          <w:szCs w:val="36"/>
          <w:highlight w:val="none"/>
        </w:rPr>
        <w:t>八、授予合同</w:t>
      </w:r>
      <w:bookmarkEnd w:id="143"/>
      <w:bookmarkEnd w:id="147"/>
      <w:bookmarkEnd w:id="148"/>
      <w:bookmarkEnd w:id="149"/>
    </w:p>
    <w:p>
      <w:pPr>
        <w:spacing w:before="100" w:beforeAutospacing="1" w:after="100" w:afterAutospacing="1" w:line="400" w:lineRule="exact"/>
        <w:ind w:firstLine="542"/>
        <w:rPr>
          <w:rFonts w:hint="eastAsia"/>
          <w:b/>
          <w:bCs/>
          <w:sz w:val="27"/>
          <w:szCs w:val="27"/>
          <w:highlight w:val="none"/>
        </w:rPr>
      </w:pPr>
      <w:bookmarkStart w:id="150" w:name="_Toc7724"/>
      <w:bookmarkStart w:id="151" w:name="_Toc325726029"/>
      <w:bookmarkStart w:id="152" w:name="_Toc376936760"/>
      <w:r>
        <w:rPr>
          <w:rFonts w:hint="eastAsia"/>
          <w:b/>
          <w:bCs/>
          <w:sz w:val="27"/>
          <w:szCs w:val="27"/>
          <w:highlight w:val="none"/>
        </w:rPr>
        <w:t>22.签订合同</w:t>
      </w:r>
      <w:bookmarkEnd w:id="150"/>
      <w:bookmarkEnd w:id="151"/>
      <w:bookmarkEnd w:id="152"/>
    </w:p>
    <w:p>
      <w:pPr>
        <w:spacing w:line="400" w:lineRule="exact"/>
        <w:ind w:firstLine="480"/>
        <w:rPr>
          <w:rFonts w:hint="eastAsia"/>
          <w:highlight w:val="none"/>
        </w:rPr>
      </w:pPr>
      <w:bookmarkStart w:id="153" w:name="_Toc376936761"/>
      <w:bookmarkStart w:id="154" w:name="_Toc325726030"/>
      <w:r>
        <w:rPr>
          <w:rFonts w:hint="eastAsia"/>
          <w:highlight w:val="none"/>
        </w:rPr>
        <w:t>22.1采购人与成交供应商应当在成交通知书发出之日起30日内，按照磋商文件确定的合同文本以及采购标的、规格型号、采购金额、采购数量、技术和服务要求等事项签订政府采购合同。</w:t>
      </w:r>
    </w:p>
    <w:p>
      <w:pPr>
        <w:spacing w:line="400" w:lineRule="exact"/>
        <w:ind w:firstLine="480"/>
        <w:rPr>
          <w:rFonts w:hint="eastAsia"/>
          <w:highlight w:val="none"/>
        </w:rPr>
      </w:pPr>
      <w:r>
        <w:rPr>
          <w:rFonts w:hint="eastAsia"/>
          <w:highlight w:val="none"/>
        </w:rPr>
        <w:t>22.2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spacing w:line="400" w:lineRule="exact"/>
        <w:ind w:firstLine="480"/>
        <w:rPr>
          <w:rFonts w:hint="eastAsia"/>
          <w:highlight w:val="none"/>
        </w:rPr>
      </w:pPr>
      <w:r>
        <w:rPr>
          <w:rFonts w:hint="eastAsia"/>
          <w:highlight w:val="none"/>
        </w:rPr>
        <w:t>22.3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spacing w:before="480" w:beforeLines="200" w:after="480" w:afterLines="200" w:line="400" w:lineRule="exact"/>
        <w:jc w:val="center"/>
        <w:outlineLvl w:val="1"/>
        <w:rPr>
          <w:rFonts w:hint="eastAsia"/>
          <w:b/>
          <w:bCs/>
          <w:sz w:val="36"/>
          <w:szCs w:val="36"/>
          <w:highlight w:val="none"/>
        </w:rPr>
      </w:pPr>
      <w:bookmarkStart w:id="155" w:name="_Toc23368"/>
      <w:bookmarkStart w:id="156" w:name="_Toc9292"/>
      <w:r>
        <w:rPr>
          <w:rFonts w:hint="eastAsia"/>
          <w:b/>
          <w:bCs/>
          <w:sz w:val="36"/>
          <w:szCs w:val="36"/>
          <w:highlight w:val="none"/>
        </w:rPr>
        <w:t>九、</w:t>
      </w:r>
      <w:bookmarkEnd w:id="153"/>
      <w:bookmarkEnd w:id="154"/>
      <w:r>
        <w:rPr>
          <w:rFonts w:hint="eastAsia"/>
          <w:b/>
          <w:bCs/>
          <w:sz w:val="36"/>
          <w:szCs w:val="36"/>
          <w:highlight w:val="none"/>
        </w:rPr>
        <w:t>磋商活动终止</w:t>
      </w:r>
      <w:bookmarkEnd w:id="155"/>
      <w:bookmarkEnd w:id="156"/>
    </w:p>
    <w:p>
      <w:pPr>
        <w:spacing w:before="100" w:beforeAutospacing="1" w:after="100" w:afterAutospacing="1" w:line="400" w:lineRule="exact"/>
        <w:ind w:firstLine="542"/>
        <w:rPr>
          <w:rFonts w:hint="eastAsia"/>
          <w:b/>
          <w:bCs/>
          <w:sz w:val="27"/>
          <w:szCs w:val="27"/>
          <w:highlight w:val="none"/>
        </w:rPr>
      </w:pPr>
      <w:bookmarkStart w:id="157" w:name="_Toc17332"/>
      <w:bookmarkStart w:id="158" w:name="_Toc376936762"/>
      <w:bookmarkStart w:id="159" w:name="_Toc325726031"/>
      <w:r>
        <w:rPr>
          <w:rFonts w:hint="eastAsia"/>
          <w:b/>
          <w:bCs/>
          <w:sz w:val="27"/>
          <w:szCs w:val="27"/>
          <w:highlight w:val="none"/>
        </w:rPr>
        <w:t>23. 终止情形</w:t>
      </w:r>
      <w:bookmarkEnd w:id="157"/>
    </w:p>
    <w:bookmarkEnd w:id="158"/>
    <w:bookmarkEnd w:id="159"/>
    <w:p>
      <w:pPr>
        <w:spacing w:line="400" w:lineRule="exact"/>
        <w:ind w:firstLine="480"/>
        <w:rPr>
          <w:rFonts w:hint="eastAsia"/>
          <w:szCs w:val="20"/>
          <w:highlight w:val="none"/>
        </w:rPr>
      </w:pPr>
      <w:bookmarkStart w:id="160" w:name="_Toc325726032"/>
      <w:r>
        <w:rPr>
          <w:rFonts w:hint="eastAsia"/>
          <w:szCs w:val="20"/>
          <w:highlight w:val="none"/>
        </w:rPr>
        <w:t>23.1出现下列情形之一的，采购代理机构应当终止竞争性磋商采购活动，发布项目终止公告并说明原因，重新开展采购活动：</w:t>
      </w:r>
    </w:p>
    <w:p>
      <w:pPr>
        <w:spacing w:line="400" w:lineRule="exact"/>
        <w:ind w:firstLine="480"/>
        <w:rPr>
          <w:rFonts w:hint="eastAsia"/>
          <w:szCs w:val="20"/>
          <w:highlight w:val="none"/>
        </w:rPr>
      </w:pPr>
      <w:r>
        <w:rPr>
          <w:rFonts w:hint="eastAsia"/>
          <w:szCs w:val="20"/>
          <w:highlight w:val="none"/>
        </w:rPr>
        <w:t>（1）因情况变化，不再符合规定的竞争性磋商采购方式适用情形的；</w:t>
      </w:r>
    </w:p>
    <w:p>
      <w:pPr>
        <w:spacing w:line="400" w:lineRule="exact"/>
        <w:ind w:firstLine="480"/>
        <w:rPr>
          <w:rFonts w:hint="eastAsia"/>
          <w:szCs w:val="20"/>
          <w:highlight w:val="none"/>
        </w:rPr>
      </w:pPr>
      <w:r>
        <w:rPr>
          <w:rFonts w:hint="eastAsia"/>
          <w:szCs w:val="20"/>
          <w:highlight w:val="none"/>
        </w:rPr>
        <w:t>（2）出现影响采购公正的违法、违规行为的；</w:t>
      </w:r>
    </w:p>
    <w:p>
      <w:pPr>
        <w:spacing w:line="400" w:lineRule="exact"/>
        <w:ind w:firstLine="480"/>
        <w:rPr>
          <w:rFonts w:hint="eastAsia"/>
          <w:szCs w:val="20"/>
          <w:highlight w:val="none"/>
        </w:rPr>
      </w:pPr>
      <w:r>
        <w:rPr>
          <w:rFonts w:hint="eastAsia"/>
          <w:szCs w:val="20"/>
          <w:highlight w:val="none"/>
        </w:rPr>
        <w:t>（3）除《政府采购竞争性磋商采购方式管理暂行办法》第二十一条第三款规定的情形外，在采购过程中符合要求的供应商或者提交最终报价的供应商不足3家的。</w:t>
      </w:r>
    </w:p>
    <w:p>
      <w:pPr>
        <w:spacing w:line="400" w:lineRule="exact"/>
        <w:ind w:firstLine="480"/>
        <w:rPr>
          <w:rFonts w:hint="eastAsia"/>
          <w:szCs w:val="20"/>
          <w:highlight w:val="none"/>
        </w:rPr>
      </w:pPr>
      <w:r>
        <w:rPr>
          <w:rFonts w:hint="eastAsia"/>
          <w:szCs w:val="20"/>
          <w:highlight w:val="none"/>
        </w:rPr>
        <w:t>23.2终止磋商活动后，由采购代理机构发布终止公告并说明原因。</w:t>
      </w:r>
    </w:p>
    <w:p>
      <w:pPr>
        <w:spacing w:before="480" w:beforeLines="200" w:after="480" w:afterLines="200" w:line="400" w:lineRule="exact"/>
        <w:jc w:val="center"/>
        <w:outlineLvl w:val="1"/>
        <w:rPr>
          <w:rFonts w:hint="eastAsia"/>
          <w:b/>
          <w:bCs/>
          <w:sz w:val="36"/>
          <w:szCs w:val="36"/>
          <w:highlight w:val="none"/>
        </w:rPr>
      </w:pPr>
      <w:bookmarkStart w:id="161" w:name="_Toc597"/>
      <w:bookmarkStart w:id="162" w:name="_Toc27246"/>
      <w:bookmarkStart w:id="163" w:name="_Toc376936763"/>
      <w:r>
        <w:rPr>
          <w:rFonts w:hint="eastAsia"/>
          <w:b/>
          <w:bCs/>
          <w:sz w:val="36"/>
          <w:szCs w:val="36"/>
          <w:highlight w:val="none"/>
        </w:rPr>
        <w:t>十、处罚</w:t>
      </w:r>
      <w:bookmarkEnd w:id="160"/>
      <w:bookmarkEnd w:id="161"/>
      <w:bookmarkEnd w:id="162"/>
      <w:bookmarkEnd w:id="163"/>
    </w:p>
    <w:p>
      <w:pPr>
        <w:spacing w:before="100" w:beforeAutospacing="1" w:after="100" w:afterAutospacing="1" w:line="400" w:lineRule="exact"/>
        <w:ind w:firstLine="542"/>
        <w:rPr>
          <w:rFonts w:hint="eastAsia"/>
          <w:b/>
          <w:bCs/>
          <w:sz w:val="27"/>
          <w:szCs w:val="27"/>
          <w:highlight w:val="none"/>
        </w:rPr>
      </w:pPr>
      <w:bookmarkStart w:id="164" w:name="_Toc376936764"/>
      <w:bookmarkStart w:id="165" w:name="_Toc6480"/>
      <w:bookmarkStart w:id="166" w:name="_Toc325726033"/>
      <w:r>
        <w:rPr>
          <w:rFonts w:hint="eastAsia"/>
          <w:b/>
          <w:bCs/>
          <w:sz w:val="27"/>
          <w:szCs w:val="27"/>
          <w:highlight w:val="none"/>
        </w:rPr>
        <w:t>24.处罚情形</w:t>
      </w:r>
      <w:bookmarkEnd w:id="164"/>
      <w:bookmarkEnd w:id="165"/>
      <w:bookmarkEnd w:id="166"/>
    </w:p>
    <w:p>
      <w:pPr>
        <w:spacing w:line="400" w:lineRule="exact"/>
        <w:ind w:firstLine="480"/>
        <w:rPr>
          <w:rFonts w:hint="eastAsia"/>
          <w:highlight w:val="none"/>
        </w:rPr>
      </w:pPr>
      <w:r>
        <w:rPr>
          <w:rFonts w:hint="eastAsia"/>
          <w:highlight w:val="none"/>
        </w:rPr>
        <w:t>有下列情形之一的，供应商的磋商保证金不予退还；成交供应商的成交结果无效，履约保证金不予退还。情节严重的，报省财政厅依法进行处理：</w:t>
      </w:r>
    </w:p>
    <w:p>
      <w:pPr>
        <w:spacing w:line="400" w:lineRule="exact"/>
        <w:ind w:firstLine="480"/>
        <w:rPr>
          <w:rFonts w:hint="eastAsia"/>
          <w:highlight w:val="none"/>
        </w:rPr>
      </w:pPr>
      <w:r>
        <w:rPr>
          <w:rFonts w:hint="eastAsia"/>
          <w:highlight w:val="none"/>
        </w:rPr>
        <w:t>24.1供应商在提交响应文件截止时间之后撤回响应文件的。</w:t>
      </w:r>
    </w:p>
    <w:p>
      <w:pPr>
        <w:spacing w:line="400" w:lineRule="exact"/>
        <w:ind w:firstLine="480"/>
        <w:rPr>
          <w:rFonts w:hint="eastAsia"/>
          <w:highlight w:val="none"/>
        </w:rPr>
      </w:pPr>
      <w:r>
        <w:rPr>
          <w:rFonts w:hint="eastAsia"/>
          <w:highlight w:val="none"/>
        </w:rPr>
        <w:t>24.2供应商在响应文件中提供虚假材料的。</w:t>
      </w:r>
    </w:p>
    <w:p>
      <w:pPr>
        <w:spacing w:line="400" w:lineRule="exact"/>
        <w:ind w:firstLine="480"/>
        <w:rPr>
          <w:rFonts w:hint="eastAsia"/>
          <w:highlight w:val="none"/>
        </w:rPr>
      </w:pPr>
      <w:r>
        <w:rPr>
          <w:rFonts w:hint="eastAsia"/>
          <w:highlight w:val="none"/>
        </w:rPr>
        <w:t>24.3采取不正当手段诋毁、排挤其他供应商的。</w:t>
      </w:r>
    </w:p>
    <w:p>
      <w:pPr>
        <w:spacing w:line="400" w:lineRule="exact"/>
        <w:ind w:firstLine="439" w:firstLineChars="183"/>
        <w:rPr>
          <w:rFonts w:hint="eastAsia"/>
          <w:highlight w:val="none"/>
        </w:rPr>
      </w:pPr>
      <w:r>
        <w:rPr>
          <w:rFonts w:hint="eastAsia"/>
          <w:highlight w:val="none"/>
        </w:rPr>
        <w:t>24.4有恶意串通等不正当竞争行为的。</w:t>
      </w:r>
    </w:p>
    <w:p>
      <w:pPr>
        <w:spacing w:line="400" w:lineRule="exact"/>
        <w:ind w:firstLine="480"/>
        <w:rPr>
          <w:rFonts w:hint="eastAsia"/>
          <w:highlight w:val="none"/>
        </w:rPr>
      </w:pPr>
      <w:r>
        <w:rPr>
          <w:rFonts w:hint="eastAsia"/>
          <w:highlight w:val="none"/>
        </w:rPr>
        <w:t>24.5成交后无正当理由拒不与采购人签订采购合同的。</w:t>
      </w:r>
    </w:p>
    <w:p>
      <w:pPr>
        <w:spacing w:line="400" w:lineRule="exact"/>
        <w:ind w:firstLine="480"/>
        <w:rPr>
          <w:rFonts w:hint="eastAsia"/>
          <w:highlight w:val="none"/>
        </w:rPr>
      </w:pPr>
      <w:r>
        <w:rPr>
          <w:rFonts w:hint="eastAsia"/>
          <w:highlight w:val="none"/>
        </w:rPr>
        <w:t>24.6未按照磋商文件、响应文件确定的事项签订采购合同的。</w:t>
      </w:r>
    </w:p>
    <w:p>
      <w:pPr>
        <w:spacing w:line="400" w:lineRule="exact"/>
        <w:ind w:firstLine="480"/>
        <w:rPr>
          <w:rFonts w:hint="eastAsia"/>
          <w:highlight w:val="none"/>
        </w:rPr>
      </w:pPr>
      <w:r>
        <w:rPr>
          <w:rFonts w:hint="eastAsia"/>
          <w:highlight w:val="none"/>
        </w:rPr>
        <w:t>24.7擅自变更、中止或者终止政府采购合同的。</w:t>
      </w:r>
    </w:p>
    <w:p>
      <w:pPr>
        <w:spacing w:line="400" w:lineRule="exact"/>
        <w:ind w:firstLine="480"/>
        <w:rPr>
          <w:rFonts w:hint="eastAsia"/>
          <w:highlight w:val="none"/>
        </w:rPr>
      </w:pPr>
      <w:r>
        <w:rPr>
          <w:rFonts w:hint="eastAsia"/>
          <w:highlight w:val="none"/>
        </w:rPr>
        <w:t>24.8成交供应商签订合同后，因种种原因不能履约或无故拖延履约期的。</w:t>
      </w:r>
    </w:p>
    <w:p>
      <w:pPr>
        <w:spacing w:line="400" w:lineRule="exact"/>
        <w:ind w:firstLine="480"/>
        <w:rPr>
          <w:rFonts w:hint="eastAsia"/>
          <w:b/>
          <w:bCs/>
          <w:sz w:val="36"/>
          <w:szCs w:val="36"/>
          <w:highlight w:val="none"/>
        </w:rPr>
      </w:pPr>
      <w:r>
        <w:rPr>
          <w:rFonts w:hint="eastAsia"/>
          <w:highlight w:val="none"/>
        </w:rPr>
        <w:t>24.9法律、法规规定的其他情形的。</w:t>
      </w:r>
      <w:bookmarkStart w:id="167" w:name="_Toc376936765"/>
      <w:bookmarkStart w:id="168" w:name="_Toc8057"/>
      <w:bookmarkStart w:id="169" w:name="_Toc325726034"/>
    </w:p>
    <w:p>
      <w:pPr>
        <w:spacing w:before="480" w:beforeLines="200" w:after="480" w:afterLines="200" w:line="400" w:lineRule="exact"/>
        <w:jc w:val="center"/>
        <w:outlineLvl w:val="1"/>
        <w:rPr>
          <w:rFonts w:hint="eastAsia"/>
          <w:b/>
          <w:bCs/>
          <w:sz w:val="36"/>
          <w:szCs w:val="36"/>
          <w:highlight w:val="none"/>
        </w:rPr>
      </w:pPr>
      <w:bookmarkStart w:id="170" w:name="_Toc10683"/>
      <w:r>
        <w:rPr>
          <w:rFonts w:hint="eastAsia"/>
          <w:b/>
          <w:bCs/>
          <w:sz w:val="36"/>
          <w:szCs w:val="36"/>
          <w:highlight w:val="none"/>
        </w:rPr>
        <w:t>十一、其他</w:t>
      </w:r>
      <w:bookmarkEnd w:id="167"/>
      <w:bookmarkEnd w:id="168"/>
      <w:bookmarkEnd w:id="169"/>
      <w:bookmarkEnd w:id="170"/>
    </w:p>
    <w:p>
      <w:pPr>
        <w:spacing w:line="400" w:lineRule="exact"/>
        <w:ind w:firstLine="480"/>
        <w:rPr>
          <w:rFonts w:hint="eastAsia"/>
          <w:highlight w:val="none"/>
        </w:rPr>
      </w:pPr>
      <w:r>
        <w:rPr>
          <w:rFonts w:hint="eastAsia"/>
          <w:highlight w:val="none"/>
        </w:rPr>
        <w:t>其他未尽事宜，按照《中华人民共和国政府采购法》、《</w:t>
      </w:r>
      <w:r>
        <w:rPr>
          <w:rFonts w:hint="eastAsia"/>
          <w:highlight w:val="none"/>
          <w:lang w:eastAsia="zh-CN"/>
        </w:rPr>
        <w:t>中华人民共和国民法典</w:t>
      </w:r>
      <w:r>
        <w:rPr>
          <w:rFonts w:hint="eastAsia"/>
          <w:highlight w:val="none"/>
        </w:rPr>
        <w:t>》、《中华人民共和国政府采购法实施条例》、《政府采购竞争性磋商采购方式管理暂行办法》等法律法规的有关条款执行。</w:t>
      </w:r>
    </w:p>
    <w:p>
      <w:pPr>
        <w:pStyle w:val="5"/>
        <w:spacing w:line="400" w:lineRule="exact"/>
        <w:rPr>
          <w:rFonts w:hint="eastAsia"/>
          <w:highlight w:val="none"/>
        </w:rPr>
      </w:pPr>
      <w:bookmarkStart w:id="171" w:name="_Toc449612581"/>
      <w:bookmarkStart w:id="172" w:name="_Toc381175531"/>
      <w:bookmarkStart w:id="173" w:name="_Toc376936767"/>
      <w:bookmarkStart w:id="174" w:name="_Toc325726036"/>
      <w:r>
        <w:rPr>
          <w:rFonts w:hint="eastAsia"/>
          <w:highlight w:val="none"/>
        </w:rPr>
        <w:br w:type="page"/>
      </w:r>
      <w:bookmarkStart w:id="175" w:name="_Toc21638"/>
      <w:r>
        <w:rPr>
          <w:rFonts w:hint="eastAsia"/>
          <w:highlight w:val="none"/>
        </w:rPr>
        <w:t>第四部分  合同条款及格式</w:t>
      </w:r>
      <w:bookmarkEnd w:id="171"/>
      <w:bookmarkEnd w:id="172"/>
      <w:bookmarkEnd w:id="175"/>
    </w:p>
    <w:p>
      <w:pPr>
        <w:pStyle w:val="5"/>
        <w:spacing w:line="400" w:lineRule="exact"/>
        <w:rPr>
          <w:rFonts w:hint="eastAsia"/>
          <w:bCs/>
          <w:highlight w:val="none"/>
        </w:rPr>
      </w:pPr>
    </w:p>
    <w:p>
      <w:pPr>
        <w:pStyle w:val="7"/>
        <w:spacing w:line="360" w:lineRule="auto"/>
        <w:jc w:val="center"/>
        <w:rPr>
          <w:rFonts w:hint="eastAsia" w:ascii="宋体" w:hAnsi="宋体"/>
          <w:b/>
          <w:sz w:val="52"/>
          <w:szCs w:val="52"/>
          <w:lang w:eastAsia="zh-CN"/>
        </w:rPr>
      </w:pPr>
      <w:bookmarkStart w:id="176" w:name="_Toc2072"/>
      <w:bookmarkStart w:id="177" w:name="_Toc19774"/>
    </w:p>
    <w:p>
      <w:pPr>
        <w:pStyle w:val="7"/>
        <w:spacing w:line="360" w:lineRule="auto"/>
        <w:jc w:val="center"/>
        <w:rPr>
          <w:rFonts w:hint="eastAsia" w:ascii="宋体" w:hAnsi="宋体"/>
          <w:b/>
          <w:sz w:val="52"/>
          <w:szCs w:val="52"/>
          <w:lang w:eastAsia="zh-CN"/>
        </w:rPr>
      </w:pPr>
      <w:r>
        <w:rPr>
          <w:rFonts w:hint="eastAsia" w:ascii="宋体" w:hAnsi="宋体"/>
          <w:b/>
          <w:sz w:val="52"/>
          <w:szCs w:val="52"/>
          <w:lang w:eastAsia="zh-CN"/>
        </w:rPr>
        <w:br w:type="page"/>
      </w:r>
    </w:p>
    <w:p>
      <w:pPr>
        <w:pStyle w:val="7"/>
        <w:spacing w:line="360" w:lineRule="auto"/>
        <w:jc w:val="both"/>
        <w:rPr>
          <w:rFonts w:hint="eastAsia" w:ascii="宋体" w:hAnsi="宋体"/>
          <w:b/>
          <w:sz w:val="52"/>
          <w:szCs w:val="52"/>
          <w:lang w:eastAsia="zh-CN"/>
        </w:rPr>
      </w:pPr>
    </w:p>
    <w:p>
      <w:pPr>
        <w:pStyle w:val="7"/>
        <w:spacing w:line="360" w:lineRule="auto"/>
        <w:jc w:val="center"/>
        <w:rPr>
          <w:rFonts w:hint="eastAsia" w:ascii="宋体" w:hAnsi="宋体"/>
          <w:b/>
          <w:sz w:val="52"/>
          <w:szCs w:val="52"/>
          <w:lang w:val="en-US" w:eastAsia="zh-CN"/>
        </w:rPr>
      </w:pPr>
    </w:p>
    <w:p>
      <w:pPr>
        <w:pStyle w:val="7"/>
        <w:spacing w:line="360" w:lineRule="auto"/>
        <w:jc w:val="center"/>
        <w:rPr>
          <w:rFonts w:hint="eastAsia" w:ascii="宋体" w:hAnsi="宋体" w:eastAsia="宋体"/>
          <w:b/>
          <w:sz w:val="52"/>
          <w:szCs w:val="52"/>
          <w:lang w:eastAsia="zh-CN"/>
        </w:rPr>
      </w:pPr>
      <w:r>
        <w:rPr>
          <w:rFonts w:hint="eastAsia"/>
          <w:b/>
          <w:sz w:val="52"/>
          <w:szCs w:val="52"/>
          <w:lang w:eastAsia="zh-CN"/>
        </w:rPr>
        <w:t>2023年洪水镇双一村拱棚建设项目</w:t>
      </w:r>
    </w:p>
    <w:p>
      <w:pPr>
        <w:pStyle w:val="7"/>
        <w:spacing w:line="360" w:lineRule="auto"/>
        <w:jc w:val="center"/>
        <w:rPr>
          <w:rFonts w:ascii="宋体" w:hAnsi="宋体"/>
          <w:b/>
          <w:sz w:val="52"/>
          <w:szCs w:val="52"/>
        </w:rPr>
      </w:pPr>
      <w:r>
        <w:rPr>
          <w:rFonts w:ascii="宋体" w:hAnsi="宋体"/>
          <w:b/>
          <w:sz w:val="52"/>
          <w:szCs w:val="52"/>
        </w:rPr>
        <w:t>工程施工合同</w:t>
      </w:r>
    </w:p>
    <w:p>
      <w:pPr>
        <w:pStyle w:val="7"/>
        <w:spacing w:line="360" w:lineRule="auto"/>
        <w:jc w:val="center"/>
        <w:rPr>
          <w:rFonts w:hint="eastAsia" w:ascii="宋体" w:hAnsi="宋体" w:cs="宋体"/>
          <w:color w:val="auto"/>
          <w:sz w:val="30"/>
          <w:szCs w:val="30"/>
        </w:rPr>
      </w:pPr>
      <w:r>
        <w:rPr>
          <w:rFonts w:ascii="宋体" w:hAnsi="宋体"/>
          <w:b/>
          <w:sz w:val="52"/>
          <w:szCs w:val="52"/>
        </w:rPr>
        <w:br w:type="page"/>
      </w:r>
      <w:r>
        <w:rPr>
          <w:rFonts w:hint="eastAsia" w:ascii="宋体" w:hAnsi="宋体" w:cs="宋体"/>
          <w:color w:val="auto"/>
          <w:sz w:val="30"/>
          <w:szCs w:val="30"/>
        </w:rPr>
        <w:t>第一节    通用合同条款</w:t>
      </w:r>
      <w:bookmarkEnd w:id="176"/>
      <w:bookmarkEnd w:id="177"/>
    </w:p>
    <w:p>
      <w:pPr>
        <w:widowControl/>
        <w:snapToGrid w:val="0"/>
        <w:spacing w:line="360" w:lineRule="auto"/>
        <w:jc w:val="left"/>
        <w:rPr>
          <w:rFonts w:hint="eastAsia" w:ascii="宋体" w:hAnsi="宋体" w:cs="宋体"/>
          <w:b/>
          <w:color w:val="auto"/>
          <w:kern w:val="0"/>
          <w:sz w:val="24"/>
        </w:rPr>
      </w:pPr>
      <w:r>
        <w:rPr>
          <w:rFonts w:hint="eastAsia" w:ascii="宋体" w:hAnsi="宋体" w:cs="宋体"/>
          <w:b/>
          <w:color w:val="auto"/>
          <w:kern w:val="0"/>
          <w:sz w:val="24"/>
        </w:rPr>
        <w:t>1 一般约定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1.1词语定义</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通用合同条款、专用合同条款中的下列词语应具有本款所赋予的含义。</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1.1.1合同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1.1.1.1合同文件(或称合同)：指合同协议书、中标通知书、投标函及投标函附录、专用合同条款、通用合同条款、技术标准和要求、图纸、己标价工程量清单，以及其他合同文件。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1.1.1.2合同协议书：指第1.5款所指的合同协议书。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1.1.1.3中标通知书：指发包人通知承包人中标的函件。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1.1.1.4投标函：指构成合同文件组成部分的由承包人填写并签署的投标函。</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1.1.1.5投标函附录：指附在投标函后构成合同文件的投标函附录。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1.1.1.6技术标准和要求：指构成合同文件组成部分的名为技术标准和要求(合同技术条款)的文件，包括合同双方当事人约定对其所作的修改或补充。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1.1.1.7图纸：指列入合同的招标图纸、投标图纸和发包人按合同约定向承包人提供的施工图纸和其它图纸(包括配套说明和有关资料)。列入合同的招标图纸已成为合同文件的 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1.1.1.8己标价工程量清单：指构成合同文件组成部分的由承包人按照规定的格式和要求填写并标明价格的工程量清单。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1.1.1.9其他合同文件：指经合同双方当事人确认构成合同文件的其他文件。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1.1.2合同当事人和人员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1.1.2.1合同当事人：指发包人和(或)承包人。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1.1.2.2发包人：指专用合同条款中指明并与承包人在合同协议书中签字的当事人。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1.1.2.3承包人：指专用合同条款中指明并与发包人在合同协、议书中签字的当事人。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1.1.2.4承包人项目经理：指承包人派驻施工场地的全权负责人。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1.1.2.5分包人：指专用合同条款中指明的，从承包人处分包合同中某一部分工程，并与其签订分包合同的分包人。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1.1.2.6监理人：指在专用合同条款中指明的，受发包人委托对合同履行实施管理的法人或其他组织。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1.1.2.7总监理工程师(总监)：指由监理人委派常驻施工场地对合同履行实施管理的全权负责人。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1.1.3工程和设备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1.1.3.1工程：指永久工程和(或)临时工程。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1.1.3.2永久工程：指按合同约定建造并移交给发包人的工程，包括工程设备。</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1.1.3.3临时工程：指为完成合同约定的永久工程所修建的各类临时性工程，不包括施工设备。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1.1.3.4单位工程：指专用合同条款中指明特定范围的永久工程。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1.1.3.5工程设备：指构成或计划构成永久工程一部分的机电设备、金属结构设备、仪器装置及其他类似的设备和装置。</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1.1.3.6施工设备：指为完成合同约定的各项工作所需的设备、器具和其他物品，不包括临时工程和材料。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1.1.3.7临时设施：指为完成合同约定的各项工作所服务的临时性生产和生活设施。</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1.1.3.8承包人设备：指承包人自带的施工设备。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1.1.3.9施工场地(或称工地、现场)：指用于合同工程施工的场所，以及在合同中指定作为施工场地组成部分的其他场所，包括永久占地和临时占地。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1.1.3.10永久占地：指发包人为建设本合同工程临时征用的场地。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1.1.3.11临时占地：指发包人为建设本合同工程临时征用，承包人在完工后须按合同要求退还的场地。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1.1.4日期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1.1.4.4开工通知：指监理人按第11.1款通知承包人开工的函件。</w:t>
      </w:r>
    </w:p>
    <w:p>
      <w:pPr>
        <w:tabs>
          <w:tab w:val="left" w:pos="8280"/>
        </w:tabs>
        <w:spacing w:line="360" w:lineRule="auto"/>
        <w:ind w:left="-410" w:leftChars="-171" w:firstLine="720" w:firstLineChars="300"/>
        <w:rPr>
          <w:rFonts w:hint="eastAsia" w:ascii="宋体" w:hAnsi="宋体" w:cs="宋体"/>
          <w:color w:val="auto"/>
          <w:szCs w:val="21"/>
        </w:rPr>
      </w:pPr>
      <w:r>
        <w:rPr>
          <w:rFonts w:hint="eastAsia" w:ascii="宋体" w:hAnsi="宋体" w:cs="宋体"/>
          <w:color w:val="auto"/>
          <w:szCs w:val="21"/>
        </w:rPr>
        <w:t>1.1.4.2开工日期：指监理人按第11.1款发出的开工通知中写明的开工日期。</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1.1.4.3工期：指承包人在投标函中承诺的完成合同工程所需的期限，包括按第11.3款、第11.4款和第11.6款约定所作的变更。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1.1.4.4竣工日期：即合同工程完工日期，指第1.1.4.3目约定工期届满时的日期。实际完工日期以合同工程完工证书中写明的日期为准。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1.1.4.5缺陷责任期：即工程质量保修期，指履行第17.2款约定的缺陷责任的期限，包括根据第17.3款约定所作的延长，具体期限由专用合同条款约定。</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1.1.4.6基准日期：指投标截止时间前18天的日期。</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1.1.4.7天：除特别指明外，指日历天。合同中按天计算时间的，开始当天不计入，从次日开始计算。期限最后一天的截止时间为当天。</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1.1.5合同价格和费用</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1.1.5.1签约合同价：指签定合同时合同协议书中写明的合同总金额。</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1.1.5.2合同价格：指承 包人按合同约定完成了包括缺陷责任期内的全部承包工作后，发包人应付给承包人的金额，包括在履行合同过程中按合同约定进行的变更和调整。</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 xml:space="preserve">1.1.5.3费用：指为履行合同所发生的或将要发生的所有合理开支，包括管理费和应分摊的其他费用，但不包括利润。   </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1.1.5.7质量保证金(或称保留金)：指按第16.4.1项约定用于保证在缺陷责任期内履行缺陷修复义务的金额。</w:t>
      </w:r>
    </w:p>
    <w:p>
      <w:pPr>
        <w:tabs>
          <w:tab w:val="left" w:pos="8280"/>
        </w:tabs>
        <w:spacing w:line="360" w:lineRule="auto"/>
        <w:ind w:firstLine="480" w:firstLineChars="200"/>
        <w:rPr>
          <w:rFonts w:hint="eastAsia" w:ascii="宋体" w:hAnsi="宋体" w:cs="宋体"/>
          <w:color w:val="auto"/>
          <w:szCs w:val="21"/>
        </w:rPr>
      </w:pPr>
      <w:r>
        <w:rPr>
          <w:rFonts w:hint="eastAsia" w:ascii="宋体" w:hAnsi="宋体" w:cs="宋体"/>
          <w:color w:val="auto"/>
          <w:szCs w:val="21"/>
        </w:rPr>
        <w:t xml:space="preserve">1.1.6其他    </w:t>
      </w:r>
    </w:p>
    <w:p>
      <w:pPr>
        <w:tabs>
          <w:tab w:val="left" w:pos="8280"/>
        </w:tabs>
        <w:spacing w:line="360" w:lineRule="auto"/>
        <w:ind w:firstLine="464" w:firstLineChars="200"/>
        <w:rPr>
          <w:rFonts w:hint="eastAsia" w:ascii="宋体" w:hAnsi="宋体" w:cs="宋体"/>
          <w:color w:val="auto"/>
          <w:spacing w:val="-4"/>
          <w:szCs w:val="21"/>
        </w:rPr>
      </w:pPr>
      <w:r>
        <w:rPr>
          <w:rFonts w:hint="eastAsia" w:ascii="宋体" w:hAnsi="宋体" w:cs="宋体"/>
          <w:color w:val="auto"/>
          <w:spacing w:val="-4"/>
          <w:szCs w:val="21"/>
        </w:rPr>
        <w:t>1.1.6.1书面形式：指合同文件、信函、电报、传真等可以有形地表现所载内容的形式。</w:t>
      </w:r>
    </w:p>
    <w:p>
      <w:pPr>
        <w:widowControl/>
        <w:snapToGrid w:val="0"/>
        <w:spacing w:line="360" w:lineRule="auto"/>
        <w:jc w:val="left"/>
        <w:rPr>
          <w:rFonts w:hint="eastAsia" w:ascii="宋体" w:hAnsi="宋体" w:cs="宋体"/>
          <w:b/>
          <w:color w:val="auto"/>
          <w:kern w:val="0"/>
          <w:sz w:val="24"/>
        </w:rPr>
      </w:pPr>
      <w:r>
        <w:rPr>
          <w:rFonts w:hint="eastAsia" w:ascii="宋体" w:hAnsi="宋体" w:cs="宋体"/>
          <w:b/>
          <w:color w:val="auto"/>
          <w:kern w:val="0"/>
          <w:sz w:val="24"/>
        </w:rPr>
        <w:t>1.2语言文字</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除专用术语外，合同使用的语言文字为中文。必要时专用术语应附有中文注释。</w:t>
      </w:r>
    </w:p>
    <w:p>
      <w:pPr>
        <w:widowControl/>
        <w:snapToGrid w:val="0"/>
        <w:spacing w:line="360" w:lineRule="auto"/>
        <w:jc w:val="left"/>
        <w:rPr>
          <w:rFonts w:hint="eastAsia" w:ascii="宋体" w:hAnsi="宋体" w:cs="宋体"/>
          <w:b/>
          <w:color w:val="auto"/>
          <w:kern w:val="0"/>
          <w:sz w:val="24"/>
        </w:rPr>
      </w:pPr>
      <w:r>
        <w:rPr>
          <w:rFonts w:hint="eastAsia" w:ascii="宋体" w:hAnsi="宋体" w:cs="宋体"/>
          <w:b/>
          <w:color w:val="auto"/>
          <w:kern w:val="0"/>
          <w:sz w:val="24"/>
        </w:rPr>
        <w:t>1.3法律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适用于合同的法律包括中华人民共和国法律、行政法规、部门规章，以及工程所在地的地方法规、自治条例、单行条例和地方政府规章。</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1.4合同文件的优先顺序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组成合同的各项文件应互相解释，互为说明。除专用合同条款另有约定外，解释合同文件的优先顺序如下：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(1)合同协议书；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(2)中标通知书；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(3)投标函及投标函附录；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(4)专用合同条款；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(5)通用合同条款；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(6)技术标准和要求；</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(7)图纸；</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(8)己标价工程量清单；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(9)其他合同文件。</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1.5合同协议书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承包人按中标通知书规定的时间与发包人签订合同协议书。除法律另有规定或合同另有约定外，发包人和承包人的法定代表人或其委托代理人在合同协议书上签字并盖单位章。</w:t>
      </w:r>
    </w:p>
    <w:p>
      <w:pPr>
        <w:tabs>
          <w:tab w:val="left" w:pos="8280"/>
        </w:tabs>
        <w:spacing w:line="360" w:lineRule="auto"/>
        <w:ind w:right="-360" w:rightChars="-150"/>
        <w:rPr>
          <w:rFonts w:hint="eastAsia" w:ascii="宋体" w:hAnsi="宋体" w:cs="宋体"/>
          <w:color w:val="auto"/>
          <w:sz w:val="24"/>
        </w:rPr>
      </w:pPr>
      <w:r>
        <w:rPr>
          <w:rFonts w:hint="eastAsia" w:ascii="宋体" w:hAnsi="宋体" w:cs="宋体"/>
          <w:b/>
          <w:color w:val="auto"/>
          <w:sz w:val="24"/>
        </w:rPr>
        <w:t>1.6图纸和承包人文件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发包人应按技术标准和要求(合同技术条款)约定的期限和数量将施工图纸以及其它图纸(包括配套说明和有关资料)提供给承包人。由于发包人未按时提供图纸造成工期延误的，按第11.3款的约定办理。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1.6.1承包人提供的文件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承包人提供的文件应按技术标准和要求(合同技术条款)约定的期限和数量提供给监理人。监理人应按技术标准和要求(合同技术条款)约定的期限批复承包人。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1.6.2图纸的修改</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设计人需要对已发给承包人的施工图纸进行修改时，监理人应在技术标准和要求(合同技术条款)约定的期限内签发施工图纸的修改图给承包人。承包人应按技术标准和要求 (合同技术条款)的约定编制一份承包人实施计划提交监理人批准后执行。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1.6.3图纸的错误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承包人发现发包人提供的图纸存在明显错误或疏忽，应及时通知监理人。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1.6.4图纸和承包人文件的保管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监理人和承包人均应在施工场地各保存一套完整的包含第1.6.1项、第1.6.2项、第1.6.3项约定内容的图纸和承包人文件。</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1.7联络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1.7.1与合同有关的通知、批准、证明、证书、指示、要求、请求、同意、意见、确定和决定等，均应采用书面形式。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1.7.2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1.8转让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除合同另有约定外，未经对方当事人同意，一方当事人不得将合同权利全部或部分转让给第三人，也不得全部或部分转移合同义务。</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1.9严禁贿赂</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合同双方当事人不得以贿赂或变相贿赂的方式，谋取不当利益或损害对方权益。因贿赂造成对方损失的应当赔偿损失。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1.9.1图纸和文件的保密。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1.9.2发包人提供的图纸和文件，未经发包人同意，承包人不得为合同以外的目的泄露给他人或公开发表与引用。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1.9.3承包人提供的文件，未经承包人同意，发包人和监理人不得为合同以外的目的泄露给他人或公开发表与引用。  </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1.10 化石、文物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1.10.2 承包人发现文物后不及时报告或隐瞒不报，致使文物丢失或损坏的，应赔偿损失，并承担相应的法律责任。</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1.11 专利技术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1.11.1 承包人在使用任何材料、承包人设备、工程设备或采用施工工艺时，因侵犯专利权或其他知识产权所引起的责任，由承包人承担，但由于遵照发包人提供的设计或技术标准和要求引起的除外。</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1.11.2 承包人在投标文件中采用专利技术的，专利技术的使用费包含在投标报价内。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1.11.3 承包人的技术秘密和声明需要保密的资料和信息，发包人和监理人不得为合同以外的目的泄露给他人。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1.11.4　合同实施过程中，发包人要求承包人采用专利技术的，发包人应办理相应的使用手续，承包人应按发包人约定的条件使用，并承担使用专利技术的相关试验工作，所需费用由发包人承担。    </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1.12 图纸和文件的保密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1.12.1 发包人提供的图纸和文件，未经发包人同意，承包人不得为合同以外的目的泄露给他人或公开发表与引用。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1.12.2 承包人提供的文件，未经承包人同意，发包人和监理人不得为合同以外的目的泄露给他人或公开发表与引用。</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 发包人义务   </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2.1遵守法律</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发包人在履行合同过程中应遵守法律，并保证承包人免于承担因发包人违反法律而引起的任何责任。</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2.2发出开工通知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发包人应委托监理人按第11.1款的约定向承包人发出开工通知。</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2.3提供施工场地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2.3.1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2.3.2发包人提供的施工用地范围在专用合同条款中约定。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2.3.3除专用合同条款另有约定外，发包人应按技术标淮和要求(合同技术条款)的约定，向承包人提供施工场地内的工程地质图纸和报告，以及地下障碍物图纸等施工场地有关资料，并保证资料的真实、准确、完整。</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2.4协助承包人办理证件和批件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发包人应协助承包人办理法律规定的有关施工证件和批件。</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2.5组织设计交底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发包人应根据合同进度计划，组织设计单位向承包人进行设计交底。</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2.6支付合同价款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发包人应按合同约定向承包人及时支付合同价款。</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2.7组织竣工验收(组织法人验收)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发包人应按合同约定及时组织竣工验收。</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2.8其他义务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其它义务在专用合同条款中补充约定。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3 监理人</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3．1监理人的职责和权力</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3.1.2监理人发出的任何指示应视为已得到发包人的批准，但监理人无权免除或变更合同约定的发包人和承包人的权利、义务和责任。</w:t>
      </w:r>
    </w:p>
    <w:p>
      <w:pPr>
        <w:tabs>
          <w:tab w:val="left" w:pos="8280"/>
        </w:tabs>
        <w:spacing w:line="360" w:lineRule="auto"/>
        <w:ind w:firstLine="360" w:firstLineChars="150"/>
        <w:rPr>
          <w:rFonts w:hint="eastAsia" w:ascii="宋体" w:hAnsi="宋体" w:cs="宋体"/>
          <w:color w:val="auto"/>
          <w:sz w:val="24"/>
        </w:rPr>
      </w:pPr>
      <w:r>
        <w:rPr>
          <w:rFonts w:hint="eastAsia" w:ascii="宋体" w:hAnsi="宋体" w:cs="宋体"/>
          <w:color w:val="auto"/>
          <w:szCs w:val="21"/>
        </w:rPr>
        <w:t xml:space="preserve">3.1.3合同约定应由承包人承担的义务和责任，不因监理人对承包人提交文件的审查或批准，对工程、材料和设备的检查和检验，以及为实施监理作出的指示等职务行为而减轻或解除。 </w:t>
      </w:r>
      <w:r>
        <w:rPr>
          <w:rFonts w:hint="eastAsia" w:ascii="宋体" w:hAnsi="宋体" w:cs="宋体"/>
          <w:color w:val="auto"/>
          <w:sz w:val="24"/>
        </w:rPr>
        <w:t xml:space="preserve">  </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3.2总监理工程师</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发包人应在发出开工通知前将总监理工程师的任命通知承包人。总监理工程师更换时，应在调离14天前通知承包人。总监理工程师短期离开施工场地的，应委派代表代行其职责，并通知承包人。</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3.3监理人员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3.3.1总监理工程师可以授权其他监理人员负责执行其指派的一项或多项监理工作。总监理工程师应将被援权监理人员的姓名及其授权范围通知承包人。被授权的监理人员在授权范围内发出的指示视为己得到总监理工程师的同意，与总监理工程师发出的指示具有同等效力。总监理工程师撤销某项授权时，应将撤销授权的决定及时通知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3.3.2监理入员对承包入的任何工作、工程或其采用的材料和工程设备未在约定的或合理的期限内提出否定意见的，视为已获批准，但不影响监理人在以后拒绝该项工作、工程、材料或工程设备的权利。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3.3.3承包人对总监理工程师授权的监理人员发出的指示有疑问的，可向总监理工程师提出书面异议，总监理工程师应在48小时内对该指示予以确认、更改或撤销。</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3.3.4除专用合同条款另有约定外，总监理工程师不应将第3.5款约定应由总监理工程师作出确定的权力授权或委托给其他监理人员。</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3.4监理人的指示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3.4.1监理人应按第3.1款的约定向承包人发出指示，监理入的指示应盖有监理人授权的施工场地机构章，并由总监理工程师或总监理工程师按第3.3.1项约定授权的监理人员签字。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3.4.2承包人收到监理人按第3.4.1项作出的指示后应遵照执行。指示构成变更的，应按第23条处理。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3.4.3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3.4.4除合同另有约定外，承包入只从总监理工程师或按第3.3..1项被授权的l监理人员处取得指示。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3.4.5由于监理人未能按合同约定发出指示、指示延误或指示错误而导致承包人费用增加和(或)工期延误的，由发包人承担赔偿责任。</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3.5商定或确定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3.5.1合同约定总监理工程师应按照本款对任何事项进行商定或确定时，总监理工程师应与合同当事人协商，尽量达成一致。不能达成一致的，总监理工程师应认真研究后审慎确定。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3.5.2总监理工程币应将商定或确定的事项通知合同当事人，并附详细依据。对总监理工程师的确定有异议的，构成争议，按照第22条的约定处理。在争议解决前，双方应暂按总监理工程师的确定执行，按照第22条的约定对总监理工程师的确定作出修改的，按修改后的结果执行。</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4 承包人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4.1承包人的一般义务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4.1.1遵守法律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承包人在履行合同过程中应遵守法律，并保证发包人免于承担因承包人违反法律而引起的任何责任。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4.1.2依法纳税</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承包人应按有关法律规定纳税，应缴纳的税金包括在合同价格内。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4.1.3完成各项承包工作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4.1.4对施工作业和施工方法的完备性负责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承包人应按合同约定的工作内容和工 进度要求，编制  组织设计和施工措施计划，并对所有施工作业和施工方法的完备性和安全可靠性负责。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4.1.5保证工程施工和人员的安全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承包人应按第9.2款约定采取施工安全措施，确保工程及其人员、材料、设备和设施的安全，防止因工程施工造成的人身伤害和财产损失。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4.1.6负责施工场地及其周边环境与生态的保护工作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承包人应按照第9.4款约定负责施工场地及其周边环境与生态的保护工作。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4.1.7避免施工对公众与他人的利益造成损害</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入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4.1.8为他人提供方便</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承包人应按监理人的指示为他人在施工场地或附近实施与工程有关的其他各项工作提供可能的条件。除合同另有约定外，提供有关条件的内容和可能发生的费用，由监理人按第3.5款商定或确定。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4.1.9工程的维护和照管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 xml:space="preserve">4.2履约担保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承包人应保证其履约担保在发包入颁发合同工程完工证书前一直有效发包入应在合同工程完工证书颁发后28天内将履约担保退还给承包人。</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4.3分包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4.3.1承包人不得将其承包的全部工程转包给第三人，或将其承包的全部工程肢解后以分包的名义转包给。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4.3.2承包人不得将工程主体、关键性工作分包给第三人。除专用合同条款另有约定外，未经发包人同意，承包人不得将工程的其他部分或工作分包给第三人。</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4.4承包人项目经理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4.4.1承包人应按合同约定指派项目经理，并在约定的期限内到位。承包人更换项目经理应事先征得发包人同意，并应在更换14天前通知发包人和监理人。承包人项目经理短期离开施工场地，应事先征得监理人同意，并委派代表代行其职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4.4.2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4.4.3承包人为履行合同发出的一切函件均应盖有承包人授权的施工场地管理机构章，并由承包人项目经理或其授权代表签字。</w:t>
      </w:r>
    </w:p>
    <w:p>
      <w:pPr>
        <w:tabs>
          <w:tab w:val="left" w:pos="8280"/>
        </w:tabs>
        <w:spacing w:line="360" w:lineRule="auto"/>
        <w:ind w:firstLine="360" w:firstLineChars="150"/>
        <w:rPr>
          <w:rFonts w:hint="eastAsia" w:ascii="宋体" w:hAnsi="宋体" w:cs="宋体"/>
          <w:color w:val="auto"/>
          <w:sz w:val="24"/>
        </w:rPr>
      </w:pPr>
      <w:r>
        <w:rPr>
          <w:rFonts w:hint="eastAsia" w:ascii="宋体" w:hAnsi="宋体" w:cs="宋体"/>
          <w:color w:val="auto"/>
          <w:szCs w:val="21"/>
        </w:rPr>
        <w:t xml:space="preserve">4.4.4承包人项目经理可以授权其下属人员履行其某项职责，但事先应将这些人员的姓名和授权范围通知监理人。 </w:t>
      </w:r>
      <w:r>
        <w:rPr>
          <w:rFonts w:hint="eastAsia" w:ascii="宋体" w:hAnsi="宋体" w:cs="宋体"/>
          <w:color w:val="auto"/>
          <w:sz w:val="24"/>
        </w:rPr>
        <w:t xml:space="preserve">   </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4.6承包人人员的管理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4.6.1承包入应在接到开工通知后28天内，向监理入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4.6.2为完成合同约定的各项工作，承包人应向施工场地派遣或雇佣足够数量的下列人员：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(1)具有相应资格的专业技工和合格的普工；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(2)具有相应施工经验的技术人员；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(3)具有相应岗位资格的各级管理入员。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4.6.3承包人安排在施工场地的主要管理人员和技术骨干应相对稳定。承包人更换主要管理人员和技术骨干时，应取得监理人的同意。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4.6.4特殊岗位的工作人员均应持有相应的资格证明，监理人有权随时检查。监理人认为有必要时，可进行现场考核。</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4.7撤换承包人项目经理和其他人员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承包人应对其项目经理和其他人员进行有效管理。监理人要求撤换不能胜任本职工作、行为不端或玩忽职守的承包人项目经理和其他人员的，承包人应予以撤换。</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4.8保障承包人人员的合法权益</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4.8.1承包人应与其雇佣的人员签订劳动合同，并按时发放工资。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4.8.2承包人应按劳动法的规定安排工作时间，保证其雇佣人员享有休息和休假的权利。因工程施工的特殊需要占用休假日或延长工作时间的，应不超过法律规定的限度，并按法律规定给予补休或付酬。</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4.8.3承包人应为其雇佣人员提供必要的食宿条件，以及符合环境保护和卫生要求的生活环境，在远离城镇的施工场地，还应配备必要的伤病防治和急救的医务人员与医疗设施。</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4.8.4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4.8.5承包人应按有关法律规定和合同约定，为其雇佣人员办理保险。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4.8.6承包人应负责处理其雇佣人员因工伤亡事故的善后事宜。</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 xml:space="preserve">4.9工程价款应专款专用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发包人按合同约定支付给承包人的各项价款应专用于合同工程。</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4.10承包人现场查勘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4.10.1发包人应将其持有的现场地质勘探资料、水文气象资料提供给承包人并对其准确性负责。但承包人应对其阅读上述有关资料后所作出的解释和推断负责。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4.10.2承包人应对施工场地和周围环境进行查勘，并收集有关地质、水文、气象条件、交通条件、风俗习惯以及其他为完成合同工作有关的当地资料。在全部合同工作中，应视为承包人己充分估计了应承担的责任和风险。</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 xml:space="preserve">4.11不利物质条件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4.11.1除专用合同条款另有约定外，不利物质条件是指在施工中遭遇不可预见的外界障碍或自然条件造成施工受阻。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4.11.2承包人遇到不利物质条件时，应采取适应不利物质条件的合理措施继续施工，并及时通知监理人。承包人有权根据第21.1款的约定，，要求延长工期及增加费用。监理人收到此类要求后，应在分析上述外界障碍或自然条件是否不可预见及不可预见程度的基础上，按照通用合同条款第15条的约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5 材料和工程设备    </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5.1承包人提供的材料和工程设备</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5.1.1除第5.2款约定由发包人提供的材料和工程设备外，承包人负责采购、运输和保管完成本合同工作所需的材料和工程设备。承包人应对其采购的材料和工程设备负责。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5.1.2承包人应按专用合同条款的约定，将各项材料和工程设备的供货人及品种、规格、数量和供货时间等报送监理人审批。承包人应向监理人提交其负责提供的材料和工程设备的量证明文件，并满足合同约定的质量标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5.2禁止使用不合格的材料和工程设备</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5.2.1监理人有权拒绝承包人提供的不合格材料或工程设备，并要求承包人立即进行更换。监理人应在更换后再次进行检查和检验，由此增加的费用和(或)工期延误由承包人承担。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5.2.2监理人发现承包人使用了不合格的材料和工程设备，应即时发出指示要求承包人立即改正，并禁止在工程中继续使用不合格的材料和工程设备。</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6 施工设备和临时设施</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6.1承包人提供的施工设备和临时设施</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6.1.1承包人应按合同进度计划的要求，及时配置施工设备和修建临时设施。进入施工场地的承包人设备需经监理人核查后才能投入使用。承包人更换合同约定的承包人设备的，立即报监理人批准。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6.1.2除专用合同条款另有约定外，承包人应自行承担修建临时设施的费用，需要临时占地的，应由发包人办理申请手续并承担相应费用。</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6.3要求承包人增加或更换施工设备</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承包人使用的施工设备不能满足合同进度计划和(或)质量要求时，监理人有权要求承包人增加或更换施工设备，承包人应及时增加或更换，由此增加的费用和(或)工期延误由承包人承担。</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6.4施工设备和临时设施专用于合同工程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6.4.1除合同另有约定外，运入施工场地的所有施工设备以及在施工场地建设的临时设施应专用于合同工程。未经监理人同意，不得将上述施工设备和临时设施中的任何部分运出施工场地或挪作他用。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6.4.2经监理人同意，承包人可根据合同进度计划撤走闲置的施工设备。</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7 交通运输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7.1道路通行权和场外设施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7.2场内施工道路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承包人修建的临时道路和交通设施，应免费提供发包人、监理人以及与本合同有关的其他承包人使用。</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7.3场外交通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7.3.1承包人车辆外出行驶所需的场外公共道路的通行费、养路费和税款等由承包人承担。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7.3.2承包人应遵守有关交通法规，严格按照道路和桥梁的限制荷重安全行驶，并服从交通管理部门的检查和监督。</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8 测量放线</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8.1施工控制网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8.1.2承包人应负责管理施工控制网点。施工控制网点丢失或损坏的，承包人应及时修复。承包人应承担施工控制网点的管理与修复费用，并在工程竣工后将施工控制网点移交发包人。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8.2施工测量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8.2.1承包人应负责施工过程中的全部施工测量放线工作，并配置合格的人员、仪器、设备和其他物品。</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8.2.2监理人可以指示承包人进行抽样复测，当复测中发现错误或出现超过合同约定的误差时，承包人应按监理人指示进行修正或补测，并承担相应的复测费用。</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8.3基准资料错误的责任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8.4监理人使用施工控制网</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监理人需要使用施工控制网的，承包人应提供必要的协助，发包人不再为此支付费用。</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8.5补充地址勘探</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合同实施期间，监理人可以指示承包人进行必要的补充地址勘探并提供有关资料。承包人为本合同永久工程的需要进行补充地址勘探时，须经监理人批准，并向监理人提交有关资料，上述补充勘探的费用由发包人承担。承包人为其峰时工程设计及施工的需要进行的补充地质勘探，其费用由承包人承担。</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 施工安全、治安保卫和环境保护</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9.1发包人的施工安全责任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9.1.1发包人应按合同约定履行安全职责。发包人委托代理人根据国家有关安全的法律、法规、强制性标准以及部门规章，对承包人的安全责任履行情况进行监督和检查。监理人的监督检查不减轻承包人应负的安全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9.1.2发包人应对其现场机构雇佣的全部人员的工伤事故承担责任，但由于承包人原因造成发包人人员工伤的，应由承包人承担责任。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9.1.3发包人应负责赔偿以下各种情况造成的第三者人身伤亡和财产损失；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（1）工程或工程的任何部分对土地的占用所造成的第三者财产损失；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（2）由于发包人原因在施工场及其毗邻地带造成的第三者人身伤亡和财产损失。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9.1.4除专用合同条款另有约定外，发包人负责向承包人提供施工现场及施工可能影响的毗邻区域供水、排水、供电、供气、供热、通信、广播电视等地下管线资料，气象和水文观测资料，拟建工程可能影响的相邻建筑物地下工程的有关资料，并保证有关资料在真实、准确、完整，满足有关技术规程的要求。</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9.1.5发包人按照已标价工程量清单所列金额和合同约定的计量支付规定，支付安全作业环境及安全施工措施所有费用。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9.1.6发包人负责组织工程参建单位编制保证安全生产的措施方案。工程开工前，就落实保证安全生产的措施进行全面系统的布置，进一步明确承包人的安全生产责任。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9.1.7发包人负责在拆除工程和爆破工程施工14天前向有关部门或机构报送相关备案资料。</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9.2承包人的施工安全责任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9.2.1承包人应按合同约定履行安全职责，执行监理人有关安全工作指示。承包人应按技术标准和要求（合同技术条款）约定的内容和期限，以及监理人的指示，编制施工安全技术措施提交监理人审批。监理人应在技术标准和要求（合同技术条款）约定的期限内批复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9.2.2承包人应加强施工作业安全管理，特别应加强易爆、易爆材料、火工器材、有毒与腐蚀材料和其他危险品管理，以及对爆破作业和地下工程施工危险作业的管理。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9.2.3承包人应严格按照国家安全标准制定施工安全操作规程，配备必要的安全生产和劳动保护设施，加强对承包人人员的安全教育，并发放安全工作手册和劳动保护用具。</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9.2.4承包人应按监理人的指示制定应对灾害的紧急预案，报送监理人审批。承包人还应按预案做好安全监察，配置必要的救助物资和器材，切实保护好有关人员的人身和财产安全。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9.2.5合同约定的安全作业环境及安全施工措施所需费用应遵守有关规定，并包括在相关工作合同价格中。因采取合同未约定的安全作业环境及安全施工措施增加的费用，由监理人按第3.5款商定或确定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9.2.6承包人应对其履行合同所雇用的全部人员，包括分包人人员的工伤事故承担责任，但由于发包人原因造成承包人人员工伤事故的，应由发包人承担责任。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9.2.7由于承包人原因在施工地内及其毗邻地带造成的第三者人员伤亡和财产损失，由承包人负责赔偿。</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 3治安保卫</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9.3.1除合同另有约定外，发包人应与当地公安部门协商，在现场建立治安管理机构或联络组织，统一管理施工场地的治安保卫事项，履行合同工程的治安保卫职责。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9.3.2发包人和承包人除应协助现场治安管理机构联络组织维护施工场地的社会治安外，还应做好包括生活区在内的各自管辖区的治安保卫工作。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9.3.3除合同另有约定外，发包人金额承包人应在工程开工后，共同编制施工场地治安管理计划，并制定应对突发治安事件的紧急预案。在工程施工过程中，发生暴乱、爆炸等恐怖事件，以及群殴、械斗等群体性突发治安事件的，发包人和承包人应在立即向当地政府报告。发包人和承包人应积极协助当地协助当地有关部门采取措施平息事态，防止事态扩大，尽量减少财产损失和避免人员伤亡。</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9.4环境保护</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9.4.1承包人在施工过程中，应遵守有关环境保护的法律，履行合同约定的环境保护义务，并对违反法律和合同约定义务所造成的环境破坏、人身伤害和财产损失负责。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9.4.2承包人应按合同约定的环保工作内容，编制施工环保措施计划，报送监理人审批。</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9.4.3承包人应按照批准的施工环保工作措施计划有序地堆放和处理施工废弃物，避免对环境造成破坏。因承包人任意堆放或弃置施工废弃物造成妨碍公共交通、影响城镇居民生活、降低河流排洪能力、危机居民安全、破坏周边环境，或者影响其他承包人施工等后果的，承包人承担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9.4.4承包人应按合同约定采取措施，对施工开挖的边坡及时进行支护，维护排水设施，并进行水土保护，避免应施工造成的地质灾害。</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9.4.5承包人应按国家饮用水管理标准定期对饮用进行检测，防止施工活动污染饮用水源。</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9.4.6承包人应按合同约定，加强对嗓声、粉尘、废弃、废水和废油的控制，努力降低嗓声，控制粉尘和废气浓度，做好废水和废油的治理和排放。</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9.5事故处理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9.5.1发包人负责组织参建单位制定本工程的质量与安全事故应急预案，建立质量与安全事故应急处置指挥部。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9.5.2承包人应对施工现场易发生重大事故的部位、环节进行监控，配备救援器材、设备，并定期组织检查。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9.5.3工程开工前，承包人应根据本工程的特点制定施工现场施工质量与安全事故应急预案，并报发包人备案。</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9.5.4施工过程中发生事故时，发包人、承包人应立即启动应急预案。</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9.5.5事故调查处理理由发包人按相关规定履行手续，承包人应配合。</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9.6水土保持</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9.6.1发包人应及时向承包人提供水土保持方案。</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9.6.2承包人在施工过程中，应遵守有关水土保持的法律法规和规章，履行合同约定的水土保持义务，并对其违反法律和合同约定义务所造成的水土流失灾害、人身伤害和财产损失负责。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9.6.3承包人的水土保持措施计划，应满足技术标准和要求（合同技术条款）约定的要求。</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9.7文明工地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9.7.1发包人应按专用合同条款的约定，负责建立创建文明建设工地的组织机构，制定创建文明建设工地的规划和办法。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9.7.2承包人应按创建文明建设工地的规划和办法，履行职责，一承担相应责任。所需费用应含在已标价工程量清单中。</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9.8防汛度汛</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9.8.1发包人负责组织工程参建单位编制本工程的防讯有案和措施。</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9.8.2承包人应根据发包人编制的本工程度汛方案和措施，制定相应的度汛方案，报发包人批准后实施。</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10 进度计划</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10.1合同进度计划</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10.2合同进度计划的修订</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10.3单位工程进度计划</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监理人认为有必要时，承包人应按监理人指示的内容和期限，并根据合同进度计划的进度控制要求，编制单位工程进度计划，提交监理人审批。</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 xml:space="preserve">10.4提交资金流估算表  </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                     资金流估算表(参考格式)                     金额单位</w:t>
      </w:r>
    </w:p>
    <w:tbl>
      <w:tblPr>
        <w:tblStyle w:val="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472"/>
        <w:gridCol w:w="1259"/>
        <w:gridCol w:w="1416"/>
        <w:gridCol w:w="1416"/>
        <w:gridCol w:w="1101"/>
        <w:gridCol w:w="944"/>
        <w:gridCol w:w="472"/>
        <w:gridCol w:w="83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72"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ind w:left="-329" w:leftChars="-137"/>
              <w:jc w:val="center"/>
              <w:rPr>
                <w:rFonts w:hint="eastAsia" w:ascii="宋体" w:hAnsi="宋体" w:cs="宋体"/>
                <w:color w:val="auto"/>
                <w:sz w:val="18"/>
                <w:szCs w:val="18"/>
              </w:rPr>
            </w:pPr>
            <w:r>
              <w:rPr>
                <w:rFonts w:hint="eastAsia" w:ascii="宋体" w:hAnsi="宋体" w:cs="宋体"/>
                <w:color w:val="auto"/>
                <w:sz w:val="18"/>
                <w:szCs w:val="18"/>
              </w:rPr>
              <w:t xml:space="preserve">   年</w:t>
            </w:r>
          </w:p>
        </w:tc>
        <w:tc>
          <w:tcPr>
            <w:tcW w:w="472"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月</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工程工作</w:t>
            </w:r>
          </w:p>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付款</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完成工作量</w:t>
            </w:r>
          </w:p>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付款</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质量保证金</w:t>
            </w:r>
          </w:p>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扣留</w:t>
            </w:r>
          </w:p>
        </w:tc>
        <w:tc>
          <w:tcPr>
            <w:tcW w:w="1101"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材料款</w:t>
            </w:r>
          </w:p>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扣除</w:t>
            </w:r>
          </w:p>
        </w:tc>
        <w:tc>
          <w:tcPr>
            <w:tcW w:w="944"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预款扣还</w:t>
            </w:r>
          </w:p>
        </w:tc>
        <w:tc>
          <w:tcPr>
            <w:tcW w:w="472"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其它</w:t>
            </w:r>
          </w:p>
        </w:tc>
        <w:tc>
          <w:tcPr>
            <w:tcW w:w="836"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应收款</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tabs>
                <w:tab w:val="left" w:pos="1734"/>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累计应</w:t>
            </w:r>
          </w:p>
          <w:p>
            <w:pPr>
              <w:tabs>
                <w:tab w:val="left" w:pos="1734"/>
                <w:tab w:val="left" w:pos="8280"/>
              </w:tabs>
              <w:spacing w:line="360" w:lineRule="auto"/>
              <w:jc w:val="center"/>
              <w:rPr>
                <w:rFonts w:hint="eastAsia" w:ascii="宋体" w:hAnsi="宋体" w:cs="宋体"/>
                <w:color w:val="auto"/>
                <w:sz w:val="18"/>
                <w:szCs w:val="18"/>
              </w:rPr>
            </w:pPr>
            <w:r>
              <w:rPr>
                <w:rFonts w:hint="eastAsia" w:ascii="宋体" w:hAnsi="宋体" w:cs="宋体"/>
                <w:color w:val="auto"/>
                <w:sz w:val="18"/>
                <w:szCs w:val="18"/>
              </w:rPr>
              <w:t>收款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41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41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101"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944"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83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05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41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41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101"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944"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83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05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41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41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101"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944"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47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836"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c>
          <w:tcPr>
            <w:tcW w:w="1052" w:type="dxa"/>
            <w:tcBorders>
              <w:top w:val="single" w:color="auto" w:sz="4" w:space="0"/>
              <w:left w:val="single" w:color="auto" w:sz="4" w:space="0"/>
              <w:bottom w:val="single" w:color="auto" w:sz="4" w:space="0"/>
              <w:right w:val="single" w:color="auto" w:sz="4" w:space="0"/>
            </w:tcBorders>
            <w:noWrap w:val="0"/>
            <w:vAlign w:val="top"/>
          </w:tcPr>
          <w:p>
            <w:pPr>
              <w:tabs>
                <w:tab w:val="left" w:pos="8280"/>
              </w:tabs>
              <w:spacing w:line="360" w:lineRule="auto"/>
              <w:rPr>
                <w:rFonts w:hint="eastAsia" w:ascii="宋体" w:hAnsi="宋体" w:cs="宋体"/>
                <w:color w:val="auto"/>
                <w:szCs w:val="21"/>
              </w:rPr>
            </w:pPr>
          </w:p>
        </w:tc>
      </w:tr>
    </w:tbl>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11 开工和竣工</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11.1开工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11.1.1监理人应在开工日期7天前向承包人发出开工通知。监理人在发出开工通知前应获得发包人同意。工期自监理人发出的开工通知中载明的开工日期起计算。承包人应在开工日期后尽快施工。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11.1.2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11.1.3若发包人未能按合同约定向承包人提供开工的必要条件，承包人有权要求延长工期。监理人应在收到承包人的书面要求后，按第3.5款的约定，与合同双方商定或确定增加的费用和延长的工期。</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11.1.4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11.2竣工(完工)</w:t>
      </w:r>
    </w:p>
    <w:p>
      <w:pPr>
        <w:tabs>
          <w:tab w:val="left" w:pos="8280"/>
        </w:tabs>
        <w:spacing w:line="360" w:lineRule="auto"/>
        <w:ind w:firstLine="360" w:firstLineChars="150"/>
        <w:rPr>
          <w:rFonts w:hint="eastAsia" w:ascii="宋体" w:hAnsi="宋体" w:cs="宋体"/>
          <w:color w:val="auto"/>
          <w:sz w:val="24"/>
        </w:rPr>
      </w:pPr>
      <w:r>
        <w:rPr>
          <w:rFonts w:hint="eastAsia" w:ascii="宋体" w:hAnsi="宋体" w:cs="宋体"/>
          <w:color w:val="auto"/>
          <w:szCs w:val="21"/>
        </w:rPr>
        <w:t xml:space="preserve">承包人应在第1.1.4.3目约定的期限内完成合同工程。合同工程实际完工日期在合同工程完工证书中明确。 </w:t>
      </w:r>
      <w:r>
        <w:rPr>
          <w:rFonts w:hint="eastAsia" w:ascii="宋体" w:hAnsi="宋体" w:cs="宋体"/>
          <w:color w:val="auto"/>
          <w:sz w:val="24"/>
        </w:rPr>
        <w:t xml:space="preserve">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11.3发包人的工期延误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在履行合同过程中，由于发包人的下列原因造成工期延误的，承包人有权要求发包人延长工期和(或)增加费用，并支付合理利润。需要修订合同进度计划的，按照第10.2款的约定办理。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(1)增加合同工作内容；</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(2)改变合同中任何一项工作的质量要求或其他特性；</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(3)发包人迟延提供材料、工程设备或变更交货地点的；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(4)因发包人原因导致的暂停施工；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(5)提供图纸延误；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(6)未按合同约定及时支付预付款、进度款；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(7)发包人造成工期延误的其他原因。</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11.4异常恶劣的气候条件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11.4.1当工程所在地发生危及施工安全的异常恶劣气候时，发包人和承包人应按本合同通用合同条款第12条的约定，及时采取暂停施工或部分暂停施工措施。异常恶劣气候条件解除后，承包人应及时安排复工。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11.4.2异常恶劣气候条件造成的工期延误和工程损坏，应由发包人与承包人参照本合同通用合同条款第21.3款的约定协商处理。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11.4.3本合同工程界定异常恶劣气候条件的范围在专用合同条款中约定。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11.5承包人的工期延误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12 暂停施工</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12.1承包人暂停施工的责任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因下列暂停施工增加的费用和(或)工期延误由承包人承担：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(1)承包人违约引起的暂停施工；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(2)由于承包人原因为工程合理施工和安全保障所必需的暂停施工；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(3)承包人擅自暂停施工；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(4)承包人其他原因引起的暂停施工；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(5)专用合同条款约定由承包人承担的其他暂停施工。</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12.2发包人暂停施工的责任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由于发包人原因引起的暂停施工造成工期延误的，承包人有权要求发包人延长工期和(或)增加费用，并支付合理利润。属于下列任何一种情况引起的暂停施工，均为发包人的责任：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(1)由于发包人违约引起的暂停施工；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(2)由于不可抗力的自然或社会因素引起的暂停施工；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(3)专用合同条款中约定的其它由于发包人原因引起的暂停施工。</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12.3监理人暂停施工指示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12.3.1监理人认为有必要时，可向承包人作出暂停施工的指示，承包人应按监理人指示暂停施工。不论由于何种原因引起的暂停施工，暂停施工期间承包人应负责妥善保护工程并提供安全保障。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12.3.2由于发包人的原因发生暂停施工的紧急倩况，且监理人未及时下达暂停工示的，承包人可先暂停旅工，并及时向监理人提出暂停施工的书面请求。监理人应在接到书面请求后的24小时内予以答复，逾期未答复的，视为同意承包人的暂停施工请求。</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12.4暂停施工后的复工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12.4.2承包人无故拖延和拒绝复工的，由此增加的费用和工期延误由承包人承担；因发包人原因无法按时复工的，承包人有权要求发包人延长工期和(或)增加费用，并支付合理利润。</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12.5暂停施工持续56天以上</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20.2款的规定办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12.5.2由于承包人责任引起的暂停施工，如承包人在收到监理人暂停施工指示后56天内不认真采取有效的复工措施，造成工期延误，可视为承包人违约，应按第20.1款的规定办理。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13 工程质量</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13.1工程质量要求</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13.1.1工程质量验收按合同约定验收标准执行。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13.1.2因承包人原因造成工程质量达不到合同约定验收标准的，监理人有权要求承包人返工直至符合合同要求为止．由此造成的费用增加和(或)工期延误由承包人承担。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13.1.3因发包人原因造成工程质量达不到合同约定验收标准的，发包人应承担由于承包人返工造成的费用增加和(或)工期延误，并支付承包人合理利润。</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 xml:space="preserve">13.2承包人的质量管理   </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13.2.1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规定的期限内批复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13.2.2承包人应加强对施工人员的质量教育和技术培训，定期考核施工人员的劳动技能严格执行规范和操作规程。</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13.3承包人的质量检查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承包人应按合同约定对材料、工程设备以及工程的所有部位及其施工工艺进行全过程的质量检查和检验，并作详细记录，编制工程质量报表，报送监理人审查。</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13.4监理人的质量检查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实验、工程复核测量和设备性能检测，提供试验样品、提交试验报告和测量成果以及监理人要求进行的其他工作。监理人的检查和检验，不免除承包人按合同约定应负的责任。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13.5工程隐蔽部位覆盖前的检查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13.5.1通知监理人检查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经承包人自检确认的工程隐蔽部位具备覆盖条件后，承包人应通知监理人在约定的期限的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13.5.2监理人未到场检查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13.5.3监理人重新检查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13.5.4承包人私自覆盖</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承包人未通知监理人到场检查，私自将工程隐蔽部位覆盖的，监理人有权指示承包人钻孔探测或揭开检查，由此增加的费用和(或)工期延误由承包人承担。</w:t>
      </w:r>
    </w:p>
    <w:p>
      <w:pPr>
        <w:tabs>
          <w:tab w:val="left" w:pos="8280"/>
        </w:tabs>
        <w:spacing w:line="360" w:lineRule="auto"/>
        <w:ind w:right="-360" w:rightChars="-150"/>
        <w:rPr>
          <w:rFonts w:hint="eastAsia" w:ascii="宋体" w:hAnsi="宋体" w:cs="宋体"/>
          <w:color w:val="auto"/>
          <w:sz w:val="24"/>
        </w:rPr>
      </w:pPr>
      <w:r>
        <w:rPr>
          <w:rFonts w:hint="eastAsia" w:ascii="宋体" w:hAnsi="宋体" w:cs="宋体"/>
          <w:b/>
          <w:color w:val="auto"/>
          <w:sz w:val="24"/>
        </w:rPr>
        <w:t>13.6清除不合格工程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tabs>
          <w:tab w:val="left" w:pos="8280"/>
        </w:tabs>
        <w:spacing w:line="360" w:lineRule="auto"/>
        <w:ind w:right="-360" w:rightChars="-150"/>
        <w:rPr>
          <w:rFonts w:hint="eastAsia" w:ascii="宋体" w:hAnsi="宋体" w:cs="宋体"/>
          <w:b/>
          <w:color w:val="auto"/>
          <w:sz w:val="24"/>
        </w:rPr>
      </w:pPr>
      <w:r>
        <w:rPr>
          <w:rFonts w:hint="eastAsia" w:ascii="宋体" w:hAnsi="宋体" w:cs="宋体"/>
          <w:b/>
          <w:color w:val="auto"/>
          <w:sz w:val="24"/>
        </w:rPr>
        <w:t>13.7质量评定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13.7.1发包人应组织承包人进行工程项目划分，并确定单位工程、主要分部工程、重要隐蔽单元工程和关键部位单元工程。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13.7.2工程实施过程中，单位工程、主要分部工程、重要隐蔽单元工程和关键部位单元工程的项目划分需要调整时，承包人应报发包人确认。</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13.7.3承包人应在单元(工序)工程质量自评合格后，报监理人核定质量等级并签证认可。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13.7.4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13.7.5承包人应在分部工程质量自评合格后，报监理人复核和发包人认定。发包人负责按有关规定完成分部工程质量结论报工程质量监督机构核备(核定)手续。</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13.7.6承包人应在单位工程质量自评合格后，报监理人复核和发包人认定。发包人负责按有关规定完成单位工程质量结论报工程质量监督机构核定手续。    </w:t>
      </w:r>
    </w:p>
    <w:p>
      <w:pPr>
        <w:tabs>
          <w:tab w:val="left" w:pos="8280"/>
        </w:tabs>
        <w:spacing w:line="360" w:lineRule="auto"/>
        <w:ind w:firstLine="360" w:firstLineChars="150"/>
        <w:rPr>
          <w:rFonts w:hint="eastAsia" w:ascii="宋体" w:hAnsi="宋体" w:cs="宋体"/>
          <w:color w:val="auto"/>
          <w:sz w:val="24"/>
        </w:rPr>
      </w:pPr>
      <w:r>
        <w:rPr>
          <w:rFonts w:hint="eastAsia" w:ascii="宋体" w:hAnsi="宋体" w:cs="宋体"/>
          <w:color w:val="auto"/>
          <w:szCs w:val="21"/>
        </w:rPr>
        <w:t xml:space="preserve">13.7.7除专用合同条款另有约定外，工程质量等级分为合格和优良，应分别达到约定的标准。  </w:t>
      </w:r>
      <w:r>
        <w:rPr>
          <w:rFonts w:hint="eastAsia" w:ascii="宋体" w:hAnsi="宋体" w:cs="宋体"/>
          <w:color w:val="auto"/>
          <w:sz w:val="24"/>
        </w:rPr>
        <w:t xml:space="preserve">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13.8质量事故处理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13.8.1发生质量事故时，承包人应及时向发包人和监理人报告。</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13.8.2质量事故调查处理由发包人按相关规定履行手续，承包人应配合。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13.8.3承包人应对质量缺陷进行备案。发包人委托监理人对质量缺陷备案情况进行监督检查并履行相关手续。</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13.8.4除专用合同条款另有约定外，工程竣工验收时，发包人负责向竣工验收委员会汇报并提交历次质量缺陷处理的备案资料。</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14 试验和检验</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14.1材料、工程设备和工程的试验和检验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14.1.1承包人应按合同约定进行材料、工程设备和工程的试验和检查，并为监理人对上述材料、工程设备和工程的质量检查提供必要的试验资料和原始记录。按合同约定应由监理人与承包人共同进行试验和检验的，由承包人负责提供必要的试验资料和原始记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14.1.2监理人为按合同约定派员参加试验和检验的，除监理人另有指示外，承包人可自行试验和检验，并应立即将试验和检验结果报送监理人，监理人应等签字确认。</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14.1.3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同利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14.1.4承包人应按相关规定和标准对水泥、水工金属结构、启闭机及机电产品进场后，监理人组织发包人按合同进行检验，并报监理人复核。</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14.1.5除专用合同条款另有约定外，水工金属结构、启闭机及机电产品进场后，监理人组织发包人按合同进行交货检查和验收。安装前，承包人验检查产品是否有出厂合格证、设备安装说明书及有关技术文件，对在运输和存放过程中发生的变形、受潮、损坏等问题应作好记录，并进行妥善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14.1.6对专用合同条款约定的试块、试件及有关材料，监理人实行见证取样。见证取样资料由承包人制备，记录应真实齐全，监理人、承包人等参与见证取样人员均应在相关文件上签字。</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14.2现场材料试验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14.2.1承包人根据合同约定或监理人指示进行的现场材料试验，应由承包人提供试验场所、试验人员、试验设备器材以及其他必要的试验条件。</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14.2.2监理人在必要时可以使用人的试验场所、试验设备器材以及其他试验条件，进行以工程质量检查为目的的复核性材料试验，承包人应予以协助。</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15 变更</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15.1变更的范围和内容</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在履行合同发生以下情形之一，应按照本款规定进行变更。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（1）取消合同中任何一项工作，但被取消的工作不能转由发包人或其它人实施：</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（2）改变合同任何一项工作的质量或其它特性；</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（3）改变合同工程的基线、标高、位置或尺寸；</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（4）改变合同任何一项工作的施工时间或改变已批准的施工工艺或顺序；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（5）为完成工程需要追加的额外工作；</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（6）增加或减少专用条款中约定的关键项目工程量超过其工程总量的一定数量百分比。</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上述第（1）～（6）目的变更内容引起工程施工组织和进度计划发生实质性变动和影响其原定的价格时，才予调整该项目的单价。第（6）目的情形下单价调整方式在专用合同条款中约定。</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15.2变更权</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在履行合同过程中，经发包人同意，监理人可按第15.3款约定变更程序向承包人作出变更指示，承包人应遵照执行。没有监理人的变更指示，承包人不得擅自变更。</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15.3变更程序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15.3.1变更的提出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在合同履行过程中，可能发生地15.1款约定情形的，监理人可乡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更具变更意向书要求提交的变更实施方案的，由监理人按第15.3.3相约发出变更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（2）在合同履行过程中，发生地15.1款约定定情的，监理人应按照第15.3.3项约定向承包人发出变更指示。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承包人收到监理人按合同约定发出的图纸和文件，经检查认为其中存在第15.1款约定情形的，可向监理人提出书面变更建议，变更建议应阐明要求的依据，并附必要的图纸和说明。监理人收到承包人书面建议后，应先发包人共同研究，确认存在变更的，应在收到承包人书面建议后的14天内作出变更指示。经研究后不同意作为变更的应由监理人书面答复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（4）若承包人收到监理人的变更意向书后认为难以实施此项变更，应以即通知监理人，说明原因并附详细依据。监理人与承包人和发包人协商后确定撤销、改变或不改变原变更意向书。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15.3.2变更估价</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除专用合同条款对期限另有约定外，承包人应在收到变更指示或变更意向书后的14天内，向监理人提交变更标价书，报价内应根据第15.4款约定的估价原则，详细开列变更工作的价格组成其依据，并附必要的施工方法说明和有关图纸。</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（2）变更工作影响工期的，承包人应提出调整工期的具体细节。监理人认为有必要时，可要求承包人提交要求提前或延长工期的施工进度计划及相应施工措施等详细资料。</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（3）除专用合同条款对期限另有约定外，监理人收到承包人变更报价书后的14天内，根据第15.4款约定的估价原则，按照第3.5款商定或确定变更价格。</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15.3.3变更指示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（1）变更指示只能由监理人发出。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（2）变更指示应说变更的目的、范围、变更内容以及变更的工程量及其进度和技术要求，并附有关图纸和文件。承包人收到变更指示后，应按变更指示进行变更工作。</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15.4变更的估价原则</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除专用合同条款另有约定外，因变更引起的价格调整按照本款约定处理。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15.4.1己标价工程量清单中有适用于变更工作的子目的，采用该子目的单价。</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15.4.2己标价工程量清单中无适用于变更工作的子目，但有类似子目的，可在合理范围内参照类似子目的单价，由监理人按第3.5款商定或确定变更工作的单价。</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15.4.3己标价工程量清单中无适用或类似子目的单价，可按照成本加利润的原则，由监理人按第3.5款商定或确定变更工作的单价。</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15.5承包人的合理化建议</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15.5.1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15.5.2承包人提出的合理化建议降低了合同价格、缩短了工期或者提高了工程经济效益的，发包人可按国家有关规定在专用合同条款中约定给予奖励。</w:t>
      </w:r>
    </w:p>
    <w:p>
      <w:pPr>
        <w:tabs>
          <w:tab w:val="left" w:pos="8280"/>
        </w:tabs>
        <w:spacing w:line="360" w:lineRule="auto"/>
        <w:rPr>
          <w:rFonts w:hint="eastAsia" w:ascii="宋体" w:hAnsi="宋体" w:cs="宋体"/>
          <w:b/>
          <w:color w:val="auto"/>
          <w:sz w:val="24"/>
        </w:rPr>
      </w:pPr>
      <w:bookmarkStart w:id="178" w:name="_Toc184635113"/>
      <w:r>
        <w:rPr>
          <w:rFonts w:hint="eastAsia" w:ascii="宋体" w:hAnsi="宋体" w:cs="宋体"/>
          <w:b/>
          <w:color w:val="auto"/>
          <w:sz w:val="24"/>
        </w:rPr>
        <w:t>16．价格调整</w:t>
      </w:r>
      <w:bookmarkEnd w:id="178"/>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16.1 物价波动引起的价格调整</w:t>
      </w:r>
    </w:p>
    <w:p>
      <w:pPr>
        <w:tabs>
          <w:tab w:val="left" w:pos="8280"/>
        </w:tabs>
        <w:spacing w:line="360" w:lineRule="auto"/>
        <w:ind w:firstLine="361" w:firstLineChars="150"/>
        <w:rPr>
          <w:rFonts w:hint="eastAsia" w:ascii="宋体" w:hAnsi="宋体" w:cs="宋体"/>
          <w:color w:val="auto"/>
          <w:szCs w:val="21"/>
        </w:rPr>
      </w:pPr>
      <w:r>
        <w:rPr>
          <w:rFonts w:hint="eastAsia" w:ascii="宋体" w:hAnsi="宋体" w:cs="宋体"/>
          <w:b/>
          <w:color w:val="auto"/>
          <w:sz w:val="24"/>
        </w:rPr>
        <w:t xml:space="preserve">   </w:t>
      </w:r>
      <w:r>
        <w:rPr>
          <w:rFonts w:hint="eastAsia" w:ascii="宋体" w:hAnsi="宋体" w:cs="宋体"/>
          <w:color w:val="auto"/>
          <w:szCs w:val="21"/>
        </w:rPr>
        <w:t>由于物价波动原因引起合同价格需要调整的，其价格调整方式在专用合同条款中约定。除专用合同条款另有约定外，因物价波动引起的价格调整按照本款约定处理。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16.1.1 采用价格指数调整价格差额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16.1.1.1 价格调整公式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因人工、材料和设备等价格波动影响合同价格时，根据投标函附录中的价格指数和权重表约定的数据，按以下公式计算差额并调整合同价格。</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Ft1         Ft2         Ft3                 Ftn</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P=PO［A+｛B1×—＋B2×—＋B3×—＋…＋Bn×—｝－1］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F01        F02       F03              F04</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式中：△ P 一需调整的价格差额；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PO一第17.3.3 项、第17.5 .2 项和第17.6.2 项约定的付款证书中承包人应得到的己完成工程量的金额。此项金额应不包括价格调整、不计质量保证金的扣留和支付、预付款的支付和扣回。第15条约定的变更及其他金额已按现行价格计价的，也不计在内；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A ---定值权重（即不调部分的权重）；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B1；B2；B3；……Bn---各可调因子的变值权重（即可调部分的权重）为各可调因子在投标函投标总报价中所占的比例；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Ft1；Ft2；Ft3；……Ftn---各可调因子的现行价格指数，指第17.3.3 项、第17.5.2 项和第17.6.2 项约定的付款证书相关周期最后一天的前42天的各可调因子的价格指数；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F01；F02；F03；……F0n---各可调因子的基本价格指数，指基准日期的各可调因子的价格指数。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16.1.1.2 暂时确定调整差额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在计算调整差额时得不到现行价格指数的，可暂用上一次价格指数计算，并在以后的付款中再按实际价格指数进行调整。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16.1.1.3 权重的调整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按第15.1 款约定的变更导致原定合同中的权重不合理时，由监理人与承包人和发包人协商后进行调整。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16.1.1.4 承包人工期延误后的价格调整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由于承包人原因未在约定的工期内竣工的，则对原约定竣工日期后继续施工的工程，在使用第16.1.1. 1目价格调整公式时，应采用原约定竣工日期与实际竣工日期的两个价格指数中较低的一个作为现行价格指数。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16.1.2 采用造价信息调整价格差额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工程造价信息的来源以及价格调整的项目和系数在专用合同条款中约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16.2 法律变化引起的价格调整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在基准日后，因法律变化导致承包人在合同履行中所需要的工程费用发生除第16.1 款约定以外的增减时，监理人应根据法律、国家或省、自治区、直辖市有关部门的规定，按第3.5 款商定或确定需调整的合同价款。</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 计量与支付</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17.1计量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17.1.1计量单位：计量采用国家法定的计量单位。</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17.1.2计量方法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结算工程量应按工程量清单中约定的方法计量。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17.1.3计量周期</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除专用合同条款另有约定外，单价子目已完成工程量按月计量，总价子目的计量周期按批准的支付分解报告确定。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17.1.4单价子目的计量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(1)已标价工程量清单中的单价子目工程量为估算工程量。结算工程量是承包人实际完成的，并按合同约定的计量方法进行计量的工程量。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(2)承包人对己完成的工程进行计量，向监理人提交进度付款申请单、己完成工程量报表和有关计量资料。</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(4)监理人认为有必要时，可通知承包人共同进行联合测量、计量，承包人应遵照执行。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(6)监理人应在收到承包人提交的工程量报表后的7天内进行复核，监理人未在约定时间内复核的，承包人提交的工程量报表中的工程量视为承包人实际完成的工程量，据此计算工程价款。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17.1.5总价子目的计量总价子目的分解和计量按照下述约定进行。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(1)总价子目的计量和支付应以总价为基础，不因第16.1款中的因素而进行调整。承包人实际完成的工程量，是进行工程目标管理和控制进度支付的依据。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(3)监理人对承包人提交的上述资料进行复核，以确定分阶段实际完成的工程量和工程形象目标。对其有异议的，可要求承包人按第8.2款约定进行共同复核和抽样复测。</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(4)除按照第15条约定的变更外，总价子目的工程量是承包人用于结算的最终工程量。</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17.2预付款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17.2.1预付款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预付款用于承包人为合同工程施工购置材料、工程设备、施工设备、修建临时设施以及组织施工队伍进场等，分为工程预付款和工程材料预付款。预付款必须专用于合同工程。预付款的额度和预付办法在专用合同条款中约定。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17.2.2预付款保函(担保)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(1)承包人应在收到第一次工程预付款的同时向发包人提交工程预付款担保，担保金额应与第一次工程预付款金额相同，工程预付款担保在第一次工程预付款被发包人扣回前一直有效。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(2)工程材料预付款的担保在专用合同条款中约定。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(3)预付款担保的担保金额可根据预付款扣回的金额相应递减。</w:t>
      </w:r>
    </w:p>
    <w:p>
      <w:pPr>
        <w:tabs>
          <w:tab w:val="left" w:pos="8280"/>
        </w:tabs>
        <w:spacing w:line="360" w:lineRule="auto"/>
        <w:ind w:firstLine="360" w:firstLineChars="150"/>
        <w:rPr>
          <w:rFonts w:hint="eastAsia" w:ascii="宋体" w:hAnsi="宋体" w:cs="宋体"/>
          <w:color w:val="auto"/>
          <w:sz w:val="24"/>
        </w:rPr>
      </w:pPr>
      <w:r>
        <w:rPr>
          <w:rFonts w:hint="eastAsia" w:ascii="宋体" w:hAnsi="宋体" w:cs="宋体"/>
          <w:color w:val="auto"/>
          <w:szCs w:val="21"/>
        </w:rPr>
        <w:t>17.2.3预付款的扣回与还清预付款在进度付款中扣回，扣回与还清办法在专用合同条款中约定，由于不可抗力或其它原因解除合同时，预付款尚未扣清的，金额应作为承包人的到期应付款。</w:t>
      </w:r>
      <w:r>
        <w:rPr>
          <w:rFonts w:hint="eastAsia" w:ascii="宋体" w:hAnsi="宋体" w:cs="宋体"/>
          <w:color w:val="auto"/>
          <w:sz w:val="24"/>
        </w:rPr>
        <w:t xml:space="preserve">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17.3工程进度付款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16.3.1付款周期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付款周期同计量周期。</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16.3.2进度付款申请单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承包人应在每个付款周期末，按监理人批准的格式和专用合同条款约定的份数，向监理人提交进度付款申请单，并附相应的支持性证明文件。除专用合同条款另有约定外，进度付款申请单应包括下列内容：</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(1)截至本次付款周期末已实施工程的价款；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(2)根据第巧条应增加和扣减的变更金额；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(3)根据第21条应增加和扣减的索赔金额；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(4)根据第17.2款约定应支付的预付款和扣减的返还预付款；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(5)根据第17.4.1项约定应扣减的质量保证金；</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(6)根据合同应增加和扣减的其他金额。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17.3.3进度付款证书和支付时间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(2)发包人应在监理人收到进度付款申请单后的28天内，将进度应付款支付给承包人。发包人不按期支付的，按专用合同条款的约定支付逾期付款违约金。</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(3)监理人出具进度付款证书，不应视为监理人已同意、批准或接受了承包人完成的该部分工作。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(4)进度付款涉及政府投资资金的，按照国库集中支付等国家相关规定和专用合同条款的约定办理。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17.3.4工程进度付款的修正</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在对以往历次已签发的进度付款证书进行汇总和复核中发现错、漏或重复的，监理人有权予以修正，承包人也有权提出修正申请。经双方复核同意的修正，应在本次进度付款中支付或扣除。</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 xml:space="preserve">17.4质量保证金   </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17.4.1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17.4.2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17.4.3在第1.1.4.5目约定的缺陷责任期满时，承包人没有完成缺陷责任的，发包人有权扣留与未履行责任剩余工作所需金额相应的质量保证金余额，并有权根据第19.3款约定要求延长缺陷责任期，直至完成剩余工作为止。</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17.5竣工结算</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17.5.1竣工付款申请单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(2)监理人对完工付款申请单有异议的，有权要求承包人进行修正和提供补充资料。经监理人和承包人协商后，由承包人向监理人提交修正后的完工付款申请单。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17.5.2竣工(完工)付款证书及支付时间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(2)发包人应在监理人出具完工付款证书后的14天内，将应支付款支付给承包人。发包人不按期支付的，按第16.3.3 (2)目的约定，将逾期付款违约金支付给承包人。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(3)承包人对发包人签认的完工付款证书有异议的，发包人可出具完工付款申请单中承包人已同意部分的临时付款证书。存在争议的部分，按第22条的约定办理。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(4)完工付款涉及政府投资资金的，按第16.3.3(4)目的约定办理。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17.6最终结清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17.6.1最终结清申请单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(1)工程质量保修责任终止证书签发后，承包人应按监理人批准的格式提交最终结清申请单。提交最终结清申请单的份数在专用合同条款中约定。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(2)发包人对最终结清申请单内容有异议的，有权要求承包人进行修正和提供补充资料，由承包人向监理人提交修正后的最终结清申请单。</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17.6.2最终结清证书和支付时间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己经监理人核查同意；发包人未在约定时间内审核又未提出具体意见的，监理人提出应支付给承包人的价款视为已经发包人同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(2)发包人应在监理人出具最终结清证书后的14天内，将应支付款支付给承包人。发包人不按期支付的，按第16.3.3(2)目的约定，将逾期付款违约金支付给承包人。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(3)承包人对发包人签认的最终结清证书有异议的，按第22条的约定办理。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(4)最终结清付款涉及政府投资资金的，按第16.3.3(4)目的约定办理。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17.7竣工财务决算</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发包人负责编制本工程项目竣工财务决算，承包人应按专用合同条款的约定提供竣工财务决算编制所需的相关材料。</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17.8竣工审计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发包人负责完成本工程竣工审计手续，承包人应完成相关配合工作。</w:t>
      </w:r>
    </w:p>
    <w:p>
      <w:pPr>
        <w:tabs>
          <w:tab w:val="left" w:pos="8280"/>
        </w:tabs>
        <w:spacing w:line="360" w:lineRule="auto"/>
        <w:ind w:firstLine="480" w:firstLineChars="200"/>
        <w:rPr>
          <w:rFonts w:hint="eastAsia" w:ascii="宋体" w:hAnsi="宋体" w:cs="宋体"/>
          <w:color w:val="auto"/>
          <w:sz w:val="24"/>
        </w:rPr>
      </w:pPr>
    </w:p>
    <w:p>
      <w:pPr>
        <w:tabs>
          <w:tab w:val="left" w:pos="8280"/>
        </w:tabs>
        <w:spacing w:line="360" w:lineRule="auto"/>
        <w:rPr>
          <w:rFonts w:hint="eastAsia" w:ascii="宋体" w:hAnsi="宋体" w:cs="宋体"/>
          <w:b/>
          <w:color w:val="auto"/>
          <w:sz w:val="24"/>
        </w:rPr>
      </w:pPr>
      <w:bookmarkStart w:id="179" w:name="_Toc184635115"/>
      <w:r>
        <w:rPr>
          <w:rFonts w:hint="eastAsia" w:ascii="宋体" w:hAnsi="宋体" w:cs="宋体"/>
          <w:b/>
          <w:color w:val="auto"/>
          <w:sz w:val="24"/>
        </w:rPr>
        <w:t>18．竣工验收</w:t>
      </w:r>
      <w:bookmarkEnd w:id="179"/>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竣工验收(验收)竣工验收按照《</w:t>
      </w:r>
      <w:r>
        <w:rPr>
          <w:rFonts w:hint="eastAsia" w:cs="宋体"/>
          <w:color w:val="auto"/>
          <w:szCs w:val="21"/>
          <w:lang w:val="en-US" w:eastAsia="zh-CN"/>
        </w:rPr>
        <w:t>公路</w:t>
      </w:r>
      <w:r>
        <w:rPr>
          <w:rFonts w:hint="eastAsia" w:ascii="宋体" w:hAnsi="宋体" w:cs="宋体"/>
          <w:color w:val="auto"/>
          <w:szCs w:val="21"/>
        </w:rPr>
        <w:t>建设工程验收规程》执行。</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19 缺陷责任与保修责任</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 xml:space="preserve">19.1缺陷责任期的起算时间  </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19.2缺陷责任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17.2.1承包人应在缺陷责任期内对己交付使用的工程承担缺陷责任。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17.2.2缺陷责任期内，发包人对己接收使用的工程负责日常维护工作。发包人在使用过程中，发现已接收的工程存在新的缺陷或已修复的缺陷部位或部件又遭损坏的，承包人应负责修复，直至检验合格为止。</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19.2.3监理人和承包人应共同查清缺陷和(或)损坏的原因。经查明属承包人原因造成的，应由承包人承担修复和查验的费用。经查验属发包人原因造成的，发包人应承担修复和查验的费用，并支付承包人合理利润。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19.2.4承包人不能在合理时间内修复缺陷的，发包人可自行修复或委托其他人修复，所需费用和利润的承担，按第17.2.3项约定办理。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19.3缺陷责任期的延长</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由于承包人原因造成某项缺陷或损坏使某项工程或工程设备不能按原定目标使用而需要再次检查、检验和修复的，发包人有权要求承包人相应延长缺陷责任期，但缺陷责任期最长不超过2年。</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19.4进一步试验和试运行</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任何一项缺陷或损坏修复后，经检查证明其影响了工程或工程设备的使用性能，承包人应重新进行合同约定的试验和试运行，试验和试运行的全部费用应由责任方承担。</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19.5承包人的进入权</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缺陷责任期内承包人为缺陷修复工作需要，有权进入工程现场，但应遵守发包人的保安和保密规定。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19.6缺陷责任期终止证书(工程质量保修责任终止证书)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合同工程完工验收或投入使用验收后，发包人与承包人应办理工程交接手续，承包人应向发包人递交工程质量保修书。缺陷责任期(工程质量保修期)满后30个工作日内，发包人应向承包人颁发工程质量保修责任终止证书，并退还剩余的质量保证金，但保修责任范围内的质量缺陷未处理完成的应除外。</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19.7保修责任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20 保险</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20.1工程保险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 xml:space="preserve">20.2人员工伤事故的保险  </w:t>
      </w:r>
      <w:r>
        <w:rPr>
          <w:rFonts w:hint="eastAsia" w:ascii="宋体" w:hAnsi="宋体" w:cs="宋体"/>
          <w:color w:val="auto"/>
          <w:sz w:val="24"/>
        </w:rPr>
        <w:t xml:space="preserve">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20.2.1承包人员工伤事故的保险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承包人应依照有关法律规定参加工伤保险，为其履行合同所雇佣的全部人员，缴纳工伤保险费，并要求其分包人也进行此项保险。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20.2.2发包人员工伤事故的保险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发包人应依照有关法律规定参加工伤保险，为其现场机构雇佣的全部人员，缴纳工伤保险费，并要求其监理人也进行此项保险。</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20.3人身意外伤害险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203.1发包人应在整个施工期间为其现场机构雇用的全部人员，投保人身意外伤害险，缴纳保险费，并要求其监理人也进行此项保险。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20.3.2承包人应在整个施工期间为其现场机构雇用的全部人员，投保人身意外伤害险，缴纳保险费，并要求其分包人也进行此项保险。</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20.4第三者责任险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20.4.2在缺陷责任期终止证书颁发前，承包人应以承包人和发包人的共同名义，投保第20.4.1项约定的第三者责任险，其保险费率、保险金额等有关内容在专用合同条款中约定。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20.5其他保险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除专用合同条款另有约定外，承包人应为其施工设备、进场的材料和工程设备等办理保险。</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 xml:space="preserve">20.6对各项保险的一般要求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20.6.1保险凭证</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承包人应在专用合同条款约定的期限内向发包人提交各项保险生效的证据和保险单副本，保险单必须与专用合同条款约定的条件保持一致。</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20.6.2保险合同条款的变动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承包人需要变动保险合同条款时，应事先征得发包人同意，并通知监理人。保险人作出变动的，承包人应在收到保险人通知后立即通知发包人和监理人。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20.6.3持续保险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承包人应与保险人保持联系，使保险人能够随时了解工程实施中的变动，并确保按保险合同条款要求持续保险。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20.6.4保险金不足的补偿</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保险金不足以补偿损失时，应由承包人和发包人各自负责补偿的范围和金额在专用合同条款中约定。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20.6.5未按约定投保的补救</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(1)由于负有投保义务的一方当事人未按合同约定办理保险，或未能使保险持续有效的，另一方当事人可代为办理，所需费用由对方当事人承担。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(2)由于负有投保义务的一方当事人未按合同约定办理某项保险，导致受益人未能得到保险人的赔偿，原应从该项保险得到的保险金应由负有投保义务的一方当事人支付。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20.6.6报告义务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当保险事故发生时，投保人应按照保险单规定的条件和期限及时向保险人报告。</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20.7风险责任的转移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工程通过合同工程完工验收并移交给发包人后，原由承包人应承担的风险责任，以及保险的责任、权利和义务同时转移给发包人，但承包人在缺陷责任期(工程质量保修期)前造成损失和损坏情形除外。</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21 不可抗力</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21.1不可抗力的确认</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21.1.1不可抗力是指承包人和发包人在订立合同时不可预见，在工程施工过程中不可避免发生并不能克服的自然灾害和社会性突发事件，如地震、海啸、瘟疫、水灾、骚乱、暴动、战争和专用合同条款约定的其他情形。</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21.1.2不可抗力发生后，发包人和承包人应及时认真统计所造成的损失，收集不可抗力造成损失的证据。合同双方对是否属于不可抗力或其损失的意见不一致的，由监理人按第3.5款商定或确定。发生争议时，按第22条的约定办理。    </w:t>
      </w:r>
    </w:p>
    <w:p>
      <w:pPr>
        <w:tabs>
          <w:tab w:val="left" w:pos="8280"/>
        </w:tabs>
        <w:spacing w:line="360" w:lineRule="auto"/>
        <w:rPr>
          <w:rFonts w:hint="eastAsia" w:ascii="宋体" w:hAnsi="宋体" w:cs="宋体"/>
          <w:color w:val="auto"/>
          <w:sz w:val="24"/>
        </w:rPr>
      </w:pPr>
      <w:r>
        <w:rPr>
          <w:rFonts w:hint="eastAsia" w:ascii="宋体" w:hAnsi="宋体" w:cs="宋体"/>
          <w:b/>
          <w:color w:val="auto"/>
          <w:sz w:val="24"/>
        </w:rPr>
        <w:t>21.2不可抗力的通知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21.2.1合同一方当事人遇到不可抗力事件，使其履行合同义务受到阻碍时，应立即通知合同另一方当事人和监理人，书面说明不可抗力和受阻碍的详细情况，并提供必要的证明。</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21.2.2如不可抗力持续发生，合同一方当事人应及时向合同另一方当事人和监理人提交中间报告，说明不可抗力和履行合同受阻的情况，并于不可抗力事件结束后28天内。提交最终报告及有关资料。</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21.3不可抗力后果及其处理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21.3.1不可抗力造成损害的责任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除专用合同条款另有约定外，不可抗力导致的人员伤亡、财产损失、费用增加和(或)工期延误等后果，由合同双方按以下原则承担：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(1)永久工程，包括己运至施工场地的材料和工程设备的损害，以及因工程损害造成的第三者人员伤亡和财产损失由发包人承担；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(2)承包人设备的损坏由承包人承担；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(3)发包人和承包人各自承担其人员伤亡和其他财产损失及其相关费用；</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(4)承包人的停工损失由承包人承担，但停工期间应监理人要求照管工程和清理、修复工程的金额由发包人承担；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(5)不能按期竣工的，应合理延长工期，承包人不需支付逾期竣工违约金。发包人要求赶工的，承包人应采取赶工措施，赶工费用由发包人承担。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21.3.2延迟履行期间发生的不可抗力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合同一方当事人延迟履行，在延迟履行期间发生不可抗力的，不免除其责任。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21.3.3避免和减少不可抗力损失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不可抗力发生后，发包人和承包人均应采取措施尽量避免和减少损失的扩大，任何一方没有采取有效措施导致损失扩大的，应对扩大的损失承担责任。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21.3.4因不可抗力解除合同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合同一方当事人因不可抗力不能履行合同的，应当及时通知对方解除合同。合同解除后，承包人应按照第20.2.5项约定撤离施工场地。已经订货的材料、设备由订货方负责退货或解除订货合同，不能退还的货款和因退货、解除订货合同发生的费用，由发包人承担，因未及时退货造成的损失由责任方承担。合同解除后的付款，参照第20.2.4项约定，由监理人按第3.5款商定或确定。</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22 违约</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22.1承包人违约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22.1.1承包人违约的情形</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在履行合同过程中发生的下列情况属承包人违约：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(1)承包人违反第1.8款或第4.3款的约定，私自将合同的全部或部分权利转让给其他人，或私自将合同的全部或部分义务转移给其他人；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(2)承包人违反第5.3款或第6.4款的约定，未经监理人批准，私自将已按合同约定进入施工场地的施工设备、临时设施或材料撤离施工场地；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(3)承包人违反第5.4款的约定使用了不合格材料或工程设备，工程质量达不到标准要求，又拒绝清除不合格工程；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(4)承包人未能按合同进度计划及时完成合同约定的工作，已造成或预期造成工期延误；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(5)承包人在缺陷责任期(工程质量保修期)内，未能对合同工程完工验收鉴定书所列的缺陷清单的内容或缺陷责任期(工程质量保修期)内发生的缺陷进行修复，而又拒绝按监理人指示再进行修补；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(6)承包人无法继续履行或明确表示不履行或实质上已停止履行合同；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(7)承包人不按合同约定履行义务的其它情况。</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22.1.2对承包人违约的处理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(1)承包人发生第20.1.1(6)目约定的违约情况时，发包人可通知承包人立即解除合同，并按有关法律处理。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(2)承包人发生除第20.1.1(6)目约定以外的其他违约情况时，监理人可向承包人发出整改通知，要求其在指定的期限内改正。承包人应承担其违约所引起的费用增加和(或)工期延误。</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(3)经检查证明承包人已采取了有效措施纠正违约行为，具备复工条件的，可由监理人签发复工通知复工。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22.1.3承包人违约解除合同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22.1.4合同解除后的估价、付款和结清</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(1)合同解除后，监理人按第3.5款商定或确定承包人实际完成工作的价值，以及承包人己提供的材料、施工设备、工程设备和临时工程等的价值。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(2)合同解除后，发包人应暂停对承包人的一切付款，查清各项付款和已扣款金额，包括承包人应支付的违约金。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(3)合同解除后，发包人应按第21.4款的约定向承包人索赔由于解除合同给发包人造成的损失。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(4)合同双方确认上述往来款项后，出具最终结清付款证书，结清全部合同款项。</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(5)发包人和承包人未能就解除合同后的结清达成一致而形成争议的，按第22条的约定办理。</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22.1.5协议利益的转让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因承包人违约解除合同的，发包人有权要求承包人将其为实施合同而签订的材料和设备的订货访议或任何服务协议利益转让给发包人，并在解除合同后的14天内，依法办理转让手续。</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22.1.6紧急情况下无能力或不愿进行抢救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22.2发包人违约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22.2.1发包人违约的情形</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在履行合同过程中发生的下列情形，属发包人违约：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(1)发包人未能按合同约定支付预付款或合同价款，或拖延、拒绝批准付款申请和支付凭证，导致付款延误的；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(2)发包人原因造成停工的；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(3)监理人无正当理由没有在约定期限内发出复工指示，导致承包人无法复工的；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(4)发包人无法继续履行或明确表示不履行或实质上已停止履行合同的；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(5)发包人不履行合同约定其他义务的。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22.2.2承包人有权暂停施工</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22.2.3发包人违约解除合同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(1)发生第22.2.1(4)目的违约情况时，承包人可书面通知发包人解除合同。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 (2)承包人按22.2.2项暂停施工28天后，发包人仍不纠正违约行为的，承包人可向发包人发出解除合同通知。但承包人的这一行动不免除发包人承担的违约责任，也不影响承包人根据合同约定享有的索赔权利。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22.2.4解除合同后的付款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因发包人违约解除合同的，发包人应在解除合同后28天内向承包人支付下列金额，承包人应在此期限内及时向发包人提交要求支付下列金额的有关资料和凭证：</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(1)合同解除日以前所完成工作的价款；</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(2)承包人为该工程施工订购并己付款的材料、工程设备和其他物品的金额。发包人付还后，该材料、工程设备和其他物品归发包人所有；</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(3)承包人为完成工程所发生的，而发包人未支付的金额；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(4)承包人撤离施工场地以及遣散承包人人员的金额；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(5)由于解除合同应赔偿的承包人损失；</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(6)按合同约定在合同解除日前应支付给承包人的其他金额。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发包人应按本项约定支付上述金额并退还质量保证金和履约担保，但有权要求承包人支付应偿还给发包人的各项金额。</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22.2.5解除合同后的承包人撤离</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因发包人违约而解除合同后，承包人应妥善做好已竣工工程和己购材料、设备的保护和移交工作，按发包人要求将承包人设备和人员撤出施工场地。承包人撤出施工场地应遵守第18.7.1项的约定，发包人应为承包人撤出提供必要条件。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22.3第三人造成的违约</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xml:space="preserve">在履行合同过程中，一方当事人因第三人的原因造成违约的，应当向对方当事人承担违约责任。一方当事人和第三人之间的纠纷，依照法律规定或者按照约定解决。    </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23 索赔</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23．1承包人索赔的提出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根据合同约定，承包人认为有权得到追加付款和(或)延长工期的，应按以下程序向发包人提出索赔：</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(2)承包人应在发出索赔意向通知书后28天内，向监理人正式递交索赔通知书。索赔通知书应详细说明索赔理由以及要求追加的付款金额和(或)延长的工期，并附必要的记录和证明材料；</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(3)索赔事件具有连续影响的，承包人应按合理时间间隔继续递交延续索赔通知，说明连续影响的实际情况和记录，列出累计的追加付款金额和(或)工期延长天数；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(4)在索赔事件影响结束后的28天内，承包人应向监理人递交最终索赔通知书，说明最终要求索赔的追加付款金额和延长的工期，并附必要的记录和证明材料。</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23.2承包人索赔处理程序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(1)监理人收到承包人提交的索赔通知书后，应及时审查索赔通知书的内容、杳验承包人的记录和证明材料，必要时监理人可要求承包人提交全部原始记录副本。</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(2)监理人应按第3.5款商定或确定追加的付款和(或)延长的工期，并在收到上述索赔通知书或有关索赔的进一步证明材料后的42天内，将索赔处理结果答复承包人。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(3)承包人接受索赔处理结果的，发包人应在作出索赔处理结果答复后28天内完成赔付。承包人不接受索赔处理结果的，按第22条的约定办理。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23.3承包人提出索赔的期限</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21.3.1承包人按第16.5款的约定接受了完工付款证书后，应被认为已无权再提出在合同工程完工证书颁发前所发生的任何索赔。</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21.3.2承包人按第16.6款的约定提交的最终结清申请单中，只限于提出合同工程完工证书颁发后发生的索赔。提出索赔的期限自接受最终结清证书时终止。</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23.4发包人的索赔</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23.4.1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23.4.2监理人按第3.5款商定或确定发包人从承包人处得到赔付的金额和(或)缺陷责任期的延长期。承包人应付给发包人的金额可从拟支付给承包人的合同价款中扣除，或由承包人以其他方式支付给发包人。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23.4.3承包人对监理人按第21.4.1项发出的索赔书面通知内容持异议时，应在收到书面通知后的14天内，将持有异议的书面报告及其证明材料提交监理人。监理人应在收到承包人书面报告后的14天内，将异议的处理意见通知承包人，并按第21.4.2项的约定执行赔付。若承包人不接受监理人的索赔处理意见，可按本合同第22条的规定办理。</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24 争议的解决</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24.1争议的解决方式</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(1)向约定的仲裁委员会申请仲裁；</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(2)向有管辖权的人民法院提起诉讼。</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24.2友好解决</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在提请争议评审、仲裁或者诉讼前，以及在争议评审、仲裁或诉讼过程中，发包人和承包人均可共同努力友好协商解决争议。</w:t>
      </w: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24.3 争议评审</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24.3.1 采用争议评审的，发包人和承包人应在开工日后的28天内或在争议发生后，协商成立争议评审组。争议评审组由有合同管理和工程实践经验的专家组成。</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24.3.2 合同双方的争议，应首先由申请人向争议评审组提交一份详细的评审申请报告，并附必要的文件、图纸和证明材料，申请人还应将上述报告的副本同时提交给被申请人和监理人。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24.3.3 被申请人在收到申请人评审申请报告副本后的28 天内，向争议评审组提交一份答辩报告，并附证明材料。被申请人应将答辩报告的副本同时提交给申请人和监理人。</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24.3.4 除专用合同条款另有约定外，争议评审组在收到合同双方报告后的14天内，邀请双方代表和有关人员举行调查会，向双方调查争议细节；必要时争议评审组可要求双方进一步提供补充材料。</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24.3.6 发包人和承包人接受评审意见的，由监理人根据评审意见拟定执行协议，经争议双方签字后作为合同的补充文件，并遵照执行。</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24.3.7 发包人或承包人不接受评审意见，并要求提交仲裁或提起诉讼的，应在收到评审意见后的14 天内将仲裁或起诉意向书面通知另一方，并抄送监理人，但在仲裁或诉讼结束前应暂按总监理工程师的确定执行。</w:t>
      </w:r>
    </w:p>
    <w:p>
      <w:pPr>
        <w:tabs>
          <w:tab w:val="left" w:pos="8280"/>
        </w:tabs>
        <w:spacing w:line="360" w:lineRule="auto"/>
        <w:rPr>
          <w:rFonts w:hint="eastAsia" w:ascii="宋体" w:hAnsi="宋体" w:cs="宋体"/>
          <w:b/>
          <w:color w:val="auto"/>
          <w:sz w:val="24"/>
        </w:rPr>
      </w:pPr>
    </w:p>
    <w:p>
      <w:pPr>
        <w:tabs>
          <w:tab w:val="left" w:pos="8280"/>
        </w:tabs>
        <w:spacing w:line="360" w:lineRule="auto"/>
        <w:rPr>
          <w:rFonts w:hint="eastAsia" w:ascii="宋体" w:hAnsi="宋体" w:cs="宋体"/>
          <w:b/>
          <w:color w:val="auto"/>
          <w:sz w:val="24"/>
        </w:rPr>
      </w:pPr>
      <w:r>
        <w:rPr>
          <w:rFonts w:hint="eastAsia" w:ascii="宋体" w:hAnsi="宋体" w:cs="宋体"/>
          <w:b/>
          <w:color w:val="auto"/>
          <w:sz w:val="24"/>
        </w:rPr>
        <w:t xml:space="preserve">24.4 仲裁   </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 w:val="24"/>
        </w:rPr>
        <w:t>2</w:t>
      </w:r>
      <w:r>
        <w:rPr>
          <w:rFonts w:hint="eastAsia" w:ascii="宋体" w:hAnsi="宋体" w:cs="宋体"/>
          <w:color w:val="auto"/>
          <w:szCs w:val="21"/>
        </w:rPr>
        <w:t>2.4.1若合同双方商定直接向仲裁机构申请仲裁，应签订仲裁协议并约定仲裁机构。</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22.4.2若合同双方未能达成仲裁协议，则本合同的仲裁条款无效，任一方均有权向人民法院提起诉讼。</w:t>
      </w:r>
    </w:p>
    <w:p>
      <w:pPr>
        <w:spacing w:line="360" w:lineRule="auto"/>
        <w:rPr>
          <w:rFonts w:hint="eastAsia" w:ascii="宋体" w:hAnsi="宋体" w:cs="宋体"/>
          <w:color w:val="auto"/>
        </w:rPr>
      </w:pPr>
      <w:r>
        <w:rPr>
          <w:rFonts w:hint="eastAsia" w:ascii="宋体" w:hAnsi="宋体" w:cs="宋体"/>
          <w:color w:val="auto"/>
        </w:rPr>
        <w:t xml:space="preserve"> </w:t>
      </w:r>
    </w:p>
    <w:p>
      <w:pPr>
        <w:pStyle w:val="7"/>
        <w:spacing w:line="360" w:lineRule="auto"/>
        <w:jc w:val="center"/>
        <w:rPr>
          <w:rFonts w:hint="eastAsia" w:ascii="宋体" w:hAnsi="宋体" w:cs="宋体"/>
          <w:color w:val="auto"/>
          <w:sz w:val="30"/>
          <w:szCs w:val="30"/>
        </w:rPr>
      </w:pPr>
      <w:bookmarkStart w:id="180" w:name="_Toc10620"/>
      <w:r>
        <w:rPr>
          <w:rFonts w:hint="eastAsia" w:ascii="宋体" w:hAnsi="宋体" w:cs="宋体"/>
          <w:color w:val="auto"/>
          <w:sz w:val="30"/>
          <w:szCs w:val="30"/>
        </w:rPr>
        <w:br w:type="page"/>
      </w:r>
      <w:bookmarkStart w:id="181" w:name="_Toc7745"/>
      <w:r>
        <w:rPr>
          <w:rFonts w:hint="eastAsia" w:ascii="宋体" w:hAnsi="宋体" w:cs="宋体"/>
          <w:color w:val="auto"/>
          <w:sz w:val="30"/>
          <w:szCs w:val="30"/>
        </w:rPr>
        <w:t>第</w:t>
      </w:r>
      <w:r>
        <w:rPr>
          <w:rFonts w:hint="eastAsia" w:ascii="宋体" w:hAnsi="宋体" w:cs="宋体"/>
          <w:color w:val="auto"/>
          <w:sz w:val="30"/>
          <w:szCs w:val="30"/>
          <w:lang w:val="en-US" w:eastAsia="zh-CN"/>
        </w:rPr>
        <w:t>二</w:t>
      </w:r>
      <w:r>
        <w:rPr>
          <w:rFonts w:hint="eastAsia" w:ascii="宋体" w:hAnsi="宋体" w:cs="宋体"/>
          <w:color w:val="auto"/>
          <w:sz w:val="30"/>
          <w:szCs w:val="30"/>
        </w:rPr>
        <w:t>节　专用合同条款</w:t>
      </w:r>
      <w:bookmarkEnd w:id="180"/>
      <w:bookmarkEnd w:id="181"/>
    </w:p>
    <w:p>
      <w:pPr>
        <w:tabs>
          <w:tab w:val="left" w:pos="8280"/>
        </w:tabs>
        <w:spacing w:line="360" w:lineRule="auto"/>
        <w:rPr>
          <w:rFonts w:hint="eastAsia" w:ascii="宋体" w:hAnsi="宋体" w:cs="宋体"/>
          <w:b/>
          <w:color w:val="auto"/>
          <w:sz w:val="24"/>
        </w:rPr>
      </w:pPr>
      <w:bookmarkStart w:id="182" w:name="第04章合同条款及格式0201"/>
      <w:bookmarkEnd w:id="182"/>
      <w:r>
        <w:rPr>
          <w:rFonts w:hint="eastAsia" w:ascii="宋体" w:hAnsi="宋体" w:cs="宋体"/>
          <w:b/>
          <w:color w:val="auto"/>
          <w:sz w:val="24"/>
        </w:rPr>
        <w:t>1　一般约定</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rPr>
        <w:t>　</w:t>
      </w:r>
      <w:r>
        <w:rPr>
          <w:rFonts w:hint="eastAsia" w:ascii="宋体" w:hAnsi="宋体" w:cs="宋体"/>
          <w:color w:val="auto"/>
          <w:szCs w:val="21"/>
        </w:rPr>
        <w:t>1.1　词语定义</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1.1.2　合同当事人和人员</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1.1.2.2　发包人：　　　(填入发包人的名称)。</w:t>
      </w:r>
    </w:p>
    <w:p>
      <w:pPr>
        <w:tabs>
          <w:tab w:val="left" w:pos="8280"/>
        </w:tabs>
        <w:spacing w:line="360" w:lineRule="auto"/>
        <w:ind w:firstLine="360" w:firstLineChars="150"/>
        <w:rPr>
          <w:rFonts w:hint="eastAsia" w:ascii="宋体" w:hAnsi="宋体" w:cs="宋体"/>
          <w:color w:val="auto"/>
          <w:szCs w:val="21"/>
        </w:rPr>
      </w:pPr>
      <w:r>
        <w:rPr>
          <w:rFonts w:hint="eastAsia" w:ascii="宋体" w:hAnsi="宋体" w:cs="宋体"/>
          <w:color w:val="auto"/>
          <w:szCs w:val="21"/>
        </w:rPr>
        <w:t>　　1.1.2.3　承包人：　　　(签约后填入承包人的名称)。</w:t>
      </w:r>
    </w:p>
    <w:p>
      <w:pPr>
        <w:tabs>
          <w:tab w:val="left" w:pos="8280"/>
        </w:tabs>
        <w:spacing w:line="360" w:lineRule="auto"/>
        <w:ind w:firstLine="360" w:firstLineChars="150"/>
        <w:rPr>
          <w:rFonts w:hint="eastAsia" w:ascii="宋体" w:hAnsi="宋体" w:cs="宋体"/>
          <w:color w:val="auto"/>
        </w:rPr>
      </w:pPr>
      <w:r>
        <w:rPr>
          <w:rFonts w:hint="eastAsia" w:ascii="宋体" w:hAnsi="宋体" w:cs="宋体"/>
          <w:color w:val="auto"/>
          <w:szCs w:val="21"/>
        </w:rPr>
        <w:t>　　1.</w:t>
      </w:r>
      <w:r>
        <w:rPr>
          <w:rFonts w:hint="eastAsia" w:ascii="宋体" w:hAnsi="宋体" w:cs="宋体"/>
          <w:color w:val="auto"/>
        </w:rPr>
        <w:t>1.2.5　分包人：</w:t>
      </w:r>
      <w:r>
        <w:rPr>
          <w:rFonts w:hint="eastAsia" w:ascii="宋体" w:hAnsi="宋体" w:cs="宋体"/>
          <w:color w:val="auto"/>
          <w:u w:val="single"/>
        </w:rPr>
        <w:t>　　　</w:t>
      </w:r>
      <w:r>
        <w:rPr>
          <w:rFonts w:hint="eastAsia" w:ascii="宋体" w:hAnsi="宋体" w:cs="宋体"/>
          <w:color w:val="auto"/>
        </w:rPr>
        <w:t>(签约后填入分包人的名称)。</w:t>
      </w:r>
    </w:p>
    <w:p>
      <w:pPr>
        <w:spacing w:line="360" w:lineRule="auto"/>
        <w:rPr>
          <w:rFonts w:hint="eastAsia" w:ascii="宋体" w:hAnsi="宋体" w:cs="宋体"/>
          <w:color w:val="auto"/>
        </w:rPr>
      </w:pPr>
      <w:r>
        <w:rPr>
          <w:rFonts w:hint="eastAsia" w:ascii="宋体" w:hAnsi="宋体" w:cs="宋体"/>
          <w:color w:val="auto"/>
        </w:rPr>
        <w:t>　　1.1.2.6　监理人：</w:t>
      </w:r>
      <w:r>
        <w:rPr>
          <w:rFonts w:hint="eastAsia" w:ascii="宋体" w:hAnsi="宋体" w:cs="宋体"/>
          <w:color w:val="auto"/>
          <w:u w:val="single"/>
        </w:rPr>
        <w:t>　　　</w:t>
      </w:r>
      <w:r>
        <w:rPr>
          <w:rFonts w:hint="eastAsia" w:ascii="宋体" w:hAnsi="宋体" w:cs="宋体"/>
          <w:color w:val="auto"/>
        </w:rPr>
        <w:t>(填入监理人名称)。</w:t>
      </w:r>
    </w:p>
    <w:p>
      <w:pPr>
        <w:spacing w:line="360" w:lineRule="auto"/>
        <w:rPr>
          <w:rFonts w:hint="eastAsia" w:ascii="宋体" w:hAnsi="宋体" w:cs="宋体"/>
          <w:color w:val="auto"/>
        </w:rPr>
      </w:pPr>
      <w:r>
        <w:rPr>
          <w:rFonts w:hint="eastAsia" w:ascii="宋体" w:hAnsi="宋体" w:cs="宋体"/>
          <w:color w:val="auto"/>
        </w:rPr>
        <w:t>　　1.1.4　日期</w:t>
      </w:r>
    </w:p>
    <w:p>
      <w:pPr>
        <w:spacing w:line="360" w:lineRule="auto"/>
        <w:rPr>
          <w:rFonts w:hint="eastAsia" w:ascii="宋体" w:hAnsi="宋体" w:cs="宋体"/>
          <w:color w:val="auto"/>
        </w:rPr>
      </w:pPr>
      <w:r>
        <w:rPr>
          <w:rFonts w:hint="eastAsia" w:ascii="宋体" w:hAnsi="宋体" w:cs="宋体"/>
          <w:color w:val="auto"/>
        </w:rPr>
        <w:t>　　1.1.4.5　缺陷责任期(工程质量保修期)：</w:t>
      </w:r>
      <w:r>
        <w:rPr>
          <w:rFonts w:hint="eastAsia" w:ascii="宋体" w:hAnsi="宋体" w:cs="宋体"/>
          <w:color w:val="auto"/>
          <w:u w:val="single"/>
        </w:rPr>
        <w:t>　</w:t>
      </w:r>
      <w:r>
        <w:rPr>
          <w:rFonts w:hint="eastAsia" w:ascii="宋体" w:hAnsi="宋体" w:cs="宋体"/>
          <w:b/>
          <w:bCs/>
          <w:color w:val="auto"/>
          <w:u w:val="single"/>
          <w:lang w:val="en-US" w:eastAsia="zh-CN"/>
        </w:rPr>
        <w:t>具体期限签订合同时约定</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1.4　合同文件的优先顺序</w:t>
      </w:r>
    </w:p>
    <w:p>
      <w:pPr>
        <w:spacing w:line="360" w:lineRule="auto"/>
        <w:rPr>
          <w:rFonts w:hint="eastAsia" w:ascii="宋体" w:hAnsi="宋体" w:cs="宋体"/>
          <w:color w:val="auto"/>
        </w:rPr>
      </w:pPr>
      <w:r>
        <w:rPr>
          <w:rFonts w:hint="eastAsia" w:ascii="宋体" w:hAnsi="宋体" w:cs="宋体"/>
          <w:color w:val="auto"/>
        </w:rPr>
        <w:t>　　进入合同文件的各项文件及其优先顺序是</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1.7　联络</w:t>
      </w:r>
    </w:p>
    <w:p>
      <w:pPr>
        <w:spacing w:line="360" w:lineRule="auto"/>
        <w:rPr>
          <w:rFonts w:hint="eastAsia" w:ascii="宋体" w:hAnsi="宋体" w:cs="宋体"/>
          <w:color w:val="auto"/>
        </w:rPr>
      </w:pPr>
      <w:r>
        <w:rPr>
          <w:rFonts w:hint="eastAsia" w:ascii="宋体" w:hAnsi="宋体" w:cs="宋体"/>
          <w:color w:val="auto"/>
        </w:rPr>
        <w:t>　　1.7.2　来往函件均应按技术标准和要求(合同技术条款)约定的期限送达</w:t>
      </w:r>
      <w:r>
        <w:rPr>
          <w:rFonts w:hint="eastAsia" w:ascii="宋体" w:hAnsi="宋体" w:cs="宋体"/>
          <w:color w:val="auto"/>
          <w:u w:val="single"/>
        </w:rPr>
        <w:t>　　　　　</w:t>
      </w:r>
      <w:r>
        <w:rPr>
          <w:rFonts w:hint="eastAsia" w:ascii="宋体" w:hAnsi="宋体" w:cs="宋体"/>
          <w:color w:val="auto"/>
        </w:rPr>
        <w:t>(填写文件送达地点)。</w:t>
      </w:r>
    </w:p>
    <w:p>
      <w:pPr>
        <w:tabs>
          <w:tab w:val="left" w:pos="8280"/>
        </w:tabs>
        <w:spacing w:line="360" w:lineRule="auto"/>
        <w:rPr>
          <w:rFonts w:hint="eastAsia" w:ascii="宋体" w:hAnsi="宋体" w:cs="宋体"/>
          <w:b/>
          <w:color w:val="auto"/>
          <w:sz w:val="24"/>
        </w:rPr>
      </w:pPr>
      <w:bookmarkStart w:id="183" w:name="第04章合同条款及格式0202"/>
      <w:bookmarkEnd w:id="183"/>
      <w:r>
        <w:rPr>
          <w:rFonts w:hint="eastAsia" w:ascii="宋体" w:hAnsi="宋体" w:cs="宋体"/>
          <w:b/>
          <w:color w:val="auto"/>
          <w:sz w:val="24"/>
        </w:rPr>
        <w:t>2　发包人义务</w:t>
      </w:r>
    </w:p>
    <w:p>
      <w:pPr>
        <w:spacing w:line="360" w:lineRule="auto"/>
        <w:rPr>
          <w:rFonts w:hint="eastAsia" w:ascii="宋体" w:hAnsi="宋体" w:cs="宋体"/>
          <w:color w:val="auto"/>
        </w:rPr>
      </w:pPr>
      <w:r>
        <w:rPr>
          <w:rFonts w:hint="eastAsia" w:ascii="宋体" w:hAnsi="宋体" w:cs="宋体"/>
          <w:color w:val="auto"/>
        </w:rPr>
        <w:t>　2.3　提供施工场地</w:t>
      </w:r>
    </w:p>
    <w:p>
      <w:pPr>
        <w:spacing w:line="360" w:lineRule="auto"/>
        <w:rPr>
          <w:rFonts w:hint="eastAsia" w:ascii="宋体" w:hAnsi="宋体" w:cs="宋体"/>
          <w:color w:val="auto"/>
        </w:rPr>
      </w:pPr>
      <w:r>
        <w:rPr>
          <w:rFonts w:hint="eastAsia" w:ascii="宋体" w:hAnsi="宋体" w:cs="宋体"/>
          <w:color w:val="auto"/>
        </w:rPr>
        <w:t>　　2.3.2　发包人提供的施工场地范围为：</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2.3.3　承包人自行勘察的施工场地范围为：</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2.8　其它义务</w:t>
      </w:r>
    </w:p>
    <w:p>
      <w:pPr>
        <w:spacing w:line="360" w:lineRule="auto"/>
        <w:rPr>
          <w:rFonts w:hint="eastAsia" w:ascii="宋体" w:hAnsi="宋体" w:cs="宋体"/>
          <w:color w:val="auto"/>
        </w:rPr>
      </w:pPr>
      <w:r>
        <w:rPr>
          <w:rFonts w:hint="eastAsia" w:ascii="宋体" w:hAnsi="宋体" w:cs="宋体"/>
          <w:color w:val="auto"/>
        </w:rPr>
        <w:t>　　(根据发包人的合同管理要求补充)</w:t>
      </w:r>
    </w:p>
    <w:p>
      <w:pPr>
        <w:spacing w:line="360" w:lineRule="auto"/>
        <w:rPr>
          <w:rFonts w:hint="eastAsia" w:ascii="宋体" w:hAnsi="宋体" w:cs="宋体"/>
          <w:color w:val="auto"/>
        </w:rPr>
      </w:pPr>
      <w:r>
        <w:rPr>
          <w:rFonts w:hint="eastAsia" w:ascii="宋体" w:hAnsi="宋体" w:cs="宋体"/>
          <w:color w:val="auto"/>
        </w:rPr>
        <w:t>　　(1)……</w:t>
      </w:r>
    </w:p>
    <w:p>
      <w:pPr>
        <w:spacing w:line="360" w:lineRule="auto"/>
        <w:rPr>
          <w:rFonts w:hint="eastAsia" w:ascii="宋体" w:hAnsi="宋体" w:cs="宋体"/>
          <w:color w:val="auto"/>
        </w:rPr>
      </w:pPr>
      <w:r>
        <w:rPr>
          <w:rFonts w:hint="eastAsia" w:ascii="宋体" w:hAnsi="宋体" w:cs="宋体"/>
          <w:color w:val="auto"/>
        </w:rPr>
        <w:t>　　(2)……</w:t>
      </w:r>
    </w:p>
    <w:p>
      <w:pPr>
        <w:tabs>
          <w:tab w:val="left" w:pos="8280"/>
        </w:tabs>
        <w:spacing w:line="360" w:lineRule="auto"/>
        <w:rPr>
          <w:rFonts w:hint="eastAsia" w:ascii="宋体" w:hAnsi="宋体" w:cs="宋体"/>
          <w:b/>
          <w:color w:val="auto"/>
          <w:sz w:val="24"/>
        </w:rPr>
      </w:pPr>
      <w:bookmarkStart w:id="184" w:name="第04章合同条款及格式0203"/>
      <w:bookmarkEnd w:id="184"/>
      <w:r>
        <w:rPr>
          <w:rFonts w:hint="eastAsia" w:ascii="宋体" w:hAnsi="宋体" w:cs="宋体"/>
          <w:b/>
          <w:color w:val="auto"/>
          <w:sz w:val="24"/>
        </w:rPr>
        <w:t>3　监理人</w:t>
      </w:r>
    </w:p>
    <w:p>
      <w:pPr>
        <w:spacing w:line="360" w:lineRule="auto"/>
        <w:rPr>
          <w:rFonts w:hint="eastAsia" w:ascii="宋体" w:hAnsi="宋体" w:cs="宋体"/>
          <w:color w:val="auto"/>
        </w:rPr>
      </w:pPr>
      <w:r>
        <w:rPr>
          <w:rFonts w:hint="eastAsia" w:ascii="宋体" w:hAnsi="宋体" w:cs="宋体"/>
          <w:color w:val="auto"/>
        </w:rPr>
        <w:t>　3.1　监理人的职责和权力</w:t>
      </w:r>
    </w:p>
    <w:p>
      <w:pPr>
        <w:spacing w:line="360" w:lineRule="auto"/>
        <w:rPr>
          <w:rFonts w:hint="eastAsia" w:ascii="宋体" w:hAnsi="宋体" w:cs="宋体"/>
          <w:color w:val="auto"/>
        </w:rPr>
      </w:pPr>
      <w:r>
        <w:rPr>
          <w:rFonts w:hint="eastAsia" w:ascii="宋体" w:hAnsi="宋体" w:cs="宋体"/>
          <w:color w:val="auto"/>
        </w:rPr>
        <w:t>　　3.1.1　监理人须根据发包人事先批准的权力范围行使权力，发包人批准的权力范围：(填写监理人须经发包人批准才能行使的权力，以下示例供参考)</w:t>
      </w:r>
    </w:p>
    <w:p>
      <w:pPr>
        <w:spacing w:line="360" w:lineRule="auto"/>
        <w:rPr>
          <w:rFonts w:hint="eastAsia" w:ascii="宋体" w:hAnsi="宋体" w:cs="宋体"/>
          <w:color w:val="auto"/>
        </w:rPr>
      </w:pPr>
      <w:r>
        <w:rPr>
          <w:rFonts w:hint="eastAsia" w:ascii="宋体" w:hAnsi="宋体" w:cs="宋体"/>
          <w:color w:val="auto"/>
        </w:rPr>
        <w:t>　　(1)按第4.3款约定，批准工程的分包；</w:t>
      </w:r>
    </w:p>
    <w:p>
      <w:pPr>
        <w:spacing w:line="360" w:lineRule="auto"/>
        <w:rPr>
          <w:rFonts w:hint="eastAsia" w:ascii="宋体" w:hAnsi="宋体" w:cs="宋体"/>
          <w:color w:val="auto"/>
        </w:rPr>
      </w:pPr>
      <w:r>
        <w:rPr>
          <w:rFonts w:hint="eastAsia" w:ascii="宋体" w:hAnsi="宋体" w:cs="宋体"/>
          <w:color w:val="auto"/>
        </w:rPr>
        <w:t>　　(2)按第11.3款约定，确定延长完工期限；</w:t>
      </w:r>
    </w:p>
    <w:p>
      <w:pPr>
        <w:spacing w:line="360" w:lineRule="auto"/>
        <w:rPr>
          <w:rFonts w:hint="eastAsia" w:ascii="宋体" w:hAnsi="宋体" w:cs="宋体"/>
          <w:color w:val="auto"/>
        </w:rPr>
      </w:pPr>
      <w:r>
        <w:rPr>
          <w:rFonts w:hint="eastAsia" w:ascii="宋体" w:hAnsi="宋体" w:cs="宋体"/>
          <w:color w:val="auto"/>
        </w:rPr>
        <w:t>　　(3)按第15.6款约定，批准暂列金额的使用；</w:t>
      </w:r>
    </w:p>
    <w:p>
      <w:pPr>
        <w:spacing w:line="360" w:lineRule="auto"/>
        <w:rPr>
          <w:rFonts w:hint="eastAsia" w:ascii="宋体" w:hAnsi="宋体" w:cs="宋体"/>
          <w:color w:val="auto"/>
        </w:rPr>
      </w:pPr>
      <w:r>
        <w:rPr>
          <w:rFonts w:hint="eastAsia" w:ascii="宋体" w:hAnsi="宋体" w:cs="宋体"/>
          <w:color w:val="auto"/>
        </w:rPr>
        <w:t>　　(4)……</w:t>
      </w:r>
    </w:p>
    <w:p>
      <w:pPr>
        <w:tabs>
          <w:tab w:val="left" w:pos="8280"/>
        </w:tabs>
        <w:spacing w:line="360" w:lineRule="auto"/>
        <w:rPr>
          <w:rFonts w:hint="eastAsia" w:ascii="宋体" w:hAnsi="宋体" w:cs="宋体"/>
          <w:b/>
          <w:color w:val="auto"/>
          <w:sz w:val="24"/>
        </w:rPr>
      </w:pPr>
      <w:bookmarkStart w:id="185" w:name="第04章合同条款及格式0204"/>
      <w:bookmarkEnd w:id="185"/>
      <w:r>
        <w:rPr>
          <w:rFonts w:hint="eastAsia" w:ascii="宋体" w:hAnsi="宋体" w:cs="宋体"/>
          <w:b/>
          <w:color w:val="auto"/>
          <w:sz w:val="24"/>
        </w:rPr>
        <w:t>4　承包人</w:t>
      </w:r>
    </w:p>
    <w:p>
      <w:pPr>
        <w:spacing w:line="360" w:lineRule="auto"/>
        <w:rPr>
          <w:rFonts w:hint="eastAsia" w:ascii="宋体" w:hAnsi="宋体" w:cs="宋体"/>
          <w:color w:val="auto"/>
        </w:rPr>
      </w:pPr>
      <w:r>
        <w:rPr>
          <w:rFonts w:hint="eastAsia" w:ascii="宋体" w:hAnsi="宋体" w:cs="宋体"/>
          <w:color w:val="auto"/>
        </w:rPr>
        <w:t>　4.1　承包人的一般义务</w:t>
      </w:r>
    </w:p>
    <w:p>
      <w:pPr>
        <w:spacing w:line="360" w:lineRule="auto"/>
        <w:rPr>
          <w:rFonts w:hint="eastAsia" w:ascii="宋体" w:hAnsi="宋体" w:cs="宋体"/>
          <w:color w:val="auto"/>
        </w:rPr>
      </w:pPr>
      <w:r>
        <w:rPr>
          <w:rFonts w:hint="eastAsia" w:ascii="宋体" w:hAnsi="宋体" w:cs="宋体"/>
          <w:color w:val="auto"/>
        </w:rPr>
        <w:t>　　4.1.10　其它义务</w:t>
      </w:r>
    </w:p>
    <w:p>
      <w:pPr>
        <w:spacing w:line="360" w:lineRule="auto"/>
        <w:rPr>
          <w:rFonts w:hint="eastAsia" w:ascii="宋体" w:hAnsi="宋体" w:cs="宋体"/>
          <w:color w:val="auto"/>
        </w:rPr>
      </w:pPr>
      <w:r>
        <w:rPr>
          <w:rFonts w:hint="eastAsia" w:ascii="宋体" w:hAnsi="宋体" w:cs="宋体"/>
          <w:color w:val="auto"/>
        </w:rPr>
        <w:t>　　(1)……</w:t>
      </w:r>
    </w:p>
    <w:p>
      <w:pPr>
        <w:spacing w:line="360" w:lineRule="auto"/>
        <w:rPr>
          <w:rFonts w:hint="eastAsia" w:ascii="宋体" w:hAnsi="宋体" w:cs="宋体"/>
          <w:color w:val="auto"/>
        </w:rPr>
      </w:pPr>
      <w:r>
        <w:rPr>
          <w:rFonts w:hint="eastAsia" w:ascii="宋体" w:hAnsi="宋体" w:cs="宋体"/>
          <w:color w:val="auto"/>
        </w:rPr>
        <w:t>　　(2)……</w:t>
      </w:r>
    </w:p>
    <w:p>
      <w:pPr>
        <w:spacing w:line="360" w:lineRule="auto"/>
        <w:rPr>
          <w:rFonts w:hint="eastAsia" w:ascii="宋体" w:hAnsi="宋体" w:cs="宋体"/>
          <w:color w:val="auto"/>
        </w:rPr>
      </w:pPr>
      <w:r>
        <w:rPr>
          <w:rFonts w:hint="eastAsia" w:ascii="宋体" w:hAnsi="宋体" w:cs="宋体"/>
          <w:color w:val="auto"/>
        </w:rPr>
        <w:t>　4.3　分包</w:t>
      </w:r>
    </w:p>
    <w:p>
      <w:pPr>
        <w:spacing w:line="360" w:lineRule="auto"/>
        <w:rPr>
          <w:rFonts w:hint="eastAsia" w:ascii="宋体" w:hAnsi="宋体" w:cs="宋体"/>
          <w:color w:val="auto"/>
        </w:rPr>
      </w:pPr>
      <w:r>
        <w:rPr>
          <w:rFonts w:hint="eastAsia" w:ascii="宋体" w:hAnsi="宋体" w:cs="宋体"/>
          <w:color w:val="auto"/>
        </w:rPr>
        <w:t>　　4.3.2　允许承包人分包的工程项目、工作内容与分包金额限额为：</w:t>
      </w:r>
    </w:p>
    <w:p>
      <w:pPr>
        <w:spacing w:line="360" w:lineRule="auto"/>
        <w:rPr>
          <w:rFonts w:hint="eastAsia" w:ascii="宋体" w:hAnsi="宋体" w:cs="宋体"/>
          <w:color w:val="auto"/>
        </w:rPr>
      </w:pPr>
      <w:r>
        <w:rPr>
          <w:rFonts w:hint="eastAsia" w:ascii="宋体" w:hAnsi="宋体" w:cs="宋体"/>
          <w:color w:val="auto"/>
        </w:rPr>
        <w:t>　　(1)工程项目：</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(2)工作内容：</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(3)分包金额限额：</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4.3.10　分包人项目管理机构的设立：</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4.11　不利物质条件</w:t>
      </w:r>
    </w:p>
    <w:p>
      <w:pPr>
        <w:spacing w:line="360" w:lineRule="auto"/>
        <w:rPr>
          <w:rFonts w:hint="eastAsia" w:ascii="宋体" w:hAnsi="宋体" w:cs="宋体"/>
          <w:color w:val="auto"/>
        </w:rPr>
      </w:pPr>
      <w:r>
        <w:rPr>
          <w:rFonts w:hint="eastAsia" w:ascii="宋体" w:hAnsi="宋体" w:cs="宋体"/>
          <w:color w:val="auto"/>
        </w:rPr>
        <w:t>　　4.11.1　不利物质条件的范围：</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86" w:name="第04章合同条款及格式0205"/>
      <w:bookmarkEnd w:id="186"/>
      <w:r>
        <w:rPr>
          <w:rFonts w:hint="eastAsia" w:ascii="宋体" w:hAnsi="宋体" w:cs="宋体"/>
          <w:b/>
          <w:color w:val="auto"/>
          <w:sz w:val="24"/>
        </w:rPr>
        <w:t>5　材料和工程设备</w:t>
      </w:r>
    </w:p>
    <w:p>
      <w:pPr>
        <w:spacing w:line="360" w:lineRule="auto"/>
        <w:rPr>
          <w:rFonts w:hint="eastAsia" w:ascii="宋体" w:hAnsi="宋体" w:cs="宋体"/>
          <w:color w:val="auto"/>
        </w:rPr>
      </w:pPr>
      <w:r>
        <w:rPr>
          <w:rFonts w:hint="eastAsia" w:ascii="宋体" w:hAnsi="宋体" w:cs="宋体"/>
          <w:color w:val="auto"/>
        </w:rPr>
        <w:t>　5.2　发包人提供的材料和工程设备</w:t>
      </w:r>
    </w:p>
    <w:p>
      <w:pPr>
        <w:spacing w:line="360" w:lineRule="auto"/>
        <w:rPr>
          <w:rFonts w:hint="eastAsia" w:ascii="宋体" w:hAnsi="宋体" w:cs="宋体"/>
          <w:color w:val="auto"/>
        </w:rPr>
      </w:pPr>
      <w:r>
        <w:rPr>
          <w:rFonts w:hint="eastAsia" w:ascii="宋体" w:hAnsi="宋体" w:cs="宋体"/>
          <w:color w:val="auto"/>
        </w:rPr>
        <w:t>　　5.2.1　发包人提供的材料和工程设备见下表：</w:t>
      </w:r>
    </w:p>
    <w:p>
      <w:pPr>
        <w:spacing w:line="360" w:lineRule="auto"/>
        <w:jc w:val="center"/>
        <w:rPr>
          <w:rFonts w:hint="eastAsia" w:ascii="宋体" w:hAnsi="宋体" w:cs="宋体"/>
          <w:b/>
          <w:color w:val="auto"/>
        </w:rPr>
      </w:pPr>
      <w:r>
        <w:rPr>
          <w:rFonts w:hint="eastAsia" w:ascii="宋体" w:hAnsi="宋体" w:cs="宋体"/>
          <w:b/>
          <w:color w:val="auto"/>
        </w:rPr>
        <w:t>发包人提供的材料表(参考格式)</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8"/>
        <w:gridCol w:w="1417"/>
        <w:gridCol w:w="709"/>
        <w:gridCol w:w="1417"/>
        <w:gridCol w:w="1134"/>
        <w:gridCol w:w="1560"/>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141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材料名称</w:t>
            </w:r>
          </w:p>
        </w:tc>
        <w:tc>
          <w:tcPr>
            <w:tcW w:w="141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材料规格</w:t>
            </w:r>
          </w:p>
        </w:tc>
        <w:tc>
          <w:tcPr>
            <w:tcW w:w="709"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数量</w:t>
            </w:r>
          </w:p>
        </w:tc>
        <w:tc>
          <w:tcPr>
            <w:tcW w:w="141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交货地点</w:t>
            </w:r>
          </w:p>
        </w:tc>
        <w:tc>
          <w:tcPr>
            <w:tcW w:w="1134"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交货方式</w:t>
            </w:r>
          </w:p>
        </w:tc>
        <w:tc>
          <w:tcPr>
            <w:tcW w:w="1560"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计划交货日期</w:t>
            </w:r>
          </w:p>
        </w:tc>
        <w:tc>
          <w:tcPr>
            <w:tcW w:w="70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p>
        </w:tc>
        <w:tc>
          <w:tcPr>
            <w:tcW w:w="1418" w:type="dxa"/>
            <w:noWrap w:val="0"/>
            <w:vAlign w:val="center"/>
          </w:tcPr>
          <w:p>
            <w:pPr>
              <w:spacing w:line="360" w:lineRule="auto"/>
              <w:jc w:val="center"/>
              <w:rPr>
                <w:rFonts w:hint="eastAsia" w:ascii="宋体" w:hAnsi="宋体" w:cs="宋体"/>
                <w:color w:val="auto"/>
              </w:rPr>
            </w:pPr>
          </w:p>
        </w:tc>
        <w:tc>
          <w:tcPr>
            <w:tcW w:w="1417" w:type="dxa"/>
            <w:noWrap w:val="0"/>
            <w:vAlign w:val="center"/>
          </w:tcPr>
          <w:p>
            <w:pPr>
              <w:spacing w:line="360" w:lineRule="auto"/>
              <w:jc w:val="center"/>
              <w:rPr>
                <w:rFonts w:hint="eastAsia" w:ascii="宋体" w:hAnsi="宋体" w:cs="宋体"/>
                <w:color w:val="auto"/>
              </w:rPr>
            </w:pPr>
          </w:p>
        </w:tc>
        <w:tc>
          <w:tcPr>
            <w:tcW w:w="709" w:type="dxa"/>
            <w:noWrap w:val="0"/>
            <w:vAlign w:val="center"/>
          </w:tcPr>
          <w:p>
            <w:pPr>
              <w:spacing w:line="360" w:lineRule="auto"/>
              <w:jc w:val="center"/>
              <w:rPr>
                <w:rFonts w:hint="eastAsia" w:ascii="宋体" w:hAnsi="宋体" w:cs="宋体"/>
                <w:color w:val="auto"/>
              </w:rPr>
            </w:pPr>
          </w:p>
        </w:tc>
        <w:tc>
          <w:tcPr>
            <w:tcW w:w="1417" w:type="dxa"/>
            <w:noWrap w:val="0"/>
            <w:vAlign w:val="center"/>
          </w:tcPr>
          <w:p>
            <w:pPr>
              <w:spacing w:line="360" w:lineRule="auto"/>
              <w:jc w:val="center"/>
              <w:rPr>
                <w:rFonts w:hint="eastAsia" w:ascii="宋体" w:hAnsi="宋体" w:cs="宋体"/>
                <w:color w:val="auto"/>
              </w:rPr>
            </w:pPr>
          </w:p>
        </w:tc>
        <w:tc>
          <w:tcPr>
            <w:tcW w:w="1134" w:type="dxa"/>
            <w:noWrap w:val="0"/>
            <w:vAlign w:val="center"/>
          </w:tcPr>
          <w:p>
            <w:pPr>
              <w:spacing w:line="360" w:lineRule="auto"/>
              <w:jc w:val="center"/>
              <w:rPr>
                <w:rFonts w:hint="eastAsia" w:ascii="宋体" w:hAnsi="宋体" w:cs="宋体"/>
                <w:color w:val="auto"/>
              </w:rPr>
            </w:pPr>
          </w:p>
        </w:tc>
        <w:tc>
          <w:tcPr>
            <w:tcW w:w="1560" w:type="dxa"/>
            <w:noWrap w:val="0"/>
            <w:vAlign w:val="center"/>
          </w:tcPr>
          <w:p>
            <w:pPr>
              <w:spacing w:line="360" w:lineRule="auto"/>
              <w:jc w:val="center"/>
              <w:rPr>
                <w:rFonts w:hint="eastAsia" w:ascii="宋体" w:hAnsi="宋体" w:cs="宋体"/>
                <w:color w:val="auto"/>
              </w:rPr>
            </w:pPr>
          </w:p>
        </w:tc>
        <w:tc>
          <w:tcPr>
            <w:tcW w:w="708"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p>
        </w:tc>
        <w:tc>
          <w:tcPr>
            <w:tcW w:w="1418" w:type="dxa"/>
            <w:noWrap w:val="0"/>
            <w:vAlign w:val="center"/>
          </w:tcPr>
          <w:p>
            <w:pPr>
              <w:spacing w:line="360" w:lineRule="auto"/>
              <w:jc w:val="center"/>
              <w:rPr>
                <w:rFonts w:hint="eastAsia" w:ascii="宋体" w:hAnsi="宋体" w:cs="宋体"/>
                <w:color w:val="auto"/>
              </w:rPr>
            </w:pPr>
          </w:p>
        </w:tc>
        <w:tc>
          <w:tcPr>
            <w:tcW w:w="1417" w:type="dxa"/>
            <w:noWrap w:val="0"/>
            <w:vAlign w:val="center"/>
          </w:tcPr>
          <w:p>
            <w:pPr>
              <w:spacing w:line="360" w:lineRule="auto"/>
              <w:jc w:val="center"/>
              <w:rPr>
                <w:rFonts w:hint="eastAsia" w:ascii="宋体" w:hAnsi="宋体" w:cs="宋体"/>
                <w:color w:val="auto"/>
              </w:rPr>
            </w:pPr>
          </w:p>
        </w:tc>
        <w:tc>
          <w:tcPr>
            <w:tcW w:w="709" w:type="dxa"/>
            <w:noWrap w:val="0"/>
            <w:vAlign w:val="center"/>
          </w:tcPr>
          <w:p>
            <w:pPr>
              <w:spacing w:line="360" w:lineRule="auto"/>
              <w:jc w:val="center"/>
              <w:rPr>
                <w:rFonts w:hint="eastAsia" w:ascii="宋体" w:hAnsi="宋体" w:cs="宋体"/>
                <w:color w:val="auto"/>
              </w:rPr>
            </w:pPr>
          </w:p>
        </w:tc>
        <w:tc>
          <w:tcPr>
            <w:tcW w:w="1417" w:type="dxa"/>
            <w:noWrap w:val="0"/>
            <w:vAlign w:val="center"/>
          </w:tcPr>
          <w:p>
            <w:pPr>
              <w:spacing w:line="360" w:lineRule="auto"/>
              <w:jc w:val="center"/>
              <w:rPr>
                <w:rFonts w:hint="eastAsia" w:ascii="宋体" w:hAnsi="宋体" w:cs="宋体"/>
                <w:color w:val="auto"/>
              </w:rPr>
            </w:pPr>
          </w:p>
        </w:tc>
        <w:tc>
          <w:tcPr>
            <w:tcW w:w="1134" w:type="dxa"/>
            <w:noWrap w:val="0"/>
            <w:vAlign w:val="center"/>
          </w:tcPr>
          <w:p>
            <w:pPr>
              <w:spacing w:line="360" w:lineRule="auto"/>
              <w:jc w:val="center"/>
              <w:rPr>
                <w:rFonts w:hint="eastAsia" w:ascii="宋体" w:hAnsi="宋体" w:cs="宋体"/>
                <w:color w:val="auto"/>
              </w:rPr>
            </w:pPr>
          </w:p>
        </w:tc>
        <w:tc>
          <w:tcPr>
            <w:tcW w:w="1560" w:type="dxa"/>
            <w:noWrap w:val="0"/>
            <w:vAlign w:val="center"/>
          </w:tcPr>
          <w:p>
            <w:pPr>
              <w:spacing w:line="360" w:lineRule="auto"/>
              <w:jc w:val="center"/>
              <w:rPr>
                <w:rFonts w:hint="eastAsia" w:ascii="宋体" w:hAnsi="宋体" w:cs="宋体"/>
                <w:color w:val="auto"/>
              </w:rPr>
            </w:pPr>
          </w:p>
        </w:tc>
        <w:tc>
          <w:tcPr>
            <w:tcW w:w="708"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p>
        </w:tc>
        <w:tc>
          <w:tcPr>
            <w:tcW w:w="1418" w:type="dxa"/>
            <w:noWrap w:val="0"/>
            <w:vAlign w:val="center"/>
          </w:tcPr>
          <w:p>
            <w:pPr>
              <w:spacing w:line="360" w:lineRule="auto"/>
              <w:jc w:val="center"/>
              <w:rPr>
                <w:rFonts w:hint="eastAsia" w:ascii="宋体" w:hAnsi="宋体" w:cs="宋体"/>
                <w:color w:val="auto"/>
              </w:rPr>
            </w:pPr>
          </w:p>
        </w:tc>
        <w:tc>
          <w:tcPr>
            <w:tcW w:w="1417" w:type="dxa"/>
            <w:noWrap w:val="0"/>
            <w:vAlign w:val="center"/>
          </w:tcPr>
          <w:p>
            <w:pPr>
              <w:spacing w:line="360" w:lineRule="auto"/>
              <w:jc w:val="center"/>
              <w:rPr>
                <w:rFonts w:hint="eastAsia" w:ascii="宋体" w:hAnsi="宋体" w:cs="宋体"/>
                <w:color w:val="auto"/>
              </w:rPr>
            </w:pPr>
          </w:p>
        </w:tc>
        <w:tc>
          <w:tcPr>
            <w:tcW w:w="709" w:type="dxa"/>
            <w:noWrap w:val="0"/>
            <w:vAlign w:val="center"/>
          </w:tcPr>
          <w:p>
            <w:pPr>
              <w:spacing w:line="360" w:lineRule="auto"/>
              <w:jc w:val="center"/>
              <w:rPr>
                <w:rFonts w:hint="eastAsia" w:ascii="宋体" w:hAnsi="宋体" w:cs="宋体"/>
                <w:color w:val="auto"/>
              </w:rPr>
            </w:pPr>
          </w:p>
        </w:tc>
        <w:tc>
          <w:tcPr>
            <w:tcW w:w="1417" w:type="dxa"/>
            <w:noWrap w:val="0"/>
            <w:vAlign w:val="center"/>
          </w:tcPr>
          <w:p>
            <w:pPr>
              <w:spacing w:line="360" w:lineRule="auto"/>
              <w:jc w:val="center"/>
              <w:rPr>
                <w:rFonts w:hint="eastAsia" w:ascii="宋体" w:hAnsi="宋体" w:cs="宋体"/>
                <w:color w:val="auto"/>
              </w:rPr>
            </w:pPr>
          </w:p>
        </w:tc>
        <w:tc>
          <w:tcPr>
            <w:tcW w:w="1134" w:type="dxa"/>
            <w:noWrap w:val="0"/>
            <w:vAlign w:val="center"/>
          </w:tcPr>
          <w:p>
            <w:pPr>
              <w:spacing w:line="360" w:lineRule="auto"/>
              <w:jc w:val="center"/>
              <w:rPr>
                <w:rFonts w:hint="eastAsia" w:ascii="宋体" w:hAnsi="宋体" w:cs="宋体"/>
                <w:color w:val="auto"/>
              </w:rPr>
            </w:pPr>
          </w:p>
        </w:tc>
        <w:tc>
          <w:tcPr>
            <w:tcW w:w="1560" w:type="dxa"/>
            <w:noWrap w:val="0"/>
            <w:vAlign w:val="center"/>
          </w:tcPr>
          <w:p>
            <w:pPr>
              <w:spacing w:line="360" w:lineRule="auto"/>
              <w:jc w:val="center"/>
              <w:rPr>
                <w:rFonts w:hint="eastAsia" w:ascii="宋体" w:hAnsi="宋体" w:cs="宋体"/>
                <w:color w:val="auto"/>
              </w:rPr>
            </w:pPr>
          </w:p>
        </w:tc>
        <w:tc>
          <w:tcPr>
            <w:tcW w:w="708" w:type="dxa"/>
            <w:noWrap w:val="0"/>
            <w:vAlign w:val="center"/>
          </w:tcPr>
          <w:p>
            <w:pPr>
              <w:spacing w:line="360" w:lineRule="auto"/>
              <w:jc w:val="center"/>
              <w:rPr>
                <w:rFonts w:hint="eastAsia" w:ascii="宋体" w:hAnsi="宋体" w:cs="宋体"/>
                <w:color w:val="auto"/>
              </w:rPr>
            </w:pPr>
          </w:p>
        </w:tc>
      </w:tr>
    </w:tbl>
    <w:p>
      <w:pPr>
        <w:spacing w:line="360" w:lineRule="auto"/>
        <w:rPr>
          <w:rFonts w:hint="eastAsia" w:ascii="宋体" w:hAnsi="宋体" w:cs="宋体"/>
          <w:color w:val="auto"/>
        </w:rPr>
      </w:pPr>
    </w:p>
    <w:p>
      <w:pPr>
        <w:spacing w:line="360" w:lineRule="auto"/>
        <w:jc w:val="center"/>
        <w:rPr>
          <w:rFonts w:hint="eastAsia" w:ascii="宋体" w:hAnsi="宋体" w:cs="宋体"/>
          <w:b/>
          <w:color w:val="auto"/>
        </w:rPr>
      </w:pPr>
      <w:r>
        <w:rPr>
          <w:rFonts w:hint="eastAsia" w:ascii="宋体" w:hAnsi="宋体" w:cs="宋体"/>
          <w:b/>
          <w:color w:val="auto"/>
        </w:rPr>
        <w:t>发包人提供的工程设备表(参考格式)</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701"/>
        <w:gridCol w:w="1276"/>
        <w:gridCol w:w="877"/>
        <w:gridCol w:w="1168"/>
        <w:gridCol w:w="1168"/>
        <w:gridCol w:w="1606"/>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1701"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工程设备名称</w:t>
            </w:r>
          </w:p>
        </w:tc>
        <w:tc>
          <w:tcPr>
            <w:tcW w:w="127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型号及规格</w:t>
            </w:r>
          </w:p>
        </w:tc>
        <w:tc>
          <w:tcPr>
            <w:tcW w:w="87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数量</w:t>
            </w:r>
          </w:p>
        </w:tc>
        <w:tc>
          <w:tcPr>
            <w:tcW w:w="116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交货地点</w:t>
            </w:r>
          </w:p>
        </w:tc>
        <w:tc>
          <w:tcPr>
            <w:tcW w:w="116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交货方式</w:t>
            </w:r>
          </w:p>
        </w:tc>
        <w:tc>
          <w:tcPr>
            <w:tcW w:w="160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计划交货日期</w:t>
            </w:r>
          </w:p>
        </w:tc>
        <w:tc>
          <w:tcPr>
            <w:tcW w:w="730"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p>
        </w:tc>
        <w:tc>
          <w:tcPr>
            <w:tcW w:w="1701" w:type="dxa"/>
            <w:noWrap w:val="0"/>
            <w:vAlign w:val="center"/>
          </w:tcPr>
          <w:p>
            <w:pPr>
              <w:spacing w:line="360" w:lineRule="auto"/>
              <w:jc w:val="center"/>
              <w:rPr>
                <w:rFonts w:hint="eastAsia" w:ascii="宋体" w:hAnsi="宋体" w:cs="宋体"/>
                <w:color w:val="auto"/>
              </w:rPr>
            </w:pPr>
          </w:p>
        </w:tc>
        <w:tc>
          <w:tcPr>
            <w:tcW w:w="1276" w:type="dxa"/>
            <w:noWrap w:val="0"/>
            <w:vAlign w:val="center"/>
          </w:tcPr>
          <w:p>
            <w:pPr>
              <w:spacing w:line="360" w:lineRule="auto"/>
              <w:jc w:val="center"/>
              <w:rPr>
                <w:rFonts w:hint="eastAsia" w:ascii="宋体" w:hAnsi="宋体" w:cs="宋体"/>
                <w:color w:val="auto"/>
              </w:rPr>
            </w:pPr>
          </w:p>
        </w:tc>
        <w:tc>
          <w:tcPr>
            <w:tcW w:w="877" w:type="dxa"/>
            <w:noWrap w:val="0"/>
            <w:vAlign w:val="center"/>
          </w:tcPr>
          <w:p>
            <w:pPr>
              <w:spacing w:line="360" w:lineRule="auto"/>
              <w:jc w:val="center"/>
              <w:rPr>
                <w:rFonts w:hint="eastAsia" w:ascii="宋体" w:hAnsi="宋体" w:cs="宋体"/>
                <w:color w:val="auto"/>
              </w:rPr>
            </w:pPr>
          </w:p>
        </w:tc>
        <w:tc>
          <w:tcPr>
            <w:tcW w:w="1168" w:type="dxa"/>
            <w:noWrap w:val="0"/>
            <w:vAlign w:val="center"/>
          </w:tcPr>
          <w:p>
            <w:pPr>
              <w:spacing w:line="360" w:lineRule="auto"/>
              <w:jc w:val="center"/>
              <w:rPr>
                <w:rFonts w:hint="eastAsia" w:ascii="宋体" w:hAnsi="宋体" w:cs="宋体"/>
                <w:color w:val="auto"/>
              </w:rPr>
            </w:pPr>
          </w:p>
        </w:tc>
        <w:tc>
          <w:tcPr>
            <w:tcW w:w="1168" w:type="dxa"/>
            <w:noWrap w:val="0"/>
            <w:vAlign w:val="center"/>
          </w:tcPr>
          <w:p>
            <w:pPr>
              <w:spacing w:line="360" w:lineRule="auto"/>
              <w:jc w:val="center"/>
              <w:rPr>
                <w:rFonts w:hint="eastAsia" w:ascii="宋体" w:hAnsi="宋体" w:cs="宋体"/>
                <w:color w:val="auto"/>
              </w:rPr>
            </w:pPr>
          </w:p>
        </w:tc>
        <w:tc>
          <w:tcPr>
            <w:tcW w:w="1606" w:type="dxa"/>
            <w:noWrap w:val="0"/>
            <w:vAlign w:val="center"/>
          </w:tcPr>
          <w:p>
            <w:pPr>
              <w:spacing w:line="360" w:lineRule="auto"/>
              <w:jc w:val="center"/>
              <w:rPr>
                <w:rFonts w:hint="eastAsia" w:ascii="宋体" w:hAnsi="宋体" w:cs="宋体"/>
                <w:color w:val="auto"/>
              </w:rPr>
            </w:pPr>
          </w:p>
        </w:tc>
        <w:tc>
          <w:tcPr>
            <w:tcW w:w="730"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spacing w:line="360" w:lineRule="auto"/>
              <w:jc w:val="center"/>
              <w:rPr>
                <w:rFonts w:hint="eastAsia" w:ascii="宋体" w:hAnsi="宋体" w:cs="宋体"/>
                <w:color w:val="auto"/>
              </w:rPr>
            </w:pPr>
          </w:p>
        </w:tc>
        <w:tc>
          <w:tcPr>
            <w:tcW w:w="1701" w:type="dxa"/>
            <w:noWrap w:val="0"/>
            <w:vAlign w:val="center"/>
          </w:tcPr>
          <w:p>
            <w:pPr>
              <w:spacing w:line="360" w:lineRule="auto"/>
              <w:jc w:val="center"/>
              <w:rPr>
                <w:rFonts w:hint="eastAsia" w:ascii="宋体" w:hAnsi="宋体" w:cs="宋体"/>
                <w:color w:val="auto"/>
              </w:rPr>
            </w:pPr>
          </w:p>
        </w:tc>
        <w:tc>
          <w:tcPr>
            <w:tcW w:w="1276" w:type="dxa"/>
            <w:noWrap w:val="0"/>
            <w:vAlign w:val="center"/>
          </w:tcPr>
          <w:p>
            <w:pPr>
              <w:spacing w:line="360" w:lineRule="auto"/>
              <w:jc w:val="center"/>
              <w:rPr>
                <w:rFonts w:hint="eastAsia" w:ascii="宋体" w:hAnsi="宋体" w:cs="宋体"/>
                <w:color w:val="auto"/>
              </w:rPr>
            </w:pPr>
          </w:p>
        </w:tc>
        <w:tc>
          <w:tcPr>
            <w:tcW w:w="877" w:type="dxa"/>
            <w:noWrap w:val="0"/>
            <w:vAlign w:val="center"/>
          </w:tcPr>
          <w:p>
            <w:pPr>
              <w:spacing w:line="360" w:lineRule="auto"/>
              <w:jc w:val="center"/>
              <w:rPr>
                <w:rFonts w:hint="eastAsia" w:ascii="宋体" w:hAnsi="宋体" w:cs="宋体"/>
                <w:color w:val="auto"/>
              </w:rPr>
            </w:pPr>
          </w:p>
        </w:tc>
        <w:tc>
          <w:tcPr>
            <w:tcW w:w="1168" w:type="dxa"/>
            <w:noWrap w:val="0"/>
            <w:vAlign w:val="center"/>
          </w:tcPr>
          <w:p>
            <w:pPr>
              <w:spacing w:line="360" w:lineRule="auto"/>
              <w:jc w:val="center"/>
              <w:rPr>
                <w:rFonts w:hint="eastAsia" w:ascii="宋体" w:hAnsi="宋体" w:cs="宋体"/>
                <w:color w:val="auto"/>
              </w:rPr>
            </w:pPr>
          </w:p>
        </w:tc>
        <w:tc>
          <w:tcPr>
            <w:tcW w:w="1168" w:type="dxa"/>
            <w:noWrap w:val="0"/>
            <w:vAlign w:val="center"/>
          </w:tcPr>
          <w:p>
            <w:pPr>
              <w:spacing w:line="360" w:lineRule="auto"/>
              <w:jc w:val="center"/>
              <w:rPr>
                <w:rFonts w:hint="eastAsia" w:ascii="宋体" w:hAnsi="宋体" w:cs="宋体"/>
                <w:color w:val="auto"/>
              </w:rPr>
            </w:pPr>
          </w:p>
        </w:tc>
        <w:tc>
          <w:tcPr>
            <w:tcW w:w="1606" w:type="dxa"/>
            <w:noWrap w:val="0"/>
            <w:vAlign w:val="center"/>
          </w:tcPr>
          <w:p>
            <w:pPr>
              <w:spacing w:line="360" w:lineRule="auto"/>
              <w:jc w:val="center"/>
              <w:rPr>
                <w:rFonts w:hint="eastAsia" w:ascii="宋体" w:hAnsi="宋体" w:cs="宋体"/>
                <w:color w:val="auto"/>
              </w:rPr>
            </w:pPr>
          </w:p>
        </w:tc>
        <w:tc>
          <w:tcPr>
            <w:tcW w:w="730" w:type="dxa"/>
            <w:noWrap w:val="0"/>
            <w:vAlign w:val="center"/>
          </w:tcPr>
          <w:p>
            <w:pPr>
              <w:spacing w:line="360" w:lineRule="auto"/>
              <w:jc w:val="center"/>
              <w:rPr>
                <w:rFonts w:hint="eastAsia" w:ascii="宋体" w:hAnsi="宋体" w:cs="宋体"/>
                <w:color w:val="auto"/>
              </w:rPr>
            </w:pPr>
          </w:p>
        </w:tc>
      </w:tr>
    </w:tbl>
    <w:p>
      <w:pPr>
        <w:tabs>
          <w:tab w:val="left" w:pos="8280"/>
        </w:tabs>
        <w:spacing w:line="360" w:lineRule="auto"/>
        <w:rPr>
          <w:rFonts w:hint="eastAsia" w:ascii="宋体" w:hAnsi="宋体" w:cs="宋体"/>
          <w:b/>
          <w:color w:val="auto"/>
          <w:sz w:val="24"/>
        </w:rPr>
      </w:pPr>
      <w:bookmarkStart w:id="187" w:name="第04章合同条款及格式0206"/>
      <w:bookmarkEnd w:id="187"/>
      <w:r>
        <w:rPr>
          <w:rFonts w:hint="eastAsia" w:ascii="宋体" w:hAnsi="宋体" w:cs="宋体"/>
          <w:b/>
          <w:color w:val="auto"/>
          <w:sz w:val="24"/>
        </w:rPr>
        <w:t>6　施工设备和临时设施</w:t>
      </w:r>
    </w:p>
    <w:p>
      <w:pPr>
        <w:spacing w:line="360" w:lineRule="auto"/>
        <w:rPr>
          <w:rFonts w:hint="eastAsia" w:ascii="宋体" w:hAnsi="宋体" w:cs="宋体"/>
          <w:color w:val="auto"/>
        </w:rPr>
      </w:pPr>
      <w:r>
        <w:rPr>
          <w:rFonts w:hint="eastAsia" w:ascii="宋体" w:hAnsi="宋体" w:cs="宋体"/>
          <w:color w:val="auto"/>
        </w:rPr>
        <w:t>　6.2　发包人提供的施工设备和临时设施</w:t>
      </w:r>
    </w:p>
    <w:p>
      <w:pPr>
        <w:spacing w:line="360" w:lineRule="auto"/>
        <w:rPr>
          <w:rFonts w:hint="eastAsia" w:ascii="宋体" w:hAnsi="宋体" w:cs="宋体"/>
          <w:color w:val="auto"/>
        </w:rPr>
      </w:pPr>
      <w:r>
        <w:rPr>
          <w:rFonts w:hint="eastAsia" w:ascii="宋体" w:hAnsi="宋体" w:cs="宋体"/>
          <w:color w:val="auto"/>
        </w:rPr>
        <w:t>　　(1)发包人提供的施工设备见下表：</w:t>
      </w:r>
    </w:p>
    <w:p>
      <w:pPr>
        <w:spacing w:line="360" w:lineRule="auto"/>
        <w:rPr>
          <w:rFonts w:hint="eastAsia" w:ascii="宋体" w:hAnsi="宋体" w:cs="宋体"/>
          <w:color w:val="auto"/>
        </w:rPr>
      </w:pPr>
    </w:p>
    <w:p>
      <w:pPr>
        <w:spacing w:line="360" w:lineRule="auto"/>
        <w:jc w:val="center"/>
        <w:rPr>
          <w:rFonts w:hint="eastAsia" w:ascii="宋体" w:hAnsi="宋体" w:cs="宋体"/>
          <w:b/>
          <w:color w:val="auto"/>
        </w:rPr>
      </w:pPr>
      <w:r>
        <w:rPr>
          <w:rFonts w:hint="eastAsia" w:ascii="宋体" w:hAnsi="宋体" w:cs="宋体"/>
          <w:b/>
          <w:color w:val="auto"/>
        </w:rPr>
        <w:t>发包人提供的施工设备表(参考格式)</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18"/>
        <w:gridCol w:w="1317"/>
        <w:gridCol w:w="1418"/>
        <w:gridCol w:w="769"/>
        <w:gridCol w:w="1168"/>
        <w:gridCol w:w="1606"/>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151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施工设备名称</w:t>
            </w:r>
          </w:p>
        </w:tc>
        <w:tc>
          <w:tcPr>
            <w:tcW w:w="131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型号及规格</w:t>
            </w:r>
          </w:p>
        </w:tc>
        <w:tc>
          <w:tcPr>
            <w:tcW w:w="141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设备状况</w:t>
            </w:r>
          </w:p>
        </w:tc>
        <w:tc>
          <w:tcPr>
            <w:tcW w:w="769"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数量</w:t>
            </w:r>
          </w:p>
        </w:tc>
        <w:tc>
          <w:tcPr>
            <w:tcW w:w="1168"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移交地点</w:t>
            </w:r>
          </w:p>
        </w:tc>
        <w:tc>
          <w:tcPr>
            <w:tcW w:w="160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计划移交日期</w:t>
            </w:r>
          </w:p>
        </w:tc>
        <w:tc>
          <w:tcPr>
            <w:tcW w:w="730"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noWrap w:val="0"/>
            <w:vAlign w:val="center"/>
          </w:tcPr>
          <w:p>
            <w:pPr>
              <w:spacing w:line="360" w:lineRule="auto"/>
              <w:jc w:val="center"/>
              <w:rPr>
                <w:rFonts w:hint="eastAsia" w:ascii="宋体" w:hAnsi="宋体" w:cs="宋体"/>
                <w:color w:val="auto"/>
              </w:rPr>
            </w:pPr>
          </w:p>
        </w:tc>
        <w:tc>
          <w:tcPr>
            <w:tcW w:w="1518" w:type="dxa"/>
            <w:noWrap w:val="0"/>
            <w:vAlign w:val="center"/>
          </w:tcPr>
          <w:p>
            <w:pPr>
              <w:spacing w:line="360" w:lineRule="auto"/>
              <w:jc w:val="center"/>
              <w:rPr>
                <w:rFonts w:hint="eastAsia" w:ascii="宋体" w:hAnsi="宋体" w:cs="宋体"/>
                <w:color w:val="auto"/>
              </w:rPr>
            </w:pPr>
          </w:p>
        </w:tc>
        <w:tc>
          <w:tcPr>
            <w:tcW w:w="1317" w:type="dxa"/>
            <w:noWrap w:val="0"/>
            <w:vAlign w:val="center"/>
          </w:tcPr>
          <w:p>
            <w:pPr>
              <w:spacing w:line="360" w:lineRule="auto"/>
              <w:jc w:val="center"/>
              <w:rPr>
                <w:rFonts w:hint="eastAsia" w:ascii="宋体" w:hAnsi="宋体" w:cs="宋体"/>
                <w:color w:val="auto"/>
              </w:rPr>
            </w:pPr>
          </w:p>
        </w:tc>
        <w:tc>
          <w:tcPr>
            <w:tcW w:w="1418" w:type="dxa"/>
            <w:noWrap w:val="0"/>
            <w:vAlign w:val="center"/>
          </w:tcPr>
          <w:p>
            <w:pPr>
              <w:spacing w:line="360" w:lineRule="auto"/>
              <w:jc w:val="center"/>
              <w:rPr>
                <w:rFonts w:hint="eastAsia" w:ascii="宋体" w:hAnsi="宋体" w:cs="宋体"/>
                <w:color w:val="auto"/>
              </w:rPr>
            </w:pPr>
          </w:p>
        </w:tc>
        <w:tc>
          <w:tcPr>
            <w:tcW w:w="769" w:type="dxa"/>
            <w:noWrap w:val="0"/>
            <w:vAlign w:val="center"/>
          </w:tcPr>
          <w:p>
            <w:pPr>
              <w:spacing w:line="360" w:lineRule="auto"/>
              <w:jc w:val="center"/>
              <w:rPr>
                <w:rFonts w:hint="eastAsia" w:ascii="宋体" w:hAnsi="宋体" w:cs="宋体"/>
                <w:color w:val="auto"/>
              </w:rPr>
            </w:pPr>
          </w:p>
        </w:tc>
        <w:tc>
          <w:tcPr>
            <w:tcW w:w="1168" w:type="dxa"/>
            <w:noWrap w:val="0"/>
            <w:vAlign w:val="center"/>
          </w:tcPr>
          <w:p>
            <w:pPr>
              <w:spacing w:line="360" w:lineRule="auto"/>
              <w:jc w:val="center"/>
              <w:rPr>
                <w:rFonts w:hint="eastAsia" w:ascii="宋体" w:hAnsi="宋体" w:cs="宋体"/>
                <w:color w:val="auto"/>
              </w:rPr>
            </w:pPr>
          </w:p>
        </w:tc>
        <w:tc>
          <w:tcPr>
            <w:tcW w:w="1606" w:type="dxa"/>
            <w:noWrap w:val="0"/>
            <w:vAlign w:val="center"/>
          </w:tcPr>
          <w:p>
            <w:pPr>
              <w:spacing w:line="360" w:lineRule="auto"/>
              <w:jc w:val="center"/>
              <w:rPr>
                <w:rFonts w:hint="eastAsia" w:ascii="宋体" w:hAnsi="宋体" w:cs="宋体"/>
                <w:color w:val="auto"/>
              </w:rPr>
            </w:pPr>
          </w:p>
        </w:tc>
        <w:tc>
          <w:tcPr>
            <w:tcW w:w="730"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noWrap w:val="0"/>
            <w:vAlign w:val="center"/>
          </w:tcPr>
          <w:p>
            <w:pPr>
              <w:spacing w:line="360" w:lineRule="auto"/>
              <w:jc w:val="center"/>
              <w:rPr>
                <w:rFonts w:hint="eastAsia" w:ascii="宋体" w:hAnsi="宋体" w:cs="宋体"/>
                <w:color w:val="auto"/>
              </w:rPr>
            </w:pPr>
          </w:p>
        </w:tc>
        <w:tc>
          <w:tcPr>
            <w:tcW w:w="1518" w:type="dxa"/>
            <w:noWrap w:val="0"/>
            <w:vAlign w:val="center"/>
          </w:tcPr>
          <w:p>
            <w:pPr>
              <w:spacing w:line="360" w:lineRule="auto"/>
              <w:jc w:val="center"/>
              <w:rPr>
                <w:rFonts w:hint="eastAsia" w:ascii="宋体" w:hAnsi="宋体" w:cs="宋体"/>
                <w:color w:val="auto"/>
              </w:rPr>
            </w:pPr>
          </w:p>
        </w:tc>
        <w:tc>
          <w:tcPr>
            <w:tcW w:w="1317" w:type="dxa"/>
            <w:noWrap w:val="0"/>
            <w:vAlign w:val="center"/>
          </w:tcPr>
          <w:p>
            <w:pPr>
              <w:spacing w:line="360" w:lineRule="auto"/>
              <w:jc w:val="center"/>
              <w:rPr>
                <w:rFonts w:hint="eastAsia" w:ascii="宋体" w:hAnsi="宋体" w:cs="宋体"/>
                <w:color w:val="auto"/>
              </w:rPr>
            </w:pPr>
          </w:p>
        </w:tc>
        <w:tc>
          <w:tcPr>
            <w:tcW w:w="1418" w:type="dxa"/>
            <w:noWrap w:val="0"/>
            <w:vAlign w:val="center"/>
          </w:tcPr>
          <w:p>
            <w:pPr>
              <w:spacing w:line="360" w:lineRule="auto"/>
              <w:jc w:val="center"/>
              <w:rPr>
                <w:rFonts w:hint="eastAsia" w:ascii="宋体" w:hAnsi="宋体" w:cs="宋体"/>
                <w:color w:val="auto"/>
              </w:rPr>
            </w:pPr>
          </w:p>
        </w:tc>
        <w:tc>
          <w:tcPr>
            <w:tcW w:w="769" w:type="dxa"/>
            <w:noWrap w:val="0"/>
            <w:vAlign w:val="center"/>
          </w:tcPr>
          <w:p>
            <w:pPr>
              <w:spacing w:line="360" w:lineRule="auto"/>
              <w:jc w:val="center"/>
              <w:rPr>
                <w:rFonts w:hint="eastAsia" w:ascii="宋体" w:hAnsi="宋体" w:cs="宋体"/>
                <w:color w:val="auto"/>
              </w:rPr>
            </w:pPr>
          </w:p>
        </w:tc>
        <w:tc>
          <w:tcPr>
            <w:tcW w:w="1168" w:type="dxa"/>
            <w:noWrap w:val="0"/>
            <w:vAlign w:val="center"/>
          </w:tcPr>
          <w:p>
            <w:pPr>
              <w:spacing w:line="360" w:lineRule="auto"/>
              <w:jc w:val="center"/>
              <w:rPr>
                <w:rFonts w:hint="eastAsia" w:ascii="宋体" w:hAnsi="宋体" w:cs="宋体"/>
                <w:color w:val="auto"/>
              </w:rPr>
            </w:pPr>
          </w:p>
        </w:tc>
        <w:tc>
          <w:tcPr>
            <w:tcW w:w="1606" w:type="dxa"/>
            <w:noWrap w:val="0"/>
            <w:vAlign w:val="center"/>
          </w:tcPr>
          <w:p>
            <w:pPr>
              <w:spacing w:line="360" w:lineRule="auto"/>
              <w:jc w:val="center"/>
              <w:rPr>
                <w:rFonts w:hint="eastAsia" w:ascii="宋体" w:hAnsi="宋体" w:cs="宋体"/>
                <w:color w:val="auto"/>
              </w:rPr>
            </w:pPr>
          </w:p>
        </w:tc>
        <w:tc>
          <w:tcPr>
            <w:tcW w:w="730" w:type="dxa"/>
            <w:noWrap w:val="0"/>
            <w:vAlign w:val="center"/>
          </w:tcPr>
          <w:p>
            <w:pPr>
              <w:spacing w:line="360" w:lineRule="auto"/>
              <w:jc w:val="center"/>
              <w:rPr>
                <w:rFonts w:hint="eastAsia" w:ascii="宋体" w:hAnsi="宋体" w:cs="宋体"/>
                <w:color w:val="auto"/>
              </w:rPr>
            </w:pPr>
          </w:p>
        </w:tc>
      </w:tr>
    </w:tbl>
    <w:p>
      <w:pPr>
        <w:spacing w:line="360" w:lineRule="auto"/>
        <w:rPr>
          <w:rFonts w:hint="eastAsia" w:ascii="宋体" w:hAnsi="宋体" w:cs="宋体"/>
          <w:color w:val="auto"/>
        </w:rPr>
      </w:pPr>
      <w:r>
        <w:rPr>
          <w:rFonts w:hint="eastAsia" w:ascii="宋体" w:hAnsi="宋体" w:cs="宋体"/>
          <w:color w:val="auto"/>
        </w:rPr>
        <w:t>　　注　设备状况栏内填写该设备的新旧程度、购进时间、已使用小时数和最近一次的大修时间。</w:t>
      </w:r>
    </w:p>
    <w:p>
      <w:pPr>
        <w:spacing w:line="360" w:lineRule="auto"/>
        <w:rPr>
          <w:rFonts w:hint="eastAsia" w:ascii="宋体" w:hAnsi="宋体" w:cs="宋体"/>
          <w:color w:val="auto"/>
        </w:rPr>
      </w:pPr>
      <w:r>
        <w:rPr>
          <w:rFonts w:hint="eastAsia" w:ascii="宋体" w:hAnsi="宋体" w:cs="宋体"/>
          <w:color w:val="auto"/>
        </w:rPr>
        <w:t>　　(2)发包人提供的临时设施：</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88" w:name="第04章合同条款及格式0207"/>
      <w:bookmarkEnd w:id="188"/>
      <w:r>
        <w:rPr>
          <w:rFonts w:hint="eastAsia" w:ascii="宋体" w:hAnsi="宋体" w:cs="宋体"/>
          <w:b/>
          <w:color w:val="auto"/>
          <w:sz w:val="24"/>
        </w:rPr>
        <w:t>7　交通运输</w:t>
      </w:r>
    </w:p>
    <w:p>
      <w:pPr>
        <w:spacing w:line="360" w:lineRule="auto"/>
        <w:rPr>
          <w:rFonts w:hint="eastAsia" w:ascii="宋体" w:hAnsi="宋体" w:cs="宋体"/>
          <w:color w:val="auto"/>
        </w:rPr>
      </w:pPr>
      <w:r>
        <w:rPr>
          <w:rFonts w:hint="eastAsia" w:ascii="宋体" w:hAnsi="宋体" w:cs="宋体"/>
          <w:color w:val="auto"/>
        </w:rPr>
        <w:t>　7.1　道路通行权和场外设施</w:t>
      </w:r>
    </w:p>
    <w:p>
      <w:pPr>
        <w:spacing w:line="360" w:lineRule="auto"/>
        <w:rPr>
          <w:rFonts w:hint="eastAsia" w:ascii="宋体" w:hAnsi="宋体" w:cs="宋体"/>
          <w:color w:val="auto"/>
        </w:rPr>
      </w:pPr>
      <w:r>
        <w:rPr>
          <w:rFonts w:hint="eastAsia" w:ascii="宋体" w:hAnsi="宋体" w:cs="宋体"/>
          <w:color w:val="auto"/>
        </w:rPr>
        <w:t>　　道路通行权和场外设施的约定：</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89" w:name="第04章合同条款及格式0208"/>
      <w:bookmarkEnd w:id="189"/>
      <w:r>
        <w:rPr>
          <w:rFonts w:hint="eastAsia" w:ascii="宋体" w:hAnsi="宋体" w:cs="宋体"/>
          <w:b/>
          <w:color w:val="auto"/>
          <w:sz w:val="24"/>
        </w:rPr>
        <w:t>8　测量放线</w:t>
      </w:r>
    </w:p>
    <w:p>
      <w:pPr>
        <w:spacing w:line="360" w:lineRule="auto"/>
        <w:rPr>
          <w:rFonts w:hint="eastAsia" w:ascii="宋体" w:hAnsi="宋体" w:cs="宋体"/>
          <w:color w:val="auto"/>
        </w:rPr>
      </w:pPr>
      <w:r>
        <w:rPr>
          <w:rFonts w:hint="eastAsia" w:ascii="宋体" w:hAnsi="宋体" w:cs="宋体"/>
          <w:color w:val="auto"/>
        </w:rPr>
        <w:t>　8.1　施工控制网</w:t>
      </w:r>
    </w:p>
    <w:p>
      <w:pPr>
        <w:spacing w:line="360" w:lineRule="auto"/>
        <w:rPr>
          <w:rFonts w:hint="eastAsia" w:ascii="宋体" w:hAnsi="宋体" w:cs="宋体"/>
          <w:color w:val="auto"/>
        </w:rPr>
      </w:pPr>
      <w:r>
        <w:rPr>
          <w:rFonts w:hint="eastAsia" w:ascii="宋体" w:hAnsi="宋体" w:cs="宋体"/>
          <w:color w:val="auto"/>
        </w:rPr>
        <w:t>　　8.1.1　施工控制网的约定：</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0" w:name="第04章合同条款及格式0209"/>
      <w:bookmarkEnd w:id="190"/>
      <w:r>
        <w:rPr>
          <w:rFonts w:hint="eastAsia" w:ascii="宋体" w:hAnsi="宋体" w:cs="宋体"/>
          <w:b/>
          <w:color w:val="auto"/>
          <w:sz w:val="24"/>
        </w:rPr>
        <w:t>9　施工安全、治安保卫和环境保护</w:t>
      </w:r>
    </w:p>
    <w:p>
      <w:pPr>
        <w:spacing w:line="360" w:lineRule="auto"/>
        <w:rPr>
          <w:rFonts w:hint="eastAsia" w:ascii="宋体" w:hAnsi="宋体" w:cs="宋体"/>
          <w:color w:val="auto"/>
        </w:rPr>
      </w:pPr>
      <w:r>
        <w:rPr>
          <w:rFonts w:hint="eastAsia" w:ascii="宋体" w:hAnsi="宋体" w:cs="宋体"/>
          <w:color w:val="auto"/>
        </w:rPr>
        <w:t>　9.1　发包人的施工安全责任</w:t>
      </w:r>
    </w:p>
    <w:p>
      <w:pPr>
        <w:spacing w:line="360" w:lineRule="auto"/>
        <w:rPr>
          <w:rFonts w:hint="eastAsia" w:ascii="宋体" w:hAnsi="宋体" w:cs="宋体"/>
          <w:color w:val="auto"/>
        </w:rPr>
      </w:pPr>
      <w:r>
        <w:rPr>
          <w:rFonts w:hint="eastAsia" w:ascii="宋体" w:hAnsi="宋体" w:cs="宋体"/>
          <w:color w:val="auto"/>
        </w:rPr>
        <w:t>　　9.1.4　发包人提供</w:t>
      </w:r>
      <w:r>
        <w:rPr>
          <w:rFonts w:hint="eastAsia" w:ascii="宋体" w:hAnsi="宋体" w:cs="宋体"/>
          <w:color w:val="auto"/>
          <w:u w:val="single"/>
        </w:rPr>
        <w:t>　　　　　　　</w:t>
      </w:r>
      <w:r>
        <w:rPr>
          <w:rFonts w:hint="eastAsia" w:ascii="宋体" w:hAnsi="宋体" w:cs="宋体"/>
          <w:color w:val="auto"/>
        </w:rPr>
        <w:t>资料，其余资料由承包人负责收集。</w:t>
      </w:r>
    </w:p>
    <w:p>
      <w:pPr>
        <w:spacing w:line="360" w:lineRule="auto"/>
        <w:rPr>
          <w:rFonts w:hint="eastAsia" w:ascii="宋体" w:hAnsi="宋体" w:cs="宋体"/>
          <w:color w:val="auto"/>
        </w:rPr>
      </w:pPr>
      <w:r>
        <w:rPr>
          <w:rFonts w:hint="eastAsia" w:ascii="宋体" w:hAnsi="宋体" w:cs="宋体"/>
          <w:color w:val="auto"/>
        </w:rPr>
        <w:t>　9.2　承包人的施工安全责任</w:t>
      </w:r>
    </w:p>
    <w:p>
      <w:pPr>
        <w:spacing w:line="360" w:lineRule="auto"/>
        <w:rPr>
          <w:rFonts w:hint="eastAsia" w:ascii="宋体" w:hAnsi="宋体" w:cs="宋体"/>
          <w:color w:val="auto"/>
        </w:rPr>
      </w:pPr>
      <w:r>
        <w:rPr>
          <w:rFonts w:hint="eastAsia" w:ascii="宋体" w:hAnsi="宋体" w:cs="宋体"/>
          <w:color w:val="auto"/>
        </w:rPr>
        <w:t>　　9.2.12　下列工程应编制专项施工方案：</w:t>
      </w:r>
      <w:r>
        <w:rPr>
          <w:rFonts w:hint="eastAsia" w:ascii="宋体" w:hAnsi="宋体" w:cs="宋体"/>
          <w:color w:val="auto"/>
          <w:u w:val="single"/>
        </w:rPr>
        <w:t>　　　　　</w:t>
      </w:r>
      <w:r>
        <w:rPr>
          <w:rFonts w:hint="eastAsia" w:ascii="宋体" w:hAnsi="宋体" w:cs="宋体"/>
          <w:color w:val="auto"/>
        </w:rPr>
        <w:t>。其中</w:t>
      </w:r>
      <w:r>
        <w:rPr>
          <w:rFonts w:hint="eastAsia" w:ascii="宋体" w:hAnsi="宋体" w:cs="宋体"/>
          <w:color w:val="auto"/>
          <w:u w:val="single"/>
        </w:rPr>
        <w:t>　　　　　</w:t>
      </w:r>
      <w:r>
        <w:rPr>
          <w:rFonts w:hint="eastAsia" w:ascii="宋体" w:hAnsi="宋体" w:cs="宋体"/>
          <w:color w:val="auto"/>
        </w:rPr>
        <w:t>应组织专家论证和审查。</w:t>
      </w:r>
    </w:p>
    <w:p>
      <w:pPr>
        <w:spacing w:line="360" w:lineRule="auto"/>
        <w:rPr>
          <w:rFonts w:hint="eastAsia" w:ascii="宋体" w:hAnsi="宋体" w:cs="宋体"/>
          <w:color w:val="auto"/>
        </w:rPr>
      </w:pPr>
      <w:r>
        <w:rPr>
          <w:rFonts w:hint="eastAsia" w:ascii="宋体" w:hAnsi="宋体" w:cs="宋体"/>
          <w:color w:val="auto"/>
        </w:rPr>
        <w:t>　9.7　文明工地</w:t>
      </w:r>
    </w:p>
    <w:p>
      <w:pPr>
        <w:spacing w:line="360" w:lineRule="auto"/>
        <w:rPr>
          <w:rFonts w:hint="eastAsia" w:ascii="宋体" w:hAnsi="宋体" w:cs="宋体"/>
          <w:color w:val="auto"/>
        </w:rPr>
      </w:pPr>
      <w:r>
        <w:rPr>
          <w:rFonts w:hint="eastAsia" w:ascii="宋体" w:hAnsi="宋体" w:cs="宋体"/>
          <w:color w:val="auto"/>
        </w:rPr>
        <w:t>　　9.7.1　本合同文明工地的约定：</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1" w:name="第04章合同条款及格式0211"/>
      <w:bookmarkEnd w:id="191"/>
      <w:r>
        <w:rPr>
          <w:rFonts w:hint="eastAsia" w:ascii="宋体" w:hAnsi="宋体" w:cs="宋体"/>
          <w:b/>
          <w:color w:val="auto"/>
          <w:sz w:val="24"/>
        </w:rPr>
        <w:t>11　开工和竣工(完工)</w:t>
      </w:r>
    </w:p>
    <w:p>
      <w:pPr>
        <w:spacing w:line="360" w:lineRule="auto"/>
        <w:rPr>
          <w:rFonts w:hint="eastAsia" w:ascii="宋体" w:hAnsi="宋体" w:cs="宋体"/>
          <w:color w:val="auto"/>
        </w:rPr>
      </w:pPr>
      <w:r>
        <w:rPr>
          <w:rFonts w:hint="eastAsia" w:ascii="宋体" w:hAnsi="宋体" w:cs="宋体"/>
          <w:color w:val="auto"/>
        </w:rPr>
        <w:t>　11.4　异常恶劣的气候条件</w:t>
      </w:r>
    </w:p>
    <w:p>
      <w:pPr>
        <w:spacing w:line="360" w:lineRule="auto"/>
        <w:rPr>
          <w:rFonts w:hint="eastAsia" w:ascii="宋体" w:hAnsi="宋体" w:cs="宋体"/>
          <w:color w:val="auto"/>
        </w:rPr>
      </w:pPr>
      <w:r>
        <w:rPr>
          <w:rFonts w:hint="eastAsia" w:ascii="宋体" w:hAnsi="宋体" w:cs="宋体"/>
          <w:color w:val="auto"/>
        </w:rPr>
        <w:t>　11.4.3　本合同工程界定异常恶劣气候条件的范围为：</w:t>
      </w:r>
    </w:p>
    <w:p>
      <w:pPr>
        <w:spacing w:line="360" w:lineRule="auto"/>
        <w:rPr>
          <w:rFonts w:hint="eastAsia" w:ascii="宋体" w:hAnsi="宋体" w:cs="宋体"/>
          <w:color w:val="auto"/>
        </w:rPr>
      </w:pPr>
      <w:r>
        <w:rPr>
          <w:rFonts w:hint="eastAsia" w:ascii="宋体" w:hAnsi="宋体" w:cs="宋体"/>
          <w:color w:val="auto"/>
        </w:rPr>
        <w:t>　　(1)日降雨量大于</w:t>
      </w:r>
      <w:r>
        <w:rPr>
          <w:rFonts w:hint="eastAsia" w:ascii="宋体" w:hAnsi="宋体" w:cs="宋体"/>
          <w:color w:val="auto"/>
          <w:u w:val="single"/>
        </w:rPr>
        <w:t>　　　　</w:t>
      </w:r>
      <w:r>
        <w:rPr>
          <w:rFonts w:hint="eastAsia" w:ascii="宋体" w:hAnsi="宋体" w:cs="宋体"/>
          <w:color w:val="auto"/>
        </w:rPr>
        <w:t>mm的雨日超过　　　　天；</w:t>
      </w:r>
    </w:p>
    <w:p>
      <w:pPr>
        <w:spacing w:line="360" w:lineRule="auto"/>
        <w:rPr>
          <w:rFonts w:hint="eastAsia" w:ascii="宋体" w:hAnsi="宋体" w:cs="宋体"/>
          <w:color w:val="auto"/>
        </w:rPr>
      </w:pPr>
      <w:r>
        <w:rPr>
          <w:rFonts w:hint="eastAsia" w:ascii="宋体" w:hAnsi="宋体" w:cs="宋体"/>
          <w:color w:val="auto"/>
        </w:rPr>
        <w:t>　　(2)风速大于</w:t>
      </w:r>
      <w:r>
        <w:rPr>
          <w:rFonts w:hint="eastAsia" w:ascii="宋体" w:hAnsi="宋体" w:cs="宋体"/>
          <w:color w:val="auto"/>
          <w:u w:val="single"/>
        </w:rPr>
        <w:t>　　　　</w:t>
      </w:r>
      <w:r>
        <w:rPr>
          <w:rFonts w:hint="eastAsia" w:ascii="宋体" w:hAnsi="宋体" w:cs="宋体"/>
          <w:color w:val="auto"/>
        </w:rPr>
        <w:t>m/s的</w:t>
      </w:r>
      <w:r>
        <w:rPr>
          <w:rFonts w:hint="eastAsia" w:ascii="宋体" w:hAnsi="宋体" w:cs="宋体"/>
          <w:color w:val="auto"/>
          <w:u w:val="single"/>
        </w:rPr>
        <w:t>　　　</w:t>
      </w:r>
      <w:r>
        <w:rPr>
          <w:rFonts w:hint="eastAsia" w:ascii="宋体" w:hAnsi="宋体" w:cs="宋体"/>
          <w:color w:val="auto"/>
        </w:rPr>
        <w:t>级以上台风灾害；</w:t>
      </w:r>
    </w:p>
    <w:p>
      <w:pPr>
        <w:spacing w:line="360" w:lineRule="auto"/>
        <w:rPr>
          <w:rFonts w:hint="eastAsia" w:ascii="宋体" w:hAnsi="宋体" w:cs="宋体"/>
          <w:color w:val="auto"/>
        </w:rPr>
      </w:pPr>
      <w:r>
        <w:rPr>
          <w:rFonts w:hint="eastAsia" w:ascii="宋体" w:hAnsi="宋体" w:cs="宋体"/>
          <w:color w:val="auto"/>
        </w:rPr>
        <w:t>　　(3)日气温超过</w:t>
      </w:r>
      <w:r>
        <w:rPr>
          <w:rFonts w:hint="eastAsia" w:ascii="宋体" w:hAnsi="宋体" w:cs="宋体"/>
          <w:color w:val="auto"/>
          <w:u w:val="single"/>
        </w:rPr>
        <w:t>　　　　</w:t>
      </w:r>
      <w:r>
        <w:rPr>
          <w:rFonts w:hint="eastAsia" w:ascii="宋体" w:hAnsi="宋体" w:cs="宋体"/>
          <w:color w:val="auto"/>
        </w:rPr>
        <w:t>℃的高温大于</w:t>
      </w:r>
      <w:r>
        <w:rPr>
          <w:rFonts w:hint="eastAsia" w:ascii="宋体" w:hAnsi="宋体" w:cs="宋体"/>
          <w:color w:val="auto"/>
          <w:u w:val="single"/>
        </w:rPr>
        <w:t>　　　　</w:t>
      </w:r>
      <w:r>
        <w:rPr>
          <w:rFonts w:hint="eastAsia" w:ascii="宋体" w:hAnsi="宋体" w:cs="宋体"/>
          <w:color w:val="auto"/>
        </w:rPr>
        <w:t>天；</w:t>
      </w:r>
    </w:p>
    <w:p>
      <w:pPr>
        <w:spacing w:line="360" w:lineRule="auto"/>
        <w:rPr>
          <w:rFonts w:hint="eastAsia" w:ascii="宋体" w:hAnsi="宋体" w:cs="宋体"/>
          <w:color w:val="auto"/>
        </w:rPr>
      </w:pPr>
      <w:r>
        <w:rPr>
          <w:rFonts w:hint="eastAsia" w:ascii="宋体" w:hAnsi="宋体" w:cs="宋体"/>
          <w:color w:val="auto"/>
        </w:rPr>
        <w:t>　　(4)日气温低于</w:t>
      </w:r>
      <w:r>
        <w:rPr>
          <w:rFonts w:hint="eastAsia" w:ascii="宋体" w:hAnsi="宋体" w:cs="宋体"/>
          <w:color w:val="auto"/>
          <w:u w:val="single"/>
        </w:rPr>
        <w:t>　　　　</w:t>
      </w:r>
      <w:r>
        <w:rPr>
          <w:rFonts w:hint="eastAsia" w:ascii="宋体" w:hAnsi="宋体" w:cs="宋体"/>
          <w:color w:val="auto"/>
        </w:rPr>
        <w:t>℃的严寒大于</w:t>
      </w:r>
      <w:r>
        <w:rPr>
          <w:rFonts w:hint="eastAsia" w:ascii="宋体" w:hAnsi="宋体" w:cs="宋体"/>
          <w:color w:val="auto"/>
          <w:u w:val="single"/>
        </w:rPr>
        <w:t>　　　　</w:t>
      </w:r>
      <w:r>
        <w:rPr>
          <w:rFonts w:hint="eastAsia" w:ascii="宋体" w:hAnsi="宋体" w:cs="宋体"/>
          <w:color w:val="auto"/>
        </w:rPr>
        <w:t>天；</w:t>
      </w:r>
    </w:p>
    <w:p>
      <w:pPr>
        <w:spacing w:line="360" w:lineRule="auto"/>
        <w:rPr>
          <w:rFonts w:hint="eastAsia" w:ascii="宋体" w:hAnsi="宋体" w:cs="宋体"/>
          <w:color w:val="auto"/>
        </w:rPr>
      </w:pPr>
      <w:r>
        <w:rPr>
          <w:rFonts w:hint="eastAsia" w:ascii="宋体" w:hAnsi="宋体" w:cs="宋体"/>
          <w:color w:val="auto"/>
        </w:rPr>
        <w:t>　　(5)造成工程损坏的冰雹和大雪灾害：</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(6)其它异常恶劣气候灾害。</w:t>
      </w:r>
    </w:p>
    <w:p>
      <w:pPr>
        <w:spacing w:line="360" w:lineRule="auto"/>
        <w:rPr>
          <w:rFonts w:hint="eastAsia" w:ascii="宋体" w:hAnsi="宋体" w:cs="宋体"/>
          <w:color w:val="auto"/>
        </w:rPr>
      </w:pPr>
      <w:r>
        <w:rPr>
          <w:rFonts w:hint="eastAsia" w:ascii="宋体" w:hAnsi="宋体" w:cs="宋体"/>
          <w:color w:val="auto"/>
        </w:rPr>
        <w:t>　11.5　承包人工期延误</w:t>
      </w:r>
    </w:p>
    <w:p>
      <w:pPr>
        <w:spacing w:line="360" w:lineRule="auto"/>
        <w:rPr>
          <w:rFonts w:hint="eastAsia" w:ascii="宋体" w:hAnsi="宋体" w:cs="宋体"/>
          <w:color w:val="auto"/>
        </w:rPr>
      </w:pPr>
      <w:r>
        <w:rPr>
          <w:rFonts w:hint="eastAsia" w:ascii="宋体" w:hAnsi="宋体" w:cs="宋体"/>
          <w:color w:val="auto"/>
        </w:rPr>
        <w:t>　　(1)逾期完工违约金表(参考格式)。</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3570"/>
        <w:gridCol w:w="2336"/>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3570"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项目及其说明</w:t>
            </w:r>
          </w:p>
        </w:tc>
        <w:tc>
          <w:tcPr>
            <w:tcW w:w="233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要求完工日期</w:t>
            </w:r>
          </w:p>
        </w:tc>
        <w:tc>
          <w:tcPr>
            <w:tcW w:w="2173"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违约金(元/天)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auto"/>
              <w:jc w:val="center"/>
              <w:rPr>
                <w:rFonts w:hint="eastAsia" w:ascii="宋体" w:hAnsi="宋体" w:cs="宋体"/>
                <w:color w:val="auto"/>
              </w:rPr>
            </w:pPr>
          </w:p>
        </w:tc>
        <w:tc>
          <w:tcPr>
            <w:tcW w:w="3570" w:type="dxa"/>
            <w:noWrap w:val="0"/>
            <w:vAlign w:val="center"/>
          </w:tcPr>
          <w:p>
            <w:pPr>
              <w:spacing w:line="360" w:lineRule="auto"/>
              <w:jc w:val="center"/>
              <w:rPr>
                <w:rFonts w:hint="eastAsia" w:ascii="宋体" w:hAnsi="宋体" w:cs="宋体"/>
                <w:color w:val="auto"/>
              </w:rPr>
            </w:pPr>
          </w:p>
        </w:tc>
        <w:tc>
          <w:tcPr>
            <w:tcW w:w="2336" w:type="dxa"/>
            <w:noWrap w:val="0"/>
            <w:vAlign w:val="center"/>
          </w:tcPr>
          <w:p>
            <w:pPr>
              <w:spacing w:line="360" w:lineRule="auto"/>
              <w:jc w:val="center"/>
              <w:rPr>
                <w:rFonts w:hint="eastAsia" w:ascii="宋体" w:hAnsi="宋体" w:cs="宋体"/>
                <w:color w:val="auto"/>
              </w:rPr>
            </w:pPr>
          </w:p>
        </w:tc>
        <w:tc>
          <w:tcPr>
            <w:tcW w:w="2173"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auto"/>
              <w:jc w:val="center"/>
              <w:rPr>
                <w:rFonts w:hint="eastAsia" w:ascii="宋体" w:hAnsi="宋体" w:cs="宋体"/>
                <w:color w:val="auto"/>
              </w:rPr>
            </w:pPr>
          </w:p>
        </w:tc>
        <w:tc>
          <w:tcPr>
            <w:tcW w:w="3570" w:type="dxa"/>
            <w:noWrap w:val="0"/>
            <w:vAlign w:val="center"/>
          </w:tcPr>
          <w:p>
            <w:pPr>
              <w:spacing w:line="360" w:lineRule="auto"/>
              <w:jc w:val="center"/>
              <w:rPr>
                <w:rFonts w:hint="eastAsia" w:ascii="宋体" w:hAnsi="宋体" w:cs="宋体"/>
                <w:color w:val="auto"/>
              </w:rPr>
            </w:pPr>
          </w:p>
        </w:tc>
        <w:tc>
          <w:tcPr>
            <w:tcW w:w="2336" w:type="dxa"/>
            <w:noWrap w:val="0"/>
            <w:vAlign w:val="center"/>
          </w:tcPr>
          <w:p>
            <w:pPr>
              <w:spacing w:line="360" w:lineRule="auto"/>
              <w:jc w:val="center"/>
              <w:rPr>
                <w:rFonts w:hint="eastAsia" w:ascii="宋体" w:hAnsi="宋体" w:cs="宋体"/>
                <w:color w:val="auto"/>
              </w:rPr>
            </w:pPr>
          </w:p>
        </w:tc>
        <w:tc>
          <w:tcPr>
            <w:tcW w:w="2173" w:type="dxa"/>
            <w:noWrap w:val="0"/>
            <w:vAlign w:val="center"/>
          </w:tcPr>
          <w:p>
            <w:pPr>
              <w:spacing w:line="360" w:lineRule="auto"/>
              <w:jc w:val="center"/>
              <w:rPr>
                <w:rFonts w:hint="eastAsia" w:ascii="宋体" w:hAnsi="宋体" w:cs="宋体"/>
                <w:color w:val="auto"/>
              </w:rPr>
            </w:pPr>
          </w:p>
        </w:tc>
      </w:tr>
    </w:tbl>
    <w:p>
      <w:pPr>
        <w:spacing w:line="360" w:lineRule="auto"/>
        <w:rPr>
          <w:rFonts w:hint="eastAsia" w:ascii="宋体" w:hAnsi="宋体" w:cs="宋体"/>
          <w:color w:val="auto"/>
        </w:rPr>
      </w:pPr>
      <w:r>
        <w:rPr>
          <w:rFonts w:hint="eastAsia" w:ascii="宋体" w:hAnsi="宋体" w:cs="宋体"/>
          <w:color w:val="auto"/>
        </w:rPr>
        <w:t>　　(2)全部逾期完工违约金的总限额为</w:t>
      </w:r>
      <w:r>
        <w:rPr>
          <w:rFonts w:hint="eastAsia" w:ascii="宋体" w:hAnsi="宋体" w:cs="宋体"/>
          <w:color w:val="auto"/>
          <w:u w:val="single"/>
        </w:rPr>
        <w:t>　　　　</w:t>
      </w:r>
      <w:r>
        <w:rPr>
          <w:rFonts w:hint="eastAsia" w:ascii="宋体" w:hAnsi="宋体" w:cs="宋体"/>
          <w:color w:val="auto"/>
        </w:rPr>
        <w:t>(不超过签约合同价的</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11.6　工期提前</w:t>
      </w:r>
    </w:p>
    <w:p>
      <w:pPr>
        <w:spacing w:line="360" w:lineRule="auto"/>
        <w:rPr>
          <w:rFonts w:hint="eastAsia" w:ascii="宋体" w:hAnsi="宋体" w:cs="宋体"/>
          <w:color w:val="auto"/>
        </w:rPr>
      </w:pPr>
      <w:r>
        <w:rPr>
          <w:rFonts w:hint="eastAsia" w:ascii="宋体" w:hAnsi="宋体" w:cs="宋体"/>
          <w:color w:val="auto"/>
        </w:rPr>
        <w:t>　　工期提前的奖金约定：</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2" w:name="第04章合同条款及格式0212"/>
      <w:bookmarkEnd w:id="192"/>
      <w:r>
        <w:rPr>
          <w:rFonts w:hint="eastAsia" w:ascii="宋体" w:hAnsi="宋体" w:cs="宋体"/>
          <w:b/>
          <w:color w:val="auto"/>
          <w:sz w:val="24"/>
        </w:rPr>
        <w:t>12　暂停施工</w:t>
      </w:r>
    </w:p>
    <w:p>
      <w:pPr>
        <w:spacing w:line="360" w:lineRule="auto"/>
        <w:rPr>
          <w:rFonts w:hint="eastAsia" w:ascii="宋体" w:hAnsi="宋体" w:cs="宋体"/>
          <w:color w:val="auto"/>
        </w:rPr>
      </w:pPr>
      <w:r>
        <w:rPr>
          <w:rFonts w:hint="eastAsia" w:ascii="宋体" w:hAnsi="宋体" w:cs="宋体"/>
          <w:color w:val="auto"/>
        </w:rPr>
        <w:t>　12.1　承包人暂停施工的责任</w:t>
      </w:r>
    </w:p>
    <w:p>
      <w:pPr>
        <w:spacing w:line="360" w:lineRule="auto"/>
        <w:rPr>
          <w:rFonts w:hint="eastAsia" w:ascii="宋体" w:hAnsi="宋体" w:cs="宋体"/>
          <w:color w:val="auto"/>
        </w:rPr>
      </w:pPr>
      <w:r>
        <w:rPr>
          <w:rFonts w:hint="eastAsia" w:ascii="宋体" w:hAnsi="宋体" w:cs="宋体"/>
          <w:color w:val="auto"/>
        </w:rPr>
        <w:t>　　(5)承包人承担暂停施工责任的其它情形：</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12.2　发包人暂停施工的责任</w:t>
      </w:r>
    </w:p>
    <w:p>
      <w:pPr>
        <w:spacing w:line="360" w:lineRule="auto"/>
        <w:rPr>
          <w:rFonts w:hint="eastAsia" w:ascii="宋体" w:hAnsi="宋体" w:cs="宋体"/>
          <w:color w:val="auto"/>
        </w:rPr>
      </w:pPr>
      <w:r>
        <w:rPr>
          <w:rFonts w:hint="eastAsia" w:ascii="宋体" w:hAnsi="宋体" w:cs="宋体"/>
          <w:color w:val="auto"/>
        </w:rPr>
        <w:t>　　(3)发包人承担暂停施工责任的其它情形：</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3" w:name="第04章合同条款及格式0213"/>
      <w:bookmarkEnd w:id="193"/>
      <w:r>
        <w:rPr>
          <w:rFonts w:hint="eastAsia" w:ascii="宋体" w:hAnsi="宋体" w:cs="宋体"/>
          <w:b/>
          <w:color w:val="auto"/>
          <w:sz w:val="24"/>
        </w:rPr>
        <w:t>13　工程质量</w:t>
      </w:r>
    </w:p>
    <w:p>
      <w:pPr>
        <w:spacing w:line="360" w:lineRule="auto"/>
        <w:rPr>
          <w:rFonts w:hint="eastAsia" w:ascii="宋体" w:hAnsi="宋体" w:cs="宋体"/>
          <w:color w:val="auto"/>
        </w:rPr>
      </w:pPr>
      <w:r>
        <w:rPr>
          <w:rFonts w:hint="eastAsia" w:ascii="宋体" w:hAnsi="宋体" w:cs="宋体"/>
          <w:color w:val="auto"/>
        </w:rPr>
        <w:t>　13.7　质量评定</w:t>
      </w:r>
    </w:p>
    <w:p>
      <w:pPr>
        <w:spacing w:line="360" w:lineRule="auto"/>
        <w:rPr>
          <w:rFonts w:hint="eastAsia" w:ascii="宋体" w:hAnsi="宋体" w:cs="宋体"/>
          <w:color w:val="auto"/>
        </w:rPr>
      </w:pPr>
      <w:r>
        <w:rPr>
          <w:rFonts w:hint="eastAsia" w:ascii="宋体" w:hAnsi="宋体" w:cs="宋体"/>
          <w:color w:val="auto"/>
        </w:rPr>
        <w:t>　　13.7.4　重要隐蔽单元工程和关键部位单元工程质量评定的约定：　　　　。</w:t>
      </w:r>
    </w:p>
    <w:p>
      <w:pPr>
        <w:spacing w:line="360" w:lineRule="auto"/>
        <w:rPr>
          <w:rFonts w:hint="eastAsia" w:ascii="宋体" w:hAnsi="宋体" w:cs="宋体"/>
          <w:color w:val="auto"/>
        </w:rPr>
      </w:pPr>
      <w:r>
        <w:rPr>
          <w:rFonts w:hint="eastAsia" w:ascii="宋体" w:hAnsi="宋体" w:cs="宋体"/>
          <w:color w:val="auto"/>
        </w:rPr>
        <w:t>　　13.7.7　工程合格标准为：</w:t>
      </w:r>
      <w:r>
        <w:rPr>
          <w:rFonts w:hint="eastAsia" w:ascii="宋体" w:hAnsi="宋体" w:cs="宋体"/>
          <w:color w:val="auto"/>
          <w:u w:val="single"/>
        </w:rPr>
        <w:t>　　　　　</w:t>
      </w:r>
      <w:r>
        <w:rPr>
          <w:rFonts w:hint="eastAsia" w:ascii="宋体" w:hAnsi="宋体" w:cs="宋体"/>
          <w:color w:val="auto"/>
        </w:rPr>
        <w:t>；优良标准为：</w:t>
      </w:r>
      <w:r>
        <w:rPr>
          <w:rFonts w:hint="eastAsia" w:ascii="宋体" w:hAnsi="宋体" w:cs="宋体"/>
          <w:color w:val="auto"/>
          <w:u w:val="single"/>
        </w:rPr>
        <w:t>　　　　</w:t>
      </w:r>
      <w:r>
        <w:rPr>
          <w:rFonts w:hint="eastAsia" w:ascii="宋体" w:hAnsi="宋体" w:cs="宋体"/>
          <w:color w:val="auto"/>
        </w:rPr>
        <w:t>。达到优良的奖金为：</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13.8　质量事故处理</w:t>
      </w:r>
    </w:p>
    <w:p>
      <w:pPr>
        <w:spacing w:line="360" w:lineRule="auto"/>
        <w:rPr>
          <w:rFonts w:hint="eastAsia" w:ascii="宋体" w:hAnsi="宋体" w:cs="宋体"/>
          <w:color w:val="auto"/>
        </w:rPr>
      </w:pPr>
      <w:r>
        <w:rPr>
          <w:rFonts w:hint="eastAsia" w:ascii="宋体" w:hAnsi="宋体" w:cs="宋体"/>
          <w:color w:val="auto"/>
        </w:rPr>
        <w:t>　　13.8.4　工程竣工验收时，</w:t>
      </w:r>
      <w:r>
        <w:rPr>
          <w:rFonts w:hint="eastAsia" w:ascii="宋体" w:hAnsi="宋体" w:cs="宋体"/>
          <w:color w:val="auto"/>
          <w:u w:val="single"/>
        </w:rPr>
        <w:t>　　　　　</w:t>
      </w:r>
      <w:r>
        <w:rPr>
          <w:rFonts w:hint="eastAsia" w:ascii="宋体" w:hAnsi="宋体" w:cs="宋体"/>
          <w:color w:val="auto"/>
        </w:rPr>
        <w:t>向竣工验收委员会汇报并提交历次质量缺陷处理的备案资料。</w:t>
      </w:r>
    </w:p>
    <w:p>
      <w:pPr>
        <w:tabs>
          <w:tab w:val="left" w:pos="8280"/>
        </w:tabs>
        <w:spacing w:line="360" w:lineRule="auto"/>
        <w:rPr>
          <w:rFonts w:hint="eastAsia" w:ascii="宋体" w:hAnsi="宋体" w:cs="宋体"/>
          <w:b/>
          <w:color w:val="auto"/>
          <w:sz w:val="24"/>
        </w:rPr>
      </w:pPr>
      <w:bookmarkStart w:id="194" w:name="第04章合同条款及格式0214"/>
      <w:bookmarkEnd w:id="194"/>
      <w:r>
        <w:rPr>
          <w:rFonts w:hint="eastAsia" w:ascii="宋体" w:hAnsi="宋体" w:cs="宋体"/>
          <w:b/>
          <w:color w:val="auto"/>
          <w:sz w:val="24"/>
        </w:rPr>
        <w:t>14　试验和检验</w:t>
      </w:r>
    </w:p>
    <w:p>
      <w:pPr>
        <w:spacing w:line="360" w:lineRule="auto"/>
        <w:rPr>
          <w:rFonts w:hint="eastAsia" w:ascii="宋体" w:hAnsi="宋体" w:cs="宋体"/>
          <w:color w:val="auto"/>
        </w:rPr>
      </w:pPr>
      <w:r>
        <w:rPr>
          <w:rFonts w:hint="eastAsia" w:ascii="宋体" w:hAnsi="宋体" w:cs="宋体"/>
          <w:color w:val="auto"/>
        </w:rPr>
        <w:t>　14.1　材料、工程设备和工程的试验和检验</w:t>
      </w:r>
    </w:p>
    <w:p>
      <w:pPr>
        <w:spacing w:line="360" w:lineRule="auto"/>
        <w:rPr>
          <w:rFonts w:hint="eastAsia" w:ascii="宋体" w:hAnsi="宋体" w:cs="宋体"/>
          <w:color w:val="auto"/>
        </w:rPr>
      </w:pPr>
      <w:r>
        <w:rPr>
          <w:rFonts w:hint="eastAsia" w:ascii="宋体" w:hAnsi="宋体" w:cs="宋体"/>
          <w:color w:val="auto"/>
        </w:rPr>
        <w:t>　　14.1.5　水工金属结构、启闭机及机电产品进场后的交货检查和验收中，承包人负责</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14.1.6　本工程实行见证取样的试块、试件及有关材料：</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5" w:name="第04章合同条款及格式0215"/>
      <w:bookmarkEnd w:id="195"/>
      <w:r>
        <w:rPr>
          <w:rFonts w:hint="eastAsia" w:ascii="宋体" w:hAnsi="宋体" w:cs="宋体"/>
          <w:b/>
          <w:color w:val="auto"/>
          <w:sz w:val="24"/>
        </w:rPr>
        <w:t>15　变更</w:t>
      </w:r>
    </w:p>
    <w:p>
      <w:pPr>
        <w:spacing w:line="360" w:lineRule="auto"/>
        <w:rPr>
          <w:rFonts w:hint="eastAsia" w:ascii="宋体" w:hAnsi="宋体" w:cs="宋体"/>
          <w:color w:val="auto"/>
        </w:rPr>
      </w:pPr>
      <w:r>
        <w:rPr>
          <w:rFonts w:hint="eastAsia" w:ascii="宋体" w:hAnsi="宋体" w:cs="宋体"/>
          <w:color w:val="auto"/>
        </w:rPr>
        <w:t>　15.1　变更的范围和内容</w:t>
      </w:r>
    </w:p>
    <w:p>
      <w:pPr>
        <w:spacing w:line="360" w:lineRule="auto"/>
        <w:rPr>
          <w:rFonts w:hint="eastAsia" w:ascii="宋体" w:hAnsi="宋体" w:cs="宋体"/>
          <w:color w:val="auto"/>
        </w:rPr>
      </w:pPr>
      <w:r>
        <w:rPr>
          <w:rFonts w:hint="eastAsia" w:ascii="宋体" w:hAnsi="宋体" w:cs="宋体"/>
          <w:color w:val="auto"/>
        </w:rPr>
        <w:t>　　(6)增加或减少合同中关键项目的工程量超过其工程总量的</w:t>
      </w:r>
      <w:r>
        <w:rPr>
          <w:rFonts w:hint="eastAsia" w:ascii="宋体" w:hAnsi="宋体" w:cs="宋体"/>
          <w:color w:val="auto"/>
          <w:u w:val="single"/>
        </w:rPr>
        <w:t>　　　　</w:t>
      </w:r>
      <w:r>
        <w:rPr>
          <w:rFonts w:hint="eastAsia" w:ascii="宋体" w:hAnsi="宋体" w:cs="宋体"/>
          <w:color w:val="auto"/>
        </w:rPr>
        <w:t>%，关键项目：</w:t>
      </w:r>
      <w:r>
        <w:rPr>
          <w:rFonts w:hint="eastAsia" w:ascii="宋体" w:hAnsi="宋体" w:cs="宋体"/>
          <w:color w:val="auto"/>
          <w:u w:val="single"/>
        </w:rPr>
        <w:t>　　　　</w:t>
      </w:r>
      <w:r>
        <w:rPr>
          <w:rFonts w:hint="eastAsia" w:ascii="宋体" w:hAnsi="宋体" w:cs="宋体"/>
          <w:color w:val="auto"/>
        </w:rPr>
        <w:t>，单价调整方式：</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15.5　承包人的合理化建议</w:t>
      </w:r>
    </w:p>
    <w:p>
      <w:pPr>
        <w:spacing w:line="360" w:lineRule="auto"/>
        <w:rPr>
          <w:rFonts w:hint="eastAsia" w:ascii="宋体" w:hAnsi="宋体" w:cs="宋体"/>
          <w:color w:val="auto"/>
        </w:rPr>
      </w:pPr>
      <w:r>
        <w:rPr>
          <w:rFonts w:hint="eastAsia" w:ascii="宋体" w:hAnsi="宋体" w:cs="宋体"/>
          <w:color w:val="auto"/>
        </w:rPr>
        <w:t>　　15.5.2　承包人实现合理化建议的奖励金额为：</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15.8　暂估价</w:t>
      </w:r>
    </w:p>
    <w:p>
      <w:pPr>
        <w:spacing w:line="360" w:lineRule="auto"/>
        <w:rPr>
          <w:rFonts w:hint="eastAsia" w:ascii="宋体" w:hAnsi="宋体" w:cs="宋体"/>
          <w:color w:val="auto"/>
        </w:rPr>
      </w:pPr>
      <w:r>
        <w:rPr>
          <w:rFonts w:hint="eastAsia" w:ascii="宋体" w:hAnsi="宋体" w:cs="宋体"/>
          <w:color w:val="auto"/>
        </w:rPr>
        <w:t>　　15.8.1　(1)发包人和承包人组织招标的暂估价项目：</w:t>
      </w:r>
      <w:r>
        <w:rPr>
          <w:rFonts w:hint="eastAsia" w:ascii="宋体" w:hAnsi="宋体" w:cs="宋体"/>
          <w:color w:val="auto"/>
          <w:u w:val="single"/>
        </w:rPr>
        <w:t>　　　　　</w:t>
      </w:r>
      <w:r>
        <w:rPr>
          <w:rFonts w:hint="eastAsia" w:ascii="宋体" w:hAnsi="宋体" w:cs="宋体"/>
          <w:color w:val="auto"/>
        </w:rPr>
        <w:t>(签约后填入)；发包人组织招标的暂估价项目：</w:t>
      </w:r>
      <w:r>
        <w:rPr>
          <w:rFonts w:hint="eastAsia" w:ascii="宋体" w:hAnsi="宋体" w:cs="宋体"/>
          <w:color w:val="auto"/>
          <w:u w:val="single"/>
        </w:rPr>
        <w:t>　　　　　</w:t>
      </w:r>
      <w:r>
        <w:rPr>
          <w:rFonts w:hint="eastAsia" w:ascii="宋体" w:hAnsi="宋体" w:cs="宋体"/>
          <w:color w:val="auto"/>
        </w:rPr>
        <w:t>(签约后填入)。</w:t>
      </w:r>
    </w:p>
    <w:p>
      <w:pPr>
        <w:spacing w:line="360" w:lineRule="auto"/>
        <w:rPr>
          <w:rFonts w:hint="eastAsia" w:ascii="宋体" w:hAnsi="宋体" w:cs="宋体"/>
          <w:color w:val="auto"/>
        </w:rPr>
      </w:pPr>
      <w:r>
        <w:rPr>
          <w:rFonts w:hint="eastAsia" w:ascii="宋体" w:hAnsi="宋体" w:cs="宋体"/>
          <w:color w:val="auto"/>
        </w:rPr>
        <w:t>　　(2)发包人和承包人以招标方式选择暂估价项目供应商或分包人时，双方的权利义务关系：</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6" w:name="第04章合同条款及格式0216"/>
      <w:bookmarkEnd w:id="196"/>
      <w:r>
        <w:rPr>
          <w:rFonts w:hint="eastAsia" w:ascii="宋体" w:hAnsi="宋体" w:cs="宋体"/>
          <w:b/>
          <w:color w:val="auto"/>
          <w:sz w:val="24"/>
        </w:rPr>
        <w:t>16　价格调整</w:t>
      </w:r>
    </w:p>
    <w:p>
      <w:pPr>
        <w:spacing w:line="360" w:lineRule="auto"/>
        <w:rPr>
          <w:rFonts w:hint="eastAsia" w:ascii="宋体" w:hAnsi="宋体" w:cs="宋体"/>
          <w:color w:val="auto"/>
        </w:rPr>
      </w:pPr>
      <w:r>
        <w:rPr>
          <w:rFonts w:hint="eastAsia" w:ascii="宋体" w:hAnsi="宋体" w:cs="宋体"/>
          <w:color w:val="auto"/>
        </w:rPr>
        <w:t>　16.1　物价波动引起的价格调整</w:t>
      </w:r>
    </w:p>
    <w:p>
      <w:pPr>
        <w:spacing w:line="360" w:lineRule="auto"/>
        <w:rPr>
          <w:rFonts w:hint="eastAsia" w:ascii="宋体" w:hAnsi="宋体" w:cs="宋体"/>
          <w:color w:val="auto"/>
        </w:rPr>
      </w:pPr>
      <w:r>
        <w:rPr>
          <w:rFonts w:hint="eastAsia" w:ascii="宋体" w:hAnsi="宋体" w:cs="宋体"/>
          <w:color w:val="auto"/>
        </w:rPr>
        <w:t>　　物价波动引起的价格调整方式：</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16.1.2　采用造价信息调整价格差额</w:t>
      </w:r>
    </w:p>
    <w:p>
      <w:pPr>
        <w:spacing w:line="360" w:lineRule="auto"/>
        <w:rPr>
          <w:rFonts w:hint="eastAsia" w:ascii="宋体" w:hAnsi="宋体" w:cs="宋体"/>
          <w:color w:val="auto"/>
        </w:rPr>
      </w:pPr>
      <w:r>
        <w:rPr>
          <w:rFonts w:hint="eastAsia" w:ascii="宋体" w:hAnsi="宋体" w:cs="宋体"/>
          <w:color w:val="auto"/>
        </w:rPr>
        <w:t>　　工程造价信息的来源：</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价格调整的项目和系数：</w:t>
      </w:r>
      <w:r>
        <w:rPr>
          <w:rFonts w:hint="eastAsia" w:ascii="宋体" w:hAnsi="宋体" w:cs="宋体"/>
          <w:color w:val="auto"/>
          <w:u w:val="single"/>
        </w:rPr>
        <w:t>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7" w:name="第04章合同条款及格式0217"/>
      <w:bookmarkEnd w:id="197"/>
      <w:r>
        <w:rPr>
          <w:rFonts w:hint="eastAsia" w:ascii="宋体" w:hAnsi="宋体" w:cs="宋体"/>
          <w:b/>
          <w:color w:val="auto"/>
          <w:sz w:val="24"/>
        </w:rPr>
        <w:t>17　计量与支付</w:t>
      </w:r>
    </w:p>
    <w:p>
      <w:pPr>
        <w:spacing w:line="360" w:lineRule="auto"/>
        <w:rPr>
          <w:rFonts w:hint="eastAsia" w:ascii="宋体" w:hAnsi="宋体" w:cs="宋体"/>
          <w:color w:val="auto"/>
        </w:rPr>
      </w:pPr>
      <w:r>
        <w:rPr>
          <w:rFonts w:hint="eastAsia" w:ascii="宋体" w:hAnsi="宋体" w:cs="宋体"/>
          <w:color w:val="auto"/>
        </w:rPr>
        <w:t>　17.2　预付款</w:t>
      </w:r>
    </w:p>
    <w:p>
      <w:pPr>
        <w:spacing w:line="360" w:lineRule="auto"/>
        <w:rPr>
          <w:rFonts w:hint="eastAsia" w:ascii="宋体" w:hAnsi="宋体" w:cs="宋体"/>
          <w:color w:val="auto"/>
        </w:rPr>
      </w:pPr>
      <w:r>
        <w:rPr>
          <w:rFonts w:hint="eastAsia" w:ascii="宋体" w:hAnsi="宋体" w:cs="宋体"/>
          <w:color w:val="auto"/>
        </w:rPr>
        <w:t>　　17.2.1　预付款：</w:t>
      </w:r>
    </w:p>
    <w:p>
      <w:pPr>
        <w:spacing w:line="360" w:lineRule="auto"/>
        <w:rPr>
          <w:rFonts w:hint="eastAsia" w:ascii="宋体" w:hAnsi="宋体" w:cs="宋体"/>
          <w:color w:val="auto"/>
        </w:rPr>
      </w:pPr>
      <w:r>
        <w:rPr>
          <w:rFonts w:hint="eastAsia" w:ascii="宋体" w:hAnsi="宋体" w:cs="宋体"/>
          <w:color w:val="auto"/>
        </w:rPr>
        <w:t>　　(1)工程预付款的总金额为签约合同价的</w:t>
      </w:r>
      <w:r>
        <w:rPr>
          <w:rFonts w:hint="eastAsia" w:ascii="宋体" w:hAnsi="宋体" w:cs="宋体"/>
          <w:color w:val="auto"/>
          <w:u w:val="single"/>
        </w:rPr>
        <w:t>　　　　</w:t>
      </w:r>
      <w:r>
        <w:rPr>
          <w:rFonts w:hint="eastAsia" w:ascii="宋体" w:hAnsi="宋体" w:cs="宋体"/>
          <w:color w:val="auto"/>
        </w:rPr>
        <w:t>%，分</w:t>
      </w:r>
      <w:r>
        <w:rPr>
          <w:rFonts w:hint="eastAsia" w:ascii="宋体" w:hAnsi="宋体" w:cs="宋体"/>
          <w:color w:val="auto"/>
          <w:u w:val="single"/>
        </w:rPr>
        <w:t>　　　</w:t>
      </w:r>
      <w:r>
        <w:rPr>
          <w:rFonts w:hint="eastAsia" w:ascii="宋体" w:hAnsi="宋体" w:cs="宋体"/>
          <w:color w:val="auto"/>
        </w:rPr>
        <w:t>次支付给承包人。</w:t>
      </w:r>
    </w:p>
    <w:p>
      <w:pPr>
        <w:spacing w:line="360" w:lineRule="auto"/>
        <w:rPr>
          <w:rFonts w:hint="eastAsia" w:ascii="宋体" w:hAnsi="宋体" w:cs="宋体"/>
          <w:color w:val="auto"/>
        </w:rPr>
      </w:pPr>
      <w:r>
        <w:rPr>
          <w:rFonts w:hint="eastAsia" w:ascii="宋体" w:hAnsi="宋体" w:cs="宋体"/>
          <w:color w:val="auto"/>
        </w:rPr>
        <w:t>　　各次预付款的支付额度和付款时间为：</w:t>
      </w:r>
    </w:p>
    <w:p>
      <w:pPr>
        <w:spacing w:line="360" w:lineRule="auto"/>
        <w:rPr>
          <w:rFonts w:hint="eastAsia" w:ascii="宋体" w:hAnsi="宋体" w:cs="宋体"/>
          <w:color w:val="auto"/>
        </w:rPr>
      </w:pPr>
      <w:r>
        <w:rPr>
          <w:rFonts w:hint="eastAsia" w:ascii="宋体" w:hAnsi="宋体" w:cs="宋体"/>
          <w:color w:val="auto"/>
        </w:rPr>
        <w:t>　　1)第一次预付款金额为工程预付款总金额的</w:t>
      </w:r>
      <w:r>
        <w:rPr>
          <w:rFonts w:hint="eastAsia" w:ascii="宋体" w:hAnsi="宋体" w:cs="宋体"/>
          <w:color w:val="auto"/>
          <w:u w:val="single"/>
        </w:rPr>
        <w:t>　　　</w:t>
      </w:r>
      <w:r>
        <w:rPr>
          <w:rFonts w:hint="eastAsia" w:ascii="宋体" w:hAnsi="宋体" w:cs="宋体"/>
          <w:color w:val="auto"/>
        </w:rPr>
        <w:t>%，付款时间应在合同协议书签订后，由承包人向发包人提交了发包人认可的工程预付款担保，并经监理人出具付款证书报送发包人批准后14天内予以支付。</w:t>
      </w:r>
    </w:p>
    <w:p>
      <w:pPr>
        <w:spacing w:line="360" w:lineRule="auto"/>
        <w:rPr>
          <w:rFonts w:hint="eastAsia" w:ascii="宋体" w:hAnsi="宋体" w:cs="宋体"/>
          <w:color w:val="auto"/>
        </w:rPr>
      </w:pPr>
      <w:r>
        <w:rPr>
          <w:rFonts w:hint="eastAsia" w:ascii="宋体" w:hAnsi="宋体" w:cs="宋体"/>
          <w:color w:val="auto"/>
        </w:rPr>
        <w:t>　　2)第二次预付款金额为工程预付款总金额的</w:t>
      </w:r>
      <w:r>
        <w:rPr>
          <w:rFonts w:hint="eastAsia" w:ascii="宋体" w:hAnsi="宋体" w:cs="宋体"/>
          <w:color w:val="auto"/>
          <w:u w:val="single"/>
        </w:rPr>
        <w:t>　　</w:t>
      </w:r>
      <w:r>
        <w:rPr>
          <w:rFonts w:hint="eastAsia" w:ascii="宋体" w:hAnsi="宋体" w:cs="宋体"/>
          <w:color w:val="auto"/>
        </w:rPr>
        <w:t>%。付款时间需待承包人主要设备进入工地后，其估算价值已达到本次预付款金额时，由承包人提出书面申请，经监理人核实后出具付款证书报送发包人批准后14天内予以支付。</w:t>
      </w:r>
    </w:p>
    <w:p>
      <w:pPr>
        <w:spacing w:line="360" w:lineRule="auto"/>
        <w:rPr>
          <w:rFonts w:hint="eastAsia" w:ascii="宋体" w:hAnsi="宋体" w:cs="宋体"/>
          <w:color w:val="auto"/>
        </w:rPr>
      </w:pPr>
      <w:r>
        <w:rPr>
          <w:rFonts w:hint="eastAsia" w:ascii="宋体" w:hAnsi="宋体" w:cs="宋体"/>
          <w:color w:val="auto"/>
        </w:rPr>
        <w:t>　　3)第三次预付款……。</w:t>
      </w:r>
    </w:p>
    <w:p>
      <w:pPr>
        <w:spacing w:line="360" w:lineRule="auto"/>
        <w:rPr>
          <w:rFonts w:hint="eastAsia" w:ascii="宋体" w:hAnsi="宋体" w:cs="宋体"/>
          <w:color w:val="auto"/>
        </w:rPr>
      </w:pP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(2)工程材料预付款的额度和预付办法约定为：</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17.2.2　预付款保函(担保)</w:t>
      </w:r>
    </w:p>
    <w:p>
      <w:pPr>
        <w:spacing w:line="360" w:lineRule="auto"/>
        <w:rPr>
          <w:rFonts w:hint="eastAsia" w:ascii="宋体" w:hAnsi="宋体" w:cs="宋体"/>
          <w:color w:val="auto"/>
        </w:rPr>
      </w:pPr>
      <w:r>
        <w:rPr>
          <w:rFonts w:hint="eastAsia" w:ascii="宋体" w:hAnsi="宋体" w:cs="宋体"/>
          <w:color w:val="auto"/>
        </w:rPr>
        <w:t>　　(2)工程材料预付款的担保约定为：</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17.2.3　预付款的扣回与还清</w:t>
      </w:r>
    </w:p>
    <w:p>
      <w:pPr>
        <w:spacing w:line="360" w:lineRule="auto"/>
        <w:rPr>
          <w:rFonts w:hint="eastAsia" w:ascii="宋体" w:hAnsi="宋体" w:cs="宋体"/>
          <w:color w:val="auto"/>
        </w:rPr>
      </w:pPr>
      <w:r>
        <w:rPr>
          <w:rFonts w:hint="eastAsia" w:ascii="宋体" w:hAnsi="宋体" w:cs="宋体"/>
          <w:color w:val="auto"/>
        </w:rPr>
        <w:t>　　(1)工程预付款在合同累计完成金额达到签约合同价的</w:t>
      </w:r>
      <w:r>
        <w:rPr>
          <w:rFonts w:hint="eastAsia" w:ascii="宋体" w:hAnsi="宋体" w:cs="宋体"/>
          <w:color w:val="auto"/>
          <w:u w:val="single"/>
        </w:rPr>
        <w:t>　　</w:t>
      </w:r>
      <w:r>
        <w:rPr>
          <w:rFonts w:hint="eastAsia" w:ascii="宋体" w:hAnsi="宋体" w:cs="宋体"/>
          <w:color w:val="auto"/>
        </w:rPr>
        <w:t>%时开始扣款，直至合同累计完成金额达到签约合同价的%时全部扣清。</w:t>
      </w:r>
    </w:p>
    <w:p>
      <w:pPr>
        <w:spacing w:line="360" w:lineRule="auto"/>
        <w:rPr>
          <w:rFonts w:hint="eastAsia" w:ascii="宋体" w:hAnsi="宋体" w:cs="宋体"/>
          <w:color w:val="auto"/>
        </w:rPr>
      </w:pPr>
      <w:r>
        <w:rPr>
          <w:rFonts w:hint="eastAsia" w:ascii="宋体" w:hAnsi="宋体" w:cs="宋体"/>
          <w:color w:val="auto"/>
        </w:rPr>
        <w:t>　　　　　　　　　　　　　　　　　</w:t>
      </w:r>
      <w:r>
        <w:rPr>
          <w:rFonts w:hint="eastAsia" w:ascii="宋体" w:hAnsi="宋体" w:cs="宋体"/>
          <w:color w:val="auto"/>
        </w:rPr>
        <w:fldChar w:fldCharType="begin"/>
      </w:r>
      <w:r>
        <w:rPr>
          <w:rFonts w:hint="eastAsia" w:ascii="宋体" w:hAnsi="宋体" w:cs="宋体"/>
          <w:color w:val="auto"/>
        </w:rPr>
        <w:instrText xml:space="preserve"> QUOTE </w:instrText>
      </w:r>
      <w:r>
        <w:rPr>
          <w:rFonts w:hint="eastAsia" w:ascii="宋体" w:hAnsi="宋体" w:cs="宋体"/>
          <w:color w:val="auto"/>
          <w:position w:val="-24"/>
        </w:rPr>
        <w:pict>
          <v:shape id="_x0000_i1025"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8" chromakey="#FFFFFF" o:title=""/>
            <o:lock v:ext="edit" aspectratio="t"/>
            <w10:wrap type="none"/>
            <w10:anchorlock/>
          </v:shape>
        </w:pict>
      </w:r>
      <w:r>
        <w:rPr>
          <w:rFonts w:hint="eastAsia" w:ascii="宋体" w:hAnsi="宋体" w:cs="宋体"/>
          <w:color w:val="auto"/>
        </w:rPr>
        <w:instrText xml:space="preserve">  \* MERGEFORMAT </w:instrText>
      </w:r>
      <w:r>
        <w:rPr>
          <w:rFonts w:hint="eastAsia" w:ascii="宋体" w:hAnsi="宋体" w:cs="宋体"/>
          <w:color w:val="auto"/>
        </w:rPr>
        <w:fldChar w:fldCharType="separate"/>
      </w:r>
      <w:r>
        <w:rPr>
          <w:rFonts w:hint="eastAsia" w:ascii="宋体" w:hAnsi="宋体" w:cs="宋体"/>
          <w:color w:val="auto"/>
          <w:position w:val="-24"/>
        </w:rPr>
        <w:pict>
          <v:shape id="_x0000_i1026"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8" chromakey="#FFFFFF" o:title=""/>
            <o:lock v:ext="edit" aspectratio="t"/>
            <w10:wrap type="none"/>
            <w10:anchorlock/>
          </v:shape>
        </w:pict>
      </w:r>
      <w:r>
        <w:rPr>
          <w:rFonts w:hint="eastAsia" w:ascii="宋体" w:hAnsi="宋体" w:cs="宋体"/>
          <w:color w:val="auto"/>
        </w:rPr>
        <w:fldChar w:fldCharType="end"/>
      </w:r>
    </w:p>
    <w:p>
      <w:pPr>
        <w:spacing w:line="360" w:lineRule="auto"/>
        <w:rPr>
          <w:rFonts w:hint="eastAsia" w:ascii="宋体" w:hAnsi="宋体" w:cs="宋体"/>
          <w:color w:val="auto"/>
        </w:rPr>
      </w:pPr>
      <w:r>
        <w:rPr>
          <w:rFonts w:hint="eastAsia" w:ascii="宋体" w:hAnsi="宋体" w:cs="宋体"/>
          <w:color w:val="auto"/>
        </w:rPr>
        <w:t>式中　R——每次进度付款中累计扣回的金额；</w:t>
      </w:r>
    </w:p>
    <w:p>
      <w:pPr>
        <w:spacing w:line="360" w:lineRule="auto"/>
        <w:rPr>
          <w:rFonts w:hint="eastAsia" w:ascii="宋体" w:hAnsi="宋体" w:cs="宋体"/>
          <w:color w:val="auto"/>
        </w:rPr>
      </w:pPr>
      <w:r>
        <w:rPr>
          <w:rFonts w:hint="eastAsia" w:ascii="宋体" w:hAnsi="宋体" w:cs="宋体"/>
          <w:color w:val="auto"/>
        </w:rPr>
        <w:t>　　　A——工程预付款总金额；</w:t>
      </w:r>
    </w:p>
    <w:p>
      <w:pPr>
        <w:spacing w:line="360" w:lineRule="auto"/>
        <w:rPr>
          <w:rFonts w:hint="eastAsia" w:ascii="宋体" w:hAnsi="宋体" w:cs="宋体"/>
          <w:color w:val="auto"/>
        </w:rPr>
      </w:pPr>
      <w:r>
        <w:rPr>
          <w:rFonts w:hint="eastAsia" w:ascii="宋体" w:hAnsi="宋体" w:cs="宋体"/>
          <w:color w:val="auto"/>
        </w:rPr>
        <w:t>　　　S——签约合同价；</w:t>
      </w:r>
    </w:p>
    <w:p>
      <w:pPr>
        <w:spacing w:line="360" w:lineRule="auto"/>
        <w:rPr>
          <w:rFonts w:hint="eastAsia" w:ascii="宋体" w:hAnsi="宋体" w:cs="宋体"/>
          <w:color w:val="auto"/>
        </w:rPr>
      </w:pPr>
      <w:r>
        <w:rPr>
          <w:rFonts w:hint="eastAsia" w:ascii="宋体" w:hAnsi="宋体" w:cs="宋体"/>
          <w:color w:val="auto"/>
        </w:rPr>
        <w:t>　　　C——合同累计完成金额；</w:t>
      </w:r>
    </w:p>
    <w:p>
      <w:pPr>
        <w:spacing w:line="360" w:lineRule="auto"/>
        <w:rPr>
          <w:rFonts w:hint="eastAsia" w:ascii="宋体" w:hAnsi="宋体" w:cs="宋体"/>
          <w:color w:val="auto"/>
        </w:rPr>
      </w:pPr>
      <w:r>
        <w:rPr>
          <w:rFonts w:hint="eastAsia" w:ascii="宋体" w:hAnsi="宋体" w:cs="宋体"/>
          <w:color w:val="auto"/>
        </w:rPr>
        <w:t>　　　F1——开始扣款时合同累计完成金额达到签约合同价的比例；</w:t>
      </w:r>
    </w:p>
    <w:p>
      <w:pPr>
        <w:spacing w:line="360" w:lineRule="auto"/>
        <w:rPr>
          <w:rFonts w:hint="eastAsia" w:ascii="宋体" w:hAnsi="宋体" w:cs="宋体"/>
          <w:color w:val="auto"/>
        </w:rPr>
      </w:pPr>
      <w:r>
        <w:rPr>
          <w:rFonts w:hint="eastAsia" w:ascii="宋体" w:hAnsi="宋体" w:cs="宋体"/>
          <w:color w:val="auto"/>
        </w:rPr>
        <w:t>　　　F2——全部扣清时合同累计完成金额达到签约合同价的比例。</w:t>
      </w:r>
    </w:p>
    <w:p>
      <w:pPr>
        <w:spacing w:line="360" w:lineRule="auto"/>
        <w:rPr>
          <w:rFonts w:hint="eastAsia" w:ascii="宋体" w:hAnsi="宋体" w:cs="宋体"/>
          <w:color w:val="auto"/>
        </w:rPr>
      </w:pPr>
      <w:r>
        <w:rPr>
          <w:rFonts w:hint="eastAsia" w:ascii="宋体" w:hAnsi="宋体" w:cs="宋体"/>
          <w:color w:val="auto"/>
        </w:rPr>
        <w:t>　　上述合同累计完成金额均指价格调整前未扣质量保证金的金额。</w:t>
      </w:r>
    </w:p>
    <w:p>
      <w:pPr>
        <w:spacing w:line="360" w:lineRule="auto"/>
        <w:rPr>
          <w:rFonts w:hint="eastAsia" w:ascii="宋体" w:hAnsi="宋体" w:cs="宋体"/>
          <w:color w:val="auto"/>
        </w:rPr>
      </w:pPr>
      <w:r>
        <w:rPr>
          <w:rFonts w:hint="eastAsia" w:ascii="宋体" w:hAnsi="宋体" w:cs="宋体"/>
          <w:color w:val="auto"/>
        </w:rPr>
        <w:t>　　(2)工程材料预付款的扣回与还清约定为：　　　　。</w:t>
      </w:r>
    </w:p>
    <w:p>
      <w:pPr>
        <w:spacing w:line="360" w:lineRule="auto"/>
        <w:rPr>
          <w:rFonts w:hint="eastAsia" w:ascii="宋体" w:hAnsi="宋体" w:cs="宋体"/>
          <w:color w:val="auto"/>
        </w:rPr>
      </w:pPr>
      <w:r>
        <w:rPr>
          <w:rFonts w:hint="eastAsia" w:ascii="宋体" w:hAnsi="宋体" w:cs="宋体"/>
          <w:color w:val="auto"/>
        </w:rPr>
        <w:t>　17.4　质量保证金</w:t>
      </w:r>
    </w:p>
    <w:p>
      <w:pPr>
        <w:spacing w:line="360" w:lineRule="auto"/>
        <w:rPr>
          <w:rFonts w:hint="eastAsia" w:ascii="宋体" w:hAnsi="宋体" w:cs="宋体"/>
          <w:color w:val="auto"/>
        </w:rPr>
      </w:pPr>
      <w:r>
        <w:rPr>
          <w:rFonts w:hint="eastAsia" w:ascii="宋体" w:hAnsi="宋体" w:cs="宋体"/>
          <w:color w:val="auto"/>
        </w:rPr>
        <w:t>　　17.4.1　每个付款周期扣留的质量保证金为工程进度付款的</w:t>
      </w:r>
      <w:r>
        <w:rPr>
          <w:rFonts w:hint="eastAsia" w:ascii="宋体" w:hAnsi="宋体" w:cs="宋体"/>
          <w:color w:val="auto"/>
          <w:u w:val="single"/>
        </w:rPr>
        <w:t>　　　　</w:t>
      </w:r>
      <w:r>
        <w:rPr>
          <w:rFonts w:hint="eastAsia" w:ascii="宋体" w:hAnsi="宋体" w:cs="宋体"/>
          <w:color w:val="auto"/>
        </w:rPr>
        <w:t>%，扣留的质量保证金总额为签约合同价的</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17.5　竣工(完工)结算</w:t>
      </w:r>
    </w:p>
    <w:p>
      <w:pPr>
        <w:spacing w:line="360" w:lineRule="auto"/>
        <w:rPr>
          <w:rFonts w:hint="eastAsia" w:ascii="宋体" w:hAnsi="宋体" w:cs="宋体"/>
          <w:color w:val="auto"/>
        </w:rPr>
      </w:pPr>
      <w:r>
        <w:rPr>
          <w:rFonts w:hint="eastAsia" w:ascii="宋体" w:hAnsi="宋体" w:cs="宋体"/>
          <w:color w:val="auto"/>
        </w:rPr>
        <w:t>　　17.5.1　竣工(完工)付款申请单</w:t>
      </w:r>
    </w:p>
    <w:p>
      <w:pPr>
        <w:spacing w:line="360" w:lineRule="auto"/>
        <w:rPr>
          <w:rFonts w:hint="eastAsia" w:ascii="宋体" w:hAnsi="宋体" w:cs="宋体"/>
          <w:color w:val="auto"/>
        </w:rPr>
      </w:pPr>
      <w:r>
        <w:rPr>
          <w:rFonts w:hint="eastAsia" w:ascii="宋体" w:hAnsi="宋体" w:cs="宋体"/>
          <w:color w:val="auto"/>
        </w:rPr>
        <w:t>　　(1)承包人应提交完工付款申请单一式</w:t>
      </w:r>
      <w:r>
        <w:rPr>
          <w:rFonts w:hint="eastAsia" w:ascii="宋体" w:hAnsi="宋体" w:cs="宋体"/>
          <w:color w:val="auto"/>
          <w:u w:val="single"/>
        </w:rPr>
        <w:t>　　　　</w:t>
      </w:r>
      <w:r>
        <w:rPr>
          <w:rFonts w:hint="eastAsia" w:ascii="宋体" w:hAnsi="宋体" w:cs="宋体"/>
          <w:color w:val="auto"/>
        </w:rPr>
        <w:t>份。</w:t>
      </w:r>
    </w:p>
    <w:p>
      <w:pPr>
        <w:spacing w:line="360" w:lineRule="auto"/>
        <w:rPr>
          <w:rFonts w:hint="eastAsia" w:ascii="宋体" w:hAnsi="宋体" w:cs="宋体"/>
          <w:color w:val="auto"/>
        </w:rPr>
      </w:pPr>
      <w:r>
        <w:rPr>
          <w:rFonts w:hint="eastAsia" w:ascii="宋体" w:hAnsi="宋体" w:cs="宋体"/>
          <w:color w:val="auto"/>
        </w:rPr>
        <w:t>　17.6　最终结清</w:t>
      </w:r>
    </w:p>
    <w:p>
      <w:pPr>
        <w:spacing w:line="360" w:lineRule="auto"/>
        <w:rPr>
          <w:rFonts w:hint="eastAsia" w:ascii="宋体" w:hAnsi="宋体" w:cs="宋体"/>
          <w:color w:val="auto"/>
        </w:rPr>
      </w:pPr>
      <w:r>
        <w:rPr>
          <w:rFonts w:hint="eastAsia" w:ascii="宋体" w:hAnsi="宋体" w:cs="宋体"/>
          <w:color w:val="auto"/>
        </w:rPr>
        <w:t>　　17.6.1　最终结清申请单</w:t>
      </w:r>
    </w:p>
    <w:p>
      <w:pPr>
        <w:spacing w:line="360" w:lineRule="auto"/>
        <w:rPr>
          <w:rFonts w:hint="eastAsia" w:ascii="宋体" w:hAnsi="宋体" w:cs="宋体"/>
          <w:color w:val="auto"/>
        </w:rPr>
      </w:pPr>
      <w:r>
        <w:rPr>
          <w:rFonts w:hint="eastAsia" w:ascii="宋体" w:hAnsi="宋体" w:cs="宋体"/>
          <w:color w:val="auto"/>
        </w:rPr>
        <w:t>　　(1)承包人应提交最终结清申请单一式</w:t>
      </w:r>
      <w:r>
        <w:rPr>
          <w:rFonts w:hint="eastAsia" w:ascii="宋体" w:hAnsi="宋体" w:cs="宋体"/>
          <w:color w:val="auto"/>
          <w:u w:val="single"/>
        </w:rPr>
        <w:t>　　　</w:t>
      </w:r>
      <w:r>
        <w:rPr>
          <w:rFonts w:hint="eastAsia" w:ascii="宋体" w:hAnsi="宋体" w:cs="宋体"/>
          <w:color w:val="auto"/>
        </w:rPr>
        <w:t>份。</w:t>
      </w:r>
    </w:p>
    <w:p>
      <w:pPr>
        <w:spacing w:line="360" w:lineRule="auto"/>
        <w:rPr>
          <w:rFonts w:hint="eastAsia" w:ascii="宋体" w:hAnsi="宋体" w:cs="宋体"/>
          <w:color w:val="auto"/>
        </w:rPr>
      </w:pPr>
      <w:r>
        <w:rPr>
          <w:rFonts w:hint="eastAsia" w:ascii="宋体" w:hAnsi="宋体" w:cs="宋体"/>
          <w:color w:val="auto"/>
        </w:rPr>
        <w:t>　17.7　竣工财务决算</w:t>
      </w:r>
    </w:p>
    <w:p>
      <w:pPr>
        <w:spacing w:line="360" w:lineRule="auto"/>
        <w:rPr>
          <w:rFonts w:hint="eastAsia" w:ascii="宋体" w:hAnsi="宋体" w:cs="宋体"/>
          <w:color w:val="auto"/>
        </w:rPr>
      </w:pPr>
      <w:r>
        <w:rPr>
          <w:rFonts w:hint="eastAsia" w:ascii="宋体" w:hAnsi="宋体" w:cs="宋体"/>
          <w:color w:val="auto"/>
        </w:rPr>
        <w:t>　　承包人应为竣工财务决算编制提供的资料：</w:t>
      </w:r>
      <w:r>
        <w:rPr>
          <w:rFonts w:hint="eastAsia" w:ascii="宋体" w:hAnsi="宋体" w:cs="宋体"/>
          <w:color w:val="auto"/>
          <w:u w:val="single"/>
        </w:rPr>
        <w:t xml:space="preserve">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198" w:name="第04章合同条款及格式0218"/>
      <w:bookmarkEnd w:id="198"/>
      <w:r>
        <w:rPr>
          <w:rFonts w:hint="eastAsia" w:ascii="宋体" w:hAnsi="宋体" w:cs="宋体"/>
          <w:b/>
          <w:color w:val="auto"/>
          <w:sz w:val="24"/>
        </w:rPr>
        <w:t>18　竣工验收(验收)</w:t>
      </w:r>
    </w:p>
    <w:p>
      <w:pPr>
        <w:spacing w:line="360" w:lineRule="auto"/>
        <w:rPr>
          <w:rFonts w:hint="eastAsia" w:ascii="宋体" w:hAnsi="宋体" w:cs="宋体"/>
          <w:color w:val="auto"/>
        </w:rPr>
      </w:pPr>
      <w:r>
        <w:rPr>
          <w:rFonts w:hint="eastAsia" w:ascii="宋体" w:hAnsi="宋体" w:cs="宋体"/>
          <w:color w:val="auto"/>
        </w:rPr>
        <w:t>　18.1　验收工作分类</w:t>
      </w:r>
    </w:p>
    <w:p>
      <w:pPr>
        <w:spacing w:line="360" w:lineRule="auto"/>
        <w:rPr>
          <w:rFonts w:hint="eastAsia" w:ascii="宋体" w:hAnsi="宋体" w:cs="宋体"/>
          <w:color w:val="auto"/>
        </w:rPr>
      </w:pPr>
      <w:r>
        <w:rPr>
          <w:rFonts w:hint="eastAsia" w:ascii="宋体" w:hAnsi="宋体" w:cs="宋体"/>
          <w:color w:val="auto"/>
        </w:rPr>
        <w:t>　　本工程法人验收包括：</w:t>
      </w:r>
      <w:r>
        <w:rPr>
          <w:rFonts w:hint="eastAsia" w:ascii="宋体" w:hAnsi="宋体" w:cs="宋体"/>
          <w:color w:val="auto"/>
          <w:u w:val="single"/>
        </w:rPr>
        <w:t xml:space="preserve">                                      </w:t>
      </w:r>
      <w:r>
        <w:rPr>
          <w:rFonts w:hint="eastAsia" w:ascii="宋体" w:hAnsi="宋体" w:cs="宋体"/>
          <w:color w:val="auto"/>
        </w:rPr>
        <w:t>；政府验收包括：</w:t>
      </w:r>
      <w:r>
        <w:rPr>
          <w:rFonts w:hint="eastAsia" w:ascii="宋体" w:hAnsi="宋体" w:cs="宋体"/>
          <w:color w:val="auto"/>
          <w:u w:val="single"/>
        </w:rPr>
        <w:t xml:space="preserve">                                          </w:t>
      </w:r>
      <w:r>
        <w:rPr>
          <w:rFonts w:hint="eastAsia" w:ascii="宋体" w:hAnsi="宋体" w:cs="宋体"/>
          <w:color w:val="auto"/>
        </w:rPr>
        <w:t>。验收条件为</w:t>
      </w:r>
      <w:r>
        <w:rPr>
          <w:rFonts w:hint="eastAsia" w:ascii="宋体" w:hAnsi="宋体" w:cs="宋体"/>
          <w:color w:val="auto"/>
          <w:u w:val="single"/>
        </w:rPr>
        <w:t xml:space="preserve">                      </w:t>
      </w:r>
      <w:r>
        <w:rPr>
          <w:rFonts w:hint="eastAsia" w:ascii="宋体" w:hAnsi="宋体" w:cs="宋体"/>
          <w:color w:val="auto"/>
        </w:rPr>
        <w:t>，验收程序为：</w:t>
      </w:r>
      <w:r>
        <w:rPr>
          <w:rFonts w:hint="eastAsia" w:ascii="宋体" w:hAnsi="宋体" w:cs="宋体"/>
          <w:color w:val="auto"/>
          <w:u w:val="single"/>
        </w:rPr>
        <w:t xml:space="preserve">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18.2　分部工程验收</w:t>
      </w:r>
    </w:p>
    <w:p>
      <w:pPr>
        <w:spacing w:line="360" w:lineRule="auto"/>
        <w:rPr>
          <w:rFonts w:hint="eastAsia" w:ascii="宋体" w:hAnsi="宋体" w:cs="宋体"/>
          <w:color w:val="auto"/>
        </w:rPr>
      </w:pPr>
      <w:r>
        <w:rPr>
          <w:rFonts w:hint="eastAsia" w:ascii="宋体" w:hAnsi="宋体" w:cs="宋体"/>
          <w:color w:val="auto"/>
        </w:rPr>
        <w:t>　　18.2.2　本工程由发包人主持的分部工程验收为</w:t>
      </w:r>
      <w:r>
        <w:rPr>
          <w:rFonts w:hint="eastAsia" w:ascii="宋体" w:hAnsi="宋体" w:cs="宋体"/>
          <w:color w:val="auto"/>
          <w:u w:val="single"/>
        </w:rPr>
        <w:t xml:space="preserve">                   </w:t>
      </w:r>
      <w:r>
        <w:rPr>
          <w:rFonts w:hint="eastAsia" w:ascii="宋体" w:hAnsi="宋体" w:cs="宋体"/>
          <w:color w:val="auto"/>
        </w:rPr>
        <w:t>，其余由监理人主持。</w:t>
      </w:r>
    </w:p>
    <w:p>
      <w:pPr>
        <w:spacing w:line="360" w:lineRule="auto"/>
        <w:rPr>
          <w:rFonts w:hint="eastAsia" w:ascii="宋体" w:hAnsi="宋体" w:cs="宋体"/>
          <w:color w:val="auto"/>
        </w:rPr>
      </w:pPr>
      <w:r>
        <w:rPr>
          <w:rFonts w:hint="eastAsia" w:ascii="宋体" w:hAnsi="宋体" w:cs="宋体"/>
          <w:color w:val="auto"/>
        </w:rPr>
        <w:t>　18.3　单位工程验收</w:t>
      </w:r>
    </w:p>
    <w:p>
      <w:pPr>
        <w:spacing w:line="360" w:lineRule="auto"/>
        <w:rPr>
          <w:rFonts w:hint="eastAsia" w:ascii="宋体" w:hAnsi="宋体" w:cs="宋体"/>
          <w:color w:val="auto"/>
        </w:rPr>
      </w:pPr>
      <w:r>
        <w:rPr>
          <w:rFonts w:hint="eastAsia" w:ascii="宋体" w:hAnsi="宋体" w:cs="宋体"/>
          <w:color w:val="auto"/>
        </w:rPr>
        <w:t>　　18.3.4　提前投入使用的单位工程包括：</w:t>
      </w:r>
      <w:r>
        <w:rPr>
          <w:rFonts w:hint="eastAsia" w:ascii="宋体" w:hAnsi="宋体" w:cs="宋体"/>
          <w:color w:val="auto"/>
          <w:u w:val="single"/>
        </w:rPr>
        <w:t>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18.5　阶段验收</w:t>
      </w:r>
    </w:p>
    <w:p>
      <w:pPr>
        <w:spacing w:line="360" w:lineRule="auto"/>
        <w:rPr>
          <w:rFonts w:hint="eastAsia" w:ascii="宋体" w:hAnsi="宋体" w:cs="宋体"/>
          <w:color w:val="auto"/>
        </w:rPr>
      </w:pPr>
      <w:r>
        <w:rPr>
          <w:rFonts w:hint="eastAsia" w:ascii="宋体" w:hAnsi="宋体" w:cs="宋体"/>
          <w:color w:val="auto"/>
        </w:rPr>
        <w:t>　　18.5.1　本合同工程阶段验收类别包括：</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18.6　专项验收</w:t>
      </w:r>
    </w:p>
    <w:p>
      <w:pPr>
        <w:spacing w:line="360" w:lineRule="auto"/>
        <w:rPr>
          <w:rFonts w:hint="eastAsia" w:ascii="宋体" w:hAnsi="宋体" w:cs="宋体"/>
          <w:color w:val="auto"/>
        </w:rPr>
      </w:pPr>
      <w:r>
        <w:rPr>
          <w:rFonts w:hint="eastAsia" w:ascii="宋体" w:hAnsi="宋体" w:cs="宋体"/>
          <w:color w:val="auto"/>
        </w:rPr>
        <w:t>　　18.6.2　本合同工程专项验收类别包括：</w:t>
      </w:r>
      <w:r>
        <w:rPr>
          <w:rFonts w:hint="eastAsia" w:ascii="宋体" w:hAnsi="宋体" w:cs="宋体"/>
          <w:color w:val="auto"/>
          <w:u w:val="single"/>
        </w:rPr>
        <w:t>　   　、　      　、　             　。</w:t>
      </w:r>
    </w:p>
    <w:p>
      <w:pPr>
        <w:spacing w:line="360" w:lineRule="auto"/>
        <w:rPr>
          <w:rFonts w:hint="eastAsia" w:ascii="宋体" w:hAnsi="宋体" w:cs="宋体"/>
          <w:color w:val="auto"/>
        </w:rPr>
      </w:pPr>
      <w:r>
        <w:rPr>
          <w:rFonts w:hint="eastAsia" w:ascii="宋体" w:hAnsi="宋体" w:cs="宋体"/>
          <w:color w:val="auto"/>
        </w:rPr>
        <w:t>　18.7　竣工验收</w:t>
      </w:r>
    </w:p>
    <w:p>
      <w:pPr>
        <w:spacing w:line="360" w:lineRule="auto"/>
        <w:rPr>
          <w:rFonts w:hint="eastAsia" w:ascii="宋体" w:hAnsi="宋体" w:cs="宋体"/>
          <w:color w:val="auto"/>
        </w:rPr>
      </w:pPr>
      <w:r>
        <w:rPr>
          <w:rFonts w:hint="eastAsia" w:ascii="宋体" w:hAnsi="宋体" w:cs="宋体"/>
          <w:color w:val="auto"/>
        </w:rPr>
        <w:t>　　18.7.3　本工程</w:t>
      </w:r>
      <w:r>
        <w:rPr>
          <w:rFonts w:hint="eastAsia" w:ascii="宋体" w:hAnsi="宋体" w:cs="宋体"/>
          <w:color w:val="auto"/>
          <w:u w:val="single"/>
        </w:rPr>
        <w:t>　　　　</w:t>
      </w:r>
      <w:r>
        <w:rPr>
          <w:rFonts w:hint="eastAsia" w:ascii="宋体" w:hAnsi="宋体" w:cs="宋体"/>
          <w:color w:val="auto"/>
        </w:rPr>
        <w:t>(需要／不需要)竣工验收技术鉴定(蓄水安全鉴定)。</w:t>
      </w:r>
    </w:p>
    <w:p>
      <w:pPr>
        <w:spacing w:line="360" w:lineRule="auto"/>
        <w:rPr>
          <w:rFonts w:hint="eastAsia" w:ascii="宋体" w:hAnsi="宋体" w:cs="宋体"/>
          <w:color w:val="auto"/>
        </w:rPr>
      </w:pPr>
      <w:r>
        <w:rPr>
          <w:rFonts w:hint="eastAsia" w:ascii="宋体" w:hAnsi="宋体" w:cs="宋体"/>
          <w:color w:val="auto"/>
        </w:rPr>
        <w:t>　18.8　施工期运行</w:t>
      </w:r>
    </w:p>
    <w:p>
      <w:pPr>
        <w:spacing w:line="360" w:lineRule="auto"/>
        <w:rPr>
          <w:rFonts w:hint="eastAsia" w:ascii="宋体" w:hAnsi="宋体" w:cs="宋体"/>
          <w:color w:val="auto"/>
        </w:rPr>
      </w:pPr>
      <w:r>
        <w:rPr>
          <w:rFonts w:hint="eastAsia" w:ascii="宋体" w:hAnsi="宋体" w:cs="宋体"/>
          <w:color w:val="auto"/>
        </w:rPr>
        <w:t>　　18.8.1　需要在施工期运行的单位工程或工程设备为：</w:t>
      </w:r>
      <w:r>
        <w:rPr>
          <w:rFonts w:hint="eastAsia" w:ascii="宋体" w:hAnsi="宋体" w:cs="宋体"/>
          <w:color w:val="auto"/>
          <w:u w:val="single"/>
        </w:rPr>
        <w:t>　         　</w:t>
      </w:r>
      <w:r>
        <w:rPr>
          <w:rFonts w:hint="eastAsia" w:ascii="宋体" w:hAnsi="宋体" w:cs="宋体"/>
          <w:color w:val="auto"/>
        </w:rPr>
        <w:t>、</w:t>
      </w:r>
      <w:r>
        <w:rPr>
          <w:rFonts w:hint="eastAsia" w:ascii="宋体" w:hAnsi="宋体" w:cs="宋体"/>
          <w:color w:val="auto"/>
          <w:u w:val="single"/>
        </w:rPr>
        <w:t>　    　</w:t>
      </w:r>
      <w:r>
        <w:rPr>
          <w:rFonts w:hint="eastAsia" w:ascii="宋体" w:hAnsi="宋体" w:cs="宋体"/>
          <w:color w:val="auto"/>
        </w:rPr>
        <w:t>、</w:t>
      </w:r>
      <w:r>
        <w:rPr>
          <w:rFonts w:hint="eastAsia" w:ascii="宋体" w:hAnsi="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18.9　试运行</w:t>
      </w:r>
    </w:p>
    <w:p>
      <w:pPr>
        <w:spacing w:line="360" w:lineRule="auto"/>
        <w:rPr>
          <w:rFonts w:hint="eastAsia" w:ascii="宋体" w:hAnsi="宋体" w:cs="宋体"/>
          <w:color w:val="auto"/>
        </w:rPr>
      </w:pPr>
      <w:r>
        <w:rPr>
          <w:rFonts w:hint="eastAsia" w:ascii="宋体" w:hAnsi="宋体" w:cs="宋体"/>
          <w:color w:val="auto"/>
        </w:rPr>
        <w:t>　　18.9.1　试运行的组织：</w:t>
      </w:r>
      <w:r>
        <w:rPr>
          <w:rFonts w:hint="eastAsia" w:ascii="宋体" w:hAnsi="宋体" w:cs="宋体"/>
          <w:color w:val="auto"/>
          <w:u w:val="single"/>
        </w:rPr>
        <w:t xml:space="preserve">                   </w:t>
      </w:r>
      <w:r>
        <w:rPr>
          <w:rFonts w:hint="eastAsia" w:ascii="宋体" w:hAnsi="宋体" w:cs="宋体"/>
          <w:color w:val="auto"/>
        </w:rPr>
        <w:t>　　；费用承担：</w:t>
      </w:r>
      <w:r>
        <w:rPr>
          <w:rFonts w:hint="eastAsia" w:ascii="宋体" w:hAnsi="宋体" w:cs="宋体"/>
          <w:color w:val="auto"/>
          <w:u w:val="single"/>
        </w:rPr>
        <w:t xml:space="preserve">                      </w:t>
      </w:r>
      <w:r>
        <w:rPr>
          <w:rFonts w:hint="eastAsia" w:ascii="宋体" w:hAnsi="宋体" w:cs="宋体"/>
          <w:color w:val="auto"/>
        </w:rPr>
        <w:t>　　。</w:t>
      </w:r>
    </w:p>
    <w:p>
      <w:pPr>
        <w:tabs>
          <w:tab w:val="left" w:pos="8280"/>
        </w:tabs>
        <w:spacing w:line="360" w:lineRule="auto"/>
        <w:rPr>
          <w:rFonts w:hint="eastAsia" w:ascii="宋体" w:hAnsi="宋体" w:cs="宋体"/>
          <w:b/>
          <w:color w:val="auto"/>
          <w:sz w:val="24"/>
        </w:rPr>
      </w:pPr>
      <w:bookmarkStart w:id="199" w:name="第04章合同条款及格式0219"/>
      <w:bookmarkEnd w:id="199"/>
      <w:r>
        <w:rPr>
          <w:rFonts w:hint="eastAsia" w:ascii="宋体" w:hAnsi="宋体" w:cs="宋体"/>
          <w:b/>
          <w:color w:val="auto"/>
          <w:sz w:val="24"/>
        </w:rPr>
        <w:t>19　缺陷责任与保修责任</w:t>
      </w:r>
    </w:p>
    <w:p>
      <w:pPr>
        <w:spacing w:line="360" w:lineRule="auto"/>
        <w:rPr>
          <w:rFonts w:hint="eastAsia" w:ascii="宋体" w:hAnsi="宋体" w:cs="宋体"/>
          <w:color w:val="auto"/>
        </w:rPr>
      </w:pPr>
      <w:r>
        <w:rPr>
          <w:rFonts w:hint="eastAsia" w:ascii="宋体" w:hAnsi="宋体" w:cs="宋体"/>
          <w:color w:val="auto"/>
        </w:rPr>
        <w:t>　19.1　缺陷责任期(工程质量保修期)的起算时间</w:t>
      </w:r>
    </w:p>
    <w:p>
      <w:pPr>
        <w:spacing w:line="360" w:lineRule="auto"/>
        <w:rPr>
          <w:rFonts w:hint="eastAsia" w:ascii="宋体" w:hAnsi="宋体" w:cs="宋体"/>
          <w:color w:val="auto"/>
        </w:rPr>
      </w:pPr>
      <w:r>
        <w:rPr>
          <w:rFonts w:hint="eastAsia" w:ascii="宋体" w:hAnsi="宋体" w:cs="宋体"/>
          <w:color w:val="auto"/>
        </w:rPr>
        <w:t>　　本工程缺陷责任期(工程质量保修期)计算如下：</w:t>
      </w:r>
      <w:r>
        <w:rPr>
          <w:rFonts w:hint="eastAsia" w:ascii="宋体" w:hAnsi="宋体" w:cs="宋体"/>
          <w:color w:val="auto"/>
          <w:u w:val="single"/>
        </w:rPr>
        <w:t xml:space="preserve">                                                   </w:t>
      </w:r>
      <w:r>
        <w:rPr>
          <w:rFonts w:hint="eastAsia" w:ascii="宋体" w:hAnsi="宋体" w:cs="宋体"/>
          <w:color w:val="auto"/>
        </w:rPr>
        <w:t>。</w:t>
      </w:r>
    </w:p>
    <w:p>
      <w:pPr>
        <w:tabs>
          <w:tab w:val="left" w:pos="8280"/>
        </w:tabs>
        <w:spacing w:line="360" w:lineRule="auto"/>
        <w:rPr>
          <w:rFonts w:hint="eastAsia" w:ascii="宋体" w:hAnsi="宋体" w:cs="宋体"/>
          <w:b/>
          <w:color w:val="auto"/>
          <w:sz w:val="24"/>
        </w:rPr>
      </w:pPr>
      <w:bookmarkStart w:id="200" w:name="第04章合同条款及格式0220"/>
      <w:bookmarkEnd w:id="200"/>
      <w:r>
        <w:rPr>
          <w:rFonts w:hint="eastAsia" w:ascii="宋体" w:hAnsi="宋体" w:cs="宋体"/>
          <w:b/>
          <w:color w:val="auto"/>
          <w:sz w:val="24"/>
        </w:rPr>
        <w:t>20　保险</w:t>
      </w:r>
    </w:p>
    <w:p>
      <w:pPr>
        <w:spacing w:line="360" w:lineRule="auto"/>
        <w:rPr>
          <w:rFonts w:hint="eastAsia" w:ascii="宋体" w:hAnsi="宋体" w:cs="宋体"/>
          <w:color w:val="auto"/>
        </w:rPr>
      </w:pPr>
      <w:r>
        <w:rPr>
          <w:rFonts w:hint="eastAsia" w:ascii="宋体" w:hAnsi="宋体" w:cs="宋体"/>
          <w:color w:val="auto"/>
        </w:rPr>
        <w:t>　20.1　工程保险</w:t>
      </w:r>
    </w:p>
    <w:p>
      <w:pPr>
        <w:spacing w:line="360" w:lineRule="auto"/>
        <w:rPr>
          <w:rFonts w:hint="eastAsia" w:ascii="宋体" w:hAnsi="宋体" w:cs="宋体"/>
          <w:color w:val="auto"/>
        </w:rPr>
      </w:pPr>
      <w:r>
        <w:rPr>
          <w:rFonts w:hint="eastAsia" w:ascii="宋体" w:hAnsi="宋体" w:cs="宋体"/>
          <w:color w:val="auto"/>
        </w:rPr>
        <w:t>　　建筑工程一切险和(或)安装工程一切险投保人：</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投保内容：</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保险金额、保险费率和保险期限：</w:t>
      </w:r>
      <w:r>
        <w:rPr>
          <w:rFonts w:hint="eastAsia" w:ascii="宋体" w:hAnsi="宋体" w:cs="宋体"/>
          <w:color w:val="auto"/>
          <w:u w:val="single"/>
        </w:rPr>
        <w:t>　　                           　</w:t>
      </w:r>
      <w:r>
        <w:rPr>
          <w:rFonts w:hint="eastAsia" w:ascii="宋体" w:hAnsi="宋体" w:cs="宋体"/>
          <w:color w:val="auto"/>
        </w:rPr>
        <w:t xml:space="preserve">  。</w:t>
      </w:r>
    </w:p>
    <w:p>
      <w:pPr>
        <w:spacing w:line="360" w:lineRule="auto"/>
        <w:rPr>
          <w:rFonts w:hint="eastAsia" w:ascii="宋体" w:hAnsi="宋体" w:cs="宋体"/>
          <w:color w:val="auto"/>
        </w:rPr>
      </w:pPr>
      <w:r>
        <w:rPr>
          <w:rFonts w:hint="eastAsia" w:ascii="宋体" w:hAnsi="宋体" w:cs="宋体"/>
          <w:color w:val="auto"/>
        </w:rPr>
        <w:t>　20.4　第三者责任险</w:t>
      </w:r>
    </w:p>
    <w:p>
      <w:pPr>
        <w:spacing w:line="360" w:lineRule="auto"/>
        <w:rPr>
          <w:rFonts w:hint="eastAsia" w:ascii="宋体" w:hAnsi="宋体" w:cs="宋体"/>
          <w:color w:val="auto"/>
        </w:rPr>
      </w:pPr>
      <w:r>
        <w:rPr>
          <w:rFonts w:hint="eastAsia" w:ascii="宋体" w:hAnsi="宋体" w:cs="宋体"/>
          <w:color w:val="auto"/>
        </w:rPr>
        <w:t>　　20.4.2　第三者责任险保险费率：</w:t>
      </w:r>
      <w:r>
        <w:rPr>
          <w:rFonts w:hint="eastAsia" w:ascii="宋体" w:hAnsi="宋体" w:cs="宋体"/>
          <w:color w:val="auto"/>
          <w:u w:val="single"/>
        </w:rPr>
        <w:t>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第三者责任险保险金额：</w:t>
      </w:r>
      <w:r>
        <w:rPr>
          <w:rFonts w:hint="eastAsia" w:ascii="宋体" w:hAnsi="宋体" w:cs="宋体"/>
          <w:color w:val="auto"/>
          <w:u w:val="single"/>
        </w:rPr>
        <w:t>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20.5　其它保险</w:t>
      </w:r>
    </w:p>
    <w:p>
      <w:pPr>
        <w:spacing w:line="360" w:lineRule="auto"/>
        <w:rPr>
          <w:rFonts w:hint="eastAsia" w:ascii="宋体" w:hAnsi="宋体" w:cs="宋体"/>
          <w:color w:val="auto"/>
        </w:rPr>
      </w:pPr>
      <w:r>
        <w:rPr>
          <w:rFonts w:hint="eastAsia" w:ascii="宋体" w:hAnsi="宋体" w:cs="宋体"/>
          <w:color w:val="auto"/>
        </w:rPr>
        <w:t>　　需要投保的其它内容：</w:t>
      </w:r>
      <w:r>
        <w:rPr>
          <w:rFonts w:hint="eastAsia" w:ascii="宋体" w:hAnsi="宋体" w:cs="宋体"/>
          <w:color w:val="auto"/>
          <w:u w:val="single"/>
        </w:rPr>
        <w:t xml:space="preserve">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保险金额、保险费率和保险期限：</w:t>
      </w:r>
      <w:r>
        <w:rPr>
          <w:rFonts w:hint="eastAsia" w:ascii="宋体" w:hAnsi="宋体" w:cs="宋体"/>
          <w:color w:val="auto"/>
          <w:u w:val="single"/>
        </w:rPr>
        <w:t xml:space="preserve">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20.6　对各项保险的一般要求</w:t>
      </w:r>
    </w:p>
    <w:p>
      <w:pPr>
        <w:spacing w:line="360" w:lineRule="auto"/>
        <w:rPr>
          <w:rFonts w:hint="eastAsia" w:ascii="宋体" w:hAnsi="宋体" w:cs="宋体"/>
          <w:color w:val="auto"/>
        </w:rPr>
      </w:pPr>
      <w:r>
        <w:rPr>
          <w:rFonts w:hint="eastAsia" w:ascii="宋体" w:hAnsi="宋体" w:cs="宋体"/>
          <w:color w:val="auto"/>
        </w:rPr>
        <w:t>　　20.6.1　保险凭证</w:t>
      </w:r>
    </w:p>
    <w:p>
      <w:pPr>
        <w:spacing w:line="360" w:lineRule="auto"/>
        <w:rPr>
          <w:rFonts w:hint="eastAsia" w:ascii="宋体" w:hAnsi="宋体" w:cs="宋体"/>
          <w:color w:val="auto"/>
        </w:rPr>
      </w:pPr>
      <w:r>
        <w:rPr>
          <w:rFonts w:hint="eastAsia" w:ascii="宋体" w:hAnsi="宋体" w:cs="宋体"/>
          <w:color w:val="auto"/>
        </w:rPr>
        <w:t>　　承包人提交保险凭证的期限：</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保险条件：</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20.6.4　保险金不足的补偿</w:t>
      </w:r>
    </w:p>
    <w:p>
      <w:pPr>
        <w:spacing w:line="360" w:lineRule="auto"/>
        <w:rPr>
          <w:rFonts w:hint="eastAsia" w:ascii="宋体" w:hAnsi="宋体" w:cs="宋体"/>
          <w:color w:val="auto"/>
        </w:rPr>
      </w:pPr>
      <w:r>
        <w:rPr>
          <w:rFonts w:hint="eastAsia" w:ascii="宋体" w:hAnsi="宋体" w:cs="宋体"/>
          <w:color w:val="auto"/>
        </w:rPr>
        <w:t>　　承包人负责补偿的范围与金额：</w:t>
      </w:r>
      <w:r>
        <w:rPr>
          <w:rFonts w:hint="eastAsia" w:ascii="宋体" w:hAnsi="宋体" w:cs="宋体"/>
          <w:color w:val="auto"/>
          <w:u w:val="single"/>
        </w:rPr>
        <w:t>　                                      　</w:t>
      </w: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发包人负责补偿的范围与金额：</w:t>
      </w:r>
      <w:r>
        <w:rPr>
          <w:rFonts w:hint="eastAsia" w:ascii="宋体" w:hAnsi="宋体" w:cs="宋体"/>
          <w:color w:val="auto"/>
          <w:u w:val="single"/>
        </w:rPr>
        <w:t xml:space="preserve">　                                        </w:t>
      </w:r>
      <w:r>
        <w:rPr>
          <w:rFonts w:hint="eastAsia" w:ascii="宋体" w:hAnsi="宋体" w:cs="宋体"/>
          <w:color w:val="auto"/>
        </w:rPr>
        <w:t>　。</w:t>
      </w:r>
    </w:p>
    <w:p>
      <w:pPr>
        <w:tabs>
          <w:tab w:val="left" w:pos="8280"/>
        </w:tabs>
        <w:spacing w:line="360" w:lineRule="auto"/>
        <w:rPr>
          <w:rFonts w:hint="eastAsia" w:ascii="宋体" w:hAnsi="宋体" w:cs="宋体"/>
          <w:b/>
          <w:color w:val="auto"/>
          <w:sz w:val="24"/>
        </w:rPr>
      </w:pPr>
      <w:bookmarkStart w:id="201" w:name="第04章合同条款及格式0224"/>
      <w:bookmarkEnd w:id="201"/>
      <w:r>
        <w:rPr>
          <w:rFonts w:hint="eastAsia" w:ascii="宋体" w:hAnsi="宋体" w:cs="宋体"/>
          <w:b/>
          <w:color w:val="auto"/>
          <w:sz w:val="24"/>
        </w:rPr>
        <w:t>24　争议的解决</w:t>
      </w:r>
    </w:p>
    <w:p>
      <w:pPr>
        <w:spacing w:line="360" w:lineRule="auto"/>
        <w:rPr>
          <w:rFonts w:hint="eastAsia" w:ascii="宋体" w:hAnsi="宋体" w:cs="宋体"/>
          <w:color w:val="auto"/>
        </w:rPr>
      </w:pPr>
      <w:r>
        <w:rPr>
          <w:rFonts w:hint="eastAsia" w:ascii="宋体" w:hAnsi="宋体" w:cs="宋体"/>
          <w:color w:val="auto"/>
        </w:rPr>
        <w:t>　24.1　争议的解决方式</w:t>
      </w:r>
    </w:p>
    <w:p>
      <w:pPr>
        <w:spacing w:line="360" w:lineRule="auto"/>
        <w:rPr>
          <w:rFonts w:hint="eastAsia" w:ascii="宋体" w:hAnsi="宋体" w:cs="宋体"/>
          <w:color w:val="auto"/>
        </w:rPr>
      </w:pPr>
      <w:r>
        <w:rPr>
          <w:rFonts w:hint="eastAsia" w:ascii="宋体" w:hAnsi="宋体" w:cs="宋体"/>
          <w:color w:val="auto"/>
        </w:rPr>
        <w:t>　　合同当事人友好协商解决不成、不愿提请争议评审或不接受争议评审组意见的，约定的合同争议解决方式：</w:t>
      </w:r>
      <w:r>
        <w:rPr>
          <w:rFonts w:hint="eastAsia" w:ascii="宋体" w:hAnsi="宋体" w:cs="宋体"/>
          <w:color w:val="auto"/>
          <w:u w:val="single"/>
        </w:rPr>
        <w:t xml:space="preserve">                                                                    </w:t>
      </w:r>
      <w:r>
        <w:rPr>
          <w:rFonts w:hint="eastAsia" w:ascii="宋体" w:hAnsi="宋体" w:cs="宋体"/>
          <w:color w:val="auto"/>
        </w:rPr>
        <w:t>。</w:t>
      </w:r>
    </w:p>
    <w:p>
      <w:pPr>
        <w:spacing w:line="360" w:lineRule="auto"/>
        <w:rPr>
          <w:rFonts w:hint="eastAsia" w:ascii="宋体" w:hAnsi="宋体" w:cs="宋体"/>
          <w:color w:val="auto"/>
        </w:rPr>
      </w:pPr>
    </w:p>
    <w:p>
      <w:pPr>
        <w:spacing w:line="360" w:lineRule="auto"/>
        <w:rPr>
          <w:rFonts w:hint="eastAsia" w:ascii="宋体" w:hAnsi="宋体" w:cs="宋体"/>
          <w:color w:val="auto"/>
        </w:rPr>
      </w:pPr>
    </w:p>
    <w:p>
      <w:pPr>
        <w:pStyle w:val="7"/>
        <w:spacing w:line="360" w:lineRule="auto"/>
        <w:jc w:val="center"/>
        <w:rPr>
          <w:rFonts w:hint="eastAsia" w:ascii="宋体" w:hAnsi="宋体" w:cs="宋体"/>
          <w:color w:val="auto"/>
          <w:sz w:val="30"/>
          <w:szCs w:val="30"/>
        </w:rPr>
      </w:pPr>
      <w:bookmarkStart w:id="202" w:name="第04章合同条款及格式03"/>
      <w:bookmarkEnd w:id="202"/>
      <w:bookmarkStart w:id="203" w:name="_Toc29879"/>
      <w:r>
        <w:rPr>
          <w:rFonts w:hint="eastAsia" w:ascii="宋体" w:hAnsi="宋体" w:cs="宋体"/>
          <w:color w:val="auto"/>
          <w:sz w:val="30"/>
          <w:szCs w:val="30"/>
        </w:rPr>
        <w:br w:type="page"/>
      </w:r>
      <w:bookmarkStart w:id="204" w:name="_Toc18021"/>
      <w:r>
        <w:rPr>
          <w:rFonts w:hint="eastAsia" w:ascii="宋体" w:hAnsi="宋体" w:cs="宋体"/>
          <w:color w:val="auto"/>
          <w:sz w:val="30"/>
          <w:szCs w:val="30"/>
        </w:rPr>
        <w:t>第</w:t>
      </w:r>
      <w:r>
        <w:rPr>
          <w:rFonts w:hint="eastAsia" w:ascii="宋体" w:hAnsi="宋体" w:cs="宋体"/>
          <w:color w:val="auto"/>
          <w:sz w:val="30"/>
          <w:szCs w:val="30"/>
          <w:lang w:val="en-US" w:eastAsia="zh-CN"/>
        </w:rPr>
        <w:t>三</w:t>
      </w:r>
      <w:r>
        <w:rPr>
          <w:rFonts w:hint="eastAsia" w:ascii="宋体" w:hAnsi="宋体" w:cs="宋体"/>
          <w:color w:val="auto"/>
          <w:sz w:val="30"/>
          <w:szCs w:val="30"/>
        </w:rPr>
        <w:t>节　合同附件格式</w:t>
      </w:r>
      <w:bookmarkEnd w:id="203"/>
      <w:bookmarkEnd w:id="204"/>
    </w:p>
    <w:p>
      <w:pPr>
        <w:spacing w:line="360" w:lineRule="auto"/>
        <w:jc w:val="left"/>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　　</w:t>
      </w:r>
      <w:r>
        <w:rPr>
          <w:rFonts w:hint="eastAsia" w:ascii="宋体" w:hAnsi="宋体" w:cs="宋体"/>
          <w:color w:val="auto"/>
          <w:u w:val="single"/>
        </w:rPr>
        <w:t>　　　　　　　　</w:t>
      </w:r>
      <w:r>
        <w:rPr>
          <w:rFonts w:hint="eastAsia" w:ascii="宋体" w:hAnsi="宋体" w:cs="宋体"/>
          <w:color w:val="auto"/>
        </w:rPr>
        <w:t>(发包人名称，以下简称“发包人”)为实施</w:t>
      </w:r>
      <w:r>
        <w:rPr>
          <w:rFonts w:hint="eastAsia" w:ascii="宋体" w:hAnsi="宋体" w:cs="宋体"/>
          <w:color w:val="auto"/>
          <w:u w:val="single"/>
        </w:rPr>
        <w:t>　　　　　　　　　　</w:t>
      </w:r>
      <w:r>
        <w:rPr>
          <w:rFonts w:hint="eastAsia" w:ascii="宋体" w:hAnsi="宋体" w:cs="宋体"/>
          <w:color w:val="auto"/>
        </w:rPr>
        <w:t>(项目名称)，已接受</w:t>
      </w:r>
      <w:r>
        <w:rPr>
          <w:rFonts w:hint="eastAsia" w:ascii="宋体" w:hAnsi="宋体" w:cs="宋体"/>
          <w:color w:val="auto"/>
          <w:u w:val="single"/>
        </w:rPr>
        <w:t>　　　　　</w:t>
      </w:r>
      <w:r>
        <w:rPr>
          <w:rFonts w:hint="eastAsia" w:ascii="宋体" w:hAnsi="宋体" w:cs="宋体"/>
          <w:color w:val="auto"/>
        </w:rPr>
        <w:t>(承包人名称，以下简称“承包人”)</w:t>
      </w:r>
      <w:r>
        <w:rPr>
          <w:rFonts w:hint="eastAsia" w:ascii="宋体" w:hAnsi="宋体" w:cs="宋体"/>
          <w:color w:val="auto"/>
          <w:u w:val="single"/>
        </w:rPr>
        <w:t>　　　　</w:t>
      </w:r>
      <w:r>
        <w:rPr>
          <w:rFonts w:hint="eastAsia" w:ascii="宋体" w:hAnsi="宋体" w:cs="宋体"/>
          <w:color w:val="auto"/>
        </w:rPr>
        <w:t>对(项目名称)</w:t>
      </w:r>
      <w:r>
        <w:rPr>
          <w:rFonts w:hint="eastAsia" w:ascii="宋体" w:hAnsi="宋体" w:cs="宋体"/>
          <w:color w:val="auto"/>
          <w:u w:val="single"/>
        </w:rPr>
        <w:t>　　　　　</w:t>
      </w:r>
      <w:r>
        <w:rPr>
          <w:rFonts w:hint="eastAsia" w:ascii="宋体" w:hAnsi="宋体" w:cs="宋体"/>
          <w:color w:val="auto"/>
        </w:rPr>
        <w:t>(标段名称)的投标，并确定其为中标人。发包人和承包人共同达成如下协议。</w:t>
      </w:r>
    </w:p>
    <w:p>
      <w:pPr>
        <w:spacing w:line="360" w:lineRule="auto"/>
        <w:rPr>
          <w:rFonts w:hint="eastAsia" w:ascii="宋体" w:hAnsi="宋体" w:cs="宋体"/>
          <w:color w:val="auto"/>
        </w:rPr>
      </w:pPr>
      <w:r>
        <w:rPr>
          <w:rFonts w:hint="eastAsia" w:ascii="宋体" w:hAnsi="宋体" w:cs="宋体"/>
          <w:color w:val="auto"/>
        </w:rPr>
        <w:t>　　1.本协议书与下列文件一起构成合同文件：</w:t>
      </w:r>
    </w:p>
    <w:p>
      <w:pPr>
        <w:spacing w:line="360" w:lineRule="auto"/>
        <w:rPr>
          <w:rFonts w:hint="eastAsia" w:ascii="宋体" w:hAnsi="宋体" w:cs="宋体"/>
          <w:color w:val="auto"/>
        </w:rPr>
      </w:pPr>
      <w:r>
        <w:rPr>
          <w:rFonts w:hint="eastAsia" w:ascii="宋体" w:hAnsi="宋体" w:cs="宋体"/>
          <w:color w:val="auto"/>
        </w:rPr>
        <w:t>　　(1)中标通知书；</w:t>
      </w:r>
    </w:p>
    <w:p>
      <w:pPr>
        <w:spacing w:line="360" w:lineRule="auto"/>
        <w:rPr>
          <w:rFonts w:hint="eastAsia" w:ascii="宋体" w:hAnsi="宋体" w:cs="宋体"/>
          <w:color w:val="auto"/>
        </w:rPr>
      </w:pPr>
      <w:r>
        <w:rPr>
          <w:rFonts w:hint="eastAsia" w:ascii="宋体" w:hAnsi="宋体" w:cs="宋体"/>
          <w:color w:val="auto"/>
        </w:rPr>
        <w:t>　　(2)投标函及投标函附录；</w:t>
      </w:r>
    </w:p>
    <w:p>
      <w:pPr>
        <w:spacing w:line="360" w:lineRule="auto"/>
        <w:rPr>
          <w:rFonts w:hint="eastAsia" w:ascii="宋体" w:hAnsi="宋体" w:cs="宋体"/>
          <w:color w:val="auto"/>
        </w:rPr>
      </w:pPr>
      <w:r>
        <w:rPr>
          <w:rFonts w:hint="eastAsia" w:ascii="宋体" w:hAnsi="宋体" w:cs="宋体"/>
          <w:color w:val="auto"/>
        </w:rPr>
        <w:t>　　(3)专用合同条款；</w:t>
      </w:r>
    </w:p>
    <w:p>
      <w:pPr>
        <w:spacing w:line="360" w:lineRule="auto"/>
        <w:rPr>
          <w:rFonts w:hint="eastAsia" w:ascii="宋体" w:hAnsi="宋体" w:cs="宋体"/>
          <w:color w:val="auto"/>
        </w:rPr>
      </w:pPr>
      <w:r>
        <w:rPr>
          <w:rFonts w:hint="eastAsia" w:ascii="宋体" w:hAnsi="宋体" w:cs="宋体"/>
          <w:color w:val="auto"/>
        </w:rPr>
        <w:t>　　(4)通用合同条款；</w:t>
      </w:r>
    </w:p>
    <w:p>
      <w:pPr>
        <w:spacing w:line="360" w:lineRule="auto"/>
        <w:rPr>
          <w:rFonts w:hint="eastAsia" w:ascii="宋体" w:hAnsi="宋体" w:cs="宋体"/>
          <w:color w:val="auto"/>
        </w:rPr>
      </w:pPr>
      <w:r>
        <w:rPr>
          <w:rFonts w:hint="eastAsia" w:ascii="宋体" w:hAnsi="宋体" w:cs="宋体"/>
          <w:color w:val="auto"/>
        </w:rPr>
        <w:t>　　(5)技术标准和要求(合同技术条款)；</w:t>
      </w:r>
    </w:p>
    <w:p>
      <w:pPr>
        <w:spacing w:line="360" w:lineRule="auto"/>
        <w:rPr>
          <w:rFonts w:hint="eastAsia" w:ascii="宋体" w:hAnsi="宋体" w:cs="宋体"/>
          <w:color w:val="auto"/>
        </w:rPr>
      </w:pPr>
      <w:r>
        <w:rPr>
          <w:rFonts w:hint="eastAsia" w:ascii="宋体" w:hAnsi="宋体" w:cs="宋体"/>
          <w:color w:val="auto"/>
        </w:rPr>
        <w:t>　　(6)图纸；</w:t>
      </w:r>
    </w:p>
    <w:p>
      <w:pPr>
        <w:spacing w:line="360" w:lineRule="auto"/>
        <w:rPr>
          <w:rFonts w:hint="eastAsia" w:ascii="宋体" w:hAnsi="宋体" w:cs="宋体"/>
          <w:color w:val="auto"/>
        </w:rPr>
      </w:pPr>
      <w:r>
        <w:rPr>
          <w:rFonts w:hint="eastAsia" w:ascii="宋体" w:hAnsi="宋体" w:cs="宋体"/>
          <w:color w:val="auto"/>
        </w:rPr>
        <w:t>　　(7)已标价工程量清单；</w:t>
      </w:r>
    </w:p>
    <w:p>
      <w:pPr>
        <w:spacing w:line="360" w:lineRule="auto"/>
        <w:rPr>
          <w:rFonts w:hint="eastAsia" w:ascii="宋体" w:hAnsi="宋体" w:cs="宋体"/>
          <w:color w:val="auto"/>
        </w:rPr>
      </w:pPr>
      <w:r>
        <w:rPr>
          <w:rFonts w:hint="eastAsia" w:ascii="宋体" w:hAnsi="宋体" w:cs="宋体"/>
          <w:color w:val="auto"/>
        </w:rPr>
        <w:t>　　(8)其它合同文件。</w:t>
      </w:r>
    </w:p>
    <w:p>
      <w:pPr>
        <w:spacing w:line="360" w:lineRule="auto"/>
        <w:rPr>
          <w:rFonts w:hint="eastAsia" w:ascii="宋体" w:hAnsi="宋体" w:cs="宋体"/>
          <w:color w:val="auto"/>
        </w:rPr>
      </w:pPr>
      <w:r>
        <w:rPr>
          <w:rFonts w:hint="eastAsia" w:ascii="宋体" w:hAnsi="宋体" w:cs="宋体"/>
          <w:color w:val="auto"/>
        </w:rPr>
        <w:t>　　2.上述文件互相补充和解释，如有不明确或不一致之处，以合同约定次序在先者为准。</w:t>
      </w:r>
    </w:p>
    <w:p>
      <w:pPr>
        <w:spacing w:line="360" w:lineRule="auto"/>
        <w:rPr>
          <w:rFonts w:hint="eastAsia" w:ascii="宋体" w:hAnsi="宋体" w:cs="宋体"/>
          <w:color w:val="auto"/>
        </w:rPr>
      </w:pPr>
      <w:r>
        <w:rPr>
          <w:rFonts w:hint="eastAsia" w:ascii="宋体" w:hAnsi="宋体" w:cs="宋体"/>
          <w:color w:val="auto"/>
        </w:rPr>
        <w:t>　　3.签约合同价：人民币(大写)　　　　　元(￥　　　　　元)。</w:t>
      </w:r>
    </w:p>
    <w:p>
      <w:pPr>
        <w:spacing w:line="360" w:lineRule="auto"/>
        <w:rPr>
          <w:rFonts w:hint="eastAsia" w:ascii="宋体" w:hAnsi="宋体" w:cs="宋体"/>
          <w:color w:val="auto"/>
        </w:rPr>
      </w:pPr>
      <w:r>
        <w:rPr>
          <w:rFonts w:hint="eastAsia" w:ascii="宋体" w:hAnsi="宋体" w:cs="宋体"/>
          <w:color w:val="auto"/>
        </w:rPr>
        <w:t>　　4.承包人项目经理：　　　　。</w:t>
      </w:r>
    </w:p>
    <w:p>
      <w:pPr>
        <w:spacing w:line="360" w:lineRule="auto"/>
        <w:rPr>
          <w:rFonts w:hint="eastAsia" w:ascii="宋体" w:hAnsi="宋体" w:cs="宋体"/>
          <w:color w:val="auto"/>
        </w:rPr>
      </w:pPr>
      <w:r>
        <w:rPr>
          <w:rFonts w:hint="eastAsia" w:ascii="宋体" w:hAnsi="宋体" w:cs="宋体"/>
          <w:color w:val="auto"/>
        </w:rPr>
        <w:t>　　5.工程质量符合　　　　标准。</w:t>
      </w:r>
    </w:p>
    <w:p>
      <w:pPr>
        <w:spacing w:line="360" w:lineRule="auto"/>
        <w:rPr>
          <w:rFonts w:hint="eastAsia" w:ascii="宋体" w:hAnsi="宋体" w:cs="宋体"/>
          <w:color w:val="auto"/>
        </w:rPr>
      </w:pPr>
      <w:r>
        <w:rPr>
          <w:rFonts w:hint="eastAsia" w:ascii="宋体" w:hAnsi="宋体" w:cs="宋体"/>
          <w:color w:val="auto"/>
        </w:rPr>
        <w:t>　　6.承包人承诺按合同约定承担工程的实施、完成及缺陷修复。</w:t>
      </w:r>
    </w:p>
    <w:p>
      <w:pPr>
        <w:spacing w:line="360" w:lineRule="auto"/>
        <w:rPr>
          <w:rFonts w:hint="eastAsia" w:ascii="宋体" w:hAnsi="宋体" w:cs="宋体"/>
          <w:color w:val="auto"/>
        </w:rPr>
      </w:pPr>
      <w:r>
        <w:rPr>
          <w:rFonts w:hint="eastAsia" w:ascii="宋体" w:hAnsi="宋体" w:cs="宋体"/>
          <w:color w:val="auto"/>
        </w:rPr>
        <w:t>　　7.发包人承诺按合同约定的条件、时间和方式向承包人支付合同价款。</w:t>
      </w:r>
    </w:p>
    <w:p>
      <w:pPr>
        <w:spacing w:line="360" w:lineRule="auto"/>
        <w:rPr>
          <w:rFonts w:hint="eastAsia" w:ascii="宋体" w:hAnsi="宋体" w:cs="宋体"/>
          <w:color w:val="auto"/>
        </w:rPr>
      </w:pPr>
      <w:r>
        <w:rPr>
          <w:rFonts w:hint="eastAsia" w:ascii="宋体" w:hAnsi="宋体" w:cs="宋体"/>
          <w:color w:val="auto"/>
        </w:rPr>
        <w:t>　　8.承包人承诺执行监理人开工通知，计划工期为　　　天。</w:t>
      </w:r>
    </w:p>
    <w:p>
      <w:pPr>
        <w:spacing w:line="360" w:lineRule="auto"/>
        <w:rPr>
          <w:rFonts w:hint="eastAsia" w:ascii="宋体" w:hAnsi="宋体" w:cs="宋体"/>
          <w:color w:val="auto"/>
        </w:rPr>
      </w:pPr>
      <w:r>
        <w:rPr>
          <w:rFonts w:hint="eastAsia" w:ascii="宋体" w:hAnsi="宋体" w:cs="宋体"/>
          <w:color w:val="auto"/>
        </w:rPr>
        <w:t>　　9.本协议书一式　　份，合同双方各执一份。</w:t>
      </w:r>
    </w:p>
    <w:p>
      <w:pPr>
        <w:spacing w:line="360" w:lineRule="auto"/>
        <w:rPr>
          <w:rFonts w:hint="eastAsia" w:ascii="宋体" w:hAnsi="宋体" w:cs="宋体"/>
          <w:color w:val="auto"/>
        </w:rPr>
      </w:pPr>
      <w:r>
        <w:rPr>
          <w:rFonts w:hint="eastAsia" w:ascii="宋体" w:hAnsi="宋体" w:cs="宋体"/>
          <w:color w:val="auto"/>
        </w:rPr>
        <w:t>　　10.合同未尽事宜，双方另行签订补充协议。补充协议是合同的组成部分。</w:t>
      </w:r>
    </w:p>
    <w:p>
      <w:pPr>
        <w:spacing w:line="360" w:lineRule="auto"/>
        <w:rPr>
          <w:rFonts w:hint="eastAsia" w:ascii="宋体" w:hAnsi="宋体" w:cs="宋体"/>
          <w:color w:val="auto"/>
        </w:rPr>
      </w:pPr>
      <w:r>
        <w:rPr>
          <w:rFonts w:hint="eastAsia" w:ascii="宋体" w:hAnsi="宋体" w:cs="宋体"/>
          <w:color w:val="auto"/>
        </w:rPr>
        <w:t>发包人：　　　　　(盖单位章)　　　承包人：　　　　　　　(盖单位章)</w:t>
      </w:r>
    </w:p>
    <w:p>
      <w:pPr>
        <w:spacing w:line="360" w:lineRule="auto"/>
        <w:rPr>
          <w:rFonts w:hint="eastAsia" w:ascii="宋体" w:hAnsi="宋体" w:cs="宋体"/>
          <w:color w:val="auto"/>
        </w:rPr>
      </w:pPr>
      <w:r>
        <w:rPr>
          <w:rFonts w:hint="eastAsia" w:ascii="宋体" w:hAnsi="宋体" w:cs="宋体"/>
          <w:color w:val="auto"/>
        </w:rPr>
        <w:t>法定代表人或其委托代理人：　　　　(签字)　法定代表人或其委托代理人：　　　　　　(签字)</w:t>
      </w:r>
    </w:p>
    <w:p>
      <w:pPr>
        <w:spacing w:line="360" w:lineRule="auto"/>
        <w:rPr>
          <w:rFonts w:hint="eastAsia" w:ascii="宋体" w:hAnsi="宋体" w:cs="宋体"/>
          <w:color w:val="auto"/>
        </w:rPr>
      </w:pPr>
      <w:r>
        <w:rPr>
          <w:rFonts w:hint="eastAsia" w:ascii="宋体" w:hAnsi="宋体" w:cs="宋体"/>
          <w:color w:val="auto"/>
        </w:rPr>
        <w:t>　　　　　　　　年　　月　　日　　　　　　　　　　年　　月　　日</w:t>
      </w:r>
    </w:p>
    <w:p>
      <w:pPr>
        <w:pStyle w:val="5"/>
        <w:spacing w:line="400" w:lineRule="exact"/>
        <w:rPr>
          <w:rFonts w:hint="eastAsia"/>
          <w:b w:val="0"/>
          <w:highlight w:val="none"/>
        </w:rPr>
      </w:pPr>
      <w:r>
        <w:rPr>
          <w:rFonts w:hint="eastAsia"/>
          <w:bCs/>
          <w:highlight w:val="none"/>
        </w:rPr>
        <w:br w:type="page"/>
      </w:r>
      <w:bookmarkStart w:id="205" w:name="_Toc22111"/>
      <w:r>
        <w:rPr>
          <w:rFonts w:hint="eastAsia"/>
          <w:bCs/>
          <w:highlight w:val="none"/>
        </w:rPr>
        <w:t>第五部分  工程量清单</w:t>
      </w:r>
      <w:bookmarkEnd w:id="173"/>
      <w:bookmarkEnd w:id="174"/>
      <w:bookmarkEnd w:id="205"/>
    </w:p>
    <w:p>
      <w:pPr>
        <w:spacing w:line="400" w:lineRule="exact"/>
        <w:ind w:firstLine="723"/>
        <w:rPr>
          <w:rFonts w:hint="eastAsia"/>
          <w:b/>
          <w:kern w:val="28"/>
          <w:sz w:val="36"/>
          <w:szCs w:val="20"/>
          <w:highlight w:val="none"/>
        </w:rPr>
      </w:pPr>
    </w:p>
    <w:p>
      <w:pPr>
        <w:spacing w:line="360" w:lineRule="auto"/>
        <w:rPr>
          <w:rFonts w:hint="eastAsia" w:ascii="宋体" w:hAnsi="宋体" w:cs="宋体"/>
          <w:b/>
          <w:color w:val="auto"/>
        </w:rPr>
      </w:pPr>
      <w:r>
        <w:rPr>
          <w:rFonts w:hint="eastAsia" w:ascii="宋体" w:hAnsi="宋体" w:cs="宋体"/>
          <w:b/>
          <w:color w:val="auto"/>
        </w:rPr>
        <w:t>1　工程量清单说明</w:t>
      </w:r>
    </w:p>
    <w:p>
      <w:pPr>
        <w:spacing w:line="360" w:lineRule="auto"/>
        <w:rPr>
          <w:rFonts w:hint="eastAsia" w:ascii="宋体" w:hAnsi="宋体" w:cs="宋体"/>
          <w:color w:val="auto"/>
        </w:rPr>
      </w:pPr>
      <w:r>
        <w:rPr>
          <w:rFonts w:hint="eastAsia" w:ascii="宋体" w:hAnsi="宋体" w:cs="宋体"/>
          <w:color w:val="auto"/>
        </w:rPr>
        <w:t>　1.1　工程量清单应与招标文件中的投标人须知、通用合同条款、专用合同条款、技术</w:t>
      </w:r>
      <w:bookmarkStart w:id="206" w:name="_Hlt268365717"/>
      <w:bookmarkEnd w:id="206"/>
      <w:r>
        <w:rPr>
          <w:rFonts w:hint="eastAsia" w:ascii="宋体" w:hAnsi="宋体" w:cs="宋体"/>
          <w:color w:val="auto"/>
        </w:rPr>
        <w:t>标准和要求(合同技术条款)、图纸等一起阅读和理解。</w:t>
      </w:r>
    </w:p>
    <w:p>
      <w:pPr>
        <w:spacing w:line="360" w:lineRule="auto"/>
        <w:rPr>
          <w:rFonts w:hint="eastAsia" w:ascii="宋体" w:hAnsi="宋体" w:cs="宋体"/>
          <w:color w:val="auto"/>
        </w:rPr>
      </w:pPr>
      <w:r>
        <w:rPr>
          <w:rFonts w:hint="eastAsia" w:ascii="宋体" w:hAnsi="宋体" w:cs="宋体"/>
          <w:color w:val="auto"/>
        </w:rPr>
        <w:t>　1.2　工程量清单仅是投标人投标报价的共同基础。除另有约定外，工程量清单中的工程量是根据招标设计图纸计算的用于投标报价的估算工程量，不作为最终结算工程量。最终结算工程量是承包人实际完成并符合技术标准和要求(合同技术条款)规定，按施工图纸计算的有效工程量。</w:t>
      </w:r>
    </w:p>
    <w:p>
      <w:pPr>
        <w:spacing w:line="360" w:lineRule="auto"/>
        <w:rPr>
          <w:rFonts w:hint="eastAsia" w:ascii="宋体" w:hAnsi="宋体" w:cs="宋体"/>
          <w:color w:val="auto"/>
        </w:rPr>
      </w:pPr>
      <w:r>
        <w:rPr>
          <w:rFonts w:hint="eastAsia" w:ascii="宋体" w:hAnsi="宋体" w:cs="宋体"/>
          <w:color w:val="auto"/>
        </w:rPr>
        <w:t>　1.3　工程量清单中各项目的工作内容和要求应符合相关技术标准和要求(合同技术条款)的规定。</w:t>
      </w:r>
    </w:p>
    <w:p>
      <w:pPr>
        <w:spacing w:line="360" w:lineRule="auto"/>
        <w:rPr>
          <w:rFonts w:hint="eastAsia" w:ascii="宋体" w:hAnsi="宋体" w:cs="宋体"/>
          <w:color w:val="auto"/>
        </w:rPr>
      </w:pPr>
      <w:r>
        <w:rPr>
          <w:rFonts w:hint="eastAsia" w:ascii="宋体" w:hAnsi="宋体" w:cs="宋体"/>
          <w:color w:val="auto"/>
        </w:rPr>
        <w:t>　1.4　工程价款的支付遵循合同条款的约定。</w:t>
      </w:r>
    </w:p>
    <w:p>
      <w:pPr>
        <w:spacing w:line="360" w:lineRule="auto"/>
        <w:rPr>
          <w:rFonts w:hint="eastAsia" w:ascii="宋体" w:hAnsi="宋体" w:cs="宋体"/>
          <w:b/>
          <w:color w:val="auto"/>
        </w:rPr>
      </w:pPr>
      <w:bookmarkStart w:id="207" w:name="第05章工程量清单投标02"/>
      <w:bookmarkEnd w:id="207"/>
      <w:r>
        <w:rPr>
          <w:rFonts w:hint="eastAsia" w:ascii="宋体" w:hAnsi="宋体" w:cs="宋体"/>
          <w:b/>
          <w:color w:val="auto"/>
        </w:rPr>
        <w:t>2　投标报价说明</w:t>
      </w:r>
    </w:p>
    <w:p>
      <w:pPr>
        <w:spacing w:line="360" w:lineRule="auto"/>
        <w:rPr>
          <w:rFonts w:hint="eastAsia" w:ascii="宋体" w:hAnsi="宋体" w:cs="宋体"/>
          <w:color w:val="auto"/>
        </w:rPr>
      </w:pPr>
      <w:r>
        <w:rPr>
          <w:rFonts w:hint="eastAsia" w:ascii="宋体" w:hAnsi="宋体" w:cs="宋体"/>
          <w:color w:val="auto"/>
        </w:rPr>
        <w:t>　2.1　工程量清单报价表组成</w:t>
      </w:r>
    </w:p>
    <w:p>
      <w:pPr>
        <w:spacing w:line="360" w:lineRule="auto"/>
        <w:rPr>
          <w:rFonts w:hint="eastAsia" w:ascii="宋体" w:hAnsi="宋体" w:cs="宋体"/>
          <w:color w:val="auto"/>
        </w:rPr>
      </w:pPr>
      <w:r>
        <w:rPr>
          <w:rFonts w:hint="eastAsia" w:ascii="宋体" w:hAnsi="宋体" w:cs="宋体"/>
          <w:color w:val="auto"/>
        </w:rPr>
        <w:t>　　工程量清单报价表由以下表格组成：</w:t>
      </w:r>
    </w:p>
    <w:p>
      <w:pPr>
        <w:spacing w:line="360" w:lineRule="auto"/>
        <w:rPr>
          <w:rFonts w:hint="eastAsia" w:ascii="宋体" w:hAnsi="宋体" w:cs="宋体"/>
          <w:color w:val="auto"/>
        </w:rPr>
      </w:pPr>
      <w:r>
        <w:rPr>
          <w:rFonts w:hint="eastAsia" w:ascii="宋体" w:hAnsi="宋体" w:cs="宋体"/>
          <w:color w:val="auto"/>
        </w:rPr>
        <w:t>　　1.投标总价。</w:t>
      </w:r>
    </w:p>
    <w:p>
      <w:pPr>
        <w:spacing w:line="360" w:lineRule="auto"/>
        <w:rPr>
          <w:rFonts w:hint="eastAsia" w:ascii="宋体" w:hAnsi="宋体" w:cs="宋体"/>
          <w:color w:val="auto"/>
        </w:rPr>
      </w:pPr>
      <w:r>
        <w:rPr>
          <w:rFonts w:hint="eastAsia" w:ascii="宋体" w:hAnsi="宋体" w:cs="宋体"/>
          <w:color w:val="auto"/>
        </w:rPr>
        <w:t>　　2.工程项目总价表。</w:t>
      </w:r>
    </w:p>
    <w:p>
      <w:pPr>
        <w:spacing w:line="360" w:lineRule="auto"/>
        <w:rPr>
          <w:rFonts w:hint="eastAsia" w:ascii="宋体" w:hAnsi="宋体" w:cs="宋体"/>
          <w:color w:val="auto"/>
        </w:rPr>
      </w:pPr>
      <w:r>
        <w:rPr>
          <w:rFonts w:hint="eastAsia" w:ascii="宋体" w:hAnsi="宋体" w:cs="宋体"/>
          <w:color w:val="auto"/>
        </w:rPr>
        <w:t>　　3.分组分项工程量清单报价表。</w:t>
      </w:r>
    </w:p>
    <w:p>
      <w:pPr>
        <w:spacing w:line="360" w:lineRule="auto"/>
        <w:rPr>
          <w:rFonts w:hint="eastAsia" w:ascii="宋体" w:hAnsi="宋体" w:cs="宋体"/>
          <w:color w:val="auto"/>
        </w:rPr>
      </w:pPr>
      <w:r>
        <w:rPr>
          <w:rFonts w:hint="eastAsia" w:ascii="宋体" w:hAnsi="宋体" w:cs="宋体"/>
          <w:color w:val="auto"/>
        </w:rPr>
        <w:t>　　4.计日工项目报价表。</w:t>
      </w:r>
    </w:p>
    <w:p>
      <w:pPr>
        <w:spacing w:line="360" w:lineRule="auto"/>
        <w:rPr>
          <w:rFonts w:hint="eastAsia" w:ascii="宋体" w:hAnsi="宋体" w:cs="宋体"/>
          <w:color w:val="auto"/>
        </w:rPr>
      </w:pPr>
      <w:r>
        <w:rPr>
          <w:rFonts w:hint="eastAsia" w:ascii="宋体" w:hAnsi="宋体" w:cs="宋体"/>
          <w:color w:val="auto"/>
        </w:rPr>
        <w:t>　　5.工程单价汇总表。</w:t>
      </w:r>
    </w:p>
    <w:p>
      <w:pPr>
        <w:spacing w:line="360" w:lineRule="auto"/>
        <w:rPr>
          <w:rFonts w:hint="eastAsia" w:ascii="宋体" w:hAnsi="宋体" w:cs="宋体"/>
          <w:color w:val="auto"/>
        </w:rPr>
      </w:pPr>
      <w:r>
        <w:rPr>
          <w:rFonts w:hint="eastAsia" w:ascii="宋体" w:hAnsi="宋体" w:cs="宋体"/>
          <w:color w:val="auto"/>
        </w:rPr>
        <w:t>　　6.工程单价费(税)率汇总表。</w:t>
      </w:r>
    </w:p>
    <w:p>
      <w:pPr>
        <w:spacing w:line="360" w:lineRule="auto"/>
        <w:rPr>
          <w:rFonts w:hint="eastAsia" w:ascii="宋体" w:hAnsi="宋体" w:cs="宋体"/>
          <w:color w:val="auto"/>
        </w:rPr>
      </w:pPr>
      <w:r>
        <w:rPr>
          <w:rFonts w:hint="eastAsia" w:ascii="宋体" w:hAnsi="宋体" w:cs="宋体"/>
          <w:color w:val="auto"/>
        </w:rPr>
        <w:t>　　7.投标人生产电、风、水、砂石基础单价汇总表。</w:t>
      </w:r>
    </w:p>
    <w:p>
      <w:pPr>
        <w:spacing w:line="360" w:lineRule="auto"/>
        <w:rPr>
          <w:rFonts w:hint="eastAsia" w:ascii="宋体" w:hAnsi="宋体" w:cs="宋体"/>
          <w:color w:val="auto"/>
        </w:rPr>
      </w:pPr>
      <w:r>
        <w:rPr>
          <w:rFonts w:hint="eastAsia" w:ascii="宋体" w:hAnsi="宋体" w:cs="宋体"/>
          <w:color w:val="auto"/>
        </w:rPr>
        <w:t>　　8.投标人生产混凝土配合比材料费表。</w:t>
      </w:r>
    </w:p>
    <w:p>
      <w:pPr>
        <w:spacing w:line="360" w:lineRule="auto"/>
        <w:rPr>
          <w:rFonts w:hint="eastAsia" w:ascii="宋体" w:hAnsi="宋体" w:cs="宋体"/>
          <w:color w:val="auto"/>
        </w:rPr>
      </w:pPr>
      <w:r>
        <w:rPr>
          <w:rFonts w:hint="eastAsia" w:ascii="宋体" w:hAnsi="宋体" w:cs="宋体"/>
          <w:color w:val="auto"/>
        </w:rPr>
        <w:t>　　9.招标人供应材料价格汇总表(若招标人提供)。</w:t>
      </w:r>
    </w:p>
    <w:p>
      <w:pPr>
        <w:spacing w:line="360" w:lineRule="auto"/>
        <w:rPr>
          <w:rFonts w:hint="eastAsia" w:ascii="宋体" w:hAnsi="宋体" w:cs="宋体"/>
          <w:color w:val="auto"/>
        </w:rPr>
      </w:pPr>
      <w:r>
        <w:rPr>
          <w:rFonts w:hint="eastAsia" w:ascii="宋体" w:hAnsi="宋体" w:cs="宋体"/>
          <w:color w:val="auto"/>
        </w:rPr>
        <w:t>　　10.投标人自行采购主要材料预算价格汇总表。</w:t>
      </w:r>
    </w:p>
    <w:p>
      <w:pPr>
        <w:spacing w:line="360" w:lineRule="auto"/>
        <w:rPr>
          <w:rFonts w:hint="eastAsia" w:ascii="宋体" w:hAnsi="宋体" w:cs="宋体"/>
          <w:color w:val="auto"/>
        </w:rPr>
      </w:pPr>
      <w:r>
        <w:rPr>
          <w:rFonts w:hint="eastAsia" w:ascii="宋体" w:hAnsi="宋体" w:cs="宋体"/>
          <w:color w:val="auto"/>
        </w:rPr>
        <w:t>　　11.招标人提供施工机械台时(班)费汇总表(若招标人提供)。</w:t>
      </w:r>
    </w:p>
    <w:p>
      <w:pPr>
        <w:spacing w:line="360" w:lineRule="auto"/>
        <w:rPr>
          <w:rFonts w:hint="eastAsia" w:ascii="宋体" w:hAnsi="宋体" w:cs="宋体"/>
          <w:color w:val="auto"/>
        </w:rPr>
      </w:pPr>
      <w:r>
        <w:rPr>
          <w:rFonts w:hint="eastAsia" w:ascii="宋体" w:hAnsi="宋体" w:cs="宋体"/>
          <w:color w:val="auto"/>
        </w:rPr>
        <w:t>　　12.投标人自备施工机械台时(班)费汇总表。</w:t>
      </w:r>
    </w:p>
    <w:p>
      <w:pPr>
        <w:spacing w:line="360" w:lineRule="auto"/>
        <w:rPr>
          <w:rFonts w:hint="eastAsia" w:ascii="宋体" w:hAnsi="宋体" w:cs="宋体"/>
          <w:color w:val="auto"/>
        </w:rPr>
      </w:pPr>
      <w:r>
        <w:rPr>
          <w:rFonts w:hint="eastAsia" w:ascii="宋体" w:hAnsi="宋体" w:cs="宋体"/>
          <w:color w:val="auto"/>
        </w:rPr>
        <w:t>　　13.总价项目分解表。</w:t>
      </w:r>
    </w:p>
    <w:p>
      <w:pPr>
        <w:spacing w:line="360" w:lineRule="auto"/>
        <w:rPr>
          <w:rFonts w:hint="eastAsia" w:ascii="宋体" w:hAnsi="宋体" w:cs="宋体"/>
          <w:color w:val="auto"/>
        </w:rPr>
      </w:pPr>
      <w:r>
        <w:rPr>
          <w:rFonts w:hint="eastAsia" w:ascii="宋体" w:hAnsi="宋体" w:cs="宋体"/>
          <w:color w:val="auto"/>
        </w:rPr>
        <w:t>　　14.工程单价计算表。</w:t>
      </w:r>
    </w:p>
    <w:p>
      <w:pPr>
        <w:spacing w:line="360" w:lineRule="auto"/>
        <w:rPr>
          <w:rFonts w:hint="eastAsia" w:ascii="宋体" w:hAnsi="宋体" w:cs="宋体"/>
          <w:color w:val="auto"/>
        </w:rPr>
      </w:pPr>
      <w:r>
        <w:rPr>
          <w:rFonts w:hint="eastAsia" w:ascii="宋体" w:hAnsi="宋体" w:cs="宋体"/>
          <w:color w:val="auto"/>
        </w:rPr>
        <w:t>　　15.人工费单价汇总表。</w:t>
      </w:r>
    </w:p>
    <w:p>
      <w:pPr>
        <w:spacing w:line="360" w:lineRule="auto"/>
        <w:rPr>
          <w:rFonts w:hint="eastAsia" w:ascii="宋体" w:hAnsi="宋体" w:cs="宋体"/>
          <w:color w:val="auto"/>
        </w:rPr>
      </w:pPr>
      <w:r>
        <w:rPr>
          <w:rFonts w:hint="eastAsia" w:ascii="宋体" w:hAnsi="宋体" w:cs="宋体"/>
          <w:color w:val="auto"/>
        </w:rPr>
        <w:t>　2.2　工程量清单报价表填写规定</w:t>
      </w:r>
    </w:p>
    <w:p>
      <w:pPr>
        <w:spacing w:line="360" w:lineRule="auto"/>
        <w:rPr>
          <w:rFonts w:hint="eastAsia" w:ascii="宋体" w:hAnsi="宋体" w:cs="宋体"/>
          <w:color w:val="auto"/>
        </w:rPr>
      </w:pPr>
      <w:r>
        <w:rPr>
          <w:rFonts w:hint="eastAsia" w:ascii="宋体" w:hAnsi="宋体" w:cs="宋体"/>
          <w:color w:val="auto"/>
        </w:rPr>
        <w:t>　　1.除招标文件另有规定外，投标人不得随意增加、删除或涂改招标文件工程量清单中的任何内容。工程量清单中列明的所有需要填写的单价和合价，投标人均应填写；未填写的单价和合价，视为已包括在工程量清单的其它单价和合价中。</w:t>
      </w:r>
    </w:p>
    <w:p>
      <w:pPr>
        <w:spacing w:line="360" w:lineRule="auto"/>
        <w:rPr>
          <w:rFonts w:hint="eastAsia" w:ascii="宋体" w:hAnsi="宋体" w:cs="宋体"/>
          <w:color w:val="auto"/>
        </w:rPr>
      </w:pPr>
      <w:r>
        <w:rPr>
          <w:rFonts w:hint="eastAsia" w:ascii="宋体" w:hAnsi="宋体" w:cs="宋体"/>
          <w:color w:val="auto"/>
        </w:rPr>
        <w:t>　　2.工程量清单中的工程单价是完成工程量清单中一个质量合格的规定计量单位项目所需的直接工程费、间接费、企业利润和税金，并考虑到风险因素。投标人应根据规定的工程单价组成内容确定工程单价。除另有规定外，对有效工程量以外的超挖、超填工程量，施工附加量，加工、运输损耗量等，所消耗的人工、材料和机械费用，均应摊入相应有效工程量的工程单价内。</w:t>
      </w:r>
    </w:p>
    <w:p>
      <w:pPr>
        <w:spacing w:line="360" w:lineRule="auto"/>
        <w:rPr>
          <w:rFonts w:hint="eastAsia" w:ascii="宋体" w:hAnsi="宋体" w:cs="宋体"/>
          <w:color w:val="auto"/>
        </w:rPr>
      </w:pPr>
      <w:r>
        <w:rPr>
          <w:rFonts w:hint="eastAsia" w:ascii="宋体" w:hAnsi="宋体" w:cs="宋体"/>
          <w:color w:val="auto"/>
        </w:rPr>
        <w:t>　　3.投标金额(价格)均应以人民币表示。</w:t>
      </w:r>
    </w:p>
    <w:p>
      <w:pPr>
        <w:spacing w:line="360" w:lineRule="auto"/>
        <w:rPr>
          <w:rFonts w:hint="eastAsia" w:ascii="宋体" w:hAnsi="宋体" w:cs="宋体"/>
          <w:color w:val="auto"/>
        </w:rPr>
      </w:pPr>
      <w:r>
        <w:rPr>
          <w:rFonts w:hint="eastAsia" w:ascii="宋体" w:hAnsi="宋体" w:cs="宋体"/>
          <w:color w:val="auto"/>
        </w:rPr>
        <w:t>　　4.投标总价应按工程项目总价表合计金额填写。</w:t>
      </w:r>
    </w:p>
    <w:p>
      <w:pPr>
        <w:spacing w:line="360" w:lineRule="auto"/>
        <w:rPr>
          <w:rFonts w:hint="eastAsia" w:ascii="宋体" w:hAnsi="宋体" w:cs="宋体"/>
          <w:color w:val="auto"/>
        </w:rPr>
      </w:pPr>
      <w:r>
        <w:rPr>
          <w:rFonts w:hint="eastAsia" w:ascii="宋体" w:hAnsi="宋体" w:cs="宋体"/>
          <w:color w:val="auto"/>
        </w:rPr>
        <w:t>　　5.工程项目总价表中组号和工程项目名称按招标文件工程量清单中的相应内容填写，并按分组工程量清单报价表中相应项目合计金额填写。暂列金额按招标文件工程项目总价表中的相应内容填写。</w:t>
      </w:r>
    </w:p>
    <w:p>
      <w:pPr>
        <w:spacing w:line="360" w:lineRule="auto"/>
        <w:rPr>
          <w:rFonts w:hint="eastAsia" w:ascii="宋体" w:hAnsi="宋体" w:cs="宋体"/>
          <w:color w:val="auto"/>
        </w:rPr>
      </w:pPr>
      <w:r>
        <w:rPr>
          <w:rFonts w:hint="eastAsia" w:ascii="宋体" w:hAnsi="宋体" w:cs="宋体"/>
          <w:color w:val="auto"/>
        </w:rPr>
        <w:t>　　6.分组工程量清单报价表中的序号、项目名称、计量单位、工程数量，按招标文件分组工程量清单报价表的相应内容填写，并填写相应项目的单价和合价。</w:t>
      </w:r>
    </w:p>
    <w:p>
      <w:pPr>
        <w:spacing w:line="360" w:lineRule="auto"/>
        <w:rPr>
          <w:rFonts w:hint="eastAsia" w:ascii="宋体" w:hAnsi="宋体" w:cs="宋体"/>
          <w:color w:val="auto"/>
        </w:rPr>
      </w:pPr>
      <w:r>
        <w:rPr>
          <w:rFonts w:hint="eastAsia" w:ascii="宋体" w:hAnsi="宋体" w:cs="宋体"/>
          <w:color w:val="auto"/>
        </w:rPr>
        <w:t>　　7.计日工项目报价表的序号、人工、材料、机械的名称、型号规格以及计量单位，按招标文件计日工项目清单报价表中的相应内容填写，并填写相应项目单价。</w:t>
      </w:r>
    </w:p>
    <w:p>
      <w:pPr>
        <w:spacing w:line="360" w:lineRule="auto"/>
        <w:rPr>
          <w:rFonts w:hint="eastAsia" w:ascii="宋体" w:hAnsi="宋体" w:cs="宋体"/>
          <w:color w:val="auto"/>
        </w:rPr>
      </w:pPr>
      <w:r>
        <w:rPr>
          <w:rFonts w:hint="eastAsia" w:ascii="宋体" w:hAnsi="宋体" w:cs="宋体"/>
          <w:color w:val="auto"/>
        </w:rPr>
        <w:t>　　8.辅助表格填写：</w:t>
      </w:r>
    </w:p>
    <w:p>
      <w:pPr>
        <w:spacing w:line="360" w:lineRule="auto"/>
        <w:rPr>
          <w:rFonts w:hint="eastAsia" w:ascii="宋体" w:hAnsi="宋体" w:cs="宋体"/>
          <w:color w:val="auto"/>
        </w:rPr>
      </w:pPr>
      <w:r>
        <w:rPr>
          <w:rFonts w:hint="eastAsia" w:ascii="宋体" w:hAnsi="宋体" w:cs="宋体"/>
          <w:color w:val="auto"/>
        </w:rPr>
        <w:t>　　(1)工程单价汇总表，按工程单价计算表中的相应内容、价格(费率)填写；</w:t>
      </w:r>
    </w:p>
    <w:p>
      <w:pPr>
        <w:spacing w:line="360" w:lineRule="auto"/>
        <w:rPr>
          <w:rFonts w:hint="eastAsia" w:ascii="宋体" w:hAnsi="宋体" w:cs="宋体"/>
          <w:color w:val="auto"/>
        </w:rPr>
      </w:pPr>
      <w:r>
        <w:rPr>
          <w:rFonts w:hint="eastAsia" w:ascii="宋体" w:hAnsi="宋体" w:cs="宋体"/>
          <w:color w:val="auto"/>
        </w:rPr>
        <w:t>　　(2)工程单价费(税)率汇总表，按工程单价计算表中的相应内容、费(税)率填写；</w:t>
      </w:r>
    </w:p>
    <w:p>
      <w:pPr>
        <w:spacing w:line="360" w:lineRule="auto"/>
        <w:rPr>
          <w:rFonts w:hint="eastAsia" w:ascii="宋体" w:hAnsi="宋体" w:cs="宋体"/>
          <w:color w:val="auto"/>
        </w:rPr>
      </w:pPr>
      <w:r>
        <w:rPr>
          <w:rFonts w:hint="eastAsia" w:ascii="宋体" w:hAnsi="宋体" w:cs="宋体"/>
          <w:color w:val="auto"/>
        </w:rPr>
        <w:t>　　(3)投标人生产电、风、水、砂石基础单价汇总表，按基础单价分析计算成果的相应内容、价格填写，并附相应基础单价的分析计算书；</w:t>
      </w:r>
    </w:p>
    <w:p>
      <w:pPr>
        <w:spacing w:line="360" w:lineRule="auto"/>
        <w:rPr>
          <w:rFonts w:hint="eastAsia" w:ascii="宋体" w:hAnsi="宋体" w:cs="宋体"/>
          <w:color w:val="auto"/>
        </w:rPr>
      </w:pPr>
      <w:r>
        <w:rPr>
          <w:rFonts w:hint="eastAsia" w:ascii="宋体" w:hAnsi="宋体" w:cs="宋体"/>
          <w:color w:val="auto"/>
        </w:rPr>
        <w:t>　　(4)投标人生产混凝土配合比材料费表，按表中工程部位、混凝土强度等级(附抗渗、抗冻等级)、水泥强度等级、级配、水灰比、相应材料用量和单价填写，填写的单价必须与工程单价计算表中采用的相应混凝土材料单价一致；</w:t>
      </w:r>
    </w:p>
    <w:p>
      <w:pPr>
        <w:spacing w:line="360" w:lineRule="auto"/>
        <w:rPr>
          <w:rFonts w:hint="eastAsia" w:ascii="宋体" w:hAnsi="宋体" w:cs="宋体"/>
          <w:color w:val="auto"/>
        </w:rPr>
      </w:pPr>
      <w:r>
        <w:rPr>
          <w:rFonts w:hint="eastAsia" w:ascii="宋体" w:hAnsi="宋体" w:cs="宋体"/>
          <w:color w:val="auto"/>
        </w:rPr>
        <w:t>　　(5)招标人供应材料价格汇总表，按招标人供应的材料名称、型号规格、计量单位和供应价格填写，并填写经分析计算后的相应材料预算价格，填写的预算价格必须与工程单价计算表中采用的相应材料预算价格一致(若招标人提供)；</w:t>
      </w:r>
    </w:p>
    <w:p>
      <w:pPr>
        <w:spacing w:line="360" w:lineRule="auto"/>
        <w:rPr>
          <w:rFonts w:hint="eastAsia" w:ascii="宋体" w:hAnsi="宋体" w:cs="宋体"/>
          <w:color w:val="auto"/>
        </w:rPr>
      </w:pPr>
      <w:r>
        <w:rPr>
          <w:rFonts w:hint="eastAsia" w:ascii="宋体" w:hAnsi="宋体" w:cs="宋体"/>
          <w:color w:val="auto"/>
        </w:rPr>
        <w:t>　　(6)投标人自行采购主要材料预算价格汇总表，按表中的序号、材料名称、型号规格、计量单位和填写的预算价格，填写的预算价格必须与工程单价计算表中采用的相应材料预算价格一致；</w:t>
      </w:r>
    </w:p>
    <w:p>
      <w:pPr>
        <w:spacing w:line="360" w:lineRule="auto"/>
        <w:rPr>
          <w:rFonts w:hint="eastAsia" w:ascii="宋体" w:hAnsi="宋体" w:cs="宋体"/>
          <w:color w:val="auto"/>
        </w:rPr>
      </w:pPr>
      <w:r>
        <w:rPr>
          <w:rFonts w:hint="eastAsia" w:ascii="宋体" w:hAnsi="宋体" w:cs="宋体"/>
          <w:color w:val="auto"/>
        </w:rPr>
        <w:t>　　(7)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pPr>
        <w:spacing w:line="360" w:lineRule="auto"/>
        <w:rPr>
          <w:rFonts w:hint="eastAsia" w:ascii="宋体" w:hAnsi="宋体" w:cs="宋体"/>
          <w:color w:val="auto"/>
        </w:rPr>
      </w:pPr>
      <w:r>
        <w:rPr>
          <w:rFonts w:hint="eastAsia" w:ascii="宋体" w:hAnsi="宋体" w:cs="宋体"/>
          <w:color w:val="auto"/>
        </w:rPr>
        <w:t>　　(8)投标人自备施工机械台时(班)费汇总表，按表中的序号、机械名称、型号规格、一类费用和二类费用填写，填写的台时(班)费合计金额必须与工程单价计算表中相应的施工机械台时(班)费单价一致；</w:t>
      </w:r>
    </w:p>
    <w:p>
      <w:pPr>
        <w:spacing w:line="360" w:lineRule="auto"/>
        <w:rPr>
          <w:rFonts w:hint="eastAsia" w:ascii="宋体" w:hAnsi="宋体" w:cs="宋体"/>
          <w:color w:val="auto"/>
        </w:rPr>
      </w:pPr>
      <w:r>
        <w:rPr>
          <w:rFonts w:hint="eastAsia" w:ascii="宋体" w:hAnsi="宋体" w:cs="宋体"/>
          <w:color w:val="auto"/>
        </w:rPr>
        <w:t>　　(9)投标人应对工程量清单中的总价项目编制总价项目分解表，每个总价项目一份，项目编号和名称应与工程量清单一致；</w:t>
      </w:r>
    </w:p>
    <w:p>
      <w:pPr>
        <w:spacing w:line="360" w:lineRule="auto"/>
        <w:rPr>
          <w:rFonts w:hint="eastAsia" w:ascii="宋体" w:hAnsi="宋体" w:cs="宋体"/>
          <w:color w:val="auto"/>
        </w:rPr>
      </w:pPr>
      <w:r>
        <w:rPr>
          <w:rFonts w:hint="eastAsia" w:ascii="宋体" w:hAnsi="宋体" w:cs="宋体"/>
          <w:color w:val="auto"/>
        </w:rPr>
        <w:t>　　(10)投标金额大于或等于投标总标价万分之五的工程项目，必须编报工程单价计算表。工程单价计算表，按表中的施工方法、序号、名称、型号规格、计量单位、数量、单价、合价填写，填写的人工、材料和机械等基础价格，必须与人工费单价汇总表、基础材料单价汇总表、主要材料预算价格汇总表及施工机械台时(班)费汇总表中的单价相一致，填写的其它直接费、现场经费、间接费、企业利润和税金等费(税)率必须与工程单价费(税)率汇总表中的费(税)率相一致；</w:t>
      </w:r>
    </w:p>
    <w:p>
      <w:pPr>
        <w:spacing w:line="360" w:lineRule="auto"/>
        <w:rPr>
          <w:rFonts w:hint="eastAsia" w:ascii="宋体" w:hAnsi="宋体" w:cs="宋体"/>
          <w:color w:val="auto"/>
        </w:rPr>
      </w:pPr>
      <w:bookmarkStart w:id="208" w:name="_Toc16238"/>
      <w:r>
        <w:rPr>
          <w:rFonts w:hint="eastAsia" w:ascii="宋体" w:hAnsi="宋体" w:eastAsia="宋体" w:cs="宋体"/>
          <w:b w:val="0"/>
          <w:color w:val="auto"/>
          <w:kern w:val="0"/>
          <w:sz w:val="24"/>
          <w:szCs w:val="24"/>
          <w:lang w:val="en-US" w:eastAsia="zh-CN" w:bidi="ar-SA"/>
        </w:rPr>
        <w:t>(11)人工费单价汇总表应按人工费单价计算表的内容、价格填写，并附相应的人工费单价计算表。</w:t>
      </w:r>
      <w:bookmarkEnd w:id="208"/>
      <w:bookmarkStart w:id="209" w:name="_Toc376936782"/>
      <w:bookmarkStart w:id="210" w:name="_Toc325726051"/>
    </w:p>
    <w:p>
      <w:pPr>
        <w:pStyle w:val="5"/>
        <w:spacing w:line="400" w:lineRule="exact"/>
        <w:rPr>
          <w:rFonts w:hint="eastAsia"/>
          <w:b w:val="0"/>
          <w:highlight w:val="none"/>
        </w:rPr>
      </w:pPr>
      <w:r>
        <w:rPr>
          <w:rFonts w:hint="eastAsia"/>
          <w:b w:val="0"/>
          <w:highlight w:val="none"/>
        </w:rPr>
        <w:br w:type="page"/>
      </w:r>
      <w:bookmarkEnd w:id="209"/>
      <w:bookmarkEnd w:id="210"/>
      <w:bookmarkStart w:id="211" w:name="_Toc25277"/>
      <w:r>
        <w:rPr>
          <w:rFonts w:hint="eastAsia"/>
          <w:bCs/>
          <w:highlight w:val="none"/>
        </w:rPr>
        <w:t>第</w:t>
      </w:r>
      <w:r>
        <w:rPr>
          <w:rFonts w:hint="eastAsia"/>
          <w:bCs/>
          <w:highlight w:val="none"/>
          <w:lang w:val="en-US" w:eastAsia="zh-CN"/>
        </w:rPr>
        <w:t>六</w:t>
      </w:r>
      <w:r>
        <w:rPr>
          <w:rFonts w:hint="eastAsia"/>
          <w:bCs/>
          <w:highlight w:val="none"/>
        </w:rPr>
        <w:t>部分  采购项目要求</w:t>
      </w:r>
      <w:bookmarkEnd w:id="211"/>
    </w:p>
    <w:p>
      <w:pPr>
        <w:pStyle w:val="7"/>
        <w:keepNext/>
        <w:keepLines/>
        <w:widowControl w:val="0"/>
        <w:spacing w:line="360" w:lineRule="auto"/>
        <w:jc w:val="left"/>
        <w:rPr>
          <w:rFonts w:hint="eastAsia"/>
          <w:bCs/>
          <w:sz w:val="28"/>
          <w:szCs w:val="28"/>
          <w:highlight w:val="none"/>
        </w:rPr>
      </w:pPr>
      <w:bookmarkStart w:id="212" w:name="_Toc376936784"/>
      <w:bookmarkStart w:id="213" w:name="_Toc325726053"/>
      <w:bookmarkStart w:id="214" w:name="_Toc1384"/>
      <w:bookmarkStart w:id="215" w:name="_Toc29002"/>
      <w:bookmarkStart w:id="216" w:name="_Toc458079961"/>
      <w:bookmarkStart w:id="217" w:name="_Toc8456"/>
      <w:r>
        <w:rPr>
          <w:rFonts w:hint="eastAsia"/>
          <w:bCs/>
          <w:sz w:val="28"/>
          <w:szCs w:val="28"/>
          <w:highlight w:val="none"/>
        </w:rPr>
        <w:t>一、磋商</w:t>
      </w:r>
      <w:bookmarkEnd w:id="212"/>
      <w:bookmarkEnd w:id="213"/>
      <w:r>
        <w:rPr>
          <w:rFonts w:hint="eastAsia"/>
          <w:bCs/>
          <w:sz w:val="28"/>
          <w:szCs w:val="28"/>
          <w:highlight w:val="none"/>
        </w:rPr>
        <w:t>内容</w:t>
      </w:r>
      <w:bookmarkEnd w:id="214"/>
      <w:bookmarkEnd w:id="215"/>
      <w:bookmarkEnd w:id="216"/>
      <w:bookmarkEnd w:id="217"/>
    </w:p>
    <w:p>
      <w:pPr>
        <w:spacing w:line="360" w:lineRule="auto"/>
        <w:ind w:firstLine="480"/>
        <w:jc w:val="left"/>
        <w:rPr>
          <w:rFonts w:hint="eastAsia"/>
          <w:highlight w:val="none"/>
        </w:rPr>
      </w:pPr>
      <w:bookmarkStart w:id="218" w:name="_Toc376936785"/>
      <w:bookmarkStart w:id="219" w:name="_Toc325726054"/>
      <w:bookmarkStart w:id="220" w:name="_Toc418665424"/>
      <w:r>
        <w:rPr>
          <w:rFonts w:hint="eastAsia"/>
          <w:highlight w:val="none"/>
          <w:lang w:val="en-US" w:eastAsia="zh-CN"/>
        </w:rPr>
        <w:t>1.项目名称：</w:t>
      </w:r>
      <w:r>
        <w:rPr>
          <w:rFonts w:hint="eastAsia"/>
          <w:highlight w:val="none"/>
          <w:lang w:eastAsia="zh-CN"/>
        </w:rPr>
        <w:t>2023年洪水镇双一村拱棚建设项目</w:t>
      </w:r>
      <w:r>
        <w:rPr>
          <w:rFonts w:hint="eastAsia"/>
          <w:highlight w:val="none"/>
        </w:rPr>
        <w:t>。</w:t>
      </w:r>
    </w:p>
    <w:p>
      <w:pPr>
        <w:pStyle w:val="6"/>
        <w:spacing w:line="360" w:lineRule="auto"/>
        <w:ind w:firstLine="481"/>
        <w:jc w:val="left"/>
        <w:rPr>
          <w:rFonts w:hint="default" w:ascii="宋体" w:hAnsi="宋体" w:eastAsia="宋体" w:cs="宋体"/>
          <w:b w:val="0"/>
          <w:kern w:val="0"/>
          <w:sz w:val="24"/>
          <w:szCs w:val="24"/>
          <w:lang w:val="en-US" w:eastAsia="zh-CN" w:bidi="ar-SA"/>
        </w:rPr>
      </w:pPr>
      <w:r>
        <w:rPr>
          <w:rFonts w:hint="eastAsia" w:ascii="宋体" w:hAnsi="宋体" w:eastAsia="宋体" w:cs="宋体"/>
          <w:b w:val="0"/>
          <w:kern w:val="0"/>
          <w:sz w:val="24"/>
          <w:szCs w:val="24"/>
          <w:lang w:val="en-US" w:eastAsia="zh-CN" w:bidi="ar-SA"/>
        </w:rPr>
        <w:t>2.项目建设地点：海东市乐都区洪水镇</w:t>
      </w:r>
      <w:r>
        <w:rPr>
          <w:rFonts w:hint="eastAsia" w:hAnsi="宋体" w:cs="宋体"/>
          <w:b w:val="0"/>
          <w:kern w:val="0"/>
          <w:sz w:val="24"/>
          <w:szCs w:val="24"/>
          <w:lang w:val="en-US" w:eastAsia="zh-CN" w:bidi="ar-SA"/>
        </w:rPr>
        <w:t>双一村</w:t>
      </w:r>
    </w:p>
    <w:p>
      <w:pPr>
        <w:spacing w:line="360" w:lineRule="auto"/>
        <w:ind w:firstLine="481"/>
        <w:jc w:val="left"/>
        <w:rPr>
          <w:rFonts w:hint="eastAsia" w:ascii="宋体" w:hAnsi="宋体" w:eastAsia="宋体" w:cs="宋体"/>
          <w:b w:val="0"/>
          <w:kern w:val="0"/>
          <w:sz w:val="24"/>
          <w:szCs w:val="24"/>
          <w:lang w:val="en-US" w:eastAsia="zh-CN" w:bidi="ar-SA"/>
        </w:rPr>
      </w:pPr>
      <w:r>
        <w:rPr>
          <w:rFonts w:hint="eastAsia" w:ascii="宋体" w:hAnsi="宋体" w:eastAsia="宋体" w:cs="宋体"/>
          <w:b w:val="0"/>
          <w:kern w:val="0"/>
          <w:sz w:val="24"/>
          <w:szCs w:val="24"/>
          <w:lang w:val="en-US" w:eastAsia="zh-CN" w:bidi="ar-SA"/>
        </w:rPr>
        <w:t>3.建设内容及规模</w:t>
      </w:r>
    </w:p>
    <w:p>
      <w:pPr>
        <w:pStyle w:val="6"/>
        <w:spacing w:line="360" w:lineRule="auto"/>
        <w:ind w:firstLine="720" w:firstLineChars="300"/>
        <w:jc w:val="left"/>
        <w:rPr>
          <w:rFonts w:hint="eastAsia" w:ascii="宋体" w:hAnsi="宋体" w:eastAsia="宋体" w:cs="宋体"/>
          <w:b w:val="0"/>
          <w:kern w:val="0"/>
          <w:sz w:val="24"/>
          <w:szCs w:val="24"/>
          <w:lang w:val="en-US" w:eastAsia="zh-CN" w:bidi="ar-SA"/>
        </w:rPr>
      </w:pPr>
      <w:r>
        <w:rPr>
          <w:rFonts w:hint="eastAsia" w:ascii="宋体" w:hAnsi="宋体" w:eastAsia="宋体" w:cs="宋体"/>
          <w:b w:val="0"/>
          <w:kern w:val="0"/>
          <w:sz w:val="24"/>
          <w:szCs w:val="24"/>
          <w:lang w:val="en-US" w:eastAsia="zh-CN" w:bidi="ar-SA"/>
        </w:rPr>
        <w:t xml:space="preserve">新建拱棚净面积40000㎡，计划单栋标准拱棚建设面积400㎡，折合标准栋100栋（最终以实际建设面积数量为准），实际可因地块大小调整单栋拱棚建设面积。   </w:t>
      </w:r>
    </w:p>
    <w:p>
      <w:pPr>
        <w:spacing w:line="360" w:lineRule="auto"/>
        <w:ind w:firstLine="480" w:firstLineChars="200"/>
        <w:rPr>
          <w:rFonts w:hint="default" w:ascii="宋体" w:hAnsi="宋体" w:eastAsia="宋体" w:cs="宋体"/>
          <w:b w:val="0"/>
          <w:kern w:val="0"/>
          <w:sz w:val="24"/>
          <w:szCs w:val="24"/>
          <w:lang w:val="en-US" w:eastAsia="zh-CN" w:bidi="ar-SA"/>
        </w:rPr>
      </w:pPr>
      <w:r>
        <w:rPr>
          <w:rFonts w:hint="eastAsia" w:ascii="宋体" w:hAnsi="宋体" w:eastAsia="宋体" w:cs="宋体"/>
          <w:b w:val="0"/>
          <w:kern w:val="0"/>
          <w:sz w:val="24"/>
          <w:szCs w:val="24"/>
          <w:lang w:val="en-US" w:eastAsia="zh-CN" w:bidi="ar-SA"/>
        </w:rPr>
        <w:t>4.工期：</w:t>
      </w:r>
      <w:r>
        <w:rPr>
          <w:rFonts w:hint="eastAsia" w:cs="宋体"/>
          <w:b w:val="0"/>
          <w:kern w:val="0"/>
          <w:sz w:val="24"/>
          <w:szCs w:val="24"/>
          <w:lang w:val="en-US" w:eastAsia="zh-CN" w:bidi="ar-SA"/>
        </w:rPr>
        <w:t>180天</w:t>
      </w:r>
    </w:p>
    <w:p>
      <w:pPr>
        <w:spacing w:line="360" w:lineRule="auto"/>
        <w:rPr>
          <w:rFonts w:hint="eastAsia" w:ascii="宋体" w:hAnsi="宋体" w:eastAsia="宋体" w:cs="宋体"/>
          <w:b w:val="0"/>
          <w:kern w:val="0"/>
          <w:sz w:val="24"/>
          <w:szCs w:val="24"/>
          <w:lang w:val="en-US" w:eastAsia="zh-CN" w:bidi="ar-SA"/>
        </w:rPr>
      </w:pPr>
      <w:r>
        <w:rPr>
          <w:rFonts w:hint="eastAsia" w:ascii="宋体" w:hAnsi="宋体" w:eastAsia="宋体" w:cs="宋体"/>
          <w:b w:val="0"/>
          <w:kern w:val="0"/>
          <w:sz w:val="24"/>
          <w:szCs w:val="24"/>
          <w:lang w:val="en-US" w:eastAsia="zh-CN" w:bidi="ar-SA"/>
        </w:rPr>
        <w:t xml:space="preserve">  </w:t>
      </w:r>
      <w:r>
        <w:rPr>
          <w:rFonts w:hint="eastAsia" w:cs="宋体"/>
          <w:b w:val="0"/>
          <w:kern w:val="0"/>
          <w:sz w:val="24"/>
          <w:szCs w:val="24"/>
          <w:lang w:val="en-US" w:eastAsia="zh-CN" w:bidi="ar-SA"/>
        </w:rPr>
        <w:t xml:space="preserve"> </w:t>
      </w:r>
      <w:r>
        <w:rPr>
          <w:rFonts w:hint="eastAsia" w:ascii="宋体" w:hAnsi="宋体" w:eastAsia="宋体" w:cs="宋体"/>
          <w:b w:val="0"/>
          <w:kern w:val="0"/>
          <w:sz w:val="24"/>
          <w:szCs w:val="24"/>
          <w:lang w:val="en-US" w:eastAsia="zh-CN" w:bidi="ar-SA"/>
        </w:rPr>
        <w:t xml:space="preserve"> 5.工程质量：合格</w:t>
      </w:r>
    </w:p>
    <w:p>
      <w:pPr>
        <w:pStyle w:val="6"/>
        <w:spacing w:line="360" w:lineRule="auto"/>
        <w:jc w:val="left"/>
        <w:rPr>
          <w:rFonts w:hint="eastAsia" w:ascii="宋体" w:hAnsi="宋体" w:eastAsia="宋体" w:cs="宋体"/>
          <w:b w:val="0"/>
          <w:kern w:val="0"/>
          <w:sz w:val="24"/>
          <w:szCs w:val="24"/>
          <w:lang w:val="en-US" w:eastAsia="zh-CN" w:bidi="ar-SA"/>
        </w:rPr>
      </w:pPr>
      <w:r>
        <w:rPr>
          <w:rFonts w:hint="eastAsia" w:ascii="宋体" w:hAnsi="宋体" w:eastAsia="宋体" w:cs="宋体"/>
          <w:b w:val="0"/>
          <w:kern w:val="0"/>
          <w:sz w:val="24"/>
          <w:szCs w:val="24"/>
          <w:lang w:val="en-US" w:eastAsia="zh-CN" w:bidi="ar-SA"/>
        </w:rPr>
        <w:t xml:space="preserve">  </w:t>
      </w:r>
      <w:r>
        <w:rPr>
          <w:rFonts w:hint="eastAsia" w:hAnsi="宋体" w:cs="宋体"/>
          <w:b w:val="0"/>
          <w:kern w:val="0"/>
          <w:sz w:val="24"/>
          <w:szCs w:val="24"/>
          <w:lang w:val="en-US" w:eastAsia="zh-CN" w:bidi="ar-SA"/>
        </w:rPr>
        <w:t xml:space="preserve"> </w:t>
      </w:r>
      <w:r>
        <w:rPr>
          <w:rFonts w:hint="eastAsia" w:ascii="宋体" w:hAnsi="宋体" w:eastAsia="宋体" w:cs="宋体"/>
          <w:b w:val="0"/>
          <w:kern w:val="0"/>
          <w:sz w:val="24"/>
          <w:szCs w:val="24"/>
          <w:lang w:val="en-US" w:eastAsia="zh-CN" w:bidi="ar-SA"/>
        </w:rPr>
        <w:t xml:space="preserve"> 6.资金来源：</w:t>
      </w:r>
      <w:r>
        <w:rPr>
          <w:rFonts w:hint="eastAsia" w:hAnsi="宋体" w:cs="宋体"/>
          <w:b w:val="0"/>
          <w:kern w:val="0"/>
          <w:sz w:val="24"/>
          <w:szCs w:val="24"/>
          <w:lang w:val="en-US" w:eastAsia="zh-CN" w:bidi="ar-SA"/>
        </w:rPr>
        <w:t>财政</w:t>
      </w:r>
    </w:p>
    <w:p>
      <w:pPr>
        <w:pStyle w:val="7"/>
        <w:keepNext/>
        <w:keepLines/>
        <w:widowControl w:val="0"/>
        <w:spacing w:before="260" w:after="260" w:line="240" w:lineRule="auto"/>
        <w:jc w:val="both"/>
        <w:rPr>
          <w:rFonts w:hint="eastAsia"/>
          <w:bCs/>
          <w:sz w:val="28"/>
          <w:szCs w:val="28"/>
          <w:highlight w:val="none"/>
        </w:rPr>
      </w:pPr>
      <w:r>
        <w:rPr>
          <w:rFonts w:hint="eastAsia" w:ascii="宋体" w:hAnsi="宋体" w:eastAsia="宋体" w:cs="宋体"/>
          <w:b w:val="0"/>
          <w:kern w:val="0"/>
          <w:sz w:val="24"/>
          <w:szCs w:val="24"/>
          <w:lang w:val="en-US" w:eastAsia="zh-CN" w:bidi="ar-SA"/>
        </w:rPr>
        <w:t xml:space="preserve">  </w:t>
      </w:r>
      <w:r>
        <w:rPr>
          <w:rFonts w:hint="eastAsia" w:cs="宋体"/>
          <w:b w:val="0"/>
          <w:kern w:val="0"/>
          <w:sz w:val="24"/>
          <w:szCs w:val="24"/>
          <w:lang w:val="en-US" w:eastAsia="zh-CN" w:bidi="ar-SA"/>
        </w:rPr>
        <w:t xml:space="preserve"> </w:t>
      </w:r>
      <w:r>
        <w:rPr>
          <w:rFonts w:hint="eastAsia" w:ascii="宋体" w:hAnsi="宋体" w:eastAsia="宋体" w:cs="宋体"/>
          <w:b w:val="0"/>
          <w:kern w:val="0"/>
          <w:sz w:val="24"/>
          <w:szCs w:val="24"/>
          <w:lang w:val="en-US" w:eastAsia="zh-CN" w:bidi="ar-SA"/>
        </w:rPr>
        <w:t xml:space="preserve"> 7.建设要求：</w:t>
      </w:r>
      <w:bookmarkStart w:id="221" w:name="_Toc5255"/>
      <w:bookmarkStart w:id="222" w:name="_Toc4565"/>
      <w:bookmarkStart w:id="223" w:name="_Toc28893"/>
      <w:bookmarkStart w:id="224" w:name="_Toc25180"/>
      <w:bookmarkStart w:id="225" w:name="_Toc7719"/>
      <w:bookmarkStart w:id="226" w:name="_Toc23752"/>
      <w:bookmarkStart w:id="227" w:name="_Toc2130"/>
      <w:bookmarkStart w:id="228" w:name="_Toc6888"/>
      <w:bookmarkStart w:id="229" w:name="_Toc27297"/>
      <w:bookmarkStart w:id="230" w:name="_Toc9474"/>
      <w:bookmarkStart w:id="231" w:name="_Toc13203"/>
      <w:bookmarkStart w:id="232" w:name="_Toc18777"/>
      <w:bookmarkStart w:id="233" w:name="_Toc4744"/>
      <w:bookmarkStart w:id="234" w:name="_Toc9181"/>
      <w:bookmarkStart w:id="235" w:name="_Toc18574"/>
      <w:bookmarkStart w:id="236" w:name="_Toc25210"/>
      <w:bookmarkStart w:id="237" w:name="_Toc22369"/>
      <w:bookmarkStart w:id="238" w:name="_Toc30335"/>
      <w:bookmarkStart w:id="239" w:name="_Toc27063"/>
      <w:bookmarkStart w:id="240" w:name="_Toc3112"/>
      <w:bookmarkStart w:id="241" w:name="_Toc7159"/>
      <w:bookmarkStart w:id="242" w:name="_Toc15723"/>
      <w:bookmarkStart w:id="243" w:name="_Toc19644"/>
      <w:r>
        <w:rPr>
          <w:rFonts w:hint="eastAsia" w:ascii="宋体" w:hAnsi="宋体" w:eastAsia="宋体" w:cs="宋体"/>
          <w:b w:val="0"/>
          <w:kern w:val="0"/>
          <w:sz w:val="24"/>
          <w:szCs w:val="24"/>
          <w:lang w:val="en-US" w:eastAsia="zh-CN" w:bidi="ar-SA"/>
        </w:rPr>
        <w: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Start w:id="244" w:name="_Toc458079962"/>
      <w:bookmarkStart w:id="245" w:name="_Toc416875920"/>
      <w:bookmarkStart w:id="246" w:name="_Toc323717386"/>
      <w:bookmarkStart w:id="247" w:name="_Toc4287"/>
      <w:bookmarkStart w:id="248" w:name="_Toc20524"/>
      <w:bookmarkStart w:id="249" w:name="_Toc25199"/>
      <w:r>
        <w:rPr>
          <w:rFonts w:hint="eastAsia" w:ascii="宋体" w:hAnsi="宋体" w:eastAsia="宋体" w:cs="宋体"/>
          <w:b w:val="0"/>
          <w:kern w:val="0"/>
          <w:sz w:val="24"/>
          <w:szCs w:val="24"/>
          <w:lang w:val="en-US" w:eastAsia="zh-CN" w:bidi="ar-SA"/>
        </w:rPr>
        <w:t>新建拱棚净面积40000㎡，计划单栋标准拱棚建设面积400㎡，折合标准栋100栋（最终以实际建设面积数量为准），实际可因地块大小调整单栋拱棚建设面积。</w:t>
      </w:r>
      <w:r>
        <w:rPr>
          <w:rFonts w:hint="eastAsia"/>
          <w:bCs/>
          <w:sz w:val="28"/>
          <w:szCs w:val="28"/>
          <w:highlight w:val="none"/>
        </w:rPr>
        <w:t>二</w:t>
      </w:r>
      <w:bookmarkEnd w:id="244"/>
      <w:bookmarkEnd w:id="245"/>
      <w:bookmarkEnd w:id="246"/>
      <w:bookmarkEnd w:id="247"/>
      <w:bookmarkStart w:id="250" w:name="_Toc458079963"/>
      <w:bookmarkStart w:id="251" w:name="_Toc3561"/>
      <w:bookmarkStart w:id="252" w:name="_Toc416875921"/>
      <w:r>
        <w:rPr>
          <w:rFonts w:hint="eastAsia"/>
          <w:bCs/>
          <w:sz w:val="28"/>
          <w:szCs w:val="28"/>
          <w:highlight w:val="none"/>
        </w:rPr>
        <w:t>、磋商报价说明</w:t>
      </w:r>
      <w:bookmarkEnd w:id="248"/>
      <w:bookmarkEnd w:id="249"/>
      <w:bookmarkEnd w:id="250"/>
      <w:bookmarkEnd w:id="251"/>
      <w:bookmarkEnd w:id="252"/>
    </w:p>
    <w:p>
      <w:pPr>
        <w:spacing w:line="400" w:lineRule="exact"/>
        <w:ind w:firstLine="480"/>
        <w:rPr>
          <w:rFonts w:hint="eastAsia"/>
          <w:highlight w:val="none"/>
        </w:rPr>
      </w:pPr>
      <w:r>
        <w:rPr>
          <w:rFonts w:hint="eastAsia"/>
          <w:highlight w:val="none"/>
        </w:rPr>
        <w:t>磋商报价应根据磋商文件中的有关计价要求，并按照下列依据自主报价。</w:t>
      </w:r>
    </w:p>
    <w:p>
      <w:pPr>
        <w:spacing w:line="400" w:lineRule="exact"/>
        <w:ind w:firstLine="480"/>
        <w:rPr>
          <w:rFonts w:hint="eastAsia"/>
          <w:highlight w:val="none"/>
        </w:rPr>
      </w:pPr>
      <w:r>
        <w:rPr>
          <w:rFonts w:hint="eastAsia"/>
          <w:highlight w:val="none"/>
        </w:rPr>
        <w:t>1.工程量清单中的每一子目须填入单价或价格，且只允许有一个报价。</w:t>
      </w:r>
    </w:p>
    <w:p>
      <w:pPr>
        <w:spacing w:line="400" w:lineRule="exact"/>
        <w:ind w:firstLine="480"/>
        <w:rPr>
          <w:rFonts w:hint="eastAsia"/>
          <w:highlight w:val="none"/>
        </w:rPr>
      </w:pPr>
      <w:r>
        <w:rPr>
          <w:rFonts w:hint="eastAsia"/>
          <w:highlight w:val="none"/>
        </w:rPr>
        <w:t>2.工程量清单中标价的单价或金额，应包括所需的人工费、材料和施工机具使用费和企业管理费、利润以及一定范围内的风险费用等。</w:t>
      </w:r>
    </w:p>
    <w:p>
      <w:pPr>
        <w:spacing w:line="400" w:lineRule="exact"/>
        <w:ind w:firstLine="480"/>
        <w:rPr>
          <w:rFonts w:hint="eastAsia"/>
          <w:highlight w:val="none"/>
        </w:rPr>
      </w:pPr>
      <w:r>
        <w:rPr>
          <w:rFonts w:hint="eastAsia"/>
          <w:highlight w:val="none"/>
        </w:rPr>
        <w:t>3. 工程量清单中供应商没有填入单价或价格的子目，其费用视为已分摊在工程量清单中其他相关子目的单价或价格之中。</w:t>
      </w:r>
    </w:p>
    <w:p>
      <w:pPr>
        <w:spacing w:line="400" w:lineRule="exact"/>
        <w:ind w:firstLine="480"/>
        <w:rPr>
          <w:rFonts w:hint="eastAsia"/>
          <w:highlight w:val="none"/>
        </w:rPr>
      </w:pPr>
      <w:r>
        <w:rPr>
          <w:rFonts w:hint="eastAsia"/>
          <w:highlight w:val="none"/>
        </w:rPr>
        <w:t>4.参加磋商的供应商必须对磋商文件工程量清单内容全部磋商，不能拆分、少报或改变工程量清单编码、名称和数量。暂估价严格按工程量清单编制说明列入，否则，视为无效磋商。</w:t>
      </w:r>
    </w:p>
    <w:p>
      <w:pPr>
        <w:spacing w:line="400" w:lineRule="exact"/>
        <w:ind w:firstLine="480"/>
        <w:rPr>
          <w:rFonts w:hint="eastAsia"/>
          <w:highlight w:val="none"/>
        </w:rPr>
      </w:pPr>
      <w:r>
        <w:rPr>
          <w:rFonts w:hint="eastAsia"/>
          <w:highlight w:val="none"/>
        </w:rPr>
        <w:t>5.磋商文件规定的采购预算额度为采购控制价，参加磋商的供应商报价不得超出此价格，否则，磋商无效。</w:t>
      </w:r>
    </w:p>
    <w:p>
      <w:pPr>
        <w:pStyle w:val="7"/>
        <w:keepNext/>
        <w:keepLines/>
        <w:widowControl w:val="0"/>
        <w:spacing w:before="260" w:after="260" w:line="400" w:lineRule="exact"/>
        <w:jc w:val="both"/>
        <w:rPr>
          <w:rFonts w:hint="eastAsia"/>
          <w:bCs/>
          <w:sz w:val="28"/>
          <w:szCs w:val="28"/>
          <w:highlight w:val="none"/>
        </w:rPr>
      </w:pPr>
      <w:bookmarkStart w:id="253" w:name="_Toc4873"/>
      <w:bookmarkStart w:id="254" w:name="_Toc2710"/>
      <w:bookmarkStart w:id="255" w:name="_Toc6433"/>
      <w:bookmarkStart w:id="256" w:name="_Toc416875922"/>
      <w:bookmarkStart w:id="257" w:name="_Toc458079964"/>
      <w:r>
        <w:rPr>
          <w:rFonts w:hint="eastAsia"/>
          <w:bCs/>
          <w:sz w:val="28"/>
          <w:szCs w:val="28"/>
          <w:highlight w:val="none"/>
        </w:rPr>
        <w:t>三、技术标准和要求</w:t>
      </w:r>
      <w:bookmarkEnd w:id="253"/>
      <w:bookmarkEnd w:id="254"/>
      <w:bookmarkEnd w:id="255"/>
      <w:bookmarkEnd w:id="256"/>
      <w:bookmarkEnd w:id="257"/>
    </w:p>
    <w:p>
      <w:pPr>
        <w:pStyle w:val="40"/>
        <w:spacing w:line="400" w:lineRule="exact"/>
        <w:ind w:left="0" w:leftChars="0" w:firstLine="480" w:firstLineChars="200"/>
        <w:rPr>
          <w:rFonts w:hint="eastAsia" w:ascii="宋体" w:hAnsi="宋体" w:cs="宋体"/>
          <w:iCs/>
          <w:sz w:val="24"/>
          <w:szCs w:val="24"/>
          <w:highlight w:val="none"/>
        </w:rPr>
      </w:pPr>
      <w:r>
        <w:rPr>
          <w:rFonts w:hint="eastAsia" w:ascii="宋体" w:hAnsi="宋体" w:cs="宋体"/>
          <w:iCs/>
          <w:sz w:val="24"/>
          <w:szCs w:val="24"/>
          <w:highlight w:val="none"/>
        </w:rPr>
        <w:t>1、现场施工条件：现场已具备施工条件。</w:t>
      </w:r>
      <w:bookmarkStart w:id="258" w:name="_Toc49912620"/>
      <w:bookmarkStart w:id="259" w:name="_Toc30386154"/>
    </w:p>
    <w:bookmarkEnd w:id="258"/>
    <w:bookmarkEnd w:id="259"/>
    <w:p>
      <w:pPr>
        <w:spacing w:line="400" w:lineRule="exact"/>
        <w:ind w:firstLine="480" w:firstLineChars="200"/>
        <w:rPr>
          <w:rFonts w:hint="eastAsia"/>
          <w:highlight w:val="none"/>
        </w:rPr>
      </w:pPr>
      <w:r>
        <w:rPr>
          <w:rFonts w:hint="eastAsia"/>
          <w:highlight w:val="none"/>
        </w:rPr>
        <w:t>2、基本要求</w:t>
      </w:r>
    </w:p>
    <w:p>
      <w:pPr>
        <w:spacing w:line="400" w:lineRule="exact"/>
        <w:ind w:firstLine="480" w:firstLineChars="200"/>
        <w:rPr>
          <w:rFonts w:hint="eastAsia"/>
          <w:highlight w:val="none"/>
        </w:rPr>
      </w:pPr>
      <w:r>
        <w:rPr>
          <w:rFonts w:hint="eastAsia"/>
          <w:highlight w:val="none"/>
        </w:rPr>
        <w:t>2.1本工程项目管理目标：</w:t>
      </w:r>
    </w:p>
    <w:p>
      <w:pPr>
        <w:spacing w:line="400" w:lineRule="exact"/>
        <w:ind w:firstLine="482" w:firstLineChars="200"/>
        <w:rPr>
          <w:rFonts w:hint="default" w:eastAsia="宋体"/>
          <w:b/>
          <w:bCs/>
          <w:highlight w:val="none"/>
          <w:lang w:val="en-US" w:eastAsia="zh-CN"/>
        </w:rPr>
      </w:pPr>
      <w:r>
        <w:rPr>
          <w:rFonts w:hint="eastAsia" w:eastAsia="宋体"/>
          <w:b/>
          <w:bCs/>
          <w:highlight w:val="none"/>
        </w:rPr>
        <w:t>2.</w:t>
      </w:r>
      <w:r>
        <w:rPr>
          <w:rFonts w:hint="eastAsia" w:eastAsia="宋体"/>
          <w:b/>
          <w:bCs/>
          <w:highlight w:val="none"/>
          <w:lang w:eastAsia="zh-CN"/>
        </w:rPr>
        <w:t>1.</w:t>
      </w:r>
      <w:r>
        <w:rPr>
          <w:rFonts w:hint="eastAsia" w:eastAsia="宋体"/>
          <w:b/>
          <w:bCs/>
          <w:highlight w:val="none"/>
          <w:lang w:val="en-US" w:eastAsia="zh-CN"/>
        </w:rPr>
        <w:t>1</w:t>
      </w:r>
      <w:r>
        <w:rPr>
          <w:rFonts w:hint="eastAsia" w:eastAsia="宋体"/>
          <w:b/>
          <w:bCs/>
          <w:highlight w:val="none"/>
          <w:lang w:eastAsia="zh-CN"/>
        </w:rPr>
        <w:t>付款方式：</w:t>
      </w:r>
      <w:r>
        <w:rPr>
          <w:rFonts w:hint="eastAsia" w:eastAsia="宋体"/>
          <w:b/>
          <w:bCs/>
          <w:highlight w:val="none"/>
          <w:lang w:val="en-US" w:eastAsia="zh-CN"/>
        </w:rPr>
        <w:t>按合同约定执行</w:t>
      </w:r>
    </w:p>
    <w:p>
      <w:pPr>
        <w:spacing w:line="400" w:lineRule="exact"/>
        <w:ind w:firstLine="480" w:firstLineChars="200"/>
        <w:rPr>
          <w:rFonts w:hint="eastAsia"/>
          <w:bCs/>
          <w:iCs/>
          <w:highlight w:val="none"/>
        </w:rPr>
      </w:pPr>
      <w:bookmarkStart w:id="260" w:name="_Toc30386155"/>
      <w:bookmarkStart w:id="261" w:name="_Toc16193"/>
      <w:bookmarkStart w:id="262" w:name="_Toc459031217"/>
      <w:bookmarkStart w:id="263" w:name="_Toc201287632"/>
      <w:bookmarkStart w:id="264" w:name="_Toc49912621"/>
      <w:bookmarkStart w:id="265" w:name="_Toc194999250"/>
      <w:r>
        <w:rPr>
          <w:rFonts w:hint="eastAsia"/>
          <w:bCs/>
          <w:iCs/>
          <w:highlight w:val="none"/>
        </w:rPr>
        <w:t>3.工程建设应执行的技术规范</w:t>
      </w:r>
      <w:bookmarkEnd w:id="260"/>
      <w:bookmarkEnd w:id="261"/>
      <w:bookmarkEnd w:id="262"/>
      <w:bookmarkEnd w:id="263"/>
      <w:bookmarkEnd w:id="264"/>
      <w:bookmarkEnd w:id="265"/>
    </w:p>
    <w:p>
      <w:pPr>
        <w:spacing w:line="400" w:lineRule="exact"/>
        <w:ind w:firstLine="480"/>
        <w:rPr>
          <w:rFonts w:hint="eastAsia"/>
          <w:highlight w:val="none"/>
        </w:rPr>
      </w:pPr>
      <w:r>
        <w:rPr>
          <w:rFonts w:hint="eastAsia"/>
          <w:highlight w:val="none"/>
        </w:rPr>
        <w:t>本工程在施工过程中必须严格执行国家、行业的现行有关各专业工程施工质量验收规范及验收统一标准。</w:t>
      </w:r>
    </w:p>
    <w:p>
      <w:pPr>
        <w:pStyle w:val="5"/>
        <w:spacing w:line="400" w:lineRule="exact"/>
        <w:rPr>
          <w:rFonts w:hint="eastAsia"/>
          <w:bCs/>
          <w:highlight w:val="none"/>
        </w:rPr>
        <w:sectPr>
          <w:headerReference r:id="rId12" w:type="default"/>
          <w:footerReference r:id="rId13" w:type="default"/>
          <w:pgSz w:w="11850" w:h="16783"/>
          <w:pgMar w:top="1440" w:right="1167" w:bottom="1440" w:left="1083" w:header="850" w:footer="992" w:gutter="0"/>
          <w:cols w:space="720" w:num="1"/>
          <w:docGrid w:linePitch="312" w:charSpace="0"/>
        </w:sectPr>
      </w:pPr>
    </w:p>
    <w:p>
      <w:pPr>
        <w:pStyle w:val="5"/>
        <w:spacing w:line="400" w:lineRule="exact"/>
        <w:rPr>
          <w:rFonts w:hint="eastAsia"/>
          <w:b w:val="0"/>
          <w:highlight w:val="none"/>
        </w:rPr>
      </w:pPr>
      <w:bookmarkStart w:id="266" w:name="_Toc27005"/>
      <w:r>
        <w:rPr>
          <w:rFonts w:hint="eastAsia"/>
          <w:bCs/>
          <w:highlight w:val="none"/>
        </w:rPr>
        <w:t>第</w:t>
      </w:r>
      <w:r>
        <w:rPr>
          <w:rFonts w:hint="eastAsia"/>
          <w:bCs/>
          <w:highlight w:val="none"/>
          <w:lang w:val="en-US" w:eastAsia="zh-CN"/>
        </w:rPr>
        <w:t>七</w:t>
      </w:r>
      <w:r>
        <w:rPr>
          <w:rFonts w:hint="eastAsia"/>
          <w:bCs/>
          <w:highlight w:val="none"/>
        </w:rPr>
        <w:t>部分  响应文件格式</w:t>
      </w:r>
      <w:bookmarkEnd w:id="266"/>
    </w:p>
    <w:p>
      <w:pPr>
        <w:spacing w:line="400" w:lineRule="exact"/>
        <w:ind w:firstLine="630" w:firstLineChars="224"/>
        <w:rPr>
          <w:rFonts w:hint="eastAsia"/>
          <w:b/>
          <w:bCs/>
          <w:sz w:val="28"/>
          <w:szCs w:val="28"/>
          <w:highlight w:val="none"/>
          <w:lang w:val="zh-CN"/>
        </w:rPr>
      </w:pPr>
    </w:p>
    <w:p>
      <w:pPr>
        <w:spacing w:line="400" w:lineRule="exact"/>
        <w:ind w:firstLine="630" w:firstLineChars="224"/>
        <w:rPr>
          <w:rFonts w:hint="eastAsia"/>
          <w:b/>
          <w:bCs/>
          <w:sz w:val="28"/>
          <w:szCs w:val="28"/>
          <w:highlight w:val="none"/>
          <w:lang w:val="zh-CN"/>
        </w:rPr>
      </w:pPr>
    </w:p>
    <w:p>
      <w:pPr>
        <w:snapToGrid w:val="0"/>
        <w:spacing w:line="400" w:lineRule="exact"/>
        <w:outlineLvl w:val="1"/>
        <w:rPr>
          <w:rFonts w:hint="eastAsia"/>
          <w:b/>
          <w:sz w:val="28"/>
          <w:szCs w:val="28"/>
          <w:highlight w:val="none"/>
        </w:rPr>
      </w:pPr>
      <w:r>
        <w:rPr>
          <w:rFonts w:hint="eastAsia"/>
          <w:b/>
          <w:sz w:val="28"/>
          <w:szCs w:val="28"/>
          <w:highlight w:val="none"/>
        </w:rPr>
        <w:br w:type="page"/>
      </w:r>
      <w:bookmarkStart w:id="267" w:name="_Toc12645"/>
      <w:bookmarkStart w:id="268" w:name="_Toc10476"/>
      <w:r>
        <w:rPr>
          <w:rFonts w:hint="eastAsia"/>
          <w:b/>
          <w:sz w:val="28"/>
          <w:szCs w:val="28"/>
          <w:highlight w:val="none"/>
        </w:rPr>
        <w:t>附件1：响应文件封面</w:t>
      </w:r>
      <w:bookmarkEnd w:id="267"/>
      <w:bookmarkEnd w:id="268"/>
    </w:p>
    <w:p>
      <w:pPr>
        <w:spacing w:line="400" w:lineRule="exact"/>
        <w:ind w:firstLine="1446" w:firstLineChars="400"/>
        <w:rPr>
          <w:rFonts w:hint="eastAsia"/>
          <w:b/>
          <w:bCs/>
          <w:sz w:val="36"/>
          <w:szCs w:val="36"/>
          <w:highlight w:val="none"/>
        </w:rPr>
      </w:pPr>
    </w:p>
    <w:p>
      <w:pPr>
        <w:spacing w:line="400" w:lineRule="exact"/>
        <w:ind w:firstLine="1446"/>
        <w:rPr>
          <w:rFonts w:hint="eastAsia"/>
          <w:b/>
          <w:sz w:val="72"/>
          <w:szCs w:val="72"/>
          <w:highlight w:val="none"/>
        </w:rPr>
      </w:pPr>
    </w:p>
    <w:p>
      <w:pPr>
        <w:spacing w:line="360" w:lineRule="auto"/>
        <w:jc w:val="center"/>
        <w:rPr>
          <w:rFonts w:hint="eastAsia"/>
          <w:b/>
          <w:sz w:val="72"/>
          <w:szCs w:val="72"/>
          <w:highlight w:val="none"/>
        </w:rPr>
      </w:pPr>
      <w:r>
        <w:rPr>
          <w:rFonts w:hint="eastAsia"/>
          <w:b/>
          <w:sz w:val="72"/>
          <w:szCs w:val="72"/>
          <w:highlight w:val="none"/>
        </w:rPr>
        <w:t>响应文件</w:t>
      </w:r>
    </w:p>
    <w:p>
      <w:pPr>
        <w:spacing w:line="360" w:lineRule="auto"/>
        <w:rPr>
          <w:rFonts w:hint="eastAsia"/>
          <w:b/>
          <w:highlight w:val="none"/>
        </w:rPr>
      </w:pPr>
    </w:p>
    <w:p>
      <w:pPr>
        <w:adjustRightInd w:val="0"/>
        <w:spacing w:line="360" w:lineRule="auto"/>
        <w:textAlignment w:val="baseline"/>
        <w:rPr>
          <w:rFonts w:hint="eastAsia"/>
          <w:b/>
          <w:bCs/>
          <w:highlight w:val="none"/>
        </w:rPr>
      </w:pPr>
    </w:p>
    <w:p>
      <w:pPr>
        <w:adjustRightInd w:val="0"/>
        <w:spacing w:line="360" w:lineRule="auto"/>
        <w:textAlignment w:val="baseline"/>
        <w:rPr>
          <w:rFonts w:hint="eastAsia" w:eastAsia="宋体"/>
          <w:b/>
          <w:sz w:val="36"/>
          <w:szCs w:val="36"/>
          <w:highlight w:val="none"/>
          <w:lang w:eastAsia="zh-CN"/>
        </w:rPr>
      </w:pPr>
      <w:r>
        <w:rPr>
          <w:rFonts w:hint="eastAsia"/>
          <w:b/>
          <w:bCs/>
          <w:sz w:val="36"/>
          <w:szCs w:val="36"/>
          <w:highlight w:val="none"/>
        </w:rPr>
        <w:t>采购项目编号</w:t>
      </w:r>
      <w:r>
        <w:rPr>
          <w:rFonts w:hint="eastAsia"/>
          <w:b/>
          <w:sz w:val="36"/>
          <w:szCs w:val="36"/>
          <w:highlight w:val="none"/>
        </w:rPr>
        <w:t>：</w:t>
      </w:r>
      <w:r>
        <w:rPr>
          <w:rFonts w:hint="eastAsia"/>
          <w:b/>
          <w:bCs/>
          <w:sz w:val="36"/>
          <w:szCs w:val="36"/>
          <w:highlight w:val="none"/>
          <w:lang w:eastAsia="zh-CN"/>
        </w:rPr>
        <w:t>青海天达竞磋（工程）2023-004号</w:t>
      </w:r>
    </w:p>
    <w:p>
      <w:pPr>
        <w:adjustRightInd w:val="0"/>
        <w:spacing w:line="360" w:lineRule="auto"/>
        <w:ind w:left="2692" w:hanging="2692" w:hangingChars="745"/>
        <w:textAlignment w:val="baseline"/>
        <w:rPr>
          <w:rFonts w:hint="eastAsia" w:eastAsia="宋体"/>
          <w:b/>
          <w:bCs/>
          <w:sz w:val="36"/>
          <w:szCs w:val="36"/>
          <w:highlight w:val="none"/>
          <w:lang w:eastAsia="zh-CN"/>
        </w:rPr>
      </w:pPr>
      <w:r>
        <w:rPr>
          <w:rFonts w:hint="eastAsia"/>
          <w:b/>
          <w:bCs/>
          <w:sz w:val="36"/>
          <w:szCs w:val="36"/>
          <w:highlight w:val="none"/>
        </w:rPr>
        <w:t xml:space="preserve">采购项目名称: </w:t>
      </w:r>
      <w:r>
        <w:rPr>
          <w:rFonts w:hint="eastAsia"/>
          <w:b/>
          <w:bCs/>
          <w:sz w:val="36"/>
          <w:szCs w:val="36"/>
          <w:highlight w:val="none"/>
          <w:lang w:eastAsia="zh-CN"/>
        </w:rPr>
        <w:t>2023年洪水镇双一村拱棚建设项目</w:t>
      </w:r>
    </w:p>
    <w:p>
      <w:pPr>
        <w:adjustRightInd w:val="0"/>
        <w:spacing w:line="360" w:lineRule="auto"/>
        <w:ind w:left="2692" w:hanging="2692" w:hangingChars="745"/>
        <w:textAlignment w:val="baseline"/>
        <w:rPr>
          <w:rFonts w:hint="eastAsia"/>
          <w:b/>
          <w:bCs/>
          <w:sz w:val="36"/>
          <w:szCs w:val="36"/>
          <w:highlight w:val="none"/>
        </w:rPr>
      </w:pPr>
      <w:r>
        <w:rPr>
          <w:rFonts w:hint="eastAsia"/>
          <w:b/>
          <w:bCs/>
          <w:sz w:val="36"/>
          <w:szCs w:val="36"/>
          <w:highlight w:val="none"/>
        </w:rPr>
        <w:t>供  应  商：</w:t>
      </w:r>
    </w:p>
    <w:p>
      <w:pPr>
        <w:spacing w:line="360" w:lineRule="auto"/>
        <w:ind w:firstLine="643"/>
        <w:jc w:val="center"/>
        <w:rPr>
          <w:rFonts w:hint="eastAsia"/>
          <w:b/>
          <w:sz w:val="32"/>
          <w:highlight w:val="none"/>
        </w:rPr>
      </w:pPr>
    </w:p>
    <w:p>
      <w:pPr>
        <w:spacing w:line="360" w:lineRule="auto"/>
        <w:ind w:firstLine="3213" w:firstLineChars="1000"/>
        <w:rPr>
          <w:rFonts w:hint="eastAsia"/>
          <w:b/>
          <w:sz w:val="32"/>
          <w:highlight w:val="none"/>
        </w:rPr>
      </w:pPr>
    </w:p>
    <w:p>
      <w:pPr>
        <w:spacing w:line="360" w:lineRule="auto"/>
        <w:ind w:firstLine="3213" w:firstLineChars="1000"/>
        <w:rPr>
          <w:rFonts w:hint="eastAsia"/>
          <w:b/>
          <w:sz w:val="32"/>
          <w:highlight w:val="none"/>
        </w:rPr>
      </w:pPr>
    </w:p>
    <w:p>
      <w:pPr>
        <w:spacing w:line="360" w:lineRule="auto"/>
        <w:ind w:firstLine="3213" w:firstLineChars="1000"/>
        <w:rPr>
          <w:rFonts w:hint="eastAsia"/>
          <w:b/>
          <w:sz w:val="32"/>
          <w:highlight w:val="none"/>
        </w:rPr>
      </w:pPr>
    </w:p>
    <w:p>
      <w:pPr>
        <w:spacing w:line="360" w:lineRule="auto"/>
        <w:ind w:firstLine="3213" w:firstLineChars="1000"/>
        <w:rPr>
          <w:rFonts w:hint="eastAsia"/>
          <w:b/>
          <w:sz w:val="32"/>
          <w:highlight w:val="none"/>
        </w:rPr>
      </w:pPr>
    </w:p>
    <w:p>
      <w:pPr>
        <w:spacing w:line="360" w:lineRule="auto"/>
        <w:ind w:firstLine="3213" w:firstLineChars="1000"/>
        <w:rPr>
          <w:rFonts w:hint="eastAsia"/>
          <w:b/>
          <w:sz w:val="32"/>
          <w:highlight w:val="none"/>
        </w:rPr>
      </w:pPr>
      <w:r>
        <w:rPr>
          <w:rFonts w:hint="eastAsia"/>
          <w:b/>
          <w:sz w:val="32"/>
          <w:highlight w:val="none"/>
        </w:rPr>
        <w:t>供应商：</w:t>
      </w:r>
      <w:r>
        <w:rPr>
          <w:rFonts w:hint="eastAsia"/>
          <w:sz w:val="28"/>
          <w:szCs w:val="28"/>
          <w:highlight w:val="none"/>
          <w:u w:val="single"/>
        </w:rPr>
        <w:t xml:space="preserve">       </w:t>
      </w:r>
      <w:r>
        <w:rPr>
          <w:rFonts w:hint="eastAsia"/>
          <w:b/>
          <w:sz w:val="32"/>
          <w:highlight w:val="none"/>
        </w:rPr>
        <w:t>（公章）</w:t>
      </w:r>
    </w:p>
    <w:p>
      <w:pPr>
        <w:spacing w:line="360" w:lineRule="auto"/>
        <w:ind w:firstLine="643"/>
        <w:jc w:val="center"/>
        <w:rPr>
          <w:rFonts w:hint="eastAsia"/>
          <w:b/>
          <w:sz w:val="32"/>
          <w:highlight w:val="none"/>
        </w:rPr>
      </w:pPr>
      <w:r>
        <w:rPr>
          <w:rFonts w:hint="eastAsia"/>
          <w:b/>
          <w:sz w:val="32"/>
          <w:highlight w:val="none"/>
        </w:rPr>
        <w:t xml:space="preserve">     法定代表人或委托代理人：</w:t>
      </w:r>
      <w:r>
        <w:rPr>
          <w:rFonts w:hint="eastAsia"/>
          <w:sz w:val="28"/>
          <w:szCs w:val="28"/>
          <w:highlight w:val="none"/>
          <w:u w:val="single"/>
        </w:rPr>
        <w:t xml:space="preserve">       </w:t>
      </w:r>
      <w:r>
        <w:rPr>
          <w:rFonts w:hint="eastAsia"/>
          <w:b/>
          <w:sz w:val="32"/>
          <w:highlight w:val="none"/>
        </w:rPr>
        <w:t>（签字或盖章）</w:t>
      </w:r>
    </w:p>
    <w:p>
      <w:pPr>
        <w:spacing w:line="360" w:lineRule="auto"/>
        <w:ind w:firstLine="3723" w:firstLineChars="1159"/>
        <w:rPr>
          <w:rFonts w:hint="eastAsia"/>
          <w:b/>
          <w:sz w:val="32"/>
          <w:highlight w:val="none"/>
        </w:rPr>
      </w:pPr>
    </w:p>
    <w:p>
      <w:pPr>
        <w:spacing w:line="360" w:lineRule="auto"/>
        <w:ind w:firstLine="3723" w:firstLineChars="1159"/>
        <w:rPr>
          <w:rFonts w:hint="eastAsia"/>
          <w:b/>
          <w:sz w:val="32"/>
          <w:highlight w:val="none"/>
        </w:rPr>
      </w:pPr>
      <w:r>
        <w:rPr>
          <w:rFonts w:hint="eastAsia"/>
          <w:b/>
          <w:sz w:val="32"/>
          <w:highlight w:val="none"/>
        </w:rPr>
        <w:t>年   月   日</w:t>
      </w:r>
    </w:p>
    <w:p>
      <w:pPr>
        <w:spacing w:line="400" w:lineRule="exact"/>
        <w:ind w:firstLine="643"/>
        <w:jc w:val="center"/>
        <w:rPr>
          <w:rFonts w:hint="eastAsia"/>
          <w:b/>
          <w:sz w:val="32"/>
          <w:highlight w:val="none"/>
        </w:rPr>
      </w:pPr>
    </w:p>
    <w:p>
      <w:pPr>
        <w:spacing w:line="400" w:lineRule="exact"/>
        <w:ind w:firstLine="643"/>
        <w:jc w:val="center"/>
        <w:rPr>
          <w:rFonts w:hint="eastAsia"/>
          <w:b/>
          <w:sz w:val="32"/>
          <w:highlight w:val="none"/>
        </w:rPr>
      </w:pPr>
    </w:p>
    <w:p>
      <w:pPr>
        <w:pStyle w:val="65"/>
        <w:spacing w:line="400" w:lineRule="exact"/>
        <w:jc w:val="left"/>
        <w:rPr>
          <w:rFonts w:hint="eastAsia" w:ascii="宋体" w:hAnsi="宋体" w:cs="宋体"/>
          <w:sz w:val="28"/>
          <w:szCs w:val="28"/>
          <w:highlight w:val="none"/>
          <w:lang w:val="zh-CN" w:eastAsia="zh-CN"/>
        </w:rPr>
      </w:pPr>
    </w:p>
    <w:p>
      <w:pPr>
        <w:pStyle w:val="65"/>
        <w:spacing w:line="400" w:lineRule="exact"/>
        <w:jc w:val="left"/>
        <w:rPr>
          <w:rFonts w:hint="eastAsia" w:ascii="宋体" w:hAnsi="宋体" w:cs="宋体"/>
          <w:sz w:val="28"/>
          <w:szCs w:val="28"/>
          <w:highlight w:val="none"/>
          <w:lang w:val="zh-CN" w:eastAsia="zh-CN"/>
        </w:rPr>
      </w:pPr>
    </w:p>
    <w:p>
      <w:pPr>
        <w:pStyle w:val="65"/>
        <w:spacing w:line="400" w:lineRule="exact"/>
        <w:jc w:val="left"/>
        <w:rPr>
          <w:rFonts w:hint="eastAsia" w:ascii="宋体" w:hAnsi="宋体" w:cs="宋体"/>
          <w:sz w:val="28"/>
          <w:szCs w:val="28"/>
          <w:highlight w:val="none"/>
          <w:lang w:val="zh-CN" w:eastAsia="zh-CN"/>
        </w:rPr>
      </w:pPr>
    </w:p>
    <w:p>
      <w:pPr>
        <w:snapToGrid w:val="0"/>
        <w:spacing w:line="400" w:lineRule="exact"/>
        <w:jc w:val="left"/>
        <w:outlineLvl w:val="1"/>
        <w:rPr>
          <w:rFonts w:hint="eastAsia"/>
          <w:b/>
          <w:sz w:val="28"/>
          <w:szCs w:val="28"/>
          <w:highlight w:val="none"/>
        </w:rPr>
      </w:pPr>
      <w:bookmarkStart w:id="269" w:name="_Toc11200"/>
      <w:r>
        <w:rPr>
          <w:rFonts w:hint="eastAsia"/>
          <w:b/>
          <w:sz w:val="28"/>
          <w:szCs w:val="28"/>
          <w:highlight w:val="none"/>
        </w:rPr>
        <w:t>附件2：响应文件目录</w:t>
      </w:r>
      <w:bookmarkEnd w:id="269"/>
    </w:p>
    <w:p>
      <w:pPr>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rPr>
        <w:t xml:space="preserve"> </w:t>
      </w:r>
      <w:r>
        <w:rPr>
          <w:rFonts w:hint="eastAsia"/>
          <w:highlight w:val="none"/>
          <w:lang w:val="zh-CN"/>
        </w:rPr>
        <w:t>响应文件封面……………………………………………………所在页码</w:t>
      </w:r>
    </w:p>
    <w:p>
      <w:pPr>
        <w:autoSpaceDE w:val="0"/>
        <w:autoSpaceDN w:val="0"/>
        <w:adjustRightInd w:val="0"/>
        <w:spacing w:line="400" w:lineRule="exact"/>
        <w:jc w:val="center"/>
        <w:rPr>
          <w:rFonts w:hint="eastAsia"/>
          <w:highlight w:val="none"/>
          <w:lang w:val="zh-CN"/>
        </w:rPr>
      </w:pPr>
      <w:r>
        <w:rPr>
          <w:rFonts w:hint="eastAsia"/>
          <w:highlight w:val="none"/>
          <w:lang w:val="zh-CN"/>
        </w:rPr>
        <w:t>（2）</w:t>
      </w:r>
      <w:r>
        <w:rPr>
          <w:rFonts w:hint="eastAsia"/>
          <w:highlight w:val="none"/>
        </w:rPr>
        <w:t xml:space="preserve"> </w:t>
      </w:r>
      <w:r>
        <w:rPr>
          <w:rFonts w:hint="eastAsia"/>
          <w:highlight w:val="none"/>
          <w:lang w:val="zh-CN"/>
        </w:rPr>
        <w:t>响应文件目录……………………………………………………所在页码</w:t>
      </w:r>
    </w:p>
    <w:p>
      <w:pPr>
        <w:autoSpaceDE w:val="0"/>
        <w:autoSpaceDN w:val="0"/>
        <w:adjustRightInd w:val="0"/>
        <w:spacing w:line="400" w:lineRule="exact"/>
        <w:jc w:val="center"/>
        <w:rPr>
          <w:rFonts w:hint="eastAsia"/>
          <w:highlight w:val="none"/>
          <w:lang w:val="zh-CN"/>
        </w:rPr>
      </w:pPr>
      <w:r>
        <w:rPr>
          <w:rFonts w:hint="eastAsia"/>
          <w:highlight w:val="none"/>
          <w:lang w:val="zh-CN"/>
        </w:rPr>
        <w:t>（3）</w:t>
      </w:r>
      <w:r>
        <w:rPr>
          <w:rFonts w:hint="eastAsia"/>
          <w:highlight w:val="none"/>
        </w:rPr>
        <w:t xml:space="preserve"> </w:t>
      </w:r>
      <w:r>
        <w:rPr>
          <w:rFonts w:hint="eastAsia"/>
          <w:highlight w:val="none"/>
          <w:lang w:val="zh-CN"/>
        </w:rPr>
        <w:t>磋商函及磋商首次报价表………………………………………所在页码</w:t>
      </w:r>
    </w:p>
    <w:p>
      <w:pPr>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4</w:t>
      </w:r>
      <w:r>
        <w:rPr>
          <w:rFonts w:hint="eastAsia"/>
          <w:highlight w:val="none"/>
          <w:lang w:val="zh-CN"/>
        </w:rPr>
        <w:t>）</w:t>
      </w:r>
      <w:r>
        <w:rPr>
          <w:rFonts w:hint="eastAsia"/>
          <w:highlight w:val="none"/>
        </w:rPr>
        <w:t xml:space="preserve"> </w:t>
      </w:r>
      <w:r>
        <w:rPr>
          <w:rFonts w:hint="eastAsia"/>
          <w:highlight w:val="none"/>
          <w:lang w:val="zh-CN"/>
        </w:rPr>
        <w:t>法定代表人证明书………………………………………………所在页码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5</w:t>
      </w:r>
      <w:r>
        <w:rPr>
          <w:rFonts w:hint="eastAsia"/>
          <w:highlight w:val="none"/>
          <w:lang w:val="zh-CN"/>
        </w:rPr>
        <w:t>）</w:t>
      </w:r>
      <w:r>
        <w:rPr>
          <w:rFonts w:hint="eastAsia"/>
          <w:highlight w:val="none"/>
        </w:rPr>
        <w:t xml:space="preserve"> </w:t>
      </w:r>
      <w:r>
        <w:rPr>
          <w:rFonts w:hint="eastAsia"/>
          <w:highlight w:val="none"/>
          <w:lang w:val="zh-CN"/>
        </w:rPr>
        <w:t>法定代表人授权书………………………………………………所在页码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6</w:t>
      </w:r>
      <w:r>
        <w:rPr>
          <w:rFonts w:hint="eastAsia"/>
          <w:highlight w:val="none"/>
          <w:lang w:val="zh-CN"/>
        </w:rPr>
        <w:t>）</w:t>
      </w:r>
      <w:r>
        <w:rPr>
          <w:rFonts w:hint="eastAsia"/>
          <w:highlight w:val="none"/>
        </w:rPr>
        <w:t xml:space="preserve"> 供应商承诺函</w:t>
      </w:r>
      <w:r>
        <w:rPr>
          <w:rFonts w:hint="eastAsia"/>
          <w:highlight w:val="none"/>
          <w:lang w:val="zh-CN"/>
        </w:rPr>
        <w:t>……………………………………………………所在页码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7</w:t>
      </w:r>
      <w:r>
        <w:rPr>
          <w:rFonts w:hint="eastAsia"/>
          <w:highlight w:val="none"/>
          <w:lang w:val="zh-CN"/>
        </w:rPr>
        <w:t>）</w:t>
      </w:r>
      <w:r>
        <w:rPr>
          <w:rFonts w:hint="eastAsia"/>
          <w:highlight w:val="none"/>
        </w:rPr>
        <w:t xml:space="preserve"> </w:t>
      </w:r>
      <w:r>
        <w:rPr>
          <w:rFonts w:hint="eastAsia"/>
          <w:highlight w:val="none"/>
          <w:lang w:val="zh-CN"/>
        </w:rPr>
        <w:t>供应商诚信承诺书………………………………………………所在页码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8</w:t>
      </w:r>
      <w:r>
        <w:rPr>
          <w:rFonts w:hint="eastAsia"/>
          <w:highlight w:val="none"/>
          <w:lang w:val="zh-CN"/>
        </w:rPr>
        <w:t>）</w:t>
      </w:r>
      <w:r>
        <w:rPr>
          <w:rFonts w:hint="eastAsia"/>
          <w:highlight w:val="none"/>
        </w:rPr>
        <w:t xml:space="preserve"> </w:t>
      </w:r>
      <w:r>
        <w:rPr>
          <w:rFonts w:hint="eastAsia"/>
          <w:highlight w:val="none"/>
          <w:lang w:val="zh-CN"/>
        </w:rPr>
        <w:t>已标价工程量清单………………………………………………所在页码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9</w:t>
      </w:r>
      <w:r>
        <w:rPr>
          <w:rFonts w:hint="eastAsia"/>
          <w:highlight w:val="none"/>
          <w:lang w:val="zh-CN"/>
        </w:rPr>
        <w:t>） 施工组织设计……………………………………………………所在页码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10</w:t>
      </w:r>
      <w:r>
        <w:rPr>
          <w:rFonts w:hint="eastAsia"/>
          <w:highlight w:val="none"/>
          <w:lang w:val="zh-CN"/>
        </w:rPr>
        <w:t>）项目管理机构……………………………………………………所在页码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rPr>
        <w:t>1</w:t>
      </w:r>
      <w:r>
        <w:rPr>
          <w:rFonts w:hint="eastAsia"/>
          <w:highlight w:val="none"/>
          <w:lang w:val="zh-CN"/>
        </w:rPr>
        <w:t>）资格审查资料……………………………………………………所在页码</w:t>
      </w:r>
    </w:p>
    <w:p>
      <w:pPr>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lang w:val="en-US" w:eastAsia="zh-CN"/>
        </w:rPr>
        <w:t>2</w:t>
      </w:r>
      <w:r>
        <w:rPr>
          <w:rFonts w:hint="eastAsia"/>
          <w:highlight w:val="none"/>
          <w:lang w:val="zh-CN"/>
        </w:rPr>
        <w:t>）无重大违法记录声明……………………………………………所在页码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lang w:val="en-US" w:eastAsia="zh-CN"/>
        </w:rPr>
        <w:t>3</w:t>
      </w:r>
      <w:r>
        <w:rPr>
          <w:rFonts w:hint="eastAsia"/>
          <w:highlight w:val="none"/>
          <w:lang w:val="zh-CN"/>
        </w:rPr>
        <w:t>）中小企业声明函（工程）………………………………………所在页码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lang w:val="en-US" w:eastAsia="zh-CN"/>
        </w:rPr>
        <w:t>4</w:t>
      </w:r>
      <w:r>
        <w:rPr>
          <w:rFonts w:hint="eastAsia"/>
          <w:highlight w:val="none"/>
          <w:lang w:val="zh-CN"/>
        </w:rPr>
        <w:t>）</w:t>
      </w:r>
      <w:bookmarkStart w:id="270" w:name="_Toc15907"/>
      <w:r>
        <w:rPr>
          <w:rFonts w:hint="eastAsia"/>
          <w:highlight w:val="none"/>
          <w:lang w:val="zh-CN"/>
        </w:rPr>
        <w:t>残疾人福利性单位声明函</w:t>
      </w:r>
      <w:bookmarkEnd w:id="270"/>
      <w:r>
        <w:rPr>
          <w:rFonts w:hint="eastAsia"/>
          <w:highlight w:val="none"/>
          <w:lang w:val="zh-CN"/>
        </w:rPr>
        <w:t>………………………………………所在页码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w:t>
      </w:r>
      <w:r>
        <w:rPr>
          <w:rFonts w:hint="eastAsia"/>
          <w:highlight w:val="none"/>
        </w:rPr>
        <w:t>1</w:t>
      </w:r>
      <w:r>
        <w:rPr>
          <w:rFonts w:hint="eastAsia"/>
          <w:highlight w:val="none"/>
          <w:lang w:val="en-US" w:eastAsia="zh-CN"/>
        </w:rPr>
        <w:t>5</w:t>
      </w:r>
      <w:r>
        <w:rPr>
          <w:rFonts w:hint="eastAsia"/>
          <w:highlight w:val="none"/>
          <w:lang w:val="zh-CN"/>
        </w:rPr>
        <w:t>）</w:t>
      </w:r>
      <w:r>
        <w:rPr>
          <w:rFonts w:hint="eastAsia"/>
          <w:highlight w:val="none"/>
        </w:rPr>
        <w:t>监狱企业证明资料</w:t>
      </w:r>
      <w:r>
        <w:rPr>
          <w:rFonts w:hint="eastAsia"/>
          <w:highlight w:val="none"/>
          <w:lang w:val="zh-CN"/>
        </w:rPr>
        <w:t>………………………………………………所在页码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lang w:val="en-US" w:eastAsia="zh-CN"/>
        </w:rPr>
        <w:t>6</w:t>
      </w:r>
      <w:r>
        <w:rPr>
          <w:rFonts w:hint="eastAsia"/>
          <w:highlight w:val="none"/>
          <w:lang w:val="zh-CN"/>
        </w:rPr>
        <w:t>）供应商认为在其他方面有必要说明的事项……………………所在页码</w:t>
      </w:r>
    </w:p>
    <w:p>
      <w:pPr>
        <w:wordWrap w:val="0"/>
        <w:autoSpaceDE w:val="0"/>
        <w:autoSpaceDN w:val="0"/>
        <w:adjustRightInd w:val="0"/>
        <w:spacing w:line="400" w:lineRule="exact"/>
        <w:jc w:val="center"/>
        <w:rPr>
          <w:rFonts w:hint="eastAsia"/>
          <w:highlight w:val="none"/>
          <w:lang w:val="zh-CN"/>
        </w:rPr>
      </w:pPr>
      <w:r>
        <w:rPr>
          <w:rFonts w:hint="eastAsia"/>
          <w:highlight w:val="none"/>
          <w:lang w:val="zh-CN"/>
        </w:rPr>
        <w:t>（1</w:t>
      </w:r>
      <w:r>
        <w:rPr>
          <w:rFonts w:hint="eastAsia"/>
          <w:highlight w:val="none"/>
          <w:lang w:val="en-US" w:eastAsia="zh-CN"/>
        </w:rPr>
        <w:t>7</w:t>
      </w:r>
      <w:r>
        <w:rPr>
          <w:rFonts w:hint="eastAsia"/>
          <w:highlight w:val="none"/>
          <w:lang w:val="zh-CN"/>
        </w:rPr>
        <w:t>）磋商最后报价……………………………………………………所在页码</w:t>
      </w:r>
    </w:p>
    <w:p>
      <w:pPr>
        <w:snapToGrid w:val="0"/>
        <w:spacing w:line="400" w:lineRule="exact"/>
        <w:outlineLvl w:val="1"/>
        <w:rPr>
          <w:rFonts w:hint="eastAsia" w:eastAsia="宋体"/>
          <w:b/>
          <w:sz w:val="36"/>
          <w:szCs w:val="36"/>
          <w:highlight w:val="none"/>
          <w:lang w:eastAsia="zh-CN"/>
        </w:rPr>
      </w:pPr>
      <w:r>
        <w:rPr>
          <w:rFonts w:hint="eastAsia"/>
          <w:b/>
          <w:sz w:val="28"/>
          <w:szCs w:val="28"/>
          <w:highlight w:val="none"/>
        </w:rPr>
        <w:br w:type="page"/>
      </w:r>
      <w:bookmarkStart w:id="271" w:name="_Toc23378"/>
      <w:bookmarkStart w:id="272" w:name="_Toc1705"/>
      <w:r>
        <w:rPr>
          <w:rFonts w:hint="eastAsia"/>
          <w:b/>
          <w:sz w:val="28"/>
          <w:szCs w:val="28"/>
          <w:highlight w:val="none"/>
        </w:rPr>
        <w:t>附件</w:t>
      </w:r>
      <w:bookmarkStart w:id="273" w:name="_Toc325726037"/>
      <w:bookmarkStart w:id="274" w:name="_Toc376936768"/>
      <w:r>
        <w:rPr>
          <w:rFonts w:hint="eastAsia"/>
          <w:b/>
          <w:sz w:val="28"/>
          <w:szCs w:val="28"/>
          <w:highlight w:val="none"/>
        </w:rPr>
        <w:t>3：</w:t>
      </w:r>
      <w:bookmarkEnd w:id="271"/>
      <w:bookmarkEnd w:id="273"/>
      <w:bookmarkEnd w:id="274"/>
      <w:r>
        <w:rPr>
          <w:rFonts w:hint="eastAsia"/>
          <w:b/>
          <w:sz w:val="28"/>
          <w:szCs w:val="28"/>
          <w:highlight w:val="none"/>
          <w:lang w:eastAsia="zh-CN"/>
        </w:rPr>
        <w:t>磋商函及磋商首次报价表</w:t>
      </w:r>
      <w:bookmarkEnd w:id="272"/>
    </w:p>
    <w:p>
      <w:pPr>
        <w:spacing w:before="100" w:beforeAutospacing="1" w:after="100" w:afterAutospacing="1" w:line="400" w:lineRule="exact"/>
        <w:ind w:firstLine="3373" w:firstLineChars="1050"/>
        <w:rPr>
          <w:rFonts w:hint="eastAsia"/>
          <w:b/>
          <w:highlight w:val="none"/>
        </w:rPr>
      </w:pPr>
      <w:bookmarkStart w:id="275" w:name="_Toc323717401"/>
      <w:bookmarkStart w:id="276" w:name="_Toc201287637"/>
      <w:bookmarkStart w:id="277" w:name="_Toc323800506"/>
      <w:r>
        <w:rPr>
          <w:rFonts w:hint="eastAsia"/>
          <w:b/>
          <w:bCs/>
          <w:sz w:val="32"/>
          <w:szCs w:val="32"/>
          <w:highlight w:val="none"/>
        </w:rPr>
        <w:t>（一）磋商函</w:t>
      </w:r>
      <w:bookmarkEnd w:id="275"/>
      <w:bookmarkEnd w:id="276"/>
      <w:bookmarkEnd w:id="277"/>
    </w:p>
    <w:p>
      <w:pPr>
        <w:adjustRightInd w:val="0"/>
        <w:spacing w:line="400" w:lineRule="exact"/>
        <w:textAlignment w:val="baseline"/>
        <w:rPr>
          <w:rFonts w:hint="eastAsia" w:eastAsia="宋体"/>
          <w:b/>
          <w:highlight w:val="none"/>
          <w:lang w:eastAsia="zh-CN"/>
        </w:rPr>
      </w:pPr>
      <w:r>
        <w:rPr>
          <w:rFonts w:hint="eastAsia"/>
          <w:b/>
          <w:highlight w:val="none"/>
        </w:rPr>
        <w:t>致：</w:t>
      </w:r>
      <w:r>
        <w:rPr>
          <w:rFonts w:hint="eastAsia"/>
          <w:b/>
          <w:highlight w:val="none"/>
          <w:lang w:eastAsia="zh-CN"/>
        </w:rPr>
        <w:t>青海天达工程管理有限公司</w:t>
      </w:r>
    </w:p>
    <w:p>
      <w:pPr>
        <w:spacing w:line="360" w:lineRule="auto"/>
        <w:rPr>
          <w:rFonts w:hint="eastAsia" w:ascii="宋体" w:hAnsi="宋体" w:cs="宋体"/>
          <w:color w:val="auto"/>
        </w:rPr>
      </w:pPr>
      <w:r>
        <w:rPr>
          <w:rFonts w:hint="eastAsia" w:ascii="宋体" w:hAnsi="宋体" w:cs="宋体"/>
          <w:color w:val="auto"/>
        </w:rPr>
        <w:t>　</w:t>
      </w:r>
    </w:p>
    <w:p>
      <w:pPr>
        <w:spacing w:line="360" w:lineRule="auto"/>
        <w:rPr>
          <w:rFonts w:hint="eastAsia" w:ascii="宋体" w:hAnsi="宋体" w:cs="宋体"/>
          <w:color w:val="auto"/>
        </w:rPr>
      </w:pPr>
      <w:r>
        <w:rPr>
          <w:rFonts w:hint="eastAsia" w:ascii="宋体" w:hAnsi="宋体" w:cs="宋体"/>
          <w:color w:val="auto"/>
        </w:rPr>
        <w:t>　1.我方已仔细研究了</w:t>
      </w:r>
      <w:r>
        <w:rPr>
          <w:rFonts w:hint="eastAsia" w:ascii="宋体" w:hAnsi="宋体" w:cs="宋体"/>
          <w:color w:val="auto"/>
          <w:u w:val="single"/>
        </w:rPr>
        <w:t>　　　　</w:t>
      </w:r>
      <w:r>
        <w:rPr>
          <w:rFonts w:hint="eastAsia" w:ascii="宋体" w:hAnsi="宋体" w:cs="宋体"/>
          <w:color w:val="auto"/>
        </w:rPr>
        <w:t>(项目名称)</w:t>
      </w:r>
      <w:r>
        <w:rPr>
          <w:rFonts w:hint="eastAsia" w:ascii="宋体" w:hAnsi="宋体" w:eastAsia="宋体" w:cs="宋体"/>
          <w:color w:val="auto"/>
          <w:u w:val="single"/>
        </w:rPr>
        <w:t>　　</w:t>
      </w:r>
      <w:r>
        <w:rPr>
          <w:rFonts w:hint="eastAsia" w:ascii="宋体" w:hAnsi="宋体" w:cs="宋体"/>
          <w:color w:val="auto"/>
        </w:rPr>
        <w:t>(标段名称)</w:t>
      </w:r>
      <w:r>
        <w:rPr>
          <w:rFonts w:hint="eastAsia" w:ascii="宋体" w:hAnsi="宋体" w:cs="宋体"/>
          <w:color w:val="auto"/>
          <w:lang w:eastAsia="zh-CN"/>
        </w:rPr>
        <w:t>磋商</w:t>
      </w:r>
      <w:r>
        <w:rPr>
          <w:rFonts w:hint="eastAsia" w:ascii="宋体" w:hAnsi="宋体" w:cs="宋体"/>
          <w:color w:val="auto"/>
        </w:rPr>
        <w:t>文件的全部内容，愿意以人民币(大写)</w:t>
      </w:r>
      <w:r>
        <w:rPr>
          <w:rFonts w:hint="eastAsia" w:ascii="宋体" w:hAnsi="宋体" w:eastAsia="宋体" w:cs="宋体"/>
          <w:color w:val="auto"/>
          <w:u w:val="single"/>
        </w:rPr>
        <w:t>　　　　　</w:t>
      </w:r>
      <w:r>
        <w:rPr>
          <w:rFonts w:hint="eastAsia" w:ascii="宋体" w:hAnsi="宋体" w:cs="宋体"/>
          <w:color w:val="auto"/>
        </w:rPr>
        <w:t>元(￥</w:t>
      </w:r>
      <w:r>
        <w:rPr>
          <w:rFonts w:hint="eastAsia" w:ascii="宋体" w:hAnsi="宋体" w:eastAsia="宋体" w:cs="宋体"/>
          <w:color w:val="auto"/>
          <w:u w:val="single"/>
        </w:rPr>
        <w:t>　　　　</w:t>
      </w:r>
      <w:r>
        <w:rPr>
          <w:rFonts w:hint="eastAsia" w:ascii="宋体" w:hAnsi="宋体" w:cs="宋体"/>
          <w:color w:val="auto"/>
        </w:rPr>
        <w:t>元)的</w:t>
      </w:r>
      <w:r>
        <w:rPr>
          <w:rFonts w:hint="eastAsia" w:ascii="宋体" w:hAnsi="宋体" w:cs="宋体"/>
          <w:color w:val="auto"/>
          <w:lang w:eastAsia="zh-CN"/>
        </w:rPr>
        <w:t>磋商</w:t>
      </w:r>
      <w:r>
        <w:rPr>
          <w:rFonts w:hint="eastAsia" w:ascii="宋体" w:hAnsi="宋体" w:cs="宋体"/>
          <w:color w:val="auto"/>
        </w:rPr>
        <w:t>总报价，工期</w:t>
      </w:r>
      <w:r>
        <w:rPr>
          <w:rFonts w:hint="eastAsia" w:ascii="宋体" w:hAnsi="宋体" w:eastAsia="宋体" w:cs="宋体"/>
          <w:color w:val="auto"/>
          <w:u w:val="single"/>
        </w:rPr>
        <w:t>　　</w:t>
      </w:r>
      <w:r>
        <w:rPr>
          <w:rFonts w:hint="eastAsia" w:ascii="宋体" w:hAnsi="宋体" w:cs="宋体"/>
          <w:color w:val="auto"/>
        </w:rPr>
        <w:t>日历天，按合同约定实施和完成承包工程，修补工程中的任何缺陷，工程质量达到</w:t>
      </w:r>
      <w:r>
        <w:rPr>
          <w:rFonts w:hint="eastAsia" w:ascii="宋体" w:hAnsi="宋体" w:eastAsia="宋体" w:cs="宋体"/>
          <w:color w:val="auto"/>
          <w:u w:val="single"/>
        </w:rPr>
        <w:t>　　　　　</w:t>
      </w:r>
      <w:r>
        <w:rPr>
          <w:rFonts w:hint="eastAsia" w:ascii="宋体" w:hAnsi="宋体" w:cs="宋体"/>
          <w:color w:val="auto"/>
        </w:rPr>
        <w:t>。</w:t>
      </w:r>
    </w:p>
    <w:p>
      <w:pPr>
        <w:spacing w:line="360" w:lineRule="auto"/>
        <w:rPr>
          <w:rFonts w:hint="eastAsia" w:ascii="宋体" w:hAnsi="宋体" w:cs="宋体"/>
          <w:color w:val="auto"/>
        </w:rPr>
      </w:pPr>
      <w:r>
        <w:rPr>
          <w:rFonts w:hint="eastAsia" w:ascii="宋体" w:hAnsi="宋体" w:cs="宋体"/>
          <w:color w:val="auto"/>
        </w:rPr>
        <w:t>　　2.我方承诺在</w:t>
      </w:r>
      <w:r>
        <w:rPr>
          <w:rFonts w:hint="eastAsia" w:ascii="宋体" w:hAnsi="宋体" w:cs="宋体"/>
          <w:color w:val="auto"/>
          <w:lang w:eastAsia="zh-CN"/>
        </w:rPr>
        <w:t>磋商</w:t>
      </w:r>
      <w:r>
        <w:rPr>
          <w:rFonts w:hint="eastAsia" w:ascii="宋体" w:hAnsi="宋体" w:cs="宋体"/>
          <w:color w:val="auto"/>
        </w:rPr>
        <w:t>有效期内不补充、修改、替代或者撤回本</w:t>
      </w:r>
      <w:r>
        <w:rPr>
          <w:rFonts w:hint="eastAsia" w:ascii="宋体" w:hAnsi="宋体" w:cs="宋体"/>
          <w:color w:val="auto"/>
          <w:lang w:eastAsia="zh-CN"/>
        </w:rPr>
        <w:t>响应</w:t>
      </w:r>
      <w:r>
        <w:rPr>
          <w:rFonts w:hint="eastAsia" w:ascii="宋体" w:hAnsi="宋体" w:cs="宋体"/>
          <w:color w:val="auto"/>
        </w:rPr>
        <w:t>文件。</w:t>
      </w:r>
    </w:p>
    <w:p>
      <w:pPr>
        <w:spacing w:line="360" w:lineRule="auto"/>
        <w:rPr>
          <w:rFonts w:hint="eastAsia" w:ascii="宋体" w:hAnsi="宋体" w:cs="宋体"/>
          <w:color w:val="auto"/>
        </w:rPr>
      </w:pPr>
      <w:r>
        <w:rPr>
          <w:rFonts w:hint="eastAsia" w:ascii="宋体" w:hAnsi="宋体" w:cs="宋体"/>
          <w:color w:val="auto"/>
        </w:rPr>
        <w:t>　　3.随同本</w:t>
      </w:r>
      <w:r>
        <w:rPr>
          <w:rFonts w:hint="eastAsia" w:ascii="宋体" w:hAnsi="宋体" w:cs="宋体"/>
          <w:color w:val="auto"/>
          <w:lang w:eastAsia="zh-CN"/>
        </w:rPr>
        <w:t>响应</w:t>
      </w:r>
      <w:r>
        <w:rPr>
          <w:rFonts w:hint="eastAsia" w:ascii="宋体" w:hAnsi="宋体" w:cs="宋体"/>
          <w:color w:val="auto"/>
        </w:rPr>
        <w:t>函递交</w:t>
      </w:r>
      <w:r>
        <w:rPr>
          <w:rFonts w:hint="eastAsia" w:ascii="宋体" w:hAnsi="宋体" w:cs="宋体"/>
          <w:color w:val="auto"/>
          <w:lang w:eastAsia="zh-CN"/>
        </w:rPr>
        <w:t>磋商</w:t>
      </w:r>
      <w:r>
        <w:rPr>
          <w:rFonts w:hint="eastAsia" w:ascii="宋体" w:hAnsi="宋体" w:cs="宋体"/>
          <w:color w:val="auto"/>
        </w:rPr>
        <w:t>保证金一份，金额为人民币(大写)</w:t>
      </w:r>
      <w:r>
        <w:rPr>
          <w:rFonts w:hint="eastAsia" w:ascii="宋体" w:hAnsi="宋体" w:eastAsia="宋体" w:cs="宋体"/>
          <w:color w:val="auto"/>
          <w:u w:val="single"/>
        </w:rPr>
        <w:t>　　　　</w:t>
      </w:r>
      <w:r>
        <w:rPr>
          <w:rFonts w:hint="eastAsia" w:ascii="宋体" w:hAnsi="宋体" w:cs="宋体"/>
          <w:color w:val="auto"/>
        </w:rPr>
        <w:t>元(￥</w:t>
      </w:r>
      <w:r>
        <w:rPr>
          <w:rFonts w:hint="eastAsia" w:ascii="宋体" w:hAnsi="宋体" w:eastAsia="宋体" w:cs="宋体"/>
          <w:color w:val="auto"/>
          <w:u w:val="single"/>
        </w:rPr>
        <w:t>　　　　</w:t>
      </w:r>
      <w:r>
        <w:rPr>
          <w:rFonts w:hint="eastAsia" w:ascii="宋体" w:hAnsi="宋体" w:cs="宋体"/>
          <w:color w:val="auto"/>
        </w:rPr>
        <w:t>元)。</w:t>
      </w:r>
    </w:p>
    <w:p>
      <w:pPr>
        <w:spacing w:line="360" w:lineRule="auto"/>
        <w:rPr>
          <w:rFonts w:hint="eastAsia" w:ascii="宋体" w:hAnsi="宋体" w:cs="宋体"/>
          <w:color w:val="auto"/>
        </w:rPr>
      </w:pPr>
      <w:r>
        <w:rPr>
          <w:rFonts w:hint="eastAsia" w:ascii="宋体" w:hAnsi="宋体" w:cs="宋体"/>
          <w:color w:val="auto"/>
        </w:rPr>
        <w:t>　　4.如我方中标：</w:t>
      </w:r>
    </w:p>
    <w:p>
      <w:pPr>
        <w:spacing w:line="360" w:lineRule="auto"/>
        <w:rPr>
          <w:rFonts w:hint="eastAsia" w:ascii="宋体" w:hAnsi="宋体" w:cs="宋体"/>
          <w:color w:val="auto"/>
        </w:rPr>
      </w:pPr>
      <w:r>
        <w:rPr>
          <w:rFonts w:hint="eastAsia" w:ascii="宋体" w:hAnsi="宋体" w:cs="宋体"/>
          <w:color w:val="auto"/>
        </w:rPr>
        <w:t>　　(1)我方承诺在收到中标通知书后，在中标通知书规定的期限内与你方签订合同；</w:t>
      </w:r>
    </w:p>
    <w:p>
      <w:pPr>
        <w:spacing w:line="360" w:lineRule="auto"/>
        <w:rPr>
          <w:rFonts w:hint="eastAsia" w:ascii="宋体" w:hAnsi="宋体" w:cs="宋体"/>
          <w:color w:val="auto"/>
        </w:rPr>
      </w:pPr>
      <w:r>
        <w:rPr>
          <w:rFonts w:hint="eastAsia" w:ascii="宋体" w:hAnsi="宋体" w:cs="宋体"/>
          <w:color w:val="auto"/>
        </w:rPr>
        <w:t>　　(</w:t>
      </w:r>
      <w:r>
        <w:rPr>
          <w:rFonts w:hint="eastAsia" w:ascii="宋体" w:hAnsi="宋体" w:cs="宋体"/>
          <w:color w:val="auto"/>
          <w:lang w:val="en-US" w:eastAsia="zh-CN"/>
        </w:rPr>
        <w:t>2</w:t>
      </w:r>
      <w:r>
        <w:rPr>
          <w:rFonts w:hint="eastAsia" w:ascii="宋体" w:hAnsi="宋体" w:cs="宋体"/>
          <w:color w:val="auto"/>
        </w:rPr>
        <w:t>)我方承诺按照</w:t>
      </w:r>
      <w:r>
        <w:rPr>
          <w:rFonts w:hint="eastAsia" w:ascii="宋体" w:hAnsi="宋体" w:cs="宋体"/>
          <w:color w:val="auto"/>
          <w:lang w:eastAsia="zh-CN"/>
        </w:rPr>
        <w:t>磋商</w:t>
      </w:r>
      <w:r>
        <w:rPr>
          <w:rFonts w:hint="eastAsia" w:ascii="宋体" w:hAnsi="宋体" w:cs="宋体"/>
          <w:color w:val="auto"/>
        </w:rPr>
        <w:t>文件规定向你方递交履约担保；</w:t>
      </w:r>
    </w:p>
    <w:p>
      <w:pPr>
        <w:spacing w:line="360" w:lineRule="auto"/>
        <w:rPr>
          <w:rFonts w:hint="eastAsia" w:ascii="宋体" w:hAnsi="宋体" w:cs="宋体"/>
          <w:color w:val="auto"/>
        </w:rPr>
      </w:pPr>
      <w:r>
        <w:rPr>
          <w:rFonts w:hint="eastAsia" w:ascii="宋体" w:hAnsi="宋体" w:cs="宋体"/>
          <w:color w:val="auto"/>
        </w:rPr>
        <w:t>　　(</w:t>
      </w:r>
      <w:r>
        <w:rPr>
          <w:rFonts w:hint="eastAsia" w:ascii="宋体" w:hAnsi="宋体" w:cs="宋体"/>
          <w:color w:val="auto"/>
          <w:lang w:val="en-US" w:eastAsia="zh-CN"/>
        </w:rPr>
        <w:t>3</w:t>
      </w:r>
      <w:r>
        <w:rPr>
          <w:rFonts w:hint="eastAsia" w:ascii="宋体" w:hAnsi="宋体" w:cs="宋体"/>
          <w:color w:val="auto"/>
        </w:rPr>
        <w:t>)我方承诺在合同约定的期限内完成并移交全部合同工程。</w:t>
      </w:r>
    </w:p>
    <w:p>
      <w:pPr>
        <w:spacing w:line="360" w:lineRule="auto"/>
        <w:rPr>
          <w:rFonts w:hint="eastAsia" w:ascii="宋体" w:hAnsi="宋体" w:cs="宋体"/>
          <w:color w:val="auto"/>
        </w:rPr>
      </w:pPr>
      <w:r>
        <w:rPr>
          <w:rFonts w:hint="eastAsia" w:ascii="宋体" w:hAnsi="宋体" w:cs="宋体"/>
          <w:color w:val="auto"/>
        </w:rPr>
        <w:t>　　5.我方在此声明，所递交的</w:t>
      </w:r>
      <w:r>
        <w:rPr>
          <w:rFonts w:hint="eastAsia" w:ascii="宋体" w:hAnsi="宋体" w:cs="宋体"/>
          <w:color w:val="auto"/>
          <w:lang w:eastAsia="zh-CN"/>
        </w:rPr>
        <w:t>响应</w:t>
      </w:r>
      <w:r>
        <w:rPr>
          <w:rFonts w:hint="eastAsia" w:ascii="宋体" w:hAnsi="宋体" w:cs="宋体"/>
          <w:color w:val="auto"/>
        </w:rPr>
        <w:t>文件及有关资料内容完整、真实和准确。</w:t>
      </w:r>
    </w:p>
    <w:p>
      <w:pPr>
        <w:spacing w:line="360" w:lineRule="auto"/>
        <w:rPr>
          <w:rFonts w:hint="eastAsia" w:ascii="宋体" w:hAnsi="宋体" w:cs="宋体"/>
          <w:color w:val="auto"/>
        </w:rPr>
      </w:pPr>
      <w:r>
        <w:rPr>
          <w:rFonts w:hint="eastAsia" w:ascii="宋体" w:hAnsi="宋体" w:cs="宋体"/>
          <w:color w:val="auto"/>
        </w:rPr>
        <w:t>　　6.(其它补充说明)。</w:t>
      </w:r>
    </w:p>
    <w:p>
      <w:pPr>
        <w:spacing w:line="400" w:lineRule="exact"/>
        <w:ind w:firstLine="480"/>
        <w:jc w:val="center"/>
        <w:rPr>
          <w:rFonts w:hint="eastAsia"/>
          <w:highlight w:val="none"/>
        </w:rPr>
      </w:pPr>
    </w:p>
    <w:p>
      <w:pPr>
        <w:spacing w:line="400" w:lineRule="exact"/>
        <w:ind w:firstLine="480"/>
        <w:jc w:val="center"/>
        <w:rPr>
          <w:rFonts w:hint="eastAsia"/>
          <w:highlight w:val="none"/>
        </w:rPr>
      </w:pPr>
    </w:p>
    <w:p>
      <w:pPr>
        <w:spacing w:line="400" w:lineRule="exact"/>
        <w:ind w:firstLine="560"/>
        <w:jc w:val="center"/>
        <w:rPr>
          <w:rFonts w:hint="eastAsia"/>
          <w:sz w:val="28"/>
          <w:szCs w:val="28"/>
          <w:highlight w:val="none"/>
        </w:rPr>
      </w:pPr>
    </w:p>
    <w:p>
      <w:pPr>
        <w:adjustRightInd w:val="0"/>
        <w:spacing w:line="400" w:lineRule="exact"/>
        <w:ind w:firstLine="560"/>
        <w:textAlignment w:val="baseline"/>
        <w:rPr>
          <w:rFonts w:hint="eastAsia"/>
          <w:sz w:val="28"/>
          <w:szCs w:val="28"/>
          <w:highlight w:val="none"/>
        </w:rPr>
      </w:pPr>
    </w:p>
    <w:p>
      <w:pPr>
        <w:adjustRightInd w:val="0"/>
        <w:spacing w:line="400" w:lineRule="exact"/>
        <w:ind w:firstLine="560"/>
        <w:textAlignment w:val="baseline"/>
        <w:rPr>
          <w:rFonts w:hint="eastAsia"/>
          <w:sz w:val="28"/>
          <w:szCs w:val="28"/>
          <w:highlight w:val="none"/>
        </w:rPr>
      </w:pPr>
    </w:p>
    <w:p>
      <w:pPr>
        <w:spacing w:line="400" w:lineRule="exact"/>
        <w:ind w:firstLine="560"/>
        <w:jc w:val="center"/>
        <w:rPr>
          <w:rFonts w:hint="eastAsia"/>
          <w:b/>
          <w:highlight w:val="none"/>
        </w:rPr>
      </w:pPr>
      <w:r>
        <w:rPr>
          <w:rFonts w:hint="eastAsia"/>
          <w:sz w:val="28"/>
          <w:szCs w:val="28"/>
          <w:highlight w:val="none"/>
        </w:rPr>
        <w:t xml:space="preserve">            </w:t>
      </w:r>
      <w:r>
        <w:rPr>
          <w:rFonts w:hint="eastAsia"/>
          <w:b/>
          <w:highlight w:val="none"/>
        </w:rPr>
        <w:t>供应商：</w:t>
      </w:r>
      <w:r>
        <w:rPr>
          <w:rFonts w:hint="eastAsia"/>
          <w:highlight w:val="none"/>
          <w:u w:val="single"/>
        </w:rPr>
        <w:t xml:space="preserve">       </w:t>
      </w:r>
      <w:r>
        <w:rPr>
          <w:rFonts w:hint="eastAsia"/>
          <w:b/>
          <w:highlight w:val="none"/>
        </w:rPr>
        <w:t>（公章）</w:t>
      </w:r>
    </w:p>
    <w:p>
      <w:pPr>
        <w:spacing w:line="400" w:lineRule="exact"/>
        <w:ind w:firstLine="482"/>
        <w:jc w:val="center"/>
        <w:rPr>
          <w:rFonts w:hint="eastAsia"/>
          <w:b/>
          <w:highlight w:val="none"/>
        </w:rPr>
      </w:pPr>
      <w:r>
        <w:rPr>
          <w:rFonts w:hint="eastAsia"/>
          <w:b/>
          <w:highlight w:val="none"/>
        </w:rPr>
        <w:t xml:space="preserve">        法定代表人或委托代理人：</w:t>
      </w:r>
      <w:r>
        <w:rPr>
          <w:rFonts w:hint="eastAsia"/>
          <w:highlight w:val="none"/>
          <w:u w:val="single"/>
        </w:rPr>
        <w:t xml:space="preserve">       </w:t>
      </w:r>
      <w:r>
        <w:rPr>
          <w:rFonts w:hint="eastAsia"/>
          <w:b/>
          <w:highlight w:val="none"/>
        </w:rPr>
        <w:t>（签字或盖章）</w:t>
      </w:r>
    </w:p>
    <w:p>
      <w:pPr>
        <w:spacing w:line="400" w:lineRule="exact"/>
        <w:ind w:firstLine="480"/>
        <w:jc w:val="center"/>
        <w:rPr>
          <w:rFonts w:hint="eastAsia"/>
          <w:b/>
          <w:sz w:val="36"/>
          <w:szCs w:val="36"/>
          <w:highlight w:val="none"/>
        </w:rPr>
      </w:pPr>
      <w:r>
        <w:rPr>
          <w:rFonts w:hint="eastAsia"/>
          <w:highlight w:val="none"/>
        </w:rPr>
        <w:t xml:space="preserve">              </w:t>
      </w:r>
      <w:r>
        <w:rPr>
          <w:rFonts w:hint="eastAsia"/>
          <w:b/>
          <w:highlight w:val="none"/>
        </w:rPr>
        <w:t xml:space="preserve"> 年   月  日</w:t>
      </w:r>
    </w:p>
    <w:p>
      <w:pPr>
        <w:spacing w:line="400" w:lineRule="exact"/>
        <w:ind w:firstLine="2127" w:firstLineChars="662"/>
        <w:contextualSpacing/>
        <w:rPr>
          <w:rFonts w:hint="eastAsia"/>
          <w:b/>
          <w:bCs/>
          <w:sz w:val="32"/>
          <w:szCs w:val="32"/>
          <w:highlight w:val="none"/>
        </w:rPr>
      </w:pPr>
      <w:r>
        <w:rPr>
          <w:rFonts w:hint="eastAsia"/>
          <w:b/>
          <w:bCs/>
          <w:sz w:val="32"/>
          <w:szCs w:val="32"/>
          <w:highlight w:val="none"/>
        </w:rPr>
        <w:br w:type="page"/>
      </w:r>
      <w:r>
        <w:rPr>
          <w:rFonts w:hint="eastAsia"/>
          <w:b/>
          <w:bCs/>
          <w:sz w:val="32"/>
          <w:szCs w:val="32"/>
          <w:highlight w:val="none"/>
        </w:rPr>
        <w:t>（二）竞争性磋商首次报价表</w:t>
      </w:r>
    </w:p>
    <w:p>
      <w:pPr>
        <w:spacing w:line="400" w:lineRule="exact"/>
        <w:ind w:firstLine="2711" w:firstLineChars="750"/>
        <w:rPr>
          <w:rFonts w:hint="eastAsia"/>
          <w:b/>
          <w:sz w:val="36"/>
          <w:szCs w:val="36"/>
          <w:highlight w:val="none"/>
        </w:rPr>
      </w:pPr>
    </w:p>
    <w:p>
      <w:pPr>
        <w:spacing w:line="400" w:lineRule="exact"/>
        <w:rPr>
          <w:rFonts w:hint="eastAsia"/>
          <w:b/>
          <w:highlight w:val="none"/>
        </w:rPr>
      </w:pPr>
      <w:r>
        <w:rPr>
          <w:rFonts w:hint="eastAsia"/>
          <w:b/>
          <w:highlight w:val="none"/>
        </w:rPr>
        <w:t xml:space="preserve">供应商名称（盖章）：                                       </w:t>
      </w:r>
    </w:p>
    <w:p>
      <w:pPr>
        <w:spacing w:line="400" w:lineRule="exact"/>
        <w:jc w:val="right"/>
        <w:rPr>
          <w:rFonts w:hint="eastAsia"/>
          <w:b/>
          <w:highlight w:val="none"/>
        </w:rPr>
      </w:pPr>
      <w:r>
        <w:rPr>
          <w:rFonts w:hint="eastAsia"/>
          <w:highlight w:val="none"/>
        </w:rPr>
        <w:t>磋商日期：202</w:t>
      </w:r>
      <w:r>
        <w:rPr>
          <w:rFonts w:hint="eastAsia"/>
          <w:highlight w:val="none"/>
          <w:lang w:val="en-US" w:eastAsia="zh-CN"/>
        </w:rPr>
        <w:t>2</w:t>
      </w:r>
      <w:r>
        <w:rPr>
          <w:rFonts w:hint="eastAsia"/>
          <w:highlight w:val="none"/>
        </w:rPr>
        <w:t>年　月　日</w:t>
      </w:r>
    </w:p>
    <w:tbl>
      <w:tblPr>
        <w:tblStyle w:val="68"/>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003"/>
        <w:gridCol w:w="2278"/>
        <w:gridCol w:w="3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852" w:type="dxa"/>
            <w:noWrap w:val="0"/>
            <w:vAlign w:val="center"/>
          </w:tcPr>
          <w:p>
            <w:pPr>
              <w:spacing w:line="400" w:lineRule="exact"/>
              <w:jc w:val="center"/>
              <w:rPr>
                <w:rFonts w:hint="eastAsia"/>
                <w:bCs/>
                <w:highlight w:val="none"/>
              </w:rPr>
            </w:pPr>
            <w:r>
              <w:rPr>
                <w:rFonts w:hint="eastAsia"/>
                <w:bCs/>
                <w:highlight w:val="none"/>
              </w:rPr>
              <w:t>序号</w:t>
            </w:r>
          </w:p>
        </w:tc>
        <w:tc>
          <w:tcPr>
            <w:tcW w:w="3003" w:type="dxa"/>
            <w:noWrap w:val="0"/>
            <w:vAlign w:val="center"/>
          </w:tcPr>
          <w:p>
            <w:pPr>
              <w:spacing w:line="400" w:lineRule="exact"/>
              <w:jc w:val="center"/>
              <w:rPr>
                <w:rFonts w:hint="eastAsia"/>
                <w:bCs/>
                <w:highlight w:val="none"/>
              </w:rPr>
            </w:pPr>
            <w:r>
              <w:rPr>
                <w:rFonts w:hint="eastAsia"/>
                <w:bCs/>
                <w:highlight w:val="none"/>
              </w:rPr>
              <w:t>项目名称</w:t>
            </w:r>
          </w:p>
        </w:tc>
        <w:tc>
          <w:tcPr>
            <w:tcW w:w="2278" w:type="dxa"/>
            <w:noWrap w:val="0"/>
            <w:vAlign w:val="center"/>
          </w:tcPr>
          <w:p>
            <w:pPr>
              <w:spacing w:line="400" w:lineRule="exact"/>
              <w:jc w:val="center"/>
              <w:rPr>
                <w:rFonts w:hint="eastAsia"/>
                <w:bCs/>
                <w:highlight w:val="none"/>
              </w:rPr>
            </w:pPr>
            <w:r>
              <w:rPr>
                <w:rFonts w:hint="eastAsia"/>
                <w:bCs/>
                <w:highlight w:val="none"/>
              </w:rPr>
              <w:t>工程质量</w:t>
            </w:r>
          </w:p>
        </w:tc>
        <w:tc>
          <w:tcPr>
            <w:tcW w:w="3442" w:type="dxa"/>
            <w:noWrap w:val="0"/>
            <w:vAlign w:val="center"/>
          </w:tcPr>
          <w:p>
            <w:pPr>
              <w:spacing w:line="400" w:lineRule="exact"/>
              <w:jc w:val="center"/>
              <w:rPr>
                <w:rFonts w:hint="eastAsia"/>
                <w:highlight w:val="none"/>
              </w:rPr>
            </w:pPr>
            <w:r>
              <w:rPr>
                <w:rFonts w:hint="eastAsia"/>
                <w:bCs/>
                <w:highlight w:val="none"/>
              </w:rPr>
              <w:t>工期（日历天）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852" w:type="dxa"/>
            <w:noWrap w:val="0"/>
            <w:vAlign w:val="center"/>
          </w:tcPr>
          <w:p>
            <w:pPr>
              <w:spacing w:line="400" w:lineRule="exact"/>
              <w:jc w:val="center"/>
              <w:rPr>
                <w:rFonts w:hint="eastAsia"/>
                <w:highlight w:val="none"/>
              </w:rPr>
            </w:pPr>
          </w:p>
        </w:tc>
        <w:tc>
          <w:tcPr>
            <w:tcW w:w="3003" w:type="dxa"/>
            <w:noWrap w:val="0"/>
            <w:vAlign w:val="center"/>
          </w:tcPr>
          <w:p>
            <w:pPr>
              <w:spacing w:line="400" w:lineRule="exact"/>
              <w:jc w:val="center"/>
              <w:rPr>
                <w:rFonts w:hint="eastAsia"/>
                <w:highlight w:val="none"/>
              </w:rPr>
            </w:pPr>
          </w:p>
        </w:tc>
        <w:tc>
          <w:tcPr>
            <w:tcW w:w="2278" w:type="dxa"/>
            <w:noWrap w:val="0"/>
            <w:vAlign w:val="center"/>
          </w:tcPr>
          <w:p>
            <w:pPr>
              <w:spacing w:line="400" w:lineRule="exact"/>
              <w:jc w:val="center"/>
              <w:rPr>
                <w:rFonts w:hint="eastAsia"/>
                <w:highlight w:val="none"/>
              </w:rPr>
            </w:pPr>
          </w:p>
        </w:tc>
        <w:tc>
          <w:tcPr>
            <w:tcW w:w="3442" w:type="dxa"/>
            <w:noWrap w:val="0"/>
            <w:vAlign w:val="center"/>
          </w:tcPr>
          <w:p>
            <w:pPr>
              <w:spacing w:line="400" w:lineRule="exact"/>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3855" w:type="dxa"/>
            <w:gridSpan w:val="2"/>
            <w:noWrap w:val="0"/>
            <w:vAlign w:val="center"/>
          </w:tcPr>
          <w:p>
            <w:pPr>
              <w:spacing w:line="400" w:lineRule="exact"/>
              <w:rPr>
                <w:rFonts w:hint="eastAsia"/>
                <w:highlight w:val="none"/>
              </w:rPr>
            </w:pPr>
            <w:r>
              <w:rPr>
                <w:rFonts w:hint="eastAsia"/>
                <w:highlight w:val="none"/>
              </w:rPr>
              <w:t>磋商报价（大写）</w:t>
            </w:r>
          </w:p>
          <w:p>
            <w:pPr>
              <w:spacing w:line="400" w:lineRule="exact"/>
              <w:ind w:firstLine="960" w:firstLineChars="400"/>
              <w:rPr>
                <w:rFonts w:hint="eastAsia"/>
                <w:highlight w:val="none"/>
              </w:rPr>
            </w:pPr>
            <w:r>
              <w:rPr>
                <w:rFonts w:hint="eastAsia"/>
                <w:highlight w:val="none"/>
              </w:rPr>
              <w:t>（小写）</w:t>
            </w:r>
          </w:p>
        </w:tc>
        <w:tc>
          <w:tcPr>
            <w:tcW w:w="5720" w:type="dxa"/>
            <w:gridSpan w:val="2"/>
            <w:noWrap w:val="0"/>
            <w:vAlign w:val="center"/>
          </w:tcPr>
          <w:p>
            <w:pPr>
              <w:spacing w:line="400" w:lineRule="exact"/>
              <w:rPr>
                <w:rFonts w:hint="eastAsia"/>
                <w:highlight w:val="none"/>
              </w:rPr>
            </w:pPr>
          </w:p>
        </w:tc>
      </w:tr>
    </w:tbl>
    <w:p>
      <w:pPr>
        <w:autoSpaceDE w:val="0"/>
        <w:autoSpaceDN w:val="0"/>
        <w:adjustRightInd w:val="0"/>
        <w:spacing w:line="400" w:lineRule="exact"/>
        <w:ind w:firstLine="480"/>
        <w:rPr>
          <w:rFonts w:hint="eastAsia"/>
          <w:highlight w:val="none"/>
          <w:lang w:val="zh-CN"/>
        </w:rPr>
      </w:pPr>
      <w:r>
        <w:rPr>
          <w:rFonts w:hint="eastAsia"/>
          <w:highlight w:val="none"/>
          <w:lang w:val="zh-CN"/>
        </w:rPr>
        <w:t>注：1.填写此表时不得改变表格形式。</w:t>
      </w:r>
    </w:p>
    <w:p>
      <w:pPr>
        <w:autoSpaceDE w:val="0"/>
        <w:autoSpaceDN w:val="0"/>
        <w:adjustRightInd w:val="0"/>
        <w:spacing w:line="400" w:lineRule="exact"/>
        <w:ind w:firstLine="480"/>
        <w:rPr>
          <w:rFonts w:hint="eastAsia"/>
          <w:highlight w:val="none"/>
        </w:rPr>
      </w:pPr>
      <w:r>
        <w:rPr>
          <w:rFonts w:hint="eastAsia"/>
          <w:highlight w:val="none"/>
        </w:rPr>
        <w:t xml:space="preserve">    2.</w:t>
      </w:r>
      <w:r>
        <w:rPr>
          <w:rFonts w:hint="eastAsia"/>
          <w:highlight w:val="none"/>
          <w:lang w:val="zh-CN"/>
        </w:rPr>
        <w:t>竞争性磋商报价必须包括：施工总价、保险费、税金、招标代理服务费及不可预见费等全部费用</w:t>
      </w:r>
      <w:r>
        <w:rPr>
          <w:rFonts w:hint="eastAsia"/>
          <w:highlight w:val="none"/>
        </w:rPr>
        <w:t xml:space="preserve">。 </w:t>
      </w:r>
    </w:p>
    <w:p>
      <w:pPr>
        <w:autoSpaceDE w:val="0"/>
        <w:autoSpaceDN w:val="0"/>
        <w:adjustRightInd w:val="0"/>
        <w:spacing w:line="400" w:lineRule="exact"/>
        <w:ind w:firstLine="960" w:firstLineChars="400"/>
        <w:rPr>
          <w:rFonts w:hint="eastAsia"/>
          <w:highlight w:val="none"/>
          <w:lang w:val="zh-CN"/>
        </w:rPr>
      </w:pPr>
      <w:r>
        <w:rPr>
          <w:rFonts w:hint="eastAsia"/>
          <w:highlight w:val="none"/>
          <w:lang w:val="zh-CN"/>
        </w:rPr>
        <w:t>3.“工期”是指供应商能够工程施工总日历天。</w:t>
      </w:r>
    </w:p>
    <w:p>
      <w:pPr>
        <w:autoSpaceDE w:val="0"/>
        <w:autoSpaceDN w:val="0"/>
        <w:adjustRightInd w:val="0"/>
        <w:spacing w:line="400" w:lineRule="exact"/>
        <w:ind w:firstLine="960" w:firstLineChars="400"/>
        <w:rPr>
          <w:rFonts w:hint="eastAsia"/>
          <w:highlight w:val="none"/>
          <w:lang w:val="zh-CN"/>
        </w:rPr>
      </w:pPr>
      <w:r>
        <w:rPr>
          <w:rFonts w:hint="eastAsia"/>
          <w:highlight w:val="none"/>
        </w:rPr>
        <w:t>4.</w:t>
      </w:r>
      <w:r>
        <w:rPr>
          <w:rFonts w:hint="eastAsia"/>
          <w:highlight w:val="none"/>
          <w:lang w:val="zh-CN"/>
        </w:rPr>
        <w:t>竞争性磋商最初报价不能有两个或两个以上的报价方案。</w:t>
      </w:r>
    </w:p>
    <w:p>
      <w:pPr>
        <w:adjustRightInd w:val="0"/>
        <w:spacing w:line="400" w:lineRule="exact"/>
        <w:textAlignment w:val="baseline"/>
        <w:rPr>
          <w:rFonts w:hint="eastAsia"/>
          <w:b/>
          <w:highlight w:val="none"/>
        </w:rPr>
      </w:pPr>
      <w:r>
        <w:rPr>
          <w:rFonts w:hint="eastAsia"/>
          <w:b/>
          <w:highlight w:val="none"/>
        </w:rPr>
        <w:t xml:space="preserve"> </w:t>
      </w:r>
    </w:p>
    <w:p>
      <w:pPr>
        <w:adjustRightInd w:val="0"/>
        <w:spacing w:line="400" w:lineRule="exact"/>
        <w:textAlignment w:val="baseline"/>
        <w:rPr>
          <w:rFonts w:hint="eastAsia"/>
          <w:b/>
          <w:highlight w:val="none"/>
        </w:rPr>
      </w:pPr>
    </w:p>
    <w:p>
      <w:pPr>
        <w:adjustRightInd w:val="0"/>
        <w:spacing w:line="400" w:lineRule="exact"/>
        <w:textAlignment w:val="baseline"/>
        <w:rPr>
          <w:rFonts w:hint="eastAsia"/>
          <w:highlight w:val="none"/>
        </w:rPr>
      </w:pPr>
    </w:p>
    <w:p>
      <w:pPr>
        <w:adjustRightInd w:val="0"/>
        <w:spacing w:line="400" w:lineRule="exact"/>
        <w:textAlignment w:val="baseline"/>
        <w:rPr>
          <w:rFonts w:hint="eastAsia"/>
          <w:highlight w:val="none"/>
        </w:rPr>
      </w:pPr>
    </w:p>
    <w:p>
      <w:pPr>
        <w:spacing w:line="400" w:lineRule="exact"/>
        <w:ind w:firstLine="480"/>
        <w:jc w:val="center"/>
        <w:rPr>
          <w:rFonts w:hint="eastAsia"/>
          <w:highlight w:val="none"/>
        </w:rPr>
      </w:pPr>
    </w:p>
    <w:p>
      <w:pPr>
        <w:spacing w:line="400" w:lineRule="exact"/>
        <w:rPr>
          <w:rFonts w:hint="eastAsia"/>
          <w:highlight w:val="none"/>
        </w:rPr>
      </w:pPr>
    </w:p>
    <w:p>
      <w:pPr>
        <w:spacing w:line="400" w:lineRule="exact"/>
        <w:ind w:firstLine="2532" w:firstLineChars="1055"/>
        <w:rPr>
          <w:rFonts w:hint="eastAsia"/>
          <w:highlight w:val="none"/>
        </w:rPr>
      </w:pPr>
    </w:p>
    <w:p>
      <w:pPr>
        <w:spacing w:line="400" w:lineRule="exact"/>
        <w:ind w:firstLine="482"/>
        <w:jc w:val="center"/>
        <w:rPr>
          <w:rFonts w:hint="eastAsia"/>
          <w:b/>
          <w:highlight w:val="none"/>
        </w:rPr>
      </w:pPr>
      <w:r>
        <w:rPr>
          <w:rFonts w:hint="eastAsia"/>
          <w:b/>
          <w:highlight w:val="none"/>
        </w:rPr>
        <w:t xml:space="preserve">                      供应商：</w:t>
      </w:r>
      <w:r>
        <w:rPr>
          <w:rFonts w:hint="eastAsia"/>
          <w:highlight w:val="none"/>
          <w:u w:val="single"/>
        </w:rPr>
        <w:t xml:space="preserve">       </w:t>
      </w:r>
      <w:r>
        <w:rPr>
          <w:rFonts w:hint="eastAsia"/>
          <w:b/>
          <w:highlight w:val="none"/>
        </w:rPr>
        <w:t>（公章）</w:t>
      </w:r>
    </w:p>
    <w:p>
      <w:pPr>
        <w:spacing w:line="400" w:lineRule="exact"/>
        <w:ind w:firstLine="482"/>
        <w:jc w:val="center"/>
        <w:rPr>
          <w:rFonts w:hint="eastAsia"/>
          <w:b/>
          <w:highlight w:val="none"/>
        </w:rPr>
      </w:pPr>
      <w:r>
        <w:rPr>
          <w:rFonts w:hint="eastAsia"/>
          <w:b/>
          <w:highlight w:val="none"/>
        </w:rPr>
        <w:t xml:space="preserve">                  法定代表人或委托代理人：</w:t>
      </w:r>
      <w:r>
        <w:rPr>
          <w:rFonts w:hint="eastAsia"/>
          <w:highlight w:val="none"/>
          <w:u w:val="single"/>
        </w:rPr>
        <w:t xml:space="preserve">       </w:t>
      </w:r>
      <w:r>
        <w:rPr>
          <w:rFonts w:hint="eastAsia"/>
          <w:b/>
          <w:highlight w:val="none"/>
        </w:rPr>
        <w:t>（签字或盖章）</w:t>
      </w:r>
    </w:p>
    <w:p>
      <w:pPr>
        <w:spacing w:line="400" w:lineRule="exact"/>
        <w:ind w:firstLine="482"/>
        <w:jc w:val="center"/>
        <w:rPr>
          <w:rFonts w:hint="eastAsia"/>
          <w:b/>
          <w:highlight w:val="none"/>
        </w:rPr>
      </w:pPr>
      <w:r>
        <w:rPr>
          <w:rFonts w:hint="eastAsia"/>
          <w:b/>
          <w:highlight w:val="none"/>
        </w:rPr>
        <w:t xml:space="preserve">             年   月  日</w:t>
      </w: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napToGrid w:val="0"/>
        <w:spacing w:line="400" w:lineRule="exact"/>
        <w:outlineLvl w:val="1"/>
        <w:rPr>
          <w:rFonts w:hint="eastAsia"/>
          <w:b/>
          <w:sz w:val="28"/>
          <w:szCs w:val="28"/>
          <w:highlight w:val="none"/>
        </w:rPr>
        <w:sectPr>
          <w:pgSz w:w="11850" w:h="16783"/>
          <w:pgMar w:top="1440" w:right="1167" w:bottom="1440" w:left="1083" w:header="850" w:footer="992" w:gutter="0"/>
          <w:cols w:space="720" w:num="1"/>
          <w:docGrid w:linePitch="312" w:charSpace="0"/>
        </w:sectPr>
      </w:pPr>
      <w:bookmarkStart w:id="278" w:name="_Toc12468"/>
    </w:p>
    <w:p>
      <w:pPr>
        <w:snapToGrid w:val="0"/>
        <w:spacing w:line="400" w:lineRule="exact"/>
        <w:outlineLvl w:val="1"/>
        <w:rPr>
          <w:rFonts w:hint="eastAsia"/>
          <w:b/>
          <w:sz w:val="28"/>
          <w:szCs w:val="28"/>
          <w:highlight w:val="none"/>
        </w:rPr>
      </w:pPr>
      <w:bookmarkStart w:id="279" w:name="_Toc6002"/>
      <w:r>
        <w:rPr>
          <w:rFonts w:hint="eastAsia"/>
          <w:b/>
          <w:sz w:val="28"/>
          <w:szCs w:val="28"/>
          <w:highlight w:val="none"/>
        </w:rPr>
        <w:t>附件</w:t>
      </w:r>
      <w:bookmarkStart w:id="280" w:name="_Toc325726043"/>
      <w:bookmarkStart w:id="281" w:name="_Toc376936774"/>
      <w:bookmarkStart w:id="282" w:name="_Toc376936773"/>
      <w:bookmarkStart w:id="283" w:name="_Toc325726042"/>
      <w:r>
        <w:rPr>
          <w:rFonts w:hint="eastAsia"/>
          <w:b/>
          <w:sz w:val="28"/>
          <w:szCs w:val="28"/>
          <w:highlight w:val="none"/>
        </w:rPr>
        <w:t>4：法定代表人证明书</w:t>
      </w:r>
      <w:bookmarkEnd w:id="278"/>
      <w:bookmarkEnd w:id="279"/>
      <w:bookmarkEnd w:id="280"/>
      <w:bookmarkEnd w:id="281"/>
    </w:p>
    <w:p>
      <w:pPr>
        <w:spacing w:line="400" w:lineRule="exact"/>
        <w:ind w:firstLine="723"/>
        <w:jc w:val="center"/>
        <w:rPr>
          <w:rFonts w:hint="eastAsia"/>
          <w:b/>
          <w:bCs/>
          <w:sz w:val="36"/>
          <w:szCs w:val="36"/>
          <w:highlight w:val="none"/>
        </w:rPr>
      </w:pPr>
    </w:p>
    <w:p>
      <w:pPr>
        <w:spacing w:line="400" w:lineRule="exact"/>
        <w:ind w:firstLine="723"/>
        <w:jc w:val="center"/>
        <w:rPr>
          <w:rFonts w:hint="eastAsia"/>
          <w:b/>
          <w:bCs/>
          <w:sz w:val="36"/>
          <w:szCs w:val="36"/>
          <w:highlight w:val="none"/>
        </w:rPr>
      </w:pPr>
      <w:r>
        <w:rPr>
          <w:rFonts w:hint="eastAsia"/>
          <w:b/>
          <w:bCs/>
          <w:sz w:val="36"/>
          <w:szCs w:val="36"/>
          <w:highlight w:val="none"/>
        </w:rPr>
        <w:t>法定代表人证明书</w:t>
      </w:r>
    </w:p>
    <w:p>
      <w:pPr>
        <w:spacing w:line="400" w:lineRule="exact"/>
        <w:rPr>
          <w:rFonts w:hint="eastAsia"/>
          <w:b/>
          <w:bCs/>
          <w:highlight w:val="none"/>
        </w:rPr>
      </w:pPr>
    </w:p>
    <w:p>
      <w:pPr>
        <w:adjustRightInd w:val="0"/>
        <w:spacing w:line="400" w:lineRule="exact"/>
        <w:textAlignment w:val="baseline"/>
        <w:rPr>
          <w:rFonts w:hint="eastAsia" w:eastAsia="宋体"/>
          <w:b/>
          <w:highlight w:val="none"/>
          <w:lang w:eastAsia="zh-CN"/>
        </w:rPr>
      </w:pPr>
      <w:r>
        <w:rPr>
          <w:rFonts w:hint="eastAsia"/>
          <w:b/>
          <w:bCs/>
          <w:highlight w:val="none"/>
        </w:rPr>
        <w:t>致：</w:t>
      </w:r>
      <w:r>
        <w:rPr>
          <w:rFonts w:hint="eastAsia"/>
          <w:b/>
          <w:highlight w:val="none"/>
          <w:lang w:eastAsia="zh-CN"/>
        </w:rPr>
        <w:t>青海天达工程管理有限公司</w:t>
      </w:r>
    </w:p>
    <w:p>
      <w:pPr>
        <w:spacing w:line="400" w:lineRule="exact"/>
        <w:rPr>
          <w:rFonts w:hint="eastAsia"/>
          <w:b/>
          <w:bCs/>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r>
        <w:rPr>
          <w:rFonts w:hint="eastAsia"/>
          <w:highlight w:val="none"/>
          <w:u w:val="single"/>
        </w:rPr>
        <w:t xml:space="preserve">  （法定代表人姓名）  </w:t>
      </w:r>
      <w:r>
        <w:rPr>
          <w:rFonts w:hint="eastAsia"/>
          <w:highlight w:val="none"/>
        </w:rPr>
        <w:t>现任我单位</w:t>
      </w:r>
      <w:r>
        <w:rPr>
          <w:rFonts w:hint="eastAsia"/>
          <w:highlight w:val="none"/>
          <w:u w:val="single"/>
        </w:rPr>
        <w:t xml:space="preserve">              </w:t>
      </w:r>
      <w:r>
        <w:rPr>
          <w:rFonts w:hint="eastAsia"/>
          <w:highlight w:val="none"/>
        </w:rPr>
        <w:t>职务，为法定代表人，特此证明。</w:t>
      </w: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r>
        <w:rPr>
          <w:rFonts w:hint="eastAsia"/>
          <w:highlight w:val="none"/>
        </w:rPr>
        <w:t>法定代表人基本情况：</w:t>
      </w:r>
    </w:p>
    <w:p>
      <w:pPr>
        <w:autoSpaceDE w:val="0"/>
        <w:autoSpaceDN w:val="0"/>
        <w:adjustRightInd w:val="0"/>
        <w:spacing w:line="400" w:lineRule="exact"/>
        <w:ind w:firstLine="480"/>
        <w:rPr>
          <w:rFonts w:hint="eastAsia"/>
          <w:highlight w:val="none"/>
        </w:rPr>
      </w:pPr>
      <w:r>
        <w:rPr>
          <w:rFonts w:hint="eastAsia"/>
          <w:highlight w:val="none"/>
        </w:rPr>
        <w:t>性别：</w:t>
      </w:r>
      <w:r>
        <w:rPr>
          <w:rFonts w:hint="eastAsia"/>
          <w:highlight w:val="none"/>
          <w:u w:val="single"/>
        </w:rPr>
        <w:t xml:space="preserve">      </w:t>
      </w:r>
      <w:r>
        <w:rPr>
          <w:rFonts w:hint="eastAsia"/>
          <w:highlight w:val="none"/>
        </w:rPr>
        <w:t>年龄：</w:t>
      </w:r>
      <w:r>
        <w:rPr>
          <w:rFonts w:hint="eastAsia"/>
          <w:highlight w:val="none"/>
          <w:u w:val="single"/>
        </w:rPr>
        <w:t xml:space="preserve">       </w:t>
      </w:r>
      <w:r>
        <w:rPr>
          <w:rFonts w:hint="eastAsia"/>
          <w:highlight w:val="none"/>
        </w:rPr>
        <w:t>民族：</w:t>
      </w:r>
      <w:r>
        <w:rPr>
          <w:rFonts w:hint="eastAsia"/>
          <w:highlight w:val="none"/>
          <w:u w:val="single"/>
        </w:rPr>
        <w:t xml:space="preserve">     </w:t>
      </w:r>
    </w:p>
    <w:p>
      <w:pPr>
        <w:autoSpaceDE w:val="0"/>
        <w:autoSpaceDN w:val="0"/>
        <w:adjustRightInd w:val="0"/>
        <w:spacing w:line="400" w:lineRule="exact"/>
        <w:ind w:firstLine="480"/>
        <w:rPr>
          <w:rFonts w:hint="eastAsia"/>
          <w:highlight w:val="none"/>
        </w:rPr>
      </w:pPr>
      <w:r>
        <w:rPr>
          <w:rFonts w:hint="eastAsia"/>
          <w:highlight w:val="none"/>
        </w:rPr>
        <w:t>地址：</w:t>
      </w:r>
      <w:r>
        <w:rPr>
          <w:rFonts w:hint="eastAsia"/>
          <w:highlight w:val="none"/>
          <w:u w:val="single"/>
        </w:rPr>
        <w:t xml:space="preserve">                 </w:t>
      </w:r>
    </w:p>
    <w:p>
      <w:pPr>
        <w:autoSpaceDE w:val="0"/>
        <w:autoSpaceDN w:val="0"/>
        <w:adjustRightInd w:val="0"/>
        <w:spacing w:line="400" w:lineRule="exact"/>
        <w:ind w:firstLine="480"/>
        <w:rPr>
          <w:rFonts w:hint="eastAsia"/>
          <w:highlight w:val="none"/>
          <w:u w:val="single"/>
        </w:rPr>
      </w:pPr>
      <w:r>
        <w:rPr>
          <w:rFonts w:hint="eastAsia"/>
          <w:highlight w:val="none"/>
        </w:rPr>
        <w:t>身份证号码：</w:t>
      </w:r>
      <w:r>
        <w:rPr>
          <w:rFonts w:hint="eastAsia"/>
          <w:highlight w:val="none"/>
          <w:u w:val="single"/>
        </w:rPr>
        <w:t xml:space="preserve">                 </w:t>
      </w:r>
    </w:p>
    <w:p>
      <w:pPr>
        <w:autoSpaceDE w:val="0"/>
        <w:autoSpaceDN w:val="0"/>
        <w:adjustRightInd w:val="0"/>
        <w:spacing w:line="400" w:lineRule="exact"/>
        <w:ind w:firstLine="480"/>
        <w:rPr>
          <w:rFonts w:hint="eastAsia"/>
          <w:highlight w:val="none"/>
        </w:rPr>
      </w:pPr>
      <w:r>
        <w:rPr>
          <w:rFonts w:hint="eastAsia"/>
          <w:highlight w:val="none"/>
        </w:rPr>
        <w:t>附法定代表人第二代身份证双面扫描（或复印）件</w:t>
      </w: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rPr>
          <w:rFonts w:hint="eastAsia"/>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ind w:firstLine="480"/>
        <w:rPr>
          <w:rFonts w:hint="eastAsia"/>
          <w:highlight w:val="none"/>
        </w:rPr>
      </w:pPr>
    </w:p>
    <w:p>
      <w:pPr>
        <w:autoSpaceDE w:val="0"/>
        <w:autoSpaceDN w:val="0"/>
        <w:adjustRightInd w:val="0"/>
        <w:spacing w:line="400" w:lineRule="exact"/>
        <w:rPr>
          <w:rFonts w:hint="eastAsia"/>
          <w:highlight w:val="none"/>
        </w:rPr>
      </w:pPr>
    </w:p>
    <w:p>
      <w:pPr>
        <w:spacing w:line="400" w:lineRule="exact"/>
        <w:ind w:firstLine="3614" w:firstLineChars="1500"/>
        <w:rPr>
          <w:rFonts w:hint="eastAsia"/>
          <w:b/>
          <w:highlight w:val="none"/>
        </w:rPr>
      </w:pPr>
      <w:r>
        <w:rPr>
          <w:rFonts w:hint="eastAsia"/>
          <w:b/>
          <w:highlight w:val="none"/>
        </w:rPr>
        <w:t>供应商：</w:t>
      </w:r>
      <w:r>
        <w:rPr>
          <w:rFonts w:hint="eastAsia"/>
          <w:highlight w:val="none"/>
          <w:u w:val="single"/>
        </w:rPr>
        <w:t xml:space="preserve">       </w:t>
      </w:r>
      <w:r>
        <w:rPr>
          <w:rFonts w:hint="eastAsia"/>
          <w:b/>
          <w:highlight w:val="none"/>
        </w:rPr>
        <w:t>（公章）</w:t>
      </w:r>
    </w:p>
    <w:p>
      <w:pPr>
        <w:spacing w:line="400" w:lineRule="exact"/>
        <w:ind w:firstLine="3614" w:firstLineChars="1500"/>
        <w:rPr>
          <w:rFonts w:hint="eastAsia"/>
          <w:b/>
          <w:highlight w:val="none"/>
        </w:rPr>
      </w:pPr>
      <w:r>
        <w:rPr>
          <w:rFonts w:hint="eastAsia"/>
          <w:b/>
          <w:highlight w:val="none"/>
        </w:rPr>
        <w:t>法定代表人：</w:t>
      </w:r>
      <w:r>
        <w:rPr>
          <w:rFonts w:hint="eastAsia"/>
          <w:highlight w:val="none"/>
          <w:u w:val="single"/>
        </w:rPr>
        <w:t xml:space="preserve">       </w:t>
      </w:r>
      <w:r>
        <w:rPr>
          <w:rFonts w:hint="eastAsia"/>
          <w:b/>
          <w:highlight w:val="none"/>
        </w:rPr>
        <w:t>（签字或盖章）</w:t>
      </w:r>
    </w:p>
    <w:p>
      <w:pPr>
        <w:spacing w:line="400" w:lineRule="exact"/>
        <w:ind w:firstLine="482"/>
        <w:jc w:val="center"/>
        <w:rPr>
          <w:rFonts w:hint="eastAsia"/>
          <w:b/>
          <w:highlight w:val="none"/>
        </w:rPr>
      </w:pPr>
      <w:r>
        <w:rPr>
          <w:rFonts w:hint="eastAsia"/>
          <w:b/>
          <w:highlight w:val="none"/>
        </w:rPr>
        <w:t xml:space="preserve">               年   月   日</w:t>
      </w:r>
    </w:p>
    <w:bookmarkEnd w:id="282"/>
    <w:bookmarkEnd w:id="283"/>
    <w:p>
      <w:pPr>
        <w:spacing w:line="400" w:lineRule="exact"/>
        <w:rPr>
          <w:rFonts w:hint="eastAsia"/>
          <w:b/>
          <w:bCs/>
          <w:highlight w:val="none"/>
        </w:rPr>
      </w:pPr>
    </w:p>
    <w:p>
      <w:pPr>
        <w:spacing w:line="400" w:lineRule="exact"/>
        <w:rPr>
          <w:rFonts w:hint="eastAsia"/>
          <w:b/>
          <w:bCs/>
          <w:highlight w:val="none"/>
        </w:rPr>
      </w:pPr>
    </w:p>
    <w:p>
      <w:pPr>
        <w:snapToGrid w:val="0"/>
        <w:spacing w:line="400" w:lineRule="exact"/>
        <w:outlineLvl w:val="1"/>
        <w:rPr>
          <w:rFonts w:hint="eastAsia"/>
          <w:b/>
          <w:sz w:val="28"/>
          <w:szCs w:val="28"/>
          <w:highlight w:val="none"/>
        </w:rPr>
      </w:pPr>
      <w:bookmarkStart w:id="284" w:name="_Toc201287639"/>
      <w:bookmarkStart w:id="285" w:name="_Toc324756736"/>
      <w:bookmarkStart w:id="286" w:name="_Toc15744"/>
      <w:r>
        <w:rPr>
          <w:rFonts w:hint="eastAsia"/>
          <w:b/>
          <w:sz w:val="28"/>
          <w:szCs w:val="28"/>
          <w:highlight w:val="none"/>
        </w:rPr>
        <w:br w:type="page"/>
      </w:r>
      <w:bookmarkStart w:id="287" w:name="_Toc16954"/>
      <w:r>
        <w:rPr>
          <w:rFonts w:hint="eastAsia"/>
          <w:b/>
          <w:sz w:val="28"/>
          <w:szCs w:val="28"/>
          <w:highlight w:val="none"/>
        </w:rPr>
        <w:t>附件</w:t>
      </w:r>
      <w:bookmarkEnd w:id="284"/>
      <w:bookmarkEnd w:id="285"/>
      <w:r>
        <w:rPr>
          <w:rFonts w:hint="eastAsia"/>
          <w:b/>
          <w:sz w:val="28"/>
          <w:szCs w:val="28"/>
          <w:highlight w:val="none"/>
        </w:rPr>
        <w:t>5：法定代表人授权书</w:t>
      </w:r>
      <w:bookmarkEnd w:id="286"/>
      <w:bookmarkEnd w:id="287"/>
    </w:p>
    <w:p>
      <w:pPr>
        <w:spacing w:line="400" w:lineRule="exact"/>
        <w:ind w:firstLine="3813" w:firstLineChars="1055"/>
        <w:rPr>
          <w:rFonts w:hint="eastAsia"/>
          <w:b/>
          <w:sz w:val="36"/>
          <w:szCs w:val="36"/>
          <w:highlight w:val="none"/>
        </w:rPr>
      </w:pPr>
    </w:p>
    <w:p>
      <w:pPr>
        <w:spacing w:line="400" w:lineRule="exact"/>
        <w:ind w:firstLine="2909" w:firstLineChars="805"/>
        <w:rPr>
          <w:rFonts w:hint="eastAsia"/>
          <w:b/>
          <w:sz w:val="36"/>
          <w:szCs w:val="36"/>
          <w:highlight w:val="none"/>
        </w:rPr>
      </w:pPr>
      <w:r>
        <w:rPr>
          <w:rFonts w:hint="eastAsia"/>
          <w:b/>
          <w:sz w:val="36"/>
          <w:szCs w:val="36"/>
          <w:highlight w:val="none"/>
        </w:rPr>
        <w:t>法定代表人授权书</w:t>
      </w:r>
    </w:p>
    <w:p>
      <w:pPr>
        <w:spacing w:line="400" w:lineRule="exact"/>
        <w:ind w:firstLine="198" w:firstLineChars="82"/>
        <w:rPr>
          <w:rFonts w:hint="eastAsia"/>
          <w:b/>
          <w:bCs/>
          <w:highlight w:val="none"/>
        </w:rPr>
      </w:pPr>
    </w:p>
    <w:p>
      <w:pPr>
        <w:adjustRightInd w:val="0"/>
        <w:spacing w:line="400" w:lineRule="exact"/>
        <w:textAlignment w:val="baseline"/>
        <w:rPr>
          <w:rFonts w:hint="eastAsia" w:eastAsia="宋体"/>
          <w:b/>
          <w:highlight w:val="none"/>
          <w:lang w:eastAsia="zh-CN"/>
        </w:rPr>
      </w:pPr>
      <w:r>
        <w:rPr>
          <w:rFonts w:hint="eastAsia"/>
          <w:b/>
          <w:bCs/>
          <w:highlight w:val="none"/>
        </w:rPr>
        <w:t>致：</w:t>
      </w:r>
      <w:r>
        <w:rPr>
          <w:rFonts w:hint="eastAsia"/>
          <w:b/>
          <w:highlight w:val="none"/>
          <w:lang w:eastAsia="zh-CN"/>
        </w:rPr>
        <w:t>青海天达工程管理有限公司</w:t>
      </w:r>
    </w:p>
    <w:p>
      <w:pPr>
        <w:spacing w:line="400" w:lineRule="exact"/>
        <w:rPr>
          <w:rFonts w:hint="eastAsia"/>
          <w:highlight w:val="none"/>
          <w:u w:val="single"/>
        </w:rPr>
      </w:pPr>
    </w:p>
    <w:p>
      <w:pPr>
        <w:spacing w:line="400" w:lineRule="exact"/>
        <w:ind w:firstLine="480"/>
        <w:rPr>
          <w:rFonts w:hint="eastAsia"/>
          <w:highlight w:val="none"/>
        </w:rPr>
      </w:pPr>
      <w:r>
        <w:rPr>
          <w:rFonts w:hint="eastAsia"/>
          <w:highlight w:val="none"/>
          <w:u w:val="single"/>
        </w:rPr>
        <w:t>（供应商名称）</w:t>
      </w:r>
      <w:r>
        <w:rPr>
          <w:rFonts w:hint="eastAsia"/>
          <w:highlight w:val="none"/>
        </w:rPr>
        <w:t>系中华人民共和国合法企业，法定地址</w:t>
      </w:r>
      <w:r>
        <w:rPr>
          <w:rFonts w:hint="eastAsia"/>
          <w:highlight w:val="none"/>
          <w:u w:val="single"/>
        </w:rPr>
        <w:t xml:space="preserve">               </w:t>
      </w:r>
      <w:r>
        <w:rPr>
          <w:rFonts w:hint="eastAsia"/>
          <w:highlight w:val="none"/>
        </w:rPr>
        <w:t>。</w:t>
      </w:r>
    </w:p>
    <w:p>
      <w:pPr>
        <w:spacing w:line="400" w:lineRule="exact"/>
        <w:ind w:firstLine="480"/>
        <w:rPr>
          <w:rFonts w:hint="eastAsia"/>
          <w:highlight w:val="none"/>
        </w:rPr>
      </w:pPr>
      <w:r>
        <w:rPr>
          <w:rFonts w:hint="eastAsia"/>
          <w:highlight w:val="none"/>
          <w:u w:val="single"/>
        </w:rPr>
        <w:t xml:space="preserve">（法定代表人姓名）   </w:t>
      </w:r>
      <w:r>
        <w:rPr>
          <w:rFonts w:hint="eastAsia"/>
          <w:highlight w:val="none"/>
        </w:rPr>
        <w:t>特授权</w:t>
      </w:r>
      <w:r>
        <w:rPr>
          <w:rFonts w:hint="eastAsia"/>
          <w:highlight w:val="none"/>
          <w:u w:val="single"/>
        </w:rPr>
        <w:t xml:space="preserve"> （委托代理人姓名）    </w:t>
      </w:r>
      <w:r>
        <w:rPr>
          <w:rFonts w:hint="eastAsia"/>
          <w:highlight w:val="none"/>
        </w:rPr>
        <w:t>代表我单位全权办理针对</w:t>
      </w:r>
      <w:r>
        <w:rPr>
          <w:rFonts w:hint="eastAsia"/>
          <w:highlight w:val="none"/>
          <w:u w:val="single"/>
        </w:rPr>
        <w:t xml:space="preserve">                </w:t>
      </w:r>
      <w:r>
        <w:rPr>
          <w:rFonts w:hint="eastAsia"/>
          <w:highlight w:val="none"/>
        </w:rPr>
        <w:t>项目的磋商、答疑等具体工作，并签署全部有关的文件、资料。</w:t>
      </w:r>
    </w:p>
    <w:p>
      <w:pPr>
        <w:spacing w:line="400" w:lineRule="exact"/>
        <w:ind w:firstLine="480"/>
        <w:rPr>
          <w:rFonts w:hint="eastAsia"/>
          <w:highlight w:val="none"/>
        </w:rPr>
      </w:pPr>
      <w:r>
        <w:rPr>
          <w:rFonts w:hint="eastAsia"/>
          <w:highlight w:val="none"/>
        </w:rPr>
        <w:t>我单位对被授权人的签名负全部责任。</w:t>
      </w:r>
    </w:p>
    <w:p>
      <w:pPr>
        <w:spacing w:line="400" w:lineRule="exact"/>
        <w:ind w:firstLine="480"/>
        <w:rPr>
          <w:rFonts w:hint="eastAsia"/>
          <w:highlight w:val="none"/>
        </w:rPr>
      </w:pPr>
      <w:r>
        <w:rPr>
          <w:rFonts w:hint="eastAsia"/>
          <w:highlight w:val="none"/>
        </w:rPr>
        <w:t>在撤销授权的书面通知以前，本授权书一直有效，被授权人签署的所有文件（在授权书有效期内签署的）不因授权的撤销而失效。</w:t>
      </w:r>
    </w:p>
    <w:p>
      <w:pPr>
        <w:spacing w:line="400" w:lineRule="exact"/>
        <w:ind w:firstLine="480"/>
        <w:rPr>
          <w:rFonts w:hint="eastAsia"/>
          <w:highlight w:val="none"/>
        </w:rPr>
      </w:pPr>
    </w:p>
    <w:p>
      <w:pPr>
        <w:spacing w:line="400" w:lineRule="exact"/>
        <w:ind w:firstLine="480"/>
        <w:rPr>
          <w:rFonts w:hint="eastAsia"/>
          <w:highlight w:val="none"/>
        </w:rPr>
      </w:pPr>
      <w:r>
        <w:rPr>
          <w:rFonts w:hint="eastAsia"/>
          <w:highlight w:val="none"/>
        </w:rPr>
        <w:t>授权期限：自</w:t>
      </w:r>
      <w:r>
        <w:rPr>
          <w:rFonts w:hint="eastAsia"/>
          <w:highlight w:val="none"/>
          <w:u w:val="single"/>
        </w:rPr>
        <w:t xml:space="preserve">     </w:t>
      </w:r>
      <w:r>
        <w:rPr>
          <w:rFonts w:hint="eastAsia"/>
          <w:highlight w:val="none"/>
        </w:rPr>
        <w:t xml:space="preserve"> 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日起至</w:t>
      </w:r>
      <w:r>
        <w:rPr>
          <w:rFonts w:hint="eastAsia"/>
          <w:highlight w:val="none"/>
          <w:u w:val="single"/>
        </w:rPr>
        <w:t xml:space="preserve">     </w:t>
      </w:r>
      <w:r>
        <w:rPr>
          <w:rFonts w:hint="eastAsia"/>
          <w:highlight w:val="none"/>
        </w:rPr>
        <w:t xml:space="preserve"> 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日止。</w:t>
      </w:r>
    </w:p>
    <w:p>
      <w:pPr>
        <w:spacing w:line="400" w:lineRule="exact"/>
        <w:ind w:firstLine="480"/>
        <w:rPr>
          <w:rFonts w:hint="eastAsia"/>
          <w:highlight w:val="none"/>
        </w:rPr>
      </w:pPr>
      <w:r>
        <w:rPr>
          <w:rFonts w:hint="eastAsia"/>
          <w:highlight w:val="none"/>
        </w:rPr>
        <w:t>被授权人联系电话：</w:t>
      </w:r>
      <w:r>
        <w:rPr>
          <w:rFonts w:hint="eastAsia"/>
          <w:highlight w:val="none"/>
          <w:u w:val="single"/>
        </w:rPr>
        <w:t xml:space="preserve">           </w:t>
      </w:r>
    </w:p>
    <w:p>
      <w:pPr>
        <w:spacing w:line="400" w:lineRule="exact"/>
        <w:ind w:firstLine="480"/>
        <w:rPr>
          <w:rFonts w:hint="eastAsia"/>
          <w:highlight w:val="none"/>
        </w:rPr>
      </w:pPr>
    </w:p>
    <w:p>
      <w:pPr>
        <w:spacing w:line="400" w:lineRule="exact"/>
        <w:rPr>
          <w:rFonts w:hint="eastAsia"/>
          <w:highlight w:val="none"/>
        </w:rPr>
      </w:pPr>
    </w:p>
    <w:p>
      <w:pPr>
        <w:spacing w:line="400" w:lineRule="exact"/>
        <w:ind w:firstLine="480"/>
        <w:rPr>
          <w:rFonts w:hint="eastAsia"/>
          <w:highlight w:val="none"/>
          <w:u w:val="single"/>
        </w:rPr>
      </w:pPr>
      <w:r>
        <w:rPr>
          <w:rFonts w:hint="eastAsia"/>
          <w:highlight w:val="none"/>
        </w:rPr>
        <w:t>被授权人（委托代理人）签字：</w:t>
      </w:r>
      <w:r>
        <w:rPr>
          <w:rFonts w:hint="eastAsia"/>
          <w:highlight w:val="none"/>
          <w:u w:val="single"/>
        </w:rPr>
        <w:t xml:space="preserve">      </w:t>
      </w:r>
      <w:r>
        <w:rPr>
          <w:rFonts w:hint="eastAsia"/>
          <w:highlight w:val="none"/>
        </w:rPr>
        <w:t xml:space="preserve">   授权人（法定代表人）签字：</w:t>
      </w:r>
      <w:r>
        <w:rPr>
          <w:rFonts w:hint="eastAsia"/>
          <w:highlight w:val="none"/>
          <w:u w:val="single"/>
        </w:rPr>
        <w:t xml:space="preserve">          </w:t>
      </w:r>
    </w:p>
    <w:p>
      <w:pPr>
        <w:spacing w:line="400" w:lineRule="exact"/>
        <w:ind w:firstLine="480"/>
        <w:rPr>
          <w:rFonts w:hint="eastAsia"/>
          <w:highlight w:val="none"/>
        </w:rPr>
      </w:pPr>
      <w:r>
        <w:rPr>
          <w:rFonts w:hint="eastAsia"/>
          <w:highlight w:val="none"/>
        </w:rPr>
        <w:t>职务：</w:t>
      </w:r>
      <w:r>
        <w:rPr>
          <w:rFonts w:hint="eastAsia"/>
          <w:highlight w:val="none"/>
          <w:u w:val="single"/>
        </w:rPr>
        <w:t xml:space="preserve">            </w:t>
      </w:r>
      <w:r>
        <w:rPr>
          <w:rFonts w:hint="eastAsia"/>
          <w:highlight w:val="none"/>
        </w:rPr>
        <w:t xml:space="preserve">                   职务：</w:t>
      </w:r>
      <w:r>
        <w:rPr>
          <w:rFonts w:hint="eastAsia"/>
          <w:highlight w:val="none"/>
          <w:u w:val="single"/>
        </w:rPr>
        <w:t xml:space="preserve">            </w:t>
      </w:r>
    </w:p>
    <w:p>
      <w:pPr>
        <w:autoSpaceDE w:val="0"/>
        <w:autoSpaceDN w:val="0"/>
        <w:adjustRightInd w:val="0"/>
        <w:spacing w:line="400" w:lineRule="exact"/>
        <w:ind w:firstLine="480"/>
        <w:rPr>
          <w:rFonts w:hint="eastAsia"/>
          <w:highlight w:val="none"/>
        </w:rPr>
      </w:pPr>
      <w:r>
        <w:rPr>
          <w:rFonts w:hint="eastAsia"/>
          <w:highlight w:val="none"/>
        </w:rPr>
        <w:t>附被授权人第二代身份证双面扫描（或复印）件</w:t>
      </w:r>
    </w:p>
    <w:p>
      <w:pPr>
        <w:spacing w:line="400" w:lineRule="exact"/>
        <w:rPr>
          <w:rFonts w:hint="eastAsia"/>
          <w:highlight w:val="none"/>
        </w:rPr>
      </w:pPr>
    </w:p>
    <w:p>
      <w:pPr>
        <w:spacing w:line="400" w:lineRule="exact"/>
        <w:rPr>
          <w:rFonts w:hint="eastAsia"/>
          <w:highlight w:val="none"/>
        </w:rPr>
      </w:pPr>
    </w:p>
    <w:p>
      <w:pPr>
        <w:spacing w:line="400" w:lineRule="exact"/>
        <w:ind w:firstLine="4168" w:firstLineChars="1737"/>
        <w:rPr>
          <w:rFonts w:hint="eastAsia"/>
          <w:b/>
          <w:highlight w:val="none"/>
        </w:rPr>
      </w:pPr>
      <w:r>
        <w:rPr>
          <w:rFonts w:hint="eastAsia"/>
          <w:highlight w:val="none"/>
        </w:rPr>
        <w:t xml:space="preserve">  </w:t>
      </w:r>
      <w:r>
        <w:rPr>
          <w:rFonts w:hint="eastAsia"/>
          <w:b/>
          <w:highlight w:val="none"/>
        </w:rPr>
        <w:t>供应商：</w:t>
      </w:r>
      <w:r>
        <w:rPr>
          <w:rFonts w:hint="eastAsia"/>
          <w:highlight w:val="none"/>
          <w:u w:val="single"/>
        </w:rPr>
        <w:t xml:space="preserve">       </w:t>
      </w:r>
      <w:r>
        <w:rPr>
          <w:rFonts w:hint="eastAsia"/>
          <w:b/>
          <w:highlight w:val="none"/>
        </w:rPr>
        <w:t>（公章）</w:t>
      </w:r>
    </w:p>
    <w:p>
      <w:pPr>
        <w:spacing w:line="400" w:lineRule="exact"/>
        <w:ind w:firstLine="4322" w:firstLineChars="1794"/>
        <w:rPr>
          <w:rFonts w:hint="eastAsia"/>
          <w:b/>
          <w:highlight w:val="none"/>
        </w:rPr>
      </w:pPr>
      <w:r>
        <w:rPr>
          <w:rFonts w:hint="eastAsia"/>
          <w:b/>
          <w:highlight w:val="none"/>
        </w:rPr>
        <w:t>法定代表人：</w:t>
      </w:r>
      <w:r>
        <w:rPr>
          <w:rFonts w:hint="eastAsia"/>
          <w:highlight w:val="none"/>
          <w:u w:val="single"/>
        </w:rPr>
        <w:t xml:space="preserve">       </w:t>
      </w:r>
      <w:r>
        <w:rPr>
          <w:rFonts w:hint="eastAsia"/>
          <w:b/>
          <w:highlight w:val="none"/>
        </w:rPr>
        <w:t>（签字或盖章）</w:t>
      </w:r>
    </w:p>
    <w:p>
      <w:pPr>
        <w:spacing w:line="400" w:lineRule="exact"/>
        <w:ind w:firstLine="482"/>
        <w:jc w:val="center"/>
        <w:rPr>
          <w:rFonts w:hint="eastAsia"/>
          <w:b/>
          <w:highlight w:val="none"/>
        </w:rPr>
      </w:pPr>
      <w:r>
        <w:rPr>
          <w:rFonts w:hint="eastAsia"/>
          <w:b/>
          <w:highlight w:val="none"/>
        </w:rPr>
        <w:t xml:space="preserve">               年   月   日</w:t>
      </w:r>
    </w:p>
    <w:p>
      <w:pPr>
        <w:spacing w:line="400" w:lineRule="exact"/>
        <w:rPr>
          <w:rFonts w:hint="eastAsia"/>
          <w:b/>
          <w:bCs/>
          <w:sz w:val="28"/>
          <w:szCs w:val="28"/>
          <w:highlight w:val="none"/>
        </w:rPr>
      </w:pPr>
    </w:p>
    <w:p>
      <w:pPr>
        <w:spacing w:line="400" w:lineRule="exact"/>
        <w:rPr>
          <w:rFonts w:hint="eastAsia"/>
          <w:b/>
          <w:bCs/>
          <w:sz w:val="28"/>
          <w:szCs w:val="28"/>
          <w:highlight w:val="none"/>
        </w:rPr>
      </w:pPr>
    </w:p>
    <w:p>
      <w:pPr>
        <w:spacing w:line="400" w:lineRule="exact"/>
        <w:rPr>
          <w:rFonts w:hint="eastAsia"/>
          <w:b/>
          <w:bCs/>
          <w:sz w:val="28"/>
          <w:szCs w:val="28"/>
          <w:highlight w:val="none"/>
        </w:rPr>
      </w:pPr>
    </w:p>
    <w:p>
      <w:pPr>
        <w:snapToGrid w:val="0"/>
        <w:spacing w:line="400" w:lineRule="exact"/>
        <w:outlineLvl w:val="1"/>
        <w:rPr>
          <w:rFonts w:hint="eastAsia"/>
          <w:b/>
          <w:sz w:val="28"/>
          <w:szCs w:val="28"/>
          <w:highlight w:val="none"/>
        </w:rPr>
      </w:pPr>
      <w:bookmarkStart w:id="288" w:name="_Toc14392"/>
      <w:r>
        <w:rPr>
          <w:rFonts w:hint="eastAsia"/>
          <w:b/>
          <w:sz w:val="28"/>
          <w:szCs w:val="28"/>
          <w:highlight w:val="none"/>
        </w:rPr>
        <w:br w:type="page"/>
      </w:r>
      <w:bookmarkStart w:id="289" w:name="_Toc9579"/>
      <w:r>
        <w:rPr>
          <w:rFonts w:hint="eastAsia"/>
          <w:b/>
          <w:sz w:val="28"/>
          <w:szCs w:val="28"/>
          <w:highlight w:val="none"/>
        </w:rPr>
        <w:t>附件6：供应商</w:t>
      </w:r>
      <w:r>
        <w:rPr>
          <w:rFonts w:hint="eastAsia"/>
          <w:b/>
          <w:bCs/>
          <w:sz w:val="28"/>
          <w:szCs w:val="28"/>
          <w:highlight w:val="none"/>
          <w:lang w:val="zh-CN"/>
        </w:rPr>
        <w:t>承诺函</w:t>
      </w:r>
      <w:bookmarkEnd w:id="289"/>
    </w:p>
    <w:p>
      <w:pPr>
        <w:spacing w:line="400" w:lineRule="exact"/>
        <w:ind w:firstLine="2909" w:firstLineChars="805"/>
        <w:rPr>
          <w:rFonts w:hint="eastAsia"/>
          <w:b/>
          <w:sz w:val="36"/>
          <w:szCs w:val="36"/>
          <w:highlight w:val="none"/>
        </w:rPr>
      </w:pPr>
    </w:p>
    <w:p>
      <w:pPr>
        <w:spacing w:line="400" w:lineRule="exact"/>
        <w:ind w:firstLine="3632" w:firstLineChars="1005"/>
        <w:rPr>
          <w:rFonts w:hint="eastAsia"/>
          <w:b/>
          <w:sz w:val="36"/>
          <w:szCs w:val="36"/>
          <w:highlight w:val="none"/>
          <w:lang w:val="zh-CN"/>
        </w:rPr>
      </w:pPr>
      <w:r>
        <w:rPr>
          <w:rFonts w:hint="eastAsia"/>
          <w:b/>
          <w:sz w:val="36"/>
          <w:szCs w:val="36"/>
          <w:highlight w:val="none"/>
        </w:rPr>
        <w:t>供应商</w:t>
      </w:r>
      <w:r>
        <w:rPr>
          <w:rFonts w:hint="eastAsia"/>
          <w:b/>
          <w:sz w:val="36"/>
          <w:szCs w:val="36"/>
          <w:highlight w:val="none"/>
          <w:lang w:val="zh-CN"/>
        </w:rPr>
        <w:t>承诺函</w:t>
      </w:r>
    </w:p>
    <w:p>
      <w:pPr>
        <w:autoSpaceDE w:val="0"/>
        <w:autoSpaceDN w:val="0"/>
        <w:spacing w:line="360" w:lineRule="auto"/>
        <w:rPr>
          <w:rFonts w:hint="eastAsia"/>
          <w:b/>
          <w:bCs/>
          <w:highlight w:val="none"/>
          <w:lang w:val="zh-CN"/>
        </w:rPr>
      </w:pPr>
    </w:p>
    <w:p>
      <w:pPr>
        <w:adjustRightInd w:val="0"/>
        <w:spacing w:line="400" w:lineRule="exact"/>
        <w:textAlignment w:val="baseline"/>
        <w:rPr>
          <w:rFonts w:hint="eastAsia" w:eastAsia="宋体"/>
          <w:b/>
          <w:highlight w:val="none"/>
          <w:lang w:eastAsia="zh-CN"/>
        </w:rPr>
      </w:pPr>
      <w:r>
        <w:rPr>
          <w:rFonts w:hint="eastAsia"/>
          <w:b/>
          <w:bCs/>
          <w:highlight w:val="none"/>
        </w:rPr>
        <w:t>致：</w:t>
      </w:r>
      <w:r>
        <w:rPr>
          <w:rFonts w:hint="eastAsia"/>
          <w:b/>
          <w:highlight w:val="none"/>
          <w:lang w:eastAsia="zh-CN"/>
        </w:rPr>
        <w:t>青海天达工程管理有限公司</w:t>
      </w:r>
    </w:p>
    <w:p>
      <w:pPr>
        <w:pStyle w:val="26"/>
        <w:rPr>
          <w:rFonts w:hint="eastAsia"/>
          <w:highlight w:val="none"/>
        </w:rPr>
      </w:pPr>
    </w:p>
    <w:p>
      <w:pPr>
        <w:autoSpaceDE w:val="0"/>
        <w:autoSpaceDN w:val="0"/>
        <w:spacing w:line="360" w:lineRule="auto"/>
        <w:ind w:firstLine="480"/>
        <w:rPr>
          <w:highlight w:val="none"/>
          <w:lang w:val="zh-CN"/>
        </w:rPr>
      </w:pPr>
      <w:r>
        <w:rPr>
          <w:rFonts w:hint="eastAsia"/>
          <w:highlight w:val="none"/>
          <w:lang w:val="zh-CN"/>
        </w:rPr>
        <w:t>关于贵方20</w:t>
      </w:r>
      <w:r>
        <w:rPr>
          <w:rFonts w:hint="eastAsia"/>
          <w:highlight w:val="none"/>
        </w:rPr>
        <w:t>XX</w:t>
      </w:r>
      <w:r>
        <w:rPr>
          <w:rFonts w:hint="eastAsia"/>
          <w:highlight w:val="none"/>
          <w:lang w:val="zh-CN"/>
        </w:rPr>
        <w:t>年</w:t>
      </w:r>
      <w:r>
        <w:rPr>
          <w:rFonts w:hint="eastAsia"/>
          <w:highlight w:val="none"/>
          <w:u w:val="single"/>
          <w:lang w:val="zh-CN"/>
        </w:rPr>
        <w:t xml:space="preserve">   </w:t>
      </w:r>
      <w:r>
        <w:rPr>
          <w:rFonts w:hint="eastAsia"/>
          <w:highlight w:val="none"/>
          <w:lang w:val="zh-CN"/>
        </w:rPr>
        <w:t>月</w:t>
      </w:r>
      <w:r>
        <w:rPr>
          <w:rFonts w:hint="eastAsia"/>
          <w:highlight w:val="none"/>
          <w:u w:val="single"/>
          <w:lang w:val="zh-CN"/>
        </w:rPr>
        <w:t xml:space="preserve">   </w:t>
      </w:r>
      <w:r>
        <w:rPr>
          <w:rFonts w:hint="eastAsia"/>
          <w:highlight w:val="none"/>
          <w:lang w:val="zh-CN"/>
        </w:rPr>
        <w:t>日</w:t>
      </w:r>
      <w:r>
        <w:rPr>
          <w:rFonts w:hint="eastAsia"/>
          <w:highlight w:val="none"/>
          <w:u w:val="single"/>
          <w:lang w:val="zh-CN"/>
        </w:rPr>
        <w:t xml:space="preserve">          (项目名称)</w:t>
      </w:r>
      <w:r>
        <w:rPr>
          <w:rFonts w:hint="eastAsia"/>
          <w:highlight w:val="none"/>
          <w:lang w:val="zh-CN"/>
        </w:rPr>
        <w:t>采购项目，本签字人愿意参加投标，提供</w:t>
      </w:r>
      <w:r>
        <w:rPr>
          <w:rFonts w:hint="eastAsia"/>
          <w:highlight w:val="none"/>
        </w:rPr>
        <w:t>工程量清单</w:t>
      </w:r>
      <w:r>
        <w:rPr>
          <w:rFonts w:hint="eastAsia"/>
          <w:highlight w:val="none"/>
          <w:lang w:val="zh-CN"/>
        </w:rPr>
        <w:t>中要求的所有</w:t>
      </w:r>
      <w:r>
        <w:rPr>
          <w:rFonts w:hint="eastAsia"/>
          <w:highlight w:val="none"/>
        </w:rPr>
        <w:t>内容</w:t>
      </w:r>
      <w:r>
        <w:rPr>
          <w:rFonts w:hint="eastAsia"/>
          <w:highlight w:val="none"/>
          <w:lang w:val="zh-CN"/>
        </w:rPr>
        <w:t>，并证实提交的所有资料是准确的和真实的。同时，我代表（</w:t>
      </w:r>
      <w:r>
        <w:rPr>
          <w:rFonts w:hint="eastAsia"/>
          <w:highlight w:val="none"/>
          <w:u w:val="single"/>
        </w:rPr>
        <w:t>供应商</w:t>
      </w:r>
      <w:r>
        <w:rPr>
          <w:rFonts w:hint="eastAsia"/>
          <w:highlight w:val="none"/>
          <w:u w:val="single"/>
          <w:lang w:val="zh-CN"/>
        </w:rPr>
        <w:t>名称</w:t>
      </w:r>
      <w:r>
        <w:rPr>
          <w:rFonts w:hint="eastAsia"/>
          <w:highlight w:val="none"/>
          <w:lang w:val="zh-CN"/>
        </w:rPr>
        <w:t>），在此作如下承诺：</w:t>
      </w:r>
    </w:p>
    <w:p>
      <w:pPr>
        <w:autoSpaceDE w:val="0"/>
        <w:autoSpaceDN w:val="0"/>
        <w:spacing w:line="360" w:lineRule="auto"/>
        <w:rPr>
          <w:highlight w:val="none"/>
          <w:lang w:val="zh-CN"/>
        </w:rPr>
      </w:pPr>
      <w:r>
        <w:rPr>
          <w:rFonts w:hint="eastAsia"/>
          <w:highlight w:val="none"/>
          <w:lang w:val="zh-CN"/>
        </w:rPr>
        <w:t xml:space="preserve">   </w:t>
      </w:r>
      <w:r>
        <w:rPr>
          <w:rFonts w:hint="eastAsia"/>
          <w:highlight w:val="none"/>
        </w:rPr>
        <w:t xml:space="preserve"> </w:t>
      </w:r>
      <w:r>
        <w:rPr>
          <w:rFonts w:hint="eastAsia"/>
          <w:highlight w:val="none"/>
          <w:lang w:val="zh-CN"/>
        </w:rPr>
        <w:t>1.完全理解和接受竞争性磋商文件的一切规定和要求；</w:t>
      </w:r>
    </w:p>
    <w:p>
      <w:pPr>
        <w:autoSpaceDE w:val="0"/>
        <w:autoSpaceDN w:val="0"/>
        <w:spacing w:line="360" w:lineRule="auto"/>
        <w:ind w:firstLine="480" w:firstLineChars="200"/>
        <w:rPr>
          <w:highlight w:val="none"/>
          <w:lang w:val="zh-CN"/>
        </w:rPr>
      </w:pPr>
      <w:r>
        <w:rPr>
          <w:rFonts w:hint="eastAsia"/>
          <w:highlight w:val="none"/>
          <w:lang w:val="zh-CN"/>
        </w:rPr>
        <w:t>2.若中标，我方将按照竞争性磋商文件的具体规定与采购人签订采购合同，并且严格履行合同义务，按时交货，提供优质的产品和服务。如果在合同执行过程中，发现质量、数量出现问题，我方一定尽快更换或补退货，并承担相应的经济责任；</w:t>
      </w:r>
    </w:p>
    <w:p>
      <w:pPr>
        <w:autoSpaceDE w:val="0"/>
        <w:autoSpaceDN w:val="0"/>
        <w:spacing w:line="360" w:lineRule="auto"/>
        <w:ind w:firstLine="480" w:firstLineChars="200"/>
        <w:rPr>
          <w:highlight w:val="none"/>
          <w:lang w:val="zh-CN"/>
        </w:rPr>
      </w:pPr>
      <w:r>
        <w:rPr>
          <w:rFonts w:hint="eastAsia"/>
          <w:highlight w:val="none"/>
          <w:lang w:val="zh-CN"/>
        </w:rPr>
        <w:t>3、我方保证甲方在使用该产品或其任何一部分时，不受第三方提出的侵犯专利权、著作权、商标权和工业设计权等知识产权的起诉，若有违犯，愿承担相应的一切责任。</w:t>
      </w:r>
    </w:p>
    <w:p>
      <w:pPr>
        <w:autoSpaceDE w:val="0"/>
        <w:autoSpaceDN w:val="0"/>
        <w:spacing w:line="360" w:lineRule="auto"/>
        <w:ind w:firstLine="480" w:firstLineChars="200"/>
        <w:rPr>
          <w:highlight w:val="none"/>
          <w:lang w:val="zh-CN"/>
        </w:rPr>
      </w:pPr>
      <w:r>
        <w:rPr>
          <w:rFonts w:hint="eastAsia"/>
          <w:highlight w:val="none"/>
          <w:lang w:val="zh-CN"/>
        </w:rPr>
        <w:t>4、我方承诺，除竞争性磋商文件中规定的进口产品外，所投的产品均为国产产品，且均符合国家强制性标准。若有不实，愿承担相应的责任。</w:t>
      </w:r>
    </w:p>
    <w:p>
      <w:pPr>
        <w:autoSpaceDE w:val="0"/>
        <w:autoSpaceDN w:val="0"/>
        <w:spacing w:line="360" w:lineRule="auto"/>
        <w:ind w:firstLine="480" w:firstLineChars="200"/>
        <w:rPr>
          <w:highlight w:val="none"/>
          <w:lang w:val="zh-CN"/>
        </w:rPr>
      </w:pPr>
      <w:r>
        <w:rPr>
          <w:rFonts w:hint="eastAsia"/>
          <w:highlight w:val="none"/>
          <w:lang w:val="zh-CN"/>
        </w:rPr>
        <w:t>5、在整个招标过程中我方若有违规行为，贵方可按竞争性磋商文件之规定给予处罚，我方完全接受。</w:t>
      </w:r>
    </w:p>
    <w:p>
      <w:pPr>
        <w:autoSpaceDE w:val="0"/>
        <w:autoSpaceDN w:val="0"/>
        <w:spacing w:line="360" w:lineRule="auto"/>
        <w:ind w:firstLine="480" w:firstLineChars="200"/>
        <w:rPr>
          <w:highlight w:val="none"/>
          <w:lang w:val="zh-CN"/>
        </w:rPr>
      </w:pPr>
      <w:r>
        <w:rPr>
          <w:rFonts w:hint="eastAsia"/>
          <w:highlight w:val="none"/>
          <w:lang w:val="zh-CN"/>
        </w:rPr>
        <w:t>6、若中标，本承诺将成为合同不可分割的一部分，与合同具有同等的法律效力。</w:t>
      </w:r>
    </w:p>
    <w:p>
      <w:pPr>
        <w:autoSpaceDE w:val="0"/>
        <w:autoSpaceDN w:val="0"/>
        <w:spacing w:line="360" w:lineRule="auto"/>
        <w:rPr>
          <w:highlight w:val="none"/>
          <w:lang w:val="zh-CN"/>
        </w:rPr>
      </w:pPr>
    </w:p>
    <w:p>
      <w:pPr>
        <w:autoSpaceDE w:val="0"/>
        <w:autoSpaceDN w:val="0"/>
        <w:spacing w:line="360" w:lineRule="auto"/>
        <w:rPr>
          <w:highlight w:val="none"/>
          <w:lang w:val="zh-CN"/>
        </w:rPr>
      </w:pPr>
    </w:p>
    <w:p>
      <w:pPr>
        <w:spacing w:line="400" w:lineRule="exact"/>
        <w:ind w:firstLine="560"/>
        <w:jc w:val="center"/>
        <w:rPr>
          <w:rFonts w:hint="eastAsia"/>
          <w:b/>
          <w:highlight w:val="none"/>
        </w:rPr>
      </w:pPr>
      <w:r>
        <w:rPr>
          <w:rFonts w:hint="eastAsia"/>
          <w:sz w:val="28"/>
          <w:szCs w:val="28"/>
          <w:highlight w:val="none"/>
        </w:rPr>
        <w:t xml:space="preserve"> </w:t>
      </w:r>
      <w:r>
        <w:rPr>
          <w:rFonts w:hint="eastAsia"/>
          <w:b/>
          <w:highlight w:val="none"/>
        </w:rPr>
        <w:t>供应商：</w:t>
      </w:r>
      <w:r>
        <w:rPr>
          <w:rFonts w:hint="eastAsia"/>
          <w:highlight w:val="none"/>
          <w:u w:val="single"/>
        </w:rPr>
        <w:t xml:space="preserve">       </w:t>
      </w:r>
      <w:r>
        <w:rPr>
          <w:rFonts w:hint="eastAsia"/>
          <w:b/>
          <w:highlight w:val="none"/>
        </w:rPr>
        <w:t>（公章）</w:t>
      </w:r>
    </w:p>
    <w:p>
      <w:pPr>
        <w:spacing w:line="400" w:lineRule="exact"/>
        <w:ind w:firstLine="482"/>
        <w:jc w:val="center"/>
        <w:rPr>
          <w:rFonts w:hint="eastAsia"/>
          <w:b/>
          <w:highlight w:val="none"/>
        </w:rPr>
      </w:pPr>
      <w:r>
        <w:rPr>
          <w:rFonts w:hint="eastAsia"/>
          <w:b/>
          <w:highlight w:val="none"/>
        </w:rPr>
        <w:t xml:space="preserve">        法定代表人或委托代理人：</w:t>
      </w:r>
      <w:r>
        <w:rPr>
          <w:rFonts w:hint="eastAsia"/>
          <w:highlight w:val="none"/>
          <w:u w:val="single"/>
        </w:rPr>
        <w:t xml:space="preserve">       </w:t>
      </w:r>
      <w:r>
        <w:rPr>
          <w:rFonts w:hint="eastAsia"/>
          <w:b/>
          <w:highlight w:val="none"/>
        </w:rPr>
        <w:t>（签字或盖章）</w:t>
      </w:r>
    </w:p>
    <w:p>
      <w:pPr>
        <w:autoSpaceDE w:val="0"/>
        <w:autoSpaceDN w:val="0"/>
        <w:spacing w:line="360" w:lineRule="auto"/>
        <w:jc w:val="center"/>
        <w:rPr>
          <w:rFonts w:hint="eastAsia"/>
          <w:b/>
          <w:bCs/>
          <w:highlight w:val="none"/>
          <w:lang w:val="zh-CN"/>
        </w:rPr>
      </w:pPr>
    </w:p>
    <w:p>
      <w:pPr>
        <w:snapToGrid w:val="0"/>
        <w:spacing w:line="400" w:lineRule="exact"/>
        <w:outlineLvl w:val="1"/>
        <w:rPr>
          <w:rFonts w:hint="eastAsia"/>
          <w:b/>
          <w:sz w:val="28"/>
          <w:szCs w:val="28"/>
          <w:highlight w:val="none"/>
        </w:rPr>
        <w:sectPr>
          <w:pgSz w:w="11850" w:h="16783"/>
          <w:pgMar w:top="1440" w:right="1167" w:bottom="1440" w:left="1083" w:header="850" w:footer="992" w:gutter="0"/>
          <w:cols w:space="720" w:num="1"/>
          <w:docGrid w:linePitch="312" w:charSpace="0"/>
        </w:sectPr>
      </w:pPr>
    </w:p>
    <w:p>
      <w:pPr>
        <w:snapToGrid w:val="0"/>
        <w:spacing w:line="400" w:lineRule="exact"/>
        <w:outlineLvl w:val="1"/>
        <w:rPr>
          <w:rFonts w:hint="eastAsia"/>
          <w:b/>
          <w:sz w:val="28"/>
          <w:szCs w:val="28"/>
          <w:highlight w:val="none"/>
        </w:rPr>
      </w:pPr>
      <w:bookmarkStart w:id="290" w:name="_Toc8298"/>
      <w:r>
        <w:rPr>
          <w:rFonts w:hint="eastAsia"/>
          <w:b/>
          <w:sz w:val="28"/>
          <w:szCs w:val="28"/>
          <w:highlight w:val="none"/>
        </w:rPr>
        <w:t>附件</w:t>
      </w:r>
      <w:bookmarkStart w:id="291" w:name="_Toc376936779"/>
      <w:bookmarkStart w:id="292" w:name="_Toc351475542"/>
      <w:bookmarkStart w:id="293" w:name="_Toc365019584"/>
      <w:r>
        <w:rPr>
          <w:rFonts w:hint="eastAsia"/>
          <w:b/>
          <w:sz w:val="28"/>
          <w:szCs w:val="28"/>
          <w:highlight w:val="none"/>
        </w:rPr>
        <w:t>7：供应商诚信承诺书</w:t>
      </w:r>
      <w:bookmarkEnd w:id="288"/>
      <w:bookmarkEnd w:id="290"/>
      <w:bookmarkEnd w:id="291"/>
      <w:bookmarkEnd w:id="292"/>
      <w:bookmarkEnd w:id="293"/>
    </w:p>
    <w:p>
      <w:pPr>
        <w:spacing w:line="400" w:lineRule="exact"/>
        <w:ind w:firstLine="480"/>
        <w:rPr>
          <w:rFonts w:hint="eastAsia"/>
          <w:highlight w:val="none"/>
        </w:rPr>
      </w:pPr>
    </w:p>
    <w:p>
      <w:pPr>
        <w:spacing w:line="400" w:lineRule="exact"/>
        <w:ind w:firstLine="2729" w:firstLineChars="755"/>
        <w:rPr>
          <w:rFonts w:hint="eastAsia"/>
          <w:b/>
          <w:sz w:val="36"/>
          <w:szCs w:val="36"/>
          <w:highlight w:val="none"/>
        </w:rPr>
      </w:pPr>
      <w:r>
        <w:rPr>
          <w:rFonts w:hint="eastAsia"/>
          <w:b/>
          <w:sz w:val="36"/>
          <w:szCs w:val="36"/>
          <w:highlight w:val="none"/>
        </w:rPr>
        <w:t>供应商诚信承诺书</w:t>
      </w:r>
    </w:p>
    <w:p>
      <w:pPr>
        <w:spacing w:line="400" w:lineRule="exact"/>
        <w:ind w:firstLine="2729" w:firstLineChars="755"/>
        <w:rPr>
          <w:rFonts w:hint="eastAsia"/>
          <w:b/>
          <w:sz w:val="36"/>
          <w:szCs w:val="36"/>
          <w:highlight w:val="none"/>
        </w:rPr>
      </w:pPr>
    </w:p>
    <w:p>
      <w:pPr>
        <w:adjustRightInd w:val="0"/>
        <w:spacing w:line="400" w:lineRule="exact"/>
        <w:textAlignment w:val="baseline"/>
        <w:rPr>
          <w:rFonts w:hint="eastAsia" w:eastAsia="宋体"/>
          <w:b/>
          <w:highlight w:val="none"/>
          <w:lang w:eastAsia="zh-CN"/>
        </w:rPr>
      </w:pPr>
      <w:r>
        <w:rPr>
          <w:rFonts w:hint="eastAsia"/>
          <w:b/>
          <w:bCs/>
          <w:highlight w:val="none"/>
        </w:rPr>
        <w:t>致：</w:t>
      </w:r>
      <w:r>
        <w:rPr>
          <w:rFonts w:hint="eastAsia"/>
          <w:b/>
          <w:highlight w:val="none"/>
          <w:lang w:eastAsia="zh-CN"/>
        </w:rPr>
        <w:t>青海天达工程管理有限公司</w:t>
      </w:r>
    </w:p>
    <w:p>
      <w:pPr>
        <w:spacing w:line="400" w:lineRule="exact"/>
        <w:ind w:firstLine="480"/>
        <w:rPr>
          <w:rFonts w:hint="eastAsia"/>
          <w:highlight w:val="none"/>
        </w:rPr>
      </w:pPr>
      <w:r>
        <w:rPr>
          <w:rFonts w:hint="eastAsia"/>
          <w:highlight w:val="none"/>
        </w:rPr>
        <w:t>为了诚实、客观、有序地参与青海省政府采购活动，愿就以下内容作出承诺：</w:t>
      </w:r>
    </w:p>
    <w:p>
      <w:pPr>
        <w:spacing w:line="400" w:lineRule="exact"/>
        <w:ind w:firstLine="480"/>
        <w:rPr>
          <w:rFonts w:hint="eastAsia"/>
          <w:highlight w:val="none"/>
        </w:rPr>
      </w:pPr>
      <w:r>
        <w:rPr>
          <w:rFonts w:hint="eastAsia"/>
          <w:highlight w:val="none"/>
        </w:rPr>
        <w:t>一、自觉遵守各项法律、法规、规章、制度以及社会公德，维护廉洁环境，与同场竞争的供应商平等参加政府采购活动。</w:t>
      </w:r>
    </w:p>
    <w:p>
      <w:pPr>
        <w:spacing w:line="400" w:lineRule="exact"/>
        <w:ind w:firstLine="480"/>
        <w:rPr>
          <w:rFonts w:hint="eastAsia"/>
          <w:highlight w:val="none"/>
        </w:rPr>
      </w:pPr>
      <w:r>
        <w:rPr>
          <w:rFonts w:hint="eastAsia"/>
          <w:highlight w:val="none"/>
        </w:rPr>
        <w:t>二、参加</w:t>
      </w:r>
      <w:r>
        <w:rPr>
          <w:rFonts w:hint="eastAsia"/>
          <w:highlight w:val="none"/>
          <w:lang w:eastAsia="zh-CN"/>
        </w:rPr>
        <w:t>青海天达工程管理有限公司</w:t>
      </w:r>
      <w:r>
        <w:rPr>
          <w:rFonts w:hint="eastAsia"/>
          <w:highlight w:val="none"/>
        </w:rPr>
        <w:t>组织的政府采购活动时，严格按照磋商文件的规定和要求提供所需的相关材料，并对所提供的各类资料的真实性负责，不虚假应标，不虚列业绩。</w:t>
      </w:r>
    </w:p>
    <w:p>
      <w:pPr>
        <w:spacing w:line="400" w:lineRule="exact"/>
        <w:ind w:firstLine="480"/>
        <w:rPr>
          <w:rFonts w:hint="eastAsia"/>
          <w:highlight w:val="none"/>
        </w:rPr>
      </w:pPr>
      <w:r>
        <w:rPr>
          <w:rFonts w:hint="eastAsia"/>
          <w:highlight w:val="none"/>
        </w:rPr>
        <w:t>三、尊重参与政府采购活动各相关方的合法行为，接受政府采购活动依法形成的意见、结果。</w:t>
      </w:r>
    </w:p>
    <w:p>
      <w:pPr>
        <w:spacing w:line="400" w:lineRule="exact"/>
        <w:ind w:firstLine="480"/>
        <w:rPr>
          <w:rFonts w:hint="eastAsia"/>
          <w:highlight w:val="none"/>
        </w:rPr>
      </w:pPr>
      <w:r>
        <w:rPr>
          <w:rFonts w:hint="eastAsia"/>
          <w:highlight w:val="none"/>
        </w:rPr>
        <w:t>四、依法参加政府采购活动，不围标、串标，维护市场秩序，不提供“三无”产品、以次充好。</w:t>
      </w:r>
    </w:p>
    <w:p>
      <w:pPr>
        <w:spacing w:line="400" w:lineRule="exact"/>
        <w:ind w:firstLine="480"/>
        <w:rPr>
          <w:rFonts w:hint="eastAsia"/>
          <w:highlight w:val="none"/>
        </w:rPr>
      </w:pPr>
      <w:r>
        <w:rPr>
          <w:rFonts w:hint="eastAsia"/>
          <w:highlight w:val="none"/>
        </w:rPr>
        <w:t>五、积极推动政府采购活动健康开展，对采购活动有疑问、异议时，按法律规定的程序实名（加盖单位公章和法定代表人签名）反映情况，不恶意中伤、无事生非，以和谐、平等的心态参加政府采购活动。</w:t>
      </w:r>
    </w:p>
    <w:p>
      <w:pPr>
        <w:spacing w:line="400" w:lineRule="exact"/>
        <w:ind w:firstLine="480"/>
        <w:rPr>
          <w:rFonts w:hint="eastAsia"/>
          <w:highlight w:val="none"/>
        </w:rPr>
      </w:pPr>
      <w:r>
        <w:rPr>
          <w:rFonts w:hint="eastAsia"/>
          <w:highlight w:val="none"/>
        </w:rPr>
        <w:t>六、认真履行成交供应商应承担的责任和义务，全面执行合同规定的各项内容，保质保量地按时完成工作任务。</w:t>
      </w:r>
    </w:p>
    <w:p>
      <w:pPr>
        <w:spacing w:line="400" w:lineRule="exact"/>
        <w:ind w:firstLine="480"/>
        <w:rPr>
          <w:rFonts w:hint="eastAsia"/>
          <w:highlight w:val="none"/>
        </w:rPr>
      </w:pPr>
      <w:r>
        <w:rPr>
          <w:rFonts w:hint="eastAsia"/>
          <w:highlight w:val="none"/>
        </w:rPr>
        <w:t>若本企业（单位）发生有悖于上述承诺的行为，愿意接受《中华人民共和国政府采购法》和《政府采购法实施条例》中对供应商的相关处理。</w:t>
      </w:r>
    </w:p>
    <w:p>
      <w:pPr>
        <w:spacing w:line="400" w:lineRule="exact"/>
        <w:ind w:firstLine="480"/>
        <w:rPr>
          <w:rFonts w:hint="eastAsia"/>
          <w:highlight w:val="none"/>
        </w:rPr>
      </w:pPr>
      <w:r>
        <w:rPr>
          <w:rFonts w:hint="eastAsia"/>
          <w:highlight w:val="none"/>
        </w:rPr>
        <w:t>本承诺是采购项目响应文件的组成部分。</w:t>
      </w:r>
    </w:p>
    <w:p>
      <w:pPr>
        <w:spacing w:before="240" w:beforeLines="100" w:line="400" w:lineRule="exact"/>
        <w:rPr>
          <w:rFonts w:hint="eastAsia"/>
          <w:highlight w:val="none"/>
        </w:rPr>
      </w:pPr>
    </w:p>
    <w:p>
      <w:pPr>
        <w:spacing w:line="400" w:lineRule="exact"/>
        <w:ind w:firstLine="3735" w:firstLineChars="1550"/>
        <w:rPr>
          <w:rFonts w:hint="eastAsia"/>
          <w:b/>
          <w:highlight w:val="none"/>
        </w:rPr>
      </w:pPr>
    </w:p>
    <w:p>
      <w:pPr>
        <w:spacing w:line="400" w:lineRule="exact"/>
        <w:ind w:firstLine="3735" w:firstLineChars="1550"/>
        <w:rPr>
          <w:rFonts w:hint="eastAsia"/>
          <w:b/>
          <w:highlight w:val="none"/>
        </w:rPr>
      </w:pPr>
    </w:p>
    <w:p>
      <w:pPr>
        <w:spacing w:line="400" w:lineRule="exact"/>
        <w:ind w:firstLine="3571" w:firstLineChars="1482"/>
        <w:rPr>
          <w:rFonts w:hint="eastAsia"/>
          <w:b/>
          <w:highlight w:val="none"/>
        </w:rPr>
      </w:pPr>
      <w:r>
        <w:rPr>
          <w:rFonts w:hint="eastAsia"/>
          <w:b/>
          <w:highlight w:val="none"/>
        </w:rPr>
        <w:t>供应商：</w:t>
      </w:r>
      <w:r>
        <w:rPr>
          <w:rFonts w:hint="eastAsia"/>
          <w:sz w:val="28"/>
          <w:szCs w:val="28"/>
          <w:highlight w:val="none"/>
          <w:u w:val="single"/>
        </w:rPr>
        <w:t xml:space="preserve">       </w:t>
      </w:r>
      <w:r>
        <w:rPr>
          <w:rFonts w:hint="eastAsia"/>
          <w:b/>
          <w:highlight w:val="none"/>
        </w:rPr>
        <w:t>（公章）</w:t>
      </w:r>
    </w:p>
    <w:p>
      <w:pPr>
        <w:spacing w:line="400" w:lineRule="exact"/>
        <w:ind w:firstLine="482"/>
        <w:jc w:val="center"/>
        <w:rPr>
          <w:rFonts w:hint="eastAsia"/>
          <w:b/>
          <w:highlight w:val="none"/>
        </w:rPr>
      </w:pPr>
      <w:r>
        <w:rPr>
          <w:rFonts w:hint="eastAsia"/>
          <w:b/>
          <w:highlight w:val="none"/>
        </w:rPr>
        <w:t xml:space="preserve">     法定代表人或委托代理人：</w:t>
      </w:r>
      <w:r>
        <w:rPr>
          <w:rFonts w:hint="eastAsia"/>
          <w:sz w:val="28"/>
          <w:szCs w:val="28"/>
          <w:highlight w:val="none"/>
          <w:u w:val="single"/>
        </w:rPr>
        <w:t xml:space="preserve">       </w:t>
      </w:r>
      <w:r>
        <w:rPr>
          <w:rFonts w:hint="eastAsia"/>
          <w:b/>
          <w:highlight w:val="none"/>
        </w:rPr>
        <w:t>（签字或盖章）</w:t>
      </w:r>
    </w:p>
    <w:p>
      <w:pPr>
        <w:spacing w:line="400" w:lineRule="exact"/>
        <w:ind w:firstLine="482"/>
        <w:jc w:val="center"/>
        <w:rPr>
          <w:rFonts w:hint="eastAsia"/>
          <w:b/>
          <w:bCs/>
          <w:sz w:val="28"/>
          <w:szCs w:val="28"/>
          <w:highlight w:val="none"/>
        </w:rPr>
      </w:pPr>
      <w:r>
        <w:rPr>
          <w:rFonts w:hint="eastAsia"/>
          <w:b/>
          <w:highlight w:val="none"/>
        </w:rPr>
        <w:t xml:space="preserve">              年   月  日</w:t>
      </w:r>
    </w:p>
    <w:p>
      <w:pPr>
        <w:snapToGrid w:val="0"/>
        <w:spacing w:line="400" w:lineRule="exact"/>
        <w:outlineLvl w:val="1"/>
        <w:rPr>
          <w:rFonts w:hint="eastAsia"/>
          <w:highlight w:val="none"/>
        </w:rPr>
      </w:pPr>
      <w:bookmarkStart w:id="294" w:name="_Toc458079933"/>
      <w:r>
        <w:rPr>
          <w:rFonts w:hint="eastAsia"/>
          <w:b/>
          <w:bCs/>
          <w:sz w:val="28"/>
          <w:szCs w:val="28"/>
          <w:highlight w:val="none"/>
        </w:rPr>
        <w:br w:type="page"/>
      </w:r>
      <w:bookmarkStart w:id="295" w:name="_Toc19691"/>
      <w:bookmarkStart w:id="296" w:name="_Toc5159"/>
      <w:r>
        <w:rPr>
          <w:rFonts w:hint="eastAsia"/>
          <w:b/>
          <w:bCs/>
          <w:sz w:val="28"/>
          <w:szCs w:val="28"/>
          <w:highlight w:val="none"/>
        </w:rPr>
        <w:t>附件</w:t>
      </w:r>
      <w:bookmarkEnd w:id="294"/>
      <w:bookmarkEnd w:id="295"/>
      <w:r>
        <w:rPr>
          <w:rFonts w:hint="eastAsia"/>
          <w:b/>
          <w:bCs/>
          <w:sz w:val="28"/>
          <w:szCs w:val="28"/>
          <w:highlight w:val="none"/>
        </w:rPr>
        <w:t>8：</w:t>
      </w:r>
      <w:bookmarkStart w:id="297" w:name="_Toc449612645"/>
      <w:bookmarkStart w:id="298" w:name="_Toc454914676"/>
      <w:bookmarkStart w:id="299" w:name="_Toc458079934"/>
      <w:bookmarkStart w:id="300" w:name="_Toc199152123"/>
      <w:bookmarkStart w:id="301" w:name="_Toc194999279"/>
      <w:bookmarkStart w:id="302" w:name="_Toc1967"/>
      <w:r>
        <w:rPr>
          <w:rFonts w:hint="eastAsia"/>
          <w:b/>
          <w:bCs/>
          <w:highlight w:val="none"/>
        </w:rPr>
        <w:t>已标价工程量清单部分格式</w:t>
      </w:r>
      <w:bookmarkEnd w:id="296"/>
      <w:bookmarkEnd w:id="297"/>
    </w:p>
    <w:p>
      <w:pPr>
        <w:spacing w:line="400" w:lineRule="exact"/>
        <w:ind w:firstLine="480"/>
        <w:rPr>
          <w:rFonts w:hint="eastAsia"/>
          <w:highlight w:val="none"/>
        </w:rPr>
      </w:pPr>
    </w:p>
    <w:p>
      <w:pPr>
        <w:spacing w:line="400" w:lineRule="exact"/>
        <w:ind w:firstLine="480"/>
        <w:outlineLvl w:val="1"/>
        <w:rPr>
          <w:rFonts w:hint="eastAsia"/>
          <w:b/>
          <w:sz w:val="28"/>
          <w:szCs w:val="28"/>
          <w:highlight w:val="none"/>
        </w:rPr>
      </w:pPr>
      <w:r>
        <w:rPr>
          <w:rFonts w:hint="eastAsia"/>
          <w:highlight w:val="none"/>
        </w:rPr>
        <w:br w:type="page"/>
      </w:r>
      <w:bookmarkEnd w:id="298"/>
      <w:bookmarkEnd w:id="299"/>
      <w:bookmarkEnd w:id="300"/>
      <w:bookmarkEnd w:id="301"/>
      <w:bookmarkEnd w:id="302"/>
      <w:bookmarkStart w:id="303" w:name="_Toc21361"/>
      <w:r>
        <w:rPr>
          <w:rFonts w:hint="eastAsia"/>
          <w:b/>
          <w:sz w:val="28"/>
          <w:szCs w:val="28"/>
          <w:highlight w:val="none"/>
        </w:rPr>
        <w:t>附件9：施工组织设计</w:t>
      </w:r>
      <w:bookmarkEnd w:id="303"/>
    </w:p>
    <w:p>
      <w:pPr>
        <w:autoSpaceDE w:val="0"/>
        <w:autoSpaceDN w:val="0"/>
        <w:adjustRightInd w:val="0"/>
        <w:spacing w:line="400" w:lineRule="exact"/>
        <w:ind w:firstLine="904" w:firstLineChars="250"/>
        <w:jc w:val="center"/>
        <w:rPr>
          <w:rFonts w:hint="eastAsia"/>
          <w:b/>
          <w:sz w:val="36"/>
          <w:szCs w:val="36"/>
          <w:highlight w:val="none"/>
        </w:rPr>
      </w:pPr>
    </w:p>
    <w:p>
      <w:pPr>
        <w:autoSpaceDE w:val="0"/>
        <w:autoSpaceDN w:val="0"/>
        <w:adjustRightInd w:val="0"/>
        <w:spacing w:line="400" w:lineRule="exact"/>
        <w:ind w:firstLine="3253" w:firstLineChars="900"/>
        <w:rPr>
          <w:rFonts w:hint="eastAsia"/>
          <w:b/>
          <w:sz w:val="36"/>
          <w:szCs w:val="36"/>
          <w:highlight w:val="none"/>
        </w:rPr>
      </w:pPr>
      <w:r>
        <w:rPr>
          <w:rFonts w:hint="eastAsia"/>
          <w:b/>
          <w:sz w:val="36"/>
          <w:szCs w:val="36"/>
          <w:highlight w:val="none"/>
        </w:rPr>
        <w:t>施工组织设计</w:t>
      </w:r>
    </w:p>
    <w:p>
      <w:pPr>
        <w:autoSpaceDE w:val="0"/>
        <w:autoSpaceDN w:val="0"/>
        <w:adjustRightInd w:val="0"/>
        <w:spacing w:line="400" w:lineRule="exact"/>
        <w:ind w:firstLine="904" w:firstLineChars="250"/>
        <w:jc w:val="center"/>
        <w:rPr>
          <w:rFonts w:hint="eastAsia"/>
          <w:b/>
          <w:sz w:val="36"/>
          <w:szCs w:val="36"/>
          <w:highlight w:val="none"/>
        </w:rPr>
      </w:pPr>
    </w:p>
    <w:p>
      <w:pPr>
        <w:spacing w:line="360" w:lineRule="auto"/>
        <w:rPr>
          <w:rFonts w:hint="eastAsia" w:ascii="宋体" w:hAnsi="宋体" w:cs="宋体"/>
          <w:color w:val="auto"/>
        </w:rPr>
      </w:pPr>
      <w:bookmarkStart w:id="304" w:name="_Toc29145"/>
      <w:r>
        <w:rPr>
          <w:rFonts w:hint="eastAsia" w:ascii="宋体" w:hAnsi="宋体" w:cs="宋体"/>
          <w:color w:val="auto"/>
        </w:rPr>
        <w:t>1.</w:t>
      </w:r>
      <w:r>
        <w:rPr>
          <w:rFonts w:hint="eastAsia" w:ascii="宋体" w:hAnsi="宋体" w:cs="宋体"/>
          <w:color w:val="auto"/>
          <w:lang w:eastAsia="zh-CN"/>
        </w:rPr>
        <w:t>供应商</w:t>
      </w:r>
      <w:r>
        <w:rPr>
          <w:rFonts w:hint="eastAsia" w:ascii="宋体" w:hAnsi="宋体" w:cs="宋体"/>
          <w:color w:val="auto"/>
        </w:rPr>
        <w:t>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pPr>
        <w:spacing w:line="360" w:lineRule="auto"/>
        <w:rPr>
          <w:rFonts w:hint="eastAsia" w:ascii="宋体" w:hAnsi="宋体" w:cs="宋体"/>
          <w:color w:val="auto"/>
        </w:rPr>
      </w:pPr>
      <w:r>
        <w:rPr>
          <w:rFonts w:hint="eastAsia" w:ascii="宋体" w:hAnsi="宋体" w:cs="宋体"/>
          <w:color w:val="auto"/>
        </w:rPr>
        <w:t>　　施工组织设计应附的文字说明及附图见下表(不限于，仅供参考)：</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2"/>
        <w:gridCol w:w="5121"/>
        <w:gridCol w:w="2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5121"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名称</w:t>
            </w:r>
          </w:p>
        </w:tc>
        <w:tc>
          <w:tcPr>
            <w:tcW w:w="2799"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施工围堰设计说明书及附图(包括加高、维护、拆除)</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2</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施工排水设计说明书及附图(包括降水方案、场地排水等)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3</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材料采购(黄砂、碎石、块石的产地、矿名等均应明示，钢材、水泥的生产厂家，转运方案：卸料、短驳、运输、道路维护等)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4</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土方工程施工说明书及附图(施工工艺及质量保证措施和有关试验要求，施工进度工期计划等)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5</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基坑支护、地基加固工程施工说明书及附图(施工工艺及质量保证措施和有关试验要求，施工进度工期计划等)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6</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主体建筑物工程施工说明书及附图(施工工艺及质量保证措施和有关试验要求，施工进度工期计划等)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7</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金属结构制造和安装计划、措施及附图</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8</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机电设备安装、调试方案、施工进度计划说明书</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9</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建筑与装修工程施工说明书(施工工艺及质量保证措施，施工进度工期计划等)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10</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工程质量管理方案</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11</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安全生产管理方案</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12</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防汛度汛</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13</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文明工地建设措施，为其它承包人提供方便的措施等</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14</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水土保持、环境保护管理方案</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15</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其它有关工程的施工工艺及进度计划</w:t>
            </w:r>
          </w:p>
        </w:tc>
        <w:tc>
          <w:tcPr>
            <w:tcW w:w="2799" w:type="dxa"/>
            <w:noWrap w:val="0"/>
            <w:vAlign w:val="top"/>
          </w:tcPr>
          <w:p>
            <w:pPr>
              <w:spacing w:line="360" w:lineRule="auto"/>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16</w:t>
            </w:r>
          </w:p>
        </w:tc>
        <w:tc>
          <w:tcPr>
            <w:tcW w:w="5121" w:type="dxa"/>
            <w:noWrap w:val="0"/>
            <w:vAlign w:val="top"/>
          </w:tcPr>
          <w:p>
            <w:pPr>
              <w:spacing w:line="360" w:lineRule="auto"/>
              <w:rPr>
                <w:rFonts w:hint="eastAsia" w:ascii="宋体" w:hAnsi="宋体" w:cs="宋体"/>
                <w:color w:val="auto"/>
              </w:rPr>
            </w:pPr>
            <w:r>
              <w:rPr>
                <w:rFonts w:hint="eastAsia" w:ascii="宋体" w:hAnsi="宋体" w:cs="宋体"/>
                <w:color w:val="auto"/>
              </w:rPr>
              <w:t>有关施工建议</w:t>
            </w:r>
          </w:p>
        </w:tc>
        <w:tc>
          <w:tcPr>
            <w:tcW w:w="2799" w:type="dxa"/>
            <w:noWrap w:val="0"/>
            <w:vAlign w:val="top"/>
          </w:tcPr>
          <w:p>
            <w:pPr>
              <w:spacing w:line="360" w:lineRule="auto"/>
              <w:rPr>
                <w:rFonts w:hint="eastAsia" w:ascii="宋体" w:hAnsi="宋体" w:cs="宋体"/>
                <w:color w:val="auto"/>
              </w:rPr>
            </w:pPr>
          </w:p>
        </w:tc>
      </w:tr>
    </w:tbl>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　　2.施工组织设计除采用文字表述外应附下列图表，图表及格式要求附后。</w:t>
      </w:r>
    </w:p>
    <w:p>
      <w:pPr>
        <w:spacing w:line="360" w:lineRule="auto"/>
        <w:rPr>
          <w:rFonts w:hint="eastAsia" w:ascii="宋体" w:hAnsi="宋体" w:cs="宋体"/>
          <w:color w:val="auto"/>
        </w:rPr>
      </w:pPr>
      <w:r>
        <w:rPr>
          <w:rFonts w:hint="eastAsia" w:ascii="宋体" w:hAnsi="宋体" w:cs="宋体"/>
          <w:color w:val="auto"/>
        </w:rPr>
        <w:t>　　附件一：拟投入本标段的主要施工设备表</w:t>
      </w:r>
    </w:p>
    <w:p>
      <w:pPr>
        <w:spacing w:line="360" w:lineRule="auto"/>
        <w:rPr>
          <w:rFonts w:hint="eastAsia" w:ascii="宋体" w:hAnsi="宋体" w:cs="宋体"/>
          <w:color w:val="auto"/>
        </w:rPr>
      </w:pPr>
      <w:r>
        <w:rPr>
          <w:rFonts w:hint="eastAsia" w:ascii="宋体" w:hAnsi="宋体" w:cs="宋体"/>
          <w:color w:val="auto"/>
        </w:rPr>
        <w:t>　　附件二：拟投入本标段的试验和检测仪器设备表</w:t>
      </w:r>
    </w:p>
    <w:p>
      <w:pPr>
        <w:spacing w:line="360" w:lineRule="auto"/>
        <w:rPr>
          <w:rFonts w:hint="eastAsia" w:ascii="宋体" w:hAnsi="宋体" w:cs="宋体"/>
          <w:color w:val="auto"/>
        </w:rPr>
      </w:pPr>
      <w:r>
        <w:rPr>
          <w:rFonts w:hint="eastAsia" w:ascii="宋体" w:hAnsi="宋体" w:cs="宋体"/>
          <w:color w:val="auto"/>
        </w:rPr>
        <w:t>　　附件三：拟投入本标段的劳动力计划表</w:t>
      </w:r>
    </w:p>
    <w:p>
      <w:pPr>
        <w:spacing w:line="360" w:lineRule="auto"/>
        <w:rPr>
          <w:rFonts w:hint="eastAsia" w:ascii="宋体" w:hAnsi="宋体" w:cs="宋体"/>
          <w:color w:val="auto"/>
        </w:rPr>
      </w:pPr>
      <w:r>
        <w:rPr>
          <w:rFonts w:hint="eastAsia" w:ascii="宋体" w:hAnsi="宋体" w:cs="宋体"/>
          <w:color w:val="auto"/>
        </w:rPr>
        <w:t>　　附件四：计划开工日期、完工日期和施工进度网络图</w:t>
      </w:r>
    </w:p>
    <w:p>
      <w:pPr>
        <w:spacing w:line="360" w:lineRule="auto"/>
        <w:rPr>
          <w:rFonts w:hint="eastAsia" w:ascii="宋体" w:hAnsi="宋体" w:cs="宋体"/>
          <w:color w:val="auto"/>
        </w:rPr>
      </w:pPr>
      <w:r>
        <w:rPr>
          <w:rFonts w:hint="eastAsia" w:ascii="宋体" w:hAnsi="宋体" w:cs="宋体"/>
          <w:color w:val="auto"/>
        </w:rPr>
        <w:t>　　附件五：施工总平面图</w:t>
      </w:r>
    </w:p>
    <w:p>
      <w:pPr>
        <w:autoSpaceDE w:val="0"/>
        <w:autoSpaceDN w:val="0"/>
        <w:adjustRightInd w:val="0"/>
        <w:spacing w:line="400" w:lineRule="exact"/>
        <w:ind w:firstLine="480" w:firstLineChars="200"/>
        <w:rPr>
          <w:rFonts w:hint="eastAsia"/>
          <w:highlight w:val="none"/>
        </w:rPr>
      </w:pPr>
      <w:r>
        <w:rPr>
          <w:rFonts w:hint="eastAsia" w:ascii="宋体" w:hAnsi="宋体" w:cs="宋体"/>
          <w:color w:val="auto"/>
        </w:rPr>
        <w:t>附件六：临时用地表</w:t>
      </w: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autoSpaceDE w:val="0"/>
        <w:autoSpaceDN w:val="0"/>
        <w:adjustRightInd w:val="0"/>
        <w:spacing w:line="400" w:lineRule="exact"/>
        <w:ind w:firstLine="720" w:firstLineChars="300"/>
        <w:rPr>
          <w:rFonts w:hint="eastAsia"/>
          <w:highlight w:val="none"/>
        </w:rPr>
      </w:pPr>
    </w:p>
    <w:p>
      <w:pPr>
        <w:spacing w:line="360" w:lineRule="auto"/>
        <w:rPr>
          <w:rFonts w:hint="eastAsia" w:ascii="宋体" w:hAnsi="宋体" w:cs="宋体"/>
          <w:color w:val="auto"/>
        </w:rPr>
      </w:pPr>
      <w:r>
        <w:rPr>
          <w:rFonts w:hint="eastAsia" w:ascii="宋体" w:hAnsi="宋体" w:cs="宋体"/>
          <w:color w:val="auto"/>
        </w:rPr>
        <w:t>附件一：</w:t>
      </w:r>
    </w:p>
    <w:p>
      <w:pPr>
        <w:spacing w:line="360" w:lineRule="auto"/>
        <w:rPr>
          <w:rFonts w:hint="eastAsia" w:ascii="宋体" w:hAnsi="宋体" w:cs="宋体"/>
          <w:color w:val="auto"/>
        </w:rPr>
      </w:pPr>
    </w:p>
    <w:p>
      <w:pPr>
        <w:spacing w:line="360" w:lineRule="auto"/>
        <w:jc w:val="center"/>
        <w:rPr>
          <w:rFonts w:hint="eastAsia" w:ascii="宋体" w:hAnsi="宋体" w:cs="宋体"/>
          <w:b/>
          <w:color w:val="auto"/>
        </w:rPr>
      </w:pPr>
      <w:r>
        <w:rPr>
          <w:rFonts w:hint="eastAsia" w:ascii="宋体" w:hAnsi="宋体" w:cs="宋体"/>
          <w:b/>
          <w:color w:val="auto"/>
        </w:rPr>
        <w:t>拟投入本标段的主要施工设备表</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0"/>
        <w:gridCol w:w="681"/>
        <w:gridCol w:w="681"/>
        <w:gridCol w:w="1393"/>
        <w:gridCol w:w="883"/>
        <w:gridCol w:w="883"/>
        <w:gridCol w:w="906"/>
        <w:gridCol w:w="884"/>
        <w:gridCol w:w="884"/>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681"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设备名称</w:t>
            </w:r>
          </w:p>
        </w:tc>
        <w:tc>
          <w:tcPr>
            <w:tcW w:w="681"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型号规格</w:t>
            </w:r>
          </w:p>
        </w:tc>
        <w:tc>
          <w:tcPr>
            <w:tcW w:w="1393"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数量</w:t>
            </w:r>
          </w:p>
        </w:tc>
        <w:tc>
          <w:tcPr>
            <w:tcW w:w="883"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国别产地</w:t>
            </w:r>
          </w:p>
        </w:tc>
        <w:tc>
          <w:tcPr>
            <w:tcW w:w="883"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制造年份</w:t>
            </w:r>
          </w:p>
        </w:tc>
        <w:tc>
          <w:tcPr>
            <w:tcW w:w="90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额定功率(kW)</w:t>
            </w:r>
          </w:p>
        </w:tc>
        <w:tc>
          <w:tcPr>
            <w:tcW w:w="884"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生产能力</w:t>
            </w:r>
          </w:p>
        </w:tc>
        <w:tc>
          <w:tcPr>
            <w:tcW w:w="884"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用于施工部位</w:t>
            </w:r>
          </w:p>
        </w:tc>
        <w:tc>
          <w:tcPr>
            <w:tcW w:w="73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noWrap w:val="0"/>
            <w:vAlign w:val="center"/>
          </w:tcPr>
          <w:p>
            <w:pPr>
              <w:spacing w:line="360" w:lineRule="auto"/>
              <w:jc w:val="center"/>
              <w:rPr>
                <w:rFonts w:hint="eastAsia" w:ascii="宋体" w:hAnsi="宋体" w:cs="宋体"/>
                <w:color w:val="auto"/>
              </w:rPr>
            </w:pPr>
          </w:p>
        </w:tc>
        <w:tc>
          <w:tcPr>
            <w:tcW w:w="681" w:type="dxa"/>
            <w:noWrap w:val="0"/>
            <w:vAlign w:val="center"/>
          </w:tcPr>
          <w:p>
            <w:pPr>
              <w:spacing w:line="360" w:lineRule="auto"/>
              <w:jc w:val="center"/>
              <w:rPr>
                <w:rFonts w:hint="eastAsia" w:ascii="宋体" w:hAnsi="宋体" w:cs="宋体"/>
                <w:color w:val="auto"/>
              </w:rPr>
            </w:pPr>
          </w:p>
        </w:tc>
        <w:tc>
          <w:tcPr>
            <w:tcW w:w="681" w:type="dxa"/>
            <w:noWrap w:val="0"/>
            <w:vAlign w:val="center"/>
          </w:tcPr>
          <w:p>
            <w:pPr>
              <w:spacing w:line="360" w:lineRule="auto"/>
              <w:jc w:val="center"/>
              <w:rPr>
                <w:rFonts w:hint="eastAsia" w:ascii="宋体" w:hAnsi="宋体" w:cs="宋体"/>
                <w:color w:val="auto"/>
              </w:rPr>
            </w:pPr>
          </w:p>
        </w:tc>
        <w:tc>
          <w:tcPr>
            <w:tcW w:w="1393" w:type="dxa"/>
            <w:noWrap w:val="0"/>
            <w:vAlign w:val="center"/>
          </w:tcPr>
          <w:p>
            <w:pPr>
              <w:spacing w:line="360" w:lineRule="auto"/>
              <w:jc w:val="center"/>
              <w:rPr>
                <w:rFonts w:hint="eastAsia" w:ascii="宋体" w:hAnsi="宋体" w:cs="宋体"/>
                <w:color w:val="auto"/>
              </w:rPr>
            </w:pPr>
          </w:p>
        </w:tc>
        <w:tc>
          <w:tcPr>
            <w:tcW w:w="883" w:type="dxa"/>
            <w:noWrap w:val="0"/>
            <w:vAlign w:val="center"/>
          </w:tcPr>
          <w:p>
            <w:pPr>
              <w:spacing w:line="360" w:lineRule="auto"/>
              <w:jc w:val="center"/>
              <w:rPr>
                <w:rFonts w:hint="eastAsia" w:ascii="宋体" w:hAnsi="宋体" w:cs="宋体"/>
                <w:color w:val="auto"/>
              </w:rPr>
            </w:pPr>
          </w:p>
        </w:tc>
        <w:tc>
          <w:tcPr>
            <w:tcW w:w="883" w:type="dxa"/>
            <w:noWrap w:val="0"/>
            <w:vAlign w:val="center"/>
          </w:tcPr>
          <w:p>
            <w:pPr>
              <w:spacing w:line="360" w:lineRule="auto"/>
              <w:jc w:val="center"/>
              <w:rPr>
                <w:rFonts w:hint="eastAsia" w:ascii="宋体" w:hAnsi="宋体" w:cs="宋体"/>
                <w:color w:val="auto"/>
              </w:rPr>
            </w:pPr>
          </w:p>
        </w:tc>
        <w:tc>
          <w:tcPr>
            <w:tcW w:w="906" w:type="dxa"/>
            <w:noWrap w:val="0"/>
            <w:vAlign w:val="center"/>
          </w:tcPr>
          <w:p>
            <w:pPr>
              <w:spacing w:line="360" w:lineRule="auto"/>
              <w:jc w:val="center"/>
              <w:rPr>
                <w:rFonts w:hint="eastAsia" w:ascii="宋体" w:hAnsi="宋体" w:cs="宋体"/>
                <w:color w:val="auto"/>
              </w:rPr>
            </w:pPr>
          </w:p>
        </w:tc>
        <w:tc>
          <w:tcPr>
            <w:tcW w:w="884" w:type="dxa"/>
            <w:noWrap w:val="0"/>
            <w:vAlign w:val="center"/>
          </w:tcPr>
          <w:p>
            <w:pPr>
              <w:spacing w:line="360" w:lineRule="auto"/>
              <w:jc w:val="center"/>
              <w:rPr>
                <w:rFonts w:hint="eastAsia" w:ascii="宋体" w:hAnsi="宋体" w:cs="宋体"/>
                <w:color w:val="auto"/>
              </w:rPr>
            </w:pPr>
          </w:p>
        </w:tc>
        <w:tc>
          <w:tcPr>
            <w:tcW w:w="884" w:type="dxa"/>
            <w:noWrap w:val="0"/>
            <w:vAlign w:val="center"/>
          </w:tcPr>
          <w:p>
            <w:pPr>
              <w:spacing w:line="360" w:lineRule="auto"/>
              <w:jc w:val="center"/>
              <w:rPr>
                <w:rFonts w:hint="eastAsia" w:ascii="宋体" w:hAnsi="宋体" w:cs="宋体"/>
                <w:color w:val="auto"/>
              </w:rPr>
            </w:pPr>
          </w:p>
        </w:tc>
        <w:tc>
          <w:tcPr>
            <w:tcW w:w="737"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0" w:type="dxa"/>
            <w:noWrap w:val="0"/>
            <w:vAlign w:val="center"/>
          </w:tcPr>
          <w:p>
            <w:pPr>
              <w:spacing w:line="360" w:lineRule="auto"/>
              <w:jc w:val="center"/>
              <w:rPr>
                <w:rFonts w:hint="eastAsia" w:ascii="宋体" w:hAnsi="宋体" w:cs="宋体"/>
                <w:color w:val="auto"/>
              </w:rPr>
            </w:pPr>
          </w:p>
        </w:tc>
        <w:tc>
          <w:tcPr>
            <w:tcW w:w="681" w:type="dxa"/>
            <w:noWrap w:val="0"/>
            <w:vAlign w:val="center"/>
          </w:tcPr>
          <w:p>
            <w:pPr>
              <w:spacing w:line="360" w:lineRule="auto"/>
              <w:jc w:val="center"/>
              <w:rPr>
                <w:rFonts w:hint="eastAsia" w:ascii="宋体" w:hAnsi="宋体" w:cs="宋体"/>
                <w:color w:val="auto"/>
              </w:rPr>
            </w:pPr>
          </w:p>
        </w:tc>
        <w:tc>
          <w:tcPr>
            <w:tcW w:w="681" w:type="dxa"/>
            <w:noWrap w:val="0"/>
            <w:vAlign w:val="center"/>
          </w:tcPr>
          <w:p>
            <w:pPr>
              <w:spacing w:line="360" w:lineRule="auto"/>
              <w:jc w:val="center"/>
              <w:rPr>
                <w:rFonts w:hint="eastAsia" w:ascii="宋体" w:hAnsi="宋体" w:cs="宋体"/>
                <w:color w:val="auto"/>
              </w:rPr>
            </w:pPr>
          </w:p>
        </w:tc>
        <w:tc>
          <w:tcPr>
            <w:tcW w:w="1393" w:type="dxa"/>
            <w:noWrap w:val="0"/>
            <w:vAlign w:val="center"/>
          </w:tcPr>
          <w:p>
            <w:pPr>
              <w:spacing w:line="360" w:lineRule="auto"/>
              <w:jc w:val="center"/>
              <w:rPr>
                <w:rFonts w:hint="eastAsia" w:ascii="宋体" w:hAnsi="宋体" w:cs="宋体"/>
                <w:color w:val="auto"/>
              </w:rPr>
            </w:pPr>
          </w:p>
        </w:tc>
        <w:tc>
          <w:tcPr>
            <w:tcW w:w="883" w:type="dxa"/>
            <w:noWrap w:val="0"/>
            <w:vAlign w:val="center"/>
          </w:tcPr>
          <w:p>
            <w:pPr>
              <w:spacing w:line="360" w:lineRule="auto"/>
              <w:jc w:val="center"/>
              <w:rPr>
                <w:rFonts w:hint="eastAsia" w:ascii="宋体" w:hAnsi="宋体" w:cs="宋体"/>
                <w:color w:val="auto"/>
              </w:rPr>
            </w:pPr>
          </w:p>
        </w:tc>
        <w:tc>
          <w:tcPr>
            <w:tcW w:w="883" w:type="dxa"/>
            <w:noWrap w:val="0"/>
            <w:vAlign w:val="center"/>
          </w:tcPr>
          <w:p>
            <w:pPr>
              <w:spacing w:line="360" w:lineRule="auto"/>
              <w:jc w:val="center"/>
              <w:rPr>
                <w:rFonts w:hint="eastAsia" w:ascii="宋体" w:hAnsi="宋体" w:cs="宋体"/>
                <w:color w:val="auto"/>
              </w:rPr>
            </w:pPr>
          </w:p>
        </w:tc>
        <w:tc>
          <w:tcPr>
            <w:tcW w:w="906" w:type="dxa"/>
            <w:noWrap w:val="0"/>
            <w:vAlign w:val="center"/>
          </w:tcPr>
          <w:p>
            <w:pPr>
              <w:spacing w:line="360" w:lineRule="auto"/>
              <w:jc w:val="center"/>
              <w:rPr>
                <w:rFonts w:hint="eastAsia" w:ascii="宋体" w:hAnsi="宋体" w:cs="宋体"/>
                <w:color w:val="auto"/>
              </w:rPr>
            </w:pPr>
          </w:p>
        </w:tc>
        <w:tc>
          <w:tcPr>
            <w:tcW w:w="884" w:type="dxa"/>
            <w:noWrap w:val="0"/>
            <w:vAlign w:val="center"/>
          </w:tcPr>
          <w:p>
            <w:pPr>
              <w:spacing w:line="360" w:lineRule="auto"/>
              <w:jc w:val="center"/>
              <w:rPr>
                <w:rFonts w:hint="eastAsia" w:ascii="宋体" w:hAnsi="宋体" w:cs="宋体"/>
                <w:color w:val="auto"/>
              </w:rPr>
            </w:pPr>
          </w:p>
        </w:tc>
        <w:tc>
          <w:tcPr>
            <w:tcW w:w="884" w:type="dxa"/>
            <w:noWrap w:val="0"/>
            <w:vAlign w:val="center"/>
          </w:tcPr>
          <w:p>
            <w:pPr>
              <w:spacing w:line="360" w:lineRule="auto"/>
              <w:jc w:val="center"/>
              <w:rPr>
                <w:rFonts w:hint="eastAsia" w:ascii="宋体" w:hAnsi="宋体" w:cs="宋体"/>
                <w:color w:val="auto"/>
              </w:rPr>
            </w:pPr>
          </w:p>
        </w:tc>
        <w:tc>
          <w:tcPr>
            <w:tcW w:w="737" w:type="dxa"/>
            <w:noWrap w:val="0"/>
            <w:vAlign w:val="center"/>
          </w:tcPr>
          <w:p>
            <w:pPr>
              <w:spacing w:line="360" w:lineRule="auto"/>
              <w:jc w:val="center"/>
              <w:rPr>
                <w:rFonts w:hint="eastAsia" w:ascii="宋体" w:hAnsi="宋体" w:cs="宋体"/>
                <w:color w:val="auto"/>
              </w:rPr>
            </w:pPr>
          </w:p>
        </w:tc>
      </w:tr>
    </w:tbl>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附件二：</w:t>
      </w:r>
    </w:p>
    <w:p>
      <w:pPr>
        <w:spacing w:line="360" w:lineRule="auto"/>
        <w:rPr>
          <w:rFonts w:hint="eastAsia" w:ascii="宋体" w:hAnsi="宋体" w:cs="宋体"/>
          <w:color w:val="auto"/>
        </w:rPr>
      </w:pPr>
    </w:p>
    <w:p>
      <w:pPr>
        <w:spacing w:line="360" w:lineRule="auto"/>
        <w:jc w:val="center"/>
        <w:rPr>
          <w:rFonts w:hint="eastAsia" w:ascii="宋体" w:hAnsi="宋体" w:cs="宋体"/>
          <w:b/>
          <w:color w:val="auto"/>
        </w:rPr>
      </w:pPr>
      <w:r>
        <w:rPr>
          <w:rFonts w:hint="eastAsia" w:ascii="宋体" w:hAnsi="宋体" w:cs="宋体"/>
          <w:b/>
          <w:color w:val="auto"/>
        </w:rPr>
        <w:t>拟投入本标段的试验和检测仪器设备表</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1186"/>
        <w:gridCol w:w="1217"/>
        <w:gridCol w:w="752"/>
        <w:gridCol w:w="1262"/>
        <w:gridCol w:w="1072"/>
        <w:gridCol w:w="942"/>
        <w:gridCol w:w="660"/>
        <w:gridCol w:w="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5"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序号</w:t>
            </w:r>
          </w:p>
        </w:tc>
        <w:tc>
          <w:tcPr>
            <w:tcW w:w="118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仪器设备名称</w:t>
            </w:r>
          </w:p>
        </w:tc>
        <w:tc>
          <w:tcPr>
            <w:tcW w:w="121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型号规格</w:t>
            </w:r>
          </w:p>
        </w:tc>
        <w:tc>
          <w:tcPr>
            <w:tcW w:w="75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数量</w:t>
            </w:r>
          </w:p>
        </w:tc>
        <w:tc>
          <w:tcPr>
            <w:tcW w:w="126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国别产地</w:t>
            </w:r>
          </w:p>
        </w:tc>
        <w:tc>
          <w:tcPr>
            <w:tcW w:w="107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制造年份</w:t>
            </w:r>
          </w:p>
        </w:tc>
        <w:tc>
          <w:tcPr>
            <w:tcW w:w="94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已使用台时数</w:t>
            </w:r>
          </w:p>
        </w:tc>
        <w:tc>
          <w:tcPr>
            <w:tcW w:w="660"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用途</w:t>
            </w:r>
          </w:p>
        </w:tc>
        <w:tc>
          <w:tcPr>
            <w:tcW w:w="83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85" w:type="dxa"/>
            <w:noWrap w:val="0"/>
            <w:vAlign w:val="center"/>
          </w:tcPr>
          <w:p>
            <w:pPr>
              <w:spacing w:line="360" w:lineRule="auto"/>
              <w:jc w:val="center"/>
              <w:rPr>
                <w:rFonts w:hint="eastAsia" w:ascii="宋体" w:hAnsi="宋体" w:cs="宋体"/>
                <w:color w:val="auto"/>
              </w:rPr>
            </w:pPr>
          </w:p>
        </w:tc>
        <w:tc>
          <w:tcPr>
            <w:tcW w:w="1186" w:type="dxa"/>
            <w:noWrap w:val="0"/>
            <w:vAlign w:val="center"/>
          </w:tcPr>
          <w:p>
            <w:pPr>
              <w:spacing w:line="360" w:lineRule="auto"/>
              <w:jc w:val="center"/>
              <w:rPr>
                <w:rFonts w:hint="eastAsia" w:ascii="宋体" w:hAnsi="宋体" w:cs="宋体"/>
                <w:color w:val="auto"/>
              </w:rPr>
            </w:pPr>
          </w:p>
        </w:tc>
        <w:tc>
          <w:tcPr>
            <w:tcW w:w="1217" w:type="dxa"/>
            <w:noWrap w:val="0"/>
            <w:vAlign w:val="center"/>
          </w:tcPr>
          <w:p>
            <w:pPr>
              <w:spacing w:line="360" w:lineRule="auto"/>
              <w:jc w:val="center"/>
              <w:rPr>
                <w:rFonts w:hint="eastAsia" w:ascii="宋体" w:hAnsi="宋体" w:cs="宋体"/>
                <w:color w:val="auto"/>
              </w:rPr>
            </w:pPr>
          </w:p>
        </w:tc>
        <w:tc>
          <w:tcPr>
            <w:tcW w:w="752" w:type="dxa"/>
            <w:noWrap w:val="0"/>
            <w:vAlign w:val="center"/>
          </w:tcPr>
          <w:p>
            <w:pPr>
              <w:spacing w:line="360" w:lineRule="auto"/>
              <w:jc w:val="center"/>
              <w:rPr>
                <w:rFonts w:hint="eastAsia" w:ascii="宋体" w:hAnsi="宋体" w:cs="宋体"/>
                <w:color w:val="auto"/>
              </w:rPr>
            </w:pPr>
          </w:p>
        </w:tc>
        <w:tc>
          <w:tcPr>
            <w:tcW w:w="1262" w:type="dxa"/>
            <w:noWrap w:val="0"/>
            <w:vAlign w:val="center"/>
          </w:tcPr>
          <w:p>
            <w:pPr>
              <w:spacing w:line="360" w:lineRule="auto"/>
              <w:jc w:val="center"/>
              <w:rPr>
                <w:rFonts w:hint="eastAsia" w:ascii="宋体" w:hAnsi="宋体" w:cs="宋体"/>
                <w:color w:val="auto"/>
              </w:rPr>
            </w:pPr>
          </w:p>
        </w:tc>
        <w:tc>
          <w:tcPr>
            <w:tcW w:w="1072" w:type="dxa"/>
            <w:noWrap w:val="0"/>
            <w:vAlign w:val="center"/>
          </w:tcPr>
          <w:p>
            <w:pPr>
              <w:spacing w:line="360" w:lineRule="auto"/>
              <w:jc w:val="center"/>
              <w:rPr>
                <w:rFonts w:hint="eastAsia" w:ascii="宋体" w:hAnsi="宋体" w:cs="宋体"/>
                <w:color w:val="auto"/>
              </w:rPr>
            </w:pPr>
          </w:p>
        </w:tc>
        <w:tc>
          <w:tcPr>
            <w:tcW w:w="942" w:type="dxa"/>
            <w:noWrap w:val="0"/>
            <w:vAlign w:val="center"/>
          </w:tcPr>
          <w:p>
            <w:pPr>
              <w:spacing w:line="360" w:lineRule="auto"/>
              <w:jc w:val="center"/>
              <w:rPr>
                <w:rFonts w:hint="eastAsia" w:ascii="宋体" w:hAnsi="宋体" w:cs="宋体"/>
                <w:color w:val="auto"/>
              </w:rPr>
            </w:pPr>
          </w:p>
        </w:tc>
        <w:tc>
          <w:tcPr>
            <w:tcW w:w="660" w:type="dxa"/>
            <w:noWrap w:val="0"/>
            <w:vAlign w:val="center"/>
          </w:tcPr>
          <w:p>
            <w:pPr>
              <w:spacing w:line="360" w:lineRule="auto"/>
              <w:jc w:val="center"/>
              <w:rPr>
                <w:rFonts w:hint="eastAsia" w:ascii="宋体" w:hAnsi="宋体" w:cs="宋体"/>
                <w:color w:val="auto"/>
              </w:rPr>
            </w:pPr>
          </w:p>
        </w:tc>
        <w:tc>
          <w:tcPr>
            <w:tcW w:w="836"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85" w:type="dxa"/>
            <w:noWrap w:val="0"/>
            <w:vAlign w:val="center"/>
          </w:tcPr>
          <w:p>
            <w:pPr>
              <w:spacing w:line="360" w:lineRule="auto"/>
              <w:jc w:val="center"/>
              <w:rPr>
                <w:rFonts w:hint="eastAsia" w:ascii="宋体" w:hAnsi="宋体" w:cs="宋体"/>
                <w:color w:val="auto"/>
              </w:rPr>
            </w:pPr>
          </w:p>
        </w:tc>
        <w:tc>
          <w:tcPr>
            <w:tcW w:w="1186" w:type="dxa"/>
            <w:noWrap w:val="0"/>
            <w:vAlign w:val="center"/>
          </w:tcPr>
          <w:p>
            <w:pPr>
              <w:spacing w:line="360" w:lineRule="auto"/>
              <w:jc w:val="center"/>
              <w:rPr>
                <w:rFonts w:hint="eastAsia" w:ascii="宋体" w:hAnsi="宋体" w:cs="宋体"/>
                <w:color w:val="auto"/>
              </w:rPr>
            </w:pPr>
          </w:p>
        </w:tc>
        <w:tc>
          <w:tcPr>
            <w:tcW w:w="1217" w:type="dxa"/>
            <w:noWrap w:val="0"/>
            <w:vAlign w:val="center"/>
          </w:tcPr>
          <w:p>
            <w:pPr>
              <w:spacing w:line="360" w:lineRule="auto"/>
              <w:jc w:val="center"/>
              <w:rPr>
                <w:rFonts w:hint="eastAsia" w:ascii="宋体" w:hAnsi="宋体" w:cs="宋体"/>
                <w:color w:val="auto"/>
              </w:rPr>
            </w:pPr>
          </w:p>
        </w:tc>
        <w:tc>
          <w:tcPr>
            <w:tcW w:w="752" w:type="dxa"/>
            <w:noWrap w:val="0"/>
            <w:vAlign w:val="center"/>
          </w:tcPr>
          <w:p>
            <w:pPr>
              <w:spacing w:line="360" w:lineRule="auto"/>
              <w:jc w:val="center"/>
              <w:rPr>
                <w:rFonts w:hint="eastAsia" w:ascii="宋体" w:hAnsi="宋体" w:cs="宋体"/>
                <w:color w:val="auto"/>
              </w:rPr>
            </w:pPr>
          </w:p>
        </w:tc>
        <w:tc>
          <w:tcPr>
            <w:tcW w:w="1262" w:type="dxa"/>
            <w:noWrap w:val="0"/>
            <w:vAlign w:val="center"/>
          </w:tcPr>
          <w:p>
            <w:pPr>
              <w:spacing w:line="360" w:lineRule="auto"/>
              <w:jc w:val="center"/>
              <w:rPr>
                <w:rFonts w:hint="eastAsia" w:ascii="宋体" w:hAnsi="宋体" w:cs="宋体"/>
                <w:color w:val="auto"/>
              </w:rPr>
            </w:pPr>
          </w:p>
        </w:tc>
        <w:tc>
          <w:tcPr>
            <w:tcW w:w="1072" w:type="dxa"/>
            <w:noWrap w:val="0"/>
            <w:vAlign w:val="center"/>
          </w:tcPr>
          <w:p>
            <w:pPr>
              <w:spacing w:line="360" w:lineRule="auto"/>
              <w:jc w:val="center"/>
              <w:rPr>
                <w:rFonts w:hint="eastAsia" w:ascii="宋体" w:hAnsi="宋体" w:cs="宋体"/>
                <w:color w:val="auto"/>
              </w:rPr>
            </w:pPr>
          </w:p>
        </w:tc>
        <w:tc>
          <w:tcPr>
            <w:tcW w:w="942" w:type="dxa"/>
            <w:noWrap w:val="0"/>
            <w:vAlign w:val="center"/>
          </w:tcPr>
          <w:p>
            <w:pPr>
              <w:spacing w:line="360" w:lineRule="auto"/>
              <w:jc w:val="center"/>
              <w:rPr>
                <w:rFonts w:hint="eastAsia" w:ascii="宋体" w:hAnsi="宋体" w:cs="宋体"/>
                <w:color w:val="auto"/>
              </w:rPr>
            </w:pPr>
          </w:p>
        </w:tc>
        <w:tc>
          <w:tcPr>
            <w:tcW w:w="660" w:type="dxa"/>
            <w:noWrap w:val="0"/>
            <w:vAlign w:val="center"/>
          </w:tcPr>
          <w:p>
            <w:pPr>
              <w:spacing w:line="360" w:lineRule="auto"/>
              <w:jc w:val="center"/>
              <w:rPr>
                <w:rFonts w:hint="eastAsia" w:ascii="宋体" w:hAnsi="宋体" w:cs="宋体"/>
                <w:color w:val="auto"/>
              </w:rPr>
            </w:pPr>
          </w:p>
        </w:tc>
        <w:tc>
          <w:tcPr>
            <w:tcW w:w="836" w:type="dxa"/>
            <w:noWrap w:val="0"/>
            <w:vAlign w:val="center"/>
          </w:tcPr>
          <w:p>
            <w:pPr>
              <w:spacing w:line="360" w:lineRule="auto"/>
              <w:jc w:val="center"/>
              <w:rPr>
                <w:rFonts w:hint="eastAsia" w:ascii="宋体" w:hAnsi="宋体" w:cs="宋体"/>
                <w:color w:val="auto"/>
              </w:rPr>
            </w:pPr>
          </w:p>
        </w:tc>
      </w:tr>
    </w:tbl>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附件三：</w:t>
      </w:r>
    </w:p>
    <w:p>
      <w:pPr>
        <w:spacing w:line="360" w:lineRule="auto"/>
        <w:rPr>
          <w:rFonts w:hint="eastAsia" w:ascii="宋体" w:hAnsi="宋体" w:cs="宋体"/>
          <w:color w:val="auto"/>
        </w:rPr>
      </w:pPr>
    </w:p>
    <w:p>
      <w:pPr>
        <w:spacing w:line="360" w:lineRule="auto"/>
        <w:jc w:val="center"/>
        <w:rPr>
          <w:rFonts w:hint="eastAsia" w:ascii="宋体" w:hAnsi="宋体" w:cs="宋体"/>
          <w:b/>
          <w:color w:val="auto"/>
        </w:rPr>
      </w:pPr>
      <w:r>
        <w:rPr>
          <w:rFonts w:hint="eastAsia" w:ascii="宋体" w:hAnsi="宋体" w:cs="宋体"/>
          <w:b/>
          <w:color w:val="auto"/>
        </w:rPr>
        <w:t>拟投入本标段的劳动力计划表</w:t>
      </w:r>
    </w:p>
    <w:p>
      <w:pPr>
        <w:spacing w:line="360" w:lineRule="auto"/>
        <w:jc w:val="right"/>
        <w:rPr>
          <w:rFonts w:hint="eastAsia" w:ascii="宋体" w:hAnsi="宋体" w:cs="宋体"/>
          <w:color w:val="auto"/>
        </w:rPr>
      </w:pPr>
      <w:r>
        <w:rPr>
          <w:rFonts w:hint="eastAsia" w:ascii="宋体" w:hAnsi="宋体" w:cs="宋体"/>
          <w:color w:val="auto"/>
        </w:rPr>
        <w:t>单位：人</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7"/>
        <w:gridCol w:w="1106"/>
        <w:gridCol w:w="1107"/>
        <w:gridCol w:w="1107"/>
        <w:gridCol w:w="1107"/>
        <w:gridCol w:w="1107"/>
        <w:gridCol w:w="1107"/>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7"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工种</w:t>
            </w:r>
          </w:p>
        </w:tc>
        <w:tc>
          <w:tcPr>
            <w:tcW w:w="7595" w:type="dxa"/>
            <w:gridSpan w:val="7"/>
            <w:noWrap w:val="0"/>
            <w:vAlign w:val="center"/>
          </w:tcPr>
          <w:p>
            <w:pPr>
              <w:spacing w:line="360" w:lineRule="auto"/>
              <w:jc w:val="center"/>
              <w:rPr>
                <w:rFonts w:hint="eastAsia" w:ascii="宋体" w:hAnsi="宋体" w:cs="宋体"/>
                <w:color w:val="auto"/>
              </w:rPr>
            </w:pPr>
            <w:r>
              <w:rPr>
                <w:rFonts w:hint="eastAsia" w:ascii="宋体" w:hAnsi="宋体" w:cs="宋体"/>
                <w:color w:val="auto"/>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7" w:type="dxa"/>
            <w:noWrap w:val="0"/>
            <w:vAlign w:val="center"/>
          </w:tcPr>
          <w:p>
            <w:pPr>
              <w:spacing w:line="360" w:lineRule="auto"/>
              <w:jc w:val="center"/>
              <w:rPr>
                <w:rFonts w:hint="eastAsia" w:ascii="宋体" w:hAnsi="宋体" w:cs="宋体"/>
                <w:color w:val="auto"/>
              </w:rPr>
            </w:pPr>
          </w:p>
        </w:tc>
        <w:tc>
          <w:tcPr>
            <w:tcW w:w="1106"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954"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7" w:type="dxa"/>
            <w:noWrap w:val="0"/>
            <w:vAlign w:val="center"/>
          </w:tcPr>
          <w:p>
            <w:pPr>
              <w:spacing w:line="360" w:lineRule="auto"/>
              <w:jc w:val="center"/>
              <w:rPr>
                <w:rFonts w:hint="eastAsia" w:ascii="宋体" w:hAnsi="宋体" w:cs="宋体"/>
                <w:color w:val="auto"/>
              </w:rPr>
            </w:pPr>
          </w:p>
        </w:tc>
        <w:tc>
          <w:tcPr>
            <w:tcW w:w="1106"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1107" w:type="dxa"/>
            <w:noWrap w:val="0"/>
            <w:vAlign w:val="center"/>
          </w:tcPr>
          <w:p>
            <w:pPr>
              <w:spacing w:line="360" w:lineRule="auto"/>
              <w:jc w:val="center"/>
              <w:rPr>
                <w:rFonts w:hint="eastAsia" w:ascii="宋体" w:hAnsi="宋体" w:cs="宋体"/>
                <w:color w:val="auto"/>
              </w:rPr>
            </w:pPr>
          </w:p>
        </w:tc>
        <w:tc>
          <w:tcPr>
            <w:tcW w:w="954" w:type="dxa"/>
            <w:noWrap w:val="0"/>
            <w:vAlign w:val="center"/>
          </w:tcPr>
          <w:p>
            <w:pPr>
              <w:spacing w:line="360" w:lineRule="auto"/>
              <w:jc w:val="center"/>
              <w:rPr>
                <w:rFonts w:hint="eastAsia" w:ascii="宋体" w:hAnsi="宋体" w:cs="宋体"/>
                <w:color w:val="auto"/>
              </w:rPr>
            </w:pPr>
          </w:p>
        </w:tc>
      </w:tr>
    </w:tbl>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附件四：</w:t>
      </w:r>
    </w:p>
    <w:p>
      <w:pPr>
        <w:spacing w:line="360" w:lineRule="auto"/>
        <w:rPr>
          <w:rFonts w:hint="eastAsia" w:ascii="宋体" w:hAnsi="宋体" w:cs="宋体"/>
          <w:color w:val="auto"/>
        </w:rPr>
      </w:pPr>
    </w:p>
    <w:p>
      <w:pPr>
        <w:spacing w:line="360" w:lineRule="auto"/>
        <w:jc w:val="center"/>
        <w:rPr>
          <w:rFonts w:hint="eastAsia" w:ascii="宋体" w:hAnsi="宋体" w:cs="宋体"/>
          <w:b/>
          <w:color w:val="auto"/>
        </w:rPr>
      </w:pPr>
      <w:r>
        <w:rPr>
          <w:rFonts w:hint="eastAsia" w:ascii="宋体" w:hAnsi="宋体" w:cs="宋体"/>
          <w:b/>
          <w:color w:val="auto"/>
        </w:rPr>
        <w:t>计划开工日期、完工日期和施工进度网络图</w:t>
      </w:r>
    </w:p>
    <w:p>
      <w:pPr>
        <w:spacing w:line="360" w:lineRule="auto"/>
        <w:rPr>
          <w:rFonts w:hint="eastAsia" w:ascii="宋体" w:hAnsi="宋体" w:cs="宋体"/>
          <w:color w:val="auto"/>
        </w:rPr>
      </w:pPr>
      <w:r>
        <w:rPr>
          <w:rFonts w:hint="eastAsia" w:ascii="宋体" w:hAnsi="宋体" w:cs="宋体"/>
          <w:color w:val="auto"/>
        </w:rPr>
        <w:t>　　1.投标人应递交施工进度网络图或施工进度表，说明按招标文件要求的计划工期进行施工的各个关键日期。</w:t>
      </w:r>
    </w:p>
    <w:p>
      <w:pPr>
        <w:spacing w:line="360" w:lineRule="auto"/>
        <w:rPr>
          <w:rFonts w:hint="eastAsia" w:ascii="宋体" w:hAnsi="宋体" w:cs="宋体"/>
          <w:color w:val="auto"/>
        </w:rPr>
      </w:pPr>
      <w:r>
        <w:rPr>
          <w:rFonts w:hint="eastAsia" w:ascii="宋体" w:hAnsi="宋体" w:cs="宋体"/>
          <w:color w:val="auto"/>
        </w:rPr>
        <w:t>　　2.施工进度表可采用　　　　　　　　　　网络图(或横道图)表示。</w:t>
      </w:r>
    </w:p>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附件五：</w:t>
      </w:r>
    </w:p>
    <w:p>
      <w:pPr>
        <w:spacing w:line="360" w:lineRule="auto"/>
        <w:jc w:val="center"/>
        <w:rPr>
          <w:rFonts w:hint="eastAsia" w:ascii="宋体" w:hAnsi="宋体" w:cs="宋体"/>
          <w:b/>
          <w:color w:val="auto"/>
        </w:rPr>
      </w:pPr>
      <w:r>
        <w:rPr>
          <w:rFonts w:hint="eastAsia" w:ascii="宋体" w:hAnsi="宋体" w:cs="宋体"/>
          <w:b/>
          <w:color w:val="auto"/>
        </w:rPr>
        <w:t>施工总平面图</w:t>
      </w:r>
    </w:p>
    <w:p>
      <w:pPr>
        <w:spacing w:line="360" w:lineRule="auto"/>
        <w:rPr>
          <w:rFonts w:hint="eastAsia" w:ascii="宋体" w:hAnsi="宋体" w:cs="宋体"/>
          <w:color w:val="auto"/>
        </w:rPr>
      </w:pPr>
      <w:r>
        <w:rPr>
          <w:rFonts w:hint="eastAsia" w:ascii="宋体" w:hAnsi="宋体" w:cs="宋体"/>
          <w:color w:val="auto"/>
        </w:rPr>
        <w:t>　　投标人应递交一份施工总平面图，绘出现场临时设施布置图及表并附文字说明，说明临时设施、加工车间、现场办公、设备及仓储、供电、供水、卫生、生活、道路、消防等设施的情况和布置。</w:t>
      </w:r>
    </w:p>
    <w:p>
      <w:pPr>
        <w:spacing w:line="360" w:lineRule="auto"/>
        <w:rPr>
          <w:rFonts w:hint="eastAsia" w:ascii="宋体" w:hAnsi="宋体" w:cs="宋体"/>
          <w:color w:val="auto"/>
        </w:rPr>
      </w:pPr>
    </w:p>
    <w:p>
      <w:pPr>
        <w:spacing w:line="360" w:lineRule="auto"/>
        <w:rPr>
          <w:rFonts w:hint="eastAsia" w:ascii="宋体" w:hAnsi="宋体" w:cs="宋体"/>
          <w:color w:val="auto"/>
        </w:rPr>
      </w:pPr>
      <w:r>
        <w:rPr>
          <w:rFonts w:hint="eastAsia" w:ascii="宋体" w:hAnsi="宋体" w:cs="宋体"/>
          <w:color w:val="auto"/>
        </w:rPr>
        <w:t>附件六：</w:t>
      </w:r>
    </w:p>
    <w:p>
      <w:pPr>
        <w:spacing w:line="360" w:lineRule="auto"/>
        <w:jc w:val="center"/>
        <w:rPr>
          <w:rFonts w:hint="eastAsia" w:ascii="宋体" w:hAnsi="宋体" w:cs="宋体"/>
          <w:b/>
          <w:color w:val="auto"/>
        </w:rPr>
      </w:pPr>
      <w:r>
        <w:rPr>
          <w:rFonts w:hint="eastAsia" w:ascii="宋体" w:hAnsi="宋体" w:cs="宋体"/>
          <w:b/>
          <w:color w:val="auto"/>
        </w:rPr>
        <w:t>临时用地表</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2"/>
        <w:gridCol w:w="2226"/>
        <w:gridCol w:w="2213"/>
        <w:gridCol w:w="2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用途</w:t>
            </w:r>
          </w:p>
        </w:tc>
        <w:tc>
          <w:tcPr>
            <w:tcW w:w="2226"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面积(m2)</w:t>
            </w:r>
          </w:p>
        </w:tc>
        <w:tc>
          <w:tcPr>
            <w:tcW w:w="2213"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位置</w:t>
            </w:r>
          </w:p>
        </w:tc>
        <w:tc>
          <w:tcPr>
            <w:tcW w:w="2061" w:type="dxa"/>
            <w:noWrap w:val="0"/>
            <w:vAlign w:val="center"/>
          </w:tcPr>
          <w:p>
            <w:pPr>
              <w:spacing w:line="360" w:lineRule="auto"/>
              <w:jc w:val="center"/>
              <w:rPr>
                <w:rFonts w:hint="eastAsia" w:ascii="宋体" w:hAnsi="宋体" w:cs="宋体"/>
                <w:color w:val="auto"/>
              </w:rPr>
            </w:pPr>
            <w:r>
              <w:rPr>
                <w:rFonts w:hint="eastAsia" w:ascii="宋体" w:hAnsi="宋体" w:cs="宋体"/>
                <w:color w:val="auto"/>
              </w:rPr>
              <w:t>需用时间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noWrap w:val="0"/>
            <w:vAlign w:val="center"/>
          </w:tcPr>
          <w:p>
            <w:pPr>
              <w:spacing w:line="360" w:lineRule="auto"/>
              <w:jc w:val="center"/>
              <w:rPr>
                <w:rFonts w:hint="eastAsia" w:ascii="宋体" w:hAnsi="宋体" w:cs="宋体"/>
                <w:color w:val="auto"/>
              </w:rPr>
            </w:pPr>
          </w:p>
        </w:tc>
        <w:tc>
          <w:tcPr>
            <w:tcW w:w="2226" w:type="dxa"/>
            <w:noWrap w:val="0"/>
            <w:vAlign w:val="center"/>
          </w:tcPr>
          <w:p>
            <w:pPr>
              <w:spacing w:line="360" w:lineRule="auto"/>
              <w:jc w:val="center"/>
              <w:rPr>
                <w:rFonts w:hint="eastAsia" w:ascii="宋体" w:hAnsi="宋体" w:cs="宋体"/>
                <w:color w:val="auto"/>
              </w:rPr>
            </w:pPr>
          </w:p>
        </w:tc>
        <w:tc>
          <w:tcPr>
            <w:tcW w:w="2213" w:type="dxa"/>
            <w:noWrap w:val="0"/>
            <w:vAlign w:val="center"/>
          </w:tcPr>
          <w:p>
            <w:pPr>
              <w:spacing w:line="360" w:lineRule="auto"/>
              <w:jc w:val="center"/>
              <w:rPr>
                <w:rFonts w:hint="eastAsia" w:ascii="宋体" w:hAnsi="宋体" w:cs="宋体"/>
                <w:color w:val="auto"/>
              </w:rPr>
            </w:pPr>
          </w:p>
        </w:tc>
        <w:tc>
          <w:tcPr>
            <w:tcW w:w="2061"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noWrap w:val="0"/>
            <w:vAlign w:val="center"/>
          </w:tcPr>
          <w:p>
            <w:pPr>
              <w:spacing w:line="360" w:lineRule="auto"/>
              <w:jc w:val="center"/>
              <w:rPr>
                <w:rFonts w:hint="eastAsia" w:ascii="宋体" w:hAnsi="宋体" w:cs="宋体"/>
                <w:color w:val="auto"/>
              </w:rPr>
            </w:pPr>
          </w:p>
        </w:tc>
        <w:tc>
          <w:tcPr>
            <w:tcW w:w="2226" w:type="dxa"/>
            <w:noWrap w:val="0"/>
            <w:vAlign w:val="center"/>
          </w:tcPr>
          <w:p>
            <w:pPr>
              <w:spacing w:line="360" w:lineRule="auto"/>
              <w:jc w:val="center"/>
              <w:rPr>
                <w:rFonts w:hint="eastAsia" w:ascii="宋体" w:hAnsi="宋体" w:cs="宋体"/>
                <w:color w:val="auto"/>
              </w:rPr>
            </w:pPr>
          </w:p>
        </w:tc>
        <w:tc>
          <w:tcPr>
            <w:tcW w:w="2213" w:type="dxa"/>
            <w:noWrap w:val="0"/>
            <w:vAlign w:val="center"/>
          </w:tcPr>
          <w:p>
            <w:pPr>
              <w:spacing w:line="360" w:lineRule="auto"/>
              <w:jc w:val="center"/>
              <w:rPr>
                <w:rFonts w:hint="eastAsia" w:ascii="宋体" w:hAnsi="宋体" w:cs="宋体"/>
                <w:color w:val="auto"/>
              </w:rPr>
            </w:pPr>
          </w:p>
        </w:tc>
        <w:tc>
          <w:tcPr>
            <w:tcW w:w="2061" w:type="dxa"/>
            <w:noWrap w:val="0"/>
            <w:vAlign w:val="center"/>
          </w:tcPr>
          <w:p>
            <w:pPr>
              <w:spacing w:line="360" w:lineRule="auto"/>
              <w:jc w:val="center"/>
              <w:rPr>
                <w:rFonts w:hint="eastAsia" w:ascii="宋体" w:hAnsi="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12" w:type="dxa"/>
            <w:noWrap w:val="0"/>
            <w:vAlign w:val="center"/>
          </w:tcPr>
          <w:p>
            <w:pPr>
              <w:spacing w:line="360" w:lineRule="auto"/>
              <w:jc w:val="center"/>
              <w:rPr>
                <w:rFonts w:hint="eastAsia" w:ascii="宋体" w:hAnsi="宋体" w:cs="宋体"/>
                <w:color w:val="auto"/>
              </w:rPr>
            </w:pPr>
          </w:p>
        </w:tc>
        <w:tc>
          <w:tcPr>
            <w:tcW w:w="2226" w:type="dxa"/>
            <w:noWrap w:val="0"/>
            <w:vAlign w:val="center"/>
          </w:tcPr>
          <w:p>
            <w:pPr>
              <w:spacing w:line="360" w:lineRule="auto"/>
              <w:jc w:val="center"/>
              <w:rPr>
                <w:rFonts w:hint="eastAsia" w:ascii="宋体" w:hAnsi="宋体" w:cs="宋体"/>
                <w:color w:val="auto"/>
              </w:rPr>
            </w:pPr>
          </w:p>
        </w:tc>
        <w:tc>
          <w:tcPr>
            <w:tcW w:w="2213" w:type="dxa"/>
            <w:noWrap w:val="0"/>
            <w:vAlign w:val="center"/>
          </w:tcPr>
          <w:p>
            <w:pPr>
              <w:spacing w:line="360" w:lineRule="auto"/>
              <w:jc w:val="center"/>
              <w:rPr>
                <w:rFonts w:hint="eastAsia" w:ascii="宋体" w:hAnsi="宋体" w:cs="宋体"/>
                <w:color w:val="auto"/>
              </w:rPr>
            </w:pPr>
          </w:p>
        </w:tc>
        <w:tc>
          <w:tcPr>
            <w:tcW w:w="2061" w:type="dxa"/>
            <w:noWrap w:val="0"/>
            <w:vAlign w:val="center"/>
          </w:tcPr>
          <w:p>
            <w:pPr>
              <w:spacing w:line="360" w:lineRule="auto"/>
              <w:jc w:val="center"/>
              <w:rPr>
                <w:rFonts w:hint="eastAsia" w:ascii="宋体" w:hAnsi="宋体" w:cs="宋体"/>
                <w:color w:val="auto"/>
              </w:rPr>
            </w:pPr>
          </w:p>
        </w:tc>
      </w:tr>
    </w:tbl>
    <w:p>
      <w:pPr>
        <w:autoSpaceDE w:val="0"/>
        <w:autoSpaceDN w:val="0"/>
        <w:adjustRightInd w:val="0"/>
        <w:spacing w:line="400" w:lineRule="exact"/>
        <w:ind w:firstLine="360"/>
        <w:rPr>
          <w:rFonts w:hint="eastAsia"/>
          <w:sz w:val="18"/>
          <w:szCs w:val="18"/>
          <w:highlight w:val="none"/>
        </w:rPr>
      </w:pPr>
    </w:p>
    <w:p>
      <w:pPr>
        <w:autoSpaceDE w:val="0"/>
        <w:autoSpaceDN w:val="0"/>
        <w:adjustRightInd w:val="0"/>
        <w:spacing w:line="400" w:lineRule="exact"/>
        <w:ind w:firstLine="360"/>
        <w:rPr>
          <w:rFonts w:hint="eastAsia"/>
          <w:sz w:val="18"/>
          <w:szCs w:val="18"/>
          <w:highlight w:val="none"/>
        </w:rPr>
      </w:pPr>
    </w:p>
    <w:p>
      <w:pPr>
        <w:autoSpaceDE w:val="0"/>
        <w:autoSpaceDN w:val="0"/>
        <w:adjustRightInd w:val="0"/>
        <w:spacing w:line="400" w:lineRule="exact"/>
        <w:ind w:firstLine="360"/>
        <w:rPr>
          <w:rFonts w:hint="eastAsia"/>
          <w:sz w:val="18"/>
          <w:szCs w:val="18"/>
          <w:highlight w:val="none"/>
        </w:rPr>
      </w:pPr>
    </w:p>
    <w:p>
      <w:pPr>
        <w:autoSpaceDE w:val="0"/>
        <w:autoSpaceDN w:val="0"/>
        <w:adjustRightInd w:val="0"/>
        <w:spacing w:line="400" w:lineRule="exact"/>
        <w:ind w:firstLine="360"/>
        <w:rPr>
          <w:rFonts w:hint="eastAsia"/>
          <w:sz w:val="18"/>
          <w:szCs w:val="18"/>
          <w:highlight w:val="none"/>
        </w:rPr>
      </w:pPr>
    </w:p>
    <w:p>
      <w:pPr>
        <w:spacing w:line="400" w:lineRule="exact"/>
        <w:ind w:firstLine="2731" w:firstLineChars="850"/>
        <w:rPr>
          <w:rFonts w:hint="eastAsia"/>
          <w:b/>
          <w:bCs/>
          <w:sz w:val="32"/>
          <w:szCs w:val="32"/>
          <w:highlight w:val="none"/>
        </w:rPr>
      </w:pPr>
      <w:bookmarkStart w:id="305" w:name="_Toc357004110"/>
    </w:p>
    <w:p>
      <w:pPr>
        <w:spacing w:line="400" w:lineRule="exact"/>
        <w:ind w:firstLine="2731" w:firstLineChars="850"/>
        <w:rPr>
          <w:rFonts w:hint="eastAsia"/>
          <w:b/>
          <w:bCs/>
          <w:sz w:val="32"/>
          <w:szCs w:val="32"/>
          <w:highlight w:val="none"/>
        </w:rPr>
      </w:pPr>
    </w:p>
    <w:bookmarkEnd w:id="305"/>
    <w:p>
      <w:pPr>
        <w:autoSpaceDE w:val="0"/>
        <w:autoSpaceDN w:val="0"/>
        <w:adjustRightInd w:val="0"/>
        <w:spacing w:line="400" w:lineRule="exact"/>
        <w:rPr>
          <w:rFonts w:hint="eastAsia"/>
          <w:highlight w:val="none"/>
        </w:rPr>
      </w:pPr>
    </w:p>
    <w:p>
      <w:pPr>
        <w:snapToGrid w:val="0"/>
        <w:spacing w:line="400" w:lineRule="exact"/>
        <w:outlineLvl w:val="1"/>
        <w:rPr>
          <w:rFonts w:hint="eastAsia"/>
          <w:b/>
          <w:sz w:val="28"/>
          <w:szCs w:val="28"/>
          <w:highlight w:val="none"/>
        </w:rPr>
      </w:pPr>
      <w:bookmarkStart w:id="306" w:name="_Toc2260"/>
      <w:bookmarkStart w:id="307" w:name="_Toc458079956"/>
      <w:r>
        <w:rPr>
          <w:rFonts w:hint="eastAsia"/>
          <w:b/>
          <w:sz w:val="28"/>
          <w:szCs w:val="28"/>
          <w:highlight w:val="none"/>
        </w:rPr>
        <w:br w:type="page"/>
      </w:r>
      <w:bookmarkStart w:id="308" w:name="_Toc11264"/>
      <w:r>
        <w:rPr>
          <w:rFonts w:hint="eastAsia"/>
          <w:b/>
          <w:sz w:val="28"/>
          <w:szCs w:val="28"/>
          <w:highlight w:val="none"/>
        </w:rPr>
        <w:t>附件10：</w:t>
      </w:r>
      <w:bookmarkEnd w:id="304"/>
      <w:r>
        <w:rPr>
          <w:rFonts w:hint="eastAsia"/>
          <w:b/>
          <w:sz w:val="28"/>
          <w:szCs w:val="28"/>
          <w:highlight w:val="none"/>
        </w:rPr>
        <w:t>项目管理机构</w:t>
      </w:r>
      <w:bookmarkEnd w:id="306"/>
      <w:bookmarkEnd w:id="307"/>
      <w:bookmarkEnd w:id="308"/>
    </w:p>
    <w:p>
      <w:pPr>
        <w:jc w:val="center"/>
        <w:rPr>
          <w:rFonts w:hint="eastAsia"/>
          <w:b/>
          <w:highlight w:val="none"/>
        </w:rPr>
      </w:pPr>
      <w:bookmarkStart w:id="309" w:name="_Toc16192"/>
      <w:bookmarkStart w:id="310" w:name="_Toc201287664"/>
      <w:r>
        <w:rPr>
          <w:rFonts w:hint="eastAsia"/>
          <w:b/>
          <w:highlight w:val="none"/>
        </w:rPr>
        <w:t>（一）项目管理机构组成表</w:t>
      </w:r>
      <w:bookmarkEnd w:id="309"/>
      <w:bookmarkEnd w:id="310"/>
    </w:p>
    <w:tbl>
      <w:tblPr>
        <w:tblStyle w:val="68"/>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6"/>
        <w:gridCol w:w="976"/>
        <w:gridCol w:w="940"/>
        <w:gridCol w:w="1074"/>
        <w:gridCol w:w="936"/>
        <w:gridCol w:w="936"/>
        <w:gridCol w:w="1273"/>
        <w:gridCol w:w="936"/>
        <w:gridCol w:w="9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936" w:type="dxa"/>
            <w:vMerge w:val="restart"/>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职务</w:t>
            </w:r>
          </w:p>
        </w:tc>
        <w:tc>
          <w:tcPr>
            <w:tcW w:w="976" w:type="dxa"/>
            <w:vMerge w:val="restart"/>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姓名</w:t>
            </w:r>
          </w:p>
        </w:tc>
        <w:tc>
          <w:tcPr>
            <w:tcW w:w="940" w:type="dxa"/>
            <w:vMerge w:val="restart"/>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职称</w:t>
            </w:r>
          </w:p>
        </w:tc>
        <w:tc>
          <w:tcPr>
            <w:tcW w:w="5155" w:type="dxa"/>
            <w:gridSpan w:val="5"/>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执业或职业资格证明</w:t>
            </w:r>
          </w:p>
        </w:tc>
        <w:tc>
          <w:tcPr>
            <w:tcW w:w="996" w:type="dxa"/>
            <w:vMerge w:val="restart"/>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936" w:type="dxa"/>
            <w:vMerge w:val="continue"/>
            <w:noWrap w:val="0"/>
            <w:vAlign w:val="center"/>
          </w:tcPr>
          <w:p>
            <w:pPr>
              <w:autoSpaceDE w:val="0"/>
              <w:autoSpaceDN w:val="0"/>
              <w:adjustRightInd w:val="0"/>
              <w:spacing w:line="400" w:lineRule="exact"/>
              <w:jc w:val="center"/>
              <w:rPr>
                <w:rFonts w:hint="eastAsia"/>
                <w:szCs w:val="21"/>
                <w:highlight w:val="none"/>
              </w:rPr>
            </w:pPr>
          </w:p>
        </w:tc>
        <w:tc>
          <w:tcPr>
            <w:tcW w:w="976" w:type="dxa"/>
            <w:vMerge w:val="continue"/>
            <w:noWrap w:val="0"/>
            <w:vAlign w:val="center"/>
          </w:tcPr>
          <w:p>
            <w:pPr>
              <w:autoSpaceDE w:val="0"/>
              <w:autoSpaceDN w:val="0"/>
              <w:adjustRightInd w:val="0"/>
              <w:spacing w:line="400" w:lineRule="exact"/>
              <w:jc w:val="center"/>
              <w:rPr>
                <w:rFonts w:hint="eastAsia"/>
                <w:szCs w:val="21"/>
                <w:highlight w:val="none"/>
              </w:rPr>
            </w:pPr>
          </w:p>
        </w:tc>
        <w:tc>
          <w:tcPr>
            <w:tcW w:w="940" w:type="dxa"/>
            <w:vMerge w:val="continue"/>
            <w:noWrap w:val="0"/>
            <w:vAlign w:val="center"/>
          </w:tcPr>
          <w:p>
            <w:pPr>
              <w:autoSpaceDE w:val="0"/>
              <w:autoSpaceDN w:val="0"/>
              <w:adjustRightInd w:val="0"/>
              <w:spacing w:line="400" w:lineRule="exact"/>
              <w:jc w:val="center"/>
              <w:rPr>
                <w:rFonts w:hint="eastAsia"/>
                <w:szCs w:val="21"/>
                <w:highlight w:val="none"/>
              </w:rPr>
            </w:pPr>
          </w:p>
        </w:tc>
        <w:tc>
          <w:tcPr>
            <w:tcW w:w="1074" w:type="dxa"/>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证书名称</w:t>
            </w:r>
          </w:p>
        </w:tc>
        <w:tc>
          <w:tcPr>
            <w:tcW w:w="936" w:type="dxa"/>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级别</w:t>
            </w:r>
          </w:p>
        </w:tc>
        <w:tc>
          <w:tcPr>
            <w:tcW w:w="936" w:type="dxa"/>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证号</w:t>
            </w:r>
          </w:p>
        </w:tc>
        <w:tc>
          <w:tcPr>
            <w:tcW w:w="1273" w:type="dxa"/>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专业</w:t>
            </w:r>
          </w:p>
        </w:tc>
        <w:tc>
          <w:tcPr>
            <w:tcW w:w="936" w:type="dxa"/>
            <w:noWrap w:val="0"/>
            <w:vAlign w:val="center"/>
          </w:tcPr>
          <w:p>
            <w:pPr>
              <w:autoSpaceDE w:val="0"/>
              <w:autoSpaceDN w:val="0"/>
              <w:adjustRightInd w:val="0"/>
              <w:spacing w:line="400" w:lineRule="exact"/>
              <w:jc w:val="center"/>
              <w:rPr>
                <w:rFonts w:hint="eastAsia"/>
                <w:szCs w:val="21"/>
                <w:highlight w:val="none"/>
              </w:rPr>
            </w:pPr>
            <w:r>
              <w:rPr>
                <w:rFonts w:hint="eastAsia"/>
                <w:szCs w:val="21"/>
                <w:highlight w:val="none"/>
              </w:rPr>
              <w:t>养老保险</w:t>
            </w:r>
          </w:p>
        </w:tc>
        <w:tc>
          <w:tcPr>
            <w:tcW w:w="996" w:type="dxa"/>
            <w:vMerge w:val="continue"/>
            <w:noWrap w:val="0"/>
            <w:vAlign w:val="center"/>
          </w:tcPr>
          <w:p>
            <w:pPr>
              <w:autoSpaceDE w:val="0"/>
              <w:autoSpaceDN w:val="0"/>
              <w:adjustRightInd w:val="0"/>
              <w:spacing w:line="400" w:lineRule="exact"/>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center"/>
          </w:tcPr>
          <w:p>
            <w:pPr>
              <w:autoSpaceDE w:val="0"/>
              <w:autoSpaceDN w:val="0"/>
              <w:adjustRightInd w:val="0"/>
              <w:spacing w:line="400" w:lineRule="exact"/>
              <w:jc w:val="center"/>
              <w:rPr>
                <w:rFonts w:hint="eastAsia"/>
                <w:szCs w:val="21"/>
                <w:highlight w:val="none"/>
              </w:rPr>
            </w:pPr>
          </w:p>
        </w:tc>
        <w:tc>
          <w:tcPr>
            <w:tcW w:w="976" w:type="dxa"/>
            <w:noWrap w:val="0"/>
            <w:vAlign w:val="center"/>
          </w:tcPr>
          <w:p>
            <w:pPr>
              <w:autoSpaceDE w:val="0"/>
              <w:autoSpaceDN w:val="0"/>
              <w:adjustRightInd w:val="0"/>
              <w:spacing w:line="400" w:lineRule="exact"/>
              <w:jc w:val="center"/>
              <w:rPr>
                <w:rFonts w:hint="eastAsia"/>
                <w:szCs w:val="21"/>
                <w:highlight w:val="none"/>
              </w:rPr>
            </w:pPr>
          </w:p>
        </w:tc>
        <w:tc>
          <w:tcPr>
            <w:tcW w:w="940" w:type="dxa"/>
            <w:noWrap w:val="0"/>
            <w:vAlign w:val="center"/>
          </w:tcPr>
          <w:p>
            <w:pPr>
              <w:autoSpaceDE w:val="0"/>
              <w:autoSpaceDN w:val="0"/>
              <w:adjustRightInd w:val="0"/>
              <w:spacing w:line="400" w:lineRule="exact"/>
              <w:jc w:val="center"/>
              <w:rPr>
                <w:rFonts w:hint="eastAsia"/>
                <w:szCs w:val="21"/>
                <w:highlight w:val="none"/>
              </w:rPr>
            </w:pPr>
          </w:p>
        </w:tc>
        <w:tc>
          <w:tcPr>
            <w:tcW w:w="1074" w:type="dxa"/>
            <w:noWrap w:val="0"/>
            <w:vAlign w:val="center"/>
          </w:tcPr>
          <w:p>
            <w:pPr>
              <w:autoSpaceDE w:val="0"/>
              <w:autoSpaceDN w:val="0"/>
              <w:adjustRightInd w:val="0"/>
              <w:spacing w:line="400" w:lineRule="exact"/>
              <w:jc w:val="center"/>
              <w:rPr>
                <w:rFonts w:hint="eastAsia"/>
                <w:szCs w:val="21"/>
                <w:highlight w:val="none"/>
              </w:rPr>
            </w:pPr>
          </w:p>
        </w:tc>
        <w:tc>
          <w:tcPr>
            <w:tcW w:w="936" w:type="dxa"/>
            <w:noWrap w:val="0"/>
            <w:vAlign w:val="center"/>
          </w:tcPr>
          <w:p>
            <w:pPr>
              <w:autoSpaceDE w:val="0"/>
              <w:autoSpaceDN w:val="0"/>
              <w:adjustRightInd w:val="0"/>
              <w:spacing w:line="400" w:lineRule="exact"/>
              <w:jc w:val="center"/>
              <w:rPr>
                <w:rFonts w:hint="eastAsia"/>
                <w:szCs w:val="21"/>
                <w:highlight w:val="none"/>
              </w:rPr>
            </w:pPr>
          </w:p>
        </w:tc>
        <w:tc>
          <w:tcPr>
            <w:tcW w:w="936" w:type="dxa"/>
            <w:noWrap w:val="0"/>
            <w:vAlign w:val="center"/>
          </w:tcPr>
          <w:p>
            <w:pPr>
              <w:autoSpaceDE w:val="0"/>
              <w:autoSpaceDN w:val="0"/>
              <w:adjustRightInd w:val="0"/>
              <w:spacing w:line="400" w:lineRule="exact"/>
              <w:jc w:val="center"/>
              <w:rPr>
                <w:rFonts w:hint="eastAsia"/>
                <w:szCs w:val="21"/>
                <w:highlight w:val="none"/>
              </w:rPr>
            </w:pPr>
          </w:p>
        </w:tc>
        <w:tc>
          <w:tcPr>
            <w:tcW w:w="1273" w:type="dxa"/>
            <w:noWrap w:val="0"/>
            <w:vAlign w:val="center"/>
          </w:tcPr>
          <w:p>
            <w:pPr>
              <w:autoSpaceDE w:val="0"/>
              <w:autoSpaceDN w:val="0"/>
              <w:adjustRightInd w:val="0"/>
              <w:spacing w:line="400" w:lineRule="exact"/>
              <w:jc w:val="center"/>
              <w:rPr>
                <w:rFonts w:hint="eastAsia"/>
                <w:szCs w:val="21"/>
                <w:highlight w:val="none"/>
              </w:rPr>
            </w:pPr>
          </w:p>
        </w:tc>
        <w:tc>
          <w:tcPr>
            <w:tcW w:w="936" w:type="dxa"/>
            <w:noWrap w:val="0"/>
            <w:vAlign w:val="center"/>
          </w:tcPr>
          <w:p>
            <w:pPr>
              <w:autoSpaceDE w:val="0"/>
              <w:autoSpaceDN w:val="0"/>
              <w:adjustRightInd w:val="0"/>
              <w:spacing w:line="400" w:lineRule="exact"/>
              <w:jc w:val="center"/>
              <w:rPr>
                <w:rFonts w:hint="eastAsia"/>
                <w:szCs w:val="21"/>
                <w:highlight w:val="none"/>
              </w:rPr>
            </w:pPr>
          </w:p>
        </w:tc>
        <w:tc>
          <w:tcPr>
            <w:tcW w:w="996" w:type="dxa"/>
            <w:noWrap w:val="0"/>
            <w:vAlign w:val="center"/>
          </w:tcPr>
          <w:p>
            <w:pPr>
              <w:autoSpaceDE w:val="0"/>
              <w:autoSpaceDN w:val="0"/>
              <w:adjustRightInd w:val="0"/>
              <w:spacing w:line="400" w:lineRule="exact"/>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top"/>
          </w:tcPr>
          <w:p>
            <w:pPr>
              <w:autoSpaceDE w:val="0"/>
              <w:autoSpaceDN w:val="0"/>
              <w:adjustRightInd w:val="0"/>
              <w:spacing w:line="400" w:lineRule="exact"/>
              <w:rPr>
                <w:rFonts w:hint="eastAsia"/>
                <w:szCs w:val="21"/>
                <w:highlight w:val="none"/>
              </w:rPr>
            </w:pPr>
          </w:p>
        </w:tc>
        <w:tc>
          <w:tcPr>
            <w:tcW w:w="976" w:type="dxa"/>
            <w:noWrap w:val="0"/>
            <w:vAlign w:val="top"/>
          </w:tcPr>
          <w:p>
            <w:pPr>
              <w:autoSpaceDE w:val="0"/>
              <w:autoSpaceDN w:val="0"/>
              <w:adjustRightInd w:val="0"/>
              <w:spacing w:line="400" w:lineRule="exact"/>
              <w:rPr>
                <w:rFonts w:hint="eastAsia"/>
                <w:szCs w:val="21"/>
                <w:highlight w:val="none"/>
              </w:rPr>
            </w:pPr>
          </w:p>
        </w:tc>
        <w:tc>
          <w:tcPr>
            <w:tcW w:w="940" w:type="dxa"/>
            <w:noWrap w:val="0"/>
            <w:vAlign w:val="top"/>
          </w:tcPr>
          <w:p>
            <w:pPr>
              <w:autoSpaceDE w:val="0"/>
              <w:autoSpaceDN w:val="0"/>
              <w:adjustRightInd w:val="0"/>
              <w:spacing w:line="400" w:lineRule="exact"/>
              <w:rPr>
                <w:rFonts w:hint="eastAsia"/>
                <w:szCs w:val="21"/>
                <w:highlight w:val="none"/>
              </w:rPr>
            </w:pPr>
          </w:p>
        </w:tc>
        <w:tc>
          <w:tcPr>
            <w:tcW w:w="1074"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1273"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96" w:type="dxa"/>
            <w:noWrap w:val="0"/>
            <w:vAlign w:val="top"/>
          </w:tcPr>
          <w:p>
            <w:pPr>
              <w:autoSpaceDE w:val="0"/>
              <w:autoSpaceDN w:val="0"/>
              <w:adjustRightInd w:val="0"/>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top"/>
          </w:tcPr>
          <w:p>
            <w:pPr>
              <w:autoSpaceDE w:val="0"/>
              <w:autoSpaceDN w:val="0"/>
              <w:adjustRightInd w:val="0"/>
              <w:spacing w:line="400" w:lineRule="exact"/>
              <w:rPr>
                <w:rFonts w:hint="eastAsia"/>
                <w:szCs w:val="21"/>
                <w:highlight w:val="none"/>
              </w:rPr>
            </w:pPr>
          </w:p>
        </w:tc>
        <w:tc>
          <w:tcPr>
            <w:tcW w:w="976" w:type="dxa"/>
            <w:noWrap w:val="0"/>
            <w:vAlign w:val="top"/>
          </w:tcPr>
          <w:p>
            <w:pPr>
              <w:autoSpaceDE w:val="0"/>
              <w:autoSpaceDN w:val="0"/>
              <w:adjustRightInd w:val="0"/>
              <w:spacing w:line="400" w:lineRule="exact"/>
              <w:rPr>
                <w:rFonts w:hint="eastAsia"/>
                <w:szCs w:val="21"/>
                <w:highlight w:val="none"/>
              </w:rPr>
            </w:pPr>
          </w:p>
        </w:tc>
        <w:tc>
          <w:tcPr>
            <w:tcW w:w="940" w:type="dxa"/>
            <w:noWrap w:val="0"/>
            <w:vAlign w:val="top"/>
          </w:tcPr>
          <w:p>
            <w:pPr>
              <w:autoSpaceDE w:val="0"/>
              <w:autoSpaceDN w:val="0"/>
              <w:adjustRightInd w:val="0"/>
              <w:spacing w:line="400" w:lineRule="exact"/>
              <w:rPr>
                <w:rFonts w:hint="eastAsia"/>
                <w:szCs w:val="21"/>
                <w:highlight w:val="none"/>
              </w:rPr>
            </w:pPr>
          </w:p>
        </w:tc>
        <w:tc>
          <w:tcPr>
            <w:tcW w:w="1074"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1273"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96" w:type="dxa"/>
            <w:noWrap w:val="0"/>
            <w:vAlign w:val="top"/>
          </w:tcPr>
          <w:p>
            <w:pPr>
              <w:autoSpaceDE w:val="0"/>
              <w:autoSpaceDN w:val="0"/>
              <w:adjustRightInd w:val="0"/>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top"/>
          </w:tcPr>
          <w:p>
            <w:pPr>
              <w:autoSpaceDE w:val="0"/>
              <w:autoSpaceDN w:val="0"/>
              <w:adjustRightInd w:val="0"/>
              <w:spacing w:line="400" w:lineRule="exact"/>
              <w:rPr>
                <w:rFonts w:hint="eastAsia"/>
                <w:szCs w:val="21"/>
                <w:highlight w:val="none"/>
              </w:rPr>
            </w:pPr>
          </w:p>
        </w:tc>
        <w:tc>
          <w:tcPr>
            <w:tcW w:w="976" w:type="dxa"/>
            <w:noWrap w:val="0"/>
            <w:vAlign w:val="top"/>
          </w:tcPr>
          <w:p>
            <w:pPr>
              <w:autoSpaceDE w:val="0"/>
              <w:autoSpaceDN w:val="0"/>
              <w:adjustRightInd w:val="0"/>
              <w:spacing w:line="400" w:lineRule="exact"/>
              <w:rPr>
                <w:rFonts w:hint="eastAsia"/>
                <w:szCs w:val="21"/>
                <w:highlight w:val="none"/>
              </w:rPr>
            </w:pPr>
          </w:p>
        </w:tc>
        <w:tc>
          <w:tcPr>
            <w:tcW w:w="940" w:type="dxa"/>
            <w:noWrap w:val="0"/>
            <w:vAlign w:val="top"/>
          </w:tcPr>
          <w:p>
            <w:pPr>
              <w:autoSpaceDE w:val="0"/>
              <w:autoSpaceDN w:val="0"/>
              <w:adjustRightInd w:val="0"/>
              <w:spacing w:line="400" w:lineRule="exact"/>
              <w:rPr>
                <w:rFonts w:hint="eastAsia"/>
                <w:szCs w:val="21"/>
                <w:highlight w:val="none"/>
              </w:rPr>
            </w:pPr>
          </w:p>
        </w:tc>
        <w:tc>
          <w:tcPr>
            <w:tcW w:w="1074"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1273"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96" w:type="dxa"/>
            <w:noWrap w:val="0"/>
            <w:vAlign w:val="top"/>
          </w:tcPr>
          <w:p>
            <w:pPr>
              <w:autoSpaceDE w:val="0"/>
              <w:autoSpaceDN w:val="0"/>
              <w:adjustRightInd w:val="0"/>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top"/>
          </w:tcPr>
          <w:p>
            <w:pPr>
              <w:autoSpaceDE w:val="0"/>
              <w:autoSpaceDN w:val="0"/>
              <w:adjustRightInd w:val="0"/>
              <w:spacing w:line="400" w:lineRule="exact"/>
              <w:rPr>
                <w:rFonts w:hint="eastAsia"/>
                <w:szCs w:val="21"/>
                <w:highlight w:val="none"/>
              </w:rPr>
            </w:pPr>
          </w:p>
        </w:tc>
        <w:tc>
          <w:tcPr>
            <w:tcW w:w="976" w:type="dxa"/>
            <w:noWrap w:val="0"/>
            <w:vAlign w:val="top"/>
          </w:tcPr>
          <w:p>
            <w:pPr>
              <w:autoSpaceDE w:val="0"/>
              <w:autoSpaceDN w:val="0"/>
              <w:adjustRightInd w:val="0"/>
              <w:spacing w:line="400" w:lineRule="exact"/>
              <w:rPr>
                <w:rFonts w:hint="eastAsia"/>
                <w:szCs w:val="21"/>
                <w:highlight w:val="none"/>
              </w:rPr>
            </w:pPr>
          </w:p>
        </w:tc>
        <w:tc>
          <w:tcPr>
            <w:tcW w:w="940" w:type="dxa"/>
            <w:noWrap w:val="0"/>
            <w:vAlign w:val="top"/>
          </w:tcPr>
          <w:p>
            <w:pPr>
              <w:autoSpaceDE w:val="0"/>
              <w:autoSpaceDN w:val="0"/>
              <w:adjustRightInd w:val="0"/>
              <w:spacing w:line="400" w:lineRule="exact"/>
              <w:rPr>
                <w:rFonts w:hint="eastAsia"/>
                <w:szCs w:val="21"/>
                <w:highlight w:val="none"/>
              </w:rPr>
            </w:pPr>
          </w:p>
        </w:tc>
        <w:tc>
          <w:tcPr>
            <w:tcW w:w="1074"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1273"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96" w:type="dxa"/>
            <w:noWrap w:val="0"/>
            <w:vAlign w:val="top"/>
          </w:tcPr>
          <w:p>
            <w:pPr>
              <w:autoSpaceDE w:val="0"/>
              <w:autoSpaceDN w:val="0"/>
              <w:adjustRightInd w:val="0"/>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top"/>
          </w:tcPr>
          <w:p>
            <w:pPr>
              <w:autoSpaceDE w:val="0"/>
              <w:autoSpaceDN w:val="0"/>
              <w:adjustRightInd w:val="0"/>
              <w:spacing w:line="400" w:lineRule="exact"/>
              <w:rPr>
                <w:rFonts w:hint="eastAsia"/>
                <w:szCs w:val="21"/>
                <w:highlight w:val="none"/>
              </w:rPr>
            </w:pPr>
          </w:p>
        </w:tc>
        <w:tc>
          <w:tcPr>
            <w:tcW w:w="976" w:type="dxa"/>
            <w:noWrap w:val="0"/>
            <w:vAlign w:val="top"/>
          </w:tcPr>
          <w:p>
            <w:pPr>
              <w:autoSpaceDE w:val="0"/>
              <w:autoSpaceDN w:val="0"/>
              <w:adjustRightInd w:val="0"/>
              <w:spacing w:line="400" w:lineRule="exact"/>
              <w:rPr>
                <w:rFonts w:hint="eastAsia"/>
                <w:szCs w:val="21"/>
                <w:highlight w:val="none"/>
              </w:rPr>
            </w:pPr>
          </w:p>
        </w:tc>
        <w:tc>
          <w:tcPr>
            <w:tcW w:w="940" w:type="dxa"/>
            <w:noWrap w:val="0"/>
            <w:vAlign w:val="top"/>
          </w:tcPr>
          <w:p>
            <w:pPr>
              <w:autoSpaceDE w:val="0"/>
              <w:autoSpaceDN w:val="0"/>
              <w:adjustRightInd w:val="0"/>
              <w:spacing w:line="400" w:lineRule="exact"/>
              <w:rPr>
                <w:rFonts w:hint="eastAsia"/>
                <w:szCs w:val="21"/>
                <w:highlight w:val="none"/>
              </w:rPr>
            </w:pPr>
          </w:p>
        </w:tc>
        <w:tc>
          <w:tcPr>
            <w:tcW w:w="1074"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1273"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96" w:type="dxa"/>
            <w:noWrap w:val="0"/>
            <w:vAlign w:val="top"/>
          </w:tcPr>
          <w:p>
            <w:pPr>
              <w:autoSpaceDE w:val="0"/>
              <w:autoSpaceDN w:val="0"/>
              <w:adjustRightInd w:val="0"/>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6" w:type="dxa"/>
            <w:noWrap w:val="0"/>
            <w:vAlign w:val="top"/>
          </w:tcPr>
          <w:p>
            <w:pPr>
              <w:autoSpaceDE w:val="0"/>
              <w:autoSpaceDN w:val="0"/>
              <w:adjustRightInd w:val="0"/>
              <w:spacing w:line="400" w:lineRule="exact"/>
              <w:rPr>
                <w:rFonts w:hint="eastAsia"/>
                <w:szCs w:val="21"/>
                <w:highlight w:val="none"/>
              </w:rPr>
            </w:pPr>
          </w:p>
        </w:tc>
        <w:tc>
          <w:tcPr>
            <w:tcW w:w="976" w:type="dxa"/>
            <w:noWrap w:val="0"/>
            <w:vAlign w:val="top"/>
          </w:tcPr>
          <w:p>
            <w:pPr>
              <w:autoSpaceDE w:val="0"/>
              <w:autoSpaceDN w:val="0"/>
              <w:adjustRightInd w:val="0"/>
              <w:spacing w:line="400" w:lineRule="exact"/>
              <w:rPr>
                <w:rFonts w:hint="eastAsia"/>
                <w:szCs w:val="21"/>
                <w:highlight w:val="none"/>
              </w:rPr>
            </w:pPr>
          </w:p>
        </w:tc>
        <w:tc>
          <w:tcPr>
            <w:tcW w:w="940" w:type="dxa"/>
            <w:noWrap w:val="0"/>
            <w:vAlign w:val="top"/>
          </w:tcPr>
          <w:p>
            <w:pPr>
              <w:autoSpaceDE w:val="0"/>
              <w:autoSpaceDN w:val="0"/>
              <w:adjustRightInd w:val="0"/>
              <w:spacing w:line="400" w:lineRule="exact"/>
              <w:rPr>
                <w:rFonts w:hint="eastAsia"/>
                <w:szCs w:val="21"/>
                <w:highlight w:val="none"/>
              </w:rPr>
            </w:pPr>
          </w:p>
        </w:tc>
        <w:tc>
          <w:tcPr>
            <w:tcW w:w="1074"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1273" w:type="dxa"/>
            <w:noWrap w:val="0"/>
            <w:vAlign w:val="top"/>
          </w:tcPr>
          <w:p>
            <w:pPr>
              <w:autoSpaceDE w:val="0"/>
              <w:autoSpaceDN w:val="0"/>
              <w:adjustRightInd w:val="0"/>
              <w:spacing w:line="400" w:lineRule="exact"/>
              <w:rPr>
                <w:rFonts w:hint="eastAsia"/>
                <w:szCs w:val="21"/>
                <w:highlight w:val="none"/>
              </w:rPr>
            </w:pPr>
          </w:p>
        </w:tc>
        <w:tc>
          <w:tcPr>
            <w:tcW w:w="936" w:type="dxa"/>
            <w:noWrap w:val="0"/>
            <w:vAlign w:val="top"/>
          </w:tcPr>
          <w:p>
            <w:pPr>
              <w:autoSpaceDE w:val="0"/>
              <w:autoSpaceDN w:val="0"/>
              <w:adjustRightInd w:val="0"/>
              <w:spacing w:line="400" w:lineRule="exact"/>
              <w:rPr>
                <w:rFonts w:hint="eastAsia"/>
                <w:szCs w:val="21"/>
                <w:highlight w:val="none"/>
              </w:rPr>
            </w:pPr>
          </w:p>
        </w:tc>
        <w:tc>
          <w:tcPr>
            <w:tcW w:w="996" w:type="dxa"/>
            <w:noWrap w:val="0"/>
            <w:vAlign w:val="top"/>
          </w:tcPr>
          <w:p>
            <w:pPr>
              <w:autoSpaceDE w:val="0"/>
              <w:autoSpaceDN w:val="0"/>
              <w:adjustRightInd w:val="0"/>
              <w:spacing w:line="400" w:lineRule="exact"/>
              <w:rPr>
                <w:rFonts w:hint="eastAsia"/>
                <w:szCs w:val="21"/>
                <w:highlight w:val="none"/>
              </w:rPr>
            </w:pPr>
          </w:p>
        </w:tc>
      </w:tr>
    </w:tbl>
    <w:p>
      <w:pPr>
        <w:jc w:val="center"/>
        <w:rPr>
          <w:rFonts w:hint="eastAsia"/>
          <w:b/>
          <w:highlight w:val="none"/>
        </w:rPr>
      </w:pPr>
      <w:bookmarkStart w:id="311" w:name="_Toc10656"/>
      <w:bookmarkStart w:id="312" w:name="_Toc201287665"/>
      <w:r>
        <w:rPr>
          <w:rFonts w:hint="eastAsia"/>
          <w:b/>
          <w:highlight w:val="none"/>
        </w:rPr>
        <w:t>（二）主要人员简历表</w:t>
      </w:r>
      <w:bookmarkEnd w:id="311"/>
      <w:bookmarkEnd w:id="312"/>
    </w:p>
    <w:p>
      <w:pPr>
        <w:spacing w:line="400" w:lineRule="exact"/>
        <w:ind w:firstLine="480"/>
        <w:rPr>
          <w:rFonts w:hint="eastAsia"/>
          <w:highlight w:val="none"/>
        </w:rPr>
      </w:pPr>
      <w:r>
        <w:rPr>
          <w:rFonts w:hint="eastAsia"/>
          <w:highlight w:val="none"/>
        </w:rPr>
        <w:t>“主要人员简历表”中的</w:t>
      </w:r>
      <w:r>
        <w:rPr>
          <w:rFonts w:hint="eastAsia"/>
          <w:highlight w:val="none"/>
          <w:lang w:val="en-US" w:eastAsia="zh-CN"/>
        </w:rPr>
        <w:t>项目</w:t>
      </w:r>
      <w:r>
        <w:rPr>
          <w:rFonts w:hint="eastAsia"/>
          <w:highlight w:val="none"/>
        </w:rPr>
        <w:t>经理应附职称证、学历证身份证复印件，管理过的项目业绩须附</w:t>
      </w:r>
      <w:r>
        <w:rPr>
          <w:rFonts w:hint="eastAsia"/>
          <w:highlight w:val="none"/>
          <w:lang w:val="en-US" w:eastAsia="zh-CN"/>
        </w:rPr>
        <w:t>中标（</w:t>
      </w:r>
      <w:r>
        <w:rPr>
          <w:rFonts w:hint="eastAsia"/>
          <w:highlight w:val="none"/>
          <w:lang w:eastAsia="zh-CN"/>
        </w:rPr>
        <w:t>成交</w:t>
      </w:r>
      <w:r>
        <w:rPr>
          <w:rFonts w:hint="eastAsia"/>
          <w:highlight w:val="none"/>
          <w:lang w:val="en-US" w:eastAsia="zh-CN"/>
        </w:rPr>
        <w:t>）</w:t>
      </w:r>
      <w:r>
        <w:rPr>
          <w:rFonts w:hint="eastAsia"/>
          <w:highlight w:val="none"/>
          <w:lang w:eastAsia="zh-CN"/>
        </w:rPr>
        <w:t>通知书</w:t>
      </w:r>
      <w:r>
        <w:rPr>
          <w:rFonts w:hint="eastAsia"/>
          <w:highlight w:val="none"/>
        </w:rPr>
        <w:t>或合同复印件</w:t>
      </w:r>
      <w:r>
        <w:rPr>
          <w:rFonts w:hint="eastAsia"/>
          <w:szCs w:val="21"/>
          <w:highlight w:val="none"/>
        </w:rPr>
        <w:t>；</w:t>
      </w:r>
      <w:r>
        <w:rPr>
          <w:rFonts w:hint="eastAsia"/>
          <w:highlight w:val="none"/>
        </w:rPr>
        <w:t>其他主要人员应附职称证（执业证或上岗证书）。</w:t>
      </w:r>
    </w:p>
    <w:tbl>
      <w:tblPr>
        <w:tblStyle w:val="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7"/>
        <w:gridCol w:w="1460"/>
        <w:gridCol w:w="1029"/>
        <w:gridCol w:w="1508"/>
        <w:gridCol w:w="1733"/>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4" w:type="dxa"/>
            <w:noWrap w:val="0"/>
            <w:vAlign w:val="center"/>
          </w:tcPr>
          <w:p>
            <w:pPr>
              <w:spacing w:line="400" w:lineRule="exact"/>
              <w:jc w:val="center"/>
              <w:rPr>
                <w:rFonts w:hint="eastAsia"/>
                <w:szCs w:val="21"/>
                <w:highlight w:val="none"/>
              </w:rPr>
            </w:pPr>
            <w:r>
              <w:rPr>
                <w:rFonts w:hint="eastAsia"/>
                <w:szCs w:val="21"/>
                <w:highlight w:val="none"/>
              </w:rPr>
              <w:t>姓名</w:t>
            </w:r>
          </w:p>
        </w:tc>
        <w:tc>
          <w:tcPr>
            <w:tcW w:w="1677" w:type="dxa"/>
            <w:gridSpan w:val="2"/>
            <w:noWrap w:val="0"/>
            <w:vAlign w:val="center"/>
          </w:tcPr>
          <w:p>
            <w:pPr>
              <w:spacing w:line="400" w:lineRule="exact"/>
              <w:jc w:val="center"/>
              <w:rPr>
                <w:rFonts w:hint="eastAsia"/>
                <w:szCs w:val="21"/>
                <w:highlight w:val="none"/>
              </w:rPr>
            </w:pPr>
          </w:p>
        </w:tc>
        <w:tc>
          <w:tcPr>
            <w:tcW w:w="1029" w:type="dxa"/>
            <w:noWrap w:val="0"/>
            <w:vAlign w:val="center"/>
          </w:tcPr>
          <w:p>
            <w:pPr>
              <w:spacing w:line="400" w:lineRule="exact"/>
              <w:jc w:val="center"/>
              <w:rPr>
                <w:rFonts w:hint="eastAsia"/>
                <w:szCs w:val="21"/>
                <w:highlight w:val="none"/>
              </w:rPr>
            </w:pPr>
            <w:r>
              <w:rPr>
                <w:rFonts w:hint="eastAsia"/>
                <w:szCs w:val="21"/>
                <w:highlight w:val="none"/>
              </w:rPr>
              <w:t>年龄</w:t>
            </w:r>
          </w:p>
        </w:tc>
        <w:tc>
          <w:tcPr>
            <w:tcW w:w="1508" w:type="dxa"/>
            <w:noWrap w:val="0"/>
            <w:vAlign w:val="center"/>
          </w:tcPr>
          <w:p>
            <w:pPr>
              <w:spacing w:line="400" w:lineRule="exact"/>
              <w:jc w:val="center"/>
              <w:rPr>
                <w:rFonts w:hint="eastAsia"/>
                <w:szCs w:val="21"/>
                <w:highlight w:val="none"/>
              </w:rPr>
            </w:pPr>
          </w:p>
        </w:tc>
        <w:tc>
          <w:tcPr>
            <w:tcW w:w="1733" w:type="dxa"/>
            <w:noWrap w:val="0"/>
            <w:vAlign w:val="center"/>
          </w:tcPr>
          <w:p>
            <w:pPr>
              <w:spacing w:line="400" w:lineRule="exact"/>
              <w:jc w:val="center"/>
              <w:rPr>
                <w:rFonts w:hint="eastAsia"/>
                <w:szCs w:val="21"/>
                <w:highlight w:val="none"/>
              </w:rPr>
            </w:pPr>
            <w:r>
              <w:rPr>
                <w:rFonts w:hint="eastAsia"/>
                <w:szCs w:val="21"/>
                <w:highlight w:val="none"/>
              </w:rPr>
              <w:t>学历</w:t>
            </w:r>
          </w:p>
        </w:tc>
        <w:tc>
          <w:tcPr>
            <w:tcW w:w="1970" w:type="dxa"/>
            <w:noWrap w:val="0"/>
            <w:vAlign w:val="center"/>
          </w:tcPr>
          <w:p>
            <w:pPr>
              <w:spacing w:line="400" w:lineRule="exact"/>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4" w:type="dxa"/>
            <w:noWrap w:val="0"/>
            <w:vAlign w:val="center"/>
          </w:tcPr>
          <w:p>
            <w:pPr>
              <w:spacing w:line="400" w:lineRule="exact"/>
              <w:jc w:val="center"/>
              <w:rPr>
                <w:rFonts w:hint="eastAsia"/>
                <w:szCs w:val="21"/>
                <w:highlight w:val="none"/>
              </w:rPr>
            </w:pPr>
            <w:r>
              <w:rPr>
                <w:rFonts w:hint="eastAsia"/>
                <w:szCs w:val="21"/>
                <w:highlight w:val="none"/>
              </w:rPr>
              <w:t>职称</w:t>
            </w:r>
          </w:p>
        </w:tc>
        <w:tc>
          <w:tcPr>
            <w:tcW w:w="1677" w:type="dxa"/>
            <w:gridSpan w:val="2"/>
            <w:noWrap w:val="0"/>
            <w:vAlign w:val="center"/>
          </w:tcPr>
          <w:p>
            <w:pPr>
              <w:spacing w:line="400" w:lineRule="exact"/>
              <w:jc w:val="center"/>
              <w:rPr>
                <w:rFonts w:hint="eastAsia"/>
                <w:szCs w:val="21"/>
                <w:highlight w:val="none"/>
              </w:rPr>
            </w:pPr>
          </w:p>
        </w:tc>
        <w:tc>
          <w:tcPr>
            <w:tcW w:w="1029" w:type="dxa"/>
            <w:noWrap w:val="0"/>
            <w:vAlign w:val="center"/>
          </w:tcPr>
          <w:p>
            <w:pPr>
              <w:spacing w:line="400" w:lineRule="exact"/>
              <w:jc w:val="center"/>
              <w:rPr>
                <w:rFonts w:hint="eastAsia"/>
                <w:szCs w:val="21"/>
                <w:highlight w:val="none"/>
              </w:rPr>
            </w:pPr>
            <w:r>
              <w:rPr>
                <w:rFonts w:hint="eastAsia"/>
                <w:szCs w:val="21"/>
                <w:highlight w:val="none"/>
              </w:rPr>
              <w:t>职务</w:t>
            </w:r>
          </w:p>
        </w:tc>
        <w:tc>
          <w:tcPr>
            <w:tcW w:w="1508" w:type="dxa"/>
            <w:noWrap w:val="0"/>
            <w:vAlign w:val="center"/>
          </w:tcPr>
          <w:p>
            <w:pPr>
              <w:spacing w:line="400" w:lineRule="exact"/>
              <w:jc w:val="center"/>
              <w:rPr>
                <w:rFonts w:hint="eastAsia"/>
                <w:szCs w:val="21"/>
                <w:highlight w:val="none"/>
              </w:rPr>
            </w:pPr>
          </w:p>
        </w:tc>
        <w:tc>
          <w:tcPr>
            <w:tcW w:w="1733" w:type="dxa"/>
            <w:noWrap w:val="0"/>
            <w:vAlign w:val="center"/>
          </w:tcPr>
          <w:p>
            <w:pPr>
              <w:spacing w:line="400" w:lineRule="exact"/>
              <w:jc w:val="center"/>
              <w:rPr>
                <w:rFonts w:hint="eastAsia"/>
                <w:szCs w:val="21"/>
                <w:highlight w:val="none"/>
              </w:rPr>
            </w:pPr>
            <w:r>
              <w:rPr>
                <w:rFonts w:hint="eastAsia"/>
                <w:szCs w:val="21"/>
                <w:highlight w:val="none"/>
              </w:rPr>
              <w:t>拟在本合同任职</w:t>
            </w:r>
          </w:p>
        </w:tc>
        <w:tc>
          <w:tcPr>
            <w:tcW w:w="1970" w:type="dxa"/>
            <w:noWrap w:val="0"/>
            <w:vAlign w:val="center"/>
          </w:tcPr>
          <w:p>
            <w:pPr>
              <w:spacing w:line="400" w:lineRule="exact"/>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71" w:type="dxa"/>
            <w:gridSpan w:val="3"/>
            <w:noWrap w:val="0"/>
            <w:vAlign w:val="top"/>
          </w:tcPr>
          <w:p>
            <w:pPr>
              <w:spacing w:line="400" w:lineRule="exact"/>
              <w:jc w:val="center"/>
              <w:rPr>
                <w:rFonts w:hint="eastAsia"/>
                <w:szCs w:val="21"/>
                <w:highlight w:val="none"/>
              </w:rPr>
            </w:pPr>
            <w:r>
              <w:rPr>
                <w:rFonts w:hint="eastAsia"/>
                <w:szCs w:val="21"/>
                <w:highlight w:val="none"/>
              </w:rPr>
              <w:t>毕业学校</w:t>
            </w:r>
          </w:p>
        </w:tc>
        <w:tc>
          <w:tcPr>
            <w:tcW w:w="6240" w:type="dxa"/>
            <w:gridSpan w:val="4"/>
            <w:noWrap w:val="0"/>
            <w:vAlign w:val="top"/>
          </w:tcPr>
          <w:p>
            <w:pPr>
              <w:pStyle w:val="48"/>
              <w:widowControl w:val="0"/>
              <w:spacing w:line="400" w:lineRule="exact"/>
              <w:jc w:val="center"/>
              <w:rPr>
                <w:rFonts w:hint="eastAsia"/>
                <w:kern w:val="2"/>
                <w:szCs w:val="21"/>
                <w:highlight w:val="none"/>
              </w:rPr>
            </w:pPr>
            <w:r>
              <w:rPr>
                <w:rFonts w:hint="eastAsia"/>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1" w:type="dxa"/>
            <w:gridSpan w:val="7"/>
            <w:noWrap w:val="0"/>
            <w:vAlign w:val="top"/>
          </w:tcPr>
          <w:p>
            <w:pPr>
              <w:spacing w:line="400" w:lineRule="exact"/>
              <w:jc w:val="center"/>
              <w:rPr>
                <w:rFonts w:hint="eastAsia"/>
                <w:szCs w:val="21"/>
                <w:highlight w:val="none"/>
              </w:rPr>
            </w:pPr>
            <w:r>
              <w:rPr>
                <w:rFonts w:hint="eastAsia"/>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center"/>
          </w:tcPr>
          <w:p>
            <w:pPr>
              <w:spacing w:line="400" w:lineRule="exact"/>
              <w:jc w:val="center"/>
              <w:rPr>
                <w:rFonts w:hint="eastAsia"/>
                <w:szCs w:val="21"/>
                <w:highlight w:val="none"/>
              </w:rPr>
            </w:pPr>
            <w:r>
              <w:rPr>
                <w:rFonts w:hint="eastAsia"/>
                <w:szCs w:val="21"/>
                <w:highlight w:val="none"/>
              </w:rPr>
              <w:t>时 间</w:t>
            </w:r>
          </w:p>
        </w:tc>
        <w:tc>
          <w:tcPr>
            <w:tcW w:w="3997" w:type="dxa"/>
            <w:gridSpan w:val="3"/>
            <w:noWrap w:val="0"/>
            <w:vAlign w:val="center"/>
          </w:tcPr>
          <w:p>
            <w:pPr>
              <w:spacing w:line="400" w:lineRule="exact"/>
              <w:jc w:val="center"/>
              <w:rPr>
                <w:rFonts w:hint="eastAsia"/>
                <w:szCs w:val="21"/>
                <w:highlight w:val="none"/>
              </w:rPr>
            </w:pPr>
            <w:r>
              <w:rPr>
                <w:rFonts w:hint="eastAsia"/>
                <w:szCs w:val="21"/>
                <w:highlight w:val="none"/>
              </w:rPr>
              <w:t>参加过的类似项目</w:t>
            </w:r>
          </w:p>
        </w:tc>
        <w:tc>
          <w:tcPr>
            <w:tcW w:w="1733" w:type="dxa"/>
            <w:noWrap w:val="0"/>
            <w:vAlign w:val="center"/>
          </w:tcPr>
          <w:p>
            <w:pPr>
              <w:spacing w:line="400" w:lineRule="exact"/>
              <w:jc w:val="center"/>
              <w:rPr>
                <w:rFonts w:hint="eastAsia"/>
                <w:szCs w:val="21"/>
                <w:highlight w:val="none"/>
              </w:rPr>
            </w:pPr>
            <w:r>
              <w:rPr>
                <w:rFonts w:hint="eastAsia"/>
                <w:szCs w:val="21"/>
                <w:highlight w:val="none"/>
              </w:rPr>
              <w:t>担任职务</w:t>
            </w:r>
          </w:p>
        </w:tc>
        <w:tc>
          <w:tcPr>
            <w:tcW w:w="1970" w:type="dxa"/>
            <w:noWrap w:val="0"/>
            <w:vAlign w:val="center"/>
          </w:tcPr>
          <w:p>
            <w:pPr>
              <w:spacing w:line="400" w:lineRule="exact"/>
              <w:jc w:val="center"/>
              <w:rPr>
                <w:rFonts w:hint="eastAsia"/>
                <w:szCs w:val="21"/>
                <w:highlight w:val="none"/>
              </w:rPr>
            </w:pPr>
            <w:r>
              <w:rPr>
                <w:rFonts w:hint="eastAsia"/>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pPr>
              <w:spacing w:line="400" w:lineRule="exact"/>
              <w:rPr>
                <w:rFonts w:hint="eastAsia"/>
                <w:szCs w:val="21"/>
                <w:highlight w:val="none"/>
              </w:rPr>
            </w:pPr>
          </w:p>
        </w:tc>
        <w:tc>
          <w:tcPr>
            <w:tcW w:w="3997" w:type="dxa"/>
            <w:gridSpan w:val="3"/>
            <w:noWrap w:val="0"/>
            <w:vAlign w:val="top"/>
          </w:tcPr>
          <w:p>
            <w:pPr>
              <w:spacing w:line="400" w:lineRule="exact"/>
              <w:rPr>
                <w:rFonts w:hint="eastAsia"/>
                <w:szCs w:val="21"/>
                <w:highlight w:val="none"/>
              </w:rPr>
            </w:pPr>
          </w:p>
        </w:tc>
        <w:tc>
          <w:tcPr>
            <w:tcW w:w="1733" w:type="dxa"/>
            <w:noWrap w:val="0"/>
            <w:vAlign w:val="top"/>
          </w:tcPr>
          <w:p>
            <w:pPr>
              <w:spacing w:line="400" w:lineRule="exact"/>
              <w:rPr>
                <w:rFonts w:hint="eastAsia"/>
                <w:szCs w:val="21"/>
                <w:highlight w:val="none"/>
              </w:rPr>
            </w:pPr>
          </w:p>
        </w:tc>
        <w:tc>
          <w:tcPr>
            <w:tcW w:w="1970" w:type="dxa"/>
            <w:noWrap w:val="0"/>
            <w:vAlign w:val="top"/>
          </w:tcPr>
          <w:p>
            <w:pPr>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pPr>
              <w:spacing w:line="400" w:lineRule="exact"/>
              <w:rPr>
                <w:rFonts w:hint="eastAsia"/>
                <w:szCs w:val="21"/>
                <w:highlight w:val="none"/>
              </w:rPr>
            </w:pPr>
          </w:p>
        </w:tc>
        <w:tc>
          <w:tcPr>
            <w:tcW w:w="3997" w:type="dxa"/>
            <w:gridSpan w:val="3"/>
            <w:noWrap w:val="0"/>
            <w:vAlign w:val="top"/>
          </w:tcPr>
          <w:p>
            <w:pPr>
              <w:spacing w:line="400" w:lineRule="exact"/>
              <w:rPr>
                <w:rFonts w:hint="eastAsia"/>
                <w:szCs w:val="21"/>
                <w:highlight w:val="none"/>
              </w:rPr>
            </w:pPr>
          </w:p>
        </w:tc>
        <w:tc>
          <w:tcPr>
            <w:tcW w:w="1733" w:type="dxa"/>
            <w:noWrap w:val="0"/>
            <w:vAlign w:val="top"/>
          </w:tcPr>
          <w:p>
            <w:pPr>
              <w:spacing w:line="400" w:lineRule="exact"/>
              <w:rPr>
                <w:rFonts w:hint="eastAsia"/>
                <w:szCs w:val="21"/>
                <w:highlight w:val="none"/>
              </w:rPr>
            </w:pPr>
          </w:p>
        </w:tc>
        <w:tc>
          <w:tcPr>
            <w:tcW w:w="1970" w:type="dxa"/>
            <w:noWrap w:val="0"/>
            <w:vAlign w:val="top"/>
          </w:tcPr>
          <w:p>
            <w:pPr>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pPr>
              <w:spacing w:line="400" w:lineRule="exact"/>
              <w:rPr>
                <w:rFonts w:hint="eastAsia"/>
                <w:szCs w:val="21"/>
                <w:highlight w:val="none"/>
              </w:rPr>
            </w:pPr>
          </w:p>
        </w:tc>
        <w:tc>
          <w:tcPr>
            <w:tcW w:w="3997" w:type="dxa"/>
            <w:gridSpan w:val="3"/>
            <w:noWrap w:val="0"/>
            <w:vAlign w:val="top"/>
          </w:tcPr>
          <w:p>
            <w:pPr>
              <w:spacing w:line="400" w:lineRule="exact"/>
              <w:rPr>
                <w:rFonts w:hint="eastAsia"/>
                <w:szCs w:val="21"/>
                <w:highlight w:val="none"/>
              </w:rPr>
            </w:pPr>
          </w:p>
        </w:tc>
        <w:tc>
          <w:tcPr>
            <w:tcW w:w="1733" w:type="dxa"/>
            <w:noWrap w:val="0"/>
            <w:vAlign w:val="top"/>
          </w:tcPr>
          <w:p>
            <w:pPr>
              <w:spacing w:line="400" w:lineRule="exact"/>
              <w:rPr>
                <w:rFonts w:hint="eastAsia"/>
                <w:szCs w:val="21"/>
                <w:highlight w:val="none"/>
              </w:rPr>
            </w:pPr>
          </w:p>
        </w:tc>
        <w:tc>
          <w:tcPr>
            <w:tcW w:w="1970" w:type="dxa"/>
            <w:noWrap w:val="0"/>
            <w:vAlign w:val="top"/>
          </w:tcPr>
          <w:p>
            <w:pPr>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pPr>
              <w:spacing w:line="400" w:lineRule="exact"/>
              <w:rPr>
                <w:rFonts w:hint="eastAsia"/>
                <w:szCs w:val="21"/>
                <w:highlight w:val="none"/>
              </w:rPr>
            </w:pPr>
          </w:p>
        </w:tc>
        <w:tc>
          <w:tcPr>
            <w:tcW w:w="3997" w:type="dxa"/>
            <w:gridSpan w:val="3"/>
            <w:noWrap w:val="0"/>
            <w:vAlign w:val="top"/>
          </w:tcPr>
          <w:p>
            <w:pPr>
              <w:spacing w:line="400" w:lineRule="exact"/>
              <w:rPr>
                <w:rFonts w:hint="eastAsia"/>
                <w:szCs w:val="21"/>
                <w:highlight w:val="none"/>
              </w:rPr>
            </w:pPr>
          </w:p>
        </w:tc>
        <w:tc>
          <w:tcPr>
            <w:tcW w:w="1733" w:type="dxa"/>
            <w:noWrap w:val="0"/>
            <w:vAlign w:val="top"/>
          </w:tcPr>
          <w:p>
            <w:pPr>
              <w:spacing w:line="400" w:lineRule="exact"/>
              <w:rPr>
                <w:rFonts w:hint="eastAsia"/>
                <w:szCs w:val="21"/>
                <w:highlight w:val="none"/>
              </w:rPr>
            </w:pPr>
          </w:p>
        </w:tc>
        <w:tc>
          <w:tcPr>
            <w:tcW w:w="1970" w:type="dxa"/>
            <w:noWrap w:val="0"/>
            <w:vAlign w:val="top"/>
          </w:tcPr>
          <w:p>
            <w:pPr>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pPr>
              <w:spacing w:line="400" w:lineRule="exact"/>
              <w:rPr>
                <w:rFonts w:hint="eastAsia"/>
                <w:szCs w:val="21"/>
                <w:highlight w:val="none"/>
              </w:rPr>
            </w:pPr>
          </w:p>
        </w:tc>
        <w:tc>
          <w:tcPr>
            <w:tcW w:w="3997" w:type="dxa"/>
            <w:gridSpan w:val="3"/>
            <w:noWrap w:val="0"/>
            <w:vAlign w:val="top"/>
          </w:tcPr>
          <w:p>
            <w:pPr>
              <w:spacing w:line="400" w:lineRule="exact"/>
              <w:rPr>
                <w:rFonts w:hint="eastAsia"/>
                <w:szCs w:val="21"/>
                <w:highlight w:val="none"/>
              </w:rPr>
            </w:pPr>
          </w:p>
        </w:tc>
        <w:tc>
          <w:tcPr>
            <w:tcW w:w="1733" w:type="dxa"/>
            <w:noWrap w:val="0"/>
            <w:vAlign w:val="top"/>
          </w:tcPr>
          <w:p>
            <w:pPr>
              <w:spacing w:line="400" w:lineRule="exact"/>
              <w:rPr>
                <w:rFonts w:hint="eastAsia"/>
                <w:szCs w:val="21"/>
                <w:highlight w:val="none"/>
              </w:rPr>
            </w:pPr>
          </w:p>
        </w:tc>
        <w:tc>
          <w:tcPr>
            <w:tcW w:w="1970" w:type="dxa"/>
            <w:noWrap w:val="0"/>
            <w:vAlign w:val="top"/>
          </w:tcPr>
          <w:p>
            <w:pPr>
              <w:spacing w:line="400" w:lineRule="exact"/>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gridSpan w:val="2"/>
            <w:noWrap w:val="0"/>
            <w:vAlign w:val="top"/>
          </w:tcPr>
          <w:p>
            <w:pPr>
              <w:spacing w:line="400" w:lineRule="exact"/>
              <w:rPr>
                <w:rFonts w:hint="eastAsia"/>
                <w:szCs w:val="21"/>
                <w:highlight w:val="none"/>
              </w:rPr>
            </w:pPr>
          </w:p>
        </w:tc>
        <w:tc>
          <w:tcPr>
            <w:tcW w:w="3997" w:type="dxa"/>
            <w:gridSpan w:val="3"/>
            <w:noWrap w:val="0"/>
            <w:vAlign w:val="top"/>
          </w:tcPr>
          <w:p>
            <w:pPr>
              <w:spacing w:line="400" w:lineRule="exact"/>
              <w:rPr>
                <w:rFonts w:hint="eastAsia"/>
                <w:szCs w:val="21"/>
                <w:highlight w:val="none"/>
              </w:rPr>
            </w:pPr>
          </w:p>
        </w:tc>
        <w:tc>
          <w:tcPr>
            <w:tcW w:w="1733" w:type="dxa"/>
            <w:noWrap w:val="0"/>
            <w:vAlign w:val="top"/>
          </w:tcPr>
          <w:p>
            <w:pPr>
              <w:spacing w:line="400" w:lineRule="exact"/>
              <w:rPr>
                <w:rFonts w:hint="eastAsia"/>
                <w:szCs w:val="21"/>
                <w:highlight w:val="none"/>
              </w:rPr>
            </w:pPr>
          </w:p>
        </w:tc>
        <w:tc>
          <w:tcPr>
            <w:tcW w:w="1970" w:type="dxa"/>
            <w:noWrap w:val="0"/>
            <w:vAlign w:val="top"/>
          </w:tcPr>
          <w:p>
            <w:pPr>
              <w:spacing w:line="400" w:lineRule="exact"/>
              <w:rPr>
                <w:rFonts w:hint="eastAsia"/>
                <w:szCs w:val="21"/>
                <w:highlight w:val="none"/>
              </w:rPr>
            </w:pPr>
          </w:p>
        </w:tc>
      </w:tr>
    </w:tbl>
    <w:p>
      <w:pPr>
        <w:snapToGrid w:val="0"/>
        <w:spacing w:line="400" w:lineRule="exact"/>
        <w:outlineLvl w:val="1"/>
        <w:rPr>
          <w:rFonts w:hint="eastAsia"/>
          <w:b/>
          <w:sz w:val="28"/>
          <w:szCs w:val="28"/>
          <w:highlight w:val="none"/>
        </w:rPr>
      </w:pPr>
      <w:bookmarkStart w:id="313" w:name="_Toc5509"/>
      <w:bookmarkStart w:id="314" w:name="_Toc458079957"/>
      <w:r>
        <w:rPr>
          <w:rFonts w:hint="eastAsia"/>
          <w:b/>
          <w:sz w:val="28"/>
          <w:szCs w:val="28"/>
          <w:highlight w:val="none"/>
        </w:rPr>
        <w:br w:type="page"/>
      </w:r>
      <w:bookmarkStart w:id="315" w:name="_Toc27962"/>
      <w:r>
        <w:rPr>
          <w:rFonts w:hint="eastAsia"/>
          <w:b/>
          <w:sz w:val="28"/>
          <w:szCs w:val="28"/>
          <w:highlight w:val="none"/>
        </w:rPr>
        <w:t>附件11：资格审查资料</w:t>
      </w:r>
      <w:bookmarkEnd w:id="313"/>
      <w:bookmarkEnd w:id="314"/>
      <w:bookmarkEnd w:id="315"/>
    </w:p>
    <w:p>
      <w:pPr>
        <w:spacing w:before="100" w:beforeAutospacing="1" w:after="100" w:afterAutospacing="1" w:line="400" w:lineRule="exact"/>
        <w:jc w:val="center"/>
        <w:rPr>
          <w:rFonts w:hint="eastAsia"/>
          <w:b/>
          <w:bCs/>
          <w:sz w:val="36"/>
          <w:szCs w:val="36"/>
          <w:highlight w:val="none"/>
        </w:rPr>
      </w:pPr>
      <w:r>
        <w:rPr>
          <w:rFonts w:hint="eastAsia"/>
          <w:b/>
          <w:bCs/>
          <w:sz w:val="36"/>
          <w:szCs w:val="36"/>
          <w:highlight w:val="none"/>
        </w:rPr>
        <w:t>资格审查资料</w:t>
      </w:r>
    </w:p>
    <w:p>
      <w:pPr>
        <w:spacing w:line="400" w:lineRule="exact"/>
        <w:ind w:firstLine="2409" w:firstLineChars="750"/>
        <w:rPr>
          <w:rFonts w:hint="eastAsia"/>
          <w:b/>
          <w:bCs/>
          <w:sz w:val="32"/>
          <w:szCs w:val="32"/>
          <w:highlight w:val="none"/>
        </w:rPr>
      </w:pPr>
      <w:bookmarkStart w:id="316" w:name="_Toc357004116"/>
      <w:r>
        <w:rPr>
          <w:rFonts w:hint="eastAsia"/>
          <w:b/>
          <w:bCs/>
          <w:sz w:val="32"/>
          <w:szCs w:val="32"/>
          <w:highlight w:val="none"/>
        </w:rPr>
        <w:t>（一）供应商基本情况表</w:t>
      </w:r>
      <w:bookmarkEnd w:id="316"/>
    </w:p>
    <w:tbl>
      <w:tblPr>
        <w:tblStyle w:val="68"/>
        <w:tblW w:w="0" w:type="auto"/>
        <w:tblInd w:w="349" w:type="dxa"/>
        <w:tblLayout w:type="fixed"/>
        <w:tblCellMar>
          <w:top w:w="0" w:type="dxa"/>
          <w:left w:w="108" w:type="dxa"/>
          <w:bottom w:w="0" w:type="dxa"/>
          <w:right w:w="108" w:type="dxa"/>
        </w:tblCellMar>
      </w:tblPr>
      <w:tblGrid>
        <w:gridCol w:w="1799"/>
        <w:gridCol w:w="929"/>
        <w:gridCol w:w="1251"/>
        <w:gridCol w:w="1260"/>
        <w:gridCol w:w="165"/>
        <w:gridCol w:w="1087"/>
        <w:gridCol w:w="632"/>
        <w:gridCol w:w="84"/>
        <w:gridCol w:w="544"/>
        <w:gridCol w:w="1252"/>
      </w:tblGrid>
      <w:tr>
        <w:tblPrEx>
          <w:tblCellMar>
            <w:top w:w="0" w:type="dxa"/>
            <w:left w:w="108" w:type="dxa"/>
            <w:bottom w:w="0" w:type="dxa"/>
            <w:right w:w="108" w:type="dxa"/>
          </w:tblCellMar>
        </w:tblPrEx>
        <w:trPr>
          <w:trHeight w:val="49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供应商名称</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4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注册地址</w:t>
            </w:r>
          </w:p>
        </w:tc>
        <w:tc>
          <w:tcPr>
            <w:tcW w:w="3605" w:type="dxa"/>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邮政编码</w:t>
            </w: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7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联系方式</w:t>
            </w:r>
          </w:p>
        </w:tc>
        <w:tc>
          <w:tcPr>
            <w:tcW w:w="9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联系人</w:t>
            </w:r>
          </w:p>
        </w:tc>
        <w:tc>
          <w:tcPr>
            <w:tcW w:w="2676"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电 话</w:t>
            </w: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5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传 真</w:t>
            </w:r>
          </w:p>
        </w:tc>
        <w:tc>
          <w:tcPr>
            <w:tcW w:w="2676"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网 址</w:t>
            </w: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5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组织结构</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53"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法定代表人</w:t>
            </w:r>
          </w:p>
        </w:tc>
        <w:tc>
          <w:tcPr>
            <w:tcW w:w="9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姓名</w:t>
            </w:r>
          </w:p>
        </w:tc>
        <w:tc>
          <w:tcPr>
            <w:tcW w:w="12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技术职称</w:t>
            </w:r>
          </w:p>
        </w:tc>
        <w:tc>
          <w:tcPr>
            <w:tcW w:w="1252"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电话</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6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技术负责人</w:t>
            </w:r>
          </w:p>
        </w:tc>
        <w:tc>
          <w:tcPr>
            <w:tcW w:w="9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姓名</w:t>
            </w:r>
          </w:p>
        </w:tc>
        <w:tc>
          <w:tcPr>
            <w:tcW w:w="12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技术职称</w:t>
            </w:r>
          </w:p>
        </w:tc>
        <w:tc>
          <w:tcPr>
            <w:tcW w:w="1252"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电话</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56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成立时间</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5024"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员工总人数：</w:t>
            </w:r>
          </w:p>
        </w:tc>
      </w:tr>
      <w:tr>
        <w:tblPrEx>
          <w:tblCellMar>
            <w:top w:w="0" w:type="dxa"/>
            <w:left w:w="108" w:type="dxa"/>
            <w:bottom w:w="0" w:type="dxa"/>
            <w:right w:w="108" w:type="dxa"/>
          </w:tblCellMar>
        </w:tblPrEx>
        <w:trPr>
          <w:cantSplit/>
          <w:trHeight w:val="54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企业资质等级</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其中</w:t>
            </w: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项目经理</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cantSplit/>
          <w:trHeight w:val="557"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营业执照号</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高级职称人员</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cantSplit/>
          <w:trHeight w:val="55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注册资金</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中级职称人员</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cantSplit/>
          <w:trHeight w:val="55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开户银行</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初级职称人员</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cantSplit/>
          <w:trHeight w:val="562"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账号</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技 工</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1466"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经营范围</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p>
            <w:pPr>
              <w:autoSpaceDE w:val="0"/>
              <w:autoSpaceDN w:val="0"/>
              <w:adjustRightInd w:val="0"/>
              <w:spacing w:line="400" w:lineRule="exact"/>
              <w:jc w:val="center"/>
              <w:rPr>
                <w:rFonts w:hint="eastAsia"/>
                <w:sz w:val="21"/>
                <w:szCs w:val="21"/>
                <w:highlight w:val="none"/>
              </w:rPr>
            </w:pPr>
          </w:p>
          <w:p>
            <w:pPr>
              <w:autoSpaceDE w:val="0"/>
              <w:autoSpaceDN w:val="0"/>
              <w:adjustRightInd w:val="0"/>
              <w:spacing w:line="400" w:lineRule="exact"/>
              <w:jc w:val="center"/>
              <w:rPr>
                <w:rFonts w:hint="eastAsia"/>
                <w:sz w:val="21"/>
                <w:szCs w:val="21"/>
                <w:highlight w:val="none"/>
              </w:rPr>
            </w:pPr>
          </w:p>
        </w:tc>
      </w:tr>
      <w:tr>
        <w:tblPrEx>
          <w:tblCellMar>
            <w:top w:w="0" w:type="dxa"/>
            <w:left w:w="108" w:type="dxa"/>
            <w:bottom w:w="0" w:type="dxa"/>
            <w:right w:w="108" w:type="dxa"/>
          </w:tblCellMar>
        </w:tblPrEx>
        <w:trPr>
          <w:trHeight w:val="896"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备注</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sz w:val="21"/>
                <w:szCs w:val="21"/>
                <w:highlight w:val="none"/>
              </w:rPr>
            </w:pPr>
          </w:p>
        </w:tc>
      </w:tr>
    </w:tbl>
    <w:p>
      <w:pPr>
        <w:spacing w:line="400" w:lineRule="exact"/>
        <w:ind w:firstLine="1446" w:firstLineChars="450"/>
        <w:rPr>
          <w:rFonts w:hint="eastAsia"/>
          <w:b/>
          <w:bCs/>
          <w:sz w:val="32"/>
          <w:szCs w:val="32"/>
          <w:highlight w:val="none"/>
        </w:rPr>
      </w:pPr>
    </w:p>
    <w:p>
      <w:pPr>
        <w:spacing w:line="400" w:lineRule="exact"/>
        <w:ind w:firstLine="1446" w:firstLineChars="450"/>
        <w:rPr>
          <w:rFonts w:hint="eastAsia"/>
          <w:b/>
          <w:bCs/>
          <w:sz w:val="32"/>
          <w:szCs w:val="32"/>
          <w:highlight w:val="none"/>
        </w:rPr>
      </w:pPr>
    </w:p>
    <w:p>
      <w:pPr>
        <w:spacing w:line="400" w:lineRule="exact"/>
        <w:ind w:firstLine="1446" w:firstLineChars="450"/>
        <w:rPr>
          <w:rFonts w:hint="eastAsia"/>
          <w:b/>
          <w:bCs/>
          <w:sz w:val="32"/>
          <w:szCs w:val="32"/>
          <w:highlight w:val="none"/>
        </w:rPr>
      </w:pPr>
    </w:p>
    <w:p>
      <w:pPr>
        <w:spacing w:line="400" w:lineRule="exact"/>
        <w:ind w:firstLine="1446" w:firstLineChars="450"/>
        <w:rPr>
          <w:rFonts w:hint="eastAsia"/>
          <w:b/>
          <w:bCs/>
          <w:sz w:val="32"/>
          <w:szCs w:val="32"/>
          <w:highlight w:val="none"/>
        </w:rPr>
      </w:pPr>
    </w:p>
    <w:p>
      <w:pPr>
        <w:spacing w:line="400" w:lineRule="exact"/>
        <w:ind w:firstLine="1446" w:firstLineChars="450"/>
        <w:rPr>
          <w:rFonts w:hint="eastAsia"/>
          <w:b/>
          <w:bCs/>
          <w:sz w:val="32"/>
          <w:szCs w:val="32"/>
          <w:highlight w:val="none"/>
        </w:rPr>
      </w:pPr>
    </w:p>
    <w:p>
      <w:pPr>
        <w:spacing w:line="400" w:lineRule="exact"/>
        <w:ind w:firstLine="1446" w:firstLineChars="450"/>
        <w:rPr>
          <w:rFonts w:hint="eastAsia"/>
          <w:b/>
          <w:bCs/>
          <w:sz w:val="32"/>
          <w:szCs w:val="32"/>
          <w:highlight w:val="none"/>
        </w:rPr>
      </w:pPr>
    </w:p>
    <w:p>
      <w:pPr>
        <w:spacing w:line="400" w:lineRule="exact"/>
        <w:rPr>
          <w:rFonts w:hint="eastAsia" w:cs="TimesNewRomanPSMT"/>
          <w:b/>
          <w:bCs/>
          <w:color w:val="000000"/>
          <w:sz w:val="28"/>
          <w:szCs w:val="28"/>
          <w:highlight w:val="none"/>
        </w:rPr>
      </w:pPr>
      <w:r>
        <w:rPr>
          <w:rFonts w:hint="eastAsia"/>
          <w:b/>
          <w:bCs/>
          <w:sz w:val="32"/>
          <w:szCs w:val="32"/>
          <w:highlight w:val="none"/>
        </w:rPr>
        <w:t>（二）</w:t>
      </w:r>
      <w:bookmarkStart w:id="317" w:name="_Toc475956593"/>
      <w:bookmarkStart w:id="318" w:name="_Toc5693"/>
      <w:r>
        <w:rPr>
          <w:rFonts w:hint="eastAsia" w:cs="TimesNewRomanPSMT"/>
          <w:b/>
          <w:bCs/>
          <w:color w:val="000000"/>
          <w:sz w:val="28"/>
          <w:szCs w:val="28"/>
          <w:highlight w:val="none"/>
        </w:rPr>
        <w:t xml:space="preserve"> </w:t>
      </w:r>
      <w:bookmarkStart w:id="319" w:name="_Toc14990"/>
      <w:bookmarkStart w:id="320" w:name="_Toc20813"/>
      <w:r>
        <w:rPr>
          <w:rFonts w:hint="eastAsia" w:cs="TimesNewRomanPSMT"/>
          <w:b/>
          <w:bCs/>
          <w:color w:val="000000"/>
          <w:sz w:val="28"/>
          <w:szCs w:val="28"/>
          <w:highlight w:val="none"/>
        </w:rPr>
        <w:t>财务状况、缴纳税收和社会保障资金证明</w:t>
      </w:r>
      <w:bookmarkEnd w:id="317"/>
      <w:bookmarkEnd w:id="318"/>
      <w:bookmarkEnd w:id="319"/>
      <w:bookmarkEnd w:id="320"/>
    </w:p>
    <w:p>
      <w:pPr>
        <w:autoSpaceDE w:val="0"/>
        <w:autoSpaceDN w:val="0"/>
        <w:adjustRightInd w:val="0"/>
        <w:spacing w:line="400" w:lineRule="exact"/>
        <w:ind w:firstLine="480"/>
        <w:rPr>
          <w:rFonts w:hint="eastAsia" w:hAnsi="Cambria"/>
          <w:b/>
          <w:bCs/>
          <w:highlight w:val="none"/>
          <w:lang w:val="zh-CN"/>
        </w:rPr>
      </w:pPr>
    </w:p>
    <w:p>
      <w:pPr>
        <w:autoSpaceDE w:val="0"/>
        <w:autoSpaceDN w:val="0"/>
        <w:adjustRightInd w:val="0"/>
        <w:spacing w:line="400" w:lineRule="exact"/>
        <w:ind w:firstLine="482"/>
        <w:rPr>
          <w:rFonts w:hint="eastAsia" w:hAnsi="Cambria"/>
          <w:b/>
          <w:bCs/>
          <w:highlight w:val="none"/>
          <w:lang w:val="zh-CN"/>
        </w:rPr>
      </w:pPr>
      <w:r>
        <w:rPr>
          <w:rFonts w:hint="eastAsia" w:hAnsi="Cambria"/>
          <w:b/>
          <w:bCs/>
          <w:highlight w:val="none"/>
          <w:lang w:val="zh-CN"/>
        </w:rPr>
        <w:t>按照竞争性磋商文件提供以下相关材料。</w:t>
      </w:r>
    </w:p>
    <w:p>
      <w:pPr>
        <w:spacing w:line="400" w:lineRule="exact"/>
        <w:ind w:firstLine="480"/>
        <w:rPr>
          <w:rFonts w:hint="eastAsia"/>
          <w:highlight w:val="none"/>
          <w:lang w:val="zh-CN"/>
        </w:rPr>
      </w:pPr>
      <w:r>
        <w:rPr>
          <w:rFonts w:hint="eastAsia"/>
          <w:highlight w:val="none"/>
          <w:lang w:val="zh-CN"/>
        </w:rPr>
        <w:t>1、供应商是法人的，</w:t>
      </w:r>
      <w:bookmarkStart w:id="321" w:name="EB94973700405a4a87a7e2cfc0008f7deb"/>
      <w:r>
        <w:rPr>
          <w:rFonts w:hint="eastAsia"/>
          <w:highlight w:val="none"/>
          <w:lang w:val="zh-CN"/>
        </w:rPr>
        <w:t>须提供近三年度(20</w:t>
      </w:r>
      <w:r>
        <w:rPr>
          <w:rFonts w:hint="eastAsia"/>
          <w:highlight w:val="none"/>
          <w:lang w:val="en-US" w:eastAsia="zh-CN"/>
        </w:rPr>
        <w:t>20</w:t>
      </w:r>
      <w:r>
        <w:rPr>
          <w:rFonts w:hint="eastAsia"/>
          <w:highlight w:val="none"/>
          <w:lang w:val="zh-CN"/>
        </w:rPr>
        <w:t xml:space="preserve"> 年度-202</w:t>
      </w:r>
      <w:r>
        <w:rPr>
          <w:rFonts w:hint="eastAsia"/>
          <w:highlight w:val="none"/>
          <w:lang w:val="en-US" w:eastAsia="zh-CN"/>
        </w:rPr>
        <w:t>2</w:t>
      </w:r>
      <w:r>
        <w:rPr>
          <w:rFonts w:hint="eastAsia"/>
          <w:highlight w:val="none"/>
          <w:lang w:val="zh-CN"/>
        </w:rPr>
        <w:t xml:space="preserve"> 年度)经审计机构审计的完整的财务审计报告，包括资产负债表、现金流量表、利润表及附注。 注:如投标人的成立时间少于投标人须知前附表规定年份的，按成立年限提供，新成立不足一个审计周期的企业提供近三个月内的资信证明；</w:t>
      </w:r>
      <w:bookmarkEnd w:id="321"/>
      <w:r>
        <w:rPr>
          <w:rFonts w:hint="eastAsia"/>
          <w:highlight w:val="none"/>
          <w:lang w:val="zh-CN"/>
        </w:rPr>
        <w:t>（同时提供基本存款账户开户许可证或基本存款账户信息）。</w:t>
      </w:r>
    </w:p>
    <w:p>
      <w:pPr>
        <w:spacing w:line="400" w:lineRule="exact"/>
        <w:ind w:firstLine="480"/>
        <w:rPr>
          <w:rFonts w:hint="eastAsia"/>
          <w:highlight w:val="none"/>
        </w:rPr>
      </w:pPr>
      <w:r>
        <w:rPr>
          <w:rFonts w:hint="eastAsia"/>
          <w:highlight w:val="none"/>
          <w:lang w:val="zh-CN"/>
        </w:rPr>
        <w:t>2、</w:t>
      </w:r>
      <w:r>
        <w:rPr>
          <w:rFonts w:hint="eastAsia"/>
          <w:highlight w:val="none"/>
        </w:rPr>
        <w:t>近</w:t>
      </w:r>
      <w:r>
        <w:rPr>
          <w:rFonts w:hint="eastAsia"/>
          <w:highlight w:val="none"/>
          <w:lang w:val="en-US" w:eastAsia="zh-CN"/>
        </w:rPr>
        <w:t>半年</w:t>
      </w:r>
      <w:r>
        <w:rPr>
          <w:rFonts w:hint="eastAsia"/>
          <w:highlight w:val="none"/>
        </w:rPr>
        <w:t>内</w:t>
      </w:r>
      <w:r>
        <w:rPr>
          <w:rFonts w:hint="eastAsia"/>
          <w:highlight w:val="none"/>
          <w:lang w:val="en-US" w:eastAsia="zh-CN"/>
        </w:rPr>
        <w:t>任意三个月</w:t>
      </w:r>
      <w:r>
        <w:rPr>
          <w:rFonts w:hint="eastAsia"/>
          <w:highlight w:val="none"/>
        </w:rPr>
        <w:t>依法缴纳税收和社会保障资金记录的证明材料；依法免税或不需要缴纳社会保障资金的供应商须提供相应文件证明其依法免税或不需要缴纳社会保障资金。</w:t>
      </w: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jc w:val="center"/>
        <w:rPr>
          <w:rFonts w:hint="eastAsia"/>
          <w:b/>
          <w:bCs/>
          <w:sz w:val="32"/>
          <w:szCs w:val="32"/>
          <w:highlight w:val="none"/>
        </w:rPr>
      </w:pPr>
      <w:bookmarkStart w:id="322" w:name="_Toc357004118"/>
    </w:p>
    <w:p>
      <w:pPr>
        <w:spacing w:line="400" w:lineRule="exact"/>
        <w:jc w:val="center"/>
        <w:rPr>
          <w:rFonts w:hint="eastAsia"/>
          <w:b/>
          <w:bCs/>
          <w:sz w:val="32"/>
          <w:szCs w:val="32"/>
          <w:highlight w:val="none"/>
        </w:rPr>
      </w:pPr>
    </w:p>
    <w:p>
      <w:pPr>
        <w:spacing w:line="400" w:lineRule="exact"/>
        <w:jc w:val="center"/>
        <w:rPr>
          <w:rFonts w:hint="eastAsia"/>
          <w:b/>
          <w:bCs/>
          <w:sz w:val="32"/>
          <w:szCs w:val="32"/>
          <w:highlight w:val="none"/>
        </w:rPr>
      </w:pPr>
      <w:r>
        <w:rPr>
          <w:rFonts w:hint="eastAsia"/>
          <w:b/>
          <w:bCs/>
          <w:sz w:val="32"/>
          <w:szCs w:val="32"/>
          <w:highlight w:val="none"/>
        </w:rPr>
        <w:t>（三）近年完成的类似项目情况表</w:t>
      </w:r>
      <w:bookmarkEnd w:id="322"/>
    </w:p>
    <w:tbl>
      <w:tblPr>
        <w:tblStyle w:val="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8"/>
        <w:gridCol w:w="5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项目名称</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项目所在地</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发包人名称</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发包人地址</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发包人电话</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合同价格</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开工日期</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竣工日期</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承担的工作</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工程质量</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项目经理</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技术负责人</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总监理工程师及电话</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项目描述</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p>
            <w:pPr>
              <w:autoSpaceDE w:val="0"/>
              <w:autoSpaceDN w:val="0"/>
              <w:adjustRightInd w:val="0"/>
              <w:spacing w:line="400" w:lineRule="exact"/>
              <w:rPr>
                <w:rFonts w:hint="eastAsia"/>
                <w:sz w:val="21"/>
                <w:szCs w:val="21"/>
                <w:highlight w:val="none"/>
              </w:rPr>
            </w:pPr>
          </w:p>
          <w:p>
            <w:pPr>
              <w:autoSpaceDE w:val="0"/>
              <w:autoSpaceDN w:val="0"/>
              <w:adjustRightInd w:val="0"/>
              <w:spacing w:line="400" w:lineRule="exact"/>
              <w:rPr>
                <w:rFonts w:hint="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3078" w:type="dxa"/>
            <w:noWrap w:val="0"/>
            <w:vAlign w:val="center"/>
          </w:tcPr>
          <w:p>
            <w:pPr>
              <w:autoSpaceDE w:val="0"/>
              <w:autoSpaceDN w:val="0"/>
              <w:adjustRightInd w:val="0"/>
              <w:spacing w:line="400" w:lineRule="exact"/>
              <w:jc w:val="center"/>
              <w:rPr>
                <w:rFonts w:hint="eastAsia"/>
                <w:sz w:val="21"/>
                <w:szCs w:val="21"/>
                <w:highlight w:val="none"/>
              </w:rPr>
            </w:pPr>
            <w:r>
              <w:rPr>
                <w:rFonts w:hint="eastAsia"/>
                <w:sz w:val="21"/>
                <w:szCs w:val="21"/>
                <w:highlight w:val="none"/>
              </w:rPr>
              <w:t>备注</w:t>
            </w:r>
          </w:p>
        </w:tc>
        <w:tc>
          <w:tcPr>
            <w:tcW w:w="5925" w:type="dxa"/>
            <w:noWrap w:val="0"/>
            <w:vAlign w:val="center"/>
          </w:tcPr>
          <w:p>
            <w:pPr>
              <w:autoSpaceDE w:val="0"/>
              <w:autoSpaceDN w:val="0"/>
              <w:adjustRightInd w:val="0"/>
              <w:spacing w:line="400" w:lineRule="exact"/>
              <w:jc w:val="center"/>
              <w:rPr>
                <w:rFonts w:hint="eastAsia"/>
                <w:sz w:val="21"/>
                <w:szCs w:val="21"/>
                <w:highlight w:val="none"/>
              </w:rPr>
            </w:pPr>
          </w:p>
        </w:tc>
      </w:tr>
    </w:tbl>
    <w:p>
      <w:pPr>
        <w:spacing w:line="400" w:lineRule="exact"/>
        <w:ind w:firstLine="480"/>
        <w:rPr>
          <w:rFonts w:hint="eastAsia"/>
          <w:highlight w:val="none"/>
        </w:rPr>
      </w:pPr>
      <w:r>
        <w:rPr>
          <w:rFonts w:hint="eastAsia"/>
          <w:highlight w:val="none"/>
        </w:rPr>
        <w:t>注：近年完成的类似项目情况表应附自近三年以来承建项目的中标（成交）通知书或生效的合同复印件。每张表格只填写一个项目，并标明序号。</w:t>
      </w: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jc w:val="center"/>
        <w:rPr>
          <w:b/>
          <w:bCs/>
          <w:sz w:val="32"/>
          <w:szCs w:val="32"/>
          <w:highlight w:val="none"/>
        </w:rPr>
        <w:sectPr>
          <w:pgSz w:w="11850" w:h="16783"/>
          <w:pgMar w:top="1440" w:right="1167" w:bottom="1440" w:left="1083" w:header="850" w:footer="992" w:gutter="0"/>
          <w:cols w:space="720" w:num="1"/>
          <w:docGrid w:linePitch="312" w:charSpace="0"/>
        </w:sectPr>
      </w:pPr>
      <w:bookmarkStart w:id="323" w:name="_Toc357004119"/>
    </w:p>
    <w:bookmarkEnd w:id="323"/>
    <w:p>
      <w:pPr>
        <w:spacing w:line="400" w:lineRule="exact"/>
        <w:jc w:val="center"/>
        <w:rPr>
          <w:rFonts w:hint="eastAsia"/>
          <w:b/>
          <w:bCs/>
          <w:sz w:val="32"/>
          <w:szCs w:val="32"/>
          <w:highlight w:val="none"/>
        </w:rPr>
      </w:pPr>
      <w:bookmarkStart w:id="324" w:name="_Toc201287672"/>
      <w:bookmarkStart w:id="325" w:name="_Toc357004120"/>
      <w:r>
        <w:rPr>
          <w:rFonts w:hint="eastAsia"/>
          <w:b/>
          <w:bCs/>
          <w:sz w:val="32"/>
          <w:szCs w:val="32"/>
          <w:highlight w:val="none"/>
        </w:rPr>
        <w:t>（</w:t>
      </w:r>
      <w:r>
        <w:rPr>
          <w:rFonts w:hint="eastAsia"/>
          <w:b/>
          <w:bCs/>
          <w:sz w:val="32"/>
          <w:szCs w:val="32"/>
          <w:highlight w:val="none"/>
          <w:lang w:eastAsia="zh-CN"/>
        </w:rPr>
        <w:t>四</w:t>
      </w:r>
      <w:r>
        <w:rPr>
          <w:rFonts w:hint="eastAsia"/>
          <w:b/>
          <w:bCs/>
          <w:sz w:val="32"/>
          <w:szCs w:val="32"/>
          <w:highlight w:val="none"/>
        </w:rPr>
        <w:t>）</w:t>
      </w:r>
      <w:bookmarkEnd w:id="324"/>
      <w:r>
        <w:rPr>
          <w:rFonts w:hint="eastAsia"/>
          <w:b/>
          <w:bCs/>
          <w:sz w:val="32"/>
          <w:szCs w:val="32"/>
          <w:highlight w:val="none"/>
        </w:rPr>
        <w:t>其他资格审查资料</w:t>
      </w:r>
      <w:bookmarkEnd w:id="325"/>
    </w:p>
    <w:p>
      <w:pPr>
        <w:spacing w:line="400" w:lineRule="exact"/>
        <w:ind w:firstLine="480" w:firstLineChars="200"/>
        <w:rPr>
          <w:rFonts w:hint="eastAsia"/>
          <w:highlight w:val="none"/>
        </w:rPr>
      </w:pPr>
      <w:r>
        <w:rPr>
          <w:rFonts w:hint="eastAsia"/>
          <w:highlight w:val="none"/>
        </w:rPr>
        <w:t xml:space="preserve"> </w:t>
      </w:r>
    </w:p>
    <w:p>
      <w:pPr>
        <w:spacing w:line="400" w:lineRule="exact"/>
        <w:rPr>
          <w:rFonts w:hint="eastAsia"/>
          <w:color w:val="000000"/>
          <w:szCs w:val="18"/>
          <w:highlight w:val="none"/>
        </w:rPr>
      </w:pPr>
    </w:p>
    <w:p>
      <w:pPr>
        <w:spacing w:line="400" w:lineRule="exact"/>
        <w:rPr>
          <w:rFonts w:hint="eastAsia"/>
          <w:color w:val="000000"/>
          <w:highlight w:val="none"/>
        </w:rPr>
      </w:pPr>
    </w:p>
    <w:p>
      <w:pPr>
        <w:spacing w:line="400" w:lineRule="exact"/>
        <w:rPr>
          <w:rFonts w:hint="eastAsia"/>
          <w:color w:val="000000"/>
          <w:highlight w:val="none"/>
        </w:rPr>
      </w:pPr>
    </w:p>
    <w:p>
      <w:pPr>
        <w:spacing w:line="400" w:lineRule="exact"/>
        <w:rPr>
          <w:rFonts w:hint="eastAsia"/>
          <w:color w:val="000000"/>
          <w:highlight w:val="none"/>
        </w:rPr>
      </w:pPr>
    </w:p>
    <w:p>
      <w:pPr>
        <w:spacing w:line="400" w:lineRule="exact"/>
        <w:rPr>
          <w:rFonts w:hint="eastAsia"/>
          <w:color w:val="000000"/>
          <w:highlight w:val="none"/>
        </w:rPr>
      </w:pPr>
    </w:p>
    <w:p>
      <w:pPr>
        <w:autoSpaceDE w:val="0"/>
        <w:autoSpaceDN w:val="0"/>
        <w:adjustRightInd w:val="0"/>
        <w:spacing w:line="400" w:lineRule="exact"/>
        <w:rPr>
          <w:rFonts w:hint="eastAsia"/>
          <w:highlight w:val="none"/>
        </w:rPr>
      </w:pPr>
    </w:p>
    <w:p>
      <w:pPr>
        <w:spacing w:line="400" w:lineRule="exact"/>
        <w:ind w:firstLine="480"/>
        <w:rPr>
          <w:rFonts w:hint="eastAsia"/>
          <w:highlight w:val="none"/>
        </w:rPr>
      </w:pPr>
      <w:bookmarkStart w:id="326" w:name="_Toc28726"/>
    </w:p>
    <w:p>
      <w:pPr>
        <w:autoSpaceDE w:val="0"/>
        <w:autoSpaceDN w:val="0"/>
        <w:spacing w:line="360" w:lineRule="auto"/>
        <w:jc w:val="both"/>
        <w:rPr>
          <w:rFonts w:hint="eastAsia"/>
          <w:b/>
          <w:sz w:val="28"/>
          <w:szCs w:val="28"/>
          <w:highlight w:val="none"/>
          <w:lang w:val="zh-CN"/>
        </w:rPr>
      </w:pPr>
      <w:bookmarkStart w:id="327" w:name="_Toc458079958"/>
      <w:r>
        <w:rPr>
          <w:rFonts w:hint="eastAsia"/>
          <w:b/>
          <w:sz w:val="28"/>
          <w:szCs w:val="28"/>
          <w:highlight w:val="none"/>
        </w:rPr>
        <w:br w:type="page"/>
      </w:r>
      <w:bookmarkEnd w:id="326"/>
      <w:bookmarkEnd w:id="327"/>
      <w:bookmarkStart w:id="328" w:name="_Toc416363470"/>
      <w:bookmarkStart w:id="329" w:name="_Toc16532"/>
      <w:bookmarkStart w:id="330" w:name="_Toc458079959"/>
      <w:r>
        <w:rPr>
          <w:rFonts w:hint="eastAsia"/>
          <w:b/>
          <w:sz w:val="28"/>
          <w:szCs w:val="28"/>
          <w:highlight w:val="none"/>
        </w:rPr>
        <w:t>附件1</w:t>
      </w:r>
      <w:r>
        <w:rPr>
          <w:rFonts w:hint="eastAsia"/>
          <w:b/>
          <w:sz w:val="28"/>
          <w:szCs w:val="28"/>
          <w:highlight w:val="none"/>
          <w:lang w:val="en-US" w:eastAsia="zh-CN"/>
        </w:rPr>
        <w:t>2</w:t>
      </w:r>
      <w:r>
        <w:rPr>
          <w:rFonts w:hint="eastAsia"/>
          <w:b/>
          <w:sz w:val="28"/>
          <w:szCs w:val="28"/>
          <w:highlight w:val="none"/>
        </w:rPr>
        <w:t>：</w:t>
      </w:r>
      <w:bookmarkEnd w:id="328"/>
      <w:r>
        <w:rPr>
          <w:rFonts w:hint="eastAsia"/>
          <w:b/>
          <w:sz w:val="28"/>
          <w:szCs w:val="28"/>
          <w:highlight w:val="none"/>
          <w:lang w:val="zh-CN"/>
        </w:rPr>
        <w:t>无重大违法记录声明</w:t>
      </w:r>
    </w:p>
    <w:p>
      <w:pPr>
        <w:spacing w:line="400" w:lineRule="exact"/>
        <w:rPr>
          <w:rFonts w:hint="eastAsia"/>
          <w:b/>
          <w:sz w:val="28"/>
          <w:szCs w:val="28"/>
          <w:highlight w:val="none"/>
          <w:lang w:val="zh-CN"/>
        </w:rPr>
      </w:pPr>
    </w:p>
    <w:p>
      <w:pPr>
        <w:spacing w:line="400" w:lineRule="exact"/>
        <w:rPr>
          <w:rFonts w:hint="eastAsia"/>
          <w:b/>
          <w:sz w:val="28"/>
          <w:szCs w:val="28"/>
          <w:highlight w:val="none"/>
          <w:lang w:val="zh-CN"/>
        </w:rPr>
      </w:pPr>
    </w:p>
    <w:p>
      <w:pPr>
        <w:autoSpaceDE w:val="0"/>
        <w:autoSpaceDN w:val="0"/>
        <w:spacing w:line="400" w:lineRule="exact"/>
        <w:ind w:firstLine="602"/>
        <w:jc w:val="center"/>
        <w:rPr>
          <w:rFonts w:hint="eastAsia"/>
          <w:b/>
          <w:bCs/>
          <w:highlight w:val="none"/>
          <w:lang w:val="zh-CN"/>
        </w:rPr>
      </w:pPr>
      <w:r>
        <w:rPr>
          <w:rFonts w:hint="eastAsia"/>
          <w:b/>
          <w:bCs/>
          <w:sz w:val="30"/>
          <w:szCs w:val="30"/>
          <w:highlight w:val="none"/>
          <w:lang w:val="zh-CN"/>
        </w:rPr>
        <w:t>无重大违法记录声明</w:t>
      </w:r>
    </w:p>
    <w:p>
      <w:pPr>
        <w:spacing w:line="400" w:lineRule="exact"/>
        <w:rPr>
          <w:rFonts w:hint="eastAsia"/>
          <w:b/>
          <w:bCs/>
          <w:highlight w:val="none"/>
        </w:rPr>
      </w:pPr>
    </w:p>
    <w:p>
      <w:pPr>
        <w:spacing w:line="400" w:lineRule="exact"/>
        <w:rPr>
          <w:rFonts w:hint="eastAsia"/>
          <w:b/>
          <w:bCs/>
          <w:highlight w:val="none"/>
        </w:rPr>
      </w:pPr>
      <w:r>
        <w:rPr>
          <w:rFonts w:hint="eastAsia"/>
          <w:b/>
          <w:bCs/>
          <w:highlight w:val="none"/>
        </w:rPr>
        <w:t>致：采购人/采购代理机构</w:t>
      </w:r>
    </w:p>
    <w:p>
      <w:pPr>
        <w:spacing w:line="400" w:lineRule="exact"/>
        <w:ind w:firstLine="482"/>
        <w:rPr>
          <w:rFonts w:hint="eastAsia"/>
          <w:b/>
          <w:bCs/>
          <w:highlight w:val="none"/>
        </w:rPr>
      </w:pPr>
    </w:p>
    <w:p>
      <w:pPr>
        <w:spacing w:line="400" w:lineRule="exact"/>
        <w:ind w:firstLine="480"/>
        <w:rPr>
          <w:rFonts w:hint="eastAsia"/>
          <w:highlight w:val="none"/>
        </w:rPr>
      </w:pPr>
      <w:r>
        <w:rPr>
          <w:rFonts w:hint="eastAsia"/>
          <w:highlight w:val="none"/>
        </w:rPr>
        <w:t>我单位近三年内在经营活动中没有重大违法记，特此声明。</w:t>
      </w:r>
    </w:p>
    <w:p>
      <w:pPr>
        <w:spacing w:line="400" w:lineRule="exact"/>
        <w:ind w:firstLine="480"/>
        <w:rPr>
          <w:rFonts w:hint="eastAsia"/>
          <w:highlight w:val="none"/>
        </w:rPr>
      </w:pPr>
      <w:r>
        <w:rPr>
          <w:rFonts w:hint="eastAsia"/>
          <w:highlight w:val="none"/>
        </w:rPr>
        <w:t>若采购单位在本项目采购过程中发现我单位近三年内在经营活动中有重大违法记录，我单位将无条件地退出本项目的磋商，并承担因此引起的一切后果。</w:t>
      </w:r>
    </w:p>
    <w:p>
      <w:pPr>
        <w:spacing w:line="400" w:lineRule="exact"/>
        <w:ind w:firstLine="480"/>
        <w:rPr>
          <w:rFonts w:hint="eastAsia"/>
          <w:b/>
          <w:bCs/>
          <w:highlight w:val="none"/>
          <w:lang w:val="zh-CN"/>
        </w:rPr>
      </w:pPr>
      <w:r>
        <w:rPr>
          <w:rFonts w:hint="eastAsia"/>
          <w:b/>
          <w:bCs/>
          <w:highlight w:val="none"/>
          <w:lang w:val="zh-CN"/>
        </w:rPr>
        <w:t>附“信用中国”网站下载的完整的信用信息和“中国政府采购网”截图，信息生成时间和截图时间为磋商时间前</w:t>
      </w:r>
      <w:r>
        <w:rPr>
          <w:rFonts w:hint="eastAsia"/>
          <w:b/>
          <w:bCs/>
          <w:highlight w:val="none"/>
          <w:lang w:val="en-US" w:eastAsia="zh-CN"/>
        </w:rPr>
        <w:t>2</w:t>
      </w:r>
      <w:r>
        <w:rPr>
          <w:rFonts w:hint="eastAsia"/>
          <w:b/>
          <w:bCs/>
          <w:highlight w:val="none"/>
          <w:lang w:val="zh-CN"/>
        </w:rPr>
        <w:t>0天内。</w:t>
      </w: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lang w:val="zh-CN"/>
        </w:rPr>
      </w:pPr>
    </w:p>
    <w:p>
      <w:pPr>
        <w:spacing w:line="400" w:lineRule="exact"/>
        <w:ind w:firstLine="3571" w:firstLineChars="1482"/>
        <w:rPr>
          <w:rFonts w:hint="eastAsia"/>
          <w:b/>
          <w:highlight w:val="none"/>
        </w:rPr>
      </w:pPr>
      <w:r>
        <w:rPr>
          <w:rFonts w:hint="eastAsia"/>
          <w:b/>
          <w:highlight w:val="none"/>
        </w:rPr>
        <w:t>供应商：</w:t>
      </w:r>
      <w:r>
        <w:rPr>
          <w:rFonts w:hint="eastAsia"/>
          <w:sz w:val="28"/>
          <w:szCs w:val="28"/>
          <w:highlight w:val="none"/>
          <w:u w:val="single"/>
        </w:rPr>
        <w:t xml:space="preserve">       </w:t>
      </w:r>
      <w:r>
        <w:rPr>
          <w:rFonts w:hint="eastAsia"/>
          <w:b/>
          <w:highlight w:val="none"/>
        </w:rPr>
        <w:t>（公章）</w:t>
      </w:r>
    </w:p>
    <w:p>
      <w:pPr>
        <w:spacing w:line="400" w:lineRule="exact"/>
        <w:ind w:firstLine="482"/>
        <w:jc w:val="center"/>
        <w:rPr>
          <w:rFonts w:hint="eastAsia"/>
          <w:b/>
          <w:highlight w:val="none"/>
        </w:rPr>
      </w:pPr>
      <w:r>
        <w:rPr>
          <w:rFonts w:hint="eastAsia"/>
          <w:b/>
          <w:highlight w:val="none"/>
        </w:rPr>
        <w:t xml:space="preserve">     法定代表人或委托代理人：</w:t>
      </w:r>
      <w:r>
        <w:rPr>
          <w:rFonts w:hint="eastAsia"/>
          <w:sz w:val="28"/>
          <w:szCs w:val="28"/>
          <w:highlight w:val="none"/>
          <w:u w:val="single"/>
        </w:rPr>
        <w:t xml:space="preserve">       </w:t>
      </w:r>
      <w:r>
        <w:rPr>
          <w:rFonts w:hint="eastAsia"/>
          <w:b/>
          <w:highlight w:val="none"/>
        </w:rPr>
        <w:t>（签字或盖章）</w:t>
      </w:r>
    </w:p>
    <w:p>
      <w:pPr>
        <w:spacing w:line="400" w:lineRule="exact"/>
        <w:jc w:val="center"/>
        <w:rPr>
          <w:rFonts w:hint="eastAsia"/>
          <w:b/>
          <w:sz w:val="28"/>
          <w:szCs w:val="28"/>
          <w:highlight w:val="none"/>
          <w:lang w:val="zh-CN"/>
        </w:rPr>
      </w:pPr>
      <w:r>
        <w:rPr>
          <w:rFonts w:hint="eastAsia"/>
          <w:b/>
          <w:highlight w:val="none"/>
        </w:rPr>
        <w:t xml:space="preserve">              年   月  日</w:t>
      </w:r>
    </w:p>
    <w:p>
      <w:pPr>
        <w:spacing w:line="400" w:lineRule="exact"/>
        <w:rPr>
          <w:rFonts w:hint="eastAsia"/>
          <w:b/>
          <w:sz w:val="28"/>
          <w:szCs w:val="28"/>
          <w:highlight w:val="none"/>
          <w:lang w:val="zh-CN"/>
        </w:rPr>
      </w:pPr>
    </w:p>
    <w:bookmarkEnd w:id="329"/>
    <w:bookmarkEnd w:id="330"/>
    <w:p>
      <w:pPr>
        <w:jc w:val="both"/>
        <w:outlineLvl w:val="1"/>
        <w:rPr>
          <w:b/>
          <w:bCs/>
          <w:sz w:val="28"/>
          <w:szCs w:val="28"/>
          <w:highlight w:val="none"/>
        </w:rPr>
      </w:pPr>
      <w:bookmarkStart w:id="331" w:name="_Toc9603"/>
      <w:bookmarkStart w:id="332" w:name="_Toc412645684"/>
      <w:bookmarkStart w:id="333" w:name="_Toc408994193"/>
      <w:r>
        <w:rPr>
          <w:rFonts w:hint="eastAsia"/>
          <w:b/>
          <w:sz w:val="28"/>
          <w:szCs w:val="28"/>
          <w:highlight w:val="none"/>
        </w:rPr>
        <w:br w:type="page"/>
      </w:r>
      <w:bookmarkEnd w:id="331"/>
      <w:bookmarkStart w:id="334" w:name="_Toc24137"/>
      <w:r>
        <w:rPr>
          <w:rFonts w:hint="eastAsia"/>
          <w:b/>
          <w:sz w:val="28"/>
          <w:szCs w:val="28"/>
          <w:highlight w:val="none"/>
        </w:rPr>
        <w:t>附件1</w:t>
      </w:r>
      <w:r>
        <w:rPr>
          <w:rFonts w:hint="eastAsia"/>
          <w:b/>
          <w:sz w:val="28"/>
          <w:szCs w:val="28"/>
          <w:highlight w:val="none"/>
          <w:lang w:val="en-US" w:eastAsia="zh-CN"/>
        </w:rPr>
        <w:t>3</w:t>
      </w:r>
      <w:r>
        <w:rPr>
          <w:rFonts w:hint="eastAsia"/>
          <w:b/>
          <w:sz w:val="28"/>
          <w:szCs w:val="28"/>
          <w:highlight w:val="none"/>
        </w:rPr>
        <w:t>：中小企业声明函（工程）</w:t>
      </w:r>
      <w:bookmarkEnd w:id="334"/>
    </w:p>
    <w:p>
      <w:pPr>
        <w:widowControl w:val="0"/>
        <w:spacing w:line="360" w:lineRule="auto"/>
        <w:ind w:firstLine="562" w:firstLineChars="200"/>
        <w:jc w:val="center"/>
        <w:rPr>
          <w:b/>
          <w:bCs/>
          <w:sz w:val="28"/>
          <w:szCs w:val="28"/>
          <w:highlight w:val="none"/>
        </w:rPr>
      </w:pPr>
    </w:p>
    <w:p>
      <w:pPr>
        <w:widowControl w:val="0"/>
        <w:spacing w:line="360" w:lineRule="auto"/>
        <w:ind w:firstLine="562" w:firstLineChars="200"/>
        <w:jc w:val="center"/>
        <w:rPr>
          <w:sz w:val="28"/>
          <w:szCs w:val="28"/>
          <w:highlight w:val="none"/>
        </w:rPr>
      </w:pPr>
      <w:r>
        <w:rPr>
          <w:b/>
          <w:bCs/>
          <w:sz w:val="28"/>
          <w:szCs w:val="28"/>
          <w:highlight w:val="none"/>
        </w:rPr>
        <w:t>中小企业声明函（工程）</w:t>
      </w:r>
    </w:p>
    <w:p>
      <w:pPr>
        <w:widowControl w:val="0"/>
        <w:spacing w:line="360" w:lineRule="auto"/>
        <w:ind w:firstLine="480" w:firstLineChars="200"/>
        <w:rPr>
          <w:highlight w:val="none"/>
        </w:rPr>
      </w:pPr>
      <w:r>
        <w:rPr>
          <w:highlight w:val="none"/>
        </w:rPr>
        <w:t>本公司（联合体）郑重声明，根据《政府采购促进中小企业发展管理办法》（财库﹝2020﹞46号）的规定，本公司</w:t>
      </w:r>
      <w:r>
        <w:rPr>
          <w:rFonts w:hint="eastAsia"/>
          <w:highlight w:val="none"/>
          <w:u w:val="single"/>
        </w:rPr>
        <w:t xml:space="preserve">   （供应商名称）  </w:t>
      </w:r>
      <w:r>
        <w:rPr>
          <w:highlight w:val="none"/>
        </w:rPr>
        <w:t>参加</w:t>
      </w:r>
      <w:r>
        <w:rPr>
          <w:highlight w:val="none"/>
          <w:u w:val="single"/>
        </w:rPr>
        <w:t>（单位名称）</w:t>
      </w:r>
      <w:r>
        <w:rPr>
          <w:highlight w:val="none"/>
        </w:rPr>
        <w:t>的</w:t>
      </w:r>
      <w:r>
        <w:rPr>
          <w:highlight w:val="none"/>
          <w:u w:val="single"/>
        </w:rPr>
        <w:t>（项目名称）</w:t>
      </w:r>
      <w:r>
        <w:rPr>
          <w:highlight w:val="none"/>
        </w:rPr>
        <w:t xml:space="preserve">采购活动，工程的施工单位全部为符合政策要求的中小企业。相关企业（含联合体中的中小企业、签订分包意向协议的中小企业）的具体情况如下： </w:t>
      </w:r>
    </w:p>
    <w:p>
      <w:pPr>
        <w:widowControl w:val="0"/>
        <w:numPr>
          <w:ilvl w:val="0"/>
          <w:numId w:val="23"/>
        </w:numPr>
        <w:spacing w:line="360" w:lineRule="auto"/>
        <w:ind w:firstLine="480" w:firstLineChars="200"/>
        <w:rPr>
          <w:highlight w:val="none"/>
        </w:rPr>
      </w:pPr>
      <w:r>
        <w:rPr>
          <w:highlight w:val="none"/>
          <w:u w:val="single"/>
        </w:rPr>
        <w:t>（</w:t>
      </w:r>
      <w:r>
        <w:rPr>
          <w:rFonts w:hint="eastAsia"/>
          <w:highlight w:val="none"/>
          <w:u w:val="single"/>
          <w:lang w:eastAsia="zh-CN"/>
        </w:rPr>
        <w:t>工程施工</w:t>
      </w:r>
      <w:r>
        <w:rPr>
          <w:highlight w:val="none"/>
          <w:u w:val="single"/>
        </w:rPr>
        <w:t>）</w:t>
      </w:r>
      <w:r>
        <w:rPr>
          <w:highlight w:val="none"/>
        </w:rPr>
        <w:t xml:space="preserve"> ，属于（</w:t>
      </w:r>
      <w:r>
        <w:rPr>
          <w:rFonts w:hint="eastAsia"/>
          <w:highlight w:val="none"/>
          <w:u w:val="single"/>
          <w:lang w:val="en-US" w:eastAsia="zh-CN"/>
        </w:rPr>
        <w:t xml:space="preserve">        </w:t>
      </w:r>
      <w:r>
        <w:rPr>
          <w:highlight w:val="none"/>
        </w:rPr>
        <w:t>）； 承建（承接）企业为</w:t>
      </w:r>
      <w:r>
        <w:rPr>
          <w:highlight w:val="none"/>
          <w:u w:val="single"/>
        </w:rPr>
        <w:t>（企业名称）</w:t>
      </w:r>
      <w:r>
        <w:rPr>
          <w:highlight w:val="none"/>
        </w:rPr>
        <w:t>，从业人员</w:t>
      </w:r>
      <w:r>
        <w:rPr>
          <w:rFonts w:hint="eastAsia"/>
          <w:highlight w:val="none"/>
          <w:u w:val="single"/>
        </w:rPr>
        <w:t xml:space="preserve">    </w:t>
      </w:r>
      <w:r>
        <w:rPr>
          <w:highlight w:val="none"/>
        </w:rPr>
        <w:t>人，营业收入为</w:t>
      </w:r>
      <w:r>
        <w:rPr>
          <w:highlight w:val="none"/>
          <w:u w:val="single"/>
        </w:rPr>
        <w:t xml:space="preserve"> </w:t>
      </w:r>
      <w:r>
        <w:rPr>
          <w:rFonts w:hint="eastAsia"/>
          <w:highlight w:val="none"/>
          <w:u w:val="single"/>
        </w:rPr>
        <w:t xml:space="preserve">  </w:t>
      </w:r>
      <w:r>
        <w:rPr>
          <w:highlight w:val="none"/>
        </w:rPr>
        <w:t>万元，资产总额为</w:t>
      </w:r>
      <w:r>
        <w:rPr>
          <w:rFonts w:hint="eastAsia"/>
          <w:highlight w:val="none"/>
          <w:u w:val="single"/>
        </w:rPr>
        <w:t xml:space="preserve">     </w:t>
      </w:r>
      <w:r>
        <w:rPr>
          <w:highlight w:val="none"/>
        </w:rPr>
        <w:t>万元</w:t>
      </w:r>
      <w:r>
        <w:rPr>
          <w:rStyle w:val="84"/>
          <w:sz w:val="24"/>
          <w:highlight w:val="none"/>
        </w:rPr>
        <w:footnoteReference w:id="0"/>
      </w:r>
      <w:r>
        <w:rPr>
          <w:highlight w:val="none"/>
        </w:rPr>
        <w:t xml:space="preserve">，属于（中型企业、小型企业、微型企业）； </w:t>
      </w:r>
    </w:p>
    <w:p>
      <w:pPr>
        <w:widowControl w:val="0"/>
        <w:spacing w:line="360" w:lineRule="auto"/>
        <w:ind w:firstLine="560"/>
        <w:rPr>
          <w:highlight w:val="none"/>
        </w:rPr>
      </w:pPr>
      <w:r>
        <w:rPr>
          <w:highlight w:val="none"/>
        </w:rPr>
        <w:t xml:space="preserve">以上企业，不属于大企业的分支机构，不存在控股股东为大企业的情形，也不存在与大企业的负责人为同一人的情形。 </w:t>
      </w:r>
    </w:p>
    <w:p>
      <w:pPr>
        <w:widowControl w:val="0"/>
        <w:spacing w:line="360" w:lineRule="auto"/>
        <w:ind w:firstLine="560"/>
        <w:rPr>
          <w:sz w:val="28"/>
          <w:szCs w:val="28"/>
          <w:highlight w:val="none"/>
        </w:rPr>
      </w:pPr>
      <w:r>
        <w:rPr>
          <w:highlight w:val="none"/>
        </w:rPr>
        <w:t>本企业对上述声明内容的真实性负责。如有虚假，将依法承担相应责任。</w:t>
      </w:r>
      <w:r>
        <w:rPr>
          <w:sz w:val="28"/>
          <w:szCs w:val="28"/>
          <w:highlight w:val="none"/>
        </w:rPr>
        <w:t xml:space="preserve"> </w:t>
      </w:r>
    </w:p>
    <w:p>
      <w:pPr>
        <w:widowControl w:val="0"/>
        <w:spacing w:line="360" w:lineRule="auto"/>
        <w:ind w:firstLine="4656" w:firstLineChars="1663"/>
        <w:rPr>
          <w:sz w:val="28"/>
          <w:szCs w:val="28"/>
          <w:highlight w:val="none"/>
        </w:rPr>
      </w:pPr>
    </w:p>
    <w:p>
      <w:pPr>
        <w:spacing w:line="400" w:lineRule="exact"/>
        <w:ind w:firstLine="5009" w:firstLineChars="2079"/>
        <w:rPr>
          <w:rFonts w:hint="eastAsia"/>
          <w:b/>
          <w:highlight w:val="none"/>
        </w:rPr>
      </w:pPr>
      <w:r>
        <w:rPr>
          <w:rFonts w:hint="eastAsia"/>
          <w:b/>
          <w:highlight w:val="none"/>
        </w:rPr>
        <w:t xml:space="preserve">企业名称（盖章）： </w:t>
      </w:r>
    </w:p>
    <w:p>
      <w:pPr>
        <w:spacing w:line="400" w:lineRule="exact"/>
        <w:ind w:firstLine="5491" w:firstLineChars="2279"/>
        <w:rPr>
          <w:sz w:val="28"/>
          <w:szCs w:val="28"/>
          <w:highlight w:val="none"/>
        </w:rPr>
      </w:pPr>
      <w:r>
        <w:rPr>
          <w:rFonts w:hint="eastAsia"/>
          <w:b/>
          <w:highlight w:val="none"/>
        </w:rPr>
        <w:t>日 期：年   月  日</w:t>
      </w:r>
      <w:r>
        <w:rPr>
          <w:sz w:val="28"/>
          <w:szCs w:val="28"/>
          <w:highlight w:val="none"/>
        </w:rPr>
        <w:t xml:space="preserve"> </w:t>
      </w:r>
    </w:p>
    <w:p>
      <w:pPr>
        <w:widowControl w:val="0"/>
        <w:spacing w:line="360" w:lineRule="auto"/>
        <w:ind w:firstLine="420" w:firstLineChars="200"/>
        <w:rPr>
          <w:rFonts w:ascii="宋体" w:hAnsi="宋体" w:eastAsia="宋体" w:cs="宋体"/>
          <w:sz w:val="21"/>
          <w:szCs w:val="21"/>
          <w:highlight w:val="none"/>
        </w:rPr>
      </w:pPr>
    </w:p>
    <w:p>
      <w:pPr>
        <w:widowControl w:val="0"/>
        <w:spacing w:line="360" w:lineRule="auto"/>
        <w:ind w:firstLine="420" w:firstLineChars="200"/>
        <w:rPr>
          <w:rFonts w:hint="eastAsia" w:hAnsi="Cambria"/>
          <w:color w:val="000000"/>
          <w:highlight w:val="none"/>
          <w:lang w:val="zh-CN"/>
        </w:rPr>
      </w:pPr>
      <w:r>
        <w:rPr>
          <w:rFonts w:ascii="宋体" w:hAnsi="宋体" w:eastAsia="宋体" w:cs="宋体"/>
          <w:sz w:val="21"/>
          <w:szCs w:val="21"/>
          <w:highlight w:val="none"/>
        </w:rPr>
        <w:t>说明：①从业人员、营业收入、资产总额填报上一年度数据，无上一年度数据的新成立企业可不填报。②如未提供中小企业声明函的，则不享受优惠，但不影响供应商投标文件的有效性。③投标人参加政府采购活动时，提供虚假中小企业声明函的，以提供虚假材料谋取中标处理。④投标人为非企业单位的，如民办非企业、基金会、协会、服务中心、农村承包经营户、学会等非工商(市场监管)登记注册的组织均不适用此声明函，不得提供中小企业声明函。</w:t>
      </w:r>
    </w:p>
    <w:p>
      <w:pPr>
        <w:autoSpaceDE w:val="0"/>
        <w:autoSpaceDN w:val="0"/>
        <w:spacing w:line="400" w:lineRule="exact"/>
        <w:ind w:firstLine="843" w:firstLineChars="350"/>
        <w:rPr>
          <w:rFonts w:hint="eastAsia"/>
          <w:b/>
          <w:bCs/>
          <w:highlight w:val="none"/>
          <w:lang w:val="zh-CN"/>
        </w:rPr>
      </w:pPr>
      <w:r>
        <w:rPr>
          <w:rFonts w:hint="eastAsia"/>
          <w:b/>
          <w:bCs/>
          <w:highlight w:val="none"/>
        </w:rPr>
        <w:t>注：</w:t>
      </w:r>
      <w:r>
        <w:rPr>
          <w:rFonts w:hint="eastAsia"/>
          <w:b/>
          <w:bCs/>
          <w:highlight w:val="none"/>
          <w:lang w:val="zh-CN"/>
        </w:rPr>
        <w:t>若无此项内容，可不提供此函。</w:t>
      </w:r>
    </w:p>
    <w:p>
      <w:pPr>
        <w:autoSpaceDE w:val="0"/>
        <w:autoSpaceDN w:val="0"/>
        <w:adjustRightInd w:val="0"/>
        <w:spacing w:line="400" w:lineRule="exact"/>
        <w:rPr>
          <w:rFonts w:hint="eastAsia" w:hAnsi="Cambria"/>
          <w:color w:val="000000"/>
          <w:highlight w:val="none"/>
          <w:lang w:val="zh-CN"/>
        </w:rPr>
      </w:pPr>
    </w:p>
    <w:p>
      <w:pPr>
        <w:pStyle w:val="65"/>
        <w:spacing w:after="0" w:line="400" w:lineRule="exact"/>
        <w:jc w:val="left"/>
        <w:outlineLvl w:val="1"/>
        <w:rPr>
          <w:rFonts w:hint="eastAsia" w:ascii="宋体" w:hAnsi="宋体" w:cs="宋体"/>
          <w:smallCaps w:val="0"/>
          <w:kern w:val="0"/>
          <w:sz w:val="28"/>
          <w:szCs w:val="28"/>
          <w:highlight w:val="none"/>
          <w:lang w:val="zh-CN" w:eastAsia="zh-CN"/>
        </w:rPr>
      </w:pPr>
    </w:p>
    <w:p>
      <w:pPr>
        <w:pStyle w:val="65"/>
        <w:spacing w:after="0" w:line="400" w:lineRule="exact"/>
        <w:jc w:val="left"/>
        <w:outlineLvl w:val="1"/>
        <w:rPr>
          <w:rFonts w:hint="eastAsia" w:ascii="宋体" w:hAnsi="宋体" w:cs="宋体"/>
          <w:smallCaps w:val="0"/>
          <w:kern w:val="0"/>
          <w:sz w:val="28"/>
          <w:szCs w:val="28"/>
          <w:highlight w:val="none"/>
          <w:lang w:val="zh-CN" w:eastAsia="zh-CN"/>
        </w:rPr>
      </w:pPr>
    </w:p>
    <w:p>
      <w:pPr>
        <w:pStyle w:val="65"/>
        <w:spacing w:after="0" w:line="400" w:lineRule="exact"/>
        <w:jc w:val="left"/>
        <w:outlineLvl w:val="1"/>
        <w:rPr>
          <w:rFonts w:hint="eastAsia" w:ascii="宋体" w:hAnsi="宋体" w:cs="宋体"/>
          <w:smallCaps w:val="0"/>
          <w:kern w:val="0"/>
          <w:sz w:val="28"/>
          <w:szCs w:val="28"/>
          <w:highlight w:val="none"/>
          <w:lang w:val="zh-CN" w:eastAsia="zh-CN"/>
        </w:rPr>
      </w:pPr>
    </w:p>
    <w:p>
      <w:pPr>
        <w:pStyle w:val="65"/>
        <w:spacing w:after="0" w:line="400" w:lineRule="exact"/>
        <w:jc w:val="left"/>
        <w:outlineLvl w:val="1"/>
        <w:rPr>
          <w:rFonts w:hint="eastAsia" w:ascii="宋体" w:hAnsi="宋体" w:cs="宋体"/>
          <w:smallCaps w:val="0"/>
          <w:kern w:val="0"/>
          <w:sz w:val="28"/>
          <w:szCs w:val="28"/>
          <w:highlight w:val="none"/>
          <w:lang w:val="zh-CN" w:eastAsia="zh-CN"/>
        </w:rPr>
      </w:pPr>
    </w:p>
    <w:p>
      <w:pPr>
        <w:pStyle w:val="65"/>
        <w:spacing w:after="0" w:line="400" w:lineRule="exact"/>
        <w:jc w:val="left"/>
        <w:outlineLvl w:val="1"/>
        <w:rPr>
          <w:rFonts w:hint="eastAsia" w:ascii="宋体" w:hAnsi="宋体" w:cs="宋体"/>
          <w:b w:val="0"/>
          <w:sz w:val="28"/>
          <w:szCs w:val="28"/>
          <w:highlight w:val="none"/>
          <w:lang w:eastAsia="zh-CN"/>
        </w:rPr>
      </w:pPr>
      <w:bookmarkStart w:id="335" w:name="_Toc27800"/>
      <w:r>
        <w:rPr>
          <w:rFonts w:hint="eastAsia" w:ascii="宋体" w:hAnsi="宋体" w:cs="宋体"/>
          <w:smallCaps w:val="0"/>
          <w:kern w:val="0"/>
          <w:sz w:val="28"/>
          <w:szCs w:val="28"/>
          <w:highlight w:val="none"/>
          <w:lang w:val="zh-CN" w:eastAsia="zh-CN"/>
        </w:rPr>
        <w:t>附件1</w:t>
      </w:r>
      <w:r>
        <w:rPr>
          <w:rFonts w:hint="eastAsia" w:ascii="宋体" w:hAnsi="宋体" w:cs="宋体"/>
          <w:smallCaps w:val="0"/>
          <w:kern w:val="0"/>
          <w:sz w:val="28"/>
          <w:szCs w:val="28"/>
          <w:highlight w:val="none"/>
          <w:lang w:val="en-US" w:eastAsia="zh-CN"/>
        </w:rPr>
        <w:t>4</w:t>
      </w:r>
      <w:r>
        <w:rPr>
          <w:rFonts w:hint="eastAsia" w:ascii="宋体" w:hAnsi="宋体" w:cs="宋体"/>
          <w:smallCaps w:val="0"/>
          <w:kern w:val="0"/>
          <w:sz w:val="28"/>
          <w:szCs w:val="28"/>
          <w:highlight w:val="none"/>
          <w:lang w:val="zh-CN" w:eastAsia="zh-CN"/>
        </w:rPr>
        <w:t>：残疾人福利性单位声明函</w:t>
      </w:r>
      <w:bookmarkEnd w:id="335"/>
    </w:p>
    <w:p>
      <w:pPr>
        <w:spacing w:line="400" w:lineRule="exact"/>
        <w:jc w:val="center"/>
        <w:rPr>
          <w:rFonts w:hint="eastAsia"/>
          <w:b/>
          <w:sz w:val="36"/>
          <w:szCs w:val="36"/>
          <w:highlight w:val="none"/>
        </w:rPr>
      </w:pPr>
    </w:p>
    <w:p>
      <w:pPr>
        <w:spacing w:line="400" w:lineRule="exact"/>
        <w:jc w:val="center"/>
        <w:rPr>
          <w:rFonts w:hint="eastAsia"/>
          <w:b/>
          <w:sz w:val="28"/>
          <w:szCs w:val="28"/>
          <w:highlight w:val="none"/>
        </w:rPr>
      </w:pPr>
      <w:r>
        <w:rPr>
          <w:rFonts w:hint="eastAsia"/>
          <w:b/>
          <w:sz w:val="28"/>
          <w:szCs w:val="28"/>
          <w:highlight w:val="none"/>
        </w:rPr>
        <w:t>残疾人福利性单位声明函</w:t>
      </w:r>
    </w:p>
    <w:p>
      <w:pPr>
        <w:spacing w:after="120" w:afterLines="50" w:line="400" w:lineRule="exact"/>
        <w:rPr>
          <w:rFonts w:hint="eastAsia"/>
          <w:bCs/>
          <w:highlight w:val="none"/>
        </w:rPr>
      </w:pPr>
    </w:p>
    <w:p>
      <w:pPr>
        <w:spacing w:after="120" w:afterLines="50" w:line="400" w:lineRule="exact"/>
        <w:rPr>
          <w:rFonts w:hint="eastAsia"/>
          <w:b/>
          <w:bCs/>
          <w:highlight w:val="none"/>
        </w:rPr>
      </w:pPr>
      <w:r>
        <w:rPr>
          <w:rFonts w:hint="eastAsia"/>
          <w:b/>
          <w:bCs/>
          <w:highlight w:val="none"/>
        </w:rPr>
        <w:t>致：</w:t>
      </w:r>
      <w:r>
        <w:rPr>
          <w:rFonts w:hint="eastAsia"/>
          <w:b/>
          <w:bCs/>
          <w:highlight w:val="none"/>
          <w:u w:val="dashDotHeavy"/>
          <w:lang w:val="zh-CN"/>
        </w:rPr>
        <w:t>采购人或者采购代理机构</w:t>
      </w:r>
    </w:p>
    <w:p>
      <w:pPr>
        <w:spacing w:line="400" w:lineRule="exact"/>
        <w:ind w:firstLine="480"/>
        <w:rPr>
          <w:rFonts w:hint="eastAsia"/>
          <w:highlight w:val="none"/>
        </w:rPr>
      </w:pPr>
    </w:p>
    <w:p>
      <w:pPr>
        <w:spacing w:line="400" w:lineRule="exact"/>
        <w:ind w:firstLine="480"/>
        <w:rPr>
          <w:rFonts w:hint="eastAsia"/>
          <w:highlight w:val="none"/>
        </w:rPr>
      </w:pPr>
      <w:r>
        <w:rPr>
          <w:rFonts w:hint="eastAsia"/>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highlight w:val="none"/>
          <w:u w:val="single"/>
        </w:rPr>
        <w:t xml:space="preserve">       </w:t>
      </w:r>
      <w:r>
        <w:rPr>
          <w:rFonts w:hint="eastAsia"/>
          <w:highlight w:val="none"/>
        </w:rPr>
        <w:t>人，安置的残疾人人数</w:t>
      </w:r>
      <w:r>
        <w:rPr>
          <w:rFonts w:hint="eastAsia"/>
          <w:highlight w:val="none"/>
          <w:u w:val="single"/>
        </w:rPr>
        <w:t xml:space="preserve">      </w:t>
      </w:r>
      <w:r>
        <w:rPr>
          <w:rFonts w:hint="eastAsia"/>
          <w:highlight w:val="none"/>
        </w:rPr>
        <w:t>人。且本单位参加______单位的______项目采购活动提供本单位制造的货物（由本单位承担工程/提供服务），或者提供其他残疾人福利性单位制造的货物（不包括使用非残疾人福利性单位注册商标的货物）。</w:t>
      </w:r>
    </w:p>
    <w:p>
      <w:pPr>
        <w:spacing w:line="400" w:lineRule="exact"/>
        <w:ind w:firstLine="480"/>
        <w:rPr>
          <w:rFonts w:hint="eastAsia"/>
          <w:highlight w:val="none"/>
        </w:rPr>
      </w:pPr>
      <w:r>
        <w:rPr>
          <w:rFonts w:hint="eastAsia"/>
          <w:highlight w:val="none"/>
        </w:rPr>
        <w:t>本单位对上述声明的真实性负责。如有虚假，将依法承担相应责任。</w:t>
      </w: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ind w:firstLine="480"/>
        <w:rPr>
          <w:rFonts w:hint="eastAsia"/>
          <w:highlight w:val="none"/>
        </w:rPr>
      </w:pPr>
    </w:p>
    <w:p>
      <w:pPr>
        <w:spacing w:line="400" w:lineRule="exact"/>
        <w:jc w:val="center"/>
        <w:rPr>
          <w:rFonts w:hint="eastAsia"/>
          <w:b/>
          <w:highlight w:val="none"/>
        </w:rPr>
      </w:pPr>
      <w:r>
        <w:rPr>
          <w:rFonts w:hint="eastAsia"/>
          <w:b/>
          <w:highlight w:val="none"/>
        </w:rPr>
        <w:t xml:space="preserve">                                企业名称：</w:t>
      </w:r>
      <w:r>
        <w:rPr>
          <w:rFonts w:hint="eastAsia"/>
          <w:sz w:val="28"/>
          <w:szCs w:val="28"/>
          <w:highlight w:val="none"/>
          <w:u w:val="single"/>
        </w:rPr>
        <w:t xml:space="preserve">       </w:t>
      </w:r>
      <w:r>
        <w:rPr>
          <w:rFonts w:hint="eastAsia"/>
          <w:b/>
          <w:highlight w:val="none"/>
        </w:rPr>
        <w:t>（公章）</w:t>
      </w:r>
    </w:p>
    <w:p>
      <w:pPr>
        <w:spacing w:line="400" w:lineRule="exact"/>
        <w:ind w:firstLine="482"/>
        <w:jc w:val="right"/>
        <w:rPr>
          <w:rFonts w:hint="eastAsia"/>
          <w:b/>
          <w:highlight w:val="none"/>
        </w:rPr>
      </w:pPr>
      <w:r>
        <w:rPr>
          <w:rFonts w:hint="eastAsia"/>
          <w:b/>
          <w:highlight w:val="none"/>
        </w:rPr>
        <w:t xml:space="preserve">       企业法定代表人：</w:t>
      </w:r>
      <w:r>
        <w:rPr>
          <w:rFonts w:hint="eastAsia"/>
          <w:sz w:val="28"/>
          <w:szCs w:val="28"/>
          <w:highlight w:val="none"/>
          <w:u w:val="single"/>
        </w:rPr>
        <w:t xml:space="preserve">       </w:t>
      </w:r>
      <w:r>
        <w:rPr>
          <w:rFonts w:hint="eastAsia"/>
          <w:b/>
          <w:highlight w:val="none"/>
        </w:rPr>
        <w:t>（签字或盖章）</w:t>
      </w:r>
    </w:p>
    <w:p>
      <w:pPr>
        <w:spacing w:line="400" w:lineRule="exact"/>
        <w:ind w:firstLine="482"/>
        <w:jc w:val="center"/>
        <w:rPr>
          <w:rFonts w:hint="eastAsia"/>
          <w:b/>
          <w:highlight w:val="none"/>
        </w:rPr>
      </w:pPr>
      <w:r>
        <w:rPr>
          <w:rFonts w:hint="eastAsia"/>
          <w:b/>
          <w:highlight w:val="none"/>
        </w:rPr>
        <w:t xml:space="preserve">              年   月  日</w:t>
      </w:r>
    </w:p>
    <w:p>
      <w:pPr>
        <w:widowControl w:val="0"/>
        <w:spacing w:line="360" w:lineRule="auto"/>
        <w:ind w:firstLine="420" w:firstLineChars="200"/>
        <w:rPr>
          <w:rFonts w:ascii="宋体" w:hAnsi="宋体" w:eastAsia="宋体" w:cs="宋体"/>
          <w:sz w:val="21"/>
          <w:szCs w:val="21"/>
          <w:highlight w:val="none"/>
        </w:rPr>
      </w:pPr>
    </w:p>
    <w:p>
      <w:pPr>
        <w:widowControl w:val="0"/>
        <w:spacing w:line="360" w:lineRule="auto"/>
        <w:ind w:firstLine="420" w:firstLineChars="200"/>
        <w:rPr>
          <w:rFonts w:hint="eastAsia" w:ascii="宋体" w:hAnsi="宋体" w:eastAsia="宋体" w:cs="宋体"/>
          <w:sz w:val="21"/>
          <w:szCs w:val="21"/>
          <w:highlight w:val="none"/>
        </w:rPr>
      </w:pPr>
      <w:r>
        <w:rPr>
          <w:rFonts w:ascii="宋体" w:hAnsi="宋体" w:eastAsia="宋体" w:cs="宋体"/>
          <w:sz w:val="21"/>
          <w:szCs w:val="21"/>
          <w:highlight w:val="none"/>
        </w:rPr>
        <w:t>说明：投标人参加本次采购活动时，提供虚假残疾人福利性单位声明函的，以提供虚假材料谋取成交处理。</w:t>
      </w:r>
    </w:p>
    <w:p>
      <w:pPr>
        <w:wordWrap w:val="0"/>
        <w:spacing w:line="400" w:lineRule="exact"/>
        <w:rPr>
          <w:rFonts w:hint="eastAsia"/>
          <w:b/>
          <w:sz w:val="28"/>
          <w:szCs w:val="28"/>
          <w:highlight w:val="none"/>
        </w:rPr>
      </w:pPr>
    </w:p>
    <w:p>
      <w:pPr>
        <w:autoSpaceDE w:val="0"/>
        <w:autoSpaceDN w:val="0"/>
        <w:spacing w:line="400" w:lineRule="exact"/>
        <w:ind w:firstLine="482" w:firstLineChars="200"/>
        <w:rPr>
          <w:rFonts w:hint="eastAsia"/>
          <w:b/>
          <w:bCs/>
          <w:highlight w:val="none"/>
          <w:lang w:val="zh-CN"/>
        </w:rPr>
      </w:pPr>
      <w:r>
        <w:rPr>
          <w:rFonts w:hint="eastAsia"/>
          <w:b/>
          <w:bCs/>
          <w:highlight w:val="none"/>
        </w:rPr>
        <w:t>注：</w:t>
      </w:r>
      <w:r>
        <w:rPr>
          <w:rFonts w:hint="eastAsia"/>
          <w:b/>
          <w:bCs/>
          <w:highlight w:val="none"/>
          <w:lang w:val="zh-CN"/>
        </w:rPr>
        <w:t>若无此项内容，可不提供此函。</w:t>
      </w:r>
    </w:p>
    <w:p>
      <w:pPr>
        <w:autoSpaceDE w:val="0"/>
        <w:autoSpaceDN w:val="0"/>
        <w:spacing w:line="400" w:lineRule="exact"/>
        <w:jc w:val="center"/>
        <w:rPr>
          <w:rFonts w:hint="eastAsia"/>
          <w:highlight w:val="none"/>
          <w:lang w:val="zh-CN"/>
        </w:rPr>
      </w:pPr>
    </w:p>
    <w:p>
      <w:pPr>
        <w:spacing w:line="400" w:lineRule="exact"/>
        <w:rPr>
          <w:rFonts w:hint="eastAsia"/>
          <w:b/>
          <w:bCs/>
          <w:color w:val="000000"/>
          <w:sz w:val="22"/>
          <w:szCs w:val="28"/>
          <w:highlight w:val="none"/>
        </w:rPr>
      </w:pPr>
    </w:p>
    <w:p>
      <w:pPr>
        <w:spacing w:line="400" w:lineRule="exact"/>
        <w:rPr>
          <w:rFonts w:hint="eastAsia"/>
          <w:b/>
          <w:bCs/>
          <w:color w:val="000000"/>
          <w:sz w:val="22"/>
          <w:szCs w:val="28"/>
          <w:highlight w:val="none"/>
        </w:rPr>
      </w:pPr>
    </w:p>
    <w:p>
      <w:pPr>
        <w:spacing w:line="400" w:lineRule="exact"/>
        <w:rPr>
          <w:rFonts w:hint="eastAsia"/>
          <w:b/>
          <w:bCs/>
          <w:color w:val="000000"/>
          <w:sz w:val="22"/>
          <w:szCs w:val="28"/>
          <w:highlight w:val="none"/>
        </w:rPr>
      </w:pPr>
    </w:p>
    <w:p>
      <w:pPr>
        <w:spacing w:line="400" w:lineRule="exact"/>
        <w:rPr>
          <w:rFonts w:hint="eastAsia"/>
          <w:b/>
          <w:bCs/>
          <w:color w:val="000000"/>
          <w:sz w:val="22"/>
          <w:szCs w:val="28"/>
          <w:highlight w:val="none"/>
        </w:rPr>
      </w:pPr>
    </w:p>
    <w:p>
      <w:pPr>
        <w:pStyle w:val="65"/>
        <w:spacing w:after="0" w:line="400" w:lineRule="exact"/>
        <w:jc w:val="left"/>
        <w:outlineLvl w:val="1"/>
        <w:rPr>
          <w:rFonts w:hint="eastAsia" w:ascii="宋体" w:hAnsi="宋体" w:cs="宋体"/>
          <w:smallCaps w:val="0"/>
          <w:kern w:val="0"/>
          <w:sz w:val="28"/>
          <w:szCs w:val="28"/>
          <w:highlight w:val="none"/>
          <w:lang w:eastAsia="zh-CN"/>
        </w:rPr>
      </w:pPr>
      <w:bookmarkStart w:id="336" w:name="_Toc10781"/>
      <w:bookmarkStart w:id="337" w:name="_Toc24104"/>
      <w:r>
        <w:rPr>
          <w:rFonts w:hint="eastAsia" w:ascii="宋体" w:hAnsi="宋体" w:cs="宋体"/>
          <w:smallCaps w:val="0"/>
          <w:kern w:val="0"/>
          <w:sz w:val="28"/>
          <w:szCs w:val="28"/>
          <w:highlight w:val="none"/>
          <w:lang w:val="zh-CN" w:eastAsia="zh-CN"/>
        </w:rPr>
        <w:t>附件</w:t>
      </w:r>
      <w:r>
        <w:rPr>
          <w:rFonts w:hint="eastAsia" w:ascii="宋体" w:hAnsi="宋体" w:cs="宋体"/>
          <w:smallCaps w:val="0"/>
          <w:kern w:val="0"/>
          <w:sz w:val="28"/>
          <w:szCs w:val="28"/>
          <w:highlight w:val="none"/>
          <w:lang w:eastAsia="zh-CN"/>
        </w:rPr>
        <w:t>1</w:t>
      </w:r>
      <w:r>
        <w:rPr>
          <w:rFonts w:hint="eastAsia" w:ascii="宋体" w:hAnsi="宋体" w:cs="宋体"/>
          <w:smallCaps w:val="0"/>
          <w:kern w:val="0"/>
          <w:sz w:val="28"/>
          <w:szCs w:val="28"/>
          <w:highlight w:val="none"/>
          <w:lang w:val="en-US" w:eastAsia="zh-CN"/>
        </w:rPr>
        <w:t>5</w:t>
      </w:r>
      <w:r>
        <w:rPr>
          <w:rFonts w:hint="eastAsia" w:ascii="宋体" w:hAnsi="宋体" w:cs="宋体"/>
          <w:smallCaps w:val="0"/>
          <w:kern w:val="0"/>
          <w:sz w:val="28"/>
          <w:szCs w:val="28"/>
          <w:highlight w:val="none"/>
          <w:lang w:eastAsia="zh-CN"/>
        </w:rPr>
        <w:t>：监狱企业证明资料</w:t>
      </w:r>
      <w:bookmarkEnd w:id="336"/>
      <w:bookmarkEnd w:id="337"/>
    </w:p>
    <w:p>
      <w:pPr>
        <w:widowControl w:val="0"/>
        <w:spacing w:line="480" w:lineRule="auto"/>
        <w:ind w:firstLine="480"/>
        <w:rPr>
          <w:rFonts w:hint="eastAsia"/>
          <w:highlight w:val="none"/>
        </w:rPr>
      </w:pPr>
    </w:p>
    <w:p>
      <w:pPr>
        <w:widowControl w:val="0"/>
        <w:spacing w:line="480" w:lineRule="auto"/>
        <w:ind w:firstLine="480"/>
        <w:rPr>
          <w:rFonts w:hint="eastAsia"/>
          <w:highlight w:val="none"/>
        </w:rPr>
      </w:pPr>
      <w:r>
        <w:rPr>
          <w:rFonts w:hint="eastAsia"/>
          <w:highlight w:val="none"/>
        </w:rPr>
        <w:t>备注：按《财政部 司法部关于政府采购支持监狱企业发展有关问题的通知》(财库〔2014〕68号)文件规定提供证明文件（复印件）。</w:t>
      </w:r>
    </w:p>
    <w:p>
      <w:pPr>
        <w:widowControl w:val="0"/>
        <w:spacing w:line="480" w:lineRule="auto"/>
        <w:ind w:firstLine="480"/>
        <w:rPr>
          <w:rFonts w:hint="eastAsia"/>
          <w:highlight w:val="none"/>
        </w:rPr>
      </w:pPr>
      <w:r>
        <w:rPr>
          <w:rFonts w:hint="eastAsia"/>
          <w:highlight w:val="none"/>
        </w:rPr>
        <w:t xml:space="preserve">                 </w:t>
      </w:r>
      <w:bookmarkStart w:id="338" w:name="_Toc22071_WPSOffice_Level3"/>
    </w:p>
    <w:p>
      <w:pPr>
        <w:widowControl w:val="0"/>
        <w:spacing w:line="480" w:lineRule="auto"/>
        <w:ind w:firstLine="480"/>
        <w:rPr>
          <w:rFonts w:hint="eastAsia"/>
          <w:highlight w:val="none"/>
        </w:rPr>
      </w:pPr>
    </w:p>
    <w:p>
      <w:pPr>
        <w:widowControl w:val="0"/>
        <w:spacing w:line="480" w:lineRule="auto"/>
        <w:ind w:firstLine="3120" w:firstLineChars="1300"/>
        <w:rPr>
          <w:rFonts w:hint="eastAsia"/>
          <w:highlight w:val="none"/>
        </w:rPr>
      </w:pPr>
      <w:r>
        <w:rPr>
          <w:rFonts w:hint="eastAsia"/>
          <w:highlight w:val="none"/>
        </w:rPr>
        <w:t>单位名称：       （公章）</w:t>
      </w:r>
      <w:bookmarkEnd w:id="338"/>
    </w:p>
    <w:p>
      <w:pPr>
        <w:widowControl w:val="0"/>
        <w:spacing w:line="480" w:lineRule="auto"/>
        <w:ind w:firstLine="480"/>
        <w:rPr>
          <w:rFonts w:hint="eastAsia"/>
          <w:highlight w:val="none"/>
        </w:rPr>
      </w:pPr>
      <w:r>
        <w:rPr>
          <w:rFonts w:hint="eastAsia"/>
          <w:highlight w:val="none"/>
        </w:rPr>
        <w:t xml:space="preserve">        </w:t>
      </w:r>
      <w:bookmarkStart w:id="339" w:name="_Toc11539_WPSOffice_Level3"/>
      <w:r>
        <w:rPr>
          <w:rFonts w:hint="eastAsia"/>
          <w:highlight w:val="none"/>
        </w:rPr>
        <w:t>法定代表人或委托代理人：       （签字或盖章）</w:t>
      </w:r>
      <w:bookmarkEnd w:id="339"/>
    </w:p>
    <w:p>
      <w:pPr>
        <w:widowControl w:val="0"/>
        <w:spacing w:before="120" w:beforeLines="50" w:line="480" w:lineRule="auto"/>
        <w:ind w:firstLine="640" w:firstLineChars="200"/>
        <w:jc w:val="center"/>
        <w:rPr>
          <w:spacing w:val="6"/>
          <w:sz w:val="21"/>
          <w:highlight w:val="none"/>
        </w:rPr>
      </w:pPr>
      <w:r>
        <w:rPr>
          <w:rFonts w:hint="eastAsia" w:ascii="仿宋_GB2312" w:hAnsi="仿宋_GB2312" w:eastAsia="仿宋_GB2312" w:cs="仿宋_GB2312"/>
          <w:bCs/>
          <w:color w:val="000000"/>
          <w:sz w:val="32"/>
          <w:szCs w:val="32"/>
          <w:highlight w:val="none"/>
        </w:rPr>
        <w:t xml:space="preserve">                                   </w:t>
      </w:r>
      <w:r>
        <w:rPr>
          <w:rFonts w:hint="eastAsia" w:ascii="宋体" w:hAnsi="宋体" w:eastAsia="宋体" w:cs="宋体"/>
          <w:highlight w:val="none"/>
        </w:rPr>
        <w:t xml:space="preserve"> </w:t>
      </w:r>
      <w:bookmarkStart w:id="340" w:name="_Toc3285_WPSOffice_Level3"/>
      <w:r>
        <w:rPr>
          <w:rFonts w:hint="eastAsia" w:ascii="宋体" w:hAnsi="宋体" w:eastAsia="宋体" w:cs="宋体"/>
          <w:highlight w:val="none"/>
        </w:rPr>
        <w:t>年   月  日</w:t>
      </w:r>
      <w:bookmarkEnd w:id="340"/>
    </w:p>
    <w:p>
      <w:pPr>
        <w:rPr>
          <w:rFonts w:hint="eastAsia"/>
          <w:highlight w:val="none"/>
        </w:rPr>
      </w:pPr>
      <w:r>
        <w:rPr>
          <w:rFonts w:hint="eastAsia" w:ascii="宋体" w:hAnsi="宋体" w:eastAsia="宋体" w:cs="宋体"/>
          <w:sz w:val="21"/>
          <w:szCs w:val="21"/>
          <w:highlight w:val="none"/>
          <w:lang w:eastAsia="zh-CN"/>
        </w:rPr>
        <w:t>说明</w:t>
      </w:r>
      <w:r>
        <w:rPr>
          <w:rFonts w:ascii="宋体" w:hAnsi="宋体" w:eastAsia="宋体" w:cs="宋体"/>
          <w:sz w:val="21"/>
          <w:szCs w:val="21"/>
          <w:highlight w:val="none"/>
        </w:rPr>
        <w:t>：投标人参加本次采购活动时，提供虚假监狱企业声明函的，以提供虚假材料谋取成交处理。</w:t>
      </w:r>
    </w:p>
    <w:p>
      <w:pPr>
        <w:widowControl w:val="0"/>
        <w:spacing w:line="480" w:lineRule="auto"/>
        <w:ind w:firstLine="480"/>
        <w:rPr>
          <w:rFonts w:hint="eastAsia"/>
          <w:b/>
          <w:bCs/>
          <w:highlight w:val="none"/>
        </w:rPr>
      </w:pPr>
      <w:bookmarkStart w:id="341" w:name="_Toc25903_WPSOffice_Level3"/>
      <w:bookmarkStart w:id="342" w:name="_Toc28022_WPSOffice_Level3"/>
      <w:r>
        <w:rPr>
          <w:rFonts w:hint="eastAsia"/>
          <w:b/>
          <w:bCs/>
          <w:highlight w:val="none"/>
        </w:rPr>
        <w:t>(不属于监狱企业的无需提供)</w:t>
      </w:r>
      <w:bookmarkEnd w:id="341"/>
      <w:bookmarkEnd w:id="342"/>
    </w:p>
    <w:p>
      <w:pPr>
        <w:pStyle w:val="65"/>
        <w:spacing w:after="0"/>
        <w:jc w:val="left"/>
        <w:outlineLvl w:val="1"/>
        <w:rPr>
          <w:rFonts w:hint="eastAsia" w:ascii="宋体" w:hAnsi="宋体" w:cs="宋体"/>
          <w:sz w:val="28"/>
          <w:szCs w:val="28"/>
          <w:highlight w:val="none"/>
          <w:lang w:val="zh-CN"/>
        </w:rPr>
        <w:sectPr>
          <w:headerReference r:id="rId14" w:type="default"/>
          <w:footerReference r:id="rId15" w:type="default"/>
          <w:footerReference r:id="rId16" w:type="even"/>
          <w:pgSz w:w="11849" w:h="16781"/>
          <w:pgMar w:top="1440" w:right="1803" w:bottom="1440" w:left="1803" w:header="851" w:footer="992" w:gutter="0"/>
          <w:cols w:space="720" w:num="1"/>
          <w:docGrid w:linePitch="397" w:charSpace="0"/>
        </w:sectPr>
      </w:pPr>
    </w:p>
    <w:p>
      <w:pPr>
        <w:wordWrap w:val="0"/>
        <w:spacing w:line="400" w:lineRule="exact"/>
        <w:outlineLvl w:val="1"/>
        <w:rPr>
          <w:b/>
          <w:sz w:val="28"/>
          <w:szCs w:val="28"/>
          <w:highlight w:val="none"/>
        </w:rPr>
      </w:pPr>
      <w:bookmarkStart w:id="343" w:name="_Toc12590"/>
      <w:r>
        <w:rPr>
          <w:rFonts w:hint="eastAsia"/>
          <w:b/>
          <w:sz w:val="28"/>
          <w:szCs w:val="28"/>
          <w:highlight w:val="none"/>
        </w:rPr>
        <w:t>附件1</w:t>
      </w:r>
      <w:r>
        <w:rPr>
          <w:rFonts w:hint="eastAsia"/>
          <w:b/>
          <w:sz w:val="28"/>
          <w:szCs w:val="28"/>
          <w:highlight w:val="none"/>
          <w:lang w:val="en-US" w:eastAsia="zh-CN"/>
        </w:rPr>
        <w:t>6</w:t>
      </w:r>
      <w:r>
        <w:rPr>
          <w:rFonts w:hint="eastAsia"/>
          <w:b/>
          <w:sz w:val="28"/>
          <w:szCs w:val="28"/>
          <w:highlight w:val="none"/>
        </w:rPr>
        <w:t>：供应商认为在其他方面有必要说明的事项</w:t>
      </w:r>
      <w:bookmarkEnd w:id="343"/>
    </w:p>
    <w:p>
      <w:pPr>
        <w:spacing w:line="400" w:lineRule="exact"/>
        <w:rPr>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rPr>
          <w:rFonts w:hint="eastAsia"/>
          <w:b/>
          <w:highlight w:val="none"/>
        </w:rPr>
      </w:pPr>
    </w:p>
    <w:p>
      <w:pPr>
        <w:spacing w:line="400" w:lineRule="exact"/>
        <w:jc w:val="both"/>
        <w:rPr>
          <w:rFonts w:hint="eastAsia"/>
          <w:b/>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ind w:firstLine="1080" w:firstLineChars="450"/>
        <w:jc w:val="both"/>
        <w:rPr>
          <w:rFonts w:hint="eastAsia"/>
          <w:bCs/>
          <w:highlight w:val="none"/>
        </w:rPr>
      </w:pPr>
    </w:p>
    <w:p>
      <w:pPr>
        <w:spacing w:line="400" w:lineRule="exact"/>
        <w:jc w:val="both"/>
        <w:rPr>
          <w:rFonts w:hint="eastAsia"/>
          <w:bCs/>
          <w:highlight w:val="none"/>
        </w:rPr>
      </w:pPr>
    </w:p>
    <w:p>
      <w:pPr>
        <w:spacing w:line="400" w:lineRule="exact"/>
        <w:ind w:firstLine="480"/>
        <w:rPr>
          <w:rFonts w:hint="eastAsia"/>
          <w:highlight w:val="none"/>
        </w:rPr>
      </w:pPr>
    </w:p>
    <w:p>
      <w:pPr>
        <w:spacing w:line="400" w:lineRule="exact"/>
        <w:ind w:firstLine="1084" w:firstLineChars="450"/>
        <w:jc w:val="both"/>
        <w:rPr>
          <w:rFonts w:hint="eastAsia" w:ascii="Times New Roman"/>
          <w:b/>
          <w:kern w:val="2"/>
          <w:highlight w:val="none"/>
        </w:rPr>
      </w:pPr>
    </w:p>
    <w:p>
      <w:pPr>
        <w:spacing w:line="400" w:lineRule="exact"/>
        <w:jc w:val="both"/>
        <w:rPr>
          <w:rFonts w:hint="eastAsia"/>
          <w:b/>
          <w:highlight w:val="none"/>
        </w:rPr>
      </w:pPr>
    </w:p>
    <w:p>
      <w:pPr>
        <w:rPr>
          <w:rFonts w:hint="eastAsia"/>
          <w:b/>
          <w:highlight w:val="none"/>
        </w:rPr>
      </w:pPr>
    </w:p>
    <w:p>
      <w:pPr>
        <w:rPr>
          <w:rFonts w:hint="eastAsia"/>
          <w:b/>
          <w:highlight w:val="none"/>
        </w:rPr>
      </w:pPr>
    </w:p>
    <w:p>
      <w:pPr>
        <w:rPr>
          <w:rFonts w:hint="eastAsia"/>
          <w:b/>
          <w:highlight w:val="none"/>
        </w:rPr>
      </w:pPr>
    </w:p>
    <w:p>
      <w:pPr>
        <w:rPr>
          <w:rFonts w:hint="eastAsia"/>
          <w:b/>
          <w:highlight w:val="none"/>
        </w:rPr>
      </w:pPr>
    </w:p>
    <w:p>
      <w:pPr>
        <w:rPr>
          <w:rFonts w:hint="eastAsia"/>
          <w:b/>
          <w:highlight w:val="none"/>
        </w:rPr>
      </w:pPr>
    </w:p>
    <w:p>
      <w:pPr>
        <w:rPr>
          <w:rFonts w:hint="eastAsia"/>
          <w:b/>
          <w:highlight w:val="none"/>
        </w:rPr>
      </w:pPr>
    </w:p>
    <w:p>
      <w:pPr>
        <w:rPr>
          <w:rFonts w:hint="eastAsia"/>
          <w:b/>
          <w:highlight w:val="none"/>
        </w:rPr>
      </w:pPr>
    </w:p>
    <w:p>
      <w:pPr>
        <w:spacing w:line="400" w:lineRule="exact"/>
        <w:rPr>
          <w:rFonts w:hint="eastAsia"/>
          <w:highlight w:val="none"/>
        </w:rPr>
      </w:pPr>
    </w:p>
    <w:p>
      <w:pPr>
        <w:snapToGrid w:val="0"/>
        <w:spacing w:line="400" w:lineRule="exact"/>
        <w:outlineLvl w:val="1"/>
        <w:rPr>
          <w:rFonts w:hint="eastAsia"/>
          <w:b/>
          <w:sz w:val="28"/>
          <w:szCs w:val="28"/>
          <w:highlight w:val="none"/>
        </w:rPr>
      </w:pPr>
    </w:p>
    <w:p>
      <w:pPr>
        <w:snapToGrid w:val="0"/>
        <w:spacing w:line="400" w:lineRule="exact"/>
        <w:outlineLvl w:val="1"/>
        <w:rPr>
          <w:rFonts w:hint="eastAsia"/>
          <w:b/>
          <w:sz w:val="28"/>
          <w:szCs w:val="28"/>
          <w:highlight w:val="none"/>
        </w:rPr>
      </w:pPr>
      <w:bookmarkStart w:id="344" w:name="_Toc2406"/>
      <w:r>
        <w:rPr>
          <w:rFonts w:hint="eastAsia"/>
          <w:b/>
          <w:sz w:val="28"/>
          <w:szCs w:val="28"/>
          <w:highlight w:val="none"/>
        </w:rPr>
        <w:t>附件1</w:t>
      </w:r>
      <w:r>
        <w:rPr>
          <w:rFonts w:hint="eastAsia"/>
          <w:b/>
          <w:sz w:val="28"/>
          <w:szCs w:val="28"/>
          <w:highlight w:val="none"/>
          <w:lang w:val="en-US" w:eastAsia="zh-CN"/>
        </w:rPr>
        <w:t>7</w:t>
      </w:r>
      <w:r>
        <w:rPr>
          <w:rFonts w:hint="eastAsia"/>
          <w:b/>
          <w:sz w:val="28"/>
          <w:szCs w:val="28"/>
          <w:highlight w:val="none"/>
        </w:rPr>
        <w:t>：磋商最后报价表</w:t>
      </w:r>
      <w:bookmarkEnd w:id="344"/>
    </w:p>
    <w:p>
      <w:pPr>
        <w:spacing w:line="400" w:lineRule="exact"/>
        <w:ind w:firstLine="2367" w:firstLineChars="655"/>
        <w:rPr>
          <w:rFonts w:hint="eastAsia"/>
          <w:b/>
          <w:sz w:val="36"/>
          <w:szCs w:val="36"/>
          <w:highlight w:val="none"/>
        </w:rPr>
      </w:pPr>
    </w:p>
    <w:p>
      <w:pPr>
        <w:spacing w:line="400" w:lineRule="exact"/>
        <w:ind w:firstLine="3451" w:firstLineChars="955"/>
        <w:rPr>
          <w:rFonts w:hint="eastAsia"/>
          <w:b/>
          <w:sz w:val="36"/>
          <w:szCs w:val="36"/>
          <w:highlight w:val="none"/>
        </w:rPr>
      </w:pPr>
      <w:r>
        <w:rPr>
          <w:rFonts w:hint="eastAsia"/>
          <w:b/>
          <w:sz w:val="36"/>
          <w:szCs w:val="36"/>
          <w:highlight w:val="none"/>
        </w:rPr>
        <w:t>磋商最后报价</w:t>
      </w:r>
    </w:p>
    <w:p>
      <w:pPr>
        <w:spacing w:line="400" w:lineRule="exact"/>
        <w:rPr>
          <w:rFonts w:hint="eastAsia"/>
          <w:b/>
          <w:sz w:val="28"/>
          <w:szCs w:val="28"/>
          <w:highlight w:val="none"/>
          <w:lang w:val="en-US" w:eastAsia="zh-CN"/>
        </w:rPr>
      </w:pPr>
      <w:r>
        <w:rPr>
          <w:rFonts w:hint="eastAsia"/>
          <w:b/>
          <w:sz w:val="28"/>
          <w:szCs w:val="28"/>
          <w:highlight w:val="none"/>
        </w:rPr>
        <w:t xml:space="preserve">磋商单位名称：       </w:t>
      </w:r>
      <w:r>
        <w:rPr>
          <w:rFonts w:hint="eastAsia"/>
          <w:b/>
          <w:sz w:val="28"/>
          <w:szCs w:val="28"/>
          <w:highlight w:val="none"/>
          <w:lang w:val="en-US" w:eastAsia="zh-CN"/>
        </w:rPr>
        <w:t xml:space="preserve">   </w:t>
      </w:r>
    </w:p>
    <w:p>
      <w:pPr>
        <w:spacing w:line="400" w:lineRule="exact"/>
        <w:rPr>
          <w:rFonts w:hint="eastAsia"/>
          <w:b/>
          <w:sz w:val="28"/>
          <w:szCs w:val="28"/>
          <w:highlight w:val="none"/>
        </w:rPr>
      </w:pPr>
      <w:r>
        <w:rPr>
          <w:rFonts w:hint="eastAsia"/>
          <w:b/>
          <w:sz w:val="28"/>
          <w:szCs w:val="28"/>
          <w:highlight w:val="none"/>
          <w:lang w:val="en-US" w:eastAsia="zh-CN"/>
        </w:rPr>
        <w:t>项目名称：</w:t>
      </w:r>
      <w:r>
        <w:rPr>
          <w:rFonts w:hint="eastAsia"/>
          <w:b/>
          <w:sz w:val="28"/>
          <w:szCs w:val="28"/>
          <w:highlight w:val="none"/>
        </w:rPr>
        <w:t xml:space="preserve">                             </w:t>
      </w:r>
      <w:r>
        <w:rPr>
          <w:rFonts w:hint="eastAsia"/>
          <w:highlight w:val="none"/>
        </w:rPr>
        <w:t>单位：元</w:t>
      </w:r>
    </w:p>
    <w:tbl>
      <w:tblPr>
        <w:tblStyle w:val="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042"/>
        <w:gridCol w:w="1978"/>
        <w:gridCol w:w="1609"/>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883" w:type="dxa"/>
            <w:noWrap w:val="0"/>
            <w:vAlign w:val="center"/>
          </w:tcPr>
          <w:p>
            <w:pPr>
              <w:spacing w:line="400" w:lineRule="exact"/>
              <w:jc w:val="center"/>
              <w:rPr>
                <w:rFonts w:hint="eastAsia"/>
                <w:bCs/>
                <w:highlight w:val="none"/>
              </w:rPr>
            </w:pPr>
            <w:r>
              <w:rPr>
                <w:rFonts w:hint="eastAsia"/>
                <w:bCs/>
                <w:highlight w:val="none"/>
              </w:rPr>
              <w:t>序号</w:t>
            </w:r>
          </w:p>
        </w:tc>
        <w:tc>
          <w:tcPr>
            <w:tcW w:w="2042" w:type="dxa"/>
            <w:noWrap w:val="0"/>
            <w:vAlign w:val="center"/>
          </w:tcPr>
          <w:p>
            <w:pPr>
              <w:spacing w:line="400" w:lineRule="exact"/>
              <w:jc w:val="center"/>
              <w:rPr>
                <w:rFonts w:hint="eastAsia"/>
                <w:bCs/>
                <w:highlight w:val="none"/>
              </w:rPr>
            </w:pPr>
            <w:r>
              <w:rPr>
                <w:rFonts w:hint="eastAsia"/>
                <w:bCs/>
                <w:highlight w:val="none"/>
              </w:rPr>
              <w:t>最初报价</w:t>
            </w:r>
          </w:p>
        </w:tc>
        <w:tc>
          <w:tcPr>
            <w:tcW w:w="1978" w:type="dxa"/>
            <w:noWrap w:val="0"/>
            <w:vAlign w:val="center"/>
          </w:tcPr>
          <w:p>
            <w:pPr>
              <w:spacing w:line="400" w:lineRule="exact"/>
              <w:jc w:val="center"/>
              <w:rPr>
                <w:rFonts w:hint="eastAsia"/>
                <w:bCs/>
                <w:highlight w:val="none"/>
              </w:rPr>
            </w:pPr>
            <w:r>
              <w:rPr>
                <w:rFonts w:hint="eastAsia"/>
                <w:bCs/>
                <w:highlight w:val="none"/>
              </w:rPr>
              <w:t>调整因素</w:t>
            </w:r>
          </w:p>
        </w:tc>
        <w:tc>
          <w:tcPr>
            <w:tcW w:w="1609" w:type="dxa"/>
            <w:noWrap w:val="0"/>
            <w:vAlign w:val="center"/>
          </w:tcPr>
          <w:p>
            <w:pPr>
              <w:spacing w:line="400" w:lineRule="exact"/>
              <w:jc w:val="center"/>
              <w:rPr>
                <w:rFonts w:hint="eastAsia"/>
                <w:bCs/>
                <w:highlight w:val="none"/>
              </w:rPr>
            </w:pPr>
            <w:r>
              <w:rPr>
                <w:rFonts w:hint="eastAsia"/>
                <w:bCs/>
                <w:highlight w:val="none"/>
              </w:rPr>
              <w:t>工程质量</w:t>
            </w:r>
          </w:p>
        </w:tc>
        <w:tc>
          <w:tcPr>
            <w:tcW w:w="2845" w:type="dxa"/>
            <w:noWrap w:val="0"/>
            <w:vAlign w:val="center"/>
          </w:tcPr>
          <w:p>
            <w:pPr>
              <w:spacing w:line="400" w:lineRule="exact"/>
              <w:jc w:val="center"/>
              <w:rPr>
                <w:rFonts w:hint="eastAsia"/>
                <w:bCs/>
                <w:highlight w:val="none"/>
              </w:rPr>
            </w:pPr>
            <w:r>
              <w:rPr>
                <w:rFonts w:hint="eastAsia"/>
                <w:bCs/>
                <w:highlight w:val="none"/>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5" w:hRule="atLeast"/>
        </w:trPr>
        <w:tc>
          <w:tcPr>
            <w:tcW w:w="883" w:type="dxa"/>
            <w:noWrap w:val="0"/>
            <w:vAlign w:val="center"/>
          </w:tcPr>
          <w:p>
            <w:pPr>
              <w:spacing w:line="400" w:lineRule="exact"/>
              <w:jc w:val="center"/>
              <w:rPr>
                <w:rFonts w:hint="eastAsia"/>
                <w:highlight w:val="none"/>
              </w:rPr>
            </w:pPr>
            <w:r>
              <w:rPr>
                <w:rFonts w:hint="eastAsia"/>
                <w:bCs/>
                <w:highlight w:val="none"/>
              </w:rPr>
              <w:t>1</w:t>
            </w:r>
          </w:p>
        </w:tc>
        <w:tc>
          <w:tcPr>
            <w:tcW w:w="2042" w:type="dxa"/>
            <w:noWrap w:val="0"/>
            <w:vAlign w:val="top"/>
          </w:tcPr>
          <w:p>
            <w:pPr>
              <w:spacing w:line="400" w:lineRule="exact"/>
              <w:rPr>
                <w:rFonts w:hint="eastAsia"/>
                <w:highlight w:val="none"/>
              </w:rPr>
            </w:pPr>
          </w:p>
        </w:tc>
        <w:tc>
          <w:tcPr>
            <w:tcW w:w="1978" w:type="dxa"/>
            <w:noWrap w:val="0"/>
            <w:vAlign w:val="top"/>
          </w:tcPr>
          <w:p>
            <w:pPr>
              <w:spacing w:line="400" w:lineRule="exact"/>
              <w:rPr>
                <w:rFonts w:hint="eastAsia"/>
                <w:highlight w:val="none"/>
              </w:rPr>
            </w:pPr>
          </w:p>
        </w:tc>
        <w:tc>
          <w:tcPr>
            <w:tcW w:w="1609" w:type="dxa"/>
            <w:noWrap w:val="0"/>
            <w:vAlign w:val="top"/>
          </w:tcPr>
          <w:p>
            <w:pPr>
              <w:spacing w:line="400" w:lineRule="exact"/>
              <w:rPr>
                <w:rFonts w:hint="eastAsia"/>
                <w:highlight w:val="none"/>
              </w:rPr>
            </w:pPr>
          </w:p>
        </w:tc>
        <w:tc>
          <w:tcPr>
            <w:tcW w:w="2845" w:type="dxa"/>
            <w:noWrap w:val="0"/>
            <w:vAlign w:val="top"/>
          </w:tcPr>
          <w:p>
            <w:pPr>
              <w:spacing w:line="400" w:lineRule="exact"/>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9357" w:type="dxa"/>
            <w:gridSpan w:val="5"/>
            <w:noWrap w:val="0"/>
            <w:vAlign w:val="top"/>
          </w:tcPr>
          <w:p>
            <w:pPr>
              <w:spacing w:line="400" w:lineRule="exact"/>
              <w:rPr>
                <w:rFonts w:hint="eastAsia"/>
                <w:highlight w:val="none"/>
              </w:rPr>
            </w:pPr>
            <w:r>
              <w:rPr>
                <w:rFonts w:hint="eastAsia"/>
                <w:highlight w:val="none"/>
              </w:rPr>
              <w:t>最终报价（大写）：</w:t>
            </w:r>
          </w:p>
          <w:p>
            <w:pPr>
              <w:spacing w:line="400" w:lineRule="exact"/>
              <w:rPr>
                <w:rFonts w:hint="eastAsia"/>
                <w:highlight w:val="none"/>
              </w:rPr>
            </w:pPr>
          </w:p>
          <w:p>
            <w:pPr>
              <w:spacing w:line="400" w:lineRule="exact"/>
              <w:rPr>
                <w:rFonts w:hint="eastAsia"/>
                <w:highlight w:val="none"/>
              </w:rPr>
            </w:pPr>
            <w:r>
              <w:rPr>
                <w:rFonts w:hint="eastAsia"/>
                <w:highlight w:val="none"/>
              </w:rPr>
              <w:t xml:space="preserve">        （小写）：</w:t>
            </w:r>
          </w:p>
          <w:p>
            <w:pPr>
              <w:spacing w:line="400" w:lineRule="exac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trPr>
        <w:tc>
          <w:tcPr>
            <w:tcW w:w="9357" w:type="dxa"/>
            <w:gridSpan w:val="5"/>
            <w:noWrap w:val="0"/>
            <w:vAlign w:val="top"/>
          </w:tcPr>
          <w:p>
            <w:pPr>
              <w:spacing w:line="400" w:lineRule="exact"/>
              <w:rPr>
                <w:rFonts w:hint="eastAsia"/>
                <w:highlight w:val="none"/>
              </w:rPr>
            </w:pPr>
            <w:r>
              <w:rPr>
                <w:rFonts w:hint="eastAsia"/>
                <w:highlight w:val="none"/>
              </w:rPr>
              <w:t>最终确定的质量保证及服务承诺（优惠条件）</w:t>
            </w:r>
          </w:p>
        </w:tc>
      </w:tr>
    </w:tbl>
    <w:p>
      <w:pPr>
        <w:spacing w:line="400" w:lineRule="exact"/>
        <w:ind w:firstLine="422" w:firstLineChars="200"/>
        <w:rPr>
          <w:rFonts w:hint="eastAsia"/>
          <w:highlight w:val="none"/>
        </w:rPr>
      </w:pPr>
      <w:r>
        <w:rPr>
          <w:rFonts w:hint="eastAsia"/>
          <w:b/>
          <w:sz w:val="21"/>
          <w:highlight w:val="none"/>
        </w:rPr>
        <w:t xml:space="preserve">  </w:t>
      </w:r>
      <w:r>
        <w:rPr>
          <w:rFonts w:hint="eastAsia"/>
          <w:b/>
          <w:highlight w:val="none"/>
        </w:rPr>
        <w:t xml:space="preserve">  </w:t>
      </w:r>
      <w:r>
        <w:rPr>
          <w:rFonts w:hint="eastAsia"/>
          <w:highlight w:val="none"/>
        </w:rPr>
        <w:t>注：此表不需装订在响应文件中，供应商事先须盖章、签字。在磋商期间，由磋商小组确定合格的供应商现场填写。</w:t>
      </w:r>
    </w:p>
    <w:p>
      <w:pPr>
        <w:tabs>
          <w:tab w:val="left" w:pos="168"/>
        </w:tabs>
        <w:adjustRightInd w:val="0"/>
        <w:spacing w:line="400" w:lineRule="exact"/>
        <w:textAlignment w:val="baseline"/>
        <w:rPr>
          <w:rFonts w:hint="eastAsia"/>
          <w:b/>
          <w:bCs/>
          <w:sz w:val="28"/>
          <w:highlight w:val="none"/>
        </w:rPr>
      </w:pPr>
    </w:p>
    <w:p>
      <w:pPr>
        <w:tabs>
          <w:tab w:val="left" w:pos="168"/>
        </w:tabs>
        <w:adjustRightInd w:val="0"/>
        <w:spacing w:line="400" w:lineRule="exact"/>
        <w:textAlignment w:val="baseline"/>
        <w:rPr>
          <w:rFonts w:hint="eastAsia"/>
          <w:b/>
          <w:bCs/>
          <w:sz w:val="28"/>
          <w:highlight w:val="none"/>
        </w:rPr>
      </w:pPr>
    </w:p>
    <w:p>
      <w:pPr>
        <w:spacing w:line="400" w:lineRule="exact"/>
        <w:ind w:firstLine="3571" w:firstLineChars="1482"/>
        <w:rPr>
          <w:rFonts w:hint="eastAsia"/>
          <w:b/>
          <w:highlight w:val="none"/>
        </w:rPr>
      </w:pPr>
      <w:r>
        <w:rPr>
          <w:rFonts w:hint="eastAsia"/>
          <w:b/>
          <w:highlight w:val="none"/>
        </w:rPr>
        <w:t>供应商：</w:t>
      </w:r>
      <w:r>
        <w:rPr>
          <w:rFonts w:hint="eastAsia"/>
          <w:sz w:val="28"/>
          <w:szCs w:val="28"/>
          <w:highlight w:val="none"/>
          <w:u w:val="single"/>
        </w:rPr>
        <w:t xml:space="preserve">       </w:t>
      </w:r>
      <w:r>
        <w:rPr>
          <w:rFonts w:hint="eastAsia"/>
          <w:b/>
          <w:highlight w:val="none"/>
        </w:rPr>
        <w:t>（公章）</w:t>
      </w:r>
    </w:p>
    <w:p>
      <w:pPr>
        <w:spacing w:line="400" w:lineRule="exact"/>
        <w:ind w:firstLine="482"/>
        <w:jc w:val="center"/>
        <w:rPr>
          <w:rFonts w:hint="eastAsia"/>
          <w:b/>
          <w:highlight w:val="none"/>
        </w:rPr>
      </w:pPr>
      <w:r>
        <w:rPr>
          <w:rFonts w:hint="eastAsia"/>
          <w:b/>
          <w:highlight w:val="none"/>
        </w:rPr>
        <w:t xml:space="preserve">     法定代表人或委托代理人：</w:t>
      </w:r>
      <w:r>
        <w:rPr>
          <w:rFonts w:hint="eastAsia"/>
          <w:sz w:val="28"/>
          <w:szCs w:val="28"/>
          <w:highlight w:val="none"/>
          <w:u w:val="single"/>
        </w:rPr>
        <w:t xml:space="preserve">       </w:t>
      </w:r>
      <w:r>
        <w:rPr>
          <w:rFonts w:hint="eastAsia"/>
          <w:b/>
          <w:highlight w:val="none"/>
        </w:rPr>
        <w:t>（签字或盖章）</w:t>
      </w:r>
    </w:p>
    <w:p>
      <w:pPr>
        <w:spacing w:line="400" w:lineRule="exact"/>
        <w:ind w:firstLine="482"/>
        <w:jc w:val="center"/>
        <w:rPr>
          <w:rFonts w:hint="eastAsia"/>
          <w:b/>
          <w:highlight w:val="none"/>
        </w:rPr>
      </w:pPr>
      <w:r>
        <w:rPr>
          <w:rFonts w:hint="eastAsia"/>
          <w:b/>
          <w:highlight w:val="none"/>
        </w:rPr>
        <w:t xml:space="preserve">              年   月  日</w:t>
      </w:r>
    </w:p>
    <w:p>
      <w:pPr>
        <w:pStyle w:val="5"/>
        <w:spacing w:line="400" w:lineRule="exact"/>
        <w:ind w:firstLine="2530" w:firstLineChars="700"/>
        <w:jc w:val="left"/>
        <w:rPr>
          <w:rFonts w:hint="eastAsia"/>
          <w:bCs/>
          <w:highlight w:val="none"/>
        </w:rPr>
        <w:sectPr>
          <w:pgSz w:w="11850" w:h="16783"/>
          <w:pgMar w:top="1440" w:right="1167" w:bottom="1440" w:left="1083" w:header="850" w:footer="992" w:gutter="0"/>
          <w:cols w:space="720" w:num="1"/>
          <w:docGrid w:linePitch="312" w:charSpace="0"/>
        </w:sectPr>
      </w:pPr>
    </w:p>
    <w:p>
      <w:pPr>
        <w:pStyle w:val="5"/>
        <w:numPr>
          <w:ilvl w:val="0"/>
          <w:numId w:val="24"/>
        </w:numPr>
        <w:spacing w:line="400" w:lineRule="exact"/>
        <w:ind w:firstLine="2530" w:firstLineChars="700"/>
        <w:jc w:val="left"/>
        <w:rPr>
          <w:rFonts w:hint="eastAsia"/>
        </w:rPr>
      </w:pPr>
      <w:bookmarkStart w:id="345" w:name="_Toc29585"/>
      <w:r>
        <w:rPr>
          <w:rFonts w:hint="eastAsia"/>
          <w:bCs/>
          <w:highlight w:val="none"/>
        </w:rPr>
        <w:t xml:space="preserve"> 工程量清单部分</w:t>
      </w:r>
      <w:bookmarkEnd w:id="345"/>
    </w:p>
    <w:p>
      <w:pPr>
        <w:rPr>
          <w:rFonts w:hint="eastAsia"/>
        </w:rPr>
      </w:pPr>
    </w:p>
    <w:bookmarkEnd w:id="332"/>
    <w:bookmarkEnd w:id="333"/>
    <w:p>
      <w:pPr>
        <w:tabs>
          <w:tab w:val="left" w:pos="0"/>
        </w:tabs>
        <w:jc w:val="center"/>
        <w:rPr>
          <w:rFonts w:hint="eastAsia" w:ascii="楷体" w:hAnsi="楷体" w:eastAsia="楷体"/>
          <w:sz w:val="44"/>
          <w:szCs w:val="44"/>
        </w:rPr>
      </w:pPr>
      <w:r>
        <w:rPr>
          <w:rFonts w:hint="eastAsia" w:ascii="楷体" w:hAnsi="楷体" w:eastAsia="楷体"/>
          <w:sz w:val="44"/>
          <w:szCs w:val="44"/>
        </w:rPr>
        <w:t>编 制 说 明</w:t>
      </w:r>
    </w:p>
    <w:p>
      <w:pPr>
        <w:numPr>
          <w:ilvl w:val="0"/>
          <w:numId w:val="25"/>
        </w:numPr>
        <w:ind w:left="250" w:leftChars="104" w:right="-586" w:rightChars="-244" w:firstLine="140" w:firstLineChars="50"/>
        <w:rPr>
          <w:rFonts w:hint="eastAsia" w:ascii="楷体" w:hAnsi="楷体" w:eastAsia="楷体"/>
          <w:sz w:val="28"/>
          <w:szCs w:val="28"/>
        </w:rPr>
      </w:pPr>
      <w:r>
        <w:rPr>
          <w:rFonts w:hint="eastAsia" w:ascii="楷体" w:hAnsi="楷体" w:eastAsia="楷体"/>
          <w:sz w:val="28"/>
          <w:szCs w:val="28"/>
        </w:rPr>
        <w:t>工程概况：</w:t>
      </w:r>
    </w:p>
    <w:p>
      <w:pPr>
        <w:ind w:firstLine="560" w:firstLineChars="200"/>
        <w:rPr>
          <w:rFonts w:hint="default" w:ascii="楷体" w:hAnsi="楷体" w:eastAsia="楷体"/>
          <w:sz w:val="28"/>
          <w:szCs w:val="28"/>
          <w:lang w:val="en-US" w:eastAsia="zh-CN"/>
        </w:rPr>
      </w:pPr>
      <w:r>
        <w:rPr>
          <w:rFonts w:hint="eastAsia" w:ascii="楷体" w:hAnsi="楷体" w:eastAsia="楷体"/>
          <w:sz w:val="28"/>
          <w:szCs w:val="28"/>
        </w:rPr>
        <w:t>本工程为</w:t>
      </w:r>
      <w:r>
        <w:rPr>
          <w:rFonts w:hint="eastAsia" w:ascii="楷体" w:hAnsi="楷体" w:eastAsia="楷体"/>
          <w:bCs/>
          <w:sz w:val="28"/>
          <w:szCs w:val="28"/>
          <w:lang w:val="en-US" w:eastAsia="zh-CN"/>
        </w:rPr>
        <w:t>2023年洪水镇双一村拱棚建设项目</w:t>
      </w:r>
      <w:r>
        <w:rPr>
          <w:rFonts w:hint="eastAsia" w:ascii="楷体" w:hAnsi="楷体" w:eastAsia="楷体"/>
          <w:sz w:val="28"/>
          <w:szCs w:val="28"/>
          <w:lang w:val="en-US" w:eastAsia="zh-CN"/>
        </w:rPr>
        <w:t>。建设内容：100个标准棚，建筑面积共计40000m2。</w:t>
      </w:r>
    </w:p>
    <w:p>
      <w:pPr>
        <w:ind w:left="358" w:right="-586" w:rightChars="-244"/>
        <w:rPr>
          <w:rFonts w:hint="eastAsia" w:ascii="楷体" w:hAnsi="楷体" w:eastAsia="楷体"/>
          <w:sz w:val="28"/>
          <w:szCs w:val="28"/>
        </w:rPr>
      </w:pPr>
      <w:r>
        <w:rPr>
          <w:rFonts w:hint="eastAsia" w:ascii="楷体" w:hAnsi="楷体" w:eastAsia="楷体"/>
          <w:sz w:val="28"/>
          <w:szCs w:val="28"/>
        </w:rPr>
        <w:t>二、编制依据：</w:t>
      </w:r>
    </w:p>
    <w:p>
      <w:pPr>
        <w:ind w:firstLine="560" w:firstLineChars="200"/>
        <w:rPr>
          <w:rFonts w:hint="eastAsia" w:ascii="楷体" w:hAnsi="楷体" w:eastAsia="楷体"/>
          <w:sz w:val="28"/>
          <w:szCs w:val="28"/>
        </w:rPr>
      </w:pPr>
      <w:r>
        <w:rPr>
          <w:rFonts w:hint="eastAsia" w:ascii="楷体" w:hAnsi="楷体" w:eastAsia="楷体"/>
          <w:sz w:val="28"/>
          <w:szCs w:val="28"/>
        </w:rPr>
        <w:t>1. 中华人民共和国住房和城乡建设部分布的中华人民共和国国家标准建设工程工程量清单计价规范GB50500-2013。</w:t>
      </w:r>
    </w:p>
    <w:p>
      <w:pPr>
        <w:ind w:firstLine="420" w:firstLineChars="150"/>
        <w:rPr>
          <w:rFonts w:hint="eastAsia" w:ascii="楷体" w:hAnsi="楷体" w:eastAsia="楷体"/>
          <w:sz w:val="28"/>
          <w:szCs w:val="28"/>
        </w:rPr>
      </w:pPr>
      <w:r>
        <w:rPr>
          <w:rFonts w:hint="eastAsia" w:ascii="楷体" w:hAnsi="楷体" w:eastAsia="楷体"/>
          <w:sz w:val="28"/>
          <w:szCs w:val="28"/>
        </w:rPr>
        <w:t xml:space="preserve"> 2. 现行的标准图集、规范、工艺标准、材料做法。</w:t>
      </w:r>
    </w:p>
    <w:p>
      <w:pPr>
        <w:pStyle w:val="63"/>
        <w:widowControl/>
        <w:spacing w:before="0" w:beforeAutospacing="0" w:after="0" w:afterAutospacing="0"/>
        <w:ind w:firstLine="560" w:firstLineChars="200"/>
        <w:rPr>
          <w:rFonts w:hint="eastAsia" w:ascii="楷体" w:hAnsi="楷体" w:eastAsia="楷体"/>
          <w:sz w:val="28"/>
          <w:szCs w:val="28"/>
        </w:rPr>
      </w:pPr>
      <w:r>
        <w:rPr>
          <w:rFonts w:hint="eastAsia" w:ascii="楷体" w:hAnsi="楷体" w:eastAsia="楷体"/>
          <w:sz w:val="28"/>
          <w:szCs w:val="28"/>
        </w:rPr>
        <w:t xml:space="preserve">3. 取费执行青海省住房和城乡建设厅、青海省财政厅发布的关于《青海省建筑安装工程费用项目组成及计算规则》的通知（即青建工[2015]441号文）;安全文明施工费执行《青海省住房和城乡建设厅关于调整建设工程安全文明施工费的通知》青建工[2020]255号。 </w:t>
      </w:r>
    </w:p>
    <w:p>
      <w:pPr>
        <w:ind w:left="161" w:leftChars="67" w:right="-586" w:rightChars="-244" w:firstLine="425" w:firstLineChars="152"/>
        <w:rPr>
          <w:rFonts w:ascii="楷体" w:hAnsi="楷体" w:eastAsia="楷体"/>
          <w:sz w:val="28"/>
          <w:szCs w:val="28"/>
        </w:rPr>
      </w:pPr>
      <w:r>
        <w:rPr>
          <w:rFonts w:hint="eastAsia" w:ascii="楷体" w:hAnsi="楷体" w:eastAsia="楷体"/>
          <w:sz w:val="28"/>
          <w:szCs w:val="28"/>
        </w:rPr>
        <w:t>4.人工费按照青海省住房和城乡建设厅发布的关于调整青海省建设工程预算定额人工费单价的通知(青建工2022-251号文)。</w:t>
      </w:r>
    </w:p>
    <w:p>
      <w:pPr>
        <w:ind w:left="161" w:leftChars="67" w:right="-586" w:rightChars="-244" w:firstLine="425" w:firstLineChars="152"/>
        <w:rPr>
          <w:rFonts w:hint="eastAsia" w:ascii="楷体" w:hAnsi="楷体" w:eastAsia="楷体"/>
          <w:sz w:val="28"/>
          <w:szCs w:val="28"/>
        </w:rPr>
      </w:pPr>
      <w:r>
        <w:rPr>
          <w:rFonts w:hint="eastAsia" w:ascii="楷体" w:hAnsi="楷体" w:eastAsia="楷体"/>
          <w:sz w:val="28"/>
          <w:szCs w:val="28"/>
        </w:rPr>
        <w:t>5.增值税税率执行青海省住房和城乡建设厅关于重新调整青海省建设工程计价依据增值税税率的通知青建工[2019]116号文。</w:t>
      </w:r>
    </w:p>
    <w:p>
      <w:pPr>
        <w:ind w:left="161" w:leftChars="67" w:right="-586" w:rightChars="-244" w:firstLine="425" w:firstLineChars="152"/>
        <w:rPr>
          <w:rFonts w:hint="eastAsia" w:ascii="楷体" w:hAnsi="楷体" w:eastAsia="楷体"/>
          <w:sz w:val="28"/>
          <w:szCs w:val="28"/>
        </w:rPr>
      </w:pPr>
      <w:r>
        <w:rPr>
          <w:rFonts w:hint="eastAsia" w:ascii="楷体" w:hAnsi="楷体" w:eastAsia="楷体"/>
          <w:sz w:val="28"/>
          <w:szCs w:val="28"/>
        </w:rPr>
        <w:t>6.工伤保险等费用按照青海省住房和城乡建设厅发布的关于调整2016年《青海建筑安装工程费用项目组成及计算规则》的通知(青建工〔2019〕361号文)。</w:t>
      </w:r>
    </w:p>
    <w:p>
      <w:pPr>
        <w:ind w:right="-586" w:rightChars="-244" w:firstLine="560" w:firstLineChars="200"/>
        <w:rPr>
          <w:rFonts w:hint="eastAsia" w:ascii="楷体" w:hAnsi="楷体" w:eastAsia="楷体"/>
          <w:sz w:val="28"/>
          <w:szCs w:val="28"/>
          <w:lang w:eastAsia="zh-CN"/>
        </w:rPr>
      </w:pPr>
      <w:r>
        <w:rPr>
          <w:rFonts w:hint="eastAsia" w:ascii="楷体" w:hAnsi="楷体" w:eastAsia="楷体"/>
          <w:sz w:val="28"/>
          <w:szCs w:val="28"/>
        </w:rPr>
        <w:t>7.定额选用20</w:t>
      </w:r>
      <w:r>
        <w:rPr>
          <w:rFonts w:hint="eastAsia" w:ascii="楷体" w:hAnsi="楷体" w:eastAsia="楷体"/>
          <w:sz w:val="28"/>
          <w:szCs w:val="28"/>
          <w:lang w:val="en-US" w:eastAsia="zh-CN"/>
        </w:rPr>
        <w:t>20</w:t>
      </w:r>
      <w:r>
        <w:rPr>
          <w:rFonts w:hint="eastAsia" w:ascii="楷体" w:hAnsi="楷体" w:eastAsia="楷体"/>
          <w:sz w:val="28"/>
          <w:szCs w:val="28"/>
        </w:rPr>
        <w:t>年《</w:t>
      </w:r>
      <w:r>
        <w:rPr>
          <w:rFonts w:hint="eastAsia" w:ascii="楷体" w:hAnsi="楷体" w:eastAsia="楷体"/>
          <w:sz w:val="28"/>
          <w:szCs w:val="28"/>
          <w:lang w:val="en-US" w:eastAsia="zh-CN"/>
        </w:rPr>
        <w:t>青海省房屋建筑与装修工程计价定额</w:t>
      </w:r>
      <w:r>
        <w:rPr>
          <w:rFonts w:hint="eastAsia" w:ascii="楷体" w:hAnsi="楷体" w:eastAsia="楷体"/>
          <w:sz w:val="28"/>
          <w:szCs w:val="28"/>
        </w:rPr>
        <w:t>》、《</w:t>
      </w:r>
      <w:r>
        <w:rPr>
          <w:rFonts w:hint="eastAsia" w:ascii="楷体" w:hAnsi="楷体" w:eastAsia="楷体"/>
          <w:sz w:val="28"/>
          <w:szCs w:val="28"/>
          <w:lang w:val="en-US" w:eastAsia="zh-CN"/>
        </w:rPr>
        <w:t>青海省通用安装工程计价定额</w:t>
      </w:r>
      <w:r>
        <w:rPr>
          <w:rFonts w:hint="eastAsia" w:ascii="楷体" w:hAnsi="楷体" w:eastAsia="楷体"/>
          <w:sz w:val="28"/>
          <w:szCs w:val="28"/>
        </w:rPr>
        <w:t>》等相应章节，及有关补充规定、说明解释等</w:t>
      </w:r>
      <w:r>
        <w:rPr>
          <w:rFonts w:hint="eastAsia" w:ascii="楷体" w:hAnsi="楷体" w:eastAsia="楷体"/>
          <w:sz w:val="28"/>
          <w:szCs w:val="28"/>
          <w:lang w:eastAsia="zh-CN"/>
        </w:rPr>
        <w:t>。</w:t>
      </w:r>
    </w:p>
    <w:p>
      <w:pPr>
        <w:ind w:left="161" w:leftChars="67" w:right="-586" w:rightChars="-244" w:firstLine="425" w:firstLineChars="152"/>
        <w:rPr>
          <w:rFonts w:hint="eastAsia" w:ascii="楷体" w:hAnsi="楷体" w:eastAsia="楷体"/>
          <w:sz w:val="28"/>
          <w:szCs w:val="28"/>
        </w:rPr>
      </w:pPr>
      <w:r>
        <w:rPr>
          <w:rFonts w:hint="eastAsia" w:ascii="楷体" w:hAnsi="楷体" w:eastAsia="楷体"/>
          <w:sz w:val="28"/>
          <w:szCs w:val="28"/>
        </w:rPr>
        <w:t xml:space="preserve">三、工程量项目清单不详之处，详见设计施工图，并加以完善报价，图纸中未注做法的按常规计算。 </w:t>
      </w:r>
    </w:p>
    <w:p>
      <w:pPr>
        <w:ind w:left="161" w:leftChars="67" w:right="-586" w:rightChars="-244" w:firstLine="425" w:firstLineChars="152"/>
        <w:rPr>
          <w:rFonts w:hint="eastAsia" w:ascii="楷体" w:hAnsi="楷体" w:eastAsia="楷体"/>
          <w:sz w:val="28"/>
          <w:szCs w:val="28"/>
        </w:rPr>
      </w:pPr>
      <w:r>
        <w:rPr>
          <w:rFonts w:hint="eastAsia" w:ascii="楷体" w:hAnsi="楷体" w:eastAsia="楷体"/>
          <w:sz w:val="28"/>
          <w:szCs w:val="28"/>
        </w:rPr>
        <w:t>四、</w:t>
      </w:r>
      <w:r>
        <w:rPr>
          <w:rFonts w:hint="eastAsia" w:ascii="楷体" w:hAnsi="楷体" w:eastAsia="楷体"/>
          <w:bCs/>
          <w:sz w:val="28"/>
          <w:szCs w:val="28"/>
        </w:rPr>
        <w:t>投标</w:t>
      </w:r>
      <w:r>
        <w:rPr>
          <w:rFonts w:hint="eastAsia" w:ascii="楷体" w:hAnsi="楷体" w:eastAsia="楷体"/>
          <w:sz w:val="28"/>
          <w:szCs w:val="28"/>
        </w:rPr>
        <w:t>人对工程量清单有任何疑问，应于招标文件规定的疑问提交截止日前提出，否则视为投标人认可该工程量清单已包括了招标范围的全部内容。</w:t>
      </w:r>
    </w:p>
    <w:p>
      <w:pPr>
        <w:kinsoku w:val="0"/>
        <w:autoSpaceDE w:val="0"/>
        <w:autoSpaceDN w:val="0"/>
        <w:adjustRightInd w:val="0"/>
        <w:snapToGrid w:val="0"/>
        <w:spacing w:line="240" w:lineRule="auto"/>
        <w:ind w:firstLine="1260" w:firstLineChars="600"/>
        <w:jc w:val="left"/>
        <w:textAlignment w:val="baseline"/>
        <w:rPr>
          <w:rFonts w:hint="default" w:ascii="Arial" w:hAnsi="Arial" w:eastAsia="宋体" w:cs="Arial"/>
          <w:snapToGrid w:val="0"/>
          <w:color w:val="000000"/>
          <w:kern w:val="0"/>
          <w:sz w:val="21"/>
          <w:szCs w:val="21"/>
          <w:lang w:val="en-US" w:eastAsia="zh-CN"/>
        </w:rPr>
      </w:pPr>
    </w:p>
    <w:p>
      <w:pPr>
        <w:pStyle w:val="6"/>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6675120" cy="9424035"/>
            <wp:effectExtent l="0" t="0" r="5080" b="12065"/>
            <wp:docPr id="13" name="图片 13" descr="2023年洪水镇双一村拱棚建设项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年洪水镇双一村拱棚建设项目--清单_00"/>
                    <pic:cNvPicPr>
                      <a:picLocks noChangeAspect="1"/>
                    </pic:cNvPicPr>
                  </pic:nvPicPr>
                  <pic:blipFill>
                    <a:blip r:embed="rId19"/>
                    <a:stretch>
                      <a:fillRect/>
                    </a:stretch>
                  </pic:blipFill>
                  <pic:spPr>
                    <a:xfrm>
                      <a:off x="0" y="0"/>
                      <a:ext cx="6675120" cy="9424035"/>
                    </a:xfrm>
                    <a:prstGeom prst="rect">
                      <a:avLst/>
                    </a:prstGeom>
                  </pic:spPr>
                </pic:pic>
              </a:graphicData>
            </a:graphic>
          </wp:inline>
        </w:drawing>
      </w:r>
      <w:r>
        <w:rPr>
          <w:rFonts w:hint="eastAsia"/>
          <w:lang w:val="en-US" w:eastAsia="zh-CN"/>
        </w:rPr>
        <w:drawing>
          <wp:inline distT="0" distB="0" distL="114300" distR="114300">
            <wp:extent cx="6675120" cy="9424035"/>
            <wp:effectExtent l="0" t="0" r="5080" b="12065"/>
            <wp:docPr id="12" name="图片 12" descr="2023年洪水镇双一村拱棚建设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3年洪水镇双一村拱棚建设项目--清单_01"/>
                    <pic:cNvPicPr>
                      <a:picLocks noChangeAspect="1"/>
                    </pic:cNvPicPr>
                  </pic:nvPicPr>
                  <pic:blipFill>
                    <a:blip r:embed="rId20"/>
                    <a:stretch>
                      <a:fillRect/>
                    </a:stretch>
                  </pic:blipFill>
                  <pic:spPr>
                    <a:xfrm>
                      <a:off x="0" y="0"/>
                      <a:ext cx="6675120" cy="9424035"/>
                    </a:xfrm>
                    <a:prstGeom prst="rect">
                      <a:avLst/>
                    </a:prstGeom>
                  </pic:spPr>
                </pic:pic>
              </a:graphicData>
            </a:graphic>
          </wp:inline>
        </w:drawing>
      </w:r>
      <w:r>
        <w:rPr>
          <w:rFonts w:hint="eastAsia"/>
          <w:lang w:val="en-US" w:eastAsia="zh-CN"/>
        </w:rPr>
        <w:drawing>
          <wp:inline distT="0" distB="0" distL="114300" distR="114300">
            <wp:extent cx="6675120" cy="9424035"/>
            <wp:effectExtent l="0" t="0" r="5080" b="12065"/>
            <wp:docPr id="11" name="图片 11" descr="2023年洪水镇双一村拱棚建设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年洪水镇双一村拱棚建设项目--清单_02"/>
                    <pic:cNvPicPr>
                      <a:picLocks noChangeAspect="1"/>
                    </pic:cNvPicPr>
                  </pic:nvPicPr>
                  <pic:blipFill>
                    <a:blip r:embed="rId21"/>
                    <a:stretch>
                      <a:fillRect/>
                    </a:stretch>
                  </pic:blipFill>
                  <pic:spPr>
                    <a:xfrm>
                      <a:off x="0" y="0"/>
                      <a:ext cx="6675120" cy="9424035"/>
                    </a:xfrm>
                    <a:prstGeom prst="rect">
                      <a:avLst/>
                    </a:prstGeom>
                  </pic:spPr>
                </pic:pic>
              </a:graphicData>
            </a:graphic>
          </wp:inline>
        </w:drawing>
      </w:r>
      <w:r>
        <w:rPr>
          <w:rFonts w:hint="eastAsia"/>
          <w:lang w:val="en-US" w:eastAsia="zh-CN"/>
        </w:rPr>
        <w:drawing>
          <wp:inline distT="0" distB="0" distL="114300" distR="114300">
            <wp:extent cx="6675120" cy="9424035"/>
            <wp:effectExtent l="0" t="0" r="5080" b="12065"/>
            <wp:docPr id="10" name="图片 10" descr="2023年洪水镇双一村拱棚建设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年洪水镇双一村拱棚建设项目--清单_03"/>
                    <pic:cNvPicPr>
                      <a:picLocks noChangeAspect="1"/>
                    </pic:cNvPicPr>
                  </pic:nvPicPr>
                  <pic:blipFill>
                    <a:blip r:embed="rId22"/>
                    <a:stretch>
                      <a:fillRect/>
                    </a:stretch>
                  </pic:blipFill>
                  <pic:spPr>
                    <a:xfrm>
                      <a:off x="0" y="0"/>
                      <a:ext cx="6675120" cy="9424035"/>
                    </a:xfrm>
                    <a:prstGeom prst="rect">
                      <a:avLst/>
                    </a:prstGeom>
                  </pic:spPr>
                </pic:pic>
              </a:graphicData>
            </a:graphic>
          </wp:inline>
        </w:drawing>
      </w:r>
      <w:r>
        <w:rPr>
          <w:rFonts w:hint="eastAsia"/>
          <w:lang w:val="en-US" w:eastAsia="zh-CN"/>
        </w:rPr>
        <w:drawing>
          <wp:inline distT="0" distB="0" distL="114300" distR="114300">
            <wp:extent cx="6675120" cy="9424035"/>
            <wp:effectExtent l="0" t="0" r="5080" b="12065"/>
            <wp:docPr id="9" name="图片 9" descr="2023年洪水镇双一村拱棚建设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年洪水镇双一村拱棚建设项目--清单_04"/>
                    <pic:cNvPicPr>
                      <a:picLocks noChangeAspect="1"/>
                    </pic:cNvPicPr>
                  </pic:nvPicPr>
                  <pic:blipFill>
                    <a:blip r:embed="rId23"/>
                    <a:stretch>
                      <a:fillRect/>
                    </a:stretch>
                  </pic:blipFill>
                  <pic:spPr>
                    <a:xfrm>
                      <a:off x="0" y="0"/>
                      <a:ext cx="6675120" cy="9424035"/>
                    </a:xfrm>
                    <a:prstGeom prst="rect">
                      <a:avLst/>
                    </a:prstGeom>
                  </pic:spPr>
                </pic:pic>
              </a:graphicData>
            </a:graphic>
          </wp:inline>
        </w:drawing>
      </w:r>
      <w:r>
        <w:rPr>
          <w:rFonts w:hint="eastAsia"/>
          <w:lang w:val="en-US" w:eastAsia="zh-CN"/>
        </w:rPr>
        <w:drawing>
          <wp:inline distT="0" distB="0" distL="114300" distR="114300">
            <wp:extent cx="6675120" cy="9424035"/>
            <wp:effectExtent l="0" t="0" r="5080" b="12065"/>
            <wp:docPr id="8" name="图片 8" descr="2023年洪水镇双一村拱棚建设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年洪水镇双一村拱棚建设项目--清单_05"/>
                    <pic:cNvPicPr>
                      <a:picLocks noChangeAspect="1"/>
                    </pic:cNvPicPr>
                  </pic:nvPicPr>
                  <pic:blipFill>
                    <a:blip r:embed="rId24"/>
                    <a:stretch>
                      <a:fillRect/>
                    </a:stretch>
                  </pic:blipFill>
                  <pic:spPr>
                    <a:xfrm>
                      <a:off x="0" y="0"/>
                      <a:ext cx="6675120" cy="9424035"/>
                    </a:xfrm>
                    <a:prstGeom prst="rect">
                      <a:avLst/>
                    </a:prstGeom>
                  </pic:spPr>
                </pic:pic>
              </a:graphicData>
            </a:graphic>
          </wp:inline>
        </w:drawing>
      </w:r>
    </w:p>
    <w:sectPr>
      <w:pgSz w:w="11960" w:h="16880"/>
      <w:pgMar w:top="720" w:right="720" w:bottom="720" w:left="72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MS Gothic"/>
    <w:panose1 w:val="00000000000000000000"/>
    <w:charset w:val="80"/>
    <w:family w:val="auto"/>
    <w:pitch w:val="default"/>
    <w:sig w:usb0="00000000" w:usb1="00000000" w:usb2="01000407" w:usb3="00000000" w:csb0="00020000" w:csb1="00000000"/>
  </w:font>
  <w:font w:name="Arial Black">
    <w:panose1 w:val="020B0A04020102020204"/>
    <w:charset w:val="00"/>
    <w:family w:val="swiss"/>
    <w:pitch w:val="default"/>
    <w:sig w:usb0="A00002AF" w:usb1="400078FB" w:usb2="00000000" w:usb3="00000000" w:csb0="6000009F" w:csb1="DFD70000"/>
  </w:font>
  <w:font w:name="华文细黑">
    <w:altName w:val="微软雅黑"/>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roman"/>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昆仑楷体">
    <w:altName w:val="宋体"/>
    <w:panose1 w:val="0201060900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小标宋">
    <w:altName w:val="宋体"/>
    <w:panose1 w:val="00000000000000000000"/>
    <w:charset w:val="86"/>
    <w:family w:val="roman"/>
    <w:pitch w:val="default"/>
    <w:sig w:usb0="00000000" w:usb1="00000000" w:usb2="00000010" w:usb3="00000000" w:csb0="00040000" w:csb1="00000000"/>
  </w:font>
  <w:font w:name="长城仿宋">
    <w:altName w:val="宋体"/>
    <w:panose1 w:val="0201060900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dobe 黑体 Std R">
    <w:altName w:val="黑体"/>
    <w:panose1 w:val="020B0400000000000000"/>
    <w:charset w:val="86"/>
    <w:family w:val="swiss"/>
    <w:pitch w:val="default"/>
    <w:sig w:usb0="00000000" w:usb1="00000000" w:usb2="00000016" w:usb3="00000000" w:csb0="00060007" w:csb1="00000000"/>
  </w:font>
  <w:font w:name="TimesNewRomanPSMT">
    <w:altName w:val="宋体"/>
    <w:panose1 w:val="00000000000000000000"/>
    <w:charset w:val="00"/>
    <w:family w:val="roman"/>
    <w:pitch w:val="default"/>
    <w:sig w:usb0="00000000" w:usb1="00000000" w:usb2="00000010" w:usb3="00000000" w:csb0="00040001" w:csb1="00000000"/>
  </w:font>
  <w:font w:name="文鼎粗黑">
    <w:altName w:val="微软雅黑"/>
    <w:panose1 w:val="020B0609010101010101"/>
    <w:charset w:val="86"/>
    <w:family w:val="modern"/>
    <w:pitch w:val="default"/>
    <w:sig w:usb0="00000000" w:usb1="00000000" w:usb2="00000010" w:usb3="00000000" w:csb0="00040000" w:csb1="00000000"/>
  </w:font>
  <w:font w:name="Georgia">
    <w:panose1 w:val="02040502050405020303"/>
    <w:charset w:val="00"/>
    <w:family w:val="auto"/>
    <w:pitch w:val="default"/>
    <w:sig w:usb0="00000287" w:usb1="00000000" w:usb2="00000000" w:usb3="00000000" w:csb0="2000009F" w:csb1="00000000"/>
  </w:font>
  <w:font w:name="sans-serif">
    <w:altName w:val="Segoe Print"/>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文本框 4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42"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L3UTQAAAAAgEAAA8AAAAAAAAAAQAgAAAAIgAAAGRycy9kb3du&#10;cmV2LnhtbFBLAQIUABQAAAAIAIdO4kBiAJ9gzgEAAJcDAAAOAAAAAAAAAAEAIAAAAB8BAABkcnMv&#10;ZTJvRG9jLnhtbFBLBQYAAAAABgAGAFkBAABfBQAAAAA=&#10;">
              <v:fill on="f" focussize="0,0"/>
              <v:stroke on="f"/>
              <v:imagedata o:title=""/>
              <o:lock v:ext="edit" aspectratio="f"/>
              <v:textbox inset="0mm,0mm,0mm,0mm" style="mso-fit-shape-to-text:t;">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tabs>
        <w:tab w:val="center" w:pos="4122"/>
        <w:tab w:val="clear" w:pos="4153"/>
      </w:tabs>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QDGIsoBAACaAwAADgAAAAAAAAABACAAAAAeAQAAZHJzL2Uyb0Rv&#10;Yy54bWxQSwUGAAAAAAYABgBZAQAAWgUAAAAA&#10;">
              <v:fill on="f" focussize="0,0"/>
              <v:stroke on="f"/>
              <v:imagedata o:title=""/>
              <o:lock v:ext="edit" aspectratio="f"/>
              <v:textbox inset="0mm,0mm,0mm,0mm" style="mso-fit-shape-to-text:t;">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文本框 4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upright="0">
                      <a:spAutoFit/>
                    </wps:bodyPr>
                  </wps:wsp>
                </a:graphicData>
              </a:graphic>
            </wp:anchor>
          </w:drawing>
        </mc:Choice>
        <mc:Fallback>
          <w:pict>
            <v:shape id="文本框 43"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Pi91E0AAAAAIBAAAPAAAAAAAAAAEAIAAAACIAAABkcnMvZG93&#10;bnJldi54bWxQSwECFAAUAAAACACHTuJAFe6XXs8BAACXAwAADgAAAAAAAAABACAAAAAfAQAAZHJz&#10;L2Uyb0RvYy54bWxQSwUGAAAAAAYABgBZAQAAYAUAAAAA&#10;">
              <v:fill on="f" focussize="0,0"/>
              <v:stroke on="f"/>
              <v:imagedata o:title=""/>
              <o:lock v:ext="edit" aspectratio="f"/>
              <v:textbox inset="0mm,0mm,0mm,0mm" style="mso-fit-shape-to-text:t;">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XdOnsoBAACa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kxHGLAz///HH+9ef8+zu5&#10;vs7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9XdOnsoBAACaAwAADgAAAAAAAAABACAAAAAeAQAAZHJzL2Uyb0Rv&#10;Yy54bWxQSwUGAAAAAAYABgBZAQAAWgUAAAAA&#10;">
              <v:fill on="f" focussize="0,0"/>
              <v:stroke on="f"/>
              <v:imagedata o:title=""/>
              <o:lock v:ext="edit" aspectratio="f"/>
              <v:textbox inset="0mm,0mm,0mm,0mm" style="mso-fit-shape-to-text:t;">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4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wrap="none" lIns="0" tIns="0" rIns="0" bIns="0" upright="0">
                      <a:spAutoFit/>
                    </wps:bodyPr>
                  </wps:wsp>
                </a:graphicData>
              </a:graphic>
            </wp:anchor>
          </w:drawing>
        </mc:Choice>
        <mc:Fallback>
          <w:pict>
            <v:shape id="文本框 46"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E9oKss8BAACYAwAADgAAAAAAAAABACAAAAAfAQAAZHJz&#10;L2Uyb0RvYy54bWxQSwUGAAAAAAYABgBZAQAAYAUAAAAA&#10;">
              <v:fill on="f" focussize="0,0"/>
              <v:stroke on="f"/>
              <v:imagedata o:title=""/>
              <o:lock v:ext="edit" aspectratio="f"/>
              <v:textbox inset="0mm,0mm,0mm,0mm" style="mso-fit-shape-to-text:t;">
                <w:txbxContent>
                  <w:p>
                    <w:pPr>
                      <w:pStyle w:val="43"/>
                      <w:rPr>
                        <w:rFonts w:hint="eastAsia"/>
                      </w:rPr>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43"/>
                            <w:rPr>
                              <w:rFonts w:hint="eastAsia"/>
                            </w:rPr>
                          </w:pP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BSfltvzgEAAJgDAAAOAAAAAAAAAAEAIAAAAB8BAABkcnMv&#10;ZTJvRG9jLnhtbFBLBQYAAAAABgAGAFkBAABfBQAAAAA=&#10;">
              <v:fill on="f" focussize="0,0"/>
              <v:stroke on="f"/>
              <v:imagedata o:title=""/>
              <o:lock v:ext="edit" aspectratio="f"/>
              <v:textbox inset="0mm,0mm,0mm,0mm" style="mso-fit-shape-to-text:t;">
                <w:txbxContent>
                  <w:p>
                    <w:pPr>
                      <w:pStyle w:val="43"/>
                      <w:rPr>
                        <w:rFonts w:hint="eastAsia"/>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2185" cy="147955"/>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3"/>
                          </w:pPr>
                          <w:r>
                            <w:rPr>
                              <w:rFonts w:hint="eastAsia"/>
                            </w:rPr>
                            <w:t xml:space="preserve">第 </w:t>
                          </w:r>
                          <w:r>
                            <w:fldChar w:fldCharType="begin"/>
                          </w:r>
                          <w:r>
                            <w:instrText xml:space="preserve"> PAGE  \* MERGEFORMAT </w:instrText>
                          </w:r>
                          <w:r>
                            <w:fldChar w:fldCharType="separate"/>
                          </w:r>
                          <w:r>
                            <w:t>71</w:t>
                          </w:r>
                          <w:r>
                            <w:fldChar w:fldCharType="end"/>
                          </w:r>
                          <w:r>
                            <w:rPr>
                              <w:rFonts w:hint="eastAsia"/>
                            </w:rPr>
                            <w:t xml:space="preserve"> 页 共 </w:t>
                          </w:r>
                          <w:r>
                            <w:fldChar w:fldCharType="begin"/>
                          </w:r>
                          <w:r>
                            <w:instrText xml:space="preserve"> NUMPAGES  \* MERGEFORMAT </w:instrText>
                          </w:r>
                          <w:r>
                            <w:fldChar w:fldCharType="separate"/>
                          </w:r>
                          <w:r>
                            <w:t>63</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1" o:spid="_x0000_s1026" o:spt="202" type="#_x0000_t202" style="position:absolute;left:0pt;margin-top:0pt;height:11.65pt;width:76.55pt;mso-position-horizontal:center;mso-position-horizontal-relative:margin;mso-wrap-style:none;z-index:251662336;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dpNDSAAAABAEAAA8AAAAAAAAAAQAgAAAAIgAAAGRycy9kb3ducmV2Lnht&#10;bFBLAQIUABQAAAAIAIdO4kCVlZhrxgEAAJsDAAAOAAAAAAAAAAEAIAAAACEBAABkcnMvZTJvRG9j&#10;LnhtbFBLBQYAAAAABgAGAFkBAABZBQAAAAA=&#10;">
              <v:fill on="f" focussize="0,0"/>
              <v:stroke on="f"/>
              <v:imagedata o:title=""/>
              <o:lock v:ext="edit" aspectratio="f"/>
              <v:textbox inset="0mm,0mm,0mm,0mm" style="mso-fit-shape-to-text:t;">
                <w:txbxContent>
                  <w:p>
                    <w:pPr>
                      <w:pStyle w:val="43"/>
                    </w:pPr>
                    <w:r>
                      <w:rPr>
                        <w:rFonts w:hint="eastAsia"/>
                      </w:rPr>
                      <w:t xml:space="preserve">第 </w:t>
                    </w:r>
                    <w:r>
                      <w:fldChar w:fldCharType="begin"/>
                    </w:r>
                    <w:r>
                      <w:instrText xml:space="preserve"> PAGE  \* MERGEFORMAT </w:instrText>
                    </w:r>
                    <w:r>
                      <w:fldChar w:fldCharType="separate"/>
                    </w:r>
                    <w:r>
                      <w:t>71</w:t>
                    </w:r>
                    <w:r>
                      <w:fldChar w:fldCharType="end"/>
                    </w:r>
                    <w:r>
                      <w:rPr>
                        <w:rFonts w:hint="eastAsia"/>
                      </w:rPr>
                      <w:t xml:space="preserve"> 页 共 </w:t>
                    </w:r>
                    <w:r>
                      <w:fldChar w:fldCharType="begin"/>
                    </w:r>
                    <w:r>
                      <w:instrText xml:space="preserve"> NUMPAGES  \* MERGEFORMAT </w:instrText>
                    </w:r>
                    <w:r>
                      <w:fldChar w:fldCharType="separate"/>
                    </w:r>
                    <w:r>
                      <w:t>63</w:t>
                    </w:r>
                    <w:r>
                      <w:fldChar w:fldCharType="end"/>
                    </w:r>
                    <w:r>
                      <w:rPr>
                        <w:rFonts w:hint="eastAsia"/>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center" w:y="1"/>
      <w:rPr>
        <w:rStyle w:val="73"/>
      </w:rPr>
    </w:pPr>
    <w:r>
      <w:fldChar w:fldCharType="begin"/>
    </w:r>
    <w:r>
      <w:rPr>
        <w:rStyle w:val="73"/>
      </w:rPr>
      <w:instrText xml:space="preserve">PAGE  </w:instrText>
    </w:r>
    <w:r>
      <w:fldChar w:fldCharType="end"/>
    </w:r>
  </w:p>
  <w:p>
    <w:pPr>
      <w:pStyle w:val="4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52"/>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jc w:val="both"/>
      <w:rPr>
        <w:rFonts w:hint="eastAsia" w:eastAsia="宋体"/>
        <w:sz w:val="21"/>
        <w:szCs w:val="21"/>
        <w:u w:val="single"/>
        <w:lang w:eastAsia="zh-CN"/>
      </w:rPr>
    </w:pPr>
    <w:r>
      <w:rPr>
        <w:rFonts w:hint="eastAsia" w:ascii="宋体" w:hAnsi="宋体" w:cs="宋体"/>
        <w:bCs/>
        <w:iCs/>
        <w:sz w:val="21"/>
        <w:szCs w:val="21"/>
        <w:u w:val="single"/>
      </w:rPr>
      <w:t xml:space="preserve">磋商文件                                              </w:t>
    </w:r>
    <w:r>
      <w:rPr>
        <w:rFonts w:hint="eastAsia" w:ascii="宋体" w:hAnsi="宋体" w:cs="宋体"/>
        <w:bCs/>
        <w:iCs/>
        <w:sz w:val="21"/>
        <w:szCs w:val="21"/>
        <w:u w:val="single"/>
        <w:lang w:eastAsia="zh-CN"/>
      </w:rPr>
      <w:t>青海天达工程管理有限公司</w:t>
    </w:r>
  </w:p>
  <w:p>
    <w:pPr>
      <w:pStyle w:val="44"/>
      <w:pBdr>
        <w:bottom w:val="none" w:color="auto" w:sz="0" w:space="0"/>
      </w:pBdr>
      <w:tabs>
        <w:tab w:val="left" w:pos="890"/>
        <w:tab w:val="clear" w:pos="4153"/>
      </w:tabs>
      <w:jc w:val="both"/>
      <w:rPr>
        <w:rFonts w:hint="eastAsia"/>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jc w:val="both"/>
      <w:rPr>
        <w:rFonts w:hint="eastAsia" w:ascii="宋体" w:hAnsi="宋体" w:cs="宋体"/>
        <w:bCs/>
        <w:iCs/>
        <w:sz w:val="21"/>
        <w:szCs w:val="21"/>
        <w:u w:val="single"/>
      </w:rPr>
    </w:pPr>
    <w:r>
      <w:rPr>
        <w:rFonts w:hint="eastAsia" w:ascii="宋体" w:hAnsi="宋体" w:cs="宋体"/>
        <w:bCs/>
        <w:iCs/>
        <w:sz w:val="21"/>
        <w:szCs w:val="21"/>
        <w:u w:val="single"/>
      </w:rPr>
      <w:t>2018年动物防疫项目经费-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jc w:val="both"/>
      <w:rPr>
        <w:rFonts w:hint="eastAsia" w:eastAsia="宋体"/>
        <w:sz w:val="21"/>
        <w:szCs w:val="21"/>
        <w:u w:val="single"/>
        <w:lang w:eastAsia="zh-CN"/>
      </w:rPr>
    </w:pPr>
    <w:r>
      <w:rPr>
        <w:rFonts w:hint="eastAsia" w:ascii="宋体" w:hAnsi="宋体" w:cs="宋体"/>
        <w:bCs/>
        <w:iCs/>
        <w:sz w:val="21"/>
        <w:szCs w:val="21"/>
        <w:u w:val="single"/>
      </w:rPr>
      <w:t xml:space="preserve">磋商文件                                                           </w:t>
    </w:r>
    <w:r>
      <w:rPr>
        <w:rFonts w:hint="eastAsia" w:ascii="宋体" w:hAnsi="宋体" w:cs="宋体"/>
        <w:bCs/>
        <w:iCs/>
        <w:sz w:val="21"/>
        <w:szCs w:val="21"/>
        <w:u w:val="single"/>
        <w:lang w:eastAsia="zh-CN"/>
      </w:rPr>
      <w:t>青海天达工程管理有限公司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5597E"/>
    <w:multiLevelType w:val="singleLevel"/>
    <w:tmpl w:val="B755597E"/>
    <w:lvl w:ilvl="0" w:tentative="0">
      <w:start w:val="8"/>
      <w:numFmt w:val="chineseCounting"/>
      <w:suff w:val="space"/>
      <w:lvlText w:val="第%1部分"/>
      <w:lvlJc w:val="left"/>
      <w:rPr>
        <w:rFonts w:hint="eastAsia"/>
      </w:rPr>
    </w:lvl>
  </w:abstractNum>
  <w:abstractNum w:abstractNumId="1">
    <w:nsid w:val="CC75E4E1"/>
    <w:multiLevelType w:val="singleLevel"/>
    <w:tmpl w:val="CC75E4E1"/>
    <w:lvl w:ilvl="0" w:tentative="0">
      <w:start w:val="1"/>
      <w:numFmt w:val="decimal"/>
      <w:lvlText w:val="%1."/>
      <w:lvlJc w:val="left"/>
      <w:pPr>
        <w:ind w:left="425" w:hanging="425"/>
      </w:pPr>
      <w:rPr>
        <w:rFonts w:hint="default"/>
      </w:rPr>
    </w:lvl>
  </w:abstractNum>
  <w:abstractNum w:abstractNumId="2">
    <w:nsid w:val="055F402C"/>
    <w:multiLevelType w:val="multilevel"/>
    <w:tmpl w:val="055F402C"/>
    <w:lvl w:ilvl="0" w:tentative="0">
      <w:start w:val="1"/>
      <w:numFmt w:val="decimal"/>
      <w:pStyle w:val="30"/>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7724F5B"/>
    <w:multiLevelType w:val="multilevel"/>
    <w:tmpl w:val="07724F5B"/>
    <w:lvl w:ilvl="0" w:tentative="0">
      <w:start w:val="1"/>
      <w:numFmt w:val="decimal"/>
      <w:pStyle w:val="120"/>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41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DB33CEE"/>
    <w:multiLevelType w:val="multilevel"/>
    <w:tmpl w:val="0DB33CEE"/>
    <w:lvl w:ilvl="0" w:tentative="0">
      <w:start w:val="1"/>
      <w:numFmt w:val="decimal"/>
      <w:pStyle w:val="33"/>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05E1B2A"/>
    <w:multiLevelType w:val="multilevel"/>
    <w:tmpl w:val="105E1B2A"/>
    <w:lvl w:ilvl="0" w:tentative="0">
      <w:start w:val="1"/>
      <w:numFmt w:val="japaneseCounting"/>
      <w:lvlText w:val="%1、"/>
      <w:lvlJc w:val="left"/>
      <w:pPr>
        <w:tabs>
          <w:tab w:val="left" w:pos="987"/>
        </w:tabs>
        <w:ind w:left="987" w:hanging="4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263"/>
        </w:tabs>
        <w:ind w:left="2263"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16DFCC43"/>
    <w:multiLevelType w:val="singleLevel"/>
    <w:tmpl w:val="16DFCC43"/>
    <w:lvl w:ilvl="0" w:tentative="0">
      <w:start w:val="1"/>
      <w:numFmt w:val="chineseCounting"/>
      <w:suff w:val="space"/>
      <w:lvlText w:val="第%1部分"/>
      <w:lvlJc w:val="left"/>
      <w:rPr>
        <w:rFonts w:hint="eastAsia"/>
      </w:rPr>
    </w:lvl>
  </w:abstractNum>
  <w:abstractNum w:abstractNumId="7">
    <w:nsid w:val="17DA37AD"/>
    <w:multiLevelType w:val="multilevel"/>
    <w:tmpl w:val="17DA37AD"/>
    <w:lvl w:ilvl="0" w:tentative="0">
      <w:start w:val="1"/>
      <w:numFmt w:val="decimal"/>
      <w:pStyle w:val="411"/>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BBA491D"/>
    <w:multiLevelType w:val="multilevel"/>
    <w:tmpl w:val="2BBA491D"/>
    <w:lvl w:ilvl="0" w:tentative="0">
      <w:start w:val="1"/>
      <w:numFmt w:val="decimal"/>
      <w:pStyle w:val="48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01F4884"/>
    <w:multiLevelType w:val="multilevel"/>
    <w:tmpl w:val="301F4884"/>
    <w:lvl w:ilvl="0" w:tentative="0">
      <w:start w:val="2"/>
      <w:numFmt w:val="decimal"/>
      <w:pStyle w:val="431"/>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0475716"/>
    <w:multiLevelType w:val="multilevel"/>
    <w:tmpl w:val="30475716"/>
    <w:lvl w:ilvl="0" w:tentative="0">
      <w:start w:val="3"/>
      <w:numFmt w:val="decimal"/>
      <w:pStyle w:val="18"/>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1">
    <w:nsid w:val="32EF3B4D"/>
    <w:multiLevelType w:val="multilevel"/>
    <w:tmpl w:val="32EF3B4D"/>
    <w:lvl w:ilvl="0" w:tentative="0">
      <w:start w:val="1"/>
      <w:numFmt w:val="decimal"/>
      <w:pStyle w:val="39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B0163A1"/>
    <w:multiLevelType w:val="multilevel"/>
    <w:tmpl w:val="3B0163A1"/>
    <w:lvl w:ilvl="0" w:tentative="0">
      <w:start w:val="1"/>
      <w:numFmt w:val="decimal"/>
      <w:lvlText w:val="%1."/>
      <w:lvlJc w:val="left"/>
      <w:pPr>
        <w:tabs>
          <w:tab w:val="left" w:pos="360"/>
        </w:tabs>
        <w:ind w:left="360" w:hanging="360"/>
      </w:pPr>
      <w:rPr>
        <w:rFonts w:hint="default"/>
      </w:rPr>
    </w:lvl>
    <w:lvl w:ilvl="1" w:tentative="0">
      <w:start w:val="1"/>
      <w:numFmt w:val="decimal"/>
      <w:pStyle w:val="327"/>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B12EC65"/>
    <w:multiLevelType w:val="singleLevel"/>
    <w:tmpl w:val="3B12EC65"/>
    <w:lvl w:ilvl="0" w:tentative="0">
      <w:start w:val="7"/>
      <w:numFmt w:val="chineseCounting"/>
      <w:suff w:val="nothing"/>
      <w:lvlText w:val="%1、"/>
      <w:lvlJc w:val="left"/>
      <w:rPr>
        <w:rFonts w:hint="eastAsia"/>
      </w:rPr>
    </w:lvl>
  </w:abstractNum>
  <w:abstractNum w:abstractNumId="14">
    <w:nsid w:val="40CF13D4"/>
    <w:multiLevelType w:val="multilevel"/>
    <w:tmpl w:val="40CF13D4"/>
    <w:lvl w:ilvl="0" w:tentative="0">
      <w:start w:val="1"/>
      <w:numFmt w:val="decimal"/>
      <w:pStyle w:val="513"/>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516"/>
      <w:lvlText w:val="%1.%2.%3."/>
      <w:lvlJc w:val="left"/>
      <w:pPr>
        <w:tabs>
          <w:tab w:val="left" w:pos="709"/>
        </w:tabs>
        <w:ind w:left="709" w:hanging="709"/>
      </w:pPr>
      <w:rPr>
        <w:rFonts w:hint="eastAsia"/>
      </w:rPr>
    </w:lvl>
    <w:lvl w:ilvl="3" w:tentative="0">
      <w:start w:val="1"/>
      <w:numFmt w:val="decimal"/>
      <w:pStyle w:val="54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10"/>
      <w:lvlText w:val="%1.%2.%3.%4.%5.%6."/>
      <w:lvlJc w:val="left"/>
      <w:pPr>
        <w:tabs>
          <w:tab w:val="left" w:pos="1134"/>
        </w:tabs>
        <w:ind w:left="1134" w:hanging="1134"/>
      </w:pPr>
      <w:rPr>
        <w:rFonts w:hint="eastAsia"/>
      </w:rPr>
    </w:lvl>
    <w:lvl w:ilvl="6" w:tentative="0">
      <w:start w:val="1"/>
      <w:numFmt w:val="decimal"/>
      <w:pStyle w:val="11"/>
      <w:lvlText w:val="%1.%2.%3.%4.%5.%6.%7."/>
      <w:lvlJc w:val="left"/>
      <w:pPr>
        <w:tabs>
          <w:tab w:val="left" w:pos="1276"/>
        </w:tabs>
        <w:ind w:left="1276" w:hanging="1276"/>
      </w:pPr>
      <w:rPr>
        <w:rFonts w:hint="eastAsia"/>
      </w:rPr>
    </w:lvl>
    <w:lvl w:ilvl="7" w:tentative="0">
      <w:start w:val="1"/>
      <w:numFmt w:val="decimal"/>
      <w:pStyle w:val="12"/>
      <w:lvlText w:val="%1.%2.%3.%4.%5.%6.%7.%8."/>
      <w:lvlJc w:val="left"/>
      <w:pPr>
        <w:tabs>
          <w:tab w:val="left" w:pos="1418"/>
        </w:tabs>
        <w:ind w:left="1418" w:hanging="1418"/>
      </w:pPr>
      <w:rPr>
        <w:rFonts w:hint="eastAsia"/>
      </w:rPr>
    </w:lvl>
    <w:lvl w:ilvl="8" w:tentative="0">
      <w:start w:val="1"/>
      <w:numFmt w:val="decimal"/>
      <w:pStyle w:val="13"/>
      <w:lvlText w:val="%1.%2.%3.%4.%5.%6.%7.%8.%9."/>
      <w:lvlJc w:val="left"/>
      <w:pPr>
        <w:tabs>
          <w:tab w:val="left" w:pos="1559"/>
        </w:tabs>
        <w:ind w:left="1559" w:hanging="1559"/>
      </w:pPr>
      <w:rPr>
        <w:rFonts w:hint="eastAsia"/>
      </w:rPr>
    </w:lvl>
  </w:abstractNum>
  <w:abstractNum w:abstractNumId="15">
    <w:nsid w:val="4208832A"/>
    <w:multiLevelType w:val="singleLevel"/>
    <w:tmpl w:val="4208832A"/>
    <w:lvl w:ilvl="0" w:tentative="0">
      <w:start w:val="1"/>
      <w:numFmt w:val="decimal"/>
      <w:suff w:val="space"/>
      <w:lvlText w:val="%1."/>
      <w:lvlJc w:val="left"/>
    </w:lvl>
  </w:abstractNum>
  <w:abstractNum w:abstractNumId="16">
    <w:nsid w:val="42E45F04"/>
    <w:multiLevelType w:val="multilevel"/>
    <w:tmpl w:val="42E45F04"/>
    <w:lvl w:ilvl="0" w:tentative="0">
      <w:start w:val="1"/>
      <w:numFmt w:val="decimal"/>
      <w:pStyle w:val="446"/>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8174DE5"/>
    <w:multiLevelType w:val="multilevel"/>
    <w:tmpl w:val="48174DE5"/>
    <w:lvl w:ilvl="0" w:tentative="0">
      <w:start w:val="1"/>
      <w:numFmt w:val="decimal"/>
      <w:pStyle w:val="30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4B9D13A2"/>
    <w:multiLevelType w:val="multilevel"/>
    <w:tmpl w:val="4B9D13A2"/>
    <w:lvl w:ilvl="0" w:tentative="0">
      <w:start w:val="1"/>
      <w:numFmt w:val="bullet"/>
      <w:pStyle w:val="56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52CC104B"/>
    <w:multiLevelType w:val="multilevel"/>
    <w:tmpl w:val="52CC104B"/>
    <w:lvl w:ilvl="0" w:tentative="0">
      <w:start w:val="1"/>
      <w:numFmt w:val="decimal"/>
      <w:pStyle w:val="620"/>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D1D48D6"/>
    <w:multiLevelType w:val="multilevel"/>
    <w:tmpl w:val="6D1D48D6"/>
    <w:lvl w:ilvl="0" w:tentative="0">
      <w:start w:val="1"/>
      <w:numFmt w:val="decimal"/>
      <w:pStyle w:val="653"/>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E2143A3"/>
    <w:multiLevelType w:val="multilevel"/>
    <w:tmpl w:val="6E2143A3"/>
    <w:lvl w:ilvl="0" w:tentative="0">
      <w:start w:val="1"/>
      <w:numFmt w:val="bullet"/>
      <w:pStyle w:val="564"/>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22">
    <w:nsid w:val="6FB24F5A"/>
    <w:multiLevelType w:val="multilevel"/>
    <w:tmpl w:val="6FB24F5A"/>
    <w:lvl w:ilvl="0" w:tentative="0">
      <w:start w:val="1"/>
      <w:numFmt w:val="decimal"/>
      <w:pStyle w:val="2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45003A2"/>
    <w:multiLevelType w:val="singleLevel"/>
    <w:tmpl w:val="745003A2"/>
    <w:lvl w:ilvl="0" w:tentative="0">
      <w:start w:val="1"/>
      <w:numFmt w:val="bullet"/>
      <w:pStyle w:val="8"/>
      <w:lvlText w:val=""/>
      <w:lvlJc w:val="left"/>
      <w:pPr>
        <w:tabs>
          <w:tab w:val="left" w:pos="425"/>
        </w:tabs>
        <w:ind w:left="425" w:hanging="425"/>
      </w:pPr>
      <w:rPr>
        <w:rFonts w:hint="default" w:ascii="Wingdings" w:hAnsi="Wingdings"/>
      </w:rPr>
    </w:lvl>
  </w:abstractNum>
  <w:abstractNum w:abstractNumId="24">
    <w:nsid w:val="7B151701"/>
    <w:multiLevelType w:val="multilevel"/>
    <w:tmpl w:val="7B151701"/>
    <w:lvl w:ilvl="0" w:tentative="0">
      <w:start w:val="1"/>
      <w:numFmt w:val="decimal"/>
      <w:lvlText w:val="%1."/>
      <w:lvlJc w:val="left"/>
      <w:pPr>
        <w:tabs>
          <w:tab w:val="left" w:pos="0"/>
        </w:tabs>
        <w:ind w:left="420" w:hanging="420"/>
      </w:pPr>
      <w:rPr>
        <w:rFonts w:hint="eastAsia"/>
      </w:rPr>
    </w:lvl>
    <w:lvl w:ilvl="1" w:tentative="0">
      <w:start w:val="1"/>
      <w:numFmt w:val="decimal"/>
      <w:pStyle w:val="373"/>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3"/>
  </w:num>
  <w:num w:numId="2">
    <w:abstractNumId w:val="14"/>
  </w:num>
  <w:num w:numId="3">
    <w:abstractNumId w:val="10"/>
  </w:num>
  <w:num w:numId="4">
    <w:abstractNumId w:val="22"/>
  </w:num>
  <w:num w:numId="5">
    <w:abstractNumId w:val="2"/>
  </w:num>
  <w:num w:numId="6">
    <w:abstractNumId w:val="4"/>
  </w:num>
  <w:num w:numId="7">
    <w:abstractNumId w:val="3"/>
  </w:num>
  <w:num w:numId="8">
    <w:abstractNumId w:val="17"/>
  </w:num>
  <w:num w:numId="9">
    <w:abstractNumId w:val="12"/>
  </w:num>
  <w:num w:numId="10">
    <w:abstractNumId w:val="24"/>
  </w:num>
  <w:num w:numId="11">
    <w:abstractNumId w:val="11"/>
  </w:num>
  <w:num w:numId="12">
    <w:abstractNumId w:val="7"/>
  </w:num>
  <w:num w:numId="13">
    <w:abstractNumId w:val="9"/>
  </w:num>
  <w:num w:numId="14">
    <w:abstractNumId w:val="16"/>
  </w:num>
  <w:num w:numId="15">
    <w:abstractNumId w:val="8"/>
  </w:num>
  <w:num w:numId="16">
    <w:abstractNumId w:val="21"/>
  </w:num>
  <w:num w:numId="17">
    <w:abstractNumId w:val="18"/>
  </w:num>
  <w:num w:numId="18">
    <w:abstractNumId w:val="19"/>
  </w:num>
  <w:num w:numId="19">
    <w:abstractNumId w:val="20"/>
  </w:num>
  <w:num w:numId="20">
    <w:abstractNumId w:val="6"/>
  </w:num>
  <w:num w:numId="21">
    <w:abstractNumId w:val="13"/>
  </w:num>
  <w:num w:numId="22">
    <w:abstractNumId w:val="1"/>
  </w:num>
  <w:num w:numId="23">
    <w:abstractNumId w:val="15"/>
  </w:num>
  <w:num w:numId="24">
    <w:abstractNumId w:val="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YWEyNWUzMjRhZjFkMWE1ZDYwYTQyOTY1ODg0YjkifQ=="/>
  </w:docVars>
  <w:rsids>
    <w:rsidRoot w:val="004628C5"/>
    <w:rsid w:val="000001E0"/>
    <w:rsid w:val="00000746"/>
    <w:rsid w:val="000013AB"/>
    <w:rsid w:val="00001A2C"/>
    <w:rsid w:val="00002278"/>
    <w:rsid w:val="0000256F"/>
    <w:rsid w:val="0000264D"/>
    <w:rsid w:val="00002DCA"/>
    <w:rsid w:val="00003CF2"/>
    <w:rsid w:val="000044F0"/>
    <w:rsid w:val="00004FB9"/>
    <w:rsid w:val="000053FD"/>
    <w:rsid w:val="0000550B"/>
    <w:rsid w:val="00005BC3"/>
    <w:rsid w:val="0000612D"/>
    <w:rsid w:val="00006311"/>
    <w:rsid w:val="000063FC"/>
    <w:rsid w:val="00006706"/>
    <w:rsid w:val="000068DC"/>
    <w:rsid w:val="000070B2"/>
    <w:rsid w:val="00007563"/>
    <w:rsid w:val="00007775"/>
    <w:rsid w:val="00007928"/>
    <w:rsid w:val="00007F50"/>
    <w:rsid w:val="00010F47"/>
    <w:rsid w:val="000112AD"/>
    <w:rsid w:val="00011D33"/>
    <w:rsid w:val="00012406"/>
    <w:rsid w:val="00013588"/>
    <w:rsid w:val="000137E6"/>
    <w:rsid w:val="00013852"/>
    <w:rsid w:val="00013F84"/>
    <w:rsid w:val="000144B2"/>
    <w:rsid w:val="000144CA"/>
    <w:rsid w:val="00014932"/>
    <w:rsid w:val="00014B09"/>
    <w:rsid w:val="000150CC"/>
    <w:rsid w:val="000151AA"/>
    <w:rsid w:val="00015332"/>
    <w:rsid w:val="0001548F"/>
    <w:rsid w:val="000154B4"/>
    <w:rsid w:val="00016525"/>
    <w:rsid w:val="00016721"/>
    <w:rsid w:val="000169A5"/>
    <w:rsid w:val="000169E9"/>
    <w:rsid w:val="00016F6B"/>
    <w:rsid w:val="000171FA"/>
    <w:rsid w:val="00017B5B"/>
    <w:rsid w:val="000212C7"/>
    <w:rsid w:val="00021783"/>
    <w:rsid w:val="00021933"/>
    <w:rsid w:val="00021B4F"/>
    <w:rsid w:val="00021DC0"/>
    <w:rsid w:val="00023528"/>
    <w:rsid w:val="00023DC5"/>
    <w:rsid w:val="000242A3"/>
    <w:rsid w:val="0002638E"/>
    <w:rsid w:val="00026C47"/>
    <w:rsid w:val="00026CC6"/>
    <w:rsid w:val="00027E5E"/>
    <w:rsid w:val="000301AB"/>
    <w:rsid w:val="00030BA5"/>
    <w:rsid w:val="00031147"/>
    <w:rsid w:val="000311F8"/>
    <w:rsid w:val="0003123D"/>
    <w:rsid w:val="00031DFF"/>
    <w:rsid w:val="00031E8B"/>
    <w:rsid w:val="00031F44"/>
    <w:rsid w:val="000322FE"/>
    <w:rsid w:val="00033296"/>
    <w:rsid w:val="0003355D"/>
    <w:rsid w:val="00033BFE"/>
    <w:rsid w:val="00033C87"/>
    <w:rsid w:val="00034389"/>
    <w:rsid w:val="00035732"/>
    <w:rsid w:val="00035818"/>
    <w:rsid w:val="00035A66"/>
    <w:rsid w:val="00035E9D"/>
    <w:rsid w:val="00035FDE"/>
    <w:rsid w:val="00036537"/>
    <w:rsid w:val="00036C01"/>
    <w:rsid w:val="0003780A"/>
    <w:rsid w:val="00037932"/>
    <w:rsid w:val="000401E4"/>
    <w:rsid w:val="00040410"/>
    <w:rsid w:val="00040BB5"/>
    <w:rsid w:val="000414F9"/>
    <w:rsid w:val="00041D3E"/>
    <w:rsid w:val="0004220C"/>
    <w:rsid w:val="0004260C"/>
    <w:rsid w:val="00042651"/>
    <w:rsid w:val="00042968"/>
    <w:rsid w:val="00042F55"/>
    <w:rsid w:val="0004320B"/>
    <w:rsid w:val="00043FF4"/>
    <w:rsid w:val="0004474D"/>
    <w:rsid w:val="00045006"/>
    <w:rsid w:val="00046120"/>
    <w:rsid w:val="00047B79"/>
    <w:rsid w:val="00047C73"/>
    <w:rsid w:val="00047C9F"/>
    <w:rsid w:val="00050627"/>
    <w:rsid w:val="000519C0"/>
    <w:rsid w:val="00051A11"/>
    <w:rsid w:val="00051E60"/>
    <w:rsid w:val="00051F1A"/>
    <w:rsid w:val="00052D5A"/>
    <w:rsid w:val="00053186"/>
    <w:rsid w:val="00053283"/>
    <w:rsid w:val="0005355F"/>
    <w:rsid w:val="00053839"/>
    <w:rsid w:val="0005392D"/>
    <w:rsid w:val="00053A73"/>
    <w:rsid w:val="00053A78"/>
    <w:rsid w:val="00054038"/>
    <w:rsid w:val="00054700"/>
    <w:rsid w:val="0005480D"/>
    <w:rsid w:val="0005507B"/>
    <w:rsid w:val="0005540E"/>
    <w:rsid w:val="00056B12"/>
    <w:rsid w:val="00057BAF"/>
    <w:rsid w:val="00057FCA"/>
    <w:rsid w:val="00057FDE"/>
    <w:rsid w:val="0006037A"/>
    <w:rsid w:val="00060406"/>
    <w:rsid w:val="00061695"/>
    <w:rsid w:val="000618EF"/>
    <w:rsid w:val="00061CB9"/>
    <w:rsid w:val="00063062"/>
    <w:rsid w:val="000630A7"/>
    <w:rsid w:val="00063589"/>
    <w:rsid w:val="000640D1"/>
    <w:rsid w:val="00064922"/>
    <w:rsid w:val="00064B14"/>
    <w:rsid w:val="0006570C"/>
    <w:rsid w:val="00065E98"/>
    <w:rsid w:val="00066284"/>
    <w:rsid w:val="000663FF"/>
    <w:rsid w:val="00066979"/>
    <w:rsid w:val="00066A24"/>
    <w:rsid w:val="000674A4"/>
    <w:rsid w:val="00067A81"/>
    <w:rsid w:val="00070201"/>
    <w:rsid w:val="00070E61"/>
    <w:rsid w:val="00070E6C"/>
    <w:rsid w:val="000724D0"/>
    <w:rsid w:val="00072AC0"/>
    <w:rsid w:val="000736D2"/>
    <w:rsid w:val="00075741"/>
    <w:rsid w:val="0007617B"/>
    <w:rsid w:val="00076D49"/>
    <w:rsid w:val="0007705C"/>
    <w:rsid w:val="00077C83"/>
    <w:rsid w:val="00080956"/>
    <w:rsid w:val="00081135"/>
    <w:rsid w:val="00081C9D"/>
    <w:rsid w:val="00081EAF"/>
    <w:rsid w:val="00081FB2"/>
    <w:rsid w:val="00081FB4"/>
    <w:rsid w:val="000820D0"/>
    <w:rsid w:val="00082BF7"/>
    <w:rsid w:val="00083F2F"/>
    <w:rsid w:val="00084961"/>
    <w:rsid w:val="00084C48"/>
    <w:rsid w:val="00085242"/>
    <w:rsid w:val="000874A2"/>
    <w:rsid w:val="00090431"/>
    <w:rsid w:val="000915CE"/>
    <w:rsid w:val="00091BF6"/>
    <w:rsid w:val="00091DEC"/>
    <w:rsid w:val="0009259B"/>
    <w:rsid w:val="000928FE"/>
    <w:rsid w:val="00092B8B"/>
    <w:rsid w:val="00092C65"/>
    <w:rsid w:val="00092D2F"/>
    <w:rsid w:val="00093271"/>
    <w:rsid w:val="00093296"/>
    <w:rsid w:val="00093587"/>
    <w:rsid w:val="00093898"/>
    <w:rsid w:val="00093A1B"/>
    <w:rsid w:val="00093C64"/>
    <w:rsid w:val="00093FD2"/>
    <w:rsid w:val="00094478"/>
    <w:rsid w:val="00094DC3"/>
    <w:rsid w:val="00095020"/>
    <w:rsid w:val="00095278"/>
    <w:rsid w:val="0009531E"/>
    <w:rsid w:val="0009550D"/>
    <w:rsid w:val="00095877"/>
    <w:rsid w:val="00095B48"/>
    <w:rsid w:val="000960A7"/>
    <w:rsid w:val="00096505"/>
    <w:rsid w:val="00096DBB"/>
    <w:rsid w:val="00097AC9"/>
    <w:rsid w:val="00097D7D"/>
    <w:rsid w:val="000A039D"/>
    <w:rsid w:val="000A0C96"/>
    <w:rsid w:val="000A10DB"/>
    <w:rsid w:val="000A14C1"/>
    <w:rsid w:val="000A177E"/>
    <w:rsid w:val="000A379F"/>
    <w:rsid w:val="000A4075"/>
    <w:rsid w:val="000A428F"/>
    <w:rsid w:val="000A62D3"/>
    <w:rsid w:val="000A63A1"/>
    <w:rsid w:val="000A6D0E"/>
    <w:rsid w:val="000A7199"/>
    <w:rsid w:val="000A7208"/>
    <w:rsid w:val="000A729D"/>
    <w:rsid w:val="000B0960"/>
    <w:rsid w:val="000B09E7"/>
    <w:rsid w:val="000B0B7D"/>
    <w:rsid w:val="000B10BB"/>
    <w:rsid w:val="000B1274"/>
    <w:rsid w:val="000B2DB8"/>
    <w:rsid w:val="000B3571"/>
    <w:rsid w:val="000B421F"/>
    <w:rsid w:val="000B45C4"/>
    <w:rsid w:val="000B5E39"/>
    <w:rsid w:val="000B5F3D"/>
    <w:rsid w:val="000B6AE6"/>
    <w:rsid w:val="000B6CD5"/>
    <w:rsid w:val="000B7839"/>
    <w:rsid w:val="000B798C"/>
    <w:rsid w:val="000B7C3D"/>
    <w:rsid w:val="000B7DC1"/>
    <w:rsid w:val="000B7E37"/>
    <w:rsid w:val="000B7EFB"/>
    <w:rsid w:val="000C0585"/>
    <w:rsid w:val="000C0AA7"/>
    <w:rsid w:val="000C0AFA"/>
    <w:rsid w:val="000C0CF4"/>
    <w:rsid w:val="000C1358"/>
    <w:rsid w:val="000C1AAA"/>
    <w:rsid w:val="000C1ADB"/>
    <w:rsid w:val="000C2689"/>
    <w:rsid w:val="000C2E6A"/>
    <w:rsid w:val="000C30B1"/>
    <w:rsid w:val="000C345F"/>
    <w:rsid w:val="000C3BED"/>
    <w:rsid w:val="000C4019"/>
    <w:rsid w:val="000C49A4"/>
    <w:rsid w:val="000C4EBB"/>
    <w:rsid w:val="000C57FC"/>
    <w:rsid w:val="000C5D53"/>
    <w:rsid w:val="000C6FFD"/>
    <w:rsid w:val="000C7692"/>
    <w:rsid w:val="000C7E5F"/>
    <w:rsid w:val="000C7FED"/>
    <w:rsid w:val="000D040B"/>
    <w:rsid w:val="000D13D0"/>
    <w:rsid w:val="000D1DAF"/>
    <w:rsid w:val="000D217B"/>
    <w:rsid w:val="000D23F6"/>
    <w:rsid w:val="000D2B63"/>
    <w:rsid w:val="000D3CFE"/>
    <w:rsid w:val="000D4D68"/>
    <w:rsid w:val="000D4D96"/>
    <w:rsid w:val="000D515A"/>
    <w:rsid w:val="000D603F"/>
    <w:rsid w:val="000D69F3"/>
    <w:rsid w:val="000D6A43"/>
    <w:rsid w:val="000D6AC3"/>
    <w:rsid w:val="000D702C"/>
    <w:rsid w:val="000D711B"/>
    <w:rsid w:val="000D73B6"/>
    <w:rsid w:val="000D78D7"/>
    <w:rsid w:val="000E00CB"/>
    <w:rsid w:val="000E10EF"/>
    <w:rsid w:val="000E1348"/>
    <w:rsid w:val="000E1725"/>
    <w:rsid w:val="000E1E21"/>
    <w:rsid w:val="000E1EC1"/>
    <w:rsid w:val="000E21E3"/>
    <w:rsid w:val="000E22C5"/>
    <w:rsid w:val="000E2C45"/>
    <w:rsid w:val="000E2D65"/>
    <w:rsid w:val="000E335F"/>
    <w:rsid w:val="000E37C1"/>
    <w:rsid w:val="000E3818"/>
    <w:rsid w:val="000E3AC6"/>
    <w:rsid w:val="000E421A"/>
    <w:rsid w:val="000E4FC1"/>
    <w:rsid w:val="000E5577"/>
    <w:rsid w:val="000E5680"/>
    <w:rsid w:val="000E576C"/>
    <w:rsid w:val="000E5B00"/>
    <w:rsid w:val="000E639F"/>
    <w:rsid w:val="000E6AEC"/>
    <w:rsid w:val="000E7759"/>
    <w:rsid w:val="000E7999"/>
    <w:rsid w:val="000E7BAE"/>
    <w:rsid w:val="000F061B"/>
    <w:rsid w:val="000F0E2F"/>
    <w:rsid w:val="000F1292"/>
    <w:rsid w:val="000F1C14"/>
    <w:rsid w:val="000F1F1F"/>
    <w:rsid w:val="000F2300"/>
    <w:rsid w:val="000F367E"/>
    <w:rsid w:val="000F390A"/>
    <w:rsid w:val="000F439B"/>
    <w:rsid w:val="000F49EA"/>
    <w:rsid w:val="000F5D22"/>
    <w:rsid w:val="000F5ED3"/>
    <w:rsid w:val="000F6620"/>
    <w:rsid w:val="000F68BD"/>
    <w:rsid w:val="000F695B"/>
    <w:rsid w:val="000F6D69"/>
    <w:rsid w:val="000F6E2E"/>
    <w:rsid w:val="000F7564"/>
    <w:rsid w:val="000F7830"/>
    <w:rsid w:val="000F7CCD"/>
    <w:rsid w:val="00100994"/>
    <w:rsid w:val="00100A04"/>
    <w:rsid w:val="00102925"/>
    <w:rsid w:val="001032CA"/>
    <w:rsid w:val="001035E1"/>
    <w:rsid w:val="001043B9"/>
    <w:rsid w:val="00105532"/>
    <w:rsid w:val="001062C9"/>
    <w:rsid w:val="001063F9"/>
    <w:rsid w:val="0010671E"/>
    <w:rsid w:val="0010673D"/>
    <w:rsid w:val="00107540"/>
    <w:rsid w:val="0010761D"/>
    <w:rsid w:val="0011115E"/>
    <w:rsid w:val="00111798"/>
    <w:rsid w:val="00111C62"/>
    <w:rsid w:val="001122C3"/>
    <w:rsid w:val="00113DF4"/>
    <w:rsid w:val="00114D8F"/>
    <w:rsid w:val="00114F73"/>
    <w:rsid w:val="001162B8"/>
    <w:rsid w:val="001164DD"/>
    <w:rsid w:val="00116630"/>
    <w:rsid w:val="00116A00"/>
    <w:rsid w:val="00116B6E"/>
    <w:rsid w:val="00117591"/>
    <w:rsid w:val="00120694"/>
    <w:rsid w:val="001212F5"/>
    <w:rsid w:val="00121664"/>
    <w:rsid w:val="00121B85"/>
    <w:rsid w:val="00121E92"/>
    <w:rsid w:val="00122A47"/>
    <w:rsid w:val="00123E2B"/>
    <w:rsid w:val="00124017"/>
    <w:rsid w:val="001247FA"/>
    <w:rsid w:val="00124E0D"/>
    <w:rsid w:val="00125384"/>
    <w:rsid w:val="001253B2"/>
    <w:rsid w:val="00125451"/>
    <w:rsid w:val="00125868"/>
    <w:rsid w:val="001259D2"/>
    <w:rsid w:val="001259DD"/>
    <w:rsid w:val="00125D69"/>
    <w:rsid w:val="001269F7"/>
    <w:rsid w:val="00126B0D"/>
    <w:rsid w:val="00126F59"/>
    <w:rsid w:val="00127858"/>
    <w:rsid w:val="001304E8"/>
    <w:rsid w:val="0013065E"/>
    <w:rsid w:val="00131857"/>
    <w:rsid w:val="00131D36"/>
    <w:rsid w:val="00131DDC"/>
    <w:rsid w:val="0013212D"/>
    <w:rsid w:val="00132576"/>
    <w:rsid w:val="00132A34"/>
    <w:rsid w:val="00132B7C"/>
    <w:rsid w:val="00132F05"/>
    <w:rsid w:val="001334F0"/>
    <w:rsid w:val="00133816"/>
    <w:rsid w:val="00134E72"/>
    <w:rsid w:val="001356A0"/>
    <w:rsid w:val="00135F87"/>
    <w:rsid w:val="001364F7"/>
    <w:rsid w:val="001366F8"/>
    <w:rsid w:val="001369B1"/>
    <w:rsid w:val="00136BCF"/>
    <w:rsid w:val="00137C58"/>
    <w:rsid w:val="00140119"/>
    <w:rsid w:val="00140514"/>
    <w:rsid w:val="00140FD3"/>
    <w:rsid w:val="0014168D"/>
    <w:rsid w:val="0014180D"/>
    <w:rsid w:val="001421A7"/>
    <w:rsid w:val="00142F51"/>
    <w:rsid w:val="001439D5"/>
    <w:rsid w:val="00143AAC"/>
    <w:rsid w:val="00146F6A"/>
    <w:rsid w:val="00147567"/>
    <w:rsid w:val="00147C57"/>
    <w:rsid w:val="00150A4A"/>
    <w:rsid w:val="001512A3"/>
    <w:rsid w:val="00151E29"/>
    <w:rsid w:val="00152D67"/>
    <w:rsid w:val="001531DD"/>
    <w:rsid w:val="0015334C"/>
    <w:rsid w:val="00153C6A"/>
    <w:rsid w:val="00154019"/>
    <w:rsid w:val="001544D2"/>
    <w:rsid w:val="001548DF"/>
    <w:rsid w:val="00154C69"/>
    <w:rsid w:val="00155186"/>
    <w:rsid w:val="00155AF1"/>
    <w:rsid w:val="00155BC4"/>
    <w:rsid w:val="0015606D"/>
    <w:rsid w:val="0015699A"/>
    <w:rsid w:val="00156C8C"/>
    <w:rsid w:val="00156DAD"/>
    <w:rsid w:val="001577BD"/>
    <w:rsid w:val="00157A77"/>
    <w:rsid w:val="00157C01"/>
    <w:rsid w:val="00160273"/>
    <w:rsid w:val="00160CE4"/>
    <w:rsid w:val="00160D32"/>
    <w:rsid w:val="00160D5E"/>
    <w:rsid w:val="001610DE"/>
    <w:rsid w:val="001610E9"/>
    <w:rsid w:val="00161AB7"/>
    <w:rsid w:val="00161EA7"/>
    <w:rsid w:val="001622C9"/>
    <w:rsid w:val="00162845"/>
    <w:rsid w:val="001629CA"/>
    <w:rsid w:val="00162E5A"/>
    <w:rsid w:val="001630C3"/>
    <w:rsid w:val="00163600"/>
    <w:rsid w:val="001648CE"/>
    <w:rsid w:val="00164BED"/>
    <w:rsid w:val="00164D11"/>
    <w:rsid w:val="00164DE7"/>
    <w:rsid w:val="00165A83"/>
    <w:rsid w:val="00165FD1"/>
    <w:rsid w:val="00166289"/>
    <w:rsid w:val="00166389"/>
    <w:rsid w:val="00166721"/>
    <w:rsid w:val="00166AF4"/>
    <w:rsid w:val="00166FA0"/>
    <w:rsid w:val="001677CB"/>
    <w:rsid w:val="00170319"/>
    <w:rsid w:val="00170E26"/>
    <w:rsid w:val="0017132A"/>
    <w:rsid w:val="0017145D"/>
    <w:rsid w:val="00172AA6"/>
    <w:rsid w:val="00172D73"/>
    <w:rsid w:val="00173698"/>
    <w:rsid w:val="00173C0C"/>
    <w:rsid w:val="001743B8"/>
    <w:rsid w:val="0017462E"/>
    <w:rsid w:val="0017473D"/>
    <w:rsid w:val="0017496C"/>
    <w:rsid w:val="00174A35"/>
    <w:rsid w:val="001769D5"/>
    <w:rsid w:val="00176D17"/>
    <w:rsid w:val="00176F3F"/>
    <w:rsid w:val="001772F7"/>
    <w:rsid w:val="0017778F"/>
    <w:rsid w:val="00177F50"/>
    <w:rsid w:val="001801C9"/>
    <w:rsid w:val="001808F0"/>
    <w:rsid w:val="0018152F"/>
    <w:rsid w:val="00181817"/>
    <w:rsid w:val="0018282A"/>
    <w:rsid w:val="00182960"/>
    <w:rsid w:val="001829AB"/>
    <w:rsid w:val="00182CBF"/>
    <w:rsid w:val="001845B2"/>
    <w:rsid w:val="0018503D"/>
    <w:rsid w:val="001856E1"/>
    <w:rsid w:val="0018587A"/>
    <w:rsid w:val="00186649"/>
    <w:rsid w:val="00187575"/>
    <w:rsid w:val="00187A50"/>
    <w:rsid w:val="001905CF"/>
    <w:rsid w:val="00190B83"/>
    <w:rsid w:val="00190C10"/>
    <w:rsid w:val="001917A3"/>
    <w:rsid w:val="00191D1F"/>
    <w:rsid w:val="00191FA3"/>
    <w:rsid w:val="0019271B"/>
    <w:rsid w:val="00192A7B"/>
    <w:rsid w:val="00192B6D"/>
    <w:rsid w:val="00192D1D"/>
    <w:rsid w:val="00193780"/>
    <w:rsid w:val="00193F3C"/>
    <w:rsid w:val="001953A5"/>
    <w:rsid w:val="00196565"/>
    <w:rsid w:val="001968A7"/>
    <w:rsid w:val="00197B52"/>
    <w:rsid w:val="001A0899"/>
    <w:rsid w:val="001A0D01"/>
    <w:rsid w:val="001A1634"/>
    <w:rsid w:val="001A1681"/>
    <w:rsid w:val="001A1A31"/>
    <w:rsid w:val="001A1FEA"/>
    <w:rsid w:val="001A2E29"/>
    <w:rsid w:val="001A2F5F"/>
    <w:rsid w:val="001A4A40"/>
    <w:rsid w:val="001A4A84"/>
    <w:rsid w:val="001A615A"/>
    <w:rsid w:val="001A63A0"/>
    <w:rsid w:val="001A6C57"/>
    <w:rsid w:val="001A7254"/>
    <w:rsid w:val="001A7497"/>
    <w:rsid w:val="001A7D5D"/>
    <w:rsid w:val="001B091E"/>
    <w:rsid w:val="001B1133"/>
    <w:rsid w:val="001B16B6"/>
    <w:rsid w:val="001B1880"/>
    <w:rsid w:val="001B21A5"/>
    <w:rsid w:val="001B25E8"/>
    <w:rsid w:val="001B2A66"/>
    <w:rsid w:val="001B2BA3"/>
    <w:rsid w:val="001B333B"/>
    <w:rsid w:val="001B35F1"/>
    <w:rsid w:val="001B44E5"/>
    <w:rsid w:val="001B4B2D"/>
    <w:rsid w:val="001B53E9"/>
    <w:rsid w:val="001B5722"/>
    <w:rsid w:val="001B57C5"/>
    <w:rsid w:val="001B5EC9"/>
    <w:rsid w:val="001B6366"/>
    <w:rsid w:val="001B6B00"/>
    <w:rsid w:val="001B7422"/>
    <w:rsid w:val="001B7A94"/>
    <w:rsid w:val="001C008F"/>
    <w:rsid w:val="001C02DA"/>
    <w:rsid w:val="001C051D"/>
    <w:rsid w:val="001C07C1"/>
    <w:rsid w:val="001C083C"/>
    <w:rsid w:val="001C1519"/>
    <w:rsid w:val="001C1946"/>
    <w:rsid w:val="001C19BA"/>
    <w:rsid w:val="001C1E3F"/>
    <w:rsid w:val="001C278B"/>
    <w:rsid w:val="001C2A8F"/>
    <w:rsid w:val="001C3023"/>
    <w:rsid w:val="001C33E0"/>
    <w:rsid w:val="001C425D"/>
    <w:rsid w:val="001C44C3"/>
    <w:rsid w:val="001C5505"/>
    <w:rsid w:val="001C58F7"/>
    <w:rsid w:val="001C603A"/>
    <w:rsid w:val="001C608E"/>
    <w:rsid w:val="001C704E"/>
    <w:rsid w:val="001C74AA"/>
    <w:rsid w:val="001C7F97"/>
    <w:rsid w:val="001D06EC"/>
    <w:rsid w:val="001D0F25"/>
    <w:rsid w:val="001D13C3"/>
    <w:rsid w:val="001D22E9"/>
    <w:rsid w:val="001D3170"/>
    <w:rsid w:val="001D3A06"/>
    <w:rsid w:val="001D43F7"/>
    <w:rsid w:val="001D471D"/>
    <w:rsid w:val="001D4DD4"/>
    <w:rsid w:val="001D5246"/>
    <w:rsid w:val="001D5317"/>
    <w:rsid w:val="001D5407"/>
    <w:rsid w:val="001D5955"/>
    <w:rsid w:val="001D5F91"/>
    <w:rsid w:val="001D6C92"/>
    <w:rsid w:val="001D71C4"/>
    <w:rsid w:val="001E013C"/>
    <w:rsid w:val="001E0F66"/>
    <w:rsid w:val="001E1274"/>
    <w:rsid w:val="001E1432"/>
    <w:rsid w:val="001E2113"/>
    <w:rsid w:val="001E25D1"/>
    <w:rsid w:val="001E2EC8"/>
    <w:rsid w:val="001E2F85"/>
    <w:rsid w:val="001E33DD"/>
    <w:rsid w:val="001E36DD"/>
    <w:rsid w:val="001E3C17"/>
    <w:rsid w:val="001E41C4"/>
    <w:rsid w:val="001E4305"/>
    <w:rsid w:val="001E4F53"/>
    <w:rsid w:val="001E5F67"/>
    <w:rsid w:val="001E676E"/>
    <w:rsid w:val="001E7DAE"/>
    <w:rsid w:val="001F0B3F"/>
    <w:rsid w:val="001F1F8D"/>
    <w:rsid w:val="001F227B"/>
    <w:rsid w:val="001F3470"/>
    <w:rsid w:val="001F3581"/>
    <w:rsid w:val="001F40E4"/>
    <w:rsid w:val="001F55A3"/>
    <w:rsid w:val="001F5EE5"/>
    <w:rsid w:val="001F6396"/>
    <w:rsid w:val="001F6C14"/>
    <w:rsid w:val="001F732C"/>
    <w:rsid w:val="00200401"/>
    <w:rsid w:val="0020042C"/>
    <w:rsid w:val="00200AC3"/>
    <w:rsid w:val="00200B7D"/>
    <w:rsid w:val="002014A4"/>
    <w:rsid w:val="00201605"/>
    <w:rsid w:val="00202589"/>
    <w:rsid w:val="00202C62"/>
    <w:rsid w:val="00203BBD"/>
    <w:rsid w:val="002042CF"/>
    <w:rsid w:val="002045D8"/>
    <w:rsid w:val="002047F4"/>
    <w:rsid w:val="00204907"/>
    <w:rsid w:val="00205BDC"/>
    <w:rsid w:val="00205DCB"/>
    <w:rsid w:val="00206641"/>
    <w:rsid w:val="002077B0"/>
    <w:rsid w:val="00210017"/>
    <w:rsid w:val="00211184"/>
    <w:rsid w:val="00211232"/>
    <w:rsid w:val="002116A8"/>
    <w:rsid w:val="00211A17"/>
    <w:rsid w:val="00211B8D"/>
    <w:rsid w:val="00211E71"/>
    <w:rsid w:val="00212536"/>
    <w:rsid w:val="00213A35"/>
    <w:rsid w:val="00213FFA"/>
    <w:rsid w:val="00215289"/>
    <w:rsid w:val="00215F9A"/>
    <w:rsid w:val="0021645A"/>
    <w:rsid w:val="00216ACB"/>
    <w:rsid w:val="0021788B"/>
    <w:rsid w:val="0022018F"/>
    <w:rsid w:val="00220584"/>
    <w:rsid w:val="00220627"/>
    <w:rsid w:val="00220B6F"/>
    <w:rsid w:val="00220E17"/>
    <w:rsid w:val="00220E69"/>
    <w:rsid w:val="00221108"/>
    <w:rsid w:val="00221462"/>
    <w:rsid w:val="0022155C"/>
    <w:rsid w:val="00222219"/>
    <w:rsid w:val="00222551"/>
    <w:rsid w:val="00222587"/>
    <w:rsid w:val="0022345B"/>
    <w:rsid w:val="002235BB"/>
    <w:rsid w:val="002237A6"/>
    <w:rsid w:val="00223892"/>
    <w:rsid w:val="00223921"/>
    <w:rsid w:val="00223AD1"/>
    <w:rsid w:val="00223B10"/>
    <w:rsid w:val="00223F72"/>
    <w:rsid w:val="00225324"/>
    <w:rsid w:val="002254E8"/>
    <w:rsid w:val="00225BB6"/>
    <w:rsid w:val="00225BFA"/>
    <w:rsid w:val="002266C3"/>
    <w:rsid w:val="00226B52"/>
    <w:rsid w:val="00226C1B"/>
    <w:rsid w:val="002270EC"/>
    <w:rsid w:val="002276A4"/>
    <w:rsid w:val="00227DFA"/>
    <w:rsid w:val="00230DDA"/>
    <w:rsid w:val="00230F96"/>
    <w:rsid w:val="00231963"/>
    <w:rsid w:val="00231D36"/>
    <w:rsid w:val="00231ED6"/>
    <w:rsid w:val="00232159"/>
    <w:rsid w:val="00233AF9"/>
    <w:rsid w:val="00233BAB"/>
    <w:rsid w:val="002347A0"/>
    <w:rsid w:val="00234C7E"/>
    <w:rsid w:val="00235126"/>
    <w:rsid w:val="00235726"/>
    <w:rsid w:val="00235B36"/>
    <w:rsid w:val="0023654E"/>
    <w:rsid w:val="00236B5B"/>
    <w:rsid w:val="00237721"/>
    <w:rsid w:val="00237E5F"/>
    <w:rsid w:val="00237EEF"/>
    <w:rsid w:val="00240054"/>
    <w:rsid w:val="002403D0"/>
    <w:rsid w:val="00240A33"/>
    <w:rsid w:val="002411E0"/>
    <w:rsid w:val="002425EC"/>
    <w:rsid w:val="00243177"/>
    <w:rsid w:val="00243E3D"/>
    <w:rsid w:val="00244FD2"/>
    <w:rsid w:val="00245169"/>
    <w:rsid w:val="00246379"/>
    <w:rsid w:val="00246920"/>
    <w:rsid w:val="00246C39"/>
    <w:rsid w:val="00246CFF"/>
    <w:rsid w:val="0024759E"/>
    <w:rsid w:val="002501EB"/>
    <w:rsid w:val="00250986"/>
    <w:rsid w:val="00250E6D"/>
    <w:rsid w:val="002510D7"/>
    <w:rsid w:val="00251503"/>
    <w:rsid w:val="002517A3"/>
    <w:rsid w:val="002522A7"/>
    <w:rsid w:val="00252A1A"/>
    <w:rsid w:val="00252BD8"/>
    <w:rsid w:val="00253673"/>
    <w:rsid w:val="00253791"/>
    <w:rsid w:val="00253969"/>
    <w:rsid w:val="00254B45"/>
    <w:rsid w:val="00255282"/>
    <w:rsid w:val="00255358"/>
    <w:rsid w:val="00255718"/>
    <w:rsid w:val="00255E70"/>
    <w:rsid w:val="00257D40"/>
    <w:rsid w:val="002605F3"/>
    <w:rsid w:val="0026086A"/>
    <w:rsid w:val="00262115"/>
    <w:rsid w:val="002629BD"/>
    <w:rsid w:val="0026320E"/>
    <w:rsid w:val="00263F23"/>
    <w:rsid w:val="00264756"/>
    <w:rsid w:val="002649BD"/>
    <w:rsid w:val="00265AA3"/>
    <w:rsid w:val="002661C9"/>
    <w:rsid w:val="00266D1B"/>
    <w:rsid w:val="00266F5B"/>
    <w:rsid w:val="00267CCD"/>
    <w:rsid w:val="00270A4C"/>
    <w:rsid w:val="002716DB"/>
    <w:rsid w:val="00272C99"/>
    <w:rsid w:val="00273206"/>
    <w:rsid w:val="00273892"/>
    <w:rsid w:val="0027390F"/>
    <w:rsid w:val="00273B19"/>
    <w:rsid w:val="0027475B"/>
    <w:rsid w:val="00275140"/>
    <w:rsid w:val="00276330"/>
    <w:rsid w:val="00276ADA"/>
    <w:rsid w:val="00276B8E"/>
    <w:rsid w:val="0027712C"/>
    <w:rsid w:val="00277E1E"/>
    <w:rsid w:val="0028005D"/>
    <w:rsid w:val="002809E7"/>
    <w:rsid w:val="002815A4"/>
    <w:rsid w:val="00282310"/>
    <w:rsid w:val="002835D4"/>
    <w:rsid w:val="00283C49"/>
    <w:rsid w:val="0028485A"/>
    <w:rsid w:val="00284AAF"/>
    <w:rsid w:val="00284B3A"/>
    <w:rsid w:val="002857B7"/>
    <w:rsid w:val="002857FD"/>
    <w:rsid w:val="00285DA8"/>
    <w:rsid w:val="002860C0"/>
    <w:rsid w:val="002877D0"/>
    <w:rsid w:val="002878A4"/>
    <w:rsid w:val="0028798B"/>
    <w:rsid w:val="00287E25"/>
    <w:rsid w:val="0029004F"/>
    <w:rsid w:val="00290E1C"/>
    <w:rsid w:val="0029156C"/>
    <w:rsid w:val="0029206C"/>
    <w:rsid w:val="00292922"/>
    <w:rsid w:val="002931D4"/>
    <w:rsid w:val="00293417"/>
    <w:rsid w:val="00293E31"/>
    <w:rsid w:val="00293F0E"/>
    <w:rsid w:val="002949E3"/>
    <w:rsid w:val="00294B06"/>
    <w:rsid w:val="00295398"/>
    <w:rsid w:val="002955CB"/>
    <w:rsid w:val="0029718C"/>
    <w:rsid w:val="002973AA"/>
    <w:rsid w:val="002A017B"/>
    <w:rsid w:val="002A16E7"/>
    <w:rsid w:val="002A1770"/>
    <w:rsid w:val="002A26A3"/>
    <w:rsid w:val="002A2722"/>
    <w:rsid w:val="002A286D"/>
    <w:rsid w:val="002A2A9F"/>
    <w:rsid w:val="002A39F6"/>
    <w:rsid w:val="002A3DEB"/>
    <w:rsid w:val="002A3F2E"/>
    <w:rsid w:val="002A4156"/>
    <w:rsid w:val="002A513E"/>
    <w:rsid w:val="002A543A"/>
    <w:rsid w:val="002A58D2"/>
    <w:rsid w:val="002A5B14"/>
    <w:rsid w:val="002A640D"/>
    <w:rsid w:val="002A67CF"/>
    <w:rsid w:val="002A705E"/>
    <w:rsid w:val="002A708D"/>
    <w:rsid w:val="002A738E"/>
    <w:rsid w:val="002A7B5D"/>
    <w:rsid w:val="002A7C5C"/>
    <w:rsid w:val="002A7D9F"/>
    <w:rsid w:val="002B0407"/>
    <w:rsid w:val="002B0BF8"/>
    <w:rsid w:val="002B13DE"/>
    <w:rsid w:val="002B14F6"/>
    <w:rsid w:val="002B1529"/>
    <w:rsid w:val="002B1D9D"/>
    <w:rsid w:val="002B1EDB"/>
    <w:rsid w:val="002B216B"/>
    <w:rsid w:val="002B2BE2"/>
    <w:rsid w:val="002B30ED"/>
    <w:rsid w:val="002B366C"/>
    <w:rsid w:val="002B3911"/>
    <w:rsid w:val="002B3ABD"/>
    <w:rsid w:val="002B42DB"/>
    <w:rsid w:val="002B4894"/>
    <w:rsid w:val="002B4B9F"/>
    <w:rsid w:val="002B5326"/>
    <w:rsid w:val="002B5B04"/>
    <w:rsid w:val="002B617B"/>
    <w:rsid w:val="002B7167"/>
    <w:rsid w:val="002B7926"/>
    <w:rsid w:val="002C038C"/>
    <w:rsid w:val="002C10FD"/>
    <w:rsid w:val="002C149F"/>
    <w:rsid w:val="002C16E7"/>
    <w:rsid w:val="002C1BC5"/>
    <w:rsid w:val="002C1F03"/>
    <w:rsid w:val="002C264A"/>
    <w:rsid w:val="002C2D3F"/>
    <w:rsid w:val="002C36EA"/>
    <w:rsid w:val="002C37A8"/>
    <w:rsid w:val="002C386D"/>
    <w:rsid w:val="002C3AA9"/>
    <w:rsid w:val="002C3CD5"/>
    <w:rsid w:val="002C3EE7"/>
    <w:rsid w:val="002C3F9B"/>
    <w:rsid w:val="002C4407"/>
    <w:rsid w:val="002C4BE1"/>
    <w:rsid w:val="002C5020"/>
    <w:rsid w:val="002C5307"/>
    <w:rsid w:val="002C5AE6"/>
    <w:rsid w:val="002C5DC1"/>
    <w:rsid w:val="002C64AA"/>
    <w:rsid w:val="002C6EE2"/>
    <w:rsid w:val="002C73CB"/>
    <w:rsid w:val="002C750C"/>
    <w:rsid w:val="002C7C31"/>
    <w:rsid w:val="002D0280"/>
    <w:rsid w:val="002D102D"/>
    <w:rsid w:val="002D1551"/>
    <w:rsid w:val="002D1B91"/>
    <w:rsid w:val="002D1D11"/>
    <w:rsid w:val="002D1EF8"/>
    <w:rsid w:val="002D234D"/>
    <w:rsid w:val="002D2466"/>
    <w:rsid w:val="002D24AD"/>
    <w:rsid w:val="002D28DB"/>
    <w:rsid w:val="002D29B2"/>
    <w:rsid w:val="002D2ADE"/>
    <w:rsid w:val="002D37A3"/>
    <w:rsid w:val="002D380A"/>
    <w:rsid w:val="002D3941"/>
    <w:rsid w:val="002D3AFD"/>
    <w:rsid w:val="002D44F5"/>
    <w:rsid w:val="002D463A"/>
    <w:rsid w:val="002D4932"/>
    <w:rsid w:val="002D53A5"/>
    <w:rsid w:val="002D5AA6"/>
    <w:rsid w:val="002D5C6A"/>
    <w:rsid w:val="002D5FD2"/>
    <w:rsid w:val="002D6B4A"/>
    <w:rsid w:val="002E04D7"/>
    <w:rsid w:val="002E070A"/>
    <w:rsid w:val="002E07D5"/>
    <w:rsid w:val="002E081D"/>
    <w:rsid w:val="002E100B"/>
    <w:rsid w:val="002E1429"/>
    <w:rsid w:val="002E1A3A"/>
    <w:rsid w:val="002E2215"/>
    <w:rsid w:val="002E29D1"/>
    <w:rsid w:val="002E2F3F"/>
    <w:rsid w:val="002E415A"/>
    <w:rsid w:val="002E44C1"/>
    <w:rsid w:val="002E4736"/>
    <w:rsid w:val="002E5071"/>
    <w:rsid w:val="002E56F5"/>
    <w:rsid w:val="002E5D41"/>
    <w:rsid w:val="002E613B"/>
    <w:rsid w:val="002E67E9"/>
    <w:rsid w:val="002E71F3"/>
    <w:rsid w:val="002E7270"/>
    <w:rsid w:val="002F02F1"/>
    <w:rsid w:val="002F0476"/>
    <w:rsid w:val="002F0A6B"/>
    <w:rsid w:val="002F1192"/>
    <w:rsid w:val="002F16F1"/>
    <w:rsid w:val="002F1907"/>
    <w:rsid w:val="002F244C"/>
    <w:rsid w:val="002F2480"/>
    <w:rsid w:val="002F2C22"/>
    <w:rsid w:val="002F36B8"/>
    <w:rsid w:val="002F373F"/>
    <w:rsid w:val="002F3AB9"/>
    <w:rsid w:val="002F4447"/>
    <w:rsid w:val="002F462B"/>
    <w:rsid w:val="002F4662"/>
    <w:rsid w:val="002F48A3"/>
    <w:rsid w:val="002F5343"/>
    <w:rsid w:val="002F5D1B"/>
    <w:rsid w:val="002F5FD2"/>
    <w:rsid w:val="002F5FEC"/>
    <w:rsid w:val="002F6252"/>
    <w:rsid w:val="002F6359"/>
    <w:rsid w:val="002F7438"/>
    <w:rsid w:val="002F75D1"/>
    <w:rsid w:val="003005F5"/>
    <w:rsid w:val="00300844"/>
    <w:rsid w:val="00302113"/>
    <w:rsid w:val="003027CC"/>
    <w:rsid w:val="00302F63"/>
    <w:rsid w:val="003031F5"/>
    <w:rsid w:val="00303D35"/>
    <w:rsid w:val="00303EFE"/>
    <w:rsid w:val="00304040"/>
    <w:rsid w:val="0030446B"/>
    <w:rsid w:val="0030469A"/>
    <w:rsid w:val="00304E06"/>
    <w:rsid w:val="00306D6A"/>
    <w:rsid w:val="0030719F"/>
    <w:rsid w:val="00307498"/>
    <w:rsid w:val="0030770B"/>
    <w:rsid w:val="0030781B"/>
    <w:rsid w:val="00307ACA"/>
    <w:rsid w:val="00311066"/>
    <w:rsid w:val="0031195D"/>
    <w:rsid w:val="00311DEE"/>
    <w:rsid w:val="00311E31"/>
    <w:rsid w:val="00311F5A"/>
    <w:rsid w:val="00312528"/>
    <w:rsid w:val="003126EA"/>
    <w:rsid w:val="00312CCB"/>
    <w:rsid w:val="0031332C"/>
    <w:rsid w:val="00313526"/>
    <w:rsid w:val="00313DF0"/>
    <w:rsid w:val="00314149"/>
    <w:rsid w:val="00316602"/>
    <w:rsid w:val="00316BD6"/>
    <w:rsid w:val="0031795D"/>
    <w:rsid w:val="00317C8A"/>
    <w:rsid w:val="00317F10"/>
    <w:rsid w:val="00321865"/>
    <w:rsid w:val="00321C27"/>
    <w:rsid w:val="003230E0"/>
    <w:rsid w:val="003234EB"/>
    <w:rsid w:val="0032352C"/>
    <w:rsid w:val="00323FC5"/>
    <w:rsid w:val="00324AD2"/>
    <w:rsid w:val="00324EE2"/>
    <w:rsid w:val="003250EC"/>
    <w:rsid w:val="003251BE"/>
    <w:rsid w:val="00326094"/>
    <w:rsid w:val="0032690A"/>
    <w:rsid w:val="00327041"/>
    <w:rsid w:val="00327546"/>
    <w:rsid w:val="003276B7"/>
    <w:rsid w:val="003279FF"/>
    <w:rsid w:val="00327BCC"/>
    <w:rsid w:val="00327CA6"/>
    <w:rsid w:val="0033052F"/>
    <w:rsid w:val="0033079B"/>
    <w:rsid w:val="003313DC"/>
    <w:rsid w:val="0033374C"/>
    <w:rsid w:val="0033446B"/>
    <w:rsid w:val="00334616"/>
    <w:rsid w:val="00334738"/>
    <w:rsid w:val="00334C73"/>
    <w:rsid w:val="00335F2C"/>
    <w:rsid w:val="00336454"/>
    <w:rsid w:val="00336711"/>
    <w:rsid w:val="0033672A"/>
    <w:rsid w:val="00337E72"/>
    <w:rsid w:val="00341B45"/>
    <w:rsid w:val="00341F51"/>
    <w:rsid w:val="00341FC0"/>
    <w:rsid w:val="00342420"/>
    <w:rsid w:val="00343AF1"/>
    <w:rsid w:val="00343C5F"/>
    <w:rsid w:val="00343F12"/>
    <w:rsid w:val="00343FD5"/>
    <w:rsid w:val="0034487A"/>
    <w:rsid w:val="00344D6C"/>
    <w:rsid w:val="00344FBC"/>
    <w:rsid w:val="00344FE4"/>
    <w:rsid w:val="003456BB"/>
    <w:rsid w:val="003457C4"/>
    <w:rsid w:val="00346795"/>
    <w:rsid w:val="00346AE1"/>
    <w:rsid w:val="003477ED"/>
    <w:rsid w:val="00347D46"/>
    <w:rsid w:val="00347D60"/>
    <w:rsid w:val="00347FAA"/>
    <w:rsid w:val="00350EC3"/>
    <w:rsid w:val="003512D1"/>
    <w:rsid w:val="00351C1C"/>
    <w:rsid w:val="00351E69"/>
    <w:rsid w:val="00352548"/>
    <w:rsid w:val="0035279D"/>
    <w:rsid w:val="003534E6"/>
    <w:rsid w:val="003543A5"/>
    <w:rsid w:val="00354655"/>
    <w:rsid w:val="003550DC"/>
    <w:rsid w:val="00355651"/>
    <w:rsid w:val="00355667"/>
    <w:rsid w:val="00355692"/>
    <w:rsid w:val="00355A7D"/>
    <w:rsid w:val="00355DB1"/>
    <w:rsid w:val="00356527"/>
    <w:rsid w:val="00356791"/>
    <w:rsid w:val="003601B8"/>
    <w:rsid w:val="0036050A"/>
    <w:rsid w:val="003606B0"/>
    <w:rsid w:val="00361205"/>
    <w:rsid w:val="00361260"/>
    <w:rsid w:val="00361581"/>
    <w:rsid w:val="00362273"/>
    <w:rsid w:val="00362959"/>
    <w:rsid w:val="003629B2"/>
    <w:rsid w:val="00362E37"/>
    <w:rsid w:val="003633F7"/>
    <w:rsid w:val="00363765"/>
    <w:rsid w:val="0036380A"/>
    <w:rsid w:val="00363914"/>
    <w:rsid w:val="00363E8A"/>
    <w:rsid w:val="00363FEA"/>
    <w:rsid w:val="003645B2"/>
    <w:rsid w:val="00364793"/>
    <w:rsid w:val="00365BDB"/>
    <w:rsid w:val="00366522"/>
    <w:rsid w:val="003665A8"/>
    <w:rsid w:val="00366EDD"/>
    <w:rsid w:val="00367A4C"/>
    <w:rsid w:val="00367DF0"/>
    <w:rsid w:val="003700B6"/>
    <w:rsid w:val="00370C63"/>
    <w:rsid w:val="00372415"/>
    <w:rsid w:val="00372CF1"/>
    <w:rsid w:val="00373046"/>
    <w:rsid w:val="003738F4"/>
    <w:rsid w:val="003744CB"/>
    <w:rsid w:val="003749A8"/>
    <w:rsid w:val="003752D7"/>
    <w:rsid w:val="00375598"/>
    <w:rsid w:val="00375FF1"/>
    <w:rsid w:val="00376500"/>
    <w:rsid w:val="00376C2E"/>
    <w:rsid w:val="00377EB3"/>
    <w:rsid w:val="003812A6"/>
    <w:rsid w:val="0038176A"/>
    <w:rsid w:val="00381B05"/>
    <w:rsid w:val="00381BD7"/>
    <w:rsid w:val="00381D0C"/>
    <w:rsid w:val="00381E26"/>
    <w:rsid w:val="00382259"/>
    <w:rsid w:val="0038370B"/>
    <w:rsid w:val="00383884"/>
    <w:rsid w:val="00383CD9"/>
    <w:rsid w:val="00383D37"/>
    <w:rsid w:val="00383E57"/>
    <w:rsid w:val="00384727"/>
    <w:rsid w:val="003851C6"/>
    <w:rsid w:val="0038688C"/>
    <w:rsid w:val="0038692A"/>
    <w:rsid w:val="0038772B"/>
    <w:rsid w:val="00387E73"/>
    <w:rsid w:val="00390AF1"/>
    <w:rsid w:val="00390E6B"/>
    <w:rsid w:val="00391157"/>
    <w:rsid w:val="0039180F"/>
    <w:rsid w:val="00392868"/>
    <w:rsid w:val="003937CE"/>
    <w:rsid w:val="003941AB"/>
    <w:rsid w:val="003946BC"/>
    <w:rsid w:val="00394B38"/>
    <w:rsid w:val="00394CEC"/>
    <w:rsid w:val="0039573F"/>
    <w:rsid w:val="003978DD"/>
    <w:rsid w:val="003A1DD7"/>
    <w:rsid w:val="003A21DF"/>
    <w:rsid w:val="003A2841"/>
    <w:rsid w:val="003A2B7D"/>
    <w:rsid w:val="003A2C55"/>
    <w:rsid w:val="003A2D7E"/>
    <w:rsid w:val="003A3F8C"/>
    <w:rsid w:val="003A4319"/>
    <w:rsid w:val="003A469A"/>
    <w:rsid w:val="003A4A4E"/>
    <w:rsid w:val="003A585C"/>
    <w:rsid w:val="003A5A59"/>
    <w:rsid w:val="003A5D51"/>
    <w:rsid w:val="003A6DCE"/>
    <w:rsid w:val="003A71E9"/>
    <w:rsid w:val="003A74C7"/>
    <w:rsid w:val="003A79CB"/>
    <w:rsid w:val="003A7EF5"/>
    <w:rsid w:val="003B0030"/>
    <w:rsid w:val="003B0B72"/>
    <w:rsid w:val="003B0D7F"/>
    <w:rsid w:val="003B0E73"/>
    <w:rsid w:val="003B11C2"/>
    <w:rsid w:val="003B1C32"/>
    <w:rsid w:val="003B1C5D"/>
    <w:rsid w:val="003B1FC0"/>
    <w:rsid w:val="003B2A10"/>
    <w:rsid w:val="003B33C6"/>
    <w:rsid w:val="003B396A"/>
    <w:rsid w:val="003B4201"/>
    <w:rsid w:val="003B44A2"/>
    <w:rsid w:val="003B4ED1"/>
    <w:rsid w:val="003B585F"/>
    <w:rsid w:val="003B675F"/>
    <w:rsid w:val="003B6764"/>
    <w:rsid w:val="003B68A8"/>
    <w:rsid w:val="003B6911"/>
    <w:rsid w:val="003B6F1C"/>
    <w:rsid w:val="003B7707"/>
    <w:rsid w:val="003B7A00"/>
    <w:rsid w:val="003B7A50"/>
    <w:rsid w:val="003C04CD"/>
    <w:rsid w:val="003C051B"/>
    <w:rsid w:val="003C0751"/>
    <w:rsid w:val="003C0F1F"/>
    <w:rsid w:val="003C1025"/>
    <w:rsid w:val="003C1787"/>
    <w:rsid w:val="003C1AA6"/>
    <w:rsid w:val="003C326E"/>
    <w:rsid w:val="003C3F3A"/>
    <w:rsid w:val="003C4007"/>
    <w:rsid w:val="003C6606"/>
    <w:rsid w:val="003C6D42"/>
    <w:rsid w:val="003C6E58"/>
    <w:rsid w:val="003C7285"/>
    <w:rsid w:val="003C7843"/>
    <w:rsid w:val="003C78A4"/>
    <w:rsid w:val="003D0378"/>
    <w:rsid w:val="003D0D92"/>
    <w:rsid w:val="003D1C8A"/>
    <w:rsid w:val="003D1E39"/>
    <w:rsid w:val="003D245F"/>
    <w:rsid w:val="003D250B"/>
    <w:rsid w:val="003D2912"/>
    <w:rsid w:val="003D31C1"/>
    <w:rsid w:val="003D3A38"/>
    <w:rsid w:val="003D4961"/>
    <w:rsid w:val="003D4BDC"/>
    <w:rsid w:val="003D4C90"/>
    <w:rsid w:val="003D4F40"/>
    <w:rsid w:val="003D5AD6"/>
    <w:rsid w:val="003D5D12"/>
    <w:rsid w:val="003D6077"/>
    <w:rsid w:val="003D6474"/>
    <w:rsid w:val="003D6C97"/>
    <w:rsid w:val="003D7074"/>
    <w:rsid w:val="003D7201"/>
    <w:rsid w:val="003D7A5D"/>
    <w:rsid w:val="003D7FBF"/>
    <w:rsid w:val="003E07FA"/>
    <w:rsid w:val="003E2553"/>
    <w:rsid w:val="003E26C7"/>
    <w:rsid w:val="003E2964"/>
    <w:rsid w:val="003E2C25"/>
    <w:rsid w:val="003E2FB4"/>
    <w:rsid w:val="003E3498"/>
    <w:rsid w:val="003E375C"/>
    <w:rsid w:val="003E3A8D"/>
    <w:rsid w:val="003E4008"/>
    <w:rsid w:val="003E4057"/>
    <w:rsid w:val="003E45F4"/>
    <w:rsid w:val="003E48EA"/>
    <w:rsid w:val="003E4BFE"/>
    <w:rsid w:val="003E524A"/>
    <w:rsid w:val="003E535E"/>
    <w:rsid w:val="003E575D"/>
    <w:rsid w:val="003E57DE"/>
    <w:rsid w:val="003E5CE1"/>
    <w:rsid w:val="003E61A5"/>
    <w:rsid w:val="003E62DD"/>
    <w:rsid w:val="003E759B"/>
    <w:rsid w:val="003E7986"/>
    <w:rsid w:val="003E7D40"/>
    <w:rsid w:val="003F00DC"/>
    <w:rsid w:val="003F0141"/>
    <w:rsid w:val="003F0B26"/>
    <w:rsid w:val="003F12D2"/>
    <w:rsid w:val="003F1622"/>
    <w:rsid w:val="003F1C75"/>
    <w:rsid w:val="003F1F80"/>
    <w:rsid w:val="003F228D"/>
    <w:rsid w:val="003F239C"/>
    <w:rsid w:val="003F282D"/>
    <w:rsid w:val="003F2EC8"/>
    <w:rsid w:val="003F2EDB"/>
    <w:rsid w:val="003F2FA8"/>
    <w:rsid w:val="003F3B46"/>
    <w:rsid w:val="003F42A1"/>
    <w:rsid w:val="003F48C9"/>
    <w:rsid w:val="003F4FCA"/>
    <w:rsid w:val="003F5BAF"/>
    <w:rsid w:val="003F5C6A"/>
    <w:rsid w:val="003F6CF9"/>
    <w:rsid w:val="003F719C"/>
    <w:rsid w:val="00400578"/>
    <w:rsid w:val="004007C2"/>
    <w:rsid w:val="00400800"/>
    <w:rsid w:val="00400A23"/>
    <w:rsid w:val="00400A2D"/>
    <w:rsid w:val="00401544"/>
    <w:rsid w:val="0040165A"/>
    <w:rsid w:val="00401955"/>
    <w:rsid w:val="004020BB"/>
    <w:rsid w:val="004020C7"/>
    <w:rsid w:val="0040294F"/>
    <w:rsid w:val="00404208"/>
    <w:rsid w:val="0040504D"/>
    <w:rsid w:val="0040603D"/>
    <w:rsid w:val="00406907"/>
    <w:rsid w:val="004069F2"/>
    <w:rsid w:val="00406AD4"/>
    <w:rsid w:val="00406E6C"/>
    <w:rsid w:val="0040754F"/>
    <w:rsid w:val="00407727"/>
    <w:rsid w:val="00407925"/>
    <w:rsid w:val="00410285"/>
    <w:rsid w:val="004103B8"/>
    <w:rsid w:val="00410714"/>
    <w:rsid w:val="00410B04"/>
    <w:rsid w:val="00410B05"/>
    <w:rsid w:val="00411B0B"/>
    <w:rsid w:val="00411E1D"/>
    <w:rsid w:val="0041238D"/>
    <w:rsid w:val="0041244C"/>
    <w:rsid w:val="004124EA"/>
    <w:rsid w:val="00412C0F"/>
    <w:rsid w:val="00413045"/>
    <w:rsid w:val="004136D0"/>
    <w:rsid w:val="00413760"/>
    <w:rsid w:val="00414804"/>
    <w:rsid w:val="00414BB2"/>
    <w:rsid w:val="00414C89"/>
    <w:rsid w:val="004152DB"/>
    <w:rsid w:val="0041532E"/>
    <w:rsid w:val="00415433"/>
    <w:rsid w:val="004158D3"/>
    <w:rsid w:val="004162B1"/>
    <w:rsid w:val="00416B48"/>
    <w:rsid w:val="00416DC0"/>
    <w:rsid w:val="004173B0"/>
    <w:rsid w:val="00417669"/>
    <w:rsid w:val="00417A6F"/>
    <w:rsid w:val="00417C27"/>
    <w:rsid w:val="00417FEC"/>
    <w:rsid w:val="004213D1"/>
    <w:rsid w:val="004221CD"/>
    <w:rsid w:val="004225A1"/>
    <w:rsid w:val="004229F9"/>
    <w:rsid w:val="00422CCA"/>
    <w:rsid w:val="00423717"/>
    <w:rsid w:val="00424768"/>
    <w:rsid w:val="00424AE6"/>
    <w:rsid w:val="00425171"/>
    <w:rsid w:val="004252DE"/>
    <w:rsid w:val="004253B2"/>
    <w:rsid w:val="00425E89"/>
    <w:rsid w:val="004260A5"/>
    <w:rsid w:val="004264B8"/>
    <w:rsid w:val="00426BBA"/>
    <w:rsid w:val="00427578"/>
    <w:rsid w:val="004277C5"/>
    <w:rsid w:val="00427D3E"/>
    <w:rsid w:val="00427FA1"/>
    <w:rsid w:val="00430A7B"/>
    <w:rsid w:val="0043108B"/>
    <w:rsid w:val="004315D4"/>
    <w:rsid w:val="00431C3D"/>
    <w:rsid w:val="00432BD9"/>
    <w:rsid w:val="00432E37"/>
    <w:rsid w:val="004332AA"/>
    <w:rsid w:val="004332CC"/>
    <w:rsid w:val="00433675"/>
    <w:rsid w:val="00433C36"/>
    <w:rsid w:val="00433C85"/>
    <w:rsid w:val="004340CC"/>
    <w:rsid w:val="004344C3"/>
    <w:rsid w:val="0043476B"/>
    <w:rsid w:val="004351BA"/>
    <w:rsid w:val="00435569"/>
    <w:rsid w:val="004357F8"/>
    <w:rsid w:val="00435BA9"/>
    <w:rsid w:val="0043634C"/>
    <w:rsid w:val="00436A15"/>
    <w:rsid w:val="00436FC8"/>
    <w:rsid w:val="00437035"/>
    <w:rsid w:val="00437556"/>
    <w:rsid w:val="00440BD6"/>
    <w:rsid w:val="0044199B"/>
    <w:rsid w:val="00442130"/>
    <w:rsid w:val="00442A0C"/>
    <w:rsid w:val="00443830"/>
    <w:rsid w:val="00443CCB"/>
    <w:rsid w:val="00444F67"/>
    <w:rsid w:val="00445ADD"/>
    <w:rsid w:val="00446004"/>
    <w:rsid w:val="0044634A"/>
    <w:rsid w:val="00446A41"/>
    <w:rsid w:val="00446F4D"/>
    <w:rsid w:val="00447597"/>
    <w:rsid w:val="00447863"/>
    <w:rsid w:val="00447C10"/>
    <w:rsid w:val="00450B6D"/>
    <w:rsid w:val="00451E97"/>
    <w:rsid w:val="004528E9"/>
    <w:rsid w:val="00452AC8"/>
    <w:rsid w:val="00452F1C"/>
    <w:rsid w:val="00453309"/>
    <w:rsid w:val="004533D3"/>
    <w:rsid w:val="00453421"/>
    <w:rsid w:val="004535E7"/>
    <w:rsid w:val="0045376B"/>
    <w:rsid w:val="004537B4"/>
    <w:rsid w:val="00453A1F"/>
    <w:rsid w:val="00453EDC"/>
    <w:rsid w:val="0045538E"/>
    <w:rsid w:val="0045590A"/>
    <w:rsid w:val="0045596C"/>
    <w:rsid w:val="00455DB2"/>
    <w:rsid w:val="004575A5"/>
    <w:rsid w:val="00457A3B"/>
    <w:rsid w:val="0046071F"/>
    <w:rsid w:val="00460E26"/>
    <w:rsid w:val="00461899"/>
    <w:rsid w:val="00461EFB"/>
    <w:rsid w:val="00461F80"/>
    <w:rsid w:val="0046229B"/>
    <w:rsid w:val="0046230D"/>
    <w:rsid w:val="004628C5"/>
    <w:rsid w:val="00462B55"/>
    <w:rsid w:val="00463282"/>
    <w:rsid w:val="004635A4"/>
    <w:rsid w:val="004641A5"/>
    <w:rsid w:val="004648B6"/>
    <w:rsid w:val="00464D34"/>
    <w:rsid w:val="00464E24"/>
    <w:rsid w:val="0046615F"/>
    <w:rsid w:val="0046679F"/>
    <w:rsid w:val="004667DC"/>
    <w:rsid w:val="00466C60"/>
    <w:rsid w:val="00466F67"/>
    <w:rsid w:val="004670FF"/>
    <w:rsid w:val="004671E6"/>
    <w:rsid w:val="004700CE"/>
    <w:rsid w:val="00470DAC"/>
    <w:rsid w:val="00471122"/>
    <w:rsid w:val="00471284"/>
    <w:rsid w:val="00471750"/>
    <w:rsid w:val="004720C6"/>
    <w:rsid w:val="004723BB"/>
    <w:rsid w:val="00472D92"/>
    <w:rsid w:val="00473694"/>
    <w:rsid w:val="00473FA5"/>
    <w:rsid w:val="0047407D"/>
    <w:rsid w:val="004748EE"/>
    <w:rsid w:val="00474A5C"/>
    <w:rsid w:val="004755C4"/>
    <w:rsid w:val="004765F0"/>
    <w:rsid w:val="00477092"/>
    <w:rsid w:val="004779EF"/>
    <w:rsid w:val="00477B2B"/>
    <w:rsid w:val="00477BE4"/>
    <w:rsid w:val="00480573"/>
    <w:rsid w:val="00481365"/>
    <w:rsid w:val="00481C95"/>
    <w:rsid w:val="004832C8"/>
    <w:rsid w:val="00483947"/>
    <w:rsid w:val="00483A49"/>
    <w:rsid w:val="00483A83"/>
    <w:rsid w:val="00484E3C"/>
    <w:rsid w:val="00485637"/>
    <w:rsid w:val="00485ACC"/>
    <w:rsid w:val="00485D86"/>
    <w:rsid w:val="00485FBC"/>
    <w:rsid w:val="00486786"/>
    <w:rsid w:val="00487537"/>
    <w:rsid w:val="0048760B"/>
    <w:rsid w:val="004876E3"/>
    <w:rsid w:val="00487A6F"/>
    <w:rsid w:val="004903E5"/>
    <w:rsid w:val="004907A3"/>
    <w:rsid w:val="00491A0B"/>
    <w:rsid w:val="004931A0"/>
    <w:rsid w:val="004937FE"/>
    <w:rsid w:val="00493ACA"/>
    <w:rsid w:val="00493CEF"/>
    <w:rsid w:val="00494D07"/>
    <w:rsid w:val="00494E87"/>
    <w:rsid w:val="0049585C"/>
    <w:rsid w:val="0049648B"/>
    <w:rsid w:val="0049689D"/>
    <w:rsid w:val="0049772F"/>
    <w:rsid w:val="00497BB3"/>
    <w:rsid w:val="00497BC6"/>
    <w:rsid w:val="00497D3E"/>
    <w:rsid w:val="00497E1F"/>
    <w:rsid w:val="004A0616"/>
    <w:rsid w:val="004A0DF2"/>
    <w:rsid w:val="004A0E14"/>
    <w:rsid w:val="004A13AF"/>
    <w:rsid w:val="004A17B3"/>
    <w:rsid w:val="004A190D"/>
    <w:rsid w:val="004A19CC"/>
    <w:rsid w:val="004A20B7"/>
    <w:rsid w:val="004A2ECE"/>
    <w:rsid w:val="004A2F83"/>
    <w:rsid w:val="004A3F1B"/>
    <w:rsid w:val="004A454C"/>
    <w:rsid w:val="004A4BFF"/>
    <w:rsid w:val="004A52DF"/>
    <w:rsid w:val="004A68BF"/>
    <w:rsid w:val="004A69B8"/>
    <w:rsid w:val="004A6BE7"/>
    <w:rsid w:val="004A6D5A"/>
    <w:rsid w:val="004A6E33"/>
    <w:rsid w:val="004A6FD1"/>
    <w:rsid w:val="004A72A6"/>
    <w:rsid w:val="004A78F6"/>
    <w:rsid w:val="004B0593"/>
    <w:rsid w:val="004B075B"/>
    <w:rsid w:val="004B1182"/>
    <w:rsid w:val="004B1450"/>
    <w:rsid w:val="004B1F02"/>
    <w:rsid w:val="004B2592"/>
    <w:rsid w:val="004B3109"/>
    <w:rsid w:val="004B3DC9"/>
    <w:rsid w:val="004B3F9C"/>
    <w:rsid w:val="004B5F0B"/>
    <w:rsid w:val="004B67B9"/>
    <w:rsid w:val="004B6AF9"/>
    <w:rsid w:val="004B7C68"/>
    <w:rsid w:val="004C05D7"/>
    <w:rsid w:val="004C09DA"/>
    <w:rsid w:val="004C0FF3"/>
    <w:rsid w:val="004C133E"/>
    <w:rsid w:val="004C13FE"/>
    <w:rsid w:val="004C17B2"/>
    <w:rsid w:val="004C1BD9"/>
    <w:rsid w:val="004C20F9"/>
    <w:rsid w:val="004C2364"/>
    <w:rsid w:val="004C2995"/>
    <w:rsid w:val="004C2DB1"/>
    <w:rsid w:val="004C364F"/>
    <w:rsid w:val="004C3C9E"/>
    <w:rsid w:val="004C3F77"/>
    <w:rsid w:val="004C48D5"/>
    <w:rsid w:val="004C4B78"/>
    <w:rsid w:val="004C4DC6"/>
    <w:rsid w:val="004C5BF6"/>
    <w:rsid w:val="004C5BFE"/>
    <w:rsid w:val="004C6053"/>
    <w:rsid w:val="004C67A1"/>
    <w:rsid w:val="004C6BB5"/>
    <w:rsid w:val="004C701B"/>
    <w:rsid w:val="004C7C47"/>
    <w:rsid w:val="004D0743"/>
    <w:rsid w:val="004D1575"/>
    <w:rsid w:val="004D1AD3"/>
    <w:rsid w:val="004D1EE1"/>
    <w:rsid w:val="004D2633"/>
    <w:rsid w:val="004D29E9"/>
    <w:rsid w:val="004D2A70"/>
    <w:rsid w:val="004D2E61"/>
    <w:rsid w:val="004D3460"/>
    <w:rsid w:val="004D3528"/>
    <w:rsid w:val="004D3944"/>
    <w:rsid w:val="004D3BA4"/>
    <w:rsid w:val="004D429C"/>
    <w:rsid w:val="004D5AA0"/>
    <w:rsid w:val="004D5FA2"/>
    <w:rsid w:val="004D5FAA"/>
    <w:rsid w:val="004D6068"/>
    <w:rsid w:val="004D6E36"/>
    <w:rsid w:val="004D7055"/>
    <w:rsid w:val="004D7859"/>
    <w:rsid w:val="004D78E6"/>
    <w:rsid w:val="004D7B2C"/>
    <w:rsid w:val="004D7F76"/>
    <w:rsid w:val="004E022B"/>
    <w:rsid w:val="004E2715"/>
    <w:rsid w:val="004E2A70"/>
    <w:rsid w:val="004E2C6E"/>
    <w:rsid w:val="004E35BA"/>
    <w:rsid w:val="004E366D"/>
    <w:rsid w:val="004E3E8E"/>
    <w:rsid w:val="004E439D"/>
    <w:rsid w:val="004E4693"/>
    <w:rsid w:val="004E488A"/>
    <w:rsid w:val="004E4F4B"/>
    <w:rsid w:val="004E539A"/>
    <w:rsid w:val="004E5940"/>
    <w:rsid w:val="004E6188"/>
    <w:rsid w:val="004E61D1"/>
    <w:rsid w:val="004E7A9E"/>
    <w:rsid w:val="004F0B35"/>
    <w:rsid w:val="004F0E48"/>
    <w:rsid w:val="004F141F"/>
    <w:rsid w:val="004F18AF"/>
    <w:rsid w:val="004F19FB"/>
    <w:rsid w:val="004F1A14"/>
    <w:rsid w:val="004F1C56"/>
    <w:rsid w:val="004F26E6"/>
    <w:rsid w:val="004F2CFF"/>
    <w:rsid w:val="004F3007"/>
    <w:rsid w:val="004F35E7"/>
    <w:rsid w:val="004F3CB0"/>
    <w:rsid w:val="004F514C"/>
    <w:rsid w:val="004F5628"/>
    <w:rsid w:val="004F5C8D"/>
    <w:rsid w:val="004F5E0E"/>
    <w:rsid w:val="004F68CA"/>
    <w:rsid w:val="004F6912"/>
    <w:rsid w:val="004F7556"/>
    <w:rsid w:val="004F76C7"/>
    <w:rsid w:val="00501838"/>
    <w:rsid w:val="0050219A"/>
    <w:rsid w:val="00502C0D"/>
    <w:rsid w:val="00502E38"/>
    <w:rsid w:val="00504008"/>
    <w:rsid w:val="0050425C"/>
    <w:rsid w:val="00505C68"/>
    <w:rsid w:val="00506677"/>
    <w:rsid w:val="00506DEA"/>
    <w:rsid w:val="00507724"/>
    <w:rsid w:val="00507D6F"/>
    <w:rsid w:val="00507E81"/>
    <w:rsid w:val="00507FF5"/>
    <w:rsid w:val="00510347"/>
    <w:rsid w:val="00511862"/>
    <w:rsid w:val="00511D2E"/>
    <w:rsid w:val="005124AF"/>
    <w:rsid w:val="00513597"/>
    <w:rsid w:val="00514514"/>
    <w:rsid w:val="0051489A"/>
    <w:rsid w:val="005148F7"/>
    <w:rsid w:val="00514BB5"/>
    <w:rsid w:val="005153CD"/>
    <w:rsid w:val="005155A2"/>
    <w:rsid w:val="005156AA"/>
    <w:rsid w:val="00515866"/>
    <w:rsid w:val="00515923"/>
    <w:rsid w:val="00515C04"/>
    <w:rsid w:val="00515C8A"/>
    <w:rsid w:val="005161D1"/>
    <w:rsid w:val="005161F6"/>
    <w:rsid w:val="0051677E"/>
    <w:rsid w:val="005167AC"/>
    <w:rsid w:val="00516E57"/>
    <w:rsid w:val="00517568"/>
    <w:rsid w:val="005176D1"/>
    <w:rsid w:val="00517C28"/>
    <w:rsid w:val="00520D78"/>
    <w:rsid w:val="00521E24"/>
    <w:rsid w:val="00521E92"/>
    <w:rsid w:val="00522601"/>
    <w:rsid w:val="00522F13"/>
    <w:rsid w:val="00522FFE"/>
    <w:rsid w:val="005235D6"/>
    <w:rsid w:val="00523CAE"/>
    <w:rsid w:val="00523FC3"/>
    <w:rsid w:val="0052424B"/>
    <w:rsid w:val="005247D8"/>
    <w:rsid w:val="00524948"/>
    <w:rsid w:val="00524CDD"/>
    <w:rsid w:val="00524D8C"/>
    <w:rsid w:val="0052504F"/>
    <w:rsid w:val="00525879"/>
    <w:rsid w:val="005259B2"/>
    <w:rsid w:val="00526724"/>
    <w:rsid w:val="005269D3"/>
    <w:rsid w:val="00526A7B"/>
    <w:rsid w:val="00527166"/>
    <w:rsid w:val="00527D08"/>
    <w:rsid w:val="00531BCE"/>
    <w:rsid w:val="005322D5"/>
    <w:rsid w:val="0053265D"/>
    <w:rsid w:val="00532C1B"/>
    <w:rsid w:val="00532DE1"/>
    <w:rsid w:val="00532E29"/>
    <w:rsid w:val="00534A1F"/>
    <w:rsid w:val="0053595A"/>
    <w:rsid w:val="00535D3B"/>
    <w:rsid w:val="00535E7B"/>
    <w:rsid w:val="00537B6D"/>
    <w:rsid w:val="00540200"/>
    <w:rsid w:val="005406B4"/>
    <w:rsid w:val="00540D96"/>
    <w:rsid w:val="00541AD8"/>
    <w:rsid w:val="0054206E"/>
    <w:rsid w:val="005426BB"/>
    <w:rsid w:val="005435B8"/>
    <w:rsid w:val="005438D5"/>
    <w:rsid w:val="00543BFB"/>
    <w:rsid w:val="005447FB"/>
    <w:rsid w:val="00545671"/>
    <w:rsid w:val="00545790"/>
    <w:rsid w:val="00545B05"/>
    <w:rsid w:val="00545D1E"/>
    <w:rsid w:val="00546579"/>
    <w:rsid w:val="005467E9"/>
    <w:rsid w:val="00546D70"/>
    <w:rsid w:val="00546E6F"/>
    <w:rsid w:val="005504B3"/>
    <w:rsid w:val="005505AB"/>
    <w:rsid w:val="0055089E"/>
    <w:rsid w:val="005509FC"/>
    <w:rsid w:val="005515BA"/>
    <w:rsid w:val="00551AF6"/>
    <w:rsid w:val="00552111"/>
    <w:rsid w:val="00552168"/>
    <w:rsid w:val="00552823"/>
    <w:rsid w:val="00553156"/>
    <w:rsid w:val="005532DA"/>
    <w:rsid w:val="0055386D"/>
    <w:rsid w:val="00554F39"/>
    <w:rsid w:val="00555FE0"/>
    <w:rsid w:val="00556216"/>
    <w:rsid w:val="005566D3"/>
    <w:rsid w:val="00556AFE"/>
    <w:rsid w:val="00556FCD"/>
    <w:rsid w:val="005571CB"/>
    <w:rsid w:val="00557EC9"/>
    <w:rsid w:val="005613F6"/>
    <w:rsid w:val="00562996"/>
    <w:rsid w:val="00562AE8"/>
    <w:rsid w:val="00563096"/>
    <w:rsid w:val="005632ED"/>
    <w:rsid w:val="00563F98"/>
    <w:rsid w:val="0056466B"/>
    <w:rsid w:val="005647C1"/>
    <w:rsid w:val="00564811"/>
    <w:rsid w:val="005654CB"/>
    <w:rsid w:val="0056572F"/>
    <w:rsid w:val="005657B6"/>
    <w:rsid w:val="00565859"/>
    <w:rsid w:val="0056589C"/>
    <w:rsid w:val="005658F6"/>
    <w:rsid w:val="00565999"/>
    <w:rsid w:val="0056614E"/>
    <w:rsid w:val="00566D90"/>
    <w:rsid w:val="005672C9"/>
    <w:rsid w:val="005675B7"/>
    <w:rsid w:val="00567A15"/>
    <w:rsid w:val="005721D2"/>
    <w:rsid w:val="0057243C"/>
    <w:rsid w:val="0057263D"/>
    <w:rsid w:val="005739DF"/>
    <w:rsid w:val="00574801"/>
    <w:rsid w:val="00574D01"/>
    <w:rsid w:val="00575FBC"/>
    <w:rsid w:val="00575FED"/>
    <w:rsid w:val="00576544"/>
    <w:rsid w:val="00576A24"/>
    <w:rsid w:val="005771F5"/>
    <w:rsid w:val="005776CC"/>
    <w:rsid w:val="005779D3"/>
    <w:rsid w:val="005805C8"/>
    <w:rsid w:val="00580FF3"/>
    <w:rsid w:val="00581104"/>
    <w:rsid w:val="00581351"/>
    <w:rsid w:val="00581B71"/>
    <w:rsid w:val="00582A1D"/>
    <w:rsid w:val="00582A9F"/>
    <w:rsid w:val="00582D65"/>
    <w:rsid w:val="00583316"/>
    <w:rsid w:val="00583369"/>
    <w:rsid w:val="00583A85"/>
    <w:rsid w:val="00583F79"/>
    <w:rsid w:val="005848FF"/>
    <w:rsid w:val="00584F59"/>
    <w:rsid w:val="0058526A"/>
    <w:rsid w:val="00585A81"/>
    <w:rsid w:val="00585C13"/>
    <w:rsid w:val="00586FDF"/>
    <w:rsid w:val="00587C3D"/>
    <w:rsid w:val="005904CE"/>
    <w:rsid w:val="00590601"/>
    <w:rsid w:val="00590EE5"/>
    <w:rsid w:val="00591903"/>
    <w:rsid w:val="005923F0"/>
    <w:rsid w:val="00592495"/>
    <w:rsid w:val="005932D2"/>
    <w:rsid w:val="0059335C"/>
    <w:rsid w:val="00593B14"/>
    <w:rsid w:val="005943A3"/>
    <w:rsid w:val="00594E96"/>
    <w:rsid w:val="00595021"/>
    <w:rsid w:val="005953A7"/>
    <w:rsid w:val="00595431"/>
    <w:rsid w:val="00596372"/>
    <w:rsid w:val="00596D75"/>
    <w:rsid w:val="005970F4"/>
    <w:rsid w:val="005A1339"/>
    <w:rsid w:val="005A1361"/>
    <w:rsid w:val="005A1AFF"/>
    <w:rsid w:val="005A3614"/>
    <w:rsid w:val="005A3DD8"/>
    <w:rsid w:val="005A40FC"/>
    <w:rsid w:val="005A4949"/>
    <w:rsid w:val="005A53F4"/>
    <w:rsid w:val="005A5A7B"/>
    <w:rsid w:val="005A5ED2"/>
    <w:rsid w:val="005A612C"/>
    <w:rsid w:val="005A6CAA"/>
    <w:rsid w:val="005B0800"/>
    <w:rsid w:val="005B0A2B"/>
    <w:rsid w:val="005B103C"/>
    <w:rsid w:val="005B1895"/>
    <w:rsid w:val="005B229A"/>
    <w:rsid w:val="005B28E4"/>
    <w:rsid w:val="005B2C0A"/>
    <w:rsid w:val="005B3407"/>
    <w:rsid w:val="005B349B"/>
    <w:rsid w:val="005B4FA3"/>
    <w:rsid w:val="005B525E"/>
    <w:rsid w:val="005B6268"/>
    <w:rsid w:val="005B6373"/>
    <w:rsid w:val="005B665C"/>
    <w:rsid w:val="005B6714"/>
    <w:rsid w:val="005B6E09"/>
    <w:rsid w:val="005C02C2"/>
    <w:rsid w:val="005C1BF3"/>
    <w:rsid w:val="005C206F"/>
    <w:rsid w:val="005C3092"/>
    <w:rsid w:val="005C361F"/>
    <w:rsid w:val="005C39F9"/>
    <w:rsid w:val="005C3E1A"/>
    <w:rsid w:val="005C405E"/>
    <w:rsid w:val="005C5557"/>
    <w:rsid w:val="005C5E4E"/>
    <w:rsid w:val="005C6918"/>
    <w:rsid w:val="005C6F8F"/>
    <w:rsid w:val="005C7E4A"/>
    <w:rsid w:val="005C7ED7"/>
    <w:rsid w:val="005D1858"/>
    <w:rsid w:val="005D251B"/>
    <w:rsid w:val="005D3892"/>
    <w:rsid w:val="005D3A3C"/>
    <w:rsid w:val="005D3A6E"/>
    <w:rsid w:val="005D48A8"/>
    <w:rsid w:val="005D4984"/>
    <w:rsid w:val="005D4A3E"/>
    <w:rsid w:val="005D6360"/>
    <w:rsid w:val="005D66D8"/>
    <w:rsid w:val="005D6859"/>
    <w:rsid w:val="005D6ED2"/>
    <w:rsid w:val="005D7648"/>
    <w:rsid w:val="005D7987"/>
    <w:rsid w:val="005D7FF3"/>
    <w:rsid w:val="005E01CF"/>
    <w:rsid w:val="005E08BC"/>
    <w:rsid w:val="005E1351"/>
    <w:rsid w:val="005E145B"/>
    <w:rsid w:val="005E2294"/>
    <w:rsid w:val="005E42EF"/>
    <w:rsid w:val="005E4328"/>
    <w:rsid w:val="005E5019"/>
    <w:rsid w:val="005E51CB"/>
    <w:rsid w:val="005E5AC8"/>
    <w:rsid w:val="005E693F"/>
    <w:rsid w:val="005E6C5C"/>
    <w:rsid w:val="005E71E6"/>
    <w:rsid w:val="005F1339"/>
    <w:rsid w:val="005F26C4"/>
    <w:rsid w:val="005F2F41"/>
    <w:rsid w:val="005F3EE9"/>
    <w:rsid w:val="005F4675"/>
    <w:rsid w:val="005F5DDD"/>
    <w:rsid w:val="005F66FC"/>
    <w:rsid w:val="005F6CC1"/>
    <w:rsid w:val="005F6E34"/>
    <w:rsid w:val="005F71CB"/>
    <w:rsid w:val="005F738F"/>
    <w:rsid w:val="005F7BDE"/>
    <w:rsid w:val="00600690"/>
    <w:rsid w:val="00601085"/>
    <w:rsid w:val="00601BDE"/>
    <w:rsid w:val="00602D41"/>
    <w:rsid w:val="00603EFC"/>
    <w:rsid w:val="006041C7"/>
    <w:rsid w:val="006047FC"/>
    <w:rsid w:val="00604D90"/>
    <w:rsid w:val="00605144"/>
    <w:rsid w:val="00605DEA"/>
    <w:rsid w:val="006063F7"/>
    <w:rsid w:val="006070FC"/>
    <w:rsid w:val="0060745E"/>
    <w:rsid w:val="0060760F"/>
    <w:rsid w:val="00610093"/>
    <w:rsid w:val="00610503"/>
    <w:rsid w:val="00610828"/>
    <w:rsid w:val="0061320E"/>
    <w:rsid w:val="0061354B"/>
    <w:rsid w:val="006135A9"/>
    <w:rsid w:val="00613A4A"/>
    <w:rsid w:val="006142F2"/>
    <w:rsid w:val="0061457D"/>
    <w:rsid w:val="00614764"/>
    <w:rsid w:val="00614E35"/>
    <w:rsid w:val="00614FD4"/>
    <w:rsid w:val="006158F7"/>
    <w:rsid w:val="00615AD5"/>
    <w:rsid w:val="00617129"/>
    <w:rsid w:val="00617167"/>
    <w:rsid w:val="006171CB"/>
    <w:rsid w:val="00617960"/>
    <w:rsid w:val="00620305"/>
    <w:rsid w:val="00621091"/>
    <w:rsid w:val="006211A1"/>
    <w:rsid w:val="006214EB"/>
    <w:rsid w:val="0062260F"/>
    <w:rsid w:val="00622945"/>
    <w:rsid w:val="006241F5"/>
    <w:rsid w:val="006242C4"/>
    <w:rsid w:val="0062470C"/>
    <w:rsid w:val="00624750"/>
    <w:rsid w:val="00624B4C"/>
    <w:rsid w:val="00624EB1"/>
    <w:rsid w:val="00624FD0"/>
    <w:rsid w:val="00625A2B"/>
    <w:rsid w:val="006266D7"/>
    <w:rsid w:val="006274C9"/>
    <w:rsid w:val="00627A37"/>
    <w:rsid w:val="00627AA3"/>
    <w:rsid w:val="00630D23"/>
    <w:rsid w:val="006311F3"/>
    <w:rsid w:val="006312C7"/>
    <w:rsid w:val="00632230"/>
    <w:rsid w:val="0063223B"/>
    <w:rsid w:val="00633293"/>
    <w:rsid w:val="00633584"/>
    <w:rsid w:val="00633D12"/>
    <w:rsid w:val="00634341"/>
    <w:rsid w:val="00634770"/>
    <w:rsid w:val="00634870"/>
    <w:rsid w:val="00635628"/>
    <w:rsid w:val="00635ECC"/>
    <w:rsid w:val="00637497"/>
    <w:rsid w:val="00637770"/>
    <w:rsid w:val="00637CA9"/>
    <w:rsid w:val="00641DB2"/>
    <w:rsid w:val="00642093"/>
    <w:rsid w:val="00642237"/>
    <w:rsid w:val="006425D2"/>
    <w:rsid w:val="00642B25"/>
    <w:rsid w:val="006431E8"/>
    <w:rsid w:val="00644A3D"/>
    <w:rsid w:val="00644AB5"/>
    <w:rsid w:val="006456DB"/>
    <w:rsid w:val="006459F7"/>
    <w:rsid w:val="00645EAB"/>
    <w:rsid w:val="00646781"/>
    <w:rsid w:val="00647107"/>
    <w:rsid w:val="00650C23"/>
    <w:rsid w:val="006519AC"/>
    <w:rsid w:val="00651BDB"/>
    <w:rsid w:val="00652D9C"/>
    <w:rsid w:val="0065386D"/>
    <w:rsid w:val="006542E1"/>
    <w:rsid w:val="0065434E"/>
    <w:rsid w:val="006549BA"/>
    <w:rsid w:val="0065516E"/>
    <w:rsid w:val="00657147"/>
    <w:rsid w:val="006571E0"/>
    <w:rsid w:val="00657233"/>
    <w:rsid w:val="00657366"/>
    <w:rsid w:val="0065749A"/>
    <w:rsid w:val="006574CC"/>
    <w:rsid w:val="0065761F"/>
    <w:rsid w:val="006603B5"/>
    <w:rsid w:val="00660EBA"/>
    <w:rsid w:val="0066187E"/>
    <w:rsid w:val="0066213C"/>
    <w:rsid w:val="00662F9D"/>
    <w:rsid w:val="0066309F"/>
    <w:rsid w:val="0066361A"/>
    <w:rsid w:val="00663C34"/>
    <w:rsid w:val="00663CA5"/>
    <w:rsid w:val="00664081"/>
    <w:rsid w:val="00665965"/>
    <w:rsid w:val="00665DAC"/>
    <w:rsid w:val="00666673"/>
    <w:rsid w:val="00666A04"/>
    <w:rsid w:val="00666A99"/>
    <w:rsid w:val="00666F75"/>
    <w:rsid w:val="006673C4"/>
    <w:rsid w:val="00667942"/>
    <w:rsid w:val="00671B2B"/>
    <w:rsid w:val="00671C24"/>
    <w:rsid w:val="0067338E"/>
    <w:rsid w:val="0067355C"/>
    <w:rsid w:val="00673BC5"/>
    <w:rsid w:val="00673D30"/>
    <w:rsid w:val="00674552"/>
    <w:rsid w:val="0067467D"/>
    <w:rsid w:val="00674879"/>
    <w:rsid w:val="006761AC"/>
    <w:rsid w:val="00676968"/>
    <w:rsid w:val="00676CBE"/>
    <w:rsid w:val="006772BF"/>
    <w:rsid w:val="006775BE"/>
    <w:rsid w:val="00677AFA"/>
    <w:rsid w:val="0068042D"/>
    <w:rsid w:val="00681448"/>
    <w:rsid w:val="00681940"/>
    <w:rsid w:val="00682C99"/>
    <w:rsid w:val="00683296"/>
    <w:rsid w:val="00683FCE"/>
    <w:rsid w:val="006841C3"/>
    <w:rsid w:val="006842DF"/>
    <w:rsid w:val="006843EA"/>
    <w:rsid w:val="0068448A"/>
    <w:rsid w:val="00684538"/>
    <w:rsid w:val="00684F91"/>
    <w:rsid w:val="00685104"/>
    <w:rsid w:val="00686D12"/>
    <w:rsid w:val="006875D9"/>
    <w:rsid w:val="006876A2"/>
    <w:rsid w:val="00687796"/>
    <w:rsid w:val="0068794D"/>
    <w:rsid w:val="00687A0A"/>
    <w:rsid w:val="00687B40"/>
    <w:rsid w:val="00690977"/>
    <w:rsid w:val="00690C35"/>
    <w:rsid w:val="006910CC"/>
    <w:rsid w:val="00692104"/>
    <w:rsid w:val="006928E4"/>
    <w:rsid w:val="00693706"/>
    <w:rsid w:val="006938A7"/>
    <w:rsid w:val="00694514"/>
    <w:rsid w:val="006945B0"/>
    <w:rsid w:val="00695206"/>
    <w:rsid w:val="00695D39"/>
    <w:rsid w:val="00695F87"/>
    <w:rsid w:val="00696043"/>
    <w:rsid w:val="00696B50"/>
    <w:rsid w:val="00697136"/>
    <w:rsid w:val="00697C79"/>
    <w:rsid w:val="006A001D"/>
    <w:rsid w:val="006A0169"/>
    <w:rsid w:val="006A09BC"/>
    <w:rsid w:val="006A1271"/>
    <w:rsid w:val="006A1677"/>
    <w:rsid w:val="006A18BC"/>
    <w:rsid w:val="006A19D7"/>
    <w:rsid w:val="006A1F81"/>
    <w:rsid w:val="006A2177"/>
    <w:rsid w:val="006A2260"/>
    <w:rsid w:val="006A28AF"/>
    <w:rsid w:val="006A28C7"/>
    <w:rsid w:val="006A2FBA"/>
    <w:rsid w:val="006A2FF2"/>
    <w:rsid w:val="006A313A"/>
    <w:rsid w:val="006A4A36"/>
    <w:rsid w:val="006A5469"/>
    <w:rsid w:val="006A56EC"/>
    <w:rsid w:val="006A5BA7"/>
    <w:rsid w:val="006A5F77"/>
    <w:rsid w:val="006A6537"/>
    <w:rsid w:val="006A6A18"/>
    <w:rsid w:val="006A6BD4"/>
    <w:rsid w:val="006A6EB1"/>
    <w:rsid w:val="006A6F34"/>
    <w:rsid w:val="006A6FAE"/>
    <w:rsid w:val="006A7D21"/>
    <w:rsid w:val="006A7EEB"/>
    <w:rsid w:val="006B0E14"/>
    <w:rsid w:val="006B0F2A"/>
    <w:rsid w:val="006B1F4D"/>
    <w:rsid w:val="006B296B"/>
    <w:rsid w:val="006B359B"/>
    <w:rsid w:val="006B4024"/>
    <w:rsid w:val="006B40D3"/>
    <w:rsid w:val="006B451D"/>
    <w:rsid w:val="006B4A53"/>
    <w:rsid w:val="006B56AC"/>
    <w:rsid w:val="006B6005"/>
    <w:rsid w:val="006B6A5F"/>
    <w:rsid w:val="006B6CF0"/>
    <w:rsid w:val="006B6EE7"/>
    <w:rsid w:val="006B6FA6"/>
    <w:rsid w:val="006B7D41"/>
    <w:rsid w:val="006B7EC7"/>
    <w:rsid w:val="006B7F4C"/>
    <w:rsid w:val="006C0069"/>
    <w:rsid w:val="006C0CC0"/>
    <w:rsid w:val="006C0E0E"/>
    <w:rsid w:val="006C15C6"/>
    <w:rsid w:val="006C2570"/>
    <w:rsid w:val="006C2895"/>
    <w:rsid w:val="006C2CD8"/>
    <w:rsid w:val="006C3C01"/>
    <w:rsid w:val="006C3F03"/>
    <w:rsid w:val="006C4B6B"/>
    <w:rsid w:val="006C4D1F"/>
    <w:rsid w:val="006C51DE"/>
    <w:rsid w:val="006C6312"/>
    <w:rsid w:val="006C6672"/>
    <w:rsid w:val="006C7035"/>
    <w:rsid w:val="006C72EE"/>
    <w:rsid w:val="006C72F3"/>
    <w:rsid w:val="006C7422"/>
    <w:rsid w:val="006C786E"/>
    <w:rsid w:val="006D14F8"/>
    <w:rsid w:val="006D150F"/>
    <w:rsid w:val="006D1CE0"/>
    <w:rsid w:val="006D1D58"/>
    <w:rsid w:val="006D2105"/>
    <w:rsid w:val="006D24D9"/>
    <w:rsid w:val="006D2BFF"/>
    <w:rsid w:val="006D35F8"/>
    <w:rsid w:val="006D3E29"/>
    <w:rsid w:val="006D3E7F"/>
    <w:rsid w:val="006D40B2"/>
    <w:rsid w:val="006D45EA"/>
    <w:rsid w:val="006D48EA"/>
    <w:rsid w:val="006D4ADF"/>
    <w:rsid w:val="006D4EBC"/>
    <w:rsid w:val="006D50AB"/>
    <w:rsid w:val="006D592F"/>
    <w:rsid w:val="006D5C4F"/>
    <w:rsid w:val="006D639A"/>
    <w:rsid w:val="006D6968"/>
    <w:rsid w:val="006D6B8B"/>
    <w:rsid w:val="006D763D"/>
    <w:rsid w:val="006E053E"/>
    <w:rsid w:val="006E1E1E"/>
    <w:rsid w:val="006E1F3A"/>
    <w:rsid w:val="006E1FEC"/>
    <w:rsid w:val="006E20B4"/>
    <w:rsid w:val="006E2264"/>
    <w:rsid w:val="006E23BF"/>
    <w:rsid w:val="006E24E5"/>
    <w:rsid w:val="006E2852"/>
    <w:rsid w:val="006E3737"/>
    <w:rsid w:val="006E3B06"/>
    <w:rsid w:val="006E3BB8"/>
    <w:rsid w:val="006E3CFD"/>
    <w:rsid w:val="006E3D74"/>
    <w:rsid w:val="006E42C5"/>
    <w:rsid w:val="006E4E87"/>
    <w:rsid w:val="006E5DEC"/>
    <w:rsid w:val="006E6669"/>
    <w:rsid w:val="006E6A7D"/>
    <w:rsid w:val="006E6F8A"/>
    <w:rsid w:val="006E715A"/>
    <w:rsid w:val="006E7269"/>
    <w:rsid w:val="006E7790"/>
    <w:rsid w:val="006E7903"/>
    <w:rsid w:val="006E7D4E"/>
    <w:rsid w:val="006E7FBC"/>
    <w:rsid w:val="006F0CF8"/>
    <w:rsid w:val="006F0FD8"/>
    <w:rsid w:val="006F125D"/>
    <w:rsid w:val="006F172C"/>
    <w:rsid w:val="006F1978"/>
    <w:rsid w:val="006F1B54"/>
    <w:rsid w:val="006F21CD"/>
    <w:rsid w:val="006F3007"/>
    <w:rsid w:val="006F311B"/>
    <w:rsid w:val="006F3207"/>
    <w:rsid w:val="006F35F5"/>
    <w:rsid w:val="006F480C"/>
    <w:rsid w:val="006F5687"/>
    <w:rsid w:val="006F5C57"/>
    <w:rsid w:val="006F5CCC"/>
    <w:rsid w:val="006F61B2"/>
    <w:rsid w:val="006F65FC"/>
    <w:rsid w:val="006F6CE2"/>
    <w:rsid w:val="006F6F7D"/>
    <w:rsid w:val="006F7150"/>
    <w:rsid w:val="006F734A"/>
    <w:rsid w:val="007003BA"/>
    <w:rsid w:val="0070047D"/>
    <w:rsid w:val="007005FC"/>
    <w:rsid w:val="00700DEF"/>
    <w:rsid w:val="00701414"/>
    <w:rsid w:val="00701963"/>
    <w:rsid w:val="00701E96"/>
    <w:rsid w:val="0070209B"/>
    <w:rsid w:val="00702929"/>
    <w:rsid w:val="007029E0"/>
    <w:rsid w:val="007030F6"/>
    <w:rsid w:val="00703147"/>
    <w:rsid w:val="007031F4"/>
    <w:rsid w:val="00703DB5"/>
    <w:rsid w:val="0070401E"/>
    <w:rsid w:val="0070465B"/>
    <w:rsid w:val="00704915"/>
    <w:rsid w:val="00704EFA"/>
    <w:rsid w:val="00705A8D"/>
    <w:rsid w:val="0070643C"/>
    <w:rsid w:val="0070705A"/>
    <w:rsid w:val="007076CA"/>
    <w:rsid w:val="007077BE"/>
    <w:rsid w:val="007078DF"/>
    <w:rsid w:val="00707FF9"/>
    <w:rsid w:val="007115B7"/>
    <w:rsid w:val="00711DA1"/>
    <w:rsid w:val="00711FEF"/>
    <w:rsid w:val="0071295B"/>
    <w:rsid w:val="00712F3E"/>
    <w:rsid w:val="00714130"/>
    <w:rsid w:val="007154FA"/>
    <w:rsid w:val="00715622"/>
    <w:rsid w:val="007159AD"/>
    <w:rsid w:val="00716CD2"/>
    <w:rsid w:val="00716E8C"/>
    <w:rsid w:val="00717450"/>
    <w:rsid w:val="007178D1"/>
    <w:rsid w:val="00720BD2"/>
    <w:rsid w:val="0072198F"/>
    <w:rsid w:val="00721E5A"/>
    <w:rsid w:val="00721E5C"/>
    <w:rsid w:val="00722072"/>
    <w:rsid w:val="00722988"/>
    <w:rsid w:val="007229AB"/>
    <w:rsid w:val="00722F4C"/>
    <w:rsid w:val="007234EB"/>
    <w:rsid w:val="007235D1"/>
    <w:rsid w:val="00723CE2"/>
    <w:rsid w:val="007245C6"/>
    <w:rsid w:val="00724766"/>
    <w:rsid w:val="007248FB"/>
    <w:rsid w:val="00726244"/>
    <w:rsid w:val="00727AA5"/>
    <w:rsid w:val="00727ABA"/>
    <w:rsid w:val="00727BD1"/>
    <w:rsid w:val="00727D55"/>
    <w:rsid w:val="00727D96"/>
    <w:rsid w:val="00731A11"/>
    <w:rsid w:val="00731B57"/>
    <w:rsid w:val="00732054"/>
    <w:rsid w:val="00732D09"/>
    <w:rsid w:val="00733BF9"/>
    <w:rsid w:val="00735DBC"/>
    <w:rsid w:val="00735E7B"/>
    <w:rsid w:val="00736169"/>
    <w:rsid w:val="00736F02"/>
    <w:rsid w:val="0073703D"/>
    <w:rsid w:val="00737579"/>
    <w:rsid w:val="00737AC7"/>
    <w:rsid w:val="007409EA"/>
    <w:rsid w:val="00740A62"/>
    <w:rsid w:val="00740D86"/>
    <w:rsid w:val="00740F8C"/>
    <w:rsid w:val="0074140D"/>
    <w:rsid w:val="0074202E"/>
    <w:rsid w:val="00742742"/>
    <w:rsid w:val="00743353"/>
    <w:rsid w:val="00743366"/>
    <w:rsid w:val="00743AF0"/>
    <w:rsid w:val="00743D22"/>
    <w:rsid w:val="00743D2F"/>
    <w:rsid w:val="00743EAC"/>
    <w:rsid w:val="0074434B"/>
    <w:rsid w:val="00744432"/>
    <w:rsid w:val="00744559"/>
    <w:rsid w:val="00744715"/>
    <w:rsid w:val="00744F7E"/>
    <w:rsid w:val="0074523C"/>
    <w:rsid w:val="007458B9"/>
    <w:rsid w:val="007458CF"/>
    <w:rsid w:val="00746348"/>
    <w:rsid w:val="0074668F"/>
    <w:rsid w:val="007467CF"/>
    <w:rsid w:val="00746E62"/>
    <w:rsid w:val="00746F6E"/>
    <w:rsid w:val="0074724E"/>
    <w:rsid w:val="007472A7"/>
    <w:rsid w:val="00747E89"/>
    <w:rsid w:val="0075066F"/>
    <w:rsid w:val="00750D90"/>
    <w:rsid w:val="00751256"/>
    <w:rsid w:val="00751B12"/>
    <w:rsid w:val="00752C21"/>
    <w:rsid w:val="007537F2"/>
    <w:rsid w:val="00754ABC"/>
    <w:rsid w:val="007551D9"/>
    <w:rsid w:val="007554F8"/>
    <w:rsid w:val="00756571"/>
    <w:rsid w:val="00756EFB"/>
    <w:rsid w:val="00757B60"/>
    <w:rsid w:val="00757D71"/>
    <w:rsid w:val="00757F63"/>
    <w:rsid w:val="0076014F"/>
    <w:rsid w:val="00760A85"/>
    <w:rsid w:val="00760E21"/>
    <w:rsid w:val="00761689"/>
    <w:rsid w:val="00762A08"/>
    <w:rsid w:val="00762B03"/>
    <w:rsid w:val="00763046"/>
    <w:rsid w:val="00763A75"/>
    <w:rsid w:val="00764254"/>
    <w:rsid w:val="0076458E"/>
    <w:rsid w:val="0076492D"/>
    <w:rsid w:val="0076572F"/>
    <w:rsid w:val="00766295"/>
    <w:rsid w:val="00766434"/>
    <w:rsid w:val="007669D5"/>
    <w:rsid w:val="00766A6E"/>
    <w:rsid w:val="0076701E"/>
    <w:rsid w:val="00767453"/>
    <w:rsid w:val="0077085E"/>
    <w:rsid w:val="00770978"/>
    <w:rsid w:val="00770999"/>
    <w:rsid w:val="007712F4"/>
    <w:rsid w:val="00771461"/>
    <w:rsid w:val="00771A1E"/>
    <w:rsid w:val="00771C1B"/>
    <w:rsid w:val="007721F2"/>
    <w:rsid w:val="0077223F"/>
    <w:rsid w:val="00772374"/>
    <w:rsid w:val="00772519"/>
    <w:rsid w:val="00772601"/>
    <w:rsid w:val="00773743"/>
    <w:rsid w:val="0077386A"/>
    <w:rsid w:val="00773FC8"/>
    <w:rsid w:val="0077458C"/>
    <w:rsid w:val="0077467D"/>
    <w:rsid w:val="00774B4D"/>
    <w:rsid w:val="0077502C"/>
    <w:rsid w:val="00775509"/>
    <w:rsid w:val="00775613"/>
    <w:rsid w:val="0077574F"/>
    <w:rsid w:val="00775F1F"/>
    <w:rsid w:val="00775F41"/>
    <w:rsid w:val="007764BE"/>
    <w:rsid w:val="0077666C"/>
    <w:rsid w:val="00776AE6"/>
    <w:rsid w:val="0077726D"/>
    <w:rsid w:val="007775A1"/>
    <w:rsid w:val="00777FDB"/>
    <w:rsid w:val="00780C76"/>
    <w:rsid w:val="0078137C"/>
    <w:rsid w:val="0078198A"/>
    <w:rsid w:val="00781D62"/>
    <w:rsid w:val="00781ECE"/>
    <w:rsid w:val="00782587"/>
    <w:rsid w:val="00782A5F"/>
    <w:rsid w:val="00782D2B"/>
    <w:rsid w:val="007838BF"/>
    <w:rsid w:val="00784334"/>
    <w:rsid w:val="00785325"/>
    <w:rsid w:val="00785802"/>
    <w:rsid w:val="00785989"/>
    <w:rsid w:val="00785B90"/>
    <w:rsid w:val="0078600D"/>
    <w:rsid w:val="007860DE"/>
    <w:rsid w:val="0078638E"/>
    <w:rsid w:val="007866B0"/>
    <w:rsid w:val="007878FF"/>
    <w:rsid w:val="007903C7"/>
    <w:rsid w:val="007904C5"/>
    <w:rsid w:val="00790C94"/>
    <w:rsid w:val="00792D1F"/>
    <w:rsid w:val="00792E07"/>
    <w:rsid w:val="00793424"/>
    <w:rsid w:val="007934C6"/>
    <w:rsid w:val="007935F4"/>
    <w:rsid w:val="00793FF5"/>
    <w:rsid w:val="0079423B"/>
    <w:rsid w:val="00794383"/>
    <w:rsid w:val="00794831"/>
    <w:rsid w:val="00794A1A"/>
    <w:rsid w:val="00794D58"/>
    <w:rsid w:val="007956BA"/>
    <w:rsid w:val="007959A0"/>
    <w:rsid w:val="007961B1"/>
    <w:rsid w:val="00796D48"/>
    <w:rsid w:val="00797054"/>
    <w:rsid w:val="00797276"/>
    <w:rsid w:val="00797423"/>
    <w:rsid w:val="0079742D"/>
    <w:rsid w:val="00797A53"/>
    <w:rsid w:val="00797B02"/>
    <w:rsid w:val="00797D2C"/>
    <w:rsid w:val="00797DBC"/>
    <w:rsid w:val="00797F45"/>
    <w:rsid w:val="007A07D2"/>
    <w:rsid w:val="007A1256"/>
    <w:rsid w:val="007A1815"/>
    <w:rsid w:val="007A1C2D"/>
    <w:rsid w:val="007A1DE6"/>
    <w:rsid w:val="007A1EEB"/>
    <w:rsid w:val="007A2B4B"/>
    <w:rsid w:val="007A3773"/>
    <w:rsid w:val="007A3906"/>
    <w:rsid w:val="007A3C6F"/>
    <w:rsid w:val="007A404D"/>
    <w:rsid w:val="007A4352"/>
    <w:rsid w:val="007A49A9"/>
    <w:rsid w:val="007A4DE6"/>
    <w:rsid w:val="007A5833"/>
    <w:rsid w:val="007A5EE5"/>
    <w:rsid w:val="007A637E"/>
    <w:rsid w:val="007A6926"/>
    <w:rsid w:val="007B032A"/>
    <w:rsid w:val="007B075F"/>
    <w:rsid w:val="007B0989"/>
    <w:rsid w:val="007B1E31"/>
    <w:rsid w:val="007B2DB9"/>
    <w:rsid w:val="007B2E4A"/>
    <w:rsid w:val="007B3045"/>
    <w:rsid w:val="007B3DF6"/>
    <w:rsid w:val="007B4CFA"/>
    <w:rsid w:val="007B4F94"/>
    <w:rsid w:val="007B53D1"/>
    <w:rsid w:val="007B550A"/>
    <w:rsid w:val="007B604C"/>
    <w:rsid w:val="007B6151"/>
    <w:rsid w:val="007B63AA"/>
    <w:rsid w:val="007B695F"/>
    <w:rsid w:val="007B6B5C"/>
    <w:rsid w:val="007B715F"/>
    <w:rsid w:val="007B78BC"/>
    <w:rsid w:val="007B7999"/>
    <w:rsid w:val="007C01C6"/>
    <w:rsid w:val="007C0AE2"/>
    <w:rsid w:val="007C0C40"/>
    <w:rsid w:val="007C1673"/>
    <w:rsid w:val="007C35B2"/>
    <w:rsid w:val="007C3924"/>
    <w:rsid w:val="007C3A49"/>
    <w:rsid w:val="007C3B00"/>
    <w:rsid w:val="007C3E6F"/>
    <w:rsid w:val="007C4940"/>
    <w:rsid w:val="007C4975"/>
    <w:rsid w:val="007C4AFC"/>
    <w:rsid w:val="007C4CD7"/>
    <w:rsid w:val="007C4EF7"/>
    <w:rsid w:val="007C5951"/>
    <w:rsid w:val="007C5BD1"/>
    <w:rsid w:val="007C62B2"/>
    <w:rsid w:val="007C6305"/>
    <w:rsid w:val="007C65DA"/>
    <w:rsid w:val="007C693D"/>
    <w:rsid w:val="007C7040"/>
    <w:rsid w:val="007C729B"/>
    <w:rsid w:val="007C7535"/>
    <w:rsid w:val="007C7A97"/>
    <w:rsid w:val="007D029E"/>
    <w:rsid w:val="007D0557"/>
    <w:rsid w:val="007D064E"/>
    <w:rsid w:val="007D1A2E"/>
    <w:rsid w:val="007D2229"/>
    <w:rsid w:val="007D257E"/>
    <w:rsid w:val="007D28DB"/>
    <w:rsid w:val="007D2A2E"/>
    <w:rsid w:val="007D2B55"/>
    <w:rsid w:val="007D2E02"/>
    <w:rsid w:val="007D3DC5"/>
    <w:rsid w:val="007D3E1E"/>
    <w:rsid w:val="007D3F55"/>
    <w:rsid w:val="007D431C"/>
    <w:rsid w:val="007D4BDA"/>
    <w:rsid w:val="007D53B4"/>
    <w:rsid w:val="007D5667"/>
    <w:rsid w:val="007D62E5"/>
    <w:rsid w:val="007E019C"/>
    <w:rsid w:val="007E0256"/>
    <w:rsid w:val="007E0286"/>
    <w:rsid w:val="007E1829"/>
    <w:rsid w:val="007E1B0A"/>
    <w:rsid w:val="007E1CE2"/>
    <w:rsid w:val="007E1D0D"/>
    <w:rsid w:val="007E205C"/>
    <w:rsid w:val="007E22B3"/>
    <w:rsid w:val="007E3505"/>
    <w:rsid w:val="007E3DEC"/>
    <w:rsid w:val="007E496F"/>
    <w:rsid w:val="007E4AF1"/>
    <w:rsid w:val="007E4F6E"/>
    <w:rsid w:val="007E50EE"/>
    <w:rsid w:val="007E5AD0"/>
    <w:rsid w:val="007E64E3"/>
    <w:rsid w:val="007E6703"/>
    <w:rsid w:val="007E6DFE"/>
    <w:rsid w:val="007E70E3"/>
    <w:rsid w:val="007E7393"/>
    <w:rsid w:val="007E73B5"/>
    <w:rsid w:val="007E7BDD"/>
    <w:rsid w:val="007F0102"/>
    <w:rsid w:val="007F04CD"/>
    <w:rsid w:val="007F09B7"/>
    <w:rsid w:val="007F0BC3"/>
    <w:rsid w:val="007F104D"/>
    <w:rsid w:val="007F1859"/>
    <w:rsid w:val="007F1D50"/>
    <w:rsid w:val="007F20BD"/>
    <w:rsid w:val="007F4706"/>
    <w:rsid w:val="007F5090"/>
    <w:rsid w:val="007F5533"/>
    <w:rsid w:val="007F5D86"/>
    <w:rsid w:val="007F5E9D"/>
    <w:rsid w:val="007F622C"/>
    <w:rsid w:val="007F7501"/>
    <w:rsid w:val="008006EA"/>
    <w:rsid w:val="00801E28"/>
    <w:rsid w:val="00802354"/>
    <w:rsid w:val="008028D6"/>
    <w:rsid w:val="008029B7"/>
    <w:rsid w:val="00802AB6"/>
    <w:rsid w:val="00802C04"/>
    <w:rsid w:val="00802EF5"/>
    <w:rsid w:val="00803142"/>
    <w:rsid w:val="00803B1B"/>
    <w:rsid w:val="008043E6"/>
    <w:rsid w:val="008047E8"/>
    <w:rsid w:val="0080553C"/>
    <w:rsid w:val="00805C9B"/>
    <w:rsid w:val="0080653F"/>
    <w:rsid w:val="00806E6A"/>
    <w:rsid w:val="00806F85"/>
    <w:rsid w:val="00807E32"/>
    <w:rsid w:val="008103A9"/>
    <w:rsid w:val="00811123"/>
    <w:rsid w:val="0081161F"/>
    <w:rsid w:val="00811C2D"/>
    <w:rsid w:val="00812065"/>
    <w:rsid w:val="00813319"/>
    <w:rsid w:val="0081694C"/>
    <w:rsid w:val="00816C93"/>
    <w:rsid w:val="008173D7"/>
    <w:rsid w:val="008176FC"/>
    <w:rsid w:val="0082196B"/>
    <w:rsid w:val="00821C97"/>
    <w:rsid w:val="008222C4"/>
    <w:rsid w:val="008239D3"/>
    <w:rsid w:val="00823D56"/>
    <w:rsid w:val="00823DC8"/>
    <w:rsid w:val="008256AB"/>
    <w:rsid w:val="00825962"/>
    <w:rsid w:val="00825C02"/>
    <w:rsid w:val="00825CE5"/>
    <w:rsid w:val="00825E56"/>
    <w:rsid w:val="00825F40"/>
    <w:rsid w:val="0082799E"/>
    <w:rsid w:val="00830562"/>
    <w:rsid w:val="00831580"/>
    <w:rsid w:val="00831883"/>
    <w:rsid w:val="00831DBC"/>
    <w:rsid w:val="00832188"/>
    <w:rsid w:val="008326D7"/>
    <w:rsid w:val="008330F9"/>
    <w:rsid w:val="008335B5"/>
    <w:rsid w:val="00833613"/>
    <w:rsid w:val="00833833"/>
    <w:rsid w:val="00833A5B"/>
    <w:rsid w:val="00833B8D"/>
    <w:rsid w:val="00833ECA"/>
    <w:rsid w:val="00834355"/>
    <w:rsid w:val="00834594"/>
    <w:rsid w:val="00834C31"/>
    <w:rsid w:val="00834E29"/>
    <w:rsid w:val="00834E3C"/>
    <w:rsid w:val="008350D0"/>
    <w:rsid w:val="008353D2"/>
    <w:rsid w:val="00835404"/>
    <w:rsid w:val="00836178"/>
    <w:rsid w:val="0083648D"/>
    <w:rsid w:val="00836E17"/>
    <w:rsid w:val="00840E3C"/>
    <w:rsid w:val="00841004"/>
    <w:rsid w:val="00841D97"/>
    <w:rsid w:val="00842549"/>
    <w:rsid w:val="008427AD"/>
    <w:rsid w:val="00842945"/>
    <w:rsid w:val="00842B2F"/>
    <w:rsid w:val="008439B5"/>
    <w:rsid w:val="00843C53"/>
    <w:rsid w:val="0084458C"/>
    <w:rsid w:val="008445AC"/>
    <w:rsid w:val="00844A99"/>
    <w:rsid w:val="00844D06"/>
    <w:rsid w:val="0084544B"/>
    <w:rsid w:val="00845620"/>
    <w:rsid w:val="0084654F"/>
    <w:rsid w:val="00846662"/>
    <w:rsid w:val="00846E81"/>
    <w:rsid w:val="0084724F"/>
    <w:rsid w:val="00847636"/>
    <w:rsid w:val="00847A2E"/>
    <w:rsid w:val="00847CF8"/>
    <w:rsid w:val="00850100"/>
    <w:rsid w:val="00850479"/>
    <w:rsid w:val="00850B2D"/>
    <w:rsid w:val="00851452"/>
    <w:rsid w:val="00851705"/>
    <w:rsid w:val="008517CE"/>
    <w:rsid w:val="008520B6"/>
    <w:rsid w:val="00852970"/>
    <w:rsid w:val="00853C97"/>
    <w:rsid w:val="008547C1"/>
    <w:rsid w:val="00854F4E"/>
    <w:rsid w:val="008554BE"/>
    <w:rsid w:val="008558D4"/>
    <w:rsid w:val="008561D0"/>
    <w:rsid w:val="0085651D"/>
    <w:rsid w:val="008566C9"/>
    <w:rsid w:val="00856EDB"/>
    <w:rsid w:val="00857537"/>
    <w:rsid w:val="008603A1"/>
    <w:rsid w:val="00860436"/>
    <w:rsid w:val="008607E4"/>
    <w:rsid w:val="00860B35"/>
    <w:rsid w:val="00861970"/>
    <w:rsid w:val="008628C1"/>
    <w:rsid w:val="00862F37"/>
    <w:rsid w:val="00863183"/>
    <w:rsid w:val="00863254"/>
    <w:rsid w:val="0086385A"/>
    <w:rsid w:val="008640A2"/>
    <w:rsid w:val="00864B5C"/>
    <w:rsid w:val="00864C72"/>
    <w:rsid w:val="008650F7"/>
    <w:rsid w:val="0086541F"/>
    <w:rsid w:val="00865D60"/>
    <w:rsid w:val="00866247"/>
    <w:rsid w:val="0086625B"/>
    <w:rsid w:val="008663A2"/>
    <w:rsid w:val="00866730"/>
    <w:rsid w:val="008669ED"/>
    <w:rsid w:val="0086771D"/>
    <w:rsid w:val="00867C59"/>
    <w:rsid w:val="00870A0D"/>
    <w:rsid w:val="00870D48"/>
    <w:rsid w:val="00871685"/>
    <w:rsid w:val="008731DA"/>
    <w:rsid w:val="0087327E"/>
    <w:rsid w:val="008732E1"/>
    <w:rsid w:val="00873522"/>
    <w:rsid w:val="00873FEF"/>
    <w:rsid w:val="00874112"/>
    <w:rsid w:val="0087417E"/>
    <w:rsid w:val="008744FE"/>
    <w:rsid w:val="0087482B"/>
    <w:rsid w:val="00874E9B"/>
    <w:rsid w:val="00875178"/>
    <w:rsid w:val="008759E5"/>
    <w:rsid w:val="008762D9"/>
    <w:rsid w:val="00877771"/>
    <w:rsid w:val="00877951"/>
    <w:rsid w:val="00877B49"/>
    <w:rsid w:val="00877B60"/>
    <w:rsid w:val="0088024A"/>
    <w:rsid w:val="008803A0"/>
    <w:rsid w:val="00880626"/>
    <w:rsid w:val="00880E5B"/>
    <w:rsid w:val="0088118F"/>
    <w:rsid w:val="008817F7"/>
    <w:rsid w:val="00881B8B"/>
    <w:rsid w:val="00882FD3"/>
    <w:rsid w:val="008831D6"/>
    <w:rsid w:val="00884D09"/>
    <w:rsid w:val="00884D36"/>
    <w:rsid w:val="00884F4C"/>
    <w:rsid w:val="008853B7"/>
    <w:rsid w:val="00885781"/>
    <w:rsid w:val="00885EE4"/>
    <w:rsid w:val="0088616F"/>
    <w:rsid w:val="00887D5D"/>
    <w:rsid w:val="00890502"/>
    <w:rsid w:val="0089070D"/>
    <w:rsid w:val="00891616"/>
    <w:rsid w:val="00891CA2"/>
    <w:rsid w:val="0089308A"/>
    <w:rsid w:val="0089386B"/>
    <w:rsid w:val="00893F52"/>
    <w:rsid w:val="00893FF2"/>
    <w:rsid w:val="00894C99"/>
    <w:rsid w:val="00895E15"/>
    <w:rsid w:val="00895EAC"/>
    <w:rsid w:val="00896401"/>
    <w:rsid w:val="0089644F"/>
    <w:rsid w:val="008964AC"/>
    <w:rsid w:val="0089657D"/>
    <w:rsid w:val="008968B8"/>
    <w:rsid w:val="00896DAF"/>
    <w:rsid w:val="008975BD"/>
    <w:rsid w:val="00897647"/>
    <w:rsid w:val="008A053D"/>
    <w:rsid w:val="008A0A45"/>
    <w:rsid w:val="008A0F0F"/>
    <w:rsid w:val="008A1450"/>
    <w:rsid w:val="008A19C7"/>
    <w:rsid w:val="008A1CC6"/>
    <w:rsid w:val="008A2022"/>
    <w:rsid w:val="008A2381"/>
    <w:rsid w:val="008A2790"/>
    <w:rsid w:val="008A34C3"/>
    <w:rsid w:val="008A3681"/>
    <w:rsid w:val="008A3694"/>
    <w:rsid w:val="008A416F"/>
    <w:rsid w:val="008A48FB"/>
    <w:rsid w:val="008A56C5"/>
    <w:rsid w:val="008A589A"/>
    <w:rsid w:val="008A7941"/>
    <w:rsid w:val="008B0293"/>
    <w:rsid w:val="008B0587"/>
    <w:rsid w:val="008B06C5"/>
    <w:rsid w:val="008B0C04"/>
    <w:rsid w:val="008B1746"/>
    <w:rsid w:val="008B275D"/>
    <w:rsid w:val="008B2A43"/>
    <w:rsid w:val="008B33D3"/>
    <w:rsid w:val="008B3969"/>
    <w:rsid w:val="008B588B"/>
    <w:rsid w:val="008B5CB9"/>
    <w:rsid w:val="008B5D48"/>
    <w:rsid w:val="008B6784"/>
    <w:rsid w:val="008B7678"/>
    <w:rsid w:val="008B7A3A"/>
    <w:rsid w:val="008B7DE6"/>
    <w:rsid w:val="008C007D"/>
    <w:rsid w:val="008C1648"/>
    <w:rsid w:val="008C18D1"/>
    <w:rsid w:val="008C1BB8"/>
    <w:rsid w:val="008C2152"/>
    <w:rsid w:val="008C272E"/>
    <w:rsid w:val="008C274E"/>
    <w:rsid w:val="008C2808"/>
    <w:rsid w:val="008C2B12"/>
    <w:rsid w:val="008C2D7E"/>
    <w:rsid w:val="008C37DE"/>
    <w:rsid w:val="008C3A78"/>
    <w:rsid w:val="008C4784"/>
    <w:rsid w:val="008C4D10"/>
    <w:rsid w:val="008C6F11"/>
    <w:rsid w:val="008C756F"/>
    <w:rsid w:val="008D0B65"/>
    <w:rsid w:val="008D0EA5"/>
    <w:rsid w:val="008D1D10"/>
    <w:rsid w:val="008D268E"/>
    <w:rsid w:val="008D3935"/>
    <w:rsid w:val="008D3BE9"/>
    <w:rsid w:val="008D3EC3"/>
    <w:rsid w:val="008D3F92"/>
    <w:rsid w:val="008D45ED"/>
    <w:rsid w:val="008D497F"/>
    <w:rsid w:val="008D4C7E"/>
    <w:rsid w:val="008D4C8F"/>
    <w:rsid w:val="008D4DC1"/>
    <w:rsid w:val="008D60C8"/>
    <w:rsid w:val="008D62D8"/>
    <w:rsid w:val="008D720D"/>
    <w:rsid w:val="008D7586"/>
    <w:rsid w:val="008D7ED9"/>
    <w:rsid w:val="008E01E3"/>
    <w:rsid w:val="008E0609"/>
    <w:rsid w:val="008E0C08"/>
    <w:rsid w:val="008E1312"/>
    <w:rsid w:val="008E1422"/>
    <w:rsid w:val="008E1788"/>
    <w:rsid w:val="008E214F"/>
    <w:rsid w:val="008E21A5"/>
    <w:rsid w:val="008E2634"/>
    <w:rsid w:val="008E2E69"/>
    <w:rsid w:val="008E386F"/>
    <w:rsid w:val="008E3987"/>
    <w:rsid w:val="008E4077"/>
    <w:rsid w:val="008E43DD"/>
    <w:rsid w:val="008E46B1"/>
    <w:rsid w:val="008E4EF9"/>
    <w:rsid w:val="008E53C3"/>
    <w:rsid w:val="008E5563"/>
    <w:rsid w:val="008E6D90"/>
    <w:rsid w:val="008E77B2"/>
    <w:rsid w:val="008E787F"/>
    <w:rsid w:val="008E7BBB"/>
    <w:rsid w:val="008F000B"/>
    <w:rsid w:val="008F159D"/>
    <w:rsid w:val="008F199C"/>
    <w:rsid w:val="008F1BC6"/>
    <w:rsid w:val="008F1D1A"/>
    <w:rsid w:val="008F1E63"/>
    <w:rsid w:val="008F1E75"/>
    <w:rsid w:val="008F20DB"/>
    <w:rsid w:val="008F285F"/>
    <w:rsid w:val="008F3510"/>
    <w:rsid w:val="008F3E63"/>
    <w:rsid w:val="008F3ECA"/>
    <w:rsid w:val="008F4032"/>
    <w:rsid w:val="008F43DF"/>
    <w:rsid w:val="008F4BE7"/>
    <w:rsid w:val="008F5728"/>
    <w:rsid w:val="008F5F54"/>
    <w:rsid w:val="008F6246"/>
    <w:rsid w:val="008F660F"/>
    <w:rsid w:val="008F66EC"/>
    <w:rsid w:val="008F691E"/>
    <w:rsid w:val="008F6D78"/>
    <w:rsid w:val="008F7106"/>
    <w:rsid w:val="008F7A15"/>
    <w:rsid w:val="00900119"/>
    <w:rsid w:val="009002F2"/>
    <w:rsid w:val="0090136E"/>
    <w:rsid w:val="00902E2A"/>
    <w:rsid w:val="00903055"/>
    <w:rsid w:val="009038B2"/>
    <w:rsid w:val="00903978"/>
    <w:rsid w:val="009045DB"/>
    <w:rsid w:val="0090521D"/>
    <w:rsid w:val="00905344"/>
    <w:rsid w:val="0090535E"/>
    <w:rsid w:val="00905C42"/>
    <w:rsid w:val="00905D4A"/>
    <w:rsid w:val="00906CC1"/>
    <w:rsid w:val="00907388"/>
    <w:rsid w:val="00907468"/>
    <w:rsid w:val="009079C2"/>
    <w:rsid w:val="00907A02"/>
    <w:rsid w:val="00907AAE"/>
    <w:rsid w:val="00910C27"/>
    <w:rsid w:val="00911767"/>
    <w:rsid w:val="009121F6"/>
    <w:rsid w:val="00912534"/>
    <w:rsid w:val="0091383A"/>
    <w:rsid w:val="00913B41"/>
    <w:rsid w:val="00914211"/>
    <w:rsid w:val="00915366"/>
    <w:rsid w:val="00915985"/>
    <w:rsid w:val="009161B6"/>
    <w:rsid w:val="009164BB"/>
    <w:rsid w:val="00916B1A"/>
    <w:rsid w:val="00917186"/>
    <w:rsid w:val="00917382"/>
    <w:rsid w:val="00917A9E"/>
    <w:rsid w:val="0092012E"/>
    <w:rsid w:val="00920615"/>
    <w:rsid w:val="00920D94"/>
    <w:rsid w:val="00920E95"/>
    <w:rsid w:val="0092178C"/>
    <w:rsid w:val="00921865"/>
    <w:rsid w:val="00921AA0"/>
    <w:rsid w:val="00921CEB"/>
    <w:rsid w:val="009222B7"/>
    <w:rsid w:val="00922C48"/>
    <w:rsid w:val="00922E52"/>
    <w:rsid w:val="00923228"/>
    <w:rsid w:val="00923D62"/>
    <w:rsid w:val="0092460B"/>
    <w:rsid w:val="009246C1"/>
    <w:rsid w:val="00924CE0"/>
    <w:rsid w:val="00924EEC"/>
    <w:rsid w:val="00925261"/>
    <w:rsid w:val="009256A0"/>
    <w:rsid w:val="00926922"/>
    <w:rsid w:val="00926A05"/>
    <w:rsid w:val="00926BF2"/>
    <w:rsid w:val="00926E68"/>
    <w:rsid w:val="00927246"/>
    <w:rsid w:val="009309F4"/>
    <w:rsid w:val="00930B26"/>
    <w:rsid w:val="00930C24"/>
    <w:rsid w:val="0093171E"/>
    <w:rsid w:val="0093191D"/>
    <w:rsid w:val="00932F9F"/>
    <w:rsid w:val="00933114"/>
    <w:rsid w:val="009338D1"/>
    <w:rsid w:val="00933EAE"/>
    <w:rsid w:val="00934DEE"/>
    <w:rsid w:val="009353C6"/>
    <w:rsid w:val="009377DB"/>
    <w:rsid w:val="00937D65"/>
    <w:rsid w:val="009401F8"/>
    <w:rsid w:val="00940934"/>
    <w:rsid w:val="00940E40"/>
    <w:rsid w:val="00940ECE"/>
    <w:rsid w:val="00940F6D"/>
    <w:rsid w:val="0094100B"/>
    <w:rsid w:val="0094185F"/>
    <w:rsid w:val="00941CD0"/>
    <w:rsid w:val="009428F2"/>
    <w:rsid w:val="009437FD"/>
    <w:rsid w:val="00944304"/>
    <w:rsid w:val="00944B0A"/>
    <w:rsid w:val="00944B70"/>
    <w:rsid w:val="00944E35"/>
    <w:rsid w:val="009452EA"/>
    <w:rsid w:val="009460CD"/>
    <w:rsid w:val="0094619A"/>
    <w:rsid w:val="00946597"/>
    <w:rsid w:val="00946D95"/>
    <w:rsid w:val="00947887"/>
    <w:rsid w:val="00947E4C"/>
    <w:rsid w:val="00947F2D"/>
    <w:rsid w:val="00950535"/>
    <w:rsid w:val="0095087A"/>
    <w:rsid w:val="009509E9"/>
    <w:rsid w:val="00950BB4"/>
    <w:rsid w:val="00950DB8"/>
    <w:rsid w:val="00950DEE"/>
    <w:rsid w:val="00950E1D"/>
    <w:rsid w:val="009518D3"/>
    <w:rsid w:val="0095278B"/>
    <w:rsid w:val="00952DBE"/>
    <w:rsid w:val="00952F89"/>
    <w:rsid w:val="00953248"/>
    <w:rsid w:val="0095360A"/>
    <w:rsid w:val="00953682"/>
    <w:rsid w:val="00953BE9"/>
    <w:rsid w:val="00954D66"/>
    <w:rsid w:val="00955369"/>
    <w:rsid w:val="009553A6"/>
    <w:rsid w:val="00956748"/>
    <w:rsid w:val="0095692E"/>
    <w:rsid w:val="00956CF2"/>
    <w:rsid w:val="00956FAA"/>
    <w:rsid w:val="00957601"/>
    <w:rsid w:val="009576A0"/>
    <w:rsid w:val="00957BF2"/>
    <w:rsid w:val="0096017D"/>
    <w:rsid w:val="00960A7C"/>
    <w:rsid w:val="0096118B"/>
    <w:rsid w:val="00961239"/>
    <w:rsid w:val="00961377"/>
    <w:rsid w:val="00961671"/>
    <w:rsid w:val="00961769"/>
    <w:rsid w:val="00961961"/>
    <w:rsid w:val="00961B9F"/>
    <w:rsid w:val="00963828"/>
    <w:rsid w:val="009647C5"/>
    <w:rsid w:val="00964B13"/>
    <w:rsid w:val="00964F82"/>
    <w:rsid w:val="00965636"/>
    <w:rsid w:val="009658E9"/>
    <w:rsid w:val="009677C8"/>
    <w:rsid w:val="00970179"/>
    <w:rsid w:val="00970C95"/>
    <w:rsid w:val="00970E12"/>
    <w:rsid w:val="00970F9C"/>
    <w:rsid w:val="00971446"/>
    <w:rsid w:val="009721AE"/>
    <w:rsid w:val="0097266C"/>
    <w:rsid w:val="009737B3"/>
    <w:rsid w:val="00973BB6"/>
    <w:rsid w:val="00973ED6"/>
    <w:rsid w:val="009742EA"/>
    <w:rsid w:val="00974368"/>
    <w:rsid w:val="00974654"/>
    <w:rsid w:val="0097475C"/>
    <w:rsid w:val="00975127"/>
    <w:rsid w:val="00975BDB"/>
    <w:rsid w:val="00975C6D"/>
    <w:rsid w:val="00975CF2"/>
    <w:rsid w:val="00976099"/>
    <w:rsid w:val="0097623E"/>
    <w:rsid w:val="009763C3"/>
    <w:rsid w:val="0097691A"/>
    <w:rsid w:val="009769E9"/>
    <w:rsid w:val="00976AB9"/>
    <w:rsid w:val="00976CEB"/>
    <w:rsid w:val="00977197"/>
    <w:rsid w:val="009776C2"/>
    <w:rsid w:val="00977EAB"/>
    <w:rsid w:val="00980988"/>
    <w:rsid w:val="00980B56"/>
    <w:rsid w:val="00980D30"/>
    <w:rsid w:val="00980EEE"/>
    <w:rsid w:val="00980FD4"/>
    <w:rsid w:val="00981251"/>
    <w:rsid w:val="00982BCD"/>
    <w:rsid w:val="00983137"/>
    <w:rsid w:val="0098367B"/>
    <w:rsid w:val="00983800"/>
    <w:rsid w:val="00983A95"/>
    <w:rsid w:val="009845B1"/>
    <w:rsid w:val="009848B2"/>
    <w:rsid w:val="00984CE5"/>
    <w:rsid w:val="00984E98"/>
    <w:rsid w:val="00984EF3"/>
    <w:rsid w:val="00985EC9"/>
    <w:rsid w:val="00986D23"/>
    <w:rsid w:val="00986DF5"/>
    <w:rsid w:val="00987084"/>
    <w:rsid w:val="0098714B"/>
    <w:rsid w:val="009900A5"/>
    <w:rsid w:val="009901A3"/>
    <w:rsid w:val="009901F1"/>
    <w:rsid w:val="00990377"/>
    <w:rsid w:val="009906DC"/>
    <w:rsid w:val="00990D94"/>
    <w:rsid w:val="00991B2F"/>
    <w:rsid w:val="00991B6A"/>
    <w:rsid w:val="00991BB0"/>
    <w:rsid w:val="00992BA4"/>
    <w:rsid w:val="00993145"/>
    <w:rsid w:val="00993326"/>
    <w:rsid w:val="00994A36"/>
    <w:rsid w:val="0099537C"/>
    <w:rsid w:val="00995678"/>
    <w:rsid w:val="009958A3"/>
    <w:rsid w:val="00995D56"/>
    <w:rsid w:val="00995D5F"/>
    <w:rsid w:val="0099658F"/>
    <w:rsid w:val="00996592"/>
    <w:rsid w:val="00996A42"/>
    <w:rsid w:val="00996A5F"/>
    <w:rsid w:val="00996B71"/>
    <w:rsid w:val="009A0E27"/>
    <w:rsid w:val="009A1854"/>
    <w:rsid w:val="009A1976"/>
    <w:rsid w:val="009A1C9C"/>
    <w:rsid w:val="009A437C"/>
    <w:rsid w:val="009A461C"/>
    <w:rsid w:val="009A56C2"/>
    <w:rsid w:val="009A6200"/>
    <w:rsid w:val="009A674A"/>
    <w:rsid w:val="009A6D19"/>
    <w:rsid w:val="009B0E1A"/>
    <w:rsid w:val="009B0EBA"/>
    <w:rsid w:val="009B2DA2"/>
    <w:rsid w:val="009B2E6C"/>
    <w:rsid w:val="009B32D1"/>
    <w:rsid w:val="009B339F"/>
    <w:rsid w:val="009B3A3F"/>
    <w:rsid w:val="009B3B0B"/>
    <w:rsid w:val="009B47A3"/>
    <w:rsid w:val="009B47C6"/>
    <w:rsid w:val="009B51E6"/>
    <w:rsid w:val="009B5400"/>
    <w:rsid w:val="009B553D"/>
    <w:rsid w:val="009B56A4"/>
    <w:rsid w:val="009B68B9"/>
    <w:rsid w:val="009B69D6"/>
    <w:rsid w:val="009B6C6D"/>
    <w:rsid w:val="009B6D7A"/>
    <w:rsid w:val="009B767E"/>
    <w:rsid w:val="009C0752"/>
    <w:rsid w:val="009C0BCB"/>
    <w:rsid w:val="009C11C6"/>
    <w:rsid w:val="009C1635"/>
    <w:rsid w:val="009C3B98"/>
    <w:rsid w:val="009C52AD"/>
    <w:rsid w:val="009C5453"/>
    <w:rsid w:val="009C5632"/>
    <w:rsid w:val="009C5747"/>
    <w:rsid w:val="009C5E5F"/>
    <w:rsid w:val="009C61C4"/>
    <w:rsid w:val="009C65C1"/>
    <w:rsid w:val="009C71D5"/>
    <w:rsid w:val="009D04B1"/>
    <w:rsid w:val="009D05B0"/>
    <w:rsid w:val="009D064D"/>
    <w:rsid w:val="009D0E43"/>
    <w:rsid w:val="009D106C"/>
    <w:rsid w:val="009D15A4"/>
    <w:rsid w:val="009D1849"/>
    <w:rsid w:val="009D20FC"/>
    <w:rsid w:val="009D2B1E"/>
    <w:rsid w:val="009D2C10"/>
    <w:rsid w:val="009D33E1"/>
    <w:rsid w:val="009D3F8B"/>
    <w:rsid w:val="009D40AB"/>
    <w:rsid w:val="009D4365"/>
    <w:rsid w:val="009D43A4"/>
    <w:rsid w:val="009D4860"/>
    <w:rsid w:val="009D48A0"/>
    <w:rsid w:val="009D4C1E"/>
    <w:rsid w:val="009D4C20"/>
    <w:rsid w:val="009D50A8"/>
    <w:rsid w:val="009D5CE3"/>
    <w:rsid w:val="009D63D0"/>
    <w:rsid w:val="009D6766"/>
    <w:rsid w:val="009D7DAB"/>
    <w:rsid w:val="009E069C"/>
    <w:rsid w:val="009E0CF0"/>
    <w:rsid w:val="009E25EC"/>
    <w:rsid w:val="009E396E"/>
    <w:rsid w:val="009E3A81"/>
    <w:rsid w:val="009E4003"/>
    <w:rsid w:val="009E42C8"/>
    <w:rsid w:val="009E4536"/>
    <w:rsid w:val="009E4728"/>
    <w:rsid w:val="009E4DA9"/>
    <w:rsid w:val="009E63F4"/>
    <w:rsid w:val="009E700D"/>
    <w:rsid w:val="009F0DD1"/>
    <w:rsid w:val="009F1543"/>
    <w:rsid w:val="009F19A6"/>
    <w:rsid w:val="009F1B73"/>
    <w:rsid w:val="009F1EBC"/>
    <w:rsid w:val="009F2BFA"/>
    <w:rsid w:val="009F41A7"/>
    <w:rsid w:val="009F42CA"/>
    <w:rsid w:val="009F43CA"/>
    <w:rsid w:val="009F46CC"/>
    <w:rsid w:val="009F48DF"/>
    <w:rsid w:val="009F4C18"/>
    <w:rsid w:val="009F5C28"/>
    <w:rsid w:val="009F6174"/>
    <w:rsid w:val="009F6641"/>
    <w:rsid w:val="009F6B19"/>
    <w:rsid w:val="00A005E2"/>
    <w:rsid w:val="00A0065D"/>
    <w:rsid w:val="00A01550"/>
    <w:rsid w:val="00A01599"/>
    <w:rsid w:val="00A0167B"/>
    <w:rsid w:val="00A0169E"/>
    <w:rsid w:val="00A01B7B"/>
    <w:rsid w:val="00A01BDA"/>
    <w:rsid w:val="00A01C50"/>
    <w:rsid w:val="00A02608"/>
    <w:rsid w:val="00A03011"/>
    <w:rsid w:val="00A039C2"/>
    <w:rsid w:val="00A03ECA"/>
    <w:rsid w:val="00A04762"/>
    <w:rsid w:val="00A055DB"/>
    <w:rsid w:val="00A05EA7"/>
    <w:rsid w:val="00A063F6"/>
    <w:rsid w:val="00A072F4"/>
    <w:rsid w:val="00A077D4"/>
    <w:rsid w:val="00A07C5B"/>
    <w:rsid w:val="00A07E58"/>
    <w:rsid w:val="00A1080C"/>
    <w:rsid w:val="00A10BEC"/>
    <w:rsid w:val="00A11963"/>
    <w:rsid w:val="00A121E6"/>
    <w:rsid w:val="00A12A0C"/>
    <w:rsid w:val="00A13245"/>
    <w:rsid w:val="00A136D0"/>
    <w:rsid w:val="00A136F0"/>
    <w:rsid w:val="00A13799"/>
    <w:rsid w:val="00A138EF"/>
    <w:rsid w:val="00A13C8F"/>
    <w:rsid w:val="00A145A9"/>
    <w:rsid w:val="00A14710"/>
    <w:rsid w:val="00A150CF"/>
    <w:rsid w:val="00A1533F"/>
    <w:rsid w:val="00A15C58"/>
    <w:rsid w:val="00A16A9A"/>
    <w:rsid w:val="00A17F13"/>
    <w:rsid w:val="00A17F31"/>
    <w:rsid w:val="00A208B0"/>
    <w:rsid w:val="00A20981"/>
    <w:rsid w:val="00A20B8A"/>
    <w:rsid w:val="00A20CD7"/>
    <w:rsid w:val="00A212BB"/>
    <w:rsid w:val="00A21508"/>
    <w:rsid w:val="00A225AF"/>
    <w:rsid w:val="00A230F6"/>
    <w:rsid w:val="00A23B5D"/>
    <w:rsid w:val="00A246F0"/>
    <w:rsid w:val="00A24727"/>
    <w:rsid w:val="00A24B97"/>
    <w:rsid w:val="00A24DF8"/>
    <w:rsid w:val="00A2558E"/>
    <w:rsid w:val="00A2627B"/>
    <w:rsid w:val="00A2699D"/>
    <w:rsid w:val="00A27716"/>
    <w:rsid w:val="00A27975"/>
    <w:rsid w:val="00A27D05"/>
    <w:rsid w:val="00A27D54"/>
    <w:rsid w:val="00A30F38"/>
    <w:rsid w:val="00A3154E"/>
    <w:rsid w:val="00A31FCE"/>
    <w:rsid w:val="00A32162"/>
    <w:rsid w:val="00A32C92"/>
    <w:rsid w:val="00A33D0D"/>
    <w:rsid w:val="00A33E18"/>
    <w:rsid w:val="00A34CAD"/>
    <w:rsid w:val="00A34F71"/>
    <w:rsid w:val="00A35354"/>
    <w:rsid w:val="00A359F8"/>
    <w:rsid w:val="00A366FD"/>
    <w:rsid w:val="00A370DD"/>
    <w:rsid w:val="00A3719D"/>
    <w:rsid w:val="00A40010"/>
    <w:rsid w:val="00A409F9"/>
    <w:rsid w:val="00A40A0E"/>
    <w:rsid w:val="00A40A9D"/>
    <w:rsid w:val="00A41283"/>
    <w:rsid w:val="00A412B6"/>
    <w:rsid w:val="00A41477"/>
    <w:rsid w:val="00A41512"/>
    <w:rsid w:val="00A41796"/>
    <w:rsid w:val="00A419ED"/>
    <w:rsid w:val="00A41BDB"/>
    <w:rsid w:val="00A41E5B"/>
    <w:rsid w:val="00A429BD"/>
    <w:rsid w:val="00A438E5"/>
    <w:rsid w:val="00A43FC4"/>
    <w:rsid w:val="00A447CA"/>
    <w:rsid w:val="00A44838"/>
    <w:rsid w:val="00A44A46"/>
    <w:rsid w:val="00A45F85"/>
    <w:rsid w:val="00A46BE3"/>
    <w:rsid w:val="00A47085"/>
    <w:rsid w:val="00A4777D"/>
    <w:rsid w:val="00A47ADE"/>
    <w:rsid w:val="00A50AF6"/>
    <w:rsid w:val="00A50C5E"/>
    <w:rsid w:val="00A50E2C"/>
    <w:rsid w:val="00A51ED3"/>
    <w:rsid w:val="00A529C7"/>
    <w:rsid w:val="00A535EF"/>
    <w:rsid w:val="00A54140"/>
    <w:rsid w:val="00A5436A"/>
    <w:rsid w:val="00A54822"/>
    <w:rsid w:val="00A54911"/>
    <w:rsid w:val="00A54AFE"/>
    <w:rsid w:val="00A5521A"/>
    <w:rsid w:val="00A55298"/>
    <w:rsid w:val="00A55696"/>
    <w:rsid w:val="00A558BB"/>
    <w:rsid w:val="00A55996"/>
    <w:rsid w:val="00A55DC3"/>
    <w:rsid w:val="00A55F2D"/>
    <w:rsid w:val="00A55FFA"/>
    <w:rsid w:val="00A56407"/>
    <w:rsid w:val="00A56FB2"/>
    <w:rsid w:val="00A612EF"/>
    <w:rsid w:val="00A6132A"/>
    <w:rsid w:val="00A61593"/>
    <w:rsid w:val="00A616D5"/>
    <w:rsid w:val="00A61D34"/>
    <w:rsid w:val="00A61E8E"/>
    <w:rsid w:val="00A622C2"/>
    <w:rsid w:val="00A62B28"/>
    <w:rsid w:val="00A62B86"/>
    <w:rsid w:val="00A63736"/>
    <w:rsid w:val="00A63C8D"/>
    <w:rsid w:val="00A64000"/>
    <w:rsid w:val="00A64351"/>
    <w:rsid w:val="00A65030"/>
    <w:rsid w:val="00A652F0"/>
    <w:rsid w:val="00A65474"/>
    <w:rsid w:val="00A67009"/>
    <w:rsid w:val="00A67F7E"/>
    <w:rsid w:val="00A70A26"/>
    <w:rsid w:val="00A70FF6"/>
    <w:rsid w:val="00A713F8"/>
    <w:rsid w:val="00A71618"/>
    <w:rsid w:val="00A7186E"/>
    <w:rsid w:val="00A71AAF"/>
    <w:rsid w:val="00A7274A"/>
    <w:rsid w:val="00A7390B"/>
    <w:rsid w:val="00A73DB8"/>
    <w:rsid w:val="00A741BA"/>
    <w:rsid w:val="00A74E8D"/>
    <w:rsid w:val="00A75379"/>
    <w:rsid w:val="00A754EE"/>
    <w:rsid w:val="00A75A40"/>
    <w:rsid w:val="00A7644F"/>
    <w:rsid w:val="00A76620"/>
    <w:rsid w:val="00A77372"/>
    <w:rsid w:val="00A80848"/>
    <w:rsid w:val="00A80A27"/>
    <w:rsid w:val="00A8109E"/>
    <w:rsid w:val="00A81C01"/>
    <w:rsid w:val="00A81C8A"/>
    <w:rsid w:val="00A82841"/>
    <w:rsid w:val="00A83253"/>
    <w:rsid w:val="00A83A41"/>
    <w:rsid w:val="00A83B5B"/>
    <w:rsid w:val="00A83B73"/>
    <w:rsid w:val="00A84209"/>
    <w:rsid w:val="00A84712"/>
    <w:rsid w:val="00A862CD"/>
    <w:rsid w:val="00A8696D"/>
    <w:rsid w:val="00A87002"/>
    <w:rsid w:val="00A8715E"/>
    <w:rsid w:val="00A87598"/>
    <w:rsid w:val="00A87B43"/>
    <w:rsid w:val="00A87B9C"/>
    <w:rsid w:val="00A9041D"/>
    <w:rsid w:val="00A90C1C"/>
    <w:rsid w:val="00A90E85"/>
    <w:rsid w:val="00A9160B"/>
    <w:rsid w:val="00A91C8D"/>
    <w:rsid w:val="00A91DF7"/>
    <w:rsid w:val="00A922CA"/>
    <w:rsid w:val="00A9288A"/>
    <w:rsid w:val="00A92C18"/>
    <w:rsid w:val="00A92C1C"/>
    <w:rsid w:val="00A93205"/>
    <w:rsid w:val="00A932C8"/>
    <w:rsid w:val="00A93838"/>
    <w:rsid w:val="00A943FE"/>
    <w:rsid w:val="00A94F06"/>
    <w:rsid w:val="00A954B2"/>
    <w:rsid w:val="00A95B97"/>
    <w:rsid w:val="00A9640C"/>
    <w:rsid w:val="00A969A6"/>
    <w:rsid w:val="00A975C9"/>
    <w:rsid w:val="00A976FB"/>
    <w:rsid w:val="00A97E4B"/>
    <w:rsid w:val="00A97EEB"/>
    <w:rsid w:val="00AA072C"/>
    <w:rsid w:val="00AA076D"/>
    <w:rsid w:val="00AA0E5D"/>
    <w:rsid w:val="00AA0EC1"/>
    <w:rsid w:val="00AA16E1"/>
    <w:rsid w:val="00AA191A"/>
    <w:rsid w:val="00AA1F43"/>
    <w:rsid w:val="00AA1F8A"/>
    <w:rsid w:val="00AA25C7"/>
    <w:rsid w:val="00AA285B"/>
    <w:rsid w:val="00AA2D81"/>
    <w:rsid w:val="00AA4567"/>
    <w:rsid w:val="00AA4568"/>
    <w:rsid w:val="00AA458A"/>
    <w:rsid w:val="00AA4FF1"/>
    <w:rsid w:val="00AA57F7"/>
    <w:rsid w:val="00AA5A44"/>
    <w:rsid w:val="00AA5E68"/>
    <w:rsid w:val="00AA5EC6"/>
    <w:rsid w:val="00AA6385"/>
    <w:rsid w:val="00AA6D7E"/>
    <w:rsid w:val="00AA6EFE"/>
    <w:rsid w:val="00AA71D5"/>
    <w:rsid w:val="00AA75A9"/>
    <w:rsid w:val="00AA77B3"/>
    <w:rsid w:val="00AB01B1"/>
    <w:rsid w:val="00AB0377"/>
    <w:rsid w:val="00AB0876"/>
    <w:rsid w:val="00AB102D"/>
    <w:rsid w:val="00AB153B"/>
    <w:rsid w:val="00AB169F"/>
    <w:rsid w:val="00AB1FCE"/>
    <w:rsid w:val="00AB20E2"/>
    <w:rsid w:val="00AB28D8"/>
    <w:rsid w:val="00AB29D5"/>
    <w:rsid w:val="00AB362C"/>
    <w:rsid w:val="00AB43EC"/>
    <w:rsid w:val="00AB5531"/>
    <w:rsid w:val="00AB65C4"/>
    <w:rsid w:val="00AB70F1"/>
    <w:rsid w:val="00AB79BB"/>
    <w:rsid w:val="00AB7A2D"/>
    <w:rsid w:val="00AB7F89"/>
    <w:rsid w:val="00AC066D"/>
    <w:rsid w:val="00AC07AE"/>
    <w:rsid w:val="00AC0C91"/>
    <w:rsid w:val="00AC0CE4"/>
    <w:rsid w:val="00AC14C3"/>
    <w:rsid w:val="00AC1646"/>
    <w:rsid w:val="00AC18E7"/>
    <w:rsid w:val="00AC1A94"/>
    <w:rsid w:val="00AC1B01"/>
    <w:rsid w:val="00AC2175"/>
    <w:rsid w:val="00AC3B32"/>
    <w:rsid w:val="00AC4178"/>
    <w:rsid w:val="00AC4478"/>
    <w:rsid w:val="00AC471C"/>
    <w:rsid w:val="00AC478B"/>
    <w:rsid w:val="00AC4C84"/>
    <w:rsid w:val="00AC677F"/>
    <w:rsid w:val="00AC6FCB"/>
    <w:rsid w:val="00AC747F"/>
    <w:rsid w:val="00AC7766"/>
    <w:rsid w:val="00AC7958"/>
    <w:rsid w:val="00AD038C"/>
    <w:rsid w:val="00AD0550"/>
    <w:rsid w:val="00AD0F30"/>
    <w:rsid w:val="00AD11F4"/>
    <w:rsid w:val="00AD1DB1"/>
    <w:rsid w:val="00AD1F0C"/>
    <w:rsid w:val="00AD3669"/>
    <w:rsid w:val="00AD3D7E"/>
    <w:rsid w:val="00AD3FBE"/>
    <w:rsid w:val="00AD4415"/>
    <w:rsid w:val="00AD6123"/>
    <w:rsid w:val="00AD61FE"/>
    <w:rsid w:val="00AD67C1"/>
    <w:rsid w:val="00AD6876"/>
    <w:rsid w:val="00AD6937"/>
    <w:rsid w:val="00AD6FEB"/>
    <w:rsid w:val="00AD71EB"/>
    <w:rsid w:val="00AD76FA"/>
    <w:rsid w:val="00AD7741"/>
    <w:rsid w:val="00AD7CF3"/>
    <w:rsid w:val="00AD7EDF"/>
    <w:rsid w:val="00AE04B7"/>
    <w:rsid w:val="00AE06EA"/>
    <w:rsid w:val="00AE0756"/>
    <w:rsid w:val="00AE10C5"/>
    <w:rsid w:val="00AE137B"/>
    <w:rsid w:val="00AE14E7"/>
    <w:rsid w:val="00AE2DF0"/>
    <w:rsid w:val="00AE2E64"/>
    <w:rsid w:val="00AE3169"/>
    <w:rsid w:val="00AE343F"/>
    <w:rsid w:val="00AE350B"/>
    <w:rsid w:val="00AE4D79"/>
    <w:rsid w:val="00AE57F9"/>
    <w:rsid w:val="00AE5D5D"/>
    <w:rsid w:val="00AE5E41"/>
    <w:rsid w:val="00AE6082"/>
    <w:rsid w:val="00AE6D67"/>
    <w:rsid w:val="00AE7091"/>
    <w:rsid w:val="00AE7A7B"/>
    <w:rsid w:val="00AF0AB1"/>
    <w:rsid w:val="00AF185A"/>
    <w:rsid w:val="00AF1AA7"/>
    <w:rsid w:val="00AF38FD"/>
    <w:rsid w:val="00AF3A80"/>
    <w:rsid w:val="00AF46BE"/>
    <w:rsid w:val="00AF4B08"/>
    <w:rsid w:val="00AF4F17"/>
    <w:rsid w:val="00AF51F2"/>
    <w:rsid w:val="00AF5517"/>
    <w:rsid w:val="00AF63AD"/>
    <w:rsid w:val="00AF645F"/>
    <w:rsid w:val="00AF64E4"/>
    <w:rsid w:val="00AF668D"/>
    <w:rsid w:val="00AF67BA"/>
    <w:rsid w:val="00AF6804"/>
    <w:rsid w:val="00AF6806"/>
    <w:rsid w:val="00AF6912"/>
    <w:rsid w:val="00AF74CF"/>
    <w:rsid w:val="00AF7E00"/>
    <w:rsid w:val="00B01154"/>
    <w:rsid w:val="00B011D4"/>
    <w:rsid w:val="00B01381"/>
    <w:rsid w:val="00B01698"/>
    <w:rsid w:val="00B018E6"/>
    <w:rsid w:val="00B02603"/>
    <w:rsid w:val="00B02995"/>
    <w:rsid w:val="00B02D80"/>
    <w:rsid w:val="00B045C1"/>
    <w:rsid w:val="00B0481E"/>
    <w:rsid w:val="00B049F0"/>
    <w:rsid w:val="00B053CD"/>
    <w:rsid w:val="00B056A4"/>
    <w:rsid w:val="00B05AAF"/>
    <w:rsid w:val="00B06661"/>
    <w:rsid w:val="00B06794"/>
    <w:rsid w:val="00B06A1E"/>
    <w:rsid w:val="00B0739A"/>
    <w:rsid w:val="00B07B1A"/>
    <w:rsid w:val="00B07F0E"/>
    <w:rsid w:val="00B07F85"/>
    <w:rsid w:val="00B10B93"/>
    <w:rsid w:val="00B1161B"/>
    <w:rsid w:val="00B1165A"/>
    <w:rsid w:val="00B11DF9"/>
    <w:rsid w:val="00B11E1B"/>
    <w:rsid w:val="00B130B4"/>
    <w:rsid w:val="00B13248"/>
    <w:rsid w:val="00B13800"/>
    <w:rsid w:val="00B138DD"/>
    <w:rsid w:val="00B13D08"/>
    <w:rsid w:val="00B14251"/>
    <w:rsid w:val="00B142C8"/>
    <w:rsid w:val="00B14835"/>
    <w:rsid w:val="00B165A6"/>
    <w:rsid w:val="00B16CD6"/>
    <w:rsid w:val="00B16F8A"/>
    <w:rsid w:val="00B17BAA"/>
    <w:rsid w:val="00B17FCC"/>
    <w:rsid w:val="00B200BB"/>
    <w:rsid w:val="00B206CF"/>
    <w:rsid w:val="00B20ACF"/>
    <w:rsid w:val="00B20C9C"/>
    <w:rsid w:val="00B21993"/>
    <w:rsid w:val="00B21F60"/>
    <w:rsid w:val="00B2287D"/>
    <w:rsid w:val="00B228DB"/>
    <w:rsid w:val="00B23853"/>
    <w:rsid w:val="00B24955"/>
    <w:rsid w:val="00B260CE"/>
    <w:rsid w:val="00B305D0"/>
    <w:rsid w:val="00B306EC"/>
    <w:rsid w:val="00B31183"/>
    <w:rsid w:val="00B31B67"/>
    <w:rsid w:val="00B3205B"/>
    <w:rsid w:val="00B32698"/>
    <w:rsid w:val="00B3339C"/>
    <w:rsid w:val="00B33DCA"/>
    <w:rsid w:val="00B3427E"/>
    <w:rsid w:val="00B34B2B"/>
    <w:rsid w:val="00B35072"/>
    <w:rsid w:val="00B35BE6"/>
    <w:rsid w:val="00B362B5"/>
    <w:rsid w:val="00B37117"/>
    <w:rsid w:val="00B373BC"/>
    <w:rsid w:val="00B37911"/>
    <w:rsid w:val="00B37F1C"/>
    <w:rsid w:val="00B401F7"/>
    <w:rsid w:val="00B414D4"/>
    <w:rsid w:val="00B4197B"/>
    <w:rsid w:val="00B427C4"/>
    <w:rsid w:val="00B428E2"/>
    <w:rsid w:val="00B42EC1"/>
    <w:rsid w:val="00B4496C"/>
    <w:rsid w:val="00B4557D"/>
    <w:rsid w:val="00B46246"/>
    <w:rsid w:val="00B46ECE"/>
    <w:rsid w:val="00B47783"/>
    <w:rsid w:val="00B50325"/>
    <w:rsid w:val="00B506A0"/>
    <w:rsid w:val="00B507B7"/>
    <w:rsid w:val="00B52084"/>
    <w:rsid w:val="00B5234E"/>
    <w:rsid w:val="00B523D7"/>
    <w:rsid w:val="00B5295A"/>
    <w:rsid w:val="00B5361A"/>
    <w:rsid w:val="00B54380"/>
    <w:rsid w:val="00B54AD5"/>
    <w:rsid w:val="00B54AD7"/>
    <w:rsid w:val="00B54E77"/>
    <w:rsid w:val="00B555F1"/>
    <w:rsid w:val="00B55813"/>
    <w:rsid w:val="00B56794"/>
    <w:rsid w:val="00B57062"/>
    <w:rsid w:val="00B573A0"/>
    <w:rsid w:val="00B5773E"/>
    <w:rsid w:val="00B57807"/>
    <w:rsid w:val="00B60B18"/>
    <w:rsid w:val="00B61004"/>
    <w:rsid w:val="00B6127D"/>
    <w:rsid w:val="00B62B9F"/>
    <w:rsid w:val="00B63137"/>
    <w:rsid w:val="00B64552"/>
    <w:rsid w:val="00B64606"/>
    <w:rsid w:val="00B65476"/>
    <w:rsid w:val="00B65888"/>
    <w:rsid w:val="00B660F3"/>
    <w:rsid w:val="00B66703"/>
    <w:rsid w:val="00B67653"/>
    <w:rsid w:val="00B67CB2"/>
    <w:rsid w:val="00B7012E"/>
    <w:rsid w:val="00B715D9"/>
    <w:rsid w:val="00B724D1"/>
    <w:rsid w:val="00B7298C"/>
    <w:rsid w:val="00B72AB4"/>
    <w:rsid w:val="00B72B63"/>
    <w:rsid w:val="00B72C58"/>
    <w:rsid w:val="00B73165"/>
    <w:rsid w:val="00B74F0C"/>
    <w:rsid w:val="00B752E5"/>
    <w:rsid w:val="00B763F1"/>
    <w:rsid w:val="00B7662B"/>
    <w:rsid w:val="00B766B9"/>
    <w:rsid w:val="00B77441"/>
    <w:rsid w:val="00B77A6C"/>
    <w:rsid w:val="00B77D4E"/>
    <w:rsid w:val="00B801EF"/>
    <w:rsid w:val="00B803B7"/>
    <w:rsid w:val="00B8096B"/>
    <w:rsid w:val="00B82041"/>
    <w:rsid w:val="00B8221A"/>
    <w:rsid w:val="00B82E2C"/>
    <w:rsid w:val="00B83153"/>
    <w:rsid w:val="00B83B80"/>
    <w:rsid w:val="00B847EB"/>
    <w:rsid w:val="00B84AA3"/>
    <w:rsid w:val="00B84C55"/>
    <w:rsid w:val="00B852BE"/>
    <w:rsid w:val="00B85365"/>
    <w:rsid w:val="00B85F77"/>
    <w:rsid w:val="00B86803"/>
    <w:rsid w:val="00B86C97"/>
    <w:rsid w:val="00B87287"/>
    <w:rsid w:val="00B87D87"/>
    <w:rsid w:val="00B903F8"/>
    <w:rsid w:val="00B92122"/>
    <w:rsid w:val="00B92200"/>
    <w:rsid w:val="00B93007"/>
    <w:rsid w:val="00B93B29"/>
    <w:rsid w:val="00B94318"/>
    <w:rsid w:val="00B94B9C"/>
    <w:rsid w:val="00B95936"/>
    <w:rsid w:val="00B95D15"/>
    <w:rsid w:val="00B969E1"/>
    <w:rsid w:val="00B96B8A"/>
    <w:rsid w:val="00B97344"/>
    <w:rsid w:val="00B97F1C"/>
    <w:rsid w:val="00BA007E"/>
    <w:rsid w:val="00BA047E"/>
    <w:rsid w:val="00BA0770"/>
    <w:rsid w:val="00BA0AA4"/>
    <w:rsid w:val="00BA154F"/>
    <w:rsid w:val="00BA16D8"/>
    <w:rsid w:val="00BA17E1"/>
    <w:rsid w:val="00BA1A5B"/>
    <w:rsid w:val="00BA2275"/>
    <w:rsid w:val="00BA3C9C"/>
    <w:rsid w:val="00BA3D8E"/>
    <w:rsid w:val="00BA4240"/>
    <w:rsid w:val="00BA4275"/>
    <w:rsid w:val="00BA4C00"/>
    <w:rsid w:val="00BA6751"/>
    <w:rsid w:val="00BA7CED"/>
    <w:rsid w:val="00BB0259"/>
    <w:rsid w:val="00BB097A"/>
    <w:rsid w:val="00BB1AC8"/>
    <w:rsid w:val="00BB1C72"/>
    <w:rsid w:val="00BB1CBF"/>
    <w:rsid w:val="00BB208E"/>
    <w:rsid w:val="00BB28B3"/>
    <w:rsid w:val="00BB29B5"/>
    <w:rsid w:val="00BB29D3"/>
    <w:rsid w:val="00BB2A48"/>
    <w:rsid w:val="00BB2CE3"/>
    <w:rsid w:val="00BB2EAD"/>
    <w:rsid w:val="00BB35FC"/>
    <w:rsid w:val="00BB4395"/>
    <w:rsid w:val="00BB528D"/>
    <w:rsid w:val="00BB54EF"/>
    <w:rsid w:val="00BB5C88"/>
    <w:rsid w:val="00BB5CC4"/>
    <w:rsid w:val="00BB5D92"/>
    <w:rsid w:val="00BB6833"/>
    <w:rsid w:val="00BB6DBA"/>
    <w:rsid w:val="00BB6DE2"/>
    <w:rsid w:val="00BB6E2D"/>
    <w:rsid w:val="00BB6E86"/>
    <w:rsid w:val="00BB716C"/>
    <w:rsid w:val="00BC084E"/>
    <w:rsid w:val="00BC0D1A"/>
    <w:rsid w:val="00BC189A"/>
    <w:rsid w:val="00BC1A4B"/>
    <w:rsid w:val="00BC2010"/>
    <w:rsid w:val="00BC2099"/>
    <w:rsid w:val="00BC2206"/>
    <w:rsid w:val="00BC2DBD"/>
    <w:rsid w:val="00BC4390"/>
    <w:rsid w:val="00BC4521"/>
    <w:rsid w:val="00BC4966"/>
    <w:rsid w:val="00BC51A1"/>
    <w:rsid w:val="00BC57D1"/>
    <w:rsid w:val="00BC6143"/>
    <w:rsid w:val="00BC6491"/>
    <w:rsid w:val="00BC6977"/>
    <w:rsid w:val="00BC71C0"/>
    <w:rsid w:val="00BC74F4"/>
    <w:rsid w:val="00BC7B90"/>
    <w:rsid w:val="00BC7BF9"/>
    <w:rsid w:val="00BD0093"/>
    <w:rsid w:val="00BD0301"/>
    <w:rsid w:val="00BD064D"/>
    <w:rsid w:val="00BD0715"/>
    <w:rsid w:val="00BD0B4D"/>
    <w:rsid w:val="00BD0BB2"/>
    <w:rsid w:val="00BD0C5F"/>
    <w:rsid w:val="00BD0DE0"/>
    <w:rsid w:val="00BD13E0"/>
    <w:rsid w:val="00BD1FDA"/>
    <w:rsid w:val="00BD2035"/>
    <w:rsid w:val="00BD29B5"/>
    <w:rsid w:val="00BD3325"/>
    <w:rsid w:val="00BD37B3"/>
    <w:rsid w:val="00BD4184"/>
    <w:rsid w:val="00BD4FFF"/>
    <w:rsid w:val="00BD590C"/>
    <w:rsid w:val="00BD5B33"/>
    <w:rsid w:val="00BD6302"/>
    <w:rsid w:val="00BD735F"/>
    <w:rsid w:val="00BD7749"/>
    <w:rsid w:val="00BD77D1"/>
    <w:rsid w:val="00BD7C80"/>
    <w:rsid w:val="00BE0A23"/>
    <w:rsid w:val="00BE1413"/>
    <w:rsid w:val="00BE15EF"/>
    <w:rsid w:val="00BE1811"/>
    <w:rsid w:val="00BE1AB9"/>
    <w:rsid w:val="00BE1E05"/>
    <w:rsid w:val="00BE28CD"/>
    <w:rsid w:val="00BE2E8E"/>
    <w:rsid w:val="00BE2FC2"/>
    <w:rsid w:val="00BE3293"/>
    <w:rsid w:val="00BE390E"/>
    <w:rsid w:val="00BE3BC6"/>
    <w:rsid w:val="00BE3E43"/>
    <w:rsid w:val="00BE42E3"/>
    <w:rsid w:val="00BE46B7"/>
    <w:rsid w:val="00BE4953"/>
    <w:rsid w:val="00BE627A"/>
    <w:rsid w:val="00BE62F1"/>
    <w:rsid w:val="00BE65B4"/>
    <w:rsid w:val="00BE6D29"/>
    <w:rsid w:val="00BF0330"/>
    <w:rsid w:val="00BF0514"/>
    <w:rsid w:val="00BF07D0"/>
    <w:rsid w:val="00BF092B"/>
    <w:rsid w:val="00BF0E4B"/>
    <w:rsid w:val="00BF1184"/>
    <w:rsid w:val="00BF195B"/>
    <w:rsid w:val="00BF1A1C"/>
    <w:rsid w:val="00BF1DCB"/>
    <w:rsid w:val="00BF26C5"/>
    <w:rsid w:val="00BF32AE"/>
    <w:rsid w:val="00BF3465"/>
    <w:rsid w:val="00BF43E9"/>
    <w:rsid w:val="00BF4477"/>
    <w:rsid w:val="00BF48D3"/>
    <w:rsid w:val="00BF4AC4"/>
    <w:rsid w:val="00BF58D9"/>
    <w:rsid w:val="00BF597F"/>
    <w:rsid w:val="00BF5E18"/>
    <w:rsid w:val="00BF6A5E"/>
    <w:rsid w:val="00BF6A7F"/>
    <w:rsid w:val="00BF7150"/>
    <w:rsid w:val="00BF7900"/>
    <w:rsid w:val="00BF7E1F"/>
    <w:rsid w:val="00C008C1"/>
    <w:rsid w:val="00C01267"/>
    <w:rsid w:val="00C01546"/>
    <w:rsid w:val="00C01D8A"/>
    <w:rsid w:val="00C020F1"/>
    <w:rsid w:val="00C02AE6"/>
    <w:rsid w:val="00C02AE7"/>
    <w:rsid w:val="00C03146"/>
    <w:rsid w:val="00C03318"/>
    <w:rsid w:val="00C0521B"/>
    <w:rsid w:val="00C05608"/>
    <w:rsid w:val="00C05A42"/>
    <w:rsid w:val="00C05DEB"/>
    <w:rsid w:val="00C05E49"/>
    <w:rsid w:val="00C061F8"/>
    <w:rsid w:val="00C063E0"/>
    <w:rsid w:val="00C064F6"/>
    <w:rsid w:val="00C067A6"/>
    <w:rsid w:val="00C06958"/>
    <w:rsid w:val="00C06E48"/>
    <w:rsid w:val="00C071B9"/>
    <w:rsid w:val="00C0771F"/>
    <w:rsid w:val="00C07E0B"/>
    <w:rsid w:val="00C1012B"/>
    <w:rsid w:val="00C10617"/>
    <w:rsid w:val="00C108C0"/>
    <w:rsid w:val="00C10BBB"/>
    <w:rsid w:val="00C1133E"/>
    <w:rsid w:val="00C117EF"/>
    <w:rsid w:val="00C11B48"/>
    <w:rsid w:val="00C135F5"/>
    <w:rsid w:val="00C136AD"/>
    <w:rsid w:val="00C13DB1"/>
    <w:rsid w:val="00C14084"/>
    <w:rsid w:val="00C14122"/>
    <w:rsid w:val="00C15A55"/>
    <w:rsid w:val="00C160A9"/>
    <w:rsid w:val="00C164CA"/>
    <w:rsid w:val="00C16620"/>
    <w:rsid w:val="00C168FA"/>
    <w:rsid w:val="00C16B44"/>
    <w:rsid w:val="00C1772C"/>
    <w:rsid w:val="00C17C99"/>
    <w:rsid w:val="00C17D0D"/>
    <w:rsid w:val="00C20702"/>
    <w:rsid w:val="00C20BE1"/>
    <w:rsid w:val="00C21EAE"/>
    <w:rsid w:val="00C220A4"/>
    <w:rsid w:val="00C226AC"/>
    <w:rsid w:val="00C231A8"/>
    <w:rsid w:val="00C238B0"/>
    <w:rsid w:val="00C23903"/>
    <w:rsid w:val="00C23A3D"/>
    <w:rsid w:val="00C23BCC"/>
    <w:rsid w:val="00C2442E"/>
    <w:rsid w:val="00C24C6F"/>
    <w:rsid w:val="00C258B0"/>
    <w:rsid w:val="00C25FF8"/>
    <w:rsid w:val="00C3013F"/>
    <w:rsid w:val="00C3033D"/>
    <w:rsid w:val="00C30538"/>
    <w:rsid w:val="00C30E1B"/>
    <w:rsid w:val="00C30E86"/>
    <w:rsid w:val="00C31A69"/>
    <w:rsid w:val="00C324DD"/>
    <w:rsid w:val="00C32745"/>
    <w:rsid w:val="00C33DEB"/>
    <w:rsid w:val="00C344BB"/>
    <w:rsid w:val="00C34826"/>
    <w:rsid w:val="00C34C9B"/>
    <w:rsid w:val="00C350EF"/>
    <w:rsid w:val="00C351D0"/>
    <w:rsid w:val="00C360C3"/>
    <w:rsid w:val="00C3618E"/>
    <w:rsid w:val="00C361A3"/>
    <w:rsid w:val="00C36243"/>
    <w:rsid w:val="00C368DF"/>
    <w:rsid w:val="00C3758C"/>
    <w:rsid w:val="00C37930"/>
    <w:rsid w:val="00C37F6B"/>
    <w:rsid w:val="00C40FA7"/>
    <w:rsid w:val="00C43FE0"/>
    <w:rsid w:val="00C44665"/>
    <w:rsid w:val="00C44E01"/>
    <w:rsid w:val="00C45071"/>
    <w:rsid w:val="00C45509"/>
    <w:rsid w:val="00C458C0"/>
    <w:rsid w:val="00C45AFB"/>
    <w:rsid w:val="00C45D25"/>
    <w:rsid w:val="00C45E67"/>
    <w:rsid w:val="00C46389"/>
    <w:rsid w:val="00C4675F"/>
    <w:rsid w:val="00C46ADB"/>
    <w:rsid w:val="00C47CF7"/>
    <w:rsid w:val="00C51304"/>
    <w:rsid w:val="00C51309"/>
    <w:rsid w:val="00C51677"/>
    <w:rsid w:val="00C52411"/>
    <w:rsid w:val="00C5287E"/>
    <w:rsid w:val="00C52C3E"/>
    <w:rsid w:val="00C5356F"/>
    <w:rsid w:val="00C538EE"/>
    <w:rsid w:val="00C53A31"/>
    <w:rsid w:val="00C53A3C"/>
    <w:rsid w:val="00C54811"/>
    <w:rsid w:val="00C54980"/>
    <w:rsid w:val="00C55556"/>
    <w:rsid w:val="00C570BD"/>
    <w:rsid w:val="00C57230"/>
    <w:rsid w:val="00C57ACE"/>
    <w:rsid w:val="00C57CD1"/>
    <w:rsid w:val="00C57EE0"/>
    <w:rsid w:val="00C601D2"/>
    <w:rsid w:val="00C61519"/>
    <w:rsid w:val="00C63132"/>
    <w:rsid w:val="00C63697"/>
    <w:rsid w:val="00C6372E"/>
    <w:rsid w:val="00C63A35"/>
    <w:rsid w:val="00C63F72"/>
    <w:rsid w:val="00C6486B"/>
    <w:rsid w:val="00C64AEB"/>
    <w:rsid w:val="00C64D73"/>
    <w:rsid w:val="00C64DB6"/>
    <w:rsid w:val="00C65277"/>
    <w:rsid w:val="00C655AA"/>
    <w:rsid w:val="00C663A8"/>
    <w:rsid w:val="00C66863"/>
    <w:rsid w:val="00C67F18"/>
    <w:rsid w:val="00C707E1"/>
    <w:rsid w:val="00C713C7"/>
    <w:rsid w:val="00C71F15"/>
    <w:rsid w:val="00C72364"/>
    <w:rsid w:val="00C72451"/>
    <w:rsid w:val="00C724B7"/>
    <w:rsid w:val="00C72ADE"/>
    <w:rsid w:val="00C72BB4"/>
    <w:rsid w:val="00C72C0C"/>
    <w:rsid w:val="00C737E6"/>
    <w:rsid w:val="00C73994"/>
    <w:rsid w:val="00C754FB"/>
    <w:rsid w:val="00C75808"/>
    <w:rsid w:val="00C75A06"/>
    <w:rsid w:val="00C76F5D"/>
    <w:rsid w:val="00C775C4"/>
    <w:rsid w:val="00C77B06"/>
    <w:rsid w:val="00C77B38"/>
    <w:rsid w:val="00C77F51"/>
    <w:rsid w:val="00C804E1"/>
    <w:rsid w:val="00C81BB6"/>
    <w:rsid w:val="00C8225F"/>
    <w:rsid w:val="00C8230A"/>
    <w:rsid w:val="00C826C2"/>
    <w:rsid w:val="00C8273C"/>
    <w:rsid w:val="00C827C4"/>
    <w:rsid w:val="00C829EF"/>
    <w:rsid w:val="00C8332E"/>
    <w:rsid w:val="00C83E38"/>
    <w:rsid w:val="00C84727"/>
    <w:rsid w:val="00C84D13"/>
    <w:rsid w:val="00C857F1"/>
    <w:rsid w:val="00C85ED1"/>
    <w:rsid w:val="00C861B8"/>
    <w:rsid w:val="00C865D3"/>
    <w:rsid w:val="00C87934"/>
    <w:rsid w:val="00C907AF"/>
    <w:rsid w:val="00C9171C"/>
    <w:rsid w:val="00C93255"/>
    <w:rsid w:val="00C93360"/>
    <w:rsid w:val="00C93573"/>
    <w:rsid w:val="00C93AC1"/>
    <w:rsid w:val="00C94044"/>
    <w:rsid w:val="00C94B62"/>
    <w:rsid w:val="00C95AD3"/>
    <w:rsid w:val="00C95AE6"/>
    <w:rsid w:val="00C95D6C"/>
    <w:rsid w:val="00C95DDD"/>
    <w:rsid w:val="00C969DD"/>
    <w:rsid w:val="00C96A2E"/>
    <w:rsid w:val="00C96BC2"/>
    <w:rsid w:val="00C97575"/>
    <w:rsid w:val="00C97646"/>
    <w:rsid w:val="00C976C0"/>
    <w:rsid w:val="00CA014B"/>
    <w:rsid w:val="00CA065A"/>
    <w:rsid w:val="00CA06C6"/>
    <w:rsid w:val="00CA1227"/>
    <w:rsid w:val="00CA1760"/>
    <w:rsid w:val="00CA1E15"/>
    <w:rsid w:val="00CA1E68"/>
    <w:rsid w:val="00CA30A1"/>
    <w:rsid w:val="00CA3B17"/>
    <w:rsid w:val="00CA3C75"/>
    <w:rsid w:val="00CA54F4"/>
    <w:rsid w:val="00CA5B09"/>
    <w:rsid w:val="00CA6235"/>
    <w:rsid w:val="00CA6343"/>
    <w:rsid w:val="00CA728F"/>
    <w:rsid w:val="00CA746B"/>
    <w:rsid w:val="00CB047E"/>
    <w:rsid w:val="00CB075E"/>
    <w:rsid w:val="00CB08C4"/>
    <w:rsid w:val="00CB128F"/>
    <w:rsid w:val="00CB13B3"/>
    <w:rsid w:val="00CB16C0"/>
    <w:rsid w:val="00CB1AD3"/>
    <w:rsid w:val="00CB1BC8"/>
    <w:rsid w:val="00CB2DC0"/>
    <w:rsid w:val="00CB34FC"/>
    <w:rsid w:val="00CB380A"/>
    <w:rsid w:val="00CB3FDA"/>
    <w:rsid w:val="00CB4194"/>
    <w:rsid w:val="00CB55D5"/>
    <w:rsid w:val="00CB5ABB"/>
    <w:rsid w:val="00CB5D73"/>
    <w:rsid w:val="00CB6863"/>
    <w:rsid w:val="00CB6B47"/>
    <w:rsid w:val="00CB7C8E"/>
    <w:rsid w:val="00CB7D52"/>
    <w:rsid w:val="00CB7FA9"/>
    <w:rsid w:val="00CC130F"/>
    <w:rsid w:val="00CC1FBA"/>
    <w:rsid w:val="00CC2834"/>
    <w:rsid w:val="00CC2EB4"/>
    <w:rsid w:val="00CC3B1A"/>
    <w:rsid w:val="00CC4176"/>
    <w:rsid w:val="00CC456B"/>
    <w:rsid w:val="00CC4C5D"/>
    <w:rsid w:val="00CC51EC"/>
    <w:rsid w:val="00CC530E"/>
    <w:rsid w:val="00CC607F"/>
    <w:rsid w:val="00CC624E"/>
    <w:rsid w:val="00CC7994"/>
    <w:rsid w:val="00CC79A5"/>
    <w:rsid w:val="00CC7A93"/>
    <w:rsid w:val="00CC7BC7"/>
    <w:rsid w:val="00CD12D2"/>
    <w:rsid w:val="00CD18C2"/>
    <w:rsid w:val="00CD2242"/>
    <w:rsid w:val="00CD2908"/>
    <w:rsid w:val="00CD32E7"/>
    <w:rsid w:val="00CD33CA"/>
    <w:rsid w:val="00CD41B2"/>
    <w:rsid w:val="00CD42B0"/>
    <w:rsid w:val="00CD51B1"/>
    <w:rsid w:val="00CD6105"/>
    <w:rsid w:val="00CD675C"/>
    <w:rsid w:val="00CD67D7"/>
    <w:rsid w:val="00CD704B"/>
    <w:rsid w:val="00CD772D"/>
    <w:rsid w:val="00CD7D09"/>
    <w:rsid w:val="00CE01AE"/>
    <w:rsid w:val="00CE0299"/>
    <w:rsid w:val="00CE0857"/>
    <w:rsid w:val="00CE0ABB"/>
    <w:rsid w:val="00CE0CD3"/>
    <w:rsid w:val="00CE0DB3"/>
    <w:rsid w:val="00CE1949"/>
    <w:rsid w:val="00CE1C9C"/>
    <w:rsid w:val="00CE1F62"/>
    <w:rsid w:val="00CE1F7C"/>
    <w:rsid w:val="00CE2C92"/>
    <w:rsid w:val="00CE3202"/>
    <w:rsid w:val="00CE327F"/>
    <w:rsid w:val="00CE38C6"/>
    <w:rsid w:val="00CE3F10"/>
    <w:rsid w:val="00CE42E2"/>
    <w:rsid w:val="00CE47BA"/>
    <w:rsid w:val="00CE4999"/>
    <w:rsid w:val="00CE532F"/>
    <w:rsid w:val="00CE577E"/>
    <w:rsid w:val="00CE5B06"/>
    <w:rsid w:val="00CE5F4E"/>
    <w:rsid w:val="00CE603E"/>
    <w:rsid w:val="00CE63E3"/>
    <w:rsid w:val="00CE6C51"/>
    <w:rsid w:val="00CE76F8"/>
    <w:rsid w:val="00CE778D"/>
    <w:rsid w:val="00CE778E"/>
    <w:rsid w:val="00CE77D6"/>
    <w:rsid w:val="00CE7AB9"/>
    <w:rsid w:val="00CE7F5D"/>
    <w:rsid w:val="00CF0194"/>
    <w:rsid w:val="00CF041E"/>
    <w:rsid w:val="00CF08ED"/>
    <w:rsid w:val="00CF0B6D"/>
    <w:rsid w:val="00CF1072"/>
    <w:rsid w:val="00CF1314"/>
    <w:rsid w:val="00CF1B6C"/>
    <w:rsid w:val="00CF1C24"/>
    <w:rsid w:val="00CF1C74"/>
    <w:rsid w:val="00CF2030"/>
    <w:rsid w:val="00CF333F"/>
    <w:rsid w:val="00CF3C65"/>
    <w:rsid w:val="00CF48B8"/>
    <w:rsid w:val="00CF661B"/>
    <w:rsid w:val="00CF73F9"/>
    <w:rsid w:val="00D00683"/>
    <w:rsid w:val="00D00C5F"/>
    <w:rsid w:val="00D00E59"/>
    <w:rsid w:val="00D00E6C"/>
    <w:rsid w:val="00D023E5"/>
    <w:rsid w:val="00D03A21"/>
    <w:rsid w:val="00D03BDF"/>
    <w:rsid w:val="00D03F78"/>
    <w:rsid w:val="00D043B5"/>
    <w:rsid w:val="00D04519"/>
    <w:rsid w:val="00D04741"/>
    <w:rsid w:val="00D04C95"/>
    <w:rsid w:val="00D04E45"/>
    <w:rsid w:val="00D06400"/>
    <w:rsid w:val="00D06641"/>
    <w:rsid w:val="00D06F12"/>
    <w:rsid w:val="00D06F30"/>
    <w:rsid w:val="00D070F5"/>
    <w:rsid w:val="00D07186"/>
    <w:rsid w:val="00D07627"/>
    <w:rsid w:val="00D07F54"/>
    <w:rsid w:val="00D10344"/>
    <w:rsid w:val="00D1048E"/>
    <w:rsid w:val="00D107F9"/>
    <w:rsid w:val="00D110EC"/>
    <w:rsid w:val="00D11500"/>
    <w:rsid w:val="00D12362"/>
    <w:rsid w:val="00D1341A"/>
    <w:rsid w:val="00D13788"/>
    <w:rsid w:val="00D140CD"/>
    <w:rsid w:val="00D1426D"/>
    <w:rsid w:val="00D146F2"/>
    <w:rsid w:val="00D15315"/>
    <w:rsid w:val="00D157C6"/>
    <w:rsid w:val="00D157E8"/>
    <w:rsid w:val="00D1590E"/>
    <w:rsid w:val="00D1605B"/>
    <w:rsid w:val="00D2067E"/>
    <w:rsid w:val="00D21AAC"/>
    <w:rsid w:val="00D22328"/>
    <w:rsid w:val="00D2286D"/>
    <w:rsid w:val="00D22B80"/>
    <w:rsid w:val="00D256DE"/>
    <w:rsid w:val="00D26054"/>
    <w:rsid w:val="00D27809"/>
    <w:rsid w:val="00D27D53"/>
    <w:rsid w:val="00D3083B"/>
    <w:rsid w:val="00D3095D"/>
    <w:rsid w:val="00D30A8A"/>
    <w:rsid w:val="00D30CC1"/>
    <w:rsid w:val="00D329B3"/>
    <w:rsid w:val="00D32B03"/>
    <w:rsid w:val="00D32BB9"/>
    <w:rsid w:val="00D32C81"/>
    <w:rsid w:val="00D33B74"/>
    <w:rsid w:val="00D348B6"/>
    <w:rsid w:val="00D34FB6"/>
    <w:rsid w:val="00D3507E"/>
    <w:rsid w:val="00D3540B"/>
    <w:rsid w:val="00D3726F"/>
    <w:rsid w:val="00D375E3"/>
    <w:rsid w:val="00D37772"/>
    <w:rsid w:val="00D37ABD"/>
    <w:rsid w:val="00D4059A"/>
    <w:rsid w:val="00D405CF"/>
    <w:rsid w:val="00D4106C"/>
    <w:rsid w:val="00D41B47"/>
    <w:rsid w:val="00D42C4A"/>
    <w:rsid w:val="00D43E19"/>
    <w:rsid w:val="00D43F61"/>
    <w:rsid w:val="00D445D6"/>
    <w:rsid w:val="00D44B8D"/>
    <w:rsid w:val="00D45A28"/>
    <w:rsid w:val="00D45BB5"/>
    <w:rsid w:val="00D45ED3"/>
    <w:rsid w:val="00D45F1D"/>
    <w:rsid w:val="00D45F3F"/>
    <w:rsid w:val="00D4623F"/>
    <w:rsid w:val="00D47684"/>
    <w:rsid w:val="00D47D47"/>
    <w:rsid w:val="00D5015B"/>
    <w:rsid w:val="00D50575"/>
    <w:rsid w:val="00D50840"/>
    <w:rsid w:val="00D508EF"/>
    <w:rsid w:val="00D50929"/>
    <w:rsid w:val="00D5154B"/>
    <w:rsid w:val="00D5179C"/>
    <w:rsid w:val="00D51B78"/>
    <w:rsid w:val="00D51C42"/>
    <w:rsid w:val="00D523E3"/>
    <w:rsid w:val="00D54D16"/>
    <w:rsid w:val="00D552B7"/>
    <w:rsid w:val="00D5548E"/>
    <w:rsid w:val="00D5578C"/>
    <w:rsid w:val="00D55D82"/>
    <w:rsid w:val="00D5629C"/>
    <w:rsid w:val="00D5667D"/>
    <w:rsid w:val="00D56BF8"/>
    <w:rsid w:val="00D572D5"/>
    <w:rsid w:val="00D573C9"/>
    <w:rsid w:val="00D602A4"/>
    <w:rsid w:val="00D60F6D"/>
    <w:rsid w:val="00D61721"/>
    <w:rsid w:val="00D61D30"/>
    <w:rsid w:val="00D62BFD"/>
    <w:rsid w:val="00D62F22"/>
    <w:rsid w:val="00D6380D"/>
    <w:rsid w:val="00D64443"/>
    <w:rsid w:val="00D645A6"/>
    <w:rsid w:val="00D6581C"/>
    <w:rsid w:val="00D65868"/>
    <w:rsid w:val="00D65A08"/>
    <w:rsid w:val="00D65D03"/>
    <w:rsid w:val="00D65EAB"/>
    <w:rsid w:val="00D65ECE"/>
    <w:rsid w:val="00D6621F"/>
    <w:rsid w:val="00D67342"/>
    <w:rsid w:val="00D67557"/>
    <w:rsid w:val="00D67ED3"/>
    <w:rsid w:val="00D703D4"/>
    <w:rsid w:val="00D70CCA"/>
    <w:rsid w:val="00D714D0"/>
    <w:rsid w:val="00D71BD1"/>
    <w:rsid w:val="00D71C50"/>
    <w:rsid w:val="00D725AC"/>
    <w:rsid w:val="00D7277D"/>
    <w:rsid w:val="00D72958"/>
    <w:rsid w:val="00D73260"/>
    <w:rsid w:val="00D756E1"/>
    <w:rsid w:val="00D75C88"/>
    <w:rsid w:val="00D75EF4"/>
    <w:rsid w:val="00D7610D"/>
    <w:rsid w:val="00D763C4"/>
    <w:rsid w:val="00D76A4A"/>
    <w:rsid w:val="00D76DE4"/>
    <w:rsid w:val="00D77AED"/>
    <w:rsid w:val="00D77C10"/>
    <w:rsid w:val="00D77C67"/>
    <w:rsid w:val="00D77D08"/>
    <w:rsid w:val="00D80463"/>
    <w:rsid w:val="00D8054B"/>
    <w:rsid w:val="00D80E4F"/>
    <w:rsid w:val="00D81E2D"/>
    <w:rsid w:val="00D8367A"/>
    <w:rsid w:val="00D8403F"/>
    <w:rsid w:val="00D848F8"/>
    <w:rsid w:val="00D84D65"/>
    <w:rsid w:val="00D8553E"/>
    <w:rsid w:val="00D85A00"/>
    <w:rsid w:val="00D85B47"/>
    <w:rsid w:val="00D85CED"/>
    <w:rsid w:val="00D86D0A"/>
    <w:rsid w:val="00D871B0"/>
    <w:rsid w:val="00D87AB8"/>
    <w:rsid w:val="00D87C37"/>
    <w:rsid w:val="00D9052E"/>
    <w:rsid w:val="00D91510"/>
    <w:rsid w:val="00D9162B"/>
    <w:rsid w:val="00D918D6"/>
    <w:rsid w:val="00D91AA5"/>
    <w:rsid w:val="00D9241A"/>
    <w:rsid w:val="00D925D4"/>
    <w:rsid w:val="00D93028"/>
    <w:rsid w:val="00D934BA"/>
    <w:rsid w:val="00D939FE"/>
    <w:rsid w:val="00D94510"/>
    <w:rsid w:val="00D94606"/>
    <w:rsid w:val="00D94AD8"/>
    <w:rsid w:val="00D94E28"/>
    <w:rsid w:val="00D951AC"/>
    <w:rsid w:val="00D95A7E"/>
    <w:rsid w:val="00D96509"/>
    <w:rsid w:val="00D96672"/>
    <w:rsid w:val="00D96AFC"/>
    <w:rsid w:val="00D9775E"/>
    <w:rsid w:val="00D97A5E"/>
    <w:rsid w:val="00DA18A2"/>
    <w:rsid w:val="00DA1B61"/>
    <w:rsid w:val="00DA2B4A"/>
    <w:rsid w:val="00DA2F54"/>
    <w:rsid w:val="00DA3246"/>
    <w:rsid w:val="00DA400C"/>
    <w:rsid w:val="00DA4602"/>
    <w:rsid w:val="00DA5B2C"/>
    <w:rsid w:val="00DA5E2D"/>
    <w:rsid w:val="00DA638D"/>
    <w:rsid w:val="00DA76C6"/>
    <w:rsid w:val="00DA7E93"/>
    <w:rsid w:val="00DA7FAE"/>
    <w:rsid w:val="00DB0A5B"/>
    <w:rsid w:val="00DB1AAD"/>
    <w:rsid w:val="00DB2AB1"/>
    <w:rsid w:val="00DB464D"/>
    <w:rsid w:val="00DB494F"/>
    <w:rsid w:val="00DB517A"/>
    <w:rsid w:val="00DB51B0"/>
    <w:rsid w:val="00DB5960"/>
    <w:rsid w:val="00DB627A"/>
    <w:rsid w:val="00DB66FD"/>
    <w:rsid w:val="00DB71B2"/>
    <w:rsid w:val="00DB75D4"/>
    <w:rsid w:val="00DB7780"/>
    <w:rsid w:val="00DC022D"/>
    <w:rsid w:val="00DC0588"/>
    <w:rsid w:val="00DC0CDD"/>
    <w:rsid w:val="00DC1340"/>
    <w:rsid w:val="00DC1953"/>
    <w:rsid w:val="00DC24B1"/>
    <w:rsid w:val="00DC346E"/>
    <w:rsid w:val="00DC35AA"/>
    <w:rsid w:val="00DC3755"/>
    <w:rsid w:val="00DC3886"/>
    <w:rsid w:val="00DC388E"/>
    <w:rsid w:val="00DC4004"/>
    <w:rsid w:val="00DC4D63"/>
    <w:rsid w:val="00DC4F52"/>
    <w:rsid w:val="00DC6F2C"/>
    <w:rsid w:val="00DD1873"/>
    <w:rsid w:val="00DD1BF1"/>
    <w:rsid w:val="00DD1E4F"/>
    <w:rsid w:val="00DD2F89"/>
    <w:rsid w:val="00DD42E7"/>
    <w:rsid w:val="00DD4C24"/>
    <w:rsid w:val="00DD501E"/>
    <w:rsid w:val="00DD5762"/>
    <w:rsid w:val="00DD5F33"/>
    <w:rsid w:val="00DD5FB8"/>
    <w:rsid w:val="00DD6216"/>
    <w:rsid w:val="00DD66EA"/>
    <w:rsid w:val="00DD6798"/>
    <w:rsid w:val="00DD6CD4"/>
    <w:rsid w:val="00DD6F9C"/>
    <w:rsid w:val="00DE0679"/>
    <w:rsid w:val="00DE13D6"/>
    <w:rsid w:val="00DE1463"/>
    <w:rsid w:val="00DE1494"/>
    <w:rsid w:val="00DE1592"/>
    <w:rsid w:val="00DE1708"/>
    <w:rsid w:val="00DE1FC3"/>
    <w:rsid w:val="00DE20CA"/>
    <w:rsid w:val="00DE2B0A"/>
    <w:rsid w:val="00DE2EA1"/>
    <w:rsid w:val="00DE2EBB"/>
    <w:rsid w:val="00DE3011"/>
    <w:rsid w:val="00DE32DC"/>
    <w:rsid w:val="00DE4203"/>
    <w:rsid w:val="00DE4E7B"/>
    <w:rsid w:val="00DE5112"/>
    <w:rsid w:val="00DE5301"/>
    <w:rsid w:val="00DE5424"/>
    <w:rsid w:val="00DE58BD"/>
    <w:rsid w:val="00DE6DFA"/>
    <w:rsid w:val="00DE6F50"/>
    <w:rsid w:val="00DE7436"/>
    <w:rsid w:val="00DE7C15"/>
    <w:rsid w:val="00DF0025"/>
    <w:rsid w:val="00DF0BE1"/>
    <w:rsid w:val="00DF12D5"/>
    <w:rsid w:val="00DF12E6"/>
    <w:rsid w:val="00DF12F7"/>
    <w:rsid w:val="00DF131A"/>
    <w:rsid w:val="00DF1777"/>
    <w:rsid w:val="00DF278B"/>
    <w:rsid w:val="00DF302D"/>
    <w:rsid w:val="00DF358E"/>
    <w:rsid w:val="00DF37BB"/>
    <w:rsid w:val="00DF3A6D"/>
    <w:rsid w:val="00DF5238"/>
    <w:rsid w:val="00DF58D0"/>
    <w:rsid w:val="00DF5A07"/>
    <w:rsid w:val="00DF6A1B"/>
    <w:rsid w:val="00DF73AA"/>
    <w:rsid w:val="00E00008"/>
    <w:rsid w:val="00E000DE"/>
    <w:rsid w:val="00E00571"/>
    <w:rsid w:val="00E00D9F"/>
    <w:rsid w:val="00E01180"/>
    <w:rsid w:val="00E020DD"/>
    <w:rsid w:val="00E0334B"/>
    <w:rsid w:val="00E036B9"/>
    <w:rsid w:val="00E039EB"/>
    <w:rsid w:val="00E03BA4"/>
    <w:rsid w:val="00E04AB4"/>
    <w:rsid w:val="00E04B69"/>
    <w:rsid w:val="00E04C65"/>
    <w:rsid w:val="00E0520C"/>
    <w:rsid w:val="00E0575F"/>
    <w:rsid w:val="00E06456"/>
    <w:rsid w:val="00E0661E"/>
    <w:rsid w:val="00E067CA"/>
    <w:rsid w:val="00E076BC"/>
    <w:rsid w:val="00E07FB0"/>
    <w:rsid w:val="00E07FC2"/>
    <w:rsid w:val="00E100C0"/>
    <w:rsid w:val="00E105A3"/>
    <w:rsid w:val="00E109C9"/>
    <w:rsid w:val="00E110F2"/>
    <w:rsid w:val="00E1163C"/>
    <w:rsid w:val="00E11762"/>
    <w:rsid w:val="00E11AD0"/>
    <w:rsid w:val="00E11F75"/>
    <w:rsid w:val="00E15086"/>
    <w:rsid w:val="00E15B49"/>
    <w:rsid w:val="00E15E2C"/>
    <w:rsid w:val="00E168A9"/>
    <w:rsid w:val="00E16E55"/>
    <w:rsid w:val="00E17AAC"/>
    <w:rsid w:val="00E17FF6"/>
    <w:rsid w:val="00E20FA6"/>
    <w:rsid w:val="00E2123E"/>
    <w:rsid w:val="00E21255"/>
    <w:rsid w:val="00E21498"/>
    <w:rsid w:val="00E21604"/>
    <w:rsid w:val="00E21744"/>
    <w:rsid w:val="00E21E88"/>
    <w:rsid w:val="00E22220"/>
    <w:rsid w:val="00E223E5"/>
    <w:rsid w:val="00E22868"/>
    <w:rsid w:val="00E23529"/>
    <w:rsid w:val="00E23B9D"/>
    <w:rsid w:val="00E2411D"/>
    <w:rsid w:val="00E24EE3"/>
    <w:rsid w:val="00E251C1"/>
    <w:rsid w:val="00E25A21"/>
    <w:rsid w:val="00E2608F"/>
    <w:rsid w:val="00E26196"/>
    <w:rsid w:val="00E26502"/>
    <w:rsid w:val="00E2678A"/>
    <w:rsid w:val="00E27A2A"/>
    <w:rsid w:val="00E27DDE"/>
    <w:rsid w:val="00E27EB3"/>
    <w:rsid w:val="00E31852"/>
    <w:rsid w:val="00E319E0"/>
    <w:rsid w:val="00E31AA2"/>
    <w:rsid w:val="00E322DA"/>
    <w:rsid w:val="00E3260D"/>
    <w:rsid w:val="00E33407"/>
    <w:rsid w:val="00E3470C"/>
    <w:rsid w:val="00E351B6"/>
    <w:rsid w:val="00E35638"/>
    <w:rsid w:val="00E35E41"/>
    <w:rsid w:val="00E36545"/>
    <w:rsid w:val="00E36F42"/>
    <w:rsid w:val="00E36F74"/>
    <w:rsid w:val="00E37819"/>
    <w:rsid w:val="00E37894"/>
    <w:rsid w:val="00E40B7E"/>
    <w:rsid w:val="00E41860"/>
    <w:rsid w:val="00E42B6C"/>
    <w:rsid w:val="00E42B90"/>
    <w:rsid w:val="00E433C8"/>
    <w:rsid w:val="00E43610"/>
    <w:rsid w:val="00E43646"/>
    <w:rsid w:val="00E43DE9"/>
    <w:rsid w:val="00E44441"/>
    <w:rsid w:val="00E44558"/>
    <w:rsid w:val="00E44E5B"/>
    <w:rsid w:val="00E45411"/>
    <w:rsid w:val="00E45FC2"/>
    <w:rsid w:val="00E45FDA"/>
    <w:rsid w:val="00E4649D"/>
    <w:rsid w:val="00E465E7"/>
    <w:rsid w:val="00E46734"/>
    <w:rsid w:val="00E46F7D"/>
    <w:rsid w:val="00E47B66"/>
    <w:rsid w:val="00E47E78"/>
    <w:rsid w:val="00E5051A"/>
    <w:rsid w:val="00E506F4"/>
    <w:rsid w:val="00E50C6E"/>
    <w:rsid w:val="00E5140C"/>
    <w:rsid w:val="00E5191F"/>
    <w:rsid w:val="00E5221B"/>
    <w:rsid w:val="00E527C0"/>
    <w:rsid w:val="00E52CE0"/>
    <w:rsid w:val="00E53E7E"/>
    <w:rsid w:val="00E543DA"/>
    <w:rsid w:val="00E54BE5"/>
    <w:rsid w:val="00E55300"/>
    <w:rsid w:val="00E55877"/>
    <w:rsid w:val="00E55B33"/>
    <w:rsid w:val="00E55C93"/>
    <w:rsid w:val="00E5700C"/>
    <w:rsid w:val="00E57B41"/>
    <w:rsid w:val="00E60122"/>
    <w:rsid w:val="00E606DB"/>
    <w:rsid w:val="00E60789"/>
    <w:rsid w:val="00E61977"/>
    <w:rsid w:val="00E619B1"/>
    <w:rsid w:val="00E624FE"/>
    <w:rsid w:val="00E640E9"/>
    <w:rsid w:val="00E641B8"/>
    <w:rsid w:val="00E644B7"/>
    <w:rsid w:val="00E6544F"/>
    <w:rsid w:val="00E65EA3"/>
    <w:rsid w:val="00E67229"/>
    <w:rsid w:val="00E676F2"/>
    <w:rsid w:val="00E67E83"/>
    <w:rsid w:val="00E703EC"/>
    <w:rsid w:val="00E703FF"/>
    <w:rsid w:val="00E70C85"/>
    <w:rsid w:val="00E71519"/>
    <w:rsid w:val="00E71FCC"/>
    <w:rsid w:val="00E72228"/>
    <w:rsid w:val="00E7316F"/>
    <w:rsid w:val="00E733C3"/>
    <w:rsid w:val="00E73AA3"/>
    <w:rsid w:val="00E73D03"/>
    <w:rsid w:val="00E74692"/>
    <w:rsid w:val="00E7525F"/>
    <w:rsid w:val="00E753DB"/>
    <w:rsid w:val="00E75647"/>
    <w:rsid w:val="00E76D2C"/>
    <w:rsid w:val="00E770C8"/>
    <w:rsid w:val="00E776DB"/>
    <w:rsid w:val="00E778FC"/>
    <w:rsid w:val="00E77A36"/>
    <w:rsid w:val="00E77BFC"/>
    <w:rsid w:val="00E80015"/>
    <w:rsid w:val="00E8004A"/>
    <w:rsid w:val="00E80777"/>
    <w:rsid w:val="00E81F8E"/>
    <w:rsid w:val="00E8200F"/>
    <w:rsid w:val="00E8292E"/>
    <w:rsid w:val="00E8361A"/>
    <w:rsid w:val="00E837B5"/>
    <w:rsid w:val="00E83A1A"/>
    <w:rsid w:val="00E83ABD"/>
    <w:rsid w:val="00E83B64"/>
    <w:rsid w:val="00E83E32"/>
    <w:rsid w:val="00E83ECA"/>
    <w:rsid w:val="00E83F96"/>
    <w:rsid w:val="00E8437C"/>
    <w:rsid w:val="00E85578"/>
    <w:rsid w:val="00E859F9"/>
    <w:rsid w:val="00E85ADD"/>
    <w:rsid w:val="00E85EE9"/>
    <w:rsid w:val="00E865DB"/>
    <w:rsid w:val="00E86A4C"/>
    <w:rsid w:val="00E86E39"/>
    <w:rsid w:val="00E87F8F"/>
    <w:rsid w:val="00E9039B"/>
    <w:rsid w:val="00E91789"/>
    <w:rsid w:val="00E91F34"/>
    <w:rsid w:val="00E91F65"/>
    <w:rsid w:val="00E92152"/>
    <w:rsid w:val="00E92344"/>
    <w:rsid w:val="00E924E3"/>
    <w:rsid w:val="00E92804"/>
    <w:rsid w:val="00E92885"/>
    <w:rsid w:val="00E92CB8"/>
    <w:rsid w:val="00E92E33"/>
    <w:rsid w:val="00E93032"/>
    <w:rsid w:val="00E932FE"/>
    <w:rsid w:val="00E93A6A"/>
    <w:rsid w:val="00E93EF1"/>
    <w:rsid w:val="00E94AA2"/>
    <w:rsid w:val="00E95749"/>
    <w:rsid w:val="00E9577A"/>
    <w:rsid w:val="00E95D80"/>
    <w:rsid w:val="00E96470"/>
    <w:rsid w:val="00E968C5"/>
    <w:rsid w:val="00E96DD7"/>
    <w:rsid w:val="00E96EAE"/>
    <w:rsid w:val="00E97081"/>
    <w:rsid w:val="00E97586"/>
    <w:rsid w:val="00EA1962"/>
    <w:rsid w:val="00EA1B5B"/>
    <w:rsid w:val="00EA3172"/>
    <w:rsid w:val="00EA34DA"/>
    <w:rsid w:val="00EA3678"/>
    <w:rsid w:val="00EA382C"/>
    <w:rsid w:val="00EA3E44"/>
    <w:rsid w:val="00EA40DD"/>
    <w:rsid w:val="00EA40F2"/>
    <w:rsid w:val="00EA4245"/>
    <w:rsid w:val="00EA4531"/>
    <w:rsid w:val="00EA4C59"/>
    <w:rsid w:val="00EA4CF9"/>
    <w:rsid w:val="00EA5DB2"/>
    <w:rsid w:val="00EA6037"/>
    <w:rsid w:val="00EA7018"/>
    <w:rsid w:val="00EA707F"/>
    <w:rsid w:val="00EA7F6A"/>
    <w:rsid w:val="00EB0155"/>
    <w:rsid w:val="00EB0241"/>
    <w:rsid w:val="00EB079C"/>
    <w:rsid w:val="00EB08DB"/>
    <w:rsid w:val="00EB1C5E"/>
    <w:rsid w:val="00EB1D3D"/>
    <w:rsid w:val="00EB2501"/>
    <w:rsid w:val="00EB2B99"/>
    <w:rsid w:val="00EB2F1A"/>
    <w:rsid w:val="00EB438F"/>
    <w:rsid w:val="00EB49AC"/>
    <w:rsid w:val="00EB4B09"/>
    <w:rsid w:val="00EB4BDD"/>
    <w:rsid w:val="00EB5320"/>
    <w:rsid w:val="00EB5623"/>
    <w:rsid w:val="00EB5CD4"/>
    <w:rsid w:val="00EB673D"/>
    <w:rsid w:val="00EB6AA3"/>
    <w:rsid w:val="00EB7053"/>
    <w:rsid w:val="00EB7495"/>
    <w:rsid w:val="00EB7AA1"/>
    <w:rsid w:val="00EC041C"/>
    <w:rsid w:val="00EC0E4A"/>
    <w:rsid w:val="00EC13D0"/>
    <w:rsid w:val="00EC1DA8"/>
    <w:rsid w:val="00EC28A7"/>
    <w:rsid w:val="00EC2D0E"/>
    <w:rsid w:val="00EC3006"/>
    <w:rsid w:val="00EC3CEF"/>
    <w:rsid w:val="00EC4172"/>
    <w:rsid w:val="00EC4387"/>
    <w:rsid w:val="00EC4B3F"/>
    <w:rsid w:val="00EC4CCA"/>
    <w:rsid w:val="00EC5E32"/>
    <w:rsid w:val="00EC6776"/>
    <w:rsid w:val="00EC6ED8"/>
    <w:rsid w:val="00EC6F5C"/>
    <w:rsid w:val="00EC791E"/>
    <w:rsid w:val="00ED066F"/>
    <w:rsid w:val="00ED075F"/>
    <w:rsid w:val="00ED121B"/>
    <w:rsid w:val="00ED1408"/>
    <w:rsid w:val="00ED1669"/>
    <w:rsid w:val="00ED1ADE"/>
    <w:rsid w:val="00ED1F15"/>
    <w:rsid w:val="00ED20F7"/>
    <w:rsid w:val="00ED235C"/>
    <w:rsid w:val="00ED2424"/>
    <w:rsid w:val="00ED335B"/>
    <w:rsid w:val="00ED38A6"/>
    <w:rsid w:val="00ED4078"/>
    <w:rsid w:val="00ED5EB1"/>
    <w:rsid w:val="00ED5F8B"/>
    <w:rsid w:val="00ED6490"/>
    <w:rsid w:val="00ED6601"/>
    <w:rsid w:val="00ED6A9C"/>
    <w:rsid w:val="00ED6BB2"/>
    <w:rsid w:val="00ED6DE0"/>
    <w:rsid w:val="00ED70A4"/>
    <w:rsid w:val="00ED727E"/>
    <w:rsid w:val="00ED7FC0"/>
    <w:rsid w:val="00EE01A1"/>
    <w:rsid w:val="00EE1E23"/>
    <w:rsid w:val="00EE2068"/>
    <w:rsid w:val="00EE206D"/>
    <w:rsid w:val="00EE3054"/>
    <w:rsid w:val="00EE328B"/>
    <w:rsid w:val="00EE33B7"/>
    <w:rsid w:val="00EE530C"/>
    <w:rsid w:val="00EE5396"/>
    <w:rsid w:val="00EE5602"/>
    <w:rsid w:val="00EE6C1A"/>
    <w:rsid w:val="00EE734F"/>
    <w:rsid w:val="00EE73A0"/>
    <w:rsid w:val="00EE752C"/>
    <w:rsid w:val="00EE795A"/>
    <w:rsid w:val="00EE7BD2"/>
    <w:rsid w:val="00EE7E3F"/>
    <w:rsid w:val="00EF028A"/>
    <w:rsid w:val="00EF02A6"/>
    <w:rsid w:val="00EF0416"/>
    <w:rsid w:val="00EF0F0E"/>
    <w:rsid w:val="00EF10DF"/>
    <w:rsid w:val="00EF1A76"/>
    <w:rsid w:val="00EF1BFE"/>
    <w:rsid w:val="00EF1C12"/>
    <w:rsid w:val="00EF2652"/>
    <w:rsid w:val="00EF2E63"/>
    <w:rsid w:val="00EF38E8"/>
    <w:rsid w:val="00EF3BE9"/>
    <w:rsid w:val="00EF4046"/>
    <w:rsid w:val="00EF4BC1"/>
    <w:rsid w:val="00EF5183"/>
    <w:rsid w:val="00EF52EA"/>
    <w:rsid w:val="00EF539C"/>
    <w:rsid w:val="00EF56FB"/>
    <w:rsid w:val="00EF5F22"/>
    <w:rsid w:val="00EF7477"/>
    <w:rsid w:val="00EF7E2D"/>
    <w:rsid w:val="00EF7E3D"/>
    <w:rsid w:val="00F0011E"/>
    <w:rsid w:val="00F003D3"/>
    <w:rsid w:val="00F026FE"/>
    <w:rsid w:val="00F02D76"/>
    <w:rsid w:val="00F03068"/>
    <w:rsid w:val="00F036BF"/>
    <w:rsid w:val="00F04E74"/>
    <w:rsid w:val="00F05067"/>
    <w:rsid w:val="00F05F63"/>
    <w:rsid w:val="00F0642A"/>
    <w:rsid w:val="00F069EF"/>
    <w:rsid w:val="00F06EF8"/>
    <w:rsid w:val="00F06FC6"/>
    <w:rsid w:val="00F07D0B"/>
    <w:rsid w:val="00F11C0C"/>
    <w:rsid w:val="00F11C51"/>
    <w:rsid w:val="00F12304"/>
    <w:rsid w:val="00F12A6E"/>
    <w:rsid w:val="00F12D25"/>
    <w:rsid w:val="00F1306B"/>
    <w:rsid w:val="00F133E1"/>
    <w:rsid w:val="00F13419"/>
    <w:rsid w:val="00F139A0"/>
    <w:rsid w:val="00F14086"/>
    <w:rsid w:val="00F1427F"/>
    <w:rsid w:val="00F1432B"/>
    <w:rsid w:val="00F150B3"/>
    <w:rsid w:val="00F155CF"/>
    <w:rsid w:val="00F15874"/>
    <w:rsid w:val="00F15B92"/>
    <w:rsid w:val="00F170EE"/>
    <w:rsid w:val="00F17C1C"/>
    <w:rsid w:val="00F17F87"/>
    <w:rsid w:val="00F20FA5"/>
    <w:rsid w:val="00F21A8D"/>
    <w:rsid w:val="00F226C5"/>
    <w:rsid w:val="00F2326E"/>
    <w:rsid w:val="00F236B8"/>
    <w:rsid w:val="00F236D3"/>
    <w:rsid w:val="00F23D42"/>
    <w:rsid w:val="00F24913"/>
    <w:rsid w:val="00F256D5"/>
    <w:rsid w:val="00F25DDC"/>
    <w:rsid w:val="00F26623"/>
    <w:rsid w:val="00F2668A"/>
    <w:rsid w:val="00F267F3"/>
    <w:rsid w:val="00F278E0"/>
    <w:rsid w:val="00F3015B"/>
    <w:rsid w:val="00F307BF"/>
    <w:rsid w:val="00F30C2E"/>
    <w:rsid w:val="00F30D78"/>
    <w:rsid w:val="00F30F0D"/>
    <w:rsid w:val="00F30F29"/>
    <w:rsid w:val="00F31BC1"/>
    <w:rsid w:val="00F3215C"/>
    <w:rsid w:val="00F326E6"/>
    <w:rsid w:val="00F32957"/>
    <w:rsid w:val="00F32E59"/>
    <w:rsid w:val="00F33868"/>
    <w:rsid w:val="00F338F5"/>
    <w:rsid w:val="00F341B6"/>
    <w:rsid w:val="00F34357"/>
    <w:rsid w:val="00F34458"/>
    <w:rsid w:val="00F3463E"/>
    <w:rsid w:val="00F346F5"/>
    <w:rsid w:val="00F356A5"/>
    <w:rsid w:val="00F356EA"/>
    <w:rsid w:val="00F35B0A"/>
    <w:rsid w:val="00F36506"/>
    <w:rsid w:val="00F36550"/>
    <w:rsid w:val="00F365F1"/>
    <w:rsid w:val="00F366CE"/>
    <w:rsid w:val="00F36F17"/>
    <w:rsid w:val="00F3719B"/>
    <w:rsid w:val="00F372C0"/>
    <w:rsid w:val="00F372D3"/>
    <w:rsid w:val="00F376DF"/>
    <w:rsid w:val="00F37B91"/>
    <w:rsid w:val="00F4045A"/>
    <w:rsid w:val="00F40767"/>
    <w:rsid w:val="00F40A40"/>
    <w:rsid w:val="00F41BEB"/>
    <w:rsid w:val="00F420FC"/>
    <w:rsid w:val="00F42851"/>
    <w:rsid w:val="00F42C8D"/>
    <w:rsid w:val="00F42D71"/>
    <w:rsid w:val="00F43572"/>
    <w:rsid w:val="00F43611"/>
    <w:rsid w:val="00F43686"/>
    <w:rsid w:val="00F43F0B"/>
    <w:rsid w:val="00F45B32"/>
    <w:rsid w:val="00F45D33"/>
    <w:rsid w:val="00F467C7"/>
    <w:rsid w:val="00F4714F"/>
    <w:rsid w:val="00F50667"/>
    <w:rsid w:val="00F513F2"/>
    <w:rsid w:val="00F51D6F"/>
    <w:rsid w:val="00F5217E"/>
    <w:rsid w:val="00F5379B"/>
    <w:rsid w:val="00F54687"/>
    <w:rsid w:val="00F54BD6"/>
    <w:rsid w:val="00F54C71"/>
    <w:rsid w:val="00F54D33"/>
    <w:rsid w:val="00F54DF6"/>
    <w:rsid w:val="00F550F9"/>
    <w:rsid w:val="00F55D7C"/>
    <w:rsid w:val="00F56674"/>
    <w:rsid w:val="00F56D81"/>
    <w:rsid w:val="00F570B1"/>
    <w:rsid w:val="00F57120"/>
    <w:rsid w:val="00F602F4"/>
    <w:rsid w:val="00F603E4"/>
    <w:rsid w:val="00F60A64"/>
    <w:rsid w:val="00F60BB5"/>
    <w:rsid w:val="00F60D74"/>
    <w:rsid w:val="00F613E7"/>
    <w:rsid w:val="00F622D8"/>
    <w:rsid w:val="00F626B7"/>
    <w:rsid w:val="00F632D2"/>
    <w:rsid w:val="00F63309"/>
    <w:rsid w:val="00F63B41"/>
    <w:rsid w:val="00F63F6F"/>
    <w:rsid w:val="00F645DD"/>
    <w:rsid w:val="00F6491B"/>
    <w:rsid w:val="00F650DB"/>
    <w:rsid w:val="00F65E6C"/>
    <w:rsid w:val="00F66134"/>
    <w:rsid w:val="00F67A80"/>
    <w:rsid w:val="00F67DD9"/>
    <w:rsid w:val="00F67E2D"/>
    <w:rsid w:val="00F701C4"/>
    <w:rsid w:val="00F708DA"/>
    <w:rsid w:val="00F71938"/>
    <w:rsid w:val="00F71EE6"/>
    <w:rsid w:val="00F72392"/>
    <w:rsid w:val="00F725CE"/>
    <w:rsid w:val="00F7286E"/>
    <w:rsid w:val="00F72A21"/>
    <w:rsid w:val="00F72BB5"/>
    <w:rsid w:val="00F72C4C"/>
    <w:rsid w:val="00F73B58"/>
    <w:rsid w:val="00F741BC"/>
    <w:rsid w:val="00F74464"/>
    <w:rsid w:val="00F748E5"/>
    <w:rsid w:val="00F75575"/>
    <w:rsid w:val="00F75853"/>
    <w:rsid w:val="00F75C7E"/>
    <w:rsid w:val="00F765AF"/>
    <w:rsid w:val="00F76EC9"/>
    <w:rsid w:val="00F7740B"/>
    <w:rsid w:val="00F77A3D"/>
    <w:rsid w:val="00F80F61"/>
    <w:rsid w:val="00F81721"/>
    <w:rsid w:val="00F833E8"/>
    <w:rsid w:val="00F83856"/>
    <w:rsid w:val="00F83B91"/>
    <w:rsid w:val="00F843FF"/>
    <w:rsid w:val="00F84512"/>
    <w:rsid w:val="00F845D2"/>
    <w:rsid w:val="00F85225"/>
    <w:rsid w:val="00F85F49"/>
    <w:rsid w:val="00F86B1F"/>
    <w:rsid w:val="00F86E8F"/>
    <w:rsid w:val="00F86FE9"/>
    <w:rsid w:val="00F8710A"/>
    <w:rsid w:val="00F873FC"/>
    <w:rsid w:val="00F87ED5"/>
    <w:rsid w:val="00F87FB5"/>
    <w:rsid w:val="00F905F8"/>
    <w:rsid w:val="00F90A3D"/>
    <w:rsid w:val="00F91078"/>
    <w:rsid w:val="00F91762"/>
    <w:rsid w:val="00F91ABE"/>
    <w:rsid w:val="00F91F1B"/>
    <w:rsid w:val="00F92625"/>
    <w:rsid w:val="00F926E6"/>
    <w:rsid w:val="00F927F3"/>
    <w:rsid w:val="00F92A00"/>
    <w:rsid w:val="00F92C33"/>
    <w:rsid w:val="00F93A95"/>
    <w:rsid w:val="00F93FC5"/>
    <w:rsid w:val="00F9468D"/>
    <w:rsid w:val="00F94A3F"/>
    <w:rsid w:val="00F96582"/>
    <w:rsid w:val="00F96A16"/>
    <w:rsid w:val="00F96D06"/>
    <w:rsid w:val="00F97AA5"/>
    <w:rsid w:val="00FA00AD"/>
    <w:rsid w:val="00FA137D"/>
    <w:rsid w:val="00FA1718"/>
    <w:rsid w:val="00FA24D0"/>
    <w:rsid w:val="00FA3B84"/>
    <w:rsid w:val="00FA403B"/>
    <w:rsid w:val="00FA4258"/>
    <w:rsid w:val="00FA4669"/>
    <w:rsid w:val="00FA49A8"/>
    <w:rsid w:val="00FA49DC"/>
    <w:rsid w:val="00FA675B"/>
    <w:rsid w:val="00FA7DD6"/>
    <w:rsid w:val="00FB07AD"/>
    <w:rsid w:val="00FB12DB"/>
    <w:rsid w:val="00FB1358"/>
    <w:rsid w:val="00FB16A3"/>
    <w:rsid w:val="00FB1DE4"/>
    <w:rsid w:val="00FB2314"/>
    <w:rsid w:val="00FB305B"/>
    <w:rsid w:val="00FB32A2"/>
    <w:rsid w:val="00FB37A7"/>
    <w:rsid w:val="00FB3AA4"/>
    <w:rsid w:val="00FB47C1"/>
    <w:rsid w:val="00FB4937"/>
    <w:rsid w:val="00FB4A39"/>
    <w:rsid w:val="00FB4D12"/>
    <w:rsid w:val="00FB57B2"/>
    <w:rsid w:val="00FB6477"/>
    <w:rsid w:val="00FB6C2A"/>
    <w:rsid w:val="00FB7981"/>
    <w:rsid w:val="00FB7C01"/>
    <w:rsid w:val="00FC074E"/>
    <w:rsid w:val="00FC08BA"/>
    <w:rsid w:val="00FC0BB5"/>
    <w:rsid w:val="00FC0D72"/>
    <w:rsid w:val="00FC1461"/>
    <w:rsid w:val="00FC1AF1"/>
    <w:rsid w:val="00FC1E29"/>
    <w:rsid w:val="00FC20E7"/>
    <w:rsid w:val="00FC2412"/>
    <w:rsid w:val="00FC2A75"/>
    <w:rsid w:val="00FC4E31"/>
    <w:rsid w:val="00FC609B"/>
    <w:rsid w:val="00FC6442"/>
    <w:rsid w:val="00FC66AF"/>
    <w:rsid w:val="00FC6C84"/>
    <w:rsid w:val="00FC7764"/>
    <w:rsid w:val="00FC78BB"/>
    <w:rsid w:val="00FC7BE9"/>
    <w:rsid w:val="00FD14E4"/>
    <w:rsid w:val="00FD17E7"/>
    <w:rsid w:val="00FD186D"/>
    <w:rsid w:val="00FD1D00"/>
    <w:rsid w:val="00FD21FD"/>
    <w:rsid w:val="00FD2662"/>
    <w:rsid w:val="00FD26D0"/>
    <w:rsid w:val="00FD2D8D"/>
    <w:rsid w:val="00FD30CC"/>
    <w:rsid w:val="00FD3707"/>
    <w:rsid w:val="00FD381E"/>
    <w:rsid w:val="00FD3921"/>
    <w:rsid w:val="00FD39D2"/>
    <w:rsid w:val="00FD49AB"/>
    <w:rsid w:val="00FD55D7"/>
    <w:rsid w:val="00FD5952"/>
    <w:rsid w:val="00FD59EB"/>
    <w:rsid w:val="00FD5EBE"/>
    <w:rsid w:val="00FD669E"/>
    <w:rsid w:val="00FD695A"/>
    <w:rsid w:val="00FD7946"/>
    <w:rsid w:val="00FE0049"/>
    <w:rsid w:val="00FE0542"/>
    <w:rsid w:val="00FE079B"/>
    <w:rsid w:val="00FE08AA"/>
    <w:rsid w:val="00FE128C"/>
    <w:rsid w:val="00FE13AB"/>
    <w:rsid w:val="00FE1555"/>
    <w:rsid w:val="00FE2511"/>
    <w:rsid w:val="00FE2D5F"/>
    <w:rsid w:val="00FE368C"/>
    <w:rsid w:val="00FE3D98"/>
    <w:rsid w:val="00FE4566"/>
    <w:rsid w:val="00FE489F"/>
    <w:rsid w:val="00FE5ED9"/>
    <w:rsid w:val="00FE6336"/>
    <w:rsid w:val="00FE6C57"/>
    <w:rsid w:val="00FE7020"/>
    <w:rsid w:val="00FE7717"/>
    <w:rsid w:val="00FE7B6B"/>
    <w:rsid w:val="00FF10A3"/>
    <w:rsid w:val="00FF11F8"/>
    <w:rsid w:val="00FF14E8"/>
    <w:rsid w:val="00FF167D"/>
    <w:rsid w:val="00FF16B9"/>
    <w:rsid w:val="00FF1ED6"/>
    <w:rsid w:val="00FF20F2"/>
    <w:rsid w:val="00FF31D9"/>
    <w:rsid w:val="00FF33E5"/>
    <w:rsid w:val="00FF359B"/>
    <w:rsid w:val="00FF522A"/>
    <w:rsid w:val="00FF5439"/>
    <w:rsid w:val="00FF6484"/>
    <w:rsid w:val="00FF668C"/>
    <w:rsid w:val="00FF790A"/>
    <w:rsid w:val="012A4862"/>
    <w:rsid w:val="015167EF"/>
    <w:rsid w:val="016F3748"/>
    <w:rsid w:val="022A6345"/>
    <w:rsid w:val="028412CC"/>
    <w:rsid w:val="02A916A1"/>
    <w:rsid w:val="02AE540E"/>
    <w:rsid w:val="02B96468"/>
    <w:rsid w:val="02CD1728"/>
    <w:rsid w:val="02CF4659"/>
    <w:rsid w:val="03381BB3"/>
    <w:rsid w:val="034625E7"/>
    <w:rsid w:val="037918D8"/>
    <w:rsid w:val="03800F55"/>
    <w:rsid w:val="03B137C3"/>
    <w:rsid w:val="04507A11"/>
    <w:rsid w:val="0458580D"/>
    <w:rsid w:val="046B19E4"/>
    <w:rsid w:val="04877BE6"/>
    <w:rsid w:val="050869D2"/>
    <w:rsid w:val="053046FC"/>
    <w:rsid w:val="05782497"/>
    <w:rsid w:val="05D45A76"/>
    <w:rsid w:val="061712F1"/>
    <w:rsid w:val="069468A4"/>
    <w:rsid w:val="06C453DB"/>
    <w:rsid w:val="074046A9"/>
    <w:rsid w:val="076D7E2E"/>
    <w:rsid w:val="07710048"/>
    <w:rsid w:val="08282B9A"/>
    <w:rsid w:val="083D256C"/>
    <w:rsid w:val="086C5011"/>
    <w:rsid w:val="08770FB5"/>
    <w:rsid w:val="08916E67"/>
    <w:rsid w:val="09276F76"/>
    <w:rsid w:val="09570D8E"/>
    <w:rsid w:val="09BC7EC1"/>
    <w:rsid w:val="09DB06EB"/>
    <w:rsid w:val="09F70B15"/>
    <w:rsid w:val="0A2B6BF4"/>
    <w:rsid w:val="0A59408D"/>
    <w:rsid w:val="0A5C6D56"/>
    <w:rsid w:val="0A9418BD"/>
    <w:rsid w:val="0AA520C9"/>
    <w:rsid w:val="0AC21C32"/>
    <w:rsid w:val="0AE32E06"/>
    <w:rsid w:val="0AF06AB7"/>
    <w:rsid w:val="0AF141F5"/>
    <w:rsid w:val="0B5F203F"/>
    <w:rsid w:val="0B705B32"/>
    <w:rsid w:val="0C2D61A1"/>
    <w:rsid w:val="0C65313F"/>
    <w:rsid w:val="0C915412"/>
    <w:rsid w:val="0CA87539"/>
    <w:rsid w:val="0CAA285A"/>
    <w:rsid w:val="0CE56B2F"/>
    <w:rsid w:val="0D705561"/>
    <w:rsid w:val="0D7B6509"/>
    <w:rsid w:val="0D817324"/>
    <w:rsid w:val="0DA01BA0"/>
    <w:rsid w:val="0DC1131B"/>
    <w:rsid w:val="0E0E499C"/>
    <w:rsid w:val="0E7378FD"/>
    <w:rsid w:val="0E7E3573"/>
    <w:rsid w:val="0EE07A05"/>
    <w:rsid w:val="0EF01B5D"/>
    <w:rsid w:val="0EF27E04"/>
    <w:rsid w:val="0F293326"/>
    <w:rsid w:val="0F57432E"/>
    <w:rsid w:val="0F5D7C21"/>
    <w:rsid w:val="0F696B20"/>
    <w:rsid w:val="0F80097A"/>
    <w:rsid w:val="0F895C53"/>
    <w:rsid w:val="0FC1346D"/>
    <w:rsid w:val="0FF52AA9"/>
    <w:rsid w:val="101709CA"/>
    <w:rsid w:val="102C40C7"/>
    <w:rsid w:val="1073591A"/>
    <w:rsid w:val="108D683E"/>
    <w:rsid w:val="109E54B8"/>
    <w:rsid w:val="1111121D"/>
    <w:rsid w:val="115D4991"/>
    <w:rsid w:val="118063A3"/>
    <w:rsid w:val="11BC099A"/>
    <w:rsid w:val="11F43664"/>
    <w:rsid w:val="12805D52"/>
    <w:rsid w:val="12EC3964"/>
    <w:rsid w:val="132536A6"/>
    <w:rsid w:val="13881E63"/>
    <w:rsid w:val="13B80076"/>
    <w:rsid w:val="13DC6953"/>
    <w:rsid w:val="13E477A9"/>
    <w:rsid w:val="13EE6583"/>
    <w:rsid w:val="14345E3A"/>
    <w:rsid w:val="14BA6FEC"/>
    <w:rsid w:val="14C02BE1"/>
    <w:rsid w:val="155A0123"/>
    <w:rsid w:val="15817947"/>
    <w:rsid w:val="15AC7766"/>
    <w:rsid w:val="160A4913"/>
    <w:rsid w:val="16F76302"/>
    <w:rsid w:val="17256906"/>
    <w:rsid w:val="175D5CB0"/>
    <w:rsid w:val="1772747B"/>
    <w:rsid w:val="17A21EDD"/>
    <w:rsid w:val="17AF7026"/>
    <w:rsid w:val="17B92F5C"/>
    <w:rsid w:val="17CB77A3"/>
    <w:rsid w:val="17DF53D0"/>
    <w:rsid w:val="184D2549"/>
    <w:rsid w:val="18D26F27"/>
    <w:rsid w:val="19370C3F"/>
    <w:rsid w:val="195B1FC9"/>
    <w:rsid w:val="198A54E5"/>
    <w:rsid w:val="19B61719"/>
    <w:rsid w:val="19BB0B05"/>
    <w:rsid w:val="19BB2B3E"/>
    <w:rsid w:val="19C32D2F"/>
    <w:rsid w:val="19D525D6"/>
    <w:rsid w:val="19FA5D67"/>
    <w:rsid w:val="1A367D75"/>
    <w:rsid w:val="1A7C61B2"/>
    <w:rsid w:val="1ADF256A"/>
    <w:rsid w:val="1B616C5F"/>
    <w:rsid w:val="1B8B6EA5"/>
    <w:rsid w:val="1BB240CB"/>
    <w:rsid w:val="1BBB4BA7"/>
    <w:rsid w:val="1C165459"/>
    <w:rsid w:val="1C422DF9"/>
    <w:rsid w:val="1CDA3271"/>
    <w:rsid w:val="1D574E6C"/>
    <w:rsid w:val="1D68038E"/>
    <w:rsid w:val="1E0D08D8"/>
    <w:rsid w:val="1E7F5795"/>
    <w:rsid w:val="1EDA3DAA"/>
    <w:rsid w:val="1F08078A"/>
    <w:rsid w:val="1F2D0354"/>
    <w:rsid w:val="20541B40"/>
    <w:rsid w:val="20623CB4"/>
    <w:rsid w:val="20881076"/>
    <w:rsid w:val="208A2D9A"/>
    <w:rsid w:val="20C2150A"/>
    <w:rsid w:val="20FE28BF"/>
    <w:rsid w:val="21334E65"/>
    <w:rsid w:val="21363FCD"/>
    <w:rsid w:val="215267A6"/>
    <w:rsid w:val="21F7491E"/>
    <w:rsid w:val="21FC7CC7"/>
    <w:rsid w:val="2209259C"/>
    <w:rsid w:val="223674B6"/>
    <w:rsid w:val="228F3040"/>
    <w:rsid w:val="22FE1623"/>
    <w:rsid w:val="23D66E0E"/>
    <w:rsid w:val="2409047A"/>
    <w:rsid w:val="240934BD"/>
    <w:rsid w:val="243F345C"/>
    <w:rsid w:val="24547466"/>
    <w:rsid w:val="245711E5"/>
    <w:rsid w:val="246B791F"/>
    <w:rsid w:val="246F06CB"/>
    <w:rsid w:val="24EC7143"/>
    <w:rsid w:val="251108F3"/>
    <w:rsid w:val="251A56E9"/>
    <w:rsid w:val="259E13CC"/>
    <w:rsid w:val="25D941E3"/>
    <w:rsid w:val="25F50CB6"/>
    <w:rsid w:val="26816841"/>
    <w:rsid w:val="26B50445"/>
    <w:rsid w:val="26C37006"/>
    <w:rsid w:val="272E5D81"/>
    <w:rsid w:val="275722F9"/>
    <w:rsid w:val="27B04076"/>
    <w:rsid w:val="27C95A57"/>
    <w:rsid w:val="27CD3FAE"/>
    <w:rsid w:val="27FC7414"/>
    <w:rsid w:val="28624B99"/>
    <w:rsid w:val="28B05EE1"/>
    <w:rsid w:val="28D177B8"/>
    <w:rsid w:val="2908279F"/>
    <w:rsid w:val="294468EA"/>
    <w:rsid w:val="29B3106F"/>
    <w:rsid w:val="29BB4307"/>
    <w:rsid w:val="29C96325"/>
    <w:rsid w:val="2A492483"/>
    <w:rsid w:val="2AB47391"/>
    <w:rsid w:val="2B05279F"/>
    <w:rsid w:val="2C0C6D59"/>
    <w:rsid w:val="2C115F7B"/>
    <w:rsid w:val="2C1B7B27"/>
    <w:rsid w:val="2C8B4976"/>
    <w:rsid w:val="2C977AA2"/>
    <w:rsid w:val="2D8740DC"/>
    <w:rsid w:val="2DDD6476"/>
    <w:rsid w:val="2DEC43C3"/>
    <w:rsid w:val="2DFD15C7"/>
    <w:rsid w:val="2E002F3A"/>
    <w:rsid w:val="2E0E3ECF"/>
    <w:rsid w:val="2EBC6814"/>
    <w:rsid w:val="2F2A1633"/>
    <w:rsid w:val="2F465A60"/>
    <w:rsid w:val="2F655128"/>
    <w:rsid w:val="2F674A23"/>
    <w:rsid w:val="2F8531B9"/>
    <w:rsid w:val="2F936AE3"/>
    <w:rsid w:val="30612395"/>
    <w:rsid w:val="30713E8D"/>
    <w:rsid w:val="310B75DF"/>
    <w:rsid w:val="32206D0F"/>
    <w:rsid w:val="32542B66"/>
    <w:rsid w:val="32920903"/>
    <w:rsid w:val="32E46A91"/>
    <w:rsid w:val="330017D9"/>
    <w:rsid w:val="331E1235"/>
    <w:rsid w:val="33BB31CE"/>
    <w:rsid w:val="33D03A9F"/>
    <w:rsid w:val="33DB6B98"/>
    <w:rsid w:val="34146E09"/>
    <w:rsid w:val="343B01DB"/>
    <w:rsid w:val="343D0B0B"/>
    <w:rsid w:val="34430491"/>
    <w:rsid w:val="34502B96"/>
    <w:rsid w:val="34815B03"/>
    <w:rsid w:val="349551D7"/>
    <w:rsid w:val="34B11DC2"/>
    <w:rsid w:val="350066A6"/>
    <w:rsid w:val="35181257"/>
    <w:rsid w:val="352B6CB4"/>
    <w:rsid w:val="35375271"/>
    <w:rsid w:val="35503419"/>
    <w:rsid w:val="355A062C"/>
    <w:rsid w:val="35A037A2"/>
    <w:rsid w:val="35A64E1B"/>
    <w:rsid w:val="35B143B0"/>
    <w:rsid w:val="35D178F7"/>
    <w:rsid w:val="36AD2738"/>
    <w:rsid w:val="36D01B5D"/>
    <w:rsid w:val="36D16BD5"/>
    <w:rsid w:val="372C0868"/>
    <w:rsid w:val="37537E3D"/>
    <w:rsid w:val="37732382"/>
    <w:rsid w:val="37F46D53"/>
    <w:rsid w:val="38035BA5"/>
    <w:rsid w:val="38036F21"/>
    <w:rsid w:val="38090F4A"/>
    <w:rsid w:val="380E755F"/>
    <w:rsid w:val="385D3B43"/>
    <w:rsid w:val="3860234E"/>
    <w:rsid w:val="38DE475F"/>
    <w:rsid w:val="38EC63B8"/>
    <w:rsid w:val="391009A5"/>
    <w:rsid w:val="39320AB3"/>
    <w:rsid w:val="3932189E"/>
    <w:rsid w:val="39965C43"/>
    <w:rsid w:val="39CF47E5"/>
    <w:rsid w:val="39D264C2"/>
    <w:rsid w:val="39E112E1"/>
    <w:rsid w:val="3A421001"/>
    <w:rsid w:val="3A943BC1"/>
    <w:rsid w:val="3ACB039C"/>
    <w:rsid w:val="3AF31810"/>
    <w:rsid w:val="3B021A53"/>
    <w:rsid w:val="3B106254"/>
    <w:rsid w:val="3B92580A"/>
    <w:rsid w:val="3C126B9C"/>
    <w:rsid w:val="3C447E49"/>
    <w:rsid w:val="3C4D4F50"/>
    <w:rsid w:val="3C5A2470"/>
    <w:rsid w:val="3C6279D3"/>
    <w:rsid w:val="3C714481"/>
    <w:rsid w:val="3CB60DC7"/>
    <w:rsid w:val="3CCF47D5"/>
    <w:rsid w:val="3CF814C1"/>
    <w:rsid w:val="3D3B571B"/>
    <w:rsid w:val="3D5567B2"/>
    <w:rsid w:val="3D5D2C2B"/>
    <w:rsid w:val="3DA74B34"/>
    <w:rsid w:val="3DAE1A1E"/>
    <w:rsid w:val="3DBB717D"/>
    <w:rsid w:val="3DE91DA4"/>
    <w:rsid w:val="3DFF38FB"/>
    <w:rsid w:val="3E3B4CDE"/>
    <w:rsid w:val="3E3C56C1"/>
    <w:rsid w:val="3E566A97"/>
    <w:rsid w:val="3E9D1444"/>
    <w:rsid w:val="3EBF098B"/>
    <w:rsid w:val="3EF711DE"/>
    <w:rsid w:val="3EFF0CE9"/>
    <w:rsid w:val="3F196B1C"/>
    <w:rsid w:val="3F2718EC"/>
    <w:rsid w:val="3F7566B0"/>
    <w:rsid w:val="3F925BB9"/>
    <w:rsid w:val="3FCA3EA5"/>
    <w:rsid w:val="3FF20B4C"/>
    <w:rsid w:val="403C77B5"/>
    <w:rsid w:val="405F242C"/>
    <w:rsid w:val="40850E99"/>
    <w:rsid w:val="408B6EED"/>
    <w:rsid w:val="40BC6B48"/>
    <w:rsid w:val="40EA5DC3"/>
    <w:rsid w:val="40ED2A79"/>
    <w:rsid w:val="41300D8A"/>
    <w:rsid w:val="417428B3"/>
    <w:rsid w:val="41852FCE"/>
    <w:rsid w:val="41BA2E44"/>
    <w:rsid w:val="41E61276"/>
    <w:rsid w:val="41EF4BBF"/>
    <w:rsid w:val="42480E0F"/>
    <w:rsid w:val="4296431C"/>
    <w:rsid w:val="42DB14CA"/>
    <w:rsid w:val="4311646C"/>
    <w:rsid w:val="432C3D69"/>
    <w:rsid w:val="437156FD"/>
    <w:rsid w:val="43AC6A00"/>
    <w:rsid w:val="43EC6FD1"/>
    <w:rsid w:val="43F565F9"/>
    <w:rsid w:val="442B7BC0"/>
    <w:rsid w:val="446D2C23"/>
    <w:rsid w:val="451B0676"/>
    <w:rsid w:val="45276F18"/>
    <w:rsid w:val="45E61BA1"/>
    <w:rsid w:val="45EF51B0"/>
    <w:rsid w:val="463D001A"/>
    <w:rsid w:val="46581FDF"/>
    <w:rsid w:val="46626FC3"/>
    <w:rsid w:val="46863978"/>
    <w:rsid w:val="46AE4CE4"/>
    <w:rsid w:val="46F71B51"/>
    <w:rsid w:val="47022DDB"/>
    <w:rsid w:val="473A34C4"/>
    <w:rsid w:val="479326DC"/>
    <w:rsid w:val="48326EFE"/>
    <w:rsid w:val="48AC009C"/>
    <w:rsid w:val="48DF57F9"/>
    <w:rsid w:val="48E5705D"/>
    <w:rsid w:val="48F01468"/>
    <w:rsid w:val="48F71057"/>
    <w:rsid w:val="49282FCC"/>
    <w:rsid w:val="492D4AF1"/>
    <w:rsid w:val="494B1BE8"/>
    <w:rsid w:val="4974573D"/>
    <w:rsid w:val="499706E7"/>
    <w:rsid w:val="49A12F7B"/>
    <w:rsid w:val="49AD5280"/>
    <w:rsid w:val="49BA76CF"/>
    <w:rsid w:val="49DC2FDD"/>
    <w:rsid w:val="49F512D5"/>
    <w:rsid w:val="49F64E79"/>
    <w:rsid w:val="4A083496"/>
    <w:rsid w:val="4A860BF4"/>
    <w:rsid w:val="4B327437"/>
    <w:rsid w:val="4B7D1B39"/>
    <w:rsid w:val="4B9C636C"/>
    <w:rsid w:val="4BD72D54"/>
    <w:rsid w:val="4BDC7E5C"/>
    <w:rsid w:val="4C1F235F"/>
    <w:rsid w:val="4C285091"/>
    <w:rsid w:val="4C285775"/>
    <w:rsid w:val="4C2E2525"/>
    <w:rsid w:val="4C463F41"/>
    <w:rsid w:val="4C6107BF"/>
    <w:rsid w:val="4CA66547"/>
    <w:rsid w:val="4CB66B41"/>
    <w:rsid w:val="4CCD32BF"/>
    <w:rsid w:val="4D2202B7"/>
    <w:rsid w:val="4D3C0763"/>
    <w:rsid w:val="4D836B0D"/>
    <w:rsid w:val="4D9138EE"/>
    <w:rsid w:val="4DA135A5"/>
    <w:rsid w:val="4E2B6DE1"/>
    <w:rsid w:val="4E4D7031"/>
    <w:rsid w:val="4EB82CEA"/>
    <w:rsid w:val="4EC4054B"/>
    <w:rsid w:val="4EC473E5"/>
    <w:rsid w:val="4F104B54"/>
    <w:rsid w:val="4F370884"/>
    <w:rsid w:val="4F595D9F"/>
    <w:rsid w:val="4F9F04DA"/>
    <w:rsid w:val="502D50CB"/>
    <w:rsid w:val="504B134F"/>
    <w:rsid w:val="50815D6C"/>
    <w:rsid w:val="509228A2"/>
    <w:rsid w:val="5097277A"/>
    <w:rsid w:val="50BA63A2"/>
    <w:rsid w:val="50D44E01"/>
    <w:rsid w:val="516A7EA3"/>
    <w:rsid w:val="5176669F"/>
    <w:rsid w:val="52175B6C"/>
    <w:rsid w:val="52833254"/>
    <w:rsid w:val="52B207C8"/>
    <w:rsid w:val="52D6038E"/>
    <w:rsid w:val="52DE04F0"/>
    <w:rsid w:val="53016D58"/>
    <w:rsid w:val="531E0F9C"/>
    <w:rsid w:val="535A5A7E"/>
    <w:rsid w:val="53893063"/>
    <w:rsid w:val="53AF4120"/>
    <w:rsid w:val="5455396C"/>
    <w:rsid w:val="545F0802"/>
    <w:rsid w:val="546B00B6"/>
    <w:rsid w:val="54931516"/>
    <w:rsid w:val="54ED36CD"/>
    <w:rsid w:val="55410F72"/>
    <w:rsid w:val="557654DF"/>
    <w:rsid w:val="559353B9"/>
    <w:rsid w:val="559D5701"/>
    <w:rsid w:val="55CD57A9"/>
    <w:rsid w:val="55EE2EA8"/>
    <w:rsid w:val="55FA6211"/>
    <w:rsid w:val="56090789"/>
    <w:rsid w:val="563300B6"/>
    <w:rsid w:val="56435642"/>
    <w:rsid w:val="565C2507"/>
    <w:rsid w:val="56655B71"/>
    <w:rsid w:val="566F330F"/>
    <w:rsid w:val="56C50A07"/>
    <w:rsid w:val="56C524B2"/>
    <w:rsid w:val="571406EC"/>
    <w:rsid w:val="57201700"/>
    <w:rsid w:val="572C4831"/>
    <w:rsid w:val="572C609C"/>
    <w:rsid w:val="576B61EC"/>
    <w:rsid w:val="57E44562"/>
    <w:rsid w:val="57E96073"/>
    <w:rsid w:val="582E4BF9"/>
    <w:rsid w:val="584D77AD"/>
    <w:rsid w:val="5851175C"/>
    <w:rsid w:val="589609D3"/>
    <w:rsid w:val="589A10C5"/>
    <w:rsid w:val="58B84F6D"/>
    <w:rsid w:val="58D4058E"/>
    <w:rsid w:val="59507917"/>
    <w:rsid w:val="5A3D06C7"/>
    <w:rsid w:val="5B0F5314"/>
    <w:rsid w:val="5B1F77E1"/>
    <w:rsid w:val="5B814419"/>
    <w:rsid w:val="5BC921BC"/>
    <w:rsid w:val="5BD355B0"/>
    <w:rsid w:val="5BDA3A00"/>
    <w:rsid w:val="5C4F4CB8"/>
    <w:rsid w:val="5C6E7495"/>
    <w:rsid w:val="5CC901AE"/>
    <w:rsid w:val="5CF40D82"/>
    <w:rsid w:val="5D5C1D3E"/>
    <w:rsid w:val="5D7170D2"/>
    <w:rsid w:val="5D79003C"/>
    <w:rsid w:val="5DC5187B"/>
    <w:rsid w:val="5DFE4D67"/>
    <w:rsid w:val="5E0475EF"/>
    <w:rsid w:val="5E473A9D"/>
    <w:rsid w:val="5E5C559F"/>
    <w:rsid w:val="5E5D45B5"/>
    <w:rsid w:val="5ECA1FD8"/>
    <w:rsid w:val="5EF86B45"/>
    <w:rsid w:val="5F0059FA"/>
    <w:rsid w:val="5F1259D2"/>
    <w:rsid w:val="5F8A7FC1"/>
    <w:rsid w:val="5FA65D59"/>
    <w:rsid w:val="5FB2421A"/>
    <w:rsid w:val="60014464"/>
    <w:rsid w:val="60920270"/>
    <w:rsid w:val="60995E68"/>
    <w:rsid w:val="60C85146"/>
    <w:rsid w:val="60D43C15"/>
    <w:rsid w:val="60DD3ECA"/>
    <w:rsid w:val="60EB2B87"/>
    <w:rsid w:val="60F872D1"/>
    <w:rsid w:val="61150A49"/>
    <w:rsid w:val="61530496"/>
    <w:rsid w:val="61553A71"/>
    <w:rsid w:val="619952F6"/>
    <w:rsid w:val="61D426C6"/>
    <w:rsid w:val="61E16D80"/>
    <w:rsid w:val="62116C17"/>
    <w:rsid w:val="627D4BB8"/>
    <w:rsid w:val="627E74F0"/>
    <w:rsid w:val="62B96A1B"/>
    <w:rsid w:val="6341412A"/>
    <w:rsid w:val="635C14EE"/>
    <w:rsid w:val="637878FD"/>
    <w:rsid w:val="63F20007"/>
    <w:rsid w:val="644311CD"/>
    <w:rsid w:val="64D15E6F"/>
    <w:rsid w:val="650731DB"/>
    <w:rsid w:val="65456E6A"/>
    <w:rsid w:val="6547128D"/>
    <w:rsid w:val="656E5DB3"/>
    <w:rsid w:val="65902CCC"/>
    <w:rsid w:val="65CF5EA8"/>
    <w:rsid w:val="65D11E9E"/>
    <w:rsid w:val="65D8322D"/>
    <w:rsid w:val="65DA0D53"/>
    <w:rsid w:val="66512176"/>
    <w:rsid w:val="66BE5299"/>
    <w:rsid w:val="673902F3"/>
    <w:rsid w:val="67934BF8"/>
    <w:rsid w:val="67DC4C51"/>
    <w:rsid w:val="67EF3748"/>
    <w:rsid w:val="68397420"/>
    <w:rsid w:val="683F7E53"/>
    <w:rsid w:val="68516075"/>
    <w:rsid w:val="6868667B"/>
    <w:rsid w:val="687163C4"/>
    <w:rsid w:val="68CA2796"/>
    <w:rsid w:val="69017FDE"/>
    <w:rsid w:val="691A6397"/>
    <w:rsid w:val="69497A9B"/>
    <w:rsid w:val="69872FA0"/>
    <w:rsid w:val="698F7E9D"/>
    <w:rsid w:val="699C0980"/>
    <w:rsid w:val="6A284AC5"/>
    <w:rsid w:val="6A691B23"/>
    <w:rsid w:val="6A7A1602"/>
    <w:rsid w:val="6AAA5A10"/>
    <w:rsid w:val="6B19056F"/>
    <w:rsid w:val="6BCA3618"/>
    <w:rsid w:val="6BF26C37"/>
    <w:rsid w:val="6C0073F3"/>
    <w:rsid w:val="6C05767A"/>
    <w:rsid w:val="6C4A3914"/>
    <w:rsid w:val="6C525432"/>
    <w:rsid w:val="6CAA568B"/>
    <w:rsid w:val="6CF67F68"/>
    <w:rsid w:val="6D2C6E97"/>
    <w:rsid w:val="6D6E271F"/>
    <w:rsid w:val="6D993318"/>
    <w:rsid w:val="6EE715E7"/>
    <w:rsid w:val="6F0C17F9"/>
    <w:rsid w:val="6F8E2786"/>
    <w:rsid w:val="6F9C0598"/>
    <w:rsid w:val="6F9D5ADA"/>
    <w:rsid w:val="6FA4620F"/>
    <w:rsid w:val="6FAC20C9"/>
    <w:rsid w:val="6FCF38F2"/>
    <w:rsid w:val="6FDC0062"/>
    <w:rsid w:val="70314171"/>
    <w:rsid w:val="7061737E"/>
    <w:rsid w:val="708F0C2C"/>
    <w:rsid w:val="70B1251C"/>
    <w:rsid w:val="71257C6E"/>
    <w:rsid w:val="71261267"/>
    <w:rsid w:val="718A080C"/>
    <w:rsid w:val="71DE259E"/>
    <w:rsid w:val="722241AD"/>
    <w:rsid w:val="722A6510"/>
    <w:rsid w:val="72BB015E"/>
    <w:rsid w:val="731D4975"/>
    <w:rsid w:val="733C1101"/>
    <w:rsid w:val="73B631FA"/>
    <w:rsid w:val="73C147ED"/>
    <w:rsid w:val="73E77F60"/>
    <w:rsid w:val="73F012CB"/>
    <w:rsid w:val="746E000F"/>
    <w:rsid w:val="74733078"/>
    <w:rsid w:val="749B02B2"/>
    <w:rsid w:val="74E027AE"/>
    <w:rsid w:val="74E175C8"/>
    <w:rsid w:val="75096F5F"/>
    <w:rsid w:val="752E10BB"/>
    <w:rsid w:val="758447A6"/>
    <w:rsid w:val="75E67BFD"/>
    <w:rsid w:val="75EF6F26"/>
    <w:rsid w:val="75F029BD"/>
    <w:rsid w:val="75FA11D1"/>
    <w:rsid w:val="76250D86"/>
    <w:rsid w:val="763D1A32"/>
    <w:rsid w:val="764C29CD"/>
    <w:rsid w:val="764D4750"/>
    <w:rsid w:val="76965A94"/>
    <w:rsid w:val="76E4389C"/>
    <w:rsid w:val="77152397"/>
    <w:rsid w:val="774150D6"/>
    <w:rsid w:val="77674309"/>
    <w:rsid w:val="7796324B"/>
    <w:rsid w:val="77D917C1"/>
    <w:rsid w:val="77E540D5"/>
    <w:rsid w:val="78C91D14"/>
    <w:rsid w:val="78DE0950"/>
    <w:rsid w:val="78E0447A"/>
    <w:rsid w:val="7A2175AF"/>
    <w:rsid w:val="7A744650"/>
    <w:rsid w:val="7AB64679"/>
    <w:rsid w:val="7AF97AC9"/>
    <w:rsid w:val="7B0F0D63"/>
    <w:rsid w:val="7B1B5BB0"/>
    <w:rsid w:val="7B2965AD"/>
    <w:rsid w:val="7B66198B"/>
    <w:rsid w:val="7B762449"/>
    <w:rsid w:val="7B905C6B"/>
    <w:rsid w:val="7B97477F"/>
    <w:rsid w:val="7BB55808"/>
    <w:rsid w:val="7BFE727C"/>
    <w:rsid w:val="7CAA0FF0"/>
    <w:rsid w:val="7CCB7A2D"/>
    <w:rsid w:val="7CF17CD8"/>
    <w:rsid w:val="7D142945"/>
    <w:rsid w:val="7D881604"/>
    <w:rsid w:val="7DBB7264"/>
    <w:rsid w:val="7DC4436B"/>
    <w:rsid w:val="7DCF54EB"/>
    <w:rsid w:val="7DDC5343"/>
    <w:rsid w:val="7DFC632E"/>
    <w:rsid w:val="7E0C3A41"/>
    <w:rsid w:val="7E1663B2"/>
    <w:rsid w:val="7E262927"/>
    <w:rsid w:val="7E7538B7"/>
    <w:rsid w:val="7E754130"/>
    <w:rsid w:val="7E8E1743"/>
    <w:rsid w:val="7EE746F3"/>
    <w:rsid w:val="7F073ED5"/>
    <w:rsid w:val="7F332DE0"/>
    <w:rsid w:val="7F4A6D2C"/>
    <w:rsid w:val="7F596D35"/>
    <w:rsid w:val="7FB45E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5">
    <w:name w:val="heading 1"/>
    <w:basedOn w:val="1"/>
    <w:next w:val="1"/>
    <w:link w:val="88"/>
    <w:qFormat/>
    <w:uiPriority w:val="0"/>
    <w:pPr>
      <w:keepNext/>
      <w:keepLines/>
      <w:snapToGrid w:val="0"/>
      <w:spacing w:line="400" w:lineRule="atLeast"/>
      <w:jc w:val="center"/>
      <w:outlineLvl w:val="0"/>
    </w:pPr>
    <w:rPr>
      <w:rFonts w:ascii="宋体"/>
      <w:b/>
      <w:kern w:val="28"/>
      <w:sz w:val="36"/>
      <w:lang w:val="en-US" w:eastAsia="zh-CN" w:bidi="ar-SA"/>
    </w:rPr>
  </w:style>
  <w:style w:type="paragraph" w:styleId="6">
    <w:name w:val="heading 2"/>
    <w:basedOn w:val="1"/>
    <w:next w:val="1"/>
    <w:link w:val="87"/>
    <w:qFormat/>
    <w:uiPriority w:val="0"/>
    <w:pPr>
      <w:snapToGrid w:val="0"/>
      <w:spacing w:line="360" w:lineRule="auto"/>
      <w:jc w:val="center"/>
      <w:outlineLvl w:val="1"/>
    </w:pPr>
    <w:rPr>
      <w:rFonts w:hAnsi="Times New Roman" w:cs="Times New Roman"/>
      <w:b/>
      <w:kern w:val="2"/>
      <w:sz w:val="28"/>
      <w:szCs w:val="20"/>
    </w:rPr>
  </w:style>
  <w:style w:type="paragraph" w:styleId="7">
    <w:name w:val="heading 3"/>
    <w:basedOn w:val="1"/>
    <w:next w:val="4"/>
    <w:link w:val="89"/>
    <w:qFormat/>
    <w:uiPriority w:val="0"/>
    <w:pPr>
      <w:outlineLvl w:val="2"/>
    </w:pPr>
    <w:rPr>
      <w:rFonts w:ascii="宋体"/>
      <w:b/>
      <w:kern w:val="2"/>
      <w:sz w:val="24"/>
      <w:lang w:val="en-US" w:eastAsia="zh-CN" w:bidi="ar-SA"/>
    </w:rPr>
  </w:style>
  <w:style w:type="paragraph" w:styleId="4">
    <w:name w:val="heading 4"/>
    <w:basedOn w:val="1"/>
    <w:next w:val="1"/>
    <w:link w:val="90"/>
    <w:qFormat/>
    <w:uiPriority w:val="0"/>
    <w:pPr>
      <w:keepNext/>
      <w:keepLines/>
      <w:spacing w:before="280" w:after="290" w:line="376" w:lineRule="auto"/>
      <w:outlineLvl w:val="3"/>
    </w:pPr>
    <w:rPr>
      <w:rFonts w:ascii="Arial" w:hAnsi="Arial" w:eastAsia="黑体" w:cs="Times New Roman"/>
      <w:b/>
      <w:bCs/>
      <w:kern w:val="2"/>
      <w:sz w:val="28"/>
      <w:szCs w:val="28"/>
    </w:rPr>
  </w:style>
  <w:style w:type="paragraph" w:styleId="8">
    <w:name w:val="heading 5"/>
    <w:basedOn w:val="1"/>
    <w:next w:val="9"/>
    <w:link w:val="91"/>
    <w:qFormat/>
    <w:uiPriority w:val="9"/>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cs="Times New Roman"/>
      <w:b/>
    </w:rPr>
  </w:style>
  <w:style w:type="paragraph" w:styleId="10">
    <w:name w:val="heading 6"/>
    <w:basedOn w:val="1"/>
    <w:next w:val="1"/>
    <w:link w:val="92"/>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cs="Times New Roman"/>
      <w:b/>
      <w:kern w:val="2"/>
      <w:szCs w:val="20"/>
    </w:rPr>
  </w:style>
  <w:style w:type="paragraph" w:styleId="11">
    <w:name w:val="heading 7"/>
    <w:basedOn w:val="1"/>
    <w:next w:val="1"/>
    <w:link w:val="93"/>
    <w:qFormat/>
    <w:uiPriority w:val="0"/>
    <w:pPr>
      <w:keepNext/>
      <w:keepLines/>
      <w:numPr>
        <w:ilvl w:val="6"/>
        <w:numId w:val="2"/>
      </w:numPr>
      <w:tabs>
        <w:tab w:val="left" w:pos="1296"/>
        <w:tab w:val="clear" w:pos="1276"/>
      </w:tabs>
      <w:spacing w:before="240" w:after="64" w:line="317" w:lineRule="auto"/>
      <w:outlineLvl w:val="6"/>
    </w:pPr>
    <w:rPr>
      <w:rFonts w:ascii="Times New Roman" w:hAnsi="Times New Roman" w:cs="Times New Roman"/>
      <w:b/>
      <w:kern w:val="2"/>
      <w:szCs w:val="20"/>
    </w:rPr>
  </w:style>
  <w:style w:type="paragraph" w:styleId="12">
    <w:name w:val="heading 8"/>
    <w:basedOn w:val="1"/>
    <w:next w:val="1"/>
    <w:link w:val="94"/>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cs="Times New Roman"/>
      <w:kern w:val="2"/>
      <w:szCs w:val="20"/>
    </w:rPr>
  </w:style>
  <w:style w:type="paragraph" w:styleId="13">
    <w:name w:val="heading 9"/>
    <w:basedOn w:val="1"/>
    <w:next w:val="1"/>
    <w:link w:val="95"/>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cs="Times New Roman"/>
      <w:kern w:val="2"/>
      <w:szCs w:val="20"/>
    </w:rPr>
  </w:style>
  <w:style w:type="character" w:default="1" w:styleId="70">
    <w:name w:val="Default Paragraph Font"/>
    <w:semiHidden/>
    <w:qFormat/>
    <w:uiPriority w:val="0"/>
  </w:style>
  <w:style w:type="table" w:default="1" w:styleId="68">
    <w:name w:val="Normal Table"/>
    <w:semiHidden/>
    <w:qFormat/>
    <w:uiPriority w:val="0"/>
    <w:tblPr>
      <w:tblCellMar>
        <w:top w:w="0" w:type="dxa"/>
        <w:left w:w="108" w:type="dxa"/>
        <w:bottom w:w="0" w:type="dxa"/>
        <w:right w:w="108" w:type="dxa"/>
      </w:tblCellMar>
    </w:tblPr>
  </w:style>
  <w:style w:type="paragraph" w:styleId="2">
    <w:name w:val="Body Text First Indent 2"/>
    <w:basedOn w:val="3"/>
    <w:link w:val="118"/>
    <w:qFormat/>
    <w:uiPriority w:val="0"/>
    <w:pPr>
      <w:tabs>
        <w:tab w:val="left" w:pos="2160"/>
      </w:tabs>
      <w:spacing w:after="120" w:line="480" w:lineRule="auto"/>
      <w:ind w:left="418" w:leftChars="0" w:firstLine="216"/>
    </w:pPr>
    <w:rPr>
      <w:rFonts w:eastAsia="仿宋_GB2312"/>
      <w:sz w:val="24"/>
    </w:rPr>
  </w:style>
  <w:style w:type="paragraph" w:styleId="3">
    <w:name w:val="Body Text Indent"/>
    <w:basedOn w:val="1"/>
    <w:next w:val="4"/>
    <w:link w:val="102"/>
    <w:qFormat/>
    <w:uiPriority w:val="0"/>
    <w:pPr>
      <w:tabs>
        <w:tab w:val="left" w:pos="2160"/>
      </w:tabs>
      <w:ind w:left="2159" w:leftChars="1028" w:firstLine="1"/>
    </w:pPr>
    <w:rPr>
      <w:rFonts w:cs="Times New Roman"/>
      <w:kern w:val="2"/>
      <w:sz w:val="21"/>
      <w:szCs w:val="21"/>
    </w:rPr>
  </w:style>
  <w:style w:type="paragraph" w:customStyle="1" w:styleId="9">
    <w:name w:val="Text"/>
    <w:qFormat/>
    <w:uiPriority w:val="0"/>
    <w:pPr>
      <w:widowControl w:val="0"/>
      <w:tabs>
        <w:tab w:val="left" w:pos="420"/>
        <w:tab w:val="left" w:pos="840"/>
        <w:tab w:val="left" w:pos="1260"/>
      </w:tabs>
      <w:adjustRightInd w:val="0"/>
      <w:snapToGrid w:val="0"/>
      <w:spacing w:before="180" w:beforeLines="75" w:after="120" w:afterLines="50" w:line="360" w:lineRule="auto"/>
      <w:ind w:firstLine="422" w:firstLineChars="200"/>
      <w:jc w:val="both"/>
    </w:pPr>
    <w:rPr>
      <w:rFonts w:ascii="宋体" w:hAnsi="宋体" w:eastAsia="宋体" w:cs="Times New Roman"/>
      <w:b/>
      <w:sz w:val="21"/>
      <w:szCs w:val="21"/>
      <w:lang w:val="en-US" w:eastAsia="zh-CN" w:bidi="ar-SA"/>
    </w:rPr>
  </w:style>
  <w:style w:type="paragraph" w:styleId="14">
    <w:name w:val="List 3"/>
    <w:basedOn w:val="1"/>
    <w:qFormat/>
    <w:uiPriority w:val="0"/>
    <w:pPr>
      <w:adjustRightInd w:val="0"/>
      <w:snapToGrid w:val="0"/>
      <w:spacing w:line="360" w:lineRule="auto"/>
      <w:ind w:left="100" w:leftChars="400" w:hanging="200" w:hangingChars="200"/>
    </w:pPr>
    <w:rPr>
      <w:szCs w:val="20"/>
    </w:rPr>
  </w:style>
  <w:style w:type="paragraph" w:styleId="15">
    <w:name w:val="toc 7"/>
    <w:basedOn w:val="1"/>
    <w:next w:val="1"/>
    <w:qFormat/>
    <w:uiPriority w:val="39"/>
    <w:pPr>
      <w:ind w:left="1440"/>
      <w:jc w:val="left"/>
    </w:pPr>
    <w:rPr>
      <w:rFonts w:ascii="Calibri" w:hAnsi="Calibri"/>
      <w:sz w:val="18"/>
      <w:szCs w:val="18"/>
    </w:rPr>
  </w:style>
  <w:style w:type="paragraph" w:styleId="16">
    <w:name w:val="table of authorities"/>
    <w:basedOn w:val="1"/>
    <w:next w:val="1"/>
    <w:semiHidden/>
    <w:qFormat/>
    <w:uiPriority w:val="0"/>
    <w:pPr>
      <w:spacing w:line="240" w:lineRule="auto"/>
      <w:ind w:left="420" w:leftChars="200" w:firstLine="0" w:firstLineChars="0"/>
    </w:pPr>
    <w:rPr>
      <w:sz w:val="28"/>
      <w:szCs w:val="20"/>
    </w:rPr>
  </w:style>
  <w:style w:type="paragraph" w:styleId="17">
    <w:name w:val="Note Heading"/>
    <w:basedOn w:val="1"/>
    <w:next w:val="1"/>
    <w:link w:val="96"/>
    <w:qFormat/>
    <w:uiPriority w:val="0"/>
    <w:pPr>
      <w:spacing w:line="240" w:lineRule="auto"/>
      <w:ind w:firstLine="0" w:firstLineChars="0"/>
      <w:jc w:val="center"/>
    </w:pPr>
    <w:rPr>
      <w:rFonts w:ascii="Times New Roman" w:hAnsi="Times New Roman" w:cs="Times New Roman"/>
      <w:kern w:val="2"/>
      <w:sz w:val="21"/>
    </w:rPr>
  </w:style>
  <w:style w:type="paragraph" w:styleId="18">
    <w:name w:val="List Bullet 4"/>
    <w:basedOn w:val="1"/>
    <w:qFormat/>
    <w:uiPriority w:val="0"/>
    <w:pPr>
      <w:widowControl/>
      <w:numPr>
        <w:ilvl w:val="0"/>
        <w:numId w:val="3"/>
      </w:numPr>
      <w:tabs>
        <w:tab w:val="left" w:pos="1134"/>
      </w:tabs>
      <w:adjustRightInd w:val="0"/>
      <w:snapToGrid w:val="0"/>
      <w:spacing w:before="120" w:line="280" w:lineRule="atLeast"/>
      <w:ind w:left="1418" w:hanging="284" w:firstLineChars="0"/>
      <w:jc w:val="left"/>
    </w:pPr>
    <w:rPr>
      <w:rFonts w:ascii="宋体"/>
      <w:kern w:val="0"/>
      <w:sz w:val="22"/>
      <w:szCs w:val="20"/>
    </w:rPr>
  </w:style>
  <w:style w:type="paragraph" w:styleId="19">
    <w:name w:val="Normal Indent"/>
    <w:basedOn w:val="1"/>
    <w:link w:val="97"/>
    <w:qFormat/>
    <w:uiPriority w:val="0"/>
    <w:pPr>
      <w:ind w:firstLine="420" w:firstLineChars="200"/>
    </w:pPr>
    <w:rPr>
      <w:rFonts w:ascii="Times New Roman" w:hAnsi="Times New Roman" w:cs="Times New Roman"/>
      <w:kern w:val="2"/>
      <w:sz w:val="21"/>
    </w:rPr>
  </w:style>
  <w:style w:type="paragraph" w:styleId="20">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21">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22">
    <w:name w:val="Document Map"/>
    <w:basedOn w:val="1"/>
    <w:link w:val="98"/>
    <w:qFormat/>
    <w:uiPriority w:val="0"/>
    <w:pPr>
      <w:shd w:val="clear" w:color="auto" w:fill="000080"/>
    </w:pPr>
    <w:rPr>
      <w:rFonts w:ascii="Times New Roman" w:hAnsi="Times New Roman" w:cs="Times New Roman"/>
      <w:kern w:val="2"/>
      <w:sz w:val="21"/>
    </w:rPr>
  </w:style>
  <w:style w:type="paragraph" w:styleId="23">
    <w:name w:val="annotation text"/>
    <w:basedOn w:val="1"/>
    <w:link w:val="99"/>
    <w:qFormat/>
    <w:uiPriority w:val="0"/>
    <w:pPr>
      <w:jc w:val="left"/>
    </w:pPr>
    <w:rPr>
      <w:rFonts w:ascii="Times New Roman" w:hAnsi="Times New Roman" w:cs="Times New Roman"/>
      <w:kern w:val="2"/>
      <w:sz w:val="21"/>
    </w:rPr>
  </w:style>
  <w:style w:type="paragraph" w:styleId="24">
    <w:name w:val="Body Text 3"/>
    <w:basedOn w:val="1"/>
    <w:link w:val="100"/>
    <w:qFormat/>
    <w:uiPriority w:val="0"/>
    <w:pPr>
      <w:jc w:val="center"/>
    </w:pPr>
    <w:rPr>
      <w:rFonts w:ascii="Times New Roman" w:hAnsi="Times New Roman" w:cs="Times New Roman"/>
      <w:kern w:val="2"/>
      <w:sz w:val="18"/>
      <w:szCs w:val="20"/>
    </w:rPr>
  </w:style>
  <w:style w:type="paragraph" w:styleId="25">
    <w:name w:val="List Bullet 3"/>
    <w:basedOn w:val="1"/>
    <w:qFormat/>
    <w:uiPriority w:val="0"/>
    <w:pPr>
      <w:numPr>
        <w:ilvl w:val="0"/>
        <w:numId w:val="4"/>
      </w:numPr>
      <w:tabs>
        <w:tab w:val="left" w:pos="1200"/>
      </w:tabs>
      <w:adjustRightInd w:val="0"/>
      <w:snapToGrid w:val="0"/>
      <w:spacing w:line="360" w:lineRule="auto"/>
      <w:ind w:firstLineChars="0"/>
    </w:pPr>
    <w:rPr>
      <w:szCs w:val="20"/>
    </w:rPr>
  </w:style>
  <w:style w:type="paragraph" w:styleId="26">
    <w:name w:val="Body Text"/>
    <w:basedOn w:val="1"/>
    <w:next w:val="27"/>
    <w:link w:val="101"/>
    <w:qFormat/>
    <w:uiPriority w:val="0"/>
    <w:pPr>
      <w:spacing w:after="120"/>
    </w:pPr>
    <w:rPr>
      <w:rFonts w:ascii="Times New Roman" w:hAnsi="Times New Roman" w:cs="Times New Roman"/>
      <w:kern w:val="2"/>
      <w:sz w:val="21"/>
    </w:rPr>
  </w:style>
  <w:style w:type="paragraph" w:customStyle="1" w:styleId="27">
    <w:name w:val="一级条标题"/>
    <w:basedOn w:val="28"/>
    <w:next w:val="29"/>
    <w:qFormat/>
    <w:uiPriority w:val="0"/>
    <w:pPr>
      <w:spacing w:line="240" w:lineRule="auto"/>
      <w:ind w:left="420"/>
      <w:outlineLvl w:val="2"/>
    </w:pPr>
  </w:style>
  <w:style w:type="paragraph" w:customStyle="1" w:styleId="28">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29">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30">
    <w:name w:val="List Number 3"/>
    <w:basedOn w:val="1"/>
    <w:qFormat/>
    <w:uiPriority w:val="0"/>
    <w:pPr>
      <w:numPr>
        <w:ilvl w:val="0"/>
        <w:numId w:val="5"/>
      </w:numPr>
      <w:tabs>
        <w:tab w:val="left" w:pos="840"/>
      </w:tabs>
      <w:adjustRightInd w:val="0"/>
      <w:snapToGrid w:val="0"/>
      <w:spacing w:line="360" w:lineRule="auto"/>
      <w:ind w:firstLineChars="0"/>
    </w:pPr>
  </w:style>
  <w:style w:type="paragraph" w:styleId="31">
    <w:name w:val="List 2"/>
    <w:basedOn w:val="1"/>
    <w:qFormat/>
    <w:uiPriority w:val="0"/>
    <w:pPr>
      <w:ind w:left="100" w:leftChars="200" w:hanging="200" w:hangingChars="200"/>
    </w:pPr>
    <w:rPr>
      <w:szCs w:val="20"/>
    </w:rPr>
  </w:style>
  <w:style w:type="paragraph" w:styleId="32">
    <w:name w:val="List Continue"/>
    <w:basedOn w:val="1"/>
    <w:qFormat/>
    <w:uiPriority w:val="0"/>
    <w:pPr>
      <w:adjustRightInd w:val="0"/>
      <w:snapToGrid w:val="0"/>
      <w:spacing w:after="120" w:line="360" w:lineRule="auto"/>
      <w:ind w:left="420" w:leftChars="200" w:firstLine="0" w:firstLineChars="0"/>
    </w:pPr>
    <w:rPr>
      <w:szCs w:val="20"/>
    </w:rPr>
  </w:style>
  <w:style w:type="paragraph" w:styleId="33">
    <w:name w:val="List Bullet 2"/>
    <w:basedOn w:val="1"/>
    <w:qFormat/>
    <w:uiPriority w:val="0"/>
    <w:pPr>
      <w:numPr>
        <w:ilvl w:val="0"/>
        <w:numId w:val="6"/>
      </w:numPr>
      <w:tabs>
        <w:tab w:val="left" w:pos="780"/>
      </w:tabs>
      <w:adjustRightInd w:val="0"/>
      <w:snapToGrid w:val="0"/>
      <w:spacing w:line="360" w:lineRule="auto"/>
      <w:ind w:firstLineChars="0"/>
    </w:pPr>
    <w:rPr>
      <w:szCs w:val="20"/>
    </w:rPr>
  </w:style>
  <w:style w:type="paragraph" w:styleId="34">
    <w:name w:val="index 4"/>
    <w:basedOn w:val="1"/>
    <w:next w:val="1"/>
    <w:qFormat/>
    <w:uiPriority w:val="0"/>
    <w:pPr>
      <w:spacing w:line="240" w:lineRule="auto"/>
      <w:ind w:left="600" w:leftChars="600" w:firstLine="0" w:firstLineChars="0"/>
    </w:pPr>
    <w:rPr>
      <w:sz w:val="21"/>
    </w:rPr>
  </w:style>
  <w:style w:type="paragraph" w:styleId="35">
    <w:name w:val="toc 5"/>
    <w:basedOn w:val="1"/>
    <w:next w:val="1"/>
    <w:qFormat/>
    <w:uiPriority w:val="39"/>
    <w:pPr>
      <w:ind w:left="960"/>
      <w:jc w:val="left"/>
    </w:pPr>
    <w:rPr>
      <w:rFonts w:ascii="Calibri" w:hAnsi="Calibri"/>
      <w:sz w:val="18"/>
      <w:szCs w:val="18"/>
    </w:rPr>
  </w:style>
  <w:style w:type="paragraph" w:styleId="36">
    <w:name w:val="toc 3"/>
    <w:basedOn w:val="1"/>
    <w:next w:val="1"/>
    <w:qFormat/>
    <w:uiPriority w:val="39"/>
    <w:pPr>
      <w:tabs>
        <w:tab w:val="right" w:leader="dot" w:pos="8777"/>
      </w:tabs>
      <w:spacing w:line="480" w:lineRule="exact"/>
      <w:ind w:left="482" w:firstLine="86" w:firstLineChars="43"/>
      <w:jc w:val="left"/>
    </w:pPr>
    <w:rPr>
      <w:rFonts w:ascii="宋体" w:hAnsi="Calibri"/>
      <w:b/>
      <w:bCs/>
      <w:caps/>
      <w:color w:val="000000"/>
      <w:kern w:val="28"/>
      <w:sz w:val="20"/>
      <w:szCs w:val="20"/>
    </w:rPr>
  </w:style>
  <w:style w:type="paragraph" w:styleId="37">
    <w:name w:val="Plain Text"/>
    <w:basedOn w:val="1"/>
    <w:link w:val="103"/>
    <w:qFormat/>
    <w:uiPriority w:val="0"/>
    <w:rPr>
      <w:rFonts w:hAnsi="Courier New" w:cs="Times New Roman"/>
      <w:kern w:val="2"/>
      <w:szCs w:val="20"/>
    </w:rPr>
  </w:style>
  <w:style w:type="paragraph" w:styleId="38">
    <w:name w:val="toc 8"/>
    <w:basedOn w:val="1"/>
    <w:next w:val="1"/>
    <w:qFormat/>
    <w:uiPriority w:val="39"/>
    <w:pPr>
      <w:ind w:left="1680"/>
      <w:jc w:val="left"/>
    </w:pPr>
    <w:rPr>
      <w:rFonts w:ascii="Calibri" w:hAnsi="Calibri"/>
      <w:sz w:val="18"/>
      <w:szCs w:val="18"/>
    </w:rPr>
  </w:style>
  <w:style w:type="paragraph" w:styleId="39">
    <w:name w:val="Date"/>
    <w:basedOn w:val="1"/>
    <w:next w:val="1"/>
    <w:link w:val="104"/>
    <w:qFormat/>
    <w:uiPriority w:val="0"/>
    <w:rPr>
      <w:rFonts w:hAnsi="Times New Roman" w:cs="Times New Roman"/>
      <w:kern w:val="2"/>
      <w:szCs w:val="20"/>
    </w:rPr>
  </w:style>
  <w:style w:type="paragraph" w:styleId="40">
    <w:name w:val="Body Text Indent 2"/>
    <w:basedOn w:val="1"/>
    <w:link w:val="105"/>
    <w:qFormat/>
    <w:uiPriority w:val="0"/>
    <w:pPr>
      <w:spacing w:after="120" w:line="480" w:lineRule="auto"/>
      <w:ind w:left="420" w:leftChars="200"/>
    </w:pPr>
    <w:rPr>
      <w:rFonts w:ascii="Times New Roman" w:hAnsi="Times New Roman" w:cs="Times New Roman"/>
      <w:kern w:val="2"/>
      <w:sz w:val="21"/>
      <w:szCs w:val="20"/>
    </w:rPr>
  </w:style>
  <w:style w:type="paragraph" w:styleId="41">
    <w:name w:val="endnote text"/>
    <w:basedOn w:val="1"/>
    <w:link w:val="106"/>
    <w:unhideWhenUsed/>
    <w:qFormat/>
    <w:uiPriority w:val="99"/>
    <w:pPr>
      <w:snapToGrid w:val="0"/>
      <w:spacing w:line="240" w:lineRule="auto"/>
      <w:ind w:firstLine="0" w:firstLineChars="0"/>
      <w:jc w:val="left"/>
    </w:pPr>
    <w:rPr>
      <w:rFonts w:ascii="Times New Roman" w:hAnsi="Times New Roman" w:cs="Times New Roman"/>
      <w:kern w:val="2"/>
      <w:sz w:val="21"/>
    </w:rPr>
  </w:style>
  <w:style w:type="paragraph" w:styleId="42">
    <w:name w:val="Balloon Text"/>
    <w:basedOn w:val="1"/>
    <w:link w:val="107"/>
    <w:qFormat/>
    <w:uiPriority w:val="0"/>
    <w:rPr>
      <w:rFonts w:ascii="Times New Roman" w:hAnsi="Times New Roman" w:cs="Times New Roman"/>
      <w:kern w:val="2"/>
      <w:sz w:val="18"/>
      <w:szCs w:val="18"/>
    </w:rPr>
  </w:style>
  <w:style w:type="paragraph" w:styleId="43">
    <w:name w:val="footer"/>
    <w:basedOn w:val="1"/>
    <w:link w:val="108"/>
    <w:qFormat/>
    <w:uiPriority w:val="0"/>
    <w:pPr>
      <w:tabs>
        <w:tab w:val="center" w:pos="4153"/>
        <w:tab w:val="right" w:pos="8306"/>
      </w:tabs>
      <w:snapToGrid w:val="0"/>
      <w:jc w:val="left"/>
    </w:pPr>
    <w:rPr>
      <w:rFonts w:ascii="Times New Roman" w:hAnsi="Times New Roman" w:cs="Times New Roman"/>
      <w:kern w:val="2"/>
      <w:sz w:val="18"/>
      <w:szCs w:val="20"/>
    </w:rPr>
  </w:style>
  <w:style w:type="paragraph" w:styleId="44">
    <w:name w:val="header"/>
    <w:basedOn w:val="1"/>
    <w:link w:val="109"/>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45">
    <w:name w:val="toc 1"/>
    <w:basedOn w:val="1"/>
    <w:next w:val="1"/>
    <w:qFormat/>
    <w:uiPriority w:val="39"/>
    <w:pPr>
      <w:spacing w:before="120" w:after="120"/>
      <w:jc w:val="left"/>
    </w:pPr>
    <w:rPr>
      <w:rFonts w:ascii="Calibri" w:hAnsi="Calibri"/>
      <w:b/>
      <w:bCs/>
      <w:caps/>
      <w:sz w:val="20"/>
      <w:szCs w:val="20"/>
    </w:rPr>
  </w:style>
  <w:style w:type="paragraph" w:styleId="46">
    <w:name w:val="List Continue 4"/>
    <w:basedOn w:val="1"/>
    <w:qFormat/>
    <w:uiPriority w:val="0"/>
    <w:pPr>
      <w:adjustRightInd w:val="0"/>
      <w:snapToGrid w:val="0"/>
      <w:spacing w:after="120" w:line="360" w:lineRule="auto"/>
      <w:ind w:left="1680" w:leftChars="800" w:firstLine="0" w:firstLineChars="0"/>
    </w:pPr>
    <w:rPr>
      <w:szCs w:val="20"/>
    </w:rPr>
  </w:style>
  <w:style w:type="paragraph" w:styleId="47">
    <w:name w:val="toc 4"/>
    <w:basedOn w:val="1"/>
    <w:next w:val="1"/>
    <w:qFormat/>
    <w:uiPriority w:val="39"/>
    <w:pPr>
      <w:ind w:left="720"/>
      <w:jc w:val="left"/>
    </w:pPr>
    <w:rPr>
      <w:rFonts w:ascii="Calibri" w:hAnsi="Calibri"/>
      <w:sz w:val="18"/>
      <w:szCs w:val="18"/>
    </w:rPr>
  </w:style>
  <w:style w:type="paragraph" w:styleId="48">
    <w:name w:val="index heading"/>
    <w:basedOn w:val="1"/>
    <w:next w:val="49"/>
    <w:qFormat/>
    <w:uiPriority w:val="0"/>
    <w:pPr>
      <w:spacing w:line="240" w:lineRule="auto"/>
      <w:ind w:firstLine="0" w:firstLineChars="0"/>
    </w:pPr>
    <w:rPr>
      <w:sz w:val="21"/>
      <w:szCs w:val="20"/>
    </w:rPr>
  </w:style>
  <w:style w:type="paragraph" w:styleId="49">
    <w:name w:val="index 1"/>
    <w:basedOn w:val="1"/>
    <w:next w:val="1"/>
    <w:qFormat/>
    <w:uiPriority w:val="0"/>
    <w:rPr>
      <w:szCs w:val="20"/>
    </w:rPr>
  </w:style>
  <w:style w:type="paragraph" w:styleId="50">
    <w:name w:val="Subtitle"/>
    <w:basedOn w:val="1"/>
    <w:next w:val="1"/>
    <w:link w:val="110"/>
    <w:qFormat/>
    <w:uiPriority w:val="0"/>
    <w:pPr>
      <w:spacing w:before="240" w:after="60" w:line="312" w:lineRule="auto"/>
      <w:jc w:val="center"/>
      <w:outlineLvl w:val="1"/>
    </w:pPr>
    <w:rPr>
      <w:rFonts w:ascii="Cambria" w:hAnsi="Cambria" w:cs="Times New Roman"/>
      <w:b/>
      <w:bCs/>
      <w:kern w:val="28"/>
      <w:sz w:val="32"/>
      <w:szCs w:val="32"/>
    </w:rPr>
  </w:style>
  <w:style w:type="paragraph" w:styleId="51">
    <w:name w:val="List"/>
    <w:basedOn w:val="1"/>
    <w:qFormat/>
    <w:uiPriority w:val="0"/>
    <w:pPr>
      <w:spacing w:line="240" w:lineRule="auto"/>
      <w:ind w:left="200" w:hanging="200" w:hangingChars="200"/>
    </w:pPr>
    <w:rPr>
      <w:sz w:val="21"/>
      <w:szCs w:val="20"/>
    </w:rPr>
  </w:style>
  <w:style w:type="paragraph" w:styleId="52">
    <w:name w:val="footnote text"/>
    <w:basedOn w:val="1"/>
    <w:link w:val="111"/>
    <w:qFormat/>
    <w:uiPriority w:val="0"/>
    <w:pPr>
      <w:spacing w:line="360" w:lineRule="auto"/>
      <w:ind w:firstLine="0" w:firstLineChars="0"/>
    </w:pPr>
    <w:rPr>
      <w:rFonts w:ascii="Times New Roman" w:hAnsi="Times New Roman" w:cs="Times New Roman"/>
      <w:kern w:val="2"/>
      <w:sz w:val="18"/>
    </w:rPr>
  </w:style>
  <w:style w:type="paragraph" w:styleId="53">
    <w:name w:val="toc 6"/>
    <w:basedOn w:val="1"/>
    <w:next w:val="1"/>
    <w:qFormat/>
    <w:uiPriority w:val="39"/>
    <w:pPr>
      <w:ind w:left="1200"/>
      <w:jc w:val="left"/>
    </w:pPr>
    <w:rPr>
      <w:rFonts w:ascii="Calibri" w:hAnsi="Calibri"/>
      <w:sz w:val="18"/>
      <w:szCs w:val="18"/>
    </w:rPr>
  </w:style>
  <w:style w:type="paragraph" w:styleId="54">
    <w:name w:val="List 5"/>
    <w:basedOn w:val="1"/>
    <w:qFormat/>
    <w:uiPriority w:val="0"/>
    <w:pPr>
      <w:adjustRightInd w:val="0"/>
      <w:snapToGrid w:val="0"/>
      <w:spacing w:line="360" w:lineRule="auto"/>
      <w:ind w:left="100" w:leftChars="800" w:hanging="200" w:hangingChars="200"/>
    </w:pPr>
    <w:rPr>
      <w:szCs w:val="20"/>
    </w:rPr>
  </w:style>
  <w:style w:type="paragraph" w:styleId="55">
    <w:name w:val="Body Text Indent 3"/>
    <w:basedOn w:val="1"/>
    <w:link w:val="112"/>
    <w:qFormat/>
    <w:uiPriority w:val="0"/>
    <w:pPr>
      <w:spacing w:after="120"/>
      <w:ind w:left="420" w:leftChars="200"/>
    </w:pPr>
    <w:rPr>
      <w:rFonts w:ascii="Times New Roman" w:hAnsi="Times New Roman" w:cs="Times New Roman"/>
      <w:kern w:val="2"/>
      <w:sz w:val="16"/>
      <w:szCs w:val="20"/>
    </w:rPr>
  </w:style>
  <w:style w:type="paragraph" w:styleId="56">
    <w:name w:val="table of figures"/>
    <w:basedOn w:val="1"/>
    <w:next w:val="1"/>
    <w:qFormat/>
    <w:uiPriority w:val="0"/>
    <w:pPr>
      <w:tabs>
        <w:tab w:val="right" w:leader="dot" w:pos="8640"/>
      </w:tabs>
      <w:spacing w:line="360" w:lineRule="auto"/>
      <w:ind w:left="400" w:hanging="400" w:firstLineChars="0"/>
    </w:pPr>
  </w:style>
  <w:style w:type="paragraph" w:styleId="57">
    <w:name w:val="toc 2"/>
    <w:basedOn w:val="1"/>
    <w:next w:val="1"/>
    <w:qFormat/>
    <w:uiPriority w:val="39"/>
    <w:pPr>
      <w:tabs>
        <w:tab w:val="right" w:leader="dot" w:pos="8777"/>
      </w:tabs>
      <w:ind w:firstLine="474" w:firstLineChars="236"/>
      <w:jc w:val="left"/>
    </w:pPr>
    <w:rPr>
      <w:rFonts w:ascii="宋体" w:hAnsi="Calibri"/>
      <w:b/>
      <w:bCs/>
      <w:caps/>
      <w:color w:val="000000"/>
      <w:kern w:val="28"/>
      <w:sz w:val="20"/>
      <w:szCs w:val="20"/>
    </w:rPr>
  </w:style>
  <w:style w:type="paragraph" w:styleId="58">
    <w:name w:val="toc 9"/>
    <w:basedOn w:val="1"/>
    <w:next w:val="1"/>
    <w:qFormat/>
    <w:uiPriority w:val="39"/>
    <w:pPr>
      <w:ind w:left="1920"/>
      <w:jc w:val="left"/>
    </w:pPr>
    <w:rPr>
      <w:rFonts w:ascii="Calibri" w:hAnsi="Calibri"/>
      <w:sz w:val="18"/>
      <w:szCs w:val="18"/>
    </w:rPr>
  </w:style>
  <w:style w:type="paragraph" w:styleId="59">
    <w:name w:val="Body Text 2"/>
    <w:basedOn w:val="1"/>
    <w:link w:val="113"/>
    <w:qFormat/>
    <w:uiPriority w:val="0"/>
    <w:pPr>
      <w:spacing w:after="120" w:line="480" w:lineRule="auto"/>
    </w:pPr>
    <w:rPr>
      <w:rFonts w:ascii="Times New Roman" w:hAnsi="Times New Roman" w:cs="Times New Roman"/>
      <w:kern w:val="2"/>
      <w:sz w:val="21"/>
      <w:szCs w:val="20"/>
    </w:rPr>
  </w:style>
  <w:style w:type="paragraph" w:styleId="60">
    <w:name w:val="List 4"/>
    <w:basedOn w:val="1"/>
    <w:qFormat/>
    <w:uiPriority w:val="0"/>
    <w:pPr>
      <w:adjustRightInd w:val="0"/>
      <w:snapToGrid w:val="0"/>
      <w:spacing w:line="360" w:lineRule="auto"/>
      <w:ind w:left="100" w:leftChars="600" w:hanging="200" w:hangingChars="200"/>
    </w:pPr>
    <w:rPr>
      <w:szCs w:val="20"/>
    </w:rPr>
  </w:style>
  <w:style w:type="paragraph" w:styleId="61">
    <w:name w:val="List Continue 2"/>
    <w:basedOn w:val="1"/>
    <w:qFormat/>
    <w:uiPriority w:val="0"/>
    <w:pPr>
      <w:adjustRightInd w:val="0"/>
      <w:snapToGrid w:val="0"/>
      <w:spacing w:after="120" w:line="360" w:lineRule="auto"/>
      <w:ind w:left="840" w:leftChars="400" w:firstLine="0" w:firstLineChars="0"/>
    </w:pPr>
    <w:rPr>
      <w:szCs w:val="20"/>
    </w:rPr>
  </w:style>
  <w:style w:type="paragraph" w:styleId="62">
    <w:name w:val="HTML Preformatted"/>
    <w:basedOn w:val="1"/>
    <w:link w:val="1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Times New Roman"/>
    </w:rPr>
  </w:style>
  <w:style w:type="paragraph" w:styleId="63">
    <w:name w:val="Normal (Web)"/>
    <w:basedOn w:val="1"/>
    <w:next w:val="1"/>
    <w:qFormat/>
    <w:uiPriority w:val="0"/>
    <w:pPr>
      <w:spacing w:before="75" w:beforeAutospacing="0" w:after="75" w:afterAutospacing="0"/>
      <w:ind w:left="0" w:right="0"/>
      <w:jc w:val="left"/>
    </w:pPr>
    <w:rPr>
      <w:kern w:val="0"/>
      <w:sz w:val="24"/>
      <w:lang w:val="en-US" w:eastAsia="zh-CN" w:bidi="ar"/>
    </w:rPr>
  </w:style>
  <w:style w:type="paragraph" w:styleId="64">
    <w:name w:val="List Continue 3"/>
    <w:basedOn w:val="1"/>
    <w:qFormat/>
    <w:uiPriority w:val="0"/>
    <w:pPr>
      <w:spacing w:after="120"/>
      <w:ind w:left="1260" w:leftChars="600"/>
    </w:pPr>
    <w:rPr>
      <w:szCs w:val="20"/>
    </w:rPr>
  </w:style>
  <w:style w:type="paragraph" w:styleId="65">
    <w:name w:val="Title"/>
    <w:basedOn w:val="1"/>
    <w:next w:val="1"/>
    <w:link w:val="115"/>
    <w:qFormat/>
    <w:uiPriority w:val="0"/>
    <w:pPr>
      <w:widowControl/>
      <w:spacing w:after="240" w:line="360" w:lineRule="auto"/>
      <w:jc w:val="center"/>
    </w:pPr>
    <w:rPr>
      <w:rFonts w:ascii="Arial" w:hAnsi="Arial" w:cs="Times New Roman"/>
      <w:b/>
      <w:smallCaps/>
      <w:kern w:val="28"/>
      <w:sz w:val="36"/>
      <w:szCs w:val="20"/>
      <w:lang w:eastAsia="en-US"/>
    </w:rPr>
  </w:style>
  <w:style w:type="paragraph" w:styleId="66">
    <w:name w:val="annotation subject"/>
    <w:basedOn w:val="23"/>
    <w:next w:val="23"/>
    <w:link w:val="116"/>
    <w:qFormat/>
    <w:uiPriority w:val="0"/>
    <w:rPr>
      <w:b/>
      <w:bCs/>
    </w:rPr>
  </w:style>
  <w:style w:type="paragraph" w:styleId="67">
    <w:name w:val="Body Text First Indent"/>
    <w:basedOn w:val="26"/>
    <w:link w:val="117"/>
    <w:qFormat/>
    <w:uiPriority w:val="0"/>
    <w:pPr>
      <w:ind w:firstLine="420" w:firstLineChars="100"/>
    </w:pPr>
    <w:rPr>
      <w:lang w:val="en-US" w:eastAsia="zh-CN"/>
    </w:rPr>
  </w:style>
  <w:style w:type="table" w:styleId="69">
    <w:name w:val="Table Grid"/>
    <w:basedOn w:val="6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1">
    <w:name w:val="Strong"/>
    <w:qFormat/>
    <w:uiPriority w:val="0"/>
    <w:rPr>
      <w:b/>
      <w:bCs/>
    </w:rPr>
  </w:style>
  <w:style w:type="character" w:styleId="72">
    <w:name w:val="endnote reference"/>
    <w:unhideWhenUsed/>
    <w:qFormat/>
    <w:uiPriority w:val="99"/>
    <w:rPr>
      <w:vertAlign w:val="superscript"/>
    </w:rPr>
  </w:style>
  <w:style w:type="character" w:styleId="73">
    <w:name w:val="page number"/>
    <w:basedOn w:val="70"/>
    <w:qFormat/>
    <w:uiPriority w:val="0"/>
  </w:style>
  <w:style w:type="character" w:styleId="74">
    <w:name w:val="FollowedHyperlink"/>
    <w:qFormat/>
    <w:uiPriority w:val="0"/>
    <w:rPr>
      <w:color w:val="0000FF"/>
      <w:u w:val="single"/>
    </w:rPr>
  </w:style>
  <w:style w:type="character" w:styleId="75">
    <w:name w:val="Emphasis"/>
    <w:qFormat/>
    <w:uiPriority w:val="0"/>
    <w:rPr>
      <w:i/>
    </w:rPr>
  </w:style>
  <w:style w:type="character" w:styleId="76">
    <w:name w:val="HTML Definition"/>
    <w:basedOn w:val="70"/>
    <w:qFormat/>
    <w:uiPriority w:val="0"/>
  </w:style>
  <w:style w:type="character" w:styleId="77">
    <w:name w:val="HTML Typewriter"/>
    <w:basedOn w:val="70"/>
    <w:qFormat/>
    <w:uiPriority w:val="0"/>
    <w:rPr>
      <w:rFonts w:ascii="monospace" w:hAnsi="monospace" w:eastAsia="monospace" w:cs="monospace"/>
      <w:sz w:val="20"/>
    </w:rPr>
  </w:style>
  <w:style w:type="character" w:styleId="78">
    <w:name w:val="HTML Acronym"/>
    <w:basedOn w:val="70"/>
    <w:qFormat/>
    <w:uiPriority w:val="0"/>
  </w:style>
  <w:style w:type="character" w:styleId="79">
    <w:name w:val="HTML Variable"/>
    <w:basedOn w:val="70"/>
    <w:qFormat/>
    <w:uiPriority w:val="0"/>
  </w:style>
  <w:style w:type="character" w:styleId="80">
    <w:name w:val="Hyperlink"/>
    <w:qFormat/>
    <w:uiPriority w:val="99"/>
    <w:rPr>
      <w:color w:val="000099"/>
      <w:u w:val="none"/>
    </w:rPr>
  </w:style>
  <w:style w:type="character" w:styleId="81">
    <w:name w:val="HTML Code"/>
    <w:basedOn w:val="70"/>
    <w:qFormat/>
    <w:uiPriority w:val="0"/>
    <w:rPr>
      <w:rFonts w:hint="default" w:ascii="monospace" w:hAnsi="monospace" w:eastAsia="monospace" w:cs="monospace"/>
      <w:sz w:val="20"/>
    </w:rPr>
  </w:style>
  <w:style w:type="character" w:styleId="82">
    <w:name w:val="annotation reference"/>
    <w:qFormat/>
    <w:uiPriority w:val="0"/>
    <w:rPr>
      <w:sz w:val="21"/>
      <w:szCs w:val="21"/>
    </w:rPr>
  </w:style>
  <w:style w:type="character" w:styleId="83">
    <w:name w:val="HTML Cite"/>
    <w:basedOn w:val="70"/>
    <w:qFormat/>
    <w:uiPriority w:val="0"/>
  </w:style>
  <w:style w:type="character" w:styleId="84">
    <w:name w:val="footnote reference"/>
    <w:basedOn w:val="70"/>
    <w:qFormat/>
    <w:uiPriority w:val="0"/>
    <w:rPr>
      <w:position w:val="6"/>
      <w:sz w:val="14"/>
      <w:vertAlign w:val="superscript"/>
    </w:rPr>
  </w:style>
  <w:style w:type="character" w:styleId="85">
    <w:name w:val="HTML Keyboard"/>
    <w:basedOn w:val="70"/>
    <w:qFormat/>
    <w:uiPriority w:val="0"/>
    <w:rPr>
      <w:rFonts w:hint="default" w:ascii="monospace" w:hAnsi="monospace" w:eastAsia="monospace" w:cs="monospace"/>
      <w:sz w:val="20"/>
    </w:rPr>
  </w:style>
  <w:style w:type="character" w:styleId="86">
    <w:name w:val="HTML Sample"/>
    <w:basedOn w:val="70"/>
    <w:qFormat/>
    <w:uiPriority w:val="0"/>
    <w:rPr>
      <w:rFonts w:hint="default" w:ascii="monospace" w:hAnsi="monospace" w:eastAsia="monospace" w:cs="monospace"/>
    </w:rPr>
  </w:style>
  <w:style w:type="character" w:customStyle="1" w:styleId="87">
    <w:name w:val="标题 2 Char1"/>
    <w:link w:val="6"/>
    <w:qFormat/>
    <w:uiPriority w:val="0"/>
    <w:rPr>
      <w:rFonts w:ascii="宋体"/>
      <w:b/>
      <w:kern w:val="2"/>
      <w:sz w:val="28"/>
      <w:lang w:val="en-US" w:eastAsia="zh-CN" w:bidi="ar-SA"/>
    </w:rPr>
  </w:style>
  <w:style w:type="character" w:customStyle="1" w:styleId="88">
    <w:name w:val="标题 1 Char1"/>
    <w:link w:val="5"/>
    <w:qFormat/>
    <w:uiPriority w:val="0"/>
    <w:rPr>
      <w:rFonts w:ascii="宋体"/>
      <w:b/>
      <w:kern w:val="28"/>
      <w:sz w:val="36"/>
      <w:lang w:val="en-US" w:eastAsia="zh-CN" w:bidi="ar-SA"/>
    </w:rPr>
  </w:style>
  <w:style w:type="character" w:customStyle="1" w:styleId="89">
    <w:name w:val="标题 3 Char1"/>
    <w:link w:val="7"/>
    <w:qFormat/>
    <w:uiPriority w:val="0"/>
    <w:rPr>
      <w:rFonts w:ascii="宋体"/>
      <w:b/>
      <w:kern w:val="2"/>
      <w:sz w:val="24"/>
      <w:lang w:val="en-US" w:eastAsia="zh-CN" w:bidi="ar-SA"/>
    </w:rPr>
  </w:style>
  <w:style w:type="character" w:customStyle="1" w:styleId="90">
    <w:name w:val="标题 4 Char"/>
    <w:link w:val="4"/>
    <w:qFormat/>
    <w:uiPriority w:val="0"/>
    <w:rPr>
      <w:rFonts w:ascii="Arial" w:hAnsi="Arial" w:eastAsia="黑体"/>
      <w:b/>
      <w:bCs/>
      <w:kern w:val="2"/>
      <w:sz w:val="28"/>
      <w:szCs w:val="28"/>
    </w:rPr>
  </w:style>
  <w:style w:type="character" w:customStyle="1" w:styleId="91">
    <w:name w:val="标题 5 Char"/>
    <w:link w:val="8"/>
    <w:qFormat/>
    <w:uiPriority w:val="9"/>
    <w:rPr>
      <w:rFonts w:ascii="Arial" w:hAnsi="Arial" w:eastAsia="楷体_GB2312"/>
      <w:b/>
      <w:sz w:val="24"/>
      <w:szCs w:val="24"/>
      <w:lang w:bidi="ar-SA"/>
    </w:rPr>
  </w:style>
  <w:style w:type="character" w:customStyle="1" w:styleId="92">
    <w:name w:val="标题 6 Char1"/>
    <w:link w:val="10"/>
    <w:qFormat/>
    <w:uiPriority w:val="0"/>
    <w:rPr>
      <w:rFonts w:ascii="Arial" w:hAnsi="Arial" w:eastAsia="黑体"/>
      <w:b/>
      <w:kern w:val="2"/>
      <w:sz w:val="24"/>
      <w:lang w:bidi="ar-SA"/>
    </w:rPr>
  </w:style>
  <w:style w:type="character" w:customStyle="1" w:styleId="93">
    <w:name w:val="标题 7 Char1"/>
    <w:link w:val="11"/>
    <w:qFormat/>
    <w:uiPriority w:val="0"/>
    <w:rPr>
      <w:rFonts w:eastAsia="宋体"/>
      <w:b/>
      <w:kern w:val="2"/>
      <w:sz w:val="24"/>
      <w:lang w:bidi="ar-SA"/>
    </w:rPr>
  </w:style>
  <w:style w:type="character" w:customStyle="1" w:styleId="94">
    <w:name w:val="标题 8 Char1"/>
    <w:link w:val="12"/>
    <w:qFormat/>
    <w:uiPriority w:val="0"/>
    <w:rPr>
      <w:rFonts w:ascii="Arial" w:hAnsi="Arial" w:eastAsia="黑体"/>
      <w:kern w:val="2"/>
      <w:sz w:val="24"/>
      <w:lang w:bidi="ar-SA"/>
    </w:rPr>
  </w:style>
  <w:style w:type="character" w:customStyle="1" w:styleId="95">
    <w:name w:val="标题 9 Char1"/>
    <w:link w:val="13"/>
    <w:qFormat/>
    <w:uiPriority w:val="0"/>
    <w:rPr>
      <w:rFonts w:ascii="Arial" w:hAnsi="Arial" w:eastAsia="黑体"/>
      <w:kern w:val="2"/>
      <w:sz w:val="24"/>
      <w:lang w:bidi="ar-SA"/>
    </w:rPr>
  </w:style>
  <w:style w:type="character" w:customStyle="1" w:styleId="96">
    <w:name w:val="注释标题 Char"/>
    <w:link w:val="17"/>
    <w:qFormat/>
    <w:uiPriority w:val="0"/>
    <w:rPr>
      <w:kern w:val="2"/>
      <w:sz w:val="21"/>
      <w:szCs w:val="24"/>
      <w:lang w:bidi="ar-SA"/>
    </w:rPr>
  </w:style>
  <w:style w:type="character" w:customStyle="1" w:styleId="97">
    <w:name w:val="正文缩进 Char"/>
    <w:link w:val="19"/>
    <w:qFormat/>
    <w:uiPriority w:val="0"/>
    <w:rPr>
      <w:kern w:val="2"/>
      <w:sz w:val="21"/>
      <w:szCs w:val="24"/>
    </w:rPr>
  </w:style>
  <w:style w:type="character" w:customStyle="1" w:styleId="98">
    <w:name w:val="文档结构图 Char2"/>
    <w:link w:val="22"/>
    <w:qFormat/>
    <w:uiPriority w:val="0"/>
    <w:rPr>
      <w:kern w:val="2"/>
      <w:sz w:val="21"/>
      <w:szCs w:val="24"/>
      <w:shd w:val="clear" w:color="auto" w:fill="000080"/>
    </w:rPr>
  </w:style>
  <w:style w:type="character" w:customStyle="1" w:styleId="99">
    <w:name w:val="批注文字 Char1"/>
    <w:link w:val="23"/>
    <w:qFormat/>
    <w:uiPriority w:val="0"/>
    <w:rPr>
      <w:kern w:val="2"/>
      <w:sz w:val="21"/>
      <w:szCs w:val="24"/>
    </w:rPr>
  </w:style>
  <w:style w:type="character" w:customStyle="1" w:styleId="100">
    <w:name w:val="正文文本 3 Char1"/>
    <w:link w:val="24"/>
    <w:qFormat/>
    <w:uiPriority w:val="0"/>
    <w:rPr>
      <w:kern w:val="2"/>
      <w:sz w:val="18"/>
    </w:rPr>
  </w:style>
  <w:style w:type="character" w:customStyle="1" w:styleId="101">
    <w:name w:val="正文文本 Char2"/>
    <w:link w:val="26"/>
    <w:qFormat/>
    <w:uiPriority w:val="0"/>
    <w:rPr>
      <w:kern w:val="2"/>
      <w:sz w:val="21"/>
      <w:szCs w:val="24"/>
    </w:rPr>
  </w:style>
  <w:style w:type="character" w:customStyle="1" w:styleId="102">
    <w:name w:val="正文文本缩进 Char1"/>
    <w:link w:val="3"/>
    <w:qFormat/>
    <w:uiPriority w:val="0"/>
    <w:rPr>
      <w:rFonts w:ascii="宋体" w:hAnsi="宋体"/>
      <w:kern w:val="2"/>
      <w:sz w:val="21"/>
      <w:szCs w:val="21"/>
    </w:rPr>
  </w:style>
  <w:style w:type="character" w:customStyle="1" w:styleId="103">
    <w:name w:val="纯文本 Char2"/>
    <w:link w:val="37"/>
    <w:qFormat/>
    <w:uiPriority w:val="0"/>
    <w:rPr>
      <w:rFonts w:ascii="宋体" w:hAnsi="Courier New"/>
      <w:kern w:val="2"/>
      <w:sz w:val="24"/>
    </w:rPr>
  </w:style>
  <w:style w:type="character" w:customStyle="1" w:styleId="104">
    <w:name w:val="日期 Char2"/>
    <w:link w:val="39"/>
    <w:qFormat/>
    <w:uiPriority w:val="0"/>
    <w:rPr>
      <w:rFonts w:ascii="宋体"/>
      <w:kern w:val="2"/>
      <w:sz w:val="24"/>
    </w:rPr>
  </w:style>
  <w:style w:type="character" w:customStyle="1" w:styleId="105">
    <w:name w:val="正文文本缩进 2 Char1"/>
    <w:link w:val="40"/>
    <w:qFormat/>
    <w:uiPriority w:val="0"/>
    <w:rPr>
      <w:kern w:val="2"/>
      <w:sz w:val="21"/>
    </w:rPr>
  </w:style>
  <w:style w:type="character" w:customStyle="1" w:styleId="106">
    <w:name w:val="尾注文本 Char"/>
    <w:link w:val="41"/>
    <w:qFormat/>
    <w:uiPriority w:val="99"/>
    <w:rPr>
      <w:kern w:val="2"/>
      <w:sz w:val="21"/>
      <w:szCs w:val="24"/>
    </w:rPr>
  </w:style>
  <w:style w:type="character" w:customStyle="1" w:styleId="107">
    <w:name w:val="批注框文本 Char2"/>
    <w:link w:val="42"/>
    <w:qFormat/>
    <w:uiPriority w:val="0"/>
    <w:rPr>
      <w:kern w:val="2"/>
      <w:sz w:val="18"/>
      <w:szCs w:val="18"/>
    </w:rPr>
  </w:style>
  <w:style w:type="character" w:customStyle="1" w:styleId="108">
    <w:name w:val="页脚 Char3"/>
    <w:link w:val="43"/>
    <w:qFormat/>
    <w:uiPriority w:val="0"/>
    <w:rPr>
      <w:rFonts w:eastAsia="宋体"/>
      <w:kern w:val="2"/>
      <w:sz w:val="18"/>
      <w:lang w:val="en-US" w:eastAsia="zh-CN" w:bidi="ar-SA"/>
    </w:rPr>
  </w:style>
  <w:style w:type="character" w:customStyle="1" w:styleId="109">
    <w:name w:val="页眉 Char1"/>
    <w:link w:val="44"/>
    <w:qFormat/>
    <w:uiPriority w:val="99"/>
    <w:rPr>
      <w:kern w:val="2"/>
      <w:sz w:val="18"/>
      <w:szCs w:val="18"/>
    </w:rPr>
  </w:style>
  <w:style w:type="character" w:customStyle="1" w:styleId="110">
    <w:name w:val="副标题 Char2"/>
    <w:link w:val="50"/>
    <w:qFormat/>
    <w:uiPriority w:val="0"/>
    <w:rPr>
      <w:rFonts w:ascii="Cambria" w:hAnsi="Cambria"/>
      <w:b/>
      <w:bCs/>
      <w:kern w:val="28"/>
      <w:sz w:val="32"/>
      <w:szCs w:val="32"/>
    </w:rPr>
  </w:style>
  <w:style w:type="character" w:customStyle="1" w:styleId="111">
    <w:name w:val="脚注文本 Char"/>
    <w:link w:val="52"/>
    <w:qFormat/>
    <w:uiPriority w:val="0"/>
    <w:rPr>
      <w:kern w:val="2"/>
      <w:sz w:val="18"/>
      <w:szCs w:val="24"/>
      <w:lang w:bidi="ar-SA"/>
    </w:rPr>
  </w:style>
  <w:style w:type="character" w:customStyle="1" w:styleId="112">
    <w:name w:val="正文文本缩进 3 Char1"/>
    <w:link w:val="55"/>
    <w:qFormat/>
    <w:uiPriority w:val="0"/>
    <w:rPr>
      <w:kern w:val="2"/>
      <w:sz w:val="16"/>
    </w:rPr>
  </w:style>
  <w:style w:type="character" w:customStyle="1" w:styleId="113">
    <w:name w:val="正文文本 2 Char1"/>
    <w:link w:val="59"/>
    <w:qFormat/>
    <w:uiPriority w:val="0"/>
    <w:rPr>
      <w:kern w:val="2"/>
      <w:sz w:val="21"/>
    </w:rPr>
  </w:style>
  <w:style w:type="character" w:customStyle="1" w:styleId="114">
    <w:name w:val="HTML 预设格式 Char1"/>
    <w:link w:val="62"/>
    <w:qFormat/>
    <w:uiPriority w:val="0"/>
    <w:rPr>
      <w:rFonts w:ascii="宋体" w:hAnsi="宋体" w:cs="宋体"/>
      <w:sz w:val="24"/>
      <w:szCs w:val="24"/>
    </w:rPr>
  </w:style>
  <w:style w:type="character" w:customStyle="1" w:styleId="115">
    <w:name w:val="标题 Char1"/>
    <w:link w:val="65"/>
    <w:qFormat/>
    <w:uiPriority w:val="0"/>
    <w:rPr>
      <w:rFonts w:ascii="Arial" w:hAnsi="Arial"/>
      <w:b/>
      <w:smallCaps/>
      <w:kern w:val="28"/>
      <w:sz w:val="36"/>
      <w:lang w:eastAsia="en-US"/>
    </w:rPr>
  </w:style>
  <w:style w:type="character" w:customStyle="1" w:styleId="116">
    <w:name w:val="批注主题 Char2"/>
    <w:link w:val="66"/>
    <w:qFormat/>
    <w:uiPriority w:val="0"/>
    <w:rPr>
      <w:b/>
      <w:bCs/>
      <w:kern w:val="2"/>
      <w:sz w:val="21"/>
      <w:szCs w:val="24"/>
    </w:rPr>
  </w:style>
  <w:style w:type="character" w:customStyle="1" w:styleId="117">
    <w:name w:val="正文首行缩进 Char2"/>
    <w:link w:val="67"/>
    <w:qFormat/>
    <w:uiPriority w:val="0"/>
    <w:rPr>
      <w:rFonts w:eastAsia="宋体"/>
      <w:kern w:val="2"/>
      <w:sz w:val="21"/>
      <w:szCs w:val="24"/>
      <w:lang w:val="en-US" w:eastAsia="zh-CN" w:bidi="ar-SA"/>
    </w:rPr>
  </w:style>
  <w:style w:type="character" w:customStyle="1" w:styleId="118">
    <w:name w:val="正文首行缩进 2 Char1"/>
    <w:link w:val="2"/>
    <w:qFormat/>
    <w:uiPriority w:val="0"/>
    <w:rPr>
      <w:rFonts w:ascii="宋体" w:hAnsi="宋体" w:eastAsia="仿宋_GB2312"/>
      <w:kern w:val="2"/>
      <w:sz w:val="24"/>
      <w:szCs w:val="21"/>
    </w:rPr>
  </w:style>
  <w:style w:type="character" w:customStyle="1" w:styleId="119">
    <w:name w:val="Body Char"/>
    <w:link w:val="120"/>
    <w:qFormat/>
    <w:uiPriority w:val="0"/>
    <w:rPr>
      <w:rFonts w:ascii="宋体" w:hAnsi="宋体" w:eastAsia="宋体"/>
      <w:sz w:val="21"/>
      <w:szCs w:val="21"/>
      <w:lang w:bidi="ar-SA"/>
    </w:rPr>
  </w:style>
  <w:style w:type="paragraph" w:customStyle="1" w:styleId="120">
    <w:name w:val="Body"/>
    <w:basedOn w:val="1"/>
    <w:link w:val="119"/>
    <w:qFormat/>
    <w:uiPriority w:val="0"/>
    <w:pPr>
      <w:widowControl/>
      <w:numPr>
        <w:ilvl w:val="0"/>
        <w:numId w:val="7"/>
      </w:numPr>
      <w:tabs>
        <w:tab w:val="left" w:pos="420"/>
        <w:tab w:val="left" w:pos="9356"/>
        <w:tab w:val="clear" w:pos="425"/>
      </w:tabs>
      <w:spacing w:before="80" w:after="80" w:line="360" w:lineRule="auto"/>
      <w:ind w:left="420" w:hanging="420" w:firstLineChars="0"/>
    </w:pPr>
    <w:rPr>
      <w:rFonts w:cs="Times New Roman"/>
      <w:sz w:val="21"/>
      <w:szCs w:val="21"/>
    </w:rPr>
  </w:style>
  <w:style w:type="character" w:customStyle="1" w:styleId="121">
    <w:name w:val="不明显强调"/>
    <w:qFormat/>
    <w:uiPriority w:val="0"/>
    <w:rPr>
      <w:i/>
      <w:iCs/>
      <w:color w:val="808080"/>
    </w:rPr>
  </w:style>
  <w:style w:type="character" w:customStyle="1" w:styleId="122">
    <w:name w:val="页眉 Char"/>
    <w:qFormat/>
    <w:uiPriority w:val="99"/>
    <w:rPr>
      <w:kern w:val="2"/>
      <w:sz w:val="18"/>
      <w:szCs w:val="18"/>
      <w:lang w:bidi="ar-SA"/>
    </w:rPr>
  </w:style>
  <w:style w:type="character" w:customStyle="1" w:styleId="123">
    <w:name w:val="Char Char20"/>
    <w:qFormat/>
    <w:locked/>
    <w:uiPriority w:val="0"/>
    <w:rPr>
      <w:rFonts w:ascii="宋体" w:hAnsi="Courier New" w:eastAsia="宋体"/>
      <w:kern w:val="2"/>
      <w:sz w:val="24"/>
      <w:szCs w:val="28"/>
      <w:lang w:val="en-US" w:eastAsia="zh-CN" w:bidi="ar-SA"/>
    </w:rPr>
  </w:style>
  <w:style w:type="character" w:customStyle="1" w:styleId="124">
    <w:name w:val="日期 Char"/>
    <w:qFormat/>
    <w:uiPriority w:val="0"/>
    <w:rPr>
      <w:rFonts w:ascii="宋体"/>
      <w:kern w:val="2"/>
      <w:sz w:val="24"/>
      <w:lang w:bidi="ar-SA"/>
    </w:rPr>
  </w:style>
  <w:style w:type="character" w:customStyle="1" w:styleId="125">
    <w:name w:val="正文文本 3 Char"/>
    <w:qFormat/>
    <w:uiPriority w:val="0"/>
    <w:rPr>
      <w:kern w:val="2"/>
      <w:sz w:val="18"/>
      <w:lang w:bidi="ar-SA"/>
    </w:rPr>
  </w:style>
  <w:style w:type="character" w:customStyle="1" w:styleId="126">
    <w:name w:val="ca-31"/>
    <w:qFormat/>
    <w:uiPriority w:val="0"/>
    <w:rPr>
      <w:rFonts w:hint="default" w:ascii="??" w:hAnsi="??"/>
      <w:sz w:val="24"/>
      <w:szCs w:val="24"/>
    </w:rPr>
  </w:style>
  <w:style w:type="character" w:customStyle="1" w:styleId="127">
    <w:name w:val="PIM 6 Char1"/>
    <w:qFormat/>
    <w:uiPriority w:val="0"/>
    <w:rPr>
      <w:rFonts w:ascii="Arial" w:hAnsi="Arial" w:eastAsia="黑体"/>
      <w:b/>
      <w:kern w:val="2"/>
      <w:sz w:val="24"/>
    </w:rPr>
  </w:style>
  <w:style w:type="character" w:customStyle="1" w:styleId="128">
    <w:name w:val="Header Char"/>
    <w:qFormat/>
    <w:uiPriority w:val="0"/>
    <w:rPr>
      <w:rFonts w:ascii="Calibri" w:hAnsi="Calibri" w:eastAsia="宋体"/>
      <w:sz w:val="18"/>
      <w:szCs w:val="18"/>
      <w:lang w:val="en-US" w:eastAsia="zh-CN" w:bidi="ar-SA"/>
    </w:rPr>
  </w:style>
  <w:style w:type="character" w:customStyle="1" w:styleId="129">
    <w:name w:val="正文文本缩进 Char"/>
    <w:basedOn w:val="70"/>
    <w:qFormat/>
    <w:uiPriority w:val="0"/>
    <w:rPr>
      <w:rFonts w:ascii="宋体" w:hAnsi="宋体" w:eastAsia="宋体"/>
      <w:i/>
      <w:iCs/>
      <w:kern w:val="2"/>
      <w:sz w:val="28"/>
      <w:lang w:val="en-US" w:eastAsia="zh-CN" w:bidi="ar-SA"/>
    </w:rPr>
  </w:style>
  <w:style w:type="character" w:customStyle="1" w:styleId="130">
    <w:name w:val="不明显参考"/>
    <w:qFormat/>
    <w:uiPriority w:val="0"/>
    <w:rPr>
      <w:smallCaps/>
      <w:color w:val="C0504D"/>
      <w:u w:val="single"/>
    </w:rPr>
  </w:style>
  <w:style w:type="character" w:customStyle="1" w:styleId="131">
    <w:name w:val="DAS正文 Char"/>
    <w:link w:val="132"/>
    <w:qFormat/>
    <w:uiPriority w:val="0"/>
    <w:rPr>
      <w:rFonts w:ascii="Verdana" w:hAnsi="Verdana"/>
      <w:kern w:val="2"/>
      <w:sz w:val="21"/>
      <w:szCs w:val="21"/>
      <w:lang w:bidi="ar-SA"/>
    </w:rPr>
  </w:style>
  <w:style w:type="paragraph" w:customStyle="1" w:styleId="132">
    <w:name w:val="DAS正文"/>
    <w:basedOn w:val="1"/>
    <w:link w:val="131"/>
    <w:qFormat/>
    <w:uiPriority w:val="0"/>
    <w:pPr>
      <w:spacing w:line="240" w:lineRule="auto"/>
      <w:ind w:right="-2" w:firstLine="360"/>
    </w:pPr>
    <w:rPr>
      <w:rFonts w:ascii="Verdana" w:hAnsi="Verdana" w:cs="Times New Roman"/>
      <w:kern w:val="2"/>
      <w:sz w:val="21"/>
      <w:szCs w:val="21"/>
    </w:rPr>
  </w:style>
  <w:style w:type="character" w:customStyle="1" w:styleId="133">
    <w:name w:val="newsbg"/>
    <w:basedOn w:val="70"/>
    <w:qFormat/>
    <w:uiPriority w:val="0"/>
  </w:style>
  <w:style w:type="character" w:customStyle="1" w:styleId="134">
    <w:name w:val="自定义正文 Char"/>
    <w:link w:val="135"/>
    <w:qFormat/>
    <w:uiPriority w:val="0"/>
    <w:rPr>
      <w:rFonts w:ascii="仿宋_GB2312" w:eastAsia="仿宋_GB2312"/>
      <w:kern w:val="2"/>
      <w:sz w:val="24"/>
      <w:szCs w:val="24"/>
      <w:lang w:bidi="ar-SA"/>
    </w:rPr>
  </w:style>
  <w:style w:type="paragraph" w:customStyle="1" w:styleId="135">
    <w:name w:val="自定义正文"/>
    <w:basedOn w:val="1"/>
    <w:link w:val="134"/>
    <w:qFormat/>
    <w:uiPriority w:val="0"/>
    <w:pPr>
      <w:spacing w:before="120" w:after="60"/>
      <w:jc w:val="left"/>
    </w:pPr>
    <w:rPr>
      <w:rFonts w:ascii="仿宋_GB2312" w:hAnsi="Times New Roman" w:eastAsia="仿宋_GB2312" w:cs="Times New Roman"/>
      <w:kern w:val="2"/>
    </w:rPr>
  </w:style>
  <w:style w:type="character" w:customStyle="1" w:styleId="136">
    <w:name w:val="标题 9 Char"/>
    <w:qFormat/>
    <w:uiPriority w:val="0"/>
    <w:rPr>
      <w:rFonts w:ascii="Arial" w:hAnsi="Arial" w:eastAsia="黑体"/>
      <w:kern w:val="2"/>
      <w:sz w:val="21"/>
      <w:szCs w:val="24"/>
      <w:lang w:val="en-US" w:eastAsia="zh-CN" w:bidi="ar-SA"/>
    </w:rPr>
  </w:style>
  <w:style w:type="character" w:customStyle="1" w:styleId="137">
    <w:name w:val="正文内容 Char"/>
    <w:link w:val="138"/>
    <w:qFormat/>
    <w:uiPriority w:val="0"/>
    <w:rPr>
      <w:kern w:val="2"/>
      <w:sz w:val="24"/>
      <w:lang w:bidi="ar-SA"/>
    </w:rPr>
  </w:style>
  <w:style w:type="paragraph" w:customStyle="1" w:styleId="138">
    <w:name w:val="正文内容"/>
    <w:basedOn w:val="1"/>
    <w:link w:val="137"/>
    <w:qFormat/>
    <w:uiPriority w:val="0"/>
    <w:pPr>
      <w:spacing w:before="156" w:beforeLines="50" w:after="156" w:afterLines="50" w:line="360" w:lineRule="auto"/>
      <w:ind w:firstLine="480"/>
    </w:pPr>
    <w:rPr>
      <w:rFonts w:ascii="Times New Roman" w:hAnsi="Times New Roman" w:cs="Times New Roman"/>
      <w:kern w:val="2"/>
      <w:szCs w:val="20"/>
    </w:rPr>
  </w:style>
  <w:style w:type="character" w:customStyle="1" w:styleId="139">
    <w:name w:val="纯文本 Char"/>
    <w:qFormat/>
    <w:uiPriority w:val="0"/>
    <w:rPr>
      <w:rFonts w:ascii="宋体" w:hAnsi="Courier New" w:eastAsia="宋体"/>
      <w:kern w:val="2"/>
      <w:sz w:val="21"/>
      <w:szCs w:val="28"/>
      <w:lang w:val="en-US" w:eastAsia="zh-CN" w:bidi="ar-SA"/>
    </w:rPr>
  </w:style>
  <w:style w:type="character" w:customStyle="1" w:styleId="140">
    <w:name w:val="Table Text Char"/>
    <w:qFormat/>
    <w:uiPriority w:val="0"/>
    <w:rPr>
      <w:rFonts w:ascii="Arial" w:hAnsi="Arial" w:eastAsia="宋体"/>
      <w:sz w:val="18"/>
      <w:lang w:val="en-US" w:eastAsia="zh-CN" w:bidi="ar-SA"/>
    </w:rPr>
  </w:style>
  <w:style w:type="character" w:customStyle="1" w:styleId="141">
    <w:name w:val="批注文字 Char"/>
    <w:qFormat/>
    <w:uiPriority w:val="0"/>
    <w:rPr>
      <w:rFonts w:eastAsia="宋体"/>
      <w:kern w:val="2"/>
      <w:sz w:val="21"/>
      <w:szCs w:val="24"/>
      <w:lang w:val="en-US" w:eastAsia="zh-CN" w:bidi="ar-SA"/>
    </w:rPr>
  </w:style>
  <w:style w:type="character" w:customStyle="1" w:styleId="142">
    <w:name w:val=" Char Char6"/>
    <w:qFormat/>
    <w:uiPriority w:val="0"/>
    <w:rPr>
      <w:rFonts w:ascii="Arial" w:hAnsi="Arial" w:eastAsia="黑体"/>
      <w:b/>
      <w:bCs/>
      <w:kern w:val="2"/>
      <w:sz w:val="32"/>
      <w:szCs w:val="32"/>
      <w:lang w:val="en-US" w:eastAsia="zh-CN" w:bidi="ar-SA"/>
    </w:rPr>
  </w:style>
  <w:style w:type="character" w:customStyle="1" w:styleId="143">
    <w:name w:val="列出段落 Char"/>
    <w:link w:val="144"/>
    <w:qFormat/>
    <w:uiPriority w:val="0"/>
    <w:rPr>
      <w:kern w:val="2"/>
      <w:sz w:val="24"/>
      <w:szCs w:val="24"/>
    </w:rPr>
  </w:style>
  <w:style w:type="paragraph" w:customStyle="1" w:styleId="144">
    <w:name w:val="列出段落"/>
    <w:basedOn w:val="1"/>
    <w:link w:val="143"/>
    <w:qFormat/>
    <w:uiPriority w:val="0"/>
    <w:pPr>
      <w:ind w:firstLine="420" w:firstLineChars="200"/>
    </w:pPr>
    <w:rPr>
      <w:rFonts w:ascii="Times New Roman" w:hAnsi="Times New Roman" w:cs="Times New Roman"/>
      <w:kern w:val="2"/>
    </w:rPr>
  </w:style>
  <w:style w:type="character" w:customStyle="1" w:styleId="145">
    <w:name w:val="Placeholder Text"/>
    <w:semiHidden/>
    <w:qFormat/>
    <w:uiPriority w:val="0"/>
    <w:rPr>
      <w:color w:val="808080"/>
    </w:rPr>
  </w:style>
  <w:style w:type="character" w:customStyle="1" w:styleId="146">
    <w:name w:val="副标题 Char1"/>
    <w:basedOn w:val="70"/>
    <w:qFormat/>
    <w:uiPriority w:val="0"/>
    <w:rPr>
      <w:rFonts w:ascii="Cambria" w:hAnsi="Cambria" w:eastAsia="宋体" w:cs="Times New Roman"/>
      <w:b/>
      <w:bCs/>
      <w:kern w:val="28"/>
      <w:sz w:val="32"/>
      <w:szCs w:val="32"/>
    </w:rPr>
  </w:style>
  <w:style w:type="character" w:customStyle="1" w:styleId="147">
    <w:name w:val="标题5 Char"/>
    <w:link w:val="148"/>
    <w:qFormat/>
    <w:uiPriority w:val="0"/>
    <w:rPr>
      <w:rFonts w:ascii="宋体"/>
      <w:sz w:val="21"/>
      <w:szCs w:val="21"/>
      <w:lang w:bidi="ar-SA"/>
    </w:rPr>
  </w:style>
  <w:style w:type="paragraph" w:customStyle="1" w:styleId="148">
    <w:name w:val="标题5"/>
    <w:basedOn w:val="1"/>
    <w:link w:val="147"/>
    <w:qFormat/>
    <w:uiPriority w:val="0"/>
    <w:pPr>
      <w:tabs>
        <w:tab w:val="left" w:pos="0"/>
      </w:tabs>
      <w:autoSpaceDE w:val="0"/>
      <w:autoSpaceDN w:val="0"/>
      <w:adjustRightInd w:val="0"/>
      <w:snapToGrid w:val="0"/>
      <w:spacing w:line="320" w:lineRule="atLeast"/>
      <w:ind w:firstLine="0" w:firstLineChars="0"/>
    </w:pPr>
    <w:rPr>
      <w:rFonts w:hAnsi="Times New Roman" w:cs="Times New Roman"/>
      <w:sz w:val="21"/>
      <w:szCs w:val="21"/>
    </w:rPr>
  </w:style>
  <w:style w:type="character" w:customStyle="1" w:styleId="149">
    <w:name w:val="h Char Char1"/>
    <w:qFormat/>
    <w:uiPriority w:val="0"/>
    <w:rPr>
      <w:kern w:val="2"/>
      <w:sz w:val="18"/>
      <w:szCs w:val="18"/>
    </w:rPr>
  </w:style>
  <w:style w:type="character" w:customStyle="1" w:styleId="150">
    <w:name w:val="标题 8 Char"/>
    <w:qFormat/>
    <w:uiPriority w:val="0"/>
    <w:rPr>
      <w:rFonts w:ascii="Arial" w:hAnsi="Arial" w:eastAsia="黑体"/>
      <w:kern w:val="2"/>
      <w:sz w:val="24"/>
      <w:szCs w:val="24"/>
      <w:lang w:val="en-US" w:eastAsia="zh-CN" w:bidi="ar-SA"/>
    </w:rPr>
  </w:style>
  <w:style w:type="character" w:customStyle="1" w:styleId="151">
    <w:name w:val="HTML 预设格式 Char"/>
    <w:qFormat/>
    <w:uiPriority w:val="0"/>
    <w:rPr>
      <w:rFonts w:ascii="宋体" w:hAnsi="宋体"/>
      <w:sz w:val="24"/>
      <w:szCs w:val="24"/>
      <w:lang w:bidi="ar-SA"/>
    </w:rPr>
  </w:style>
  <w:style w:type="character" w:customStyle="1" w:styleId="152">
    <w:name w:val="line"/>
    <w:basedOn w:val="70"/>
    <w:qFormat/>
    <w:uiPriority w:val="0"/>
  </w:style>
  <w:style w:type="character" w:customStyle="1" w:styleId="153">
    <w:name w:val="Table Text Char Char Char Char"/>
    <w:qFormat/>
    <w:uiPriority w:val="0"/>
    <w:rPr>
      <w:rFonts w:ascii="Arial" w:hAnsi="Arial" w:cs="Arial"/>
      <w:kern w:val="2"/>
      <w:sz w:val="18"/>
      <w:szCs w:val="18"/>
      <w:lang w:val="en-US" w:eastAsia="zh-CN" w:bidi="ar-SA"/>
    </w:rPr>
  </w:style>
  <w:style w:type="character" w:customStyle="1" w:styleId="154">
    <w:name w:val="不用 Char1"/>
    <w:qFormat/>
    <w:uiPriority w:val="0"/>
    <w:rPr>
      <w:b/>
      <w:kern w:val="2"/>
      <w:sz w:val="24"/>
    </w:rPr>
  </w:style>
  <w:style w:type="character" w:customStyle="1" w:styleId="155">
    <w:name w:val="标题4 Char Char"/>
    <w:qFormat/>
    <w:uiPriority w:val="0"/>
    <w:rPr>
      <w:rFonts w:ascii="Arial" w:hAnsi="Arial"/>
      <w:b/>
      <w:bCs/>
      <w:sz w:val="24"/>
      <w:szCs w:val="32"/>
    </w:rPr>
  </w:style>
  <w:style w:type="character" w:customStyle="1" w:styleId="156">
    <w:name w:val="正文首行缩进 Char1"/>
    <w:basedOn w:val="101"/>
    <w:semiHidden/>
    <w:qFormat/>
    <w:uiPriority w:val="0"/>
  </w:style>
  <w:style w:type="character" w:customStyle="1" w:styleId="157">
    <w:name w:val="biaolan_12"/>
    <w:qFormat/>
    <w:uiPriority w:val="0"/>
  </w:style>
  <w:style w:type="character" w:customStyle="1" w:styleId="158">
    <w:name w:val="手改 Char Char"/>
    <w:basedOn w:val="70"/>
    <w:qFormat/>
    <w:uiPriority w:val="0"/>
    <w:rPr>
      <w:rFonts w:ascii="Times New Roman" w:hAnsi="Times New Roman" w:eastAsia="黑体" w:cs="Times New Roman"/>
      <w:sz w:val="36"/>
      <w:szCs w:val="24"/>
    </w:rPr>
  </w:style>
  <w:style w:type="character" w:customStyle="1" w:styleId="159">
    <w:name w:val="textcontents"/>
    <w:basedOn w:val="70"/>
    <w:qFormat/>
    <w:uiPriority w:val="0"/>
  </w:style>
  <w:style w:type="character" w:customStyle="1" w:styleId="160">
    <w:name w:val="标题 2 Char2"/>
    <w:qFormat/>
    <w:uiPriority w:val="0"/>
    <w:rPr>
      <w:rFonts w:ascii="宋体"/>
      <w:kern w:val="2"/>
      <w:sz w:val="28"/>
    </w:rPr>
  </w:style>
  <w:style w:type="character" w:customStyle="1" w:styleId="161">
    <w:name w:val="apple-style-span"/>
    <w:basedOn w:val="70"/>
    <w:qFormat/>
    <w:uiPriority w:val="0"/>
  </w:style>
  <w:style w:type="character" w:customStyle="1" w:styleId="162">
    <w:name w:val="三级标题 Char2"/>
    <w:qFormat/>
    <w:uiPriority w:val="0"/>
    <w:rPr>
      <w:rFonts w:ascii="Arial" w:hAnsi="Arial" w:eastAsia="黑体"/>
      <w:kern w:val="2"/>
      <w:sz w:val="24"/>
    </w:rPr>
  </w:style>
  <w:style w:type="character" w:customStyle="1" w:styleId="163">
    <w:name w:val="标题 2 Char Char Char Char"/>
    <w:qFormat/>
    <w:uiPriority w:val="0"/>
    <w:rPr>
      <w:rFonts w:hint="eastAsia" w:ascii="黑体" w:hAnsi="Arial" w:eastAsia="黑体"/>
      <w:b/>
      <w:sz w:val="30"/>
      <w:szCs w:val="30"/>
      <w:lang w:val="en-US" w:eastAsia="zh-CN" w:bidi="ar-SA"/>
    </w:rPr>
  </w:style>
  <w:style w:type="character" w:customStyle="1" w:styleId="164">
    <w:name w:val="正文首行缩进 Char Char Char Char Char3"/>
    <w:qFormat/>
    <w:uiPriority w:val="0"/>
    <w:rPr>
      <w:rFonts w:eastAsia="宋体"/>
      <w:kern w:val="2"/>
      <w:sz w:val="21"/>
      <w:szCs w:val="24"/>
      <w:lang w:val="en-US" w:eastAsia="zh-CN" w:bidi="ar-SA"/>
    </w:rPr>
  </w:style>
  <w:style w:type="character" w:customStyle="1" w:styleId="165">
    <w:name w:val="标题 2 Char"/>
    <w:basedOn w:val="70"/>
    <w:qFormat/>
    <w:uiPriority w:val="0"/>
    <w:rPr>
      <w:rFonts w:ascii="Cambria" w:hAnsi="Cambria" w:eastAsia="宋体" w:cs="Times New Roman"/>
      <w:b/>
      <w:bCs/>
      <w:sz w:val="32"/>
      <w:szCs w:val="32"/>
    </w:rPr>
  </w:style>
  <w:style w:type="character" w:customStyle="1" w:styleId="166">
    <w:name w:val="top-det1"/>
    <w:qFormat/>
    <w:uiPriority w:val="0"/>
    <w:rPr>
      <w:b/>
      <w:bCs/>
      <w:color w:val="000000"/>
    </w:rPr>
  </w:style>
  <w:style w:type="character" w:customStyle="1" w:styleId="167">
    <w:name w:val="正文文本 Char1"/>
    <w:qFormat/>
    <w:uiPriority w:val="0"/>
    <w:rPr>
      <w:kern w:val="2"/>
      <w:sz w:val="21"/>
      <w:szCs w:val="22"/>
    </w:rPr>
  </w:style>
  <w:style w:type="character" w:customStyle="1" w:styleId="168">
    <w:name w:val="title"/>
    <w:basedOn w:val="70"/>
    <w:qFormat/>
    <w:uiPriority w:val="0"/>
  </w:style>
  <w:style w:type="character" w:customStyle="1" w:styleId="169">
    <w:name w:val="标题 3 Char"/>
    <w:qFormat/>
    <w:uiPriority w:val="0"/>
    <w:rPr>
      <w:rFonts w:ascii="宋体" w:eastAsia="宋体"/>
      <w:kern w:val="2"/>
      <w:sz w:val="28"/>
      <w:szCs w:val="24"/>
      <w:lang w:val="en-US" w:eastAsia="zh-CN" w:bidi="ar-SA"/>
    </w:rPr>
  </w:style>
  <w:style w:type="character" w:customStyle="1" w:styleId="170">
    <w:name w:val="正文文本缩进 3 Char"/>
    <w:qFormat/>
    <w:uiPriority w:val="0"/>
    <w:rPr>
      <w:kern w:val="2"/>
      <w:sz w:val="16"/>
      <w:lang w:bidi="ar-SA"/>
    </w:rPr>
  </w:style>
  <w:style w:type="character" w:customStyle="1" w:styleId="171">
    <w:name w:val="正文文字 Char2"/>
    <w:qFormat/>
    <w:uiPriority w:val="0"/>
    <w:rPr>
      <w:kern w:val="2"/>
      <w:sz w:val="21"/>
      <w:szCs w:val="24"/>
    </w:rPr>
  </w:style>
  <w:style w:type="character" w:customStyle="1" w:styleId="172">
    <w:name w:val="明显引用 Char1"/>
    <w:basedOn w:val="70"/>
    <w:qFormat/>
    <w:uiPriority w:val="0"/>
    <w:rPr>
      <w:rFonts w:ascii="Times New Roman" w:hAnsi="Times New Roman" w:eastAsia="宋体" w:cs="Times New Roman"/>
      <w:b/>
      <w:bCs/>
      <w:i/>
      <w:iCs/>
      <w:color w:val="4F81BD"/>
      <w:szCs w:val="24"/>
    </w:rPr>
  </w:style>
  <w:style w:type="character" w:customStyle="1" w:styleId="173">
    <w:name w:val="apple-converted-space"/>
    <w:basedOn w:val="70"/>
    <w:qFormat/>
    <w:uiPriority w:val="0"/>
  </w:style>
  <w:style w:type="character" w:customStyle="1" w:styleId="174">
    <w:name w:val="批注主题 Char1"/>
    <w:basedOn w:val="111"/>
    <w:qFormat/>
    <w:uiPriority w:val="0"/>
    <w:rPr>
      <w:rFonts w:ascii="Times New Roman" w:hAnsi="Times New Roman" w:eastAsia="宋体" w:cs="Times New Roman"/>
      <w:b/>
      <w:bCs/>
      <w:kern w:val="0"/>
      <w:sz w:val="24"/>
      <w:szCs w:val="20"/>
    </w:rPr>
  </w:style>
  <w:style w:type="character" w:customStyle="1" w:styleId="175">
    <w:name w:val="fy21"/>
    <w:qFormat/>
    <w:uiPriority w:val="0"/>
    <w:rPr>
      <w:rFonts w:hint="default" w:ascii="Verdana" w:hAnsi="Verdana"/>
      <w:color w:val="0063C7"/>
      <w:sz w:val="18"/>
      <w:szCs w:val="18"/>
    </w:rPr>
  </w:style>
  <w:style w:type="character" w:customStyle="1" w:styleId="176">
    <w:name w:val="v151"/>
    <w:qFormat/>
    <w:uiPriority w:val="0"/>
    <w:rPr>
      <w:sz w:val="18"/>
    </w:rPr>
  </w:style>
  <w:style w:type="character" w:customStyle="1" w:styleId="177">
    <w:name w:val="Footer-Even Char2"/>
    <w:qFormat/>
    <w:uiPriority w:val="0"/>
    <w:rPr>
      <w:rFonts w:eastAsia="宋体"/>
      <w:kern w:val="2"/>
      <w:sz w:val="18"/>
      <w:lang w:val="en-US" w:eastAsia="zh-CN" w:bidi="ar-SA"/>
    </w:rPr>
  </w:style>
  <w:style w:type="character" w:customStyle="1" w:styleId="178">
    <w:name w:val="日期 Char1"/>
    <w:qFormat/>
    <w:uiPriority w:val="0"/>
    <w:rPr>
      <w:rFonts w:ascii="宋体"/>
      <w:kern w:val="2"/>
      <w:sz w:val="24"/>
    </w:rPr>
  </w:style>
  <w:style w:type="character" w:customStyle="1" w:styleId="179">
    <w:name w:val="明显引用 Char"/>
    <w:link w:val="180"/>
    <w:qFormat/>
    <w:uiPriority w:val="0"/>
    <w:rPr>
      <w:rFonts w:ascii="Calibri" w:hAnsi="Calibri"/>
      <w:b/>
      <w:bCs/>
      <w:i/>
      <w:iCs/>
      <w:sz w:val="22"/>
      <w:szCs w:val="22"/>
      <w:lang w:eastAsia="en-US" w:bidi="en-US"/>
    </w:rPr>
  </w:style>
  <w:style w:type="paragraph" w:customStyle="1" w:styleId="180">
    <w:name w:val="明显引用"/>
    <w:basedOn w:val="1"/>
    <w:next w:val="1"/>
    <w:link w:val="179"/>
    <w:qFormat/>
    <w:uiPriority w:val="0"/>
    <w:pPr>
      <w:widowControl/>
      <w:pBdr>
        <w:bottom w:val="single" w:color="auto" w:sz="4" w:space="1"/>
      </w:pBdr>
      <w:spacing w:before="200" w:after="280" w:line="276" w:lineRule="auto"/>
      <w:ind w:left="1008" w:right="1152" w:firstLine="0" w:firstLineChars="0"/>
    </w:pPr>
    <w:rPr>
      <w:rFonts w:ascii="Calibri" w:hAnsi="Calibri" w:cs="Times New Roman"/>
      <w:b/>
      <w:bCs/>
      <w:i/>
      <w:iCs/>
      <w:sz w:val="22"/>
      <w:szCs w:val="22"/>
      <w:lang w:eastAsia="en-US" w:bidi="en-US"/>
    </w:rPr>
  </w:style>
  <w:style w:type="character" w:customStyle="1" w:styleId="181">
    <w:name w:val="标题5 Char Char"/>
    <w:qFormat/>
    <w:uiPriority w:val="0"/>
    <w:rPr>
      <w:rFonts w:ascii="Arial" w:hAnsi="Arial"/>
      <w:b/>
      <w:bCs/>
      <w:sz w:val="24"/>
      <w:szCs w:val="32"/>
    </w:rPr>
  </w:style>
  <w:style w:type="character" w:customStyle="1" w:styleId="182">
    <w:name w:val="Document Map Char"/>
    <w:qFormat/>
    <w:uiPriority w:val="0"/>
    <w:rPr>
      <w:rFonts w:ascii="宋体" w:hAnsi="Calibri" w:eastAsia="宋体"/>
      <w:kern w:val="2"/>
      <w:sz w:val="18"/>
      <w:szCs w:val="18"/>
      <w:lang w:val="en-US" w:eastAsia="zh-CN" w:bidi="ar-SA"/>
    </w:rPr>
  </w:style>
  <w:style w:type="character" w:customStyle="1" w:styleId="183">
    <w:name w:val="正文文本 2 Char"/>
    <w:qFormat/>
    <w:uiPriority w:val="0"/>
    <w:rPr>
      <w:kern w:val="2"/>
      <w:sz w:val="21"/>
      <w:lang w:bidi="ar-SA"/>
    </w:rPr>
  </w:style>
  <w:style w:type="character" w:customStyle="1" w:styleId="184">
    <w:name w:val="页脚 Char"/>
    <w:qFormat/>
    <w:uiPriority w:val="99"/>
    <w:rPr>
      <w:rFonts w:eastAsia="宋体"/>
      <w:kern w:val="2"/>
      <w:sz w:val="18"/>
      <w:lang w:val="en-US" w:eastAsia="zh-CN" w:bidi="ar-SA"/>
    </w:rPr>
  </w:style>
  <w:style w:type="character" w:customStyle="1" w:styleId="185">
    <w:name w:val="正文文本 Char"/>
    <w:qFormat/>
    <w:uiPriority w:val="0"/>
    <w:rPr>
      <w:kern w:val="2"/>
      <w:sz w:val="21"/>
      <w:szCs w:val="24"/>
      <w:lang w:bidi="ar-SA"/>
    </w:rPr>
  </w:style>
  <w:style w:type="character" w:customStyle="1" w:styleId="186">
    <w:name w:val="Table Heading Char Char"/>
    <w:link w:val="187"/>
    <w:qFormat/>
    <w:uiPriority w:val="0"/>
    <w:rPr>
      <w:rFonts w:ascii="Arial" w:hAnsi="Arial" w:eastAsia="黑体"/>
      <w:kern w:val="2"/>
      <w:sz w:val="18"/>
      <w:szCs w:val="18"/>
      <w:lang w:val="en-US" w:eastAsia="zh-CN" w:bidi="ar-SA"/>
    </w:rPr>
  </w:style>
  <w:style w:type="paragraph" w:customStyle="1" w:styleId="187">
    <w:name w:val="Table Heading Char"/>
    <w:link w:val="186"/>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88">
    <w:name w:val="标题 7 Char"/>
    <w:qFormat/>
    <w:uiPriority w:val="0"/>
    <w:rPr>
      <w:rFonts w:eastAsia="宋体"/>
      <w:b/>
      <w:kern w:val="2"/>
      <w:sz w:val="24"/>
      <w:szCs w:val="24"/>
      <w:lang w:val="en-US" w:eastAsia="zh-CN" w:bidi="ar-SA"/>
    </w:rPr>
  </w:style>
  <w:style w:type="character" w:customStyle="1" w:styleId="189">
    <w:name w:val="ca-21"/>
    <w:qFormat/>
    <w:uiPriority w:val="0"/>
    <w:rPr>
      <w:rFonts w:hint="eastAsia" w:ascii="宋体" w:hAnsi="宋体" w:eastAsia="宋体"/>
      <w:sz w:val="24"/>
      <w:szCs w:val="24"/>
    </w:rPr>
  </w:style>
  <w:style w:type="character" w:customStyle="1" w:styleId="190">
    <w:name w:val="正文-1 Char"/>
    <w:link w:val="191"/>
    <w:qFormat/>
    <w:uiPriority w:val="0"/>
    <w:rPr>
      <w:rFonts w:eastAsia="仿宋_GB2312"/>
      <w:kern w:val="2"/>
      <w:sz w:val="28"/>
      <w:szCs w:val="28"/>
      <w:lang w:bidi="ar-SA"/>
    </w:rPr>
  </w:style>
  <w:style w:type="paragraph" w:customStyle="1" w:styleId="191">
    <w:name w:val="正文-1"/>
    <w:basedOn w:val="1"/>
    <w:link w:val="190"/>
    <w:qFormat/>
    <w:uiPriority w:val="0"/>
    <w:pPr>
      <w:spacing w:line="360" w:lineRule="auto"/>
      <w:ind w:firstLine="560"/>
    </w:pPr>
    <w:rPr>
      <w:rFonts w:ascii="Times New Roman" w:hAnsi="Times New Roman" w:eastAsia="仿宋_GB2312" w:cs="Times New Roman"/>
      <w:kern w:val="2"/>
      <w:sz w:val="28"/>
      <w:szCs w:val="28"/>
    </w:rPr>
  </w:style>
  <w:style w:type="character" w:customStyle="1" w:styleId="192">
    <w:name w:val="标准文本 Char"/>
    <w:link w:val="193"/>
    <w:qFormat/>
    <w:uiPriority w:val="0"/>
    <w:rPr>
      <w:rFonts w:ascii="Calibri" w:hAnsi="Calibri" w:eastAsia="仿宋_GB2312"/>
      <w:kern w:val="2"/>
      <w:sz w:val="24"/>
    </w:rPr>
  </w:style>
  <w:style w:type="paragraph" w:customStyle="1" w:styleId="193">
    <w:name w:val="标准文本"/>
    <w:basedOn w:val="1"/>
    <w:link w:val="192"/>
    <w:qFormat/>
    <w:uiPriority w:val="0"/>
    <w:pPr>
      <w:spacing w:line="360" w:lineRule="auto"/>
      <w:ind w:firstLine="480"/>
    </w:pPr>
    <w:rPr>
      <w:rFonts w:ascii="Calibri" w:hAnsi="Calibri" w:eastAsia="仿宋_GB2312" w:cs="Times New Roman"/>
      <w:kern w:val="2"/>
      <w:szCs w:val="20"/>
    </w:rPr>
  </w:style>
  <w:style w:type="character" w:customStyle="1" w:styleId="194">
    <w:name w:val="Char Char6"/>
    <w:qFormat/>
    <w:uiPriority w:val="0"/>
    <w:rPr>
      <w:rFonts w:ascii="Arial" w:hAnsi="Arial" w:eastAsia="黑体"/>
      <w:b/>
      <w:bCs/>
      <w:kern w:val="2"/>
      <w:sz w:val="32"/>
      <w:szCs w:val="32"/>
      <w:lang w:val="en-US" w:eastAsia="zh-CN" w:bidi="ar-SA"/>
    </w:rPr>
  </w:style>
  <w:style w:type="character" w:customStyle="1" w:styleId="195">
    <w:name w:val="标题 1 Char"/>
    <w:qFormat/>
    <w:uiPriority w:val="0"/>
    <w:rPr>
      <w:rFonts w:ascii="宋体" w:eastAsia="黑体"/>
      <w:kern w:val="28"/>
      <w:sz w:val="28"/>
    </w:rPr>
  </w:style>
  <w:style w:type="character" w:customStyle="1" w:styleId="196">
    <w:name w:val="章节 Char1"/>
    <w:qFormat/>
    <w:uiPriority w:val="0"/>
    <w:rPr>
      <w:rFonts w:ascii="宋体"/>
      <w:b/>
      <w:kern w:val="28"/>
      <w:sz w:val="36"/>
      <w:lang w:val="en-US" w:eastAsia="zh-CN" w:bidi="ar-SA"/>
    </w:rPr>
  </w:style>
  <w:style w:type="character" w:customStyle="1" w:styleId="197">
    <w:name w:val="mode1"/>
    <w:qFormat/>
    <w:uiPriority w:val="0"/>
    <w:rPr>
      <w:color w:val="444444"/>
      <w:sz w:val="18"/>
      <w:szCs w:val="18"/>
    </w:rPr>
  </w:style>
  <w:style w:type="character" w:customStyle="1" w:styleId="198">
    <w:name w:val="不用 Char2"/>
    <w:qFormat/>
    <w:uiPriority w:val="0"/>
    <w:rPr>
      <w:b/>
      <w:kern w:val="2"/>
      <w:sz w:val="24"/>
    </w:rPr>
  </w:style>
  <w:style w:type="character" w:customStyle="1" w:styleId="199">
    <w:name w:val="content1"/>
    <w:qFormat/>
    <w:uiPriority w:val="0"/>
    <w:rPr>
      <w:sz w:val="18"/>
      <w:szCs w:val="18"/>
    </w:rPr>
  </w:style>
  <w:style w:type="character" w:customStyle="1" w:styleId="200">
    <w:name w:val="hei16b"/>
    <w:basedOn w:val="70"/>
    <w:qFormat/>
    <w:uiPriority w:val="0"/>
  </w:style>
  <w:style w:type="character" w:customStyle="1" w:styleId="201">
    <w:name w:val="正文首行缩进 Char"/>
    <w:qFormat/>
    <w:uiPriority w:val="0"/>
    <w:rPr>
      <w:rFonts w:eastAsia="宋体"/>
      <w:kern w:val="2"/>
      <w:sz w:val="21"/>
      <w:szCs w:val="24"/>
      <w:lang w:val="en-US" w:eastAsia="zh-CN" w:bidi="ar-SA"/>
    </w:rPr>
  </w:style>
  <w:style w:type="character" w:customStyle="1" w:styleId="202">
    <w:name w:val="正文首行缩进 2 Char"/>
    <w:qFormat/>
    <w:uiPriority w:val="0"/>
    <w:rPr>
      <w:rFonts w:ascii="宋体" w:hAnsi="宋体" w:eastAsia="仿宋_GB2312"/>
      <w:kern w:val="2"/>
      <w:sz w:val="24"/>
      <w:szCs w:val="21"/>
      <w:lang w:bidi="ar-SA"/>
    </w:rPr>
  </w:style>
  <w:style w:type="character" w:customStyle="1" w:styleId="203">
    <w:name w:val="明显强调"/>
    <w:qFormat/>
    <w:uiPriority w:val="0"/>
    <w:rPr>
      <w:b/>
      <w:bCs/>
      <w:i/>
      <w:iCs/>
      <w:color w:val="4F81BD"/>
    </w:rPr>
  </w:style>
  <w:style w:type="character" w:customStyle="1" w:styleId="204">
    <w:name w:val="正文文字 Char1"/>
    <w:qFormat/>
    <w:uiPriority w:val="0"/>
    <w:rPr>
      <w:kern w:val="2"/>
      <w:sz w:val="21"/>
      <w:szCs w:val="24"/>
    </w:rPr>
  </w:style>
  <w:style w:type="character" w:customStyle="1" w:styleId="205">
    <w:name w:val="不用8 Char2"/>
    <w:qFormat/>
    <w:uiPriority w:val="0"/>
    <w:rPr>
      <w:rFonts w:ascii="Arial" w:hAnsi="Arial" w:eastAsia="黑体"/>
      <w:kern w:val="2"/>
      <w:sz w:val="24"/>
    </w:rPr>
  </w:style>
  <w:style w:type="character" w:customStyle="1" w:styleId="206">
    <w:name w:val="Footer Char"/>
    <w:qFormat/>
    <w:uiPriority w:val="0"/>
    <w:rPr>
      <w:rFonts w:ascii="Calibri" w:hAnsi="Calibri" w:eastAsia="宋体"/>
      <w:sz w:val="18"/>
      <w:szCs w:val="18"/>
      <w:lang w:val="en-US" w:eastAsia="zh-CN" w:bidi="ar-SA"/>
    </w:rPr>
  </w:style>
  <w:style w:type="character" w:customStyle="1" w:styleId="207">
    <w:name w:val="文档结构图 Char"/>
    <w:qFormat/>
    <w:uiPriority w:val="0"/>
    <w:rPr>
      <w:kern w:val="2"/>
      <w:sz w:val="21"/>
      <w:szCs w:val="24"/>
      <w:shd w:val="clear" w:color="auto" w:fill="000080"/>
      <w:lang w:bidi="ar-SA"/>
    </w:rPr>
  </w:style>
  <w:style w:type="character" w:customStyle="1" w:styleId="208">
    <w:name w:val="Char Char61"/>
    <w:qFormat/>
    <w:uiPriority w:val="0"/>
    <w:rPr>
      <w:rFonts w:ascii="Arial" w:hAnsi="Arial" w:eastAsia="黑体"/>
      <w:b/>
      <w:bCs/>
      <w:kern w:val="2"/>
      <w:sz w:val="32"/>
      <w:szCs w:val="32"/>
      <w:lang w:val="en-US" w:eastAsia="zh-CN" w:bidi="ar-SA"/>
    </w:rPr>
  </w:style>
  <w:style w:type="character" w:customStyle="1" w:styleId="209">
    <w:name w:val="H2 Char1"/>
    <w:qFormat/>
    <w:uiPriority w:val="0"/>
    <w:rPr>
      <w:rFonts w:ascii="Arial" w:hAnsi="Arial" w:eastAsia="黑体"/>
      <w:b/>
      <w:bCs/>
      <w:kern w:val="2"/>
      <w:sz w:val="32"/>
      <w:szCs w:val="32"/>
      <w:lang w:val="en-US" w:eastAsia="zh-CN" w:bidi="ar-SA"/>
    </w:rPr>
  </w:style>
  <w:style w:type="character" w:customStyle="1" w:styleId="210">
    <w:name w:val="书籍标题"/>
    <w:qFormat/>
    <w:uiPriority w:val="0"/>
    <w:rPr>
      <w:b/>
      <w:bCs/>
      <w:smallCaps/>
      <w:spacing w:val="5"/>
    </w:rPr>
  </w:style>
  <w:style w:type="character" w:customStyle="1" w:styleId="211">
    <w:name w:val="批注文字 Char Char"/>
    <w:qFormat/>
    <w:uiPriority w:val="0"/>
    <w:rPr>
      <w:rFonts w:ascii="宋体" w:hAnsi="Times New Roman" w:eastAsia="宋体" w:cs="Times New Roman"/>
      <w:sz w:val="28"/>
      <w:szCs w:val="20"/>
    </w:rPr>
  </w:style>
  <w:style w:type="character" w:customStyle="1" w:styleId="212">
    <w:name w:val="明显参考"/>
    <w:qFormat/>
    <w:uiPriority w:val="0"/>
    <w:rPr>
      <w:b/>
      <w:bCs/>
      <w:smallCaps/>
      <w:color w:val="C0504D"/>
      <w:spacing w:val="5"/>
      <w:u w:val="single"/>
    </w:rPr>
  </w:style>
  <w:style w:type="character" w:customStyle="1" w:styleId="213">
    <w:name w:val="正文首行缩进 Char Char Char Char Char2"/>
    <w:qFormat/>
    <w:uiPriority w:val="0"/>
    <w:rPr>
      <w:rFonts w:eastAsia="宋体"/>
      <w:kern w:val="2"/>
      <w:sz w:val="21"/>
      <w:szCs w:val="24"/>
      <w:lang w:val="en-US" w:eastAsia="zh-CN" w:bidi="ar-SA"/>
    </w:rPr>
  </w:style>
  <w:style w:type="character" w:customStyle="1" w:styleId="214">
    <w:name w:val="grame"/>
    <w:basedOn w:val="70"/>
    <w:qFormat/>
    <w:uiPriority w:val="0"/>
  </w:style>
  <w:style w:type="character" w:customStyle="1" w:styleId="215">
    <w:name w:val="无间隔 Char"/>
    <w:link w:val="216"/>
    <w:qFormat/>
    <w:uiPriority w:val="0"/>
    <w:rPr>
      <w:rFonts w:ascii="Calibri" w:hAnsi="Calibri"/>
      <w:sz w:val="24"/>
      <w:szCs w:val="32"/>
      <w:lang w:eastAsia="en-US" w:bidi="en-US"/>
    </w:rPr>
  </w:style>
  <w:style w:type="paragraph" w:customStyle="1" w:styleId="216">
    <w:name w:val="无间隔"/>
    <w:basedOn w:val="1"/>
    <w:link w:val="215"/>
    <w:qFormat/>
    <w:uiPriority w:val="0"/>
    <w:pPr>
      <w:widowControl/>
      <w:spacing w:line="240" w:lineRule="auto"/>
      <w:ind w:firstLine="0" w:firstLineChars="0"/>
      <w:jc w:val="left"/>
    </w:pPr>
    <w:rPr>
      <w:rFonts w:ascii="Calibri" w:hAnsi="Calibri" w:cs="Times New Roman"/>
      <w:szCs w:val="32"/>
      <w:lang w:eastAsia="en-US" w:bidi="en-US"/>
    </w:rPr>
  </w:style>
  <w:style w:type="character" w:customStyle="1" w:styleId="217">
    <w:name w:val="样式 标题 6第五层条 + 三号 段前: 0.5 行 Char"/>
    <w:link w:val="218"/>
    <w:qFormat/>
    <w:uiPriority w:val="0"/>
    <w:rPr>
      <w:rFonts w:ascii="Arial" w:hAnsi="Arial" w:eastAsia="黑体" w:cs="宋体"/>
      <w:b/>
      <w:bCs/>
      <w:snapToGrid w:val="0"/>
      <w:kern w:val="24"/>
      <w:sz w:val="28"/>
      <w:szCs w:val="24"/>
      <w:lang w:val="en-US" w:eastAsia="zh-CN" w:bidi="ar-SA"/>
    </w:rPr>
  </w:style>
  <w:style w:type="paragraph" w:customStyle="1" w:styleId="218">
    <w:name w:val="样式 标题 6第五层条 + 三号 段前: 0.5 行"/>
    <w:basedOn w:val="10"/>
    <w:link w:val="217"/>
    <w:qFormat/>
    <w:uiPriority w:val="0"/>
    <w:pPr>
      <w:widowControl/>
      <w:numPr>
        <w:ilvl w:val="5"/>
        <w:numId w:val="0"/>
      </w:numPr>
      <w:spacing w:before="156" w:beforeLines="50" w:line="319" w:lineRule="auto"/>
      <w:ind w:left="1152" w:hanging="1152"/>
      <w:jc w:val="left"/>
    </w:pPr>
    <w:rPr>
      <w:rFonts w:cs="宋体"/>
      <w:bCs/>
      <w:snapToGrid w:val="0"/>
      <w:kern w:val="24"/>
      <w:sz w:val="28"/>
      <w:szCs w:val="24"/>
      <w:lang w:val="en-US" w:eastAsia="zh-CN"/>
    </w:rPr>
  </w:style>
  <w:style w:type="character" w:customStyle="1" w:styleId="219">
    <w:name w:val="正文文字4 Char Char"/>
    <w:basedOn w:val="70"/>
    <w:qFormat/>
    <w:uiPriority w:val="0"/>
    <w:rPr>
      <w:rFonts w:ascii="宋体" w:hAnsi="宋体" w:eastAsia="宋体" w:cs="Times New Roman"/>
      <w:i/>
      <w:iCs/>
      <w:sz w:val="28"/>
      <w:szCs w:val="20"/>
    </w:rPr>
  </w:style>
  <w:style w:type="character" w:customStyle="1" w:styleId="220">
    <w:name w:val="PIM 6 Char2"/>
    <w:qFormat/>
    <w:uiPriority w:val="0"/>
    <w:rPr>
      <w:rFonts w:ascii="Arial" w:hAnsi="Arial" w:eastAsia="黑体"/>
      <w:b/>
      <w:kern w:val="2"/>
      <w:sz w:val="24"/>
    </w:rPr>
  </w:style>
  <w:style w:type="character" w:customStyle="1" w:styleId="221">
    <w:name w:val="h Char Char"/>
    <w:qFormat/>
    <w:uiPriority w:val="0"/>
    <w:rPr>
      <w:kern w:val="2"/>
      <w:sz w:val="18"/>
      <w:szCs w:val="18"/>
    </w:rPr>
  </w:style>
  <w:style w:type="character" w:customStyle="1" w:styleId="222">
    <w:name w:val="纯文本 Char1"/>
    <w:qFormat/>
    <w:uiPriority w:val="0"/>
    <w:rPr>
      <w:rFonts w:ascii="宋体" w:hAnsi="Courier New"/>
      <w:kern w:val="2"/>
      <w:sz w:val="24"/>
    </w:rPr>
  </w:style>
  <w:style w:type="character" w:customStyle="1" w:styleId="223">
    <w:name w:val="ca-22"/>
    <w:basedOn w:val="70"/>
    <w:qFormat/>
    <w:uiPriority w:val="0"/>
  </w:style>
  <w:style w:type="character" w:customStyle="1" w:styleId="224">
    <w:name w:val="protextfont"/>
    <w:basedOn w:val="70"/>
    <w:qFormat/>
    <w:uiPriority w:val="0"/>
  </w:style>
  <w:style w:type="character" w:customStyle="1" w:styleId="225">
    <w:name w:val="Char Char22"/>
    <w:qFormat/>
    <w:uiPriority w:val="0"/>
    <w:rPr>
      <w:rFonts w:eastAsia="宋体"/>
      <w:kern w:val="2"/>
      <w:sz w:val="18"/>
      <w:szCs w:val="18"/>
      <w:lang w:val="en-US" w:eastAsia="zh-CN" w:bidi="ar-SA"/>
    </w:rPr>
  </w:style>
  <w:style w:type="character" w:customStyle="1" w:styleId="226">
    <w:name w:val="批注框文本 Char1"/>
    <w:qFormat/>
    <w:uiPriority w:val="0"/>
    <w:rPr>
      <w:kern w:val="2"/>
      <w:sz w:val="18"/>
      <w:szCs w:val="18"/>
    </w:rPr>
  </w:style>
  <w:style w:type="character" w:customStyle="1" w:styleId="227">
    <w:name w:val="消息标题标签"/>
    <w:qFormat/>
    <w:uiPriority w:val="0"/>
    <w:rPr>
      <w:rFonts w:ascii="Arial" w:hAnsi="Arial"/>
      <w:b/>
      <w:spacing w:val="-4"/>
      <w:sz w:val="18"/>
      <w:lang w:eastAsia="zh-CN"/>
    </w:rPr>
  </w:style>
  <w:style w:type="character" w:customStyle="1" w:styleId="228">
    <w:name w:val=" Char Char23"/>
    <w:basedOn w:val="70"/>
    <w:qFormat/>
    <w:uiPriority w:val="0"/>
    <w:rPr>
      <w:rFonts w:ascii="Times New Roman" w:hAnsi="Times New Roman" w:eastAsia="宋体" w:cs="Times New Roman"/>
      <w:b/>
      <w:bCs/>
      <w:kern w:val="44"/>
      <w:sz w:val="44"/>
      <w:szCs w:val="44"/>
    </w:rPr>
  </w:style>
  <w:style w:type="character" w:customStyle="1" w:styleId="229">
    <w:name w:val="font1"/>
    <w:qFormat/>
    <w:uiPriority w:val="0"/>
    <w:rPr>
      <w:color w:val="000000"/>
      <w:sz w:val="18"/>
      <w:szCs w:val="18"/>
    </w:rPr>
  </w:style>
  <w:style w:type="character" w:customStyle="1" w:styleId="230">
    <w:name w:val="市检方案标题3 Char1"/>
    <w:qFormat/>
    <w:uiPriority w:val="0"/>
    <w:rPr>
      <w:rFonts w:ascii="宋体"/>
      <w:b/>
      <w:kern w:val="2"/>
      <w:sz w:val="24"/>
      <w:lang w:val="en-US" w:eastAsia="zh-CN" w:bidi="ar-SA"/>
    </w:rPr>
  </w:style>
  <w:style w:type="character" w:customStyle="1" w:styleId="231">
    <w:name w:val="h Char Char2"/>
    <w:qFormat/>
    <w:uiPriority w:val="0"/>
    <w:rPr>
      <w:kern w:val="2"/>
      <w:sz w:val="18"/>
      <w:szCs w:val="18"/>
    </w:rPr>
  </w:style>
  <w:style w:type="character" w:customStyle="1" w:styleId="232">
    <w:name w:val="blacklink_text1"/>
    <w:qFormat/>
    <w:uiPriority w:val="0"/>
    <w:rPr>
      <w:color w:val="0E0E0E"/>
      <w:sz w:val="18"/>
      <w:szCs w:val="18"/>
    </w:rPr>
  </w:style>
  <w:style w:type="character" w:customStyle="1" w:styleId="233">
    <w:name w:val=" Char Char20"/>
    <w:basedOn w:val="70"/>
    <w:qFormat/>
    <w:uiPriority w:val="0"/>
    <w:rPr>
      <w:rFonts w:ascii="Arial" w:hAnsi="Arial" w:eastAsia="黑体" w:cs="Times New Roman"/>
      <w:b/>
      <w:kern w:val="0"/>
      <w:sz w:val="28"/>
      <w:szCs w:val="20"/>
    </w:rPr>
  </w:style>
  <w:style w:type="character" w:customStyle="1" w:styleId="234">
    <w:name w:val="Footer-Even Char1"/>
    <w:qFormat/>
    <w:uiPriority w:val="0"/>
    <w:rPr>
      <w:rFonts w:eastAsia="宋体"/>
      <w:kern w:val="2"/>
      <w:sz w:val="18"/>
      <w:lang w:val="en-US" w:eastAsia="zh-CN" w:bidi="ar-SA"/>
    </w:rPr>
  </w:style>
  <w:style w:type="character" w:customStyle="1" w:styleId="235">
    <w:name w:val="未命名11"/>
    <w:qFormat/>
    <w:uiPriority w:val="0"/>
    <w:rPr>
      <w:color w:val="77FFFF"/>
      <w:sz w:val="24"/>
      <w:szCs w:val="24"/>
    </w:rPr>
  </w:style>
  <w:style w:type="character" w:customStyle="1" w:styleId="236">
    <w:name w:val=" Char Char22"/>
    <w:qFormat/>
    <w:uiPriority w:val="0"/>
    <w:rPr>
      <w:rFonts w:ascii="Arial" w:hAnsi="Arial" w:eastAsia="黑体" w:cs="Times New Roman"/>
      <w:b/>
      <w:bCs/>
      <w:sz w:val="32"/>
      <w:szCs w:val="32"/>
    </w:rPr>
  </w:style>
  <w:style w:type="character" w:customStyle="1" w:styleId="237">
    <w:name w:val="Char Char21"/>
    <w:qFormat/>
    <w:locked/>
    <w:uiPriority w:val="0"/>
    <w:rPr>
      <w:rFonts w:ascii="宋体" w:hAnsi="Courier New" w:eastAsia="宋体"/>
      <w:kern w:val="2"/>
      <w:sz w:val="24"/>
      <w:lang w:val="en-US" w:eastAsia="zh-CN" w:bidi="ar-SA"/>
    </w:rPr>
  </w:style>
  <w:style w:type="character" w:customStyle="1" w:styleId="238">
    <w:name w:val="引用 Char"/>
    <w:link w:val="239"/>
    <w:qFormat/>
    <w:uiPriority w:val="0"/>
    <w:rPr>
      <w:i/>
      <w:iCs/>
      <w:color w:val="000000"/>
      <w:lang w:bidi="ar-SA"/>
    </w:rPr>
  </w:style>
  <w:style w:type="paragraph" w:customStyle="1" w:styleId="239">
    <w:name w:val="引用"/>
    <w:basedOn w:val="1"/>
    <w:next w:val="1"/>
    <w:link w:val="238"/>
    <w:qFormat/>
    <w:uiPriority w:val="0"/>
    <w:pPr>
      <w:spacing w:line="240" w:lineRule="auto"/>
      <w:ind w:firstLine="0" w:firstLineChars="0"/>
    </w:pPr>
    <w:rPr>
      <w:rFonts w:ascii="Times New Roman" w:hAnsi="Times New Roman" w:cs="Times New Roman"/>
      <w:i/>
      <w:iCs/>
      <w:color w:val="000000"/>
      <w:sz w:val="20"/>
      <w:szCs w:val="20"/>
    </w:rPr>
  </w:style>
  <w:style w:type="character" w:customStyle="1" w:styleId="240">
    <w:name w:val="font141"/>
    <w:qFormat/>
    <w:uiPriority w:val="0"/>
  </w:style>
  <w:style w:type="character" w:customStyle="1" w:styleId="241">
    <w:name w:val="文字 Char"/>
    <w:link w:val="242"/>
    <w:qFormat/>
    <w:uiPriority w:val="0"/>
    <w:rPr>
      <w:rFonts w:ascii="宋体" w:hAnsi="宋体"/>
      <w:kern w:val="2"/>
      <w:sz w:val="28"/>
      <w:lang w:bidi="ar-SA"/>
    </w:rPr>
  </w:style>
  <w:style w:type="paragraph" w:customStyle="1" w:styleId="242">
    <w:name w:val="文字"/>
    <w:basedOn w:val="1"/>
    <w:link w:val="241"/>
    <w:qFormat/>
    <w:uiPriority w:val="0"/>
    <w:pPr>
      <w:tabs>
        <w:tab w:val="left" w:pos="8520"/>
      </w:tabs>
      <w:spacing w:line="312" w:lineRule="auto"/>
      <w:ind w:right="-210" w:firstLine="556" w:firstLineChars="0"/>
    </w:pPr>
    <w:rPr>
      <w:rFonts w:cs="Times New Roman"/>
      <w:kern w:val="2"/>
      <w:sz w:val="28"/>
      <w:szCs w:val="20"/>
    </w:rPr>
  </w:style>
  <w:style w:type="character" w:customStyle="1" w:styleId="243">
    <w:name w:val="Char Char2"/>
    <w:qFormat/>
    <w:uiPriority w:val="0"/>
    <w:rPr>
      <w:rFonts w:eastAsia="宋体"/>
      <w:kern w:val="2"/>
      <w:sz w:val="18"/>
      <w:szCs w:val="18"/>
      <w:lang w:val="en-US" w:eastAsia="zh-CN" w:bidi="ar-SA"/>
    </w:rPr>
  </w:style>
  <w:style w:type="character" w:customStyle="1" w:styleId="244">
    <w:name w:val="content-white1"/>
    <w:qFormat/>
    <w:uiPriority w:val="0"/>
    <w:rPr>
      <w:rFonts w:ascii="_x000B__x000C_" w:hAnsi="_x000B__x000C_"/>
      <w:color w:val="auto"/>
      <w:sz w:val="18"/>
      <w:szCs w:val="18"/>
      <w:u w:val="none"/>
    </w:rPr>
  </w:style>
  <w:style w:type="character" w:customStyle="1" w:styleId="245">
    <w:name w:val="不用8 Char1"/>
    <w:qFormat/>
    <w:uiPriority w:val="0"/>
    <w:rPr>
      <w:rFonts w:ascii="Arial" w:hAnsi="Arial" w:eastAsia="黑体"/>
      <w:kern w:val="2"/>
      <w:sz w:val="24"/>
    </w:rPr>
  </w:style>
  <w:style w:type="character" w:customStyle="1" w:styleId="246">
    <w:name w:val="三级标题 Char1"/>
    <w:qFormat/>
    <w:uiPriority w:val="0"/>
    <w:rPr>
      <w:rFonts w:ascii="Arial" w:hAnsi="Arial" w:eastAsia="黑体"/>
      <w:kern w:val="2"/>
      <w:sz w:val="21"/>
    </w:rPr>
  </w:style>
  <w:style w:type="character" w:customStyle="1" w:styleId="247">
    <w:name w:val="gray121"/>
    <w:qFormat/>
    <w:uiPriority w:val="0"/>
    <w:rPr>
      <w:color w:val="666666"/>
      <w:sz w:val="18"/>
      <w:szCs w:val="18"/>
    </w:rPr>
  </w:style>
  <w:style w:type="character" w:customStyle="1" w:styleId="248">
    <w:name w:val="批注框文本 Char"/>
    <w:qFormat/>
    <w:uiPriority w:val="99"/>
    <w:rPr>
      <w:kern w:val="2"/>
      <w:sz w:val="18"/>
      <w:szCs w:val="18"/>
      <w:lang w:bidi="ar-SA"/>
    </w:rPr>
  </w:style>
  <w:style w:type="character" w:customStyle="1" w:styleId="249">
    <w:name w:val="style21"/>
    <w:qFormat/>
    <w:uiPriority w:val="0"/>
    <w:rPr>
      <w:sz w:val="21"/>
      <w:szCs w:val="21"/>
    </w:rPr>
  </w:style>
  <w:style w:type="character" w:customStyle="1" w:styleId="250">
    <w:name w:val="文档结构图 Char1"/>
    <w:basedOn w:val="70"/>
    <w:qFormat/>
    <w:uiPriority w:val="0"/>
    <w:rPr>
      <w:rFonts w:ascii="宋体" w:hAnsi="Times New Roman" w:eastAsia="宋体" w:cs="Times New Roman"/>
      <w:sz w:val="18"/>
      <w:szCs w:val="18"/>
    </w:rPr>
  </w:style>
  <w:style w:type="character" w:customStyle="1" w:styleId="251">
    <w:name w:val="标题 Char"/>
    <w:qFormat/>
    <w:uiPriority w:val="0"/>
    <w:rPr>
      <w:rFonts w:ascii="Arial" w:hAnsi="Arial"/>
      <w:b/>
      <w:smallCaps/>
      <w:kern w:val="28"/>
      <w:sz w:val="36"/>
      <w:lang w:eastAsia="en-US" w:bidi="ar-SA"/>
    </w:rPr>
  </w:style>
  <w:style w:type="character" w:customStyle="1" w:styleId="252">
    <w:name w:val="141"/>
    <w:qFormat/>
    <w:uiPriority w:val="0"/>
    <w:rPr>
      <w:color w:val="333333"/>
      <w:sz w:val="21"/>
      <w:szCs w:val="21"/>
      <w:u w:val="none"/>
    </w:rPr>
  </w:style>
  <w:style w:type="character" w:customStyle="1" w:styleId="253">
    <w:name w:val="Table Text Char1"/>
    <w:qFormat/>
    <w:uiPriority w:val="0"/>
    <w:rPr>
      <w:rFonts w:ascii="Arial" w:hAnsi="Arial" w:eastAsia="宋体" w:cs="Arial"/>
      <w:sz w:val="18"/>
      <w:szCs w:val="18"/>
      <w:lang w:val="en-US" w:eastAsia="zh-CN" w:bidi="ar-SA"/>
    </w:rPr>
  </w:style>
  <w:style w:type="character" w:customStyle="1" w:styleId="254">
    <w:name w:val="正文 + 三号 Char"/>
    <w:link w:val="255"/>
    <w:qFormat/>
    <w:uiPriority w:val="0"/>
    <w:rPr>
      <w:kern w:val="2"/>
      <w:sz w:val="21"/>
      <w:szCs w:val="24"/>
      <w:lang w:bidi="ar-SA"/>
    </w:rPr>
  </w:style>
  <w:style w:type="paragraph" w:customStyle="1" w:styleId="255">
    <w:name w:val="正文 + 三号"/>
    <w:basedOn w:val="1"/>
    <w:link w:val="254"/>
    <w:qFormat/>
    <w:uiPriority w:val="0"/>
    <w:pPr>
      <w:spacing w:line="240" w:lineRule="auto"/>
      <w:ind w:firstLine="0" w:firstLineChars="0"/>
    </w:pPr>
    <w:rPr>
      <w:rFonts w:ascii="Times New Roman" w:hAnsi="Times New Roman" w:cs="Times New Roman"/>
      <w:kern w:val="2"/>
      <w:sz w:val="21"/>
    </w:rPr>
  </w:style>
  <w:style w:type="character" w:customStyle="1" w:styleId="256">
    <w:name w:val="orange_blod1"/>
    <w:qFormat/>
    <w:uiPriority w:val="0"/>
    <w:rPr>
      <w:rFonts w:hint="default" w:ascii="Verdana" w:hAnsi="Verdana"/>
      <w:b/>
      <w:bCs/>
      <w:color w:val="FF6600"/>
      <w:sz w:val="17"/>
      <w:szCs w:val="17"/>
      <w:u w:val="none"/>
    </w:rPr>
  </w:style>
  <w:style w:type="character" w:customStyle="1" w:styleId="257">
    <w:name w:val=" Char Char21"/>
    <w:qFormat/>
    <w:uiPriority w:val="0"/>
    <w:rPr>
      <w:rFonts w:ascii="Times New Roman" w:hAnsi="Times New Roman" w:eastAsia="宋体" w:cs="Times New Roman"/>
      <w:b/>
      <w:bCs/>
      <w:sz w:val="32"/>
      <w:szCs w:val="32"/>
    </w:rPr>
  </w:style>
  <w:style w:type="character" w:customStyle="1" w:styleId="258">
    <w:name w:val="XW正文 Char"/>
    <w:basedOn w:val="219"/>
    <w:link w:val="259"/>
    <w:qFormat/>
    <w:uiPriority w:val="0"/>
    <w:rPr>
      <w:sz w:val="21"/>
      <w:szCs w:val="24"/>
      <w:lang w:val="en-US" w:eastAsia="zh-CN" w:bidi="ar-SA"/>
    </w:rPr>
  </w:style>
  <w:style w:type="paragraph" w:customStyle="1" w:styleId="259">
    <w:name w:val="XW正文"/>
    <w:basedOn w:val="3"/>
    <w:link w:val="258"/>
    <w:qFormat/>
    <w:uiPriority w:val="0"/>
    <w:pPr>
      <w:tabs>
        <w:tab w:val="clear" w:pos="2160"/>
      </w:tabs>
      <w:adjustRightInd w:val="0"/>
      <w:snapToGrid w:val="0"/>
      <w:spacing w:line="300" w:lineRule="auto"/>
      <w:ind w:left="0" w:leftChars="0" w:firstLine="520"/>
      <w:jc w:val="left"/>
    </w:pPr>
    <w:rPr>
      <w:rFonts w:ascii="Times New Roman" w:hAnsi="Times New Roman"/>
      <w:kern w:val="0"/>
      <w:szCs w:val="24"/>
      <w:lang w:val="en-US" w:eastAsia="zh-CN"/>
    </w:rPr>
  </w:style>
  <w:style w:type="character" w:customStyle="1" w:styleId="260">
    <w:name w:val="批注主题 Char"/>
    <w:qFormat/>
    <w:uiPriority w:val="0"/>
    <w:rPr>
      <w:rFonts w:eastAsia="宋体"/>
      <w:b/>
      <w:bCs/>
      <w:kern w:val="2"/>
      <w:sz w:val="21"/>
      <w:szCs w:val="24"/>
      <w:lang w:val="en-US" w:eastAsia="zh-CN" w:bidi="ar-SA"/>
    </w:rPr>
  </w:style>
  <w:style w:type="character" w:customStyle="1" w:styleId="261">
    <w:name w:val="引用 Char1"/>
    <w:basedOn w:val="70"/>
    <w:qFormat/>
    <w:uiPriority w:val="0"/>
    <w:rPr>
      <w:rFonts w:ascii="Times New Roman" w:hAnsi="Times New Roman" w:eastAsia="宋体" w:cs="Times New Roman"/>
      <w:i/>
      <w:iCs/>
      <w:color w:val="000000"/>
      <w:szCs w:val="24"/>
    </w:rPr>
  </w:style>
  <w:style w:type="character" w:customStyle="1" w:styleId="262">
    <w:name w:val="卷标题 Char1"/>
    <w:qFormat/>
    <w:uiPriority w:val="0"/>
    <w:rPr>
      <w:rFonts w:eastAsia="宋体"/>
      <w:b/>
      <w:bCs/>
      <w:kern w:val="44"/>
      <w:sz w:val="44"/>
      <w:szCs w:val="44"/>
      <w:lang w:val="en-US" w:eastAsia="zh-CN" w:bidi="ar-SA"/>
    </w:rPr>
  </w:style>
  <w:style w:type="character" w:customStyle="1" w:styleId="263">
    <w:name w:val="ca-82"/>
    <w:basedOn w:val="70"/>
    <w:qFormat/>
    <w:uiPriority w:val="0"/>
  </w:style>
  <w:style w:type="character" w:customStyle="1" w:styleId="264">
    <w:name w:val="style81"/>
    <w:qFormat/>
    <w:uiPriority w:val="0"/>
    <w:rPr>
      <w:sz w:val="21"/>
      <w:szCs w:val="21"/>
    </w:rPr>
  </w:style>
  <w:style w:type="character" w:customStyle="1" w:styleId="265">
    <w:name w:val="页脚 Char2"/>
    <w:qFormat/>
    <w:uiPriority w:val="0"/>
    <w:rPr>
      <w:rFonts w:eastAsia="宋体"/>
      <w:kern w:val="2"/>
      <w:sz w:val="18"/>
      <w:lang w:val="en-US" w:eastAsia="zh-CN" w:bidi="ar-SA"/>
    </w:rPr>
  </w:style>
  <w:style w:type="character" w:customStyle="1" w:styleId="266">
    <w:name w:val="Table Text Char Char Char"/>
    <w:qFormat/>
    <w:uiPriority w:val="0"/>
    <w:rPr>
      <w:rFonts w:ascii="Arial" w:hAnsi="Arial" w:eastAsia="宋体" w:cs="Arial"/>
      <w:sz w:val="18"/>
      <w:szCs w:val="18"/>
      <w:lang w:val="en-US" w:eastAsia="zh-CN" w:bidi="ar-SA"/>
    </w:rPr>
  </w:style>
  <w:style w:type="character" w:customStyle="1" w:styleId="267">
    <w:name w:val="页脚 Char1"/>
    <w:qFormat/>
    <w:uiPriority w:val="99"/>
    <w:rPr>
      <w:kern w:val="2"/>
      <w:sz w:val="18"/>
      <w:szCs w:val="18"/>
    </w:rPr>
  </w:style>
  <w:style w:type="character" w:customStyle="1" w:styleId="268">
    <w:name w:val="crowed11"/>
    <w:qFormat/>
    <w:uiPriority w:val="0"/>
    <w:rPr>
      <w:rFonts w:hint="default" w:ascii="_x000B__x000C_" w:hAnsi="_x000B__x000C_"/>
      <w:sz w:val="24"/>
      <w:szCs w:val="24"/>
    </w:rPr>
  </w:style>
  <w:style w:type="character" w:customStyle="1" w:styleId="269">
    <w:name w:val=" Char Char2"/>
    <w:qFormat/>
    <w:uiPriority w:val="0"/>
    <w:rPr>
      <w:rFonts w:eastAsia="宋体"/>
      <w:kern w:val="2"/>
      <w:sz w:val="18"/>
      <w:szCs w:val="18"/>
      <w:lang w:val="en-US" w:eastAsia="zh-CN" w:bidi="ar-SA"/>
    </w:rPr>
  </w:style>
  <w:style w:type="character" w:customStyle="1" w:styleId="270">
    <w:name w:val="marklong"/>
    <w:qFormat/>
    <w:uiPriority w:val="0"/>
    <w:rPr>
      <w:rFonts w:ascii="宋体" w:hAnsi="宋体" w:eastAsia="宋体"/>
      <w:kern w:val="2"/>
      <w:sz w:val="28"/>
      <w:szCs w:val="28"/>
      <w:lang w:val="en-US" w:eastAsia="zh-CN" w:bidi="ar-SA"/>
    </w:rPr>
  </w:style>
  <w:style w:type="character" w:customStyle="1" w:styleId="271">
    <w:name w:val="H3 Char1"/>
    <w:qFormat/>
    <w:uiPriority w:val="0"/>
    <w:rPr>
      <w:rFonts w:eastAsia="宋体"/>
      <w:b/>
      <w:bCs/>
      <w:kern w:val="2"/>
      <w:sz w:val="21"/>
      <w:szCs w:val="32"/>
      <w:lang w:val="en-US" w:eastAsia="zh-CN" w:bidi="ar-SA"/>
    </w:rPr>
  </w:style>
  <w:style w:type="character" w:customStyle="1" w:styleId="272">
    <w:name w:val="标题 6 Char"/>
    <w:qFormat/>
    <w:uiPriority w:val="0"/>
    <w:rPr>
      <w:rFonts w:ascii="Arial" w:hAnsi="Arial" w:eastAsia="黑体"/>
      <w:b/>
      <w:kern w:val="2"/>
      <w:sz w:val="24"/>
      <w:szCs w:val="24"/>
      <w:lang w:val="en-US" w:eastAsia="zh-CN" w:bidi="ar-SA"/>
    </w:rPr>
  </w:style>
  <w:style w:type="character" w:customStyle="1" w:styleId="273">
    <w:name w:val="正文文本缩进 2 Char"/>
    <w:qFormat/>
    <w:uiPriority w:val="0"/>
    <w:rPr>
      <w:kern w:val="2"/>
      <w:sz w:val="21"/>
      <w:lang w:bidi="ar-SA"/>
    </w:rPr>
  </w:style>
  <w:style w:type="character" w:customStyle="1" w:styleId="274">
    <w:name w:val="第三层条 Char"/>
    <w:qFormat/>
    <w:uiPriority w:val="0"/>
    <w:rPr>
      <w:rFonts w:ascii="Arial" w:hAnsi="Arial" w:eastAsia="黑体"/>
      <w:b/>
      <w:bCs/>
      <w:kern w:val="2"/>
      <w:sz w:val="28"/>
      <w:szCs w:val="28"/>
      <w:lang w:val="en-US" w:eastAsia="zh-CN" w:bidi="ar-SA"/>
    </w:rPr>
  </w:style>
  <w:style w:type="character" w:customStyle="1" w:styleId="275">
    <w:name w:val="副标题 Char"/>
    <w:qFormat/>
    <w:uiPriority w:val="0"/>
    <w:rPr>
      <w:rFonts w:ascii="Cambria" w:hAnsi="Cambria"/>
      <w:b/>
      <w:bCs/>
      <w:kern w:val="28"/>
      <w:sz w:val="32"/>
      <w:szCs w:val="32"/>
      <w:lang w:bidi="ar-SA"/>
    </w:rPr>
  </w:style>
  <w:style w:type="paragraph" w:customStyle="1" w:styleId="276">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8">
    <w:name w:val=" Char2"/>
    <w:basedOn w:val="1"/>
    <w:qFormat/>
    <w:uiPriority w:val="0"/>
    <w:pPr>
      <w:adjustRightInd w:val="0"/>
      <w:spacing w:line="360" w:lineRule="auto"/>
    </w:pPr>
    <w:rPr>
      <w:kern w:val="0"/>
      <w:sz w:val="24"/>
      <w:szCs w:val="20"/>
    </w:rPr>
  </w:style>
  <w:style w:type="paragraph" w:customStyle="1" w:styleId="279">
    <w:name w:val=" Char1"/>
    <w:basedOn w:val="1"/>
    <w:qFormat/>
    <w:uiPriority w:val="0"/>
    <w:pPr>
      <w:adjustRightInd w:val="0"/>
      <w:spacing w:line="360" w:lineRule="auto"/>
    </w:pPr>
    <w:rPr>
      <w:kern w:val="0"/>
      <w:sz w:val="24"/>
      <w:szCs w:val="20"/>
    </w:rPr>
  </w:style>
  <w:style w:type="paragraph" w:customStyle="1" w:styleId="28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81">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282">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8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84">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5">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6">
    <w:name w:val=" Char Char Char Char Char Char Char Char Char Char Char Char Char Char"/>
    <w:basedOn w:val="1"/>
    <w:qFormat/>
    <w:uiPriority w:val="0"/>
    <w:pPr>
      <w:spacing w:line="240" w:lineRule="auto"/>
      <w:ind w:firstLine="0" w:firstLineChars="0"/>
    </w:pPr>
    <w:rPr>
      <w:rFonts w:ascii="Tahoma" w:hAnsi="Tahoma"/>
      <w:szCs w:val="20"/>
    </w:rPr>
  </w:style>
  <w:style w:type="paragraph" w:customStyle="1" w:styleId="28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288">
    <w:name w:val="样式 标题 3列表编号3h33rd level + 段前: 1 行"/>
    <w:basedOn w:val="7"/>
    <w:qFormat/>
    <w:uiPriority w:val="0"/>
    <w:pPr>
      <w:widowControl w:val="0"/>
      <w:adjustRightInd w:val="0"/>
      <w:snapToGrid w:val="0"/>
      <w:spacing w:before="240" w:after="120" w:line="240" w:lineRule="atLeast"/>
      <w:ind w:left="-540" w:leftChars="-257"/>
    </w:pPr>
    <w:rPr>
      <w:kern w:val="0"/>
      <w:sz w:val="28"/>
      <w:szCs w:val="28"/>
    </w:rPr>
  </w:style>
  <w:style w:type="paragraph" w:customStyle="1" w:styleId="289">
    <w:name w:val="Char Char Char Char"/>
    <w:basedOn w:val="22"/>
    <w:qFormat/>
    <w:uiPriority w:val="0"/>
    <w:rPr>
      <w:szCs w:val="20"/>
    </w:rPr>
  </w:style>
  <w:style w:type="paragraph" w:customStyle="1" w:styleId="290">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91">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2">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93">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294">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295">
    <w:name w:val=" 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96">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7">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298">
    <w:name w:val="表格内文字"/>
    <w:basedOn w:val="37"/>
    <w:qFormat/>
    <w:uiPriority w:val="0"/>
    <w:pPr>
      <w:adjustRightInd w:val="0"/>
      <w:spacing w:line="240" w:lineRule="auto"/>
      <w:ind w:firstLine="0" w:firstLineChars="0"/>
    </w:pPr>
    <w:rPr>
      <w:rFonts w:eastAsia="Times New Roman" w:cs="Courier New"/>
      <w:color w:val="000000"/>
      <w:sz w:val="21"/>
      <w:szCs w:val="21"/>
      <w:lang w:val="en-GB"/>
    </w:rPr>
  </w:style>
  <w:style w:type="paragraph" w:customStyle="1" w:styleId="299">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0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1">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02">
    <w:name w:val="默认段落字体 Para Char Char"/>
    <w:basedOn w:val="1"/>
    <w:qFormat/>
    <w:uiPriority w:val="0"/>
    <w:pPr>
      <w:spacing w:line="360" w:lineRule="auto"/>
    </w:pPr>
    <w:rPr>
      <w:color w:val="000000"/>
      <w:sz w:val="21"/>
      <w:szCs w:val="20"/>
    </w:rPr>
  </w:style>
  <w:style w:type="paragraph" w:customStyle="1" w:styleId="303">
    <w:name w:val="Body Text 2"/>
    <w:basedOn w:val="1"/>
    <w:qFormat/>
    <w:uiPriority w:val="0"/>
    <w:pPr>
      <w:adjustRightInd w:val="0"/>
      <w:spacing w:before="120" w:line="360" w:lineRule="auto"/>
      <w:ind w:firstLine="480" w:firstLineChars="0"/>
      <w:textAlignment w:val="baseline"/>
    </w:pPr>
    <w:rPr>
      <w:szCs w:val="20"/>
    </w:rPr>
  </w:style>
  <w:style w:type="paragraph" w:customStyle="1" w:styleId="304">
    <w:name w:val="样式 标题 2 + 首行缩进:  2 字符"/>
    <w:basedOn w:val="6"/>
    <w:qFormat/>
    <w:uiPriority w:val="0"/>
    <w:pPr>
      <w:keepNext/>
      <w:keepLines/>
      <w:widowControl w:val="0"/>
      <w:numPr>
        <w:ilvl w:val="1"/>
        <w:numId w:val="0"/>
      </w:numPr>
      <w:tabs>
        <w:tab w:val="left" w:pos="720"/>
      </w:tabs>
      <w:snapToGrid/>
      <w:spacing w:before="240" w:after="140" w:line="240" w:lineRule="auto"/>
      <w:ind w:firstLine="790" w:firstLineChars="246"/>
      <w:jc w:val="both"/>
    </w:pPr>
    <w:rPr>
      <w:rFonts w:ascii="Arial" w:hAnsi="Arial" w:eastAsia="仿宋_GB2312" w:cs="宋体"/>
      <w:bCs/>
      <w:kern w:val="0"/>
      <w:sz w:val="32"/>
      <w:szCs w:val="24"/>
    </w:rPr>
  </w:style>
  <w:style w:type="paragraph" w:customStyle="1" w:styleId="305">
    <w:name w:val="二级列表"/>
    <w:basedOn w:val="306"/>
    <w:next w:val="306"/>
    <w:qFormat/>
    <w:uiPriority w:val="0"/>
    <w:pPr>
      <w:tabs>
        <w:tab w:val="left" w:pos="360"/>
        <w:tab w:val="left" w:pos="840"/>
      </w:tabs>
      <w:ind w:firstLine="0" w:firstLineChars="0"/>
    </w:pPr>
    <w:rPr>
      <w:b/>
    </w:rPr>
  </w:style>
  <w:style w:type="paragraph" w:customStyle="1" w:styleId="306">
    <w:name w:val="段落正文"/>
    <w:basedOn w:val="1"/>
    <w:qFormat/>
    <w:uiPriority w:val="0"/>
    <w:pPr>
      <w:spacing w:before="156" w:beforeLines="50" w:line="360" w:lineRule="auto"/>
    </w:pPr>
    <w:rPr>
      <w:spacing w:val="2"/>
    </w:rPr>
  </w:style>
  <w:style w:type="paragraph" w:customStyle="1" w:styleId="307">
    <w:name w:val="text1"/>
    <w:basedOn w:val="1"/>
    <w:qFormat/>
    <w:uiPriority w:val="0"/>
    <w:pPr>
      <w:widowControl/>
      <w:spacing w:before="100" w:beforeAutospacing="1" w:after="100" w:afterAutospacing="1"/>
      <w:jc w:val="left"/>
    </w:pPr>
    <w:rPr>
      <w:rFonts w:ascii="宋体" w:hAnsi="宋体"/>
      <w:kern w:val="0"/>
      <w:sz w:val="24"/>
    </w:rPr>
  </w:style>
  <w:style w:type="paragraph" w:customStyle="1" w:styleId="308">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9">
    <w:name w:val="样式4"/>
    <w:basedOn w:val="1"/>
    <w:qFormat/>
    <w:uiPriority w:val="0"/>
    <w:pPr>
      <w:keepNext/>
      <w:keepLines/>
      <w:numPr>
        <w:ilvl w:val="0"/>
        <w:numId w:val="8"/>
      </w:numPr>
      <w:tabs>
        <w:tab w:val="clear" w:pos="360"/>
      </w:tabs>
      <w:spacing w:line="360" w:lineRule="auto"/>
      <w:ind w:left="0" w:firstLine="601"/>
      <w:outlineLvl w:val="1"/>
    </w:pPr>
    <w:rPr>
      <w:rFonts w:ascii="宋体" w:hAnsi="宋体"/>
      <w:b/>
      <w:bCs/>
      <w:sz w:val="30"/>
      <w:szCs w:val="30"/>
    </w:rPr>
  </w:style>
  <w:style w:type="paragraph" w:customStyle="1" w:styleId="310">
    <w:name w:val="标题2"/>
    <w:basedOn w:val="6"/>
    <w:qFormat/>
    <w:uiPriority w:val="0"/>
    <w:pPr>
      <w:keepNext/>
      <w:keepLines/>
      <w:widowControl w:val="0"/>
      <w:numPr>
        <w:ilvl w:val="1"/>
        <w:numId w:val="0"/>
      </w:numPr>
      <w:tabs>
        <w:tab w:val="left" w:pos="567"/>
        <w:tab w:val="left" w:pos="720"/>
      </w:tabs>
      <w:snapToGrid/>
      <w:spacing w:before="312" w:beforeLines="100" w:after="120" w:line="300" w:lineRule="auto"/>
      <w:jc w:val="both"/>
      <w:outlineLvl w:val="9"/>
    </w:pPr>
    <w:rPr>
      <w:rFonts w:ascii="Times New Roman" w:eastAsia="黑体"/>
      <w:b w:val="0"/>
      <w:snapToGrid w:val="0"/>
      <w:spacing w:val="6"/>
      <w:kern w:val="0"/>
      <w:sz w:val="32"/>
      <w:szCs w:val="24"/>
    </w:rPr>
  </w:style>
  <w:style w:type="paragraph" w:customStyle="1" w:styleId="311">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12">
    <w:name w:val="Char1"/>
    <w:basedOn w:val="1"/>
    <w:qFormat/>
    <w:uiPriority w:val="0"/>
    <w:pPr>
      <w:adjustRightInd w:val="0"/>
      <w:spacing w:line="360" w:lineRule="auto"/>
    </w:pPr>
    <w:rPr>
      <w:kern w:val="0"/>
      <w:sz w:val="24"/>
      <w:szCs w:val="20"/>
    </w:rPr>
  </w:style>
  <w:style w:type="paragraph" w:customStyle="1" w:styleId="313">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14">
    <w:name w:val="_"/>
    <w:basedOn w:val="1"/>
    <w:qFormat/>
    <w:uiPriority w:val="0"/>
    <w:pPr>
      <w:adjustRightInd w:val="0"/>
      <w:spacing w:line="360" w:lineRule="auto"/>
      <w:ind w:left="480"/>
      <w:textAlignment w:val="baseline"/>
    </w:pPr>
    <w:rPr>
      <w:kern w:val="0"/>
      <w:szCs w:val="20"/>
    </w:rPr>
  </w:style>
  <w:style w:type="paragraph" w:customStyle="1" w:styleId="315">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16">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17">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8">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19">
    <w:name w:val="Char Char Char Char Char Char Char"/>
    <w:basedOn w:val="1"/>
    <w:qFormat/>
    <w:uiPriority w:val="0"/>
    <w:rPr>
      <w:szCs w:val="20"/>
    </w:rPr>
  </w:style>
  <w:style w:type="paragraph" w:customStyle="1" w:styleId="32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21">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22">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2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24">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325">
    <w:name w:val="标题无"/>
    <w:basedOn w:val="1"/>
    <w:qFormat/>
    <w:uiPriority w:val="0"/>
    <w:pPr>
      <w:spacing w:line="360" w:lineRule="auto"/>
      <w:ind w:firstLine="0" w:firstLineChars="0"/>
    </w:pPr>
  </w:style>
  <w:style w:type="paragraph" w:customStyle="1" w:styleId="32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27">
    <w:name w:val="样式 标题 2h2sect 1.2H2UNDERRUBRIK 1-2hhHeading TwoProphead 2..."/>
    <w:basedOn w:val="6"/>
    <w:qFormat/>
    <w:uiPriority w:val="0"/>
    <w:pPr>
      <w:keepLines/>
      <w:widowControl w:val="0"/>
      <w:numPr>
        <w:ilvl w:val="1"/>
        <w:numId w:val="9"/>
      </w:numPr>
      <w:snapToGrid/>
      <w:spacing w:before="312" w:after="312"/>
      <w:jc w:val="left"/>
    </w:pPr>
    <w:rPr>
      <w:rFonts w:ascii="黑体" w:hAnsi="宋体" w:eastAsia="黑体"/>
      <w:bCs/>
      <w:sz w:val="30"/>
      <w:szCs w:val="30"/>
    </w:rPr>
  </w:style>
  <w:style w:type="paragraph" w:customStyle="1" w:styleId="328">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29">
    <w:name w:val="1"/>
    <w:basedOn w:val="1"/>
    <w:next w:val="37"/>
    <w:qFormat/>
    <w:uiPriority w:val="0"/>
    <w:pPr>
      <w:adjustRightInd/>
      <w:spacing w:line="240" w:lineRule="auto"/>
      <w:textAlignment w:val="auto"/>
    </w:pPr>
    <w:rPr>
      <w:rFonts w:ascii="宋体" w:hAnsi="Courier New"/>
      <w:kern w:val="2"/>
    </w:rPr>
  </w:style>
  <w:style w:type="paragraph" w:customStyle="1" w:styleId="330">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331">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33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3">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334">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5">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33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37">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338">
    <w:name w:val="3"/>
    <w:next w:val="1"/>
    <w:qFormat/>
    <w:uiPriority w:val="99"/>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39">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4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41">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4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43">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344">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34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347">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348">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49">
    <w:name w:val="IN Feature"/>
    <w:next w:val="350"/>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0">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51">
    <w:name w:val="Char Char Char Char Char Char Char Char Char Char Char Char Char Char"/>
    <w:basedOn w:val="1"/>
    <w:qFormat/>
    <w:uiPriority w:val="0"/>
    <w:rPr>
      <w:rFonts w:ascii="Tahoma" w:hAnsi="Tahoma"/>
      <w:sz w:val="24"/>
      <w:szCs w:val="20"/>
    </w:rPr>
  </w:style>
  <w:style w:type="paragraph" w:customStyle="1" w:styleId="352">
    <w:name w:val="正文字缩2字"/>
    <w:basedOn w:val="1"/>
    <w:qFormat/>
    <w:uiPriority w:val="0"/>
    <w:pPr>
      <w:spacing w:before="60" w:after="60" w:line="360" w:lineRule="auto"/>
      <w:ind w:left="200" w:leftChars="200"/>
    </w:pPr>
  </w:style>
  <w:style w:type="paragraph" w:customStyle="1" w:styleId="35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54">
    <w:name w:val="Char Char Char Char1"/>
    <w:basedOn w:val="22"/>
    <w:qFormat/>
    <w:uiPriority w:val="0"/>
    <w:rPr>
      <w:szCs w:val="20"/>
    </w:rPr>
  </w:style>
  <w:style w:type="paragraph" w:customStyle="1" w:styleId="35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356">
    <w:name w:val="about_main1"/>
    <w:basedOn w:val="1"/>
    <w:qFormat/>
    <w:uiPriority w:val="0"/>
    <w:pPr>
      <w:widowControl/>
      <w:spacing w:before="30" w:after="100" w:afterAutospacing="1"/>
      <w:jc w:val="left"/>
    </w:pPr>
    <w:rPr>
      <w:rFonts w:ascii="宋体" w:hAnsi="宋体" w:cs="宋体"/>
      <w:kern w:val="0"/>
      <w:sz w:val="24"/>
    </w:rPr>
  </w:style>
  <w:style w:type="paragraph" w:customStyle="1" w:styleId="357">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58">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359">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60">
    <w:name w:val="Char11"/>
    <w:basedOn w:val="1"/>
    <w:qFormat/>
    <w:uiPriority w:val="0"/>
    <w:pPr>
      <w:adjustRightInd w:val="0"/>
      <w:spacing w:line="360" w:lineRule="auto"/>
    </w:pPr>
    <w:rPr>
      <w:kern w:val="0"/>
      <w:szCs w:val="20"/>
    </w:rPr>
  </w:style>
  <w:style w:type="paragraph" w:customStyle="1" w:styleId="361">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62">
    <w:name w:val="首行缩进2小四1"/>
    <w:basedOn w:val="1"/>
    <w:next w:val="1"/>
    <w:qFormat/>
    <w:uiPriority w:val="0"/>
    <w:pPr>
      <w:ind w:firstLine="480" w:firstLineChars="200"/>
    </w:pPr>
    <w:rPr>
      <w:rFonts w:ascii="Verdana" w:hAnsi="Verdana" w:eastAsia="华文细黑" w:cs="宋体"/>
      <w:sz w:val="24"/>
      <w:szCs w:val="20"/>
    </w:rPr>
  </w:style>
  <w:style w:type="paragraph" w:customStyle="1" w:styleId="363">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6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65">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366">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67">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68">
    <w:name w:val="样式1"/>
    <w:basedOn w:val="37"/>
    <w:next w:val="3"/>
    <w:qFormat/>
    <w:uiPriority w:val="0"/>
    <w:pPr>
      <w:ind w:firstLine="1958" w:firstLineChars="650"/>
    </w:pPr>
    <w:rPr>
      <w:rFonts w:ascii="仿宋_GB2312" w:hAnsi="仿宋_GB2312" w:eastAsia="仿宋_GB2312"/>
      <w:sz w:val="32"/>
    </w:rPr>
  </w:style>
  <w:style w:type="paragraph" w:customStyle="1" w:styleId="369">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70">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371">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72">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373">
    <w:name w:val="（符号）三标题1.1"/>
    <w:basedOn w:val="1"/>
    <w:qFormat/>
    <w:uiPriority w:val="0"/>
    <w:pPr>
      <w:numPr>
        <w:ilvl w:val="1"/>
        <w:numId w:val="10"/>
      </w:numPr>
      <w:spacing w:line="500" w:lineRule="exact"/>
      <w:ind w:firstLine="0" w:firstLineChars="0"/>
    </w:pPr>
    <w:rPr>
      <w:rFonts w:ascii="宋体" w:hAnsi="宋体"/>
    </w:rPr>
  </w:style>
  <w:style w:type="paragraph" w:customStyle="1" w:styleId="374">
    <w:name w:val=" 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375">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377">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378">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379">
    <w:name w:val="默认段落字体 Para Char Char Char Char Char Char Char Char Char1 Char"/>
    <w:basedOn w:val="1"/>
    <w:qFormat/>
    <w:uiPriority w:val="0"/>
    <w:rPr>
      <w:rFonts w:ascii="Tahoma" w:hAnsi="Tahoma"/>
      <w:sz w:val="24"/>
      <w:szCs w:val="20"/>
    </w:rPr>
  </w:style>
  <w:style w:type="paragraph" w:customStyle="1" w:styleId="380">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1">
    <w:name w:val="关键词"/>
    <w:basedOn w:val="1"/>
    <w:next w:val="1"/>
    <w:qFormat/>
    <w:uiPriority w:val="0"/>
    <w:pPr>
      <w:spacing w:line="360" w:lineRule="auto"/>
      <w:ind w:firstLine="0" w:firstLineChars="0"/>
    </w:pPr>
    <w:rPr>
      <w:rFonts w:eastAsia="黑体"/>
      <w:sz w:val="20"/>
    </w:rPr>
  </w:style>
  <w:style w:type="paragraph" w:customStyle="1" w:styleId="382">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3">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84">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5">
    <w:name w:val="正文首行缩进两字符"/>
    <w:basedOn w:val="1"/>
    <w:qFormat/>
    <w:uiPriority w:val="0"/>
    <w:pPr>
      <w:spacing w:line="360" w:lineRule="auto"/>
    </w:pPr>
    <w:rPr>
      <w:sz w:val="21"/>
    </w:rPr>
  </w:style>
  <w:style w:type="paragraph" w:customStyle="1" w:styleId="386">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387">
    <w:name w:val=" Char Char Char Char Char1"/>
    <w:basedOn w:val="1"/>
    <w:qFormat/>
    <w:uiPriority w:val="0"/>
  </w:style>
  <w:style w:type="paragraph" w:customStyle="1" w:styleId="388">
    <w:name w:val=" Char1 Char Char Char Char Char Char Char Char Char"/>
    <w:basedOn w:val="1"/>
    <w:qFormat/>
    <w:uiPriority w:val="0"/>
    <w:pPr>
      <w:spacing w:line="240" w:lineRule="auto"/>
      <w:ind w:firstLine="0" w:firstLineChars="0"/>
    </w:pPr>
    <w:rPr>
      <w:rFonts w:ascii="Tahoma" w:hAnsi="Tahoma"/>
      <w:szCs w:val="20"/>
    </w:rPr>
  </w:style>
  <w:style w:type="paragraph" w:customStyle="1" w:styleId="389">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90">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1">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92">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3">
    <w:name w:val="正文样式 首行缩进:  0.74 厘米"/>
    <w:basedOn w:val="1"/>
    <w:qFormat/>
    <w:uiPriority w:val="0"/>
    <w:pPr>
      <w:widowControl/>
      <w:tabs>
        <w:tab w:val="right" w:pos="8640"/>
      </w:tabs>
      <w:spacing w:before="156" w:beforeLines="50" w:line="360" w:lineRule="auto"/>
      <w:ind w:firstLine="420" w:firstLineChars="0"/>
    </w:pPr>
    <w:rPr>
      <w:kern w:val="0"/>
      <w:szCs w:val="20"/>
      <w:lang w:bidi="he-IL"/>
    </w:rPr>
  </w:style>
  <w:style w:type="paragraph" w:customStyle="1" w:styleId="394">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5">
    <w:name w:val="样式2"/>
    <w:basedOn w:val="1"/>
    <w:next w:val="1"/>
    <w:qFormat/>
    <w:uiPriority w:val="0"/>
    <w:rPr>
      <w:sz w:val="28"/>
    </w:rPr>
  </w:style>
  <w:style w:type="paragraph" w:customStyle="1" w:styleId="396">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7">
    <w:name w:val="DAS列表二"/>
    <w:basedOn w:val="132"/>
    <w:next w:val="132"/>
    <w:qFormat/>
    <w:uiPriority w:val="0"/>
    <w:pPr>
      <w:numPr>
        <w:ilvl w:val="0"/>
        <w:numId w:val="11"/>
      </w:numPr>
      <w:ind w:firstLineChars="0"/>
    </w:pPr>
  </w:style>
  <w:style w:type="paragraph" w:customStyle="1" w:styleId="398">
    <w:name w:val="Char Char Char Char Char2 Char2"/>
    <w:basedOn w:val="1"/>
    <w:qFormat/>
    <w:uiPriority w:val="0"/>
    <w:pPr>
      <w:spacing w:line="240" w:lineRule="auto"/>
      <w:ind w:firstLine="0" w:firstLineChars="0"/>
    </w:pPr>
    <w:rPr>
      <w:sz w:val="21"/>
      <w:szCs w:val="20"/>
    </w:rPr>
  </w:style>
  <w:style w:type="paragraph" w:customStyle="1" w:styleId="399">
    <w:name w:val="样式 正文缩进正文（首行缩进两字）表正文正文非缩进特点标题4段1 + 首行缩进:  2 字符"/>
    <w:basedOn w:val="19"/>
    <w:qFormat/>
    <w:uiPriority w:val="0"/>
    <w:pPr>
      <w:adjustRightInd w:val="0"/>
      <w:snapToGrid w:val="0"/>
      <w:spacing w:line="360" w:lineRule="auto"/>
      <w:ind w:firstLine="480"/>
    </w:pPr>
    <w:rPr>
      <w:rFonts w:eastAsia="Times New Roman"/>
      <w:szCs w:val="20"/>
    </w:rPr>
  </w:style>
  <w:style w:type="paragraph" w:customStyle="1" w:styleId="400">
    <w:name w:val="目录标题"/>
    <w:basedOn w:val="1"/>
    <w:qFormat/>
    <w:uiPriority w:val="0"/>
    <w:pPr>
      <w:spacing w:before="120" w:after="120" w:line="320" w:lineRule="atLeast"/>
      <w:jc w:val="center"/>
    </w:pPr>
    <w:rPr>
      <w:b/>
      <w:sz w:val="32"/>
    </w:rPr>
  </w:style>
  <w:style w:type="paragraph" w:customStyle="1" w:styleId="401">
    <w:name w:val="可研正文"/>
    <w:basedOn w:val="26"/>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402">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03">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0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06">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407">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0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09">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10">
    <w:name w:val="Char Char Char"/>
    <w:basedOn w:val="1"/>
    <w:qFormat/>
    <w:uiPriority w:val="0"/>
    <w:rPr>
      <w:rFonts w:ascii="Tahoma" w:hAnsi="Tahoma"/>
      <w:sz w:val="24"/>
      <w:szCs w:val="20"/>
    </w:rPr>
  </w:style>
  <w:style w:type="paragraph" w:customStyle="1" w:styleId="411">
    <w:name w:val="项目"/>
    <w:basedOn w:val="1"/>
    <w:qFormat/>
    <w:uiPriority w:val="0"/>
    <w:pPr>
      <w:numPr>
        <w:ilvl w:val="0"/>
        <w:numId w:val="12"/>
      </w:numPr>
      <w:tabs>
        <w:tab w:val="left" w:pos="840"/>
      </w:tabs>
      <w:spacing w:before="120" w:after="120" w:line="360" w:lineRule="auto"/>
      <w:ind w:firstLineChars="0"/>
      <w:jc w:val="left"/>
      <w:textAlignment w:val="baseline"/>
    </w:pPr>
    <w:rPr>
      <w:rFonts w:ascii="宋体"/>
      <w:kern w:val="0"/>
      <w:szCs w:val="20"/>
    </w:rPr>
  </w:style>
  <w:style w:type="paragraph" w:customStyle="1" w:styleId="412">
    <w:name w:val=" Char Char Char"/>
    <w:basedOn w:val="1"/>
    <w:qFormat/>
    <w:uiPriority w:val="0"/>
    <w:rPr>
      <w:rFonts w:ascii="Tahoma" w:hAnsi="Tahoma"/>
      <w:sz w:val="24"/>
      <w:szCs w:val="20"/>
    </w:rPr>
  </w:style>
  <w:style w:type="paragraph" w:customStyle="1" w:styleId="413">
    <w:name w:val="表头文本"/>
    <w:qFormat/>
    <w:uiPriority w:val="0"/>
    <w:pPr>
      <w:jc w:val="center"/>
    </w:pPr>
    <w:rPr>
      <w:rFonts w:ascii="Arial" w:hAnsi="Arial" w:eastAsia="宋体" w:cs="Times New Roman"/>
      <w:b/>
      <w:sz w:val="21"/>
      <w:szCs w:val="21"/>
      <w:lang w:val="en-US" w:eastAsia="zh-CN" w:bidi="ar-SA"/>
    </w:rPr>
  </w:style>
  <w:style w:type="paragraph" w:customStyle="1" w:styleId="41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5">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1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417">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418">
    <w:name w:val="my正文"/>
    <w:qFormat/>
    <w:uiPriority w:val="0"/>
    <w:pPr>
      <w:snapToGrid w:val="0"/>
      <w:spacing w:before="156" w:beforeLines="50" w:after="156" w:afterLines="50" w:line="300" w:lineRule="auto"/>
      <w:ind w:firstLine="480" w:firstLineChars="200"/>
    </w:pPr>
    <w:rPr>
      <w:rFonts w:ascii="宋体" w:hAnsi="宋体" w:eastAsia="宋体" w:cs="Times New Roman"/>
      <w:sz w:val="24"/>
      <w:szCs w:val="24"/>
      <w:lang w:val="en-US" w:eastAsia="zh-CN" w:bidi="ar-SA"/>
    </w:rPr>
  </w:style>
  <w:style w:type="paragraph" w:customStyle="1" w:styleId="419">
    <w:name w:val="font11"/>
    <w:basedOn w:val="1"/>
    <w:qFormat/>
    <w:uiPriority w:val="0"/>
    <w:pPr>
      <w:widowControl/>
      <w:numPr>
        <w:ilvl w:val="3"/>
        <w:numId w:val="7"/>
      </w:numPr>
      <w:tabs>
        <w:tab w:val="left" w:pos="1680"/>
      </w:tabs>
      <w:spacing w:before="100" w:beforeAutospacing="1" w:after="100" w:afterAutospacing="1"/>
      <w:ind w:left="0" w:firstLine="0"/>
      <w:jc w:val="left"/>
    </w:pPr>
    <w:rPr>
      <w:rFonts w:eastAsia="Arial Unicode MS"/>
      <w:b/>
      <w:kern w:val="0"/>
      <w:sz w:val="22"/>
      <w:szCs w:val="20"/>
    </w:rPr>
  </w:style>
  <w:style w:type="paragraph" w:customStyle="1" w:styleId="420">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21">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22">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423">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4">
    <w:name w:val="È±Ê¡ÎÄ±¾"/>
    <w:basedOn w:val="1"/>
    <w:qFormat/>
    <w:uiPriority w:val="0"/>
    <w:pPr>
      <w:widowControl/>
      <w:overflowPunct w:val="0"/>
      <w:autoSpaceDE w:val="0"/>
      <w:autoSpaceDN w:val="0"/>
      <w:adjustRightInd w:val="0"/>
      <w:jc w:val="left"/>
    </w:pPr>
    <w:rPr>
      <w:kern w:val="0"/>
      <w:sz w:val="24"/>
      <w:szCs w:val="20"/>
    </w:rPr>
  </w:style>
  <w:style w:type="paragraph" w:customStyle="1" w:styleId="425">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426">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27">
    <w:name w:val="简单回函地址"/>
    <w:basedOn w:val="1"/>
    <w:qFormat/>
    <w:uiPriority w:val="0"/>
    <w:pPr>
      <w:adjustRightInd w:val="0"/>
      <w:snapToGrid w:val="0"/>
      <w:spacing w:line="360" w:lineRule="auto"/>
      <w:ind w:firstLine="0" w:firstLineChars="0"/>
    </w:pPr>
    <w:rPr>
      <w:szCs w:val="20"/>
    </w:rPr>
  </w:style>
  <w:style w:type="paragraph" w:customStyle="1" w:styleId="428">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429">
    <w:name w:val="表格标题"/>
    <w:basedOn w:val="430"/>
    <w:qFormat/>
    <w:uiPriority w:val="0"/>
    <w:pPr>
      <w:tabs>
        <w:tab w:val="left" w:pos="425"/>
        <w:tab w:val="left" w:pos="851"/>
        <w:tab w:val="left" w:pos="1276"/>
        <w:tab w:val="left" w:pos="1701"/>
        <w:tab w:val="left" w:pos="2126"/>
        <w:tab w:val="left" w:pos="2552"/>
        <w:tab w:val="left" w:pos="2977"/>
      </w:tabs>
      <w:spacing w:before="20"/>
      <w:jc w:val="center"/>
    </w:pPr>
    <w:rPr>
      <w:rFonts w:eastAsia="楷体_GB2312"/>
      <w:b/>
    </w:rPr>
  </w:style>
  <w:style w:type="paragraph" w:customStyle="1" w:styleId="430">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431">
    <w:name w:val="正文4"/>
    <w:basedOn w:val="1"/>
    <w:qFormat/>
    <w:uiPriority w:val="0"/>
    <w:pPr>
      <w:numPr>
        <w:ilvl w:val="0"/>
        <w:numId w:val="13"/>
      </w:numPr>
      <w:tabs>
        <w:tab w:val="left" w:pos="425"/>
      </w:tabs>
      <w:spacing w:before="60" w:after="60" w:line="360" w:lineRule="auto"/>
      <w:ind w:left="820" w:leftChars="400" w:firstLineChars="0"/>
    </w:pPr>
  </w:style>
  <w:style w:type="paragraph" w:customStyle="1" w:styleId="432">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433">
    <w:name w:val="Char2"/>
    <w:basedOn w:val="1"/>
    <w:qFormat/>
    <w:uiPriority w:val="0"/>
    <w:pPr>
      <w:adjustRightInd w:val="0"/>
      <w:spacing w:line="360" w:lineRule="auto"/>
    </w:pPr>
    <w:rPr>
      <w:kern w:val="0"/>
      <w:szCs w:val="20"/>
    </w:rPr>
  </w:style>
  <w:style w:type="paragraph" w:customStyle="1" w:styleId="434">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435">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3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37">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38">
    <w:name w:val="样式 标题 1章标题Heading 0Section HeadPIM 1H1h11st levell11H1..."/>
    <w:basedOn w:val="5"/>
    <w:qFormat/>
    <w:uiPriority w:val="0"/>
    <w:pPr>
      <w:pageBreakBefore/>
      <w:widowControl w:val="0"/>
      <w:tabs>
        <w:tab w:val="left" w:pos="432"/>
      </w:tabs>
      <w:autoSpaceDE w:val="0"/>
      <w:autoSpaceDN w:val="0"/>
      <w:adjustRightInd w:val="0"/>
      <w:spacing w:before="340" w:after="330" w:line="578" w:lineRule="atLeast"/>
      <w:jc w:val="both"/>
      <w:textAlignment w:val="bottom"/>
    </w:pPr>
    <w:rPr>
      <w:rFonts w:hAnsi="宋体" w:eastAsia="黑体"/>
      <w:bCs/>
      <w:kern w:val="44"/>
      <w:szCs w:val="24"/>
    </w:rPr>
  </w:style>
  <w:style w:type="paragraph" w:customStyle="1" w:styleId="439">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40">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441">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442">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44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444">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445">
    <w:name w:val="样式 正文首行缩进 2 + 行距: 2 倍行距"/>
    <w:basedOn w:val="2"/>
    <w:qFormat/>
    <w:uiPriority w:val="0"/>
    <w:pPr>
      <w:spacing w:after="0" w:line="360" w:lineRule="auto"/>
      <w:ind w:left="200" w:leftChars="200" w:firstLine="200"/>
    </w:pPr>
    <w:rPr>
      <w:rFonts w:ascii="宋体" w:hAnsi="宋体" w:eastAsia="宋体"/>
      <w:sz w:val="21"/>
      <w:szCs w:val="24"/>
    </w:rPr>
  </w:style>
  <w:style w:type="paragraph" w:customStyle="1" w:styleId="446">
    <w:name w:val="操作步骤"/>
    <w:basedOn w:val="1"/>
    <w:qFormat/>
    <w:uiPriority w:val="0"/>
    <w:pPr>
      <w:numPr>
        <w:ilvl w:val="0"/>
        <w:numId w:val="14"/>
      </w:numPr>
      <w:tabs>
        <w:tab w:val="left" w:pos="425"/>
      </w:tabs>
      <w:autoSpaceDE w:val="0"/>
      <w:autoSpaceDN w:val="0"/>
      <w:adjustRightInd w:val="0"/>
      <w:snapToGrid w:val="0"/>
      <w:spacing w:line="40" w:lineRule="atLeast"/>
      <w:ind w:firstLineChars="0"/>
      <w:textAlignment w:val="bottom"/>
    </w:pPr>
    <w:rPr>
      <w:rFonts w:ascii="昆仑楷体" w:eastAsia="楷体_GB2312"/>
      <w:kern w:val="0"/>
      <w:sz w:val="21"/>
      <w:szCs w:val="20"/>
    </w:rPr>
  </w:style>
  <w:style w:type="paragraph" w:customStyle="1" w:styleId="44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48">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9">
    <w:name w:val="TOC 标题"/>
    <w:basedOn w:val="5"/>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450">
    <w:name w:val="Body Text Indent 2"/>
    <w:basedOn w:val="1"/>
    <w:qFormat/>
    <w:uiPriority w:val="0"/>
    <w:pPr>
      <w:adjustRightInd w:val="0"/>
      <w:spacing w:before="120" w:line="240" w:lineRule="auto"/>
      <w:ind w:firstLine="420" w:firstLineChars="0"/>
      <w:textAlignment w:val="baseline"/>
    </w:pPr>
    <w:rPr>
      <w:szCs w:val="20"/>
    </w:rPr>
  </w:style>
  <w:style w:type="paragraph" w:customStyle="1" w:styleId="451">
    <w:name w:val="Char Char Char Char Char1"/>
    <w:basedOn w:val="1"/>
    <w:qFormat/>
    <w:uiPriority w:val="0"/>
  </w:style>
  <w:style w:type="paragraph" w:customStyle="1" w:styleId="452">
    <w:name w:val="黑方框"/>
    <w:basedOn w:val="1"/>
    <w:qFormat/>
    <w:uiPriority w:val="0"/>
    <w:pPr>
      <w:spacing w:before="60" w:after="60" w:line="288" w:lineRule="auto"/>
      <w:ind w:firstLine="0" w:firstLineChars="0"/>
    </w:pPr>
    <w:rPr>
      <w:rFonts w:cs="宋体"/>
      <w:sz w:val="21"/>
      <w:szCs w:val="21"/>
    </w:rPr>
  </w:style>
  <w:style w:type="paragraph" w:customStyle="1" w:styleId="453">
    <w:name w:val="正文编码"/>
    <w:basedOn w:val="67"/>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454">
    <w:name w:val="CSS1级正文 Char"/>
    <w:basedOn w:val="26"/>
    <w:qFormat/>
    <w:uiPriority w:val="0"/>
    <w:pPr>
      <w:adjustRightInd w:val="0"/>
      <w:snapToGrid w:val="0"/>
      <w:spacing w:after="0" w:line="360" w:lineRule="auto"/>
      <w:ind w:firstLine="480" w:firstLineChars="0"/>
    </w:pPr>
    <w:rPr>
      <w:rFonts w:eastAsia="Times New Roman"/>
    </w:rPr>
  </w:style>
  <w:style w:type="paragraph" w:customStyle="1" w:styleId="455">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456">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57">
    <w:name w:val="样式3"/>
    <w:basedOn w:val="368"/>
    <w:qFormat/>
    <w:uiPriority w:val="0"/>
    <w:pPr>
      <w:ind w:firstLine="2080"/>
    </w:pPr>
    <w:rPr>
      <w:szCs w:val="72"/>
    </w:rPr>
  </w:style>
  <w:style w:type="paragraph" w:customStyle="1" w:styleId="458">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60">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461">
    <w:name w:val="标准正文1"/>
    <w:basedOn w:val="1"/>
    <w:qFormat/>
    <w:uiPriority w:val="0"/>
    <w:pPr>
      <w:spacing w:beforeLines="30" w:afterLines="30" w:line="288" w:lineRule="auto"/>
      <w:ind w:firstLine="420"/>
    </w:pPr>
    <w:rPr>
      <w:rFonts w:cs="宋体"/>
      <w:sz w:val="21"/>
      <w:szCs w:val="20"/>
    </w:rPr>
  </w:style>
  <w:style w:type="paragraph" w:customStyle="1" w:styleId="462">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463">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464">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65">
    <w:name w:val="样式 小四 行距: 1.5 倍行距 首行缩进:  2 字符"/>
    <w:basedOn w:val="1"/>
    <w:qFormat/>
    <w:uiPriority w:val="0"/>
    <w:pPr>
      <w:spacing w:line="360" w:lineRule="auto"/>
      <w:ind w:firstLine="480"/>
    </w:pPr>
    <w:rPr>
      <w:rFonts w:cs="宋体"/>
      <w:szCs w:val="20"/>
    </w:rPr>
  </w:style>
  <w:style w:type="paragraph" w:customStyle="1" w:styleId="466">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67">
    <w:name w:val="修订"/>
    <w:qFormat/>
    <w:uiPriority w:val="0"/>
    <w:rPr>
      <w:rFonts w:ascii="Times New Roman" w:hAnsi="Times New Roman" w:eastAsia="宋体" w:cs="Times New Roman"/>
      <w:kern w:val="2"/>
      <w:sz w:val="21"/>
      <w:szCs w:val="24"/>
      <w:lang w:val="en-US" w:eastAsia="zh-CN" w:bidi="ar-SA"/>
    </w:rPr>
  </w:style>
  <w:style w:type="paragraph" w:customStyle="1" w:styleId="46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69">
    <w:name w:val="正文00"/>
    <w:basedOn w:val="19"/>
    <w:qFormat/>
    <w:uiPriority w:val="0"/>
    <w:pPr>
      <w:tabs>
        <w:tab w:val="left" w:pos="0"/>
      </w:tabs>
      <w:spacing w:line="360" w:lineRule="auto"/>
      <w:ind w:firstLine="480"/>
    </w:pPr>
    <w:rPr>
      <w:rFonts w:hint="eastAsia" w:ascii="宋体" w:hAnsi="宋体" w:eastAsia="Times New Roman"/>
      <w:kern w:val="28"/>
    </w:rPr>
  </w:style>
  <w:style w:type="paragraph" w:customStyle="1" w:styleId="470">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471">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2">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73">
    <w:name w:val="标题3——2"/>
    <w:basedOn w:val="7"/>
    <w:next w:val="67"/>
    <w:qFormat/>
    <w:uiPriority w:val="0"/>
    <w:pPr>
      <w:keepNext/>
      <w:keepLines/>
      <w:widowControl w:val="0"/>
      <w:tabs>
        <w:tab w:val="left" w:pos="425"/>
        <w:tab w:val="right" w:leader="dot" w:pos="8777"/>
      </w:tabs>
      <w:spacing w:before="312" w:beforeLines="100"/>
      <w:ind w:left="851" w:hanging="851"/>
      <w:jc w:val="both"/>
      <w:outlineLvl w:val="9"/>
    </w:pPr>
    <w:rPr>
      <w:rFonts w:ascii="黑体" w:hAnsi="宋体" w:eastAsia="黑体"/>
      <w:bCs/>
      <w:sz w:val="30"/>
      <w:szCs w:val="30"/>
    </w:rPr>
  </w:style>
  <w:style w:type="paragraph" w:customStyle="1" w:styleId="474">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475">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76">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47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481">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8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484">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6">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7">
    <w:name w:val="样式 标题 1 + 居中 段前: 6 磅 段后: 6 磅 行距: 1.5 倍行距"/>
    <w:basedOn w:val="5"/>
    <w:qFormat/>
    <w:uiPriority w:val="0"/>
    <w:pPr>
      <w:widowControl w:val="0"/>
      <w:tabs>
        <w:tab w:val="left" w:pos="425"/>
      </w:tabs>
      <w:adjustRightInd w:val="0"/>
      <w:spacing w:before="120" w:after="120" w:line="360" w:lineRule="auto"/>
    </w:pPr>
    <w:rPr>
      <w:rFonts w:ascii="Times New Roman"/>
      <w:bCs/>
      <w:kern w:val="44"/>
      <w:sz w:val="32"/>
      <w:szCs w:val="24"/>
    </w:rPr>
  </w:style>
  <w:style w:type="paragraph" w:customStyle="1" w:styleId="488">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9">
    <w:name w:val="样式 正文首行缩进 2 + 首行缩进:  2 字符"/>
    <w:basedOn w:val="1"/>
    <w:qFormat/>
    <w:uiPriority w:val="0"/>
    <w:pPr>
      <w:numPr>
        <w:ilvl w:val="0"/>
        <w:numId w:val="15"/>
      </w:numPr>
      <w:tabs>
        <w:tab w:val="left" w:pos="987"/>
      </w:tabs>
      <w:adjustRightInd w:val="0"/>
      <w:snapToGrid w:val="0"/>
      <w:spacing w:line="360" w:lineRule="auto"/>
      <w:ind w:firstLineChars="0"/>
    </w:pPr>
    <w:rPr>
      <w:rFonts w:ascii="Arial" w:hAnsi="Arial"/>
      <w:b/>
      <w:bCs/>
    </w:rPr>
  </w:style>
  <w:style w:type="paragraph" w:customStyle="1" w:styleId="490">
    <w:name w:val="引用1"/>
    <w:basedOn w:val="1"/>
    <w:next w:val="1"/>
    <w:qFormat/>
    <w:uiPriority w:val="29"/>
    <w:pPr>
      <w:spacing w:line="240" w:lineRule="auto"/>
    </w:pPr>
    <w:rPr>
      <w:rFonts w:ascii="Times New Roman" w:hAnsi="Times New Roman" w:cs="Times New Roman"/>
      <w:i/>
      <w:iCs/>
      <w:szCs w:val="24"/>
    </w:rPr>
  </w:style>
  <w:style w:type="paragraph" w:customStyle="1" w:styleId="49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92">
    <w:name w:val="正文表格"/>
    <w:basedOn w:val="1"/>
    <w:qFormat/>
    <w:uiPriority w:val="0"/>
    <w:pPr>
      <w:adjustRightInd w:val="0"/>
      <w:spacing w:before="40" w:after="40" w:line="240" w:lineRule="auto"/>
      <w:ind w:firstLine="0" w:firstLineChars="0"/>
    </w:pPr>
    <w:rPr>
      <w:szCs w:val="20"/>
    </w:rPr>
  </w:style>
  <w:style w:type="paragraph" w:customStyle="1" w:styleId="493">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494">
    <w:name w:val="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49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96">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97">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99">
    <w:name w:val="正文编号2"/>
    <w:basedOn w:val="1"/>
    <w:qFormat/>
    <w:uiPriority w:val="0"/>
    <w:pPr>
      <w:spacing w:line="240" w:lineRule="auto"/>
      <w:ind w:firstLine="0" w:firstLineChars="0"/>
    </w:pPr>
    <w:rPr>
      <w:rFonts w:eastAsia="楷体_GB2312"/>
      <w:kern w:val="0"/>
      <w:sz w:val="28"/>
    </w:rPr>
  </w:style>
  <w:style w:type="paragraph" w:customStyle="1" w:styleId="500">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1">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03">
    <w:name w:val=" Char Char Char Char"/>
    <w:basedOn w:val="22"/>
    <w:qFormat/>
    <w:uiPriority w:val="0"/>
    <w:rPr>
      <w:szCs w:val="20"/>
    </w:rPr>
  </w:style>
  <w:style w:type="paragraph" w:customStyle="1" w:styleId="5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0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06">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07">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508">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509">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510">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Char Char Char1"/>
    <w:basedOn w:val="1"/>
    <w:qFormat/>
    <w:uiPriority w:val="0"/>
    <w:rPr>
      <w:rFonts w:ascii="Tahoma" w:hAnsi="Tahoma"/>
      <w:szCs w:val="20"/>
    </w:rPr>
  </w:style>
  <w:style w:type="paragraph" w:customStyle="1" w:styleId="5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3">
    <w:name w:val="DAS列表一"/>
    <w:basedOn w:val="1"/>
    <w:qFormat/>
    <w:uiPriority w:val="0"/>
    <w:pPr>
      <w:numPr>
        <w:ilvl w:val="0"/>
        <w:numId w:val="2"/>
      </w:numPr>
      <w:tabs>
        <w:tab w:val="left" w:pos="0"/>
        <w:tab w:val="left" w:pos="709"/>
      </w:tabs>
      <w:spacing w:line="240" w:lineRule="auto"/>
      <w:ind w:left="0" w:right="-2" w:firstLine="426" w:firstLineChars="0"/>
    </w:pPr>
    <w:rPr>
      <w:rFonts w:ascii="黑体" w:hAnsi="Verdana" w:eastAsia="黑体"/>
      <w:sz w:val="21"/>
      <w:szCs w:val="21"/>
    </w:rPr>
  </w:style>
  <w:style w:type="paragraph" w:customStyle="1" w:styleId="514">
    <w:name w:val="WPS Plain"/>
    <w:qFormat/>
    <w:uiPriority w:val="0"/>
    <w:rPr>
      <w:rFonts w:ascii="Times New Roman" w:hAnsi="Times New Roman" w:eastAsia="宋体" w:cs="Times New Roman"/>
      <w:lang w:val="en-US" w:eastAsia="zh-CN" w:bidi="ar-SA"/>
    </w:rPr>
  </w:style>
  <w:style w:type="paragraph" w:customStyle="1" w:styleId="515">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6">
    <w:name w:val="缺省文本"/>
    <w:basedOn w:val="1"/>
    <w:qFormat/>
    <w:uiPriority w:val="0"/>
    <w:pPr>
      <w:numPr>
        <w:ilvl w:val="2"/>
        <w:numId w:val="2"/>
      </w:numPr>
      <w:tabs>
        <w:tab w:val="left" w:pos="1685"/>
      </w:tabs>
      <w:autoSpaceDE w:val="0"/>
      <w:autoSpaceDN w:val="0"/>
      <w:adjustRightInd w:val="0"/>
      <w:spacing w:line="360" w:lineRule="auto"/>
      <w:ind w:firstLineChars="0"/>
      <w:jc w:val="left"/>
    </w:pPr>
    <w:rPr>
      <w:kern w:val="0"/>
      <w:szCs w:val="20"/>
    </w:rPr>
  </w:style>
  <w:style w:type="paragraph" w:customStyle="1" w:styleId="517">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518">
    <w:name w:val=" Char Char Char Char Char Char Char Char Char Char Char Char Char"/>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519">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0">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22">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23">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 w:val="24"/>
      <w:szCs w:val="20"/>
    </w:rPr>
  </w:style>
  <w:style w:type="paragraph" w:customStyle="1" w:styleId="524">
    <w:name w:val="Title - Revision"/>
    <w:basedOn w:val="65"/>
    <w:qFormat/>
    <w:uiPriority w:val="0"/>
    <w:pPr>
      <w:spacing w:before="720"/>
      <w:ind w:firstLine="0" w:firstLineChars="0"/>
    </w:pPr>
    <w:rPr>
      <w:rFonts w:eastAsia="Times New Roman"/>
    </w:rPr>
  </w:style>
  <w:style w:type="paragraph" w:customStyle="1" w:styleId="52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26">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27">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528">
    <w:name w:val="Title - Date"/>
    <w:basedOn w:val="65"/>
    <w:next w:val="1"/>
    <w:qFormat/>
    <w:uiPriority w:val="0"/>
    <w:pPr>
      <w:spacing w:before="240" w:after="720"/>
      <w:ind w:firstLine="0" w:firstLineChars="0"/>
    </w:pPr>
    <w:rPr>
      <w:rFonts w:eastAsia="Times New Roman"/>
      <w:sz w:val="28"/>
    </w:rPr>
  </w:style>
  <w:style w:type="paragraph" w:customStyle="1" w:styleId="529">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3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531">
    <w:name w:val="默认段落字体 Para Char"/>
    <w:basedOn w:val="1"/>
    <w:qFormat/>
    <w:uiPriority w:val="0"/>
    <w:pPr>
      <w:widowControl w:val="0"/>
      <w:spacing w:line="360" w:lineRule="auto"/>
      <w:ind w:firstLine="200" w:firstLineChars="200"/>
      <w:jc w:val="both"/>
    </w:pPr>
    <w:rPr>
      <w:kern w:val="2"/>
    </w:rPr>
  </w:style>
  <w:style w:type="paragraph" w:customStyle="1" w:styleId="532">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33">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4">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35">
    <w:name w:val=" 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536">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537">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38">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4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1">
    <w:name w:val="(符号)标书正文"/>
    <w:basedOn w:val="1"/>
    <w:qFormat/>
    <w:uiPriority w:val="0"/>
    <w:pPr>
      <w:spacing w:line="420" w:lineRule="exact"/>
      <w:ind w:firstLine="480"/>
      <w:jc w:val="left"/>
    </w:pPr>
    <w:rPr>
      <w:rFonts w:ascii="宋体" w:hAnsi="宋体" w:cs="宋体"/>
      <w:color w:val="000000"/>
    </w:rPr>
  </w:style>
  <w:style w:type="paragraph" w:customStyle="1" w:styleId="542">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54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44">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5">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46">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54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48">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549">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55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51">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53">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54">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555">
    <w:name w:val="!BECC正文"/>
    <w:basedOn w:val="1"/>
    <w:qFormat/>
    <w:uiPriority w:val="0"/>
    <w:pPr>
      <w:tabs>
        <w:tab w:val="left" w:pos="0"/>
      </w:tabs>
      <w:spacing w:before="156" w:beforeLines="50" w:after="156" w:afterLines="50" w:line="360" w:lineRule="auto"/>
    </w:pPr>
  </w:style>
  <w:style w:type="paragraph" w:customStyle="1" w:styleId="556">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55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58">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559">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60">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61">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6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63">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564">
    <w:name w:val="DOT Text"/>
    <w:basedOn w:val="9"/>
    <w:qFormat/>
    <w:uiPriority w:val="0"/>
    <w:pPr>
      <w:numPr>
        <w:ilvl w:val="0"/>
        <w:numId w:val="16"/>
      </w:numPr>
      <w:tabs>
        <w:tab w:val="left" w:pos="1680"/>
        <w:tab w:val="clear" w:pos="420"/>
      </w:tabs>
      <w:spacing w:before="25" w:beforeLines="25" w:after="25" w:afterLines="25"/>
      <w:ind w:firstLineChars="0"/>
    </w:pPr>
  </w:style>
  <w:style w:type="paragraph" w:customStyle="1" w:styleId="565">
    <w:name w:val="正文文本 21"/>
    <w:basedOn w:val="1"/>
    <w:qFormat/>
    <w:uiPriority w:val="0"/>
    <w:pPr>
      <w:adjustRightInd w:val="0"/>
      <w:spacing w:before="120" w:line="360" w:lineRule="auto"/>
      <w:ind w:firstLine="480" w:firstLineChars="0"/>
      <w:textAlignment w:val="baseline"/>
    </w:pPr>
    <w:rPr>
      <w:szCs w:val="20"/>
    </w:rPr>
  </w:style>
  <w:style w:type="paragraph" w:customStyle="1" w:styleId="566">
    <w:name w:val="正文段"/>
    <w:basedOn w:val="1"/>
    <w:qFormat/>
    <w:uiPriority w:val="0"/>
    <w:pPr>
      <w:spacing w:line="312" w:lineRule="auto"/>
      <w:ind w:firstLine="560" w:firstLineChars="0"/>
    </w:pPr>
    <w:rPr>
      <w:sz w:val="28"/>
      <w:szCs w:val="28"/>
    </w:rPr>
  </w:style>
  <w:style w:type="paragraph" w:customStyle="1" w:styleId="567">
    <w:name w:val="列表内容"/>
    <w:basedOn w:val="1"/>
    <w:next w:val="1"/>
    <w:qFormat/>
    <w:uiPriority w:val="0"/>
    <w:pPr>
      <w:widowControl/>
      <w:numPr>
        <w:ilvl w:val="0"/>
        <w:numId w:val="17"/>
      </w:numPr>
      <w:jc w:val="left"/>
    </w:pPr>
    <w:rPr>
      <w:kern w:val="0"/>
      <w:sz w:val="18"/>
    </w:rPr>
  </w:style>
  <w:style w:type="paragraph" w:customStyle="1" w:styleId="568">
    <w:name w:val="@"/>
    <w:basedOn w:val="1"/>
    <w:qFormat/>
    <w:uiPriority w:val="0"/>
    <w:pPr>
      <w:tabs>
        <w:tab w:val="left" w:pos="360"/>
      </w:tabs>
      <w:spacing w:after="156" w:afterLines="50" w:line="360" w:lineRule="auto"/>
      <w:ind w:left="360" w:hanging="360" w:firstLineChars="0"/>
    </w:pPr>
  </w:style>
  <w:style w:type="paragraph" w:customStyle="1" w:styleId="56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570">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571">
    <w:name w:val="样式 行距: 1.5 倍行距1"/>
    <w:basedOn w:val="1"/>
    <w:qFormat/>
    <w:uiPriority w:val="0"/>
    <w:pPr>
      <w:snapToGrid w:val="0"/>
      <w:spacing w:line="240" w:lineRule="auto"/>
      <w:ind w:firstLine="0" w:firstLineChars="0"/>
    </w:pPr>
    <w:rPr>
      <w:rFonts w:cs="宋体"/>
      <w:sz w:val="21"/>
      <w:szCs w:val="21"/>
    </w:rPr>
  </w:style>
  <w:style w:type="paragraph" w:customStyle="1" w:styleId="572">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73">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74">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575">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5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7">
    <w:name w:val="样式5"/>
    <w:basedOn w:val="218"/>
    <w:qFormat/>
    <w:uiPriority w:val="0"/>
  </w:style>
  <w:style w:type="paragraph" w:customStyle="1" w:styleId="578">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581">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2">
    <w:name w:val=" Char Char"/>
    <w:basedOn w:val="1"/>
    <w:next w:val="1"/>
    <w:semiHidden/>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583">
    <w:name w:val="表项"/>
    <w:next w:val="508"/>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584">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585">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8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587">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588">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89">
    <w:name w:val="正文2"/>
    <w:basedOn w:val="1"/>
    <w:qFormat/>
    <w:uiPriority w:val="0"/>
    <w:pPr>
      <w:spacing w:before="156" w:line="360" w:lineRule="auto"/>
      <w:ind w:firstLine="510"/>
    </w:pPr>
    <w:rPr>
      <w:szCs w:val="20"/>
    </w:rPr>
  </w:style>
  <w:style w:type="paragraph" w:customStyle="1" w:styleId="59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1">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2">
    <w:name w:val="列出段落1"/>
    <w:basedOn w:val="1"/>
    <w:qFormat/>
    <w:uiPriority w:val="0"/>
    <w:pPr>
      <w:spacing w:line="240" w:lineRule="auto"/>
      <w:ind w:firstLine="420"/>
    </w:pPr>
    <w:rPr>
      <w:rFonts w:ascii="Calibri" w:hAnsi="Calibri"/>
      <w:sz w:val="21"/>
      <w:szCs w:val="22"/>
    </w:rPr>
  </w:style>
  <w:style w:type="paragraph" w:customStyle="1" w:styleId="593">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594">
    <w:name w:val="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595">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596">
    <w:name w:val="图片文字"/>
    <w:basedOn w:val="1"/>
    <w:qFormat/>
    <w:uiPriority w:val="0"/>
    <w:pPr>
      <w:spacing w:line="240" w:lineRule="atLeast"/>
      <w:ind w:firstLine="0" w:firstLineChars="0"/>
      <w:jc w:val="center"/>
    </w:pPr>
    <w:rPr>
      <w:sz w:val="21"/>
      <w:szCs w:val="21"/>
    </w:rPr>
  </w:style>
  <w:style w:type="paragraph" w:customStyle="1" w:styleId="597">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99">
    <w:name w:val="没有缩进（为图形使用）"/>
    <w:basedOn w:val="1"/>
    <w:qFormat/>
    <w:uiPriority w:val="0"/>
    <w:pPr>
      <w:spacing w:before="120" w:after="120" w:line="360" w:lineRule="auto"/>
      <w:ind w:firstLine="0" w:firstLineChars="0"/>
    </w:pPr>
    <w:rPr>
      <w:szCs w:val="20"/>
    </w:rPr>
  </w:style>
  <w:style w:type="paragraph" w:customStyle="1" w:styleId="600">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601">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0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603">
    <w:name w:val="摘要"/>
    <w:basedOn w:val="1"/>
    <w:next w:val="6"/>
    <w:qFormat/>
    <w:uiPriority w:val="0"/>
    <w:pPr>
      <w:spacing w:line="360" w:lineRule="auto"/>
      <w:ind w:firstLine="0" w:firstLineChars="0"/>
    </w:pPr>
    <w:rPr>
      <w:rFonts w:eastAsia="黑体"/>
      <w:sz w:val="20"/>
    </w:rPr>
  </w:style>
  <w:style w:type="paragraph" w:customStyle="1" w:styleId="60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05">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06">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607">
    <w:name w:val="删除"/>
    <w:basedOn w:val="536"/>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608">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609">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10">
    <w:name w:val=" 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11">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12">
    <w:name w:val="标题3"/>
    <w:basedOn w:val="7"/>
    <w:qFormat/>
    <w:uiPriority w:val="0"/>
    <w:pPr>
      <w:keepNext/>
      <w:keepLines/>
      <w:widowControl w:val="0"/>
      <w:numPr>
        <w:ilvl w:val="2"/>
        <w:numId w:val="0"/>
      </w:numPr>
      <w:tabs>
        <w:tab w:val="left" w:pos="113"/>
        <w:tab w:val="left" w:pos="1230"/>
      </w:tabs>
      <w:spacing w:before="312" w:beforeLines="100" w:after="156" w:afterLines="50" w:line="300" w:lineRule="auto"/>
      <w:ind w:firstLine="510"/>
      <w:jc w:val="both"/>
      <w:outlineLvl w:val="9"/>
    </w:pPr>
    <w:rPr>
      <w:rFonts w:ascii="Arial" w:eastAsia="黑体"/>
      <w:b w:val="0"/>
      <w:spacing w:val="6"/>
      <w:kern w:val="0"/>
      <w:szCs w:val="24"/>
      <w:lang w:val="ru-RU"/>
    </w:rPr>
  </w:style>
  <w:style w:type="paragraph" w:customStyle="1" w:styleId="613">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4">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615">
    <w:name w:val="标题1"/>
    <w:basedOn w:val="5"/>
    <w:qFormat/>
    <w:uiPriority w:val="0"/>
    <w:pPr>
      <w:widowControl w:val="0"/>
      <w:tabs>
        <w:tab w:val="left" w:pos="360"/>
      </w:tabs>
      <w:snapToGrid/>
      <w:spacing w:before="156" w:beforeLines="50" w:after="120" w:line="300" w:lineRule="auto"/>
    </w:pPr>
    <w:rPr>
      <w:rFonts w:ascii="Times New Roman" w:eastAsia="黑体"/>
      <w:b w:val="0"/>
      <w:spacing w:val="6"/>
      <w:kern w:val="44"/>
      <w:szCs w:val="24"/>
    </w:rPr>
  </w:style>
  <w:style w:type="paragraph" w:customStyle="1" w:styleId="616">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17">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618">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61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20">
    <w:name w:val="图标"/>
    <w:basedOn w:val="1"/>
    <w:next w:val="1"/>
    <w:qFormat/>
    <w:uiPriority w:val="0"/>
    <w:pPr>
      <w:numPr>
        <w:ilvl w:val="0"/>
        <w:numId w:val="18"/>
      </w:numPr>
      <w:tabs>
        <w:tab w:val="left" w:pos="420"/>
        <w:tab w:val="left" w:pos="567"/>
      </w:tabs>
      <w:autoSpaceDE w:val="0"/>
      <w:autoSpaceDN w:val="0"/>
      <w:adjustRightInd w:val="0"/>
      <w:snapToGrid w:val="0"/>
      <w:spacing w:before="120" w:after="120" w:line="320" w:lineRule="atLeast"/>
      <w:ind w:firstLineChars="0"/>
      <w:jc w:val="center"/>
      <w:textAlignment w:val="baseline"/>
    </w:pPr>
    <w:rPr>
      <w:rFonts w:eastAsia="仿宋_GB2312"/>
      <w:kern w:val="0"/>
      <w:szCs w:val="20"/>
    </w:rPr>
  </w:style>
  <w:style w:type="paragraph" w:customStyle="1" w:styleId="621">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622">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3">
    <w:name w:val="样式 标题 3 + (中文) 黑体 小四 非加粗 段前: 7.8 磅 段后: 0 磅 行距: 固定值 20 磅"/>
    <w:basedOn w:val="7"/>
    <w:qFormat/>
    <w:uiPriority w:val="0"/>
    <w:pPr>
      <w:keepNext/>
      <w:keepLines/>
      <w:widowControl w:val="0"/>
      <w:spacing w:line="400" w:lineRule="exact"/>
      <w:jc w:val="both"/>
    </w:pPr>
    <w:rPr>
      <w:rFonts w:ascii="Times New Roman" w:eastAsia="黑体"/>
      <w:b w:val="0"/>
      <w:kern w:val="0"/>
    </w:rPr>
  </w:style>
  <w:style w:type="paragraph" w:customStyle="1" w:styleId="62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625">
    <w:name w:val="编号正文"/>
    <w:basedOn w:val="477"/>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626">
    <w:name w:val="List Paragraph"/>
    <w:basedOn w:val="1"/>
    <w:qFormat/>
    <w:uiPriority w:val="0"/>
    <w:pPr>
      <w:spacing w:line="240" w:lineRule="auto"/>
      <w:ind w:firstLine="420"/>
    </w:pPr>
    <w:rPr>
      <w:rFonts w:ascii="Calibri" w:hAnsi="Calibri"/>
      <w:sz w:val="21"/>
      <w:szCs w:val="22"/>
    </w:rPr>
  </w:style>
  <w:style w:type="paragraph" w:customStyle="1" w:styleId="627">
    <w:name w:val="样式 正文文本缩进正文文字首行缩进HD正文1特点标题上海中望标准PI正文普通文字正文小标题正文文字缩进 + 首行..."/>
    <w:basedOn w:val="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628">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29">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30">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631">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32">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3">
    <w:name w:val="Char Char Char Char Char Char Char Char Char"/>
    <w:basedOn w:val="1"/>
    <w:qFormat/>
    <w:uiPriority w:val="0"/>
    <w:pPr>
      <w:spacing w:line="240" w:lineRule="auto"/>
      <w:ind w:firstLine="0" w:firstLineChars="0"/>
    </w:pPr>
    <w:rPr>
      <w:rFonts w:ascii="TimesNewRomanPSMT" w:hAnsi="TimesNewRomanPSMT" w:cs="TimesNewRomanPSMT"/>
      <w:sz w:val="21"/>
      <w:szCs w:val="20"/>
    </w:rPr>
  </w:style>
  <w:style w:type="paragraph" w:customStyle="1" w:styleId="634">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35">
    <w:name w:val=" Char"/>
    <w:basedOn w:val="22"/>
    <w:qFormat/>
    <w:uiPriority w:val="0"/>
    <w:rPr>
      <w:rFonts w:ascii="Tahoma" w:hAnsi="Tahoma"/>
      <w:sz w:val="24"/>
    </w:rPr>
  </w:style>
  <w:style w:type="paragraph" w:customStyle="1" w:styleId="636">
    <w:name w:val="_Style 2"/>
    <w:basedOn w:val="1"/>
    <w:qFormat/>
    <w:uiPriority w:val="0"/>
    <w:pPr>
      <w:ind w:firstLine="420" w:firstLineChars="200"/>
    </w:pPr>
  </w:style>
  <w:style w:type="paragraph" w:customStyle="1" w:styleId="637">
    <w:name w:val="样式 正文文本缩进 + 段前: 2 字符"/>
    <w:basedOn w:val="1"/>
    <w:qFormat/>
    <w:uiPriority w:val="0"/>
    <w:pPr>
      <w:ind w:left="420" w:leftChars="200"/>
      <w:jc w:val="left"/>
    </w:pPr>
    <w:rPr>
      <w:sz w:val="28"/>
      <w:lang w:eastAsia="zh-TW"/>
    </w:rPr>
  </w:style>
  <w:style w:type="paragraph" w:customStyle="1" w:styleId="638">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639">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640">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2">
    <w:name w:val="Normal"/>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43">
    <w:name w:val="默认段落字体 Para Char Char Char Char Char Char Char"/>
    <w:basedOn w:val="1"/>
    <w:qFormat/>
    <w:uiPriority w:val="0"/>
    <w:rPr>
      <w:rFonts w:ascii="Tahoma" w:hAnsi="Tahoma"/>
      <w:b/>
      <w:sz w:val="24"/>
      <w:szCs w:val="20"/>
    </w:rPr>
  </w:style>
  <w:style w:type="paragraph" w:customStyle="1" w:styleId="644">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45">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6">
    <w:name w:val="首行缩进 1"/>
    <w:basedOn w:val="1"/>
    <w:qFormat/>
    <w:uiPriority w:val="0"/>
    <w:pPr>
      <w:spacing w:after="120" w:line="360" w:lineRule="auto"/>
    </w:pPr>
  </w:style>
  <w:style w:type="paragraph" w:customStyle="1" w:styleId="647">
    <w:name w:val="样式 左侧:  6 字符 段前: 0.5 行 段后: 0.5 行"/>
    <w:basedOn w:val="1"/>
    <w:qFormat/>
    <w:uiPriority w:val="0"/>
    <w:pPr>
      <w:snapToGrid w:val="0"/>
      <w:spacing w:before="156" w:beforeLines="50" w:after="156" w:afterLines="50" w:line="360" w:lineRule="auto"/>
      <w:ind w:left="1260" w:leftChars="600" w:firstLine="0" w:firstLineChars="0"/>
    </w:pPr>
    <w:rPr>
      <w:rFonts w:cs="宋体"/>
      <w:sz w:val="21"/>
      <w:szCs w:val="20"/>
    </w:rPr>
  </w:style>
  <w:style w:type="paragraph" w:customStyle="1" w:styleId="648">
    <w:name w:val="样式 普通正文 + 五号 首行缩进:  2 字符"/>
    <w:basedOn w:val="1"/>
    <w:qFormat/>
    <w:uiPriority w:val="0"/>
    <w:pPr>
      <w:spacing w:line="360" w:lineRule="auto"/>
      <w:ind w:firstLine="420"/>
    </w:pPr>
    <w:rPr>
      <w:rFonts w:cs="宋体"/>
      <w:sz w:val="21"/>
      <w:szCs w:val="20"/>
    </w:rPr>
  </w:style>
  <w:style w:type="paragraph" w:customStyle="1" w:styleId="649">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50">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5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5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653">
    <w:name w:val="Item List"/>
    <w:qFormat/>
    <w:uiPriority w:val="0"/>
    <w:pPr>
      <w:numPr>
        <w:ilvl w:val="0"/>
        <w:numId w:val="19"/>
      </w:numPr>
      <w:tabs>
        <w:tab w:val="left" w:pos="1644"/>
      </w:tabs>
      <w:spacing w:line="300" w:lineRule="auto"/>
      <w:jc w:val="both"/>
    </w:pPr>
    <w:rPr>
      <w:rFonts w:ascii="Arial" w:hAnsi="Arial" w:eastAsia="宋体" w:cs="Arial"/>
      <w:sz w:val="21"/>
      <w:szCs w:val="21"/>
      <w:lang w:val="en-US" w:eastAsia="zh-CN" w:bidi="ar-SA"/>
    </w:rPr>
  </w:style>
  <w:style w:type="paragraph" w:customStyle="1" w:styleId="654">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65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56">
    <w:name w:val="p0"/>
    <w:basedOn w:val="1"/>
    <w:qFormat/>
    <w:uiPriority w:val="0"/>
    <w:pPr>
      <w:widowControl/>
    </w:pPr>
    <w:rPr>
      <w:kern w:val="0"/>
      <w:szCs w:val="21"/>
    </w:rPr>
  </w:style>
  <w:style w:type="paragraph" w:customStyle="1" w:styleId="657">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658">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5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60">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66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62">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663">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664">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665">
    <w:name w:val="样式 标题 4 + 宋体 五号 行距: 多倍行距 1.25 字行"/>
    <w:basedOn w:val="4"/>
    <w:qFormat/>
    <w:uiPriority w:val="0"/>
    <w:pPr>
      <w:spacing w:line="300" w:lineRule="auto"/>
      <w:ind w:firstLine="0" w:firstLineChars="0"/>
    </w:pPr>
    <w:rPr>
      <w:rFonts w:hint="eastAsia" w:ascii="宋体" w:hAnsi="宋体" w:eastAsia="宋体"/>
      <w:sz w:val="24"/>
      <w:szCs w:val="20"/>
    </w:rPr>
  </w:style>
  <w:style w:type="paragraph" w:customStyle="1" w:styleId="666">
    <w:name w:val="tabletextchar"/>
    <w:basedOn w:val="1"/>
    <w:qFormat/>
    <w:uiPriority w:val="0"/>
    <w:pPr>
      <w:widowControl/>
      <w:spacing w:before="100" w:beforeAutospacing="1" w:after="100" w:afterAutospacing="1"/>
      <w:jc w:val="left"/>
    </w:pPr>
    <w:rPr>
      <w:rFonts w:ascii="宋体" w:hAnsi="宋体" w:cs="宋体"/>
      <w:kern w:val="0"/>
      <w:sz w:val="24"/>
    </w:rPr>
  </w:style>
  <w:style w:type="paragraph" w:customStyle="1" w:styleId="667">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668">
    <w:name w:val="样式 首行缩进:  0.74 厘米"/>
    <w:basedOn w:val="1"/>
    <w:qFormat/>
    <w:uiPriority w:val="0"/>
    <w:pPr>
      <w:spacing w:line="360" w:lineRule="auto"/>
      <w:ind w:firstLine="420" w:firstLineChars="0"/>
    </w:pPr>
    <w:rPr>
      <w:szCs w:val="20"/>
    </w:rPr>
  </w:style>
  <w:style w:type="paragraph" w:customStyle="1" w:styleId="669">
    <w:name w:val="内容正文"/>
    <w:basedOn w:val="1"/>
    <w:qFormat/>
    <w:uiPriority w:val="0"/>
    <w:pPr>
      <w:spacing w:line="300" w:lineRule="auto"/>
      <w:ind w:firstLine="482" w:firstLineChars="0"/>
    </w:pPr>
    <w:rPr>
      <w:rFonts w:ascii="Georgia" w:hAnsi="Georgia"/>
      <w:szCs w:val="20"/>
    </w:rPr>
  </w:style>
  <w:style w:type="paragraph" w:customStyle="1" w:styleId="67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71">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672">
    <w:name w:val="页眉 New New"/>
    <w:basedOn w:val="533"/>
    <w:qFormat/>
    <w:uiPriority w:val="0"/>
    <w:pPr>
      <w:pBdr>
        <w:bottom w:val="single" w:color="auto" w:sz="6" w:space="1"/>
      </w:pBdr>
      <w:tabs>
        <w:tab w:val="center" w:pos="4153"/>
        <w:tab w:val="right" w:pos="8306"/>
      </w:tabs>
      <w:snapToGrid w:val="0"/>
      <w:jc w:val="center"/>
    </w:pPr>
    <w:rPr>
      <w:sz w:val="18"/>
      <w:szCs w:val="18"/>
    </w:rPr>
  </w:style>
  <w:style w:type="paragraph" w:customStyle="1" w:styleId="673">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7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table" w:customStyle="1" w:styleId="676">
    <w:name w:val="Table"/>
    <w:basedOn w:val="69"/>
    <w:qFormat/>
    <w:uiPriority w:val="0"/>
    <w:pPr>
      <w:snapToGrid w:val="0"/>
      <w:jc w:val="left"/>
    </w:pP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table" w:customStyle="1" w:styleId="677">
    <w:name w:val="网格型2"/>
    <w:basedOn w:val="68"/>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8">
    <w:name w:val="网格型4"/>
    <w:basedOn w:val="6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9">
    <w:name w:val="网格型3"/>
    <w:basedOn w:val="68"/>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0">
    <w:name w:val="网格型5"/>
    <w:basedOn w:val="68"/>
    <w:qFormat/>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1">
    <w:name w:val="网格型1"/>
    <w:basedOn w:val="68"/>
    <w:qFormat/>
    <w:uiPriority w:val="0"/>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2">
    <w:name w:val="Table Normal"/>
    <w:unhideWhenUsed/>
    <w:qFormat/>
    <w:uiPriority w:val="0"/>
    <w:tblPr>
      <w:tblCellMar>
        <w:top w:w="0" w:type="dxa"/>
        <w:left w:w="0" w:type="dxa"/>
        <w:bottom w:w="0" w:type="dxa"/>
        <w:right w:w="0" w:type="dxa"/>
      </w:tblCellMar>
    </w:tblPr>
  </w:style>
  <w:style w:type="character" w:customStyle="1" w:styleId="68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5.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111</Pages>
  <Words>55838</Words>
  <Characters>59847</Characters>
  <Lines>308</Lines>
  <Paragraphs>86</Paragraphs>
  <TotalTime>2</TotalTime>
  <ScaleCrop>false</ScaleCrop>
  <LinksUpToDate>false</LinksUpToDate>
  <CharactersWithSpaces>63467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2018-11-29T10:33:00Z</dcterms:created>
  <dc:creator>lixd</dc:creator>
  <cp:lastModifiedBy>用心</cp:lastModifiedBy>
  <cp:lastPrinted>2022-06-10T01:47:00Z</cp:lastPrinted>
  <dcterms:modified xsi:type="dcterms:W3CDTF">2023-03-29T10:39:36Z</dcterms:modified>
  <dc:title>青海省政府采购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6C0149AD4B1346D8A33884441FC889CE</vt:lpwstr>
  </property>
</Properties>
</file>