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20"/>
        <w:jc w:val="center"/>
        <w:rPr>
          <w:rFonts w:hint="default" w:ascii="Arial" w:hAnsi="Arial" w:eastAsia="仿宋" w:cs="Arial"/>
          <w:color w:val="auto"/>
          <w:sz w:val="24"/>
          <w:szCs w:val="24"/>
          <w:lang w:val="en-US" w:eastAsia="zh-CN"/>
        </w:rPr>
      </w:pPr>
      <w:r>
        <w:rPr>
          <w:rFonts w:hint="eastAsia" w:ascii="Arial" w:hAnsi="Arial" w:eastAsia="仿宋" w:cs="Arial"/>
          <w:color w:val="auto"/>
          <w:sz w:val="24"/>
          <w:szCs w:val="24"/>
          <w:lang w:val="en-US" w:eastAsia="zh-CN"/>
        </w:rPr>
        <w:t xml:space="preserve">     </w:t>
      </w: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黑体" w:cs="Arial"/>
          <w:color w:val="auto"/>
          <w:sz w:val="24"/>
          <w:szCs w:val="24"/>
        </w:rPr>
      </w:pPr>
    </w:p>
    <w:p>
      <w:pPr>
        <w:snapToGrid w:val="0"/>
        <w:spacing w:line="360" w:lineRule="auto"/>
        <w:jc w:val="center"/>
        <w:rPr>
          <w:rFonts w:ascii="Arial" w:hAnsi="Arial" w:eastAsia="黑体" w:cs="Arial"/>
          <w:color w:val="auto"/>
          <w:sz w:val="84"/>
          <w:szCs w:val="84"/>
        </w:rPr>
      </w:pPr>
      <w:r>
        <w:rPr>
          <w:rFonts w:ascii="Arial" w:hAnsi="Arial" w:eastAsia="黑体" w:cs="Arial"/>
          <w:color w:val="auto"/>
          <w:sz w:val="84"/>
          <w:szCs w:val="84"/>
        </w:rPr>
        <w:t>竞争性磋商文件</w:t>
      </w:r>
    </w:p>
    <w:p>
      <w:pPr>
        <w:snapToGrid w:val="0"/>
        <w:spacing w:line="360" w:lineRule="auto"/>
        <w:jc w:val="center"/>
        <w:rPr>
          <w:rFonts w:ascii="Arial" w:hAnsi="Arial" w:eastAsia="黑体" w:cs="Arial"/>
          <w:color w:val="auto"/>
          <w:sz w:val="84"/>
          <w:szCs w:val="84"/>
        </w:rPr>
      </w:pPr>
    </w:p>
    <w:p>
      <w:pPr>
        <w:snapToGrid w:val="0"/>
        <w:spacing w:line="360" w:lineRule="auto"/>
        <w:jc w:val="center"/>
        <w:rPr>
          <w:rFonts w:ascii="Arial" w:hAnsi="Arial" w:eastAsia="黑体" w:cs="Arial"/>
          <w:color w:val="auto"/>
          <w:sz w:val="84"/>
          <w:szCs w:val="84"/>
        </w:rPr>
      </w:pPr>
    </w:p>
    <w:p>
      <w:pPr>
        <w:snapToGrid w:val="0"/>
        <w:spacing w:line="360" w:lineRule="auto"/>
        <w:jc w:val="both"/>
        <w:rPr>
          <w:rFonts w:ascii="Arial" w:hAnsi="Arial" w:eastAsia="黑体" w:cs="Arial"/>
          <w:color w:val="auto"/>
          <w:sz w:val="84"/>
          <w:szCs w:val="84"/>
        </w:rPr>
      </w:pPr>
    </w:p>
    <w:p>
      <w:pPr>
        <w:pStyle w:val="29"/>
        <w:rPr>
          <w:color w:val="auto"/>
        </w:rPr>
      </w:pPr>
    </w:p>
    <w:p>
      <w:pPr>
        <w:snapToGrid w:val="0"/>
        <w:spacing w:line="480" w:lineRule="auto"/>
        <w:ind w:firstLine="1400" w:firstLineChars="500"/>
        <w:jc w:val="left"/>
        <w:rPr>
          <w:rFonts w:hint="eastAsia" w:ascii="黑体" w:hAnsi="黑体" w:eastAsia="黑体" w:cs="黑体"/>
          <w:color w:val="auto"/>
          <w:sz w:val="28"/>
          <w:szCs w:val="28"/>
          <w:u w:val="none"/>
          <w:lang w:val="zh-CN" w:eastAsia="zh-CN"/>
        </w:rPr>
      </w:pPr>
      <w:r>
        <w:rPr>
          <w:rFonts w:hint="eastAsia" w:ascii="黑体" w:hAnsi="黑体" w:eastAsia="黑体" w:cs="黑体"/>
          <w:color w:val="auto"/>
          <w:sz w:val="28"/>
          <w:szCs w:val="28"/>
          <w:u w:val="none"/>
        </w:rPr>
        <w:t>采购项目编号：</w:t>
      </w:r>
      <w:r>
        <w:rPr>
          <w:rFonts w:hint="eastAsia" w:ascii="黑体" w:hAnsi="黑体" w:eastAsia="黑体" w:cs="黑体"/>
          <w:color w:val="auto"/>
          <w:sz w:val="28"/>
          <w:szCs w:val="28"/>
          <w:u w:val="none"/>
          <w:lang w:val="zh-CN"/>
        </w:rPr>
        <w:t>青海合美竞磋（服务）2020-00</w:t>
      </w:r>
      <w:r>
        <w:rPr>
          <w:rFonts w:hint="eastAsia" w:ascii="黑体" w:hAnsi="黑体" w:eastAsia="黑体" w:cs="黑体"/>
          <w:color w:val="auto"/>
          <w:sz w:val="28"/>
          <w:szCs w:val="28"/>
          <w:u w:val="none"/>
          <w:lang w:val="en-US" w:eastAsia="zh-CN"/>
        </w:rPr>
        <w:t>4</w:t>
      </w:r>
    </w:p>
    <w:p>
      <w:pPr>
        <w:snapToGrid w:val="0"/>
        <w:spacing w:line="240" w:lineRule="auto"/>
        <w:ind w:left="8676" w:leftChars="665" w:hanging="7280" w:hangingChars="2600"/>
        <w:jc w:val="left"/>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rPr>
        <w:t>采购项目名称：</w:t>
      </w:r>
      <w:r>
        <w:rPr>
          <w:rFonts w:hint="eastAsia" w:ascii="黑体" w:hAnsi="黑体" w:eastAsia="黑体" w:cs="黑体"/>
          <w:color w:val="auto"/>
          <w:sz w:val="28"/>
          <w:szCs w:val="28"/>
          <w:u w:val="none"/>
          <w:lang w:eastAsia="zh-CN"/>
        </w:rPr>
        <w:t>乌图美仁乡9个牧业村村级规划及测绘项目（包一）</w:t>
      </w:r>
      <w:r>
        <w:rPr>
          <w:rFonts w:hint="eastAsia" w:ascii="黑体" w:hAnsi="黑体" w:eastAsia="黑体" w:cs="黑体"/>
          <w:color w:val="auto"/>
          <w:sz w:val="28"/>
          <w:szCs w:val="28"/>
          <w:u w:val="none"/>
          <w:lang w:val="en-US" w:eastAsia="zh-CN"/>
        </w:rPr>
        <w:t xml:space="preserve">    </w:t>
      </w:r>
      <w:r>
        <w:rPr>
          <w:rFonts w:hint="eastAsia" w:ascii="黑体" w:hAnsi="黑体" w:eastAsia="黑体" w:cs="黑体"/>
          <w:color w:val="auto"/>
          <w:sz w:val="28"/>
          <w:szCs w:val="28"/>
          <w:u w:val="none"/>
          <w:lang w:eastAsia="zh-CN"/>
        </w:rPr>
        <w:t>（三次）</w:t>
      </w:r>
    </w:p>
    <w:p>
      <w:pPr>
        <w:snapToGrid w:val="0"/>
        <w:spacing w:line="480" w:lineRule="auto"/>
        <w:ind w:firstLine="1400" w:firstLineChars="500"/>
        <w:jc w:val="left"/>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rPr>
        <w:t>采购人：</w:t>
      </w:r>
      <w:r>
        <w:rPr>
          <w:rFonts w:hint="eastAsia" w:ascii="黑体" w:hAnsi="黑体" w:eastAsia="黑体" w:cs="黑体"/>
          <w:color w:val="auto"/>
          <w:sz w:val="28"/>
          <w:szCs w:val="28"/>
          <w:u w:val="none"/>
          <w:lang w:eastAsia="zh-CN"/>
        </w:rPr>
        <w:t>格尔木市西城区行政委员会</w:t>
      </w:r>
    </w:p>
    <w:p>
      <w:pPr>
        <w:snapToGrid w:val="0"/>
        <w:spacing w:line="480" w:lineRule="auto"/>
        <w:ind w:firstLine="1400" w:firstLineChars="500"/>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rPr>
        <w:t>采购代理机构：</w:t>
      </w:r>
      <w:r>
        <w:rPr>
          <w:rFonts w:hint="eastAsia" w:ascii="黑体" w:hAnsi="黑体" w:eastAsia="黑体" w:cs="黑体"/>
          <w:color w:val="auto"/>
          <w:sz w:val="28"/>
          <w:szCs w:val="28"/>
          <w:u w:val="none"/>
          <w:lang w:eastAsia="zh-CN"/>
        </w:rPr>
        <w:t>青海合美建设工程咨询有限公司</w:t>
      </w:r>
    </w:p>
    <w:p>
      <w:pPr>
        <w:snapToGrid w:val="0"/>
        <w:spacing w:line="480" w:lineRule="auto"/>
        <w:jc w:val="center"/>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 xml:space="preserve"> </w:t>
      </w:r>
    </w:p>
    <w:p>
      <w:pPr>
        <w:snapToGrid w:val="0"/>
        <w:spacing w:line="480" w:lineRule="auto"/>
        <w:jc w:val="center"/>
        <w:rPr>
          <w:rFonts w:hint="eastAsia" w:ascii="黑体" w:hAnsi="黑体" w:eastAsia="黑体" w:cs="黑体"/>
          <w:b w:val="0"/>
          <w:bCs w:val="0"/>
          <w:color w:val="auto"/>
          <w:sz w:val="30"/>
          <w:szCs w:val="30"/>
          <w:u w:val="none"/>
        </w:rPr>
      </w:pPr>
      <w:r>
        <w:rPr>
          <w:rFonts w:hint="eastAsia" w:ascii="黑体" w:hAnsi="黑体" w:eastAsia="黑体" w:cs="黑体"/>
          <w:b w:val="0"/>
          <w:bCs w:val="0"/>
          <w:color w:val="auto"/>
          <w:sz w:val="30"/>
          <w:szCs w:val="30"/>
          <w:u w:val="none"/>
        </w:rPr>
        <w:t>2020年</w:t>
      </w:r>
      <w:r>
        <w:rPr>
          <w:rFonts w:hint="eastAsia" w:ascii="黑体" w:hAnsi="黑体" w:eastAsia="黑体" w:cs="黑体"/>
          <w:b w:val="0"/>
          <w:bCs w:val="0"/>
          <w:color w:val="auto"/>
          <w:sz w:val="30"/>
          <w:szCs w:val="30"/>
          <w:u w:val="none"/>
          <w:lang w:val="en-US" w:eastAsia="zh-CN"/>
        </w:rPr>
        <w:t>8</w:t>
      </w:r>
      <w:r>
        <w:rPr>
          <w:rFonts w:hint="eastAsia" w:ascii="黑体" w:hAnsi="黑体" w:eastAsia="黑体" w:cs="黑体"/>
          <w:b w:val="0"/>
          <w:bCs w:val="0"/>
          <w:color w:val="auto"/>
          <w:sz w:val="30"/>
          <w:szCs w:val="30"/>
          <w:u w:val="none"/>
        </w:rPr>
        <w:t>月</w:t>
      </w:r>
    </w:p>
    <w:p>
      <w:pPr>
        <w:widowControl/>
        <w:tabs>
          <w:tab w:val="center" w:pos="4790"/>
          <w:tab w:val="left" w:pos="5848"/>
        </w:tabs>
        <w:ind w:right="199" w:rightChars="95"/>
        <w:jc w:val="left"/>
        <w:rPr>
          <w:rFonts w:hint="eastAsia" w:ascii="新宋体" w:hAnsi="新宋体" w:eastAsia="新宋体" w:cs="新宋体"/>
          <w:color w:val="auto"/>
          <w:sz w:val="36"/>
          <w:szCs w:val="36"/>
          <w:lang w:eastAsia="zh-CN"/>
        </w:rPr>
      </w:pPr>
      <w:r>
        <w:rPr>
          <w:rFonts w:hint="eastAsia" w:ascii="新宋体" w:hAnsi="新宋体" w:eastAsia="新宋体" w:cs="新宋体"/>
          <w:color w:val="auto"/>
          <w:sz w:val="36"/>
          <w:szCs w:val="36"/>
          <w:lang w:eastAsia="zh-CN"/>
        </w:rPr>
        <w:tab/>
      </w:r>
    </w:p>
    <w:p>
      <w:pPr>
        <w:widowControl/>
        <w:tabs>
          <w:tab w:val="center" w:pos="4790"/>
          <w:tab w:val="left" w:pos="5848"/>
        </w:tabs>
        <w:ind w:right="199" w:rightChars="95" w:firstLine="4320" w:firstLineChars="1200"/>
        <w:jc w:val="left"/>
        <w:rPr>
          <w:rFonts w:hint="eastAsia" w:ascii="新宋体" w:hAnsi="新宋体" w:eastAsia="新宋体" w:cs="新宋体"/>
          <w:color w:val="auto"/>
          <w:sz w:val="36"/>
          <w:szCs w:val="36"/>
          <w:lang w:eastAsia="zh-CN"/>
        </w:rPr>
      </w:pPr>
      <w:r>
        <w:rPr>
          <w:rFonts w:hint="eastAsia" w:ascii="新宋体" w:hAnsi="新宋体" w:eastAsia="新宋体" w:cs="新宋体"/>
          <w:color w:val="auto"/>
          <w:sz w:val="36"/>
          <w:szCs w:val="36"/>
        </w:rPr>
        <w:t>目</w:t>
      </w:r>
      <w:r>
        <w:rPr>
          <w:rFonts w:hint="eastAsia" w:ascii="新宋体" w:hAnsi="新宋体" w:eastAsia="新宋体" w:cs="新宋体"/>
          <w:color w:val="auto"/>
          <w:sz w:val="36"/>
          <w:szCs w:val="36"/>
          <w:lang w:val="en-US" w:eastAsia="zh-CN"/>
        </w:rPr>
        <w:t xml:space="preserve"> </w:t>
      </w:r>
      <w:r>
        <w:rPr>
          <w:rFonts w:hint="eastAsia" w:ascii="新宋体" w:hAnsi="新宋体" w:eastAsia="新宋体" w:cs="新宋体"/>
          <w:color w:val="auto"/>
          <w:sz w:val="36"/>
          <w:szCs w:val="36"/>
        </w:rPr>
        <w:t>录</w:t>
      </w:r>
      <w:r>
        <w:rPr>
          <w:rFonts w:hint="eastAsia" w:ascii="新宋体" w:hAnsi="新宋体" w:eastAsia="新宋体" w:cs="新宋体"/>
          <w:color w:val="auto"/>
          <w:sz w:val="36"/>
          <w:szCs w:val="36"/>
          <w:lang w:eastAsia="zh-CN"/>
        </w:rPr>
        <w:tab/>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TOC \o "1-3" \h \z \u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"_Toc9047"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第一部分 竞争性磋商邀请</w:t>
      </w:r>
      <w:r>
        <w:rPr>
          <w:rFonts w:hint="eastAsia" w:ascii="新宋体" w:hAnsi="新宋体" w:eastAsia="新宋体" w:cs="新宋体"/>
          <w:color w:val="auto"/>
          <w:sz w:val="24"/>
          <w:szCs w:val="24"/>
        </w:rPr>
        <w:tab/>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PAGEREF _Toc9047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5</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fldChar w:fldCharType="end"/>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"_Toc24418"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第二部分 投标人须知</w:t>
      </w:r>
      <w:r>
        <w:rPr>
          <w:rFonts w:hint="eastAsia" w:ascii="新宋体" w:hAnsi="新宋体" w:eastAsia="新宋体" w:cs="新宋体"/>
          <w:color w:val="auto"/>
          <w:sz w:val="24"/>
          <w:szCs w:val="24"/>
        </w:rPr>
        <w:tab/>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PAGEREF _Toc24418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8</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"_Toc24464"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1.使用范围</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_Toc24464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8</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"_Toc21344"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2.采购方式、合格的投标人</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_Toc21344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8</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"_Toc31780"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3.投标费用</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_Toc31780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8</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"_Toc27056"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二、磋商文件说明</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_Toc27056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8</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"_Toc19506"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4.磋商文件的构成</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_Toc19506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8</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"_Toc15148"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5.竞争性磋商公告、磋商文件、采购活动成交结果的质疑</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_Toc15148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9</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"_Toc8942"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6.磋商文件的澄清或修改</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_Toc8942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9</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"_Toc9483"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三、响应文件的编制</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_Toc9483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10</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"_Toc11323"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7.响应文件的语言及度量衡单位</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_Toc11323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10</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"_Toc260"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8.磋商报价及币种</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_Toc260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10</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"_Toc19153"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9.磋商保证金</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_Toc19153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10</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"_Toc16225"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10.投标有效期</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_Toc16225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11</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"_Toc11383"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11.响应文件构成</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_Toc11383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11</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"_Toc720"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11.1响应文件</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_Toc720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11</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"_Toc21384"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12.响应文件的编制要求</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_Toc21384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12</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"_Toc10231"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四、响应文件的提交</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_Toc10231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13</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"_Toc27829"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13.响应文件的密封和标记</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_Toc27829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13</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"_Toc3464"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14.提交响应文件的时间、地点、方式</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_Toc3464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13</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"_Toc32344"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15.响应文件的补充、修改或者撤回</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_Toc32344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13</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"_Toc4287"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五、开标</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_Toc4287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13</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"_Toc20210"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16.开标</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_Toc20210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13</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"_Toc2131"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六、资格审查程序</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_Toc2131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14</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"_Toc17330"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17.资格审查</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_Toc17330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14</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"_Toc20671"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七、评审程序及方法</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_Toc20671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14</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"_Toc19208"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18.磋商小组</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_Toc19208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14</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"_Toc6927"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19.评审工作程序</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_Toc6927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16</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"_Toc17601"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20.评审方法和标准</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_Toc17601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18</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"_Toc14085"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八、成交</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_Toc14085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20</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"_Toc7198"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21.推荐并确定成交人</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_Toc7198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20</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"_Toc23385"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22.成交通知</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_Toc23385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21</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"_Toc11136"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九、授予合同</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_Toc11136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21</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"_Toc17712"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23.签订合同</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_Toc17712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21</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"_Toc32419"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十、招标代理费</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_Toc32419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22</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"_Toc4082"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十一、其他</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_Toc4082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22</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"_Toc28541"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第三部分 青海省政府采购项目合同书范本</w:t>
      </w:r>
      <w:r>
        <w:rPr>
          <w:rFonts w:hint="eastAsia" w:ascii="新宋体" w:hAnsi="新宋体" w:eastAsia="新宋体" w:cs="新宋体"/>
          <w:color w:val="auto"/>
          <w:sz w:val="24"/>
          <w:szCs w:val="24"/>
        </w:rPr>
        <w:tab/>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PAGEREF _Toc28541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24</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fldChar w:fldCharType="end"/>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"_Toc28968"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第四部分 响应文件格式</w:t>
      </w:r>
      <w:r>
        <w:rPr>
          <w:rFonts w:hint="eastAsia" w:ascii="新宋体" w:hAnsi="新宋体" w:eastAsia="新宋体" w:cs="新宋体"/>
          <w:color w:val="auto"/>
          <w:sz w:val="24"/>
          <w:szCs w:val="24"/>
        </w:rPr>
        <w:tab/>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PAGEREF _Toc28968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36</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fldChar w:fldCharType="end"/>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"_Toc8210"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目录</w:t>
      </w:r>
      <w:r>
        <w:rPr>
          <w:rFonts w:hint="eastAsia" w:ascii="新宋体" w:hAnsi="新宋体" w:eastAsia="新宋体" w:cs="新宋体"/>
          <w:color w:val="auto"/>
          <w:sz w:val="24"/>
          <w:szCs w:val="24"/>
        </w:rPr>
        <w:tab/>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PAGEREF _Toc8210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37</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"_Toc22492"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（1）响应函</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_Toc22492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38</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"_Toc12044"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（2）法定代表人证明书</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_Toc12044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39</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"_Toc22722"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（3）法定代表人授权书</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_Toc22722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40</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z w:val="24"/>
          <w:szCs w:val="24"/>
        </w:rPr>
        <w:t>（4）投标人承诺函</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_Toc22380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42</w:t>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"_Toc22380"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（5）投标人诚信承诺书</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_Toc22380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42</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"_Toc14829"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（6）资格证明材料</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_Toc14829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43</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"_Toc10717"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（7）财务状况报告，依法缴纳税收和社会保障资金的相关材料</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_Toc10717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44</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"_Toc22820"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（8）具备履行合同所必须的设备和专业技术能力的证明材料</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_Toc22820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45</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"_Toc15801"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（9）无重大违法记录声明</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_Toc15801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46</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"_Toc10675"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（10）磋商保证金证明</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_Toc10675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47</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"_Toc2809"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（11）评分对照表</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_Toc2809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48</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"_Toc6990"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（12）磋商一览表（报价表）</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_Toc6990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49</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"_Toc15392"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（13）分项报价表</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_Toc15392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50</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"_Toc32681"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（14）服务规格响应表</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_Toc32681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51</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"_Toc12479"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（15）投标服务相关资料</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_Toc12479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52</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"_Toc8537"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（16）技术服务方案</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_Toc8537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53</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"_Toc7972"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（17）投标人的类似业绩证明材料</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_Toc7972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54</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"_Toc25961"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（18.1）制造（生产）企业小型、微型企业声明函</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_Toc25961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55</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"_Toc2139"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（18.2）从业人员声明函</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_Toc2139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56</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"_Toc24630"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（19）残疾人福利性单位声明函</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_Toc24630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57</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color w:val="auto"/>
          <w:sz w:val="24"/>
          <w:szCs w:val="24"/>
        </w:rPr>
      </w:pPr>
    </w:p>
    <w:p>
      <w:pPr>
        <w:pStyle w:val="22"/>
        <w:tabs>
          <w:tab w:val="right" w:leader="dot" w:pos="9660"/>
          <w:tab w:val="clear" w:pos="9514"/>
        </w:tabs>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"_Toc28867"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（20）投标人认为在其他方面有必要说明的事项</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_Toc28867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58</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"_Toc10291"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（21）投标人最终报价表</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rPr>
        <w:fldChar w:fldCharType="begin"/>
      </w:r>
      <w:r>
        <w:rPr>
          <w:rFonts w:hint="eastAsia" w:ascii="新宋体" w:hAnsi="新宋体" w:eastAsia="新宋体" w:cs="新宋体"/>
          <w:b w:val="0"/>
          <w:bCs w:val="0"/>
          <w:color w:val="auto"/>
          <w:sz w:val="24"/>
          <w:szCs w:val="24"/>
        </w:rPr>
        <w:instrText xml:space="preserve"> PAGEREF _Toc10291 </w:instrText>
      </w:r>
      <w:r>
        <w:rPr>
          <w:rFonts w:hint="eastAsia" w:ascii="新宋体" w:hAnsi="新宋体" w:eastAsia="新宋体" w:cs="新宋体"/>
          <w:b w:val="0"/>
          <w:bCs w:val="0"/>
          <w:color w:val="auto"/>
          <w:sz w:val="24"/>
          <w:szCs w:val="24"/>
        </w:rPr>
        <w:fldChar w:fldCharType="separate"/>
      </w:r>
      <w:r>
        <w:rPr>
          <w:rFonts w:hint="eastAsia" w:ascii="新宋体" w:hAnsi="新宋体" w:eastAsia="新宋体" w:cs="新宋体"/>
          <w:b w:val="0"/>
          <w:bCs w:val="0"/>
          <w:color w:val="auto"/>
          <w:sz w:val="24"/>
          <w:szCs w:val="24"/>
        </w:rPr>
        <w:t>59</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rPr>
        <w:fldChar w:fldCharType="end"/>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"_Toc29262"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第五部分 采购项目要求及技术参数</w:t>
      </w:r>
      <w:r>
        <w:rPr>
          <w:rFonts w:hint="eastAsia" w:ascii="新宋体" w:hAnsi="新宋体" w:eastAsia="新宋体" w:cs="新宋体"/>
          <w:color w:val="auto"/>
          <w:sz w:val="24"/>
          <w:szCs w:val="24"/>
        </w:rPr>
        <w:tab/>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PAGEREF _Toc29262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60</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fldChar w:fldCharType="end"/>
      </w:r>
    </w:p>
    <w:p>
      <w:pPr>
        <w:pStyle w:val="22"/>
        <w:tabs>
          <w:tab w:val="right" w:leader="dot" w:pos="9660"/>
          <w:tab w:val="clear" w:pos="9514"/>
        </w:tabs>
        <w:ind w:firstLine="482" w:firstLineChars="200"/>
        <w:jc w:val="left"/>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"_Toc32685"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rPr>
        <w:t>1.投标说明</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lang w:val="en-US" w:eastAsia="zh-CN"/>
        </w:rPr>
        <w:t>6</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lang w:val="en-US" w:eastAsia="zh-CN"/>
        </w:rPr>
        <w:t>1</w:t>
      </w:r>
    </w:p>
    <w:p>
      <w:pPr>
        <w:pStyle w:val="22"/>
        <w:tabs>
          <w:tab w:val="right" w:leader="dot" w:pos="9660"/>
          <w:tab w:val="clear" w:pos="9514"/>
        </w:tabs>
        <w:ind w:firstLine="482" w:firstLineChars="200"/>
        <w:jc w:val="left"/>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"_Toc5566"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lang w:val="en-US" w:eastAsia="zh-CN"/>
        </w:rPr>
        <w:t>2</w:t>
      </w:r>
      <w:r>
        <w:rPr>
          <w:rFonts w:hint="eastAsia" w:ascii="新宋体" w:hAnsi="新宋体" w:eastAsia="新宋体" w:cs="新宋体"/>
          <w:b w:val="0"/>
          <w:bCs w:val="0"/>
          <w:color w:val="auto"/>
          <w:sz w:val="24"/>
          <w:szCs w:val="24"/>
        </w:rPr>
        <w:t>.商务要求</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lang w:val="en-US" w:eastAsia="zh-CN"/>
        </w:rPr>
        <w:t>6</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lang w:val="en-US" w:eastAsia="zh-CN"/>
        </w:rPr>
        <w:t>1</w:t>
      </w:r>
    </w:p>
    <w:p>
      <w:pPr>
        <w:pStyle w:val="22"/>
        <w:tabs>
          <w:tab w:val="right" w:leader="dot" w:pos="9660"/>
          <w:tab w:val="clear" w:pos="9514"/>
        </w:tabs>
        <w:ind w:firstLine="482"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\l "_Toc2561"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b w:val="0"/>
          <w:bCs w:val="0"/>
          <w:color w:val="auto"/>
          <w:sz w:val="24"/>
          <w:szCs w:val="24"/>
          <w:lang w:val="en-US" w:eastAsia="zh-CN"/>
        </w:rPr>
        <w:t>3</w:t>
      </w:r>
      <w:r>
        <w:rPr>
          <w:rFonts w:hint="eastAsia" w:ascii="新宋体" w:hAnsi="新宋体" w:eastAsia="新宋体" w:cs="新宋体"/>
          <w:b w:val="0"/>
          <w:bCs w:val="0"/>
          <w:color w:val="auto"/>
          <w:sz w:val="24"/>
          <w:szCs w:val="24"/>
        </w:rPr>
        <w:t>.</w:t>
      </w:r>
      <w:r>
        <w:rPr>
          <w:rFonts w:hint="eastAsia" w:ascii="新宋体" w:hAnsi="新宋体" w:eastAsia="新宋体" w:cs="新宋体"/>
          <w:b w:val="0"/>
          <w:bCs w:val="0"/>
          <w:color w:val="auto"/>
          <w:sz w:val="24"/>
          <w:szCs w:val="24"/>
          <w:lang w:eastAsia="zh-CN"/>
        </w:rPr>
        <w:t>技术参数</w:t>
      </w:r>
      <w:r>
        <w:rPr>
          <w:rFonts w:hint="eastAsia" w:ascii="新宋体" w:hAnsi="新宋体" w:eastAsia="新宋体" w:cs="新宋体"/>
          <w:b w:val="0"/>
          <w:bCs w:val="0"/>
          <w:color w:val="auto"/>
          <w:sz w:val="24"/>
          <w:szCs w:val="24"/>
        </w:rPr>
        <w:tab/>
      </w:r>
      <w:r>
        <w:rPr>
          <w:rFonts w:hint="eastAsia" w:ascii="新宋体" w:hAnsi="新宋体" w:eastAsia="新宋体" w:cs="新宋体"/>
          <w:b w:val="0"/>
          <w:bCs w:val="0"/>
          <w:color w:val="auto"/>
          <w:sz w:val="24"/>
          <w:szCs w:val="24"/>
          <w:lang w:val="en-US" w:eastAsia="zh-CN"/>
        </w:rPr>
        <w:t>6</w:t>
      </w:r>
      <w:r>
        <w:rPr>
          <w:rFonts w:hint="eastAsia" w:ascii="新宋体" w:hAnsi="新宋体" w:eastAsia="新宋体" w:cs="新宋体"/>
          <w:b w:val="0"/>
          <w:bCs w:val="0"/>
          <w:color w:val="auto"/>
          <w:sz w:val="24"/>
          <w:szCs w:val="24"/>
        </w:rPr>
        <w:fldChar w:fldCharType="end"/>
      </w:r>
      <w:r>
        <w:rPr>
          <w:rFonts w:hint="eastAsia" w:ascii="新宋体" w:hAnsi="新宋体" w:eastAsia="新宋体" w:cs="新宋体"/>
          <w:b w:val="0"/>
          <w:bCs w:val="0"/>
          <w:color w:val="auto"/>
          <w:sz w:val="24"/>
          <w:szCs w:val="24"/>
          <w:lang w:val="en-US" w:eastAsia="zh-CN"/>
        </w:rPr>
        <w:t>2</w:t>
      </w:r>
    </w:p>
    <w:p>
      <w:pPr>
        <w:pStyle w:val="22"/>
        <w:tabs>
          <w:tab w:val="right" w:leader="dot" w:pos="9660"/>
          <w:tab w:val="clear" w:pos="9514"/>
        </w:tabs>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end"/>
      </w:r>
    </w:p>
    <w:p>
      <w:pPr>
        <w:pStyle w:val="2"/>
        <w:adjustRightInd w:val="0"/>
        <w:snapToGrid w:val="0"/>
        <w:spacing w:before="0" w:after="0" w:line="400" w:lineRule="exact"/>
        <w:rPr>
          <w:rFonts w:ascii="仿宋" w:hAnsi="仿宋" w:eastAsia="仿宋" w:cs="仿宋"/>
          <w:color w:val="auto"/>
          <w:sz w:val="36"/>
          <w:szCs w:val="36"/>
        </w:rPr>
      </w:pPr>
      <w:bookmarkStart w:id="0" w:name="_Toc32640"/>
      <w:r>
        <w:rPr>
          <w:rFonts w:hint="eastAsia" w:ascii="仿宋" w:hAnsi="仿宋" w:eastAsia="仿宋" w:cs="仿宋"/>
          <w:color w:val="auto"/>
          <w:sz w:val="36"/>
          <w:szCs w:val="36"/>
        </w:rPr>
        <w:br w:type="page"/>
      </w:r>
    </w:p>
    <w:p>
      <w:pPr>
        <w:pStyle w:val="2"/>
        <w:jc w:val="center"/>
        <w:rPr>
          <w:rFonts w:hint="eastAsia" w:ascii="新宋体" w:hAnsi="新宋体" w:eastAsia="新宋体" w:cs="新宋体"/>
          <w:color w:val="auto"/>
          <w:sz w:val="36"/>
          <w:szCs w:val="36"/>
        </w:rPr>
      </w:pPr>
      <w:bookmarkStart w:id="1" w:name="_Toc9047"/>
      <w:r>
        <w:rPr>
          <w:rFonts w:hint="eastAsia" w:ascii="新宋体" w:hAnsi="新宋体" w:eastAsia="新宋体" w:cs="新宋体"/>
          <w:color w:val="auto"/>
          <w:sz w:val="36"/>
          <w:szCs w:val="36"/>
        </w:rPr>
        <w:t xml:space="preserve">第一部分 </w:t>
      </w:r>
      <w:bookmarkEnd w:id="0"/>
      <w:r>
        <w:rPr>
          <w:rFonts w:hint="eastAsia" w:ascii="新宋体" w:hAnsi="新宋体" w:eastAsia="新宋体" w:cs="新宋体"/>
          <w:color w:val="auto"/>
          <w:sz w:val="36"/>
          <w:szCs w:val="36"/>
        </w:rPr>
        <w:t>竞争性磋商邀请</w:t>
      </w:r>
      <w:bookmarkEnd w:id="1"/>
    </w:p>
    <w:p>
      <w:pPr>
        <w:widowControl/>
        <w:snapToGrid w:val="0"/>
        <w:spacing w:line="360" w:lineRule="auto"/>
        <w:ind w:firstLine="480" w:firstLineChars="20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u w:val="single"/>
          <w:lang w:eastAsia="zh-CN"/>
        </w:rPr>
        <w:t>青海合美建设工程咨询有限公司</w:t>
      </w:r>
      <w:r>
        <w:rPr>
          <w:rFonts w:hint="eastAsia" w:ascii="新宋体" w:hAnsi="新宋体" w:eastAsia="新宋体" w:cs="新宋体"/>
          <w:color w:val="auto"/>
          <w:sz w:val="24"/>
          <w:szCs w:val="24"/>
        </w:rPr>
        <w:t>（以下均简称“采购代理机构”）受</w:t>
      </w:r>
      <w:r>
        <w:rPr>
          <w:rFonts w:hint="eastAsia" w:ascii="新宋体" w:hAnsi="新宋体" w:eastAsia="新宋体" w:cs="新宋体"/>
          <w:color w:val="auto"/>
          <w:sz w:val="24"/>
          <w:szCs w:val="24"/>
          <w:u w:val="single"/>
          <w:lang w:eastAsia="zh-CN"/>
        </w:rPr>
        <w:t>格尔木市西城区行政委员会</w:t>
      </w:r>
      <w:r>
        <w:rPr>
          <w:rFonts w:hint="eastAsia" w:ascii="新宋体" w:hAnsi="新宋体" w:eastAsia="新宋体" w:cs="新宋体"/>
          <w:color w:val="auto"/>
          <w:sz w:val="24"/>
          <w:szCs w:val="24"/>
        </w:rPr>
        <w:t>（以下均简称“采购人”）委托，拟对</w:t>
      </w:r>
      <w:r>
        <w:rPr>
          <w:rFonts w:hint="eastAsia" w:ascii="新宋体" w:hAnsi="新宋体" w:eastAsia="新宋体" w:cs="新宋体"/>
          <w:color w:val="auto"/>
          <w:sz w:val="24"/>
          <w:szCs w:val="24"/>
          <w:u w:val="single"/>
          <w:lang w:eastAsia="zh-CN"/>
        </w:rPr>
        <w:t>乌图美仁乡9个牧业村村级规划及测绘项目（包一）（三次）</w:t>
      </w:r>
      <w:r>
        <w:rPr>
          <w:rFonts w:hint="eastAsia" w:ascii="新宋体" w:hAnsi="新宋体" w:eastAsia="新宋体" w:cs="新宋体"/>
          <w:color w:val="auto"/>
          <w:sz w:val="24"/>
          <w:szCs w:val="24"/>
        </w:rPr>
        <w:t>进行国内竞争性磋商，现予以公告，欢迎潜在的投标人参加本次政府采购活动。</w:t>
      </w:r>
    </w:p>
    <w:tbl>
      <w:tblPr>
        <w:tblStyle w:val="33"/>
        <w:tblW w:w="104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79"/>
        <w:gridCol w:w="79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采购项目编号</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青海合美竞磋（服务）2020-004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采购项目名称</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highlight w:val="none"/>
                <w:lang w:val="zh-CN" w:eastAsia="zh-CN"/>
              </w:rPr>
              <w:t>乌图美仁乡9个牧业村村级规划及测绘项目（包一）（三次）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采购方式</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采购预算额度</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人民币34</w:t>
            </w:r>
            <w:r>
              <w:rPr>
                <w:rFonts w:hint="eastAsia" w:ascii="新宋体" w:hAnsi="新宋体" w:eastAsia="新宋体" w:cs="新宋体"/>
                <w:color w:val="auto"/>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采购内容简述</w:t>
            </w:r>
          </w:p>
        </w:tc>
        <w:tc>
          <w:tcPr>
            <w:tcW w:w="7998" w:type="dxa"/>
            <w:tcBorders>
              <w:top w:val="single" w:color="auto" w:sz="4" w:space="0"/>
              <w:left w:val="single" w:color="auto" w:sz="4" w:space="0"/>
              <w:bottom w:val="single" w:color="auto" w:sz="4" w:space="0"/>
              <w:right w:val="single" w:color="auto" w:sz="4" w:space="0"/>
            </w:tcBorders>
            <w:vAlign w:val="center"/>
          </w:tcPr>
          <w:p>
            <w:pPr>
              <w:pStyle w:val="29"/>
              <w:rPr>
                <w:rFonts w:hint="eastAsia" w:eastAsia="宋体"/>
                <w:color w:val="auto"/>
                <w:lang w:val="en-US" w:eastAsia="zh-CN"/>
              </w:rPr>
            </w:pPr>
            <w:r>
              <w:rPr>
                <w:rFonts w:hint="eastAsia"/>
                <w:color w:val="auto"/>
                <w:lang w:val="en-US" w:eastAsia="zh-CN"/>
              </w:rPr>
              <w:t>9个村牧业村总体规划。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项目分包个数</w:t>
            </w:r>
          </w:p>
        </w:tc>
        <w:tc>
          <w:tcPr>
            <w:tcW w:w="7998" w:type="dxa"/>
            <w:tcBorders>
              <w:top w:val="single" w:color="auto" w:sz="4" w:space="0"/>
              <w:left w:val="single" w:color="auto" w:sz="4" w:space="0"/>
              <w:bottom w:val="single" w:color="auto" w:sz="4" w:space="0"/>
              <w:right w:val="single" w:color="auto" w:sz="4" w:space="0"/>
            </w:tcBorders>
            <w:vAlign w:val="center"/>
          </w:tcPr>
          <w:p>
            <w:pPr>
              <w:pStyle w:val="29"/>
              <w:rPr>
                <w:rFonts w:hint="eastAsia" w:eastAsia="宋体"/>
                <w:color w:val="auto"/>
                <w:lang w:val="en-US" w:eastAsia="zh-CN"/>
              </w:rPr>
            </w:pPr>
            <w:r>
              <w:rPr>
                <w:rFonts w:hint="eastAsia"/>
                <w:color w:val="auto"/>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投标人资格要求</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sz w:val="24"/>
                <w:szCs w:val="24"/>
              </w:rPr>
            </w:pPr>
            <w:r>
              <w:rPr>
                <w:rFonts w:hint="eastAsia"/>
                <w:color w:val="auto"/>
              </w:rPr>
              <w:t>（</w:t>
            </w:r>
            <w:r>
              <w:rPr>
                <w:rFonts w:hint="eastAsia" w:ascii="宋体" w:hAnsi="宋体" w:eastAsia="宋体" w:cs="宋体"/>
                <w:color w:val="auto"/>
                <w:sz w:val="24"/>
                <w:szCs w:val="24"/>
              </w:rPr>
              <w:t>1）符合《政府采购法》第22条件，并提供以下材料：</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&lt;1&gt;投标人的营业执照等证明文件，自然人的身份证明；</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&lt;2&gt;财务状况报告，依法缴纳税收和社会保障资金的相关材料；</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&lt;3&gt;具备履行合同所必需的设备和专业技术能力的证明材料；</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&lt;4&gt;参加政府采购活动前3年内在经营活动中没有重大违法记录的书面声明；</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&lt;5&gt;具备法律、行政法规规定的其他条件的证明材料；</w:t>
            </w:r>
          </w:p>
          <w:p>
            <w:pPr>
              <w:widowControl/>
              <w:numPr>
                <w:ilvl w:val="255"/>
                <w:numId w:val="0"/>
              </w:num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（2）单位负责人为同一人或者存在直接控股、管理关系的不同投标人，不得参加同一合同项下的政府采购活动。否则，皆取消投标资格</w:t>
            </w:r>
            <w:r>
              <w:rPr>
                <w:rFonts w:hint="eastAsia" w:ascii="宋体" w:hAnsi="宋体" w:eastAsia="宋体" w:cs="宋体"/>
                <w:color w:val="auto"/>
                <w:sz w:val="24"/>
                <w:szCs w:val="24"/>
                <w:lang w:eastAsia="zh-CN"/>
              </w:rPr>
              <w:t>。</w:t>
            </w:r>
          </w:p>
          <w:p>
            <w:pPr>
              <w:widowControl/>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）本项目不接受投标人以联合体方式进行投标。</w:t>
            </w:r>
          </w:p>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）本次采购要求供应商营业执照须包含本次采购的相关经营范围，并在人员、设备、资金等方面具有相应的能力。</w:t>
            </w:r>
          </w:p>
          <w:p>
            <w:pPr>
              <w:spacing w:line="360" w:lineRule="auto"/>
              <w:rPr>
                <w:rFonts w:hint="eastAsia"/>
                <w:color w:val="auto"/>
                <w:lang w:eastAsia="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）投标人需具</w:t>
            </w:r>
            <w:r>
              <w:rPr>
                <w:rFonts w:hint="eastAsia" w:ascii="宋体" w:hAnsi="宋体" w:eastAsia="宋体" w:cs="宋体"/>
                <w:color w:val="FF0000"/>
                <w:sz w:val="24"/>
                <w:szCs w:val="24"/>
                <w:lang w:val="zh-CN"/>
              </w:rPr>
              <w:t>备</w:t>
            </w:r>
            <w:r>
              <w:rPr>
                <w:rFonts w:hint="eastAsia" w:ascii="宋体" w:hAnsi="宋体" w:cs="宋体"/>
                <w:color w:val="FF0000"/>
                <w:sz w:val="24"/>
                <w:szCs w:val="24"/>
                <w:lang w:val="zh-CN"/>
              </w:rPr>
              <w:t>城乡</w:t>
            </w:r>
            <w:r>
              <w:rPr>
                <w:rFonts w:hint="eastAsia" w:ascii="宋体" w:hAnsi="宋体" w:eastAsia="宋体" w:cs="宋体"/>
                <w:color w:val="FF0000"/>
                <w:sz w:val="24"/>
                <w:szCs w:val="24"/>
                <w:lang w:val="zh-CN"/>
              </w:rPr>
              <w:t>规划编制</w:t>
            </w:r>
            <w:r>
              <w:rPr>
                <w:rFonts w:hint="eastAsia" w:ascii="宋体" w:hAnsi="宋体" w:cs="宋体"/>
                <w:color w:val="FF0000"/>
                <w:sz w:val="24"/>
                <w:szCs w:val="24"/>
                <w:lang w:val="zh-CN" w:eastAsia="zh-CN"/>
              </w:rPr>
              <w:t>乙</w:t>
            </w:r>
            <w:r>
              <w:rPr>
                <w:rFonts w:hint="eastAsia" w:ascii="宋体" w:hAnsi="宋体" w:eastAsia="宋体" w:cs="宋体"/>
                <w:color w:val="FF0000"/>
                <w:sz w:val="24"/>
                <w:szCs w:val="24"/>
                <w:lang w:val="zh-CN"/>
              </w:rPr>
              <w:t>级</w:t>
            </w:r>
            <w:r>
              <w:rPr>
                <w:rFonts w:hint="eastAsia" w:ascii="宋体" w:hAnsi="宋体" w:eastAsia="宋体" w:cs="宋体"/>
                <w:color w:val="auto"/>
                <w:sz w:val="24"/>
                <w:szCs w:val="24"/>
                <w:lang w:val="zh-CN"/>
              </w:rPr>
              <w:t>及以上资质</w:t>
            </w:r>
            <w:r>
              <w:rPr>
                <w:rFonts w:hint="eastAsia" w:ascii="宋体" w:hAnsi="宋体" w:eastAsia="宋体" w:cs="宋体"/>
                <w:color w:val="auto"/>
                <w:sz w:val="24"/>
                <w:szCs w:val="24"/>
                <w:lang w:val="zh-CN"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公告发布时间</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2020年</w:t>
            </w:r>
            <w:r>
              <w:rPr>
                <w:rFonts w:hint="eastAsia" w:ascii="新宋体" w:hAnsi="新宋体" w:eastAsia="新宋体" w:cs="新宋体"/>
                <w:color w:val="auto"/>
                <w:sz w:val="24"/>
                <w:szCs w:val="24"/>
                <w:lang w:val="en-US" w:eastAsia="zh-CN"/>
              </w:rPr>
              <w:t>8</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lang w:val="en-US" w:eastAsia="zh-CN"/>
              </w:rPr>
              <w:t>26</w:t>
            </w:r>
            <w:r>
              <w:rPr>
                <w:rFonts w:hint="eastAsia" w:ascii="新宋体" w:hAnsi="新宋体" w:eastAsia="新宋体" w:cs="新宋体"/>
                <w:color w:val="auto"/>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获取磋商文件的时间</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rPr>
              <w:t>2020年</w:t>
            </w:r>
            <w:r>
              <w:rPr>
                <w:rFonts w:hint="eastAsia" w:ascii="新宋体" w:hAnsi="新宋体" w:eastAsia="新宋体" w:cs="新宋体"/>
                <w:b/>
                <w:bCs/>
                <w:color w:val="auto"/>
                <w:sz w:val="24"/>
                <w:szCs w:val="24"/>
                <w:lang w:val="en-US" w:eastAsia="zh-CN"/>
              </w:rPr>
              <w:t>08</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27</w:t>
            </w:r>
            <w:r>
              <w:rPr>
                <w:rFonts w:hint="eastAsia" w:ascii="新宋体" w:hAnsi="新宋体" w:eastAsia="新宋体" w:cs="新宋体"/>
                <w:b/>
                <w:bCs/>
                <w:color w:val="auto"/>
                <w:sz w:val="24"/>
                <w:szCs w:val="24"/>
              </w:rPr>
              <w:t>日至2020年</w:t>
            </w:r>
            <w:r>
              <w:rPr>
                <w:rFonts w:hint="eastAsia" w:ascii="新宋体" w:hAnsi="新宋体" w:eastAsia="新宋体" w:cs="新宋体"/>
                <w:b/>
                <w:bCs/>
                <w:color w:val="auto"/>
                <w:sz w:val="24"/>
                <w:szCs w:val="24"/>
                <w:lang w:val="en-US" w:eastAsia="zh-CN"/>
              </w:rPr>
              <w:t>09</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02</w:t>
            </w:r>
            <w:r>
              <w:rPr>
                <w:rFonts w:hint="eastAsia" w:ascii="新宋体" w:hAnsi="新宋体" w:eastAsia="新宋体" w:cs="新宋体"/>
                <w:b/>
                <w:bCs/>
                <w:color w:val="auto"/>
                <w:sz w:val="24"/>
                <w:szCs w:val="24"/>
              </w:rPr>
              <w:t>日，每天上午9：00-12：00，下午14：30-17：30（午休、节假日除外）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磋商文件售价</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500.00元（磋商文件售后不退，投标资格不能转让）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获取磋商文件地点</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新宋体" w:hAnsi="新宋体" w:eastAsia="新宋体" w:cs="新宋体"/>
                <w:color w:val="auto"/>
                <w:kern w:val="0"/>
                <w:sz w:val="24"/>
                <w:szCs w:val="24"/>
                <w:lang w:val="en-US" w:eastAsia="zh-CN"/>
              </w:rPr>
            </w:pPr>
            <w:r>
              <w:rPr>
                <w:rFonts w:hint="default" w:ascii="新宋体" w:hAnsi="新宋体" w:eastAsia="新宋体" w:cs="新宋体"/>
                <w:color w:val="auto"/>
                <w:kern w:val="0"/>
                <w:sz w:val="24"/>
                <w:szCs w:val="24"/>
                <w:lang w:val="en-US" w:eastAsia="zh-CN"/>
              </w:rPr>
              <w:t>青海合美建设工程咨询有限公司</w:t>
            </w:r>
          </w:p>
          <w:p>
            <w:pPr>
              <w:spacing w:line="360" w:lineRule="auto"/>
              <w:rPr>
                <w:rFonts w:hint="default" w:ascii="新宋体" w:hAnsi="新宋体" w:eastAsia="新宋体" w:cs="新宋体"/>
                <w:color w:val="auto"/>
                <w:kern w:val="0"/>
                <w:sz w:val="24"/>
                <w:szCs w:val="24"/>
                <w:lang w:val="en-US" w:eastAsia="zh-CN"/>
              </w:rPr>
            </w:pPr>
            <w:r>
              <w:rPr>
                <w:rFonts w:hint="default" w:ascii="新宋体" w:hAnsi="新宋体" w:eastAsia="新宋体" w:cs="新宋体"/>
                <w:color w:val="auto"/>
                <w:kern w:val="0"/>
                <w:sz w:val="24"/>
                <w:szCs w:val="24"/>
                <w:lang w:val="en-US" w:eastAsia="zh-CN"/>
              </w:rPr>
              <w:t>地址：青海省西宁市城西区西川南路76号1号楼10层11005室</w:t>
            </w:r>
          </w:p>
          <w:p>
            <w:pPr>
              <w:spacing w:line="360" w:lineRule="auto"/>
              <w:rPr>
                <w:rFonts w:hint="default" w:ascii="新宋体" w:hAnsi="新宋体" w:eastAsia="新宋体" w:cs="新宋体"/>
                <w:color w:val="auto"/>
                <w:kern w:val="0"/>
                <w:sz w:val="24"/>
                <w:szCs w:val="24"/>
                <w:lang w:val="en-US" w:eastAsia="zh-CN"/>
              </w:rPr>
            </w:pPr>
            <w:r>
              <w:rPr>
                <w:rFonts w:hint="default" w:ascii="新宋体" w:hAnsi="新宋体" w:eastAsia="新宋体" w:cs="新宋体"/>
                <w:color w:val="auto"/>
                <w:kern w:val="0"/>
                <w:sz w:val="24"/>
                <w:szCs w:val="24"/>
                <w:lang w:val="en-US" w:eastAsia="zh-CN"/>
              </w:rPr>
              <w:t>电话：0971-5201818</w:t>
            </w:r>
          </w:p>
          <w:p>
            <w:pPr>
              <w:spacing w:line="360" w:lineRule="auto"/>
              <w:rPr>
                <w:rFonts w:hint="default" w:ascii="新宋体" w:hAnsi="新宋体" w:eastAsia="新宋体" w:cs="新宋体"/>
                <w:color w:val="auto"/>
                <w:kern w:val="0"/>
                <w:sz w:val="24"/>
                <w:szCs w:val="24"/>
                <w:lang w:val="en-US" w:eastAsia="zh-CN"/>
              </w:rPr>
            </w:pPr>
            <w:r>
              <w:rPr>
                <w:rFonts w:hint="default" w:ascii="新宋体" w:hAnsi="新宋体" w:eastAsia="新宋体" w:cs="新宋体"/>
                <w:color w:val="auto"/>
                <w:kern w:val="0"/>
                <w:sz w:val="24"/>
                <w:szCs w:val="24"/>
                <w:lang w:val="en-US" w:eastAsia="zh-CN"/>
              </w:rPr>
              <w:t xml:space="preserve">电子邮箱：3088223957@qq.com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购买磋商文件时应</w:t>
            </w:r>
          </w:p>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提供材料</w:t>
            </w:r>
          </w:p>
        </w:tc>
        <w:tc>
          <w:tcPr>
            <w:tcW w:w="7998"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现场购买；</w:t>
            </w:r>
          </w:p>
          <w:p>
            <w:pPr>
              <w:numPr>
                <w:ilvl w:val="0"/>
                <w:numId w:val="0"/>
              </w:num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r>
              <w:rPr>
                <w:rFonts w:hint="eastAsia" w:ascii="宋体" w:hAnsi="宋体" w:eastAsia="宋体"/>
                <w:color w:val="auto"/>
                <w:kern w:val="0"/>
                <w:sz w:val="24"/>
                <w:lang w:val="zh-CN"/>
              </w:rPr>
              <w:t>凡有意参加投标者，</w:t>
            </w:r>
            <w:r>
              <w:rPr>
                <w:rFonts w:hint="eastAsia" w:ascii="宋体" w:hAnsi="宋体" w:eastAsia="宋体"/>
                <w:color w:val="auto"/>
                <w:kern w:val="0"/>
                <w:sz w:val="24"/>
                <w:lang w:val="en-US" w:eastAsia="zh-CN"/>
              </w:rPr>
              <w:t>持单位介绍信原件、</w:t>
            </w:r>
            <w:r>
              <w:rPr>
                <w:rFonts w:hint="eastAsia" w:ascii="宋体" w:hAnsi="宋体"/>
                <w:color w:val="auto"/>
                <w:kern w:val="0"/>
                <w:sz w:val="24"/>
                <w:lang w:val="en-US" w:eastAsia="zh-CN"/>
              </w:rPr>
              <w:t>公司营业执照复印件（三证合一）、</w:t>
            </w:r>
            <w:r>
              <w:rPr>
                <w:rFonts w:hint="eastAsia" w:ascii="宋体" w:hAnsi="宋体" w:eastAsia="宋体"/>
                <w:color w:val="auto"/>
                <w:kern w:val="0"/>
                <w:sz w:val="24"/>
                <w:lang w:val="en-US" w:eastAsia="zh-CN"/>
              </w:rPr>
              <w:t>报名人身</w:t>
            </w:r>
            <w:r>
              <w:rPr>
                <w:rFonts w:hint="eastAsia" w:ascii="宋体" w:hAnsi="宋体" w:eastAsia="宋体" w:cs="宋体"/>
                <w:color w:val="auto"/>
                <w:sz w:val="24"/>
                <w:szCs w:val="24"/>
                <w:lang w:val="en-US" w:eastAsia="zh-CN"/>
              </w:rPr>
              <w:t>份证原件及复印件、法人授权委托书</w:t>
            </w:r>
            <w:r>
              <w:rPr>
                <w:rFonts w:hint="eastAsia" w:ascii="宋体" w:hAnsi="宋体" w:cs="宋体"/>
                <w:color w:val="auto"/>
                <w:sz w:val="24"/>
                <w:szCs w:val="24"/>
                <w:lang w:val="en-US" w:eastAsia="zh-CN"/>
              </w:rPr>
              <w:t>、</w:t>
            </w:r>
            <w:r>
              <w:rPr>
                <w:rFonts w:hint="eastAsia" w:ascii="新宋体" w:hAnsi="新宋体" w:eastAsia="新宋体" w:cs="新宋体"/>
                <w:color w:val="auto"/>
                <w:sz w:val="24"/>
                <w:szCs w:val="24"/>
              </w:rPr>
              <w:t>开户许可证</w:t>
            </w:r>
            <w:r>
              <w:rPr>
                <w:rFonts w:hint="eastAsia" w:ascii="新宋体" w:hAnsi="新宋体" w:eastAsia="新宋体" w:cs="新宋体"/>
                <w:color w:val="auto"/>
                <w:sz w:val="24"/>
                <w:szCs w:val="24"/>
                <w:lang w:eastAsia="zh-CN"/>
              </w:rPr>
              <w:t>复印件</w:t>
            </w:r>
            <w:r>
              <w:rPr>
                <w:rFonts w:hint="eastAsia" w:ascii="新宋体" w:hAnsi="新宋体" w:eastAsia="新宋体" w:cs="新宋体"/>
                <w:color w:val="auto"/>
                <w:sz w:val="24"/>
                <w:szCs w:val="24"/>
              </w:rPr>
              <w:t>。</w:t>
            </w:r>
          </w:p>
          <w:p>
            <w:pPr>
              <w:spacing w:line="360" w:lineRule="auto"/>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lang w:eastAsia="zh-CN"/>
              </w:rPr>
              <w:t>注：</w:t>
            </w:r>
            <w:r>
              <w:rPr>
                <w:rFonts w:hint="eastAsia" w:ascii="新宋体" w:hAnsi="新宋体" w:eastAsia="新宋体" w:cs="新宋体"/>
                <w:b/>
                <w:bCs/>
                <w:color w:val="auto"/>
                <w:sz w:val="24"/>
                <w:szCs w:val="24"/>
              </w:rPr>
              <w:t>以上资料均需加盖公章。（采购代理机构对以上资料留存备案）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磋商截止及磋商时间</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2020年</w:t>
            </w:r>
            <w:r>
              <w:rPr>
                <w:rFonts w:hint="eastAsia" w:ascii="新宋体" w:hAnsi="新宋体" w:eastAsia="新宋体" w:cs="新宋体"/>
                <w:b/>
                <w:bCs/>
                <w:color w:val="auto"/>
                <w:sz w:val="24"/>
                <w:szCs w:val="24"/>
                <w:lang w:val="en-US" w:eastAsia="zh-CN"/>
              </w:rPr>
              <w:t>09</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08</w:t>
            </w:r>
            <w:r>
              <w:rPr>
                <w:rFonts w:hint="eastAsia" w:ascii="新宋体" w:hAnsi="新宋体" w:eastAsia="新宋体" w:cs="新宋体"/>
                <w:b/>
                <w:bCs/>
                <w:color w:val="auto"/>
                <w:sz w:val="24"/>
                <w:szCs w:val="24"/>
              </w:rPr>
              <w:t>日上午09时 30 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磋商及磋商地点</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color w:val="auto"/>
                <w:kern w:val="0"/>
                <w:sz w:val="24"/>
                <w:szCs w:val="24"/>
                <w:lang w:val="zh-CN"/>
              </w:rPr>
            </w:pPr>
            <w:r>
              <w:rPr>
                <w:rFonts w:hint="default" w:ascii="新宋体" w:hAnsi="新宋体" w:eastAsia="新宋体" w:cs="新宋体"/>
                <w:color w:val="auto"/>
                <w:kern w:val="0"/>
                <w:sz w:val="24"/>
                <w:szCs w:val="24"/>
                <w:lang w:val="en-US" w:eastAsia="zh-CN"/>
              </w:rPr>
              <w:t>青海省西宁市城西区西川南路76号1号楼10层11005室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采购人联系人</w:t>
            </w:r>
          </w:p>
        </w:tc>
        <w:tc>
          <w:tcPr>
            <w:tcW w:w="79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采购人：</w:t>
            </w:r>
            <w:r>
              <w:rPr>
                <w:rFonts w:hint="eastAsia" w:ascii="新宋体" w:hAnsi="新宋体" w:eastAsia="新宋体" w:cs="新宋体"/>
                <w:color w:val="auto"/>
                <w:sz w:val="24"/>
                <w:szCs w:val="24"/>
                <w:lang w:eastAsia="zh-CN"/>
              </w:rPr>
              <w:t>格尔木市西城区行政委员会</w:t>
            </w:r>
          </w:p>
          <w:p>
            <w:pPr>
              <w:snapToGrid w:val="0"/>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联系人：</w:t>
            </w:r>
            <w:r>
              <w:rPr>
                <w:rFonts w:hint="eastAsia" w:ascii="新宋体" w:hAnsi="新宋体" w:eastAsia="新宋体" w:cs="新宋体"/>
                <w:color w:val="auto"/>
                <w:sz w:val="24"/>
                <w:szCs w:val="24"/>
                <w:lang w:eastAsia="zh-CN"/>
              </w:rPr>
              <w:t>支老师</w:t>
            </w:r>
          </w:p>
          <w:p>
            <w:pPr>
              <w:snapToGrid w:val="0"/>
              <w:spacing w:line="360" w:lineRule="auto"/>
              <w:jc w:val="left"/>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联系电话：</w:t>
            </w:r>
            <w:r>
              <w:rPr>
                <w:rFonts w:hint="eastAsia" w:ascii="新宋体" w:hAnsi="新宋体" w:eastAsia="新宋体" w:cs="新宋体"/>
                <w:color w:val="auto"/>
                <w:sz w:val="24"/>
                <w:szCs w:val="24"/>
                <w:lang w:val="en-US" w:eastAsia="zh-CN"/>
              </w:rPr>
              <w:t>0979-8468172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代理机构联系人</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采购代理机构：</w:t>
            </w:r>
            <w:r>
              <w:rPr>
                <w:rFonts w:hint="eastAsia" w:ascii="新宋体" w:hAnsi="新宋体" w:eastAsia="新宋体" w:cs="新宋体"/>
                <w:color w:val="auto"/>
                <w:sz w:val="24"/>
                <w:szCs w:val="24"/>
                <w:lang w:eastAsia="zh-CN"/>
              </w:rPr>
              <w:t>青海合美建设工程咨询有限公司</w:t>
            </w:r>
          </w:p>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联系人：</w:t>
            </w:r>
            <w:r>
              <w:rPr>
                <w:rFonts w:hint="eastAsia" w:ascii="新宋体" w:hAnsi="新宋体" w:eastAsia="新宋体" w:cs="新宋体"/>
                <w:color w:val="auto"/>
                <w:sz w:val="24"/>
                <w:szCs w:val="24"/>
                <w:lang w:eastAsia="zh-CN"/>
              </w:rPr>
              <w:t>苏女士</w:t>
            </w:r>
          </w:p>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联系电话：</w:t>
            </w:r>
            <w:r>
              <w:rPr>
                <w:rFonts w:hint="eastAsia" w:ascii="新宋体" w:hAnsi="新宋体" w:eastAsia="新宋体" w:cs="新宋体"/>
                <w:color w:val="auto"/>
                <w:sz w:val="24"/>
                <w:szCs w:val="24"/>
                <w:lang w:val="en-US" w:eastAsia="zh-CN"/>
              </w:rPr>
              <w:t>0971-5201818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代理机构开户行</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宋体" w:hAnsi="宋体"/>
                <w:color w:val="auto"/>
                <w:sz w:val="24"/>
                <w:lang w:val="zh-CN"/>
              </w:rPr>
              <w:t>中国农业银行股份有限公司西宁市城西支行交通巷分理处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收款人</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青海合美建设工程咨询有限公司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银行账号</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28043001040001536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其他事项</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360" w:lineRule="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公告期限：自青海政府采购网发布之日起5个工作日；公告内容以青海政府采购网发布的为准。</w:t>
            </w:r>
          </w:p>
          <w:p>
            <w:pPr>
              <w:widowControl/>
              <w:spacing w:line="360" w:lineRule="auto"/>
              <w:rPr>
                <w:rFonts w:hint="eastAsia" w:ascii="宋体" w:hAnsi="宋体" w:eastAsia="宋体" w:cs="宋体"/>
                <w:b w:val="0"/>
                <w:bCs w:val="0"/>
                <w:color w:val="auto"/>
                <w:kern w:val="0"/>
                <w:sz w:val="24"/>
                <w:szCs w:val="24"/>
                <w:lang w:val="zh-CN"/>
              </w:rPr>
            </w:pPr>
            <w:r>
              <w:rPr>
                <w:rFonts w:hint="eastAsia" w:ascii="宋体" w:hAnsi="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zh-CN" w:eastAsia="zh-CN"/>
              </w:rPr>
              <w:t>中标服务费</w:t>
            </w:r>
            <w:r>
              <w:rPr>
                <w:rFonts w:hint="eastAsia" w:ascii="宋体" w:hAnsi="宋体" w:eastAsia="宋体" w:cs="宋体"/>
                <w:b w:val="0"/>
                <w:bCs w:val="0"/>
                <w:color w:val="auto"/>
                <w:kern w:val="0"/>
                <w:sz w:val="24"/>
                <w:szCs w:val="24"/>
                <w:lang w:val="zh-CN"/>
              </w:rPr>
              <w:t>账号：</w:t>
            </w:r>
          </w:p>
          <w:p>
            <w:pPr>
              <w:widowControl/>
              <w:spacing w:line="36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账户名：</w:t>
            </w:r>
            <w:r>
              <w:rPr>
                <w:rFonts w:hint="eastAsia" w:ascii="宋体" w:hAnsi="宋体" w:cs="宋体"/>
                <w:b w:val="0"/>
                <w:bCs w:val="0"/>
                <w:color w:val="auto"/>
                <w:kern w:val="0"/>
                <w:sz w:val="24"/>
                <w:szCs w:val="24"/>
                <w:lang w:val="zh-CN"/>
              </w:rPr>
              <w:t>青海合美建设工程咨询有限公司</w:t>
            </w:r>
          </w:p>
          <w:p>
            <w:pPr>
              <w:widowControl/>
              <w:spacing w:line="36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开户行：</w:t>
            </w:r>
            <w:r>
              <w:rPr>
                <w:rFonts w:hint="eastAsia" w:ascii="宋体" w:hAnsi="宋体"/>
                <w:color w:val="auto"/>
                <w:sz w:val="24"/>
                <w:lang w:val="zh-CN"/>
              </w:rPr>
              <w:t>中国农业银行股份有限公司西宁市城西支行交通巷分理处</w:t>
            </w:r>
          </w:p>
          <w:p>
            <w:pPr>
              <w:widowControl/>
              <w:spacing w:line="360" w:lineRule="auto"/>
              <w:rPr>
                <w:rFonts w:hint="eastAsia"/>
                <w:color w:val="auto"/>
              </w:rPr>
            </w:pPr>
            <w:r>
              <w:rPr>
                <w:rFonts w:hint="eastAsia" w:ascii="宋体" w:hAnsi="宋体" w:eastAsia="宋体" w:cs="宋体"/>
                <w:b w:val="0"/>
                <w:bCs w:val="0"/>
                <w:color w:val="auto"/>
                <w:kern w:val="0"/>
                <w:sz w:val="24"/>
                <w:szCs w:val="24"/>
                <w:lang w:val="zh-CN"/>
              </w:rPr>
              <w:t>账号：</w:t>
            </w:r>
            <w:r>
              <w:rPr>
                <w:rFonts w:hint="eastAsia" w:ascii="新宋体" w:hAnsi="新宋体" w:eastAsia="新宋体" w:cs="新宋体"/>
                <w:color w:val="auto"/>
                <w:sz w:val="24"/>
                <w:szCs w:val="24"/>
              </w:rPr>
              <w:t xml:space="preserve">28043001040001536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财政监督部门及电话</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监督单位：</w:t>
            </w:r>
            <w:r>
              <w:rPr>
                <w:rFonts w:hint="eastAsia" w:ascii="新宋体" w:hAnsi="新宋体" w:eastAsia="新宋体" w:cs="新宋体"/>
                <w:color w:val="auto"/>
                <w:sz w:val="24"/>
                <w:szCs w:val="24"/>
                <w:lang w:eastAsia="zh-CN"/>
              </w:rPr>
              <w:t>格尔木市财政局</w:t>
            </w:r>
          </w:p>
          <w:p>
            <w:pPr>
              <w:spacing w:line="360" w:lineRule="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zh-CN"/>
              </w:rPr>
              <w:t>联系电话</w:t>
            </w:r>
            <w:r>
              <w:rPr>
                <w:rFonts w:hint="eastAsia" w:ascii="新宋体" w:hAnsi="新宋体" w:eastAsia="新宋体" w:cs="新宋体"/>
                <w:color w:val="auto"/>
                <w:sz w:val="24"/>
                <w:szCs w:val="24"/>
                <w:highlight w:val="none"/>
                <w:lang w:val="zh-CN"/>
              </w:rPr>
              <w:t>：</w:t>
            </w:r>
            <w:r>
              <w:rPr>
                <w:rFonts w:hint="eastAsia" w:ascii="新宋体" w:hAnsi="新宋体" w:eastAsia="新宋体" w:cs="新宋体"/>
                <w:color w:val="auto"/>
                <w:sz w:val="24"/>
                <w:szCs w:val="24"/>
                <w:lang w:val="en-US" w:eastAsia="zh-CN"/>
              </w:rPr>
              <w:t>0979-8418264</w:t>
            </w:r>
          </w:p>
        </w:tc>
      </w:tr>
    </w:tbl>
    <w:p>
      <w:pPr>
        <w:widowControl/>
        <w:snapToGrid w:val="0"/>
        <w:spacing w:line="360" w:lineRule="auto"/>
        <w:jc w:val="left"/>
        <w:rPr>
          <w:rFonts w:hint="eastAsia" w:ascii="新宋体" w:hAnsi="新宋体" w:eastAsia="新宋体" w:cs="新宋体"/>
          <w:color w:val="auto"/>
          <w:sz w:val="24"/>
          <w:szCs w:val="24"/>
        </w:rPr>
      </w:pPr>
    </w:p>
    <w:p>
      <w:pPr>
        <w:widowControl/>
        <w:snapToGrid w:val="0"/>
        <w:spacing w:line="360" w:lineRule="auto"/>
        <w:ind w:firstLine="424" w:firstLineChars="177"/>
        <w:jc w:val="righ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 xml:space="preserve">               青海合美建设工程咨询有限公司</w:t>
      </w:r>
    </w:p>
    <w:p>
      <w:pPr>
        <w:pStyle w:val="29"/>
        <w:jc w:val="righ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2020年08月26日</w:t>
      </w:r>
    </w:p>
    <w:p>
      <w:pPr>
        <w:pStyle w:val="2"/>
        <w:jc w:val="center"/>
        <w:rPr>
          <w:rFonts w:hint="eastAsia" w:ascii="新宋体" w:hAnsi="新宋体" w:eastAsia="新宋体" w:cs="新宋体"/>
          <w:color w:val="auto"/>
          <w:sz w:val="24"/>
          <w:szCs w:val="24"/>
        </w:rPr>
      </w:pPr>
      <w:bookmarkStart w:id="2" w:name="_Toc24418"/>
      <w:bookmarkStart w:id="3" w:name="_Toc31941"/>
    </w:p>
    <w:p>
      <w:pPr>
        <w:rPr>
          <w:rFonts w:hint="eastAsia" w:ascii="新宋体" w:hAnsi="新宋体" w:eastAsia="新宋体" w:cs="新宋体"/>
          <w:color w:val="auto"/>
          <w:sz w:val="24"/>
          <w:szCs w:val="24"/>
        </w:rPr>
      </w:pPr>
    </w:p>
    <w:p>
      <w:pPr>
        <w:pStyle w:val="29"/>
        <w:rPr>
          <w:rFonts w:hint="eastAsia" w:ascii="新宋体" w:hAnsi="新宋体" w:eastAsia="新宋体" w:cs="新宋体"/>
          <w:color w:val="auto"/>
          <w:sz w:val="24"/>
          <w:szCs w:val="24"/>
        </w:rPr>
      </w:pPr>
    </w:p>
    <w:p>
      <w:pPr>
        <w:pStyle w:val="29"/>
        <w:rPr>
          <w:rFonts w:hint="eastAsia" w:ascii="新宋体" w:hAnsi="新宋体" w:eastAsia="新宋体" w:cs="新宋体"/>
          <w:color w:val="auto"/>
          <w:sz w:val="24"/>
          <w:szCs w:val="24"/>
        </w:rPr>
      </w:pPr>
    </w:p>
    <w:p>
      <w:pPr>
        <w:pStyle w:val="29"/>
        <w:rPr>
          <w:rFonts w:hint="eastAsia" w:ascii="新宋体" w:hAnsi="新宋体" w:eastAsia="新宋体" w:cs="新宋体"/>
          <w:color w:val="auto"/>
          <w:sz w:val="24"/>
          <w:szCs w:val="24"/>
        </w:rPr>
      </w:pPr>
    </w:p>
    <w:p>
      <w:pPr>
        <w:pStyle w:val="2"/>
        <w:jc w:val="both"/>
        <w:rPr>
          <w:rFonts w:hint="eastAsia" w:ascii="新宋体" w:hAnsi="新宋体" w:eastAsia="新宋体" w:cs="新宋体"/>
          <w:color w:val="auto"/>
          <w:sz w:val="36"/>
          <w:szCs w:val="36"/>
        </w:rPr>
        <w:sectPr>
          <w:headerReference r:id="rId5" w:type="first"/>
          <w:footerReference r:id="rId8" w:type="first"/>
          <w:footerReference r:id="rId6" w:type="default"/>
          <w:headerReference r:id="rId4" w:type="even"/>
          <w:footerReference r:id="rId7" w:type="even"/>
          <w:pgSz w:w="11850" w:h="16783"/>
          <w:pgMar w:top="1247" w:right="850" w:bottom="1247" w:left="737" w:header="851" w:footer="992" w:gutter="0"/>
          <w:pgBorders w:offsetFrom="page">
            <w:top w:val="none" w:sz="0" w:space="0"/>
            <w:left w:val="none" w:sz="0" w:space="0"/>
            <w:bottom w:val="none" w:sz="0" w:space="0"/>
            <w:right w:val="none" w:sz="0" w:space="0"/>
          </w:pgBorders>
          <w:pgNumType w:fmt="decimal"/>
          <w:cols w:space="425" w:num="1"/>
          <w:titlePg/>
          <w:docGrid w:type="lines" w:linePitch="312" w:charSpace="0"/>
        </w:sectPr>
      </w:pPr>
    </w:p>
    <w:p>
      <w:pPr>
        <w:pStyle w:val="2"/>
        <w:jc w:val="center"/>
        <w:rPr>
          <w:rFonts w:hint="eastAsia" w:ascii="新宋体" w:hAnsi="新宋体" w:eastAsia="新宋体" w:cs="新宋体"/>
          <w:color w:val="auto"/>
          <w:sz w:val="36"/>
          <w:szCs w:val="36"/>
        </w:rPr>
      </w:pPr>
      <w:r>
        <w:rPr>
          <w:rFonts w:hint="eastAsia" w:ascii="新宋体" w:hAnsi="新宋体" w:eastAsia="新宋体" w:cs="新宋体"/>
          <w:color w:val="auto"/>
          <w:sz w:val="36"/>
          <w:szCs w:val="36"/>
        </w:rPr>
        <w:t>第二部分 投标人须知</w:t>
      </w:r>
      <w:bookmarkEnd w:id="2"/>
      <w:bookmarkEnd w:id="3"/>
    </w:p>
    <w:p>
      <w:pPr>
        <w:pStyle w:val="3"/>
        <w:numPr>
          <w:ilvl w:val="0"/>
          <w:numId w:val="3"/>
        </w:numPr>
        <w:jc w:val="center"/>
        <w:rPr>
          <w:rFonts w:hint="eastAsia" w:ascii="新宋体" w:hAnsi="新宋体" w:eastAsia="新宋体" w:cs="新宋体"/>
          <w:color w:val="auto"/>
        </w:rPr>
      </w:pPr>
      <w:bookmarkStart w:id="4" w:name="_Toc15545"/>
      <w:bookmarkStart w:id="5" w:name="_Toc14743"/>
      <w:r>
        <w:rPr>
          <w:rFonts w:hint="eastAsia" w:ascii="新宋体" w:hAnsi="新宋体" w:eastAsia="新宋体" w:cs="新宋体"/>
          <w:color w:val="auto"/>
        </w:rPr>
        <w:t>说明</w:t>
      </w:r>
      <w:bookmarkEnd w:id="4"/>
      <w:bookmarkEnd w:id="5"/>
    </w:p>
    <w:p>
      <w:pPr>
        <w:pStyle w:val="4"/>
        <w:spacing w:line="360" w:lineRule="auto"/>
        <w:rPr>
          <w:rFonts w:hint="eastAsia" w:ascii="新宋体" w:hAnsi="新宋体" w:eastAsia="新宋体" w:cs="新宋体"/>
          <w:color w:val="auto"/>
          <w:sz w:val="24"/>
          <w:szCs w:val="24"/>
        </w:rPr>
      </w:pPr>
      <w:bookmarkStart w:id="6" w:name="_Toc24464"/>
      <w:bookmarkStart w:id="7" w:name="_Toc1198"/>
      <w:r>
        <w:rPr>
          <w:rFonts w:hint="eastAsia" w:ascii="新宋体" w:hAnsi="新宋体" w:eastAsia="新宋体" w:cs="新宋体"/>
          <w:color w:val="auto"/>
          <w:sz w:val="24"/>
          <w:szCs w:val="24"/>
        </w:rPr>
        <w:t>1.使用范围</w:t>
      </w:r>
      <w:bookmarkEnd w:id="6"/>
      <w:bookmarkEnd w:id="7"/>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本次采购依据采购人的采购计划，仅适用于本磋商文件中所叙述的项目。</w:t>
      </w:r>
    </w:p>
    <w:p>
      <w:pPr>
        <w:pStyle w:val="4"/>
        <w:spacing w:line="360" w:lineRule="auto"/>
        <w:rPr>
          <w:rFonts w:hint="eastAsia" w:ascii="新宋体" w:hAnsi="新宋体" w:eastAsia="新宋体" w:cs="新宋体"/>
          <w:color w:val="auto"/>
          <w:sz w:val="24"/>
          <w:szCs w:val="24"/>
        </w:rPr>
      </w:pPr>
      <w:bookmarkStart w:id="8" w:name="_Toc21344"/>
      <w:bookmarkStart w:id="9" w:name="_Toc114"/>
      <w:r>
        <w:rPr>
          <w:rFonts w:hint="eastAsia" w:ascii="新宋体" w:hAnsi="新宋体" w:eastAsia="新宋体" w:cs="新宋体"/>
          <w:color w:val="auto"/>
          <w:sz w:val="24"/>
          <w:szCs w:val="24"/>
        </w:rPr>
        <w:t>2.采购方式、合格的投标人</w:t>
      </w:r>
      <w:bookmarkEnd w:id="8"/>
      <w:bookmarkEnd w:id="9"/>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2.1本次采购采取竞争性磋商方式；</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2.2合格的投标人：详见第一部分“投标人资格要求”。</w:t>
      </w:r>
    </w:p>
    <w:p>
      <w:pPr>
        <w:pStyle w:val="4"/>
        <w:spacing w:line="360" w:lineRule="auto"/>
        <w:rPr>
          <w:rFonts w:hint="eastAsia" w:ascii="新宋体" w:hAnsi="新宋体" w:eastAsia="新宋体" w:cs="新宋体"/>
          <w:color w:val="auto"/>
          <w:sz w:val="24"/>
          <w:szCs w:val="24"/>
        </w:rPr>
      </w:pPr>
      <w:bookmarkStart w:id="10" w:name="_Toc31780"/>
      <w:bookmarkStart w:id="11" w:name="_Toc4345"/>
      <w:r>
        <w:rPr>
          <w:rFonts w:hint="eastAsia" w:ascii="新宋体" w:hAnsi="新宋体" w:eastAsia="新宋体" w:cs="新宋体"/>
          <w:color w:val="auto"/>
          <w:sz w:val="24"/>
          <w:szCs w:val="24"/>
        </w:rPr>
        <w:t>3.投标费用</w:t>
      </w:r>
      <w:bookmarkEnd w:id="10"/>
      <w:bookmarkEnd w:id="11"/>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投标人应自愿承担参加本次投标有关的费用。采购代理机构对投标人发生的费用不承担任何责任。</w:t>
      </w:r>
    </w:p>
    <w:p>
      <w:pPr>
        <w:pStyle w:val="3"/>
        <w:numPr>
          <w:ilvl w:val="0"/>
          <w:numId w:val="3"/>
        </w:numPr>
        <w:spacing w:line="360" w:lineRule="auto"/>
        <w:jc w:val="center"/>
        <w:rPr>
          <w:rFonts w:hint="eastAsia" w:ascii="新宋体" w:hAnsi="新宋体" w:eastAsia="新宋体" w:cs="新宋体"/>
          <w:color w:val="auto"/>
        </w:rPr>
      </w:pPr>
      <w:bookmarkStart w:id="12" w:name="_Toc27056"/>
      <w:bookmarkStart w:id="13" w:name="_Toc17183"/>
      <w:r>
        <w:rPr>
          <w:rFonts w:hint="eastAsia" w:ascii="新宋体" w:hAnsi="新宋体" w:eastAsia="新宋体" w:cs="新宋体"/>
          <w:color w:val="auto"/>
        </w:rPr>
        <w:t>磋商文件说明</w:t>
      </w:r>
      <w:bookmarkEnd w:id="12"/>
      <w:bookmarkEnd w:id="13"/>
    </w:p>
    <w:p>
      <w:pPr>
        <w:pStyle w:val="4"/>
        <w:spacing w:line="360" w:lineRule="auto"/>
        <w:rPr>
          <w:rFonts w:hint="eastAsia" w:ascii="新宋体" w:hAnsi="新宋体" w:eastAsia="新宋体" w:cs="新宋体"/>
          <w:color w:val="auto"/>
          <w:sz w:val="24"/>
          <w:szCs w:val="24"/>
        </w:rPr>
      </w:pPr>
      <w:bookmarkStart w:id="14" w:name="_Toc29679"/>
      <w:bookmarkStart w:id="15" w:name="_Toc19506"/>
      <w:r>
        <w:rPr>
          <w:rFonts w:hint="eastAsia" w:ascii="新宋体" w:hAnsi="新宋体" w:eastAsia="新宋体" w:cs="新宋体"/>
          <w:color w:val="auto"/>
          <w:sz w:val="24"/>
          <w:szCs w:val="24"/>
        </w:rPr>
        <w:t>4.磋商文件的构成</w:t>
      </w:r>
      <w:bookmarkEnd w:id="14"/>
      <w:bookmarkEnd w:id="15"/>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4.1磋商文件包括：</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（1）投标邀请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（2）投标人须知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（3）青海省政府采购项目合同书范本</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（4）响应文件格式</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（5）采购项目要求及技术参数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（6）采购过程中发生的澄清、变更和补充文件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4.2投标人应当按照磋商文件的要求编制响应文件。响应文件应当对磋商文件提出的要求和条件作出明确响应。</w:t>
      </w:r>
    </w:p>
    <w:p>
      <w:pPr>
        <w:pStyle w:val="4"/>
        <w:spacing w:line="360" w:lineRule="auto"/>
        <w:rPr>
          <w:rFonts w:hint="eastAsia" w:ascii="新宋体" w:hAnsi="新宋体" w:eastAsia="新宋体" w:cs="新宋体"/>
          <w:color w:val="auto"/>
          <w:sz w:val="24"/>
          <w:szCs w:val="24"/>
        </w:rPr>
      </w:pPr>
      <w:bookmarkStart w:id="16" w:name="_Toc29800"/>
      <w:bookmarkStart w:id="17" w:name="_Toc15148"/>
      <w:r>
        <w:rPr>
          <w:rFonts w:hint="eastAsia" w:ascii="新宋体" w:hAnsi="新宋体" w:eastAsia="新宋体" w:cs="新宋体"/>
          <w:color w:val="auto"/>
          <w:sz w:val="24"/>
          <w:szCs w:val="24"/>
        </w:rPr>
        <w:t>5.竞争性磋商公告、磋商文件、采购活动成交结果的质疑</w:t>
      </w:r>
      <w:bookmarkEnd w:id="16"/>
      <w:bookmarkEnd w:id="17"/>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认为竞争性磋商公告、磋商文件、采购活动和成交结果使自己的权益受到损害的，可以在知道或者应知其权益受到损害之日起7个工作日内以书面形式（如信件、传真等）向采购人或者采购代理机构提出质疑，不接受匿名质疑。潜在投标人可以对竞争性磋商公告、磋商文件提出质疑。采购人或采购代理机构在收到投标人的书面质疑后7个工作日内予以答复，如有变更事宜，应当在发布本次竞争性磋商公告的网站上发布变更公告，告知本项目的所有潜在投标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投标人应知其权益受到损害之日，是指：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（一）对可以质疑的磋商文件提出质疑的，为收到磋商文件之日或者磋商文件公告期限届满之日；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（二）对采购过程提出质疑的，为各采购程序环节结束之日；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（三）对成交结果提出质疑的，为成交结果公告期限届满之日。</w:t>
      </w:r>
    </w:p>
    <w:p>
      <w:pPr>
        <w:pStyle w:val="4"/>
        <w:spacing w:line="360" w:lineRule="auto"/>
        <w:rPr>
          <w:rFonts w:hint="eastAsia" w:ascii="新宋体" w:hAnsi="新宋体" w:eastAsia="新宋体" w:cs="新宋体"/>
          <w:color w:val="auto"/>
          <w:sz w:val="24"/>
          <w:szCs w:val="24"/>
        </w:rPr>
      </w:pPr>
      <w:bookmarkStart w:id="18" w:name="_Toc8942"/>
      <w:bookmarkStart w:id="19" w:name="_Toc16434"/>
      <w:r>
        <w:rPr>
          <w:rFonts w:hint="eastAsia" w:ascii="新宋体" w:hAnsi="新宋体" w:eastAsia="新宋体" w:cs="新宋体"/>
          <w:color w:val="auto"/>
          <w:sz w:val="24"/>
          <w:szCs w:val="24"/>
        </w:rPr>
        <w:t>6.磋商文件的澄清或修改</w:t>
      </w:r>
      <w:bookmarkEnd w:id="18"/>
      <w:bookmarkEnd w:id="19"/>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6.1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澄清或者修改的内容可能影响响应文件编制的，采购人或者采购代理机构应当在投标截止时间至少</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rPr>
        <w:t>日前，以书面形式通知所有获取磋商文件的潜在投标人；不足</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rPr>
        <w:t>日的，采购人或者采购代理机构应当顺延提交响应文件的截止时间。</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6.2在投标截止时间前，采购人或采购代理机构可以视采购活动具体情况，延长投标截止时间和开标时间，并至少应当在磋商文件要求提交响应文件的截止时间三日前，将变更时间以书面形式通知所有购买了磋商文件的投标人，同时在发布本次竞争性磋商公告的网站发布变更公告。</w:t>
      </w:r>
    </w:p>
    <w:p>
      <w:pPr>
        <w:pStyle w:val="3"/>
        <w:numPr>
          <w:ilvl w:val="0"/>
          <w:numId w:val="3"/>
        </w:numPr>
        <w:spacing w:line="360" w:lineRule="auto"/>
        <w:jc w:val="center"/>
        <w:rPr>
          <w:rFonts w:hint="eastAsia" w:ascii="新宋体" w:hAnsi="新宋体" w:eastAsia="新宋体" w:cs="新宋体"/>
          <w:color w:val="auto"/>
        </w:rPr>
      </w:pPr>
      <w:bookmarkStart w:id="20" w:name="_Toc9483"/>
      <w:bookmarkStart w:id="21" w:name="_Toc9059"/>
      <w:r>
        <w:rPr>
          <w:rFonts w:hint="eastAsia" w:ascii="新宋体" w:hAnsi="新宋体" w:eastAsia="新宋体" w:cs="新宋体"/>
          <w:color w:val="auto"/>
        </w:rPr>
        <w:t>响应文件的编制</w:t>
      </w:r>
      <w:bookmarkEnd w:id="20"/>
      <w:bookmarkEnd w:id="21"/>
    </w:p>
    <w:p>
      <w:pPr>
        <w:pStyle w:val="4"/>
        <w:spacing w:line="360" w:lineRule="auto"/>
        <w:rPr>
          <w:rFonts w:hint="eastAsia" w:ascii="新宋体" w:hAnsi="新宋体" w:eastAsia="新宋体" w:cs="新宋体"/>
          <w:color w:val="auto"/>
          <w:sz w:val="24"/>
          <w:szCs w:val="24"/>
        </w:rPr>
      </w:pPr>
      <w:bookmarkStart w:id="22" w:name="_Toc23443"/>
      <w:bookmarkStart w:id="23" w:name="_Toc11323"/>
      <w:r>
        <w:rPr>
          <w:rFonts w:hint="eastAsia" w:ascii="新宋体" w:hAnsi="新宋体" w:eastAsia="新宋体" w:cs="新宋体"/>
          <w:color w:val="auto"/>
          <w:sz w:val="24"/>
          <w:szCs w:val="24"/>
        </w:rPr>
        <w:t>7.响应文件的语言及度量衡单位</w:t>
      </w:r>
      <w:bookmarkEnd w:id="22"/>
      <w:bookmarkEnd w:id="23"/>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7.1投标人提交的响应文件以及投标人与采购代理机构就此投标发生的所有来往函电均应使用简体中文。除签名、盖章、专用名称等特殊情形外，以中文汉语以外的文字表述的响应文件视同未提供。</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7.2除磋商文件中另有规定外，响应文件所使用的度量衡单位，均须采用国家法定计量单位。</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7.3附有外文资料的须翻译成中文，并加盖投标人公章，如果翻译的中文资料与外文资料出现差异与矛盾时，以中文为准，其准确性由投标人负责。</w:t>
      </w:r>
    </w:p>
    <w:p>
      <w:pPr>
        <w:pStyle w:val="4"/>
        <w:spacing w:line="360" w:lineRule="auto"/>
        <w:rPr>
          <w:rFonts w:hint="eastAsia" w:ascii="新宋体" w:hAnsi="新宋体" w:eastAsia="新宋体" w:cs="新宋体"/>
          <w:color w:val="auto"/>
          <w:sz w:val="24"/>
          <w:szCs w:val="24"/>
        </w:rPr>
      </w:pPr>
      <w:bookmarkStart w:id="24" w:name="_Toc11623"/>
      <w:bookmarkStart w:id="25" w:name="_Toc260"/>
      <w:r>
        <w:rPr>
          <w:rFonts w:hint="eastAsia" w:ascii="新宋体" w:hAnsi="新宋体" w:eastAsia="新宋体" w:cs="新宋体"/>
          <w:color w:val="auto"/>
          <w:sz w:val="24"/>
          <w:szCs w:val="24"/>
        </w:rPr>
        <w:t>8.磋商报价及币种</w:t>
      </w:r>
      <w:bookmarkEnd w:id="24"/>
      <w:bookmarkEnd w:id="25"/>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8.1磋商报价为投标总价。磋商报价必须包括：</w:t>
      </w:r>
      <w:r>
        <w:rPr>
          <w:rFonts w:hint="eastAsia" w:ascii="新宋体" w:hAnsi="新宋体" w:eastAsia="新宋体" w:cs="新宋体"/>
          <w:color w:val="auto"/>
          <w:kern w:val="0"/>
          <w:sz w:val="24"/>
          <w:szCs w:val="24"/>
          <w:lang w:val="zh-CN"/>
        </w:rPr>
        <w:t>投标报价完成本服务内容可能发生的各项费用，如人员工资、交通、设备、利润、税收、招标代理费以及所有有关的管理成本和其他不可预见费等全部费用。（说明：具体内容应根据项目特点实事求是的填写）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8.2磋商报价有效期与投标有效期一致。</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8.3磋商报价为闭口价，即成交后在合同有效期内价格不变。</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8.4投标币种是人民币。</w:t>
      </w:r>
    </w:p>
    <w:p>
      <w:pPr>
        <w:pStyle w:val="4"/>
        <w:spacing w:line="360" w:lineRule="auto"/>
        <w:rPr>
          <w:rFonts w:hint="eastAsia" w:ascii="新宋体" w:hAnsi="新宋体" w:eastAsia="新宋体" w:cs="新宋体"/>
          <w:color w:val="auto"/>
          <w:sz w:val="24"/>
          <w:szCs w:val="24"/>
        </w:rPr>
      </w:pPr>
      <w:bookmarkStart w:id="26" w:name="_Toc19153"/>
      <w:bookmarkStart w:id="27" w:name="_Toc10673"/>
      <w:r>
        <w:rPr>
          <w:rFonts w:hint="eastAsia" w:ascii="新宋体" w:hAnsi="新宋体" w:eastAsia="新宋体" w:cs="新宋体"/>
          <w:color w:val="auto"/>
          <w:sz w:val="24"/>
          <w:szCs w:val="24"/>
        </w:rPr>
        <w:t>9.磋商保证金</w:t>
      </w:r>
      <w:bookmarkEnd w:id="26"/>
      <w:bookmarkEnd w:id="27"/>
    </w:p>
    <w:p>
      <w:pPr>
        <w:snapToGrid w:val="0"/>
        <w:spacing w:line="360" w:lineRule="auto"/>
        <w:ind w:firstLine="484" w:firstLineChars="202"/>
        <w:rPr>
          <w:rFonts w:hint="eastAsia" w:ascii="新宋体" w:hAnsi="新宋体" w:eastAsia="新宋体" w:cs="新宋体"/>
          <w:color w:val="auto"/>
          <w:sz w:val="24"/>
          <w:szCs w:val="24"/>
        </w:rPr>
      </w:pPr>
      <w:bookmarkStart w:id="28" w:name="_Toc31922"/>
      <w:r>
        <w:rPr>
          <w:rFonts w:hint="eastAsia" w:ascii="新宋体" w:hAnsi="新宋体" w:eastAsia="新宋体" w:cs="新宋体"/>
          <w:color w:val="auto"/>
          <w:sz w:val="24"/>
          <w:szCs w:val="24"/>
        </w:rPr>
        <w:t>9.1投标人须在响应截止期前按以下要求缴纳磋商保证金：</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磋商保证金：</w:t>
      </w:r>
      <w:r>
        <w:rPr>
          <w:rFonts w:hint="eastAsia" w:ascii="新宋体" w:hAnsi="新宋体" w:eastAsia="新宋体" w:cs="新宋体"/>
          <w:b/>
          <w:bCs/>
          <w:color w:val="auto"/>
          <w:sz w:val="24"/>
          <w:szCs w:val="24"/>
          <w:u w:val="single"/>
          <w:lang w:val="en-US" w:eastAsia="zh-CN"/>
        </w:rPr>
        <w:t>6800</w:t>
      </w:r>
      <w:r>
        <w:rPr>
          <w:rFonts w:hint="eastAsia" w:ascii="新宋体" w:hAnsi="新宋体" w:eastAsia="新宋体" w:cs="新宋体"/>
          <w:b/>
          <w:bCs/>
          <w:color w:val="auto"/>
          <w:sz w:val="24"/>
          <w:szCs w:val="24"/>
          <w:u w:val="single"/>
        </w:rPr>
        <w:t>.00</w:t>
      </w:r>
      <w:r>
        <w:rPr>
          <w:rFonts w:hint="eastAsia" w:ascii="新宋体" w:hAnsi="新宋体" w:eastAsia="新宋体" w:cs="新宋体"/>
          <w:color w:val="auto"/>
          <w:sz w:val="24"/>
          <w:szCs w:val="24"/>
        </w:rPr>
        <w:t>元整（大写：</w:t>
      </w:r>
      <w:r>
        <w:rPr>
          <w:rFonts w:hint="eastAsia" w:ascii="新宋体" w:hAnsi="新宋体" w:eastAsia="新宋体" w:cs="新宋体"/>
          <w:b/>
          <w:bCs/>
          <w:color w:val="auto"/>
          <w:sz w:val="24"/>
          <w:szCs w:val="24"/>
          <w:u w:val="single"/>
          <w:lang w:eastAsia="zh-CN"/>
        </w:rPr>
        <w:t>陆仟捌佰</w:t>
      </w:r>
      <w:r>
        <w:rPr>
          <w:rFonts w:hint="eastAsia" w:ascii="新宋体" w:hAnsi="新宋体" w:eastAsia="新宋体" w:cs="新宋体"/>
          <w:b/>
          <w:bCs/>
          <w:color w:val="auto"/>
          <w:sz w:val="24"/>
          <w:szCs w:val="24"/>
          <w:u w:val="single"/>
        </w:rPr>
        <w:t>元整</w:t>
      </w:r>
      <w:r>
        <w:rPr>
          <w:rFonts w:hint="eastAsia" w:ascii="新宋体" w:hAnsi="新宋体" w:eastAsia="新宋体" w:cs="新宋体"/>
          <w:color w:val="auto"/>
          <w:sz w:val="24"/>
          <w:szCs w:val="24"/>
        </w:rPr>
        <w:t>）；</w:t>
      </w:r>
    </w:p>
    <w:p>
      <w:pPr>
        <w:snapToGrid w:val="0"/>
        <w:spacing w:line="360" w:lineRule="auto"/>
        <w:ind w:firstLine="484" w:firstLineChars="202"/>
        <w:rPr>
          <w:rFonts w:hint="eastAsia" w:ascii="新宋体" w:hAnsi="新宋体" w:eastAsia="新宋体" w:cs="新宋体"/>
          <w:b/>
          <w:bCs/>
          <w:color w:val="auto"/>
          <w:sz w:val="24"/>
          <w:szCs w:val="24"/>
          <w:u w:val="none"/>
          <w:lang w:val="zh-CN"/>
        </w:rPr>
      </w:pPr>
      <w:r>
        <w:rPr>
          <w:rFonts w:hint="eastAsia" w:ascii="新宋体" w:hAnsi="新宋体" w:eastAsia="新宋体" w:cs="新宋体"/>
          <w:color w:val="auto"/>
          <w:sz w:val="24"/>
          <w:szCs w:val="24"/>
          <w:lang w:val="zh-CN"/>
        </w:rPr>
        <w:t>账户名：</w:t>
      </w:r>
      <w:r>
        <w:rPr>
          <w:rFonts w:hint="eastAsia" w:ascii="新宋体" w:hAnsi="新宋体" w:eastAsia="新宋体" w:cs="新宋体"/>
          <w:b/>
          <w:bCs/>
          <w:color w:val="auto"/>
          <w:sz w:val="24"/>
          <w:szCs w:val="24"/>
          <w:u w:val="none"/>
          <w:lang w:val="zh-CN"/>
        </w:rPr>
        <w:t>青海合美建设工程咨询有限公司</w:t>
      </w:r>
    </w:p>
    <w:p>
      <w:pPr>
        <w:spacing w:line="360" w:lineRule="auto"/>
        <w:ind w:firstLine="480" w:firstLineChars="200"/>
        <w:rPr>
          <w:rFonts w:hint="eastAsia" w:ascii="新宋体" w:hAnsi="新宋体" w:eastAsia="新宋体" w:cs="新宋体"/>
          <w:b/>
          <w:bCs/>
          <w:color w:val="auto"/>
          <w:sz w:val="24"/>
          <w:szCs w:val="24"/>
          <w:u w:val="none"/>
          <w:lang w:val="zh-CN"/>
        </w:rPr>
      </w:pPr>
      <w:r>
        <w:rPr>
          <w:rFonts w:hint="eastAsia" w:ascii="新宋体" w:hAnsi="新宋体" w:eastAsia="新宋体" w:cs="新宋体"/>
          <w:color w:val="auto"/>
          <w:sz w:val="24"/>
          <w:szCs w:val="24"/>
        </w:rPr>
        <w:t>开户行：</w:t>
      </w:r>
      <w:r>
        <w:rPr>
          <w:rFonts w:hint="eastAsia" w:ascii="新宋体" w:hAnsi="新宋体" w:eastAsia="新宋体" w:cs="新宋体"/>
          <w:b/>
          <w:bCs/>
          <w:color w:val="auto"/>
          <w:sz w:val="24"/>
          <w:szCs w:val="24"/>
        </w:rPr>
        <w:t>中国农业银行股份有限公司西宁市城西支行交通巷分理处</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账</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号：</w:t>
      </w:r>
      <w:r>
        <w:rPr>
          <w:rFonts w:hint="eastAsia" w:ascii="新宋体" w:hAnsi="新宋体" w:eastAsia="新宋体" w:cs="新宋体"/>
          <w:b/>
          <w:bCs/>
          <w:color w:val="auto"/>
          <w:sz w:val="24"/>
          <w:szCs w:val="24"/>
        </w:rPr>
        <w:t>28043001040001536</w:t>
      </w:r>
      <w:r>
        <w:rPr>
          <w:rFonts w:hint="eastAsia" w:ascii="新宋体" w:hAnsi="新宋体" w:eastAsia="新宋体" w:cs="新宋体"/>
          <w:color w:val="auto"/>
          <w:sz w:val="24"/>
          <w:szCs w:val="24"/>
        </w:rPr>
        <w:t xml:space="preserve"> </w:t>
      </w:r>
    </w:p>
    <w:p>
      <w:pPr>
        <w:snapToGrid w:val="0"/>
        <w:spacing w:line="360" w:lineRule="auto"/>
        <w:ind w:firstLine="484" w:firstLineChars="202"/>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交纳时间：</w:t>
      </w:r>
      <w:r>
        <w:rPr>
          <w:rFonts w:hint="eastAsia" w:ascii="新宋体" w:hAnsi="新宋体" w:eastAsia="新宋体" w:cs="新宋体"/>
          <w:b/>
          <w:bCs/>
          <w:color w:val="auto"/>
          <w:sz w:val="24"/>
          <w:szCs w:val="24"/>
          <w:lang w:val="zh-CN"/>
        </w:rPr>
        <w:t>开标截止前一工作日</w:t>
      </w:r>
      <w:r>
        <w:rPr>
          <w:rFonts w:hint="eastAsia" w:ascii="新宋体" w:hAnsi="新宋体" w:eastAsia="新宋体" w:cs="新宋体"/>
          <w:b w:val="0"/>
          <w:bCs w:val="0"/>
          <w:color w:val="auto"/>
          <w:sz w:val="24"/>
          <w:szCs w:val="24"/>
          <w:lang w:val="zh-CN"/>
        </w:rPr>
        <w:t>，以银行到账时间为准</w:t>
      </w:r>
      <w:r>
        <w:rPr>
          <w:rFonts w:hint="eastAsia" w:ascii="新宋体" w:hAnsi="新宋体" w:eastAsia="新宋体" w:cs="新宋体"/>
          <w:color w:val="auto"/>
          <w:sz w:val="24"/>
          <w:szCs w:val="24"/>
          <w:lang w:val="zh-CN"/>
        </w:rPr>
        <w:t>。</w:t>
      </w:r>
    </w:p>
    <w:p>
      <w:pPr>
        <w:snapToGrid w:val="0"/>
        <w:spacing w:line="360" w:lineRule="auto"/>
        <w:ind w:firstLine="484" w:firstLineChars="202"/>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如采购项目变更开标时间，则保证金交纳时间相应顺延。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9.2交纳方式：磋商保证金应当以支票、汇票、本票或者金融机构、担保机构出具的保函等非现金形式提交。通过银行转账的，必须由投标人从其基本账户（须提供开户许可证复印件）汇（转）入第9.1条规定的账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9.3磋商保证金退还：投标人在响应截止时间前撤回已提交的响应文件的，采购代理机构应当自收到投标人书面撤回通知之日起5个工作日内，退还已收取的磋商保证金，但因投标人自身原因导致无法及时退还的除外。</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采购代理机构应当自成交通知书发出之日起5个工作日内退还未成交人的磋商保证金，自采购合同签订之日起5个工作日内退还成交人的磋商保证金或者转为成交人的履约保证金。</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采购代理机构逾期退还磋商保证金的，除应当退还磋商保证金本金外，还应当按中国人民银行同期贷款基准利率上浮20%后的利率支付超期资金占用费，但因投标人自身原因导致无法及时退还的除外。</w:t>
      </w:r>
    </w:p>
    <w:p>
      <w:pPr>
        <w:spacing w:line="540" w:lineRule="exact"/>
        <w:ind w:firstLine="480" w:firstLineChars="200"/>
        <w:jc w:val="left"/>
        <w:rPr>
          <w:rFonts w:hint="eastAsia" w:ascii="新宋体" w:hAnsi="新宋体" w:eastAsia="新宋体" w:cs="新宋体"/>
          <w:color w:val="auto"/>
        </w:rPr>
      </w:pPr>
      <w:r>
        <w:rPr>
          <w:rFonts w:hint="eastAsia" w:ascii="新宋体" w:hAnsi="新宋体" w:eastAsia="新宋体" w:cs="新宋体"/>
          <w:color w:val="auto"/>
          <w:sz w:val="24"/>
          <w:szCs w:val="24"/>
        </w:rPr>
        <w:t>根据财政部74号令(《政府采购非招标采购方式管理办法》)第二十条第二款规定，保证金不予退还的情形有五种：一是供应商在提交响应文件截止时间后撤回响应文件；二是供应商在响应文件中提供虚假材料；三是除因不可抗力或询价文件、询价通知书认可的情形以外，成交供应商不与采购人签订合同；四是供应商与采购人、其他供应商或者</w:t>
      </w:r>
      <w:r>
        <w:rPr>
          <w:rFonts w:hint="eastAsia" w:ascii="新宋体" w:hAnsi="新宋体" w:eastAsia="新宋体" w:cs="新宋体"/>
          <w:color w:val="auto"/>
        </w:rPr>
        <w:fldChar w:fldCharType="begin"/>
      </w:r>
      <w:r>
        <w:rPr>
          <w:rFonts w:hint="eastAsia" w:ascii="新宋体" w:hAnsi="新宋体" w:eastAsia="新宋体" w:cs="新宋体"/>
          <w:color w:val="auto"/>
        </w:rPr>
        <w:instrText xml:space="preserve"> HYPERLINK "http://www.caigou2003.com/ll/rcjd/2365676.html" \t "http://www.caigou2003.com/zhengcaizixun/baozhiwenzhang/_blank" </w:instrText>
      </w:r>
      <w:r>
        <w:rPr>
          <w:rFonts w:hint="eastAsia" w:ascii="新宋体" w:hAnsi="新宋体" w:eastAsia="新宋体" w:cs="新宋体"/>
          <w:color w:val="auto"/>
        </w:rPr>
        <w:fldChar w:fldCharType="separate"/>
      </w:r>
      <w:r>
        <w:rPr>
          <w:rFonts w:hint="eastAsia" w:ascii="新宋体" w:hAnsi="新宋体" w:eastAsia="新宋体" w:cs="新宋体"/>
          <w:color w:val="auto"/>
          <w:sz w:val="24"/>
          <w:szCs w:val="24"/>
        </w:rPr>
        <w:t>采购代理机构</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恶意串通；五是采购文件规定的其他情形。</w:t>
      </w:r>
    </w:p>
    <w:p>
      <w:pPr>
        <w:pStyle w:val="4"/>
        <w:spacing w:line="360" w:lineRule="auto"/>
        <w:rPr>
          <w:rFonts w:hint="eastAsia" w:ascii="新宋体" w:hAnsi="新宋体" w:eastAsia="新宋体" w:cs="新宋体"/>
          <w:color w:val="auto"/>
          <w:sz w:val="24"/>
          <w:szCs w:val="24"/>
        </w:rPr>
      </w:pPr>
      <w:bookmarkStart w:id="29" w:name="_Toc16225"/>
      <w:r>
        <w:rPr>
          <w:rFonts w:hint="eastAsia" w:ascii="新宋体" w:hAnsi="新宋体" w:eastAsia="新宋体" w:cs="新宋体"/>
          <w:color w:val="auto"/>
          <w:sz w:val="24"/>
          <w:szCs w:val="24"/>
        </w:rPr>
        <w:t>10.投标有效期</w:t>
      </w:r>
      <w:bookmarkEnd w:id="28"/>
      <w:bookmarkEnd w:id="29"/>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从提交响应文件的截止之日起</w:t>
      </w:r>
      <w:r>
        <w:rPr>
          <w:rFonts w:hint="eastAsia" w:ascii="新宋体" w:hAnsi="新宋体" w:eastAsia="新宋体" w:cs="新宋体"/>
          <w:b w:val="0"/>
          <w:bCs w:val="0"/>
          <w:color w:val="auto"/>
          <w:sz w:val="24"/>
          <w:szCs w:val="24"/>
          <w:u w:val="single"/>
        </w:rPr>
        <w:t>60</w:t>
      </w:r>
      <w:r>
        <w:rPr>
          <w:rFonts w:hint="eastAsia" w:ascii="新宋体" w:hAnsi="新宋体" w:eastAsia="新宋体" w:cs="新宋体"/>
          <w:color w:val="auto"/>
          <w:sz w:val="24"/>
          <w:szCs w:val="24"/>
        </w:rPr>
        <w:t>日历日。响应文件中承诺的投标有效期应当不少于磋商文件中载明的投标有效期。投标有效期内投标人撤销响应文件的，采购代理机构可以不退还磋商保证金。</w:t>
      </w:r>
    </w:p>
    <w:p>
      <w:pPr>
        <w:pStyle w:val="4"/>
        <w:spacing w:line="360" w:lineRule="auto"/>
        <w:rPr>
          <w:rFonts w:hint="eastAsia" w:ascii="新宋体" w:hAnsi="新宋体" w:eastAsia="新宋体" w:cs="新宋体"/>
          <w:color w:val="auto"/>
          <w:sz w:val="24"/>
          <w:szCs w:val="24"/>
        </w:rPr>
      </w:pPr>
      <w:bookmarkStart w:id="30" w:name="_Toc11383"/>
      <w:bookmarkStart w:id="31" w:name="_Toc5251"/>
      <w:r>
        <w:rPr>
          <w:rFonts w:hint="eastAsia" w:ascii="新宋体" w:hAnsi="新宋体" w:eastAsia="新宋体" w:cs="新宋体"/>
          <w:color w:val="auto"/>
          <w:sz w:val="24"/>
          <w:szCs w:val="24"/>
        </w:rPr>
        <w:t>11.响应文件构成</w:t>
      </w:r>
      <w:bookmarkEnd w:id="30"/>
      <w:bookmarkEnd w:id="31"/>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投标人应提交相关证明材料，作为其参加投标和成交后有能力履行合同的证明。编写的响应文件须包括以下内容（格式见磋商文件第四部分）</w:t>
      </w:r>
    </w:p>
    <w:p>
      <w:pPr>
        <w:pStyle w:val="4"/>
        <w:spacing w:line="360" w:lineRule="auto"/>
        <w:rPr>
          <w:rFonts w:hint="eastAsia" w:ascii="新宋体" w:hAnsi="新宋体" w:eastAsia="新宋体" w:cs="新宋体"/>
          <w:color w:val="auto"/>
          <w:sz w:val="24"/>
          <w:szCs w:val="24"/>
        </w:rPr>
      </w:pPr>
      <w:bookmarkStart w:id="32" w:name="_Toc720"/>
      <w:bookmarkStart w:id="33" w:name="_Toc8522"/>
      <w:r>
        <w:rPr>
          <w:rFonts w:hint="eastAsia" w:ascii="新宋体" w:hAnsi="新宋体" w:eastAsia="新宋体" w:cs="新宋体"/>
          <w:color w:val="auto"/>
          <w:sz w:val="24"/>
          <w:szCs w:val="24"/>
        </w:rPr>
        <w:t>11.1响应文件</w:t>
      </w:r>
      <w:bookmarkEnd w:id="32"/>
      <w:bookmarkEnd w:id="33"/>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（1）响应函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（2）法定代表人证明书</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（3）法定代表人授权书</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（4）投标人承诺函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（5）投标人诚信承诺书</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（6）资格证明材料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（7）财务状况报告，依法缴纳税收和社会保证资金的相关材料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（8）具备履行合同所必需的设备和专业技术能力的证明材料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（9）无重大违法记录声明</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（10）磋商保证金证明</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（11）评分对照表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（12）磋商一览表（报价表）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（13）分项报价表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（14）服务规格响应表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（15）投标服务相关资料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（16）投标人的类似业绩证明材料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（17）制造（生产）企业小型、微型企业声明函、从业人员声明函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（18）残疾人福利性单位声明函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（19）投标人认为在其他方面有必要说明的事项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（20）投标人最终报价表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注：投标人须按上述内容、顺序和格式编制响应文件，并按要求编制目录、页码，并保证所提供的全部资料真实可信，资源承担相应责任。</w:t>
      </w:r>
    </w:p>
    <w:p>
      <w:pPr>
        <w:pStyle w:val="4"/>
        <w:spacing w:line="360" w:lineRule="auto"/>
        <w:rPr>
          <w:rFonts w:hint="eastAsia" w:ascii="新宋体" w:hAnsi="新宋体" w:eastAsia="新宋体" w:cs="新宋体"/>
          <w:color w:val="auto"/>
          <w:sz w:val="24"/>
          <w:szCs w:val="24"/>
        </w:rPr>
      </w:pPr>
      <w:bookmarkStart w:id="34" w:name="_Toc21384"/>
      <w:bookmarkStart w:id="35" w:name="_Toc15840"/>
      <w:r>
        <w:rPr>
          <w:rFonts w:hint="eastAsia" w:ascii="新宋体" w:hAnsi="新宋体" w:eastAsia="新宋体" w:cs="新宋体"/>
          <w:color w:val="auto"/>
          <w:sz w:val="24"/>
          <w:szCs w:val="24"/>
        </w:rPr>
        <w:t>12.响应文件的编制要求</w:t>
      </w:r>
      <w:bookmarkEnd w:id="34"/>
      <w:bookmarkEnd w:id="35"/>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12.1投标人应按照磋商文件所提供的响应文件格式，分别填写磋商文件第四部分的内容，应分别注明所提供服务项目、项目内容及服务要求、时间等内容；磋商文件要求签字、盖章的地方必须由投标人的法定代表人或委托代理人按要求签字、盖章</w:t>
      </w:r>
      <w:r>
        <w:rPr>
          <w:rFonts w:hint="eastAsia" w:ascii="新宋体" w:hAnsi="新宋体" w:eastAsia="新宋体" w:cs="新宋体"/>
          <w:color w:val="auto"/>
          <w:sz w:val="24"/>
          <w:szCs w:val="24"/>
          <w:lang w:eastAsia="zh-CN"/>
        </w:rPr>
        <w:t>，</w:t>
      </w:r>
    </w:p>
    <w:p>
      <w:pPr>
        <w:snapToGrid w:val="0"/>
        <w:spacing w:line="360" w:lineRule="auto"/>
        <w:ind w:firstLine="484" w:firstLineChars="202"/>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12.2投标人应准备纸质响应文件正本</w:t>
      </w:r>
      <w:r>
        <w:rPr>
          <w:rFonts w:hint="eastAsia" w:ascii="新宋体" w:hAnsi="新宋体" w:eastAsia="新宋体" w:cs="新宋体"/>
          <w:color w:val="auto"/>
          <w:sz w:val="24"/>
          <w:szCs w:val="24"/>
          <w:u w:val="single"/>
        </w:rPr>
        <w:t>1</w:t>
      </w:r>
      <w:r>
        <w:rPr>
          <w:rFonts w:hint="eastAsia" w:ascii="新宋体" w:hAnsi="新宋体" w:eastAsia="新宋体" w:cs="新宋体"/>
          <w:color w:val="auto"/>
          <w:sz w:val="24"/>
          <w:szCs w:val="24"/>
        </w:rPr>
        <w:t>份、副本</w:t>
      </w:r>
      <w:r>
        <w:rPr>
          <w:rFonts w:hint="eastAsia" w:ascii="新宋体" w:hAnsi="新宋体" w:eastAsia="新宋体" w:cs="新宋体"/>
          <w:color w:val="auto"/>
          <w:sz w:val="24"/>
          <w:szCs w:val="24"/>
          <w:u w:val="single"/>
        </w:rPr>
        <w:t>2</w:t>
      </w:r>
      <w:r>
        <w:rPr>
          <w:rFonts w:hint="eastAsia" w:ascii="新宋体" w:hAnsi="新宋体" w:eastAsia="新宋体" w:cs="新宋体"/>
          <w:color w:val="auto"/>
          <w:sz w:val="24"/>
          <w:szCs w:val="24"/>
        </w:rPr>
        <w:t>份，电子文档</w:t>
      </w:r>
      <w:r>
        <w:rPr>
          <w:rFonts w:hint="eastAsia" w:ascii="新宋体" w:hAnsi="新宋体" w:eastAsia="新宋体" w:cs="新宋体"/>
          <w:color w:val="auto"/>
          <w:sz w:val="24"/>
          <w:szCs w:val="24"/>
          <w:u w:val="single"/>
        </w:rPr>
        <w:t>1</w:t>
      </w:r>
      <w:r>
        <w:rPr>
          <w:rFonts w:hint="eastAsia" w:ascii="新宋体" w:hAnsi="新宋体" w:eastAsia="新宋体" w:cs="新宋体"/>
          <w:color w:val="auto"/>
          <w:sz w:val="24"/>
          <w:szCs w:val="24"/>
        </w:rPr>
        <w:t>分。若发生正本和副本不符，以正本为准。响应文件统一使用A4幅面的纸张印制，必须胶装成册并编码，</w:t>
      </w:r>
      <w:r>
        <w:rPr>
          <w:rFonts w:hint="eastAsia" w:ascii="新宋体" w:hAnsi="新宋体" w:eastAsia="新宋体" w:cs="新宋体"/>
          <w:b/>
          <w:bCs/>
          <w:color w:val="auto"/>
          <w:sz w:val="24"/>
          <w:szCs w:val="24"/>
        </w:rPr>
        <w:t>封面左侧胶装处须打印此次采购项目名称</w:t>
      </w:r>
      <w:r>
        <w:rPr>
          <w:rFonts w:hint="eastAsia" w:ascii="新宋体" w:hAnsi="新宋体" w:eastAsia="新宋体" w:cs="新宋体"/>
          <w:b/>
          <w:bCs/>
          <w:color w:val="auto"/>
          <w:sz w:val="24"/>
          <w:szCs w:val="24"/>
          <w:lang w:eastAsia="zh-CN"/>
        </w:rPr>
        <w:t>。</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12.3响应文件的正本需打印或用不退色、不变质的墨水书写，副本可以采用正本的复印件。电子文档用光盘或U盘制作，采用不可修改文档格式（如：PDF格式），内容必须和纸质响应文件正本完全一致，包括封面、页码、签字、盖章等。</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12.4响应文件中不得行间插字、涂改或增删，如有修改错漏处，须由投标人法定代表人或其委托代理人签字、加盖公章。</w:t>
      </w:r>
    </w:p>
    <w:p>
      <w:pPr>
        <w:snapToGrid w:val="0"/>
        <w:spacing w:line="360" w:lineRule="auto"/>
        <w:ind w:firstLine="487" w:firstLineChars="202"/>
        <w:rPr>
          <w:rFonts w:hint="eastAsia"/>
          <w:color w:val="auto"/>
        </w:rPr>
      </w:pPr>
      <w:r>
        <w:rPr>
          <w:rFonts w:hint="eastAsia" w:ascii="新宋体" w:hAnsi="新宋体" w:eastAsia="新宋体" w:cs="新宋体"/>
          <w:b/>
          <w:bCs/>
          <w:color w:val="auto"/>
          <w:sz w:val="24"/>
          <w:szCs w:val="24"/>
          <w:lang w:val="en-US" w:eastAsia="zh-CN"/>
        </w:rPr>
        <w:t>12.5</w:t>
      </w:r>
      <w:r>
        <w:rPr>
          <w:rFonts w:hint="eastAsia" w:ascii="新宋体" w:hAnsi="新宋体" w:eastAsia="新宋体" w:cs="新宋体"/>
          <w:b/>
          <w:bCs/>
          <w:color w:val="auto"/>
          <w:sz w:val="24"/>
          <w:szCs w:val="24"/>
          <w:lang w:val="zh-CN"/>
        </w:rPr>
        <w:t>左侧书脊处打印</w:t>
      </w:r>
      <w:r>
        <w:rPr>
          <w:rFonts w:hint="eastAsia" w:ascii="新宋体" w:hAnsi="新宋体" w:eastAsia="新宋体" w:cs="新宋体"/>
          <w:b/>
          <w:bCs/>
          <w:color w:val="auto"/>
          <w:sz w:val="24"/>
          <w:szCs w:val="24"/>
        </w:rPr>
        <w:t>采购项目名称</w:t>
      </w:r>
      <w:r>
        <w:rPr>
          <w:rFonts w:hint="eastAsia" w:ascii="新宋体" w:hAnsi="新宋体" w:eastAsia="新宋体" w:cs="新宋体"/>
          <w:b/>
          <w:bCs/>
          <w:color w:val="auto"/>
          <w:sz w:val="24"/>
          <w:szCs w:val="24"/>
          <w:lang w:val="zh-CN"/>
        </w:rPr>
        <w:t>。</w:t>
      </w:r>
    </w:p>
    <w:p>
      <w:pPr>
        <w:pStyle w:val="3"/>
        <w:numPr>
          <w:ilvl w:val="0"/>
          <w:numId w:val="3"/>
        </w:numPr>
        <w:spacing w:line="360" w:lineRule="auto"/>
        <w:jc w:val="center"/>
        <w:rPr>
          <w:rFonts w:hint="eastAsia" w:ascii="新宋体" w:hAnsi="新宋体" w:eastAsia="新宋体" w:cs="新宋体"/>
          <w:color w:val="auto"/>
        </w:rPr>
      </w:pPr>
      <w:bookmarkStart w:id="36" w:name="_Toc779"/>
      <w:bookmarkStart w:id="37" w:name="_Toc10231"/>
      <w:r>
        <w:rPr>
          <w:rFonts w:hint="eastAsia" w:ascii="新宋体" w:hAnsi="新宋体" w:eastAsia="新宋体" w:cs="新宋体"/>
          <w:color w:val="auto"/>
        </w:rPr>
        <w:t>响应文件的提交</w:t>
      </w:r>
      <w:bookmarkEnd w:id="36"/>
      <w:bookmarkEnd w:id="37"/>
    </w:p>
    <w:p>
      <w:pPr>
        <w:pStyle w:val="4"/>
        <w:spacing w:line="360" w:lineRule="auto"/>
        <w:rPr>
          <w:rFonts w:hint="eastAsia" w:ascii="新宋体" w:hAnsi="新宋体" w:eastAsia="新宋体" w:cs="新宋体"/>
          <w:color w:val="auto"/>
          <w:sz w:val="24"/>
          <w:szCs w:val="24"/>
        </w:rPr>
      </w:pPr>
      <w:bookmarkStart w:id="38" w:name="_Toc27829"/>
      <w:bookmarkStart w:id="39" w:name="_Toc20663"/>
      <w:r>
        <w:rPr>
          <w:rFonts w:hint="eastAsia" w:ascii="新宋体" w:hAnsi="新宋体" w:eastAsia="新宋体" w:cs="新宋体"/>
          <w:color w:val="auto"/>
          <w:sz w:val="24"/>
          <w:szCs w:val="24"/>
        </w:rPr>
        <w:t>13.响应文件的密封和标记</w:t>
      </w:r>
      <w:bookmarkEnd w:id="38"/>
      <w:bookmarkEnd w:id="39"/>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13.1响应文件正本、所有副本、电子文档，</w:t>
      </w:r>
      <w:r>
        <w:rPr>
          <w:rFonts w:hint="eastAsia" w:ascii="新宋体" w:hAnsi="新宋体" w:eastAsia="新宋体" w:cs="新宋体"/>
          <w:color w:val="auto"/>
          <w:sz w:val="24"/>
          <w:szCs w:val="24"/>
          <w:lang w:eastAsia="zh-CN"/>
        </w:rPr>
        <w:t>最终报价表，</w:t>
      </w:r>
      <w:r>
        <w:rPr>
          <w:rFonts w:hint="eastAsia" w:ascii="新宋体" w:hAnsi="新宋体" w:eastAsia="新宋体" w:cs="新宋体"/>
          <w:color w:val="auto"/>
          <w:sz w:val="24"/>
          <w:szCs w:val="24"/>
        </w:rPr>
        <w:t>应分别封装于不同的密封袋内，密封袋上应分别标上“正本”、“副本”、“电子文档”</w:t>
      </w:r>
      <w:r>
        <w:rPr>
          <w:rFonts w:hint="eastAsia" w:ascii="新宋体" w:hAnsi="新宋体" w:eastAsia="新宋体" w:cs="新宋体"/>
          <w:color w:val="auto"/>
          <w:sz w:val="24"/>
          <w:szCs w:val="24"/>
          <w:lang w:eastAsia="zh-CN"/>
        </w:rPr>
        <w:t>“最终报价表”</w:t>
      </w:r>
      <w:r>
        <w:rPr>
          <w:rFonts w:hint="eastAsia" w:ascii="新宋体" w:hAnsi="新宋体" w:eastAsia="新宋体" w:cs="新宋体"/>
          <w:color w:val="auto"/>
          <w:sz w:val="24"/>
          <w:szCs w:val="24"/>
        </w:rPr>
        <w:t>字样，并注明投标人名称、采购项目编号、采购项目名称。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13.2密封后的响应文件密封袋用“于</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年</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日上午</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时</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分</w:t>
      </w:r>
      <w:r>
        <w:rPr>
          <w:rFonts w:hint="eastAsia" w:ascii="新宋体" w:hAnsi="新宋体" w:eastAsia="新宋体" w:cs="新宋体"/>
          <w:color w:val="auto"/>
          <w:sz w:val="24"/>
          <w:szCs w:val="24"/>
        </w:rPr>
        <w:t>（北京时间）之前不准启封”的标签密封。</w:t>
      </w:r>
    </w:p>
    <w:p>
      <w:pPr>
        <w:pStyle w:val="4"/>
        <w:spacing w:line="360" w:lineRule="auto"/>
        <w:rPr>
          <w:rFonts w:hint="eastAsia" w:ascii="新宋体" w:hAnsi="新宋体" w:eastAsia="新宋体" w:cs="新宋体"/>
          <w:color w:val="auto"/>
          <w:sz w:val="24"/>
          <w:szCs w:val="24"/>
        </w:rPr>
      </w:pPr>
      <w:bookmarkStart w:id="40" w:name="_Toc30492"/>
      <w:bookmarkStart w:id="41" w:name="_Toc3464"/>
      <w:r>
        <w:rPr>
          <w:rFonts w:hint="eastAsia" w:ascii="新宋体" w:hAnsi="新宋体" w:eastAsia="新宋体" w:cs="新宋体"/>
          <w:color w:val="auto"/>
          <w:sz w:val="24"/>
          <w:szCs w:val="24"/>
        </w:rPr>
        <w:t>14.提交响应文件的时间、地点、方式</w:t>
      </w:r>
      <w:bookmarkEnd w:id="40"/>
      <w:bookmarkEnd w:id="41"/>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14.1投标人应当在磋商文件要求提交响应文件的截止时间前，将响应文件（正本、副本、电子文档）密封送达投标地点。采购代理机构收到响应文件后，应当如实记载响应文件的送达时间和密封情况，签收保存，并向投标人出具签收回执。任何单位和个人不得在开标前开启响应文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14.2逾期送达或者未按照磋商文件第13.1-13.2条要求密封的响应文件，采购人、采购代理机构应当拒收。</w:t>
      </w:r>
    </w:p>
    <w:p>
      <w:pPr>
        <w:pStyle w:val="4"/>
        <w:spacing w:line="360" w:lineRule="auto"/>
        <w:rPr>
          <w:rFonts w:hint="eastAsia" w:ascii="新宋体" w:hAnsi="新宋体" w:eastAsia="新宋体" w:cs="新宋体"/>
          <w:color w:val="auto"/>
          <w:sz w:val="24"/>
          <w:szCs w:val="24"/>
        </w:rPr>
      </w:pPr>
      <w:bookmarkStart w:id="42" w:name="_Toc32344"/>
      <w:bookmarkStart w:id="43" w:name="_Toc24800"/>
      <w:r>
        <w:rPr>
          <w:rFonts w:hint="eastAsia" w:ascii="新宋体" w:hAnsi="新宋体" w:eastAsia="新宋体" w:cs="新宋体"/>
          <w:color w:val="auto"/>
          <w:sz w:val="24"/>
          <w:szCs w:val="24"/>
        </w:rPr>
        <w:t>15.响应文件的补充、修改或者撤回</w:t>
      </w:r>
      <w:bookmarkEnd w:id="42"/>
      <w:bookmarkEnd w:id="43"/>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15.1投标人在投标截止时间前，可以对所递交的响应文件进行补充、修改或者撤回，并书面通知采购代理机构。补充、修改的内容应当按照磋商文件要求签署、盖章、密封后，作为响应文件的组成部分。</w:t>
      </w:r>
    </w:p>
    <w:p>
      <w:pPr>
        <w:pStyle w:val="3"/>
        <w:numPr>
          <w:ilvl w:val="0"/>
          <w:numId w:val="3"/>
        </w:numPr>
        <w:spacing w:line="360" w:lineRule="auto"/>
        <w:jc w:val="center"/>
        <w:rPr>
          <w:rFonts w:hint="eastAsia" w:ascii="新宋体" w:hAnsi="新宋体" w:eastAsia="新宋体" w:cs="新宋体"/>
          <w:color w:val="auto"/>
        </w:rPr>
      </w:pPr>
      <w:bookmarkStart w:id="44" w:name="_Toc11046"/>
      <w:bookmarkStart w:id="45" w:name="_Toc4287"/>
      <w:r>
        <w:rPr>
          <w:rFonts w:hint="eastAsia" w:ascii="新宋体" w:hAnsi="新宋体" w:eastAsia="新宋体" w:cs="新宋体"/>
          <w:color w:val="auto"/>
        </w:rPr>
        <w:t>开标</w:t>
      </w:r>
      <w:bookmarkEnd w:id="44"/>
      <w:bookmarkEnd w:id="45"/>
    </w:p>
    <w:p>
      <w:pPr>
        <w:pStyle w:val="4"/>
        <w:spacing w:line="360" w:lineRule="auto"/>
        <w:rPr>
          <w:rFonts w:hint="eastAsia" w:ascii="新宋体" w:hAnsi="新宋体" w:eastAsia="新宋体" w:cs="新宋体"/>
          <w:color w:val="auto"/>
          <w:sz w:val="24"/>
          <w:szCs w:val="24"/>
        </w:rPr>
      </w:pPr>
      <w:bookmarkStart w:id="46" w:name="_Toc6737"/>
      <w:bookmarkStart w:id="47" w:name="_Toc20210"/>
      <w:r>
        <w:rPr>
          <w:rFonts w:hint="eastAsia" w:ascii="新宋体" w:hAnsi="新宋体" w:eastAsia="新宋体" w:cs="新宋体"/>
          <w:color w:val="auto"/>
          <w:sz w:val="24"/>
          <w:szCs w:val="24"/>
        </w:rPr>
        <w:t>16.开标</w:t>
      </w:r>
      <w:bookmarkEnd w:id="46"/>
      <w:bookmarkEnd w:id="47"/>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16.1开标应当在磋商文件确定的提交响应文件截止时间的同一时间进行，采购代理机构应当按本文件中确定的时间和地点组织开标活动。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采购代理机构应当对开标、评标现场活动进行全程录音录像。录音录像应当清晰可辨，音像资料作为采购文件一并存档。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16.2开标由采购代理机构主持，邀请投标人参加。磋商小组（包括采购人代表）不得参加开标活动。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16.3开标时，应当由投标人或者其推选的代表检查响应文件的密封情况；经确认无误后，由采购代理机构工作人员当众拆封，宣布投标人名称、磋商报价和其他主要内容。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16.4开标过程应当由采购代理机构负责记录，由参加开标的各投标人代表和相关工作人员签字确认。</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投标人未参加开标的，视同认可开标结果。</w:t>
      </w:r>
    </w:p>
    <w:p>
      <w:pPr>
        <w:pStyle w:val="3"/>
        <w:numPr>
          <w:ilvl w:val="0"/>
          <w:numId w:val="3"/>
        </w:numPr>
        <w:spacing w:line="360" w:lineRule="auto"/>
        <w:jc w:val="center"/>
        <w:rPr>
          <w:rFonts w:hint="eastAsia" w:ascii="新宋体" w:hAnsi="新宋体" w:eastAsia="新宋体" w:cs="新宋体"/>
          <w:color w:val="auto"/>
        </w:rPr>
      </w:pPr>
      <w:bookmarkStart w:id="48" w:name="_Toc2131"/>
      <w:bookmarkStart w:id="49" w:name="_Toc29900"/>
      <w:r>
        <w:rPr>
          <w:rFonts w:hint="eastAsia" w:ascii="新宋体" w:hAnsi="新宋体" w:eastAsia="新宋体" w:cs="新宋体"/>
          <w:color w:val="auto"/>
        </w:rPr>
        <w:t>资格审查程序</w:t>
      </w:r>
      <w:bookmarkEnd w:id="48"/>
      <w:bookmarkEnd w:id="49"/>
    </w:p>
    <w:p>
      <w:pPr>
        <w:pStyle w:val="4"/>
        <w:spacing w:line="360" w:lineRule="auto"/>
        <w:rPr>
          <w:rFonts w:hint="eastAsia" w:ascii="新宋体" w:hAnsi="新宋体" w:eastAsia="新宋体" w:cs="新宋体"/>
          <w:color w:val="auto"/>
          <w:sz w:val="24"/>
          <w:szCs w:val="24"/>
        </w:rPr>
      </w:pPr>
      <w:bookmarkStart w:id="50" w:name="_Toc30613"/>
      <w:bookmarkStart w:id="51" w:name="_Toc17330"/>
      <w:r>
        <w:rPr>
          <w:rFonts w:hint="eastAsia" w:ascii="新宋体" w:hAnsi="新宋体" w:eastAsia="新宋体" w:cs="新宋体"/>
          <w:color w:val="auto"/>
          <w:sz w:val="24"/>
          <w:szCs w:val="24"/>
        </w:rPr>
        <w:t>17.资格审查</w:t>
      </w:r>
      <w:bookmarkEnd w:id="50"/>
      <w:bookmarkEnd w:id="51"/>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17.1开标结束后，采购人或者采购代理机构应当依法对投标人的资格性审查文件进行审查。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17.2资格审查时，投标人存在下列情况之一的，按无效投标处理：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（1）不具备第2.2款“合格的投标人”规定的资格要求的；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（2）未按磋商文件要求交纳或未足额交纳磋商保证金的；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（3）未按第11.1要求提供相关资料的；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（4）资格性审查文件未按磋商文件规定和要求签字、盖章的；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（5）报价超过磋商文件中规定的预算金额或者最高限价的；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（6）投标有效期不能满足磋商文件要求的；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（7）未按照磋商文件要求提供电子文档的。</w:t>
      </w:r>
    </w:p>
    <w:p>
      <w:pPr>
        <w:pStyle w:val="3"/>
        <w:numPr>
          <w:ilvl w:val="0"/>
          <w:numId w:val="3"/>
        </w:numPr>
        <w:spacing w:line="360" w:lineRule="auto"/>
        <w:jc w:val="center"/>
        <w:rPr>
          <w:rFonts w:hint="eastAsia" w:ascii="新宋体" w:hAnsi="新宋体" w:eastAsia="新宋体" w:cs="新宋体"/>
          <w:color w:val="auto"/>
        </w:rPr>
      </w:pPr>
      <w:bookmarkStart w:id="52" w:name="_Toc23036"/>
      <w:bookmarkStart w:id="53" w:name="_Toc20671"/>
      <w:r>
        <w:rPr>
          <w:rFonts w:hint="eastAsia" w:ascii="新宋体" w:hAnsi="新宋体" w:eastAsia="新宋体" w:cs="新宋体"/>
          <w:color w:val="auto"/>
        </w:rPr>
        <w:t>评审程序及方法</w:t>
      </w:r>
      <w:bookmarkEnd w:id="52"/>
      <w:bookmarkEnd w:id="53"/>
    </w:p>
    <w:p>
      <w:pPr>
        <w:pStyle w:val="4"/>
        <w:spacing w:line="360" w:lineRule="auto"/>
        <w:rPr>
          <w:rFonts w:hint="eastAsia" w:ascii="新宋体" w:hAnsi="新宋体" w:eastAsia="新宋体" w:cs="新宋体"/>
          <w:color w:val="auto"/>
          <w:sz w:val="24"/>
          <w:szCs w:val="24"/>
        </w:rPr>
      </w:pPr>
      <w:bookmarkStart w:id="54" w:name="_Toc20015"/>
      <w:bookmarkStart w:id="55" w:name="_Toc19208"/>
      <w:r>
        <w:rPr>
          <w:rFonts w:hint="eastAsia" w:ascii="新宋体" w:hAnsi="新宋体" w:eastAsia="新宋体" w:cs="新宋体"/>
          <w:color w:val="auto"/>
          <w:sz w:val="24"/>
          <w:szCs w:val="24"/>
        </w:rPr>
        <w:t>18.</w:t>
      </w:r>
      <w:bookmarkEnd w:id="54"/>
      <w:r>
        <w:rPr>
          <w:rFonts w:hint="eastAsia" w:ascii="新宋体" w:hAnsi="新宋体" w:eastAsia="新宋体" w:cs="新宋体"/>
          <w:color w:val="auto"/>
          <w:sz w:val="24"/>
          <w:szCs w:val="24"/>
        </w:rPr>
        <w:t>磋商小组</w:t>
      </w:r>
      <w:bookmarkEnd w:id="55"/>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18.1采购代理机构负责组织磋商工作，并履行下列职责：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（1）核对磋商小组成员身份和采购人代表授权函，对磋商小组成员在政府采购活动中的职责履行情况予以记录，并及时将有关违法违规行为向财政部门报告；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（2）宣布评标纪律；</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（3）公布投标人名单，告知评审专家应当回避的情形；</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（4）组织磋商小组推选小组组长，采购人代表不得担任组长；</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（5）在磋商期间采取必要的通讯管理措施，保证磋商活动不受外界干扰；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（6）根据磋商小组的要求介绍政府采购相关政策法规、磋商文件；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（7）维护评标秩序，监督磋商小组依照磋商文件规定的评标程序、方法和标准进行独立评审，及时制止和纠正采购人代表、磋商小组的倾向性言论或者违法违规行为；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（8）核对磋商结果，有20.4规定情形的，要求磋商小组复核或者书面说明理由，磋商小组拒绝的，应予记录并向本级财政部门报告；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（9）磋商工作完成后，按照规定由采购人向磋商小组支付劳务报酬和异地磋商差旅费，不得向磋商小组以外的其他人员支付磋商劳务报酬；</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（10）处理与磋商有关的其他事项。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采购人可以在磋商前说明项目背景和采购需求，说明内容不得含有歧视性、倾向性意见，不得超出磋商文件所述范围。说明应当提交书面材料，并随采购文件一并存档。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18.2磋商小组负责具体评标事务，并独立履行下列职责：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（1）严格遵守磋商工作纪律，按照客观、公正、审慎的原则，根据磋商文件规定的磋商程序、磋商方法和磋商标准进行独立磋商；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（2）发现磋商文件内容违反国家有关强制性规定或者磋商文件存在歧义、重大缺陷导致磋商工作无法进行时，应当停止磋商并向采购人或者采购代理机构书面说明情况；</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（3）审查、评价响应文件是否符合磋商文件的商务、技术等实质性要求；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（4）要求投标人对响应文件有关事项作出澄清或者说明；</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（5）对响应文件进行比较和评价；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（6）确定成交候选人名单，以及根据采购人委托直接确定成交人；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（7）配合答复投标人的询问、质疑和投诉等事项，不得泄露磋商文件、磋商情况和在磋商过程中获悉的商业秘密；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（8）向采购人、采购代理机构或者有关部门报告磋商中发现的违法行为。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18.3磋商小组由采购人代表和磋商小组组成，成员人数应当为</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人以上单数，其中磋商小组成员不得少于成员总数的三分之二。</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采购项目符合下列情形之一的，磋商小组人数应当为7人以上单数：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（1）采购预算金额在1000万元以上；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（2）技术复杂；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（3）社会影响较大。</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磋商小组对本单位的采购项目只能作为采购人代表参与评标。采购代理机构工作人员不得参加由本机构代理的政府采购项目的评标。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磋商小组成员名单在评标结果公告前应当保密。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磋商小组。自行选定磋商小组的，应当优先选择本单位以外的磋商小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18.5磋商中因磋商小组成员缺席、回避或者健康等特殊原因导致磋商小组组成不符合规定的，采购人或采购代理机构应当依法补足后继续评标。被更换的磋商小组成员所作出的评标意见无效。无法及时补足磋商小组成员的，采购代理机构应当停止评标活动。原磋商小组所作出的评标意见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采购代理机构应当将变更、重新组建磋商小组的情况予以记录，并随采购文件一并存档。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18.6采购人、采购代理机构应当采取必要措施，保证磋商在严格保密的情况下进行。除采购人代表、磋商现场组织人员外，采购人的其他工作人员以及与磋商工作无关的人员不得进入磋商现场。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有关人员对磋商情况以及在磋商过程中获悉的国家秘密、商业秘密负有保密责任。</w:t>
      </w:r>
    </w:p>
    <w:p>
      <w:pPr>
        <w:pStyle w:val="4"/>
        <w:spacing w:line="360" w:lineRule="auto"/>
        <w:rPr>
          <w:rFonts w:hint="eastAsia" w:ascii="新宋体" w:hAnsi="新宋体" w:eastAsia="新宋体" w:cs="新宋体"/>
          <w:color w:val="auto"/>
          <w:sz w:val="24"/>
          <w:szCs w:val="24"/>
        </w:rPr>
      </w:pPr>
      <w:bookmarkStart w:id="56" w:name="_Toc19537"/>
      <w:bookmarkStart w:id="57" w:name="_Toc6927"/>
      <w:r>
        <w:rPr>
          <w:rFonts w:hint="eastAsia" w:ascii="新宋体" w:hAnsi="新宋体" w:eastAsia="新宋体" w:cs="新宋体"/>
          <w:color w:val="auto"/>
          <w:sz w:val="24"/>
          <w:szCs w:val="24"/>
        </w:rPr>
        <w:t>19.评审工作程序</w:t>
      </w:r>
      <w:bookmarkEnd w:id="56"/>
      <w:bookmarkEnd w:id="57"/>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19.1磋商小组应当对符合资格的投标人的符合性文件进行审查，以确定其是否满足磋商文件的实质性要求。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19.1.1响应文件中含义不明确、同类问题表述不一致或者有明显文字和计算错误的内容，磋商小组应当以书面形式要求投标人作出必要的澄清、说明或者补正。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投标人的澄清、说明或者补正应当采用书面形式，并加盖公章，或者由法定代表人或其授权的代表签字。投标人的澄清、说明或者补正不得超出响应文件的范围或者改变响应文件的实质性内容。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19.1.2投标人存在下列情况之一的，投标无效：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（1）符合性审查文件未按磋商文件要求签署、盖章的；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（2）未按第11.2款要求提供相关资料的；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（3）响应文件含有采购人不能接受的附加条件的；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（4）交货期限不能满足磋商文件要求的；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（5）存在串通投标行为；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（6）法律、法规和磋商文件规定的其他无效情形。</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对投标无效的投标人，采购人或采购代理机构应当告知其投标无效的原因。</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19.1.3响应文件报价出现前后不一致的，按照下列规定修正：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（1）响应文件中磋商一览表（报价表）内容与响应文件中相应内容不一致的，以磋商一览表（报价表）为准；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（2）大写金额和小写金额不一致的，以大写金额为准；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（3）单价金额小数点或者百分比有明显错位的，以磋商一览表的总价为准，并修改单价；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（4）总价金额与按单价汇总金额不一致的，以单价金额计算结果为准。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同时出现两种以上不一致的，按照前款规定的顺序修正。修正后的报价按19.1.1第二款的规定经投标人确认后产生约束力，投标人不确认的，其投标无效。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19.2磋商过程中，在同等条件下，优先采购具有环境标志、节能、自助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19.3在磋商过程中，磋商小组对需要共同认定的事项存在争议的，应当按照少数服从多数的原则作出结论。持不同意见的磋商小组应当在评标报告上签署不同意见及理由，否则视为同意评标报告。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19.4磋商小组应当按照磋商文件中规定的评标方法和标准，对符合性审查合格的响应文件进行商务和技术评估，综合比较与评价。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19.5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19.6使用综合评分法的采购项目，提供相同品牌产品且通过资格审查、符合性审查的不同投标人参加同一合同项下投标的，按一家投标人计算，评审后得分最高的同品牌投标人获得成交人推荐资格；评审得分相同的，由采购人或者采购人委托磋商小组按照磋商文件规定的方式确定一个投标人获得成交人推荐资格，磋商文件未规定的采取随机抽取方式确定，其他同品牌投标人不作为成交候选人。非单一产品采购项目，采购人应当根据采购项目技术构成、产品价格币种等合理确定核心产品，并在磋商文件中载明。多家投标人提供的核心产品品牌相同的，按前款规定处理。</w:t>
      </w:r>
    </w:p>
    <w:p>
      <w:pPr>
        <w:pStyle w:val="4"/>
        <w:spacing w:line="360" w:lineRule="auto"/>
        <w:rPr>
          <w:rFonts w:hint="eastAsia" w:ascii="新宋体" w:hAnsi="新宋体" w:eastAsia="新宋体" w:cs="新宋体"/>
          <w:color w:val="auto"/>
          <w:sz w:val="24"/>
          <w:szCs w:val="24"/>
        </w:rPr>
      </w:pPr>
      <w:bookmarkStart w:id="58" w:name="_Toc31462"/>
      <w:bookmarkStart w:id="59" w:name="_Toc17601"/>
      <w:r>
        <w:rPr>
          <w:rFonts w:hint="eastAsia" w:ascii="新宋体" w:hAnsi="新宋体" w:eastAsia="新宋体" w:cs="新宋体"/>
          <w:color w:val="auto"/>
          <w:sz w:val="24"/>
          <w:szCs w:val="24"/>
        </w:rPr>
        <w:t>20.评审方法和标准</w:t>
      </w:r>
      <w:bookmarkEnd w:id="58"/>
      <w:bookmarkEnd w:id="59"/>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20.1依照《中华人民共和国政府采购法》、《中华人民共和国政府采购法实施条例》、《政府采购货物和服务招投标管理办法》等法律法规的规定，结合该项目的特点制定本评审办法。</w:t>
      </w:r>
    </w:p>
    <w:p>
      <w:pPr>
        <w:tabs>
          <w:tab w:val="left" w:pos="432"/>
        </w:tabs>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20.2</w:t>
      </w:r>
      <w:r>
        <w:rPr>
          <w:rFonts w:hint="eastAsia" w:ascii="新宋体" w:hAnsi="新宋体" w:eastAsia="新宋体" w:cs="新宋体"/>
          <w:color w:val="auto"/>
          <w:sz w:val="24"/>
          <w:szCs w:val="24"/>
        </w:rPr>
        <w:t>本次磋商方法采用综合评分法。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综合评分法，是指响应文件满足磋商文件全部实质性要求，且按照评审因素的量化指标评审得分最高的投标人为成交候选人的评标方法。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磋商因素的设定应当与投标人所提供服务的质量相关，包括磋商报价、技术或者服务水平、履约能力、售后服务等。资格条件不得作为磋商因素。</w:t>
      </w:r>
    </w:p>
    <w:p>
      <w:pPr>
        <w:pStyle w:val="3"/>
        <w:rPr>
          <w:rFonts w:hint="eastAsia" w:ascii="新宋体" w:hAnsi="新宋体" w:eastAsia="新宋体" w:cs="新宋体"/>
          <w:color w:val="auto"/>
          <w:sz w:val="24"/>
          <w:szCs w:val="24"/>
        </w:rPr>
      </w:pPr>
    </w:p>
    <w:p>
      <w:pPr>
        <w:rPr>
          <w:rFonts w:hint="eastAsia" w:ascii="新宋体" w:hAnsi="新宋体" w:eastAsia="新宋体" w:cs="新宋体"/>
          <w:color w:val="auto"/>
          <w:sz w:val="24"/>
          <w:szCs w:val="24"/>
        </w:rPr>
      </w:pPr>
    </w:p>
    <w:p>
      <w:pPr>
        <w:pStyle w:val="29"/>
        <w:rPr>
          <w:rFonts w:hint="eastAsia" w:ascii="新宋体" w:hAnsi="新宋体" w:eastAsia="新宋体" w:cs="新宋体"/>
          <w:color w:val="auto"/>
          <w:sz w:val="24"/>
          <w:szCs w:val="24"/>
        </w:rPr>
      </w:pPr>
    </w:p>
    <w:p>
      <w:pPr>
        <w:autoSpaceDE w:val="0"/>
        <w:autoSpaceDN w:val="0"/>
        <w:adjustRightInd w:val="0"/>
        <w:spacing w:line="460" w:lineRule="exact"/>
        <w:ind w:firstLine="210" w:firstLineChars="100"/>
        <w:jc w:val="left"/>
        <w:rPr>
          <w:rFonts w:ascii="宋体" w:hAnsi="宋体" w:cs="宋体"/>
          <w:color w:val="000000"/>
          <w:kern w:val="0"/>
          <w:szCs w:val="21"/>
          <w:lang w:val="zh-CN"/>
        </w:rPr>
      </w:pPr>
      <w:r>
        <w:rPr>
          <w:rFonts w:hint="eastAsia" w:ascii="宋体" w:hAnsi="宋体" w:cs="宋体"/>
          <w:color w:val="000000"/>
          <w:kern w:val="0"/>
          <w:szCs w:val="21"/>
          <w:lang w:val="zh-CN"/>
        </w:rPr>
        <w:t>具体项目及评分细则：</w:t>
      </w:r>
    </w:p>
    <w:tbl>
      <w:tblPr>
        <w:tblStyle w:val="33"/>
        <w:tblW w:w="8745"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1"/>
        <w:gridCol w:w="850"/>
        <w:gridCol w:w="634"/>
        <w:gridCol w:w="6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115"/>
              <w:rPr>
                <w:rStyle w:val="116"/>
                <w:rFonts w:hint="eastAsia" w:ascii="宋体" w:hAnsi="宋体"/>
              </w:rPr>
            </w:pPr>
            <w:r>
              <w:rPr>
                <w:rStyle w:val="116"/>
                <w:rFonts w:hint="eastAsia" w:ascii="宋体" w:hAnsi="宋体"/>
              </w:rPr>
              <w:t>商务部分</w:t>
            </w:r>
          </w:p>
          <w:p>
            <w:pPr>
              <w:pStyle w:val="115"/>
              <w:rPr>
                <w:rStyle w:val="116"/>
                <w:rFonts w:ascii="宋体" w:hAnsi="宋体"/>
              </w:rPr>
            </w:pPr>
            <w:r>
              <w:rPr>
                <w:rStyle w:val="116"/>
                <w:rFonts w:ascii="宋体" w:hAnsi="宋体"/>
                <w:spacing w:val="18"/>
              </w:rPr>
              <w:t>投标报价</w:t>
            </w:r>
          </w:p>
          <w:p>
            <w:pPr>
              <w:pStyle w:val="115"/>
              <w:spacing w:before="158"/>
              <w:ind w:firstLine="240" w:firstLineChars="100"/>
              <w:rPr>
                <w:rStyle w:val="116"/>
                <w:rFonts w:ascii="宋体" w:hAnsi="宋体"/>
              </w:rPr>
            </w:pPr>
            <w:r>
              <w:rPr>
                <w:rStyle w:val="116"/>
                <w:rFonts w:ascii="宋体" w:hAnsi="宋体"/>
              </w:rPr>
              <w:t>15</w:t>
            </w:r>
            <w:r>
              <w:rPr>
                <w:rStyle w:val="116"/>
                <w:rFonts w:ascii="宋体" w:hAnsi="宋体"/>
                <w:spacing w:val="-30"/>
              </w:rPr>
              <w:t xml:space="preserve"> 分</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5"/>
              <w:spacing w:before="170"/>
              <w:ind w:firstLine="120" w:firstLineChars="50"/>
              <w:rPr>
                <w:rStyle w:val="116"/>
                <w:rFonts w:ascii="宋体" w:hAnsi="宋体"/>
              </w:rPr>
            </w:pPr>
            <w:r>
              <w:rPr>
                <w:rStyle w:val="116"/>
                <w:rFonts w:ascii="宋体" w:hAnsi="宋体"/>
              </w:rPr>
              <w:t>投标</w:t>
            </w:r>
          </w:p>
          <w:p>
            <w:pPr>
              <w:pStyle w:val="115"/>
              <w:spacing w:before="170"/>
              <w:ind w:firstLine="120" w:firstLineChars="50"/>
              <w:rPr>
                <w:rStyle w:val="116"/>
                <w:rFonts w:ascii="宋体" w:hAnsi="宋体"/>
              </w:rPr>
            </w:pPr>
            <w:r>
              <w:rPr>
                <w:rStyle w:val="116"/>
                <w:rFonts w:ascii="宋体" w:hAnsi="宋体"/>
              </w:rPr>
              <w:t>报价</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115"/>
              <w:spacing w:before="170"/>
              <w:rPr>
                <w:rStyle w:val="116"/>
                <w:rFonts w:ascii="宋体" w:hAnsi="宋体"/>
              </w:rPr>
            </w:pPr>
            <w:r>
              <w:rPr>
                <w:rStyle w:val="116"/>
                <w:rFonts w:ascii="宋体" w:hAnsi="宋体"/>
              </w:rPr>
              <w:t>15 分</w:t>
            </w:r>
          </w:p>
        </w:tc>
        <w:tc>
          <w:tcPr>
            <w:tcW w:w="6120" w:type="dxa"/>
            <w:tcBorders>
              <w:top w:val="single" w:color="000000" w:sz="4" w:space="0"/>
              <w:left w:val="single" w:color="000000" w:sz="4" w:space="0"/>
              <w:bottom w:val="single" w:color="000000" w:sz="4" w:space="0"/>
              <w:right w:val="single" w:color="000000" w:sz="4" w:space="0"/>
            </w:tcBorders>
            <w:vAlign w:val="top"/>
          </w:tcPr>
          <w:p>
            <w:pPr>
              <w:pStyle w:val="115"/>
              <w:spacing w:line="360" w:lineRule="auto"/>
              <w:ind w:right="92"/>
              <w:rPr>
                <w:rStyle w:val="116"/>
                <w:rFonts w:hAnsi="宋体" w:eastAsia="Times New Roman"/>
                <w:color w:val="000000"/>
              </w:rPr>
            </w:pPr>
            <w:r>
              <w:rPr>
                <w:rStyle w:val="116"/>
                <w:rFonts w:hint="eastAsia" w:ascii="宋体" w:hAnsi="宋体"/>
                <w:color w:val="000000"/>
                <w:spacing w:val="-1"/>
              </w:rPr>
              <w:t>根据各投标人的有效报价。报价最低的作为评标基准价</w:t>
            </w:r>
            <w:r>
              <w:rPr>
                <w:rStyle w:val="116"/>
                <w:rFonts w:ascii="宋体" w:hAnsi="宋体"/>
                <w:color w:val="000000"/>
                <w:spacing w:val="-1"/>
              </w:rPr>
              <w:t>。其他投标人的报价分统一按</w:t>
            </w:r>
            <w:r>
              <w:rPr>
                <w:rStyle w:val="116"/>
                <w:rFonts w:ascii="宋体" w:hAnsi="宋体"/>
                <w:color w:val="000000"/>
                <w:spacing w:val="-7"/>
              </w:rPr>
              <w:t>下列公式计算：投标报价得分</w:t>
            </w:r>
            <w:r>
              <w:rPr>
                <w:rStyle w:val="116"/>
                <w:rFonts w:hAnsi="宋体" w:eastAsia="Times New Roman"/>
                <w:color w:val="000000"/>
              </w:rPr>
              <w:t>=(</w:t>
            </w:r>
            <w:r>
              <w:rPr>
                <w:rStyle w:val="116"/>
                <w:rFonts w:ascii="宋体" w:hAnsi="宋体"/>
                <w:color w:val="000000"/>
              </w:rPr>
              <w:t>评标基准价／投标报价</w:t>
            </w:r>
            <w:r>
              <w:rPr>
                <w:rStyle w:val="116"/>
                <w:rFonts w:hAnsi="宋体" w:eastAsia="Times New Roman"/>
                <w:color w:val="000000"/>
                <w:spacing w:val="-16"/>
              </w:rPr>
              <w:t>)</w:t>
            </w:r>
          </w:p>
          <w:p>
            <w:pPr>
              <w:pStyle w:val="115"/>
              <w:spacing w:line="360" w:lineRule="auto"/>
              <w:ind w:left="108" w:right="19"/>
              <w:rPr>
                <w:rStyle w:val="116"/>
                <w:rFonts w:ascii="宋体" w:hAnsi="宋体"/>
                <w:color w:val="000000"/>
              </w:rPr>
            </w:pPr>
            <w:r>
              <w:rPr>
                <w:rStyle w:val="116"/>
                <w:rFonts w:ascii="宋体" w:hAnsi="宋体"/>
                <w:color w:val="000000"/>
              </w:rPr>
              <w:t>×价格权值（</w:t>
            </w:r>
            <w:r>
              <w:rPr>
                <w:rStyle w:val="116"/>
                <w:rFonts w:eastAsia="Times New Roman"/>
                <w:color w:val="000000"/>
              </w:rPr>
              <w:t>15%</w:t>
            </w:r>
            <w:r>
              <w:rPr>
                <w:rStyle w:val="116"/>
                <w:rFonts w:ascii="宋体" w:hAnsi="宋体"/>
                <w:color w:val="000000"/>
              </w:rPr>
              <w:t>）×</w:t>
            </w:r>
            <w:r>
              <w:rPr>
                <w:rStyle w:val="116"/>
                <w:rFonts w:eastAsia="Times New Roman"/>
                <w:color w:val="000000"/>
              </w:rPr>
              <w:t>100</w:t>
            </w:r>
            <w:r>
              <w:rPr>
                <w:rStyle w:val="116"/>
                <w:rFonts w:ascii="宋体" w:hAnsi="宋体"/>
                <w:color w:val="000000"/>
              </w:rPr>
              <w:t>（四舍五入后保留小数点后两位）。</w:t>
            </w:r>
          </w:p>
          <w:p>
            <w:pPr>
              <w:pStyle w:val="115"/>
              <w:spacing w:before="3" w:line="360" w:lineRule="auto"/>
              <w:ind w:left="108" w:right="95" w:firstLine="240"/>
              <w:rPr>
                <w:rStyle w:val="116"/>
                <w:rFonts w:ascii="宋体" w:hAnsi="宋体"/>
                <w:color w:val="000000"/>
              </w:rPr>
            </w:pPr>
            <w:r>
              <w:rPr>
                <w:rStyle w:val="116"/>
                <w:rFonts w:ascii="宋体" w:hAnsi="宋体"/>
                <w:color w:val="000000"/>
              </w:rPr>
              <w:t>注：根据《政府采购促进中小企业发展暂行办法》的相关规定，对中、小型和微型企业制造（生产）产品的价格给予 6%的扣除，用扣除后的价格参与评审。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115"/>
              <w:spacing w:before="11"/>
              <w:rPr>
                <w:rStyle w:val="116"/>
                <w:rFonts w:ascii="宋体" w:hAnsi="宋体"/>
              </w:rPr>
            </w:pPr>
            <w:r>
              <w:rPr>
                <w:rStyle w:val="116"/>
                <w:rFonts w:hint="eastAsia" w:ascii="宋体" w:hAnsi="宋体"/>
              </w:rPr>
              <w:t>商务部分</w:t>
            </w:r>
            <w:r>
              <w:rPr>
                <w:rStyle w:val="116"/>
                <w:rFonts w:ascii="宋体" w:hAnsi="宋体"/>
                <w:spacing w:val="18"/>
              </w:rPr>
              <w:t>团</w:t>
            </w:r>
            <w:r>
              <w:rPr>
                <w:rStyle w:val="116"/>
                <w:rFonts w:hint="eastAsia" w:ascii="宋体" w:hAnsi="宋体"/>
                <w:spacing w:val="18"/>
              </w:rPr>
              <w:t>队配</w:t>
            </w:r>
            <w:r>
              <w:rPr>
                <w:rStyle w:val="116"/>
                <w:rFonts w:ascii="宋体" w:hAnsi="宋体"/>
                <w:spacing w:val="18"/>
              </w:rPr>
              <w:t>置</w:t>
            </w:r>
          </w:p>
          <w:p>
            <w:pPr>
              <w:pStyle w:val="115"/>
              <w:spacing w:before="158"/>
              <w:ind w:left="107"/>
              <w:jc w:val="center"/>
              <w:rPr>
                <w:rStyle w:val="116"/>
                <w:rFonts w:ascii="宋体" w:hAnsi="宋体"/>
              </w:rPr>
            </w:pPr>
            <w:r>
              <w:rPr>
                <w:rStyle w:val="116"/>
                <w:rFonts w:ascii="宋体" w:hAnsi="宋体"/>
              </w:rPr>
              <w:t>19</w:t>
            </w:r>
            <w:r>
              <w:rPr>
                <w:rStyle w:val="116"/>
                <w:rFonts w:ascii="宋体" w:hAnsi="宋体"/>
                <w:spacing w:val="-30"/>
              </w:rPr>
              <w:t xml:space="preserve"> 分</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5"/>
              <w:spacing w:before="167"/>
              <w:ind w:firstLine="240" w:firstLineChars="100"/>
              <w:rPr>
                <w:rStyle w:val="116"/>
                <w:rFonts w:hint="eastAsia" w:ascii="宋体" w:hAnsi="宋体"/>
              </w:rPr>
            </w:pPr>
            <w:r>
              <w:rPr>
                <w:rStyle w:val="116"/>
                <w:rFonts w:ascii="宋体" w:hAnsi="宋体"/>
              </w:rPr>
              <w:t>项目</w:t>
            </w:r>
          </w:p>
          <w:p>
            <w:pPr>
              <w:pStyle w:val="115"/>
              <w:spacing w:before="167"/>
              <w:ind w:firstLine="240" w:firstLineChars="100"/>
              <w:rPr>
                <w:rStyle w:val="116"/>
                <w:rFonts w:ascii="宋体" w:hAnsi="宋体"/>
              </w:rPr>
            </w:pPr>
            <w:r>
              <w:rPr>
                <w:rStyle w:val="116"/>
                <w:rFonts w:ascii="宋体" w:hAnsi="宋体"/>
              </w:rPr>
              <w:t>成员</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115"/>
              <w:spacing w:before="167"/>
              <w:rPr>
                <w:rStyle w:val="116"/>
                <w:rFonts w:ascii="宋体" w:hAnsi="宋体"/>
              </w:rPr>
            </w:pPr>
            <w:r>
              <w:rPr>
                <w:rStyle w:val="116"/>
                <w:rFonts w:ascii="宋体" w:hAnsi="宋体"/>
              </w:rPr>
              <w:t>1</w:t>
            </w:r>
            <w:r>
              <w:rPr>
                <w:rStyle w:val="116"/>
                <w:rFonts w:ascii="宋体" w:hAnsi="宋体"/>
                <w:lang w:val="en-US"/>
              </w:rPr>
              <w:t>9</w:t>
            </w:r>
            <w:r>
              <w:rPr>
                <w:rStyle w:val="116"/>
                <w:rFonts w:ascii="宋体" w:hAnsi="宋体"/>
              </w:rPr>
              <w:t>分</w:t>
            </w:r>
          </w:p>
        </w:tc>
        <w:tc>
          <w:tcPr>
            <w:tcW w:w="6120" w:type="dxa"/>
            <w:tcBorders>
              <w:top w:val="single" w:color="000000" w:sz="4" w:space="0"/>
              <w:left w:val="single" w:color="000000" w:sz="4" w:space="0"/>
              <w:bottom w:val="single" w:color="000000" w:sz="4" w:space="0"/>
              <w:right w:val="single" w:color="000000" w:sz="4" w:space="0"/>
            </w:tcBorders>
            <w:vAlign w:val="top"/>
          </w:tcPr>
          <w:p>
            <w:pPr>
              <w:pStyle w:val="115"/>
              <w:spacing w:line="360" w:lineRule="auto"/>
              <w:ind w:left="108" w:right="95"/>
              <w:rPr>
                <w:rStyle w:val="116"/>
                <w:rFonts w:ascii="宋体" w:hAnsi="宋体"/>
                <w:color w:val="000000"/>
              </w:rPr>
            </w:pPr>
            <w:r>
              <w:rPr>
                <w:rStyle w:val="116"/>
                <w:rFonts w:ascii="宋体" w:hAnsi="宋体"/>
                <w:color w:val="000000"/>
              </w:rPr>
              <w:t>1、项目负责人是注册城市规划师得2分；项目负责人是注册城市规划师并且是高级工程师得5分；（需提供相关证书）</w:t>
            </w:r>
          </w:p>
          <w:p>
            <w:pPr>
              <w:pStyle w:val="115"/>
              <w:spacing w:line="360" w:lineRule="auto"/>
              <w:ind w:left="108" w:right="95"/>
              <w:rPr>
                <w:rStyle w:val="116"/>
                <w:rFonts w:ascii="宋体" w:hAnsi="宋体"/>
                <w:color w:val="000000"/>
              </w:rPr>
            </w:pPr>
            <w:r>
              <w:rPr>
                <w:rStyle w:val="116"/>
                <w:rFonts w:ascii="宋体" w:hAnsi="宋体"/>
                <w:color w:val="000000"/>
              </w:rPr>
              <w:t>2、技术负责人是注册城市规划师得2分；</w:t>
            </w:r>
            <w:r>
              <w:rPr>
                <w:rStyle w:val="116"/>
                <w:rFonts w:hint="eastAsia" w:ascii="宋体" w:hAnsi="宋体"/>
                <w:color w:val="000000"/>
              </w:rPr>
              <w:t>技术</w:t>
            </w:r>
            <w:r>
              <w:rPr>
                <w:rStyle w:val="116"/>
                <w:rFonts w:ascii="宋体" w:hAnsi="宋体"/>
                <w:color w:val="000000"/>
              </w:rPr>
              <w:t>负责人是注册城市规划师并且是高级工程师得5分；（需提供相关证书）</w:t>
            </w:r>
          </w:p>
          <w:p>
            <w:pPr>
              <w:pStyle w:val="115"/>
              <w:spacing w:line="360" w:lineRule="auto"/>
              <w:ind w:left="108"/>
              <w:rPr>
                <w:rStyle w:val="116"/>
                <w:rFonts w:ascii="宋体" w:hAnsi="宋体"/>
                <w:color w:val="000000"/>
              </w:rPr>
            </w:pPr>
            <w:r>
              <w:rPr>
                <w:rStyle w:val="116"/>
                <w:rFonts w:ascii="宋体" w:hAnsi="宋体"/>
                <w:color w:val="000000"/>
              </w:rPr>
              <w:t>3、项目组成员有规划专业中级职称及以上并获得注册城市规划师的，每个得3分，最高得9分（（单个人员具有多个专业的，只认其中一个专业）；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115"/>
              <w:spacing w:before="9"/>
              <w:jc w:val="center"/>
              <w:rPr>
                <w:rStyle w:val="116"/>
                <w:rFonts w:hAnsi="宋体"/>
              </w:rPr>
            </w:pPr>
          </w:p>
          <w:p>
            <w:pPr>
              <w:pStyle w:val="115"/>
              <w:ind w:left="107"/>
              <w:jc w:val="center"/>
              <w:rPr>
                <w:rStyle w:val="116"/>
                <w:rFonts w:ascii="宋体" w:hAnsi="宋体"/>
              </w:rPr>
            </w:pPr>
            <w:r>
              <w:rPr>
                <w:rStyle w:val="116"/>
                <w:rFonts w:ascii="宋体" w:hAnsi="宋体"/>
              </w:rPr>
              <w:t>技术</w:t>
            </w:r>
          </w:p>
          <w:p>
            <w:pPr>
              <w:pStyle w:val="115"/>
              <w:ind w:left="107"/>
              <w:jc w:val="center"/>
              <w:rPr>
                <w:rStyle w:val="116"/>
                <w:rFonts w:ascii="宋体" w:hAnsi="宋体"/>
              </w:rPr>
            </w:pPr>
            <w:r>
              <w:rPr>
                <w:rStyle w:val="116"/>
                <w:rFonts w:ascii="宋体" w:hAnsi="宋体"/>
              </w:rPr>
              <w:t>部分</w:t>
            </w:r>
          </w:p>
          <w:p>
            <w:pPr>
              <w:pStyle w:val="115"/>
              <w:spacing w:before="161"/>
              <w:ind w:left="107"/>
              <w:jc w:val="center"/>
              <w:rPr>
                <w:rStyle w:val="116"/>
                <w:rFonts w:ascii="宋体" w:hAnsi="宋体"/>
              </w:rPr>
            </w:pPr>
            <w:r>
              <w:rPr>
                <w:rStyle w:val="116"/>
                <w:rFonts w:ascii="宋体" w:hAnsi="宋体"/>
              </w:rPr>
              <w:t>（46）分</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5"/>
              <w:ind w:left="107" w:right="262"/>
              <w:jc w:val="center"/>
              <w:rPr>
                <w:rStyle w:val="116"/>
                <w:rFonts w:ascii="宋体" w:hAnsi="宋体"/>
              </w:rPr>
            </w:pPr>
            <w:r>
              <w:rPr>
                <w:rStyle w:val="116"/>
                <w:rFonts w:ascii="宋体" w:hAnsi="宋体"/>
              </w:rPr>
              <w:t>规划工作方案</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115"/>
              <w:ind w:left="106"/>
              <w:jc w:val="center"/>
              <w:rPr>
                <w:rStyle w:val="116"/>
                <w:rFonts w:ascii="宋体" w:hAnsi="宋体"/>
              </w:rPr>
            </w:pPr>
            <w:r>
              <w:rPr>
                <w:rStyle w:val="116"/>
                <w:rFonts w:ascii="宋体" w:hAnsi="宋体"/>
              </w:rPr>
              <w:t>46分</w:t>
            </w:r>
          </w:p>
        </w:tc>
        <w:tc>
          <w:tcPr>
            <w:tcW w:w="6120" w:type="dxa"/>
            <w:tcBorders>
              <w:top w:val="single" w:color="000000" w:sz="4" w:space="0"/>
              <w:left w:val="single" w:color="000000" w:sz="4" w:space="0"/>
              <w:bottom w:val="single" w:color="000000" w:sz="4" w:space="0"/>
              <w:right w:val="single" w:color="000000" w:sz="4" w:space="0"/>
            </w:tcBorders>
            <w:vAlign w:val="top"/>
          </w:tcPr>
          <w:p>
            <w:pPr>
              <w:pStyle w:val="115"/>
              <w:spacing w:before="1" w:line="360" w:lineRule="auto"/>
              <w:ind w:left="108" w:right="78"/>
              <w:rPr>
                <w:rStyle w:val="116"/>
                <w:rFonts w:ascii="宋体" w:hAnsi="宋体"/>
                <w:color w:val="000000"/>
              </w:rPr>
            </w:pPr>
            <w:r>
              <w:rPr>
                <w:rStyle w:val="116"/>
                <w:rFonts w:ascii="宋体" w:hAnsi="宋体"/>
                <w:color w:val="000000"/>
              </w:rPr>
              <w:t>1、基础研究（6分），内容分析全面，科学性、规范性、创新性强的得6分，科学性、规范性、创新性一般的得4 分，科学性、规范性、创新性不合理的得2分，无内容的得0分。</w:t>
            </w:r>
          </w:p>
          <w:p>
            <w:pPr>
              <w:pStyle w:val="115"/>
              <w:spacing w:line="360" w:lineRule="auto"/>
              <w:ind w:left="108" w:right="95"/>
              <w:rPr>
                <w:rStyle w:val="116"/>
                <w:rFonts w:ascii="宋体" w:hAnsi="宋体"/>
                <w:color w:val="000000"/>
              </w:rPr>
            </w:pPr>
            <w:r>
              <w:rPr>
                <w:rStyle w:val="116"/>
                <w:rFonts w:ascii="宋体" w:hAnsi="宋体"/>
                <w:color w:val="000000"/>
              </w:rPr>
              <w:t>2、规划思路（6分），思路清晰，目标合理的得6分；思路不清晰，目标不合理的得4分；思路混淆，没有目标的得1分；无思路无目标的得0分；</w:t>
            </w:r>
          </w:p>
          <w:p>
            <w:pPr>
              <w:pStyle w:val="115"/>
              <w:spacing w:line="360" w:lineRule="auto"/>
              <w:ind w:left="108" w:right="95"/>
              <w:rPr>
                <w:rStyle w:val="116"/>
                <w:rFonts w:ascii="宋体" w:hAnsi="宋体"/>
                <w:color w:val="000000"/>
              </w:rPr>
            </w:pPr>
            <w:r>
              <w:rPr>
                <w:rStyle w:val="116"/>
                <w:rFonts w:ascii="宋体" w:hAnsi="宋体"/>
                <w:color w:val="000000"/>
              </w:rPr>
              <w:t>3、技术路径（10分），技术路径符合国家相关编制技术指南的得10分；技术路径与国家相关编制技术指南有偏差的得6分；技术路径不符合国家相关编制技术指南的得2分；无技术路径内容的得0分；</w:t>
            </w:r>
          </w:p>
          <w:p>
            <w:pPr>
              <w:pStyle w:val="115"/>
              <w:spacing w:line="360" w:lineRule="auto"/>
              <w:ind w:left="108" w:right="100"/>
              <w:rPr>
                <w:rStyle w:val="116"/>
                <w:rFonts w:ascii="宋体" w:hAnsi="宋体"/>
                <w:color w:val="000000"/>
              </w:rPr>
            </w:pPr>
            <w:r>
              <w:rPr>
                <w:rStyle w:val="116"/>
                <w:rFonts w:ascii="宋体" w:hAnsi="宋体"/>
                <w:color w:val="000000"/>
              </w:rPr>
              <w:t>4、进度安排（5分），进度安排科学合理、实施有序的得5分，进度安排较为科学合理、实施有序的得3分，进度安排不合理的得1分；无进度安排内容的得0分；</w:t>
            </w:r>
          </w:p>
          <w:p>
            <w:pPr>
              <w:pStyle w:val="115"/>
              <w:spacing w:line="360" w:lineRule="auto"/>
              <w:ind w:left="108" w:right="-29"/>
              <w:rPr>
                <w:rStyle w:val="116"/>
                <w:rFonts w:ascii="宋体" w:hAnsi="宋体"/>
                <w:color w:val="000000"/>
              </w:rPr>
            </w:pPr>
            <w:r>
              <w:rPr>
                <w:rStyle w:val="116"/>
                <w:rFonts w:ascii="宋体" w:hAnsi="宋体"/>
                <w:color w:val="000000"/>
              </w:rPr>
              <w:t>5、质量控制承诺（4分），质量控制措施满足国家、行业及采购人要求的得4分，质量控制措施基本满足国家、行业及采购人要求的得2分，质量控制措施基本不满足国家、行业及采购人要求的的得1分；无质量控制措施的得 0分；</w:t>
            </w:r>
          </w:p>
          <w:p>
            <w:pPr>
              <w:pStyle w:val="115"/>
              <w:spacing w:line="360" w:lineRule="auto"/>
              <w:ind w:left="108" w:right="95"/>
              <w:rPr>
                <w:rStyle w:val="116"/>
                <w:rFonts w:ascii="宋体" w:hAnsi="宋体"/>
                <w:color w:val="000000"/>
              </w:rPr>
            </w:pPr>
            <w:r>
              <w:rPr>
                <w:rStyle w:val="116"/>
                <w:rFonts w:ascii="宋体" w:hAnsi="宋体"/>
                <w:color w:val="000000"/>
              </w:rPr>
              <w:t>6、成果内容（15分），技术文件中成果内容满足城市总体规划要求，符合采购人需求的得15分，技术文件中成果内容基本满足城市总体规划要求，基本符合采购人需求的得10分，技术文件中成果内容不满足城市总体规划要求，不符合采购人需求的的得5分，无成果内容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1" w:type="dxa"/>
            <w:vMerge w:val="restart"/>
            <w:tcBorders>
              <w:top w:val="single" w:color="000000" w:sz="4" w:space="0"/>
              <w:left w:val="single" w:color="000000" w:sz="4" w:space="0"/>
              <w:bottom w:val="single" w:color="000000" w:sz="4" w:space="0"/>
              <w:right w:val="single" w:color="000000" w:sz="4" w:space="0"/>
            </w:tcBorders>
            <w:vAlign w:val="center"/>
          </w:tcPr>
          <w:p>
            <w:pPr>
              <w:pStyle w:val="115"/>
              <w:jc w:val="center"/>
              <w:rPr>
                <w:rStyle w:val="116"/>
                <w:rFonts w:ascii="宋体" w:hAnsi="宋体"/>
                <w:spacing w:val="18"/>
              </w:rPr>
            </w:pPr>
            <w:r>
              <w:rPr>
                <w:rStyle w:val="116"/>
                <w:rFonts w:ascii="宋体" w:hAnsi="宋体"/>
                <w:spacing w:val="18"/>
              </w:rPr>
              <w:t>履约能力</w:t>
            </w:r>
          </w:p>
          <w:p>
            <w:pPr>
              <w:pStyle w:val="115"/>
              <w:spacing w:before="158"/>
              <w:ind w:left="107"/>
              <w:jc w:val="center"/>
              <w:rPr>
                <w:rStyle w:val="116"/>
                <w:rFonts w:ascii="宋体" w:hAnsi="宋体"/>
              </w:rPr>
            </w:pPr>
            <w:r>
              <w:rPr>
                <w:rStyle w:val="116"/>
                <w:rFonts w:ascii="宋体" w:hAnsi="宋体"/>
              </w:rPr>
              <w:t>20</w:t>
            </w:r>
            <w:r>
              <w:rPr>
                <w:rStyle w:val="116"/>
                <w:rFonts w:ascii="宋体" w:hAnsi="宋体"/>
                <w:spacing w:val="-30"/>
              </w:rPr>
              <w:t xml:space="preserve"> 分</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5"/>
              <w:spacing w:before="1"/>
              <w:jc w:val="center"/>
              <w:rPr>
                <w:rStyle w:val="116"/>
                <w:rFonts w:ascii="宋体" w:hAnsi="宋体"/>
              </w:rPr>
            </w:pPr>
            <w:r>
              <w:rPr>
                <w:rStyle w:val="116"/>
                <w:rFonts w:ascii="宋体" w:hAnsi="宋体"/>
              </w:rPr>
              <w:t>类似</w:t>
            </w:r>
          </w:p>
          <w:p>
            <w:pPr>
              <w:pStyle w:val="115"/>
              <w:spacing w:before="1"/>
              <w:jc w:val="center"/>
              <w:rPr>
                <w:rStyle w:val="116"/>
                <w:rFonts w:ascii="宋体" w:hAnsi="宋体"/>
              </w:rPr>
            </w:pPr>
            <w:r>
              <w:rPr>
                <w:rStyle w:val="116"/>
                <w:rFonts w:ascii="宋体" w:hAnsi="宋体"/>
              </w:rPr>
              <w:t>业绩</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115"/>
              <w:spacing w:before="1"/>
              <w:rPr>
                <w:rStyle w:val="116"/>
                <w:rFonts w:ascii="宋体" w:hAnsi="宋体"/>
              </w:rPr>
            </w:pPr>
            <w:r>
              <w:rPr>
                <w:rStyle w:val="116"/>
                <w:rFonts w:ascii="宋体" w:hAnsi="宋体"/>
              </w:rPr>
              <w:t>15 分</w:t>
            </w:r>
          </w:p>
        </w:tc>
        <w:tc>
          <w:tcPr>
            <w:tcW w:w="6120" w:type="dxa"/>
            <w:tcBorders>
              <w:top w:val="single" w:color="000000" w:sz="4" w:space="0"/>
              <w:left w:val="single" w:color="000000" w:sz="4" w:space="0"/>
              <w:bottom w:val="single" w:color="000000" w:sz="4" w:space="0"/>
              <w:right w:val="single" w:color="000000" w:sz="4" w:space="0"/>
            </w:tcBorders>
            <w:vAlign w:val="top"/>
          </w:tcPr>
          <w:p>
            <w:pPr>
              <w:pStyle w:val="115"/>
              <w:spacing w:before="3"/>
              <w:ind w:left="108" w:right="97"/>
              <w:rPr>
                <w:rStyle w:val="116"/>
                <w:rFonts w:ascii="宋体" w:hAnsi="宋体"/>
              </w:rPr>
            </w:pPr>
            <w:r>
              <w:rPr>
                <w:rStyle w:val="116"/>
                <w:rFonts w:ascii="宋体" w:hAnsi="宋体"/>
                <w:spacing w:val="-15"/>
              </w:rPr>
              <w:t xml:space="preserve">提供近 </w:t>
            </w:r>
            <w:r>
              <w:rPr>
                <w:rStyle w:val="116"/>
                <w:rFonts w:ascii="宋体" w:hAnsi="宋体"/>
              </w:rPr>
              <w:t>5</w:t>
            </w:r>
            <w:r>
              <w:rPr>
                <w:rStyle w:val="116"/>
                <w:rFonts w:ascii="宋体" w:hAnsi="宋体"/>
                <w:spacing w:val="-30"/>
              </w:rPr>
              <w:t xml:space="preserve"> 年</w:t>
            </w:r>
            <w:r>
              <w:rPr>
                <w:rStyle w:val="116"/>
                <w:rFonts w:ascii="宋体" w:hAnsi="宋体"/>
              </w:rPr>
              <w:t>（2015</w:t>
            </w:r>
            <w:r>
              <w:rPr>
                <w:rStyle w:val="116"/>
                <w:rFonts w:ascii="宋体" w:hAnsi="宋体"/>
                <w:spacing w:val="-30"/>
              </w:rPr>
              <w:t xml:space="preserve"> 年</w:t>
            </w:r>
            <w:r>
              <w:rPr>
                <w:rStyle w:val="116"/>
                <w:rFonts w:ascii="宋体" w:hAnsi="宋体"/>
              </w:rPr>
              <w:t>-2019</w:t>
            </w:r>
            <w:r>
              <w:rPr>
                <w:rStyle w:val="116"/>
                <w:rFonts w:ascii="宋体" w:hAnsi="宋体"/>
                <w:spacing w:val="-30"/>
              </w:rPr>
              <w:t xml:space="preserve"> 年</w:t>
            </w:r>
            <w:r>
              <w:rPr>
                <w:rStyle w:val="116"/>
                <w:rFonts w:ascii="宋体" w:hAnsi="宋体"/>
              </w:rPr>
              <w:t>）</w:t>
            </w:r>
            <w:r>
              <w:rPr>
                <w:rStyle w:val="116"/>
                <w:rFonts w:ascii="宋体" w:hAnsi="宋体"/>
                <w:spacing w:val="-2"/>
                <w:lang w:val="en-US"/>
              </w:rPr>
              <w:t>总体规划</w:t>
            </w:r>
            <w:r>
              <w:rPr>
                <w:rStyle w:val="116"/>
                <w:rFonts w:ascii="宋体" w:hAnsi="宋体"/>
                <w:spacing w:val="-6"/>
              </w:rPr>
              <w:t xml:space="preserve">项目的，每项得 </w:t>
            </w:r>
            <w:r>
              <w:rPr>
                <w:rStyle w:val="116"/>
                <w:rFonts w:ascii="宋体" w:hAnsi="宋体"/>
                <w:lang w:val="en-US"/>
              </w:rPr>
              <w:t>3</w:t>
            </w:r>
            <w:r>
              <w:rPr>
                <w:rStyle w:val="116"/>
                <w:rFonts w:ascii="宋体" w:hAnsi="宋体"/>
                <w:spacing w:val="-20"/>
              </w:rPr>
              <w:t xml:space="preserve">分，总分 </w:t>
            </w:r>
            <w:r>
              <w:rPr>
                <w:rStyle w:val="116"/>
                <w:rFonts w:ascii="宋体" w:hAnsi="宋体"/>
              </w:rPr>
              <w:t>15</w:t>
            </w:r>
            <w:r>
              <w:rPr>
                <w:rStyle w:val="116"/>
                <w:rFonts w:ascii="宋体" w:hAnsi="宋体"/>
                <w:spacing w:val="-20"/>
              </w:rPr>
              <w:t xml:space="preserve"> 分；</w:t>
            </w:r>
          </w:p>
          <w:p>
            <w:pPr>
              <w:pStyle w:val="115"/>
              <w:spacing w:before="2"/>
              <w:ind w:left="108"/>
              <w:rPr>
                <w:rStyle w:val="116"/>
                <w:rFonts w:ascii="宋体" w:hAnsi="宋体"/>
                <w:spacing w:val="-1"/>
              </w:rPr>
            </w:pPr>
            <w:r>
              <w:rPr>
                <w:rStyle w:val="116"/>
                <w:rFonts w:ascii="宋体" w:hAnsi="宋体"/>
              </w:rPr>
              <w:t>（以上业绩以中标通知书或合同为准，需提供包含合同首页、标的及金额所在页、供货合同签字盖章页。）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16"/>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15"/>
              <w:jc w:val="center"/>
              <w:rPr>
                <w:rStyle w:val="116"/>
                <w:rFonts w:ascii="宋体" w:hAnsi="宋体"/>
              </w:rPr>
            </w:pPr>
            <w:r>
              <w:rPr>
                <w:rStyle w:val="116"/>
                <w:rFonts w:ascii="宋体" w:hAnsi="宋体"/>
              </w:rPr>
              <w:t>售后</w:t>
            </w:r>
          </w:p>
          <w:p>
            <w:pPr>
              <w:pStyle w:val="115"/>
              <w:jc w:val="center"/>
              <w:rPr>
                <w:rStyle w:val="116"/>
                <w:rFonts w:ascii="宋体" w:hAnsi="宋体"/>
              </w:rPr>
            </w:pPr>
            <w:r>
              <w:rPr>
                <w:rStyle w:val="116"/>
                <w:rFonts w:ascii="宋体" w:hAnsi="宋体"/>
              </w:rPr>
              <w:t>能力</w:t>
            </w: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115"/>
              <w:ind w:firstLine="120" w:firstLineChars="50"/>
              <w:rPr>
                <w:rStyle w:val="116"/>
                <w:rFonts w:ascii="宋体" w:hAnsi="宋体"/>
              </w:rPr>
            </w:pPr>
            <w:r>
              <w:rPr>
                <w:rStyle w:val="116"/>
                <w:rFonts w:ascii="宋体" w:hAnsi="宋体"/>
              </w:rPr>
              <w:t>5 分</w:t>
            </w:r>
          </w:p>
        </w:tc>
        <w:tc>
          <w:tcPr>
            <w:tcW w:w="6120" w:type="dxa"/>
            <w:tcBorders>
              <w:top w:val="single" w:color="000000" w:sz="4" w:space="0"/>
              <w:left w:val="single" w:color="000000" w:sz="4" w:space="0"/>
              <w:bottom w:val="single" w:color="000000" w:sz="4" w:space="0"/>
              <w:right w:val="single" w:color="000000" w:sz="4" w:space="0"/>
            </w:tcBorders>
            <w:vAlign w:val="top"/>
          </w:tcPr>
          <w:p>
            <w:pPr>
              <w:pStyle w:val="115"/>
              <w:spacing w:before="1" w:line="360" w:lineRule="auto"/>
              <w:ind w:left="108"/>
              <w:rPr>
                <w:rStyle w:val="116"/>
                <w:rFonts w:ascii="宋体" w:hAnsi="宋体"/>
                <w:spacing w:val="-1"/>
              </w:rPr>
            </w:pPr>
            <w:r>
              <w:rPr>
                <w:rStyle w:val="116"/>
                <w:rFonts w:ascii="宋体" w:hAnsi="宋体"/>
              </w:rPr>
              <w:t>有切实可行的售后服务计划，培训计划，本地化的服务机构等，优得 5 分，一般得 3 分，不合理得 1 分。</w:t>
            </w:r>
          </w:p>
        </w:tc>
      </w:tr>
    </w:tbl>
    <w:p>
      <w:pPr>
        <w:pStyle w:val="29"/>
        <w:rPr>
          <w:rFonts w:hint="eastAsia" w:ascii="新宋体" w:hAnsi="新宋体" w:eastAsia="新宋体" w:cs="新宋体"/>
          <w:color w:val="auto"/>
          <w:sz w:val="24"/>
          <w:szCs w:val="24"/>
        </w:rPr>
      </w:pPr>
    </w:p>
    <w:p>
      <w:pPr>
        <w:pStyle w:val="29"/>
        <w:rPr>
          <w:rFonts w:hint="eastAsia" w:ascii="新宋体" w:hAnsi="新宋体" w:eastAsia="新宋体" w:cs="新宋体"/>
          <w:color w:val="auto"/>
          <w:sz w:val="24"/>
          <w:szCs w:val="24"/>
        </w:rPr>
      </w:pPr>
    </w:p>
    <w:p>
      <w:pPr>
        <w:pStyle w:val="29"/>
        <w:rPr>
          <w:rFonts w:hint="eastAsia" w:ascii="新宋体" w:hAnsi="新宋体" w:eastAsia="新宋体" w:cs="新宋体"/>
          <w:color w:val="auto"/>
          <w:sz w:val="24"/>
          <w:szCs w:val="24"/>
        </w:rPr>
      </w:pPr>
    </w:p>
    <w:p>
      <w:pPr>
        <w:pStyle w:val="29"/>
        <w:rPr>
          <w:rFonts w:hint="eastAsia" w:ascii="新宋体" w:hAnsi="新宋体" w:eastAsia="新宋体" w:cs="新宋体"/>
          <w:color w:val="auto"/>
          <w:sz w:val="24"/>
          <w:szCs w:val="24"/>
        </w:rPr>
      </w:pPr>
    </w:p>
    <w:p>
      <w:pPr>
        <w:pStyle w:val="29"/>
        <w:rPr>
          <w:rFonts w:hint="eastAsia" w:ascii="新宋体" w:hAnsi="新宋体" w:eastAsia="新宋体" w:cs="新宋体"/>
          <w:color w:val="auto"/>
          <w:sz w:val="24"/>
          <w:szCs w:val="24"/>
        </w:rPr>
      </w:pPr>
    </w:p>
    <w:p>
      <w:pPr>
        <w:tabs>
          <w:tab w:val="left" w:pos="2180"/>
        </w:tabs>
        <w:rPr>
          <w:rFonts w:hint="eastAsia" w:eastAsia="宋体"/>
          <w:color w:val="auto"/>
          <w:lang w:eastAsia="zh-CN"/>
        </w:rPr>
      </w:pP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20.3采用综合评分法的，磋商结果按磋商后得分由高到低顺序排列。得分相同的，按磋商报价由低到高顺序排列。得分且报价相同的并列。响应文件满足磋商文件实质性要求，且按照磋商因素的量化指标磋商得分最高的投标人为排名第一的成交候选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20.4磋商结果汇总完成后，除下列情形外，任何人不得修改磋商结果：</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（1）分值汇总计算错误；</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（2）分项评分超出评分标准范围的；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（3）磋商小组认定评分畸高、畸低的。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评标结果的，书面报告本级财政部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投标人对以上情形提出质疑的，采购人或者采购代理机构可以组织原磋商小组进行重新评审，重新磋商改变评标结果的，应当书面报告本级财政部门。</w:t>
      </w:r>
    </w:p>
    <w:p>
      <w:pPr>
        <w:pStyle w:val="3"/>
        <w:numPr>
          <w:ilvl w:val="0"/>
          <w:numId w:val="3"/>
        </w:numPr>
        <w:spacing w:line="360" w:lineRule="auto"/>
        <w:jc w:val="center"/>
        <w:rPr>
          <w:rFonts w:hint="eastAsia" w:ascii="新宋体" w:hAnsi="新宋体" w:eastAsia="新宋体" w:cs="新宋体"/>
          <w:color w:val="auto"/>
        </w:rPr>
      </w:pPr>
      <w:bookmarkStart w:id="60" w:name="_Toc14085"/>
      <w:r>
        <w:rPr>
          <w:rFonts w:hint="eastAsia" w:ascii="新宋体" w:hAnsi="新宋体" w:eastAsia="新宋体" w:cs="新宋体"/>
          <w:color w:val="auto"/>
        </w:rPr>
        <w:t>成交</w:t>
      </w:r>
      <w:bookmarkEnd w:id="60"/>
    </w:p>
    <w:p>
      <w:pPr>
        <w:pStyle w:val="4"/>
        <w:spacing w:line="360" w:lineRule="auto"/>
        <w:rPr>
          <w:rFonts w:hint="eastAsia" w:ascii="新宋体" w:hAnsi="新宋体" w:eastAsia="新宋体" w:cs="新宋体"/>
          <w:color w:val="auto"/>
          <w:sz w:val="24"/>
          <w:szCs w:val="24"/>
        </w:rPr>
      </w:pPr>
      <w:bookmarkStart w:id="61" w:name="_Toc7198"/>
      <w:bookmarkStart w:id="62" w:name="_Toc5518"/>
      <w:r>
        <w:rPr>
          <w:rFonts w:hint="eastAsia" w:ascii="新宋体" w:hAnsi="新宋体" w:eastAsia="新宋体" w:cs="新宋体"/>
          <w:color w:val="auto"/>
          <w:sz w:val="24"/>
          <w:szCs w:val="24"/>
        </w:rPr>
        <w:t>21.推荐并确定成交人</w:t>
      </w:r>
      <w:bookmarkEnd w:id="61"/>
      <w:bookmarkEnd w:id="62"/>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21.1采购代理机构应当在评标结束后2个工作日内将评标报告送采购人。采购人应当自收到磋商报告之日起5个工作日内，在磋商报告确定的成交候选人名单中按顺序确定成交人。成交候选人并列的，由采购人或者采购人委托磋商小组按照磋商文件规定的方式确定成交人；磋商文件未规定的，采取随机抽取的方式确定。</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21.2采购人自行组织招标的，应当在磋商结束后5个工作日内确定成交人。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21.3采购人在收到磋商报告5个工作日内未按磋商报告推荐的成交候选人顺序确定成交人，又不能说明合法理由的，视同按磋商报告推荐的顺序确定排名第一的成交候选人为成交人。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21.4为了确保成交人能够对本项目的顺利实施并保证质量，允许本次投标的投标人对各包投标，但同一投标人最多只能中一个包。若出现一个投标人有两个以上得分最高者，按照大包优先的原则确定该包的成交人。</w:t>
      </w:r>
      <w:bookmarkStart w:id="63" w:name="_Toc1095"/>
      <w:bookmarkStart w:id="64" w:name="_Toc23385"/>
    </w:p>
    <w:p>
      <w:pPr>
        <w:pStyle w:val="4"/>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22.成交通知</w:t>
      </w:r>
      <w:bookmarkEnd w:id="63"/>
      <w:bookmarkEnd w:id="64"/>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22.1采购人或者采购代理机构应当自成交人确定之日起2个工作日内，在省级以上财政部门指定的媒体上公告成交结果，磋商文件应当随成交结果同时公告。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22.2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22.3成交公告期限为1个工作日。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22.4在公告成交结果的同时，采购代理机构应当向成交人发出成交通知书；采用综合评分法评审的，还应当告知未成交人本人的评审得分与排序。</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22.5成交通知书发出后，采购人不得违法改变成交结果，成交人无正当理由不得放弃成交。</w:t>
      </w:r>
    </w:p>
    <w:p>
      <w:pPr>
        <w:pStyle w:val="3"/>
        <w:numPr>
          <w:ilvl w:val="0"/>
          <w:numId w:val="3"/>
        </w:numPr>
        <w:spacing w:line="360" w:lineRule="auto"/>
        <w:jc w:val="center"/>
        <w:rPr>
          <w:rFonts w:hint="eastAsia" w:ascii="新宋体" w:hAnsi="新宋体" w:eastAsia="新宋体" w:cs="新宋体"/>
          <w:color w:val="auto"/>
        </w:rPr>
      </w:pPr>
      <w:bookmarkStart w:id="65" w:name="_Toc4113"/>
      <w:bookmarkStart w:id="66" w:name="_Toc11136"/>
      <w:r>
        <w:rPr>
          <w:rFonts w:hint="eastAsia" w:ascii="新宋体" w:hAnsi="新宋体" w:eastAsia="新宋体" w:cs="新宋体"/>
          <w:color w:val="auto"/>
        </w:rPr>
        <w:t>授予合同</w:t>
      </w:r>
      <w:bookmarkEnd w:id="65"/>
      <w:bookmarkEnd w:id="66"/>
    </w:p>
    <w:p>
      <w:pPr>
        <w:pStyle w:val="4"/>
        <w:spacing w:line="360" w:lineRule="auto"/>
        <w:rPr>
          <w:rFonts w:hint="eastAsia" w:ascii="新宋体" w:hAnsi="新宋体" w:eastAsia="新宋体" w:cs="新宋体"/>
          <w:color w:val="auto"/>
          <w:sz w:val="24"/>
          <w:szCs w:val="24"/>
        </w:rPr>
      </w:pPr>
      <w:bookmarkStart w:id="67" w:name="_Toc23616"/>
      <w:bookmarkStart w:id="68" w:name="_Toc17712"/>
      <w:r>
        <w:rPr>
          <w:rFonts w:hint="eastAsia" w:ascii="新宋体" w:hAnsi="新宋体" w:eastAsia="新宋体" w:cs="新宋体"/>
          <w:color w:val="auto"/>
          <w:sz w:val="24"/>
          <w:szCs w:val="24"/>
        </w:rPr>
        <w:t>23.签订合同</w:t>
      </w:r>
      <w:bookmarkEnd w:id="67"/>
      <w:bookmarkEnd w:id="68"/>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23.1采购人应当自成交通知书发出之日起30日内，按照磋商文件和成交人响应文件的规定，与成交人签订书面合同。所签订的合同不得对磋商文件确定的事项和成交人响应文件作实质性修改。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采购人不得向成交人提出任何不合理的要求作为签订合同的条件。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23.2签订合同时，可将成交人的磋商保证金转为成交人的履约保证金或成交人应当以支票、汇票、本票等非现金形式向采购人指定的账户交纳履约保证金。履约保证金的数额由采购人确定，但不得超出采购合同总金额的10%。</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23.3成交人拒绝与采购人签订合同的，采购人可以按照磋商报告推荐的成交候选人名单排序，确定下一候选人为成交人，也可以重新开展政府采购活动。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23.4磋商文件、成交人的响应文件、《成交通知书》及其澄清、说明文件、承诺等，均为签订采购合同的依据，作为采购合同的组成部分。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23.5采购合同签订之日起2个工作日内，由采购人将采购合同在青海政府采购网上公告，但采购合同中涉及国家秘密、商业秘密的内容除外。</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23.6采购人与成交人应当根据合同的约定依法履行合同义务。政府采购合同的履行、违约责任和解决争议的方法等适用《中华人民共和国合同法》。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23.7采购人应当及时对采购项目进行验收。采购人可以邀请参加本项目的其他投标人或者第三方机构参与验收。参与验收的投标人或者第三方机构的意见作为验收书的参考资料一并存档。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23.8采购人应当加强对成交人的履约管理，并按照采购合同约定，及时向成交人支付采购资金。对于成交人违反采购合同约定的行为，采购人应当及时处理，依法追究其违约责任。</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23.9采购人、采购代理机构应当建立真实完整的招标采购档案，妥善保存每项采购活动的采购文件。</w:t>
      </w:r>
    </w:p>
    <w:p>
      <w:pPr>
        <w:pStyle w:val="3"/>
        <w:rPr>
          <w:rFonts w:hint="eastAsia"/>
          <w:color w:val="auto"/>
        </w:rPr>
      </w:pPr>
    </w:p>
    <w:p>
      <w:pPr>
        <w:pStyle w:val="3"/>
        <w:numPr>
          <w:ilvl w:val="0"/>
          <w:numId w:val="3"/>
        </w:numPr>
        <w:spacing w:line="360" w:lineRule="auto"/>
        <w:jc w:val="center"/>
        <w:rPr>
          <w:rFonts w:hint="eastAsia" w:ascii="新宋体" w:hAnsi="新宋体" w:eastAsia="新宋体" w:cs="新宋体"/>
          <w:color w:val="auto"/>
        </w:rPr>
      </w:pPr>
      <w:bookmarkStart w:id="69" w:name="_Toc32419"/>
      <w:bookmarkStart w:id="70" w:name="_Toc706"/>
      <w:r>
        <w:rPr>
          <w:rFonts w:hint="eastAsia" w:ascii="新宋体" w:hAnsi="新宋体" w:eastAsia="新宋体" w:cs="新宋体"/>
          <w:color w:val="auto"/>
        </w:rPr>
        <w:t>招标代理费</w:t>
      </w:r>
      <w:bookmarkEnd w:id="69"/>
      <w:bookmarkEnd w:id="70"/>
    </w:p>
    <w:p>
      <w:pPr>
        <w:numPr>
          <w:ilvl w:val="0"/>
          <w:numId w:val="4"/>
        </w:numPr>
        <w:snapToGrid w:val="0"/>
        <w:spacing w:line="360" w:lineRule="auto"/>
        <w:ind w:firstLine="487" w:firstLineChars="202"/>
        <w:rPr>
          <w:rFonts w:hint="default"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rPr>
        <w:t>收取对象：成交人</w:t>
      </w:r>
    </w:p>
    <w:p>
      <w:pPr>
        <w:widowControl/>
        <w:spacing w:line="360" w:lineRule="auto"/>
        <w:ind w:firstLine="723" w:firstLineChars="300"/>
        <w:rPr>
          <w:rFonts w:hint="eastAsia" w:ascii="宋体" w:hAnsi="Calibri" w:cs="宋体"/>
          <w:b/>
          <w:bCs/>
          <w:color w:val="auto"/>
          <w:kern w:val="0"/>
          <w:sz w:val="24"/>
          <w:szCs w:val="24"/>
          <w:lang w:val="zh-CN"/>
        </w:rPr>
      </w:pPr>
      <w:r>
        <w:rPr>
          <w:rFonts w:hint="eastAsia" w:ascii="宋体" w:hAnsi="Calibri" w:cs="宋体"/>
          <w:b/>
          <w:bCs/>
          <w:color w:val="auto"/>
          <w:kern w:val="0"/>
          <w:sz w:val="24"/>
          <w:szCs w:val="24"/>
          <w:lang w:val="zh-CN"/>
        </w:rPr>
        <w:t>账户名：</w:t>
      </w:r>
      <w:r>
        <w:rPr>
          <w:rFonts w:hint="eastAsia" w:ascii="宋体" w:cs="宋体"/>
          <w:b/>
          <w:bCs/>
          <w:color w:val="auto"/>
          <w:kern w:val="0"/>
          <w:sz w:val="24"/>
          <w:szCs w:val="24"/>
          <w:lang w:val="zh-CN"/>
        </w:rPr>
        <w:t>青海合美建设工程咨询有限公司</w:t>
      </w:r>
    </w:p>
    <w:p>
      <w:pPr>
        <w:widowControl/>
        <w:spacing w:line="360" w:lineRule="auto"/>
        <w:ind w:firstLine="723" w:firstLineChars="300"/>
        <w:rPr>
          <w:rFonts w:hint="eastAsia" w:ascii="宋体" w:hAnsi="Calibri" w:cs="宋体"/>
          <w:b/>
          <w:bCs/>
          <w:color w:val="auto"/>
          <w:kern w:val="0"/>
          <w:sz w:val="24"/>
          <w:szCs w:val="24"/>
          <w:lang w:val="zh-CN"/>
        </w:rPr>
      </w:pPr>
      <w:r>
        <w:rPr>
          <w:rFonts w:hint="eastAsia" w:ascii="宋体" w:hAnsi="Calibri" w:cs="宋体"/>
          <w:b/>
          <w:bCs/>
          <w:color w:val="auto"/>
          <w:kern w:val="0"/>
          <w:sz w:val="24"/>
          <w:szCs w:val="24"/>
          <w:lang w:val="zh-CN"/>
        </w:rPr>
        <w:t>开户行：中国农业银行股份有限公司西宁市城西支行交通巷分理处</w:t>
      </w:r>
    </w:p>
    <w:p>
      <w:pPr>
        <w:widowControl/>
        <w:spacing w:line="360" w:lineRule="auto"/>
        <w:ind w:firstLine="723" w:firstLineChars="300"/>
        <w:rPr>
          <w:rFonts w:hint="eastAsia"/>
          <w:b/>
          <w:bCs/>
          <w:color w:val="auto"/>
        </w:rPr>
      </w:pPr>
      <w:r>
        <w:rPr>
          <w:rFonts w:hint="eastAsia" w:ascii="宋体" w:hAnsi="Calibri" w:cs="宋体"/>
          <w:b/>
          <w:bCs/>
          <w:color w:val="auto"/>
          <w:kern w:val="0"/>
          <w:sz w:val="24"/>
          <w:szCs w:val="24"/>
          <w:lang w:val="zh-CN" w:eastAsia="zh-CN"/>
        </w:rPr>
        <w:t>中标服务费</w:t>
      </w:r>
      <w:r>
        <w:rPr>
          <w:rFonts w:hint="eastAsia" w:ascii="宋体" w:cs="宋体"/>
          <w:b/>
          <w:bCs/>
          <w:color w:val="auto"/>
          <w:kern w:val="0"/>
          <w:sz w:val="24"/>
          <w:szCs w:val="24"/>
          <w:lang w:val="zh-CN" w:eastAsia="zh-CN"/>
        </w:rPr>
        <w:t>转入</w:t>
      </w:r>
      <w:r>
        <w:rPr>
          <w:rFonts w:hint="eastAsia" w:ascii="宋体" w:hAnsi="Calibri" w:cs="宋体"/>
          <w:b/>
          <w:bCs/>
          <w:color w:val="auto"/>
          <w:kern w:val="0"/>
          <w:sz w:val="24"/>
          <w:szCs w:val="24"/>
          <w:lang w:val="zh-CN"/>
        </w:rPr>
        <w:t xml:space="preserve">账号：28043001040001536 </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2、各包收费金额：在领取成交通知书前向采购代理机构缴纳。</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3、由采购人自行招标的，成交人无需缴纳招标代理费。</w:t>
      </w:r>
    </w:p>
    <w:p>
      <w:pPr>
        <w:snapToGrid w:val="0"/>
        <w:spacing w:line="360" w:lineRule="auto"/>
        <w:ind w:firstLine="484" w:firstLineChars="202"/>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4、说明：根据《关于进一步放开建设项目专项业务服务价格的通知》（发改价格</w:t>
      </w:r>
    </w:p>
    <w:p>
      <w:pPr>
        <w:snapToGrid w:val="0"/>
        <w:spacing w:line="360" w:lineRule="auto"/>
        <w:ind w:firstLine="484" w:firstLineChars="202"/>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[2015]299号）规定，实行市场调节价，应严格遵守《价格法》、《关于商品和服务</w:t>
      </w:r>
    </w:p>
    <w:p>
      <w:pPr>
        <w:snapToGrid w:val="0"/>
        <w:spacing w:line="360" w:lineRule="auto"/>
        <w:ind w:left="479" w:leftChars="228" w:firstLine="0" w:firstLineChars="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实行明码标价的规定》等法律法规的规定由采购人和采购代理机构共同确定的收费金额。</w:t>
      </w:r>
    </w:p>
    <w:p>
      <w:pPr>
        <w:pStyle w:val="3"/>
        <w:numPr>
          <w:ilvl w:val="0"/>
          <w:numId w:val="3"/>
        </w:numPr>
        <w:spacing w:line="360" w:lineRule="auto"/>
        <w:jc w:val="center"/>
        <w:rPr>
          <w:rFonts w:hint="eastAsia" w:ascii="新宋体" w:hAnsi="新宋体" w:eastAsia="新宋体" w:cs="新宋体"/>
          <w:color w:val="auto"/>
        </w:rPr>
      </w:pPr>
      <w:bookmarkStart w:id="71" w:name="_Toc4082"/>
      <w:bookmarkStart w:id="72" w:name="_Toc8443"/>
      <w:r>
        <w:rPr>
          <w:rFonts w:hint="eastAsia" w:ascii="新宋体" w:hAnsi="新宋体" w:eastAsia="新宋体" w:cs="新宋体"/>
          <w:color w:val="auto"/>
        </w:rPr>
        <w:t>其他</w:t>
      </w:r>
      <w:bookmarkEnd w:id="71"/>
      <w:bookmarkEnd w:id="72"/>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1、投标人应当遵循公平竞争的原则，不得恶意串通，不得妨碍其他投标人的竞争行为，不得损害采购人或者其他投标人的合法权益。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在磋商过程中发现投标人有上述情形的，磋商小组应当认定其投标无效，并书面报告本级财政部门。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2、有下列情形之一的，视为投标人串通投标，其投标无效：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（1）不同投标人的响应文件由同一单位或者个人编制；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（2）不同投标人委托同一单位或者个人办理投标事宜；</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（3）不同投标人的响应文件载明的项目管理成员或者联系人员为同一人；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（4）不同投标人的响应文件异常一致或者磋商报价呈规律性差异；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（5）不同投标人的响应文件相互混装；</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（6）不同投标人的磋商保证金从同一单位或者个人的账户转出。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3、公开招标数额标准以上的采购项目，投标截止后投标人不足3家或者通过资格审查或符合性审查的投标人不足3家的，除采购任务取消情形外，按照以下方式处理：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（1）磋商文件存在不合理条款或者采购程序不符合规定的，采购人、采购代理机构改正后依法重新招标；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（2）磋商文件没有不合理条款、采购程序符合规定，需要采购其他采购方式采购的，采购人应当依法报财政部门批准。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4、在招标采购中，出现下列情形之一的，应予废标：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（1）符合专业条件的投标人或者对磋商文件作实质性响应的投标人不足三家的；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（2）出现影响采购公正的违法、违规行为的；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（3）投标人的报价均超出采购预算，采购人不能支付的；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（4）因重大变故，采购任务取消的。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废标后，由采购代理机构发布废标公告。</w:t>
      </w:r>
    </w:p>
    <w:p>
      <w:pPr>
        <w:numPr>
          <w:ilvl w:val="0"/>
          <w:numId w:val="5"/>
        </w:numPr>
        <w:snapToGrid w:val="0"/>
        <w:spacing w:line="360" w:lineRule="auto"/>
        <w:ind w:firstLine="484" w:firstLineChars="202"/>
        <w:rPr>
          <w:rFonts w:hint="eastAsia" w:ascii="新宋体" w:hAnsi="新宋体" w:eastAsia="新宋体" w:cs="新宋体"/>
          <w:color w:val="auto"/>
        </w:rPr>
      </w:pPr>
      <w:r>
        <w:rPr>
          <w:rFonts w:hint="eastAsia" w:ascii="新宋体" w:hAnsi="新宋体" w:eastAsia="新宋体" w:cs="新宋体"/>
          <w:color w:val="auto"/>
          <w:sz w:val="24"/>
          <w:szCs w:val="24"/>
        </w:rPr>
        <w:t>其他未尽事宜，按照《中华人民共和国政府采购法》、《中华人民共和国政府采购法实施条例》、《中华人民共和国合同法》等法律法规的有关条款执行。</w:t>
      </w:r>
      <w:bookmarkStart w:id="73" w:name="_Toc14401"/>
      <w:bookmarkStart w:id="74" w:name="_Toc11982"/>
      <w:bookmarkStart w:id="75" w:name="_Toc28541"/>
    </w:p>
    <w:p>
      <w:pPr>
        <w:autoSpaceDE w:val="0"/>
        <w:autoSpaceDN w:val="0"/>
        <w:adjustRightInd w:val="0"/>
        <w:snapToGrid w:val="0"/>
        <w:spacing w:line="360" w:lineRule="auto"/>
        <w:jc w:val="both"/>
        <w:rPr>
          <w:rFonts w:hint="eastAsia" w:ascii="新宋体" w:hAnsi="新宋体" w:eastAsia="新宋体" w:cs="新宋体"/>
          <w:b/>
          <w:bCs/>
          <w:color w:val="auto"/>
          <w:kern w:val="0"/>
          <w:sz w:val="48"/>
          <w:szCs w:val="48"/>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48"/>
          <w:szCs w:val="48"/>
          <w:lang w:val="zh-CN"/>
        </w:rPr>
      </w:pPr>
    </w:p>
    <w:p>
      <w:pPr>
        <w:pStyle w:val="29"/>
        <w:rPr>
          <w:rFonts w:hint="eastAsia" w:ascii="新宋体" w:hAnsi="新宋体" w:eastAsia="新宋体" w:cs="新宋体"/>
          <w:b/>
          <w:bCs/>
          <w:color w:val="auto"/>
          <w:kern w:val="0"/>
          <w:sz w:val="48"/>
          <w:szCs w:val="48"/>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48"/>
          <w:szCs w:val="48"/>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lang w:val="zh-CN"/>
        </w:rPr>
      </w:pPr>
    </w:p>
    <w:p>
      <w:pPr>
        <w:autoSpaceDE w:val="0"/>
        <w:autoSpaceDN w:val="0"/>
        <w:adjustRightInd w:val="0"/>
        <w:snapToGrid w:val="0"/>
        <w:spacing w:line="360" w:lineRule="auto"/>
        <w:jc w:val="both"/>
        <w:rPr>
          <w:rFonts w:hint="eastAsia" w:ascii="新宋体" w:hAnsi="新宋体" w:eastAsia="新宋体" w:cs="新宋体"/>
          <w:b/>
          <w:bCs/>
          <w:color w:val="auto"/>
          <w:kern w:val="0"/>
          <w:sz w:val="36"/>
          <w:szCs w:val="36"/>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lang w:val="zh-CN"/>
        </w:rPr>
      </w:pPr>
      <w:r>
        <w:rPr>
          <w:rFonts w:hint="eastAsia" w:ascii="新宋体" w:hAnsi="新宋体" w:eastAsia="新宋体" w:cs="新宋体"/>
          <w:b/>
          <w:bCs/>
          <w:color w:val="auto"/>
          <w:kern w:val="0"/>
          <w:sz w:val="36"/>
          <w:szCs w:val="36"/>
          <w:lang w:val="zh-CN"/>
        </w:rPr>
        <w:t>第三部分 青海省政府采购项目合同书范本</w:t>
      </w:r>
      <w:bookmarkEnd w:id="73"/>
      <w:bookmarkEnd w:id="74"/>
      <w:bookmarkEnd w:id="75"/>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lang w:val="zh-CN"/>
        </w:rPr>
      </w:pPr>
      <w:r>
        <w:rPr>
          <w:rFonts w:hint="eastAsia" w:ascii="新宋体" w:hAnsi="新宋体" w:eastAsia="新宋体" w:cs="新宋体"/>
          <w:b/>
          <w:bCs/>
          <w:color w:val="auto"/>
          <w:kern w:val="0"/>
          <w:sz w:val="36"/>
          <w:szCs w:val="36"/>
          <w:lang w:val="zh-CN"/>
        </w:rPr>
        <w:t>（</w:t>
      </w:r>
      <w:r>
        <w:rPr>
          <w:rFonts w:hint="eastAsia" w:ascii="新宋体" w:hAnsi="新宋体" w:eastAsia="新宋体" w:cs="新宋体"/>
          <w:b/>
          <w:bCs/>
          <w:color w:val="auto"/>
          <w:kern w:val="0"/>
          <w:sz w:val="36"/>
          <w:szCs w:val="36"/>
          <w:lang w:val="zh-CN" w:eastAsia="zh-CN"/>
        </w:rPr>
        <w:t>服务</w:t>
      </w:r>
      <w:r>
        <w:rPr>
          <w:rFonts w:hint="eastAsia" w:ascii="新宋体" w:hAnsi="新宋体" w:eastAsia="新宋体" w:cs="新宋体"/>
          <w:b/>
          <w:bCs/>
          <w:color w:val="auto"/>
          <w:kern w:val="0"/>
          <w:sz w:val="36"/>
          <w:szCs w:val="36"/>
          <w:lang w:val="zh-CN"/>
        </w:rPr>
        <w:t>类）</w:t>
      </w:r>
    </w:p>
    <w:p>
      <w:pPr>
        <w:snapToGrid w:val="0"/>
        <w:spacing w:line="360" w:lineRule="auto"/>
        <w:ind w:firstLine="484" w:firstLineChars="202"/>
        <w:jc w:val="center"/>
        <w:rPr>
          <w:rFonts w:hint="eastAsia" w:ascii="新宋体" w:hAnsi="新宋体" w:eastAsia="新宋体" w:cs="新宋体"/>
          <w:color w:val="auto"/>
          <w:sz w:val="24"/>
          <w:szCs w:val="24"/>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rPr>
      </w:pPr>
      <w:r>
        <w:rPr>
          <w:rFonts w:hint="eastAsia" w:ascii="新宋体" w:hAnsi="新宋体" w:eastAsia="新宋体" w:cs="新宋体"/>
          <w:b/>
          <w:bCs/>
          <w:color w:val="auto"/>
          <w:kern w:val="0"/>
          <w:sz w:val="36"/>
          <w:szCs w:val="36"/>
          <w:lang w:val="zh-CN"/>
        </w:rPr>
        <w:t>青海省政府采购项目合同书</w:t>
      </w: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djustRightInd w:val="0"/>
        <w:snapToGrid w:val="0"/>
        <w:spacing w:line="360" w:lineRule="auto"/>
        <w:ind w:firstLine="281" w:firstLineChars="100"/>
        <w:jc w:val="left"/>
        <w:rPr>
          <w:rFonts w:hint="default" w:ascii="新宋体" w:hAnsi="新宋体" w:eastAsia="新宋体" w:cs="新宋体"/>
          <w:color w:val="auto"/>
          <w:sz w:val="28"/>
          <w:szCs w:val="28"/>
          <w:lang w:val="en-US" w:eastAsia="zh-CN"/>
        </w:rPr>
      </w:pPr>
      <w:r>
        <w:rPr>
          <w:rFonts w:hint="eastAsia" w:ascii="新宋体" w:hAnsi="新宋体" w:eastAsia="新宋体" w:cs="新宋体"/>
          <w:b/>
          <w:bCs/>
          <w:color w:val="auto"/>
          <w:kern w:val="0"/>
          <w:sz w:val="28"/>
          <w:szCs w:val="28"/>
          <w:lang w:val="zh-CN"/>
        </w:rPr>
        <w:t>采购项目名称：</w:t>
      </w:r>
      <w:r>
        <w:rPr>
          <w:rFonts w:hint="eastAsia" w:ascii="新宋体" w:hAnsi="新宋体" w:eastAsia="新宋体" w:cs="新宋体"/>
          <w:b/>
          <w:bCs/>
          <w:color w:val="auto"/>
          <w:kern w:val="0"/>
          <w:sz w:val="28"/>
          <w:szCs w:val="28"/>
          <w:u w:val="single"/>
          <w:lang w:val="zh-CN" w:eastAsia="zh-CN"/>
        </w:rPr>
        <w:t>乌图美仁乡9个牧业村村级规划及测绘项目（包一）（三次</w:t>
      </w:r>
      <w:bookmarkStart w:id="140" w:name="_GoBack"/>
      <w:bookmarkEnd w:id="140"/>
      <w:r>
        <w:rPr>
          <w:rFonts w:hint="eastAsia" w:ascii="新宋体" w:hAnsi="新宋体" w:eastAsia="新宋体" w:cs="新宋体"/>
          <w:b/>
          <w:bCs/>
          <w:color w:val="auto"/>
          <w:kern w:val="0"/>
          <w:sz w:val="28"/>
          <w:szCs w:val="28"/>
          <w:u w:val="single"/>
          <w:lang w:val="zh-CN" w:eastAsia="zh-CN"/>
        </w:rPr>
        <w:t>）</w:t>
      </w:r>
      <w:r>
        <w:rPr>
          <w:rFonts w:hint="eastAsia" w:ascii="新宋体" w:hAnsi="新宋体" w:eastAsia="新宋体" w:cs="新宋体"/>
          <w:b/>
          <w:bCs/>
          <w:color w:val="auto"/>
          <w:kern w:val="0"/>
          <w:sz w:val="28"/>
          <w:szCs w:val="28"/>
          <w:u w:val="single"/>
          <w:lang w:val="en-US" w:eastAsia="zh-CN"/>
        </w:rPr>
        <w:t xml:space="preserve">    </w:t>
      </w: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single"/>
          <w:lang w:val="zh-CN"/>
        </w:rPr>
      </w:pPr>
      <w:r>
        <w:rPr>
          <w:rFonts w:hint="eastAsia" w:ascii="新宋体" w:hAnsi="新宋体" w:eastAsia="新宋体" w:cs="新宋体"/>
          <w:b/>
          <w:bCs/>
          <w:color w:val="auto"/>
          <w:kern w:val="0"/>
          <w:sz w:val="28"/>
          <w:szCs w:val="28"/>
          <w:lang w:val="zh-CN"/>
        </w:rPr>
        <w:t>采购项目编号</w:t>
      </w:r>
      <w:r>
        <w:rPr>
          <w:rFonts w:hint="eastAsia" w:ascii="新宋体" w:hAnsi="新宋体" w:eastAsia="新宋体" w:cs="新宋体"/>
          <w:b/>
          <w:bCs/>
          <w:color w:val="auto"/>
          <w:kern w:val="0"/>
          <w:sz w:val="28"/>
          <w:szCs w:val="28"/>
        </w:rPr>
        <w:t>/包号</w:t>
      </w:r>
      <w:r>
        <w:rPr>
          <w:rFonts w:hint="eastAsia" w:ascii="新宋体" w:hAnsi="新宋体" w:eastAsia="新宋体" w:cs="新宋体"/>
          <w:b/>
          <w:bCs/>
          <w:color w:val="auto"/>
          <w:kern w:val="0"/>
          <w:sz w:val="28"/>
          <w:szCs w:val="28"/>
          <w:lang w:val="zh-CN"/>
        </w:rPr>
        <w:t>：</w:t>
      </w:r>
      <w:r>
        <w:rPr>
          <w:rFonts w:hint="eastAsia" w:ascii="新宋体" w:hAnsi="新宋体" w:eastAsia="新宋体" w:cs="新宋体"/>
          <w:b/>
          <w:bCs/>
          <w:color w:val="auto"/>
          <w:kern w:val="0"/>
          <w:sz w:val="28"/>
          <w:szCs w:val="28"/>
          <w:u w:val="single"/>
          <w:lang w:val="zh-CN"/>
        </w:rPr>
        <w:t>青海合美竞磋（服务）2020-004</w:t>
      </w:r>
    </w:p>
    <w:p>
      <w:pPr>
        <w:adjustRightInd w:val="0"/>
        <w:snapToGrid w:val="0"/>
        <w:spacing w:line="360" w:lineRule="auto"/>
        <w:ind w:firstLine="281" w:firstLineChars="100"/>
        <w:jc w:val="left"/>
        <w:rPr>
          <w:rFonts w:hint="default" w:ascii="新宋体" w:hAnsi="新宋体" w:eastAsia="新宋体" w:cs="新宋体"/>
          <w:b/>
          <w:bCs/>
          <w:color w:val="auto"/>
          <w:kern w:val="0"/>
          <w:sz w:val="28"/>
          <w:szCs w:val="28"/>
          <w:u w:val="single"/>
          <w:lang w:val="en-US" w:eastAsia="zh-CN"/>
        </w:rPr>
      </w:pPr>
      <w:r>
        <w:rPr>
          <w:rFonts w:hint="eastAsia" w:ascii="新宋体" w:hAnsi="新宋体" w:eastAsia="新宋体" w:cs="新宋体"/>
          <w:b/>
          <w:bCs/>
          <w:color w:val="auto"/>
          <w:kern w:val="0"/>
          <w:sz w:val="28"/>
          <w:szCs w:val="28"/>
          <w:lang w:val="zh-CN"/>
        </w:rPr>
        <w:t>采购合同编号</w:t>
      </w:r>
      <w:r>
        <w:rPr>
          <w:rFonts w:hint="eastAsia" w:ascii="新宋体" w:hAnsi="新宋体" w:eastAsia="新宋体" w:cs="新宋体"/>
          <w:b/>
          <w:bCs/>
          <w:color w:val="auto"/>
          <w:kern w:val="0"/>
          <w:sz w:val="28"/>
          <w:szCs w:val="28"/>
        </w:rPr>
        <w:t>/包号</w:t>
      </w:r>
      <w:r>
        <w:rPr>
          <w:rFonts w:hint="eastAsia" w:ascii="新宋体" w:hAnsi="新宋体" w:eastAsia="新宋体" w:cs="新宋体"/>
          <w:b/>
          <w:bCs/>
          <w:color w:val="auto"/>
          <w:kern w:val="0"/>
          <w:sz w:val="28"/>
          <w:szCs w:val="28"/>
          <w:lang w:val="zh-CN"/>
        </w:rPr>
        <w:t>：</w:t>
      </w:r>
      <w:r>
        <w:rPr>
          <w:rFonts w:hint="eastAsia" w:ascii="新宋体" w:hAnsi="新宋体" w:eastAsia="新宋体" w:cs="新宋体"/>
          <w:b/>
          <w:bCs/>
          <w:color w:val="auto"/>
          <w:kern w:val="0"/>
          <w:sz w:val="28"/>
          <w:szCs w:val="28"/>
          <w:u w:val="single"/>
          <w:lang w:val="en-US" w:eastAsia="zh-CN"/>
        </w:rPr>
        <w:t>QHHM-2020-004</w:t>
      </w: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single"/>
          <w:lang w:val="zh-CN"/>
        </w:rPr>
      </w:pPr>
      <w:r>
        <w:rPr>
          <w:rFonts w:hint="eastAsia" w:ascii="新宋体" w:hAnsi="新宋体" w:eastAsia="新宋体" w:cs="新宋体"/>
          <w:b/>
          <w:bCs/>
          <w:color w:val="auto"/>
          <w:kern w:val="0"/>
          <w:sz w:val="28"/>
          <w:szCs w:val="28"/>
          <w:lang w:val="zh-CN"/>
        </w:rPr>
        <w:t>合同金额（人民币）：</w:t>
      </w:r>
      <w:r>
        <w:rPr>
          <w:rFonts w:hint="eastAsia" w:ascii="新宋体" w:hAnsi="新宋体" w:eastAsia="新宋体" w:cs="新宋体"/>
          <w:b/>
          <w:bCs/>
          <w:color w:val="auto"/>
          <w:kern w:val="0"/>
          <w:sz w:val="28"/>
          <w:szCs w:val="28"/>
          <w:u w:val="single"/>
          <w:lang w:val="zh-CN"/>
        </w:rPr>
        <w:t xml:space="preserve">                           </w:t>
      </w: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lang w:val="zh-CN"/>
        </w:rPr>
      </w:pPr>
      <w:r>
        <w:rPr>
          <w:rFonts w:hint="eastAsia" w:ascii="新宋体" w:hAnsi="新宋体" w:eastAsia="新宋体" w:cs="新宋体"/>
          <w:b/>
          <w:bCs/>
          <w:color w:val="auto"/>
          <w:kern w:val="0"/>
          <w:sz w:val="28"/>
          <w:szCs w:val="28"/>
          <w:lang w:val="zh-CN"/>
        </w:rPr>
        <w:t>采购人（甲方）：</w:t>
      </w:r>
      <w:r>
        <w:rPr>
          <w:rFonts w:hint="eastAsia" w:ascii="新宋体" w:hAnsi="新宋体" w:eastAsia="新宋体" w:cs="新宋体"/>
          <w:b/>
          <w:bCs/>
          <w:color w:val="auto"/>
          <w:kern w:val="0"/>
          <w:sz w:val="28"/>
          <w:szCs w:val="28"/>
          <w:u w:val="single"/>
          <w:lang w:val="zh-CN"/>
        </w:rPr>
        <w:t xml:space="preserve">                       </w:t>
      </w:r>
      <w:r>
        <w:rPr>
          <w:rFonts w:hint="eastAsia" w:ascii="新宋体" w:hAnsi="新宋体" w:eastAsia="新宋体" w:cs="新宋体"/>
          <w:b/>
          <w:bCs/>
          <w:color w:val="auto"/>
          <w:kern w:val="0"/>
          <w:sz w:val="28"/>
          <w:szCs w:val="28"/>
          <w:u w:val="single"/>
          <w:lang w:val="en-US" w:eastAsia="zh-CN"/>
        </w:rPr>
        <w:t xml:space="preserve">  </w:t>
      </w:r>
      <w:r>
        <w:rPr>
          <w:rFonts w:hint="eastAsia" w:ascii="新宋体" w:hAnsi="新宋体" w:eastAsia="新宋体" w:cs="新宋体"/>
          <w:b/>
          <w:bCs/>
          <w:color w:val="auto"/>
          <w:kern w:val="0"/>
          <w:sz w:val="28"/>
          <w:szCs w:val="28"/>
          <w:lang w:val="zh-CN"/>
        </w:rPr>
        <w:t>（盖章）</w:t>
      </w: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lang w:val="zh-CN"/>
        </w:rPr>
      </w:pPr>
      <w:r>
        <w:rPr>
          <w:rFonts w:hint="eastAsia" w:ascii="新宋体" w:hAnsi="新宋体" w:eastAsia="新宋体" w:cs="新宋体"/>
          <w:b/>
          <w:bCs/>
          <w:color w:val="auto"/>
          <w:kern w:val="0"/>
          <w:sz w:val="28"/>
          <w:szCs w:val="28"/>
          <w:lang w:val="zh-CN"/>
        </w:rPr>
        <w:t>成交人（乙方）：</w:t>
      </w:r>
      <w:r>
        <w:rPr>
          <w:rFonts w:hint="eastAsia" w:ascii="新宋体" w:hAnsi="新宋体" w:eastAsia="新宋体" w:cs="新宋体"/>
          <w:b/>
          <w:bCs/>
          <w:color w:val="auto"/>
          <w:kern w:val="0"/>
          <w:sz w:val="28"/>
          <w:szCs w:val="28"/>
          <w:u w:val="single"/>
          <w:lang w:val="zh-CN"/>
        </w:rPr>
        <w:t xml:space="preserve">                       </w:t>
      </w:r>
      <w:r>
        <w:rPr>
          <w:rFonts w:hint="eastAsia" w:ascii="新宋体" w:hAnsi="新宋体" w:eastAsia="新宋体" w:cs="新宋体"/>
          <w:b/>
          <w:bCs/>
          <w:color w:val="auto"/>
          <w:kern w:val="0"/>
          <w:sz w:val="28"/>
          <w:szCs w:val="28"/>
          <w:u w:val="single"/>
          <w:lang w:val="en-US" w:eastAsia="zh-CN"/>
        </w:rPr>
        <w:t xml:space="preserve">  </w:t>
      </w:r>
      <w:r>
        <w:rPr>
          <w:rFonts w:hint="eastAsia" w:ascii="新宋体" w:hAnsi="新宋体" w:eastAsia="新宋体" w:cs="新宋体"/>
          <w:b/>
          <w:bCs/>
          <w:color w:val="auto"/>
          <w:kern w:val="0"/>
          <w:sz w:val="28"/>
          <w:szCs w:val="28"/>
          <w:lang w:val="zh-CN"/>
        </w:rPr>
        <w:t>（盖章）</w:t>
      </w:r>
    </w:p>
    <w:p>
      <w:pPr>
        <w:adjustRightInd w:val="0"/>
        <w:snapToGrid w:val="0"/>
        <w:spacing w:line="360" w:lineRule="auto"/>
        <w:ind w:firstLine="281" w:firstLineChars="100"/>
        <w:jc w:val="left"/>
        <w:rPr>
          <w:rFonts w:hint="eastAsia" w:ascii="新宋体" w:hAnsi="新宋体" w:eastAsia="新宋体" w:cs="新宋体"/>
          <w:b/>
          <w:bCs/>
          <w:color w:val="auto"/>
          <w:kern w:val="0"/>
          <w:sz w:val="30"/>
          <w:szCs w:val="30"/>
          <w:u w:val="single"/>
          <w:lang w:val="zh-CN"/>
        </w:rPr>
      </w:pPr>
      <w:r>
        <w:rPr>
          <w:rFonts w:hint="eastAsia" w:ascii="新宋体" w:hAnsi="新宋体" w:eastAsia="新宋体" w:cs="新宋体"/>
          <w:b/>
          <w:bCs/>
          <w:color w:val="auto"/>
          <w:kern w:val="0"/>
          <w:sz w:val="28"/>
          <w:szCs w:val="28"/>
          <w:lang w:val="zh-CN"/>
        </w:rPr>
        <w:t>采购日期：</w:t>
      </w:r>
      <w:r>
        <w:rPr>
          <w:rFonts w:hint="eastAsia" w:ascii="新宋体" w:hAnsi="新宋体" w:eastAsia="新宋体" w:cs="新宋体"/>
          <w:b/>
          <w:bCs/>
          <w:color w:val="auto"/>
          <w:kern w:val="0"/>
          <w:sz w:val="28"/>
          <w:szCs w:val="28"/>
          <w:u w:val="single"/>
          <w:lang w:val="zh-CN"/>
        </w:rPr>
        <w:t xml:space="preserve">    </w:t>
      </w:r>
      <w:r>
        <w:rPr>
          <w:rFonts w:hint="eastAsia" w:ascii="新宋体" w:hAnsi="新宋体" w:eastAsia="新宋体" w:cs="新宋体"/>
          <w:b/>
          <w:bCs/>
          <w:color w:val="auto"/>
          <w:kern w:val="0"/>
          <w:sz w:val="28"/>
          <w:szCs w:val="28"/>
          <w:u w:val="single"/>
          <w:lang w:val="en-US" w:eastAsia="zh-CN"/>
        </w:rPr>
        <w:t xml:space="preserve">                             </w:t>
      </w:r>
      <w:r>
        <w:rPr>
          <w:rFonts w:hint="eastAsia" w:ascii="新宋体" w:hAnsi="新宋体" w:eastAsia="新宋体" w:cs="新宋体"/>
          <w:b/>
          <w:bCs/>
          <w:color w:val="auto"/>
          <w:kern w:val="0"/>
          <w:sz w:val="28"/>
          <w:szCs w:val="28"/>
          <w:u w:val="none"/>
          <w:lang w:val="en-US" w:eastAsia="zh-CN"/>
        </w:rPr>
        <w:t xml:space="preserve">     </w:t>
      </w:r>
      <w:r>
        <w:rPr>
          <w:rFonts w:hint="eastAsia" w:ascii="新宋体" w:hAnsi="新宋体" w:eastAsia="新宋体" w:cs="新宋体"/>
          <w:b/>
          <w:bCs/>
          <w:color w:val="auto"/>
          <w:kern w:val="0"/>
          <w:sz w:val="30"/>
          <w:szCs w:val="30"/>
          <w:u w:val="single"/>
          <w:lang w:val="zh-CN"/>
        </w:rPr>
        <w:br w:type="page"/>
      </w:r>
    </w:p>
    <w:p>
      <w:pPr>
        <w:autoSpaceDE w:val="0"/>
        <w:autoSpaceDN w:val="0"/>
        <w:adjustRightInd w:val="0"/>
        <w:spacing w:line="360" w:lineRule="auto"/>
        <w:jc w:val="left"/>
        <w:rPr>
          <w:rFonts w:hint="eastAsia" w:ascii="宋体" w:hAnsi="宋体" w:cs="宋体"/>
          <w:b/>
          <w:bCs/>
          <w:color w:val="auto"/>
          <w:kern w:val="0"/>
          <w:sz w:val="28"/>
          <w:szCs w:val="28"/>
        </w:rPr>
      </w:pPr>
      <w:r>
        <w:rPr>
          <w:rFonts w:hint="eastAsia" w:ascii="宋体" w:hAnsi="宋体" w:cs="宋体"/>
          <w:b/>
          <w:bCs/>
          <w:color w:val="auto"/>
          <w:kern w:val="0"/>
          <w:sz w:val="28"/>
          <w:szCs w:val="28"/>
          <w:lang w:val="zh-CN"/>
        </w:rPr>
        <w:t>采</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购</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人（以下简称甲方）：</w:t>
      </w:r>
    </w:p>
    <w:p>
      <w:pPr>
        <w:autoSpaceDE w:val="0"/>
        <w:autoSpaceDN w:val="0"/>
        <w:adjustRightInd w:val="0"/>
        <w:spacing w:line="360" w:lineRule="auto"/>
        <w:rPr>
          <w:rFonts w:hint="eastAsia" w:ascii="宋体" w:hAnsi="宋体" w:cs="宋体"/>
          <w:color w:val="auto"/>
          <w:kern w:val="0"/>
          <w:sz w:val="28"/>
          <w:szCs w:val="28"/>
        </w:rPr>
      </w:pPr>
      <w:r>
        <w:rPr>
          <w:rFonts w:hint="eastAsia" w:ascii="宋体" w:hAnsi="宋体" w:cs="宋体"/>
          <w:b/>
          <w:bCs/>
          <w:color w:val="auto"/>
          <w:kern w:val="0"/>
          <w:sz w:val="28"/>
          <w:szCs w:val="28"/>
        </w:rPr>
        <w:t>供 应 商</w:t>
      </w:r>
      <w:r>
        <w:rPr>
          <w:rFonts w:hint="eastAsia" w:ascii="宋体" w:hAnsi="宋体" w:cs="宋体"/>
          <w:b/>
          <w:bCs/>
          <w:color w:val="auto"/>
          <w:kern w:val="0"/>
          <w:sz w:val="28"/>
          <w:szCs w:val="28"/>
          <w:lang w:val="zh-CN"/>
        </w:rPr>
        <w:t>（以下简称乙方）：</w:t>
      </w:r>
    </w:p>
    <w:p>
      <w:pPr>
        <w:pStyle w:val="31"/>
        <w:rPr>
          <w:color w:val="auto"/>
          <w:lang w:val="zh-CN"/>
        </w:rPr>
      </w:pPr>
      <w:r>
        <w:rPr>
          <w:rFonts w:hint="eastAsia"/>
          <w:color w:val="auto"/>
          <w:lang w:val="zh-CN"/>
        </w:rPr>
        <w:t>合同</w:t>
      </w:r>
      <w:r>
        <w:rPr>
          <w:color w:val="auto"/>
          <w:lang w:val="zh-CN"/>
        </w:rPr>
        <w:t>范本</w:t>
      </w:r>
    </w:p>
    <w:p>
      <w:pPr>
        <w:spacing w:line="800" w:lineRule="exact"/>
        <w:rPr>
          <w:rFonts w:ascii="方正黑体简体" w:eastAsia="方正黑体简体"/>
          <w:color w:val="auto"/>
          <w:sz w:val="48"/>
          <w:szCs w:val="48"/>
        </w:rPr>
      </w:pPr>
    </w:p>
    <w:p>
      <w:pPr>
        <w:spacing w:line="800" w:lineRule="exact"/>
        <w:jc w:val="center"/>
        <w:rPr>
          <w:rFonts w:ascii="方正黑体简体" w:eastAsia="方正黑体简体"/>
          <w:color w:val="auto"/>
          <w:sz w:val="48"/>
          <w:szCs w:val="48"/>
        </w:rPr>
      </w:pPr>
      <w:r>
        <w:rPr>
          <w:rFonts w:hint="eastAsia" w:ascii="方正黑体简体" w:eastAsia="方正黑体简体"/>
          <w:color w:val="auto"/>
          <w:sz w:val="48"/>
          <w:szCs w:val="48"/>
        </w:rPr>
        <w:t>说   明</w:t>
      </w:r>
    </w:p>
    <w:p>
      <w:pPr>
        <w:spacing w:line="800" w:lineRule="exact"/>
        <w:ind w:firstLine="560" w:firstLineChars="200"/>
        <w:rPr>
          <w:color w:val="auto"/>
          <w:sz w:val="28"/>
          <w:szCs w:val="28"/>
        </w:rPr>
      </w:pPr>
    </w:p>
    <w:p>
      <w:pPr>
        <w:spacing w:line="800" w:lineRule="exact"/>
        <w:ind w:firstLine="420" w:firstLineChars="200"/>
        <w:rPr>
          <w:rFonts w:ascii="宋体" w:hAnsi="宋体"/>
          <w:color w:val="auto"/>
        </w:rPr>
      </w:pPr>
      <w:r>
        <w:rPr>
          <w:rFonts w:hint="eastAsia" w:ascii="宋体" w:hAnsi="宋体"/>
          <w:color w:val="auto"/>
        </w:rPr>
        <w:t>1、本合同根据《中华人民共和国合同法》及有关法律、法规的规定签订。</w:t>
      </w:r>
    </w:p>
    <w:p>
      <w:pPr>
        <w:spacing w:line="800" w:lineRule="exact"/>
        <w:ind w:firstLine="420" w:firstLineChars="200"/>
        <w:rPr>
          <w:rFonts w:ascii="宋体" w:hAnsi="宋体"/>
          <w:color w:val="auto"/>
        </w:rPr>
      </w:pPr>
      <w:r>
        <w:rPr>
          <w:rFonts w:hint="eastAsia" w:ascii="宋体" w:hAnsi="宋体"/>
          <w:color w:val="auto"/>
        </w:rPr>
        <w:t>2、本合同经委托方（甲方）、受托方（乙方）协商一致，由双方法定代表人或委托代理人签字并加盖公章（或合同专用章）后生效。</w:t>
      </w:r>
    </w:p>
    <w:p>
      <w:pPr>
        <w:spacing w:line="800" w:lineRule="exact"/>
        <w:ind w:firstLine="420" w:firstLineChars="200"/>
        <w:rPr>
          <w:rFonts w:ascii="宋体" w:hAnsi="宋体"/>
          <w:color w:val="auto"/>
        </w:rPr>
      </w:pPr>
      <w:r>
        <w:rPr>
          <w:rFonts w:hint="eastAsia" w:ascii="宋体" w:hAnsi="宋体"/>
          <w:color w:val="auto"/>
        </w:rPr>
        <w:t>3、合同内容具体明确项目标的内容、委托方（甲方）、受托方（乙方）的权责、义务关系等。</w:t>
      </w:r>
    </w:p>
    <w:p>
      <w:pPr>
        <w:spacing w:line="800" w:lineRule="exact"/>
        <w:ind w:firstLine="420" w:firstLineChars="200"/>
        <w:rPr>
          <w:rFonts w:ascii="宋体" w:hAnsi="宋体"/>
          <w:color w:val="auto"/>
        </w:rPr>
      </w:pPr>
      <w:r>
        <w:rPr>
          <w:rFonts w:hint="eastAsia" w:ascii="宋体" w:hAnsi="宋体"/>
          <w:color w:val="auto"/>
        </w:rPr>
        <w:t>4、合同中某些条款有列举备选序号的可直接在横线填写序号，如某些条款填写不下，可加附页。</w:t>
      </w:r>
    </w:p>
    <w:p>
      <w:pPr>
        <w:spacing w:line="800" w:lineRule="exact"/>
        <w:ind w:firstLine="420" w:firstLineChars="200"/>
        <w:rPr>
          <w:rFonts w:ascii="宋体" w:hAnsi="宋体"/>
          <w:color w:val="auto"/>
        </w:rPr>
      </w:pPr>
      <w:r>
        <w:rPr>
          <w:rFonts w:hint="eastAsia" w:ascii="宋体" w:hAnsi="宋体"/>
          <w:color w:val="auto"/>
        </w:rPr>
        <w:t>5、本合同壹式</w:t>
      </w:r>
      <w:r>
        <w:rPr>
          <w:rFonts w:hint="eastAsia" w:ascii="宋体" w:hAnsi="宋体"/>
          <w:color w:val="auto"/>
          <w:u w:val="single"/>
        </w:rPr>
        <w:t xml:space="preserve">     </w:t>
      </w:r>
      <w:r>
        <w:rPr>
          <w:rFonts w:hint="eastAsia" w:ascii="宋体" w:hAnsi="宋体"/>
          <w:color w:val="auto"/>
        </w:rPr>
        <w:t>份。</w:t>
      </w:r>
    </w:p>
    <w:p>
      <w:pPr>
        <w:spacing w:line="800" w:lineRule="exact"/>
        <w:ind w:firstLine="525" w:firstLineChars="250"/>
        <w:rPr>
          <w:rFonts w:ascii="宋体" w:hAnsi="宋体"/>
          <w:color w:val="auto"/>
        </w:rPr>
      </w:pPr>
      <w:r>
        <w:rPr>
          <w:rFonts w:hint="eastAsia" w:ascii="宋体" w:hAnsi="宋体"/>
          <w:color w:val="auto"/>
        </w:rPr>
        <w:t xml:space="preserve">  委  托  方</w:t>
      </w:r>
      <w:r>
        <w:rPr>
          <w:rFonts w:hint="eastAsia" w:ascii="宋体" w:hAnsi="宋体"/>
          <w:color w:val="auto"/>
          <w:u w:val="single"/>
        </w:rPr>
        <w:t xml:space="preserve">     </w:t>
      </w:r>
      <w:r>
        <w:rPr>
          <w:rFonts w:hint="eastAsia" w:ascii="宋体" w:hAnsi="宋体"/>
          <w:color w:val="auto"/>
        </w:rPr>
        <w:t>份。</w:t>
      </w:r>
    </w:p>
    <w:p>
      <w:pPr>
        <w:spacing w:line="800" w:lineRule="exact"/>
        <w:ind w:firstLine="420" w:firstLineChars="200"/>
        <w:rPr>
          <w:rFonts w:ascii="宋体" w:hAnsi="宋体"/>
          <w:color w:val="auto"/>
        </w:rPr>
      </w:pPr>
      <w:r>
        <w:rPr>
          <w:rFonts w:hint="eastAsia" w:ascii="宋体" w:hAnsi="宋体"/>
          <w:color w:val="auto"/>
        </w:rPr>
        <w:t xml:space="preserve">   受  托  方</w:t>
      </w:r>
      <w:r>
        <w:rPr>
          <w:rFonts w:hint="eastAsia" w:ascii="宋体" w:hAnsi="宋体"/>
          <w:color w:val="auto"/>
          <w:u w:val="single"/>
        </w:rPr>
        <w:t xml:space="preserve">     </w:t>
      </w:r>
      <w:r>
        <w:rPr>
          <w:rFonts w:hint="eastAsia" w:ascii="宋体" w:hAnsi="宋体"/>
          <w:color w:val="auto"/>
        </w:rPr>
        <w:t>份。</w:t>
      </w:r>
    </w:p>
    <w:p>
      <w:pPr>
        <w:spacing w:line="520" w:lineRule="exact"/>
        <w:ind w:firstLine="537" w:firstLineChars="192"/>
        <w:rPr>
          <w:rFonts w:ascii="黑体" w:hAnsi="宋体" w:eastAsia="黑体"/>
          <w:color w:val="auto"/>
          <w:sz w:val="28"/>
          <w:szCs w:val="28"/>
        </w:rPr>
      </w:pPr>
      <w:r>
        <w:rPr>
          <w:rFonts w:ascii="黑体" w:hAnsi="宋体" w:eastAsia="黑体"/>
          <w:color w:val="auto"/>
          <w:sz w:val="28"/>
          <w:szCs w:val="28"/>
        </w:rPr>
        <w:br w:type="page"/>
      </w:r>
      <w:r>
        <w:rPr>
          <w:rFonts w:hint="eastAsia" w:ascii="黑体" w:hAnsi="宋体" w:eastAsia="黑体"/>
          <w:color w:val="auto"/>
          <w:sz w:val="28"/>
          <w:szCs w:val="28"/>
        </w:rPr>
        <w:t>第一条：项目名称</w:t>
      </w:r>
      <w:r>
        <w:rPr>
          <w:rFonts w:hint="eastAsia" w:ascii="宋体" w:hAnsi="宋体"/>
          <w:b/>
          <w:color w:val="auto"/>
        </w:rPr>
        <w:t xml:space="preserve">                                                            </w:t>
      </w:r>
    </w:p>
    <w:p>
      <w:pPr>
        <w:spacing w:line="520" w:lineRule="exact"/>
        <w:ind w:firstLine="403" w:firstLineChars="192"/>
        <w:rPr>
          <w:rFonts w:ascii="宋体" w:hAnsi="宋体"/>
          <w:b/>
          <w:color w:val="auto"/>
        </w:rPr>
      </w:pPr>
      <w:r>
        <w:rPr>
          <w:rFonts w:hint="eastAsia" w:ascii="宋体" w:hAnsi="宋体"/>
          <w:color w:val="auto"/>
          <w:u w:val="single"/>
        </w:rPr>
        <w:t xml:space="preserve">                                                    </w:t>
      </w: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第二条：项目基本情况</w:t>
      </w:r>
    </w:p>
    <w:p>
      <w:pPr>
        <w:spacing w:line="520" w:lineRule="exact"/>
        <w:ind w:firstLine="405" w:firstLineChars="192"/>
        <w:rPr>
          <w:rFonts w:ascii="宋体" w:hAnsi="宋体"/>
          <w:b/>
          <w:color w:val="auto"/>
        </w:rPr>
      </w:pPr>
      <w:r>
        <w:rPr>
          <w:rFonts w:hint="eastAsia" w:ascii="宋体" w:hAnsi="宋体"/>
          <w:b/>
          <w:color w:val="auto"/>
        </w:rPr>
        <w:t>2.1 研究类</w:t>
      </w:r>
    </w:p>
    <w:p>
      <w:pPr>
        <w:spacing w:line="520" w:lineRule="exact"/>
        <w:ind w:firstLine="403" w:firstLineChars="192"/>
        <w:rPr>
          <w:rFonts w:ascii="宋体" w:hAnsi="宋体"/>
          <w:color w:val="auto"/>
        </w:rPr>
      </w:pPr>
      <w:r>
        <w:rPr>
          <w:rFonts w:hint="eastAsia" w:ascii="宋体" w:hAnsi="宋体"/>
          <w:color w:val="auto"/>
        </w:rPr>
        <w:t>2.1.1 项目名称</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2.1.2 项目深度（如：①研究报告、②发展规划、③课题研究、④专题研究、⑤实施方案、⑥申报方案、⑦策划报告等）</w:t>
      </w:r>
      <w:r>
        <w:rPr>
          <w:rFonts w:hint="eastAsia" w:ascii="宋体" w:hAnsi="宋体"/>
          <w:color w:val="auto"/>
          <w:u w:val="single"/>
        </w:rPr>
        <w:t xml:space="preserve">  </w:t>
      </w:r>
    </w:p>
    <w:p>
      <w:pPr>
        <w:spacing w:line="520" w:lineRule="exact"/>
        <w:ind w:firstLine="403" w:firstLineChars="192"/>
        <w:rPr>
          <w:rFonts w:ascii="宋体" w:hAnsi="宋体"/>
          <w:color w:val="auto"/>
          <w:u w:val="single"/>
        </w:rPr>
      </w:pPr>
      <w:r>
        <w:rPr>
          <w:rFonts w:hint="eastAsia" w:ascii="宋体" w:hAnsi="宋体"/>
          <w:color w:val="auto"/>
        </w:rPr>
        <w:t>2.1.3 项目范围</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2.1.4 项目规模</w:t>
      </w:r>
      <w:r>
        <w:rPr>
          <w:rFonts w:hint="eastAsia" w:ascii="宋体" w:hAnsi="宋体"/>
          <w:color w:val="auto"/>
          <w:u w:val="single"/>
        </w:rPr>
        <w:t xml:space="preserve">                                                     </w:t>
      </w:r>
    </w:p>
    <w:p>
      <w:pPr>
        <w:spacing w:line="520" w:lineRule="exact"/>
        <w:ind w:firstLine="405" w:firstLineChars="192"/>
        <w:rPr>
          <w:rFonts w:ascii="宋体" w:hAnsi="宋体"/>
          <w:b/>
          <w:color w:val="auto"/>
        </w:rPr>
      </w:pPr>
      <w:r>
        <w:rPr>
          <w:rFonts w:hint="eastAsia" w:ascii="宋体" w:hAnsi="宋体"/>
          <w:b/>
          <w:color w:val="auto"/>
        </w:rPr>
        <w:t>2.</w:t>
      </w:r>
      <w:r>
        <w:rPr>
          <w:rFonts w:ascii="宋体" w:hAnsi="宋体"/>
          <w:b/>
          <w:color w:val="auto"/>
        </w:rPr>
        <w:t>2</w:t>
      </w:r>
      <w:r>
        <w:rPr>
          <w:rFonts w:hint="eastAsia" w:ascii="宋体" w:hAnsi="宋体"/>
          <w:b/>
          <w:color w:val="auto"/>
        </w:rPr>
        <w:t xml:space="preserve"> 项目内容变更的解决</w:t>
      </w:r>
    </w:p>
    <w:p>
      <w:pPr>
        <w:spacing w:line="520" w:lineRule="exact"/>
        <w:ind w:firstLine="403" w:firstLineChars="192"/>
        <w:rPr>
          <w:rFonts w:ascii="宋体" w:hAnsi="宋体"/>
          <w:color w:val="auto"/>
        </w:rPr>
      </w:pPr>
      <w:r>
        <w:rPr>
          <w:rFonts w:hint="eastAsia" w:ascii="宋体" w:hAnsi="宋体"/>
          <w:color w:val="auto"/>
        </w:rPr>
        <w:t>合同生效后，项目基本情况发生变化的，按以下条款执行解决：</w:t>
      </w:r>
    </w:p>
    <w:p>
      <w:pPr>
        <w:spacing w:line="520" w:lineRule="exact"/>
        <w:ind w:firstLine="403" w:firstLineChars="192"/>
        <w:rPr>
          <w:rFonts w:ascii="宋体" w:hAnsi="宋体"/>
          <w:color w:val="auto"/>
        </w:rPr>
      </w:pPr>
      <w:r>
        <w:rPr>
          <w:rFonts w:hint="eastAsia" w:ascii="宋体" w:hAnsi="宋体"/>
          <w:color w:val="auto"/>
        </w:rPr>
        <w:t>2.</w:t>
      </w:r>
      <w:r>
        <w:rPr>
          <w:rFonts w:ascii="宋体" w:hAnsi="宋体"/>
          <w:color w:val="auto"/>
        </w:rPr>
        <w:t>2</w:t>
      </w:r>
      <w:r>
        <w:rPr>
          <w:rFonts w:hint="eastAsia" w:ascii="宋体" w:hAnsi="宋体"/>
          <w:color w:val="auto"/>
        </w:rPr>
        <w:t>.1 项目类型、深度及范围发生变化的</w:t>
      </w:r>
    </w:p>
    <w:p>
      <w:pPr>
        <w:spacing w:line="520" w:lineRule="exact"/>
        <w:ind w:firstLine="472" w:firstLineChars="225"/>
        <w:rPr>
          <w:rFonts w:ascii="宋体" w:hAnsi="宋体"/>
          <w:color w:val="auto"/>
        </w:rPr>
      </w:pPr>
      <w:r>
        <w:rPr>
          <w:rFonts w:hint="eastAsia" w:ascii="宋体" w:hAnsi="宋体"/>
          <w:color w:val="auto"/>
        </w:rPr>
        <w:t>A.如项目尚未实质启动（乙方未赴甲方实地开展调研），双方协商按照新的项目要求执行，并补充签订合同；</w:t>
      </w:r>
    </w:p>
    <w:p>
      <w:pPr>
        <w:spacing w:line="520" w:lineRule="exact"/>
        <w:ind w:firstLine="472" w:firstLineChars="225"/>
        <w:rPr>
          <w:rFonts w:ascii="宋体" w:hAnsi="宋体"/>
          <w:color w:val="auto"/>
        </w:rPr>
      </w:pPr>
      <w:r>
        <w:rPr>
          <w:rFonts w:hint="eastAsia" w:ascii="宋体" w:hAnsi="宋体"/>
          <w:color w:val="auto"/>
        </w:rPr>
        <w:t>B.如项目已实质启动，甲方向乙方支付完当期应付费用后，补充签订合同变更协议后，按照变更后新的合同要求执行；</w:t>
      </w:r>
    </w:p>
    <w:p>
      <w:pPr>
        <w:spacing w:line="520" w:lineRule="exact"/>
        <w:ind w:firstLine="472" w:firstLineChars="225"/>
        <w:rPr>
          <w:rFonts w:ascii="宋体" w:hAnsi="宋体"/>
          <w:color w:val="auto"/>
        </w:rPr>
      </w:pPr>
      <w:r>
        <w:rPr>
          <w:rFonts w:hint="eastAsia" w:ascii="宋体" w:hAnsi="宋体"/>
          <w:color w:val="auto"/>
        </w:rPr>
        <w:t>C.如项目送审稿完成的，甲方应向乙方支付完合同费用后，另行签订新的项目，按照新的要求执行。</w:t>
      </w:r>
    </w:p>
    <w:p>
      <w:pPr>
        <w:spacing w:line="520" w:lineRule="exact"/>
        <w:ind w:firstLine="403" w:firstLineChars="192"/>
        <w:rPr>
          <w:rFonts w:ascii="宋体" w:hAnsi="宋体"/>
          <w:color w:val="auto"/>
        </w:rPr>
      </w:pPr>
      <w:r>
        <w:rPr>
          <w:rFonts w:hint="eastAsia" w:ascii="宋体" w:hAnsi="宋体"/>
          <w:color w:val="auto"/>
        </w:rPr>
        <w:t>2.</w:t>
      </w:r>
      <w:r>
        <w:rPr>
          <w:rFonts w:ascii="宋体" w:hAnsi="宋体"/>
          <w:color w:val="auto"/>
        </w:rPr>
        <w:t>2</w:t>
      </w:r>
      <w:r>
        <w:rPr>
          <w:rFonts w:hint="eastAsia" w:ascii="宋体" w:hAnsi="宋体"/>
          <w:color w:val="auto"/>
        </w:rPr>
        <w:t>.2 项目规模发生变化的</w:t>
      </w:r>
    </w:p>
    <w:p>
      <w:pPr>
        <w:spacing w:line="520" w:lineRule="exact"/>
        <w:ind w:firstLine="403" w:firstLineChars="192"/>
        <w:rPr>
          <w:rFonts w:ascii="宋体" w:hAnsi="宋体"/>
          <w:color w:val="auto"/>
        </w:rPr>
      </w:pPr>
      <w:r>
        <w:rPr>
          <w:rFonts w:hint="eastAsia" w:ascii="宋体" w:hAnsi="宋体"/>
          <w:color w:val="auto"/>
        </w:rPr>
        <w:t>合同若以规模面积为合同额计费依据的，在项目过程中，发生项目规模变化的，如最后实际规模与合同约定规模相差5—10%及以内，按照合同执行；如相差5—10%以上，双方按照合同单价标准增减合同费用，并补充签订合同变更协议。其中，规划误差按照10%计算，设计按5%计算。</w:t>
      </w:r>
    </w:p>
    <w:p>
      <w:pPr>
        <w:spacing w:line="520" w:lineRule="exact"/>
        <w:ind w:firstLine="403" w:firstLineChars="192"/>
        <w:rPr>
          <w:rFonts w:ascii="宋体" w:hAnsi="宋体"/>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第三条：项目框架内容或大纲</w:t>
      </w:r>
    </w:p>
    <w:p>
      <w:pPr>
        <w:spacing w:line="520" w:lineRule="exact"/>
        <w:ind w:firstLine="405" w:firstLineChars="192"/>
        <w:rPr>
          <w:rFonts w:ascii="宋体" w:hAnsi="宋体"/>
          <w:b/>
          <w:color w:val="auto"/>
        </w:rPr>
      </w:pPr>
      <w:r>
        <w:rPr>
          <w:rFonts w:hint="eastAsia" w:ascii="宋体" w:hAnsi="宋体"/>
          <w:b/>
          <w:color w:val="auto"/>
        </w:rPr>
        <w:t>3.1 框架内容或大纲</w:t>
      </w:r>
    </w:p>
    <w:p>
      <w:pPr>
        <w:spacing w:line="520" w:lineRule="exact"/>
        <w:ind w:firstLine="403" w:firstLineChars="192"/>
        <w:rPr>
          <w:rFonts w:ascii="宋体" w:hAnsi="宋体"/>
          <w:color w:val="auto"/>
        </w:rPr>
      </w:pPr>
      <w:r>
        <w:rPr>
          <w:rFonts w:hint="eastAsia" w:ascii="宋体" w:hAnsi="宋体"/>
          <w:color w:val="auto"/>
        </w:rPr>
        <w:t>见附件</w:t>
      </w:r>
    </w:p>
    <w:p>
      <w:pPr>
        <w:spacing w:line="520" w:lineRule="exact"/>
        <w:ind w:firstLine="405" w:firstLineChars="192"/>
        <w:rPr>
          <w:rFonts w:ascii="宋体" w:hAnsi="宋体"/>
          <w:b/>
          <w:color w:val="auto"/>
        </w:rPr>
      </w:pPr>
      <w:r>
        <w:rPr>
          <w:rFonts w:hint="eastAsia" w:ascii="宋体" w:hAnsi="宋体"/>
          <w:b/>
          <w:color w:val="auto"/>
        </w:rPr>
        <w:t>3.2 成果标准要求</w:t>
      </w:r>
    </w:p>
    <w:p>
      <w:pPr>
        <w:spacing w:line="520" w:lineRule="exact"/>
        <w:ind w:firstLine="403" w:firstLineChars="192"/>
        <w:rPr>
          <w:rFonts w:ascii="宋体" w:hAnsi="宋体"/>
          <w:color w:val="auto"/>
        </w:rPr>
      </w:pPr>
      <w:r>
        <w:rPr>
          <w:rFonts w:hint="eastAsia" w:ascii="宋体" w:hAnsi="宋体"/>
          <w:color w:val="auto"/>
        </w:rPr>
        <w:t>见附件</w:t>
      </w:r>
    </w:p>
    <w:p>
      <w:pPr>
        <w:spacing w:line="520" w:lineRule="exact"/>
        <w:ind w:firstLine="537" w:firstLineChars="192"/>
        <w:rPr>
          <w:rFonts w:ascii="黑体" w:hAnsi="宋体" w:eastAsia="黑体"/>
          <w:color w:val="auto"/>
          <w:sz w:val="28"/>
          <w:szCs w:val="28"/>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第四条：项目组成立及职责分工</w:t>
      </w:r>
    </w:p>
    <w:p>
      <w:pPr>
        <w:spacing w:line="520" w:lineRule="exact"/>
        <w:ind w:firstLine="405" w:firstLineChars="192"/>
        <w:rPr>
          <w:rFonts w:ascii="宋体" w:hAnsi="宋体"/>
          <w:b/>
          <w:color w:val="auto"/>
        </w:rPr>
      </w:pPr>
      <w:r>
        <w:rPr>
          <w:rFonts w:hint="eastAsia" w:ascii="宋体" w:hAnsi="宋体"/>
          <w:b/>
          <w:color w:val="auto"/>
        </w:rPr>
        <w:t>4.1 项目组成立及主要人员确定</w:t>
      </w:r>
    </w:p>
    <w:p>
      <w:pPr>
        <w:spacing w:line="520" w:lineRule="exact"/>
        <w:ind w:firstLine="403" w:firstLineChars="192"/>
        <w:rPr>
          <w:rFonts w:ascii="宋体" w:hAnsi="宋体"/>
          <w:color w:val="auto"/>
        </w:rPr>
      </w:pPr>
      <w:r>
        <w:rPr>
          <w:rFonts w:hint="eastAsia" w:ascii="宋体" w:hAnsi="宋体"/>
          <w:color w:val="auto"/>
        </w:rPr>
        <w:t>甲乙双方组织相关人员共同组成“</w:t>
      </w:r>
      <w:r>
        <w:rPr>
          <w:rFonts w:hint="eastAsia" w:ascii="宋体" w:hAnsi="宋体"/>
          <w:color w:val="auto"/>
          <w:u w:val="single"/>
        </w:rPr>
        <w:t xml:space="preserve">                                 </w:t>
      </w:r>
      <w:r>
        <w:rPr>
          <w:rFonts w:hint="eastAsia" w:ascii="宋体" w:hAnsi="宋体"/>
          <w:color w:val="auto"/>
        </w:rPr>
        <w:t>项目组”，并安排对应部门专人负责项目衔接组织与实施。</w:t>
      </w:r>
    </w:p>
    <w:p>
      <w:pPr>
        <w:spacing w:line="520" w:lineRule="exact"/>
        <w:ind w:firstLine="403" w:firstLineChars="192"/>
        <w:rPr>
          <w:rFonts w:ascii="宋体" w:hAnsi="宋体"/>
          <w:color w:val="auto"/>
        </w:rPr>
      </w:pPr>
      <w:r>
        <w:rPr>
          <w:rFonts w:hint="eastAsia" w:ascii="宋体" w:hAnsi="宋体"/>
          <w:color w:val="auto"/>
        </w:rPr>
        <w:t>4.</w:t>
      </w:r>
      <w:r>
        <w:rPr>
          <w:rFonts w:ascii="宋体" w:hAnsi="宋体"/>
          <w:color w:val="auto"/>
        </w:rPr>
        <w:t>1.1</w:t>
      </w:r>
      <w:r>
        <w:rPr>
          <w:rFonts w:hint="eastAsia" w:ascii="宋体" w:hAnsi="宋体"/>
          <w:color w:val="auto"/>
        </w:rPr>
        <w:t xml:space="preserve"> 甲方项目牵头人及联系方式：</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 xml:space="preserve"> </w:t>
      </w:r>
    </w:p>
    <w:p>
      <w:pPr>
        <w:spacing w:line="520" w:lineRule="exact"/>
        <w:ind w:firstLine="403" w:firstLineChars="192"/>
        <w:rPr>
          <w:rFonts w:ascii="宋体" w:hAnsi="宋体"/>
          <w:color w:val="auto"/>
          <w:u w:val="single"/>
        </w:rPr>
      </w:pPr>
      <w:r>
        <w:rPr>
          <w:rFonts w:hint="eastAsia" w:ascii="宋体" w:hAnsi="宋体"/>
          <w:color w:val="auto"/>
        </w:rPr>
        <w:t>项目联系人及联系方式：</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4</w:t>
      </w:r>
      <w:r>
        <w:rPr>
          <w:rFonts w:ascii="宋体" w:hAnsi="宋体"/>
          <w:color w:val="auto"/>
        </w:rPr>
        <w:t>.1.2</w:t>
      </w:r>
      <w:r>
        <w:rPr>
          <w:rFonts w:hint="eastAsia" w:ascii="宋体" w:hAnsi="宋体"/>
          <w:color w:val="auto"/>
        </w:rPr>
        <w:t xml:space="preserve"> 乙方项目牵头人及联系方式：</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项目联系人及联系方式：</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4</w:t>
      </w:r>
      <w:r>
        <w:rPr>
          <w:rFonts w:ascii="宋体" w:hAnsi="宋体"/>
          <w:color w:val="auto"/>
        </w:rPr>
        <w:t>.1.3</w:t>
      </w:r>
      <w:r>
        <w:rPr>
          <w:rFonts w:hint="eastAsia" w:ascii="宋体" w:hAnsi="宋体"/>
          <w:color w:val="auto"/>
        </w:rPr>
        <w:t xml:space="preserve"> 为保证项目信息沟通畅通，如甲乙双方在项目进行期间出现负责人或联系人变动情况，应以书面形式告知对方。</w:t>
      </w:r>
    </w:p>
    <w:p>
      <w:pPr>
        <w:spacing w:line="520" w:lineRule="exact"/>
        <w:ind w:firstLine="405" w:firstLineChars="192"/>
        <w:rPr>
          <w:rFonts w:ascii="宋体" w:hAnsi="宋体"/>
          <w:b/>
          <w:color w:val="auto"/>
        </w:rPr>
      </w:pPr>
      <w:r>
        <w:rPr>
          <w:rFonts w:hint="eastAsia" w:ascii="宋体" w:hAnsi="宋体"/>
          <w:b/>
          <w:color w:val="auto"/>
        </w:rPr>
        <w:t xml:space="preserve">4.2项目组职责和分工 </w:t>
      </w:r>
    </w:p>
    <w:p>
      <w:pPr>
        <w:spacing w:line="520" w:lineRule="exact"/>
        <w:ind w:firstLine="403" w:firstLineChars="192"/>
        <w:rPr>
          <w:rFonts w:ascii="宋体" w:hAnsi="宋体"/>
          <w:color w:val="auto"/>
        </w:rPr>
      </w:pPr>
      <w:r>
        <w:rPr>
          <w:rFonts w:hint="eastAsia" w:ascii="宋体" w:hAnsi="宋体"/>
          <w:color w:val="auto"/>
        </w:rPr>
        <w:t>4.2.1甲方职责分工</w:t>
      </w:r>
    </w:p>
    <w:p>
      <w:pPr>
        <w:spacing w:line="520" w:lineRule="exact"/>
        <w:ind w:firstLine="403" w:firstLineChars="192"/>
        <w:rPr>
          <w:rFonts w:ascii="宋体" w:hAnsi="宋体"/>
          <w:color w:val="auto"/>
        </w:rPr>
      </w:pPr>
      <w:r>
        <w:rPr>
          <w:rFonts w:hint="eastAsia" w:ascii="宋体" w:hAnsi="宋体"/>
          <w:color w:val="auto"/>
        </w:rPr>
        <w:t>A.按照乙方提供的资料清单及要求，为乙方提供涉及项目内容的相关基础信息资料，并确保所提供资料信息的真实性和有效性；</w:t>
      </w:r>
    </w:p>
    <w:p>
      <w:pPr>
        <w:spacing w:line="520" w:lineRule="exact"/>
        <w:ind w:firstLine="403" w:firstLineChars="192"/>
        <w:rPr>
          <w:rFonts w:ascii="宋体" w:hAnsi="宋体"/>
          <w:color w:val="auto"/>
        </w:rPr>
      </w:pPr>
      <w:r>
        <w:rPr>
          <w:rFonts w:hint="eastAsia" w:ascii="宋体" w:hAnsi="宋体"/>
          <w:color w:val="auto"/>
        </w:rPr>
        <w:t>B.按照乙方提供的工作计划安排，为乙方组织召开项目启动会、安排部门调研、领导访谈、项目汇报、组织评审等工作；</w:t>
      </w:r>
    </w:p>
    <w:p>
      <w:pPr>
        <w:spacing w:line="520" w:lineRule="exact"/>
        <w:ind w:firstLine="403" w:firstLineChars="192"/>
        <w:rPr>
          <w:rFonts w:ascii="宋体" w:hAnsi="宋体"/>
          <w:color w:val="auto"/>
        </w:rPr>
      </w:pPr>
      <w:r>
        <w:rPr>
          <w:rFonts w:hint="eastAsia" w:ascii="宋体" w:hAnsi="宋体"/>
          <w:color w:val="auto"/>
        </w:rPr>
        <w:t>C.对乙方完成的项目成果及时进行初步审查、论证确认，并书面反馈意见；</w:t>
      </w:r>
    </w:p>
    <w:p>
      <w:pPr>
        <w:spacing w:line="520" w:lineRule="exact"/>
        <w:ind w:firstLine="403" w:firstLineChars="192"/>
        <w:rPr>
          <w:rFonts w:ascii="宋体" w:hAnsi="宋体"/>
          <w:color w:val="auto"/>
        </w:rPr>
      </w:pPr>
      <w:r>
        <w:rPr>
          <w:rFonts w:hint="eastAsia" w:ascii="宋体" w:hAnsi="宋体"/>
          <w:color w:val="auto"/>
        </w:rPr>
        <w:t>D.按照合同约定及项目进度，依次向乙方支付项目款。</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4.2.2乙方职责分工</w:t>
      </w:r>
    </w:p>
    <w:p>
      <w:pPr>
        <w:spacing w:line="520" w:lineRule="exact"/>
        <w:ind w:firstLine="403" w:firstLineChars="192"/>
        <w:rPr>
          <w:rFonts w:ascii="宋体" w:hAnsi="宋体"/>
          <w:color w:val="auto"/>
        </w:rPr>
      </w:pPr>
      <w:r>
        <w:rPr>
          <w:rFonts w:hint="eastAsia" w:ascii="宋体" w:hAnsi="宋体"/>
          <w:color w:val="auto"/>
        </w:rPr>
        <w:t>A.为甲方提供涉及项目所需的资料清单；</w:t>
      </w:r>
    </w:p>
    <w:p>
      <w:pPr>
        <w:spacing w:line="520" w:lineRule="exact"/>
        <w:ind w:firstLine="403" w:firstLineChars="192"/>
        <w:rPr>
          <w:rFonts w:ascii="宋体" w:hAnsi="宋体"/>
          <w:color w:val="auto"/>
        </w:rPr>
      </w:pPr>
      <w:r>
        <w:rPr>
          <w:rFonts w:hint="eastAsia" w:ascii="宋体" w:hAnsi="宋体"/>
          <w:color w:val="auto"/>
        </w:rPr>
        <w:t>B.为甲方提供项目总体工作计划安排和阶段工作计划安排；</w:t>
      </w:r>
    </w:p>
    <w:p>
      <w:pPr>
        <w:spacing w:line="520" w:lineRule="exact"/>
        <w:ind w:firstLine="403" w:firstLineChars="192"/>
        <w:rPr>
          <w:rFonts w:ascii="宋体" w:hAnsi="宋体"/>
          <w:color w:val="auto"/>
        </w:rPr>
      </w:pPr>
      <w:r>
        <w:rPr>
          <w:rFonts w:hint="eastAsia" w:ascii="宋体" w:hAnsi="宋体"/>
          <w:color w:val="auto"/>
        </w:rPr>
        <w:t>C.根据项目进度安排及甲方付款情况，组织项目组人员参加项目启动会，开展项目调研，提交并进行项目征求意见稿、送审稿的汇报工作；</w:t>
      </w:r>
    </w:p>
    <w:p>
      <w:pPr>
        <w:spacing w:line="520" w:lineRule="exact"/>
        <w:ind w:firstLine="403" w:firstLineChars="192"/>
        <w:rPr>
          <w:rFonts w:ascii="宋体" w:hAnsi="宋体"/>
          <w:color w:val="auto"/>
        </w:rPr>
      </w:pPr>
      <w:r>
        <w:rPr>
          <w:rFonts w:hint="eastAsia" w:ascii="宋体" w:hAnsi="宋体"/>
          <w:color w:val="auto"/>
        </w:rPr>
        <w:t>D.根据甲方书面反馈意见对项目成果进行修改完善。</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472" w:firstLineChars="224"/>
        <w:rPr>
          <w:rFonts w:ascii="宋体" w:hAnsi="宋体"/>
          <w:b/>
          <w:color w:val="auto"/>
        </w:rPr>
      </w:pPr>
      <w:r>
        <w:rPr>
          <w:rFonts w:hint="eastAsia" w:ascii="宋体" w:hAnsi="宋体"/>
          <w:b/>
          <w:color w:val="auto"/>
        </w:rPr>
        <w:t>4.3 可能引起的争议解决</w:t>
      </w:r>
    </w:p>
    <w:p>
      <w:pPr>
        <w:spacing w:line="520" w:lineRule="exact"/>
        <w:ind w:firstLine="470" w:firstLineChars="224"/>
        <w:rPr>
          <w:rFonts w:ascii="宋体" w:hAnsi="宋体"/>
          <w:color w:val="auto"/>
        </w:rPr>
      </w:pPr>
      <w:r>
        <w:rPr>
          <w:rFonts w:hint="eastAsia" w:ascii="宋体" w:hAnsi="宋体"/>
          <w:color w:val="auto"/>
        </w:rPr>
        <w:t>4.3.1 若甲方未按4.2.1之要求履行配合义务，影响项目成果交付时间的，相应项目成果交付时间顺延；致使合同不能履行的，乙方有权解除合同。甲方应向乙方支付当期进度全部应付款。</w:t>
      </w:r>
    </w:p>
    <w:p>
      <w:pPr>
        <w:spacing w:line="520" w:lineRule="exact"/>
        <w:ind w:firstLine="470" w:firstLineChars="224"/>
        <w:rPr>
          <w:rFonts w:ascii="宋体" w:hAnsi="宋体"/>
          <w:color w:val="auto"/>
        </w:rPr>
      </w:pPr>
      <w:r>
        <w:rPr>
          <w:rFonts w:hint="eastAsia" w:ascii="宋体" w:hAnsi="宋体"/>
          <w:color w:val="auto"/>
        </w:rPr>
        <w:t>4.3.2 若因乙方安排原因，影响项目成果交付时间的，责任由乙方承担并向甲方支付相应补偿费用（补偿费用标准为：合同额的1‰×影响天数）；致使合同不能履行的，乙方退还当期阶段项目费用。</w:t>
      </w:r>
    </w:p>
    <w:p>
      <w:pPr>
        <w:spacing w:line="520" w:lineRule="exact"/>
        <w:ind w:firstLine="537" w:firstLineChars="192"/>
        <w:rPr>
          <w:rFonts w:ascii="黑体" w:hAnsi="宋体" w:eastAsia="黑体"/>
          <w:color w:val="auto"/>
          <w:sz w:val="28"/>
          <w:szCs w:val="28"/>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第五条：项目资料提供及保管</w:t>
      </w:r>
    </w:p>
    <w:p>
      <w:pPr>
        <w:spacing w:line="520" w:lineRule="exact"/>
        <w:ind w:firstLine="405" w:firstLineChars="192"/>
        <w:rPr>
          <w:rFonts w:ascii="宋体" w:hAnsi="宋体"/>
          <w:b/>
          <w:color w:val="auto"/>
        </w:rPr>
      </w:pPr>
      <w:r>
        <w:rPr>
          <w:rFonts w:hint="eastAsia" w:ascii="宋体" w:hAnsi="宋体"/>
          <w:b/>
          <w:color w:val="auto"/>
        </w:rPr>
        <w:t>5.1 项目资料提供</w:t>
      </w:r>
    </w:p>
    <w:p>
      <w:pPr>
        <w:spacing w:line="520" w:lineRule="exact"/>
        <w:ind w:firstLine="403" w:firstLineChars="192"/>
        <w:rPr>
          <w:rFonts w:ascii="宋体" w:hAnsi="宋体"/>
          <w:color w:val="auto"/>
        </w:rPr>
      </w:pPr>
      <w:r>
        <w:rPr>
          <w:rFonts w:hint="eastAsia" w:ascii="宋体" w:hAnsi="宋体"/>
          <w:color w:val="auto"/>
        </w:rPr>
        <w:t>5.1.1 甲方为乙方提供资料形式（如：①电子版、②纸质版、③语音资料、④影像资料等）</w:t>
      </w:r>
      <w:r>
        <w:rPr>
          <w:rFonts w:hint="eastAsia" w:ascii="宋体" w:hAnsi="宋体"/>
          <w:color w:val="auto"/>
          <w:u w:val="single"/>
        </w:rPr>
        <w:t xml:space="preserve">                                                       </w:t>
      </w:r>
    </w:p>
    <w:p>
      <w:pPr>
        <w:spacing w:line="520" w:lineRule="exact"/>
        <w:ind w:firstLine="403" w:firstLineChars="192"/>
        <w:rPr>
          <w:rFonts w:ascii="宋体" w:hAnsi="宋体"/>
          <w:color w:val="auto"/>
          <w:u w:val="single"/>
        </w:rPr>
      </w:pPr>
      <w:r>
        <w:rPr>
          <w:rFonts w:hint="eastAsia" w:ascii="宋体" w:hAnsi="宋体"/>
          <w:color w:val="auto"/>
        </w:rPr>
        <w:t>5.1.2 甲方为乙方提供项目深度所需要的地形图（如：①1:10000、②1:5000         ③1:2000、④1:1000、⑤1:500等）</w:t>
      </w:r>
      <w:r>
        <w:rPr>
          <w:rFonts w:hint="eastAsia" w:ascii="宋体" w:hAnsi="宋体"/>
          <w:color w:val="auto"/>
          <w:u w:val="single"/>
        </w:rPr>
        <w:t xml:space="preserve">                                      </w:t>
      </w:r>
    </w:p>
    <w:p>
      <w:pPr>
        <w:spacing w:line="520" w:lineRule="exact"/>
        <w:ind w:firstLine="405" w:firstLineChars="192"/>
        <w:rPr>
          <w:rFonts w:ascii="宋体" w:hAnsi="宋体"/>
          <w:b/>
          <w:color w:val="auto"/>
        </w:rPr>
      </w:pPr>
      <w:r>
        <w:rPr>
          <w:rFonts w:hint="eastAsia" w:ascii="宋体" w:hAnsi="宋体"/>
          <w:b/>
          <w:color w:val="auto"/>
        </w:rPr>
        <w:t>5.2 项目资料保管</w:t>
      </w:r>
    </w:p>
    <w:p>
      <w:pPr>
        <w:spacing w:line="520" w:lineRule="exact"/>
        <w:ind w:firstLine="403" w:firstLineChars="192"/>
        <w:rPr>
          <w:rFonts w:ascii="宋体" w:hAnsi="宋体"/>
          <w:color w:val="auto"/>
        </w:rPr>
      </w:pPr>
      <w:r>
        <w:rPr>
          <w:rFonts w:hint="eastAsia" w:ascii="宋体" w:hAnsi="宋体"/>
          <w:color w:val="auto"/>
        </w:rPr>
        <w:t>乙方专人负责妥善保管甲方提供的所有资料信息。对于甲方提供的资料以资料清单方式一式俩份，双方项目联系人签字确认，并明确资料归还明细，对于需要归还的资料，乙方在项目结束定稿提交后8个工作日之内及时向甲方归还。</w:t>
      </w:r>
    </w:p>
    <w:p>
      <w:pPr>
        <w:spacing w:line="520" w:lineRule="exact"/>
        <w:ind w:firstLine="405" w:firstLineChars="192"/>
        <w:rPr>
          <w:rFonts w:ascii="宋体" w:hAnsi="宋体"/>
          <w:b/>
          <w:color w:val="auto"/>
        </w:rPr>
      </w:pPr>
      <w:r>
        <w:rPr>
          <w:rFonts w:hint="eastAsia" w:ascii="宋体" w:hAnsi="宋体"/>
          <w:b/>
          <w:color w:val="auto"/>
        </w:rPr>
        <w:t>5.3 可能引起的争议解决</w:t>
      </w:r>
    </w:p>
    <w:p>
      <w:pPr>
        <w:spacing w:line="520" w:lineRule="exact"/>
        <w:ind w:firstLine="403" w:firstLineChars="192"/>
        <w:rPr>
          <w:rFonts w:ascii="宋体" w:hAnsi="宋体"/>
          <w:color w:val="auto"/>
        </w:rPr>
      </w:pPr>
      <w:r>
        <w:rPr>
          <w:rFonts w:hint="eastAsia" w:ascii="宋体" w:hAnsi="宋体"/>
          <w:color w:val="auto"/>
        </w:rPr>
        <w:t>5.3.1 若因甲方资料提供不及时、不完整、不真实、不符合要求，影响项目成果交付时间的，相应项目合同成果交付时间顺延；致使合同不能履行的，乙方有权解除合同，甲方应向乙方支付当期进度全部应付款。</w:t>
      </w:r>
    </w:p>
    <w:p>
      <w:pPr>
        <w:spacing w:line="520" w:lineRule="exact"/>
        <w:ind w:firstLine="403" w:firstLineChars="192"/>
        <w:rPr>
          <w:rFonts w:ascii="宋体" w:hAnsi="宋体"/>
          <w:color w:val="auto"/>
        </w:rPr>
      </w:pPr>
      <w:r>
        <w:rPr>
          <w:rFonts w:hint="eastAsia" w:ascii="宋体" w:hAnsi="宋体"/>
          <w:color w:val="auto"/>
        </w:rPr>
        <w:t>5.3.2 若项目以选址、范围及相应地形图等最基础资料为项目启动条件的，因甲方原因不能按照技术规范要求提供而影响项目成果交付时间的，相应项目成果交付时间顺延；致使合同不能履行的，乙方有权解除合同，甲方应向乙方支付当期进度全部应付款。</w:t>
      </w:r>
    </w:p>
    <w:p>
      <w:pPr>
        <w:spacing w:line="520" w:lineRule="exact"/>
        <w:ind w:firstLine="403" w:firstLineChars="192"/>
        <w:rPr>
          <w:rFonts w:ascii="宋体" w:hAnsi="宋体"/>
          <w:color w:val="auto"/>
        </w:rPr>
      </w:pPr>
      <w:r>
        <w:rPr>
          <w:rFonts w:hint="eastAsia" w:ascii="宋体" w:hAnsi="宋体"/>
          <w:color w:val="auto"/>
        </w:rPr>
        <w:t>5.3.3 若因乙方收集资料清单未及时提供，影响项目成果交付时间，责任由乙方承担并向甲方支付相应补偿费用（补偿费用标准为：合同额的1‰×影响天数）；资料保管出现应还资料丢失的，乙方向甲方按照资料原价（或双方协商金额）赔偿。</w:t>
      </w:r>
    </w:p>
    <w:p>
      <w:pPr>
        <w:spacing w:line="520" w:lineRule="exact"/>
        <w:ind w:firstLine="403" w:firstLineChars="192"/>
        <w:rPr>
          <w:rFonts w:ascii="宋体" w:hAnsi="宋体"/>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第六条：项目进度及成果提交</w:t>
      </w:r>
    </w:p>
    <w:p>
      <w:pPr>
        <w:spacing w:line="520" w:lineRule="exact"/>
        <w:ind w:firstLine="405" w:firstLineChars="192"/>
        <w:rPr>
          <w:rFonts w:ascii="宋体" w:hAnsi="宋体"/>
          <w:color w:val="auto"/>
        </w:rPr>
      </w:pPr>
      <w:r>
        <w:rPr>
          <w:rFonts w:hint="eastAsia" w:ascii="宋体" w:hAnsi="宋体"/>
          <w:b/>
          <w:color w:val="auto"/>
        </w:rPr>
        <w:t>6.1 项目计划完成时间：</w:t>
      </w:r>
      <w:r>
        <w:rPr>
          <w:rFonts w:hint="eastAsia" w:ascii="宋体" w:hAnsi="宋体"/>
          <w:color w:val="auto"/>
          <w:u w:val="single"/>
          <w:lang w:val="en-US" w:eastAsia="zh-CN"/>
        </w:rPr>
        <w:t>2020年12月30号前</w:t>
      </w:r>
      <w:r>
        <w:rPr>
          <w:rFonts w:hint="eastAsia" w:ascii="宋体" w:hAnsi="宋体"/>
          <w:color w:val="auto"/>
        </w:rPr>
        <w:t>。</w:t>
      </w:r>
    </w:p>
    <w:p>
      <w:pPr>
        <w:spacing w:line="520" w:lineRule="exact"/>
        <w:ind w:firstLine="405" w:firstLineChars="192"/>
        <w:rPr>
          <w:rFonts w:ascii="宋体" w:hAnsi="宋体"/>
          <w:b/>
          <w:color w:val="auto"/>
        </w:rPr>
      </w:pPr>
      <w:r>
        <w:rPr>
          <w:rFonts w:hint="eastAsia" w:ascii="宋体" w:hAnsi="宋体"/>
          <w:b/>
          <w:color w:val="auto"/>
        </w:rPr>
        <w:t>6.2 进度安排</w:t>
      </w:r>
    </w:p>
    <w:p>
      <w:pPr>
        <w:spacing w:line="520" w:lineRule="exact"/>
        <w:ind w:firstLine="403" w:firstLineChars="192"/>
        <w:rPr>
          <w:rFonts w:ascii="宋体" w:hAnsi="宋体"/>
          <w:color w:val="auto"/>
        </w:rPr>
      </w:pPr>
      <w:r>
        <w:rPr>
          <w:rFonts w:hint="eastAsia" w:ascii="宋体" w:hAnsi="宋体"/>
          <w:color w:val="auto"/>
        </w:rPr>
        <w:t>6.2.1 本合同签订后，甲方支付合同约定的首付款后，</w:t>
      </w:r>
      <w:r>
        <w:rPr>
          <w:rFonts w:hint="eastAsia"/>
          <w:color w:val="auto"/>
        </w:rPr>
        <w:t>乙方</w:t>
      </w:r>
      <w:r>
        <w:rPr>
          <w:rFonts w:hint="eastAsia"/>
          <w:color w:val="auto"/>
          <w:u w:val="single"/>
        </w:rPr>
        <w:t>　　　</w:t>
      </w:r>
      <w:r>
        <w:rPr>
          <w:rFonts w:hint="eastAsia"/>
          <w:color w:val="auto"/>
        </w:rPr>
        <w:t>个工作日内，为甲方提供涉及项目所需的资料清单、项目总体计划安排和阶段工作计划安排。甲方应在收到乙方提交的涉及项目所需的资料清单后</w:t>
      </w:r>
      <w:r>
        <w:rPr>
          <w:rFonts w:hint="eastAsia"/>
          <w:color w:val="auto"/>
          <w:u w:val="single"/>
        </w:rPr>
        <w:t>　　　</w:t>
      </w:r>
      <w:r>
        <w:rPr>
          <w:rFonts w:hint="eastAsia"/>
          <w:color w:val="auto"/>
        </w:rPr>
        <w:t>个工作日内提交全部资料。在收到甲方提供的全部资料后，</w:t>
      </w:r>
      <w:r>
        <w:rPr>
          <w:rFonts w:hint="eastAsia" w:ascii="宋体" w:hAnsi="宋体"/>
          <w:color w:val="auto"/>
        </w:rPr>
        <w:t>乙方启动项目，并在</w:t>
      </w:r>
      <w:r>
        <w:rPr>
          <w:rFonts w:hint="eastAsia" w:ascii="宋体" w:hAnsi="宋体"/>
          <w:color w:val="auto"/>
          <w:u w:val="single"/>
        </w:rPr>
        <w:t xml:space="preserve">        </w:t>
      </w:r>
      <w:r>
        <w:rPr>
          <w:rFonts w:hint="eastAsia" w:ascii="宋体" w:hAnsi="宋体"/>
          <w:color w:val="auto"/>
        </w:rPr>
        <w:t>工作日内提交项目征求意见稿</w:t>
      </w:r>
      <w:r>
        <w:rPr>
          <w:rStyle w:val="41"/>
          <w:color w:val="auto"/>
        </w:rPr>
        <w:footnoteReference w:id="0"/>
      </w:r>
      <w:r>
        <w:rPr>
          <w:rFonts w:hint="eastAsia" w:ascii="宋体" w:hAnsi="宋体"/>
          <w:color w:val="auto"/>
        </w:rPr>
        <w:t>。</w:t>
      </w:r>
    </w:p>
    <w:p>
      <w:pPr>
        <w:spacing w:line="520" w:lineRule="exact"/>
        <w:ind w:firstLine="403" w:firstLineChars="192"/>
        <w:rPr>
          <w:rFonts w:ascii="宋体" w:hAnsi="宋体"/>
          <w:color w:val="auto"/>
        </w:rPr>
      </w:pPr>
      <w:r>
        <w:rPr>
          <w:rFonts w:hint="eastAsia" w:ascii="宋体" w:hAnsi="宋体"/>
          <w:color w:val="auto"/>
        </w:rPr>
        <w:t>6.2.2甲方应在收到乙方征求意见稿后</w:t>
      </w:r>
      <w:r>
        <w:rPr>
          <w:rFonts w:hint="eastAsia" w:ascii="宋体" w:hAnsi="宋体"/>
          <w:color w:val="auto"/>
          <w:u w:val="single"/>
        </w:rPr>
        <w:t xml:space="preserve">        </w:t>
      </w:r>
      <w:r>
        <w:rPr>
          <w:rFonts w:hint="eastAsia" w:ascii="宋体" w:hAnsi="宋体"/>
          <w:color w:val="auto"/>
        </w:rPr>
        <w:t>工作日内组织内部意见征集。收到甲方书面修改意见后，乙方在</w:t>
      </w:r>
      <w:r>
        <w:rPr>
          <w:rFonts w:hint="eastAsia" w:ascii="宋体" w:hAnsi="宋体"/>
          <w:color w:val="auto"/>
          <w:u w:val="single"/>
        </w:rPr>
        <w:t xml:space="preserve">       </w:t>
      </w:r>
      <w:r>
        <w:rPr>
          <w:rFonts w:hint="eastAsia" w:ascii="宋体" w:hAnsi="宋体"/>
          <w:color w:val="auto"/>
        </w:rPr>
        <w:t>工作日内对征求意见稿进行修订、完善，向甲方递交送审稿</w:t>
      </w:r>
      <w:r>
        <w:rPr>
          <w:rStyle w:val="41"/>
          <w:color w:val="auto"/>
        </w:rPr>
        <w:footnoteReference w:id="1"/>
      </w:r>
      <w:r>
        <w:rPr>
          <w:rFonts w:hint="eastAsia" w:ascii="宋体" w:hAnsi="宋体"/>
          <w:color w:val="auto"/>
        </w:rPr>
        <w:t>。甲方应在收到乙方送审稿后</w:t>
      </w:r>
      <w:r>
        <w:rPr>
          <w:rFonts w:hint="eastAsia" w:ascii="宋体" w:hAnsi="宋体"/>
          <w:color w:val="auto"/>
          <w:u w:val="single"/>
        </w:rPr>
        <w:t xml:space="preserve">       </w:t>
      </w:r>
      <w:r>
        <w:rPr>
          <w:rFonts w:hint="eastAsia" w:ascii="宋体" w:hAnsi="宋体"/>
          <w:color w:val="auto"/>
        </w:rPr>
        <w:t>工作日内组织评审验收。</w:t>
      </w:r>
    </w:p>
    <w:p>
      <w:pPr>
        <w:spacing w:line="520" w:lineRule="exact"/>
        <w:ind w:firstLine="403" w:firstLineChars="192"/>
        <w:rPr>
          <w:rFonts w:ascii="宋体" w:hAnsi="宋体"/>
          <w:color w:val="auto"/>
        </w:rPr>
      </w:pPr>
      <w:r>
        <w:rPr>
          <w:rFonts w:hint="eastAsia" w:ascii="宋体" w:hAnsi="宋体"/>
          <w:color w:val="auto"/>
        </w:rPr>
        <w:t>6.2.3项目送审稿经甲方验收通过后</w:t>
      </w:r>
      <w:r>
        <w:rPr>
          <w:rFonts w:hint="eastAsia" w:ascii="宋体" w:hAnsi="宋体"/>
          <w:color w:val="auto"/>
          <w:u w:val="single"/>
        </w:rPr>
        <w:t xml:space="preserve">       </w:t>
      </w:r>
      <w:r>
        <w:rPr>
          <w:rFonts w:hint="eastAsia" w:ascii="宋体" w:hAnsi="宋体"/>
          <w:color w:val="auto"/>
        </w:rPr>
        <w:t>工作日内，乙方根据甲方意见进行修订、完善，完成定稿</w:t>
      </w:r>
      <w:r>
        <w:rPr>
          <w:rStyle w:val="41"/>
          <w:color w:val="auto"/>
        </w:rPr>
        <w:footnoteReference w:id="2"/>
      </w:r>
      <w:r>
        <w:rPr>
          <w:rFonts w:hint="eastAsia" w:ascii="宋体" w:hAnsi="宋体"/>
          <w:color w:val="auto"/>
        </w:rPr>
        <w:t>，并向甲方递交。</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405" w:firstLineChars="192"/>
        <w:rPr>
          <w:rFonts w:ascii="宋体" w:hAnsi="宋体"/>
          <w:b/>
          <w:color w:val="auto"/>
        </w:rPr>
      </w:pPr>
      <w:r>
        <w:rPr>
          <w:rFonts w:hint="eastAsia" w:ascii="宋体" w:hAnsi="宋体"/>
          <w:b/>
          <w:color w:val="auto"/>
        </w:rPr>
        <w:t>6.3 成果提交</w:t>
      </w:r>
    </w:p>
    <w:p>
      <w:pPr>
        <w:spacing w:line="520" w:lineRule="exact"/>
        <w:ind w:firstLine="403" w:firstLineChars="192"/>
        <w:rPr>
          <w:rFonts w:ascii="宋体" w:hAnsi="宋体"/>
          <w:color w:val="auto"/>
        </w:rPr>
      </w:pPr>
      <w:r>
        <w:rPr>
          <w:rFonts w:hint="eastAsia" w:ascii="宋体" w:hAnsi="宋体"/>
          <w:color w:val="auto"/>
        </w:rPr>
        <w:t>乙方按照项目进度向甲方提交项目成果三次：</w:t>
      </w:r>
    </w:p>
    <w:p>
      <w:pPr>
        <w:spacing w:line="520" w:lineRule="exact"/>
        <w:ind w:firstLine="403" w:firstLineChars="192"/>
        <w:rPr>
          <w:rFonts w:ascii="宋体" w:hAnsi="宋体"/>
          <w:color w:val="auto"/>
        </w:rPr>
      </w:pPr>
      <w:r>
        <w:rPr>
          <w:rFonts w:hint="eastAsia" w:ascii="宋体" w:hAnsi="宋体"/>
          <w:color w:val="auto"/>
        </w:rPr>
        <w:t>6.1.1 征求意见稿纸质版6本之内（相关部门审查），部分平装，部分简装；</w:t>
      </w:r>
    </w:p>
    <w:p>
      <w:pPr>
        <w:spacing w:line="520" w:lineRule="exact"/>
        <w:ind w:firstLine="403" w:firstLineChars="192"/>
        <w:rPr>
          <w:rFonts w:ascii="宋体" w:hAnsi="宋体"/>
          <w:color w:val="auto"/>
        </w:rPr>
      </w:pPr>
      <w:r>
        <w:rPr>
          <w:rFonts w:hint="eastAsia" w:ascii="宋体" w:hAnsi="宋体"/>
          <w:color w:val="auto"/>
        </w:rPr>
        <w:t>6.1.2 送审稿纸质版8本之内（评审会审查），部分平装，部分简装；</w:t>
      </w:r>
    </w:p>
    <w:p>
      <w:pPr>
        <w:spacing w:line="520" w:lineRule="exact"/>
        <w:ind w:firstLine="403" w:firstLineChars="192"/>
        <w:rPr>
          <w:rFonts w:ascii="宋体" w:hAnsi="宋体"/>
          <w:color w:val="auto"/>
        </w:rPr>
      </w:pPr>
      <w:r>
        <w:rPr>
          <w:rFonts w:hint="eastAsia" w:ascii="宋体" w:hAnsi="宋体"/>
          <w:color w:val="auto"/>
        </w:rPr>
        <w:t>6.1.3 甲方付清项目余款后，乙方向甲方提交定稿纸质版8本之内，平装，同时向甲方提交所有成果电子版。</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rPr>
          <w:rFonts w:ascii="宋体" w:hAnsi="宋体"/>
          <w:color w:val="auto"/>
          <w:u w:val="single"/>
        </w:rPr>
      </w:pPr>
      <w:r>
        <w:rPr>
          <w:rFonts w:hint="eastAsia" w:ascii="宋体" w:hAnsi="宋体"/>
          <w:color w:val="auto"/>
          <w:u w:val="single"/>
        </w:rPr>
        <w:t xml:space="preserve">                                                                     </w:t>
      </w:r>
    </w:p>
    <w:p>
      <w:pPr>
        <w:spacing w:line="520" w:lineRule="exact"/>
        <w:ind w:firstLine="472" w:firstLineChars="224"/>
        <w:rPr>
          <w:rFonts w:ascii="宋体" w:hAnsi="宋体"/>
          <w:b/>
          <w:color w:val="auto"/>
        </w:rPr>
      </w:pPr>
      <w:r>
        <w:rPr>
          <w:rFonts w:hint="eastAsia" w:ascii="宋体" w:hAnsi="宋体"/>
          <w:b/>
          <w:color w:val="auto"/>
        </w:rPr>
        <w:t>6.4 成果修改</w:t>
      </w:r>
    </w:p>
    <w:p>
      <w:pPr>
        <w:spacing w:line="520" w:lineRule="exact"/>
        <w:ind w:firstLine="470" w:firstLineChars="224"/>
        <w:rPr>
          <w:rFonts w:hint="eastAsia"/>
          <w:color w:val="auto"/>
        </w:rPr>
      </w:pPr>
      <w:r>
        <w:rPr>
          <w:rFonts w:hint="eastAsia" w:ascii="宋体" w:hAnsi="宋体"/>
          <w:color w:val="auto"/>
        </w:rPr>
        <w:t>6.4.1 甲方针对不同阶段成果稿修改意见须以书面形式（书面公函加盖公章）反馈。乙方依据甲方书</w:t>
      </w:r>
    </w:p>
    <w:p>
      <w:pPr>
        <w:spacing w:line="520" w:lineRule="exact"/>
        <w:ind w:firstLine="470" w:firstLineChars="224"/>
        <w:rPr>
          <w:rFonts w:ascii="宋体" w:hAnsi="宋体"/>
          <w:color w:val="auto"/>
        </w:rPr>
      </w:pPr>
      <w:r>
        <w:rPr>
          <w:rFonts w:hint="eastAsia" w:ascii="宋体" w:hAnsi="宋体"/>
          <w:color w:val="auto"/>
        </w:rPr>
        <w:t>面意见进行修改。</w:t>
      </w:r>
    </w:p>
    <w:p>
      <w:pPr>
        <w:spacing w:line="520" w:lineRule="exact"/>
        <w:ind w:firstLine="470" w:firstLineChars="224"/>
        <w:rPr>
          <w:rFonts w:ascii="宋体" w:hAnsi="宋体"/>
          <w:color w:val="auto"/>
        </w:rPr>
      </w:pPr>
      <w:r>
        <w:rPr>
          <w:rFonts w:hint="eastAsia" w:ascii="宋体" w:hAnsi="宋体"/>
          <w:color w:val="auto"/>
        </w:rPr>
        <w:t>6.4.2 乙方确保按照甲方书面意见修改完整，并在提供修改稿的同时，须向甲方提供书面修改说明，同时将甲方书面修改意见作为成果附件一并提交。</w:t>
      </w:r>
    </w:p>
    <w:p>
      <w:pPr>
        <w:spacing w:line="520" w:lineRule="exact"/>
        <w:ind w:firstLine="470" w:firstLineChars="224"/>
        <w:rPr>
          <w:rFonts w:ascii="宋体" w:hAnsi="宋体"/>
          <w:color w:val="auto"/>
        </w:rPr>
      </w:pPr>
      <w:r>
        <w:rPr>
          <w:rFonts w:hint="eastAsia" w:ascii="宋体" w:hAnsi="宋体"/>
          <w:color w:val="auto"/>
        </w:rPr>
        <w:t>6.4.3中途修改稿，乙方向甲方根据修改情况提交2本之内（简装）用于甲方审查修改情况。</w:t>
      </w:r>
    </w:p>
    <w:p>
      <w:pPr>
        <w:spacing w:line="520" w:lineRule="exact"/>
        <w:ind w:firstLine="472" w:firstLineChars="224"/>
        <w:rPr>
          <w:rFonts w:ascii="宋体" w:hAnsi="宋体"/>
          <w:b/>
          <w:color w:val="auto"/>
        </w:rPr>
      </w:pPr>
      <w:r>
        <w:rPr>
          <w:rFonts w:hint="eastAsia" w:ascii="宋体" w:hAnsi="宋体"/>
          <w:b/>
          <w:color w:val="auto"/>
        </w:rPr>
        <w:t>6.5 可能引起的争议解决</w:t>
      </w:r>
    </w:p>
    <w:p>
      <w:pPr>
        <w:spacing w:line="520" w:lineRule="exact"/>
        <w:ind w:firstLine="403" w:firstLineChars="192"/>
        <w:rPr>
          <w:rFonts w:ascii="宋体" w:hAnsi="宋体"/>
          <w:color w:val="auto"/>
        </w:rPr>
      </w:pPr>
      <w:r>
        <w:rPr>
          <w:rFonts w:hint="eastAsia" w:ascii="宋体" w:hAnsi="宋体"/>
          <w:color w:val="auto"/>
        </w:rPr>
        <w:t>6.5.1在合同生效后，若甲方尚未支付项目首付款，甲方单方面要求解除合同的，甲方向乙方支付合同总金额的20%作为违约金；若甲方已支付项目首付款且项目进行过程中，甲方单方要求解除合同的，甲方向乙方支付项目余款；</w:t>
      </w:r>
    </w:p>
    <w:p>
      <w:pPr>
        <w:spacing w:line="520" w:lineRule="exact"/>
        <w:ind w:firstLine="403" w:firstLineChars="192"/>
        <w:rPr>
          <w:rFonts w:ascii="宋体" w:hAnsi="宋体"/>
          <w:color w:val="auto"/>
        </w:rPr>
      </w:pPr>
      <w:r>
        <w:rPr>
          <w:rFonts w:hint="eastAsia" w:ascii="宋体" w:hAnsi="宋体"/>
          <w:color w:val="auto"/>
        </w:rPr>
        <w:t>6.5.2 在合同签订后，项目进行过程中，若乙方因自身原因单方要求解除合同的，乙方向甲方退还已收项目款项；若甲方尚未支付项目首付款，乙方单方要求解除合同的，乙方向甲方支付合同总金额的20%作为违约金；</w:t>
      </w:r>
    </w:p>
    <w:p>
      <w:pPr>
        <w:spacing w:line="520" w:lineRule="exact"/>
        <w:ind w:firstLine="403" w:firstLineChars="192"/>
        <w:rPr>
          <w:rFonts w:ascii="宋体" w:hAnsi="宋体"/>
          <w:color w:val="auto"/>
        </w:rPr>
      </w:pPr>
      <w:r>
        <w:rPr>
          <w:rFonts w:hint="eastAsia" w:ascii="宋体" w:hAnsi="宋体"/>
          <w:color w:val="auto"/>
        </w:rPr>
        <w:t>6.5.3 因甲方延迟支付款项原因，致使项目时间后延或不能按时提交成果的，乙方计划项目成果交付时间相应顺延；致使不能最终提交正式成果且合同不能履行的，乙方有权解除合同，甲方向乙方支付项目合同余款；</w:t>
      </w:r>
    </w:p>
    <w:p>
      <w:pPr>
        <w:spacing w:line="520" w:lineRule="exact"/>
        <w:ind w:firstLine="403" w:firstLineChars="192"/>
        <w:rPr>
          <w:rFonts w:ascii="宋体" w:hAnsi="宋体"/>
          <w:color w:val="auto"/>
        </w:rPr>
      </w:pPr>
      <w:r>
        <w:rPr>
          <w:rFonts w:hint="eastAsia" w:ascii="宋体" w:hAnsi="宋体"/>
          <w:color w:val="auto"/>
        </w:rPr>
        <w:t>6.5.4 因乙方安排原因，影响项目计划时间或成果提交，责任由乙方承担并向甲方支付相应补偿费用（补偿费用标准为：合同额的1‰×影响天数）。</w:t>
      </w:r>
    </w:p>
    <w:p>
      <w:pPr>
        <w:spacing w:line="520" w:lineRule="exact"/>
        <w:ind w:firstLine="403" w:firstLineChars="192"/>
        <w:rPr>
          <w:rFonts w:ascii="宋体" w:hAnsi="宋体"/>
          <w:color w:val="auto"/>
        </w:rPr>
      </w:pPr>
      <w:r>
        <w:rPr>
          <w:rFonts w:hint="eastAsia" w:ascii="宋体" w:hAnsi="宋体"/>
          <w:color w:val="auto"/>
        </w:rPr>
        <w:t>6.5.5 甲方需要成果数量超出合同规定的数量的，可由乙方协助甲方印制，但印制成本费用由甲方承担；</w:t>
      </w:r>
    </w:p>
    <w:p>
      <w:pPr>
        <w:spacing w:line="520" w:lineRule="exact"/>
        <w:ind w:firstLine="403" w:firstLineChars="192"/>
        <w:rPr>
          <w:rFonts w:ascii="宋体" w:hAnsi="宋体"/>
          <w:color w:val="auto"/>
        </w:rPr>
      </w:pPr>
      <w:r>
        <w:rPr>
          <w:rFonts w:hint="eastAsia" w:ascii="宋体" w:hAnsi="宋体"/>
          <w:color w:val="auto"/>
        </w:rPr>
        <w:t>6.5.6 甲乙双方给对方的通知、文件、材料、成果通过电子邮件、传真、快递、托运等方式送达对方项目联系人或对方指定人员即视为送达对方法人。</w:t>
      </w:r>
    </w:p>
    <w:p>
      <w:pPr>
        <w:spacing w:line="520" w:lineRule="exact"/>
        <w:ind w:firstLine="405" w:firstLineChars="192"/>
        <w:rPr>
          <w:rFonts w:ascii="宋体" w:hAnsi="宋体"/>
          <w:b/>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第七条：项目审查验收</w:t>
      </w:r>
    </w:p>
    <w:p>
      <w:pPr>
        <w:spacing w:line="520" w:lineRule="exact"/>
        <w:ind w:firstLine="405" w:firstLineChars="192"/>
        <w:rPr>
          <w:rFonts w:ascii="宋体" w:hAnsi="宋体"/>
          <w:b/>
          <w:color w:val="auto"/>
        </w:rPr>
      </w:pPr>
      <w:r>
        <w:rPr>
          <w:rFonts w:hint="eastAsia" w:ascii="宋体" w:hAnsi="宋体"/>
          <w:b/>
          <w:color w:val="auto"/>
        </w:rPr>
        <w:t>7.1 审查标准</w:t>
      </w:r>
    </w:p>
    <w:p>
      <w:pPr>
        <w:spacing w:line="520" w:lineRule="exact"/>
        <w:ind w:firstLine="403" w:firstLineChars="192"/>
        <w:rPr>
          <w:rFonts w:ascii="宋体" w:hAnsi="宋体"/>
          <w:color w:val="auto"/>
        </w:rPr>
      </w:pPr>
      <w:r>
        <w:rPr>
          <w:rFonts w:hint="eastAsia" w:ascii="宋体" w:hAnsi="宋体"/>
          <w:color w:val="auto"/>
        </w:rPr>
        <w:t>7.1.1 符合合同第二条项目类型及深度涉及的相关国家技术规范</w:t>
      </w:r>
    </w:p>
    <w:p>
      <w:pPr>
        <w:spacing w:line="520" w:lineRule="exact"/>
        <w:ind w:firstLine="403" w:firstLineChars="192"/>
        <w:rPr>
          <w:rFonts w:ascii="宋体" w:hAnsi="宋体"/>
          <w:color w:val="auto"/>
        </w:rPr>
      </w:pPr>
      <w:r>
        <w:rPr>
          <w:rFonts w:hint="eastAsia" w:ascii="宋体" w:hAnsi="宋体"/>
          <w:color w:val="auto"/>
        </w:rPr>
        <w:t>7.1.2 符合合同第三条项目框架内容及成果标准要求</w:t>
      </w:r>
    </w:p>
    <w:p>
      <w:pPr>
        <w:spacing w:line="520" w:lineRule="exact"/>
        <w:ind w:firstLine="405" w:firstLineChars="192"/>
        <w:rPr>
          <w:rFonts w:ascii="宋体" w:hAnsi="宋体"/>
          <w:b/>
          <w:color w:val="auto"/>
        </w:rPr>
      </w:pPr>
      <w:r>
        <w:rPr>
          <w:rFonts w:hint="eastAsia" w:ascii="宋体" w:hAnsi="宋体"/>
          <w:b/>
          <w:color w:val="auto"/>
        </w:rPr>
        <w:t>7.2 审查验收</w:t>
      </w:r>
    </w:p>
    <w:p>
      <w:pPr>
        <w:spacing w:line="520" w:lineRule="exact"/>
        <w:ind w:firstLine="403" w:firstLineChars="192"/>
        <w:rPr>
          <w:rFonts w:hint="eastAsia" w:ascii="宋体" w:hAnsi="宋体"/>
          <w:color w:val="auto"/>
          <w:u w:val="single"/>
        </w:rPr>
      </w:pPr>
      <w:r>
        <w:rPr>
          <w:rFonts w:hint="eastAsia" w:ascii="宋体" w:hAnsi="宋体"/>
          <w:color w:val="auto"/>
        </w:rPr>
        <w:t>7.2.1 评审验收方式（如：①甲方自行验收，并出具验收报告；②甲方组织专家评审，并出具专家评审意见等）</w:t>
      </w:r>
      <w:r>
        <w:rPr>
          <w:rFonts w:hint="eastAsia" w:ascii="宋体" w:hAnsi="宋体"/>
          <w:color w:val="auto"/>
          <w:u w:val="single"/>
        </w:rPr>
        <w:t xml:space="preserve">              </w:t>
      </w:r>
    </w:p>
    <w:p>
      <w:pPr>
        <w:spacing w:line="520" w:lineRule="exact"/>
        <w:ind w:firstLine="403" w:firstLineChars="192"/>
        <w:rPr>
          <w:rFonts w:ascii="宋体" w:hAnsi="宋体"/>
          <w:color w:val="auto"/>
        </w:rPr>
      </w:pPr>
      <w:r>
        <w:rPr>
          <w:rFonts w:hint="eastAsia" w:ascii="宋体" w:hAnsi="宋体"/>
          <w:color w:val="auto"/>
        </w:rPr>
        <w:t>7.2.2 甲方组织专家评审通过、组织内部验收通过或甲方最终无其他实质性修改意见时，以上任何一种情况均视为项目验收通过。</w:t>
      </w:r>
    </w:p>
    <w:p>
      <w:pPr>
        <w:spacing w:line="520" w:lineRule="exact"/>
        <w:ind w:firstLine="403" w:firstLineChars="192"/>
        <w:rPr>
          <w:rFonts w:ascii="宋体" w:hAnsi="宋体"/>
          <w:color w:val="auto"/>
        </w:rPr>
      </w:pPr>
      <w:r>
        <w:rPr>
          <w:rFonts w:hint="eastAsia" w:ascii="宋体" w:hAnsi="宋体"/>
          <w:color w:val="auto"/>
        </w:rPr>
        <w:t>7.2.3 乙方向甲方递交征求意见稿或送审稿三个月后，甲方如不组织验收或评审，也不出具书面确认报告，视为验收通过。</w:t>
      </w:r>
    </w:p>
    <w:p>
      <w:pPr>
        <w:spacing w:line="520" w:lineRule="exact"/>
        <w:ind w:firstLine="403" w:firstLineChars="192"/>
        <w:rPr>
          <w:rFonts w:ascii="宋体" w:hAnsi="宋体"/>
          <w:color w:val="auto"/>
        </w:rPr>
      </w:pPr>
      <w:r>
        <w:rPr>
          <w:rFonts w:hint="eastAsia" w:ascii="宋体" w:hAnsi="宋体"/>
          <w:color w:val="auto"/>
        </w:rPr>
        <w:t>7.2.4 项目以本级政府组织验收通过为准，如甲方需要上报或进行省（自治区）级、国家级层面评审的，乙方协助配合并按照评审意见要求修改完善，协助配合上报产生的直接费用由甲方承担。</w:t>
      </w:r>
    </w:p>
    <w:p>
      <w:pPr>
        <w:spacing w:line="520" w:lineRule="exact"/>
        <w:ind w:firstLine="405" w:firstLineChars="192"/>
        <w:rPr>
          <w:rFonts w:ascii="宋体" w:hAnsi="宋体"/>
          <w:b/>
          <w:color w:val="auto"/>
        </w:rPr>
      </w:pPr>
      <w:r>
        <w:rPr>
          <w:rFonts w:hint="eastAsia" w:ascii="宋体" w:hAnsi="宋体"/>
          <w:b/>
          <w:color w:val="auto"/>
        </w:rPr>
        <w:t>7.3 可能引起的争议解决</w:t>
      </w:r>
    </w:p>
    <w:p>
      <w:pPr>
        <w:spacing w:line="520" w:lineRule="exact"/>
        <w:ind w:firstLine="403" w:firstLineChars="192"/>
        <w:rPr>
          <w:rFonts w:ascii="宋体" w:hAnsi="宋体"/>
          <w:color w:val="auto"/>
        </w:rPr>
      </w:pPr>
      <w:r>
        <w:rPr>
          <w:rFonts w:hint="eastAsia" w:ascii="宋体" w:hAnsi="宋体"/>
          <w:color w:val="auto"/>
        </w:rPr>
        <w:t>7.3.1如以下原因，致使项目不能验收通过的，如经双方另行协商达成补充协议的，继续完善项目，乙方完成后续修改完善工作，甲方根据项目变化程度向乙方增加相应费用；如双方不能达成补充协议导致合同不能履行的，甲方向乙方支付项目余款。</w:t>
      </w:r>
    </w:p>
    <w:p>
      <w:pPr>
        <w:spacing w:line="520" w:lineRule="exact"/>
        <w:ind w:firstLine="403" w:firstLineChars="192"/>
        <w:rPr>
          <w:rFonts w:ascii="宋体" w:hAnsi="宋体"/>
          <w:color w:val="auto"/>
        </w:rPr>
      </w:pPr>
      <w:r>
        <w:rPr>
          <w:rFonts w:hint="eastAsia" w:ascii="宋体" w:hAnsi="宋体"/>
          <w:color w:val="auto"/>
        </w:rPr>
        <w:t>A.合同约定的项目基本情况（含项目名称、项目类型及深度要求、范围、规模）发生变化的；</w:t>
      </w:r>
    </w:p>
    <w:p>
      <w:pPr>
        <w:spacing w:line="520" w:lineRule="exact"/>
        <w:ind w:firstLine="403" w:firstLineChars="192"/>
        <w:rPr>
          <w:rFonts w:ascii="宋体" w:hAnsi="宋体"/>
          <w:color w:val="auto"/>
        </w:rPr>
      </w:pPr>
      <w:r>
        <w:rPr>
          <w:rFonts w:hint="eastAsia" w:ascii="宋体" w:hAnsi="宋体"/>
          <w:color w:val="auto"/>
        </w:rPr>
        <w:t>B.验收标准超出国家技术规范、行业规范及合同约定要求的；</w:t>
      </w:r>
    </w:p>
    <w:p>
      <w:pPr>
        <w:spacing w:line="520" w:lineRule="exact"/>
        <w:ind w:firstLine="403" w:firstLineChars="192"/>
        <w:rPr>
          <w:rFonts w:ascii="宋体" w:hAnsi="宋体"/>
          <w:color w:val="auto"/>
        </w:rPr>
      </w:pPr>
      <w:r>
        <w:rPr>
          <w:rFonts w:hint="eastAsia" w:ascii="宋体" w:hAnsi="宋体"/>
          <w:color w:val="auto"/>
        </w:rPr>
        <w:t>C.项目编制用途和目的与合同发生变化的。</w:t>
      </w:r>
    </w:p>
    <w:p>
      <w:pPr>
        <w:spacing w:line="520" w:lineRule="exact"/>
        <w:ind w:firstLine="403" w:firstLineChars="192"/>
        <w:rPr>
          <w:rFonts w:ascii="宋体" w:hAnsi="宋体"/>
          <w:color w:val="auto"/>
        </w:rPr>
      </w:pPr>
      <w:r>
        <w:rPr>
          <w:rFonts w:hint="eastAsia" w:ascii="宋体" w:hAnsi="宋体"/>
          <w:color w:val="auto"/>
        </w:rPr>
        <w:t>7.3.2如乙方原因，致使项目不能验收通过的，乙方根据评审验收意见调整修改完善，直至项目验收评审通过。</w:t>
      </w:r>
    </w:p>
    <w:p>
      <w:pPr>
        <w:spacing w:line="520" w:lineRule="exact"/>
        <w:ind w:firstLine="403" w:firstLineChars="192"/>
        <w:rPr>
          <w:rFonts w:ascii="宋体" w:hAnsi="宋体"/>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第八条：项目保密及知识产权归属</w:t>
      </w:r>
    </w:p>
    <w:p>
      <w:pPr>
        <w:spacing w:line="520" w:lineRule="exact"/>
        <w:ind w:firstLine="405" w:firstLineChars="192"/>
        <w:rPr>
          <w:rFonts w:ascii="宋体" w:hAnsi="宋体"/>
          <w:b/>
          <w:color w:val="auto"/>
        </w:rPr>
      </w:pPr>
      <w:r>
        <w:rPr>
          <w:rFonts w:hint="eastAsia" w:ascii="宋体" w:hAnsi="宋体"/>
          <w:b/>
          <w:color w:val="auto"/>
        </w:rPr>
        <w:t>8.1 项目保密</w:t>
      </w:r>
    </w:p>
    <w:p>
      <w:pPr>
        <w:spacing w:line="520" w:lineRule="exact"/>
        <w:ind w:firstLine="403" w:firstLineChars="192"/>
        <w:rPr>
          <w:rFonts w:ascii="宋体" w:hAnsi="宋体"/>
          <w:color w:val="auto"/>
        </w:rPr>
      </w:pPr>
      <w:r>
        <w:rPr>
          <w:rFonts w:hint="eastAsia" w:ascii="宋体" w:hAnsi="宋体"/>
          <w:color w:val="auto"/>
        </w:rPr>
        <w:t>8.1.1 保密内容（如：①甲方基础信息资料、②甲方测绘地形图、③甲方重大项目及发展战略、④甲方领导个人信息、⑤乙方完成不同阶段项目成果、⑥乙方的项目流程及方法等）</w:t>
      </w:r>
      <w:r>
        <w:rPr>
          <w:rFonts w:hint="eastAsia" w:ascii="宋体" w:hAnsi="宋体"/>
          <w:color w:val="auto"/>
          <w:u w:val="single"/>
        </w:rPr>
        <w:t xml:space="preserve">                                               </w:t>
      </w:r>
      <w:r>
        <w:rPr>
          <w:rFonts w:hint="eastAsia" w:ascii="宋体" w:hAnsi="宋体"/>
          <w:color w:val="auto"/>
        </w:rPr>
        <w:t xml:space="preserve">                                             </w:t>
      </w:r>
    </w:p>
    <w:p>
      <w:pPr>
        <w:spacing w:line="520" w:lineRule="exact"/>
        <w:ind w:firstLine="403" w:firstLineChars="192"/>
        <w:rPr>
          <w:rFonts w:ascii="宋体" w:hAnsi="宋体"/>
          <w:color w:val="auto"/>
        </w:rPr>
      </w:pPr>
      <w:r>
        <w:rPr>
          <w:rFonts w:hint="eastAsia" w:ascii="宋体" w:hAnsi="宋体"/>
          <w:color w:val="auto"/>
        </w:rPr>
        <w:t>8.1.2 保密职责</w:t>
      </w:r>
    </w:p>
    <w:p>
      <w:pPr>
        <w:spacing w:line="520" w:lineRule="exact"/>
        <w:ind w:firstLine="403" w:firstLineChars="192"/>
        <w:rPr>
          <w:rFonts w:ascii="宋体" w:hAnsi="宋体"/>
          <w:color w:val="auto"/>
        </w:rPr>
      </w:pPr>
      <w:r>
        <w:rPr>
          <w:rFonts w:hint="eastAsia" w:ascii="宋体" w:hAnsi="宋体"/>
          <w:color w:val="auto"/>
        </w:rPr>
        <w:t>甲乙双方对以上保密内容在项目过程中严格保密，不得在超过项目成果使用范围以外使用或对外泄露。</w:t>
      </w:r>
    </w:p>
    <w:p>
      <w:pPr>
        <w:spacing w:line="520" w:lineRule="exact"/>
        <w:ind w:firstLine="403" w:firstLineChars="192"/>
        <w:rPr>
          <w:rFonts w:ascii="宋体" w:hAnsi="宋体"/>
          <w:color w:val="auto"/>
        </w:rPr>
      </w:pPr>
      <w:r>
        <w:rPr>
          <w:rFonts w:hint="eastAsia" w:ascii="宋体" w:hAnsi="宋体"/>
          <w:color w:val="auto"/>
        </w:rPr>
        <w:t>8.1.3 秘密解除</w:t>
      </w:r>
    </w:p>
    <w:p>
      <w:pPr>
        <w:spacing w:line="520" w:lineRule="exact"/>
        <w:ind w:firstLine="403" w:firstLineChars="192"/>
        <w:rPr>
          <w:rFonts w:ascii="宋体" w:hAnsi="宋体"/>
          <w:color w:val="auto"/>
        </w:rPr>
      </w:pPr>
      <w:r>
        <w:rPr>
          <w:rFonts w:hint="eastAsia" w:ascii="宋体" w:hAnsi="宋体"/>
          <w:color w:val="auto"/>
        </w:rPr>
        <w:t>项目结束，乙方向甲方提交正式成果后，以上保密内容解除。</w:t>
      </w:r>
    </w:p>
    <w:p>
      <w:pPr>
        <w:spacing w:line="520" w:lineRule="exact"/>
        <w:ind w:firstLine="405" w:firstLineChars="192"/>
        <w:rPr>
          <w:rFonts w:ascii="宋体" w:hAnsi="宋体"/>
          <w:b/>
          <w:color w:val="auto"/>
        </w:rPr>
      </w:pPr>
      <w:r>
        <w:rPr>
          <w:rFonts w:hint="eastAsia" w:ascii="宋体" w:hAnsi="宋体"/>
          <w:b/>
          <w:color w:val="auto"/>
        </w:rPr>
        <w:t>8.2 项目知识产权归属</w:t>
      </w:r>
    </w:p>
    <w:p>
      <w:pPr>
        <w:spacing w:line="520" w:lineRule="exact"/>
        <w:ind w:firstLine="403" w:firstLineChars="192"/>
        <w:rPr>
          <w:rFonts w:ascii="宋体" w:hAnsi="宋体"/>
          <w:color w:val="auto"/>
        </w:rPr>
      </w:pPr>
      <w:r>
        <w:rPr>
          <w:rFonts w:hint="eastAsia" w:ascii="宋体" w:hAnsi="宋体"/>
          <w:color w:val="auto"/>
        </w:rPr>
        <w:t>8.2.1 项目过程中，项目阶段成果知识产权归乙方所有；</w:t>
      </w:r>
    </w:p>
    <w:p>
      <w:pPr>
        <w:spacing w:line="520" w:lineRule="exact"/>
        <w:ind w:firstLine="403" w:firstLineChars="192"/>
        <w:rPr>
          <w:rFonts w:ascii="宋体" w:hAnsi="宋体"/>
          <w:color w:val="auto"/>
        </w:rPr>
      </w:pPr>
      <w:r>
        <w:rPr>
          <w:rFonts w:hint="eastAsia" w:ascii="宋体" w:hAnsi="宋体"/>
          <w:color w:val="auto"/>
        </w:rPr>
        <w:t>8.2.2 甲方付完全部项目费用前，项目成果的知识产权全部归乙方所有；</w:t>
      </w:r>
    </w:p>
    <w:p>
      <w:pPr>
        <w:spacing w:line="520" w:lineRule="exact"/>
        <w:ind w:firstLine="403" w:firstLineChars="192"/>
        <w:rPr>
          <w:rFonts w:ascii="宋体" w:hAnsi="宋体"/>
          <w:color w:val="auto"/>
        </w:rPr>
      </w:pPr>
      <w:r>
        <w:rPr>
          <w:rFonts w:hint="eastAsia" w:ascii="宋体" w:hAnsi="宋体"/>
          <w:color w:val="auto"/>
        </w:rPr>
        <w:t>8.2.3 甲方付完全部项目费用后，乙方向甲方正式提交项目成果，项目知识产权随即归双方共同所有。</w:t>
      </w:r>
    </w:p>
    <w:p>
      <w:pPr>
        <w:spacing w:line="520" w:lineRule="exact"/>
        <w:ind w:firstLine="472" w:firstLineChars="224"/>
        <w:outlineLvl w:val="0"/>
        <w:rPr>
          <w:rFonts w:ascii="宋体" w:hAnsi="宋体"/>
          <w:b/>
          <w:color w:val="auto"/>
        </w:rPr>
      </w:pPr>
      <w:r>
        <w:rPr>
          <w:rFonts w:hint="eastAsia" w:ascii="宋体" w:hAnsi="宋体"/>
          <w:b/>
          <w:color w:val="auto"/>
        </w:rPr>
        <w:t>8.3 可能引起的争议解决</w:t>
      </w:r>
    </w:p>
    <w:p>
      <w:pPr>
        <w:spacing w:line="520" w:lineRule="exact"/>
        <w:ind w:firstLine="420" w:firstLineChars="200"/>
        <w:rPr>
          <w:rFonts w:ascii="宋体" w:hAnsi="宋体"/>
          <w:color w:val="auto"/>
        </w:rPr>
      </w:pPr>
      <w:r>
        <w:rPr>
          <w:rFonts w:hint="eastAsia" w:ascii="宋体" w:hAnsi="宋体"/>
          <w:color w:val="auto"/>
        </w:rPr>
        <w:t>如发生上述失责事件，责任方向非责任方采取补救措施、消除不利影响，同时根据失责造成的实际损失向对方支付相应的补偿费用。</w:t>
      </w:r>
    </w:p>
    <w:p>
      <w:pPr>
        <w:spacing w:line="520" w:lineRule="exact"/>
        <w:ind w:firstLine="403" w:firstLineChars="192"/>
        <w:rPr>
          <w:rFonts w:ascii="宋体" w:hAnsi="宋体"/>
          <w:color w:val="auto"/>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第九条：项目费用及支付方式</w:t>
      </w:r>
    </w:p>
    <w:p>
      <w:pPr>
        <w:spacing w:line="520" w:lineRule="exact"/>
        <w:ind w:firstLine="405" w:firstLineChars="192"/>
        <w:rPr>
          <w:rFonts w:ascii="宋体" w:hAnsi="宋体"/>
          <w:b/>
          <w:color w:val="auto"/>
        </w:rPr>
      </w:pPr>
      <w:r>
        <w:rPr>
          <w:rFonts w:hint="eastAsia" w:ascii="宋体" w:hAnsi="宋体"/>
          <w:b/>
          <w:color w:val="auto"/>
        </w:rPr>
        <w:t>9.1 项目费用</w:t>
      </w:r>
    </w:p>
    <w:p>
      <w:pPr>
        <w:spacing w:line="520" w:lineRule="exact"/>
        <w:ind w:firstLine="403" w:firstLineChars="192"/>
        <w:rPr>
          <w:rFonts w:ascii="宋体" w:hAnsi="宋体"/>
          <w:color w:val="auto"/>
        </w:rPr>
      </w:pPr>
      <w:r>
        <w:rPr>
          <w:rFonts w:hint="eastAsia" w:ascii="宋体" w:hAnsi="宋体"/>
          <w:color w:val="auto"/>
        </w:rPr>
        <w:t>本项目费用为人民币（大写）</w:t>
      </w:r>
      <w:r>
        <w:rPr>
          <w:rFonts w:hint="eastAsia" w:ascii="宋体" w:hAnsi="宋体"/>
          <w:color w:val="auto"/>
          <w:u w:val="single"/>
        </w:rPr>
        <w:t xml:space="preserve">                              </w:t>
      </w:r>
      <w:r>
        <w:rPr>
          <w:rFonts w:hint="eastAsia" w:ascii="宋体" w:hAnsi="宋体"/>
          <w:color w:val="auto"/>
        </w:rPr>
        <w:t>元整（含调研费、信息资料费、研究及规划设计费、交通费、食宿费、印制费</w:t>
      </w:r>
      <w:r>
        <w:rPr>
          <w:rFonts w:hint="eastAsia" w:ascii="宋体" w:hAnsi="宋体"/>
          <w:color w:val="auto"/>
          <w:lang w:eastAsia="zh-CN"/>
        </w:rPr>
        <w:t>等不可预见的一切费用</w:t>
      </w:r>
      <w:r>
        <w:rPr>
          <w:rFonts w:hint="eastAsia" w:ascii="宋体" w:hAnsi="宋体"/>
          <w:color w:val="auto"/>
        </w:rPr>
        <w:t>），项目期间讨论及评审费用等除外。</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405" w:firstLineChars="192"/>
        <w:rPr>
          <w:rFonts w:ascii="宋体" w:hAnsi="宋体"/>
          <w:b/>
          <w:color w:val="auto"/>
        </w:rPr>
      </w:pPr>
      <w:r>
        <w:rPr>
          <w:rFonts w:hint="eastAsia" w:ascii="宋体" w:hAnsi="宋体"/>
          <w:b/>
          <w:color w:val="auto"/>
        </w:rPr>
        <w:t>9.2 支付方式</w:t>
      </w:r>
    </w:p>
    <w:p>
      <w:pPr>
        <w:spacing w:line="520" w:lineRule="exact"/>
        <w:ind w:firstLine="403" w:firstLineChars="192"/>
        <w:rPr>
          <w:rFonts w:ascii="宋体" w:hAnsi="宋体"/>
          <w:color w:val="auto"/>
        </w:rPr>
      </w:pPr>
      <w:r>
        <w:rPr>
          <w:rFonts w:hint="eastAsia" w:ascii="宋体" w:hAnsi="宋体"/>
          <w:color w:val="auto"/>
        </w:rPr>
        <w:t>本合同签订之</w:t>
      </w:r>
      <w:r>
        <w:rPr>
          <w:rFonts w:hint="eastAsia" w:ascii="宋体" w:hAnsi="宋体"/>
          <w:color w:val="auto"/>
          <w:lang w:eastAsia="zh-CN"/>
        </w:rPr>
        <w:t>后乙方完成基本思路及规划大纲后</w:t>
      </w:r>
      <w:r>
        <w:rPr>
          <w:rFonts w:hint="eastAsia" w:ascii="宋体" w:hAnsi="宋体"/>
          <w:color w:val="auto"/>
        </w:rPr>
        <w:t>，甲方向乙方支付50%项目费用，即</w:t>
      </w:r>
    </w:p>
    <w:p>
      <w:pPr>
        <w:spacing w:line="520" w:lineRule="exact"/>
        <w:rPr>
          <w:rFonts w:ascii="宋体" w:hAnsi="宋体"/>
          <w:color w:val="auto"/>
        </w:rPr>
      </w:pPr>
      <w:r>
        <w:rPr>
          <w:rFonts w:hint="eastAsia" w:ascii="宋体" w:hAnsi="宋体"/>
          <w:color w:val="auto"/>
          <w:u w:val="single"/>
        </w:rPr>
        <w:t xml:space="preserve">          </w:t>
      </w:r>
      <w:r>
        <w:rPr>
          <w:rFonts w:hint="eastAsia" w:ascii="宋体" w:hAnsi="宋体"/>
          <w:color w:val="auto"/>
        </w:rPr>
        <w:t>元整（大写）；剩余</w:t>
      </w:r>
      <w:r>
        <w:rPr>
          <w:rFonts w:hint="eastAsia" w:ascii="宋体" w:hAnsi="宋体"/>
          <w:color w:val="auto"/>
          <w:lang w:val="en-US" w:eastAsia="zh-CN"/>
        </w:rPr>
        <w:t>5</w:t>
      </w:r>
      <w:r>
        <w:rPr>
          <w:rFonts w:hint="eastAsia" w:ascii="宋体" w:hAnsi="宋体"/>
          <w:color w:val="auto"/>
        </w:rPr>
        <w:t>0%项目费用，即</w:t>
      </w:r>
      <w:r>
        <w:rPr>
          <w:rFonts w:hint="eastAsia" w:ascii="宋体" w:hAnsi="宋体"/>
          <w:color w:val="auto"/>
          <w:u w:val="single"/>
        </w:rPr>
        <w:t xml:space="preserve">           </w:t>
      </w:r>
      <w:r>
        <w:rPr>
          <w:rFonts w:hint="eastAsia" w:ascii="宋体" w:hAnsi="宋体"/>
          <w:color w:val="auto"/>
        </w:rPr>
        <w:t>元整（大写）待项目送审稿验收通过后</w:t>
      </w:r>
      <w:r>
        <w:rPr>
          <w:rFonts w:hint="eastAsia" w:ascii="宋体" w:hAnsi="宋体"/>
          <w:color w:val="auto"/>
          <w:lang w:eastAsia="zh-CN"/>
        </w:rPr>
        <w:t>，</w:t>
      </w:r>
      <w:r>
        <w:rPr>
          <w:rFonts w:hint="eastAsia" w:ascii="宋体" w:hAnsi="宋体"/>
          <w:color w:val="auto"/>
        </w:rPr>
        <w:t>甲方向乙方一次性支付。</w:t>
      </w:r>
    </w:p>
    <w:p>
      <w:pPr>
        <w:spacing w:line="520" w:lineRule="exact"/>
        <w:ind w:firstLine="403" w:firstLineChars="192"/>
        <w:rPr>
          <w:rFonts w:ascii="宋体" w:hAnsi="宋体"/>
          <w:color w:val="auto"/>
          <w:u w:val="single"/>
        </w:rPr>
      </w:pPr>
      <w:r>
        <w:rPr>
          <w:rFonts w:hint="eastAsia" w:ascii="宋体" w:hAnsi="宋体"/>
          <w:color w:val="auto"/>
        </w:rPr>
        <w:t>补充：</w:t>
      </w:r>
      <w:r>
        <w:rPr>
          <w:rFonts w:hint="eastAsia" w:ascii="宋体" w:hAnsi="宋体"/>
          <w:color w:val="auto"/>
          <w:u w:val="single"/>
        </w:rPr>
        <w:t xml:space="preserve">                                                           </w:t>
      </w:r>
    </w:p>
    <w:p>
      <w:pPr>
        <w:spacing w:line="520" w:lineRule="exact"/>
        <w:ind w:firstLine="537" w:firstLineChars="192"/>
        <w:rPr>
          <w:rFonts w:ascii="黑体" w:hAnsi="宋体" w:eastAsia="黑体"/>
          <w:color w:val="auto"/>
          <w:sz w:val="28"/>
          <w:szCs w:val="28"/>
        </w:rPr>
      </w:pPr>
    </w:p>
    <w:p>
      <w:pPr>
        <w:spacing w:line="520" w:lineRule="exact"/>
        <w:ind w:firstLine="537" w:firstLineChars="192"/>
        <w:rPr>
          <w:rFonts w:ascii="黑体" w:hAnsi="宋体" w:eastAsia="黑体"/>
          <w:color w:val="auto"/>
          <w:sz w:val="28"/>
          <w:szCs w:val="28"/>
        </w:rPr>
      </w:pPr>
      <w:r>
        <w:rPr>
          <w:rFonts w:hint="eastAsia" w:ascii="黑体" w:hAnsi="宋体" w:eastAsia="黑体"/>
          <w:color w:val="auto"/>
          <w:sz w:val="28"/>
          <w:szCs w:val="28"/>
        </w:rPr>
        <w:t xml:space="preserve">第十条：其他事项                                     </w:t>
      </w:r>
    </w:p>
    <w:p>
      <w:pPr>
        <w:spacing w:line="520" w:lineRule="exact"/>
        <w:ind w:firstLine="403" w:firstLineChars="192"/>
        <w:rPr>
          <w:rFonts w:ascii="宋体" w:hAnsi="宋体"/>
          <w:color w:val="auto"/>
        </w:rPr>
      </w:pPr>
      <w:r>
        <w:rPr>
          <w:rFonts w:hint="eastAsia" w:ascii="宋体" w:hAnsi="宋体"/>
          <w:color w:val="auto"/>
        </w:rPr>
        <w:t>10.1 双方因履行本合同而发生的争议，应按照以上争议解决条款协商解决。协商不成的，可提交西安市仲裁委员会仲裁或依法向乙方所在地人民法院起诉。</w:t>
      </w:r>
    </w:p>
    <w:p>
      <w:pPr>
        <w:spacing w:line="520" w:lineRule="exact"/>
        <w:ind w:firstLine="403" w:firstLineChars="192"/>
        <w:rPr>
          <w:rFonts w:ascii="宋体" w:hAnsi="宋体"/>
          <w:color w:val="auto"/>
        </w:rPr>
      </w:pPr>
      <w:r>
        <w:rPr>
          <w:rFonts w:hint="eastAsia" w:ascii="宋体" w:hAnsi="宋体"/>
          <w:color w:val="auto"/>
        </w:rPr>
        <w:t>10.2项目正式结束，乙方向甲方提交全部成果后，本合同即行终止。</w:t>
      </w:r>
    </w:p>
    <w:p>
      <w:pPr>
        <w:spacing w:line="520" w:lineRule="exact"/>
        <w:ind w:firstLine="403" w:firstLineChars="192"/>
        <w:rPr>
          <w:rFonts w:ascii="宋体" w:hAnsi="宋体"/>
          <w:color w:val="auto"/>
        </w:rPr>
      </w:pPr>
      <w:r>
        <w:rPr>
          <w:rFonts w:hint="eastAsia" w:ascii="宋体" w:hAnsi="宋体"/>
          <w:color w:val="auto"/>
        </w:rPr>
        <w:t>10.3由于不可抗力因素致使合同无法履行时，双方应及时协商解决终止合同。</w:t>
      </w:r>
    </w:p>
    <w:p>
      <w:pPr>
        <w:spacing w:line="520" w:lineRule="exact"/>
        <w:ind w:firstLine="403" w:firstLineChars="192"/>
        <w:rPr>
          <w:rFonts w:ascii="宋体" w:hAnsi="宋体"/>
          <w:color w:val="auto"/>
        </w:rPr>
      </w:pPr>
      <w:r>
        <w:rPr>
          <w:rFonts w:hint="eastAsia" w:ascii="宋体" w:hAnsi="宋体"/>
          <w:color w:val="auto"/>
        </w:rPr>
        <w:t>10.4本合同一式</w:t>
      </w:r>
      <w:r>
        <w:rPr>
          <w:rFonts w:hint="eastAsia" w:ascii="宋体" w:hAnsi="宋体"/>
          <w:color w:val="auto"/>
          <w:u w:val="single"/>
        </w:rPr>
        <w:t xml:space="preserve">   </w:t>
      </w:r>
      <w:r>
        <w:rPr>
          <w:rFonts w:hint="eastAsia" w:ascii="宋体" w:hAnsi="宋体"/>
          <w:color w:val="auto"/>
        </w:rPr>
        <w:t>份，双方各持</w:t>
      </w:r>
      <w:r>
        <w:rPr>
          <w:rFonts w:hint="eastAsia" w:ascii="宋体" w:hAnsi="宋体"/>
          <w:color w:val="auto"/>
          <w:u w:val="single"/>
        </w:rPr>
        <w:t xml:space="preserve">    </w:t>
      </w:r>
      <w:r>
        <w:rPr>
          <w:rFonts w:hint="eastAsia" w:ascii="宋体" w:hAnsi="宋体"/>
          <w:color w:val="auto"/>
        </w:rPr>
        <w:t>份，自双方加盖公章时生效。</w:t>
      </w:r>
    </w:p>
    <w:p>
      <w:pPr>
        <w:spacing w:line="520" w:lineRule="exact"/>
        <w:ind w:firstLine="403" w:firstLineChars="192"/>
        <w:rPr>
          <w:rFonts w:ascii="宋体" w:hAnsi="宋体"/>
          <w:color w:val="auto"/>
        </w:rPr>
      </w:pPr>
      <w:r>
        <w:rPr>
          <w:rFonts w:hint="eastAsia" w:ascii="宋体" w:hAnsi="宋体"/>
          <w:color w:val="auto"/>
        </w:rPr>
        <w:t>10.5双方认可的来往函文、传真、电报、会议纪要等，均为合同的组成部分，与本合同具有同等法律效力。</w:t>
      </w:r>
    </w:p>
    <w:p>
      <w:pPr>
        <w:spacing w:line="520" w:lineRule="exact"/>
        <w:ind w:firstLine="403" w:firstLineChars="192"/>
        <w:rPr>
          <w:rFonts w:ascii="宋体" w:hAnsi="宋体"/>
          <w:color w:val="auto"/>
        </w:rPr>
      </w:pPr>
      <w:r>
        <w:rPr>
          <w:rFonts w:hint="eastAsia" w:ascii="宋体" w:hAnsi="宋体"/>
          <w:color w:val="auto"/>
        </w:rPr>
        <w:t>10.6未尽事宜，经双方协商一致，签订补充协议，补充协议与本合同具有同等效力。</w:t>
      </w:r>
    </w:p>
    <w:p>
      <w:pPr>
        <w:spacing w:line="520" w:lineRule="exact"/>
        <w:ind w:firstLine="403" w:firstLineChars="192"/>
        <w:rPr>
          <w:rFonts w:ascii="宋体" w:hAnsi="宋体"/>
          <w:color w:val="auto"/>
        </w:rPr>
      </w:pPr>
    </w:p>
    <w:p>
      <w:pPr>
        <w:spacing w:line="520" w:lineRule="exact"/>
        <w:ind w:firstLine="403" w:firstLineChars="192"/>
        <w:rPr>
          <w:rFonts w:ascii="宋体" w:hAnsi="宋体"/>
          <w:color w:val="auto"/>
        </w:rPr>
      </w:pPr>
    </w:p>
    <w:p>
      <w:pPr>
        <w:spacing w:line="520" w:lineRule="exact"/>
        <w:rPr>
          <w:rFonts w:ascii="宋体" w:hAnsi="宋体"/>
          <w:color w:val="auto"/>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rPr>
      </w:pPr>
      <w:r>
        <w:rPr>
          <w:rFonts w:hint="eastAsia" w:ascii="宋体" w:hAnsi="宋体" w:cs="宋体"/>
          <w:color w:val="auto"/>
          <w:kern w:val="0"/>
          <w:lang w:val="zh-CN"/>
        </w:rPr>
        <w:t>甲方（盖章）：</w:t>
      </w: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乙方（盖章）：</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lang w:val="zh-CN"/>
        </w:rPr>
        <w:t>法定代表人或委托代理人</w:t>
      </w: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法定代表人或委托代理人</w:t>
      </w:r>
      <w:r>
        <w:rPr>
          <w:rFonts w:hint="eastAsia" w:ascii="宋体" w:hAnsi="宋体" w:cs="宋体"/>
          <w:color w:val="auto"/>
          <w:kern w:val="0"/>
        </w:rPr>
        <w:t>：</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开户银行：</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lang w:val="zh-CN"/>
        </w:rPr>
        <w:t>联系电话：</w:t>
      </w: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账号：</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rPr>
        <w:t xml:space="preserve">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w:t>
      </w:r>
      <w:r>
        <w:rPr>
          <w:rFonts w:hint="eastAsia" w:ascii="宋体" w:hAnsi="宋体" w:cs="宋体"/>
          <w:color w:val="auto"/>
          <w:kern w:val="0"/>
          <w:lang w:val="zh-CN"/>
        </w:rPr>
        <w:t>联系电话：</w:t>
      </w:r>
    </w:p>
    <w:p>
      <w:pPr>
        <w:autoSpaceDE w:val="0"/>
        <w:autoSpaceDN w:val="0"/>
        <w:spacing w:line="360" w:lineRule="auto"/>
        <w:jc w:val="center"/>
        <w:rPr>
          <w:rFonts w:hint="eastAsia" w:ascii="宋体" w:hAnsi="宋体" w:cs="宋体"/>
          <w:color w:val="auto"/>
          <w:kern w:val="0"/>
        </w:rPr>
      </w:pPr>
      <w:r>
        <w:rPr>
          <w:rFonts w:hint="eastAsia" w:ascii="宋体" w:hAnsi="宋体" w:cs="宋体"/>
          <w:color w:val="auto"/>
          <w:kern w:val="0"/>
          <w:lang w:val="zh-CN"/>
        </w:rPr>
        <w:t>签约时间：</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p>
    <w:p>
      <w:pPr>
        <w:autoSpaceDE w:val="0"/>
        <w:autoSpaceDN w:val="0"/>
        <w:spacing w:line="360" w:lineRule="auto"/>
        <w:rPr>
          <w:rFonts w:hint="eastAsia" w:ascii="宋体" w:hAnsi="宋体" w:cs="宋体"/>
          <w:color w:val="auto"/>
          <w:kern w:val="0"/>
          <w:lang w:val="zh-CN"/>
        </w:rPr>
      </w:pPr>
    </w:p>
    <w:p>
      <w:pPr>
        <w:pStyle w:val="3"/>
        <w:rPr>
          <w:rFonts w:hint="eastAsia"/>
          <w:color w:val="auto"/>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采购代理机构：青海合美建设工程咨询有限公司</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lang w:val="zh-CN"/>
        </w:rPr>
        <w:t>负责人或经办人：</w:t>
      </w:r>
    </w:p>
    <w:p>
      <w:pPr>
        <w:autoSpaceDE w:val="0"/>
        <w:autoSpaceDN w:val="0"/>
        <w:spacing w:line="360" w:lineRule="auto"/>
        <w:rPr>
          <w:rFonts w:hint="eastAsia" w:ascii="宋体" w:hAnsi="宋体" w:cs="宋体"/>
          <w:color w:val="auto"/>
          <w:kern w:val="0"/>
          <w:sz w:val="28"/>
          <w:szCs w:val="28"/>
        </w:rPr>
      </w:pPr>
      <w:r>
        <w:rPr>
          <w:rFonts w:hint="eastAsia" w:ascii="宋体" w:hAnsi="宋体" w:cs="宋体"/>
          <w:color w:val="auto"/>
          <w:kern w:val="0"/>
          <w:lang w:val="zh-CN"/>
        </w:rPr>
        <w:t>时间：</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rPr>
      </w:pPr>
      <w:r>
        <w:rPr>
          <w:rFonts w:hint="eastAsia" w:ascii="宋体" w:hAnsi="宋体" w:cs="宋体"/>
          <w:b/>
          <w:bCs/>
          <w:color w:val="auto"/>
          <w:kern w:val="0"/>
          <w:sz w:val="28"/>
          <w:szCs w:val="28"/>
          <w:lang w:val="zh-CN"/>
        </w:rPr>
        <w:br w:type="page"/>
      </w:r>
      <w:r>
        <w:rPr>
          <w:rFonts w:hint="eastAsia" w:ascii="新宋体" w:hAnsi="新宋体" w:eastAsia="新宋体" w:cs="新宋体"/>
          <w:b/>
          <w:bCs/>
          <w:color w:val="auto"/>
          <w:kern w:val="0"/>
          <w:sz w:val="24"/>
          <w:szCs w:val="24"/>
          <w:lang w:val="zh-CN"/>
        </w:rPr>
        <w:t>合同通用条款</w:t>
      </w:r>
    </w:p>
    <w:p>
      <w:pPr>
        <w:autoSpaceDE w:val="0"/>
        <w:autoSpaceDN w:val="0"/>
        <w:adjustRightInd w:val="0"/>
        <w:snapToGrid w:val="0"/>
        <w:spacing w:line="360" w:lineRule="auto"/>
        <w:rPr>
          <w:rFonts w:hint="eastAsia" w:ascii="新宋体" w:hAnsi="新宋体" w:eastAsia="新宋体" w:cs="新宋体"/>
          <w:color w:val="auto"/>
          <w:kern w:val="0"/>
          <w:sz w:val="24"/>
          <w:szCs w:val="24"/>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w:t>
      </w:r>
      <w:r>
        <w:rPr>
          <w:rFonts w:hint="eastAsia" w:ascii="新宋体" w:hAnsi="新宋体" w:eastAsia="新宋体" w:cs="新宋体"/>
          <w:b/>
          <w:bCs/>
          <w:color w:val="auto"/>
          <w:kern w:val="0"/>
          <w:sz w:val="24"/>
          <w:szCs w:val="24"/>
          <w:lang w:val="zh-CN"/>
        </w:rPr>
        <w:t>定义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本合同中的下列术语应解释为：</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 </w:t>
      </w:r>
      <w:r>
        <w:rPr>
          <w:rFonts w:hint="eastAsia" w:ascii="新宋体" w:hAnsi="新宋体" w:eastAsia="新宋体" w:cs="新宋体"/>
          <w:color w:val="auto"/>
          <w:kern w:val="0"/>
          <w:sz w:val="24"/>
          <w:szCs w:val="24"/>
          <w:lang w:val="zh-CN"/>
        </w:rPr>
        <w:t>“合同”指甲乙双方签署的、载明的甲乙双方权利义务的协议，包括所有的附件、附录和上述文件所提到的构成合同的所有文件。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1.2 </w:t>
      </w:r>
      <w:r>
        <w:rPr>
          <w:rFonts w:hint="eastAsia" w:ascii="新宋体" w:hAnsi="新宋体" w:eastAsia="新宋体" w:cs="新宋体"/>
          <w:color w:val="auto"/>
          <w:kern w:val="0"/>
          <w:sz w:val="24"/>
          <w:szCs w:val="24"/>
          <w:lang w:val="zh-CN"/>
        </w:rPr>
        <w:t>“合同金额”指根据合同规定，乙方在正确地完全履行合同义务后甲方应付给乙方的价款。</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 </w:t>
      </w:r>
      <w:r>
        <w:rPr>
          <w:rFonts w:hint="eastAsia" w:ascii="新宋体" w:hAnsi="新宋体" w:eastAsia="新宋体" w:cs="新宋体"/>
          <w:color w:val="auto"/>
          <w:kern w:val="0"/>
          <w:sz w:val="24"/>
          <w:szCs w:val="24"/>
          <w:lang w:val="zh-CN"/>
        </w:rPr>
        <w:t>“合同条款”指本合同条款。</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 </w:t>
      </w:r>
      <w:r>
        <w:rPr>
          <w:rFonts w:hint="eastAsia" w:ascii="新宋体" w:hAnsi="新宋体" w:eastAsia="新宋体" w:cs="新宋体"/>
          <w:color w:val="auto"/>
          <w:kern w:val="0"/>
          <w:sz w:val="24"/>
          <w:szCs w:val="24"/>
          <w:lang w:val="zh-CN"/>
        </w:rPr>
        <w:t>“货物”指乙方根据合同约定须向甲方提供的一切产品、设备、机械、仪表、备件等，包括辅助工具、使用手册等相关资料。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 </w:t>
      </w:r>
      <w:r>
        <w:rPr>
          <w:rFonts w:hint="eastAsia" w:ascii="新宋体" w:hAnsi="新宋体" w:eastAsia="新宋体" w:cs="新宋体"/>
          <w:color w:val="auto"/>
          <w:kern w:val="0"/>
          <w:sz w:val="24"/>
          <w:szCs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1.6 </w:t>
      </w:r>
      <w:r>
        <w:rPr>
          <w:rFonts w:hint="eastAsia" w:ascii="新宋体" w:hAnsi="新宋体" w:eastAsia="新宋体" w:cs="新宋体"/>
          <w:color w:val="auto"/>
          <w:kern w:val="0"/>
          <w:sz w:val="24"/>
          <w:szCs w:val="24"/>
          <w:lang w:val="zh-CN"/>
        </w:rPr>
        <w:t>“甲方”指购买货物和服务的单位。</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 </w:t>
      </w:r>
      <w:r>
        <w:rPr>
          <w:rFonts w:hint="eastAsia" w:ascii="新宋体" w:hAnsi="新宋体" w:eastAsia="新宋体" w:cs="新宋体"/>
          <w:color w:val="auto"/>
          <w:kern w:val="0"/>
          <w:sz w:val="24"/>
          <w:szCs w:val="24"/>
          <w:lang w:val="zh-CN"/>
        </w:rPr>
        <w:t>“乙方”指提供本合同条款下货物和服务的公司或其他实体。</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1.8 </w:t>
      </w:r>
      <w:r>
        <w:rPr>
          <w:rFonts w:hint="eastAsia" w:ascii="新宋体" w:hAnsi="新宋体" w:eastAsia="新宋体" w:cs="新宋体"/>
          <w:color w:val="auto"/>
          <w:kern w:val="0"/>
          <w:sz w:val="24"/>
          <w:szCs w:val="24"/>
          <w:lang w:val="zh-CN"/>
        </w:rPr>
        <w:t>“现场”指合同规定货物将要运至和安装的地点。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1.9 </w:t>
      </w:r>
      <w:r>
        <w:rPr>
          <w:rFonts w:hint="eastAsia" w:ascii="新宋体" w:hAnsi="新宋体" w:eastAsia="新宋体" w:cs="新宋体"/>
          <w:color w:val="auto"/>
          <w:kern w:val="0"/>
          <w:sz w:val="24"/>
          <w:szCs w:val="24"/>
          <w:lang w:val="zh-CN"/>
        </w:rPr>
        <w:t>“验收”指合同双方依据强制性的国家技术质量规范和合同约定，确认合同条款下的货物符合合同规定的活动。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1.10 </w:t>
      </w:r>
      <w:r>
        <w:rPr>
          <w:rFonts w:hint="eastAsia" w:ascii="新宋体" w:hAnsi="新宋体" w:eastAsia="新宋体" w:cs="新宋体"/>
          <w:color w:val="auto"/>
          <w:kern w:val="0"/>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 </w:t>
      </w:r>
      <w:r>
        <w:rPr>
          <w:rFonts w:hint="eastAsia" w:ascii="新宋体" w:hAnsi="新宋体" w:eastAsia="新宋体" w:cs="新宋体"/>
          <w:color w:val="auto"/>
          <w:kern w:val="0"/>
          <w:sz w:val="24"/>
          <w:szCs w:val="24"/>
          <w:lang w:val="zh-CN"/>
        </w:rPr>
        <w:t>原产地：指产品的生产地，或提供服务的来源地。</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 </w:t>
      </w:r>
      <w:r>
        <w:rPr>
          <w:rFonts w:hint="eastAsia" w:ascii="新宋体" w:hAnsi="新宋体" w:eastAsia="新宋体" w:cs="新宋体"/>
          <w:color w:val="auto"/>
          <w:kern w:val="0"/>
          <w:sz w:val="24"/>
          <w:szCs w:val="24"/>
          <w:lang w:val="zh-CN"/>
        </w:rPr>
        <w:t>“工作日”指国家法定工作日，“天”指日历天数。</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w:t>
      </w:r>
      <w:r>
        <w:rPr>
          <w:rFonts w:hint="eastAsia" w:ascii="新宋体" w:hAnsi="新宋体" w:eastAsia="新宋体" w:cs="新宋体"/>
          <w:b/>
          <w:bCs/>
          <w:color w:val="auto"/>
          <w:kern w:val="0"/>
          <w:sz w:val="24"/>
          <w:szCs w:val="24"/>
          <w:lang w:val="zh-CN"/>
        </w:rPr>
        <w:t>技术规格要求</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2.1 </w:t>
      </w:r>
      <w:r>
        <w:rPr>
          <w:rFonts w:hint="eastAsia" w:ascii="新宋体" w:hAnsi="新宋体" w:eastAsia="新宋体" w:cs="新宋体"/>
          <w:color w:val="auto"/>
          <w:kern w:val="0"/>
          <w:sz w:val="24"/>
          <w:szCs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2.2 </w:t>
      </w:r>
      <w:r>
        <w:rPr>
          <w:rFonts w:hint="eastAsia" w:ascii="新宋体" w:hAnsi="新宋体" w:eastAsia="新宋体" w:cs="新宋体"/>
          <w:color w:val="auto"/>
          <w:kern w:val="0"/>
          <w:sz w:val="24"/>
          <w:szCs w:val="24"/>
          <w:lang w:val="zh-CN"/>
        </w:rPr>
        <w:t>乙方应向甲方提供货物及服务有关的标准的中文文本。</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2.3 </w:t>
      </w:r>
      <w:r>
        <w:rPr>
          <w:rFonts w:hint="eastAsia" w:ascii="新宋体" w:hAnsi="新宋体" w:eastAsia="新宋体" w:cs="新宋体"/>
          <w:color w:val="auto"/>
          <w:kern w:val="0"/>
          <w:sz w:val="24"/>
          <w:szCs w:val="24"/>
          <w:lang w:val="zh-CN"/>
        </w:rPr>
        <w:t>除非技术规范中另有规定，计量单位均采用中华人民共和国法定计量单位。</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3.</w:t>
      </w:r>
      <w:r>
        <w:rPr>
          <w:rFonts w:hint="eastAsia" w:ascii="新宋体" w:hAnsi="新宋体" w:eastAsia="新宋体" w:cs="新宋体"/>
          <w:b/>
          <w:bCs/>
          <w:color w:val="auto"/>
          <w:kern w:val="0"/>
          <w:sz w:val="24"/>
          <w:szCs w:val="24"/>
          <w:lang w:val="zh-CN"/>
        </w:rPr>
        <w:t>合同范围</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3.1 </w:t>
      </w:r>
      <w:r>
        <w:rPr>
          <w:rFonts w:hint="eastAsia" w:ascii="新宋体" w:hAnsi="新宋体" w:eastAsia="新宋体" w:cs="新宋体"/>
          <w:color w:val="auto"/>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3.2 </w:t>
      </w:r>
      <w:r>
        <w:rPr>
          <w:rFonts w:hint="eastAsia" w:ascii="新宋体" w:hAnsi="新宋体" w:eastAsia="新宋体" w:cs="新宋体"/>
          <w:color w:val="auto"/>
          <w:kern w:val="0"/>
          <w:sz w:val="24"/>
          <w:szCs w:val="24"/>
          <w:lang w:val="zh-CN"/>
        </w:rPr>
        <w:t>乙方应负责培训甲方的技术人员。</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3.3 </w:t>
      </w:r>
      <w:r>
        <w:rPr>
          <w:rFonts w:hint="eastAsia" w:ascii="新宋体" w:hAnsi="新宋体" w:eastAsia="新宋体" w:cs="新宋体"/>
          <w:color w:val="auto"/>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4.</w:t>
      </w:r>
      <w:r>
        <w:rPr>
          <w:rFonts w:hint="eastAsia" w:ascii="新宋体" w:hAnsi="新宋体" w:eastAsia="新宋体" w:cs="新宋体"/>
          <w:b/>
          <w:bCs/>
          <w:color w:val="auto"/>
          <w:kern w:val="0"/>
          <w:sz w:val="24"/>
          <w:szCs w:val="24"/>
          <w:lang w:val="zh-CN"/>
        </w:rPr>
        <w:t>合同文件和资料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4.1 </w:t>
      </w:r>
      <w:r>
        <w:rPr>
          <w:rFonts w:hint="eastAsia" w:ascii="新宋体" w:hAnsi="新宋体" w:eastAsia="新宋体" w:cs="新宋体"/>
          <w:color w:val="auto"/>
          <w:kern w:val="0"/>
          <w:sz w:val="24"/>
          <w:szCs w:val="24"/>
          <w:lang w:val="zh-CN"/>
        </w:rPr>
        <w:t>乙方在提供仪器设备时应同时提供中文版相关的技术资料，如目录索引、图纸、操作手册、使用指南、维修指南、服务手册等。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4.2 </w:t>
      </w:r>
      <w:r>
        <w:rPr>
          <w:rFonts w:hint="eastAsia" w:ascii="新宋体" w:hAnsi="新宋体" w:eastAsia="新宋体" w:cs="新宋体"/>
          <w:color w:val="auto"/>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5.</w:t>
      </w:r>
      <w:r>
        <w:rPr>
          <w:rFonts w:hint="eastAsia" w:ascii="新宋体" w:hAnsi="新宋体" w:eastAsia="新宋体" w:cs="新宋体"/>
          <w:b/>
          <w:bCs/>
          <w:color w:val="auto"/>
          <w:kern w:val="0"/>
          <w:sz w:val="24"/>
          <w:szCs w:val="24"/>
          <w:lang w:val="zh-CN"/>
        </w:rPr>
        <w:t>知识产权</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5.1 </w:t>
      </w:r>
      <w:r>
        <w:rPr>
          <w:rFonts w:hint="eastAsia" w:ascii="新宋体" w:hAnsi="新宋体" w:eastAsia="新宋体" w:cs="新宋体"/>
          <w:color w:val="auto"/>
          <w:kern w:val="0"/>
          <w:sz w:val="24"/>
          <w:szCs w:val="24"/>
          <w:lang w:val="zh-CN"/>
        </w:rPr>
        <w:t>乙方应保证甲方在使用该货物或其任何一部分时不受第三方提出的侵犯专利权、著作权、商标权和工业设计权等的起诉。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5.2 </w:t>
      </w:r>
      <w:r>
        <w:rPr>
          <w:rFonts w:hint="eastAsia" w:ascii="新宋体" w:hAnsi="新宋体" w:eastAsia="新宋体" w:cs="新宋体"/>
          <w:color w:val="auto"/>
          <w:kern w:val="0"/>
          <w:sz w:val="24"/>
          <w:szCs w:val="24"/>
          <w:lang w:val="zh-CN"/>
        </w:rPr>
        <w:t>任何第三方提出侵权指控，乙方须与第三方交涉并承担由此产生的一切责任、费用和经济赔偿。</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5.3 </w:t>
      </w:r>
      <w:r>
        <w:rPr>
          <w:rFonts w:hint="eastAsia" w:ascii="新宋体" w:hAnsi="新宋体" w:eastAsia="新宋体" w:cs="新宋体"/>
          <w:color w:val="auto"/>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5.4 </w:t>
      </w:r>
      <w:r>
        <w:rPr>
          <w:rFonts w:hint="eastAsia" w:ascii="新宋体" w:hAnsi="新宋体" w:eastAsia="新宋体" w:cs="新宋体"/>
          <w:color w:val="auto"/>
          <w:kern w:val="0"/>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5.5 </w:t>
      </w:r>
      <w:r>
        <w:rPr>
          <w:rFonts w:hint="eastAsia" w:ascii="新宋体" w:hAnsi="新宋体" w:eastAsia="新宋体" w:cs="新宋体"/>
          <w:color w:val="auto"/>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6.</w:t>
      </w:r>
      <w:r>
        <w:rPr>
          <w:rFonts w:hint="eastAsia" w:ascii="新宋体" w:hAnsi="新宋体" w:eastAsia="新宋体" w:cs="新宋体"/>
          <w:b/>
          <w:bCs/>
          <w:color w:val="auto"/>
          <w:kern w:val="0"/>
          <w:sz w:val="24"/>
          <w:szCs w:val="24"/>
          <w:lang w:val="zh-CN"/>
        </w:rPr>
        <w:t>保密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6.1 </w:t>
      </w:r>
      <w:r>
        <w:rPr>
          <w:rFonts w:hint="eastAsia" w:ascii="新宋体" w:hAnsi="新宋体" w:eastAsia="新宋体" w:cs="新宋体"/>
          <w:color w:val="auto"/>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 </w:t>
      </w:r>
      <w:r>
        <w:rPr>
          <w:rFonts w:hint="eastAsia" w:ascii="新宋体" w:hAnsi="新宋体" w:eastAsia="新宋体" w:cs="新宋体"/>
          <w:color w:val="auto"/>
          <w:kern w:val="0"/>
          <w:sz w:val="24"/>
          <w:szCs w:val="24"/>
          <w:lang w:val="zh-CN"/>
        </w:rPr>
        <w:t>保密信息指任何一方因履行本合同所知悉的任何以口头、书面、图表或电子形式存在的对方信息，具体包括：</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6.2.1 </w:t>
      </w:r>
      <w:r>
        <w:rPr>
          <w:rFonts w:hint="eastAsia" w:ascii="新宋体" w:hAnsi="新宋体" w:eastAsia="新宋体" w:cs="新宋体"/>
          <w:color w:val="auto"/>
          <w:kern w:val="0"/>
          <w:sz w:val="24"/>
          <w:szCs w:val="24"/>
          <w:lang w:val="zh-CN"/>
        </w:rPr>
        <w:t>任何涉及对方过去、现在或将来的商业计划、规章制度、操作规程、处理手段、财务信息；</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6.2.2 </w:t>
      </w:r>
      <w:r>
        <w:rPr>
          <w:rFonts w:hint="eastAsia" w:ascii="新宋体" w:hAnsi="新宋体" w:eastAsia="新宋体" w:cs="新宋体"/>
          <w:color w:val="auto"/>
          <w:kern w:val="0"/>
          <w:sz w:val="24"/>
          <w:szCs w:val="24"/>
          <w:lang w:val="zh-CN"/>
        </w:rPr>
        <w:t>任何对方的技术措施、技术方案、软件应用及开发，硬件设备的品种、质量、数量、品牌等；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6.2.3 </w:t>
      </w:r>
      <w:r>
        <w:rPr>
          <w:rFonts w:hint="eastAsia" w:ascii="新宋体" w:hAnsi="新宋体" w:eastAsia="新宋体" w:cs="新宋体"/>
          <w:color w:val="auto"/>
          <w:kern w:val="0"/>
          <w:sz w:val="24"/>
          <w:szCs w:val="24"/>
          <w:lang w:val="zh-CN"/>
        </w:rPr>
        <w:t>任何对方的技术秘密或专有知识、文件、报告、数据、客户软件、流程图、数据库、发明、知识、贸易秘密。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6.3 </w:t>
      </w:r>
      <w:r>
        <w:rPr>
          <w:rFonts w:hint="eastAsia" w:ascii="新宋体" w:hAnsi="新宋体" w:eastAsia="新宋体" w:cs="新宋体"/>
          <w:color w:val="auto"/>
          <w:kern w:val="0"/>
          <w:sz w:val="24"/>
          <w:szCs w:val="24"/>
          <w:lang w:val="zh-CN"/>
        </w:rPr>
        <w:t>乙方应根据甲方的要求签署相应的保密协议，保密协议与本条款存在不一致的，以保密协议为准。</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 xml:space="preserve">7. </w:t>
      </w:r>
      <w:r>
        <w:rPr>
          <w:rFonts w:hint="eastAsia" w:ascii="新宋体" w:hAnsi="新宋体" w:eastAsia="新宋体" w:cs="新宋体"/>
          <w:b/>
          <w:bCs/>
          <w:color w:val="auto"/>
          <w:kern w:val="0"/>
          <w:sz w:val="24"/>
          <w:szCs w:val="24"/>
          <w:lang w:val="zh-CN"/>
        </w:rPr>
        <w:t>质量保证</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 </w:t>
      </w:r>
      <w:r>
        <w:rPr>
          <w:rFonts w:hint="eastAsia" w:ascii="新宋体" w:hAnsi="新宋体" w:eastAsia="新宋体" w:cs="新宋体"/>
          <w:color w:val="auto"/>
          <w:kern w:val="0"/>
          <w:sz w:val="24"/>
          <w:szCs w:val="24"/>
          <w:lang w:val="zh-CN"/>
        </w:rPr>
        <w:t>货物质量保证</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7.1.1 </w:t>
      </w:r>
      <w:r>
        <w:rPr>
          <w:rFonts w:hint="eastAsia" w:ascii="新宋体" w:hAnsi="新宋体" w:eastAsia="新宋体" w:cs="新宋体"/>
          <w:color w:val="auto"/>
          <w:kern w:val="0"/>
          <w:sz w:val="24"/>
          <w:szCs w:val="24"/>
          <w:lang w:val="zh-CN"/>
        </w:rPr>
        <w:t>乙方必须保证货物是全新、未使用过的，并完全符合强制性的国家技术质量规范和合同规定的质量、规格、性能和技术规范等的要求。</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7.1.2 </w:t>
      </w:r>
      <w:r>
        <w:rPr>
          <w:rFonts w:hint="eastAsia" w:ascii="新宋体" w:hAnsi="新宋体" w:eastAsia="新宋体" w:cs="新宋体"/>
          <w:color w:val="auto"/>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7.1.3 </w:t>
      </w:r>
      <w:r>
        <w:rPr>
          <w:rFonts w:hint="eastAsia" w:ascii="新宋体" w:hAnsi="新宋体" w:eastAsia="新宋体" w:cs="新宋体"/>
          <w:color w:val="auto"/>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通知后24小时内派员到现场维修。过质保外乙方提供终身免费技术服务，乙方应在收到甲方的保修或保外维修通知后24小时内派员到现场维修（技术要求另有规定除外）。乙方在甲方发出质量异议通知后，未作答复，甲方在通知书中所提出的要求应视为已被乙方接受。</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7.1.4 </w:t>
      </w:r>
      <w:r>
        <w:rPr>
          <w:rFonts w:hint="eastAsia" w:ascii="新宋体" w:hAnsi="新宋体" w:eastAsia="新宋体" w:cs="新宋体"/>
          <w:color w:val="auto"/>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 xml:space="preserve">7.1.5 </w:t>
      </w:r>
      <w:r>
        <w:rPr>
          <w:rFonts w:hint="eastAsia" w:ascii="新宋体" w:hAnsi="新宋体" w:eastAsia="新宋体" w:cs="新宋体"/>
          <w:color w:val="auto"/>
          <w:kern w:val="0"/>
          <w:sz w:val="24"/>
          <w:szCs w:val="24"/>
          <w:lang w:val="zh-CN"/>
        </w:rPr>
        <w:t>合同条款下货物的质量保证期自货物通过最终验收起算，合同另行规定除外。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7.2 </w:t>
      </w:r>
      <w:r>
        <w:rPr>
          <w:rFonts w:hint="eastAsia" w:ascii="新宋体" w:hAnsi="新宋体" w:eastAsia="新宋体" w:cs="新宋体"/>
          <w:color w:val="auto"/>
          <w:kern w:val="0"/>
          <w:sz w:val="24"/>
          <w:szCs w:val="24"/>
          <w:lang w:val="zh-CN"/>
        </w:rPr>
        <w:t>辅助服务质量保证</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7.2.1 </w:t>
      </w:r>
      <w:r>
        <w:rPr>
          <w:rFonts w:hint="eastAsia" w:ascii="新宋体" w:hAnsi="新宋体" w:eastAsia="新宋体" w:cs="新宋体"/>
          <w:color w:val="auto"/>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过质保外乙方提供终身免费技术服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 xml:space="preserve">7.2.2 </w:t>
      </w:r>
      <w:r>
        <w:rPr>
          <w:rFonts w:hint="eastAsia" w:ascii="新宋体" w:hAnsi="新宋体" w:eastAsia="新宋体" w:cs="新宋体"/>
          <w:color w:val="auto"/>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8.</w:t>
      </w:r>
      <w:r>
        <w:rPr>
          <w:rFonts w:hint="eastAsia" w:ascii="新宋体" w:hAnsi="新宋体" w:eastAsia="新宋体" w:cs="新宋体"/>
          <w:b/>
          <w:bCs/>
          <w:color w:val="auto"/>
          <w:kern w:val="0"/>
          <w:sz w:val="24"/>
          <w:szCs w:val="24"/>
          <w:lang w:val="zh-CN"/>
        </w:rPr>
        <w:t>包装要求</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8.1 </w:t>
      </w:r>
      <w:r>
        <w:rPr>
          <w:rFonts w:hint="eastAsia" w:ascii="新宋体" w:hAnsi="新宋体" w:eastAsia="新宋体" w:cs="新宋体"/>
          <w:color w:val="auto"/>
          <w:kern w:val="0"/>
          <w:sz w:val="24"/>
          <w:szCs w:val="24"/>
          <w:lang w:val="zh-CN"/>
        </w:rPr>
        <w:t>除合同另有约定外</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乙方提供的全部货物</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均应采用本行业通用的方式进行包装，且该包装应符合国家有关包装的法律、法规的规定。</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8.2 </w:t>
      </w:r>
      <w:r>
        <w:rPr>
          <w:rFonts w:hint="eastAsia" w:ascii="新宋体" w:hAnsi="新宋体" w:eastAsia="新宋体" w:cs="新宋体"/>
          <w:color w:val="auto"/>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8.3 </w:t>
      </w:r>
      <w:r>
        <w:rPr>
          <w:rFonts w:hint="eastAsia" w:ascii="新宋体" w:hAnsi="新宋体" w:eastAsia="新宋体" w:cs="新宋体"/>
          <w:color w:val="auto"/>
          <w:kern w:val="0"/>
          <w:sz w:val="24"/>
          <w:szCs w:val="24"/>
          <w:lang w:val="zh-CN"/>
        </w:rPr>
        <w:t>乙方所提供的货物包装均为出厂时原包装。</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8.4 </w:t>
      </w:r>
      <w:r>
        <w:rPr>
          <w:rFonts w:hint="eastAsia" w:ascii="新宋体" w:hAnsi="新宋体" w:eastAsia="新宋体" w:cs="新宋体"/>
          <w:color w:val="auto"/>
          <w:kern w:val="0"/>
          <w:sz w:val="24"/>
          <w:szCs w:val="24"/>
          <w:lang w:val="zh-CN"/>
        </w:rPr>
        <w:t>乙方所提供货物必须附有质量合格证，装箱清单，主机、附件、各种零部件和消耗品，有清楚的与装箱单相对应的名称和编号。</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8.5 </w:t>
      </w:r>
      <w:r>
        <w:rPr>
          <w:rFonts w:hint="eastAsia" w:ascii="新宋体" w:hAnsi="新宋体" w:eastAsia="新宋体" w:cs="新宋体"/>
          <w:color w:val="auto"/>
          <w:kern w:val="0"/>
          <w:sz w:val="24"/>
          <w:szCs w:val="24"/>
          <w:lang w:val="zh-CN"/>
        </w:rPr>
        <w:t>货物运输中的运输费用和保险费用均由乙方承担。运输过程中的一切损失、损坏均由乙方负责。</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9.</w:t>
      </w:r>
      <w:r>
        <w:rPr>
          <w:rFonts w:hint="eastAsia" w:ascii="新宋体" w:hAnsi="新宋体" w:eastAsia="新宋体" w:cs="新宋体"/>
          <w:b/>
          <w:bCs/>
          <w:color w:val="auto"/>
          <w:kern w:val="0"/>
          <w:sz w:val="24"/>
          <w:szCs w:val="24"/>
          <w:lang w:val="zh-CN"/>
        </w:rPr>
        <w:t>价格</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9.1 </w:t>
      </w:r>
      <w:r>
        <w:rPr>
          <w:rFonts w:hint="eastAsia" w:ascii="新宋体" w:hAnsi="新宋体" w:eastAsia="新宋体" w:cs="新宋体"/>
          <w:color w:val="auto"/>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9.2 </w:t>
      </w:r>
      <w:r>
        <w:rPr>
          <w:rFonts w:hint="eastAsia" w:ascii="新宋体" w:hAnsi="新宋体" w:eastAsia="新宋体" w:cs="新宋体"/>
          <w:color w:val="auto"/>
          <w:kern w:val="0"/>
          <w:sz w:val="24"/>
          <w:szCs w:val="24"/>
          <w:lang w:val="zh-CN"/>
        </w:rPr>
        <w:t>本合同价格为固定价格，包括了乙方履行合同全过程产生的所有成本和费用以及乙方应承担的一切税费。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 </w:t>
      </w:r>
      <w:r>
        <w:rPr>
          <w:rFonts w:hint="eastAsia" w:ascii="新宋体" w:hAnsi="新宋体" w:eastAsia="新宋体" w:cs="新宋体"/>
          <w:color w:val="auto"/>
          <w:kern w:val="0"/>
          <w:sz w:val="24"/>
          <w:szCs w:val="24"/>
          <w:lang w:val="zh-CN"/>
        </w:rPr>
        <w:t>检验费用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9.3.1 </w:t>
      </w:r>
      <w:r>
        <w:rPr>
          <w:rFonts w:hint="eastAsia" w:ascii="新宋体" w:hAnsi="新宋体" w:eastAsia="新宋体" w:cs="新宋体"/>
          <w:color w:val="auto"/>
          <w:kern w:val="0"/>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9.3.2 </w:t>
      </w:r>
      <w:r>
        <w:rPr>
          <w:rFonts w:hint="eastAsia" w:ascii="新宋体" w:hAnsi="新宋体" w:eastAsia="新宋体" w:cs="新宋体"/>
          <w:color w:val="auto"/>
          <w:kern w:val="0"/>
          <w:sz w:val="24"/>
          <w:szCs w:val="24"/>
          <w:lang w:val="zh-CN"/>
        </w:rPr>
        <w:t>甲方按合同计划参加在乙方工厂所在地检验、测试和验收的费用全部由乙方负责并已包含在合同总价中。</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9.3.3 </w:t>
      </w:r>
      <w:r>
        <w:rPr>
          <w:rFonts w:hint="eastAsia" w:ascii="新宋体" w:hAnsi="新宋体" w:eastAsia="新宋体" w:cs="新宋体"/>
          <w:color w:val="auto"/>
          <w:kern w:val="0"/>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10.</w:t>
      </w:r>
      <w:r>
        <w:rPr>
          <w:rFonts w:hint="eastAsia" w:ascii="新宋体" w:hAnsi="新宋体" w:eastAsia="新宋体" w:cs="新宋体"/>
          <w:b/>
          <w:bCs/>
          <w:color w:val="auto"/>
          <w:kern w:val="0"/>
          <w:sz w:val="24"/>
          <w:szCs w:val="24"/>
          <w:lang w:val="zh-CN"/>
        </w:rPr>
        <w:t>服务方式及服务日期</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服务时间应根据产品的特点实事求是填写，进口产品90个工作日内，国产产品60个工作日内。特殊产品交货期需说明。</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交货日期：所有货物运抵现场并经双方开箱验收合格之日。</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11.检验和验收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 </w:t>
      </w:r>
      <w:r>
        <w:rPr>
          <w:rFonts w:hint="eastAsia" w:ascii="新宋体" w:hAnsi="新宋体" w:eastAsia="新宋体" w:cs="新宋体"/>
          <w:color w:val="auto"/>
          <w:kern w:val="0"/>
          <w:sz w:val="24"/>
          <w:szCs w:val="24"/>
          <w:lang w:val="zh-CN"/>
        </w:rPr>
        <w:t>开箱验收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11.1.1 </w:t>
      </w:r>
      <w:r>
        <w:rPr>
          <w:rFonts w:hint="eastAsia" w:ascii="新宋体" w:hAnsi="新宋体" w:eastAsia="新宋体" w:cs="新宋体"/>
          <w:color w:val="auto"/>
          <w:kern w:val="0"/>
          <w:sz w:val="24"/>
          <w:szCs w:val="24"/>
          <w:lang w:val="zh-CN"/>
        </w:rPr>
        <w:t>货物运抵现场后，双方应及时开箱验收，并制作验收记录，以确认与本合同约定的数量、型号等是否一致。</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11.1.2 </w:t>
      </w:r>
      <w:r>
        <w:rPr>
          <w:rFonts w:hint="eastAsia" w:ascii="新宋体" w:hAnsi="新宋体" w:eastAsia="新宋体" w:cs="新宋体"/>
          <w:color w:val="auto"/>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11.1.3 </w:t>
      </w:r>
      <w:r>
        <w:rPr>
          <w:rFonts w:hint="eastAsia" w:ascii="新宋体" w:hAnsi="新宋体" w:eastAsia="新宋体" w:cs="新宋体"/>
          <w:color w:val="auto"/>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 </w:t>
      </w:r>
      <w:r>
        <w:rPr>
          <w:rFonts w:hint="eastAsia" w:ascii="新宋体" w:hAnsi="新宋体" w:eastAsia="新宋体" w:cs="新宋体"/>
          <w:color w:val="auto"/>
          <w:kern w:val="0"/>
          <w:sz w:val="24"/>
          <w:szCs w:val="24"/>
          <w:lang w:val="zh-CN"/>
        </w:rPr>
        <w:t>检验验收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11.2.1 </w:t>
      </w:r>
      <w:r>
        <w:rPr>
          <w:rFonts w:hint="eastAsia" w:ascii="新宋体" w:hAnsi="新宋体" w:eastAsia="新宋体" w:cs="新宋体"/>
          <w:color w:val="auto"/>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11.2.2 </w:t>
      </w:r>
      <w:r>
        <w:rPr>
          <w:rFonts w:hint="eastAsia" w:ascii="新宋体" w:hAnsi="新宋体" w:eastAsia="新宋体" w:cs="新宋体"/>
          <w:color w:val="auto"/>
          <w:kern w:val="0"/>
          <w:sz w:val="24"/>
          <w:szCs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11.2.3 </w:t>
      </w:r>
      <w:r>
        <w:rPr>
          <w:rFonts w:hint="eastAsia" w:ascii="新宋体" w:hAnsi="新宋体" w:eastAsia="新宋体" w:cs="新宋体"/>
          <w:color w:val="auto"/>
          <w:kern w:val="0"/>
          <w:sz w:val="24"/>
          <w:szCs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11.2.4 </w:t>
      </w:r>
      <w:r>
        <w:rPr>
          <w:rFonts w:hint="eastAsia" w:ascii="新宋体" w:hAnsi="新宋体" w:eastAsia="新宋体" w:cs="新宋体"/>
          <w:color w:val="auto"/>
          <w:kern w:val="0"/>
          <w:sz w:val="24"/>
          <w:szCs w:val="24"/>
          <w:lang w:val="zh-CN"/>
        </w:rPr>
        <w:t>检验测试出现全部或部分未达到本合同所约定的技术指标，甲方有权选择下列任一处理方式：</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a.</w:t>
      </w:r>
      <w:r>
        <w:rPr>
          <w:rFonts w:hint="eastAsia" w:ascii="新宋体" w:hAnsi="新宋体" w:eastAsia="新宋体" w:cs="新宋体"/>
          <w:color w:val="auto"/>
          <w:kern w:val="0"/>
          <w:sz w:val="24"/>
          <w:szCs w:val="24"/>
          <w:lang w:val="zh-CN"/>
        </w:rPr>
        <w:t>重新测试直至合格为止；</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b.</w:t>
      </w:r>
      <w:r>
        <w:rPr>
          <w:rFonts w:hint="eastAsia" w:ascii="新宋体" w:hAnsi="新宋体" w:eastAsia="新宋体" w:cs="新宋体"/>
          <w:color w:val="auto"/>
          <w:kern w:val="0"/>
          <w:sz w:val="24"/>
          <w:szCs w:val="24"/>
          <w:lang w:val="zh-CN"/>
        </w:rPr>
        <w:t>要求乙方对货物进行免费更换，然后重新测试直至合格为止；</w:t>
      </w:r>
    </w:p>
    <w:p>
      <w:pPr>
        <w:autoSpaceDE w:val="0"/>
        <w:autoSpaceDN w:val="0"/>
        <w:adjustRightInd w:val="0"/>
        <w:snapToGrid w:val="0"/>
        <w:spacing w:line="360" w:lineRule="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无论选择何种方式，甲方因此而发生的因卖方原因引起的所有费用均由乙方负担。</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11.3 </w:t>
      </w:r>
      <w:r>
        <w:rPr>
          <w:rFonts w:hint="eastAsia" w:ascii="新宋体" w:hAnsi="新宋体" w:eastAsia="新宋体" w:cs="新宋体"/>
          <w:color w:val="auto"/>
          <w:kern w:val="0"/>
          <w:sz w:val="24"/>
          <w:szCs w:val="24"/>
          <w:lang w:val="zh-CN"/>
        </w:rPr>
        <w:t>使用过程检验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11.3.1 </w:t>
      </w:r>
      <w:r>
        <w:rPr>
          <w:rFonts w:hint="eastAsia" w:ascii="新宋体" w:hAnsi="新宋体" w:eastAsia="新宋体" w:cs="新宋体"/>
          <w:color w:val="auto"/>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11.3.2 </w:t>
      </w:r>
      <w:r>
        <w:rPr>
          <w:rFonts w:hint="eastAsia" w:ascii="新宋体" w:hAnsi="新宋体" w:eastAsia="新宋体" w:cs="新宋体"/>
          <w:color w:val="auto"/>
          <w:kern w:val="0"/>
          <w:sz w:val="24"/>
          <w:szCs w:val="24"/>
          <w:lang w:val="zh-CN"/>
        </w:rPr>
        <w:t>如果合同双方对乙方提供的上述试验结果报告的解释有分歧，双方须于出现分歧后</w:t>
      </w:r>
      <w:r>
        <w:rPr>
          <w:rFonts w:hint="eastAsia" w:ascii="新宋体" w:hAnsi="新宋体" w:eastAsia="新宋体" w:cs="新宋体"/>
          <w:color w:val="auto"/>
          <w:kern w:val="0"/>
          <w:sz w:val="24"/>
          <w:szCs w:val="24"/>
        </w:rPr>
        <w:t>10</w:t>
      </w:r>
      <w:r>
        <w:rPr>
          <w:rFonts w:hint="eastAsia" w:ascii="新宋体" w:hAnsi="新宋体" w:eastAsia="新宋体" w:cs="新宋体"/>
          <w:color w:val="auto"/>
          <w:kern w:val="0"/>
          <w:sz w:val="24"/>
          <w:szCs w:val="24"/>
          <w:lang w:val="zh-CN"/>
        </w:rPr>
        <w:t>天内给对方声明，以陈述己方的观点。声明须附有关证据。分歧应通过协商解决。</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12.</w:t>
      </w:r>
      <w:r>
        <w:rPr>
          <w:rFonts w:hint="eastAsia" w:ascii="新宋体" w:hAnsi="新宋体" w:eastAsia="新宋体" w:cs="新宋体"/>
          <w:b/>
          <w:bCs/>
          <w:color w:val="auto"/>
          <w:kern w:val="0"/>
          <w:sz w:val="24"/>
          <w:szCs w:val="24"/>
          <w:lang w:val="zh-CN"/>
        </w:rPr>
        <w:t>付款方法和条件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本合同条款下的付款方法和条件在“青海省政府采购项目合同书”中具体规定。</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13.</w:t>
      </w:r>
      <w:r>
        <w:rPr>
          <w:rFonts w:hint="eastAsia" w:ascii="新宋体" w:hAnsi="新宋体" w:eastAsia="新宋体" w:cs="新宋体"/>
          <w:b/>
          <w:bCs/>
          <w:color w:val="auto"/>
          <w:kern w:val="0"/>
          <w:sz w:val="24"/>
          <w:szCs w:val="24"/>
          <w:lang w:val="zh-CN"/>
        </w:rPr>
        <w:t>履约保证金</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13.1 </w:t>
      </w:r>
      <w:r>
        <w:rPr>
          <w:rFonts w:hint="eastAsia" w:ascii="新宋体" w:hAnsi="新宋体" w:eastAsia="新宋体" w:cs="新宋体"/>
          <w:color w:val="auto"/>
          <w:kern w:val="0"/>
          <w:sz w:val="24"/>
          <w:szCs w:val="24"/>
          <w:lang w:val="zh-CN"/>
        </w:rPr>
        <w:t>乙方应在合同签订前，按磋商文件第</w:t>
      </w:r>
      <w:r>
        <w:rPr>
          <w:rFonts w:hint="eastAsia" w:ascii="新宋体" w:hAnsi="新宋体" w:eastAsia="新宋体" w:cs="新宋体"/>
          <w:color w:val="auto"/>
          <w:kern w:val="0"/>
          <w:sz w:val="24"/>
          <w:szCs w:val="24"/>
        </w:rPr>
        <w:t>二</w:t>
      </w:r>
      <w:r>
        <w:rPr>
          <w:rFonts w:hint="eastAsia" w:ascii="新宋体" w:hAnsi="新宋体" w:eastAsia="新宋体" w:cs="新宋体"/>
          <w:color w:val="auto"/>
          <w:kern w:val="0"/>
          <w:sz w:val="24"/>
          <w:szCs w:val="24"/>
          <w:lang w:val="zh-CN"/>
        </w:rPr>
        <w:t>部分“八 授予合同”中第22.2项的约定提交履约保证金。</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13.2 </w:t>
      </w:r>
      <w:r>
        <w:rPr>
          <w:rFonts w:hint="eastAsia" w:ascii="新宋体" w:hAnsi="新宋体" w:eastAsia="新宋体" w:cs="新宋体"/>
          <w:color w:val="auto"/>
          <w:kern w:val="0"/>
          <w:sz w:val="24"/>
          <w:szCs w:val="24"/>
          <w:lang w:val="zh-CN"/>
        </w:rPr>
        <w:t>履约保证金用于补偿甲方因乙方不能履行其合同义务而蒙受的损失。</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13.3 </w:t>
      </w:r>
      <w:r>
        <w:rPr>
          <w:rFonts w:hint="eastAsia" w:ascii="新宋体" w:hAnsi="新宋体" w:eastAsia="新宋体" w:cs="新宋体"/>
          <w:color w:val="auto"/>
          <w:kern w:val="0"/>
          <w:sz w:val="24"/>
          <w:szCs w:val="24"/>
          <w:lang w:val="zh-CN"/>
        </w:rPr>
        <w:t>履约保证金应使用本合同货币，按下述方式之一提交（磋商文件中另有约定的除外）：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13.3.1 </w:t>
      </w:r>
      <w:r>
        <w:rPr>
          <w:rFonts w:hint="eastAsia" w:ascii="新宋体" w:hAnsi="新宋体" w:eastAsia="新宋体" w:cs="新宋体"/>
          <w:color w:val="auto"/>
          <w:kern w:val="0"/>
          <w:sz w:val="24"/>
          <w:szCs w:val="24"/>
          <w:lang w:val="zh-CN"/>
        </w:rPr>
        <w:t>甲方可接受的在中华人民共和国注册和营业的银行出具的履约保函；</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13.3.2 </w:t>
      </w:r>
      <w:r>
        <w:rPr>
          <w:rFonts w:hint="eastAsia" w:ascii="新宋体" w:hAnsi="新宋体" w:eastAsia="新宋体" w:cs="新宋体"/>
          <w:color w:val="auto"/>
          <w:kern w:val="0"/>
          <w:sz w:val="24"/>
          <w:szCs w:val="24"/>
          <w:lang w:val="zh-CN"/>
        </w:rPr>
        <w:t>支票或汇票。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13.4 </w:t>
      </w:r>
      <w:r>
        <w:rPr>
          <w:rFonts w:hint="eastAsia" w:ascii="新宋体" w:hAnsi="新宋体" w:eastAsia="新宋体" w:cs="新宋体"/>
          <w:color w:val="auto"/>
          <w:kern w:val="0"/>
          <w:sz w:val="24"/>
          <w:szCs w:val="24"/>
          <w:lang w:val="zh-CN"/>
        </w:rPr>
        <w:t>乙方未能按合同规定履行其义务，甲方有权从履约保证金中取得补偿。货物验收合格后，甲方将履约保证金退还乙方或转为质量保证金。</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14.</w:t>
      </w:r>
      <w:r>
        <w:rPr>
          <w:rFonts w:hint="eastAsia" w:ascii="新宋体" w:hAnsi="新宋体" w:eastAsia="新宋体" w:cs="新宋体"/>
          <w:b/>
          <w:bCs/>
          <w:color w:val="auto"/>
          <w:kern w:val="0"/>
          <w:sz w:val="24"/>
          <w:szCs w:val="24"/>
          <w:lang w:val="zh-CN"/>
        </w:rPr>
        <w:t>索赔</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14.1 </w:t>
      </w:r>
      <w:r>
        <w:rPr>
          <w:rFonts w:hint="eastAsia" w:ascii="新宋体" w:hAnsi="新宋体" w:eastAsia="新宋体" w:cs="新宋体"/>
          <w:color w:val="auto"/>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 </w:t>
      </w:r>
      <w:r>
        <w:rPr>
          <w:rFonts w:hint="eastAsia" w:ascii="新宋体" w:hAnsi="新宋体" w:eastAsia="新宋体" w:cs="新宋体"/>
          <w:color w:val="auto"/>
          <w:kern w:val="0"/>
          <w:sz w:val="24"/>
          <w:szCs w:val="24"/>
          <w:lang w:val="zh-CN"/>
        </w:rPr>
        <w:t>在履约保证期和检验期内，乙方对甲方提出的索赔负有责任，乙方应按照甲方同意的下列一种或多种方式解决索赔事宜：</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14.2.1 </w:t>
      </w:r>
      <w:r>
        <w:rPr>
          <w:rFonts w:hint="eastAsia" w:ascii="新宋体" w:hAnsi="新宋体" w:eastAsia="新宋体" w:cs="新宋体"/>
          <w:color w:val="auto"/>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14.2.2 </w:t>
      </w:r>
      <w:r>
        <w:rPr>
          <w:rFonts w:hint="eastAsia" w:ascii="新宋体" w:hAnsi="新宋体" w:eastAsia="新宋体" w:cs="新宋体"/>
          <w:color w:val="auto"/>
          <w:kern w:val="0"/>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14.2.3 </w:t>
      </w:r>
      <w:r>
        <w:rPr>
          <w:rFonts w:hint="eastAsia" w:ascii="新宋体" w:hAnsi="新宋体" w:eastAsia="新宋体" w:cs="新宋体"/>
          <w:color w:val="auto"/>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14.3 </w:t>
      </w:r>
      <w:r>
        <w:rPr>
          <w:rFonts w:hint="eastAsia" w:ascii="新宋体" w:hAnsi="新宋体" w:eastAsia="新宋体" w:cs="新宋体"/>
          <w:color w:val="auto"/>
          <w:kern w:val="0"/>
          <w:sz w:val="24"/>
          <w:szCs w:val="24"/>
          <w:lang w:val="zh-CN"/>
        </w:rPr>
        <w:t>乙方收到甲方发出的索赔通知之日起</w:t>
      </w:r>
      <w:r>
        <w:rPr>
          <w:rFonts w:hint="eastAsia" w:ascii="新宋体" w:hAnsi="新宋体" w:eastAsia="新宋体" w:cs="新宋体"/>
          <w:color w:val="auto"/>
          <w:kern w:val="0"/>
          <w:sz w:val="24"/>
          <w:szCs w:val="24"/>
        </w:rPr>
        <w:t>5</w:t>
      </w:r>
      <w:r>
        <w:rPr>
          <w:rFonts w:hint="eastAsia" w:ascii="新宋体" w:hAnsi="新宋体" w:eastAsia="新宋体" w:cs="新宋体"/>
          <w:color w:val="auto"/>
          <w:kern w:val="0"/>
          <w:sz w:val="24"/>
          <w:szCs w:val="24"/>
          <w:lang w:val="zh-CN"/>
        </w:rPr>
        <w:t>个工作日内未作答复的，甲方可从合同款或履约保证金中扣回索赔金额，如金额不足以补偿索赔金额，乙方应补足差额部分。</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15.</w:t>
      </w:r>
      <w:r>
        <w:rPr>
          <w:rFonts w:hint="eastAsia" w:ascii="新宋体" w:hAnsi="新宋体" w:eastAsia="新宋体" w:cs="新宋体"/>
          <w:b/>
          <w:bCs/>
          <w:color w:val="auto"/>
          <w:kern w:val="0"/>
          <w:sz w:val="24"/>
          <w:szCs w:val="24"/>
          <w:lang w:val="zh-CN"/>
        </w:rPr>
        <w:t>迟延交货</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15.1 </w:t>
      </w:r>
      <w:r>
        <w:rPr>
          <w:rFonts w:hint="eastAsia" w:ascii="新宋体" w:hAnsi="新宋体" w:eastAsia="新宋体" w:cs="新宋体"/>
          <w:color w:val="auto"/>
          <w:kern w:val="0"/>
          <w:sz w:val="24"/>
          <w:szCs w:val="24"/>
          <w:lang w:val="zh-CN"/>
        </w:rPr>
        <w:t>乙方应按照合同约定的时间交货和提供服务。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15.2 </w:t>
      </w:r>
      <w:r>
        <w:rPr>
          <w:rFonts w:hint="eastAsia" w:ascii="新宋体" w:hAnsi="新宋体" w:eastAsia="新宋体" w:cs="新宋体"/>
          <w:color w:val="auto"/>
          <w:kern w:val="0"/>
          <w:sz w:val="24"/>
          <w:szCs w:val="24"/>
          <w:lang w:val="zh-CN"/>
        </w:rPr>
        <w:t>除不可抗力因素外，乙方迟延交货，甲方有权提出违约损失赔偿或解除合同。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15.3 </w:t>
      </w:r>
      <w:r>
        <w:rPr>
          <w:rFonts w:hint="eastAsia" w:ascii="新宋体" w:hAnsi="新宋体" w:eastAsia="新宋体" w:cs="新宋体"/>
          <w:color w:val="auto"/>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16.</w:t>
      </w:r>
      <w:r>
        <w:rPr>
          <w:rFonts w:hint="eastAsia" w:ascii="新宋体" w:hAnsi="新宋体" w:eastAsia="新宋体" w:cs="新宋体"/>
          <w:b/>
          <w:bCs/>
          <w:color w:val="auto"/>
          <w:kern w:val="0"/>
          <w:sz w:val="24"/>
          <w:szCs w:val="24"/>
          <w:lang w:val="zh-CN"/>
        </w:rPr>
        <w:t>违约赔偿</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17.</w:t>
      </w:r>
      <w:r>
        <w:rPr>
          <w:rFonts w:hint="eastAsia" w:ascii="新宋体" w:hAnsi="新宋体" w:eastAsia="新宋体" w:cs="新宋体"/>
          <w:b/>
          <w:bCs/>
          <w:color w:val="auto"/>
          <w:kern w:val="0"/>
          <w:sz w:val="24"/>
          <w:szCs w:val="24"/>
          <w:lang w:val="zh-CN"/>
        </w:rPr>
        <w:t>不可抗力</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17.1 </w:t>
      </w:r>
      <w:r>
        <w:rPr>
          <w:rFonts w:hint="eastAsia" w:ascii="新宋体" w:hAnsi="新宋体" w:eastAsia="新宋体" w:cs="新宋体"/>
          <w:color w:val="auto"/>
          <w:kern w:val="0"/>
          <w:sz w:val="24"/>
          <w:szCs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17.2 </w:t>
      </w:r>
      <w:r>
        <w:rPr>
          <w:rFonts w:hint="eastAsia" w:ascii="新宋体" w:hAnsi="新宋体" w:eastAsia="新宋体" w:cs="新宋体"/>
          <w:color w:val="auto"/>
          <w:kern w:val="0"/>
          <w:sz w:val="24"/>
          <w:szCs w:val="24"/>
          <w:lang w:val="zh-CN"/>
        </w:rPr>
        <w:t>受事故影响的一方应在不可抗力的事故发生后以书面形式通知另一方。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17.3 </w:t>
      </w:r>
      <w:r>
        <w:rPr>
          <w:rFonts w:hint="eastAsia" w:ascii="新宋体" w:hAnsi="新宋体" w:eastAsia="新宋体" w:cs="新宋体"/>
          <w:color w:val="auto"/>
          <w:kern w:val="0"/>
          <w:sz w:val="24"/>
          <w:szCs w:val="24"/>
          <w:lang w:val="zh-CN"/>
        </w:rPr>
        <w:t>不可抗力使合同的某些内容有变更必要的，双方应通过协商达成进一步履行合同的协议，因不可抗力致使合同不能履行的，合同终止。</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18.</w:t>
      </w:r>
      <w:r>
        <w:rPr>
          <w:rFonts w:hint="eastAsia" w:ascii="新宋体" w:hAnsi="新宋体" w:eastAsia="新宋体" w:cs="新宋体"/>
          <w:b/>
          <w:bCs/>
          <w:color w:val="auto"/>
          <w:kern w:val="0"/>
          <w:sz w:val="24"/>
          <w:szCs w:val="24"/>
          <w:lang w:val="zh-CN"/>
        </w:rPr>
        <w:t>税费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与本合同有关的一切税费均由乙方承担。</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19.</w:t>
      </w:r>
      <w:r>
        <w:rPr>
          <w:rFonts w:hint="eastAsia" w:ascii="新宋体" w:hAnsi="新宋体" w:eastAsia="新宋体" w:cs="新宋体"/>
          <w:b/>
          <w:bCs/>
          <w:color w:val="auto"/>
          <w:kern w:val="0"/>
          <w:sz w:val="24"/>
          <w:szCs w:val="24"/>
          <w:lang w:val="zh-CN"/>
        </w:rPr>
        <w:t>合同争议的解决</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19.1 </w:t>
      </w:r>
      <w:r>
        <w:rPr>
          <w:rFonts w:hint="eastAsia" w:ascii="新宋体" w:hAnsi="新宋体" w:eastAsia="新宋体" w:cs="新宋体"/>
          <w:color w:val="auto"/>
          <w:kern w:val="0"/>
          <w:sz w:val="24"/>
          <w:szCs w:val="24"/>
          <w:lang w:val="zh-CN"/>
        </w:rPr>
        <w:t>甲方和乙方由于本合同的履行而发生任何争议时，双方可先通过协商解决。</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19.2 </w:t>
      </w:r>
      <w:r>
        <w:rPr>
          <w:rFonts w:hint="eastAsia" w:ascii="新宋体" w:hAnsi="新宋体" w:eastAsia="新宋体" w:cs="新宋体"/>
          <w:color w:val="auto"/>
          <w:kern w:val="0"/>
          <w:sz w:val="24"/>
          <w:szCs w:val="24"/>
          <w:lang w:val="zh-CN"/>
        </w:rPr>
        <w:t>任何一方不愿通过协商或通过协商仍不能解决争议，则双方中任何一方均应向甲方所在地人民法院起诉。</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20.</w:t>
      </w:r>
      <w:r>
        <w:rPr>
          <w:rFonts w:hint="eastAsia" w:ascii="新宋体" w:hAnsi="新宋体" w:eastAsia="新宋体" w:cs="新宋体"/>
          <w:b/>
          <w:bCs/>
          <w:color w:val="auto"/>
          <w:kern w:val="0"/>
          <w:sz w:val="24"/>
          <w:szCs w:val="24"/>
          <w:lang w:val="zh-CN"/>
        </w:rPr>
        <w:t>违约解除合同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 </w:t>
      </w:r>
      <w:r>
        <w:rPr>
          <w:rFonts w:hint="eastAsia" w:ascii="新宋体" w:hAnsi="新宋体" w:eastAsia="新宋体" w:cs="新宋体"/>
          <w:color w:val="auto"/>
          <w:kern w:val="0"/>
          <w:sz w:val="24"/>
          <w:szCs w:val="24"/>
          <w:lang w:val="zh-CN"/>
        </w:rPr>
        <w:t>出现下列情形之一的，视为乙方违约。甲方可向乙方发出书面通知，部分或全部终止合同，同时保留向乙方索赔的权利。</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20.1.1 </w:t>
      </w:r>
      <w:r>
        <w:rPr>
          <w:rFonts w:hint="eastAsia" w:ascii="新宋体" w:hAnsi="新宋体" w:eastAsia="新宋体" w:cs="新宋体"/>
          <w:color w:val="auto"/>
          <w:kern w:val="0"/>
          <w:sz w:val="24"/>
          <w:szCs w:val="24"/>
          <w:lang w:val="zh-CN"/>
        </w:rPr>
        <w:t>乙方未能在合同规定的限期或甲方同意延长的限期内，提供全部或部分货物的；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20.1.2 </w:t>
      </w:r>
      <w:r>
        <w:rPr>
          <w:rFonts w:hint="eastAsia" w:ascii="新宋体" w:hAnsi="新宋体" w:eastAsia="新宋体" w:cs="新宋体"/>
          <w:color w:val="auto"/>
          <w:kern w:val="0"/>
          <w:sz w:val="24"/>
          <w:szCs w:val="24"/>
          <w:lang w:val="zh-CN"/>
        </w:rPr>
        <w:t>乙方未能履行合同规定的其它主要义务的；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20.1.3 </w:t>
      </w:r>
      <w:r>
        <w:rPr>
          <w:rFonts w:hint="eastAsia" w:ascii="新宋体" w:hAnsi="新宋体" w:eastAsia="新宋体" w:cs="新宋体"/>
          <w:color w:val="auto"/>
          <w:kern w:val="0"/>
          <w:sz w:val="24"/>
          <w:szCs w:val="24"/>
          <w:lang w:val="zh-CN"/>
        </w:rPr>
        <w:t>乙方在本合同履行过程中有欺诈行为的。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20.2 </w:t>
      </w:r>
      <w:r>
        <w:rPr>
          <w:rFonts w:hint="eastAsia" w:ascii="新宋体" w:hAnsi="新宋体" w:eastAsia="新宋体" w:cs="新宋体"/>
          <w:color w:val="auto"/>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21.</w:t>
      </w:r>
      <w:r>
        <w:rPr>
          <w:rFonts w:hint="eastAsia" w:ascii="新宋体" w:hAnsi="新宋体" w:eastAsia="新宋体" w:cs="新宋体"/>
          <w:b/>
          <w:bCs/>
          <w:color w:val="auto"/>
          <w:kern w:val="0"/>
          <w:sz w:val="24"/>
          <w:szCs w:val="24"/>
          <w:lang w:val="zh-CN"/>
        </w:rPr>
        <w:t>破产终止合同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22.</w:t>
      </w:r>
      <w:r>
        <w:rPr>
          <w:rFonts w:hint="eastAsia" w:ascii="新宋体" w:hAnsi="新宋体" w:eastAsia="新宋体" w:cs="新宋体"/>
          <w:b/>
          <w:bCs/>
          <w:color w:val="auto"/>
          <w:kern w:val="0"/>
          <w:sz w:val="24"/>
          <w:szCs w:val="24"/>
          <w:lang w:val="zh-CN"/>
        </w:rPr>
        <w:t>转让和分包</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22.1 </w:t>
      </w:r>
      <w:r>
        <w:rPr>
          <w:rFonts w:hint="eastAsia" w:ascii="新宋体" w:hAnsi="新宋体" w:eastAsia="新宋体" w:cs="新宋体"/>
          <w:color w:val="auto"/>
          <w:kern w:val="0"/>
          <w:sz w:val="24"/>
          <w:szCs w:val="24"/>
          <w:lang w:val="zh-CN"/>
        </w:rPr>
        <w:t>政府采购合同不能转让。</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22.2 </w:t>
      </w:r>
      <w:r>
        <w:rPr>
          <w:rFonts w:hint="eastAsia" w:ascii="新宋体" w:hAnsi="新宋体" w:eastAsia="新宋体" w:cs="新宋体"/>
          <w:color w:val="auto"/>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23.</w:t>
      </w:r>
      <w:r>
        <w:rPr>
          <w:rFonts w:hint="eastAsia" w:ascii="新宋体" w:hAnsi="新宋体" w:eastAsia="新宋体" w:cs="新宋体"/>
          <w:b/>
          <w:bCs/>
          <w:color w:val="auto"/>
          <w:kern w:val="0"/>
          <w:sz w:val="24"/>
          <w:szCs w:val="24"/>
          <w:lang w:val="zh-CN"/>
        </w:rPr>
        <w:t>合同修改</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政府采购合同的双方当事人不得擅自变更、中止或者终止合同</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24.</w:t>
      </w:r>
      <w:r>
        <w:rPr>
          <w:rFonts w:hint="eastAsia" w:ascii="新宋体" w:hAnsi="新宋体" w:eastAsia="新宋体" w:cs="新宋体"/>
          <w:b/>
          <w:bCs/>
          <w:color w:val="auto"/>
          <w:kern w:val="0"/>
          <w:sz w:val="24"/>
          <w:szCs w:val="24"/>
          <w:lang w:val="zh-CN"/>
        </w:rPr>
        <w:t>通知</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本合同任何一方给另一方的通知，都应以书面形式发送，而另一方也应以书面形式确认并发送到对方明确的地址。</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25.</w:t>
      </w:r>
      <w:r>
        <w:rPr>
          <w:rFonts w:hint="eastAsia" w:ascii="新宋体" w:hAnsi="新宋体" w:eastAsia="新宋体" w:cs="新宋体"/>
          <w:b/>
          <w:bCs/>
          <w:color w:val="auto"/>
          <w:kern w:val="0"/>
          <w:sz w:val="24"/>
          <w:szCs w:val="24"/>
          <w:lang w:val="zh-CN"/>
        </w:rPr>
        <w:t>计量单位</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除技术规范中另有规定外</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计量单位均使用国家法定计量单位。</w:t>
      </w:r>
    </w:p>
    <w:p>
      <w:pPr>
        <w:autoSpaceDE w:val="0"/>
        <w:autoSpaceDN w:val="0"/>
        <w:adjustRightInd w:val="0"/>
        <w:snapToGrid w:val="0"/>
        <w:spacing w:line="360" w:lineRule="auto"/>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26.</w:t>
      </w:r>
      <w:r>
        <w:rPr>
          <w:rFonts w:hint="eastAsia" w:ascii="新宋体" w:hAnsi="新宋体" w:eastAsia="新宋体" w:cs="新宋体"/>
          <w:b/>
          <w:bCs/>
          <w:color w:val="auto"/>
          <w:kern w:val="0"/>
          <w:sz w:val="24"/>
          <w:szCs w:val="24"/>
          <w:lang w:val="zh-CN"/>
        </w:rPr>
        <w:t>适用法律</w:t>
      </w:r>
    </w:p>
    <w:p>
      <w:pPr>
        <w:autoSpaceDE w:val="0"/>
        <w:autoSpaceDN w:val="0"/>
        <w:adjustRightInd w:val="0"/>
        <w:snapToGrid w:val="0"/>
        <w:spacing w:line="360" w:lineRule="auto"/>
        <w:ind w:firstLine="480"/>
        <w:rPr>
          <w:rFonts w:hint="eastAsia" w:ascii="新宋体" w:hAnsi="新宋体" w:eastAsia="新宋体" w:cs="新宋体"/>
          <w:color w:val="auto"/>
          <w:sz w:val="24"/>
          <w:szCs w:val="24"/>
          <w:lang w:val="zh-CN"/>
        </w:rPr>
      </w:pPr>
      <w:r>
        <w:rPr>
          <w:rFonts w:hint="eastAsia" w:ascii="新宋体" w:hAnsi="新宋体" w:eastAsia="新宋体" w:cs="新宋体"/>
          <w:color w:val="auto"/>
          <w:kern w:val="0"/>
          <w:sz w:val="24"/>
          <w:szCs w:val="24"/>
          <w:lang w:val="zh-CN"/>
        </w:rPr>
        <w:t>本合同按照中华人民共和国的相关法律进行解释。</w:t>
      </w: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pStyle w:val="29"/>
        <w:tabs>
          <w:tab w:val="left" w:pos="2639"/>
          <w:tab w:val="clear" w:pos="916"/>
          <w:tab w:val="clear" w:pos="2748"/>
          <w:tab w:val="clear" w:pos="4580"/>
          <w:tab w:val="clear" w:pos="6412"/>
          <w:tab w:val="clear" w:pos="8244"/>
          <w:tab w:val="clear" w:pos="10076"/>
          <w:tab w:val="clear" w:pos="11908"/>
          <w:tab w:val="clear" w:pos="13740"/>
        </w:tabs>
        <w:rPr>
          <w:rFonts w:hint="eastAsia" w:ascii="新宋体" w:hAnsi="新宋体" w:eastAsia="新宋体" w:cs="新宋体"/>
          <w:color w:val="auto"/>
          <w:lang w:eastAsia="zh-CN"/>
        </w:rPr>
      </w:pPr>
      <w:bookmarkStart w:id="76" w:name="_Toc28968"/>
      <w:bookmarkStart w:id="77" w:name="_Toc26383"/>
      <w:r>
        <w:rPr>
          <w:rFonts w:hint="eastAsia" w:ascii="新宋体" w:hAnsi="新宋体" w:eastAsia="新宋体" w:cs="新宋体"/>
          <w:color w:val="auto"/>
          <w:lang w:eastAsia="zh-CN"/>
        </w:rPr>
        <w:tab/>
      </w:r>
    </w:p>
    <w:p>
      <w:pPr>
        <w:pStyle w:val="29"/>
        <w:rPr>
          <w:rFonts w:hint="eastAsia" w:ascii="新宋体" w:hAnsi="新宋体" w:eastAsia="新宋体" w:cs="新宋体"/>
          <w:color w:val="auto"/>
        </w:rPr>
      </w:pPr>
    </w:p>
    <w:p>
      <w:pPr>
        <w:pStyle w:val="2"/>
        <w:spacing w:line="360" w:lineRule="auto"/>
        <w:jc w:val="both"/>
        <w:rPr>
          <w:rFonts w:hint="eastAsia" w:ascii="新宋体" w:hAnsi="新宋体" w:eastAsia="新宋体" w:cs="新宋体"/>
          <w:color w:val="auto"/>
          <w:sz w:val="36"/>
          <w:szCs w:val="36"/>
        </w:rPr>
      </w:pPr>
    </w:p>
    <w:p>
      <w:pPr>
        <w:pStyle w:val="2"/>
        <w:spacing w:line="360" w:lineRule="auto"/>
        <w:jc w:val="both"/>
        <w:rPr>
          <w:rFonts w:hint="eastAsia" w:ascii="新宋体" w:hAnsi="新宋体" w:eastAsia="新宋体" w:cs="新宋体"/>
          <w:color w:val="auto"/>
          <w:sz w:val="21"/>
          <w:szCs w:val="21"/>
        </w:rPr>
      </w:pPr>
    </w:p>
    <w:p>
      <w:pPr>
        <w:rPr>
          <w:rFonts w:hint="eastAsia" w:ascii="新宋体" w:hAnsi="新宋体" w:eastAsia="新宋体" w:cs="新宋体"/>
          <w:color w:val="auto"/>
          <w:sz w:val="21"/>
          <w:szCs w:val="21"/>
        </w:rPr>
      </w:pPr>
    </w:p>
    <w:p>
      <w:pPr>
        <w:pStyle w:val="29"/>
        <w:rPr>
          <w:rFonts w:hint="eastAsia"/>
          <w:color w:val="auto"/>
        </w:rPr>
      </w:pPr>
    </w:p>
    <w:p>
      <w:pPr>
        <w:pStyle w:val="2"/>
        <w:spacing w:line="360" w:lineRule="auto"/>
        <w:jc w:val="center"/>
        <w:rPr>
          <w:rFonts w:hint="eastAsia" w:ascii="新宋体" w:hAnsi="新宋体" w:eastAsia="新宋体" w:cs="新宋体"/>
          <w:color w:val="auto"/>
          <w:sz w:val="36"/>
          <w:szCs w:val="36"/>
        </w:rPr>
      </w:pPr>
      <w:r>
        <w:rPr>
          <w:rFonts w:hint="eastAsia" w:ascii="新宋体" w:hAnsi="新宋体" w:eastAsia="新宋体" w:cs="新宋体"/>
          <w:color w:val="auto"/>
          <w:sz w:val="36"/>
          <w:szCs w:val="36"/>
        </w:rPr>
        <w:t>第四部分 响应文件格式</w:t>
      </w:r>
      <w:bookmarkEnd w:id="76"/>
      <w:bookmarkEnd w:id="77"/>
    </w:p>
    <w:p>
      <w:pPr>
        <w:autoSpaceDE w:val="0"/>
        <w:autoSpaceDN w:val="0"/>
        <w:spacing w:line="360" w:lineRule="auto"/>
        <w:jc w:val="right"/>
        <w:rPr>
          <w:rFonts w:hint="eastAsia" w:ascii="新宋体" w:hAnsi="新宋体" w:eastAsia="新宋体" w:cs="新宋体"/>
          <w:b/>
          <w:bCs/>
          <w:color w:val="auto"/>
          <w:kern w:val="0"/>
          <w:sz w:val="36"/>
          <w:szCs w:val="36"/>
        </w:rPr>
      </w:pPr>
      <w:r>
        <w:rPr>
          <w:rFonts w:hint="eastAsia" w:ascii="新宋体" w:hAnsi="新宋体" w:eastAsia="新宋体" w:cs="新宋体"/>
          <w:b/>
          <w:bCs/>
          <w:color w:val="auto"/>
          <w:kern w:val="0"/>
          <w:sz w:val="36"/>
          <w:szCs w:val="36"/>
        </w:rPr>
        <w:t>正本/副本</w:t>
      </w:r>
    </w:p>
    <w:p>
      <w:pPr>
        <w:pStyle w:val="2"/>
        <w:spacing w:line="360" w:lineRule="auto"/>
        <w:jc w:val="center"/>
        <w:rPr>
          <w:rFonts w:hint="eastAsia" w:ascii="新宋体" w:hAnsi="新宋体" w:eastAsia="新宋体" w:cs="新宋体"/>
          <w:color w:val="auto"/>
          <w:sz w:val="36"/>
          <w:szCs w:val="36"/>
          <w:lang w:val="zh-CN"/>
        </w:rPr>
      </w:pPr>
      <w:r>
        <w:rPr>
          <w:rFonts w:hint="eastAsia" w:ascii="新宋体" w:hAnsi="新宋体" w:eastAsia="新宋体" w:cs="新宋体"/>
          <w:color w:val="auto"/>
          <w:sz w:val="36"/>
          <w:szCs w:val="36"/>
          <w:lang w:val="zh-CN"/>
        </w:rPr>
        <w:t>青海省政府采购项目</w:t>
      </w:r>
    </w:p>
    <w:p>
      <w:pPr>
        <w:pStyle w:val="2"/>
        <w:spacing w:line="360" w:lineRule="auto"/>
        <w:jc w:val="center"/>
        <w:rPr>
          <w:rFonts w:hint="eastAsia" w:ascii="新宋体" w:hAnsi="新宋体" w:eastAsia="新宋体" w:cs="新宋体"/>
          <w:color w:val="auto"/>
          <w:sz w:val="36"/>
          <w:szCs w:val="36"/>
        </w:rPr>
      </w:pPr>
    </w:p>
    <w:p>
      <w:pPr>
        <w:pStyle w:val="2"/>
        <w:spacing w:line="360" w:lineRule="auto"/>
        <w:jc w:val="center"/>
        <w:rPr>
          <w:rFonts w:hint="eastAsia" w:ascii="新宋体" w:hAnsi="新宋体" w:eastAsia="新宋体" w:cs="新宋体"/>
          <w:color w:val="auto"/>
          <w:sz w:val="36"/>
          <w:szCs w:val="36"/>
          <w:lang w:val="zh-CN"/>
        </w:rPr>
      </w:pPr>
      <w:r>
        <w:rPr>
          <w:rFonts w:hint="eastAsia" w:ascii="新宋体" w:hAnsi="新宋体" w:eastAsia="新宋体" w:cs="新宋体"/>
          <w:color w:val="auto"/>
          <w:sz w:val="36"/>
          <w:szCs w:val="36"/>
        </w:rPr>
        <w:t xml:space="preserve">响 应 </w:t>
      </w:r>
      <w:r>
        <w:rPr>
          <w:rFonts w:hint="eastAsia" w:ascii="新宋体" w:hAnsi="新宋体" w:eastAsia="新宋体" w:cs="新宋体"/>
          <w:color w:val="auto"/>
          <w:sz w:val="36"/>
          <w:szCs w:val="36"/>
          <w:lang w:val="zh-CN"/>
        </w:rPr>
        <w:t>文件</w:t>
      </w:r>
    </w:p>
    <w:p>
      <w:pPr>
        <w:pStyle w:val="2"/>
        <w:spacing w:line="360" w:lineRule="auto"/>
        <w:jc w:val="center"/>
        <w:rPr>
          <w:rFonts w:hint="eastAsia" w:ascii="新宋体" w:hAnsi="新宋体" w:eastAsia="新宋体" w:cs="新宋体"/>
          <w:color w:val="auto"/>
          <w:sz w:val="36"/>
          <w:szCs w:val="36"/>
        </w:rPr>
      </w:pPr>
    </w:p>
    <w:p>
      <w:pPr>
        <w:autoSpaceDE w:val="0"/>
        <w:autoSpaceDN w:val="0"/>
        <w:spacing w:line="360" w:lineRule="auto"/>
        <w:rPr>
          <w:rFonts w:hint="eastAsia" w:ascii="新宋体" w:hAnsi="新宋体" w:eastAsia="新宋体" w:cs="新宋体"/>
          <w:color w:val="auto"/>
          <w:kern w:val="0"/>
          <w:sz w:val="36"/>
          <w:szCs w:val="36"/>
        </w:rPr>
      </w:pP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采购项目编号</w:t>
      </w:r>
      <w:r>
        <w:rPr>
          <w:rFonts w:hint="eastAsia" w:ascii="新宋体" w:hAnsi="新宋体" w:eastAsia="新宋体" w:cs="新宋体"/>
          <w:b/>
          <w:bCs/>
          <w:color w:val="auto"/>
          <w:kern w:val="0"/>
          <w:sz w:val="28"/>
          <w:szCs w:val="28"/>
        </w:rPr>
        <w:t>/包号</w:t>
      </w:r>
      <w:r>
        <w:rPr>
          <w:rFonts w:hint="eastAsia" w:ascii="新宋体" w:hAnsi="新宋体" w:eastAsia="新宋体" w:cs="新宋体"/>
          <w:b/>
          <w:bCs/>
          <w:color w:val="auto"/>
          <w:kern w:val="0"/>
          <w:sz w:val="28"/>
          <w:szCs w:val="28"/>
          <w:lang w:val="zh-CN"/>
        </w:rPr>
        <w:t>：</w:t>
      </w: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采购项目名称</w:t>
      </w:r>
      <w:r>
        <w:rPr>
          <w:rFonts w:hint="eastAsia" w:ascii="新宋体" w:hAnsi="新宋体" w:eastAsia="新宋体" w:cs="新宋体"/>
          <w:b/>
          <w:bCs/>
          <w:color w:val="auto"/>
          <w:kern w:val="0"/>
          <w:sz w:val="28"/>
          <w:szCs w:val="28"/>
        </w:rPr>
        <w:t>：</w:t>
      </w: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投标人：</w:t>
      </w:r>
      <w:r>
        <w:rPr>
          <w:rFonts w:hint="eastAsia" w:ascii="新宋体" w:hAnsi="新宋体" w:eastAsia="新宋体" w:cs="新宋体"/>
          <w:b/>
          <w:bCs/>
          <w:color w:val="auto"/>
          <w:kern w:val="0"/>
          <w:sz w:val="28"/>
          <w:szCs w:val="28"/>
        </w:rPr>
        <w:t>（</w:t>
      </w:r>
      <w:r>
        <w:rPr>
          <w:rFonts w:hint="eastAsia" w:ascii="新宋体" w:hAnsi="新宋体" w:eastAsia="新宋体" w:cs="新宋体"/>
          <w:b/>
          <w:bCs/>
          <w:color w:val="auto"/>
          <w:kern w:val="0"/>
          <w:sz w:val="28"/>
          <w:szCs w:val="28"/>
          <w:lang w:val="zh-CN"/>
        </w:rPr>
        <w:t>公章）</w:t>
      </w: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法定代表人或委托代理人：（签字）</w:t>
      </w:r>
    </w:p>
    <w:p>
      <w:pPr>
        <w:autoSpaceDE w:val="0"/>
        <w:autoSpaceDN w:val="0"/>
        <w:spacing w:line="360" w:lineRule="auto"/>
        <w:ind w:firstLine="562" w:firstLineChars="200"/>
        <w:rPr>
          <w:rFonts w:hint="eastAsia" w:ascii="新宋体" w:hAnsi="新宋体" w:eastAsia="新宋体" w:cs="新宋体"/>
          <w:b/>
          <w:bCs/>
          <w:color w:val="auto"/>
          <w:kern w:val="0"/>
          <w:sz w:val="28"/>
          <w:szCs w:val="28"/>
          <w:lang w:val="zh-CN"/>
        </w:rPr>
      </w:pPr>
      <w:r>
        <w:rPr>
          <w:rFonts w:hint="eastAsia" w:ascii="新宋体" w:hAnsi="新宋体" w:eastAsia="新宋体" w:cs="新宋体"/>
          <w:b/>
          <w:bCs/>
          <w:color w:val="auto"/>
          <w:kern w:val="0"/>
          <w:sz w:val="28"/>
          <w:szCs w:val="28"/>
          <w:lang w:val="zh-CN"/>
        </w:rPr>
        <w:t>年</w:t>
      </w:r>
      <w:r>
        <w:rPr>
          <w:rFonts w:hint="eastAsia" w:ascii="新宋体" w:hAnsi="新宋体" w:eastAsia="新宋体" w:cs="新宋体"/>
          <w:b/>
          <w:bCs/>
          <w:color w:val="auto"/>
          <w:kern w:val="0"/>
          <w:sz w:val="28"/>
          <w:szCs w:val="28"/>
          <w:lang w:val="en-US" w:eastAsia="zh-CN"/>
        </w:rPr>
        <w:t xml:space="preserve"> </w:t>
      </w:r>
      <w:r>
        <w:rPr>
          <w:rFonts w:hint="eastAsia" w:ascii="新宋体" w:hAnsi="新宋体" w:eastAsia="新宋体" w:cs="新宋体"/>
          <w:b/>
          <w:bCs/>
          <w:color w:val="auto"/>
          <w:kern w:val="0"/>
          <w:sz w:val="28"/>
          <w:szCs w:val="28"/>
          <w:lang w:val="zh-CN"/>
        </w:rPr>
        <w:t>月</w:t>
      </w:r>
      <w:r>
        <w:rPr>
          <w:rFonts w:hint="eastAsia" w:ascii="新宋体" w:hAnsi="新宋体" w:eastAsia="新宋体" w:cs="新宋体"/>
          <w:b/>
          <w:bCs/>
          <w:color w:val="auto"/>
          <w:kern w:val="0"/>
          <w:sz w:val="28"/>
          <w:szCs w:val="28"/>
          <w:lang w:val="en-US" w:eastAsia="zh-CN"/>
        </w:rPr>
        <w:t xml:space="preserve"> </w:t>
      </w:r>
      <w:r>
        <w:rPr>
          <w:rFonts w:hint="eastAsia" w:ascii="新宋体" w:hAnsi="新宋体" w:eastAsia="新宋体" w:cs="新宋体"/>
          <w:b/>
          <w:bCs/>
          <w:color w:val="auto"/>
          <w:kern w:val="0"/>
          <w:sz w:val="28"/>
          <w:szCs w:val="28"/>
          <w:lang w:val="zh-CN"/>
        </w:rPr>
        <w:t>日</w:t>
      </w:r>
    </w:p>
    <w:p>
      <w:pPr>
        <w:adjustRightInd w:val="0"/>
        <w:snapToGrid w:val="0"/>
        <w:spacing w:line="360" w:lineRule="auto"/>
        <w:ind w:firstLine="394" w:firstLineChars="141"/>
        <w:jc w:val="left"/>
        <w:rPr>
          <w:rFonts w:hint="eastAsia" w:ascii="新宋体" w:hAnsi="新宋体" w:eastAsia="新宋体" w:cs="新宋体"/>
          <w:color w:val="auto"/>
          <w:sz w:val="28"/>
          <w:szCs w:val="28"/>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1"/>
        <w:adjustRightInd w:val="0"/>
        <w:snapToGrid w:val="0"/>
        <w:spacing w:before="0" w:after="0" w:line="360" w:lineRule="auto"/>
        <w:jc w:val="center"/>
        <w:outlineLvl w:val="1"/>
        <w:rPr>
          <w:rFonts w:hint="eastAsia" w:ascii="新宋体" w:hAnsi="新宋体" w:eastAsia="新宋体" w:cs="新宋体"/>
          <w:color w:val="auto"/>
          <w:sz w:val="24"/>
          <w:szCs w:val="24"/>
        </w:rPr>
      </w:pPr>
      <w:bookmarkStart w:id="78" w:name="_Toc8210"/>
      <w:bookmarkStart w:id="79" w:name="_Toc21375"/>
      <w:bookmarkStart w:id="80" w:name="_Toc4045"/>
      <w:bookmarkStart w:id="81" w:name="_Toc29902"/>
      <w:bookmarkStart w:id="82" w:name="_Toc8514"/>
      <w:r>
        <w:rPr>
          <w:rFonts w:hint="eastAsia" w:ascii="新宋体" w:hAnsi="新宋体" w:eastAsia="新宋体" w:cs="新宋体"/>
          <w:color w:val="auto"/>
          <w:sz w:val="24"/>
          <w:szCs w:val="24"/>
        </w:rPr>
        <w:t>目</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录</w:t>
      </w:r>
      <w:bookmarkEnd w:id="78"/>
      <w:bookmarkEnd w:id="79"/>
      <w:bookmarkEnd w:id="80"/>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响应函……………………………………………………………………………所在页码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法定代表人证明书………………………………………………………………所在页码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法定代表人授权书………………………………………………………………所在页码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投标人承诺函……………………………………………………………………所在页码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投标人诚信承诺书………………………………………………………………所在页码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资格证明材料……………………………………………………………………所在页码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财务状况报告，依法缴纳税收和社会保障资金的相关材料…………………所在页码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具备履行合同所必需的设备和专业技术能力的证明材料……………………所在页码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无重大违法记录声明……………………………………………………………所在页码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磋商保证金证明………………………………………………………………</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bookmarkEnd w:id="81"/>
    <w:bookmarkEnd w:id="82"/>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sz w:val="24"/>
          <w:szCs w:val="24"/>
        </w:rPr>
        <w:t>评分对照表</w:t>
      </w:r>
      <w:r>
        <w:rPr>
          <w:rFonts w:hint="eastAsia" w:ascii="新宋体" w:hAnsi="新宋体" w:eastAsia="新宋体" w:cs="新宋体"/>
          <w:color w:val="auto"/>
          <w:kern w:val="0"/>
          <w:sz w:val="24"/>
          <w:szCs w:val="24"/>
          <w:lang w:val="zh-CN"/>
        </w:rPr>
        <w:t>………………………………………………………………………所在页码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磋商一览表（报价表）…………………………………………………………所在页码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分项报价表………………………………………………………………………所在页码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技术规格响应表…………………………………………………………………所在页码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投标产品相关资料………………………………………………………………所在页码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投标人的类似业绩证明材料……………………………………………………所在页码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sz w:val="24"/>
          <w:szCs w:val="24"/>
          <w:lang w:val="zh-CN"/>
        </w:rPr>
      </w:pPr>
      <w:r>
        <w:rPr>
          <w:rFonts w:hint="eastAsia" w:ascii="新宋体" w:hAnsi="新宋体" w:eastAsia="新宋体" w:cs="新宋体"/>
          <w:color w:val="auto"/>
          <w:kern w:val="0"/>
          <w:sz w:val="24"/>
          <w:szCs w:val="24"/>
          <w:lang w:val="zh-CN"/>
        </w:rPr>
        <w:t>制造（生产）企业小型微型企业声明函、从业人员声明函…………………所在页码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残疾人福利性单位声明函………………………………………………………所在页码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sz w:val="24"/>
          <w:szCs w:val="24"/>
          <w:lang w:val="zh-CN"/>
        </w:rPr>
      </w:pPr>
      <w:r>
        <w:rPr>
          <w:rFonts w:hint="eastAsia" w:ascii="新宋体" w:hAnsi="新宋体" w:eastAsia="新宋体" w:cs="新宋体"/>
          <w:color w:val="auto"/>
          <w:kern w:val="0"/>
          <w:sz w:val="24"/>
          <w:szCs w:val="24"/>
          <w:lang w:val="zh-CN"/>
        </w:rPr>
        <w:t>投标人认为在其他方面有必要说明的事项……………………………………所在页码</w:t>
      </w:r>
    </w:p>
    <w:p>
      <w:pPr>
        <w:autoSpaceDE w:val="0"/>
        <w:autoSpaceDN w:val="0"/>
        <w:adjustRightInd w:val="0"/>
        <w:snapToGrid w:val="0"/>
        <w:spacing w:line="360" w:lineRule="auto"/>
        <w:rPr>
          <w:rFonts w:hint="eastAsia" w:ascii="新宋体" w:hAnsi="新宋体" w:eastAsia="新宋体" w:cs="新宋体"/>
          <w:b/>
          <w:bCs/>
          <w:color w:val="auto"/>
          <w:kern w:val="0"/>
          <w:sz w:val="36"/>
          <w:szCs w:val="36"/>
          <w:lang w:val="zh-CN"/>
        </w:rPr>
      </w:pPr>
      <w:r>
        <w:rPr>
          <w:rFonts w:hint="eastAsia" w:ascii="新宋体" w:hAnsi="新宋体" w:eastAsia="新宋体" w:cs="新宋体"/>
          <w:color w:val="auto"/>
          <w:kern w:val="0"/>
          <w:sz w:val="24"/>
          <w:szCs w:val="24"/>
          <w:lang w:val="zh-CN"/>
        </w:rPr>
        <w:t>（</w:t>
      </w:r>
      <w:r>
        <w:rPr>
          <w:rFonts w:hint="eastAsia" w:ascii="新宋体" w:hAnsi="新宋体" w:eastAsia="新宋体" w:cs="新宋体"/>
          <w:color w:val="auto"/>
          <w:kern w:val="0"/>
          <w:sz w:val="24"/>
          <w:szCs w:val="24"/>
        </w:rPr>
        <w:t>20</w:t>
      </w:r>
      <w:r>
        <w:rPr>
          <w:rFonts w:hint="eastAsia" w:ascii="新宋体" w:hAnsi="新宋体" w:eastAsia="新宋体" w:cs="新宋体"/>
          <w:color w:val="auto"/>
          <w:kern w:val="0"/>
          <w:sz w:val="24"/>
          <w:szCs w:val="24"/>
          <w:lang w:val="zh-CN"/>
        </w:rPr>
        <w:t>）投标人最终报价表………………………………………………………………所在页码</w:t>
      </w:r>
    </w:p>
    <w:p>
      <w:pPr>
        <w:widowControl/>
        <w:adjustRightInd w:val="0"/>
        <w:snapToGrid w:val="0"/>
        <w:spacing w:line="360" w:lineRule="auto"/>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83" w:name="_Toc7778"/>
      <w:bookmarkStart w:id="84" w:name="_Toc22492"/>
      <w:r>
        <w:rPr>
          <w:rFonts w:hint="eastAsia" w:ascii="新宋体" w:hAnsi="新宋体" w:eastAsia="新宋体" w:cs="新宋体"/>
          <w:color w:val="auto"/>
          <w:sz w:val="24"/>
          <w:szCs w:val="24"/>
        </w:rPr>
        <w:t>（1）</w:t>
      </w:r>
      <w:bookmarkEnd w:id="83"/>
      <w:r>
        <w:rPr>
          <w:rFonts w:hint="eastAsia" w:ascii="新宋体" w:hAnsi="新宋体" w:eastAsia="新宋体" w:cs="新宋体"/>
          <w:color w:val="auto"/>
          <w:sz w:val="24"/>
          <w:szCs w:val="24"/>
        </w:rPr>
        <w:t>响应函</w:t>
      </w:r>
      <w:bookmarkEnd w:id="84"/>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响应函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我们收到</w:t>
      </w:r>
      <w:r>
        <w:rPr>
          <w:rFonts w:hint="eastAsia" w:ascii="新宋体" w:hAnsi="新宋体" w:eastAsia="新宋体" w:cs="新宋体"/>
          <w:color w:val="auto"/>
          <w:kern w:val="0"/>
          <w:sz w:val="24"/>
          <w:szCs w:val="24"/>
          <w:u w:val="single"/>
          <w:lang w:val="zh-CN"/>
        </w:rPr>
        <w:t>采购项目名称（采购项目编号</w:t>
      </w:r>
      <w:r>
        <w:rPr>
          <w:rFonts w:hint="eastAsia" w:ascii="新宋体" w:hAnsi="新宋体" w:eastAsia="新宋体" w:cs="新宋体"/>
          <w:color w:val="auto"/>
          <w:kern w:val="0"/>
          <w:sz w:val="24"/>
          <w:szCs w:val="24"/>
          <w:u w:val="single"/>
        </w:rPr>
        <w:t>/包号</w:t>
      </w:r>
      <w:r>
        <w:rPr>
          <w:rFonts w:hint="eastAsia" w:ascii="新宋体" w:hAnsi="新宋体" w:eastAsia="新宋体" w:cs="新宋体"/>
          <w:color w:val="auto"/>
          <w:kern w:val="0"/>
          <w:sz w:val="24"/>
          <w:szCs w:val="24"/>
          <w:u w:val="single"/>
          <w:lang w:val="zh-CN"/>
        </w:rPr>
        <w:t>）</w:t>
      </w:r>
      <w:r>
        <w:rPr>
          <w:rFonts w:hint="eastAsia" w:ascii="新宋体" w:hAnsi="新宋体" w:eastAsia="新宋体" w:cs="新宋体"/>
          <w:color w:val="auto"/>
          <w:kern w:val="0"/>
          <w:sz w:val="24"/>
          <w:szCs w:val="24"/>
          <w:lang w:val="zh-CN"/>
        </w:rPr>
        <w:t>磋商文件，经研究，法定代表人（姓名、职务）正式授权（委托代理人姓名、职务）代表投标人（投标人名称、地址）提交响应文件。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据此函，签字代表宣布同意如下：</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1.我方已详阅磋商文件的全部内容，包括澄清、修改条款等有关附件，承诺对其完全理解并接受。</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2.投标有效期：</w:t>
      </w:r>
      <w:r>
        <w:rPr>
          <w:rFonts w:hint="eastAsia" w:ascii="新宋体" w:hAnsi="新宋体" w:eastAsia="新宋体" w:cs="新宋体"/>
          <w:color w:val="auto"/>
          <w:sz w:val="24"/>
          <w:szCs w:val="24"/>
          <w:shd w:val="clear" w:color="auto" w:fill="FFFFFF"/>
        </w:rPr>
        <w:t>从提交响应文件的截止之日起</w:t>
      </w:r>
      <w:r>
        <w:rPr>
          <w:rFonts w:hint="eastAsia" w:ascii="新宋体" w:hAnsi="新宋体" w:eastAsia="新宋体" w:cs="新宋体"/>
          <w:color w:val="auto"/>
          <w:sz w:val="24"/>
          <w:szCs w:val="24"/>
          <w:u w:val="single"/>
          <w:shd w:val="clear" w:color="auto" w:fill="FFFFFF"/>
          <w:lang w:val="en-US" w:eastAsia="zh-CN"/>
        </w:rPr>
        <w:t>60</w:t>
      </w:r>
      <w:r>
        <w:rPr>
          <w:rFonts w:hint="eastAsia" w:ascii="新宋体" w:hAnsi="新宋体" w:eastAsia="新宋体" w:cs="新宋体"/>
          <w:color w:val="auto"/>
          <w:kern w:val="0"/>
          <w:sz w:val="24"/>
          <w:szCs w:val="24"/>
          <w:u w:val="single"/>
          <w:lang w:val="zh-CN"/>
        </w:rPr>
        <w:t>日历日</w:t>
      </w:r>
      <w:r>
        <w:rPr>
          <w:rFonts w:hint="eastAsia" w:ascii="新宋体" w:hAnsi="新宋体" w:eastAsia="新宋体" w:cs="新宋体"/>
          <w:color w:val="auto"/>
          <w:kern w:val="0"/>
          <w:sz w:val="24"/>
          <w:szCs w:val="24"/>
          <w:lang w:val="zh-CN"/>
        </w:rPr>
        <w:t>内有效。如果我方在投标有效期内撤回投标或成交后不签约的，磋商保证金将被贵方没收。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3.我方同意按照贵方要求提供与投标有关的一切数据或资料，理解并接受贵方制定的评标办法。</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4.与本投标有关的一切正式往来通讯请寄：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tbl>
      <w:tblPr>
        <w:tblStyle w:val="33"/>
        <w:tblW w:w="9628" w:type="dxa"/>
        <w:tblInd w:w="2" w:type="dxa"/>
        <w:tblLayout w:type="fixed"/>
        <w:tblCellMar>
          <w:top w:w="0" w:type="dxa"/>
          <w:left w:w="108" w:type="dxa"/>
          <w:bottom w:w="0" w:type="dxa"/>
          <w:right w:w="108" w:type="dxa"/>
        </w:tblCellMar>
      </w:tblPr>
      <w:tblGrid>
        <w:gridCol w:w="5920"/>
        <w:gridCol w:w="3708"/>
      </w:tblGrid>
      <w:tr>
        <w:tblPrEx>
          <w:tblCellMar>
            <w:top w:w="0" w:type="dxa"/>
            <w:left w:w="108" w:type="dxa"/>
            <w:bottom w:w="0" w:type="dxa"/>
            <w:right w:w="108" w:type="dxa"/>
          </w:tblCellMar>
        </w:tblPrEx>
        <w:trPr>
          <w:trHeight w:val="768" w:hRule="atLeast"/>
        </w:trPr>
        <w:tc>
          <w:tcPr>
            <w:tcW w:w="5920"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地址：_______________  </w:t>
            </w:r>
          </w:p>
        </w:tc>
        <w:tc>
          <w:tcPr>
            <w:tcW w:w="3708"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邮编：______________</w:t>
            </w:r>
          </w:p>
        </w:tc>
      </w:tr>
      <w:tr>
        <w:tblPrEx>
          <w:tblCellMar>
            <w:top w:w="0" w:type="dxa"/>
            <w:left w:w="108" w:type="dxa"/>
            <w:bottom w:w="0" w:type="dxa"/>
            <w:right w:w="108" w:type="dxa"/>
          </w:tblCellMar>
        </w:tblPrEx>
        <w:trPr>
          <w:trHeight w:val="693" w:hRule="atLeast"/>
        </w:trPr>
        <w:tc>
          <w:tcPr>
            <w:tcW w:w="5920"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电话：_______________</w:t>
            </w:r>
          </w:p>
        </w:tc>
        <w:tc>
          <w:tcPr>
            <w:tcW w:w="3708"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传真：______________</w:t>
            </w:r>
          </w:p>
        </w:tc>
      </w:tr>
      <w:tr>
        <w:tblPrEx>
          <w:tblCellMar>
            <w:top w:w="0" w:type="dxa"/>
            <w:left w:w="108" w:type="dxa"/>
            <w:bottom w:w="0" w:type="dxa"/>
            <w:right w:w="108" w:type="dxa"/>
          </w:tblCellMar>
        </w:tblPrEx>
        <w:tc>
          <w:tcPr>
            <w:tcW w:w="5920"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法定代表人姓名： ___________  </w:t>
            </w:r>
          </w:p>
        </w:tc>
        <w:tc>
          <w:tcPr>
            <w:tcW w:w="3708"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职务：____________</w:t>
            </w:r>
          </w:p>
        </w:tc>
      </w:tr>
    </w:tbl>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85" w:name="_Toc3877"/>
      <w:bookmarkStart w:id="86" w:name="_Toc12044"/>
      <w:r>
        <w:rPr>
          <w:rFonts w:hint="eastAsia" w:ascii="新宋体" w:hAnsi="新宋体" w:eastAsia="新宋体" w:cs="新宋体"/>
          <w:color w:val="auto"/>
          <w:sz w:val="24"/>
          <w:szCs w:val="24"/>
        </w:rPr>
        <w:t>（2）法定代表人证明书</w:t>
      </w:r>
      <w:bookmarkEnd w:id="85"/>
      <w:bookmarkEnd w:id="86"/>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法定代表人证明书</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u w:val="single"/>
          <w:lang w:val="zh-CN"/>
        </w:rPr>
        <w:t>（法定代表人姓名）</w:t>
      </w:r>
      <w:r>
        <w:rPr>
          <w:rFonts w:hint="eastAsia" w:ascii="新宋体" w:hAnsi="新宋体" w:eastAsia="新宋体" w:cs="新宋体"/>
          <w:color w:val="auto"/>
          <w:kern w:val="0"/>
          <w:sz w:val="24"/>
          <w:szCs w:val="24"/>
          <w:lang w:val="zh-CN"/>
        </w:rPr>
        <w:t>现任我单位职务，为法定代表人，特此证明。</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法定代表人基本情况：</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性别：年龄： 民族：</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地址：</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身份证号码：</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附法定代表人第二代身份证双面扫描（或复印）件。</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87" w:name="_Toc32517"/>
      <w:bookmarkStart w:id="88" w:name="_Toc22722"/>
      <w:r>
        <w:rPr>
          <w:rFonts w:hint="eastAsia" w:ascii="新宋体" w:hAnsi="新宋体" w:eastAsia="新宋体" w:cs="新宋体"/>
          <w:color w:val="auto"/>
          <w:sz w:val="24"/>
          <w:szCs w:val="24"/>
        </w:rPr>
        <w:t>（3）法定代表人授权书</w:t>
      </w:r>
      <w:bookmarkEnd w:id="87"/>
      <w:bookmarkEnd w:id="88"/>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法定代表人授权书</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2"/>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u w:val="single"/>
          <w:lang w:val="zh-CN"/>
        </w:rPr>
        <w:t>（</w:t>
      </w:r>
      <w:r>
        <w:rPr>
          <w:rFonts w:hint="eastAsia" w:ascii="新宋体" w:hAnsi="新宋体" w:eastAsia="新宋体" w:cs="新宋体"/>
          <w:color w:val="auto"/>
          <w:kern w:val="0"/>
          <w:sz w:val="24"/>
          <w:szCs w:val="24"/>
          <w:u w:val="single"/>
          <w:lang w:val="zh-CN"/>
        </w:rPr>
        <w:t>投标人名称）</w:t>
      </w:r>
      <w:r>
        <w:rPr>
          <w:rFonts w:hint="eastAsia" w:ascii="新宋体" w:hAnsi="新宋体" w:eastAsia="新宋体" w:cs="新宋体"/>
          <w:color w:val="auto"/>
          <w:kern w:val="0"/>
          <w:sz w:val="24"/>
          <w:szCs w:val="24"/>
          <w:lang w:val="zh-CN"/>
        </w:rPr>
        <w:t>系中华人民共和国合法企业，法定地址。</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u w:val="single"/>
          <w:lang w:val="zh-CN"/>
        </w:rPr>
        <w:t>（法定代表人姓名）</w:t>
      </w:r>
      <w:r>
        <w:rPr>
          <w:rFonts w:hint="eastAsia" w:ascii="新宋体" w:hAnsi="新宋体" w:eastAsia="新宋体" w:cs="新宋体"/>
          <w:color w:val="auto"/>
          <w:kern w:val="0"/>
          <w:sz w:val="24"/>
          <w:szCs w:val="24"/>
          <w:lang w:val="zh-CN"/>
        </w:rPr>
        <w:t>特授权</w:t>
      </w:r>
      <w:r>
        <w:rPr>
          <w:rFonts w:hint="eastAsia" w:ascii="新宋体" w:hAnsi="新宋体" w:eastAsia="新宋体" w:cs="新宋体"/>
          <w:color w:val="auto"/>
          <w:kern w:val="0"/>
          <w:sz w:val="24"/>
          <w:szCs w:val="24"/>
          <w:u w:val="single"/>
          <w:lang w:val="zh-CN"/>
        </w:rPr>
        <w:t>（委托代理人姓名）</w:t>
      </w:r>
      <w:r>
        <w:rPr>
          <w:rFonts w:hint="eastAsia" w:ascii="新宋体" w:hAnsi="新宋体" w:eastAsia="新宋体" w:cs="新宋体"/>
          <w:color w:val="auto"/>
          <w:kern w:val="0"/>
          <w:sz w:val="24"/>
          <w:szCs w:val="24"/>
          <w:lang w:val="zh-CN"/>
        </w:rPr>
        <w:t>代表我单位全权办理</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项目的投标、答疑等具体工作，并签署全部有关的文件、资料。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我单位对被授权人的签名负全部责任。</w:t>
      </w:r>
    </w:p>
    <w:p>
      <w:pPr>
        <w:pStyle w:val="9"/>
        <w:ind w:firstLine="480" w:firstLineChars="200"/>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授权期限：自年月日起至年月日止。</w:t>
      </w:r>
    </w:p>
    <w:p>
      <w:pPr>
        <w:pStyle w:val="10"/>
        <w:rPr>
          <w:rFonts w:hint="eastAsia" w:ascii="新宋体" w:hAnsi="新宋体" w:eastAsia="新宋体" w:cs="新宋体"/>
          <w:color w:val="auto"/>
          <w:lang w:val="zh-CN"/>
        </w:rPr>
      </w:pPr>
      <w:bookmarkStart w:id="89" w:name="_Toc3327"/>
      <w:r>
        <w:rPr>
          <w:rFonts w:hint="eastAsia" w:ascii="新宋体" w:hAnsi="新宋体" w:eastAsia="新宋体" w:cs="新宋体"/>
          <w:color w:val="auto"/>
          <w:sz w:val="24"/>
          <w:szCs w:val="24"/>
          <w:lang w:val="zh-CN"/>
        </w:rPr>
        <w:t>授权期限必须满足投标有效期</w:t>
      </w:r>
      <w:bookmarkEnd w:id="89"/>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被授权人联系电话：</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被授权人（委托代理人）签字：  授权人（法定代表人）签字：</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职务：  职务：</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附被授权人第二代身份证双面扫描（或复印）件</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90" w:name="_Toc25049"/>
      <w:bookmarkStart w:id="91" w:name="_Toc24222"/>
      <w:r>
        <w:rPr>
          <w:rFonts w:hint="eastAsia" w:ascii="新宋体" w:hAnsi="新宋体" w:eastAsia="新宋体" w:cs="新宋体"/>
          <w:color w:val="auto"/>
          <w:sz w:val="24"/>
          <w:szCs w:val="24"/>
        </w:rPr>
        <w:t>（4）投标人承诺函</w:t>
      </w:r>
      <w:bookmarkEnd w:id="90"/>
      <w:bookmarkEnd w:id="91"/>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投标人承诺函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关于贵方年月日</w:t>
      </w:r>
      <w:r>
        <w:rPr>
          <w:rFonts w:hint="eastAsia" w:ascii="新宋体" w:hAnsi="新宋体" w:eastAsia="新宋体" w:cs="新宋体"/>
          <w:color w:val="auto"/>
          <w:kern w:val="0"/>
          <w:sz w:val="24"/>
          <w:szCs w:val="24"/>
          <w:u w:val="single"/>
          <w:lang w:val="zh-CN"/>
        </w:rPr>
        <w:t xml:space="preserve">          （项目名称）</w:t>
      </w:r>
      <w:r>
        <w:rPr>
          <w:rFonts w:hint="eastAsia" w:ascii="新宋体" w:hAnsi="新宋体" w:eastAsia="新宋体" w:cs="新宋体"/>
          <w:color w:val="auto"/>
          <w:kern w:val="0"/>
          <w:sz w:val="24"/>
          <w:szCs w:val="24"/>
          <w:lang w:val="zh-CN"/>
        </w:rPr>
        <w:t>采购项目，本签字人愿意参加投标，提供采购一览表中要求的所有服务项目，并证实提交的所有资料是准确的和真实的。同时，我代表（投标人名称），在此作如下承诺：</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1.完全理解和接受磋商文件的一切规定和要求；</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 3.在整个招标过程中我方若有违规行为，贵方可按磋商文件之规定给予处罚，我方完全接受。</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4.若成交，本承诺将成为合同不可分割的一部分，与合同具有同等的法律效力。</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92" w:name="_Toc30516"/>
      <w:bookmarkStart w:id="93" w:name="_Toc22380"/>
      <w:r>
        <w:rPr>
          <w:rFonts w:hint="eastAsia" w:ascii="新宋体" w:hAnsi="新宋体" w:eastAsia="新宋体" w:cs="新宋体"/>
          <w:color w:val="auto"/>
          <w:sz w:val="24"/>
          <w:szCs w:val="24"/>
        </w:rPr>
        <w:t>（5）投标人诚信承诺书</w:t>
      </w:r>
      <w:bookmarkEnd w:id="92"/>
      <w:bookmarkEnd w:id="93"/>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投标人诚信承诺书</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为了诚实、客观、有序地参与青海省政府采购活动，愿就以下内容作出承诺：</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一、自觉遵守各项法律、法规、规章、制度以及社会公德，维护廉洁环境，与同场竞争的其他投标人平等参加政府采购活动。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三、尊重参与政府采购活动各相关方的合法行为，接受政府采购活动依法形成的意见、结果。</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四、依法参加政府采购活动，不围标、串标，维护市场秩序，不提供“三无”产品、以次充好。</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六、认真履行成交人应承担的责任和义务，全面执行采购合同规定的各项内容，保质保量地按时提供采购物品。</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若本企业（单位）发生有悖于上述承诺的行为，愿意接受《中华人民共和国政府采购法》和《政府采购法实施条例》中对投标人的相关处理。</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本承诺是采购项目响应文件的组成部分。</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94" w:name="_Toc14829"/>
      <w:bookmarkStart w:id="95" w:name="_Toc15890"/>
      <w:r>
        <w:rPr>
          <w:rFonts w:hint="eastAsia" w:ascii="新宋体" w:hAnsi="新宋体" w:eastAsia="新宋体" w:cs="新宋体"/>
          <w:color w:val="auto"/>
          <w:sz w:val="24"/>
          <w:szCs w:val="24"/>
        </w:rPr>
        <w:t>（6）资格证明材料</w:t>
      </w:r>
      <w:bookmarkEnd w:id="94"/>
      <w:bookmarkEnd w:id="95"/>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资格证明材料</w:t>
      </w:r>
    </w:p>
    <w:p>
      <w:pPr>
        <w:adjustRightInd w:val="0"/>
        <w:snapToGrid w:val="0"/>
        <w:spacing w:line="360" w:lineRule="auto"/>
        <w:ind w:right="36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资格证明材料包括：</w:t>
      </w:r>
    </w:p>
    <w:p>
      <w:pPr>
        <w:pStyle w:val="57"/>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投标人的营业执照；</w:t>
      </w:r>
    </w:p>
    <w:p>
      <w:pPr>
        <w:pStyle w:val="57"/>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磋商文件规定的有关资格证书、许可证书、认证等；</w:t>
      </w:r>
    </w:p>
    <w:p>
      <w:pPr>
        <w:pStyle w:val="57"/>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投标企业简介及获得相关证书证明文件；</w:t>
      </w:r>
    </w:p>
    <w:p>
      <w:pPr>
        <w:pStyle w:val="57"/>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投标人认为有必要提供的其他资格证明文件。</w:t>
      </w:r>
    </w:p>
    <w:p>
      <w:pPr>
        <w:adjustRightInd w:val="0"/>
        <w:snapToGrid w:val="0"/>
        <w:spacing w:line="360" w:lineRule="auto"/>
        <w:ind w:left="425" w:right="36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如果是非法人资格的投标人，须提供身份证明。</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96" w:name="_Toc21336"/>
      <w:bookmarkStart w:id="97" w:name="_Toc10717"/>
      <w:r>
        <w:rPr>
          <w:rFonts w:hint="eastAsia" w:ascii="新宋体" w:hAnsi="新宋体" w:eastAsia="新宋体" w:cs="新宋体"/>
          <w:color w:val="auto"/>
          <w:sz w:val="24"/>
          <w:szCs w:val="24"/>
        </w:rPr>
        <w:t>（7）财务状况报告，依法缴纳税收和社会保障资金的相关材料</w:t>
      </w:r>
      <w:bookmarkEnd w:id="96"/>
      <w:bookmarkEnd w:id="97"/>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财务状况报告，依法缴纳税收和社会保障资金的相关材料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按照磋商文件第2.2款（1）中第&lt;2&gt;条规定提供以下相关材料。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1、投标人基本开户银行三个月内出具的资信证明或经第三方机构出具</w:t>
      </w:r>
      <w:r>
        <w:rPr>
          <w:rFonts w:hint="eastAsia" w:ascii="新宋体" w:hAnsi="新宋体" w:eastAsia="新宋体" w:cs="新宋体"/>
          <w:color w:val="auto"/>
          <w:kern w:val="0"/>
          <w:sz w:val="24"/>
          <w:szCs w:val="24"/>
          <w:u w:val="none"/>
          <w:lang w:val="zh-CN"/>
        </w:rPr>
        <w:t>（</w:t>
      </w:r>
      <w:r>
        <w:rPr>
          <w:rFonts w:hint="eastAsia" w:ascii="新宋体" w:hAnsi="新宋体" w:eastAsia="新宋体" w:cs="新宋体"/>
          <w:color w:val="auto"/>
          <w:kern w:val="0"/>
          <w:sz w:val="24"/>
          <w:szCs w:val="24"/>
          <w:u w:val="none"/>
        </w:rPr>
        <w:t>2018年度</w:t>
      </w:r>
      <w:r>
        <w:rPr>
          <w:rFonts w:hint="eastAsia" w:ascii="新宋体" w:hAnsi="新宋体" w:eastAsia="新宋体" w:cs="新宋体"/>
          <w:color w:val="auto"/>
          <w:kern w:val="0"/>
          <w:sz w:val="24"/>
          <w:szCs w:val="24"/>
          <w:u w:val="none"/>
          <w:lang w:eastAsia="zh-CN"/>
        </w:rPr>
        <w:t>或</w:t>
      </w:r>
      <w:r>
        <w:rPr>
          <w:rFonts w:hint="eastAsia" w:ascii="新宋体" w:hAnsi="新宋体" w:eastAsia="新宋体" w:cs="新宋体"/>
          <w:color w:val="auto"/>
          <w:kern w:val="0"/>
          <w:sz w:val="24"/>
          <w:szCs w:val="24"/>
          <w:u w:val="none"/>
          <w:lang w:val="en-US" w:eastAsia="zh-CN"/>
        </w:rPr>
        <w:t>2019年</w:t>
      </w:r>
      <w:r>
        <w:rPr>
          <w:rFonts w:hint="eastAsia" w:ascii="新宋体" w:hAnsi="新宋体" w:eastAsia="新宋体" w:cs="新宋体"/>
          <w:color w:val="auto"/>
          <w:kern w:val="0"/>
          <w:sz w:val="24"/>
          <w:szCs w:val="24"/>
          <w:u w:val="none"/>
          <w:lang w:val="zh-CN"/>
        </w:rPr>
        <w:t>）</w:t>
      </w:r>
      <w:r>
        <w:rPr>
          <w:rFonts w:hint="eastAsia" w:ascii="新宋体" w:hAnsi="新宋体" w:eastAsia="新宋体" w:cs="新宋体"/>
          <w:color w:val="auto"/>
          <w:kern w:val="0"/>
          <w:sz w:val="24"/>
          <w:szCs w:val="24"/>
          <w:lang w:val="zh-CN"/>
        </w:rPr>
        <w:t>财务状况的资产负债表、现金流量表、利润表和财务（会计）报表附注</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并提供第三方机构的营业执照、执业证书。</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2、近三个月连续依法缴纳税收和社会保障资金记录的证明材料；依法免税或不需要缴纳社会保障资金的投标人须提供相应文件证明其依法免税或不需要缴纳社会保障资金。</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98" w:name="_Toc6614"/>
      <w:bookmarkStart w:id="99" w:name="_Toc22820"/>
      <w:r>
        <w:rPr>
          <w:rFonts w:hint="eastAsia" w:ascii="新宋体" w:hAnsi="新宋体" w:eastAsia="新宋体" w:cs="新宋体"/>
          <w:color w:val="auto"/>
          <w:sz w:val="24"/>
          <w:szCs w:val="24"/>
        </w:rPr>
        <w:t>（8）具备履行合同所必须的设备和专业技术能力的证明材料</w:t>
      </w:r>
      <w:bookmarkEnd w:id="98"/>
      <w:bookmarkEnd w:id="99"/>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具备履行合同所必须的设备和专业技术能力的证明材料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为保证本项目合同的顺利履行，投标人必须具备履行合同的设备和专业技术能力，须提供相关相关人员的证书证明材料。</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100" w:name="_Toc10142"/>
      <w:bookmarkStart w:id="101" w:name="_Toc15801"/>
      <w:r>
        <w:rPr>
          <w:rFonts w:hint="eastAsia" w:ascii="新宋体" w:hAnsi="新宋体" w:eastAsia="新宋体" w:cs="新宋体"/>
          <w:color w:val="auto"/>
          <w:sz w:val="24"/>
          <w:szCs w:val="24"/>
        </w:rPr>
        <w:t>（9）无重大违法记录声明</w:t>
      </w:r>
      <w:bookmarkEnd w:id="100"/>
      <w:bookmarkEnd w:id="101"/>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无重大非法记录声明</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djustRightInd w:val="0"/>
        <w:snapToGrid w:val="0"/>
        <w:spacing w:line="360" w:lineRule="auto"/>
        <w:ind w:firstLine="480" w:firstLineChars="200"/>
        <w:rPr>
          <w:rFonts w:hint="eastAsia" w:ascii="新宋体" w:hAnsi="新宋体" w:eastAsia="新宋体" w:cs="新宋体"/>
          <w:color w:val="auto"/>
          <w:sz w:val="24"/>
          <w:szCs w:val="24"/>
          <w:shd w:val="clear" w:color="auto" w:fill="FFFFFF"/>
        </w:rPr>
      </w:pPr>
      <w:r>
        <w:rPr>
          <w:rFonts w:hint="eastAsia" w:ascii="新宋体" w:hAnsi="新宋体" w:eastAsia="新宋体" w:cs="新宋体"/>
          <w:color w:val="auto"/>
          <w:sz w:val="24"/>
          <w:szCs w:val="24"/>
        </w:rPr>
        <w:t>我单位参加本次政府采购项目活动前三年内，在经营活动中无重大违法活动记录，符合《政府采购法》规定的投标人资格条</w:t>
      </w:r>
      <w:r>
        <w:rPr>
          <w:rFonts w:hint="eastAsia" w:ascii="新宋体" w:hAnsi="新宋体" w:eastAsia="新宋体" w:cs="新宋体"/>
          <w:color w:val="auto"/>
          <w:sz w:val="24"/>
          <w:szCs w:val="24"/>
          <w:shd w:val="clear" w:color="auto" w:fill="FFFFFF"/>
        </w:rPr>
        <w:t>件。我方对此声明负全部法律责任。</w:t>
      </w:r>
    </w:p>
    <w:p>
      <w:pPr>
        <w:adjustRightInd w:val="0"/>
        <w:snapToGrid w:val="0"/>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特此声明。</w:t>
      </w: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102" w:name="_Toc10675"/>
      <w:bookmarkStart w:id="103" w:name="_Toc15854"/>
      <w:r>
        <w:rPr>
          <w:rFonts w:hint="eastAsia" w:ascii="新宋体" w:hAnsi="新宋体" w:eastAsia="新宋体" w:cs="新宋体"/>
          <w:color w:val="auto"/>
          <w:sz w:val="24"/>
          <w:szCs w:val="24"/>
        </w:rPr>
        <w:t>（10）磋商保证金证明</w:t>
      </w:r>
      <w:bookmarkEnd w:id="102"/>
      <w:bookmarkEnd w:id="103"/>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磋商保证金证明</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我方为（采购项目名称）项目（采购项目编号</w:t>
      </w:r>
      <w:r>
        <w:rPr>
          <w:rFonts w:hint="eastAsia" w:ascii="新宋体" w:hAnsi="新宋体" w:eastAsia="新宋体" w:cs="新宋体"/>
          <w:color w:val="auto"/>
          <w:kern w:val="0"/>
          <w:sz w:val="24"/>
          <w:szCs w:val="24"/>
        </w:rPr>
        <w:t>/包号</w:t>
      </w:r>
      <w:r>
        <w:rPr>
          <w:rFonts w:hint="eastAsia" w:ascii="新宋体" w:hAnsi="新宋体" w:eastAsia="新宋体" w:cs="新宋体"/>
          <w:color w:val="auto"/>
          <w:kern w:val="0"/>
          <w:sz w:val="24"/>
          <w:szCs w:val="24"/>
          <w:lang w:val="zh-CN"/>
        </w:rPr>
        <w:t>为：        ）递交保证金人民币（大写：人民币元）已于     年    月    日以基本户转账方式汇入你方账户。</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附件：保证金交款证明复印件（加盖公章）</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户    名：</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开户银行：</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开户帐号：</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注：通过银行转账的，必须由投标人从其基本账户汇（转）入</w:t>
      </w:r>
      <w:r>
        <w:rPr>
          <w:rFonts w:hint="eastAsia" w:ascii="新宋体" w:hAnsi="新宋体" w:eastAsia="新宋体" w:cs="新宋体"/>
          <w:color w:val="auto"/>
          <w:kern w:val="0"/>
          <w:sz w:val="24"/>
          <w:szCs w:val="24"/>
        </w:rPr>
        <w:t>9.1条规定的账户</w:t>
      </w:r>
      <w:r>
        <w:rPr>
          <w:rFonts w:hint="eastAsia" w:ascii="新宋体" w:hAnsi="新宋体" w:eastAsia="新宋体" w:cs="新宋体"/>
          <w:color w:val="auto"/>
          <w:kern w:val="0"/>
          <w:sz w:val="24"/>
          <w:szCs w:val="24"/>
          <w:lang w:val="zh-CN"/>
        </w:rPr>
        <w:t>。</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jc w:val="righ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104" w:name="_Toc2809"/>
      <w:bookmarkStart w:id="105" w:name="_Toc9542"/>
      <w:r>
        <w:rPr>
          <w:rFonts w:hint="eastAsia" w:ascii="新宋体" w:hAnsi="新宋体" w:eastAsia="新宋体" w:cs="新宋体"/>
          <w:color w:val="auto"/>
          <w:sz w:val="24"/>
          <w:szCs w:val="24"/>
        </w:rPr>
        <w:t>（11）评分对照表</w:t>
      </w:r>
      <w:bookmarkEnd w:id="104"/>
      <w:bookmarkEnd w:id="105"/>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评分对照表</w:t>
      </w:r>
    </w:p>
    <w:tbl>
      <w:tblPr>
        <w:tblStyle w:val="33"/>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54"/>
        <w:gridCol w:w="2755"/>
        <w:gridCol w:w="2483"/>
        <w:gridCol w:w="3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2755"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磋商文件评分标准</w:t>
            </w:r>
          </w:p>
        </w:tc>
        <w:tc>
          <w:tcPr>
            <w:tcW w:w="2483"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投标响应部分</w:t>
            </w:r>
          </w:p>
        </w:tc>
        <w:tc>
          <w:tcPr>
            <w:tcW w:w="3250"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响应文件中对应页码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tcBorders>
              <w:bottom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c>
          <w:tcPr>
            <w:tcW w:w="2755" w:type="dxa"/>
            <w:tcBorders>
              <w:bottom w:val="single" w:color="auto" w:sz="12" w:space="0"/>
            </w:tcBorders>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tcBorders>
              <w:bottom w:val="single" w:color="auto" w:sz="12" w:space="0"/>
            </w:tcBorders>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tcBorders>
              <w:bottom w:val="single" w:color="auto" w:sz="12" w:space="0"/>
            </w:tcBorders>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bl>
    <w:p>
      <w:pPr>
        <w:autoSpaceDE w:val="0"/>
        <w:autoSpaceDN w:val="0"/>
        <w:spacing w:line="360" w:lineRule="auto"/>
        <w:rPr>
          <w:rFonts w:hint="eastAsia" w:ascii="新宋体" w:hAnsi="新宋体" w:eastAsia="新宋体" w:cs="新宋体"/>
          <w:b/>
          <w:bCs/>
          <w:color w:val="auto"/>
          <w:kern w:val="0"/>
          <w:sz w:val="36"/>
          <w:szCs w:val="36"/>
        </w:rPr>
      </w:pPr>
    </w:p>
    <w:p>
      <w:pPr>
        <w:autoSpaceDE w:val="0"/>
        <w:autoSpaceDN w:val="0"/>
        <w:spacing w:line="360" w:lineRule="auto"/>
        <w:rPr>
          <w:rFonts w:hint="eastAsia" w:ascii="新宋体" w:hAnsi="新宋体" w:eastAsia="新宋体" w:cs="新宋体"/>
          <w:b/>
          <w:bCs/>
          <w:color w:val="auto"/>
          <w:kern w:val="0"/>
          <w:sz w:val="36"/>
          <w:szCs w:val="36"/>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pStyle w:val="3"/>
        <w:spacing w:line="360" w:lineRule="auto"/>
        <w:rPr>
          <w:rFonts w:hint="eastAsia" w:ascii="新宋体" w:hAnsi="新宋体" w:eastAsia="新宋体" w:cs="新宋体"/>
          <w:color w:val="auto"/>
          <w:sz w:val="24"/>
          <w:szCs w:val="24"/>
        </w:rPr>
      </w:pPr>
      <w:bookmarkStart w:id="106" w:name="_Toc6990"/>
      <w:bookmarkStart w:id="107" w:name="_Toc26525"/>
      <w:r>
        <w:rPr>
          <w:rFonts w:hint="eastAsia" w:ascii="新宋体" w:hAnsi="新宋体" w:eastAsia="新宋体" w:cs="新宋体"/>
          <w:color w:val="auto"/>
          <w:sz w:val="24"/>
          <w:szCs w:val="24"/>
        </w:rPr>
        <w:t>（12）磋商一览表（报价表）</w:t>
      </w:r>
      <w:bookmarkEnd w:id="106"/>
      <w:bookmarkEnd w:id="107"/>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磋商一览表（报价表）</w:t>
      </w:r>
    </w:p>
    <w:tbl>
      <w:tblPr>
        <w:tblStyle w:val="33"/>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2909"/>
        <w:gridCol w:w="6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项目名称</w:t>
            </w:r>
          </w:p>
        </w:tc>
        <w:tc>
          <w:tcPr>
            <w:tcW w:w="6617"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zh-CN"/>
              </w:rPr>
              <w:t>投标编号</w:t>
            </w:r>
            <w:r>
              <w:rPr>
                <w:rFonts w:hint="eastAsia" w:ascii="新宋体" w:hAnsi="新宋体" w:eastAsia="新宋体" w:cs="新宋体"/>
                <w:color w:val="auto"/>
                <w:sz w:val="24"/>
                <w:szCs w:val="24"/>
              </w:rPr>
              <w:t>/包号</w:t>
            </w:r>
          </w:p>
        </w:tc>
        <w:tc>
          <w:tcPr>
            <w:tcW w:w="6617"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043" w:hRule="atLeast"/>
          <w:jc w:val="center"/>
        </w:trPr>
        <w:tc>
          <w:tcPr>
            <w:tcW w:w="2909"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磋商报价</w:t>
            </w:r>
          </w:p>
        </w:tc>
        <w:tc>
          <w:tcPr>
            <w:tcW w:w="6617" w:type="dxa"/>
            <w:vAlign w:val="center"/>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大写：</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服务期限</w:t>
            </w:r>
          </w:p>
        </w:tc>
        <w:tc>
          <w:tcPr>
            <w:tcW w:w="6617"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tcBorders>
              <w:bottom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优惠承诺</w:t>
            </w:r>
          </w:p>
        </w:tc>
        <w:tc>
          <w:tcPr>
            <w:tcW w:w="6617" w:type="dxa"/>
            <w:tcBorders>
              <w:bottom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r>
    </w:tbl>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注：</w:t>
      </w:r>
      <w:r>
        <w:rPr>
          <w:rFonts w:hint="eastAsia" w:ascii="新宋体" w:hAnsi="新宋体" w:eastAsia="新宋体" w:cs="新宋体"/>
          <w:color w:val="auto"/>
          <w:kern w:val="0"/>
          <w:sz w:val="24"/>
          <w:szCs w:val="24"/>
          <w:lang w:val="zh-CN"/>
        </w:rPr>
        <w:t>1.填写此表时不得改变表格形式。</w:t>
      </w:r>
    </w:p>
    <w:p>
      <w:pPr>
        <w:autoSpaceDE w:val="0"/>
        <w:autoSpaceDN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磋商报价”为投标总价。磋商报价必须包括：投标报价完成本服务内容可能发生的各项费用，如人员工资、交通、设备、利润、税收、招标代理费以及所有有关的管理成本和其他不可预见费等全部费用。（说明：具体内容应根据项目特点实事求是的填写）</w:t>
      </w:r>
    </w:p>
    <w:p>
      <w:pPr>
        <w:autoSpaceDE w:val="0"/>
        <w:autoSpaceDN w:val="0"/>
        <w:adjustRightInd w:val="0"/>
        <w:snapToGrid w:val="0"/>
        <w:spacing w:line="360" w:lineRule="auto"/>
        <w:ind w:firstLine="240" w:firstLineChars="1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val="zh-CN"/>
        </w:rPr>
        <w:t>.“服务期限”是指产品能够交付使用的具体时间（工作日）。</w:t>
      </w:r>
    </w:p>
    <w:p>
      <w:pPr>
        <w:autoSpaceDE w:val="0"/>
        <w:autoSpaceDN w:val="0"/>
        <w:adjustRightInd w:val="0"/>
        <w:snapToGrid w:val="0"/>
        <w:spacing w:line="360" w:lineRule="auto"/>
        <w:ind w:firstLine="240" w:firstLineChars="1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lang w:val="zh-CN"/>
        </w:rPr>
        <w:t>.磋商报价不能有两个或两个以上的报价方案，</w:t>
      </w:r>
      <w:r>
        <w:rPr>
          <w:rFonts w:hint="eastAsia" w:ascii="新宋体" w:hAnsi="新宋体" w:eastAsia="新宋体" w:cs="新宋体"/>
          <w:color w:val="auto"/>
          <w:kern w:val="0"/>
          <w:sz w:val="24"/>
          <w:szCs w:val="24"/>
        </w:rPr>
        <w:t>否则投标无效</w:t>
      </w:r>
      <w:r>
        <w:rPr>
          <w:rFonts w:hint="eastAsia" w:ascii="新宋体" w:hAnsi="新宋体" w:eastAsia="新宋体" w:cs="新宋体"/>
          <w:color w:val="auto"/>
          <w:kern w:val="0"/>
          <w:sz w:val="24"/>
          <w:szCs w:val="24"/>
          <w:lang w:val="zh-CN"/>
        </w:rPr>
        <w:t>。</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widowControl/>
        <w:spacing w:line="360" w:lineRule="auto"/>
        <w:jc w:val="lef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br w:type="page"/>
      </w:r>
    </w:p>
    <w:p>
      <w:pPr>
        <w:pStyle w:val="3"/>
        <w:spacing w:line="360" w:lineRule="auto"/>
        <w:rPr>
          <w:rFonts w:hint="eastAsia" w:ascii="新宋体" w:hAnsi="新宋体" w:eastAsia="新宋体" w:cs="新宋体"/>
          <w:color w:val="auto"/>
          <w:sz w:val="24"/>
          <w:szCs w:val="24"/>
        </w:rPr>
      </w:pPr>
      <w:bookmarkStart w:id="108" w:name="_Toc15392"/>
      <w:bookmarkStart w:id="109" w:name="_Toc505"/>
      <w:r>
        <w:rPr>
          <w:rFonts w:hint="eastAsia" w:ascii="新宋体" w:hAnsi="新宋体" w:eastAsia="新宋体" w:cs="新宋体"/>
          <w:color w:val="auto"/>
          <w:sz w:val="24"/>
          <w:szCs w:val="24"/>
        </w:rPr>
        <w:t>（13）分项报价表</w:t>
      </w:r>
      <w:bookmarkEnd w:id="108"/>
      <w:bookmarkEnd w:id="109"/>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分项报价表</w:t>
      </w:r>
    </w:p>
    <w:p>
      <w:pPr>
        <w:autoSpaceDE w:val="0"/>
        <w:autoSpaceDN w:val="0"/>
        <w:adjustRightInd w:val="0"/>
        <w:snapToGrid w:val="0"/>
        <w:spacing w:line="360" w:lineRule="auto"/>
        <w:ind w:firstLine="240" w:firstLineChars="1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1.格式自拟；</w:t>
      </w:r>
    </w:p>
    <w:p>
      <w:pPr>
        <w:autoSpaceDE w:val="0"/>
        <w:autoSpaceDN w:val="0"/>
        <w:adjustRightInd w:val="0"/>
        <w:snapToGrid w:val="0"/>
        <w:spacing w:line="360" w:lineRule="auto"/>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 xml:space="preserve"> </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lang w:val="zh-CN"/>
        </w:rPr>
        <w:t>2.投标报价不能有两个或两个以上的报价方案。</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p>
    <w:p>
      <w:pPr>
        <w:widowControl/>
        <w:spacing w:line="360" w:lineRule="auto"/>
        <w:jc w:val="lef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br w:type="page"/>
      </w:r>
    </w:p>
    <w:p>
      <w:pPr>
        <w:pStyle w:val="3"/>
        <w:spacing w:line="360" w:lineRule="auto"/>
        <w:rPr>
          <w:rFonts w:hint="eastAsia" w:ascii="新宋体" w:hAnsi="新宋体" w:eastAsia="新宋体" w:cs="新宋体"/>
          <w:color w:val="auto"/>
          <w:sz w:val="24"/>
          <w:szCs w:val="24"/>
        </w:rPr>
      </w:pPr>
      <w:bookmarkStart w:id="110" w:name="_Toc24235"/>
      <w:bookmarkStart w:id="111" w:name="_Toc14510"/>
      <w:bookmarkStart w:id="112" w:name="_Toc32681"/>
      <w:r>
        <w:rPr>
          <w:rFonts w:hint="eastAsia" w:ascii="新宋体" w:hAnsi="新宋体" w:eastAsia="新宋体" w:cs="新宋体"/>
          <w:color w:val="auto"/>
          <w:sz w:val="24"/>
          <w:szCs w:val="24"/>
        </w:rPr>
        <w:t>（14）服务规格响应表</w:t>
      </w:r>
      <w:bookmarkEnd w:id="110"/>
      <w:bookmarkEnd w:id="111"/>
      <w:bookmarkEnd w:id="112"/>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服务规格响应表</w:t>
      </w:r>
    </w:p>
    <w:p>
      <w:pPr>
        <w:autoSpaceDE w:val="0"/>
        <w:autoSpaceDN w:val="0"/>
        <w:adjustRightInd w:val="0"/>
        <w:snapToGrid w:val="0"/>
        <w:spacing w:line="360" w:lineRule="auto"/>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投标人名称</w:t>
      </w:r>
      <w:r>
        <w:rPr>
          <w:rFonts w:hint="eastAsia" w:ascii="新宋体" w:hAnsi="新宋体" w:eastAsia="新宋体" w:cs="新宋体"/>
          <w:b/>
          <w:bCs/>
          <w:color w:val="auto"/>
          <w:kern w:val="0"/>
          <w:sz w:val="24"/>
          <w:szCs w:val="24"/>
        </w:rPr>
        <w:t>：                                             项目编</w:t>
      </w:r>
      <w:r>
        <w:rPr>
          <w:rFonts w:hint="eastAsia" w:ascii="新宋体" w:hAnsi="新宋体" w:eastAsia="新宋体" w:cs="新宋体"/>
          <w:b/>
          <w:bCs/>
          <w:color w:val="auto"/>
          <w:kern w:val="0"/>
          <w:sz w:val="24"/>
          <w:szCs w:val="24"/>
          <w:lang w:val="zh-CN"/>
        </w:rPr>
        <w:t>号</w:t>
      </w:r>
      <w:r>
        <w:rPr>
          <w:rFonts w:hint="eastAsia" w:ascii="新宋体" w:hAnsi="新宋体" w:eastAsia="新宋体" w:cs="新宋体"/>
          <w:b/>
          <w:bCs/>
          <w:color w:val="auto"/>
          <w:kern w:val="0"/>
          <w:sz w:val="24"/>
          <w:szCs w:val="24"/>
        </w:rPr>
        <w:t>/包号</w:t>
      </w:r>
      <w:r>
        <w:rPr>
          <w:rFonts w:hint="eastAsia" w:ascii="新宋体" w:hAnsi="新宋体" w:eastAsia="新宋体" w:cs="新宋体"/>
          <w:b/>
          <w:bCs/>
          <w:color w:val="auto"/>
          <w:kern w:val="0"/>
          <w:sz w:val="24"/>
          <w:szCs w:val="24"/>
          <w:lang w:val="zh-CN"/>
        </w:rPr>
        <w:t>：</w:t>
      </w:r>
    </w:p>
    <w:tbl>
      <w:tblPr>
        <w:tblStyle w:val="33"/>
        <w:tblW w:w="9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34"/>
        <w:gridCol w:w="1843"/>
        <w:gridCol w:w="1417"/>
        <w:gridCol w:w="2127"/>
        <w:gridCol w:w="1559"/>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1134" w:type="dxa"/>
            <w:vAlign w:val="center"/>
          </w:tcPr>
          <w:p>
            <w:pPr>
              <w:adjustRightInd w:val="0"/>
              <w:snapToGrid w:val="0"/>
              <w:spacing w:line="420" w:lineRule="auto"/>
              <w:ind w:left="-88" w:leftChars="-42" w:firstLine="120" w:firstLineChars="5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1843" w:type="dxa"/>
            <w:vAlign w:val="center"/>
          </w:tcPr>
          <w:p>
            <w:pPr>
              <w:adjustRightInd w:val="0"/>
              <w:snapToGrid w:val="0"/>
              <w:spacing w:line="420" w:lineRule="auto"/>
              <w:ind w:left="-88" w:leftChars="-42" w:firstLine="120" w:firstLineChars="5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服务内容</w:t>
            </w:r>
          </w:p>
        </w:tc>
        <w:tc>
          <w:tcPr>
            <w:tcW w:w="1417" w:type="dxa"/>
            <w:vAlign w:val="center"/>
          </w:tcPr>
          <w:p>
            <w:pPr>
              <w:adjustRightInd w:val="0"/>
              <w:snapToGrid w:val="0"/>
              <w:spacing w:line="420" w:lineRule="auto"/>
              <w:ind w:left="-88" w:leftChars="-42" w:firstLine="120" w:firstLineChars="5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服务需求</w:t>
            </w:r>
          </w:p>
        </w:tc>
        <w:tc>
          <w:tcPr>
            <w:tcW w:w="2127" w:type="dxa"/>
            <w:vAlign w:val="center"/>
          </w:tcPr>
          <w:p>
            <w:pPr>
              <w:adjustRightInd w:val="0"/>
              <w:snapToGrid w:val="0"/>
              <w:spacing w:line="420" w:lineRule="auto"/>
              <w:ind w:left="-88" w:leftChars="-42" w:firstLine="120" w:firstLineChars="5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响应情况</w:t>
            </w: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偏离</w:t>
            </w:r>
          </w:p>
        </w:tc>
        <w:tc>
          <w:tcPr>
            <w:tcW w:w="1417" w:type="dxa"/>
            <w:vAlign w:val="center"/>
          </w:tcPr>
          <w:p>
            <w:pPr>
              <w:adjustRightInd w:val="0"/>
              <w:snapToGrid w:val="0"/>
              <w:spacing w:line="420" w:lineRule="auto"/>
              <w:ind w:firstLine="199" w:firstLineChars="83"/>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bl>
    <w:p>
      <w:pPr>
        <w:pStyle w:val="9"/>
        <w:rPr>
          <w:rFonts w:hint="eastAsia" w:ascii="新宋体" w:hAnsi="新宋体" w:eastAsia="新宋体" w:cs="新宋体"/>
          <w:color w:val="auto"/>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注：1.本表应按照每包“项目概况服务内容”中服务内容序号的指标逐项填写，不得遗漏。</w:t>
      </w:r>
    </w:p>
    <w:p>
      <w:pPr>
        <w:numPr>
          <w:ilvl w:val="0"/>
          <w:numId w:val="8"/>
        </w:num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填写此表时以招标项目参数要求为基本投标要求，满足招标项目参数要求的指标需列出“</w:t>
      </w:r>
      <w:r>
        <w:rPr>
          <w:rFonts w:hint="eastAsia" w:ascii="新宋体" w:hAnsi="新宋体" w:eastAsia="新宋体" w:cs="新宋体"/>
          <w:color w:val="auto"/>
          <w:kern w:val="0"/>
          <w:sz w:val="24"/>
          <w:szCs w:val="24"/>
        </w:rPr>
        <w:t>0</w:t>
      </w:r>
      <w:r>
        <w:rPr>
          <w:rFonts w:hint="eastAsia" w:ascii="新宋体" w:hAnsi="新宋体" w:eastAsia="新宋体" w:cs="新宋体"/>
          <w:color w:val="auto"/>
          <w:kern w:val="0"/>
          <w:sz w:val="24"/>
          <w:szCs w:val="24"/>
          <w:lang w:val="zh-CN"/>
        </w:rPr>
        <w:t>”；超出、不满足招标项目参数要求的指标需列出“+”、“-”偏差，并做出详细说明；如果只注明“+”、“-”或未填写，将视为该项指标不响应。</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3</w:t>
      </w:r>
      <w:r>
        <w:rPr>
          <w:rFonts w:hint="eastAsia" w:ascii="新宋体" w:hAnsi="新宋体" w:eastAsia="新宋体" w:cs="新宋体"/>
          <w:color w:val="auto"/>
          <w:kern w:val="0"/>
          <w:sz w:val="24"/>
          <w:szCs w:val="24"/>
          <w:lang w:val="zh-CN"/>
        </w:rPr>
        <w:t>.投标人响应采购需求应具体、明确，含糊不清、不确切或伪造、编造证明材料的，按照实质性不响应处理。对伪造、编造证明材料的，将报送采购监管部门查处。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jc w:val="righ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ind w:firstLine="3253"/>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br w:type="page"/>
      </w:r>
    </w:p>
    <w:p>
      <w:pPr>
        <w:pStyle w:val="3"/>
        <w:spacing w:line="360" w:lineRule="auto"/>
        <w:rPr>
          <w:rFonts w:hint="eastAsia" w:ascii="新宋体" w:hAnsi="新宋体" w:eastAsia="新宋体" w:cs="新宋体"/>
          <w:color w:val="auto"/>
          <w:sz w:val="24"/>
          <w:szCs w:val="24"/>
        </w:rPr>
      </w:pPr>
      <w:bookmarkStart w:id="113" w:name="_Toc17758"/>
      <w:bookmarkStart w:id="114" w:name="_Toc21737"/>
      <w:bookmarkStart w:id="115" w:name="_Toc12479"/>
      <w:r>
        <w:rPr>
          <w:rFonts w:hint="eastAsia" w:ascii="新宋体" w:hAnsi="新宋体" w:eastAsia="新宋体" w:cs="新宋体"/>
          <w:color w:val="auto"/>
          <w:sz w:val="24"/>
          <w:szCs w:val="24"/>
        </w:rPr>
        <w:t>（15）投标服务相关资料</w:t>
      </w:r>
      <w:bookmarkEnd w:id="113"/>
      <w:bookmarkEnd w:id="114"/>
      <w:bookmarkEnd w:id="115"/>
    </w:p>
    <w:p>
      <w:pPr>
        <w:autoSpaceDE w:val="0"/>
        <w:autoSpaceDN w:val="0"/>
        <w:spacing w:line="360" w:lineRule="auto"/>
        <w:jc w:val="center"/>
        <w:rPr>
          <w:rFonts w:hint="eastAsia" w:ascii="新宋体" w:hAnsi="新宋体" w:eastAsia="新宋体" w:cs="新宋体"/>
          <w:b/>
          <w:bCs/>
          <w:color w:val="auto"/>
          <w:kern w:val="0"/>
          <w:sz w:val="36"/>
          <w:szCs w:val="36"/>
          <w:lang w:val="zh-CN"/>
        </w:rPr>
      </w:pPr>
      <w:r>
        <w:rPr>
          <w:rFonts w:hint="eastAsia" w:ascii="新宋体" w:hAnsi="新宋体" w:eastAsia="新宋体" w:cs="新宋体"/>
          <w:b/>
          <w:bCs/>
          <w:color w:val="auto"/>
          <w:kern w:val="0"/>
          <w:sz w:val="28"/>
          <w:szCs w:val="28"/>
          <w:lang w:val="zh-CN"/>
        </w:rPr>
        <w:t>拟投入服务人员情况表</w:t>
      </w:r>
    </w:p>
    <w:p>
      <w:pPr>
        <w:autoSpaceDE w:val="0"/>
        <w:autoSpaceDN w:val="0"/>
        <w:spacing w:line="360" w:lineRule="auto"/>
        <w:ind w:firstLine="482" w:firstLineChars="200"/>
        <w:rPr>
          <w:rFonts w:hint="eastAsia" w:ascii="新宋体" w:hAnsi="新宋体" w:eastAsia="新宋体" w:cs="新宋体"/>
          <w:b/>
          <w:bCs/>
          <w:color w:val="auto"/>
          <w:kern w:val="0"/>
          <w:lang w:val="zh-CN"/>
        </w:rPr>
      </w:pPr>
      <w:r>
        <w:rPr>
          <w:rFonts w:hint="eastAsia" w:ascii="新宋体" w:hAnsi="新宋体" w:eastAsia="新宋体" w:cs="新宋体"/>
          <w:b/>
          <w:bCs/>
          <w:color w:val="auto"/>
          <w:kern w:val="0"/>
          <w:sz w:val="24"/>
          <w:szCs w:val="24"/>
          <w:lang w:val="zh-CN"/>
        </w:rPr>
        <w:t>投标人名称</w:t>
      </w:r>
      <w:r>
        <w:rPr>
          <w:rFonts w:hint="eastAsia" w:ascii="新宋体" w:hAnsi="新宋体" w:eastAsia="新宋体" w:cs="新宋体"/>
          <w:b/>
          <w:bCs/>
          <w:color w:val="auto"/>
          <w:kern w:val="0"/>
          <w:sz w:val="24"/>
          <w:szCs w:val="24"/>
        </w:rPr>
        <w:t xml:space="preserve">：     </w:t>
      </w:r>
    </w:p>
    <w:tbl>
      <w:tblPr>
        <w:tblStyle w:val="3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05"/>
        <w:gridCol w:w="1077"/>
        <w:gridCol w:w="1200"/>
        <w:gridCol w:w="2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39" w:type="dxa"/>
            <w:vMerge w:val="restart"/>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序号</w:t>
            </w:r>
          </w:p>
        </w:tc>
        <w:tc>
          <w:tcPr>
            <w:tcW w:w="1105" w:type="dxa"/>
            <w:vMerge w:val="restart"/>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本项目任职</w:t>
            </w:r>
          </w:p>
        </w:tc>
        <w:tc>
          <w:tcPr>
            <w:tcW w:w="1077" w:type="dxa"/>
            <w:vMerge w:val="restart"/>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姓名</w:t>
            </w:r>
          </w:p>
        </w:tc>
        <w:tc>
          <w:tcPr>
            <w:tcW w:w="1200" w:type="dxa"/>
            <w:vMerge w:val="restart"/>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职称</w:t>
            </w:r>
          </w:p>
        </w:tc>
        <w:tc>
          <w:tcPr>
            <w:tcW w:w="4119" w:type="dxa"/>
            <w:gridSpan w:val="2"/>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执业或职业资格证明</w:t>
            </w:r>
          </w:p>
        </w:tc>
        <w:tc>
          <w:tcPr>
            <w:tcW w:w="992" w:type="dxa"/>
            <w:vAlign w:val="center"/>
          </w:tcPr>
          <w:p>
            <w:pPr>
              <w:autoSpaceDE w:val="0"/>
              <w:autoSpaceDN w:val="0"/>
              <w:adjustRightInd w:val="0"/>
              <w:spacing w:line="400" w:lineRule="exact"/>
              <w:ind w:firstLine="120" w:firstLineChars="50"/>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9" w:type="dxa"/>
            <w:vMerge w:val="continue"/>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c>
          <w:tcPr>
            <w:tcW w:w="1105" w:type="dxa"/>
            <w:vMerge w:val="continue"/>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c>
          <w:tcPr>
            <w:tcW w:w="1077" w:type="dxa"/>
            <w:vMerge w:val="continue"/>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c>
          <w:tcPr>
            <w:tcW w:w="1200" w:type="dxa"/>
            <w:vMerge w:val="continue"/>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c>
          <w:tcPr>
            <w:tcW w:w="2134" w:type="dxa"/>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证书名称</w:t>
            </w:r>
          </w:p>
        </w:tc>
        <w:tc>
          <w:tcPr>
            <w:tcW w:w="1985" w:type="dxa"/>
            <w:vAlign w:val="center"/>
          </w:tcPr>
          <w:p>
            <w:pPr>
              <w:autoSpaceDE w:val="0"/>
              <w:autoSpaceDN w:val="0"/>
              <w:adjustRightInd w:val="0"/>
              <w:spacing w:line="400" w:lineRule="exact"/>
              <w:jc w:val="center"/>
              <w:rPr>
                <w:rFonts w:hint="eastAsia" w:ascii="新宋体" w:hAnsi="新宋体" w:eastAsia="新宋体" w:cs="新宋体"/>
                <w:snapToGrid w:val="0"/>
                <w:color w:val="auto"/>
                <w:sz w:val="24"/>
                <w:szCs w:val="24"/>
                <w:lang w:val="zh-CN"/>
              </w:rPr>
            </w:pPr>
            <w:r>
              <w:rPr>
                <w:rFonts w:hint="eastAsia" w:ascii="新宋体" w:hAnsi="新宋体" w:eastAsia="新宋体" w:cs="新宋体"/>
                <w:snapToGrid w:val="0"/>
                <w:color w:val="auto"/>
                <w:sz w:val="24"/>
                <w:szCs w:val="24"/>
                <w:lang w:val="zh-CN"/>
              </w:rPr>
              <w:t>专业</w:t>
            </w:r>
          </w:p>
        </w:tc>
        <w:tc>
          <w:tcPr>
            <w:tcW w:w="992" w:type="dxa"/>
            <w:vAlign w:val="center"/>
          </w:tcPr>
          <w:p>
            <w:pPr>
              <w:autoSpaceDE w:val="0"/>
              <w:autoSpaceDN w:val="0"/>
              <w:adjustRightInd w:val="0"/>
              <w:spacing w:line="400" w:lineRule="exact"/>
              <w:ind w:firstLine="480" w:firstLineChars="200"/>
              <w:jc w:val="center"/>
              <w:rPr>
                <w:rFonts w:hint="eastAsia" w:ascii="新宋体" w:hAnsi="新宋体" w:eastAsia="新宋体" w:cs="新宋体"/>
                <w:snapToGrid w:val="0"/>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9"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105" w:type="dxa"/>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077"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200"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2134"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1985"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c>
          <w:tcPr>
            <w:tcW w:w="992" w:type="dxa"/>
            <w:vAlign w:val="center"/>
          </w:tcPr>
          <w:p>
            <w:pPr>
              <w:autoSpaceDE w:val="0"/>
              <w:autoSpaceDN w:val="0"/>
              <w:adjustRightInd w:val="0"/>
              <w:spacing w:line="400" w:lineRule="exact"/>
              <w:ind w:firstLine="420" w:firstLineChars="200"/>
              <w:rPr>
                <w:rFonts w:hint="eastAsia" w:ascii="新宋体" w:hAnsi="新宋体" w:eastAsia="新宋体" w:cs="新宋体"/>
                <w:snapToGrid w:val="0"/>
                <w:color w:val="auto"/>
                <w:lang w:val="zh-CN"/>
              </w:rPr>
            </w:pPr>
          </w:p>
        </w:tc>
      </w:tr>
    </w:tbl>
    <w:p>
      <w:pPr>
        <w:adjustRightInd w:val="0"/>
        <w:snapToGrid w:val="0"/>
        <w:spacing w:line="360" w:lineRule="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注：包括相关证书，人员配备力量等。</w:t>
      </w:r>
    </w:p>
    <w:p>
      <w:pPr>
        <w:pStyle w:val="29"/>
        <w:rPr>
          <w:rFonts w:hint="eastAsia" w:ascii="新宋体" w:hAnsi="新宋体" w:eastAsia="新宋体" w:cs="新宋体"/>
          <w:b/>
          <w:bCs/>
          <w:color w:val="auto"/>
          <w:szCs w:val="24"/>
        </w:rPr>
      </w:pPr>
    </w:p>
    <w:p>
      <w:pPr>
        <w:pStyle w:val="29"/>
        <w:rPr>
          <w:rFonts w:hint="eastAsia" w:ascii="新宋体" w:hAnsi="新宋体" w:eastAsia="新宋体" w:cs="新宋体"/>
          <w:b/>
          <w:bCs/>
          <w:color w:val="auto"/>
          <w:szCs w:val="24"/>
        </w:rPr>
      </w:pPr>
    </w:p>
    <w:p>
      <w:pPr>
        <w:pStyle w:val="29"/>
        <w:rPr>
          <w:rFonts w:hint="eastAsia" w:ascii="新宋体" w:hAnsi="新宋体" w:eastAsia="新宋体" w:cs="新宋体"/>
          <w:b/>
          <w:bCs/>
          <w:color w:val="auto"/>
          <w:szCs w:val="24"/>
        </w:rPr>
      </w:pPr>
    </w:p>
    <w:p>
      <w:pPr>
        <w:pStyle w:val="29"/>
        <w:rPr>
          <w:rFonts w:hint="eastAsia" w:ascii="新宋体" w:hAnsi="新宋体" w:eastAsia="新宋体" w:cs="新宋体"/>
          <w:b/>
          <w:bCs/>
          <w:color w:val="auto"/>
          <w:szCs w:val="24"/>
        </w:rPr>
      </w:pPr>
    </w:p>
    <w:p>
      <w:pPr>
        <w:pStyle w:val="29"/>
        <w:rPr>
          <w:rFonts w:hint="eastAsia" w:ascii="新宋体" w:hAnsi="新宋体" w:eastAsia="新宋体" w:cs="新宋体"/>
          <w:b/>
          <w:bCs/>
          <w:color w:val="auto"/>
          <w:szCs w:val="24"/>
        </w:rPr>
      </w:pPr>
    </w:p>
    <w:p>
      <w:pPr>
        <w:adjustRightInd w:val="0"/>
        <w:snapToGrid w:val="0"/>
        <w:spacing w:line="360" w:lineRule="auto"/>
        <w:jc w:val="left"/>
        <w:rPr>
          <w:rFonts w:hint="eastAsia" w:ascii="新宋体" w:hAnsi="新宋体" w:eastAsia="新宋体" w:cs="新宋体"/>
          <w:b/>
          <w:bCs/>
          <w:color w:val="auto"/>
          <w:kern w:val="0"/>
          <w:sz w:val="24"/>
          <w:szCs w:val="24"/>
        </w:rPr>
      </w:pPr>
    </w:p>
    <w:p>
      <w:pPr>
        <w:widowControl/>
        <w:spacing w:line="360" w:lineRule="auto"/>
        <w:jc w:val="left"/>
        <w:rPr>
          <w:rFonts w:hint="eastAsia" w:ascii="新宋体" w:hAnsi="新宋体" w:eastAsia="新宋体" w:cs="新宋体"/>
          <w:color w:val="auto"/>
          <w:sz w:val="24"/>
          <w:szCs w:val="24"/>
        </w:rPr>
      </w:pPr>
      <w:bookmarkStart w:id="116" w:name="_Toc8537"/>
      <w:bookmarkStart w:id="117" w:name="_Toc1616"/>
      <w:bookmarkStart w:id="118" w:name="_Toc1917"/>
      <w:r>
        <w:rPr>
          <w:rFonts w:hint="eastAsia" w:ascii="新宋体" w:hAnsi="新宋体" w:eastAsia="新宋体" w:cs="新宋体"/>
          <w:color w:val="auto"/>
          <w:sz w:val="24"/>
          <w:szCs w:val="24"/>
        </w:rPr>
        <w:t>（16）技术服务方案</w:t>
      </w:r>
      <w:bookmarkEnd w:id="116"/>
    </w:p>
    <w:p>
      <w:pPr>
        <w:autoSpaceDE w:val="0"/>
        <w:autoSpaceDN w:val="0"/>
        <w:adjustRightInd w:val="0"/>
        <w:snapToGrid w:val="0"/>
        <w:spacing w:line="360" w:lineRule="auto"/>
        <w:ind w:firstLine="426"/>
        <w:jc w:val="center"/>
        <w:rPr>
          <w:rFonts w:hint="eastAsia" w:ascii="新宋体" w:hAnsi="新宋体" w:eastAsia="新宋体" w:cs="新宋体"/>
          <w:b/>
          <w:bCs/>
          <w:color w:val="auto"/>
          <w:kern w:val="0"/>
          <w:sz w:val="32"/>
          <w:szCs w:val="32"/>
          <w:lang w:val="zh-CN"/>
        </w:rPr>
      </w:pPr>
      <w:r>
        <w:rPr>
          <w:rFonts w:hint="eastAsia" w:ascii="新宋体" w:hAnsi="新宋体" w:eastAsia="新宋体" w:cs="新宋体"/>
          <w:b/>
          <w:bCs/>
          <w:color w:val="auto"/>
          <w:kern w:val="0"/>
          <w:sz w:val="32"/>
          <w:szCs w:val="32"/>
          <w:lang w:val="zh-CN"/>
        </w:rPr>
        <w:t>技术服务方案</w:t>
      </w: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格式自定</w:t>
      </w:r>
    </w:p>
    <w:p>
      <w:pP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
        <w:spacing w:line="360" w:lineRule="auto"/>
        <w:rPr>
          <w:rFonts w:hint="eastAsia" w:ascii="新宋体" w:hAnsi="新宋体" w:eastAsia="新宋体" w:cs="新宋体"/>
          <w:color w:val="auto"/>
          <w:sz w:val="24"/>
          <w:szCs w:val="24"/>
        </w:rPr>
      </w:pPr>
      <w:bookmarkStart w:id="119" w:name="_Toc7972"/>
      <w:r>
        <w:rPr>
          <w:rFonts w:hint="eastAsia" w:ascii="新宋体" w:hAnsi="新宋体" w:eastAsia="新宋体" w:cs="新宋体"/>
          <w:color w:val="auto"/>
          <w:sz w:val="24"/>
          <w:szCs w:val="24"/>
        </w:rPr>
        <w:t>（17）投标人的类似业绩证明材料</w:t>
      </w:r>
      <w:bookmarkEnd w:id="117"/>
      <w:bookmarkEnd w:id="118"/>
      <w:bookmarkEnd w:id="119"/>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投标人的类似业绩证明材料</w:t>
      </w: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提供</w:t>
      </w:r>
      <w:r>
        <w:rPr>
          <w:rFonts w:hint="eastAsia" w:ascii="新宋体" w:hAnsi="新宋体" w:eastAsia="新宋体" w:cs="新宋体"/>
          <w:color w:val="auto"/>
          <w:kern w:val="0"/>
          <w:sz w:val="24"/>
          <w:szCs w:val="24"/>
          <w:lang w:val="en-US" w:eastAsia="zh-CN"/>
        </w:rPr>
        <w:t>2015年以来</w:t>
      </w:r>
      <w:r>
        <w:rPr>
          <w:rFonts w:hint="eastAsia" w:ascii="新宋体" w:hAnsi="新宋体" w:eastAsia="新宋体" w:cs="新宋体"/>
          <w:color w:val="auto"/>
          <w:kern w:val="0"/>
          <w:sz w:val="24"/>
          <w:szCs w:val="24"/>
          <w:lang w:val="zh-CN"/>
        </w:rPr>
        <w:t>近五年的类似业绩证明材料。类似业绩是指与采购项目在服务类型等方面相同或相近的项目。</w:t>
      </w:r>
    </w:p>
    <w:p>
      <w:pPr>
        <w:widowControl/>
        <w:spacing w:line="360" w:lineRule="auto"/>
        <w:jc w:val="left"/>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br w:type="page"/>
      </w:r>
    </w:p>
    <w:p>
      <w:pPr>
        <w:pStyle w:val="3"/>
        <w:spacing w:line="360" w:lineRule="auto"/>
        <w:rPr>
          <w:rFonts w:hint="eastAsia" w:ascii="新宋体" w:hAnsi="新宋体" w:eastAsia="新宋体" w:cs="新宋体"/>
          <w:color w:val="auto"/>
          <w:sz w:val="24"/>
          <w:szCs w:val="24"/>
        </w:rPr>
      </w:pPr>
      <w:bookmarkStart w:id="120" w:name="_Toc29255"/>
      <w:bookmarkStart w:id="121" w:name="_Toc25126"/>
      <w:bookmarkStart w:id="122" w:name="_Toc25961"/>
      <w:r>
        <w:rPr>
          <w:rFonts w:hint="eastAsia" w:ascii="新宋体" w:hAnsi="新宋体" w:eastAsia="新宋体" w:cs="新宋体"/>
          <w:color w:val="auto"/>
          <w:sz w:val="24"/>
          <w:szCs w:val="24"/>
        </w:rPr>
        <w:t>（18.1）制造（生产）企业小型、微型企业声明函</w:t>
      </w:r>
      <w:bookmarkEnd w:id="120"/>
      <w:bookmarkEnd w:id="121"/>
      <w:bookmarkEnd w:id="122"/>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制造（生产）企业小型、微型企业声明函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本公司郑重声明，根据《政府采购促进中小企业发展暂行办法》（财库【</w:t>
      </w:r>
      <w:r>
        <w:rPr>
          <w:rFonts w:hint="eastAsia" w:ascii="新宋体" w:hAnsi="新宋体" w:eastAsia="新宋体" w:cs="新宋体"/>
          <w:color w:val="auto"/>
          <w:kern w:val="0"/>
          <w:sz w:val="24"/>
          <w:szCs w:val="24"/>
        </w:rPr>
        <w:t>2011</w:t>
      </w:r>
      <w:r>
        <w:rPr>
          <w:rFonts w:hint="eastAsia" w:ascii="新宋体" w:hAnsi="新宋体" w:eastAsia="新宋体" w:cs="新宋体"/>
          <w:color w:val="auto"/>
          <w:kern w:val="0"/>
          <w:sz w:val="24"/>
          <w:szCs w:val="24"/>
          <w:lang w:val="zh-CN"/>
        </w:rPr>
        <w:t>】181号）的规定，本公司为______（请填写：小型、微型）企业。即，本公司满足以下条件：《工业和信息化部、国家统计局、国家发展和改革委员会、财政部关于印发中小企业划型标准规定的通知》（工信部联企业【</w:t>
      </w:r>
      <w:r>
        <w:rPr>
          <w:rFonts w:hint="eastAsia" w:ascii="新宋体" w:hAnsi="新宋体" w:eastAsia="新宋体" w:cs="新宋体"/>
          <w:color w:val="auto"/>
          <w:kern w:val="0"/>
          <w:sz w:val="24"/>
          <w:szCs w:val="24"/>
        </w:rPr>
        <w:t>2011</w:t>
      </w:r>
      <w:r>
        <w:rPr>
          <w:rFonts w:hint="eastAsia" w:ascii="新宋体" w:hAnsi="新宋体" w:eastAsia="新宋体" w:cs="新宋体"/>
          <w:color w:val="auto"/>
          <w:kern w:val="0"/>
          <w:sz w:val="24"/>
          <w:szCs w:val="24"/>
          <w:lang w:val="zh-CN"/>
        </w:rPr>
        <w:t>】300号）规定的划分标准。</w:t>
      </w: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本公司对上述声明的真实性负责。如有虚假，将依法承担相应责任。</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注：1.此函须由投标产品的制造（生产）企业提供并声明，同时附相关证明材料；</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2</w:t>
      </w:r>
      <w:r>
        <w:rPr>
          <w:rFonts w:hint="eastAsia" w:ascii="新宋体" w:hAnsi="新宋体" w:eastAsia="新宋体" w:cs="新宋体"/>
          <w:color w:val="auto"/>
          <w:kern w:val="0"/>
          <w:sz w:val="24"/>
          <w:szCs w:val="24"/>
          <w:lang w:val="zh-CN"/>
        </w:rPr>
        <w:t>.此函若出现多家制造（生产）企业的货物（产品）投标时，可按制造（生产）企业分别声明，一家制造（生产）企业填写一张。</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制造（生产）企业名称：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制造（生产）企业法定代表人：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adjustRightInd w:val="0"/>
        <w:snapToGrid w:val="0"/>
        <w:spacing w:line="360" w:lineRule="auto"/>
        <w:jc w:val="left"/>
        <w:rPr>
          <w:rFonts w:hint="eastAsia" w:ascii="新宋体" w:hAnsi="新宋体" w:eastAsia="新宋体" w:cs="新宋体"/>
          <w:b/>
          <w:bCs/>
          <w:color w:val="auto"/>
          <w:sz w:val="36"/>
          <w:szCs w:val="36"/>
        </w:rPr>
      </w:pPr>
    </w:p>
    <w:p>
      <w:pPr>
        <w:adjustRightInd w:val="0"/>
        <w:snapToGrid w:val="0"/>
        <w:spacing w:line="360" w:lineRule="auto"/>
        <w:jc w:val="left"/>
        <w:rPr>
          <w:rFonts w:hint="eastAsia" w:ascii="新宋体" w:hAnsi="新宋体" w:eastAsia="新宋体" w:cs="新宋体"/>
          <w:b/>
          <w:bCs/>
          <w:color w:val="auto"/>
          <w:sz w:val="36"/>
          <w:szCs w:val="36"/>
        </w:rPr>
      </w:pPr>
    </w:p>
    <w:p>
      <w:pPr>
        <w:adjustRightInd w:val="0"/>
        <w:snapToGrid w:val="0"/>
        <w:spacing w:line="360" w:lineRule="auto"/>
        <w:jc w:val="left"/>
        <w:rPr>
          <w:rFonts w:hint="eastAsia" w:ascii="新宋体" w:hAnsi="新宋体" w:eastAsia="新宋体" w:cs="新宋体"/>
          <w:b/>
          <w:bCs/>
          <w:color w:val="auto"/>
          <w:sz w:val="36"/>
          <w:szCs w:val="36"/>
        </w:rPr>
      </w:pPr>
    </w:p>
    <w:p>
      <w:pPr>
        <w:widowControl/>
        <w:spacing w:line="360" w:lineRule="auto"/>
        <w:jc w:val="left"/>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br w:type="page"/>
      </w:r>
    </w:p>
    <w:p>
      <w:pPr>
        <w:pStyle w:val="3"/>
        <w:spacing w:line="360" w:lineRule="auto"/>
        <w:rPr>
          <w:rFonts w:hint="eastAsia" w:ascii="新宋体" w:hAnsi="新宋体" w:eastAsia="新宋体" w:cs="新宋体"/>
          <w:color w:val="auto"/>
          <w:sz w:val="24"/>
          <w:szCs w:val="24"/>
        </w:rPr>
      </w:pPr>
      <w:bookmarkStart w:id="123" w:name="_Toc14225"/>
      <w:bookmarkStart w:id="124" w:name="_Toc8966"/>
      <w:bookmarkStart w:id="125" w:name="_Toc2139"/>
      <w:r>
        <w:rPr>
          <w:rFonts w:hint="eastAsia" w:ascii="新宋体" w:hAnsi="新宋体" w:eastAsia="新宋体" w:cs="新宋体"/>
          <w:color w:val="auto"/>
          <w:sz w:val="24"/>
          <w:szCs w:val="24"/>
        </w:rPr>
        <w:t>（18.2）从业人员声明函</w:t>
      </w:r>
      <w:bookmarkEnd w:id="123"/>
      <w:bookmarkEnd w:id="124"/>
      <w:bookmarkEnd w:id="125"/>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从业人员声明函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djustRightInd w:val="0"/>
        <w:snapToGrid w:val="0"/>
        <w:spacing w:line="360" w:lineRule="auto"/>
        <w:ind w:left="-4" w:leftChars="-2"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360" w:lineRule="auto"/>
        <w:ind w:left="-2" w:leftChars="-1"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本公司对上述声明的真实性负责，如有虚假，将依法承担相应责任。</w:t>
      </w: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制造（生产）企业名称：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制造（生产）企业法定代表人：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br w:type="page"/>
      </w:r>
    </w:p>
    <w:p>
      <w:pPr>
        <w:pStyle w:val="3"/>
        <w:spacing w:line="360" w:lineRule="auto"/>
        <w:rPr>
          <w:rFonts w:hint="eastAsia" w:ascii="新宋体" w:hAnsi="新宋体" w:eastAsia="新宋体" w:cs="新宋体"/>
          <w:color w:val="auto"/>
          <w:sz w:val="24"/>
          <w:szCs w:val="24"/>
        </w:rPr>
      </w:pPr>
      <w:bookmarkStart w:id="126" w:name="_Toc24630"/>
      <w:bookmarkStart w:id="127" w:name="_Toc4962"/>
      <w:bookmarkStart w:id="128" w:name="_Toc28097"/>
      <w:r>
        <w:rPr>
          <w:rFonts w:hint="eastAsia" w:ascii="新宋体" w:hAnsi="新宋体" w:eastAsia="新宋体" w:cs="新宋体"/>
          <w:color w:val="auto"/>
          <w:sz w:val="24"/>
          <w:szCs w:val="24"/>
        </w:rPr>
        <w:t>（19）残疾人福利性单位声明函</w:t>
      </w:r>
      <w:bookmarkEnd w:id="126"/>
      <w:bookmarkEnd w:id="127"/>
      <w:bookmarkEnd w:id="128"/>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残疾人福利性单位声明函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本单位对上述声明的真实性负责。如有虚假，将依法承担相应责任。</w:t>
      </w: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注：若无此项内容，可不提供此函。</w:t>
      </w: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jc w:val="right"/>
        <w:rPr>
          <w:rFonts w:hint="eastAsia" w:ascii="新宋体" w:hAnsi="新宋体" w:eastAsia="新宋体" w:cs="新宋体"/>
          <w:color w:val="auto"/>
          <w:sz w:val="24"/>
          <w:szCs w:val="24"/>
        </w:rPr>
      </w:pPr>
    </w:p>
    <w:p>
      <w:pPr>
        <w:adjustRightInd w:val="0"/>
        <w:snapToGrid w:val="0"/>
        <w:spacing w:line="360" w:lineRule="auto"/>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                                企业名称：（公章）</w:t>
      </w:r>
    </w:p>
    <w:p>
      <w:pPr>
        <w:adjustRightInd w:val="0"/>
        <w:snapToGrid w:val="0"/>
        <w:spacing w:line="360" w:lineRule="auto"/>
        <w:ind w:firstLine="482"/>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       企业法定代表人：（签字或盖章）</w:t>
      </w:r>
    </w:p>
    <w:p>
      <w:pPr>
        <w:adjustRightInd w:val="0"/>
        <w:snapToGrid w:val="0"/>
        <w:spacing w:line="360" w:lineRule="auto"/>
        <w:ind w:firstLine="482"/>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              年   月  日</w:t>
      </w:r>
    </w:p>
    <w:p>
      <w:pPr>
        <w:adjustRightInd w:val="0"/>
        <w:snapToGrid w:val="0"/>
        <w:spacing w:line="360" w:lineRule="auto"/>
        <w:ind w:firstLine="482"/>
        <w:jc w:val="right"/>
        <w:rPr>
          <w:rFonts w:hint="eastAsia" w:ascii="新宋体" w:hAnsi="新宋体" w:eastAsia="新宋体" w:cs="新宋体"/>
          <w:b/>
          <w:bCs/>
          <w:color w:val="auto"/>
          <w:sz w:val="24"/>
          <w:szCs w:val="24"/>
        </w:rPr>
      </w:pPr>
    </w:p>
    <w:p>
      <w:pPr>
        <w:pStyle w:val="3"/>
        <w:spacing w:line="360" w:lineRule="auto"/>
        <w:rPr>
          <w:rFonts w:hint="eastAsia" w:ascii="新宋体" w:hAnsi="新宋体" w:eastAsia="新宋体" w:cs="新宋体"/>
          <w:color w:val="auto"/>
          <w:sz w:val="24"/>
          <w:szCs w:val="24"/>
        </w:rPr>
      </w:pPr>
      <w:bookmarkStart w:id="129" w:name="_Toc28867"/>
      <w:bookmarkStart w:id="130" w:name="_Toc30898"/>
      <w:bookmarkStart w:id="131" w:name="_Toc5199"/>
      <w:r>
        <w:rPr>
          <w:rFonts w:hint="eastAsia" w:ascii="新宋体" w:hAnsi="新宋体" w:eastAsia="新宋体" w:cs="新宋体"/>
          <w:color w:val="auto"/>
          <w:sz w:val="24"/>
          <w:szCs w:val="24"/>
        </w:rPr>
        <w:t>（20）投标人认为在其他方面有必要说明的事项</w:t>
      </w:r>
      <w:bookmarkEnd w:id="129"/>
      <w:bookmarkEnd w:id="130"/>
      <w:bookmarkEnd w:id="131"/>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投标人认为在其他方面有必要说明的事项</w:t>
      </w:r>
    </w:p>
    <w:p>
      <w:pPr>
        <w:adjustRightInd w:val="0"/>
        <w:snapToGrid w:val="0"/>
        <w:spacing w:line="360" w:lineRule="auto"/>
        <w:ind w:firstLine="426"/>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格式自定</w:t>
      </w: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pStyle w:val="3"/>
        <w:spacing w:line="360" w:lineRule="auto"/>
        <w:rPr>
          <w:rFonts w:hint="eastAsia" w:ascii="新宋体" w:hAnsi="新宋体" w:eastAsia="新宋体" w:cs="新宋体"/>
          <w:color w:val="auto"/>
          <w:sz w:val="24"/>
          <w:szCs w:val="24"/>
        </w:rPr>
      </w:pPr>
      <w:bookmarkStart w:id="132" w:name="_Toc10291"/>
      <w:r>
        <w:rPr>
          <w:rFonts w:hint="eastAsia" w:ascii="新宋体" w:hAnsi="新宋体" w:eastAsia="新宋体" w:cs="新宋体"/>
          <w:color w:val="auto"/>
          <w:sz w:val="24"/>
          <w:szCs w:val="24"/>
        </w:rPr>
        <w:t>（21）投标人最终报价表</w:t>
      </w:r>
      <w:bookmarkEnd w:id="132"/>
    </w:p>
    <w:p>
      <w:pPr>
        <w:adjustRightInd w:val="0"/>
        <w:snapToGrid w:val="0"/>
        <w:spacing w:line="360" w:lineRule="auto"/>
        <w:jc w:val="center"/>
        <w:rPr>
          <w:rFonts w:hint="eastAsia" w:ascii="新宋体" w:hAnsi="新宋体" w:eastAsia="新宋体" w:cs="新宋体"/>
          <w:b/>
          <w:bCs/>
          <w:color w:val="auto"/>
          <w:sz w:val="32"/>
          <w:szCs w:val="32"/>
        </w:rPr>
      </w:pPr>
      <w:bookmarkStart w:id="133" w:name="_Toc16374"/>
      <w:r>
        <w:rPr>
          <w:rFonts w:hint="eastAsia" w:ascii="新宋体" w:hAnsi="新宋体" w:eastAsia="新宋体" w:cs="新宋体"/>
          <w:b/>
          <w:bCs/>
          <w:color w:val="auto"/>
          <w:sz w:val="32"/>
          <w:szCs w:val="32"/>
        </w:rPr>
        <w:t>最终报价表</w:t>
      </w:r>
    </w:p>
    <w:p>
      <w:pPr>
        <w:spacing w:line="360" w:lineRule="auto"/>
        <w:jc w:val="left"/>
        <w:rPr>
          <w:rFonts w:hint="eastAsia" w:ascii="新宋体" w:hAnsi="新宋体" w:eastAsia="新宋体" w:cs="新宋体"/>
          <w:color w:val="auto"/>
          <w:sz w:val="24"/>
          <w:szCs w:val="24"/>
        </w:rPr>
      </w:pPr>
    </w:p>
    <w:p>
      <w:pPr>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投标人名称：                                       项目编号/包号：</w:t>
      </w:r>
    </w:p>
    <w:p>
      <w:pPr>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报价单位：    （人民币）元</w:t>
      </w:r>
    </w:p>
    <w:tbl>
      <w:tblPr>
        <w:tblStyle w:val="33"/>
        <w:tblW w:w="974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724"/>
        <w:gridCol w:w="1868"/>
        <w:gridCol w:w="1724"/>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692"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序号</w:t>
            </w:r>
          </w:p>
        </w:tc>
        <w:tc>
          <w:tcPr>
            <w:tcW w:w="1724"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最初报价</w:t>
            </w:r>
          </w:p>
        </w:tc>
        <w:tc>
          <w:tcPr>
            <w:tcW w:w="1868"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调整因素</w:t>
            </w:r>
          </w:p>
        </w:tc>
        <w:tc>
          <w:tcPr>
            <w:tcW w:w="1724"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最终报价</w:t>
            </w:r>
          </w:p>
        </w:tc>
        <w:tc>
          <w:tcPr>
            <w:tcW w:w="2733"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2" w:type="dxa"/>
          </w:tcPr>
          <w:p>
            <w:pPr>
              <w:pStyle w:val="16"/>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6"/>
              <w:adjustRightInd w:val="0"/>
              <w:snapToGrid w:val="0"/>
              <w:spacing w:line="360" w:lineRule="auto"/>
              <w:jc w:val="left"/>
              <w:rPr>
                <w:rFonts w:hint="eastAsia" w:ascii="新宋体" w:hAnsi="新宋体" w:eastAsia="新宋体" w:cs="新宋体"/>
                <w:color w:val="auto"/>
                <w:kern w:val="2"/>
              </w:rPr>
            </w:pPr>
          </w:p>
        </w:tc>
        <w:tc>
          <w:tcPr>
            <w:tcW w:w="1868" w:type="dxa"/>
          </w:tcPr>
          <w:p>
            <w:pPr>
              <w:pStyle w:val="16"/>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6"/>
              <w:adjustRightInd w:val="0"/>
              <w:snapToGrid w:val="0"/>
              <w:spacing w:line="360" w:lineRule="auto"/>
              <w:jc w:val="left"/>
              <w:rPr>
                <w:rFonts w:hint="eastAsia" w:ascii="新宋体" w:hAnsi="新宋体" w:eastAsia="新宋体" w:cs="新宋体"/>
                <w:color w:val="auto"/>
                <w:kern w:val="2"/>
              </w:rPr>
            </w:pPr>
          </w:p>
        </w:tc>
        <w:tc>
          <w:tcPr>
            <w:tcW w:w="2733" w:type="dxa"/>
          </w:tcPr>
          <w:p>
            <w:pPr>
              <w:pStyle w:val="16"/>
              <w:adjustRightInd w:val="0"/>
              <w:snapToGrid w:val="0"/>
              <w:spacing w:line="360" w:lineRule="auto"/>
              <w:jc w:val="left"/>
              <w:rPr>
                <w:rFonts w:hint="eastAsia" w:ascii="新宋体" w:hAnsi="新宋体" w:eastAsia="新宋体" w:cs="新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2" w:type="dxa"/>
          </w:tcPr>
          <w:p>
            <w:pPr>
              <w:pStyle w:val="16"/>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6"/>
              <w:adjustRightInd w:val="0"/>
              <w:snapToGrid w:val="0"/>
              <w:spacing w:line="360" w:lineRule="auto"/>
              <w:jc w:val="left"/>
              <w:rPr>
                <w:rFonts w:hint="eastAsia" w:ascii="新宋体" w:hAnsi="新宋体" w:eastAsia="新宋体" w:cs="新宋体"/>
                <w:color w:val="auto"/>
                <w:kern w:val="2"/>
              </w:rPr>
            </w:pPr>
          </w:p>
        </w:tc>
        <w:tc>
          <w:tcPr>
            <w:tcW w:w="1868" w:type="dxa"/>
          </w:tcPr>
          <w:p>
            <w:pPr>
              <w:pStyle w:val="16"/>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6"/>
              <w:adjustRightInd w:val="0"/>
              <w:snapToGrid w:val="0"/>
              <w:spacing w:line="360" w:lineRule="auto"/>
              <w:jc w:val="left"/>
              <w:rPr>
                <w:rFonts w:hint="eastAsia" w:ascii="新宋体" w:hAnsi="新宋体" w:eastAsia="新宋体" w:cs="新宋体"/>
                <w:color w:val="auto"/>
                <w:kern w:val="2"/>
              </w:rPr>
            </w:pPr>
          </w:p>
        </w:tc>
        <w:tc>
          <w:tcPr>
            <w:tcW w:w="2733" w:type="dxa"/>
          </w:tcPr>
          <w:p>
            <w:pPr>
              <w:pStyle w:val="16"/>
              <w:adjustRightInd w:val="0"/>
              <w:snapToGrid w:val="0"/>
              <w:spacing w:line="360" w:lineRule="auto"/>
              <w:jc w:val="left"/>
              <w:rPr>
                <w:rFonts w:hint="eastAsia" w:ascii="新宋体" w:hAnsi="新宋体" w:eastAsia="新宋体" w:cs="新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2" w:type="dxa"/>
          </w:tcPr>
          <w:p>
            <w:pPr>
              <w:pStyle w:val="16"/>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6"/>
              <w:adjustRightInd w:val="0"/>
              <w:snapToGrid w:val="0"/>
              <w:spacing w:line="360" w:lineRule="auto"/>
              <w:jc w:val="left"/>
              <w:rPr>
                <w:rFonts w:hint="eastAsia" w:ascii="新宋体" w:hAnsi="新宋体" w:eastAsia="新宋体" w:cs="新宋体"/>
                <w:color w:val="auto"/>
                <w:kern w:val="2"/>
              </w:rPr>
            </w:pPr>
          </w:p>
        </w:tc>
        <w:tc>
          <w:tcPr>
            <w:tcW w:w="1868" w:type="dxa"/>
          </w:tcPr>
          <w:p>
            <w:pPr>
              <w:pStyle w:val="16"/>
              <w:adjustRightInd w:val="0"/>
              <w:snapToGrid w:val="0"/>
              <w:spacing w:line="360" w:lineRule="auto"/>
              <w:jc w:val="left"/>
              <w:rPr>
                <w:rFonts w:hint="eastAsia" w:ascii="新宋体" w:hAnsi="新宋体" w:eastAsia="新宋体" w:cs="新宋体"/>
                <w:color w:val="auto"/>
                <w:kern w:val="2"/>
              </w:rPr>
            </w:pPr>
          </w:p>
        </w:tc>
        <w:tc>
          <w:tcPr>
            <w:tcW w:w="1724" w:type="dxa"/>
            <w:tcBorders>
              <w:top w:val="nil"/>
            </w:tcBorders>
          </w:tcPr>
          <w:p>
            <w:pPr>
              <w:pStyle w:val="16"/>
              <w:adjustRightInd w:val="0"/>
              <w:snapToGrid w:val="0"/>
              <w:spacing w:line="360" w:lineRule="auto"/>
              <w:jc w:val="left"/>
              <w:rPr>
                <w:rFonts w:hint="eastAsia" w:ascii="新宋体" w:hAnsi="新宋体" w:eastAsia="新宋体" w:cs="新宋体"/>
                <w:color w:val="auto"/>
                <w:kern w:val="2"/>
              </w:rPr>
            </w:pPr>
          </w:p>
        </w:tc>
        <w:tc>
          <w:tcPr>
            <w:tcW w:w="2733" w:type="dxa"/>
          </w:tcPr>
          <w:p>
            <w:pPr>
              <w:pStyle w:val="16"/>
              <w:adjustRightInd w:val="0"/>
              <w:snapToGrid w:val="0"/>
              <w:spacing w:line="360" w:lineRule="auto"/>
              <w:jc w:val="left"/>
              <w:rPr>
                <w:rFonts w:hint="eastAsia" w:ascii="新宋体" w:hAnsi="新宋体" w:eastAsia="新宋体" w:cs="新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trPr>
        <w:tc>
          <w:tcPr>
            <w:tcW w:w="9741" w:type="dxa"/>
            <w:gridSpan w:val="5"/>
          </w:tcPr>
          <w:p>
            <w:pPr>
              <w:pStyle w:val="16"/>
              <w:adjustRightInd w:val="0"/>
              <w:snapToGrid w:val="0"/>
              <w:spacing w:line="360" w:lineRule="auto"/>
              <w:jc w:val="left"/>
              <w:rPr>
                <w:rFonts w:hint="eastAsia" w:ascii="新宋体" w:hAnsi="新宋体" w:eastAsia="新宋体" w:cs="新宋体"/>
                <w:color w:val="auto"/>
                <w:kern w:val="2"/>
              </w:rPr>
            </w:pPr>
            <w:r>
              <w:rPr>
                <w:rFonts w:hint="eastAsia" w:ascii="新宋体" w:hAnsi="新宋体" w:eastAsia="新宋体" w:cs="新宋体"/>
                <w:color w:val="auto"/>
                <w:kern w:val="2"/>
              </w:rPr>
              <w:t>最终确定的质量保证及服务承诺（优惠条件）：</w:t>
            </w:r>
          </w:p>
        </w:tc>
      </w:tr>
    </w:tbl>
    <w:p>
      <w:pPr>
        <w:spacing w:line="360" w:lineRule="auto"/>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注：此表在磋商开始前应提前将投标人、法定代表人或投标代表印章、签字准备好，待第一轮磋商结束后填写。</w:t>
      </w:r>
    </w:p>
    <w:p>
      <w:pPr>
        <w:spacing w:line="360" w:lineRule="auto"/>
        <w:ind w:right="560" w:firstLine="5385" w:firstLineChars="2244"/>
        <w:textAlignment w:val="baseline"/>
        <w:rPr>
          <w:rFonts w:hint="eastAsia" w:ascii="新宋体" w:hAnsi="新宋体" w:eastAsia="新宋体" w:cs="新宋体"/>
          <w:color w:val="auto"/>
          <w:sz w:val="24"/>
          <w:szCs w:val="24"/>
        </w:rPr>
      </w:pPr>
    </w:p>
    <w:p>
      <w:pPr>
        <w:spacing w:line="360" w:lineRule="auto"/>
        <w:ind w:right="560" w:firstLine="5385" w:firstLineChars="2244"/>
        <w:textAlignment w:val="baseline"/>
        <w:rPr>
          <w:rFonts w:hint="eastAsia" w:ascii="新宋体" w:hAnsi="新宋体" w:eastAsia="新宋体" w:cs="新宋体"/>
          <w:color w:val="auto"/>
          <w:sz w:val="24"/>
          <w:szCs w:val="24"/>
        </w:rPr>
      </w:pPr>
    </w:p>
    <w:p>
      <w:pPr>
        <w:spacing w:line="360" w:lineRule="auto"/>
        <w:ind w:right="560" w:firstLine="4252" w:firstLineChars="1772"/>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投标人名称（盖章）：</w:t>
      </w:r>
    </w:p>
    <w:p>
      <w:pPr>
        <w:spacing w:line="360" w:lineRule="auto"/>
        <w:ind w:right="560" w:firstLine="4252" w:firstLineChars="1772"/>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法定代表人或授权委托人（签字）：</w:t>
      </w:r>
    </w:p>
    <w:p>
      <w:pPr>
        <w:spacing w:line="360" w:lineRule="auto"/>
        <w:ind w:right="560" w:firstLine="5244" w:firstLineChars="218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年     月     日</w:t>
      </w:r>
    </w:p>
    <w:p>
      <w:pPr>
        <w:pStyle w:val="2"/>
        <w:spacing w:line="360" w:lineRule="auto"/>
        <w:jc w:val="both"/>
        <w:rPr>
          <w:rFonts w:hint="eastAsia" w:ascii="新宋体" w:hAnsi="新宋体" w:eastAsia="新宋体" w:cs="新宋体"/>
          <w:color w:val="auto"/>
          <w:sz w:val="32"/>
          <w:szCs w:val="32"/>
        </w:rPr>
      </w:pPr>
      <w:bookmarkStart w:id="134" w:name="_Toc29262"/>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pStyle w:val="29"/>
        <w:rPr>
          <w:rFonts w:hint="eastAsia"/>
          <w:color w:val="auto"/>
        </w:rPr>
      </w:pPr>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bidi w:val="0"/>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第五部分 采购项目要求及技术参数</w:t>
      </w:r>
      <w:bookmarkEnd w:id="133"/>
      <w:bookmarkEnd w:id="134"/>
    </w:p>
    <w:p>
      <w:pPr>
        <w:pStyle w:val="31"/>
        <w:rPr>
          <w:rFonts w:hint="eastAsia" w:ascii="新宋体" w:hAnsi="新宋体" w:eastAsia="新宋体" w:cs="新宋体"/>
          <w:color w:val="auto"/>
          <w:szCs w:val="36"/>
        </w:rPr>
      </w:pPr>
      <w:bookmarkStart w:id="135" w:name="_Toc484765902"/>
      <w:bookmarkStart w:id="136" w:name="_Toc484765903"/>
      <w:r>
        <w:rPr>
          <w:rFonts w:hint="eastAsia" w:ascii="新宋体" w:hAnsi="新宋体" w:eastAsia="新宋体" w:cs="新宋体"/>
          <w:color w:val="auto"/>
          <w:szCs w:val="36"/>
          <w:lang w:val="zh-CN"/>
        </w:rPr>
        <w:t>（一）投标要求</w:t>
      </w:r>
      <w:bookmarkEnd w:id="135"/>
    </w:p>
    <w:p>
      <w:pPr>
        <w:pStyle w:val="31"/>
        <w:spacing w:line="360" w:lineRule="auto"/>
        <w:jc w:val="left"/>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1.投标说明</w:t>
      </w:r>
      <w:bookmarkEnd w:id="136"/>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r>
        <w:rPr>
          <w:rFonts w:hint="eastAsia" w:ascii="新宋体" w:hAnsi="新宋体" w:eastAsia="新宋体" w:cs="新宋体"/>
          <w:color w:val="auto"/>
          <w:kern w:val="0"/>
          <w:sz w:val="24"/>
          <w:szCs w:val="24"/>
          <w:highlight w:val="none"/>
          <w:lang w:val="zh-CN" w:eastAsia="zh-CN" w:bidi="ar-SA"/>
        </w:rPr>
        <w:t xml:space="preserve"> </w:t>
      </w:r>
      <w:r>
        <w:rPr>
          <w:rFonts w:hint="eastAsia" w:ascii="新宋体" w:hAnsi="新宋体" w:eastAsia="新宋体" w:cs="新宋体"/>
          <w:color w:val="auto"/>
          <w:kern w:val="0"/>
          <w:sz w:val="24"/>
          <w:szCs w:val="24"/>
          <w:highlight w:val="none"/>
          <w:lang w:val="en-US" w:eastAsia="zh-CN" w:bidi="ar-SA"/>
        </w:rPr>
        <w:t>1.1</w:t>
      </w:r>
      <w:r>
        <w:rPr>
          <w:rFonts w:hint="eastAsia" w:ascii="新宋体" w:hAnsi="新宋体" w:eastAsia="新宋体" w:cs="新宋体"/>
          <w:color w:val="auto"/>
          <w:kern w:val="0"/>
          <w:sz w:val="24"/>
          <w:szCs w:val="24"/>
          <w:highlight w:val="none"/>
          <w:lang w:val="zh-CN" w:eastAsia="zh-CN" w:bidi="ar-SA"/>
        </w:rPr>
        <w:t>投标人可以按照磋商文件规定的包号选择投标，但必须对所投包号中的所有内容作为一个整体进行投标，不能拆分或少报。否则，投标无效。</w:t>
      </w: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r>
        <w:rPr>
          <w:rFonts w:hint="eastAsia" w:ascii="新宋体" w:hAnsi="新宋体" w:eastAsia="新宋体" w:cs="新宋体"/>
          <w:color w:val="auto"/>
          <w:kern w:val="0"/>
          <w:sz w:val="24"/>
          <w:szCs w:val="24"/>
          <w:highlight w:val="none"/>
          <w:lang w:val="zh-CN" w:eastAsia="zh-CN" w:bidi="ar-SA"/>
        </w:rPr>
        <w:t>1.2 投标人必须如实填写“应答表”，投标人对超出或不满足最低指标要求的指标需列出“＋、-”偏差。</w:t>
      </w: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r>
        <w:rPr>
          <w:rFonts w:hint="eastAsia" w:ascii="新宋体" w:hAnsi="新宋体" w:eastAsia="新宋体" w:cs="新宋体"/>
          <w:color w:val="auto"/>
          <w:kern w:val="0"/>
          <w:sz w:val="24"/>
          <w:szCs w:val="24"/>
          <w:highlight w:val="none"/>
          <w:lang w:val="zh-CN" w:eastAsia="zh-CN" w:bidi="ar-SA"/>
        </w:rPr>
        <w:t>1.3 项目中标后分包情况：不允许。</w:t>
      </w: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bookmarkStart w:id="137" w:name="_Toc484765904"/>
      <w:r>
        <w:rPr>
          <w:rFonts w:hint="eastAsia" w:ascii="新宋体" w:hAnsi="新宋体" w:eastAsia="新宋体" w:cs="新宋体"/>
          <w:color w:val="auto"/>
          <w:kern w:val="0"/>
          <w:sz w:val="24"/>
          <w:szCs w:val="24"/>
          <w:highlight w:val="none"/>
          <w:lang w:val="en-US" w:eastAsia="zh-CN" w:bidi="ar-SA"/>
        </w:rPr>
        <w:t xml:space="preserve">1.4 </w:t>
      </w:r>
      <w:r>
        <w:rPr>
          <w:rFonts w:hint="eastAsia" w:ascii="新宋体" w:hAnsi="新宋体" w:eastAsia="新宋体" w:cs="新宋体"/>
          <w:color w:val="auto"/>
          <w:kern w:val="0"/>
          <w:sz w:val="24"/>
          <w:szCs w:val="24"/>
          <w:highlight w:val="none"/>
          <w:lang w:val="zh-CN" w:eastAsia="zh-CN" w:bidi="ar-SA"/>
        </w:rPr>
        <w:t>技术参数中除注明签订合同时提供的相关服务承诺等资料以外，其余相关资料在投标时必须附在投标文件中。</w:t>
      </w:r>
    </w:p>
    <w:p>
      <w:pPr>
        <w:autoSpaceDE w:val="0"/>
        <w:autoSpaceDN w:val="0"/>
        <w:adjustRightInd w:val="0"/>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highlight w:val="none"/>
          <w:lang w:val="zh-CN" w:eastAsia="zh-CN" w:bidi="ar-SA"/>
        </w:rPr>
        <w:t>2.报价说明</w:t>
      </w:r>
      <w:bookmarkEnd w:id="137"/>
    </w:p>
    <w:p>
      <w:pPr>
        <w:autoSpaceDE w:val="0"/>
        <w:autoSpaceDN w:val="0"/>
        <w:adjustRightIn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本次招标文件中规定的采购预算额度为招标最高限价，供应商的投标报价不得超出此额度。否则，投标无效。</w:t>
      </w:r>
    </w:p>
    <w:p>
      <w:pPr>
        <w:pStyle w:val="31"/>
        <w:spacing w:line="360" w:lineRule="auto"/>
        <w:jc w:val="left"/>
        <w:rPr>
          <w:rFonts w:hint="default" w:ascii="新宋体" w:hAnsi="新宋体" w:eastAsia="新宋体" w:cs="新宋体"/>
          <w:color w:val="auto"/>
          <w:kern w:val="0"/>
          <w:sz w:val="24"/>
          <w:szCs w:val="24"/>
          <w:highlight w:val="none"/>
          <w:lang w:val="en-US" w:eastAsia="zh-CN" w:bidi="ar-SA"/>
        </w:rPr>
      </w:pPr>
      <w:bookmarkStart w:id="138" w:name="_Toc484765905"/>
      <w:r>
        <w:rPr>
          <w:rFonts w:hint="eastAsia" w:ascii="新宋体" w:hAnsi="新宋体" w:eastAsia="新宋体" w:cs="新宋体"/>
          <w:color w:val="auto"/>
          <w:sz w:val="24"/>
          <w:szCs w:val="24"/>
        </w:rPr>
        <w:t>3</w:t>
      </w:r>
      <w:r>
        <w:rPr>
          <w:rFonts w:hint="eastAsia" w:ascii="新宋体" w:hAnsi="新宋体" w:eastAsia="新宋体" w:cs="新宋体"/>
          <w:color w:val="auto"/>
          <w:sz w:val="24"/>
          <w:szCs w:val="24"/>
          <w:lang w:val="zh-CN"/>
        </w:rPr>
        <w:t>.商务要求</w:t>
      </w:r>
      <w:bookmarkEnd w:id="138"/>
      <w:r>
        <w:rPr>
          <w:rFonts w:hint="eastAsia" w:ascii="新宋体" w:hAnsi="新宋体" w:eastAsia="新宋体" w:cs="新宋体"/>
          <w:color w:val="auto"/>
          <w:kern w:val="0"/>
          <w:sz w:val="24"/>
          <w:szCs w:val="24"/>
          <w:highlight w:val="none"/>
          <w:lang w:val="zh-CN"/>
        </w:rPr>
        <w:t xml:space="preserve"> </w:t>
      </w:r>
    </w:p>
    <w:p>
      <w:pPr>
        <w:autoSpaceDE w:val="0"/>
        <w:autoSpaceDN w:val="0"/>
        <w:adjustRightInd w:val="0"/>
        <w:spacing w:line="360" w:lineRule="auto"/>
        <w:ind w:firstLine="480" w:firstLineChars="200"/>
        <w:rPr>
          <w:rFonts w:hint="default"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kern w:val="0"/>
          <w:sz w:val="24"/>
          <w:szCs w:val="24"/>
          <w:highlight w:val="none"/>
          <w:lang w:val="en-US" w:eastAsia="zh-CN" w:bidi="ar-SA"/>
        </w:rPr>
        <w:t>3.1.服务</w:t>
      </w:r>
      <w:r>
        <w:rPr>
          <w:rFonts w:hint="eastAsia" w:ascii="新宋体" w:hAnsi="新宋体" w:eastAsia="新宋体" w:cs="新宋体"/>
          <w:color w:val="auto"/>
          <w:kern w:val="0"/>
          <w:sz w:val="24"/>
          <w:szCs w:val="24"/>
          <w:highlight w:val="none"/>
          <w:lang w:val="zh-CN" w:eastAsia="zh-CN" w:bidi="ar-SA"/>
        </w:rPr>
        <w:t>期：</w:t>
      </w:r>
      <w:bookmarkStart w:id="139" w:name="_Toc484765906"/>
      <w:r>
        <w:rPr>
          <w:rFonts w:hint="eastAsia" w:ascii="新宋体" w:hAnsi="新宋体" w:eastAsia="新宋体" w:cs="新宋体"/>
          <w:color w:val="auto"/>
          <w:kern w:val="0"/>
          <w:sz w:val="24"/>
          <w:szCs w:val="24"/>
          <w:highlight w:val="none"/>
          <w:lang w:val="en-US" w:eastAsia="zh-CN" w:bidi="ar-SA"/>
        </w:rPr>
        <w:t>2020年12月20号前完成。</w:t>
      </w: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kern w:val="0"/>
          <w:sz w:val="24"/>
          <w:szCs w:val="24"/>
          <w:highlight w:val="none"/>
          <w:lang w:val="en-US" w:eastAsia="zh-CN" w:bidi="ar-SA"/>
        </w:rPr>
        <w:t>3</w:t>
      </w:r>
      <w:r>
        <w:rPr>
          <w:rFonts w:hint="eastAsia" w:ascii="新宋体" w:hAnsi="新宋体" w:eastAsia="新宋体" w:cs="新宋体"/>
          <w:color w:val="auto"/>
          <w:kern w:val="0"/>
          <w:sz w:val="24"/>
          <w:szCs w:val="24"/>
          <w:highlight w:val="none"/>
          <w:lang w:val="zh-CN" w:eastAsia="zh-CN" w:bidi="ar-SA"/>
        </w:rPr>
        <w:t>.</w:t>
      </w:r>
      <w:r>
        <w:rPr>
          <w:rFonts w:hint="eastAsia" w:ascii="新宋体" w:hAnsi="新宋体" w:eastAsia="新宋体" w:cs="新宋体"/>
          <w:color w:val="auto"/>
          <w:kern w:val="0"/>
          <w:sz w:val="24"/>
          <w:szCs w:val="24"/>
          <w:highlight w:val="none"/>
          <w:lang w:val="en-US" w:eastAsia="zh-CN" w:bidi="ar-SA"/>
        </w:rPr>
        <w:t>2</w:t>
      </w:r>
      <w:r>
        <w:rPr>
          <w:rFonts w:hint="eastAsia" w:ascii="新宋体" w:hAnsi="新宋体" w:eastAsia="新宋体" w:cs="新宋体"/>
          <w:color w:val="auto"/>
          <w:kern w:val="0"/>
          <w:sz w:val="24"/>
          <w:szCs w:val="24"/>
          <w:highlight w:val="none"/>
          <w:lang w:val="zh-CN" w:eastAsia="zh-CN" w:bidi="ar-SA"/>
        </w:rPr>
        <w:t>.付款方式：按合同约定执行。</w:t>
      </w: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en-US" w:eastAsia="zh-CN" w:bidi="ar-SA"/>
        </w:rPr>
      </w:pP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en-US" w:eastAsia="zh-CN" w:bidi="ar-SA"/>
        </w:rPr>
      </w:pPr>
    </w:p>
    <w:p>
      <w:pPr>
        <w:pStyle w:val="29"/>
        <w:rPr>
          <w:rFonts w:hint="eastAsia" w:ascii="宋体" w:hAnsi="宋体"/>
          <w:color w:val="auto"/>
        </w:rPr>
      </w:pPr>
    </w:p>
    <w:p>
      <w:pPr>
        <w:pStyle w:val="29"/>
        <w:rPr>
          <w:rFonts w:hint="eastAsia" w:ascii="宋体" w:hAnsi="宋体"/>
          <w:color w:val="auto"/>
        </w:rPr>
      </w:pPr>
    </w:p>
    <w:p>
      <w:pPr>
        <w:pStyle w:val="29"/>
        <w:rPr>
          <w:rFonts w:hint="eastAsia" w:ascii="宋体" w:hAnsi="宋体"/>
          <w:color w:val="auto"/>
        </w:rPr>
      </w:pPr>
    </w:p>
    <w:p>
      <w:pPr>
        <w:pStyle w:val="29"/>
        <w:rPr>
          <w:rFonts w:hint="eastAsia" w:ascii="宋体" w:hAnsi="宋体"/>
          <w:color w:val="auto"/>
        </w:rPr>
      </w:pPr>
    </w:p>
    <w:p>
      <w:pPr>
        <w:pStyle w:val="29"/>
        <w:rPr>
          <w:rFonts w:hint="eastAsia" w:ascii="宋体" w:hAnsi="宋体"/>
          <w:color w:val="auto"/>
        </w:rPr>
      </w:pPr>
    </w:p>
    <w:p>
      <w:pPr>
        <w:pStyle w:val="29"/>
        <w:rPr>
          <w:rFonts w:hint="eastAsia" w:ascii="宋体" w:hAnsi="宋体"/>
          <w:color w:val="auto"/>
        </w:rPr>
      </w:pP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p>
    <w:p>
      <w:pPr>
        <w:pStyle w:val="3"/>
        <w:rPr>
          <w:rFonts w:hint="eastAsia"/>
          <w:color w:val="auto"/>
          <w:lang w:val="zh-CN" w:eastAsia="zh-CN"/>
        </w:rPr>
      </w:pPr>
    </w:p>
    <w:p>
      <w:pPr>
        <w:rPr>
          <w:rFonts w:hint="eastAsia" w:ascii="新宋体" w:hAnsi="新宋体" w:eastAsia="新宋体" w:cs="新宋体"/>
          <w:color w:val="auto"/>
          <w:szCs w:val="36"/>
          <w:lang w:val="zh-CN"/>
        </w:rPr>
      </w:pPr>
      <w:r>
        <w:rPr>
          <w:rFonts w:hint="eastAsia" w:ascii="新宋体" w:hAnsi="新宋体" w:eastAsia="新宋体" w:cs="新宋体"/>
          <w:color w:val="auto"/>
          <w:szCs w:val="36"/>
          <w:lang w:val="zh-CN"/>
        </w:rPr>
        <w:br w:type="page"/>
      </w:r>
    </w:p>
    <w:p>
      <w:pPr>
        <w:pStyle w:val="31"/>
        <w:numPr>
          <w:ilvl w:val="0"/>
          <w:numId w:val="9"/>
        </w:numPr>
        <w:jc w:val="center"/>
        <w:rPr>
          <w:rFonts w:hint="eastAsia" w:ascii="新宋体" w:hAnsi="新宋体" w:eastAsia="新宋体" w:cs="新宋体"/>
          <w:color w:val="auto"/>
          <w:szCs w:val="36"/>
          <w:lang w:val="zh-CN"/>
        </w:rPr>
      </w:pPr>
      <w:r>
        <w:rPr>
          <w:rFonts w:hint="eastAsia" w:ascii="新宋体" w:hAnsi="新宋体" w:eastAsia="新宋体" w:cs="新宋体"/>
          <w:color w:val="auto"/>
          <w:szCs w:val="36"/>
          <w:lang w:val="zh-CN"/>
        </w:rPr>
        <w:t>技术要求</w:t>
      </w:r>
    </w:p>
    <w:bookmarkEnd w:id="139"/>
    <w:p>
      <w:pPr>
        <w:pStyle w:val="30"/>
        <w:spacing w:before="196" w:beforeAutospacing="0" w:after="196" w:afterAutospacing="0" w:line="360" w:lineRule="atLeast"/>
        <w:ind w:firstLine="723" w:firstLineChars="200"/>
        <w:jc w:val="center"/>
        <w:rPr>
          <w:rFonts w:hint="eastAsia"/>
          <w:b/>
          <w:bCs/>
          <w:color w:val="auto"/>
          <w:sz w:val="36"/>
          <w:szCs w:val="36"/>
        </w:rPr>
      </w:pPr>
      <w:r>
        <w:rPr>
          <w:rFonts w:hint="eastAsia"/>
          <w:b/>
          <w:bCs/>
          <w:color w:val="auto"/>
          <w:sz w:val="36"/>
          <w:szCs w:val="36"/>
        </w:rPr>
        <w:t>乌图美仁乡集镇（九个牧业村）搬迁定居点</w:t>
      </w:r>
    </w:p>
    <w:p>
      <w:pPr>
        <w:pStyle w:val="30"/>
        <w:spacing w:before="196" w:beforeAutospacing="0" w:after="196" w:afterAutospacing="0" w:line="360" w:lineRule="atLeast"/>
        <w:ind w:firstLine="3253" w:firstLineChars="900"/>
        <w:jc w:val="both"/>
        <w:rPr>
          <w:rFonts w:hint="eastAsia"/>
          <w:b/>
          <w:bCs/>
          <w:color w:val="auto"/>
          <w:sz w:val="36"/>
          <w:szCs w:val="36"/>
        </w:rPr>
      </w:pPr>
      <w:r>
        <w:rPr>
          <w:rFonts w:hint="eastAsia"/>
          <w:b/>
          <w:bCs/>
          <w:color w:val="auto"/>
          <w:sz w:val="36"/>
          <w:szCs w:val="36"/>
        </w:rPr>
        <w:t>总体规划技术要求</w:t>
      </w:r>
    </w:p>
    <w:p>
      <w:pPr>
        <w:pStyle w:val="30"/>
        <w:spacing w:before="196" w:beforeAutospacing="0" w:after="196" w:afterAutospacing="0" w:line="360" w:lineRule="atLeast"/>
        <w:rPr>
          <w:bCs/>
          <w:color w:val="auto"/>
          <w:kern w:val="44"/>
          <w:sz w:val="28"/>
          <w:szCs w:val="28"/>
        </w:rPr>
      </w:pPr>
      <w:r>
        <w:rPr>
          <w:rFonts w:hint="eastAsia"/>
          <w:bCs/>
          <w:color w:val="auto"/>
          <w:kern w:val="44"/>
          <w:sz w:val="28"/>
          <w:szCs w:val="28"/>
        </w:rPr>
        <w:t>其中九个牧业村包括：柴开村、那棱格勒村、哈夏图村、巴勒格图村、白力其尔村、察汉乌苏村、敖包图村、乌兰美仁村、俄日腾村。进行总体规划设计。</w:t>
      </w:r>
    </w:p>
    <w:p>
      <w:pPr>
        <w:widowControl/>
        <w:jc w:val="left"/>
        <w:rPr>
          <w:rFonts w:ascii="宋体" w:hAnsi="宋体" w:cs="宋体"/>
          <w:bCs/>
          <w:color w:val="auto"/>
          <w:kern w:val="44"/>
          <w:sz w:val="28"/>
          <w:szCs w:val="28"/>
        </w:rPr>
      </w:pPr>
      <w:r>
        <w:rPr>
          <w:rFonts w:hint="eastAsia" w:ascii="宋体" w:hAnsi="宋体" w:cs="宋体"/>
          <w:bCs/>
          <w:color w:val="auto"/>
          <w:kern w:val="44"/>
          <w:sz w:val="28"/>
          <w:szCs w:val="28"/>
        </w:rPr>
        <w:t>建设位置：</w:t>
      </w:r>
      <w:r>
        <w:rPr>
          <w:rFonts w:hint="eastAsia" w:ascii="宋体" w:hAnsi="宋体" w:cs="宋体"/>
          <w:color w:val="auto"/>
          <w:sz w:val="28"/>
          <w:szCs w:val="28"/>
        </w:rPr>
        <w:t>总体区域（政府驻地、甘森生活区、新建牧业新村、沙漠公园、敖包景点、鹅歌湖景点、那达慕场地、农业集合开发、畜产品加工基地、饲草种植基地、牲畜交易养殖基地、垃圾处理场等等）。</w:t>
      </w:r>
    </w:p>
    <w:p>
      <w:pPr>
        <w:widowControl/>
        <w:jc w:val="left"/>
        <w:rPr>
          <w:rFonts w:hint="eastAsia" w:ascii="宋体" w:hAnsi="宋体" w:cs="宋体"/>
          <w:color w:val="auto"/>
          <w:sz w:val="28"/>
          <w:szCs w:val="28"/>
        </w:rPr>
      </w:pPr>
      <w:r>
        <w:rPr>
          <w:rFonts w:hint="eastAsia" w:ascii="宋体" w:hAnsi="宋体" w:cs="宋体"/>
          <w:color w:val="auto"/>
          <w:sz w:val="28"/>
          <w:szCs w:val="28"/>
        </w:rPr>
        <w:t>包括内容：乡镇发展规划，乡村振兴思路，建设控制分区与空间管制规划，集镇规划，道路交通规划，风貌规划及工程设施规划等。</w:t>
      </w:r>
    </w:p>
    <w:p>
      <w:pPr>
        <w:widowControl/>
        <w:jc w:val="left"/>
        <w:rPr>
          <w:rFonts w:hint="eastAsia" w:ascii="宋体" w:hAnsi="宋体" w:cs="宋体"/>
          <w:color w:val="auto"/>
          <w:sz w:val="28"/>
          <w:szCs w:val="28"/>
        </w:rPr>
      </w:pPr>
      <w:r>
        <w:rPr>
          <w:rFonts w:hint="eastAsia" w:ascii="宋体" w:hAnsi="宋体" w:cs="宋体"/>
          <w:color w:val="auto"/>
          <w:sz w:val="28"/>
          <w:szCs w:val="28"/>
        </w:rPr>
        <w:t>深度要求：</w:t>
      </w:r>
    </w:p>
    <w:p>
      <w:pPr>
        <w:widowControl/>
        <w:jc w:val="left"/>
        <w:rPr>
          <w:rFonts w:hint="eastAsia" w:ascii="宋体" w:hAnsi="宋体" w:cs="宋体"/>
          <w:color w:val="auto"/>
          <w:sz w:val="28"/>
          <w:szCs w:val="28"/>
        </w:rPr>
      </w:pPr>
      <w:r>
        <w:rPr>
          <w:rFonts w:hint="eastAsia" w:ascii="宋体" w:hAnsi="宋体" w:cs="宋体"/>
          <w:color w:val="auto"/>
          <w:sz w:val="28"/>
          <w:szCs w:val="28"/>
        </w:rPr>
        <w:t>（1）达到《格尔木市土地利用总体规划》技术要求和标准。</w:t>
      </w:r>
    </w:p>
    <w:p>
      <w:pPr>
        <w:widowControl/>
        <w:jc w:val="left"/>
        <w:rPr>
          <w:rFonts w:hint="eastAsia" w:ascii="宋体" w:hAnsi="宋体" w:cs="宋体"/>
          <w:color w:val="auto"/>
          <w:sz w:val="28"/>
          <w:szCs w:val="28"/>
        </w:rPr>
      </w:pPr>
      <w:r>
        <w:rPr>
          <w:rFonts w:hint="eastAsia" w:ascii="宋体" w:hAnsi="宋体" w:cs="宋体"/>
          <w:color w:val="auto"/>
          <w:sz w:val="28"/>
          <w:szCs w:val="28"/>
        </w:rPr>
        <w:t>（2）达到国家对于总体规划的各项技术指标要求和标准。</w:t>
      </w:r>
    </w:p>
    <w:p>
      <w:pPr>
        <w:rPr>
          <w:rFonts w:hint="eastAsia"/>
          <w:color w:val="auto"/>
          <w:lang w:val="zh-CN" w:eastAsia="zh-CN"/>
        </w:rPr>
      </w:pPr>
      <w:r>
        <w:rPr>
          <w:rFonts w:hint="eastAsia" w:ascii="宋体" w:hAnsi="宋体" w:cs="宋体"/>
          <w:color w:val="auto"/>
          <w:sz w:val="28"/>
          <w:szCs w:val="28"/>
        </w:rPr>
        <w:t>（3）达到乡镇总体规划要求和标准。</w:t>
      </w:r>
    </w:p>
    <w:p>
      <w:pPr>
        <w:pStyle w:val="29"/>
        <w:rPr>
          <w:rFonts w:hint="eastAsia"/>
          <w:color w:val="auto"/>
          <w:lang w:val="zh-CN" w:eastAsia="zh-CN"/>
        </w:rPr>
      </w:pPr>
    </w:p>
    <w:sectPr>
      <w:footerReference r:id="rId11" w:type="first"/>
      <w:footerReference r:id="rId9" w:type="default"/>
      <w:footerReference r:id="rId10" w:type="even"/>
      <w:pgSz w:w="11906" w:h="16838"/>
      <w:pgMar w:top="1247" w:right="999" w:bottom="1247" w:left="1247" w:header="851" w:footer="992" w:gutter="0"/>
      <w:pgBorders w:offsetFrom="page">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Arial" w:hAnsi="Arial" w:eastAsia="仿宋"/>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jc w:val="right"/>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 xml:space="preserve">第 </w:t>
                          </w: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PAGE  \* MERGEFORMAT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3</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 xml:space="preserve"> 页 共 </w:t>
                          </w: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NUMPAGES  \* MERGEFORMAT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61</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0"/>
                      <w:jc w:val="right"/>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 xml:space="preserve">第 </w:t>
                    </w: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PAGE  \* MERGEFORMAT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3</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 xml:space="preserve"> 页 共 </w:t>
                    </w: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NUMPAGES  \* MERGEFORMAT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61</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Arial" w:hAnsi="Arial"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Arial" w:hAnsi="Arial" w:eastAsia="仿宋"/>
        <w:sz w:val="21"/>
        <w:szCs w:val="21"/>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jc w:val="right"/>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 xml:space="preserve">第 </w:t>
                          </w: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PAGE  \* MERGEFORMAT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9</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 xml:space="preserve"> 页 共 </w:t>
                          </w: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NUMPAGES  \* MERGEFORMAT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65</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 xml:space="preserve"> 页</w:t>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9vX5y7IB&#10;AABOAwAADgAAAAAAAAABACAAAAAeAQAAZHJzL2Uyb0RvYy54bWxQSwUGAAAAAAYABgBZAQAAQgUA&#10;AAAA&#10;">
              <v:fill on="f" focussize="0,0"/>
              <v:stroke on="f"/>
              <v:imagedata o:title=""/>
              <o:lock v:ext="edit" aspectratio="f"/>
              <v:textbox inset="0mm,0mm,0mm,0mm" style="mso-fit-shape-to-text:t;">
                <w:txbxContent>
                  <w:p>
                    <w:pPr>
                      <w:pStyle w:val="20"/>
                      <w:jc w:val="right"/>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 xml:space="preserve">第 </w:t>
                    </w: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PAGE  \* MERGEFORMAT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9</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 xml:space="preserve"> 页 共 </w:t>
                    </w: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NUMPAGES  \* MERGEFORMAT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eastAsia="zh-CN"/>
                      </w:rPr>
                      <w:t>65</w:t>
                    </w:r>
                    <w:r>
                      <w:rPr>
                        <w:rFonts w:hint="eastAsia" w:ascii="新宋体" w:hAnsi="新宋体" w:eastAsia="新宋体" w:cs="新宋体"/>
                        <w:sz w:val="21"/>
                        <w:szCs w:val="21"/>
                        <w:lang w:eastAsia="zh-CN"/>
                      </w:rPr>
                      <w:fldChar w:fldCharType="end"/>
                    </w:r>
                    <w:r>
                      <w:rPr>
                        <w:rFonts w:hint="eastAsia" w:ascii="新宋体" w:hAnsi="新宋体" w:eastAsia="新宋体" w:cs="新宋体"/>
                        <w:sz w:val="21"/>
                        <w:szCs w:val="21"/>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Arial" w:hAnsi="Arial" w:eastAsia="仿宋"/>
        <w:sz w:val="21"/>
        <w:szCs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GzJcRsQEA&#10;AE4DAAAOAAAAAAAAAAEAIAAAAB4BAABkcnMvZTJvRG9jLnhtbFBLBQYAAAAABgAGAFkBAABBBQAA&#10;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MEMp7IB&#10;AABOAwAADgAAAAAAAAABACAAAAAeAQAAZHJzL2Uyb0RvYy54bWxQSwUGAAAAAAYABgBZAQAAQgUA&#10;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4"/>
      </w:pPr>
      <w:r>
        <w:rPr>
          <w:rStyle w:val="41"/>
        </w:rPr>
        <w:footnoteRef/>
      </w:r>
      <w:r>
        <w:rPr>
          <w:rFonts w:hint="eastAsia"/>
        </w:rPr>
        <w:t>征求意见稿，指乙方第一次向甲方提交的，用于甲方在部门内部或相关部门范围征求修改意见的稿件。</w:t>
      </w:r>
    </w:p>
  </w:footnote>
  <w:footnote w:id="1">
    <w:p>
      <w:pPr>
        <w:pStyle w:val="24"/>
      </w:pPr>
      <w:r>
        <w:rPr>
          <w:rStyle w:val="41"/>
        </w:rPr>
        <w:footnoteRef/>
      </w:r>
      <w:r>
        <w:rPr>
          <w:rFonts w:hint="eastAsia"/>
        </w:rPr>
        <w:t>送审稿，指乙方在对征求意见修改的基础上，第二次向甲方提交的，用于评审验收的稿件。</w:t>
      </w:r>
    </w:p>
  </w:footnote>
  <w:footnote w:id="2">
    <w:p>
      <w:pPr>
        <w:pStyle w:val="24"/>
      </w:pPr>
      <w:r>
        <w:rPr>
          <w:rStyle w:val="41"/>
        </w:rPr>
        <w:footnoteRef/>
      </w:r>
      <w:r>
        <w:rPr>
          <w:rFonts w:hint="eastAsia"/>
        </w:rPr>
        <w:t>定稿，指项目最终验收通过的成果稿。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宋体" w:hAnsi="宋体" w:eastAsia="宋体" w:cs="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default"/>
        <w:sz w:val="21"/>
        <w:szCs w:val="21"/>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90FD5"/>
    <w:multiLevelType w:val="singleLevel"/>
    <w:tmpl w:val="82890FD5"/>
    <w:lvl w:ilvl="0" w:tentative="0">
      <w:start w:val="5"/>
      <w:numFmt w:val="decimal"/>
      <w:suff w:val="nothing"/>
      <w:lvlText w:val="%1、"/>
      <w:lvlJc w:val="left"/>
    </w:lvl>
  </w:abstractNum>
  <w:abstractNum w:abstractNumId="1">
    <w:nsid w:val="A4CED978"/>
    <w:multiLevelType w:val="singleLevel"/>
    <w:tmpl w:val="A4CED978"/>
    <w:lvl w:ilvl="0" w:tentative="0">
      <w:start w:val="1"/>
      <w:numFmt w:val="decimal"/>
      <w:suff w:val="nothing"/>
      <w:lvlText w:val="%1、"/>
      <w:lvlJc w:val="left"/>
    </w:lvl>
  </w:abstractNum>
  <w:abstractNum w:abstractNumId="2">
    <w:nsid w:val="0BE2177F"/>
    <w:multiLevelType w:val="multilevel"/>
    <w:tmpl w:val="0BE2177F"/>
    <w:lvl w:ilvl="0" w:tentative="0">
      <w:start w:val="1"/>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250E64E0"/>
    <w:multiLevelType w:val="singleLevel"/>
    <w:tmpl w:val="250E64E0"/>
    <w:lvl w:ilvl="0" w:tentative="0">
      <w:start w:val="2"/>
      <w:numFmt w:val="chineseCounting"/>
      <w:suff w:val="nothing"/>
      <w:lvlText w:val="（%1）"/>
      <w:lvlJc w:val="left"/>
      <w:rPr>
        <w:rFonts w:hint="eastAsia"/>
      </w:rPr>
    </w:lvl>
  </w:abstractNum>
  <w:abstractNum w:abstractNumId="4">
    <w:nsid w:val="5065048E"/>
    <w:multiLevelType w:val="multilevel"/>
    <w:tmpl w:val="5065048E"/>
    <w:lvl w:ilvl="0" w:tentative="0">
      <w:start w:val="1"/>
      <w:numFmt w:val="decimal"/>
      <w:lvlText w:val="%1"/>
      <w:lvlJc w:val="left"/>
      <w:pPr>
        <w:ind w:left="425" w:hanging="425"/>
      </w:pPr>
    </w:lvl>
    <w:lvl w:ilvl="1" w:tentative="0">
      <w:start w:val="1"/>
      <w:numFmt w:val="decimal"/>
      <w:lvlText w:val="%1.%2"/>
      <w:lvlJc w:val="left"/>
      <w:pPr>
        <w:ind w:left="992" w:hanging="567"/>
      </w:pPr>
      <w:rPr>
        <w:rFonts w:ascii="黑体" w:hAnsi="黑体" w:eastAsia="黑体"/>
        <w:sz w:val="48"/>
        <w:szCs w:val="48"/>
      </w:rPr>
    </w:lvl>
    <w:lvl w:ilvl="2" w:tentative="0">
      <w:start w:val="1"/>
      <w:numFmt w:val="decimal"/>
      <w:pStyle w:val="113"/>
      <w:lvlText w:val="%1.%2.%3"/>
      <w:lvlJc w:val="left"/>
      <w:pPr>
        <w:ind w:left="567" w:hanging="567"/>
      </w:pPr>
    </w:lvl>
    <w:lvl w:ilvl="3" w:tentative="0">
      <w:start w:val="1"/>
      <w:numFmt w:val="decimal"/>
      <w:lvlText w:val="%1.%2.%3.%4"/>
      <w:lvlJc w:val="left"/>
      <w:pPr>
        <w:ind w:left="1984" w:hanging="708"/>
      </w:pPr>
      <w:rPr>
        <w:rFonts w:ascii="黑体" w:hAnsi="黑体" w:eastAsia="黑体"/>
        <w:sz w:val="36"/>
        <w:szCs w:val="36"/>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50263F2"/>
    <w:multiLevelType w:val="multilevel"/>
    <w:tmpl w:val="550263F2"/>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1F42AC"/>
    <w:multiLevelType w:val="singleLevel"/>
    <w:tmpl w:val="561F42AC"/>
    <w:lvl w:ilvl="0" w:tentative="0">
      <w:start w:val="2"/>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76188531"/>
    <w:multiLevelType w:val="singleLevel"/>
    <w:tmpl w:val="76188531"/>
    <w:lvl w:ilvl="0" w:tentative="0">
      <w:start w:val="1"/>
      <w:numFmt w:val="decimal"/>
      <w:suff w:val="nothing"/>
      <w:lvlText w:val="%1、"/>
      <w:lvlJc w:val="left"/>
    </w:lvl>
  </w:abstractNum>
  <w:num w:numId="1">
    <w:abstractNumId w:val="4"/>
  </w:num>
  <w:num w:numId="2">
    <w:abstractNumId w:val="8"/>
  </w:num>
  <w:num w:numId="3">
    <w:abstractNumId w:val="5"/>
  </w:num>
  <w:num w:numId="4">
    <w:abstractNumId w:val="1"/>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dit="readOnly" w:formatting="1"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46"/>
    <w:rsid w:val="00015226"/>
    <w:rsid w:val="00030CF5"/>
    <w:rsid w:val="00032AB6"/>
    <w:rsid w:val="00037051"/>
    <w:rsid w:val="00044342"/>
    <w:rsid w:val="000458AF"/>
    <w:rsid w:val="00053F8E"/>
    <w:rsid w:val="00055292"/>
    <w:rsid w:val="00060004"/>
    <w:rsid w:val="00061633"/>
    <w:rsid w:val="00067798"/>
    <w:rsid w:val="000679E2"/>
    <w:rsid w:val="00074714"/>
    <w:rsid w:val="000803E3"/>
    <w:rsid w:val="00081656"/>
    <w:rsid w:val="00090C88"/>
    <w:rsid w:val="000A0BEA"/>
    <w:rsid w:val="000A2540"/>
    <w:rsid w:val="000A426B"/>
    <w:rsid w:val="000B7229"/>
    <w:rsid w:val="000D35D9"/>
    <w:rsid w:val="000D51AB"/>
    <w:rsid w:val="000E0529"/>
    <w:rsid w:val="000E6FC2"/>
    <w:rsid w:val="000E7A59"/>
    <w:rsid w:val="000E7BA5"/>
    <w:rsid w:val="000F0DA7"/>
    <w:rsid w:val="000F2667"/>
    <w:rsid w:val="0010461B"/>
    <w:rsid w:val="0010799F"/>
    <w:rsid w:val="00111705"/>
    <w:rsid w:val="001342F6"/>
    <w:rsid w:val="00140C03"/>
    <w:rsid w:val="00146B57"/>
    <w:rsid w:val="00147E6F"/>
    <w:rsid w:val="00175FE7"/>
    <w:rsid w:val="001761CD"/>
    <w:rsid w:val="00183DDB"/>
    <w:rsid w:val="001841A1"/>
    <w:rsid w:val="00190B57"/>
    <w:rsid w:val="00191F18"/>
    <w:rsid w:val="0019408B"/>
    <w:rsid w:val="0019718F"/>
    <w:rsid w:val="001A0E1B"/>
    <w:rsid w:val="001A1C5D"/>
    <w:rsid w:val="001A1F42"/>
    <w:rsid w:val="001A3C04"/>
    <w:rsid w:val="001A3DC7"/>
    <w:rsid w:val="001A75F3"/>
    <w:rsid w:val="001C14C5"/>
    <w:rsid w:val="001C5A25"/>
    <w:rsid w:val="001C5BDC"/>
    <w:rsid w:val="001D3388"/>
    <w:rsid w:val="001D4581"/>
    <w:rsid w:val="001D74E0"/>
    <w:rsid w:val="001F292F"/>
    <w:rsid w:val="00203C1B"/>
    <w:rsid w:val="002123EC"/>
    <w:rsid w:val="00212DD5"/>
    <w:rsid w:val="0022185E"/>
    <w:rsid w:val="002238F4"/>
    <w:rsid w:val="0022771D"/>
    <w:rsid w:val="00242B4C"/>
    <w:rsid w:val="00242DDC"/>
    <w:rsid w:val="002474FD"/>
    <w:rsid w:val="00254C8B"/>
    <w:rsid w:val="0025585F"/>
    <w:rsid w:val="00266759"/>
    <w:rsid w:val="00270AD6"/>
    <w:rsid w:val="00271B88"/>
    <w:rsid w:val="00273593"/>
    <w:rsid w:val="00280571"/>
    <w:rsid w:val="00281B8B"/>
    <w:rsid w:val="0029385C"/>
    <w:rsid w:val="002A12D2"/>
    <w:rsid w:val="002A35C8"/>
    <w:rsid w:val="002A5866"/>
    <w:rsid w:val="002B0C04"/>
    <w:rsid w:val="002C0776"/>
    <w:rsid w:val="002D1845"/>
    <w:rsid w:val="002D60DE"/>
    <w:rsid w:val="002E0284"/>
    <w:rsid w:val="002E2DCF"/>
    <w:rsid w:val="002E6735"/>
    <w:rsid w:val="002E6832"/>
    <w:rsid w:val="002E6894"/>
    <w:rsid w:val="002F68AC"/>
    <w:rsid w:val="002F6B99"/>
    <w:rsid w:val="00321E13"/>
    <w:rsid w:val="00332017"/>
    <w:rsid w:val="00333AFE"/>
    <w:rsid w:val="00334628"/>
    <w:rsid w:val="003533F6"/>
    <w:rsid w:val="00355D6E"/>
    <w:rsid w:val="00355E9A"/>
    <w:rsid w:val="00356FBC"/>
    <w:rsid w:val="00360A08"/>
    <w:rsid w:val="00364612"/>
    <w:rsid w:val="00385F48"/>
    <w:rsid w:val="00387E0A"/>
    <w:rsid w:val="003B5AE9"/>
    <w:rsid w:val="003D7805"/>
    <w:rsid w:val="003D78AC"/>
    <w:rsid w:val="003E10AC"/>
    <w:rsid w:val="003E2617"/>
    <w:rsid w:val="003E292D"/>
    <w:rsid w:val="003F6001"/>
    <w:rsid w:val="00401193"/>
    <w:rsid w:val="00422407"/>
    <w:rsid w:val="00426DDB"/>
    <w:rsid w:val="004355E5"/>
    <w:rsid w:val="00450BB6"/>
    <w:rsid w:val="00452DB0"/>
    <w:rsid w:val="0045366F"/>
    <w:rsid w:val="0045628C"/>
    <w:rsid w:val="00466B36"/>
    <w:rsid w:val="00487291"/>
    <w:rsid w:val="00487993"/>
    <w:rsid w:val="0049019C"/>
    <w:rsid w:val="00493CCB"/>
    <w:rsid w:val="004A26FD"/>
    <w:rsid w:val="004B2A8B"/>
    <w:rsid w:val="004B3703"/>
    <w:rsid w:val="004B3D04"/>
    <w:rsid w:val="004B3DE6"/>
    <w:rsid w:val="004B3E6E"/>
    <w:rsid w:val="004B3EE0"/>
    <w:rsid w:val="004B575E"/>
    <w:rsid w:val="004C140F"/>
    <w:rsid w:val="004C7277"/>
    <w:rsid w:val="004D371B"/>
    <w:rsid w:val="004D49A6"/>
    <w:rsid w:val="004E0BEF"/>
    <w:rsid w:val="004E4B71"/>
    <w:rsid w:val="004F1FE5"/>
    <w:rsid w:val="004F34E4"/>
    <w:rsid w:val="005008C4"/>
    <w:rsid w:val="00513936"/>
    <w:rsid w:val="00524F68"/>
    <w:rsid w:val="00525F1F"/>
    <w:rsid w:val="00545038"/>
    <w:rsid w:val="00545178"/>
    <w:rsid w:val="00553500"/>
    <w:rsid w:val="005708EB"/>
    <w:rsid w:val="005718D5"/>
    <w:rsid w:val="00571D16"/>
    <w:rsid w:val="00591E33"/>
    <w:rsid w:val="00592370"/>
    <w:rsid w:val="005946EA"/>
    <w:rsid w:val="005A1587"/>
    <w:rsid w:val="005B1D92"/>
    <w:rsid w:val="005D18E1"/>
    <w:rsid w:val="005D2A15"/>
    <w:rsid w:val="005D4D91"/>
    <w:rsid w:val="005E16DF"/>
    <w:rsid w:val="005E415A"/>
    <w:rsid w:val="005E5C95"/>
    <w:rsid w:val="005F12FB"/>
    <w:rsid w:val="005F16C4"/>
    <w:rsid w:val="00606B78"/>
    <w:rsid w:val="0061388A"/>
    <w:rsid w:val="00613A5A"/>
    <w:rsid w:val="00613B2E"/>
    <w:rsid w:val="00620738"/>
    <w:rsid w:val="00624496"/>
    <w:rsid w:val="006244CD"/>
    <w:rsid w:val="00627CA9"/>
    <w:rsid w:val="00633927"/>
    <w:rsid w:val="00641081"/>
    <w:rsid w:val="00642114"/>
    <w:rsid w:val="0065486A"/>
    <w:rsid w:val="00655651"/>
    <w:rsid w:val="006623E5"/>
    <w:rsid w:val="006625EC"/>
    <w:rsid w:val="006630A5"/>
    <w:rsid w:val="00670530"/>
    <w:rsid w:val="00670FE9"/>
    <w:rsid w:val="00672160"/>
    <w:rsid w:val="00685A3C"/>
    <w:rsid w:val="00686EAA"/>
    <w:rsid w:val="006915BE"/>
    <w:rsid w:val="006923DB"/>
    <w:rsid w:val="006952A7"/>
    <w:rsid w:val="006A2BFB"/>
    <w:rsid w:val="006C0D72"/>
    <w:rsid w:val="006C2D2B"/>
    <w:rsid w:val="006C5BF2"/>
    <w:rsid w:val="006C7F2C"/>
    <w:rsid w:val="006D475C"/>
    <w:rsid w:val="006D4A2C"/>
    <w:rsid w:val="006D675A"/>
    <w:rsid w:val="006E2C45"/>
    <w:rsid w:val="006E35D3"/>
    <w:rsid w:val="006F4954"/>
    <w:rsid w:val="00701990"/>
    <w:rsid w:val="007028D5"/>
    <w:rsid w:val="0071169A"/>
    <w:rsid w:val="00711A19"/>
    <w:rsid w:val="00712734"/>
    <w:rsid w:val="007140B6"/>
    <w:rsid w:val="00722186"/>
    <w:rsid w:val="007226AA"/>
    <w:rsid w:val="00722F21"/>
    <w:rsid w:val="00734F68"/>
    <w:rsid w:val="007427E9"/>
    <w:rsid w:val="007450BD"/>
    <w:rsid w:val="00756461"/>
    <w:rsid w:val="00765A01"/>
    <w:rsid w:val="007677A0"/>
    <w:rsid w:val="00770D6A"/>
    <w:rsid w:val="00784F5F"/>
    <w:rsid w:val="00786A85"/>
    <w:rsid w:val="007906D0"/>
    <w:rsid w:val="00793602"/>
    <w:rsid w:val="007956A3"/>
    <w:rsid w:val="007959A8"/>
    <w:rsid w:val="007966AE"/>
    <w:rsid w:val="007B1038"/>
    <w:rsid w:val="007C5F72"/>
    <w:rsid w:val="007D0866"/>
    <w:rsid w:val="007D31B7"/>
    <w:rsid w:val="007E1C8D"/>
    <w:rsid w:val="007E2AFE"/>
    <w:rsid w:val="007E7835"/>
    <w:rsid w:val="007F07E1"/>
    <w:rsid w:val="007F336C"/>
    <w:rsid w:val="007F6C82"/>
    <w:rsid w:val="008021F1"/>
    <w:rsid w:val="0080677D"/>
    <w:rsid w:val="00807CC5"/>
    <w:rsid w:val="00817DD4"/>
    <w:rsid w:val="0083032A"/>
    <w:rsid w:val="00830BC4"/>
    <w:rsid w:val="00831AF0"/>
    <w:rsid w:val="00837B21"/>
    <w:rsid w:val="00845022"/>
    <w:rsid w:val="00861AEA"/>
    <w:rsid w:val="00883246"/>
    <w:rsid w:val="00891C6A"/>
    <w:rsid w:val="008A5436"/>
    <w:rsid w:val="008B52A4"/>
    <w:rsid w:val="008C0332"/>
    <w:rsid w:val="008C2112"/>
    <w:rsid w:val="008C2157"/>
    <w:rsid w:val="008C4FA3"/>
    <w:rsid w:val="008C7E72"/>
    <w:rsid w:val="008D24CA"/>
    <w:rsid w:val="008D42A4"/>
    <w:rsid w:val="008D5807"/>
    <w:rsid w:val="008E765E"/>
    <w:rsid w:val="008F3E94"/>
    <w:rsid w:val="008F3F5B"/>
    <w:rsid w:val="008F6036"/>
    <w:rsid w:val="008F6C13"/>
    <w:rsid w:val="00900443"/>
    <w:rsid w:val="009072FE"/>
    <w:rsid w:val="00936A6C"/>
    <w:rsid w:val="00943822"/>
    <w:rsid w:val="00944EEA"/>
    <w:rsid w:val="00954C29"/>
    <w:rsid w:val="00960180"/>
    <w:rsid w:val="00963CB0"/>
    <w:rsid w:val="0096776F"/>
    <w:rsid w:val="00993081"/>
    <w:rsid w:val="009A0BAD"/>
    <w:rsid w:val="009A7BDF"/>
    <w:rsid w:val="009B30D9"/>
    <w:rsid w:val="009B6B4F"/>
    <w:rsid w:val="009B71BC"/>
    <w:rsid w:val="009C1568"/>
    <w:rsid w:val="009C18F2"/>
    <w:rsid w:val="009C3109"/>
    <w:rsid w:val="009C775D"/>
    <w:rsid w:val="009D026B"/>
    <w:rsid w:val="009D48D3"/>
    <w:rsid w:val="009D4A8E"/>
    <w:rsid w:val="009D4FC2"/>
    <w:rsid w:val="009F374E"/>
    <w:rsid w:val="009F3B8C"/>
    <w:rsid w:val="00A01C45"/>
    <w:rsid w:val="00A04F6F"/>
    <w:rsid w:val="00A074BA"/>
    <w:rsid w:val="00A1142C"/>
    <w:rsid w:val="00A13D1C"/>
    <w:rsid w:val="00A16EDC"/>
    <w:rsid w:val="00A21C38"/>
    <w:rsid w:val="00A414B5"/>
    <w:rsid w:val="00A4526E"/>
    <w:rsid w:val="00A60BE9"/>
    <w:rsid w:val="00A71874"/>
    <w:rsid w:val="00A71F2C"/>
    <w:rsid w:val="00A77B47"/>
    <w:rsid w:val="00A9685C"/>
    <w:rsid w:val="00A9799A"/>
    <w:rsid w:val="00AA1BBD"/>
    <w:rsid w:val="00AA309D"/>
    <w:rsid w:val="00AB1230"/>
    <w:rsid w:val="00AB1CDA"/>
    <w:rsid w:val="00AB477B"/>
    <w:rsid w:val="00AC7822"/>
    <w:rsid w:val="00AD7571"/>
    <w:rsid w:val="00AE0C66"/>
    <w:rsid w:val="00AE3B24"/>
    <w:rsid w:val="00AE59FB"/>
    <w:rsid w:val="00AE62D0"/>
    <w:rsid w:val="00AE6963"/>
    <w:rsid w:val="00AF440A"/>
    <w:rsid w:val="00B00C96"/>
    <w:rsid w:val="00B226A0"/>
    <w:rsid w:val="00B2318F"/>
    <w:rsid w:val="00B2441D"/>
    <w:rsid w:val="00B27A96"/>
    <w:rsid w:val="00B32E11"/>
    <w:rsid w:val="00B41959"/>
    <w:rsid w:val="00B41B88"/>
    <w:rsid w:val="00B4201D"/>
    <w:rsid w:val="00B44435"/>
    <w:rsid w:val="00B45CD6"/>
    <w:rsid w:val="00B524A3"/>
    <w:rsid w:val="00B574D0"/>
    <w:rsid w:val="00B61CA2"/>
    <w:rsid w:val="00B63D47"/>
    <w:rsid w:val="00B6774E"/>
    <w:rsid w:val="00B701AA"/>
    <w:rsid w:val="00B73C58"/>
    <w:rsid w:val="00B82989"/>
    <w:rsid w:val="00B82AD8"/>
    <w:rsid w:val="00B92F2B"/>
    <w:rsid w:val="00BA3FEF"/>
    <w:rsid w:val="00BB2065"/>
    <w:rsid w:val="00BB24E0"/>
    <w:rsid w:val="00BB38B5"/>
    <w:rsid w:val="00BB6AD9"/>
    <w:rsid w:val="00BB6EDD"/>
    <w:rsid w:val="00BB7475"/>
    <w:rsid w:val="00BC5F21"/>
    <w:rsid w:val="00BC7F26"/>
    <w:rsid w:val="00BD0263"/>
    <w:rsid w:val="00BD059E"/>
    <w:rsid w:val="00BD4DD6"/>
    <w:rsid w:val="00BE3F92"/>
    <w:rsid w:val="00BF09ED"/>
    <w:rsid w:val="00BF180E"/>
    <w:rsid w:val="00BF4301"/>
    <w:rsid w:val="00C04137"/>
    <w:rsid w:val="00C11617"/>
    <w:rsid w:val="00C11C59"/>
    <w:rsid w:val="00C11CA2"/>
    <w:rsid w:val="00C31734"/>
    <w:rsid w:val="00C335FD"/>
    <w:rsid w:val="00C36A46"/>
    <w:rsid w:val="00C4331B"/>
    <w:rsid w:val="00C45D79"/>
    <w:rsid w:val="00C52342"/>
    <w:rsid w:val="00C53A5E"/>
    <w:rsid w:val="00C67CDC"/>
    <w:rsid w:val="00C73AB2"/>
    <w:rsid w:val="00C82CED"/>
    <w:rsid w:val="00C85E18"/>
    <w:rsid w:val="00C90703"/>
    <w:rsid w:val="00C94F82"/>
    <w:rsid w:val="00CA2A94"/>
    <w:rsid w:val="00CA2A98"/>
    <w:rsid w:val="00CA5800"/>
    <w:rsid w:val="00CB45CE"/>
    <w:rsid w:val="00CC22CC"/>
    <w:rsid w:val="00CC2CBD"/>
    <w:rsid w:val="00CC5093"/>
    <w:rsid w:val="00CE4FF3"/>
    <w:rsid w:val="00CF2328"/>
    <w:rsid w:val="00CF4728"/>
    <w:rsid w:val="00D0711C"/>
    <w:rsid w:val="00D1039C"/>
    <w:rsid w:val="00D15AEC"/>
    <w:rsid w:val="00D228AD"/>
    <w:rsid w:val="00D2694C"/>
    <w:rsid w:val="00D35F3D"/>
    <w:rsid w:val="00D45539"/>
    <w:rsid w:val="00D469C6"/>
    <w:rsid w:val="00D54238"/>
    <w:rsid w:val="00D66A46"/>
    <w:rsid w:val="00D713B1"/>
    <w:rsid w:val="00D841B4"/>
    <w:rsid w:val="00D93C71"/>
    <w:rsid w:val="00DA0FB5"/>
    <w:rsid w:val="00DA2862"/>
    <w:rsid w:val="00DC1179"/>
    <w:rsid w:val="00DC455C"/>
    <w:rsid w:val="00DD2E7C"/>
    <w:rsid w:val="00DE6228"/>
    <w:rsid w:val="00DF23E5"/>
    <w:rsid w:val="00DF259B"/>
    <w:rsid w:val="00DF25FA"/>
    <w:rsid w:val="00DF43C3"/>
    <w:rsid w:val="00E172D1"/>
    <w:rsid w:val="00E17CBE"/>
    <w:rsid w:val="00E21D6D"/>
    <w:rsid w:val="00E27316"/>
    <w:rsid w:val="00E27EC9"/>
    <w:rsid w:val="00E33774"/>
    <w:rsid w:val="00E406AC"/>
    <w:rsid w:val="00E444CE"/>
    <w:rsid w:val="00E464F6"/>
    <w:rsid w:val="00E47430"/>
    <w:rsid w:val="00E47F22"/>
    <w:rsid w:val="00E5370A"/>
    <w:rsid w:val="00E67D82"/>
    <w:rsid w:val="00E71EE0"/>
    <w:rsid w:val="00E762A3"/>
    <w:rsid w:val="00E8411F"/>
    <w:rsid w:val="00E85859"/>
    <w:rsid w:val="00E85C89"/>
    <w:rsid w:val="00E86784"/>
    <w:rsid w:val="00E9749F"/>
    <w:rsid w:val="00EA5658"/>
    <w:rsid w:val="00EA7523"/>
    <w:rsid w:val="00EC03B7"/>
    <w:rsid w:val="00EC03DB"/>
    <w:rsid w:val="00EC4F6A"/>
    <w:rsid w:val="00ED75E3"/>
    <w:rsid w:val="00EE1ED7"/>
    <w:rsid w:val="00EF11E8"/>
    <w:rsid w:val="00EF18B1"/>
    <w:rsid w:val="00EF2356"/>
    <w:rsid w:val="00EF5E2F"/>
    <w:rsid w:val="00F01FD3"/>
    <w:rsid w:val="00F03797"/>
    <w:rsid w:val="00F06E0A"/>
    <w:rsid w:val="00F14880"/>
    <w:rsid w:val="00F166D9"/>
    <w:rsid w:val="00F21087"/>
    <w:rsid w:val="00F214B9"/>
    <w:rsid w:val="00F21531"/>
    <w:rsid w:val="00F24931"/>
    <w:rsid w:val="00F319E0"/>
    <w:rsid w:val="00F4336E"/>
    <w:rsid w:val="00F4412C"/>
    <w:rsid w:val="00F561B7"/>
    <w:rsid w:val="00F6123E"/>
    <w:rsid w:val="00F717FB"/>
    <w:rsid w:val="00F730CF"/>
    <w:rsid w:val="00F81BB7"/>
    <w:rsid w:val="00F92A79"/>
    <w:rsid w:val="00FA5409"/>
    <w:rsid w:val="00FA5571"/>
    <w:rsid w:val="00FB7DFB"/>
    <w:rsid w:val="00FC2103"/>
    <w:rsid w:val="00FC4136"/>
    <w:rsid w:val="00FC6740"/>
    <w:rsid w:val="00FE18B6"/>
    <w:rsid w:val="01497842"/>
    <w:rsid w:val="016B1550"/>
    <w:rsid w:val="01A1219E"/>
    <w:rsid w:val="01E360C4"/>
    <w:rsid w:val="01ED5150"/>
    <w:rsid w:val="01EF3B1A"/>
    <w:rsid w:val="022A3B71"/>
    <w:rsid w:val="024C032D"/>
    <w:rsid w:val="024C5BE5"/>
    <w:rsid w:val="02C20A39"/>
    <w:rsid w:val="02C54E79"/>
    <w:rsid w:val="02E605CF"/>
    <w:rsid w:val="03062598"/>
    <w:rsid w:val="03165421"/>
    <w:rsid w:val="03536793"/>
    <w:rsid w:val="035B2F77"/>
    <w:rsid w:val="03A212C5"/>
    <w:rsid w:val="03AA15DD"/>
    <w:rsid w:val="03B5003C"/>
    <w:rsid w:val="03E106AC"/>
    <w:rsid w:val="03F17782"/>
    <w:rsid w:val="041F7EC1"/>
    <w:rsid w:val="042A694F"/>
    <w:rsid w:val="0458512B"/>
    <w:rsid w:val="04701186"/>
    <w:rsid w:val="04870BA4"/>
    <w:rsid w:val="04881949"/>
    <w:rsid w:val="04982889"/>
    <w:rsid w:val="049A6930"/>
    <w:rsid w:val="04A62E13"/>
    <w:rsid w:val="04B2628B"/>
    <w:rsid w:val="04B457A8"/>
    <w:rsid w:val="04CF33A2"/>
    <w:rsid w:val="04DC4A52"/>
    <w:rsid w:val="05141A00"/>
    <w:rsid w:val="05253BB4"/>
    <w:rsid w:val="054146E3"/>
    <w:rsid w:val="05480BE0"/>
    <w:rsid w:val="055778BC"/>
    <w:rsid w:val="05677239"/>
    <w:rsid w:val="057A561E"/>
    <w:rsid w:val="05C80DF6"/>
    <w:rsid w:val="05D65675"/>
    <w:rsid w:val="05E05241"/>
    <w:rsid w:val="0607186C"/>
    <w:rsid w:val="06553B87"/>
    <w:rsid w:val="06785488"/>
    <w:rsid w:val="068874E9"/>
    <w:rsid w:val="069916B7"/>
    <w:rsid w:val="06A62D77"/>
    <w:rsid w:val="06B544F4"/>
    <w:rsid w:val="06DF0C43"/>
    <w:rsid w:val="07156EC0"/>
    <w:rsid w:val="077B5522"/>
    <w:rsid w:val="078F76F6"/>
    <w:rsid w:val="07912CB6"/>
    <w:rsid w:val="07BF349A"/>
    <w:rsid w:val="07D05716"/>
    <w:rsid w:val="07D13788"/>
    <w:rsid w:val="07FC6CDE"/>
    <w:rsid w:val="08B30E55"/>
    <w:rsid w:val="08C26799"/>
    <w:rsid w:val="08CC5EAC"/>
    <w:rsid w:val="08D341B3"/>
    <w:rsid w:val="08DE5081"/>
    <w:rsid w:val="08EB1A8C"/>
    <w:rsid w:val="08F4670C"/>
    <w:rsid w:val="09087E45"/>
    <w:rsid w:val="090E0F7D"/>
    <w:rsid w:val="091D1CC6"/>
    <w:rsid w:val="09357EBF"/>
    <w:rsid w:val="099D2A76"/>
    <w:rsid w:val="09AF1024"/>
    <w:rsid w:val="09D408B3"/>
    <w:rsid w:val="0A257523"/>
    <w:rsid w:val="0A4467E6"/>
    <w:rsid w:val="0A540567"/>
    <w:rsid w:val="0A5B064F"/>
    <w:rsid w:val="0A5D5923"/>
    <w:rsid w:val="0A6734DD"/>
    <w:rsid w:val="0A9614F7"/>
    <w:rsid w:val="0AB570D8"/>
    <w:rsid w:val="0B1C2A15"/>
    <w:rsid w:val="0B664E91"/>
    <w:rsid w:val="0B6A01F6"/>
    <w:rsid w:val="0B8C3BEF"/>
    <w:rsid w:val="0BC722BF"/>
    <w:rsid w:val="0BD43A51"/>
    <w:rsid w:val="0BEB6E55"/>
    <w:rsid w:val="0BF00331"/>
    <w:rsid w:val="0C131B70"/>
    <w:rsid w:val="0C220132"/>
    <w:rsid w:val="0C2D5B6E"/>
    <w:rsid w:val="0C636E38"/>
    <w:rsid w:val="0C7269F8"/>
    <w:rsid w:val="0C8B355C"/>
    <w:rsid w:val="0C9F3642"/>
    <w:rsid w:val="0CBD3E2A"/>
    <w:rsid w:val="0CC46A80"/>
    <w:rsid w:val="0CCA36BC"/>
    <w:rsid w:val="0CED131B"/>
    <w:rsid w:val="0D3555C7"/>
    <w:rsid w:val="0D391103"/>
    <w:rsid w:val="0D4C0385"/>
    <w:rsid w:val="0D6E27AC"/>
    <w:rsid w:val="0D731AD4"/>
    <w:rsid w:val="0D7A3C9B"/>
    <w:rsid w:val="0D7C6907"/>
    <w:rsid w:val="0D7E6039"/>
    <w:rsid w:val="0E5555C1"/>
    <w:rsid w:val="0E575486"/>
    <w:rsid w:val="0E6E7586"/>
    <w:rsid w:val="0E8370BE"/>
    <w:rsid w:val="0E8A66E0"/>
    <w:rsid w:val="0E994C5B"/>
    <w:rsid w:val="0EBA0699"/>
    <w:rsid w:val="0EE2301A"/>
    <w:rsid w:val="0EE4478A"/>
    <w:rsid w:val="0EF32C9F"/>
    <w:rsid w:val="0EFF47B9"/>
    <w:rsid w:val="0F011BB0"/>
    <w:rsid w:val="0F0D4228"/>
    <w:rsid w:val="0F3A3FBB"/>
    <w:rsid w:val="0F3C31E6"/>
    <w:rsid w:val="0F765709"/>
    <w:rsid w:val="0F83160E"/>
    <w:rsid w:val="0FA6253F"/>
    <w:rsid w:val="0FD15E3D"/>
    <w:rsid w:val="0FF04C5D"/>
    <w:rsid w:val="103949E9"/>
    <w:rsid w:val="105F67B2"/>
    <w:rsid w:val="10616FE3"/>
    <w:rsid w:val="10642C82"/>
    <w:rsid w:val="107048AC"/>
    <w:rsid w:val="10960D2D"/>
    <w:rsid w:val="10AA31D2"/>
    <w:rsid w:val="10B924CE"/>
    <w:rsid w:val="110D4EB8"/>
    <w:rsid w:val="11354260"/>
    <w:rsid w:val="11666B19"/>
    <w:rsid w:val="116B43C8"/>
    <w:rsid w:val="1172076E"/>
    <w:rsid w:val="118836C7"/>
    <w:rsid w:val="118C7CC2"/>
    <w:rsid w:val="11E913CF"/>
    <w:rsid w:val="11FE6D16"/>
    <w:rsid w:val="121E3D34"/>
    <w:rsid w:val="12371957"/>
    <w:rsid w:val="124C75C9"/>
    <w:rsid w:val="1250400F"/>
    <w:rsid w:val="12504669"/>
    <w:rsid w:val="12593133"/>
    <w:rsid w:val="12622636"/>
    <w:rsid w:val="127C52A5"/>
    <w:rsid w:val="1280514F"/>
    <w:rsid w:val="128A3C06"/>
    <w:rsid w:val="12A64612"/>
    <w:rsid w:val="12BE6B09"/>
    <w:rsid w:val="12D41BED"/>
    <w:rsid w:val="13246E1C"/>
    <w:rsid w:val="13347445"/>
    <w:rsid w:val="138D6AF7"/>
    <w:rsid w:val="138E6C68"/>
    <w:rsid w:val="139542B6"/>
    <w:rsid w:val="13BF6717"/>
    <w:rsid w:val="13D80051"/>
    <w:rsid w:val="13DC2196"/>
    <w:rsid w:val="141A5DC5"/>
    <w:rsid w:val="14207D7A"/>
    <w:rsid w:val="14254C91"/>
    <w:rsid w:val="142569C1"/>
    <w:rsid w:val="14396EFA"/>
    <w:rsid w:val="144121E0"/>
    <w:rsid w:val="148168E0"/>
    <w:rsid w:val="14D94C79"/>
    <w:rsid w:val="150A6536"/>
    <w:rsid w:val="15510D7A"/>
    <w:rsid w:val="15516FCD"/>
    <w:rsid w:val="1575047C"/>
    <w:rsid w:val="157D414D"/>
    <w:rsid w:val="158F03F6"/>
    <w:rsid w:val="15C6042E"/>
    <w:rsid w:val="15F74626"/>
    <w:rsid w:val="161A2BCA"/>
    <w:rsid w:val="163C71D3"/>
    <w:rsid w:val="16BE71BC"/>
    <w:rsid w:val="16CE3A99"/>
    <w:rsid w:val="16E35DF8"/>
    <w:rsid w:val="17552A9E"/>
    <w:rsid w:val="177611F5"/>
    <w:rsid w:val="17766483"/>
    <w:rsid w:val="17943642"/>
    <w:rsid w:val="179510B8"/>
    <w:rsid w:val="17A067FE"/>
    <w:rsid w:val="17C839E7"/>
    <w:rsid w:val="17F662AA"/>
    <w:rsid w:val="17F7389E"/>
    <w:rsid w:val="18074B7F"/>
    <w:rsid w:val="183E1E8F"/>
    <w:rsid w:val="18562223"/>
    <w:rsid w:val="1857217F"/>
    <w:rsid w:val="1885262A"/>
    <w:rsid w:val="188C3B7A"/>
    <w:rsid w:val="18A47473"/>
    <w:rsid w:val="18D003B3"/>
    <w:rsid w:val="18D61F01"/>
    <w:rsid w:val="18DF3ABB"/>
    <w:rsid w:val="18E44BF0"/>
    <w:rsid w:val="19287F83"/>
    <w:rsid w:val="195B16C8"/>
    <w:rsid w:val="19602E4A"/>
    <w:rsid w:val="1962503B"/>
    <w:rsid w:val="19706F78"/>
    <w:rsid w:val="197278C0"/>
    <w:rsid w:val="197460BE"/>
    <w:rsid w:val="199131C9"/>
    <w:rsid w:val="199917EE"/>
    <w:rsid w:val="199F3756"/>
    <w:rsid w:val="19CC336D"/>
    <w:rsid w:val="19E44B87"/>
    <w:rsid w:val="1A074D35"/>
    <w:rsid w:val="1A483DF2"/>
    <w:rsid w:val="1A4E2C6A"/>
    <w:rsid w:val="1A950336"/>
    <w:rsid w:val="1A9514A6"/>
    <w:rsid w:val="1A9D1257"/>
    <w:rsid w:val="1ABC3687"/>
    <w:rsid w:val="1ACD1B7B"/>
    <w:rsid w:val="1AF31D46"/>
    <w:rsid w:val="1B0317CD"/>
    <w:rsid w:val="1B3833BE"/>
    <w:rsid w:val="1B3B28F4"/>
    <w:rsid w:val="1B4C44DE"/>
    <w:rsid w:val="1B746927"/>
    <w:rsid w:val="1B784C6E"/>
    <w:rsid w:val="1B81103B"/>
    <w:rsid w:val="1B8B701A"/>
    <w:rsid w:val="1B974E93"/>
    <w:rsid w:val="1BAD0B84"/>
    <w:rsid w:val="1BCA2B84"/>
    <w:rsid w:val="1C262BF4"/>
    <w:rsid w:val="1C2868E0"/>
    <w:rsid w:val="1C6A59CB"/>
    <w:rsid w:val="1C791A14"/>
    <w:rsid w:val="1C961E91"/>
    <w:rsid w:val="1CC44209"/>
    <w:rsid w:val="1CD17CDA"/>
    <w:rsid w:val="1CF15E48"/>
    <w:rsid w:val="1CFA1C98"/>
    <w:rsid w:val="1D0367BB"/>
    <w:rsid w:val="1D251E4C"/>
    <w:rsid w:val="1D2E35AD"/>
    <w:rsid w:val="1D4D0FB9"/>
    <w:rsid w:val="1D534F7D"/>
    <w:rsid w:val="1D704E7E"/>
    <w:rsid w:val="1D751774"/>
    <w:rsid w:val="1D9957DC"/>
    <w:rsid w:val="1D9A15CB"/>
    <w:rsid w:val="1DA1559D"/>
    <w:rsid w:val="1DA42A38"/>
    <w:rsid w:val="1DB41658"/>
    <w:rsid w:val="1DD60A60"/>
    <w:rsid w:val="1DEB5663"/>
    <w:rsid w:val="1DFA3191"/>
    <w:rsid w:val="1E014F9D"/>
    <w:rsid w:val="1E0C22AB"/>
    <w:rsid w:val="1E2175F5"/>
    <w:rsid w:val="1E30524C"/>
    <w:rsid w:val="1E545DF1"/>
    <w:rsid w:val="1E6B03C2"/>
    <w:rsid w:val="1E8472D3"/>
    <w:rsid w:val="1E872C1D"/>
    <w:rsid w:val="1E887C9A"/>
    <w:rsid w:val="1EFA326A"/>
    <w:rsid w:val="1F0B6F7B"/>
    <w:rsid w:val="1F1C226B"/>
    <w:rsid w:val="1F244031"/>
    <w:rsid w:val="1F2F3C08"/>
    <w:rsid w:val="1F301688"/>
    <w:rsid w:val="1F4567AE"/>
    <w:rsid w:val="1F68309C"/>
    <w:rsid w:val="1F8A395A"/>
    <w:rsid w:val="1FAD2827"/>
    <w:rsid w:val="1FD3165F"/>
    <w:rsid w:val="20064DF6"/>
    <w:rsid w:val="201959AD"/>
    <w:rsid w:val="201D02E8"/>
    <w:rsid w:val="2038576B"/>
    <w:rsid w:val="20395C39"/>
    <w:rsid w:val="20465A6C"/>
    <w:rsid w:val="2046779F"/>
    <w:rsid w:val="2052284D"/>
    <w:rsid w:val="20576347"/>
    <w:rsid w:val="206207D4"/>
    <w:rsid w:val="206869FC"/>
    <w:rsid w:val="208C0FBA"/>
    <w:rsid w:val="208D0848"/>
    <w:rsid w:val="20932577"/>
    <w:rsid w:val="20E3732C"/>
    <w:rsid w:val="20ED5591"/>
    <w:rsid w:val="20FB34EA"/>
    <w:rsid w:val="21176DA1"/>
    <w:rsid w:val="212E0514"/>
    <w:rsid w:val="213A1B2F"/>
    <w:rsid w:val="218155FE"/>
    <w:rsid w:val="219861B1"/>
    <w:rsid w:val="21A35779"/>
    <w:rsid w:val="21D847D4"/>
    <w:rsid w:val="21DA1BEA"/>
    <w:rsid w:val="21E643CE"/>
    <w:rsid w:val="21E75DA9"/>
    <w:rsid w:val="223924F0"/>
    <w:rsid w:val="224719FD"/>
    <w:rsid w:val="22750DCA"/>
    <w:rsid w:val="2295321E"/>
    <w:rsid w:val="22BB2D63"/>
    <w:rsid w:val="22BD6D5C"/>
    <w:rsid w:val="22CE0119"/>
    <w:rsid w:val="23163F3B"/>
    <w:rsid w:val="23315FBB"/>
    <w:rsid w:val="238E2F4E"/>
    <w:rsid w:val="23A16974"/>
    <w:rsid w:val="23A521BE"/>
    <w:rsid w:val="23AD71C3"/>
    <w:rsid w:val="23D5691F"/>
    <w:rsid w:val="240330B1"/>
    <w:rsid w:val="24221E94"/>
    <w:rsid w:val="24710094"/>
    <w:rsid w:val="2471300C"/>
    <w:rsid w:val="2487598B"/>
    <w:rsid w:val="24975CCB"/>
    <w:rsid w:val="24A329DA"/>
    <w:rsid w:val="24A741C4"/>
    <w:rsid w:val="24AC31BC"/>
    <w:rsid w:val="24B24B2A"/>
    <w:rsid w:val="24CA60D5"/>
    <w:rsid w:val="24D41285"/>
    <w:rsid w:val="24D839E7"/>
    <w:rsid w:val="24EE7C31"/>
    <w:rsid w:val="250B4D69"/>
    <w:rsid w:val="252C1448"/>
    <w:rsid w:val="253157D0"/>
    <w:rsid w:val="255E6F9B"/>
    <w:rsid w:val="256E50BB"/>
    <w:rsid w:val="25D523E5"/>
    <w:rsid w:val="25DD0AF5"/>
    <w:rsid w:val="25EF49DB"/>
    <w:rsid w:val="25FB6DD6"/>
    <w:rsid w:val="26054963"/>
    <w:rsid w:val="260827C8"/>
    <w:rsid w:val="26A812BE"/>
    <w:rsid w:val="26BB39DC"/>
    <w:rsid w:val="26C13CFA"/>
    <w:rsid w:val="26D508C4"/>
    <w:rsid w:val="27006227"/>
    <w:rsid w:val="27010BC5"/>
    <w:rsid w:val="273C2EFB"/>
    <w:rsid w:val="274D0062"/>
    <w:rsid w:val="2763715A"/>
    <w:rsid w:val="27667C2E"/>
    <w:rsid w:val="277B0A58"/>
    <w:rsid w:val="27932C4F"/>
    <w:rsid w:val="27980AE9"/>
    <w:rsid w:val="27A53B10"/>
    <w:rsid w:val="27B83068"/>
    <w:rsid w:val="27CD6AF8"/>
    <w:rsid w:val="27EF680F"/>
    <w:rsid w:val="27F70C42"/>
    <w:rsid w:val="281A3B5D"/>
    <w:rsid w:val="285B64EB"/>
    <w:rsid w:val="28717A3E"/>
    <w:rsid w:val="287921BB"/>
    <w:rsid w:val="287F1DF9"/>
    <w:rsid w:val="28D93213"/>
    <w:rsid w:val="29294506"/>
    <w:rsid w:val="293F5491"/>
    <w:rsid w:val="29403AD2"/>
    <w:rsid w:val="29702410"/>
    <w:rsid w:val="29851193"/>
    <w:rsid w:val="29A00396"/>
    <w:rsid w:val="29AA614A"/>
    <w:rsid w:val="29AE7040"/>
    <w:rsid w:val="29B2154C"/>
    <w:rsid w:val="29BA6D16"/>
    <w:rsid w:val="29C806AF"/>
    <w:rsid w:val="29D265DD"/>
    <w:rsid w:val="29D77DDD"/>
    <w:rsid w:val="29E750BD"/>
    <w:rsid w:val="2A157B5A"/>
    <w:rsid w:val="2A1E16EE"/>
    <w:rsid w:val="2A3361E6"/>
    <w:rsid w:val="2A3B6CFB"/>
    <w:rsid w:val="2A5D77E1"/>
    <w:rsid w:val="2A5D77EA"/>
    <w:rsid w:val="2A6607EA"/>
    <w:rsid w:val="2A726864"/>
    <w:rsid w:val="2A9D428B"/>
    <w:rsid w:val="2AB155D3"/>
    <w:rsid w:val="2ABF5A9F"/>
    <w:rsid w:val="2ADC40C2"/>
    <w:rsid w:val="2AF434E9"/>
    <w:rsid w:val="2B3C19EC"/>
    <w:rsid w:val="2B5B20B1"/>
    <w:rsid w:val="2B5C633A"/>
    <w:rsid w:val="2B8A7867"/>
    <w:rsid w:val="2BC473B0"/>
    <w:rsid w:val="2BC61503"/>
    <w:rsid w:val="2BCD11B5"/>
    <w:rsid w:val="2BD87E81"/>
    <w:rsid w:val="2BF71EC5"/>
    <w:rsid w:val="2C0278E1"/>
    <w:rsid w:val="2C167F25"/>
    <w:rsid w:val="2C2E1E31"/>
    <w:rsid w:val="2C520FF4"/>
    <w:rsid w:val="2C590A42"/>
    <w:rsid w:val="2C7D2CF0"/>
    <w:rsid w:val="2CA65802"/>
    <w:rsid w:val="2CBA16A3"/>
    <w:rsid w:val="2CCB0713"/>
    <w:rsid w:val="2CE7375F"/>
    <w:rsid w:val="2CFD4B7F"/>
    <w:rsid w:val="2D4F1E67"/>
    <w:rsid w:val="2D5D661F"/>
    <w:rsid w:val="2D6F75AF"/>
    <w:rsid w:val="2D7C0A8A"/>
    <w:rsid w:val="2D7D3FB6"/>
    <w:rsid w:val="2D8B0FC1"/>
    <w:rsid w:val="2DB2367E"/>
    <w:rsid w:val="2DD56310"/>
    <w:rsid w:val="2E013FFE"/>
    <w:rsid w:val="2E143C5B"/>
    <w:rsid w:val="2E2749E0"/>
    <w:rsid w:val="2E276B2F"/>
    <w:rsid w:val="2E4B6766"/>
    <w:rsid w:val="2E5512E8"/>
    <w:rsid w:val="2E5F4DDE"/>
    <w:rsid w:val="2E607AF2"/>
    <w:rsid w:val="2E6A0F26"/>
    <w:rsid w:val="2E7D5647"/>
    <w:rsid w:val="2E9E7D67"/>
    <w:rsid w:val="2EA401F3"/>
    <w:rsid w:val="2EAD30A7"/>
    <w:rsid w:val="2EBA0F60"/>
    <w:rsid w:val="2ECF0E88"/>
    <w:rsid w:val="2EEA3F87"/>
    <w:rsid w:val="2EF17AA4"/>
    <w:rsid w:val="2EF672FB"/>
    <w:rsid w:val="2EF72DA3"/>
    <w:rsid w:val="2EFD4309"/>
    <w:rsid w:val="2F5C43D7"/>
    <w:rsid w:val="2F960B22"/>
    <w:rsid w:val="2F9F2A3B"/>
    <w:rsid w:val="2FA806EE"/>
    <w:rsid w:val="2FAC7F33"/>
    <w:rsid w:val="2FAD4DDA"/>
    <w:rsid w:val="2FC45F3B"/>
    <w:rsid w:val="2FD14EDD"/>
    <w:rsid w:val="2FDC1BCE"/>
    <w:rsid w:val="2FE86632"/>
    <w:rsid w:val="302759C4"/>
    <w:rsid w:val="3049548C"/>
    <w:rsid w:val="305C4F57"/>
    <w:rsid w:val="307B06DF"/>
    <w:rsid w:val="307E64E4"/>
    <w:rsid w:val="30A87494"/>
    <w:rsid w:val="30D72D6C"/>
    <w:rsid w:val="30E9348B"/>
    <w:rsid w:val="31025144"/>
    <w:rsid w:val="31081E0F"/>
    <w:rsid w:val="31332F4F"/>
    <w:rsid w:val="3155603B"/>
    <w:rsid w:val="318407A3"/>
    <w:rsid w:val="31AF6966"/>
    <w:rsid w:val="31FD13F6"/>
    <w:rsid w:val="321C35D2"/>
    <w:rsid w:val="322A28F3"/>
    <w:rsid w:val="32473D5F"/>
    <w:rsid w:val="32644482"/>
    <w:rsid w:val="32CF0D09"/>
    <w:rsid w:val="32F93738"/>
    <w:rsid w:val="330A12B4"/>
    <w:rsid w:val="33400A4C"/>
    <w:rsid w:val="335E4183"/>
    <w:rsid w:val="336260DE"/>
    <w:rsid w:val="33636692"/>
    <w:rsid w:val="33664238"/>
    <w:rsid w:val="336D304B"/>
    <w:rsid w:val="336D5CBE"/>
    <w:rsid w:val="336E6175"/>
    <w:rsid w:val="339F6CA5"/>
    <w:rsid w:val="33AA46E0"/>
    <w:rsid w:val="33B35212"/>
    <w:rsid w:val="33CF2E4D"/>
    <w:rsid w:val="34403F12"/>
    <w:rsid w:val="344B023E"/>
    <w:rsid w:val="346D3618"/>
    <w:rsid w:val="347A532B"/>
    <w:rsid w:val="349B72E6"/>
    <w:rsid w:val="34C5530E"/>
    <w:rsid w:val="34D43F58"/>
    <w:rsid w:val="34DB5FAC"/>
    <w:rsid w:val="34E429E7"/>
    <w:rsid w:val="35334BDA"/>
    <w:rsid w:val="35500968"/>
    <w:rsid w:val="356C04BA"/>
    <w:rsid w:val="357B11C2"/>
    <w:rsid w:val="357E58EE"/>
    <w:rsid w:val="3597729F"/>
    <w:rsid w:val="35CE2EB1"/>
    <w:rsid w:val="35D97668"/>
    <w:rsid w:val="35E7482E"/>
    <w:rsid w:val="35EA2BE5"/>
    <w:rsid w:val="35FA167E"/>
    <w:rsid w:val="360C5C79"/>
    <w:rsid w:val="36107C48"/>
    <w:rsid w:val="361A03EE"/>
    <w:rsid w:val="364F7C73"/>
    <w:rsid w:val="366B256C"/>
    <w:rsid w:val="366C3042"/>
    <w:rsid w:val="367C04F6"/>
    <w:rsid w:val="36810FAE"/>
    <w:rsid w:val="36863667"/>
    <w:rsid w:val="368645EE"/>
    <w:rsid w:val="36E97054"/>
    <w:rsid w:val="36F97D2A"/>
    <w:rsid w:val="36FA0C64"/>
    <w:rsid w:val="37436D6B"/>
    <w:rsid w:val="376A7367"/>
    <w:rsid w:val="376C51F4"/>
    <w:rsid w:val="37890935"/>
    <w:rsid w:val="37A867B3"/>
    <w:rsid w:val="37B74E7A"/>
    <w:rsid w:val="37C973F8"/>
    <w:rsid w:val="37D40109"/>
    <w:rsid w:val="37FB4A58"/>
    <w:rsid w:val="383B0F9E"/>
    <w:rsid w:val="384A1E1D"/>
    <w:rsid w:val="38613EBC"/>
    <w:rsid w:val="38632593"/>
    <w:rsid w:val="38890E79"/>
    <w:rsid w:val="389F7B09"/>
    <w:rsid w:val="38BC00AA"/>
    <w:rsid w:val="38CB533D"/>
    <w:rsid w:val="38CF653A"/>
    <w:rsid w:val="38F07E91"/>
    <w:rsid w:val="39554629"/>
    <w:rsid w:val="39643530"/>
    <w:rsid w:val="397D169C"/>
    <w:rsid w:val="39D053BA"/>
    <w:rsid w:val="39E37C58"/>
    <w:rsid w:val="39FA0AE4"/>
    <w:rsid w:val="3A0213E5"/>
    <w:rsid w:val="3A141307"/>
    <w:rsid w:val="3A243771"/>
    <w:rsid w:val="3A281916"/>
    <w:rsid w:val="3A295F55"/>
    <w:rsid w:val="3A2C02A9"/>
    <w:rsid w:val="3A786AD2"/>
    <w:rsid w:val="3A814B2B"/>
    <w:rsid w:val="3A9C1075"/>
    <w:rsid w:val="3AA0212D"/>
    <w:rsid w:val="3ABD5A8C"/>
    <w:rsid w:val="3ACC3B48"/>
    <w:rsid w:val="3AD04A7A"/>
    <w:rsid w:val="3B075D16"/>
    <w:rsid w:val="3B256AC3"/>
    <w:rsid w:val="3B2A7A52"/>
    <w:rsid w:val="3B4E1C8C"/>
    <w:rsid w:val="3B7F6CBF"/>
    <w:rsid w:val="3BCA7664"/>
    <w:rsid w:val="3BD045F1"/>
    <w:rsid w:val="3BE308A7"/>
    <w:rsid w:val="3C3B13C2"/>
    <w:rsid w:val="3C4B574F"/>
    <w:rsid w:val="3C4C48A1"/>
    <w:rsid w:val="3C5875B9"/>
    <w:rsid w:val="3CB10216"/>
    <w:rsid w:val="3CEE40A9"/>
    <w:rsid w:val="3CF17105"/>
    <w:rsid w:val="3D492898"/>
    <w:rsid w:val="3D6D324C"/>
    <w:rsid w:val="3D7134D2"/>
    <w:rsid w:val="3D7D372F"/>
    <w:rsid w:val="3DB75CBB"/>
    <w:rsid w:val="3DBA0537"/>
    <w:rsid w:val="3DDC4BAF"/>
    <w:rsid w:val="3E057B34"/>
    <w:rsid w:val="3E4906F6"/>
    <w:rsid w:val="3E5A0AB4"/>
    <w:rsid w:val="3EC1687E"/>
    <w:rsid w:val="3ED20021"/>
    <w:rsid w:val="3EDD003A"/>
    <w:rsid w:val="3EE0424F"/>
    <w:rsid w:val="3EE32800"/>
    <w:rsid w:val="3EE82CAA"/>
    <w:rsid w:val="3EEB1788"/>
    <w:rsid w:val="3EEE6A32"/>
    <w:rsid w:val="3EF50683"/>
    <w:rsid w:val="3F0B6906"/>
    <w:rsid w:val="3F1906DA"/>
    <w:rsid w:val="3F2B14F8"/>
    <w:rsid w:val="3F3C2899"/>
    <w:rsid w:val="3F415C53"/>
    <w:rsid w:val="3F555B44"/>
    <w:rsid w:val="3F644866"/>
    <w:rsid w:val="3FBF34FE"/>
    <w:rsid w:val="3FCD59FF"/>
    <w:rsid w:val="406022FA"/>
    <w:rsid w:val="407E0341"/>
    <w:rsid w:val="40931131"/>
    <w:rsid w:val="409E01B2"/>
    <w:rsid w:val="40C92B5C"/>
    <w:rsid w:val="410E32C7"/>
    <w:rsid w:val="41302632"/>
    <w:rsid w:val="41502380"/>
    <w:rsid w:val="41574893"/>
    <w:rsid w:val="41964510"/>
    <w:rsid w:val="41A869DD"/>
    <w:rsid w:val="41DA63FD"/>
    <w:rsid w:val="41E4030E"/>
    <w:rsid w:val="41FD3807"/>
    <w:rsid w:val="420528DC"/>
    <w:rsid w:val="42510CE5"/>
    <w:rsid w:val="42892554"/>
    <w:rsid w:val="42A6125C"/>
    <w:rsid w:val="42A90ED3"/>
    <w:rsid w:val="42B3293F"/>
    <w:rsid w:val="42CF7E9A"/>
    <w:rsid w:val="42E32C4D"/>
    <w:rsid w:val="42F50CD5"/>
    <w:rsid w:val="439550AC"/>
    <w:rsid w:val="43A450BC"/>
    <w:rsid w:val="43AF52E2"/>
    <w:rsid w:val="43C210B7"/>
    <w:rsid w:val="43D531D4"/>
    <w:rsid w:val="43EF4388"/>
    <w:rsid w:val="43F455E7"/>
    <w:rsid w:val="43F46AE6"/>
    <w:rsid w:val="43F5374F"/>
    <w:rsid w:val="440865ED"/>
    <w:rsid w:val="44246E14"/>
    <w:rsid w:val="442474FF"/>
    <w:rsid w:val="44344FF3"/>
    <w:rsid w:val="44592A66"/>
    <w:rsid w:val="44693E2F"/>
    <w:rsid w:val="44AA5D38"/>
    <w:rsid w:val="44C0625A"/>
    <w:rsid w:val="44D43199"/>
    <w:rsid w:val="44D90AF3"/>
    <w:rsid w:val="44F630D6"/>
    <w:rsid w:val="451C2FE3"/>
    <w:rsid w:val="4527545C"/>
    <w:rsid w:val="4530473A"/>
    <w:rsid w:val="453F557A"/>
    <w:rsid w:val="455E2BE2"/>
    <w:rsid w:val="45610135"/>
    <w:rsid w:val="45665DCE"/>
    <w:rsid w:val="457E56EC"/>
    <w:rsid w:val="457E5BE1"/>
    <w:rsid w:val="45B215BC"/>
    <w:rsid w:val="45B73A59"/>
    <w:rsid w:val="45E67A15"/>
    <w:rsid w:val="45F05A5F"/>
    <w:rsid w:val="46062929"/>
    <w:rsid w:val="460D738D"/>
    <w:rsid w:val="46495ABB"/>
    <w:rsid w:val="465627E0"/>
    <w:rsid w:val="466A7582"/>
    <w:rsid w:val="466D596F"/>
    <w:rsid w:val="46964F86"/>
    <w:rsid w:val="46A55FE9"/>
    <w:rsid w:val="46A61F51"/>
    <w:rsid w:val="46B52E35"/>
    <w:rsid w:val="46CB0269"/>
    <w:rsid w:val="46F160D5"/>
    <w:rsid w:val="47200DD4"/>
    <w:rsid w:val="47304E3F"/>
    <w:rsid w:val="47396D4B"/>
    <w:rsid w:val="47554450"/>
    <w:rsid w:val="47652CAE"/>
    <w:rsid w:val="476658B1"/>
    <w:rsid w:val="477451FA"/>
    <w:rsid w:val="4788790F"/>
    <w:rsid w:val="47924F1C"/>
    <w:rsid w:val="47A0453E"/>
    <w:rsid w:val="47BE3DCB"/>
    <w:rsid w:val="47F84C80"/>
    <w:rsid w:val="484F18C3"/>
    <w:rsid w:val="48677879"/>
    <w:rsid w:val="487A1F8E"/>
    <w:rsid w:val="48966124"/>
    <w:rsid w:val="48973359"/>
    <w:rsid w:val="48A0297D"/>
    <w:rsid w:val="48AD022C"/>
    <w:rsid w:val="48D96A7A"/>
    <w:rsid w:val="4914302A"/>
    <w:rsid w:val="4956558E"/>
    <w:rsid w:val="4968306D"/>
    <w:rsid w:val="49BA29A4"/>
    <w:rsid w:val="49BC6425"/>
    <w:rsid w:val="49E2072C"/>
    <w:rsid w:val="49E77BE0"/>
    <w:rsid w:val="4A1627B4"/>
    <w:rsid w:val="4A5019AC"/>
    <w:rsid w:val="4A621699"/>
    <w:rsid w:val="4A6500E3"/>
    <w:rsid w:val="4A735AC3"/>
    <w:rsid w:val="4A803875"/>
    <w:rsid w:val="4A836BE4"/>
    <w:rsid w:val="4ACE224C"/>
    <w:rsid w:val="4AF50017"/>
    <w:rsid w:val="4B2A093E"/>
    <w:rsid w:val="4B350BDC"/>
    <w:rsid w:val="4B3A192E"/>
    <w:rsid w:val="4B7D27CA"/>
    <w:rsid w:val="4C0B6FDF"/>
    <w:rsid w:val="4C16682A"/>
    <w:rsid w:val="4C200323"/>
    <w:rsid w:val="4C441240"/>
    <w:rsid w:val="4C667027"/>
    <w:rsid w:val="4C8E3161"/>
    <w:rsid w:val="4CA816E8"/>
    <w:rsid w:val="4CAB1F3B"/>
    <w:rsid w:val="4CAC1141"/>
    <w:rsid w:val="4CCE2878"/>
    <w:rsid w:val="4CEA0F53"/>
    <w:rsid w:val="4D1305F7"/>
    <w:rsid w:val="4D18798A"/>
    <w:rsid w:val="4D3824B1"/>
    <w:rsid w:val="4D825939"/>
    <w:rsid w:val="4D892202"/>
    <w:rsid w:val="4DA65A57"/>
    <w:rsid w:val="4DAB27BB"/>
    <w:rsid w:val="4DBE475C"/>
    <w:rsid w:val="4DC92E6D"/>
    <w:rsid w:val="4DDD4771"/>
    <w:rsid w:val="4DE526C5"/>
    <w:rsid w:val="4DEE3226"/>
    <w:rsid w:val="4DF353D0"/>
    <w:rsid w:val="4DF369FC"/>
    <w:rsid w:val="4DF800D4"/>
    <w:rsid w:val="4E095997"/>
    <w:rsid w:val="4E0B3E59"/>
    <w:rsid w:val="4E1021F4"/>
    <w:rsid w:val="4E8D0A73"/>
    <w:rsid w:val="4E9560D3"/>
    <w:rsid w:val="4EA85DFE"/>
    <w:rsid w:val="4EB23971"/>
    <w:rsid w:val="4EC20192"/>
    <w:rsid w:val="4ECC62DA"/>
    <w:rsid w:val="4F097D41"/>
    <w:rsid w:val="4F1C1E5C"/>
    <w:rsid w:val="4F1C33F7"/>
    <w:rsid w:val="4F1C6CB9"/>
    <w:rsid w:val="4F32606E"/>
    <w:rsid w:val="4F327A96"/>
    <w:rsid w:val="4F330B85"/>
    <w:rsid w:val="4F342744"/>
    <w:rsid w:val="4F482446"/>
    <w:rsid w:val="4F4942F5"/>
    <w:rsid w:val="4F53414F"/>
    <w:rsid w:val="4F871E4C"/>
    <w:rsid w:val="4F976584"/>
    <w:rsid w:val="4FA14DA5"/>
    <w:rsid w:val="4FAE5C37"/>
    <w:rsid w:val="4FE1035D"/>
    <w:rsid w:val="4FF42A9D"/>
    <w:rsid w:val="5040795C"/>
    <w:rsid w:val="50507DC2"/>
    <w:rsid w:val="506E1241"/>
    <w:rsid w:val="50727FAB"/>
    <w:rsid w:val="508A72BB"/>
    <w:rsid w:val="5098147F"/>
    <w:rsid w:val="50A256B6"/>
    <w:rsid w:val="50EE5C41"/>
    <w:rsid w:val="5125066B"/>
    <w:rsid w:val="51364A11"/>
    <w:rsid w:val="5140159A"/>
    <w:rsid w:val="514220D0"/>
    <w:rsid w:val="514D4A9D"/>
    <w:rsid w:val="5156590B"/>
    <w:rsid w:val="515E0A4B"/>
    <w:rsid w:val="517346EE"/>
    <w:rsid w:val="51D53343"/>
    <w:rsid w:val="51E57BAF"/>
    <w:rsid w:val="51EA48F3"/>
    <w:rsid w:val="51FC471A"/>
    <w:rsid w:val="520D1CD6"/>
    <w:rsid w:val="52231418"/>
    <w:rsid w:val="52332E19"/>
    <w:rsid w:val="523D18C5"/>
    <w:rsid w:val="524D0233"/>
    <w:rsid w:val="525C7E26"/>
    <w:rsid w:val="52813A30"/>
    <w:rsid w:val="52CF1A20"/>
    <w:rsid w:val="52ED4CF1"/>
    <w:rsid w:val="52FF6405"/>
    <w:rsid w:val="53071C0A"/>
    <w:rsid w:val="53170AB0"/>
    <w:rsid w:val="5334594D"/>
    <w:rsid w:val="535C0767"/>
    <w:rsid w:val="538F34A4"/>
    <w:rsid w:val="53983C8A"/>
    <w:rsid w:val="539B6005"/>
    <w:rsid w:val="53B01995"/>
    <w:rsid w:val="53B937D6"/>
    <w:rsid w:val="53EB6086"/>
    <w:rsid w:val="54055295"/>
    <w:rsid w:val="542C2188"/>
    <w:rsid w:val="54700392"/>
    <w:rsid w:val="54712CDA"/>
    <w:rsid w:val="547F6051"/>
    <w:rsid w:val="548672CA"/>
    <w:rsid w:val="54956CF0"/>
    <w:rsid w:val="54C478B6"/>
    <w:rsid w:val="54C914DD"/>
    <w:rsid w:val="54FF3AFF"/>
    <w:rsid w:val="55107F59"/>
    <w:rsid w:val="5567150F"/>
    <w:rsid w:val="55810866"/>
    <w:rsid w:val="55E14247"/>
    <w:rsid w:val="55E16370"/>
    <w:rsid w:val="55F32960"/>
    <w:rsid w:val="56303E4A"/>
    <w:rsid w:val="563169C6"/>
    <w:rsid w:val="563C60F6"/>
    <w:rsid w:val="564360B5"/>
    <w:rsid w:val="56463C36"/>
    <w:rsid w:val="56AB51BB"/>
    <w:rsid w:val="56C05CEB"/>
    <w:rsid w:val="56EB4DC5"/>
    <w:rsid w:val="57167B32"/>
    <w:rsid w:val="572221B5"/>
    <w:rsid w:val="5737452D"/>
    <w:rsid w:val="57390D08"/>
    <w:rsid w:val="573B5435"/>
    <w:rsid w:val="57521B41"/>
    <w:rsid w:val="576C0354"/>
    <w:rsid w:val="577D61B4"/>
    <w:rsid w:val="57A83F36"/>
    <w:rsid w:val="57B2716B"/>
    <w:rsid w:val="57B336F4"/>
    <w:rsid w:val="57DB7830"/>
    <w:rsid w:val="57EE0B3A"/>
    <w:rsid w:val="57F44F24"/>
    <w:rsid w:val="58094866"/>
    <w:rsid w:val="583F672C"/>
    <w:rsid w:val="585C51FD"/>
    <w:rsid w:val="5882454E"/>
    <w:rsid w:val="5885475B"/>
    <w:rsid w:val="58AE651B"/>
    <w:rsid w:val="58BF1674"/>
    <w:rsid w:val="58C468D7"/>
    <w:rsid w:val="590F48F6"/>
    <w:rsid w:val="59776021"/>
    <w:rsid w:val="597D3C9B"/>
    <w:rsid w:val="59821998"/>
    <w:rsid w:val="5982312D"/>
    <w:rsid w:val="59F36EB8"/>
    <w:rsid w:val="59FD0468"/>
    <w:rsid w:val="5A24024D"/>
    <w:rsid w:val="5A2C5DD4"/>
    <w:rsid w:val="5A6432F4"/>
    <w:rsid w:val="5A6D7A16"/>
    <w:rsid w:val="5A7B42BD"/>
    <w:rsid w:val="5A992D07"/>
    <w:rsid w:val="5AC05583"/>
    <w:rsid w:val="5ACA71C6"/>
    <w:rsid w:val="5ACB7660"/>
    <w:rsid w:val="5AE110A2"/>
    <w:rsid w:val="5AE1294D"/>
    <w:rsid w:val="5AE86B28"/>
    <w:rsid w:val="5AEF7617"/>
    <w:rsid w:val="5B13205B"/>
    <w:rsid w:val="5B1D2E54"/>
    <w:rsid w:val="5B2658CC"/>
    <w:rsid w:val="5B4067F0"/>
    <w:rsid w:val="5B4302DB"/>
    <w:rsid w:val="5B462A6B"/>
    <w:rsid w:val="5B5106E2"/>
    <w:rsid w:val="5B7F01BF"/>
    <w:rsid w:val="5BB26AFC"/>
    <w:rsid w:val="5BBB4BE3"/>
    <w:rsid w:val="5BFA5ACB"/>
    <w:rsid w:val="5C88375E"/>
    <w:rsid w:val="5C8C4D64"/>
    <w:rsid w:val="5C8D23F2"/>
    <w:rsid w:val="5C921699"/>
    <w:rsid w:val="5C9B0D75"/>
    <w:rsid w:val="5CB622F6"/>
    <w:rsid w:val="5CCD6F47"/>
    <w:rsid w:val="5CD17636"/>
    <w:rsid w:val="5CF0127F"/>
    <w:rsid w:val="5CF309BB"/>
    <w:rsid w:val="5D0532EA"/>
    <w:rsid w:val="5D40112D"/>
    <w:rsid w:val="5D426394"/>
    <w:rsid w:val="5D5E7EC1"/>
    <w:rsid w:val="5D6F070B"/>
    <w:rsid w:val="5D770FFE"/>
    <w:rsid w:val="5D9A7687"/>
    <w:rsid w:val="5DB539F3"/>
    <w:rsid w:val="5E3A1DC7"/>
    <w:rsid w:val="5E482AB5"/>
    <w:rsid w:val="5E691016"/>
    <w:rsid w:val="5E6D0C39"/>
    <w:rsid w:val="5E791E93"/>
    <w:rsid w:val="5E967DCE"/>
    <w:rsid w:val="5EAE6CC2"/>
    <w:rsid w:val="5EB42D80"/>
    <w:rsid w:val="5EF23E1E"/>
    <w:rsid w:val="5EFA5586"/>
    <w:rsid w:val="5F0542AF"/>
    <w:rsid w:val="5F056160"/>
    <w:rsid w:val="5F351769"/>
    <w:rsid w:val="5F460103"/>
    <w:rsid w:val="5F4B2066"/>
    <w:rsid w:val="5F5354F9"/>
    <w:rsid w:val="5F797AF0"/>
    <w:rsid w:val="5F924F3D"/>
    <w:rsid w:val="5FC21220"/>
    <w:rsid w:val="5FDA6CA9"/>
    <w:rsid w:val="5FEC43C7"/>
    <w:rsid w:val="60142913"/>
    <w:rsid w:val="60212E83"/>
    <w:rsid w:val="603603D8"/>
    <w:rsid w:val="60492B71"/>
    <w:rsid w:val="605232C5"/>
    <w:rsid w:val="608828DB"/>
    <w:rsid w:val="60AD7C2E"/>
    <w:rsid w:val="60B248C7"/>
    <w:rsid w:val="60B603AB"/>
    <w:rsid w:val="60CE566F"/>
    <w:rsid w:val="60D57D22"/>
    <w:rsid w:val="610A6E08"/>
    <w:rsid w:val="61147D5C"/>
    <w:rsid w:val="61284F0F"/>
    <w:rsid w:val="61414979"/>
    <w:rsid w:val="615B5079"/>
    <w:rsid w:val="615C59EA"/>
    <w:rsid w:val="61647EA5"/>
    <w:rsid w:val="617A6398"/>
    <w:rsid w:val="61972E73"/>
    <w:rsid w:val="61A16DBD"/>
    <w:rsid w:val="61BC1396"/>
    <w:rsid w:val="61DD162F"/>
    <w:rsid w:val="62112AE1"/>
    <w:rsid w:val="62482F53"/>
    <w:rsid w:val="625E2005"/>
    <w:rsid w:val="628053A2"/>
    <w:rsid w:val="62987776"/>
    <w:rsid w:val="629D6077"/>
    <w:rsid w:val="62D37531"/>
    <w:rsid w:val="62DB65C4"/>
    <w:rsid w:val="62F95E0D"/>
    <w:rsid w:val="63190EDF"/>
    <w:rsid w:val="633B757A"/>
    <w:rsid w:val="63660B6A"/>
    <w:rsid w:val="637C78F2"/>
    <w:rsid w:val="637D0FA5"/>
    <w:rsid w:val="637D1F52"/>
    <w:rsid w:val="63923AA9"/>
    <w:rsid w:val="639A1DB9"/>
    <w:rsid w:val="63A964AF"/>
    <w:rsid w:val="63B103D9"/>
    <w:rsid w:val="63C7359D"/>
    <w:rsid w:val="63CA5192"/>
    <w:rsid w:val="63E6173A"/>
    <w:rsid w:val="63FE6CD1"/>
    <w:rsid w:val="6413024D"/>
    <w:rsid w:val="64250698"/>
    <w:rsid w:val="64571672"/>
    <w:rsid w:val="64592C88"/>
    <w:rsid w:val="646575FB"/>
    <w:rsid w:val="646842A3"/>
    <w:rsid w:val="64C964D3"/>
    <w:rsid w:val="64D213DB"/>
    <w:rsid w:val="651813C6"/>
    <w:rsid w:val="652A4C0C"/>
    <w:rsid w:val="652D5ABF"/>
    <w:rsid w:val="65451A44"/>
    <w:rsid w:val="65481896"/>
    <w:rsid w:val="658B0C01"/>
    <w:rsid w:val="65B0513D"/>
    <w:rsid w:val="65B97F4B"/>
    <w:rsid w:val="65E24792"/>
    <w:rsid w:val="65EE3F8B"/>
    <w:rsid w:val="65F27666"/>
    <w:rsid w:val="65FE68FE"/>
    <w:rsid w:val="66401951"/>
    <w:rsid w:val="66485740"/>
    <w:rsid w:val="664A73B7"/>
    <w:rsid w:val="664F04CF"/>
    <w:rsid w:val="668912D1"/>
    <w:rsid w:val="66C227EA"/>
    <w:rsid w:val="66DB2BFC"/>
    <w:rsid w:val="66F70F35"/>
    <w:rsid w:val="66FE43F5"/>
    <w:rsid w:val="671833CD"/>
    <w:rsid w:val="671E25BB"/>
    <w:rsid w:val="672E2D40"/>
    <w:rsid w:val="676C546A"/>
    <w:rsid w:val="67C30FD8"/>
    <w:rsid w:val="67C84496"/>
    <w:rsid w:val="67F95F05"/>
    <w:rsid w:val="681607CE"/>
    <w:rsid w:val="68221FDE"/>
    <w:rsid w:val="68332BE1"/>
    <w:rsid w:val="686F4091"/>
    <w:rsid w:val="68C1650D"/>
    <w:rsid w:val="68C23A7F"/>
    <w:rsid w:val="68D711CB"/>
    <w:rsid w:val="68E00A12"/>
    <w:rsid w:val="68E72772"/>
    <w:rsid w:val="68EB22D5"/>
    <w:rsid w:val="691A7986"/>
    <w:rsid w:val="694170DD"/>
    <w:rsid w:val="694811A0"/>
    <w:rsid w:val="69571B5A"/>
    <w:rsid w:val="69646A64"/>
    <w:rsid w:val="699056CF"/>
    <w:rsid w:val="69A50028"/>
    <w:rsid w:val="69B04B7D"/>
    <w:rsid w:val="6A1D0175"/>
    <w:rsid w:val="6A200676"/>
    <w:rsid w:val="6A257C74"/>
    <w:rsid w:val="6A3020CE"/>
    <w:rsid w:val="6A500861"/>
    <w:rsid w:val="6A5070F9"/>
    <w:rsid w:val="6A5446AA"/>
    <w:rsid w:val="6A643530"/>
    <w:rsid w:val="6A645EFA"/>
    <w:rsid w:val="6A6B388B"/>
    <w:rsid w:val="6A7F47F3"/>
    <w:rsid w:val="6A954D2E"/>
    <w:rsid w:val="6AB863D1"/>
    <w:rsid w:val="6AE1434B"/>
    <w:rsid w:val="6AE47FCE"/>
    <w:rsid w:val="6AEE2FE6"/>
    <w:rsid w:val="6AF53073"/>
    <w:rsid w:val="6AFD37D3"/>
    <w:rsid w:val="6B16254A"/>
    <w:rsid w:val="6B2B3E0F"/>
    <w:rsid w:val="6B346DDF"/>
    <w:rsid w:val="6B425467"/>
    <w:rsid w:val="6B647F4D"/>
    <w:rsid w:val="6B681349"/>
    <w:rsid w:val="6BCA0019"/>
    <w:rsid w:val="6BD86030"/>
    <w:rsid w:val="6BDA174C"/>
    <w:rsid w:val="6BF8000D"/>
    <w:rsid w:val="6C32777D"/>
    <w:rsid w:val="6C4E3B90"/>
    <w:rsid w:val="6C5B5AE7"/>
    <w:rsid w:val="6CA23174"/>
    <w:rsid w:val="6CA47113"/>
    <w:rsid w:val="6CB877B2"/>
    <w:rsid w:val="6CD13957"/>
    <w:rsid w:val="6D0003DF"/>
    <w:rsid w:val="6D013CE8"/>
    <w:rsid w:val="6D2A7A89"/>
    <w:rsid w:val="6D3A35C3"/>
    <w:rsid w:val="6D3E18C0"/>
    <w:rsid w:val="6D42023E"/>
    <w:rsid w:val="6D6431F6"/>
    <w:rsid w:val="6D6A0199"/>
    <w:rsid w:val="6D8F471B"/>
    <w:rsid w:val="6D9B1E51"/>
    <w:rsid w:val="6DAF432C"/>
    <w:rsid w:val="6DC90E33"/>
    <w:rsid w:val="6E2C5DC6"/>
    <w:rsid w:val="6E2D6188"/>
    <w:rsid w:val="6E333850"/>
    <w:rsid w:val="6E495DDC"/>
    <w:rsid w:val="6E6669E4"/>
    <w:rsid w:val="6E68762C"/>
    <w:rsid w:val="6E6E5BC3"/>
    <w:rsid w:val="6EC757E5"/>
    <w:rsid w:val="6F43426C"/>
    <w:rsid w:val="6F50552F"/>
    <w:rsid w:val="6F513246"/>
    <w:rsid w:val="6F9C7BCC"/>
    <w:rsid w:val="6FCC1073"/>
    <w:rsid w:val="6FCF3A4B"/>
    <w:rsid w:val="6FD8635F"/>
    <w:rsid w:val="6FEC2835"/>
    <w:rsid w:val="70435DCD"/>
    <w:rsid w:val="7053653B"/>
    <w:rsid w:val="70591370"/>
    <w:rsid w:val="70667B58"/>
    <w:rsid w:val="70977C03"/>
    <w:rsid w:val="70A31FAD"/>
    <w:rsid w:val="70AA5DE4"/>
    <w:rsid w:val="70B738DF"/>
    <w:rsid w:val="70CA2C9C"/>
    <w:rsid w:val="70CE2D1E"/>
    <w:rsid w:val="70D60054"/>
    <w:rsid w:val="70DD4DAF"/>
    <w:rsid w:val="71140FF0"/>
    <w:rsid w:val="712302F4"/>
    <w:rsid w:val="71535554"/>
    <w:rsid w:val="71547E79"/>
    <w:rsid w:val="71795225"/>
    <w:rsid w:val="718028FB"/>
    <w:rsid w:val="71AF4D04"/>
    <w:rsid w:val="71C63338"/>
    <w:rsid w:val="71C64031"/>
    <w:rsid w:val="71FA61DD"/>
    <w:rsid w:val="72012843"/>
    <w:rsid w:val="72095876"/>
    <w:rsid w:val="724B0CF6"/>
    <w:rsid w:val="725254CE"/>
    <w:rsid w:val="728922D1"/>
    <w:rsid w:val="730D4277"/>
    <w:rsid w:val="731F7578"/>
    <w:rsid w:val="733C5E40"/>
    <w:rsid w:val="735A6FBF"/>
    <w:rsid w:val="73943AB1"/>
    <w:rsid w:val="73E51AE6"/>
    <w:rsid w:val="73E541EB"/>
    <w:rsid w:val="744D11D4"/>
    <w:rsid w:val="74997E57"/>
    <w:rsid w:val="74A82068"/>
    <w:rsid w:val="74C604C5"/>
    <w:rsid w:val="751F4805"/>
    <w:rsid w:val="75474763"/>
    <w:rsid w:val="754F543D"/>
    <w:rsid w:val="757156CE"/>
    <w:rsid w:val="75877703"/>
    <w:rsid w:val="75A53419"/>
    <w:rsid w:val="75F05F86"/>
    <w:rsid w:val="76303819"/>
    <w:rsid w:val="764B7767"/>
    <w:rsid w:val="7681347C"/>
    <w:rsid w:val="76896F28"/>
    <w:rsid w:val="76936B55"/>
    <w:rsid w:val="76AA5A61"/>
    <w:rsid w:val="76AE71A4"/>
    <w:rsid w:val="76B051E5"/>
    <w:rsid w:val="76BB42CC"/>
    <w:rsid w:val="772C7184"/>
    <w:rsid w:val="77522F99"/>
    <w:rsid w:val="775467E8"/>
    <w:rsid w:val="7765483D"/>
    <w:rsid w:val="77C97B60"/>
    <w:rsid w:val="77D0124C"/>
    <w:rsid w:val="77D27F23"/>
    <w:rsid w:val="783D3778"/>
    <w:rsid w:val="78466C80"/>
    <w:rsid w:val="784B4FA5"/>
    <w:rsid w:val="784B6232"/>
    <w:rsid w:val="7889466F"/>
    <w:rsid w:val="78E1151C"/>
    <w:rsid w:val="78E635D9"/>
    <w:rsid w:val="78F15BD9"/>
    <w:rsid w:val="790B2BEC"/>
    <w:rsid w:val="790C3276"/>
    <w:rsid w:val="79474FA3"/>
    <w:rsid w:val="794C50AD"/>
    <w:rsid w:val="7986293B"/>
    <w:rsid w:val="799832E4"/>
    <w:rsid w:val="79A952E7"/>
    <w:rsid w:val="79BD5072"/>
    <w:rsid w:val="79F613C6"/>
    <w:rsid w:val="7A040FE8"/>
    <w:rsid w:val="7A0C5C8D"/>
    <w:rsid w:val="7A0E572E"/>
    <w:rsid w:val="7A152ADF"/>
    <w:rsid w:val="7A2D53D6"/>
    <w:rsid w:val="7A30545F"/>
    <w:rsid w:val="7A4261B3"/>
    <w:rsid w:val="7A5F72FF"/>
    <w:rsid w:val="7A64150F"/>
    <w:rsid w:val="7A6C01F4"/>
    <w:rsid w:val="7A6E578B"/>
    <w:rsid w:val="7A793E85"/>
    <w:rsid w:val="7A844015"/>
    <w:rsid w:val="7A865E6F"/>
    <w:rsid w:val="7A8B0528"/>
    <w:rsid w:val="7A957699"/>
    <w:rsid w:val="7AA4625D"/>
    <w:rsid w:val="7AB80787"/>
    <w:rsid w:val="7AB83B91"/>
    <w:rsid w:val="7AD865CE"/>
    <w:rsid w:val="7AE11270"/>
    <w:rsid w:val="7B0E76FE"/>
    <w:rsid w:val="7B23237E"/>
    <w:rsid w:val="7B246C8B"/>
    <w:rsid w:val="7B3B17CB"/>
    <w:rsid w:val="7B3E14FC"/>
    <w:rsid w:val="7B516AB3"/>
    <w:rsid w:val="7B9D6898"/>
    <w:rsid w:val="7C074336"/>
    <w:rsid w:val="7C374A7A"/>
    <w:rsid w:val="7C454103"/>
    <w:rsid w:val="7C652D8C"/>
    <w:rsid w:val="7C842126"/>
    <w:rsid w:val="7C8F794C"/>
    <w:rsid w:val="7CA2100D"/>
    <w:rsid w:val="7CC95E74"/>
    <w:rsid w:val="7CF5634A"/>
    <w:rsid w:val="7D057346"/>
    <w:rsid w:val="7D191545"/>
    <w:rsid w:val="7D203E48"/>
    <w:rsid w:val="7D233395"/>
    <w:rsid w:val="7D307EE6"/>
    <w:rsid w:val="7D4A10E7"/>
    <w:rsid w:val="7D612984"/>
    <w:rsid w:val="7D807E48"/>
    <w:rsid w:val="7D810C01"/>
    <w:rsid w:val="7DA03487"/>
    <w:rsid w:val="7DDF61E2"/>
    <w:rsid w:val="7DDF7F4C"/>
    <w:rsid w:val="7E006B5F"/>
    <w:rsid w:val="7E174A85"/>
    <w:rsid w:val="7E3008D5"/>
    <w:rsid w:val="7E921720"/>
    <w:rsid w:val="7EC20E9F"/>
    <w:rsid w:val="7EC9470F"/>
    <w:rsid w:val="7EFC071E"/>
    <w:rsid w:val="7F0132A5"/>
    <w:rsid w:val="7F242C20"/>
    <w:rsid w:val="7F26313D"/>
    <w:rsid w:val="7F6C6D5A"/>
    <w:rsid w:val="7F7E6F7B"/>
    <w:rsid w:val="7F872310"/>
    <w:rsid w:val="7FAF4FAB"/>
    <w:rsid w:val="7FF64360"/>
    <w:rsid w:val="7FFD60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widowControl/>
      <w:adjustRightInd w:val="0"/>
      <w:snapToGrid w:val="0"/>
      <w:ind w:left="1100"/>
      <w:jc w:val="left"/>
    </w:pPr>
    <w:rPr>
      <w:rFonts w:eastAsia="微软雅黑"/>
      <w:kern w:val="0"/>
      <w:sz w:val="20"/>
      <w:szCs w:val="20"/>
    </w:rPr>
  </w:style>
  <w:style w:type="paragraph" w:styleId="6">
    <w:name w:val="Normal Indent"/>
    <w:basedOn w:val="1"/>
    <w:qFormat/>
    <w:uiPriority w:val="99"/>
    <w:pPr>
      <w:ind w:firstLine="420"/>
    </w:pPr>
    <w:rPr>
      <w:rFonts w:ascii="Times New Roman" w:hAnsi="Times New Roman" w:cs="Times New Roman"/>
    </w:rPr>
  </w:style>
  <w:style w:type="paragraph" w:styleId="7">
    <w:name w:val="Document Map"/>
    <w:basedOn w:val="1"/>
    <w:link w:val="47"/>
    <w:semiHidden/>
    <w:qFormat/>
    <w:uiPriority w:val="99"/>
    <w:pPr>
      <w:widowControl/>
      <w:adjustRightInd w:val="0"/>
      <w:snapToGrid w:val="0"/>
      <w:spacing w:after="200"/>
      <w:jc w:val="left"/>
    </w:pPr>
    <w:rPr>
      <w:rFonts w:ascii="宋体" w:hAnsi="Tahoma" w:cs="宋体"/>
      <w:kern w:val="0"/>
      <w:sz w:val="18"/>
      <w:szCs w:val="18"/>
      <w:lang w:val="zh-CN"/>
    </w:rPr>
  </w:style>
  <w:style w:type="paragraph" w:styleId="8">
    <w:name w:val="annotation text"/>
    <w:basedOn w:val="1"/>
    <w:link w:val="45"/>
    <w:semiHidden/>
    <w:qFormat/>
    <w:uiPriority w:val="99"/>
    <w:pPr>
      <w:jc w:val="left"/>
    </w:pPr>
    <w:rPr>
      <w:rFonts w:ascii="Times New Roman" w:hAnsi="Times New Roman" w:cs="Times New Roman"/>
      <w:lang w:val="zh-CN"/>
    </w:rPr>
  </w:style>
  <w:style w:type="paragraph" w:styleId="9">
    <w:name w:val="Body Text"/>
    <w:basedOn w:val="1"/>
    <w:next w:val="10"/>
    <w:link w:val="48"/>
    <w:qFormat/>
    <w:uiPriority w:val="99"/>
    <w:pPr>
      <w:spacing w:after="120"/>
    </w:pPr>
    <w:rPr>
      <w:rFonts w:ascii="Times New Roman" w:hAnsi="Times New Roman" w:cs="Times New Roman"/>
      <w:kern w:val="0"/>
      <w:sz w:val="20"/>
      <w:szCs w:val="20"/>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3">
    <w:name w:val="Body Text Indent"/>
    <w:basedOn w:val="1"/>
    <w:link w:val="49"/>
    <w:qFormat/>
    <w:uiPriority w:val="99"/>
    <w:pPr>
      <w:spacing w:line="360" w:lineRule="auto"/>
      <w:ind w:left="435" w:leftChars="207"/>
    </w:pPr>
    <w:rPr>
      <w:rFonts w:ascii="Times New Roman" w:hAnsi="Times New Roman" w:cs="Times New Roman"/>
      <w:sz w:val="24"/>
      <w:szCs w:val="24"/>
      <w:lang w:val="zh-CN"/>
    </w:rPr>
  </w:style>
  <w:style w:type="paragraph" w:styleId="14">
    <w:name w:val="toc 5"/>
    <w:basedOn w:val="1"/>
    <w:next w:val="1"/>
    <w:semiHidden/>
    <w:qFormat/>
    <w:uiPriority w:val="99"/>
    <w:pPr>
      <w:widowControl/>
      <w:adjustRightInd w:val="0"/>
      <w:snapToGrid w:val="0"/>
      <w:ind w:left="660"/>
      <w:jc w:val="left"/>
    </w:pPr>
    <w:rPr>
      <w:rFonts w:eastAsia="微软雅黑"/>
      <w:kern w:val="0"/>
      <w:sz w:val="20"/>
      <w:szCs w:val="20"/>
    </w:rPr>
  </w:style>
  <w:style w:type="paragraph" w:styleId="15">
    <w:name w:val="toc 3"/>
    <w:basedOn w:val="1"/>
    <w:next w:val="1"/>
    <w:semiHidden/>
    <w:qFormat/>
    <w:uiPriority w:val="99"/>
    <w:pPr>
      <w:widowControl/>
      <w:adjustRightInd w:val="0"/>
      <w:snapToGrid w:val="0"/>
      <w:ind w:left="220"/>
      <w:jc w:val="left"/>
    </w:pPr>
    <w:rPr>
      <w:rFonts w:eastAsia="微软雅黑"/>
      <w:kern w:val="0"/>
      <w:sz w:val="20"/>
      <w:szCs w:val="20"/>
    </w:rPr>
  </w:style>
  <w:style w:type="paragraph" w:styleId="16">
    <w:name w:val="Plain Text"/>
    <w:basedOn w:val="1"/>
    <w:link w:val="50"/>
    <w:qFormat/>
    <w:uiPriority w:val="99"/>
    <w:rPr>
      <w:rFonts w:ascii="宋体" w:hAnsi="Courier New" w:cs="宋体"/>
      <w:kern w:val="0"/>
      <w:sz w:val="24"/>
      <w:szCs w:val="24"/>
    </w:rPr>
  </w:style>
  <w:style w:type="paragraph" w:styleId="17">
    <w:name w:val="toc 8"/>
    <w:basedOn w:val="1"/>
    <w:next w:val="1"/>
    <w:semiHidden/>
    <w:qFormat/>
    <w:uiPriority w:val="99"/>
    <w:pPr>
      <w:widowControl/>
      <w:adjustRightInd w:val="0"/>
      <w:snapToGrid w:val="0"/>
      <w:ind w:left="1320"/>
      <w:jc w:val="left"/>
    </w:pPr>
    <w:rPr>
      <w:rFonts w:eastAsia="微软雅黑"/>
      <w:kern w:val="0"/>
      <w:sz w:val="20"/>
      <w:szCs w:val="20"/>
    </w:rPr>
  </w:style>
  <w:style w:type="paragraph" w:styleId="18">
    <w:name w:val="Date"/>
    <w:basedOn w:val="1"/>
    <w:next w:val="1"/>
    <w:link w:val="51"/>
    <w:qFormat/>
    <w:uiPriority w:val="99"/>
    <w:pPr>
      <w:ind w:left="100" w:leftChars="2500"/>
    </w:pPr>
    <w:rPr>
      <w:rFonts w:ascii="Times New Roman" w:hAnsi="Times New Roman" w:cs="Times New Roman"/>
      <w:lang w:val="zh-CN"/>
    </w:rPr>
  </w:style>
  <w:style w:type="paragraph" w:styleId="19">
    <w:name w:val="Balloon Text"/>
    <w:basedOn w:val="1"/>
    <w:link w:val="52"/>
    <w:semiHidden/>
    <w:qFormat/>
    <w:uiPriority w:val="99"/>
    <w:rPr>
      <w:sz w:val="18"/>
      <w:szCs w:val="18"/>
    </w:rPr>
  </w:style>
  <w:style w:type="paragraph" w:styleId="20">
    <w:name w:val="footer"/>
    <w:basedOn w:val="1"/>
    <w:link w:val="53"/>
    <w:qFormat/>
    <w:uiPriority w:val="99"/>
    <w:pPr>
      <w:tabs>
        <w:tab w:val="center" w:pos="4153"/>
        <w:tab w:val="right" w:pos="8306"/>
      </w:tabs>
      <w:snapToGrid w:val="0"/>
      <w:jc w:val="left"/>
    </w:pPr>
    <w:rPr>
      <w:sz w:val="18"/>
      <w:szCs w:val="18"/>
    </w:rPr>
  </w:style>
  <w:style w:type="paragraph" w:styleId="21">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widowControl/>
      <w:tabs>
        <w:tab w:val="right" w:leader="dot" w:pos="9514"/>
      </w:tabs>
      <w:spacing w:line="360" w:lineRule="auto"/>
      <w:jc w:val="center"/>
    </w:pPr>
    <w:rPr>
      <w:rFonts w:ascii="Arial" w:hAnsi="Arial" w:eastAsia="仿宋" w:cs="Arial"/>
      <w:b/>
      <w:bCs/>
      <w:kern w:val="44"/>
      <w:sz w:val="24"/>
      <w:szCs w:val="24"/>
    </w:rPr>
  </w:style>
  <w:style w:type="paragraph" w:styleId="23">
    <w:name w:val="toc 4"/>
    <w:basedOn w:val="1"/>
    <w:next w:val="1"/>
    <w:semiHidden/>
    <w:qFormat/>
    <w:uiPriority w:val="99"/>
    <w:pPr>
      <w:widowControl/>
      <w:adjustRightInd w:val="0"/>
      <w:snapToGrid w:val="0"/>
      <w:ind w:left="440"/>
      <w:jc w:val="left"/>
    </w:pPr>
    <w:rPr>
      <w:rFonts w:eastAsia="微软雅黑"/>
      <w:kern w:val="0"/>
      <w:sz w:val="20"/>
      <w:szCs w:val="20"/>
    </w:rPr>
  </w:style>
  <w:style w:type="paragraph" w:styleId="24">
    <w:name w:val="footnote text"/>
    <w:basedOn w:val="1"/>
    <w:qFormat/>
    <w:locked/>
    <w:uiPriority w:val="0"/>
    <w:pPr>
      <w:snapToGrid w:val="0"/>
      <w:jc w:val="left"/>
    </w:pPr>
    <w:rPr>
      <w:rFonts w:ascii="Calibri" w:hAnsi="Calibri" w:eastAsia="宋体" w:cs="Times New Roman"/>
      <w:sz w:val="18"/>
      <w:szCs w:val="18"/>
    </w:rPr>
  </w:style>
  <w:style w:type="paragraph" w:styleId="25">
    <w:name w:val="toc 6"/>
    <w:basedOn w:val="1"/>
    <w:next w:val="1"/>
    <w:semiHidden/>
    <w:qFormat/>
    <w:uiPriority w:val="99"/>
    <w:pPr>
      <w:widowControl/>
      <w:adjustRightInd w:val="0"/>
      <w:snapToGrid w:val="0"/>
      <w:ind w:left="880"/>
      <w:jc w:val="left"/>
    </w:pPr>
    <w:rPr>
      <w:rFonts w:eastAsia="微软雅黑"/>
      <w:kern w:val="0"/>
      <w:sz w:val="20"/>
      <w:szCs w:val="20"/>
    </w:rPr>
  </w:style>
  <w:style w:type="paragraph" w:styleId="26">
    <w:name w:val="Body Text Indent 3"/>
    <w:basedOn w:val="1"/>
    <w:link w:val="55"/>
    <w:qFormat/>
    <w:uiPriority w:val="99"/>
    <w:pPr>
      <w:spacing w:after="120"/>
      <w:ind w:left="420" w:leftChars="200"/>
    </w:pPr>
    <w:rPr>
      <w:rFonts w:ascii="Times New Roman" w:hAnsi="Times New Roman" w:cs="Times New Roman"/>
      <w:sz w:val="16"/>
      <w:szCs w:val="16"/>
      <w:lang w:val="zh-CN"/>
    </w:rPr>
  </w:style>
  <w:style w:type="paragraph" w:styleId="27">
    <w:name w:val="toc 2"/>
    <w:basedOn w:val="1"/>
    <w:next w:val="1"/>
    <w:semiHidden/>
    <w:qFormat/>
    <w:uiPriority w:val="99"/>
    <w:pPr>
      <w:widowControl/>
      <w:adjustRightInd w:val="0"/>
      <w:snapToGrid w:val="0"/>
      <w:spacing w:before="240"/>
      <w:jc w:val="left"/>
    </w:pPr>
    <w:rPr>
      <w:rFonts w:eastAsia="微软雅黑"/>
      <w:b/>
      <w:bCs/>
      <w:kern w:val="0"/>
      <w:sz w:val="20"/>
      <w:szCs w:val="20"/>
    </w:rPr>
  </w:style>
  <w:style w:type="paragraph" w:styleId="28">
    <w:name w:val="toc 9"/>
    <w:basedOn w:val="1"/>
    <w:next w:val="1"/>
    <w:semiHidden/>
    <w:qFormat/>
    <w:uiPriority w:val="99"/>
    <w:pPr>
      <w:widowControl/>
      <w:adjustRightInd w:val="0"/>
      <w:snapToGrid w:val="0"/>
      <w:ind w:left="1540"/>
      <w:jc w:val="left"/>
    </w:pPr>
    <w:rPr>
      <w:rFonts w:eastAsia="微软雅黑"/>
      <w:kern w:val="0"/>
      <w:sz w:val="20"/>
      <w:szCs w:val="20"/>
    </w:rPr>
  </w:style>
  <w:style w:type="paragraph" w:styleId="29">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Title"/>
    <w:basedOn w:val="1"/>
    <w:next w:val="1"/>
    <w:link w:val="56"/>
    <w:qFormat/>
    <w:uiPriority w:val="99"/>
    <w:pPr>
      <w:spacing w:before="240" w:after="60"/>
      <w:jc w:val="center"/>
      <w:outlineLvl w:val="0"/>
    </w:pPr>
    <w:rPr>
      <w:rFonts w:ascii="Cambria" w:hAnsi="Cambria" w:cs="Cambria"/>
      <w:b/>
      <w:bCs/>
      <w:sz w:val="32"/>
      <w:szCs w:val="32"/>
      <w:lang w:val="zh-CN"/>
    </w:rPr>
  </w:style>
  <w:style w:type="paragraph" w:styleId="32">
    <w:name w:val="annotation subject"/>
    <w:basedOn w:val="8"/>
    <w:next w:val="8"/>
    <w:link w:val="46"/>
    <w:semiHidden/>
    <w:qFormat/>
    <w:uiPriority w:val="99"/>
    <w:rPr>
      <w:b/>
      <w:bCs/>
    </w:rPr>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99"/>
    <w:rPr>
      <w:b/>
      <w:bCs/>
    </w:rPr>
  </w:style>
  <w:style w:type="character" w:styleId="37">
    <w:name w:val="page number"/>
    <w:basedOn w:val="35"/>
    <w:qFormat/>
    <w:uiPriority w:val="99"/>
  </w:style>
  <w:style w:type="character" w:styleId="38">
    <w:name w:val="FollowedHyperlink"/>
    <w:basedOn w:val="35"/>
    <w:qFormat/>
    <w:uiPriority w:val="99"/>
    <w:rPr>
      <w:color w:val="800080"/>
      <w:u w:val="single"/>
    </w:rPr>
  </w:style>
  <w:style w:type="character" w:styleId="39">
    <w:name w:val="Hyperlink"/>
    <w:basedOn w:val="35"/>
    <w:qFormat/>
    <w:uiPriority w:val="99"/>
    <w:rPr>
      <w:color w:val="auto"/>
      <w:u w:val="none"/>
    </w:rPr>
  </w:style>
  <w:style w:type="character" w:styleId="40">
    <w:name w:val="annotation reference"/>
    <w:basedOn w:val="35"/>
    <w:semiHidden/>
    <w:qFormat/>
    <w:uiPriority w:val="99"/>
    <w:rPr>
      <w:sz w:val="21"/>
      <w:szCs w:val="21"/>
    </w:rPr>
  </w:style>
  <w:style w:type="character" w:styleId="41">
    <w:name w:val="footnote reference"/>
    <w:qFormat/>
    <w:locked/>
    <w:uiPriority w:val="0"/>
    <w:rPr>
      <w:vertAlign w:val="superscript"/>
    </w:rPr>
  </w:style>
  <w:style w:type="character" w:customStyle="1" w:styleId="42">
    <w:name w:val="标题 2 Char"/>
    <w:basedOn w:val="35"/>
    <w:link w:val="3"/>
    <w:qFormat/>
    <w:locked/>
    <w:uiPriority w:val="99"/>
    <w:rPr>
      <w:rFonts w:ascii="Cambria" w:hAnsi="Cambria" w:eastAsia="宋体" w:cs="Cambria"/>
      <w:b/>
      <w:bCs/>
      <w:sz w:val="32"/>
      <w:szCs w:val="32"/>
    </w:rPr>
  </w:style>
  <w:style w:type="character" w:customStyle="1" w:styleId="43">
    <w:name w:val="标题 3 Char"/>
    <w:basedOn w:val="35"/>
    <w:link w:val="4"/>
    <w:qFormat/>
    <w:locked/>
    <w:uiPriority w:val="99"/>
    <w:rPr>
      <w:b/>
      <w:bCs/>
      <w:sz w:val="32"/>
      <w:szCs w:val="32"/>
    </w:rPr>
  </w:style>
  <w:style w:type="character" w:customStyle="1" w:styleId="44">
    <w:name w:val="标题 1 Char"/>
    <w:basedOn w:val="35"/>
    <w:link w:val="2"/>
    <w:qFormat/>
    <w:locked/>
    <w:uiPriority w:val="99"/>
    <w:rPr>
      <w:b/>
      <w:bCs/>
      <w:kern w:val="44"/>
      <w:sz w:val="44"/>
      <w:szCs w:val="44"/>
    </w:rPr>
  </w:style>
  <w:style w:type="character" w:customStyle="1" w:styleId="45">
    <w:name w:val="批注文字 Char"/>
    <w:basedOn w:val="35"/>
    <w:link w:val="8"/>
    <w:qFormat/>
    <w:locked/>
    <w:uiPriority w:val="99"/>
    <w:rPr>
      <w:rFonts w:ascii="Times New Roman" w:hAnsi="Times New Roman" w:eastAsia="宋体" w:cs="Times New Roman"/>
      <w:sz w:val="24"/>
      <w:szCs w:val="24"/>
      <w:lang w:val="zh-CN" w:eastAsia="zh-CN"/>
    </w:rPr>
  </w:style>
  <w:style w:type="character" w:customStyle="1" w:styleId="46">
    <w:name w:val="批注主题 Char"/>
    <w:basedOn w:val="45"/>
    <w:link w:val="32"/>
    <w:qFormat/>
    <w:locked/>
    <w:uiPriority w:val="99"/>
    <w:rPr>
      <w:b/>
      <w:bCs/>
    </w:rPr>
  </w:style>
  <w:style w:type="character" w:customStyle="1" w:styleId="47">
    <w:name w:val="文档结构图 Char"/>
    <w:basedOn w:val="35"/>
    <w:link w:val="7"/>
    <w:semiHidden/>
    <w:qFormat/>
    <w:locked/>
    <w:uiPriority w:val="99"/>
    <w:rPr>
      <w:rFonts w:ascii="宋体" w:hAnsi="Tahoma" w:eastAsia="宋体" w:cs="宋体"/>
      <w:kern w:val="0"/>
      <w:sz w:val="18"/>
      <w:szCs w:val="18"/>
      <w:lang w:val="zh-CN" w:eastAsia="zh-CN"/>
    </w:rPr>
  </w:style>
  <w:style w:type="character" w:customStyle="1" w:styleId="48">
    <w:name w:val="正文文本 Char1"/>
    <w:basedOn w:val="35"/>
    <w:link w:val="9"/>
    <w:qFormat/>
    <w:locked/>
    <w:uiPriority w:val="99"/>
    <w:rPr>
      <w:sz w:val="24"/>
      <w:szCs w:val="24"/>
    </w:rPr>
  </w:style>
  <w:style w:type="character" w:customStyle="1" w:styleId="49">
    <w:name w:val="正文文本缩进 Char"/>
    <w:basedOn w:val="35"/>
    <w:link w:val="13"/>
    <w:qFormat/>
    <w:locked/>
    <w:uiPriority w:val="99"/>
    <w:rPr>
      <w:rFonts w:ascii="Times New Roman" w:hAnsi="Times New Roman" w:eastAsia="宋体" w:cs="Times New Roman"/>
      <w:sz w:val="24"/>
      <w:szCs w:val="24"/>
      <w:lang w:val="zh-CN" w:eastAsia="zh-CN"/>
    </w:rPr>
  </w:style>
  <w:style w:type="character" w:customStyle="1" w:styleId="50">
    <w:name w:val="纯文本 Char"/>
    <w:basedOn w:val="35"/>
    <w:link w:val="16"/>
    <w:qFormat/>
    <w:locked/>
    <w:uiPriority w:val="99"/>
    <w:rPr>
      <w:rFonts w:ascii="宋体" w:hAnsi="Courier New" w:cs="宋体"/>
      <w:sz w:val="24"/>
      <w:szCs w:val="24"/>
    </w:rPr>
  </w:style>
  <w:style w:type="character" w:customStyle="1" w:styleId="51">
    <w:name w:val="日期 Char"/>
    <w:basedOn w:val="35"/>
    <w:link w:val="18"/>
    <w:qFormat/>
    <w:locked/>
    <w:uiPriority w:val="99"/>
    <w:rPr>
      <w:rFonts w:ascii="Times New Roman" w:hAnsi="Times New Roman" w:eastAsia="宋体" w:cs="Times New Roman"/>
      <w:sz w:val="24"/>
      <w:szCs w:val="24"/>
      <w:lang w:val="zh-CN" w:eastAsia="zh-CN"/>
    </w:rPr>
  </w:style>
  <w:style w:type="character" w:customStyle="1" w:styleId="52">
    <w:name w:val="批注框文本 Char"/>
    <w:basedOn w:val="35"/>
    <w:link w:val="19"/>
    <w:qFormat/>
    <w:locked/>
    <w:uiPriority w:val="99"/>
    <w:rPr>
      <w:sz w:val="18"/>
      <w:szCs w:val="18"/>
    </w:rPr>
  </w:style>
  <w:style w:type="character" w:customStyle="1" w:styleId="53">
    <w:name w:val="页脚 Char"/>
    <w:basedOn w:val="35"/>
    <w:link w:val="20"/>
    <w:qFormat/>
    <w:locked/>
    <w:uiPriority w:val="99"/>
    <w:rPr>
      <w:sz w:val="18"/>
      <w:szCs w:val="18"/>
    </w:rPr>
  </w:style>
  <w:style w:type="character" w:customStyle="1" w:styleId="54">
    <w:name w:val="页眉 Char"/>
    <w:basedOn w:val="35"/>
    <w:link w:val="21"/>
    <w:qFormat/>
    <w:locked/>
    <w:uiPriority w:val="99"/>
    <w:rPr>
      <w:sz w:val="18"/>
      <w:szCs w:val="18"/>
    </w:rPr>
  </w:style>
  <w:style w:type="character" w:customStyle="1" w:styleId="55">
    <w:name w:val="正文文本缩进 3 Char"/>
    <w:basedOn w:val="35"/>
    <w:link w:val="26"/>
    <w:qFormat/>
    <w:locked/>
    <w:uiPriority w:val="99"/>
    <w:rPr>
      <w:rFonts w:ascii="Times New Roman" w:hAnsi="Times New Roman" w:eastAsia="宋体" w:cs="Times New Roman"/>
      <w:sz w:val="16"/>
      <w:szCs w:val="16"/>
      <w:lang w:val="zh-CN" w:eastAsia="zh-CN"/>
    </w:rPr>
  </w:style>
  <w:style w:type="character" w:customStyle="1" w:styleId="56">
    <w:name w:val="标题 Char"/>
    <w:basedOn w:val="35"/>
    <w:link w:val="31"/>
    <w:qFormat/>
    <w:locked/>
    <w:uiPriority w:val="99"/>
    <w:rPr>
      <w:rFonts w:ascii="Cambria" w:hAnsi="Cambria" w:eastAsia="宋体" w:cs="Cambria"/>
      <w:b/>
      <w:bCs/>
      <w:sz w:val="32"/>
      <w:szCs w:val="32"/>
      <w:lang w:val="zh-CN" w:eastAsia="zh-CN"/>
    </w:rPr>
  </w:style>
  <w:style w:type="paragraph" w:customStyle="1" w:styleId="57">
    <w:name w:val="列出段落1"/>
    <w:basedOn w:val="1"/>
    <w:link w:val="58"/>
    <w:qFormat/>
    <w:uiPriority w:val="99"/>
    <w:pPr>
      <w:ind w:firstLine="420" w:firstLineChars="200"/>
    </w:pPr>
  </w:style>
  <w:style w:type="character" w:customStyle="1" w:styleId="58">
    <w:name w:val="列出段落 Char"/>
    <w:link w:val="57"/>
    <w:qFormat/>
    <w:locked/>
    <w:uiPriority w:val="99"/>
  </w:style>
  <w:style w:type="character" w:customStyle="1" w:styleId="59">
    <w:name w:val="正文文本 Char"/>
    <w:basedOn w:val="35"/>
    <w:qFormat/>
    <w:uiPriority w:val="99"/>
  </w:style>
  <w:style w:type="character" w:customStyle="1" w:styleId="60">
    <w:name w:val="纯文本 Char1"/>
    <w:basedOn w:val="35"/>
    <w:semiHidden/>
    <w:qFormat/>
    <w:uiPriority w:val="99"/>
    <w:rPr>
      <w:rFonts w:ascii="宋体" w:hAnsi="Courier New" w:eastAsia="宋体" w:cs="宋体"/>
      <w:sz w:val="21"/>
      <w:szCs w:val="21"/>
    </w:rPr>
  </w:style>
  <w:style w:type="paragraph" w:customStyle="1" w:styleId="61">
    <w:name w:val="样式 标题 3 + (中文) 黑体 小四 非加粗 段前: 7.8 磅 段后: 0 磅 行距: 固定值 20 磅"/>
    <w:basedOn w:val="4"/>
    <w:qFormat/>
    <w:uiPriority w:val="99"/>
    <w:pPr>
      <w:spacing w:before="0" w:after="0" w:line="400" w:lineRule="exact"/>
    </w:pPr>
    <w:rPr>
      <w:rFonts w:ascii="Times New Roman" w:hAnsi="Times New Roman" w:eastAsia="黑体" w:cs="Times New Roman"/>
      <w:b w:val="0"/>
      <w:bCs w:val="0"/>
      <w:sz w:val="24"/>
      <w:szCs w:val="24"/>
      <w:lang w:val="zh-CN"/>
    </w:rPr>
  </w:style>
  <w:style w:type="paragraph" w:customStyle="1" w:styleId="62">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sz w:val="28"/>
      <w:szCs w:val="28"/>
      <w:lang w:val="zh-CN"/>
    </w:rPr>
  </w:style>
  <w:style w:type="paragraph" w:customStyle="1" w:styleId="63">
    <w:name w:val="1"/>
    <w:basedOn w:val="1"/>
    <w:next w:val="26"/>
    <w:qFormat/>
    <w:uiPriority w:val="99"/>
    <w:pPr>
      <w:spacing w:line="360" w:lineRule="auto"/>
      <w:ind w:firstLine="567"/>
    </w:pPr>
    <w:rPr>
      <w:rFonts w:ascii="Times New Roman" w:hAnsi="Times New Roman" w:cs="Times New Roman"/>
      <w:sz w:val="24"/>
      <w:szCs w:val="24"/>
    </w:rPr>
  </w:style>
  <w:style w:type="paragraph" w:customStyle="1" w:styleId="64">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65">
    <w:name w:val="Char2"/>
    <w:basedOn w:val="1"/>
    <w:qFormat/>
    <w:uiPriority w:val="99"/>
    <w:rPr>
      <w:rFonts w:ascii="Tahoma" w:hAnsi="Tahoma" w:cs="Tahoma"/>
      <w:sz w:val="24"/>
      <w:szCs w:val="24"/>
    </w:rPr>
  </w:style>
  <w:style w:type="character" w:customStyle="1" w:styleId="66">
    <w:name w:val="titletxt1"/>
    <w:qFormat/>
    <w:uiPriority w:val="99"/>
    <w:rPr>
      <w:color w:val="auto"/>
    </w:rPr>
  </w:style>
  <w:style w:type="paragraph" w:customStyle="1" w:styleId="67">
    <w:name w:val="Char"/>
    <w:basedOn w:val="1"/>
    <w:qFormat/>
    <w:uiPriority w:val="99"/>
    <w:pPr>
      <w:widowControl/>
      <w:adjustRightInd w:val="0"/>
      <w:spacing w:after="160" w:line="240" w:lineRule="exact"/>
      <w:jc w:val="left"/>
      <w:textAlignment w:val="baseline"/>
    </w:pPr>
    <w:rPr>
      <w:rFonts w:ascii="Times New Roman" w:hAnsi="Times New Roman" w:cs="Times New Roman"/>
      <w:kern w:val="0"/>
      <w:sz w:val="24"/>
      <w:szCs w:val="24"/>
    </w:rPr>
  </w:style>
  <w:style w:type="paragraph" w:customStyle="1" w:styleId="68">
    <w:name w:val="_Style 52"/>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xl63"/>
    <w:basedOn w:val="1"/>
    <w:qFormat/>
    <w:uiPriority w:val="99"/>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0">
    <w:name w:val="xl64"/>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1">
    <w:name w:val="xl65"/>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2">
    <w:name w:val="xl66"/>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73">
    <w:name w:val="xl67"/>
    <w:basedOn w:val="1"/>
    <w:qFormat/>
    <w:uiPriority w:val="99"/>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4">
    <w:name w:val="xl68"/>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5">
    <w:name w:val="xl69"/>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76">
    <w:name w:val="xl70"/>
    <w:basedOn w:val="1"/>
    <w:qFormat/>
    <w:uiPriority w:val="99"/>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7">
    <w:name w:val="xl71"/>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8">
    <w:name w:val="xl72"/>
    <w:basedOn w:val="1"/>
    <w:qFormat/>
    <w:uiPriority w:val="99"/>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9">
    <w:name w:val="xl73"/>
    <w:basedOn w:val="1"/>
    <w:qFormat/>
    <w:uiPriority w:val="99"/>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0">
    <w:name w:val="xl74"/>
    <w:basedOn w:val="1"/>
    <w:qFormat/>
    <w:uiPriority w:val="99"/>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1">
    <w:name w:val="xl75"/>
    <w:basedOn w:val="1"/>
    <w:qFormat/>
    <w:uiPriority w:val="99"/>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2">
    <w:name w:val="xl76"/>
    <w:basedOn w:val="1"/>
    <w:qFormat/>
    <w:uiPriority w:val="99"/>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3">
    <w:name w:val="无间隔1"/>
    <w:link w:val="84"/>
    <w:qFormat/>
    <w:uiPriority w:val="99"/>
    <w:rPr>
      <w:rFonts w:ascii="Calibri" w:hAnsi="Calibri" w:eastAsia="宋体" w:cs="Calibri"/>
      <w:sz w:val="22"/>
      <w:szCs w:val="22"/>
      <w:lang w:val="en-US" w:eastAsia="zh-CN" w:bidi="ar-SA"/>
    </w:rPr>
  </w:style>
  <w:style w:type="character" w:customStyle="1" w:styleId="84">
    <w:name w:val="无间隔 Char"/>
    <w:link w:val="83"/>
    <w:qFormat/>
    <w:locked/>
    <w:uiPriority w:val="99"/>
    <w:rPr>
      <w:rFonts w:ascii="Calibri" w:hAnsi="Calibri" w:cs="Calibri"/>
      <w:sz w:val="22"/>
      <w:szCs w:val="22"/>
    </w:rPr>
  </w:style>
  <w:style w:type="paragraph" w:customStyle="1" w:styleId="85">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lang w:val="zh-CN"/>
    </w:rPr>
  </w:style>
  <w:style w:type="paragraph" w:customStyle="1" w:styleId="8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8">
    <w:name w:val="font7"/>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89">
    <w:name w:val="font8"/>
    <w:basedOn w:val="1"/>
    <w:qFormat/>
    <w:uiPriority w:val="99"/>
    <w:pPr>
      <w:widowControl/>
      <w:spacing w:before="100" w:beforeAutospacing="1" w:after="100" w:afterAutospacing="1"/>
      <w:jc w:val="left"/>
    </w:pPr>
    <w:rPr>
      <w:rFonts w:ascii="Times New Roman" w:hAnsi="Times New Roman" w:cs="Times New Roman"/>
      <w:b/>
      <w:bCs/>
      <w:kern w:val="0"/>
      <w:sz w:val="20"/>
      <w:szCs w:val="20"/>
    </w:rPr>
  </w:style>
  <w:style w:type="paragraph" w:customStyle="1" w:styleId="90">
    <w:name w:val="font9"/>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1">
    <w:name w:val="font10"/>
    <w:basedOn w:val="1"/>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92">
    <w:name w:val="font11"/>
    <w:basedOn w:val="1"/>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9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94">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95">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96">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7">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9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99">
    <w:name w:val="xl83"/>
    <w:basedOn w:val="1"/>
    <w:qFormat/>
    <w:uiPriority w:val="99"/>
    <w:pPr>
      <w:widowControl/>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10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10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FF0000"/>
      <w:kern w:val="0"/>
      <w:sz w:val="20"/>
      <w:szCs w:val="20"/>
    </w:rPr>
  </w:style>
  <w:style w:type="paragraph" w:customStyle="1" w:styleId="102">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0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104">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18"/>
      <w:szCs w:val="18"/>
    </w:rPr>
  </w:style>
  <w:style w:type="paragraph" w:customStyle="1" w:styleId="105">
    <w:name w:val="xl89"/>
    <w:basedOn w:val="1"/>
    <w:qFormat/>
    <w:uiPriority w:val="99"/>
    <w:pPr>
      <w:widowControl/>
      <w:pBdr>
        <w:bottom w:val="single" w:color="auto" w:sz="4" w:space="0"/>
      </w:pBdr>
      <w:spacing w:before="100" w:beforeAutospacing="1" w:after="100" w:afterAutospacing="1"/>
      <w:jc w:val="center"/>
      <w:textAlignment w:val="center"/>
    </w:pPr>
    <w:rPr>
      <w:rFonts w:ascii="宋体" w:hAnsi="宋体" w:cs="宋体"/>
      <w:kern w:val="0"/>
      <w:sz w:val="40"/>
      <w:szCs w:val="40"/>
    </w:rPr>
  </w:style>
  <w:style w:type="paragraph" w:customStyle="1" w:styleId="106">
    <w:name w:val="xl9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7">
    <w:name w:val="xl9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table" w:customStyle="1" w:styleId="108">
    <w:name w:val="网格型1"/>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样式 小四 段前: 5 磅 段后: 5 磅 首行缩进:  2 字符"/>
    <w:basedOn w:val="1"/>
    <w:qFormat/>
    <w:uiPriority w:val="99"/>
    <w:pPr>
      <w:spacing w:line="360" w:lineRule="auto"/>
    </w:pPr>
    <w:rPr>
      <w:rFonts w:ascii="仿宋" w:hAnsi="仿宋" w:eastAsia="仿宋" w:cs="仿宋"/>
      <w:b/>
      <w:bCs/>
      <w:sz w:val="28"/>
      <w:szCs w:val="28"/>
    </w:rPr>
  </w:style>
  <w:style w:type="character" w:styleId="110">
    <w:name w:val="Placeholder Text"/>
    <w:basedOn w:val="35"/>
    <w:qFormat/>
    <w:uiPriority w:val="99"/>
    <w:rPr>
      <w:color w:val="808080"/>
    </w:rPr>
  </w:style>
  <w:style w:type="character" w:customStyle="1" w:styleId="111">
    <w:name w:val="font31"/>
    <w:basedOn w:val="35"/>
    <w:qFormat/>
    <w:uiPriority w:val="99"/>
    <w:rPr>
      <w:rFonts w:ascii="宋体" w:hAnsi="宋体" w:eastAsia="宋体" w:cs="宋体"/>
      <w:color w:val="000000"/>
      <w:sz w:val="24"/>
      <w:szCs w:val="24"/>
      <w:u w:val="none"/>
    </w:rPr>
  </w:style>
  <w:style w:type="paragraph" w:styleId="112">
    <w:name w:val="List Paragraph"/>
    <w:basedOn w:val="1"/>
    <w:qFormat/>
    <w:uiPriority w:val="99"/>
    <w:pPr>
      <w:jc w:val="left"/>
    </w:pPr>
  </w:style>
  <w:style w:type="paragraph" w:customStyle="1" w:styleId="113">
    <w:name w:val="样式 样式 标题 3h33Heading 3 hidden2hh31h32SectionHeading 2.3(Al... + ..."/>
    <w:basedOn w:val="1"/>
    <w:qFormat/>
    <w:uiPriority w:val="99"/>
    <w:pPr>
      <w:keepNext/>
      <w:widowControl/>
      <w:numPr>
        <w:ilvl w:val="2"/>
        <w:numId w:val="1"/>
      </w:numPr>
      <w:tabs>
        <w:tab w:val="left" w:pos="720"/>
        <w:tab w:val="left" w:pos="1004"/>
      </w:tabs>
      <w:spacing w:before="260" w:after="260" w:line="360" w:lineRule="auto"/>
      <w:ind w:left="1418"/>
      <w:outlineLvl w:val="2"/>
    </w:pPr>
    <w:rPr>
      <w:rFonts w:ascii="宋体" w:hAnsi="宋体" w:cs="宋体"/>
      <w:b/>
      <w:bCs/>
      <w:kern w:val="0"/>
      <w:sz w:val="24"/>
      <w:szCs w:val="24"/>
    </w:rPr>
  </w:style>
  <w:style w:type="paragraph" w:customStyle="1" w:styleId="1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5">
    <w:name w:val="UserStyle_5"/>
    <w:basedOn w:val="1"/>
    <w:qFormat/>
    <w:uiPriority w:val="0"/>
    <w:pPr>
      <w:widowControl/>
      <w:textAlignment w:val="baseline"/>
    </w:pPr>
    <w:rPr>
      <w:rFonts w:ascii="宋体" w:hAnsi="宋体" w:cs="Times New Roman"/>
      <w:sz w:val="24"/>
      <w:lang w:val="zh-CN" w:bidi="zh-CN"/>
    </w:rPr>
  </w:style>
  <w:style w:type="character" w:customStyle="1" w:styleId="116">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27200</Words>
  <Characters>28429</Characters>
  <Lines>254</Lines>
  <Paragraphs>71</Paragraphs>
  <TotalTime>49</TotalTime>
  <ScaleCrop>false</ScaleCrop>
  <LinksUpToDate>false</LinksUpToDate>
  <CharactersWithSpaces>29796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2018-05-11T07:09:00Z</dcterms:created>
  <dc:creator>20160321</dc:creator>
  <cp:lastModifiedBy>Bother</cp:lastModifiedBy>
  <cp:lastPrinted>2020-04-02T08:23:00Z</cp:lastPrinted>
  <dcterms:modified xsi:type="dcterms:W3CDTF">2020-08-26T08:56:05Z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