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2403" w:hanging="2403" w:hangingChars="285"/>
        <w:jc w:val="center"/>
        <w:rPr>
          <w:rFonts w:hint="eastAsia" w:ascii="宋体" w:hAnsi="宋体" w:eastAsia="宋体" w:cs="宋体"/>
          <w:b/>
          <w:bCs/>
          <w:color w:val="000000"/>
          <w:kern w:val="0"/>
          <w:sz w:val="84"/>
          <w:szCs w:val="84"/>
          <w:lang w:val="en-US" w:eastAsia="zh-CN"/>
        </w:rPr>
      </w:pPr>
      <w:r>
        <w:rPr>
          <w:rFonts w:hint="eastAsia" w:ascii="宋体" w:hAnsi="宋体" w:cs="宋体"/>
          <w:b/>
          <w:bCs/>
          <w:color w:val="000000"/>
          <w:kern w:val="0"/>
          <w:sz w:val="84"/>
          <w:szCs w:val="84"/>
          <w:lang w:val="en-US" w:eastAsia="zh-CN"/>
        </w:rPr>
        <w:t xml:space="preserve"> </w:t>
      </w:r>
    </w:p>
    <w:p>
      <w:pPr>
        <w:jc w:val="center"/>
        <w:rPr>
          <w:rFonts w:ascii="宋体" w:hAnsi="宋体"/>
          <w:b/>
          <w:color w:val="000000"/>
          <w:sz w:val="100"/>
          <w:szCs w:val="100"/>
        </w:rPr>
      </w:pPr>
      <w:r>
        <w:rPr>
          <w:rFonts w:hint="eastAsia" w:ascii="宋体" w:hAnsi="宋体"/>
          <w:b/>
          <w:color w:val="000000"/>
          <w:sz w:val="100"/>
          <w:szCs w:val="100"/>
        </w:rPr>
        <w:t>公开</w:t>
      </w:r>
      <w:r>
        <w:rPr>
          <w:rFonts w:ascii="宋体" w:hAnsi="宋体"/>
          <w:b/>
          <w:color w:val="000000"/>
          <w:sz w:val="100"/>
          <w:szCs w:val="100"/>
        </w:rPr>
        <w:t>招标文件</w:t>
      </w:r>
    </w:p>
    <w:p>
      <w:pPr>
        <w:ind w:firstLine="2530" w:firstLineChars="1050"/>
        <w:jc w:val="center"/>
        <w:rPr>
          <w:rFonts w:ascii="宋体" w:hAnsi="宋体"/>
          <w:b/>
          <w:color w:val="000000"/>
        </w:rPr>
      </w:pPr>
    </w:p>
    <w:p>
      <w:pPr>
        <w:rPr>
          <w:rFonts w:ascii="宋体" w:hAnsi="宋体"/>
          <w:b/>
          <w:color w:val="000000"/>
          <w:sz w:val="28"/>
          <w:szCs w:val="28"/>
        </w:rPr>
      </w:pPr>
    </w:p>
    <w:p>
      <w:pPr>
        <w:rPr>
          <w:rFonts w:ascii="宋体" w:hAnsi="宋体"/>
          <w:b/>
          <w:color w:val="000000"/>
          <w:sz w:val="28"/>
          <w:szCs w:val="28"/>
        </w:rPr>
      </w:pPr>
    </w:p>
    <w:p>
      <w:pPr>
        <w:widowControl/>
        <w:jc w:val="center"/>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pStyle w:val="17"/>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spacing w:line="480" w:lineRule="auto"/>
        <w:ind w:firstLine="1807" w:firstLineChars="600"/>
        <w:jc w:val="both"/>
        <w:rPr>
          <w:rFonts w:hint="default" w:ascii="宋体" w:hAnsi="宋体"/>
          <w:b/>
          <w:bCs/>
          <w:color w:val="000000"/>
          <w:sz w:val="30"/>
          <w:szCs w:val="30"/>
          <w:lang w:val="en-US" w:eastAsia="zh-CN"/>
        </w:rPr>
      </w:pPr>
      <w:r>
        <w:rPr>
          <w:rFonts w:hint="eastAsia" w:ascii="宋体" w:hAnsi="宋体"/>
          <w:b/>
          <w:bCs/>
          <w:color w:val="000000"/>
          <w:sz w:val="30"/>
          <w:szCs w:val="30"/>
          <w:lang w:eastAsia="zh-CN"/>
        </w:rPr>
        <w:t>采购项目编号：</w:t>
      </w:r>
      <w:r>
        <w:rPr>
          <w:rFonts w:hint="eastAsia" w:ascii="宋体" w:hAnsi="宋体"/>
          <w:b/>
          <w:bCs/>
          <w:color w:val="000000"/>
          <w:sz w:val="30"/>
          <w:szCs w:val="30"/>
          <w:lang w:val="zh-CN" w:eastAsia="zh-CN"/>
        </w:rPr>
        <w:t>中金（青海）公招（服务）2020-039</w:t>
      </w:r>
    </w:p>
    <w:p>
      <w:pPr>
        <w:spacing w:line="480" w:lineRule="auto"/>
        <w:ind w:left="3908" w:leftChars="750" w:hanging="2108" w:hangingChars="700"/>
        <w:jc w:val="both"/>
        <w:rPr>
          <w:rFonts w:hint="eastAsia" w:ascii="宋体" w:hAnsi="宋体"/>
          <w:b/>
          <w:bCs/>
          <w:color w:val="000000"/>
          <w:sz w:val="30"/>
          <w:szCs w:val="30"/>
          <w:lang w:eastAsia="zh-CN"/>
        </w:rPr>
      </w:pPr>
      <w:r>
        <w:rPr>
          <w:rFonts w:hint="eastAsia" w:ascii="宋体" w:hAnsi="宋体"/>
          <w:b/>
          <w:bCs/>
          <w:color w:val="000000"/>
          <w:sz w:val="30"/>
          <w:szCs w:val="30"/>
          <w:lang w:eastAsia="zh-CN"/>
        </w:rPr>
        <w:t>采购项目名称：西宁市体育场馆管理服务中心安保、供电、供暖、保洁工作购买第三方服务</w:t>
      </w:r>
    </w:p>
    <w:p>
      <w:pPr>
        <w:spacing w:line="480" w:lineRule="auto"/>
        <w:ind w:firstLine="1807" w:firstLineChars="600"/>
        <w:jc w:val="both"/>
        <w:rPr>
          <w:rFonts w:hint="eastAsia" w:ascii="宋体" w:hAnsi="宋体"/>
          <w:b/>
          <w:bCs/>
          <w:color w:val="000000"/>
          <w:sz w:val="30"/>
          <w:szCs w:val="30"/>
          <w:lang w:eastAsia="zh-CN"/>
        </w:rPr>
      </w:pPr>
      <w:r>
        <w:rPr>
          <w:rFonts w:hint="eastAsia" w:ascii="宋体" w:hAnsi="宋体"/>
          <w:b/>
          <w:bCs/>
          <w:color w:val="000000"/>
          <w:sz w:val="30"/>
          <w:szCs w:val="30"/>
          <w:lang w:eastAsia="zh-CN"/>
        </w:rPr>
        <w:t>采   购   人：西宁市体育场馆管理服务中心</w:t>
      </w:r>
    </w:p>
    <w:p>
      <w:pPr>
        <w:spacing w:line="480" w:lineRule="auto"/>
        <w:ind w:firstLine="1807" w:firstLineChars="600"/>
        <w:jc w:val="both"/>
        <w:rPr>
          <w:rFonts w:hint="eastAsia" w:ascii="宋体" w:hAnsi="宋体"/>
          <w:b/>
          <w:bCs/>
          <w:color w:val="000000"/>
          <w:sz w:val="30"/>
          <w:szCs w:val="30"/>
          <w:lang w:eastAsia="zh-CN"/>
        </w:rPr>
      </w:pPr>
      <w:r>
        <w:rPr>
          <w:rFonts w:hint="eastAsia" w:ascii="宋体" w:hAnsi="宋体"/>
          <w:b/>
          <w:bCs/>
          <w:color w:val="000000"/>
          <w:sz w:val="30"/>
          <w:szCs w:val="30"/>
          <w:lang w:eastAsia="zh-CN"/>
        </w:rPr>
        <w:t>招标代理机构：中金招标有限责任公司</w:t>
      </w:r>
    </w:p>
    <w:p>
      <w:pPr>
        <w:tabs>
          <w:tab w:val="left" w:pos="5145"/>
        </w:tabs>
        <w:spacing w:line="480" w:lineRule="auto"/>
        <w:ind w:firstLine="1928" w:firstLineChars="600"/>
        <w:rPr>
          <w:rFonts w:ascii="宋体" w:hAnsi="宋体"/>
          <w:b/>
          <w:color w:val="000000"/>
          <w:sz w:val="32"/>
          <w:szCs w:val="32"/>
        </w:rPr>
      </w:pPr>
      <w:r>
        <w:rPr>
          <w:rFonts w:ascii="宋体" w:hAnsi="宋体"/>
          <w:b/>
          <w:bCs/>
          <w:color w:val="000000"/>
          <w:sz w:val="32"/>
          <w:szCs w:val="32"/>
        </w:rPr>
        <w:t xml:space="preserve">日    </w:t>
      </w:r>
      <w:r>
        <w:rPr>
          <w:rFonts w:hint="eastAsia" w:ascii="宋体" w:hAnsi="宋体"/>
          <w:b/>
          <w:bCs/>
          <w:color w:val="000000"/>
          <w:sz w:val="32"/>
          <w:szCs w:val="32"/>
          <w:lang w:val="en-US" w:eastAsia="zh-CN"/>
        </w:rPr>
        <w:t xml:space="preserve">   </w:t>
      </w:r>
      <w:r>
        <w:rPr>
          <w:rFonts w:ascii="宋体" w:hAnsi="宋体"/>
          <w:b/>
          <w:bCs/>
          <w:color w:val="000000"/>
          <w:sz w:val="32"/>
          <w:szCs w:val="32"/>
        </w:rPr>
        <w:t xml:space="preserve"> 期</w:t>
      </w:r>
      <w:r>
        <w:rPr>
          <w:rFonts w:hint="eastAsia" w:ascii="宋体" w:hAnsi="宋体"/>
          <w:b/>
          <w:bCs/>
          <w:color w:val="000000"/>
          <w:sz w:val="32"/>
          <w:szCs w:val="32"/>
        </w:rPr>
        <w:t>：</w:t>
      </w:r>
      <w:r>
        <w:rPr>
          <w:rFonts w:ascii="宋体" w:hAnsi="宋体"/>
          <w:b/>
          <w:bCs/>
          <w:color w:val="000000"/>
          <w:sz w:val="32"/>
          <w:szCs w:val="32"/>
        </w:rPr>
        <w:t>二〇二〇年</w:t>
      </w:r>
      <w:r>
        <w:rPr>
          <w:rFonts w:hint="eastAsia" w:ascii="宋体" w:hAnsi="宋体"/>
          <w:b/>
          <w:bCs/>
          <w:color w:val="000000"/>
          <w:sz w:val="32"/>
          <w:szCs w:val="32"/>
          <w:lang w:eastAsia="zh-CN"/>
        </w:rPr>
        <w:t>十一</w:t>
      </w:r>
      <w:r>
        <w:rPr>
          <w:rFonts w:ascii="宋体" w:hAnsi="宋体"/>
          <w:b/>
          <w:bCs/>
          <w:color w:val="000000"/>
          <w:sz w:val="32"/>
          <w:szCs w:val="32"/>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28"/>
        <w:tabs>
          <w:tab w:val="right" w:leader="dot" w:pos="9689"/>
        </w:tabs>
      </w:pPr>
      <w:r>
        <w:rPr>
          <w:rFonts w:hint="eastAsia" w:ascii="宋体" w:hAnsi="宋体" w:cs="宋体"/>
          <w:b w:val="0"/>
          <w:bCs w:val="0"/>
          <w:color w:val="000000"/>
          <w:kern w:val="0"/>
          <w:szCs w:val="24"/>
        </w:rPr>
        <w:fldChar w:fldCharType="begin"/>
      </w:r>
      <w:r>
        <w:rPr>
          <w:rStyle w:val="45"/>
          <w:rFonts w:hint="eastAsia" w:ascii="宋体" w:hAnsi="宋体" w:cs="宋体"/>
          <w:b w:val="0"/>
          <w:bCs w:val="0"/>
          <w:kern w:val="0"/>
          <w:szCs w:val="24"/>
        </w:rPr>
        <w:instrText xml:space="preserve"> TOC \o "3-3" \h \z \t "标题 1,2,标题 2,3,标题,1"</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_Toc21599 </w:instrText>
      </w:r>
      <w:r>
        <w:rPr>
          <w:rFonts w:hint="eastAsia" w:ascii="宋体" w:hAnsi="宋体" w:cs="宋体"/>
          <w:bCs w:val="0"/>
          <w:kern w:val="0"/>
          <w:szCs w:val="24"/>
        </w:rPr>
        <w:fldChar w:fldCharType="separate"/>
      </w:r>
      <w:r>
        <w:rPr>
          <w:rFonts w:hint="eastAsia" w:ascii="宋体" w:hAnsi="宋体" w:cs="宋体"/>
          <w:bCs w:val="0"/>
          <w:kern w:val="0"/>
          <w:szCs w:val="24"/>
          <w:lang w:eastAsia="zh-CN"/>
        </w:rPr>
        <w:t>第一部分</w:t>
      </w:r>
      <w:r>
        <w:rPr>
          <w:rFonts w:hint="eastAsia" w:ascii="宋体" w:hAnsi="宋体" w:cs="宋体"/>
          <w:bCs w:val="0"/>
          <w:kern w:val="0"/>
          <w:szCs w:val="24"/>
          <w:lang w:val="en-US" w:eastAsia="zh-CN"/>
        </w:rPr>
        <w:t xml:space="preserve">  </w:t>
      </w:r>
      <w:r>
        <w:rPr>
          <w:rFonts w:hint="eastAsia" w:ascii="宋体" w:hAnsi="宋体" w:cs="宋体"/>
          <w:color w:val="000000"/>
          <w:kern w:val="0"/>
          <w:lang w:val="zh-CN"/>
        </w:rPr>
        <w:t>投标邀请</w:t>
      </w:r>
      <w:r>
        <w:tab/>
      </w:r>
      <w:r>
        <w:fldChar w:fldCharType="begin"/>
      </w:r>
      <w:r>
        <w:instrText xml:space="preserve"> PAGEREF _Toc21599 </w:instrText>
      </w:r>
      <w:r>
        <w:fldChar w:fldCharType="separate"/>
      </w:r>
      <w:r>
        <w:t>5</w:t>
      </w:r>
      <w:r>
        <w:fldChar w:fldCharType="end"/>
      </w:r>
      <w:r>
        <w:rPr>
          <w:rFonts w:hint="eastAsia" w:ascii="宋体" w:hAnsi="宋体" w:cs="宋体"/>
          <w:bCs w:val="0"/>
          <w:color w:val="000000"/>
          <w:kern w:val="0"/>
          <w:szCs w:val="24"/>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_Toc4182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_Toc4182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_Toc24144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_Toc24144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_Toc30327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_Toc30327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_Toc20657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_Toc20657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_Toc7971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_Toc7971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_Toc3291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_Toc3291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_Toc10046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_Toc10046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_Toc8546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_Toc8546 </w:instrText>
      </w:r>
      <w:r>
        <w:fldChar w:fldCharType="separate"/>
      </w:r>
      <w:r>
        <w:t>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_Toc15171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_Toc15171 </w:instrText>
      </w:r>
      <w:r>
        <w:fldChar w:fldCharType="separate"/>
      </w:r>
      <w:r>
        <w:t>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_Toc26660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_Toc26660 </w:instrText>
      </w:r>
      <w:r>
        <w:fldChar w:fldCharType="separate"/>
      </w:r>
      <w:r>
        <w:t>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_Toc30625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_Toc30625 </w:instrText>
      </w:r>
      <w:r>
        <w:fldChar w:fldCharType="separate"/>
      </w:r>
      <w:r>
        <w:t>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_Toc13757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_Toc13757 </w:instrText>
      </w:r>
      <w:r>
        <w:fldChar w:fldCharType="separate"/>
      </w:r>
      <w:r>
        <w:t>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_Toc26848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_Toc26848 </w:instrText>
      </w:r>
      <w:r>
        <w:fldChar w:fldCharType="separate"/>
      </w:r>
      <w:r>
        <w:t>10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_Toc11650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_Toc11650 </w:instrText>
      </w:r>
      <w:r>
        <w:fldChar w:fldCharType="separate"/>
      </w:r>
      <w:r>
        <w:t>10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_Toc4651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_Toc4651 </w:instrText>
      </w:r>
      <w:r>
        <w:fldChar w:fldCharType="separate"/>
      </w:r>
      <w:r>
        <w:t>11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_Toc9846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_Toc9846 </w:instrText>
      </w:r>
      <w:r>
        <w:fldChar w:fldCharType="separate"/>
      </w:r>
      <w:r>
        <w:t>11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_Toc21746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_Toc21746 </w:instrText>
      </w:r>
      <w:r>
        <w:fldChar w:fldCharType="separate"/>
      </w:r>
      <w:r>
        <w:t>12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_Toc12507 </w:instrText>
      </w:r>
      <w:r>
        <w:rPr>
          <w:rFonts w:hint="eastAsia" w:ascii="宋体" w:hAnsi="宋体" w:cs="宋体"/>
        </w:rPr>
        <w:fldChar w:fldCharType="separate"/>
      </w:r>
      <w:r>
        <w:rPr>
          <w:rFonts w:hint="eastAsia" w:ascii="宋体" w:hAnsi="宋体" w:cs="宋体"/>
          <w:szCs w:val="28"/>
          <w:lang w:val="zh-CN"/>
        </w:rPr>
        <w:t>13.投标文件的密封和标记</w:t>
      </w:r>
      <w:r>
        <w:tab/>
      </w:r>
      <w:r>
        <w:fldChar w:fldCharType="begin"/>
      </w:r>
      <w:r>
        <w:instrText xml:space="preserve"> PAGEREF _Toc12507 </w:instrText>
      </w:r>
      <w:r>
        <w:fldChar w:fldCharType="separate"/>
      </w:r>
      <w:r>
        <w:t>12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_Toc10936 </w:instrText>
      </w:r>
      <w:r>
        <w:rPr>
          <w:rFonts w:hint="eastAsia" w:ascii="宋体" w:hAnsi="宋体" w:cs="宋体"/>
        </w:rPr>
        <w:fldChar w:fldCharType="separate"/>
      </w:r>
      <w:r>
        <w:rPr>
          <w:rFonts w:hint="eastAsia" w:ascii="宋体" w:hAnsi="宋体" w:cs="宋体"/>
          <w:szCs w:val="28"/>
          <w:lang w:val="zh-CN"/>
        </w:rPr>
        <w:t>14.提交投标文件的时间、地点、方式</w:t>
      </w:r>
      <w:r>
        <w:tab/>
      </w:r>
      <w:r>
        <w:fldChar w:fldCharType="begin"/>
      </w:r>
      <w:r>
        <w:instrText xml:space="preserve"> PAGEREF _Toc10936 </w:instrText>
      </w:r>
      <w:r>
        <w:fldChar w:fldCharType="separate"/>
      </w:r>
      <w:r>
        <w:t>12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_Toc2376 </w:instrText>
      </w:r>
      <w:r>
        <w:rPr>
          <w:rFonts w:hint="eastAsia" w:ascii="宋体" w:hAnsi="宋体" w:cs="宋体"/>
        </w:rPr>
        <w:fldChar w:fldCharType="separate"/>
      </w:r>
      <w:r>
        <w:rPr>
          <w:rFonts w:hint="eastAsia" w:ascii="宋体" w:hAnsi="宋体" w:cs="宋体"/>
          <w:szCs w:val="28"/>
          <w:lang w:val="zh-CN"/>
        </w:rPr>
        <w:t>15.投标文件的补充、修改或者撤回</w:t>
      </w:r>
      <w:r>
        <w:tab/>
      </w:r>
      <w:r>
        <w:fldChar w:fldCharType="begin"/>
      </w:r>
      <w:r>
        <w:instrText xml:space="preserve"> PAGEREF _Toc2376 </w:instrText>
      </w:r>
      <w:r>
        <w:fldChar w:fldCharType="separate"/>
      </w:r>
      <w:r>
        <w:t>12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_Toc27220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_Toc27220 </w:instrText>
      </w:r>
      <w:r>
        <w:fldChar w:fldCharType="separate"/>
      </w:r>
      <w:r>
        <w:t>13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_Toc28009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_Toc28009 </w:instrText>
      </w:r>
      <w:r>
        <w:fldChar w:fldCharType="separate"/>
      </w:r>
      <w:r>
        <w:t>13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_Toc23593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_Toc23593 </w:instrText>
      </w:r>
      <w:r>
        <w:fldChar w:fldCharType="separate"/>
      </w:r>
      <w:r>
        <w:t>13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_Toc10204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_Toc10204 </w:instrText>
      </w:r>
      <w:r>
        <w:fldChar w:fldCharType="separate"/>
      </w:r>
      <w:r>
        <w:t>13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_Toc15645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_Toc15645 </w:instrText>
      </w:r>
      <w:r>
        <w:fldChar w:fldCharType="separate"/>
      </w:r>
      <w:r>
        <w:t>14</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_Toc5054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_Toc5054 </w:instrText>
      </w:r>
      <w:r>
        <w:fldChar w:fldCharType="separate"/>
      </w:r>
      <w:r>
        <w:t>14</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_Toc3676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_Toc3676 </w:instrText>
      </w:r>
      <w:r>
        <w:fldChar w:fldCharType="separate"/>
      </w:r>
      <w:r>
        <w:t>15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_Toc7661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_Toc7661 </w:instrText>
      </w:r>
      <w:r>
        <w:fldChar w:fldCharType="separate"/>
      </w:r>
      <w:r>
        <w:t>17</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_Toc16429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_Toc16429 </w:instrText>
      </w:r>
      <w:r>
        <w:fldChar w:fldCharType="separate"/>
      </w:r>
      <w:r>
        <w:t>20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_Toc14598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_Toc14598 </w:instrText>
      </w:r>
      <w:r>
        <w:fldChar w:fldCharType="separate"/>
      </w:r>
      <w:r>
        <w:t>20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_Toc30812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_Toc30812 </w:instrText>
      </w:r>
      <w:r>
        <w:fldChar w:fldCharType="separate"/>
      </w:r>
      <w:r>
        <w:t>20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_Toc8874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_Toc8874 </w:instrText>
      </w:r>
      <w:r>
        <w:fldChar w:fldCharType="separate"/>
      </w:r>
      <w:r>
        <w:t>21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_Toc30982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_Toc30982 </w:instrText>
      </w:r>
      <w:r>
        <w:fldChar w:fldCharType="separate"/>
      </w:r>
      <w:r>
        <w:t>21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_Toc2957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_Toc2957 </w:instrText>
      </w:r>
      <w:r>
        <w:fldChar w:fldCharType="separate"/>
      </w:r>
      <w:r>
        <w:t>22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_Toc4820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_Toc4820 </w:instrText>
      </w:r>
      <w:r>
        <w:fldChar w:fldCharType="separate"/>
      </w:r>
      <w:r>
        <w:t>22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_Toc347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_Toc347 </w:instrText>
      </w:r>
      <w:r>
        <w:fldChar w:fldCharType="separate"/>
      </w:r>
      <w:r>
        <w:t>22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_Toc9694 </w:instrText>
      </w:r>
      <w:r>
        <w:rPr>
          <w:rFonts w:hint="eastAsia" w:ascii="宋体" w:hAnsi="宋体" w:cs="宋体"/>
        </w:rPr>
        <w:fldChar w:fldCharType="separate"/>
      </w:r>
      <w:r>
        <w:rPr>
          <w:rFonts w:ascii="宋体" w:hAnsi="宋体" w:cs="宋体"/>
          <w:szCs w:val="28"/>
        </w:rPr>
        <w:t xml:space="preserve">26. </w:t>
      </w:r>
      <w:r>
        <w:rPr>
          <w:rFonts w:hint="eastAsia" w:ascii="宋体" w:hAnsi="宋体" w:cs="宋体"/>
          <w:szCs w:val="28"/>
        </w:rPr>
        <w:t>中标服务费</w:t>
      </w:r>
      <w:r>
        <w:tab/>
      </w:r>
      <w:r>
        <w:fldChar w:fldCharType="begin"/>
      </w:r>
      <w:r>
        <w:instrText xml:space="preserve"> PAGEREF _Toc9694 </w:instrText>
      </w:r>
      <w:r>
        <w:fldChar w:fldCharType="separate"/>
      </w:r>
      <w:r>
        <w:t>23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_Toc12417 </w:instrText>
      </w:r>
      <w:r>
        <w:rPr>
          <w:rFonts w:hint="eastAsia" w:ascii="宋体" w:hAnsi="宋体" w:cs="宋体"/>
        </w:rPr>
        <w:fldChar w:fldCharType="separate"/>
      </w:r>
      <w:r>
        <w:rPr>
          <w:rFonts w:hint="eastAsia" w:ascii="宋体" w:hAnsi="宋体" w:cs="宋体"/>
          <w:szCs w:val="36"/>
          <w:lang w:val="zh-CN"/>
        </w:rPr>
        <w:t>第四部分  青海省政府采购项目合同书范本</w:t>
      </w:r>
      <w:r>
        <w:tab/>
      </w:r>
      <w:r>
        <w:fldChar w:fldCharType="begin"/>
      </w:r>
      <w:r>
        <w:instrText xml:space="preserve"> PAGEREF _Toc12417 </w:instrText>
      </w:r>
      <w:r>
        <w:fldChar w:fldCharType="separate"/>
      </w:r>
      <w:r>
        <w:t>24</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_Toc3786 </w:instrText>
      </w:r>
      <w:r>
        <w:rPr>
          <w:rFonts w:hint="eastAsia" w:ascii="宋体" w:hAnsi="宋体" w:cs="宋体"/>
        </w:rPr>
        <w:fldChar w:fldCharType="separate"/>
      </w:r>
      <w:r>
        <w:rPr>
          <w:rFonts w:hint="eastAsia" w:ascii="宋体" w:hAnsi="宋体" w:cs="宋体"/>
          <w:szCs w:val="36"/>
          <w:lang w:val="zh-CN"/>
        </w:rPr>
        <w:t>第五部分  投标文件格式</w:t>
      </w:r>
      <w:r>
        <w:tab/>
      </w:r>
      <w:r>
        <w:fldChar w:fldCharType="begin"/>
      </w:r>
      <w:r>
        <w:instrText xml:space="preserve"> PAGEREF _Toc3786 </w:instrText>
      </w:r>
      <w:r>
        <w:fldChar w:fldCharType="separate"/>
      </w:r>
      <w:r>
        <w:t>37</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_Toc1352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_Toc1352 </w:instrText>
      </w:r>
      <w:r>
        <w:fldChar w:fldCharType="separate"/>
      </w:r>
      <w:r>
        <w:t>37</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_Toc2546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_Toc2546 </w:instrText>
      </w:r>
      <w:r>
        <w:fldChar w:fldCharType="separate"/>
      </w:r>
      <w:r>
        <w:t>38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_Toc12024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_Toc12024 </w:instrText>
      </w:r>
      <w:r>
        <w:fldChar w:fldCharType="separate"/>
      </w:r>
      <w:r>
        <w:t>39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_Toc9353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_Toc9353 </w:instrText>
      </w:r>
      <w:r>
        <w:fldChar w:fldCharType="separate"/>
      </w:r>
      <w:r>
        <w:t>41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_Toc23766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_Toc23766 </w:instrText>
      </w:r>
      <w:r>
        <w:fldChar w:fldCharType="separate"/>
      </w:r>
      <w:r>
        <w:t>42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_Toc21532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_Toc21532 </w:instrText>
      </w:r>
      <w:r>
        <w:fldChar w:fldCharType="separate"/>
      </w:r>
      <w:r>
        <w:t>45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_Toc3124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_Toc3124 </w:instrText>
      </w:r>
      <w:r>
        <w:fldChar w:fldCharType="separate"/>
      </w:r>
      <w:r>
        <w:t>46</w:t>
      </w:r>
      <w:r>
        <w:fldChar w:fldCharType="end"/>
      </w:r>
      <w:r>
        <w:rPr>
          <w:rFonts w:hint="eastAsia" w:ascii="宋体" w:hAnsi="宋体" w:cs="宋体"/>
          <w:color w:val="000000"/>
        </w:rPr>
        <w:fldChar w:fldCharType="end"/>
      </w:r>
    </w:p>
    <w:p>
      <w:pPr>
        <w:pStyle w:val="28"/>
        <w:tabs>
          <w:tab w:val="right" w:leader="dot" w:pos="9689"/>
        </w:tabs>
        <w:rPr>
          <w:rFonts w:hint="eastAsia" w:ascii="宋体" w:hAnsi="宋体" w:cs="宋体"/>
        </w:rPr>
      </w:pPr>
      <w:r>
        <w:rPr>
          <w:rFonts w:hint="eastAsia" w:ascii="宋体" w:hAnsi="宋体" w:cs="宋体"/>
          <w:color w:val="000000"/>
        </w:rPr>
        <w:fldChar w:fldCharType="begin"/>
      </w:r>
      <w:r>
        <w:rPr>
          <w:rFonts w:hint="eastAsia" w:ascii="宋体" w:hAnsi="宋体" w:cs="宋体"/>
        </w:rPr>
        <w:instrText xml:space="preserve"> HYPERLINK \l _Toc20191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_Toc20191 </w:instrText>
      </w:r>
      <w:r>
        <w:fldChar w:fldCharType="separate"/>
      </w:r>
      <w:r>
        <w:t>47</w:t>
      </w:r>
      <w:r>
        <w:fldChar w:fldCharType="end"/>
      </w:r>
      <w:r>
        <w:rPr>
          <w:rFonts w:hint="eastAsia" w:ascii="宋体" w:hAnsi="宋体" w:cs="宋体"/>
          <w:color w:val="000000"/>
        </w:rPr>
        <w:fldChar w:fldCharType="end"/>
      </w:r>
      <w:r>
        <w:rPr>
          <w:rFonts w:hint="eastAsia" w:ascii="宋体" w:hAnsi="宋体" w:cs="宋体"/>
          <w:color w:val="000000"/>
        </w:rPr>
        <w:fldChar w:fldCharType="begin"/>
      </w:r>
      <w:r>
        <w:rPr>
          <w:rFonts w:hint="eastAsia" w:ascii="宋体" w:hAnsi="宋体" w:cs="宋体"/>
        </w:rPr>
        <w:instrText xml:space="preserve"> HYPERLINK \l _Toc14324 </w:instrText>
      </w:r>
      <w:r>
        <w:rPr>
          <w:rFonts w:hint="eastAsia" w:ascii="宋体" w:hAnsi="宋体" w:cs="宋体"/>
        </w:rPr>
        <w:fldChar w:fldCharType="separate"/>
      </w:r>
    </w:p>
    <w:p>
      <w:pPr>
        <w:pStyle w:val="28"/>
        <w:tabs>
          <w:tab w:val="right" w:leader="dot" w:pos="9689"/>
        </w:tabs>
      </w:pP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_Toc14324 </w:instrText>
      </w:r>
      <w:r>
        <w:fldChar w:fldCharType="separate"/>
      </w:r>
      <w:r>
        <w:t>47</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_Toc21416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_Toc21416 </w:instrText>
      </w:r>
      <w:r>
        <w:fldChar w:fldCharType="separate"/>
      </w:r>
      <w:r>
        <w:t>50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_Toc32038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_Toc32038 </w:instrText>
      </w:r>
      <w:r>
        <w:fldChar w:fldCharType="separate"/>
      </w:r>
      <w:r>
        <w:t>50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_Toc18057 </w:instrText>
      </w:r>
      <w:r>
        <w:rPr>
          <w:rFonts w:hint="eastAsia" w:ascii="宋体" w:hAnsi="宋体" w:cs="宋体"/>
        </w:rPr>
        <w:fldChar w:fldCharType="separate"/>
      </w:r>
      <w:r>
        <w:rPr>
          <w:rFonts w:hint="eastAsia" w:ascii="宋体" w:hAnsi="宋体" w:cs="宋体"/>
          <w:szCs w:val="24"/>
        </w:rPr>
        <w:t>（12）开标报价一览表</w:t>
      </w:r>
      <w:r>
        <w:tab/>
      </w:r>
      <w:r>
        <w:fldChar w:fldCharType="begin"/>
      </w:r>
      <w:r>
        <w:instrText xml:space="preserve"> PAGEREF _Toc18057 </w:instrText>
      </w:r>
      <w:r>
        <w:fldChar w:fldCharType="separate"/>
      </w:r>
      <w:r>
        <w:t>52</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_Toc9653 </w:instrText>
      </w:r>
      <w:r>
        <w:rPr>
          <w:rFonts w:hint="eastAsia" w:ascii="宋体" w:hAnsi="宋体" w:cs="宋体"/>
        </w:rPr>
        <w:fldChar w:fldCharType="separate"/>
      </w:r>
      <w:r>
        <w:rPr>
          <w:rFonts w:hint="eastAsia" w:ascii="宋体" w:hAnsi="宋体" w:cs="宋体"/>
          <w:szCs w:val="24"/>
        </w:rPr>
        <w:t>（13）服务响应表</w:t>
      </w:r>
      <w:r>
        <w:tab/>
      </w:r>
      <w:r>
        <w:fldChar w:fldCharType="begin"/>
      </w:r>
      <w:r>
        <w:instrText xml:space="preserve"> PAGEREF _Toc9653 </w:instrText>
      </w:r>
      <w:r>
        <w:fldChar w:fldCharType="separate"/>
      </w:r>
      <w:r>
        <w:t>53</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_Toc28516 </w:instrText>
      </w:r>
      <w:r>
        <w:rPr>
          <w:rFonts w:hint="eastAsia" w:ascii="宋体" w:hAnsi="宋体" w:cs="宋体"/>
        </w:rPr>
        <w:fldChar w:fldCharType="separate"/>
      </w:r>
      <w:r>
        <w:rPr>
          <w:rFonts w:hint="eastAsia" w:ascii="宋体" w:hAnsi="宋体" w:cs="宋体"/>
          <w:szCs w:val="30"/>
        </w:rPr>
        <w:t>（14）人员配置表</w:t>
      </w:r>
      <w:r>
        <w:tab/>
      </w:r>
      <w:r>
        <w:fldChar w:fldCharType="begin"/>
      </w:r>
      <w:r>
        <w:instrText xml:space="preserve"> PAGEREF _Toc28516 </w:instrText>
      </w:r>
      <w:r>
        <w:fldChar w:fldCharType="separate"/>
      </w:r>
      <w:r>
        <w:t>54</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_Toc20786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服务方案</w:t>
      </w:r>
      <w:r>
        <w:tab/>
      </w:r>
      <w:r>
        <w:fldChar w:fldCharType="begin"/>
      </w:r>
      <w:r>
        <w:instrText xml:space="preserve"> PAGEREF _Toc20786 </w:instrText>
      </w:r>
      <w:r>
        <w:fldChar w:fldCharType="separate"/>
      </w:r>
      <w:r>
        <w:t>56</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_Toc20972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_Toc20972 </w:instrText>
      </w:r>
      <w:r>
        <w:fldChar w:fldCharType="separate"/>
      </w:r>
      <w:r>
        <w:t>57</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_Toc30014 </w:instrText>
      </w:r>
      <w:r>
        <w:rPr>
          <w:rFonts w:hint="eastAsia" w:ascii="宋体" w:hAnsi="宋体" w:cs="宋体"/>
        </w:rPr>
        <w:fldChar w:fldCharType="separate"/>
      </w:r>
      <w:r>
        <w:rPr>
          <w:rFonts w:hint="eastAsia" w:ascii="宋体" w:hAnsi="宋体" w:cs="宋体"/>
          <w:szCs w:val="30"/>
        </w:rPr>
        <w:t>（17.1）</w:t>
      </w:r>
      <w:r>
        <w:rPr>
          <w:rFonts w:hint="eastAsia" w:ascii="宋体" w:hAnsi="宋体" w:cs="宋体"/>
          <w:szCs w:val="30"/>
          <w:lang w:val="zh-CN"/>
        </w:rPr>
        <w:t>制造（生产）企业小型、微型企业声明函</w:t>
      </w:r>
      <w:r>
        <w:tab/>
      </w:r>
      <w:r>
        <w:fldChar w:fldCharType="begin"/>
      </w:r>
      <w:r>
        <w:instrText xml:space="preserve"> PAGEREF _Toc30014 </w:instrText>
      </w:r>
      <w:r>
        <w:fldChar w:fldCharType="separate"/>
      </w:r>
      <w:r>
        <w:t>58</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_Toc4854 </w:instrText>
      </w:r>
      <w:r>
        <w:rPr>
          <w:rFonts w:hint="eastAsia" w:ascii="宋体" w:hAnsi="宋体" w:cs="宋体"/>
        </w:rP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_Toc4854 </w:instrText>
      </w:r>
      <w:r>
        <w:fldChar w:fldCharType="separate"/>
      </w:r>
      <w:r>
        <w:t>59</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_Toc31282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_Toc31282 </w:instrText>
      </w:r>
      <w:r>
        <w:fldChar w:fldCharType="separate"/>
      </w:r>
      <w:r>
        <w:t>60</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_Toc15622 </w:instrText>
      </w:r>
      <w:r>
        <w:rPr>
          <w:rFonts w:hint="eastAsia" w:ascii="宋体" w:hAnsi="宋体" w:cs="宋体"/>
        </w:rP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_Toc15622 </w:instrText>
      </w:r>
      <w:r>
        <w:fldChar w:fldCharType="separate"/>
      </w:r>
      <w:r>
        <w:t>61</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_Toc7651 </w:instrText>
      </w:r>
      <w:r>
        <w:rPr>
          <w:rFonts w:hint="eastAsia" w:ascii="宋体" w:hAnsi="宋体" w:cs="宋体"/>
        </w:rPr>
        <w:fldChar w:fldCharType="separate"/>
      </w:r>
      <w:r>
        <w:rPr>
          <w:rFonts w:hint="eastAsia" w:cs="宋体"/>
          <w:szCs w:val="28"/>
          <w:lang w:val="zh-CN"/>
        </w:rPr>
        <w:t>（一）采购项目要求</w:t>
      </w:r>
      <w:r>
        <w:tab/>
      </w:r>
      <w:r>
        <w:fldChar w:fldCharType="begin"/>
      </w:r>
      <w:r>
        <w:instrText xml:space="preserve"> PAGEREF _Toc7651 </w:instrText>
      </w:r>
      <w:r>
        <w:fldChar w:fldCharType="separate"/>
      </w:r>
      <w:r>
        <w:t>65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_Toc1650 </w:instrText>
      </w:r>
      <w:r>
        <w:rPr>
          <w:rFonts w:hint="eastAsia" w:ascii="宋体" w:hAnsi="宋体" w:cs="宋体"/>
        </w:rPr>
        <w:fldChar w:fldCharType="separate"/>
      </w:r>
      <w:r>
        <w:rPr>
          <w:rFonts w:ascii="宋体" w:hAnsi="宋体" w:cs="宋体"/>
          <w:szCs w:val="28"/>
          <w:lang w:val="zh-CN"/>
        </w:rPr>
        <w:t>1.</w:t>
      </w:r>
      <w:r>
        <w:rPr>
          <w:rFonts w:hint="eastAsia" w:ascii="宋体" w:hAnsi="宋体" w:cs="宋体"/>
          <w:szCs w:val="28"/>
          <w:lang w:val="zh-CN"/>
        </w:rPr>
        <w:t>说明</w:t>
      </w:r>
      <w:r>
        <w:tab/>
      </w:r>
      <w:r>
        <w:fldChar w:fldCharType="begin"/>
      </w:r>
      <w:r>
        <w:instrText xml:space="preserve"> PAGEREF _Toc1650 </w:instrText>
      </w:r>
      <w:r>
        <w:fldChar w:fldCharType="separate"/>
      </w:r>
      <w:r>
        <w:t>65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_Toc21949 </w:instrText>
      </w:r>
      <w:r>
        <w:rPr>
          <w:rFonts w:hint="eastAsia" w:ascii="宋体" w:hAnsi="宋体" w:cs="宋体"/>
        </w:rPr>
        <w:fldChar w:fldCharType="separate"/>
      </w:r>
      <w:r>
        <w:rPr>
          <w:rFonts w:ascii="宋体" w:hAnsi="宋体" w:cs="宋体"/>
          <w:szCs w:val="28"/>
        </w:rPr>
        <w:t>2.</w:t>
      </w:r>
      <w:r>
        <w:rPr>
          <w:rFonts w:hint="eastAsia" w:ascii="宋体" w:hAnsi="宋体" w:cs="宋体"/>
          <w:szCs w:val="28"/>
        </w:rPr>
        <w:t>报价说明</w:t>
      </w:r>
      <w:r>
        <w:tab/>
      </w:r>
      <w:r>
        <w:fldChar w:fldCharType="begin"/>
      </w:r>
      <w:r>
        <w:instrText xml:space="preserve"> PAGEREF _Toc21949 </w:instrText>
      </w:r>
      <w:r>
        <w:fldChar w:fldCharType="separate"/>
      </w:r>
      <w:r>
        <w:t>65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_Toc3491 </w:instrText>
      </w:r>
      <w:r>
        <w:rPr>
          <w:rFonts w:hint="eastAsia" w:ascii="宋体" w:hAnsi="宋体" w:cs="宋体"/>
        </w:rPr>
        <w:fldChar w:fldCharType="separate"/>
      </w:r>
      <w:r>
        <w:rPr>
          <w:rFonts w:hint="eastAsia" w:ascii="宋体" w:hAnsi="宋体" w:cs="宋体"/>
          <w:szCs w:val="28"/>
          <w:lang w:val="en-US" w:eastAsia="zh-CN"/>
        </w:rPr>
        <w:t>3</w:t>
      </w:r>
      <w:r>
        <w:rPr>
          <w:rFonts w:hint="eastAsia" w:ascii="宋体" w:hAnsi="宋体" w:cs="宋体"/>
          <w:szCs w:val="28"/>
          <w:lang w:val="zh-CN"/>
        </w:rPr>
        <w:t>.商务要求</w:t>
      </w:r>
      <w:r>
        <w:tab/>
      </w:r>
      <w:r>
        <w:fldChar w:fldCharType="begin"/>
      </w:r>
      <w:r>
        <w:instrText xml:space="preserve"> PAGEREF _Toc3491 </w:instrText>
      </w:r>
      <w:r>
        <w:fldChar w:fldCharType="separate"/>
      </w:r>
      <w:r>
        <w:t>65</w:t>
      </w:r>
      <w:r>
        <w:fldChar w:fldCharType="end"/>
      </w:r>
      <w:r>
        <w:rPr>
          <w:rFonts w:hint="eastAsia" w:ascii="宋体" w:hAnsi="宋体" w:cs="宋体"/>
          <w:color w:val="000000"/>
        </w:rPr>
        <w:fldChar w:fldCharType="end"/>
      </w:r>
    </w:p>
    <w:p>
      <w:pPr>
        <w:pStyle w:val="28"/>
        <w:tabs>
          <w:tab w:val="right" w:leader="dot" w:pos="9689"/>
        </w:tabs>
      </w:pPr>
      <w:r>
        <w:rPr>
          <w:rFonts w:hint="eastAsia" w:ascii="宋体" w:hAnsi="宋体" w:cs="宋体"/>
          <w:color w:val="000000"/>
        </w:rPr>
        <w:fldChar w:fldCharType="begin"/>
      </w:r>
      <w:r>
        <w:rPr>
          <w:rFonts w:hint="eastAsia" w:ascii="宋体" w:hAnsi="宋体" w:cs="宋体"/>
        </w:rPr>
        <w:instrText xml:space="preserve"> HYPERLINK \l _Toc29325 </w:instrText>
      </w:r>
      <w:r>
        <w:rPr>
          <w:rFonts w:hint="eastAsia" w:ascii="宋体" w:hAnsi="宋体" w:cs="宋体"/>
        </w:rPr>
        <w:fldChar w:fldCharType="separate"/>
      </w:r>
      <w:r>
        <w:rPr>
          <w:rFonts w:hint="eastAsia" w:cs="宋体"/>
          <w:szCs w:val="28"/>
          <w:lang w:val="zh-CN"/>
        </w:rPr>
        <w:t>（二）服务要求</w:t>
      </w:r>
      <w:r>
        <w:tab/>
      </w:r>
      <w:r>
        <w:fldChar w:fldCharType="begin"/>
      </w:r>
      <w:r>
        <w:instrText xml:space="preserve"> PAGEREF _Toc29325 </w:instrText>
      </w:r>
      <w:r>
        <w:fldChar w:fldCharType="separate"/>
      </w:r>
      <w:r>
        <w:t>66</w:t>
      </w:r>
      <w:r>
        <w:fldChar w:fldCharType="end"/>
      </w:r>
      <w:r>
        <w:rPr>
          <w:rFonts w:hint="eastAsia" w:ascii="宋体" w:hAnsi="宋体" w:cs="宋体"/>
          <w:color w:val="000000"/>
        </w:rPr>
        <w:fldChar w:fldCharType="end"/>
      </w:r>
    </w:p>
    <w:p>
      <w:pPr>
        <w:spacing w:line="360" w:lineRule="auto"/>
        <w:rPr>
          <w:rFonts w:ascii="宋体" w:hAnsi="宋体" w:cs="宋体"/>
          <w:color w:val="000000"/>
        </w:rPr>
      </w:pPr>
      <w:r>
        <w:rPr>
          <w:rFonts w:hint="eastAsia" w:ascii="宋体" w:hAnsi="宋体" w:cs="宋体"/>
          <w:color w:val="000000"/>
        </w:rPr>
        <w:fldChar w:fldCharType="end"/>
      </w:r>
    </w:p>
    <w:p>
      <w:pPr>
        <w:pStyle w:val="36"/>
        <w:spacing w:before="0" w:after="0" w:line="360" w:lineRule="auto"/>
        <w:rPr>
          <w:rFonts w:ascii="宋体" w:hAnsi="宋体" w:cs="宋体"/>
          <w:color w:val="000000"/>
          <w:szCs w:val="36"/>
          <w:lang w:val="en-US"/>
        </w:rPr>
      </w:pPr>
      <w:r>
        <w:rPr>
          <w:rFonts w:hint="eastAsia" w:ascii="宋体" w:hAnsi="宋体" w:cs="宋体"/>
          <w:color w:val="000000"/>
        </w:rPr>
        <w:br w:type="page"/>
      </w:r>
    </w:p>
    <w:p>
      <w:pPr>
        <w:pStyle w:val="16"/>
        <w:keepNext w:val="0"/>
        <w:keepLines w:val="0"/>
        <w:numPr>
          <w:ilvl w:val="0"/>
          <w:numId w:val="1"/>
        </w:numPr>
        <w:suppressLineNumbers w:val="0"/>
        <w:spacing w:before="0" w:beforeAutospacing="0" w:after="0" w:afterAutospacing="0" w:line="360" w:lineRule="auto"/>
        <w:ind w:left="0" w:right="0"/>
        <w:jc w:val="center"/>
        <w:rPr>
          <w:rStyle w:val="59"/>
          <w:rFonts w:hint="eastAsia"/>
          <w:lang w:val="zh-CN"/>
        </w:rPr>
      </w:pPr>
      <w:bookmarkStart w:id="0" w:name="_Toc428180535"/>
      <w:r>
        <w:rPr>
          <w:rStyle w:val="59"/>
          <w:rFonts w:hint="eastAsia"/>
          <w:lang w:val="zh-CN"/>
        </w:rPr>
        <w:t>投标邀请</w:t>
      </w:r>
    </w:p>
    <w:p>
      <w:pPr>
        <w:autoSpaceDE w:val="0"/>
        <w:autoSpaceDN w:val="0"/>
        <w:adjustRightInd w:val="0"/>
        <w:spacing w:line="360" w:lineRule="auto"/>
        <w:ind w:firstLine="482"/>
        <w:jc w:val="left"/>
        <w:rPr>
          <w:rFonts w:ascii="宋体" w:hAnsi="宋体" w:cs="宋体"/>
          <w:kern w:val="0"/>
          <w:sz w:val="24"/>
          <w:lang w:val="zh-CN"/>
        </w:rPr>
      </w:pPr>
      <w:r>
        <w:rPr>
          <w:rFonts w:hint="eastAsia" w:ascii="宋体" w:hAnsi="宋体" w:cs="宋体"/>
          <w:kern w:val="0"/>
          <w:sz w:val="24"/>
          <w:u w:val="single"/>
          <w:lang w:val="zh-CN"/>
        </w:rPr>
        <w:t>中金招标有限责任公司</w:t>
      </w:r>
      <w:r>
        <w:rPr>
          <w:rFonts w:ascii="宋体" w:hAnsi="宋体" w:cs="宋体"/>
          <w:kern w:val="0"/>
          <w:sz w:val="24"/>
          <w:lang w:val="zh-CN"/>
        </w:rPr>
        <w:t>（以下均简称“采购代理机构”）受</w:t>
      </w:r>
      <w:r>
        <w:rPr>
          <w:rFonts w:hint="eastAsia" w:ascii="宋体" w:hAnsi="宋体" w:cs="宋体"/>
          <w:kern w:val="0"/>
          <w:sz w:val="24"/>
          <w:u w:val="single"/>
          <w:lang w:val="zh-CN"/>
        </w:rPr>
        <w:t>西宁市体育场馆管理服务中心</w:t>
      </w:r>
      <w:r>
        <w:rPr>
          <w:rFonts w:ascii="宋体" w:hAnsi="宋体" w:cs="宋体"/>
          <w:kern w:val="0"/>
          <w:sz w:val="24"/>
          <w:lang w:val="zh-CN"/>
        </w:rPr>
        <w:t>（以下均简称“采购人”）委托,拟对</w:t>
      </w:r>
      <w:r>
        <w:rPr>
          <w:rFonts w:hint="eastAsia" w:ascii="宋体" w:hAnsi="宋体" w:cs="宋体"/>
          <w:kern w:val="0"/>
          <w:sz w:val="24"/>
          <w:u w:val="single"/>
          <w:lang w:val="zh-CN"/>
        </w:rPr>
        <w:t>西宁市体育场馆管理服务中心安保、供电、供暖、保洁工作购买第三方服务</w:t>
      </w:r>
      <w:r>
        <w:rPr>
          <w:rFonts w:ascii="宋体" w:hAnsi="宋体" w:cs="宋体"/>
          <w:kern w:val="0"/>
          <w:sz w:val="24"/>
          <w:u w:val="single"/>
          <w:lang w:val="zh-CN"/>
        </w:rPr>
        <w:t>（</w:t>
      </w:r>
      <w:r>
        <w:rPr>
          <w:rFonts w:hint="eastAsia" w:ascii="宋体" w:hAnsi="宋体" w:cs="宋体"/>
          <w:kern w:val="0"/>
          <w:sz w:val="24"/>
          <w:u w:val="single"/>
          <w:lang w:val="zh-CN"/>
        </w:rPr>
        <w:t>中金（青海）公招（服务）2020-039</w:t>
      </w:r>
      <w:r>
        <w:rPr>
          <w:rFonts w:ascii="宋体" w:hAnsi="宋体" w:cs="宋体"/>
          <w:kern w:val="0"/>
          <w:sz w:val="24"/>
          <w:u w:val="single"/>
          <w:lang w:val="zh-CN"/>
        </w:rPr>
        <w:t>）</w:t>
      </w:r>
      <w:r>
        <w:rPr>
          <w:rFonts w:ascii="宋体" w:hAnsi="宋体" w:cs="宋体"/>
          <w:kern w:val="0"/>
          <w:sz w:val="24"/>
          <w:lang w:val="zh-CN"/>
        </w:rPr>
        <w:t>进行国内公开招标，现予以公告，欢迎潜在的供应商参加本次政府采购活动。</w:t>
      </w:r>
    </w:p>
    <w:p>
      <w:pPr>
        <w:ind w:firstLine="480"/>
        <w:rPr>
          <w:rFonts w:ascii="宋体" w:cs="宋体"/>
          <w:color w:val="000000"/>
          <w:szCs w:val="36"/>
          <w:lang w:val="zh-CN"/>
        </w:rPr>
      </w:pPr>
    </w:p>
    <w:tbl>
      <w:tblPr>
        <w:tblStyle w:val="39"/>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3"/>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采购项目编号</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eastAsia="宋体" w:cs="宋体"/>
                <w:color w:val="000000"/>
                <w:lang w:eastAsia="zh-CN"/>
              </w:rPr>
            </w:pPr>
            <w:r>
              <w:rPr>
                <w:rFonts w:hint="eastAsia" w:ascii="宋体" w:hAnsi="宋体" w:cs="宋体"/>
                <w:color w:val="000000"/>
                <w:lang w:val="zh-CN"/>
              </w:rPr>
              <w:t>中金（青海）公招（服务）2020-039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4"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采购项目名称</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eastAsia="宋体" w:cs="宋体"/>
                <w:color w:val="000000"/>
                <w:lang w:val="en-US" w:eastAsia="zh-CN"/>
              </w:rPr>
            </w:pPr>
            <w:r>
              <w:rPr>
                <w:rFonts w:hint="eastAsia" w:ascii="宋体" w:hAnsi="宋体" w:cs="宋体"/>
                <w:color w:val="000000"/>
                <w:lang w:val="zh-CN"/>
              </w:rPr>
              <w:t>西宁市体育场馆管理服务中心安保、供电、供暖、保洁工作购买第三方服务</w:t>
            </w:r>
            <w:r>
              <w:rPr>
                <w:rFonts w:hint="eastAsia" w:ascii="宋体" w:hAnsi="宋体" w:cs="宋体"/>
                <w:color w:val="00000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采购方式</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lang w:val="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采购预算控制额度</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rPr>
                <w:rFonts w:ascii="宋体" w:cs="宋体"/>
                <w:color w:val="000000"/>
              </w:rPr>
            </w:pPr>
            <w:r>
              <w:rPr>
                <w:rFonts w:hint="eastAsia" w:ascii="宋体" w:hAnsi="宋体" w:cs="宋体"/>
                <w:color w:val="000000"/>
                <w:lang w:val="en-US" w:eastAsia="zh-CN"/>
              </w:rPr>
              <w:t>3193200</w:t>
            </w:r>
            <w:r>
              <w:rPr>
                <w:rFonts w:hint="eastAsia" w:ascii="宋体" w:hAnsi="宋体" w:cs="宋体"/>
                <w:color w:val="000000"/>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项目分包个数</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ascii="宋体" w:hAnsi="宋体" w:cs="宋体"/>
                <w:color w:val="000000"/>
              </w:rPr>
              <w:t>1</w:t>
            </w:r>
            <w:r>
              <w:rPr>
                <w:rFonts w:hint="eastAsia" w:ascii="宋体" w:hAnsi="宋体" w:cs="宋体"/>
                <w:color w:val="000000"/>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rPr>
              <w:t>各包要求</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rPr>
            </w:pPr>
            <w:r>
              <w:rPr>
                <w:rFonts w:hint="eastAsia" w:ascii="宋体" w:hAnsi="宋体" w:cs="宋体"/>
                <w:color w:val="000000"/>
                <w:lang w:eastAsia="zh-CN"/>
              </w:rPr>
              <w:t>物业服务，</w:t>
            </w:r>
            <w:r>
              <w:rPr>
                <w:rFonts w:hint="eastAsia" w:ascii="宋体" w:hAnsi="宋体" w:cs="宋体"/>
                <w:color w:val="000000"/>
              </w:rPr>
              <w:t>具体内容详见《</w:t>
            </w:r>
            <w:r>
              <w:rPr>
                <w:rFonts w:hint="eastAsia" w:ascii="宋体" w:hAnsi="宋体" w:cs="宋体"/>
                <w:color w:val="000000"/>
                <w:lang w:eastAsia="zh-CN"/>
              </w:rPr>
              <w:t>招标文件</w:t>
            </w: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投标人资格条件</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lang w:val="zh-CN"/>
              </w:rPr>
            </w:pPr>
            <w:r>
              <w:rPr>
                <w:lang w:val="zh-CN"/>
              </w:rPr>
              <w:t xml:space="preserve">(1) </w:t>
            </w:r>
            <w:r>
              <w:rPr>
                <w:rFonts w:hint="eastAsia"/>
                <w:lang w:val="zh-CN"/>
              </w:rPr>
              <w:t>符合《政府采购法》第</w:t>
            </w:r>
            <w:r>
              <w:rPr>
                <w:lang w:val="zh-CN"/>
              </w:rPr>
              <w:t>22</w:t>
            </w:r>
            <w:r>
              <w:rPr>
                <w:rFonts w:hint="eastAsia"/>
                <w:lang w:val="zh-CN"/>
              </w:rPr>
              <w:t>条条件，并提供下列材料：</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a</w:t>
            </w:r>
            <w:r>
              <w:rPr>
                <w:rFonts w:hint="eastAsia"/>
              </w:rPr>
              <w:t>、</w:t>
            </w:r>
            <w:r>
              <w:rPr>
                <w:rFonts w:hint="eastAsia"/>
                <w:lang w:val="zh-CN"/>
              </w:rPr>
              <w:t>投标人的营业执照等证明文件，自然人的身份证明。</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b</w:t>
            </w:r>
            <w:r>
              <w:rPr>
                <w:rFonts w:hint="eastAsia"/>
              </w:rPr>
              <w:t>、</w:t>
            </w:r>
            <w:r>
              <w:rPr>
                <w:rFonts w:hint="eastAsia"/>
                <w:lang w:val="zh-CN"/>
              </w:rPr>
              <w:t>财务状况报告，依法缴纳税收和社会保障资金的相关材料。</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c</w:t>
            </w:r>
            <w:r>
              <w:rPr>
                <w:rFonts w:hint="eastAsia"/>
              </w:rPr>
              <w:t>、</w:t>
            </w:r>
            <w:r>
              <w:rPr>
                <w:rFonts w:hint="eastAsia"/>
                <w:lang w:val="zh-CN"/>
              </w:rPr>
              <w:t>具备履行合同所必需的专业技术能力的证明材料。</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d</w:t>
            </w:r>
            <w:r>
              <w:rPr>
                <w:rFonts w:hint="eastAsia"/>
              </w:rPr>
              <w:t>、</w:t>
            </w:r>
            <w:r>
              <w:rPr>
                <w:rFonts w:hint="eastAsia"/>
                <w:lang w:val="zh-CN"/>
              </w:rPr>
              <w:t>参加政府采购活动前</w:t>
            </w:r>
            <w:r>
              <w:rPr>
                <w:lang w:val="zh-CN"/>
              </w:rPr>
              <w:t>3</w:t>
            </w:r>
            <w:r>
              <w:rPr>
                <w:rFonts w:hint="eastAsia"/>
                <w:lang w:val="zh-CN"/>
              </w:rPr>
              <w:t>年内在经营活动中没有重大违法记录的书面声明。</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e</w:t>
            </w:r>
            <w:r>
              <w:rPr>
                <w:rFonts w:hint="eastAsia"/>
              </w:rPr>
              <w:t>、</w:t>
            </w:r>
            <w:r>
              <w:rPr>
                <w:rFonts w:hint="eastAsia"/>
                <w:lang w:val="zh-CN"/>
              </w:rPr>
              <w:t>具备法律、行政法规规定的其他条件的证明材料。</w:t>
            </w:r>
          </w:p>
          <w:p>
            <w:pPr>
              <w:keepNext w:val="0"/>
              <w:keepLines w:val="0"/>
              <w:suppressLineNumbers w:val="0"/>
              <w:autoSpaceDE w:val="0"/>
              <w:autoSpaceDN w:val="0"/>
              <w:spacing w:before="0" w:beforeAutospacing="0" w:after="0" w:afterAutospacing="0" w:line="500" w:lineRule="exact"/>
              <w:ind w:left="0" w:right="0" w:firstLine="0" w:firstLineChars="0"/>
            </w:pPr>
            <w:r>
              <w:t xml:space="preserve">(2) </w:t>
            </w:r>
            <w:r>
              <w:rPr>
                <w:rFonts w:hint="eastAsia"/>
                <w:lang w:val="zh-CN"/>
              </w:rPr>
              <w:t>单位负责人为同一人或者存在直接控股、管理关系的不同供应商，不得参加同一合同项下的政府采购活动。否则，皆取消磋商资格；</w:t>
            </w:r>
          </w:p>
          <w:p>
            <w:pPr>
              <w:keepNext w:val="0"/>
              <w:keepLines w:val="0"/>
              <w:suppressLineNumbers w:val="0"/>
              <w:autoSpaceDE w:val="0"/>
              <w:autoSpaceDN w:val="0"/>
              <w:spacing w:before="0" w:beforeAutospacing="0" w:after="0" w:afterAutospacing="0" w:line="500" w:lineRule="exact"/>
              <w:ind w:left="0" w:right="0" w:firstLine="0" w:firstLineChars="0"/>
            </w:pPr>
            <w:r>
              <w:t xml:space="preserve">(3) </w:t>
            </w:r>
            <w:r>
              <w:rPr>
                <w:rFonts w:hint="eastAsia"/>
                <w:lang w:val="zh-CN"/>
              </w:rPr>
              <w:t>为本采购项目提供整体设计、规范编制或者项目管理、监理、检测等服务的供应商，</w:t>
            </w:r>
            <w:r>
              <w:rPr>
                <w:rFonts w:hint="eastAsia"/>
              </w:rPr>
              <w:t>不得再参加该采购项目的其他采购活动；</w:t>
            </w:r>
          </w:p>
          <w:p>
            <w:pPr>
              <w:keepNext w:val="0"/>
              <w:keepLines w:val="0"/>
              <w:suppressLineNumbers w:val="0"/>
              <w:autoSpaceDE w:val="0"/>
              <w:autoSpaceDN w:val="0"/>
              <w:spacing w:before="0" w:beforeAutospacing="0" w:after="0" w:afterAutospacing="0" w:line="500" w:lineRule="exact"/>
              <w:ind w:left="0" w:right="0" w:firstLine="0" w:firstLineChars="0"/>
            </w:pPr>
            <w:r>
              <w:t xml:space="preserve">(4) </w:t>
            </w:r>
            <w:r>
              <w:rPr>
                <w:rFonts w:hint="eastAsia"/>
              </w:rPr>
              <w:t>本次磋商不接受供应商以联合体方式参加；</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t xml:space="preserve">(5) </w:t>
            </w:r>
            <w:r>
              <w:rPr>
                <w:rFonts w:hint="eastAsia"/>
              </w:rPr>
              <w:t>经信用中国（</w:t>
            </w:r>
            <w:r>
              <w:t>www.creditchina.gov.cn</w:t>
            </w:r>
            <w:r>
              <w:rPr>
                <w:rFonts w:hint="eastAsia"/>
              </w:rPr>
              <w:t>）、中国政府采购网（</w:t>
            </w:r>
            <w:r>
              <w:t>www.ccgp.gov.cn</w:t>
            </w:r>
            <w:r>
              <w:rPr>
                <w:rFonts w:hint="eastAsia"/>
              </w:rPr>
              <w:t>）等渠道查询后，列入失信被执行人、政府采购不良行为记录、重大税收违法案件当事人名单、政府采购严重违法失信行为记录名单的，取消投标资格。（提供“信用中国”网站下载的信用信息报告和相关查询截图，信用信息报告时间为投标截止时间前</w:t>
            </w:r>
            <w:r>
              <w:t>20</w:t>
            </w:r>
            <w:r>
              <w:rPr>
                <w:rFonts w:hint="eastAsia"/>
              </w:rPr>
              <w:t>天内。）</w:t>
            </w:r>
            <w:r>
              <w:rPr>
                <w:rFonts w:hint="eastAsia"/>
                <w:lang w:val="zh-CN"/>
              </w:rPr>
              <w:t>；</w:t>
            </w:r>
          </w:p>
          <w:p>
            <w:pPr>
              <w:keepNext w:val="0"/>
              <w:keepLines w:val="0"/>
              <w:suppressLineNumbers w:val="0"/>
              <w:autoSpaceDE w:val="0"/>
              <w:autoSpaceDN w:val="0"/>
              <w:spacing w:before="0" w:beforeAutospacing="0" w:after="0" w:afterAutospacing="0" w:line="500" w:lineRule="exact"/>
              <w:ind w:left="0" w:right="0" w:firstLine="0" w:firstLineChars="0"/>
              <w:rPr>
                <w:lang w:val="zh-CN"/>
              </w:rPr>
            </w:pPr>
            <w:r>
              <w:rPr>
                <w:rFonts w:hint="eastAsia"/>
              </w:rPr>
              <w:t>（</w:t>
            </w:r>
            <w:r>
              <w:t>6</w:t>
            </w:r>
            <w:r>
              <w:rPr>
                <w:rFonts w:hint="eastAsia"/>
              </w:rPr>
              <w:t>）</w:t>
            </w:r>
            <w:r>
              <w:rPr>
                <w:rFonts w:hint="eastAsia"/>
                <w:lang w:val="zh-CN"/>
              </w:rPr>
              <w:t>其他资质条件：</w:t>
            </w:r>
          </w:p>
          <w:p>
            <w:pPr>
              <w:keepNext w:val="0"/>
              <w:keepLines w:val="0"/>
              <w:suppressLineNumbers w:val="0"/>
              <w:autoSpaceDE w:val="0"/>
              <w:autoSpaceDN w:val="0"/>
              <w:spacing w:before="0" w:beforeAutospacing="0" w:after="0" w:afterAutospacing="0" w:line="500" w:lineRule="exact"/>
              <w:ind w:left="0" w:right="0" w:firstLine="0" w:firstLineChars="0"/>
              <w:rPr>
                <w:rFonts w:hint="eastAsia"/>
                <w:lang w:val="zh-CN"/>
              </w:rPr>
            </w:pPr>
            <w:r>
              <w:t>a</w:t>
            </w:r>
            <w:r>
              <w:rPr>
                <w:lang w:val="zh-CN"/>
              </w:rPr>
              <w:t>.</w:t>
            </w:r>
            <w:r>
              <w:rPr>
                <w:rFonts w:hint="eastAsia"/>
                <w:lang w:val="zh-CN"/>
              </w:rPr>
              <w:t>本次采购要求供应商在人员、设备、资金等方面具有相应的能力；</w:t>
            </w:r>
          </w:p>
          <w:p>
            <w:pPr>
              <w:keepNext w:val="0"/>
              <w:keepLines w:val="0"/>
              <w:suppressLineNumbers w:val="0"/>
              <w:autoSpaceDE w:val="0"/>
              <w:autoSpaceDN w:val="0"/>
              <w:spacing w:before="0" w:beforeAutospacing="0" w:after="0" w:afterAutospacing="0" w:line="500" w:lineRule="exact"/>
              <w:ind w:left="0" w:right="0" w:firstLine="0" w:firstLineChars="0"/>
              <w:rPr>
                <w:rFonts w:hint="eastAsia" w:cs="Times New Roman"/>
                <w:lang w:val="zh-CN"/>
              </w:rPr>
            </w:pPr>
            <w:r>
              <w:rPr>
                <w:rFonts w:hint="eastAsia"/>
                <w:lang w:val="zh-CN"/>
              </w:rPr>
              <w:t>b.20</w:t>
            </w:r>
            <w:r>
              <w:rPr>
                <w:rFonts w:hint="eastAsia"/>
                <w:lang w:val="en-US" w:eastAsia="zh-CN"/>
              </w:rPr>
              <w:t>17</w:t>
            </w:r>
            <w:r>
              <w:rPr>
                <w:rFonts w:hint="eastAsia"/>
                <w:lang w:val="zh-CN"/>
              </w:rPr>
              <w:t>-</w:t>
            </w:r>
            <w:r>
              <w:rPr>
                <w:rFonts w:hint="eastAsia"/>
                <w:lang w:val="en-US" w:eastAsia="zh-CN"/>
              </w:rPr>
              <w:t>2018</w:t>
            </w:r>
            <w:r>
              <w:rPr>
                <w:rFonts w:hint="eastAsia" w:cs="Times New Roman"/>
                <w:lang w:val="zh-CN"/>
              </w:rPr>
              <w:t>年度青海省物业服务企业信用评价2A级及以上物业服务企业，具有类似物业服务业绩。</w:t>
            </w:r>
          </w:p>
          <w:p>
            <w:pPr>
              <w:keepNext w:val="0"/>
              <w:keepLines w:val="0"/>
              <w:suppressLineNumbers w:val="0"/>
              <w:autoSpaceDE w:val="0"/>
              <w:autoSpaceDN w:val="0"/>
              <w:spacing w:before="0" w:beforeAutospacing="0" w:after="0" w:afterAutospacing="0" w:line="500" w:lineRule="exact"/>
              <w:ind w:left="0" w:right="0" w:firstLine="0" w:firstLineChars="0"/>
              <w:rPr>
                <w:rFonts w:hint="eastAsia" w:cs="Times New Roman"/>
                <w:lang w:val="zh-CN"/>
              </w:rPr>
            </w:pPr>
            <w:r>
              <w:rPr>
                <w:rFonts w:hint="eastAsia" w:cs="Times New Roman"/>
                <w:lang w:val="zh-CN"/>
              </w:rPr>
              <w:t>c.供应商可对上述项目进行投标，但不得就本项目内容拆分投标，所投包内容必须完全响应采购文件所列示内容。</w:t>
            </w:r>
          </w:p>
          <w:p>
            <w:pPr>
              <w:keepNext w:val="0"/>
              <w:keepLines w:val="0"/>
              <w:suppressLineNumbers w:val="0"/>
              <w:autoSpaceDE w:val="0"/>
              <w:autoSpaceDN w:val="0"/>
              <w:spacing w:before="0" w:beforeAutospacing="0" w:after="0" w:afterAutospacing="0" w:line="500" w:lineRule="exact"/>
              <w:ind w:left="0" w:right="0" w:firstLine="0" w:firstLineChars="0"/>
            </w:pPr>
            <w:r>
              <w:rPr>
                <w:rFonts w:hint="eastAsia" w:cs="Times New Roman"/>
                <w:lang w:val="en-US" w:eastAsia="zh-CN"/>
              </w:rPr>
              <w:t>d.</w:t>
            </w:r>
            <w:r>
              <w:rPr>
                <w:rFonts w:hint="eastAsia" w:cs="Times New Roman"/>
                <w:lang w:val="zh-CN" w:eastAsia="zh-CN"/>
              </w:rPr>
              <w:t>投标人必须向采购代理机构购买文件并登记，未经向采购代理机构购买招标文件并登记的潜在投标人均无资格参加本次投标。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公告发布时间</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FF"/>
                <w:lang w:val="zh-CN"/>
              </w:rPr>
            </w:pP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04</w:t>
            </w:r>
            <w:r>
              <w:rPr>
                <w:rFonts w:hint="eastAsia" w:ascii="宋体" w:hAnsi="宋体" w:cs="宋体"/>
                <w:color w:val="0000FF"/>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获取招标文件时间</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FF"/>
                <w:lang w:val="zh-CN"/>
              </w:rPr>
            </w:pP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05</w:t>
            </w:r>
            <w:r>
              <w:rPr>
                <w:rFonts w:hint="eastAsia" w:ascii="宋体" w:hAnsi="宋体" w:cs="宋体"/>
                <w:color w:val="0000FF"/>
                <w:lang w:val="zh-CN"/>
              </w:rPr>
              <w:t>日至</w:t>
            </w: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11</w:t>
            </w:r>
            <w:r>
              <w:rPr>
                <w:rFonts w:hint="eastAsia" w:ascii="宋体" w:hAnsi="宋体" w:cs="宋体"/>
                <w:color w:val="0000FF"/>
                <w:lang w:val="zh-CN"/>
              </w:rPr>
              <w:t>日（节假日除外），每天上午</w:t>
            </w:r>
            <w:r>
              <w:rPr>
                <w:rFonts w:ascii="宋体" w:hAnsi="宋体" w:cs="宋体"/>
                <w:color w:val="0000FF"/>
                <w:lang w:val="zh-CN"/>
              </w:rPr>
              <w:t>9:00-12:00,</w:t>
            </w:r>
            <w:r>
              <w:rPr>
                <w:rFonts w:hint="eastAsia" w:ascii="宋体" w:hAnsi="宋体" w:cs="宋体"/>
                <w:color w:val="0000FF"/>
                <w:lang w:val="zh-CN"/>
              </w:rPr>
              <w:t>下午</w:t>
            </w:r>
            <w:r>
              <w:rPr>
                <w:rFonts w:ascii="宋体" w:hAnsi="宋体" w:cs="宋体"/>
                <w:color w:val="0000FF"/>
                <w:lang w:val="zh-CN"/>
              </w:rPr>
              <w:t>14:30-17:30</w:t>
            </w:r>
            <w:r>
              <w:rPr>
                <w:rFonts w:hint="eastAsia" w:ascii="宋体" w:hAnsi="宋体" w:cs="宋体"/>
                <w:color w:val="0000FF"/>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获取招标文件方式</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招标文件售价</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ascii="宋体" w:hAnsi="宋体" w:cs="宋体"/>
                <w:color w:val="000000"/>
                <w:lang w:val="zh-CN"/>
              </w:rPr>
              <w:t>500</w:t>
            </w:r>
            <w:r>
              <w:rPr>
                <w:rFonts w:hint="eastAsia" w:ascii="宋体" w:hAnsi="宋体" w:cs="宋体"/>
                <w:color w:val="000000"/>
                <w:lang w:val="zh-CN"/>
              </w:rPr>
              <w:t>元</w:t>
            </w:r>
            <w:r>
              <w:rPr>
                <w:rFonts w:ascii="宋体" w:hAnsi="宋体" w:cs="宋体"/>
                <w:color w:val="000000"/>
                <w:lang w:val="zh-CN"/>
              </w:rPr>
              <w:t>/</w:t>
            </w:r>
            <w:r>
              <w:rPr>
                <w:rFonts w:hint="eastAsia" w:ascii="宋体" w:hAnsi="宋体" w:cs="宋体"/>
                <w:color w:val="000000"/>
                <w:lang w:val="zh-CN"/>
              </w:rPr>
              <w:t>套（招标文件售后不退</w:t>
            </w:r>
            <w:r>
              <w:rPr>
                <w:rFonts w:ascii="宋体" w:cs="宋体"/>
                <w:color w:val="000000"/>
                <w:lang w:val="zh-CN"/>
              </w:rPr>
              <w:t>,</w:t>
            </w:r>
            <w:r>
              <w:rPr>
                <w:rFonts w:hint="eastAsia" w:ascii="宋体" w:hAnsi="宋体" w:cs="宋体"/>
                <w:color w:val="000000"/>
                <w:lang w:val="zh-CN"/>
              </w:rPr>
              <w:t>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获取</w:t>
            </w:r>
            <w:r>
              <w:rPr>
                <w:rFonts w:hint="eastAsia" w:ascii="宋体" w:hAnsi="宋体" w:cs="宋体"/>
                <w:lang w:eastAsia="zh-CN"/>
              </w:rPr>
              <w:t>招标文件</w:t>
            </w:r>
            <w:r>
              <w:rPr>
                <w:rFonts w:hint="eastAsia" w:ascii="宋体" w:hAnsi="宋体" w:cs="宋体"/>
              </w:rPr>
              <w:t>地点</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地址：西宁市城西区五四西路</w:t>
            </w:r>
            <w:r>
              <w:rPr>
                <w:rFonts w:ascii="宋体" w:hAnsi="宋体" w:cs="宋体"/>
                <w:color w:val="000000"/>
                <w:lang w:val="zh-CN"/>
              </w:rPr>
              <w:t>66</w:t>
            </w:r>
            <w:r>
              <w:rPr>
                <w:rFonts w:hint="eastAsia" w:ascii="宋体" w:hAnsi="宋体" w:cs="宋体"/>
                <w:color w:val="000000"/>
                <w:lang w:val="zh-CN"/>
              </w:rPr>
              <w:t>号五矿云金茂中心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p>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标书购买联系人：樊女士</w:t>
            </w:r>
          </w:p>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电话：0971-6510096</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rPr>
            </w:pPr>
            <w:r>
              <w:rPr>
                <w:rFonts w:hint="eastAsia" w:ascii="宋体" w:hAnsi="宋体" w:cs="宋体"/>
                <w:color w:val="000000"/>
                <w:lang w:val="zh-CN"/>
              </w:rPr>
              <w:t>电子邮箱：</w:t>
            </w:r>
            <w:r>
              <w:rPr>
                <w:rFonts w:hint="eastAsia" w:ascii="宋体" w:hAnsi="宋体" w:cs="宋体"/>
                <w:color w:val="000000"/>
                <w:lang w:val="zh-CN"/>
              </w:rPr>
              <w:fldChar w:fldCharType="begin"/>
            </w:r>
            <w:r>
              <w:rPr>
                <w:rFonts w:hint="eastAsia" w:ascii="宋体" w:hAnsi="宋体" w:cs="宋体"/>
                <w:color w:val="000000"/>
                <w:lang w:val="zh-CN"/>
              </w:rPr>
              <w:instrText xml:space="preserve"> HYPERLINK "mailto:qhzczb0509@163.com" </w:instrText>
            </w:r>
            <w:r>
              <w:rPr>
                <w:rFonts w:hint="eastAsia" w:ascii="宋体" w:hAnsi="宋体" w:cs="宋体"/>
                <w:color w:val="000000"/>
                <w:lang w:val="zh-CN"/>
              </w:rPr>
              <w:fldChar w:fldCharType="separate"/>
            </w:r>
            <w:r>
              <w:rPr>
                <w:rFonts w:hint="eastAsia" w:ascii="宋体" w:hAnsi="宋体" w:cs="宋体"/>
                <w:color w:val="000000"/>
                <w:lang w:val="zh-CN"/>
              </w:rPr>
              <w:t>zjzbqh@163.com</w:t>
            </w:r>
            <w:r>
              <w:rPr>
                <w:rFonts w:hint="eastAsia" w:ascii="宋体" w:hAnsi="宋体" w:cs="宋体"/>
                <w:color w:val="000000"/>
                <w:lang w:val="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79"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获取招标文件时应提供材料</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营业执照副本复印件（加盖单位公章）、法定代表人授权书（参考招标文件格式）。注：需网上购买招标文件的投标人可将以上材料扫描后发送至采购代理机构电子邮箱，在邮件中标明项目编号、项目名称、联系人及联系方式，并联系代理机构工作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8"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提交响应文件截止时间</w:t>
            </w:r>
            <w:r>
              <w:rPr>
                <w:rFonts w:ascii="宋体" w:hAnsi="宋体" w:cs="宋体"/>
                <w:color w:val="000000"/>
                <w:lang w:val="zh-CN"/>
              </w:rPr>
              <w:t xml:space="preserve"> </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FF"/>
                <w:lang w:val="zh-CN"/>
              </w:rPr>
            </w:pP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25</w:t>
            </w:r>
            <w:r>
              <w:rPr>
                <w:rFonts w:hint="eastAsia" w:ascii="宋体" w:hAnsi="宋体" w:cs="宋体"/>
                <w:color w:val="0000FF"/>
                <w:lang w:val="zh-CN"/>
              </w:rPr>
              <w:t>日</w:t>
            </w:r>
            <w:r>
              <w:rPr>
                <w:rFonts w:hint="eastAsia" w:ascii="宋体" w:hAnsi="宋体" w:cs="宋体"/>
                <w:color w:val="0000FF"/>
                <w:lang w:val="en-US" w:eastAsia="zh-CN"/>
              </w:rPr>
              <w:t>下</w:t>
            </w:r>
            <w:r>
              <w:rPr>
                <w:rFonts w:hint="eastAsia" w:ascii="宋体" w:hAnsi="宋体" w:cs="宋体"/>
                <w:color w:val="0000FF"/>
                <w:lang w:val="zh-CN"/>
              </w:rPr>
              <w:t>午</w:t>
            </w:r>
            <w:r>
              <w:rPr>
                <w:rFonts w:hint="eastAsia" w:ascii="宋体" w:hAnsi="宋体" w:cs="宋体"/>
                <w:color w:val="0000FF"/>
                <w:lang w:val="en-US" w:eastAsia="zh-CN"/>
              </w:rPr>
              <w:t>13</w:t>
            </w:r>
            <w:r>
              <w:rPr>
                <w:rFonts w:hint="eastAsia" w:ascii="宋体" w:hAnsi="宋体" w:cs="宋体"/>
                <w:color w:val="0000FF"/>
                <w:lang w:val="zh-CN"/>
              </w:rPr>
              <w:t>：</w:t>
            </w:r>
            <w:r>
              <w:rPr>
                <w:rFonts w:hint="eastAsia" w:ascii="宋体" w:hAnsi="宋体" w:cs="宋体"/>
                <w:color w:val="0000FF"/>
                <w:lang w:val="en-US" w:eastAsia="zh-CN"/>
              </w:rPr>
              <w:t>30</w:t>
            </w:r>
            <w:r>
              <w:rPr>
                <w:rFonts w:hint="eastAsia" w:ascii="宋体" w:hAnsi="宋体" w:cs="宋体"/>
                <w:color w:val="0000FF"/>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响应文件开启时间</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FF"/>
                <w:lang w:val="zh-CN"/>
              </w:rPr>
            </w:pP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25</w:t>
            </w:r>
            <w:r>
              <w:rPr>
                <w:rFonts w:hint="eastAsia" w:ascii="宋体" w:hAnsi="宋体" w:cs="宋体"/>
                <w:color w:val="0000FF"/>
                <w:lang w:val="zh-CN"/>
              </w:rPr>
              <w:t>日</w:t>
            </w:r>
            <w:r>
              <w:rPr>
                <w:rFonts w:hint="eastAsia" w:ascii="宋体" w:hAnsi="宋体" w:cs="宋体"/>
                <w:color w:val="0000FF"/>
                <w:lang w:val="en-US" w:eastAsia="zh-CN"/>
              </w:rPr>
              <w:t>下</w:t>
            </w:r>
            <w:r>
              <w:rPr>
                <w:rFonts w:hint="eastAsia" w:ascii="宋体" w:hAnsi="宋体" w:cs="宋体"/>
                <w:color w:val="0000FF"/>
                <w:lang w:val="zh-CN"/>
              </w:rPr>
              <w:t>午</w:t>
            </w:r>
            <w:r>
              <w:rPr>
                <w:rFonts w:hint="eastAsia" w:ascii="宋体" w:hAnsi="宋体" w:cs="宋体"/>
                <w:color w:val="0000FF"/>
                <w:lang w:val="en-US" w:eastAsia="zh-CN"/>
              </w:rPr>
              <w:t>13</w:t>
            </w:r>
            <w:r>
              <w:rPr>
                <w:rFonts w:hint="eastAsia" w:ascii="宋体" w:hAnsi="宋体" w:cs="宋体"/>
                <w:color w:val="0000FF"/>
                <w:lang w:val="zh-CN"/>
              </w:rPr>
              <w:t>：</w:t>
            </w:r>
            <w:r>
              <w:rPr>
                <w:rFonts w:hint="eastAsia" w:ascii="宋体" w:hAnsi="宋体" w:cs="宋体"/>
                <w:color w:val="0000FF"/>
                <w:lang w:val="en-US" w:eastAsia="zh-CN"/>
              </w:rPr>
              <w:t>30</w:t>
            </w:r>
            <w:r>
              <w:rPr>
                <w:rFonts w:hint="eastAsia" w:ascii="宋体" w:hAnsi="宋体" w:cs="宋体"/>
                <w:color w:val="0000FF"/>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提交响应文件地点</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FF"/>
                <w:lang w:val="zh-CN" w:eastAsia="zh-CN"/>
              </w:rPr>
              <w:t>青海省政务服务监督管理局二楼</w:t>
            </w:r>
            <w:r>
              <w:rPr>
                <w:rFonts w:hint="eastAsia" w:ascii="宋体" w:hAnsi="宋体" w:cs="宋体"/>
                <w:color w:val="0000FF"/>
                <w:lang w:val="en-US" w:eastAsia="zh-CN"/>
              </w:rPr>
              <w:t>二</w:t>
            </w:r>
            <w:r>
              <w:rPr>
                <w:rFonts w:hint="eastAsia" w:ascii="宋体" w:hAnsi="宋体" w:cs="宋体"/>
                <w:color w:val="0000FF"/>
                <w:lang w:val="zh-CN" w:eastAsia="zh-CN"/>
              </w:rPr>
              <w:t>号开标室（西宁市城西区西川南路53号）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 w:hRule="atLeast"/>
          <w:jc w:val="center"/>
        </w:trPr>
        <w:tc>
          <w:tcPr>
            <w:tcW w:w="2223"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采购人及联系人电话</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采购人：</w:t>
            </w:r>
            <w:r>
              <w:rPr>
                <w:rFonts w:hint="eastAsia" w:ascii="宋体" w:hAnsi="宋体" w:cs="宋体"/>
                <w:sz w:val="24"/>
                <w:szCs w:val="24"/>
                <w:lang w:eastAsia="zh-CN"/>
              </w:rPr>
              <w:t>西宁市体育场馆管理服务中心</w:t>
            </w:r>
            <w:r>
              <w:rPr>
                <w:rFonts w:ascii="宋体" w:cs="宋体"/>
                <w:color w:val="000000"/>
                <w:lang w:val="zh-CN"/>
              </w:rPr>
              <w:br w:type="textWrapping"/>
            </w:r>
            <w:r>
              <w:rPr>
                <w:rFonts w:hint="eastAsia" w:ascii="宋体" w:hAnsi="宋体" w:cs="宋体"/>
                <w:color w:val="000000"/>
                <w:lang w:val="zh-CN"/>
              </w:rPr>
              <w:t>联系人：曾先生</w:t>
            </w:r>
          </w:p>
          <w:p>
            <w:pPr>
              <w:keepNext w:val="0"/>
              <w:keepLines w:val="0"/>
              <w:suppressLineNumbers w:val="0"/>
              <w:autoSpaceDE w:val="0"/>
              <w:autoSpaceDN w:val="0"/>
              <w:spacing w:before="0" w:beforeAutospacing="0" w:after="0" w:afterAutospacing="0" w:line="500" w:lineRule="exact"/>
              <w:ind w:left="0" w:right="0" w:firstLine="0" w:firstLineChars="0"/>
              <w:rPr>
                <w:rFonts w:hint="default" w:ascii="宋体" w:eastAsia="宋体" w:cs="宋体"/>
                <w:color w:val="000000"/>
                <w:lang w:val="en-US" w:eastAsia="zh-CN"/>
              </w:rPr>
            </w:pPr>
            <w:r>
              <w:rPr>
                <w:rFonts w:hint="eastAsia" w:ascii="宋体" w:hAnsi="宋体" w:cs="宋体"/>
                <w:color w:val="000000"/>
                <w:lang w:val="zh-CN"/>
              </w:rPr>
              <w:t>电话</w:t>
            </w:r>
            <w:r>
              <w:rPr>
                <w:rFonts w:hint="eastAsia" w:ascii="宋体" w:hAnsi="宋体" w:cs="宋体"/>
                <w:sz w:val="24"/>
                <w:szCs w:val="24"/>
                <w:lang w:val="zh-CN" w:eastAsia="zh-CN"/>
              </w:rPr>
              <w:t>：</w:t>
            </w:r>
            <w:r>
              <w:rPr>
                <w:rFonts w:hint="eastAsia" w:ascii="宋体" w:hAnsi="宋体" w:cs="宋体"/>
                <w:sz w:val="24"/>
                <w:szCs w:val="24"/>
                <w:lang w:val="en-US" w:eastAsia="zh-CN"/>
              </w:rPr>
              <w:t>0971-8589795</w:t>
            </w:r>
          </w:p>
          <w:p>
            <w:pPr>
              <w:keepNext w:val="0"/>
              <w:keepLines w:val="0"/>
              <w:suppressLineNumbers w:val="0"/>
              <w:autoSpaceDE w:val="0"/>
              <w:autoSpaceDN w:val="0"/>
              <w:spacing w:before="0" w:beforeAutospacing="0" w:after="0" w:afterAutospacing="0" w:line="500" w:lineRule="exact"/>
              <w:ind w:left="0" w:right="0" w:firstLine="0" w:firstLineChars="0"/>
              <w:rPr>
                <w:rFonts w:hint="default" w:ascii="宋体" w:cs="宋体"/>
                <w:color w:val="000000"/>
                <w:lang w:val="en-US"/>
              </w:rPr>
            </w:pPr>
            <w:r>
              <w:rPr>
                <w:rFonts w:hint="eastAsia" w:ascii="宋体" w:hAnsi="宋体" w:cs="宋体"/>
                <w:color w:val="000000"/>
                <w:lang w:val="zh-CN"/>
              </w:rPr>
              <w:t>联系地</w:t>
            </w:r>
            <w:r>
              <w:rPr>
                <w:rFonts w:hint="eastAsia" w:ascii="宋体" w:hAnsi="宋体" w:eastAsia="宋体" w:cs="宋体"/>
                <w:sz w:val="24"/>
                <w:szCs w:val="24"/>
                <w:lang w:val="zh-CN"/>
              </w:rPr>
              <w:t>址：</w:t>
            </w:r>
            <w:r>
              <w:rPr>
                <w:rFonts w:hint="eastAsia" w:ascii="宋体" w:hAnsi="宋体" w:cs="宋体"/>
                <w:sz w:val="24"/>
                <w:szCs w:val="24"/>
                <w:lang w:eastAsia="zh-CN"/>
              </w:rPr>
              <w:t>西宁市城中区新青巷</w:t>
            </w:r>
            <w:r>
              <w:rPr>
                <w:rFonts w:hint="eastAsia" w:ascii="宋体" w:hAnsi="宋体" w:cs="宋体"/>
                <w:sz w:val="24"/>
                <w:szCs w:val="24"/>
                <w:lang w:val="en-US" w:eastAsia="zh-CN"/>
              </w:rPr>
              <w:t>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7"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采购代理机构及联系人电话</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采购代理机构：中金招标有限责任公司</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联系人：李女士</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hint="eastAsia" w:ascii="宋体" w:hAnsi="宋体" w:cs="宋体"/>
                <w:color w:val="000000"/>
                <w:lang w:val="zh-CN"/>
              </w:rPr>
              <w:t>电话：</w:t>
            </w:r>
            <w:r>
              <w:rPr>
                <w:rFonts w:ascii="宋体" w:hAnsi="宋体" w:cs="宋体"/>
                <w:color w:val="000000"/>
                <w:lang w:val="zh-CN"/>
              </w:rPr>
              <w:t>0971-6118377</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rPr>
            </w:pPr>
            <w:r>
              <w:rPr>
                <w:rFonts w:hint="eastAsia" w:ascii="宋体" w:hAnsi="宋体" w:cs="宋体"/>
                <w:color w:val="000000"/>
                <w:lang w:val="zh-CN"/>
              </w:rPr>
              <w:t>联系地址：西宁市城西区五四西路</w:t>
            </w:r>
            <w:r>
              <w:rPr>
                <w:rFonts w:ascii="宋体" w:hAnsi="宋体" w:cs="宋体"/>
                <w:color w:val="000000"/>
                <w:lang w:val="zh-CN"/>
              </w:rPr>
              <w:t>66</w:t>
            </w:r>
            <w:r>
              <w:rPr>
                <w:rFonts w:hint="eastAsia" w:ascii="宋体" w:hAnsi="宋体" w:cs="宋体"/>
                <w:color w:val="000000"/>
                <w:lang w:val="zh-CN"/>
              </w:rPr>
              <w:t>号五矿云金茂中心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r>
              <w:rPr>
                <w:rFonts w:ascii="宋体" w:hAnsi="宋体" w:cs="宋体"/>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采购代理机构开户银行</w:t>
            </w:r>
          </w:p>
        </w:tc>
        <w:tc>
          <w:tcPr>
            <w:tcW w:w="7211" w:type="dxa"/>
            <w:vAlign w:val="center"/>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中国建设银行西宁市虎台支行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收款人</w:t>
            </w:r>
          </w:p>
        </w:tc>
        <w:tc>
          <w:tcPr>
            <w:tcW w:w="7211" w:type="dxa"/>
            <w:vAlign w:val="top"/>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中金招标有限责任公司青海分公司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银行账号</w:t>
            </w:r>
          </w:p>
        </w:tc>
        <w:tc>
          <w:tcPr>
            <w:tcW w:w="7211" w:type="dxa"/>
            <w:vAlign w:val="top"/>
          </w:tcPr>
          <w:p>
            <w:pPr>
              <w:keepNext w:val="0"/>
              <w:keepLines w:val="0"/>
              <w:suppressLineNumbers w:val="0"/>
              <w:autoSpaceDE w:val="0"/>
              <w:autoSpaceDN w:val="0"/>
              <w:spacing w:before="0" w:beforeAutospacing="0" w:after="0" w:afterAutospacing="0" w:line="500" w:lineRule="exact"/>
              <w:ind w:left="0" w:right="0" w:firstLine="0" w:firstLineChars="0"/>
              <w:rPr>
                <w:rFonts w:hint="eastAsia" w:ascii="宋体" w:hAnsi="宋体" w:cs="宋体"/>
                <w:color w:val="000000"/>
                <w:lang w:val="zh-CN"/>
              </w:rPr>
            </w:pPr>
            <w:r>
              <w:rPr>
                <w:rFonts w:hint="eastAsia" w:ascii="宋体" w:hAnsi="宋体" w:cs="宋体"/>
                <w:color w:val="000000"/>
                <w:lang w:val="zh-CN"/>
              </w:rPr>
              <w:t>63001903602050202159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其他事项</w:t>
            </w:r>
          </w:p>
        </w:tc>
        <w:tc>
          <w:tcPr>
            <w:tcW w:w="7211" w:type="dxa"/>
          </w:tcPr>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采购项目联系人：曾先生，电话：</w:t>
            </w:r>
            <w:r>
              <w:rPr>
                <w:rFonts w:hint="eastAsia" w:ascii="宋体" w:hAnsi="宋体" w:cs="宋体"/>
                <w:sz w:val="24"/>
                <w:szCs w:val="24"/>
                <w:lang w:val="en-US" w:eastAsia="zh-CN"/>
              </w:rPr>
              <w:t>0971-8589795</w:t>
            </w:r>
            <w:r>
              <w:rPr>
                <w:rFonts w:hint="eastAsia" w:ascii="宋体" w:hAnsi="宋体" w:cs="宋体"/>
                <w:color w:val="000000"/>
                <w:lang w:val="zh-CN"/>
              </w:rPr>
              <w:t>；</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color w:val="000000"/>
                <w:lang w:val="zh-CN"/>
              </w:rPr>
            </w:pPr>
            <w:r>
              <w:rPr>
                <w:rFonts w:ascii="宋体" w:hAnsi="宋体" w:cs="宋体"/>
                <w:color w:val="000000"/>
                <w:lang w:val="zh-CN"/>
              </w:rPr>
              <w:t>(2)</w:t>
            </w:r>
            <w:r>
              <w:rPr>
                <w:rFonts w:hint="eastAsia" w:ascii="宋体" w:hAnsi="宋体" w:cs="宋体"/>
                <w:color w:val="000000"/>
                <w:lang w:val="zh-CN"/>
              </w:rPr>
              <w:t>公告期限：自《青海政府采购网》发布之日起</w:t>
            </w:r>
            <w:r>
              <w:rPr>
                <w:rFonts w:ascii="宋体" w:hAnsi="宋体" w:cs="宋体"/>
                <w:color w:val="000000"/>
                <w:lang w:val="zh-CN"/>
              </w:rPr>
              <w:t>5</w:t>
            </w:r>
            <w:r>
              <w:rPr>
                <w:rFonts w:hint="eastAsia" w:ascii="宋体" w:hAnsi="宋体" w:cs="宋体"/>
                <w:color w:val="000000"/>
                <w:lang w:val="zh-CN"/>
              </w:rPr>
              <w:t>个工作日；</w:t>
            </w:r>
          </w:p>
          <w:p>
            <w:pPr>
              <w:keepNext w:val="0"/>
              <w:keepLines w:val="0"/>
              <w:suppressLineNumbers w:val="0"/>
              <w:autoSpaceDE w:val="0"/>
              <w:autoSpaceDN w:val="0"/>
              <w:spacing w:before="0" w:beforeAutospacing="0" w:after="0" w:afterAutospacing="0" w:line="500" w:lineRule="exact"/>
              <w:ind w:left="0" w:right="0" w:firstLine="0" w:firstLineChars="0"/>
              <w:rPr>
                <w:rFonts w:ascii="宋体" w:cs="宋体"/>
                <w:lang w:val="zh-CN"/>
              </w:rPr>
            </w:pPr>
            <w:r>
              <w:rPr>
                <w:rFonts w:ascii="宋体" w:hAnsi="宋体" w:cs="宋体"/>
                <w:color w:val="000000"/>
                <w:lang w:val="zh-CN"/>
              </w:rPr>
              <w:t>(3)</w:t>
            </w:r>
            <w:r>
              <w:rPr>
                <w:rFonts w:hint="eastAsia" w:ascii="宋体" w:hAnsi="宋体" w:cs="宋体"/>
                <w:color w:val="000000"/>
                <w:lang w:val="zh-CN"/>
              </w:rPr>
              <w:t>本公告同时在《青海政府采购网》、《青海省电子招标投标公共服务平台》、《青海项目信息网》，公告内容以《青海政府采购网》发布的为准。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财政部门监督电话</w:t>
            </w:r>
          </w:p>
        </w:tc>
        <w:tc>
          <w:tcPr>
            <w:tcW w:w="7211" w:type="dxa"/>
            <w:vAlign w:val="center"/>
          </w:tcPr>
          <w:p>
            <w:pPr>
              <w:keepNext w:val="0"/>
              <w:keepLines w:val="0"/>
              <w:suppressLineNumbers w:val="0"/>
              <w:spacing w:before="0" w:beforeAutospacing="0" w:after="0" w:afterAutospacing="0" w:line="300" w:lineRule="auto"/>
              <w:ind w:left="0" w:right="0" w:firstLine="0" w:firstLineChars="0"/>
              <w:jc w:val="left"/>
              <w:rPr>
                <w:rFonts w:ascii="宋体" w:cs="宋体"/>
              </w:rPr>
            </w:pPr>
            <w:r>
              <w:rPr>
                <w:rFonts w:hint="eastAsia" w:ascii="宋体" w:hAnsi="宋体" w:cs="宋体"/>
              </w:rPr>
              <w:t>单位名称：</w:t>
            </w:r>
            <w:r>
              <w:rPr>
                <w:rFonts w:hint="eastAsia" w:ascii="宋体" w:hAnsi="宋体" w:cs="宋体"/>
                <w:lang w:val="zh-CN"/>
              </w:rPr>
              <w:t>西宁市财政局</w:t>
            </w:r>
            <w:r>
              <w:rPr>
                <w:rFonts w:ascii="宋体" w:hAnsi="宋体" w:cs="宋体"/>
              </w:rPr>
              <w:t xml:space="preserve">     </w:t>
            </w:r>
          </w:p>
          <w:p>
            <w:pPr>
              <w:keepNext w:val="0"/>
              <w:keepLines w:val="0"/>
              <w:suppressLineNumbers w:val="0"/>
              <w:spacing w:before="0" w:beforeAutospacing="0" w:after="0" w:afterAutospacing="0" w:line="300" w:lineRule="auto"/>
              <w:ind w:left="0" w:right="0" w:firstLine="0" w:firstLineChars="0"/>
              <w:jc w:val="left"/>
              <w:rPr>
                <w:rFonts w:hint="default" w:ascii="宋体" w:eastAsia="宋体" w:cs="宋体"/>
                <w:lang w:val="en-US" w:eastAsia="zh-CN"/>
              </w:rPr>
            </w:pPr>
            <w:r>
              <w:rPr>
                <w:rFonts w:hint="eastAsia" w:ascii="宋体" w:hAnsi="宋体" w:cs="宋体"/>
              </w:rPr>
              <w:t>联系电话</w:t>
            </w:r>
            <w:r>
              <w:rPr>
                <w:rFonts w:hint="eastAsia" w:ascii="宋体" w:hAnsi="宋体" w:cs="宋体"/>
                <w:lang w:val="zh-CN"/>
              </w:rPr>
              <w:t>：0971-6304026</w:t>
            </w:r>
          </w:p>
        </w:tc>
      </w:tr>
    </w:tbl>
    <w:p>
      <w:pPr>
        <w:ind w:firstLine="480"/>
        <w:rPr>
          <w:rFonts w:ascii="宋体" w:cs="宋体"/>
          <w:color w:val="000000"/>
        </w:rPr>
      </w:pPr>
      <w:r>
        <w:rPr>
          <w:rFonts w:ascii="宋体" w:hAnsi="宋体" w:cs="宋体"/>
          <w:color w:val="000000"/>
        </w:rPr>
        <w:t xml:space="preserve">             </w:t>
      </w:r>
    </w:p>
    <w:p>
      <w:pPr>
        <w:ind w:firstLine="480"/>
        <w:jc w:val="center"/>
        <w:rPr>
          <w:rFonts w:ascii="宋体" w:cs="宋体"/>
          <w:color w:val="000000"/>
          <w:lang w:val="zh-CN"/>
        </w:rPr>
      </w:pPr>
      <w:r>
        <w:rPr>
          <w:rFonts w:hint="eastAsia" w:ascii="宋体" w:hAnsi="宋体" w:cs="宋体"/>
          <w:color w:val="000000"/>
          <w:lang w:val="zh-CN"/>
        </w:rPr>
        <w:t>中金招标有限责任公司</w:t>
      </w:r>
    </w:p>
    <w:p>
      <w:pPr>
        <w:pStyle w:val="148"/>
        <w:jc w:val="center"/>
        <w:rPr>
          <w:color w:val="0000FF"/>
        </w:rPr>
      </w:pPr>
      <w:r>
        <w:rPr>
          <w:rFonts w:ascii="宋体" w:hAnsi="宋体" w:cs="宋体"/>
          <w:color w:val="0000FF"/>
          <w:lang w:val="zh-CN"/>
        </w:rPr>
        <w:t>2020</w:t>
      </w:r>
      <w:r>
        <w:rPr>
          <w:rFonts w:hint="eastAsia" w:ascii="宋体" w:hAnsi="宋体" w:cs="宋体"/>
          <w:color w:val="0000FF"/>
          <w:lang w:val="zh-CN"/>
        </w:rPr>
        <w:t>年</w:t>
      </w:r>
      <w:r>
        <w:rPr>
          <w:rFonts w:hint="eastAsia" w:ascii="宋体" w:hAnsi="宋体" w:cs="宋体"/>
          <w:color w:val="0000FF"/>
          <w:lang w:val="en-US" w:eastAsia="zh-CN"/>
        </w:rPr>
        <w:t>11</w:t>
      </w:r>
      <w:r>
        <w:rPr>
          <w:rFonts w:hint="eastAsia" w:ascii="宋体" w:hAnsi="宋体" w:cs="宋体"/>
          <w:color w:val="0000FF"/>
          <w:lang w:val="zh-CN"/>
        </w:rPr>
        <w:t>月</w:t>
      </w:r>
      <w:r>
        <w:rPr>
          <w:rFonts w:hint="eastAsia" w:ascii="宋体" w:hAnsi="宋体" w:cs="宋体"/>
          <w:color w:val="0000FF"/>
          <w:lang w:val="en-US" w:eastAsia="zh-CN"/>
        </w:rPr>
        <w:t>04</w:t>
      </w:r>
      <w:r>
        <w:rPr>
          <w:rFonts w:hint="eastAsia" w:ascii="宋体" w:hAnsi="宋体" w:cs="宋体"/>
          <w:color w:val="0000FF"/>
          <w:lang w:val="zh-CN"/>
        </w:rPr>
        <w:t>日</w:t>
      </w:r>
    </w:p>
    <w:p>
      <w:pPr>
        <w:pStyle w:val="16"/>
        <w:keepNext w:val="0"/>
        <w:keepLines w:val="0"/>
        <w:numPr>
          <w:ilvl w:val="0"/>
          <w:numId w:val="1"/>
        </w:numPr>
        <w:suppressLineNumbers w:val="0"/>
        <w:spacing w:before="0" w:beforeAutospacing="0" w:after="0" w:afterAutospacing="0" w:line="360" w:lineRule="auto"/>
        <w:ind w:left="0" w:right="0"/>
        <w:jc w:val="center"/>
        <w:rPr>
          <w:rStyle w:val="59"/>
        </w:rPr>
      </w:pPr>
      <w:r>
        <w:rPr>
          <w:rFonts w:hint="eastAsia" w:ascii="宋体" w:hAnsi="宋体" w:cs="宋体"/>
          <w:color w:val="000000"/>
          <w:lang w:val="zh-CN"/>
        </w:rPr>
        <w:br w:type="page"/>
      </w:r>
      <w:bookmarkEnd w:id="0"/>
      <w:bookmarkStart w:id="1" w:name="_Toc4182"/>
      <w:r>
        <w:rPr>
          <w:rStyle w:val="59"/>
          <w:rFonts w:hint="eastAsia"/>
          <w:lang w:val="zh-CN"/>
        </w:rPr>
        <w:t>第二部分  投标人须知</w:t>
      </w:r>
      <w:bookmarkEnd w:id="1"/>
    </w:p>
    <w:p>
      <w:pPr>
        <w:pStyle w:val="36"/>
        <w:spacing w:before="0" w:after="0" w:line="360" w:lineRule="auto"/>
        <w:rPr>
          <w:rFonts w:ascii="宋体" w:hAnsi="宋体" w:cs="宋体"/>
          <w:color w:val="000000"/>
        </w:rPr>
      </w:pPr>
      <w:bookmarkStart w:id="2" w:name="_Toc24144"/>
      <w:r>
        <w:rPr>
          <w:rFonts w:hint="eastAsia" w:ascii="宋体" w:hAnsi="宋体" w:cs="宋体"/>
          <w:color w:val="000000"/>
          <w:lang w:val="zh-CN"/>
        </w:rPr>
        <w:t>一、说明</w:t>
      </w:r>
      <w:bookmarkEnd w:id="2"/>
    </w:p>
    <w:p>
      <w:pPr>
        <w:pStyle w:val="36"/>
        <w:spacing w:before="0" w:after="0" w:line="360" w:lineRule="auto"/>
        <w:jc w:val="left"/>
        <w:rPr>
          <w:rFonts w:ascii="宋体" w:hAnsi="宋体" w:cs="宋体"/>
          <w:color w:val="000000"/>
          <w:lang w:val="zh-CN"/>
        </w:rPr>
      </w:pPr>
      <w:bookmarkStart w:id="3" w:name="_Toc30327"/>
      <w:r>
        <w:rPr>
          <w:rFonts w:hint="eastAsia" w:ascii="宋体" w:hAnsi="宋体" w:cs="宋体"/>
          <w:color w:val="000000"/>
          <w:sz w:val="28"/>
          <w:szCs w:val="28"/>
          <w:lang w:val="zh-CN"/>
        </w:rPr>
        <w:t>1.适用范围</w:t>
      </w:r>
      <w:bookmarkEnd w:id="3"/>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36"/>
        <w:spacing w:before="0" w:after="0" w:line="360" w:lineRule="auto"/>
        <w:jc w:val="left"/>
        <w:rPr>
          <w:rFonts w:ascii="宋体" w:hAnsi="宋体" w:cs="宋体"/>
          <w:color w:val="000000"/>
          <w:lang w:val="zh-CN"/>
        </w:rPr>
      </w:pPr>
      <w:bookmarkStart w:id="4" w:name="_Toc20657"/>
      <w:r>
        <w:rPr>
          <w:rFonts w:hint="eastAsia" w:ascii="宋体" w:hAnsi="宋体" w:cs="宋体"/>
          <w:color w:val="000000"/>
          <w:sz w:val="28"/>
          <w:szCs w:val="28"/>
          <w:lang w:val="zh-CN"/>
        </w:rPr>
        <w:t>2.采购方式、合格的投标人</w:t>
      </w:r>
      <w:bookmarkEnd w:id="4"/>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36"/>
        <w:spacing w:before="0" w:after="0" w:line="360" w:lineRule="auto"/>
        <w:jc w:val="left"/>
        <w:rPr>
          <w:rFonts w:ascii="宋体" w:hAnsi="宋体" w:cs="宋体"/>
          <w:color w:val="000000"/>
          <w:lang w:val="zh-CN"/>
        </w:rPr>
      </w:pPr>
      <w:bookmarkStart w:id="5" w:name="_Toc7971"/>
      <w:r>
        <w:rPr>
          <w:rFonts w:hint="eastAsia" w:ascii="宋体" w:hAnsi="宋体" w:cs="宋体"/>
          <w:color w:val="000000"/>
          <w:sz w:val="28"/>
          <w:szCs w:val="28"/>
          <w:lang w:val="zh-CN"/>
        </w:rPr>
        <w:t>3.投标费用</w:t>
      </w:r>
      <w:bookmarkEnd w:id="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36"/>
        <w:spacing w:before="0" w:after="0" w:line="360" w:lineRule="auto"/>
        <w:rPr>
          <w:rFonts w:ascii="宋体" w:hAnsi="宋体" w:cs="宋体"/>
          <w:color w:val="000000"/>
        </w:rPr>
      </w:pPr>
      <w:bookmarkStart w:id="6" w:name="_Toc3291"/>
      <w:r>
        <w:rPr>
          <w:rFonts w:hint="eastAsia" w:ascii="宋体" w:hAnsi="宋体" w:cs="宋体"/>
          <w:color w:val="000000"/>
          <w:lang w:val="zh-CN"/>
        </w:rPr>
        <w:t>二、招标文件说明</w:t>
      </w:r>
      <w:bookmarkEnd w:id="6"/>
    </w:p>
    <w:p>
      <w:pPr>
        <w:pStyle w:val="36"/>
        <w:spacing w:before="0" w:after="0" w:line="360" w:lineRule="auto"/>
        <w:jc w:val="left"/>
        <w:rPr>
          <w:rFonts w:ascii="宋体" w:hAnsi="宋体" w:cs="宋体"/>
          <w:color w:val="000000"/>
          <w:lang w:val="zh-CN"/>
        </w:rPr>
      </w:pPr>
      <w:bookmarkStart w:id="7" w:name="_Toc10046"/>
      <w:r>
        <w:rPr>
          <w:rFonts w:hint="eastAsia" w:ascii="宋体" w:hAnsi="宋体" w:cs="宋体"/>
          <w:color w:val="000000"/>
          <w:sz w:val="28"/>
          <w:szCs w:val="28"/>
          <w:lang w:val="zh-CN"/>
        </w:rPr>
        <w:t>4.招标文件的构成</w:t>
      </w:r>
      <w:bookmarkEnd w:id="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36"/>
        <w:spacing w:before="0" w:after="0" w:line="360" w:lineRule="auto"/>
        <w:jc w:val="left"/>
        <w:rPr>
          <w:rFonts w:ascii="宋体" w:hAnsi="宋体" w:cs="宋体"/>
          <w:color w:val="000000"/>
          <w:sz w:val="28"/>
          <w:szCs w:val="28"/>
          <w:lang w:val="zh-CN"/>
        </w:rPr>
      </w:pPr>
      <w:bookmarkStart w:id="8" w:name="_Toc8546"/>
      <w:r>
        <w:rPr>
          <w:rFonts w:hint="eastAsia" w:ascii="宋体" w:hAnsi="宋体" w:cs="宋体"/>
          <w:color w:val="000000"/>
          <w:sz w:val="28"/>
          <w:szCs w:val="28"/>
          <w:lang w:val="zh-CN"/>
        </w:rPr>
        <w:t>5.招标文件、采购活动和中标结果的质疑</w:t>
      </w:r>
      <w:bookmarkEnd w:id="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36"/>
        <w:spacing w:before="0" w:after="0" w:line="360" w:lineRule="auto"/>
        <w:jc w:val="left"/>
        <w:rPr>
          <w:rFonts w:ascii="宋体" w:hAnsi="宋体" w:cs="宋体"/>
          <w:color w:val="000000"/>
          <w:lang w:val="zh-CN"/>
        </w:rPr>
      </w:pPr>
      <w:bookmarkStart w:id="9" w:name="_Toc15171"/>
      <w:r>
        <w:rPr>
          <w:rFonts w:hint="eastAsia" w:ascii="宋体" w:hAnsi="宋体" w:cs="宋体"/>
          <w:color w:val="000000"/>
          <w:sz w:val="28"/>
          <w:szCs w:val="28"/>
          <w:lang w:val="zh-CN"/>
        </w:rPr>
        <w:t>6.招标文件的澄清或修改</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36"/>
        <w:spacing w:before="0" w:after="0" w:line="360" w:lineRule="auto"/>
        <w:rPr>
          <w:rFonts w:ascii="宋体" w:hAnsi="宋体" w:cs="宋体"/>
          <w:color w:val="000000"/>
        </w:rPr>
      </w:pPr>
      <w:bookmarkStart w:id="10" w:name="_Toc26660"/>
      <w:r>
        <w:rPr>
          <w:rFonts w:hint="eastAsia" w:ascii="宋体" w:hAnsi="宋体" w:cs="宋体"/>
          <w:color w:val="000000"/>
          <w:lang w:val="zh-CN"/>
        </w:rPr>
        <w:t>三、投标文件的编制</w:t>
      </w:r>
      <w:bookmarkEnd w:id="10"/>
    </w:p>
    <w:p>
      <w:pPr>
        <w:pStyle w:val="36"/>
        <w:spacing w:before="0" w:after="0" w:line="360" w:lineRule="auto"/>
        <w:jc w:val="left"/>
        <w:rPr>
          <w:rFonts w:ascii="宋体" w:hAnsi="宋体" w:cs="宋体"/>
          <w:color w:val="000000"/>
          <w:lang w:val="zh-CN"/>
        </w:rPr>
      </w:pPr>
      <w:bookmarkStart w:id="11" w:name="_Toc30625"/>
      <w:r>
        <w:rPr>
          <w:rFonts w:hint="eastAsia" w:ascii="宋体" w:hAnsi="宋体" w:cs="宋体"/>
          <w:color w:val="000000"/>
          <w:sz w:val="28"/>
          <w:szCs w:val="28"/>
          <w:lang w:val="zh-CN"/>
        </w:rPr>
        <w:t>7.投标文件的语言及度量衡单位</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36"/>
        <w:spacing w:before="0" w:after="0" w:line="360" w:lineRule="auto"/>
        <w:jc w:val="left"/>
        <w:rPr>
          <w:rFonts w:ascii="宋体" w:hAnsi="宋体" w:cs="宋体"/>
          <w:color w:val="000000"/>
          <w:lang w:val="zh-CN"/>
        </w:rPr>
      </w:pPr>
      <w:bookmarkStart w:id="12" w:name="_Toc13757"/>
      <w:r>
        <w:rPr>
          <w:rFonts w:hint="eastAsia" w:ascii="宋体" w:hAnsi="宋体" w:cs="宋体"/>
          <w:color w:val="000000"/>
          <w:sz w:val="28"/>
          <w:szCs w:val="28"/>
          <w:lang w:val="zh-CN"/>
        </w:rPr>
        <w:t>8.投标报价及币种</w:t>
      </w:r>
      <w:bookmarkEnd w:id="12"/>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lang w:val="zh-CN"/>
        </w:rPr>
        <w:t>8.1投标报价为投标总价。投标报价必须包括：</w:t>
      </w:r>
      <w:r>
        <w:rPr>
          <w:rFonts w:hint="eastAsia" w:ascii="宋体" w:hAnsi="宋体" w:cs="宋体"/>
          <w:color w:val="000000"/>
        </w:rPr>
        <w:t>包含派遣人员工资、及相关养老保险、医疗保险、失业保险、工伤保险、派遣人员服装费（依据采购人要求定制）、售后服务费、税金、中标服务费及不可预见费等全部费。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36"/>
        <w:spacing w:before="0" w:after="0" w:line="360" w:lineRule="auto"/>
        <w:jc w:val="left"/>
        <w:rPr>
          <w:rFonts w:ascii="宋体" w:hAnsi="宋体" w:cs="宋体"/>
          <w:color w:val="000000"/>
          <w:lang w:val="zh-CN"/>
        </w:rPr>
      </w:pPr>
      <w:bookmarkStart w:id="13" w:name="_Toc26848"/>
      <w:r>
        <w:rPr>
          <w:rFonts w:hint="eastAsia" w:ascii="宋体" w:hAnsi="宋体" w:cs="宋体"/>
          <w:color w:val="000000"/>
          <w:sz w:val="28"/>
          <w:szCs w:val="28"/>
          <w:lang w:val="zh-CN"/>
        </w:rPr>
        <w:t>9.投标保证金</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9.1投标人须在投标截止期前按以下要求交纳投标保证金：</w:t>
      </w:r>
    </w:p>
    <w:p>
      <w:pPr>
        <w:autoSpaceDE w:val="0"/>
        <w:autoSpaceDN w:val="0"/>
        <w:spacing w:line="360" w:lineRule="auto"/>
        <w:ind w:left="1440" w:leftChars="200" w:hanging="960" w:hangingChars="400"/>
        <w:rPr>
          <w:rFonts w:hint="eastAsia" w:ascii="宋体" w:hAnsi="宋体" w:cs="宋体"/>
          <w:bCs/>
          <w:color w:val="0000FF"/>
          <w:kern w:val="0"/>
          <w:lang w:val="zh-CN"/>
        </w:rPr>
      </w:pPr>
      <w:r>
        <w:rPr>
          <w:rFonts w:hint="eastAsia" w:ascii="宋体" w:hAnsi="宋体" w:cs="宋体"/>
          <w:bCs/>
          <w:color w:val="000000"/>
          <w:kern w:val="0"/>
          <w:lang w:val="zh-CN"/>
        </w:rPr>
        <w:t>投标保证金</w:t>
      </w:r>
      <w:r>
        <w:rPr>
          <w:rFonts w:hint="eastAsia" w:ascii="宋体" w:hAnsi="宋体" w:cs="宋体"/>
          <w:color w:val="000000"/>
          <w:kern w:val="0"/>
          <w:lang w:val="zh-CN"/>
        </w:rPr>
        <w:t>：</w:t>
      </w:r>
      <w:r>
        <w:rPr>
          <w:rFonts w:hint="eastAsia" w:ascii="宋体" w:hAnsi="宋体" w:cs="宋体"/>
          <w:color w:val="000000"/>
          <w:kern w:val="0"/>
          <w:lang w:val="en-US" w:eastAsia="zh-CN"/>
        </w:rPr>
        <w:t>60000</w:t>
      </w:r>
      <w:r>
        <w:rPr>
          <w:rFonts w:hint="eastAsia" w:ascii="宋体" w:hAnsi="宋体" w:cs="宋体"/>
          <w:color w:val="000000"/>
          <w:kern w:val="0"/>
          <w:lang w:val="zh-CN"/>
        </w:rPr>
        <w:t>元整（大写：</w:t>
      </w:r>
      <w:r>
        <w:rPr>
          <w:rFonts w:hint="eastAsia" w:ascii="宋体" w:hAnsi="宋体" w:cs="宋体"/>
          <w:color w:val="000000"/>
          <w:kern w:val="0"/>
          <w:lang w:val="en-US" w:eastAsia="zh-CN"/>
        </w:rPr>
        <w:t>陆万元</w:t>
      </w:r>
      <w:bookmarkStart w:id="180" w:name="_GoBack"/>
      <w:bookmarkEnd w:id="180"/>
      <w:r>
        <w:rPr>
          <w:rFonts w:hint="eastAsia" w:ascii="宋体" w:hAnsi="宋体" w:cs="宋体"/>
          <w:color w:val="000000"/>
          <w:kern w:val="0"/>
          <w:lang w:val="en-US" w:eastAsia="zh-CN"/>
        </w:rPr>
        <w:t>整</w:t>
      </w:r>
      <w:r>
        <w:rPr>
          <w:rFonts w:hint="eastAsia" w:ascii="宋体" w:hAnsi="宋体" w:cs="宋体"/>
          <w:color w:val="000000"/>
          <w:kern w:val="0"/>
          <w:lang w:val="zh-CN"/>
        </w:rPr>
        <w:t>）</w:t>
      </w:r>
    </w:p>
    <w:p>
      <w:pPr>
        <w:autoSpaceDE w:val="0"/>
        <w:autoSpaceDN w:val="0"/>
        <w:spacing w:line="360" w:lineRule="auto"/>
        <w:ind w:left="1440" w:leftChars="200" w:hanging="960" w:hangingChars="400"/>
        <w:rPr>
          <w:rFonts w:hint="eastAsia" w:ascii="宋体" w:hAnsi="宋体" w:cs="宋体"/>
          <w:bCs/>
          <w:color w:val="000000"/>
          <w:kern w:val="0"/>
          <w:lang w:val="zh-CN"/>
        </w:rPr>
      </w:pPr>
      <w:r>
        <w:rPr>
          <w:rFonts w:hint="eastAsia" w:ascii="宋体" w:hAnsi="宋体" w:cs="宋体"/>
          <w:bCs/>
          <w:color w:val="000000"/>
          <w:kern w:val="0"/>
          <w:lang w:val="zh-CN"/>
        </w:rPr>
        <w:t>收款单位：</w:t>
      </w:r>
      <w:r>
        <w:rPr>
          <w:rFonts w:hint="eastAsia" w:ascii="宋体" w:hAnsi="Cambria" w:cs="宋体"/>
          <w:sz w:val="24"/>
          <w:lang w:val="zh-CN"/>
        </w:rPr>
        <w:t>中金招标有限责任公司</w:t>
      </w:r>
    </w:p>
    <w:p>
      <w:pPr>
        <w:autoSpaceDE w:val="0"/>
        <w:autoSpaceDN w:val="0"/>
        <w:spacing w:line="360" w:lineRule="auto"/>
        <w:ind w:left="1440" w:leftChars="200" w:hanging="960" w:hangingChars="400"/>
        <w:rPr>
          <w:rFonts w:hint="eastAsia" w:ascii="宋体" w:hAnsi="宋体" w:cs="Arial"/>
          <w:color w:val="000000"/>
          <w:sz w:val="24"/>
          <w:lang w:val="zh-CN"/>
        </w:rPr>
      </w:pPr>
      <w:r>
        <w:rPr>
          <w:rFonts w:hint="eastAsia" w:ascii="宋体" w:hAnsi="宋体" w:cs="宋体"/>
          <w:bCs/>
          <w:color w:val="000000"/>
          <w:kern w:val="0"/>
          <w:lang w:val="zh-CN"/>
        </w:rPr>
        <w:t>开 户 行：</w:t>
      </w:r>
      <w:r>
        <w:rPr>
          <w:rFonts w:hint="eastAsia" w:ascii="宋体" w:hAnsi="Cambria" w:cs="宋体"/>
          <w:sz w:val="24"/>
          <w:lang w:val="zh-CN"/>
        </w:rPr>
        <w:t>青海西宁农村商业银行西川南路支行</w:t>
      </w:r>
    </w:p>
    <w:p>
      <w:pPr>
        <w:autoSpaceDE w:val="0"/>
        <w:autoSpaceDN w:val="0"/>
        <w:spacing w:line="360" w:lineRule="auto"/>
        <w:ind w:left="1440" w:leftChars="200" w:hanging="960" w:hangingChars="400"/>
        <w:rPr>
          <w:rFonts w:hint="eastAsia" w:ascii="宋体" w:hAnsi="宋体" w:cs="宋体"/>
          <w:bCs/>
          <w:color w:val="000000"/>
          <w:kern w:val="0"/>
          <w:lang w:val="zh-CN"/>
        </w:rPr>
      </w:pPr>
      <w:r>
        <w:rPr>
          <w:rFonts w:hint="eastAsia" w:ascii="宋体" w:hAnsi="宋体" w:cs="宋体"/>
          <w:bCs/>
          <w:color w:val="000000"/>
          <w:kern w:val="0"/>
          <w:lang w:val="zh-CN"/>
        </w:rPr>
        <w:t>银行账号：</w:t>
      </w:r>
      <w:r>
        <w:rPr>
          <w:rFonts w:hint="eastAsia" w:ascii="宋体" w:hAnsi="Cambria" w:cs="宋体"/>
          <w:sz w:val="24"/>
          <w:lang w:val="zh-CN"/>
        </w:rPr>
        <w:t>82010000000226026</w:t>
      </w:r>
    </w:p>
    <w:p>
      <w:pPr>
        <w:autoSpaceDE w:val="0"/>
        <w:autoSpaceDN w:val="0"/>
        <w:spacing w:line="360" w:lineRule="auto"/>
        <w:ind w:left="1440" w:leftChars="200" w:hanging="960" w:hangingChars="400"/>
        <w:rPr>
          <w:rFonts w:hint="eastAsia" w:ascii="宋体" w:hAnsi="宋体" w:cs="宋体"/>
          <w:bCs/>
          <w:color w:val="000000"/>
          <w:kern w:val="0"/>
          <w:lang w:val="zh-CN"/>
        </w:rPr>
      </w:pPr>
      <w:r>
        <w:rPr>
          <w:rFonts w:hint="eastAsia" w:ascii="宋体" w:hAnsi="宋体" w:cs="宋体"/>
          <w:bCs/>
          <w:color w:val="000000"/>
          <w:kern w:val="0"/>
          <w:lang w:val="zh-CN"/>
        </w:rPr>
        <w:t>交纳时间：</w:t>
      </w:r>
      <w:r>
        <w:rPr>
          <w:rFonts w:hint="eastAsia" w:ascii="宋体" w:hAnsi="宋体" w:cs="宋体"/>
          <w:bCs/>
          <w:color w:val="000000"/>
          <w:kern w:val="0"/>
          <w:lang w:val="en-US" w:eastAsia="zh-CN"/>
        </w:rPr>
        <w:t>投标截止时间前</w:t>
      </w:r>
      <w:r>
        <w:rPr>
          <w:rFonts w:hint="eastAsia" w:ascii="宋体" w:hAnsi="宋体" w:cs="宋体"/>
          <w:bCs/>
          <w:color w:val="000000"/>
          <w:kern w:val="0"/>
          <w:lang w:val="zh-CN"/>
        </w:rPr>
        <w:t>，以银行到账时间为准（北京时间）（缴纳投标保证金时须</w:t>
      </w:r>
    </w:p>
    <w:p>
      <w:pPr>
        <w:autoSpaceDE w:val="0"/>
        <w:autoSpaceDN w:val="0"/>
        <w:spacing w:line="360" w:lineRule="auto"/>
        <w:rPr>
          <w:rFonts w:hint="eastAsia" w:ascii="宋体" w:hAnsi="宋体" w:cs="宋体"/>
          <w:bCs/>
          <w:color w:val="000000"/>
          <w:kern w:val="0"/>
          <w:lang w:val="zh-CN"/>
        </w:rPr>
      </w:pPr>
      <w:r>
        <w:rPr>
          <w:rFonts w:hint="eastAsia" w:ascii="宋体" w:hAnsi="宋体" w:cs="宋体"/>
          <w:bCs/>
          <w:color w:val="000000"/>
          <w:kern w:val="0"/>
          <w:lang w:val="zh-CN"/>
        </w:rPr>
        <w:t>注明此次项目名称（可简写）及包号）。如采购项目变更开标时间，则保证金交纳时间相应顺延。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9.4投标有效期内投标人撤销投标文件的，采购人或者采购代理机构可以不退还投标保证金。</w:t>
      </w:r>
    </w:p>
    <w:p>
      <w:pPr>
        <w:pStyle w:val="36"/>
        <w:spacing w:before="0" w:after="0" w:line="360" w:lineRule="auto"/>
        <w:jc w:val="left"/>
        <w:rPr>
          <w:rFonts w:ascii="宋体" w:hAnsi="宋体" w:cs="宋体"/>
          <w:color w:val="000000"/>
          <w:lang w:val="zh-CN"/>
        </w:rPr>
      </w:pPr>
      <w:bookmarkStart w:id="14" w:name="_Toc11650"/>
      <w:r>
        <w:rPr>
          <w:rFonts w:hint="eastAsia" w:ascii="宋体" w:hAnsi="宋体" w:cs="宋体"/>
          <w:color w:val="000000"/>
          <w:sz w:val="28"/>
          <w:szCs w:val="28"/>
          <w:lang w:val="zh-CN"/>
        </w:rPr>
        <w:t>10.投标有效期</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从提交投标文件的截止之日起60</w:t>
      </w:r>
      <w:r>
        <w:rPr>
          <w:rFonts w:hint="eastAsia" w:ascii="宋体" w:hAnsi="宋体" w:cs="宋体"/>
          <w:color w:val="000000"/>
          <w:kern w:val="0"/>
          <w:lang w:val="zh-CN"/>
        </w:rPr>
        <w:t>日历日。</w:t>
      </w:r>
    </w:p>
    <w:p>
      <w:pPr>
        <w:pStyle w:val="36"/>
        <w:spacing w:before="0" w:after="0" w:line="360" w:lineRule="auto"/>
        <w:jc w:val="left"/>
        <w:rPr>
          <w:rFonts w:ascii="宋体" w:hAnsi="宋体" w:cs="宋体"/>
          <w:color w:val="000000"/>
          <w:lang w:val="zh-CN"/>
        </w:rPr>
      </w:pPr>
      <w:bookmarkStart w:id="15" w:name="_Toc4651"/>
      <w:r>
        <w:rPr>
          <w:rFonts w:hint="eastAsia" w:ascii="宋体" w:hAnsi="宋体" w:cs="宋体"/>
          <w:color w:val="000000"/>
          <w:sz w:val="28"/>
          <w:szCs w:val="28"/>
          <w:lang w:val="zh-CN"/>
        </w:rPr>
        <w:t>11.投标文件构成</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2"/>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11.2</w:t>
      </w:r>
      <w:r>
        <w:rPr>
          <w:rFonts w:hint="eastAsia" w:ascii="宋体" w:hAnsi="宋体" w:cs="宋体"/>
          <w:b/>
          <w:bCs/>
          <w:color w:val="000000"/>
          <w:kern w:val="0"/>
          <w:lang w:val="zh-CN"/>
        </w:rPr>
        <w:t>投标文件（下册）</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（11）评分对照表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（12）开标一览表（报价表）</w:t>
      </w:r>
    </w:p>
    <w:p>
      <w:pPr>
        <w:autoSpaceDE w:val="0"/>
        <w:autoSpaceDN w:val="0"/>
        <w:spacing w:line="360" w:lineRule="auto"/>
        <w:ind w:firstLine="480" w:firstLineChars="200"/>
        <w:rPr>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）服务响应表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4</w:t>
      </w:r>
      <w:r>
        <w:rPr>
          <w:rFonts w:hint="eastAsia" w:ascii="宋体" w:hAnsi="宋体" w:cs="宋体"/>
          <w:color w:val="000000"/>
          <w:kern w:val="0"/>
          <w:lang w:val="zh-CN"/>
        </w:rPr>
        <w:t>）</w:t>
      </w:r>
      <w:r>
        <w:rPr>
          <w:rFonts w:hint="eastAsia" w:ascii="宋体" w:hAnsi="宋体" w:cs="宋体"/>
          <w:kern w:val="0"/>
          <w:lang w:val="zh-CN"/>
        </w:rPr>
        <w:t>人员配置表</w:t>
      </w:r>
    </w:p>
    <w:p>
      <w:pPr>
        <w:autoSpaceDE w:val="0"/>
        <w:autoSpaceDN w:val="0"/>
        <w:spacing w:line="360" w:lineRule="auto"/>
        <w:ind w:firstLine="480" w:firstLineChars="200"/>
        <w:rPr>
          <w:lang w:val="zh-CN"/>
        </w:rPr>
      </w:pPr>
      <w:r>
        <w:rPr>
          <w:rFonts w:hint="eastAsia" w:ascii="宋体" w:hAnsi="宋体" w:cs="宋体"/>
          <w:kern w:val="0"/>
          <w:lang w:val="zh-CN"/>
        </w:rPr>
        <w:t>（</w:t>
      </w:r>
      <w:r>
        <w:rPr>
          <w:rFonts w:hint="eastAsia" w:ascii="宋体" w:hAnsi="宋体" w:cs="宋体"/>
          <w:kern w:val="0"/>
        </w:rPr>
        <w:t>15</w:t>
      </w:r>
      <w:r>
        <w:rPr>
          <w:rFonts w:hint="eastAsia" w:ascii="宋体" w:hAnsi="宋体" w:cs="宋体"/>
          <w:kern w:val="0"/>
          <w:lang w:val="zh-CN"/>
        </w:rPr>
        <w:t>）</w:t>
      </w:r>
      <w:r>
        <w:rPr>
          <w:rFonts w:hint="eastAsia" w:ascii="宋体" w:hAnsi="宋体" w:cs="宋体"/>
          <w:color w:val="000000"/>
          <w:kern w:val="0"/>
          <w:lang w:val="zh-CN"/>
        </w:rPr>
        <w:t>服务方案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）投标人的类似业绩证明材料</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）制造（生产）企业小型微型企业声明函、从业人员声明函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）残疾人福利性单位声明函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20</w:t>
      </w: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36"/>
        <w:spacing w:before="0" w:after="0" w:line="360" w:lineRule="auto"/>
        <w:jc w:val="left"/>
        <w:rPr>
          <w:rFonts w:ascii="宋体" w:hAnsi="宋体" w:cs="宋体"/>
          <w:color w:val="000000"/>
          <w:lang w:val="zh-CN"/>
        </w:rPr>
      </w:pPr>
      <w:bookmarkStart w:id="16" w:name="_Toc9846"/>
      <w:r>
        <w:rPr>
          <w:rFonts w:hint="eastAsia" w:ascii="宋体" w:hAnsi="宋体" w:cs="宋体"/>
          <w:color w:val="000000"/>
          <w:sz w:val="28"/>
          <w:szCs w:val="28"/>
          <w:lang w:val="zh-CN"/>
        </w:rPr>
        <w:t>12.投标文件的编制要求</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12.1投标人应按照招标文件所提供的投标文件格式，分别填写招标文件第四部分的内容，应分别注明所</w:t>
      </w:r>
      <w:r>
        <w:rPr>
          <w:rFonts w:hint="eastAsia" w:ascii="宋体" w:hAnsi="宋体" w:cs="宋体"/>
          <w:kern w:val="0"/>
          <w:lang w:val="zh-CN"/>
        </w:rPr>
        <w:t>提供货物的名称（服务内容）、技术配置及参数、数量</w:t>
      </w:r>
      <w:r>
        <w:rPr>
          <w:rFonts w:hint="eastAsia" w:ascii="宋体" w:hAnsi="宋体" w:cs="宋体"/>
          <w:color w:val="000000"/>
          <w:kern w:val="0"/>
          <w:lang w:val="zh-CN"/>
        </w:rPr>
        <w:t>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36"/>
        <w:spacing w:before="0" w:after="0" w:line="360" w:lineRule="auto"/>
        <w:rPr>
          <w:rFonts w:ascii="宋体" w:hAnsi="宋体" w:cs="宋体"/>
          <w:color w:val="000000"/>
        </w:rPr>
      </w:pPr>
      <w:bookmarkStart w:id="17" w:name="_Toc21746"/>
      <w:r>
        <w:rPr>
          <w:rFonts w:hint="eastAsia" w:ascii="宋体" w:hAnsi="宋体" w:cs="宋体"/>
          <w:color w:val="000000"/>
          <w:lang w:val="zh-CN"/>
        </w:rPr>
        <w:t>四、投标文件的提交</w:t>
      </w:r>
      <w:bookmarkEnd w:id="17"/>
    </w:p>
    <w:p>
      <w:pPr>
        <w:pStyle w:val="36"/>
        <w:spacing w:before="0" w:after="0" w:line="360" w:lineRule="auto"/>
        <w:jc w:val="left"/>
        <w:rPr>
          <w:rFonts w:ascii="宋体" w:hAnsi="宋体" w:cs="宋体"/>
          <w:color w:val="000000"/>
          <w:lang w:val="zh-CN"/>
        </w:rPr>
      </w:pPr>
      <w:bookmarkStart w:id="18" w:name="_Toc12507"/>
      <w:r>
        <w:rPr>
          <w:rFonts w:hint="eastAsia" w:ascii="宋体" w:hAnsi="宋体" w:cs="宋体"/>
          <w:color w:val="000000"/>
          <w:sz w:val="28"/>
          <w:szCs w:val="28"/>
          <w:lang w:val="zh-CN"/>
        </w:rPr>
        <w:t>13.投标文件的密封和标记</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、电子文档，应分别封装于不同的密封袋内，密封袋上应分别标上“正本”、“副本”、 “电子文档”字样，并注明投标人名称、采购项目编号、采购项目名称及分包号（如有分包）。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FF0000"/>
          <w:kern w:val="0"/>
          <w:lang w:val="zh-CN"/>
        </w:rPr>
      </w:pPr>
      <w:r>
        <w:rPr>
          <w:rFonts w:hint="eastAsia" w:ascii="宋体" w:hAnsi="宋体" w:cs="宋体"/>
          <w:color w:val="000000"/>
          <w:kern w:val="0"/>
          <w:lang w:val="zh-CN"/>
        </w:rPr>
        <w:t>13.2密封后的投标文件密封袋用“</w:t>
      </w:r>
      <w:r>
        <w:rPr>
          <w:rFonts w:hint="eastAsia" w:ascii="宋体" w:hAnsi="宋体" w:cs="宋体"/>
          <w:kern w:val="0"/>
          <w:lang w:val="zh-CN"/>
        </w:rPr>
        <w:t>于</w:t>
      </w:r>
      <w:r>
        <w:rPr>
          <w:rFonts w:hint="eastAsia" w:ascii="宋体" w:hAnsi="宋体" w:cs="宋体"/>
          <w:kern w:val="0"/>
        </w:rPr>
        <w:t>****</w:t>
      </w:r>
      <w:r>
        <w:rPr>
          <w:rFonts w:hint="eastAsia" w:ascii="宋体" w:hAnsi="宋体" w:cs="宋体"/>
          <w:kern w:val="0"/>
          <w:lang w:val="zh-CN"/>
        </w:rPr>
        <w:t>年</w:t>
      </w:r>
      <w:r>
        <w:rPr>
          <w:rFonts w:hint="eastAsia" w:ascii="宋体" w:hAnsi="宋体" w:cs="宋体"/>
          <w:kern w:val="0"/>
        </w:rPr>
        <w:t>**</w:t>
      </w:r>
      <w:r>
        <w:rPr>
          <w:rFonts w:hint="eastAsia" w:ascii="宋体" w:hAnsi="宋体" w:cs="宋体"/>
          <w:kern w:val="0"/>
          <w:lang w:val="zh-CN"/>
        </w:rPr>
        <w:t>月</w:t>
      </w:r>
      <w:r>
        <w:rPr>
          <w:rFonts w:hint="eastAsia" w:ascii="宋体" w:hAnsi="宋体" w:cs="宋体"/>
          <w:kern w:val="0"/>
        </w:rPr>
        <w:t>**</w:t>
      </w:r>
      <w:r>
        <w:rPr>
          <w:rFonts w:hint="eastAsia" w:ascii="宋体" w:hAnsi="宋体" w:cs="宋体"/>
          <w:kern w:val="0"/>
          <w:lang w:val="zh-CN"/>
        </w:rPr>
        <w:t>日</w:t>
      </w:r>
      <w:r>
        <w:rPr>
          <w:rFonts w:hint="eastAsia" w:ascii="宋体" w:hAnsi="宋体" w:cs="宋体"/>
          <w:kern w:val="0"/>
        </w:rPr>
        <w:t>**</w:t>
      </w:r>
      <w:r>
        <w:rPr>
          <w:rFonts w:hint="eastAsia" w:ascii="宋体" w:hAnsi="宋体" w:cs="宋体"/>
          <w:kern w:val="0"/>
          <w:lang w:val="zh-CN"/>
        </w:rPr>
        <w:t>时</w:t>
      </w:r>
      <w:r>
        <w:rPr>
          <w:rFonts w:hint="eastAsia" w:ascii="宋体" w:hAnsi="宋体" w:cs="宋体"/>
          <w:kern w:val="0"/>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w:t>
      </w:r>
      <w:r>
        <w:rPr>
          <w:rFonts w:hint="eastAsia" w:ascii="宋体" w:hAnsi="宋体" w:cs="宋体"/>
        </w:rPr>
        <w:t>（如果有）</w:t>
      </w:r>
      <w:r>
        <w:rPr>
          <w:rFonts w:hint="eastAsia" w:ascii="宋体" w:hAnsi="宋体" w:cs="宋体"/>
          <w:color w:val="000000"/>
        </w:rPr>
        <w:t>）。</w:t>
      </w:r>
    </w:p>
    <w:p>
      <w:pPr>
        <w:pStyle w:val="36"/>
        <w:spacing w:before="0" w:after="0" w:line="360" w:lineRule="auto"/>
        <w:jc w:val="left"/>
        <w:rPr>
          <w:rFonts w:ascii="宋体" w:hAnsi="宋体" w:cs="宋体"/>
          <w:color w:val="000000"/>
          <w:lang w:val="zh-CN"/>
        </w:rPr>
      </w:pPr>
      <w:bookmarkStart w:id="19" w:name="_Toc10936"/>
      <w:r>
        <w:rPr>
          <w:rFonts w:hint="eastAsia" w:ascii="宋体" w:hAnsi="宋体" w:cs="宋体"/>
          <w:color w:val="000000"/>
          <w:sz w:val="28"/>
          <w:szCs w:val="28"/>
          <w:lang w:val="zh-CN"/>
        </w:rPr>
        <w:t>14.提交投标文件的时间、地点、方式</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14.1投标人应当在招标文件要求提交投标文件的截止时间前半小时内，将投标文件（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在截止时间后送达的，采购人、采购机构应当拒收。</w:t>
      </w:r>
      <w:r>
        <w:rPr>
          <w:rFonts w:hint="eastAsia" w:ascii="宋体" w:hAnsi="宋体" w:cs="宋体"/>
          <w:color w:val="000000"/>
          <w:kern w:val="0"/>
          <w:lang w:val="zh-CN"/>
        </w:rPr>
        <w:t>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36"/>
        <w:spacing w:before="0" w:after="0" w:line="360" w:lineRule="auto"/>
        <w:jc w:val="left"/>
        <w:rPr>
          <w:rFonts w:ascii="宋体" w:hAnsi="宋体" w:cs="宋体"/>
          <w:color w:val="000000"/>
          <w:lang w:val="zh-CN"/>
        </w:rPr>
      </w:pPr>
      <w:bookmarkStart w:id="20" w:name="_Toc2376"/>
      <w:r>
        <w:rPr>
          <w:rFonts w:hint="eastAsia" w:ascii="宋体" w:hAnsi="宋体" w:cs="宋体"/>
          <w:color w:val="000000"/>
          <w:sz w:val="28"/>
          <w:szCs w:val="28"/>
          <w:lang w:val="zh-CN"/>
        </w:rPr>
        <w:t>15.投标文件的补充、修改或者撤回</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36"/>
        <w:spacing w:before="0" w:after="0" w:line="360" w:lineRule="auto"/>
        <w:rPr>
          <w:rFonts w:ascii="宋体" w:hAnsi="宋体" w:cs="宋体"/>
          <w:color w:val="000000"/>
          <w:highlight w:val="green"/>
        </w:rPr>
      </w:pPr>
      <w:bookmarkStart w:id="21" w:name="_Toc27220"/>
      <w:r>
        <w:rPr>
          <w:rFonts w:hint="eastAsia" w:ascii="宋体" w:hAnsi="宋体" w:cs="宋体"/>
          <w:color w:val="000000"/>
          <w:lang w:val="zh-CN"/>
        </w:rPr>
        <w:t>五、开标</w:t>
      </w:r>
      <w:bookmarkEnd w:id="21"/>
    </w:p>
    <w:p>
      <w:pPr>
        <w:pStyle w:val="36"/>
        <w:spacing w:before="0" w:after="0" w:line="360" w:lineRule="auto"/>
        <w:jc w:val="left"/>
        <w:rPr>
          <w:rFonts w:ascii="宋体" w:hAnsi="宋体" w:cs="宋体"/>
          <w:color w:val="000000"/>
          <w:lang w:val="zh-CN"/>
        </w:rPr>
      </w:pPr>
      <w:bookmarkStart w:id="22" w:name="_Toc28009"/>
      <w:r>
        <w:rPr>
          <w:rFonts w:hint="eastAsia" w:ascii="宋体" w:hAnsi="宋体" w:cs="宋体"/>
          <w:color w:val="000000"/>
          <w:sz w:val="28"/>
          <w:szCs w:val="28"/>
          <w:lang w:val="zh-CN"/>
        </w:rPr>
        <w:t>16.开标</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36"/>
        <w:spacing w:before="0" w:after="0" w:line="360" w:lineRule="auto"/>
        <w:rPr>
          <w:rFonts w:ascii="宋体" w:hAnsi="宋体" w:cs="宋体"/>
          <w:color w:val="000000"/>
          <w:kern w:val="0"/>
        </w:rPr>
      </w:pPr>
      <w:bookmarkStart w:id="23" w:name="_Toc496004006"/>
      <w:bookmarkStart w:id="24" w:name="_Toc23593"/>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3"/>
      <w:bookmarkEnd w:id="24"/>
    </w:p>
    <w:p>
      <w:pPr>
        <w:pStyle w:val="36"/>
        <w:spacing w:before="0" w:after="0" w:line="360" w:lineRule="auto"/>
        <w:jc w:val="left"/>
        <w:rPr>
          <w:rFonts w:ascii="宋体" w:hAnsi="宋体" w:cs="宋体"/>
          <w:color w:val="000000"/>
          <w:sz w:val="28"/>
          <w:szCs w:val="28"/>
        </w:rPr>
      </w:pPr>
      <w:bookmarkStart w:id="25" w:name="_Toc10204"/>
      <w:r>
        <w:rPr>
          <w:rFonts w:hint="eastAsia" w:ascii="宋体" w:hAnsi="宋体" w:cs="宋体"/>
          <w:color w:val="000000"/>
          <w:sz w:val="28"/>
          <w:szCs w:val="28"/>
        </w:rPr>
        <w:t>17.资格审查</w:t>
      </w:r>
      <w:bookmarkEnd w:id="2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6" w:name="_Toc497503516"/>
      <w:bookmarkStart w:id="27" w:name="_Toc497503449"/>
      <w:bookmarkStart w:id="28" w:name="_Toc497503315"/>
      <w:bookmarkStart w:id="29" w:name="_Toc30809"/>
      <w:bookmarkStart w:id="30" w:name="_Toc497503249"/>
      <w:r>
        <w:rPr>
          <w:rFonts w:hint="eastAsia" w:ascii="宋体" w:hAnsi="宋体" w:cs="宋体"/>
          <w:color w:val="000000"/>
          <w:kern w:val="0"/>
        </w:rPr>
        <w:t>17.3 资格审查时，投标人存在下列情况之一的，按无效投标处理：</w:t>
      </w:r>
      <w:bookmarkEnd w:id="26"/>
      <w:bookmarkEnd w:id="27"/>
      <w:bookmarkEnd w:id="28"/>
      <w:bookmarkEnd w:id="29"/>
      <w:bookmarkEnd w:id="30"/>
    </w:p>
    <w:p>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pStyle w:val="36"/>
        <w:spacing w:before="0" w:after="0" w:line="360" w:lineRule="auto"/>
        <w:rPr>
          <w:rFonts w:ascii="宋体" w:hAnsi="宋体" w:cs="宋体"/>
          <w:color w:val="000000"/>
        </w:rPr>
      </w:pPr>
      <w:bookmarkStart w:id="31" w:name="_Toc15645"/>
      <w:r>
        <w:rPr>
          <w:rFonts w:hint="eastAsia" w:ascii="宋体" w:hAnsi="宋体" w:cs="宋体"/>
          <w:color w:val="000000"/>
          <w:lang w:val="zh-CN"/>
        </w:rPr>
        <w:t>七、评审程序及方法</w:t>
      </w:r>
      <w:bookmarkEnd w:id="31"/>
    </w:p>
    <w:p>
      <w:pPr>
        <w:pStyle w:val="36"/>
        <w:spacing w:before="0" w:after="0" w:line="360" w:lineRule="auto"/>
        <w:jc w:val="left"/>
        <w:rPr>
          <w:rFonts w:ascii="宋体" w:hAnsi="宋体" w:cs="宋体"/>
          <w:color w:val="000000"/>
          <w:lang w:val="zh-CN"/>
        </w:rPr>
      </w:pPr>
      <w:bookmarkStart w:id="32" w:name="_Toc5054"/>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w:t>
      </w:r>
      <w:r>
        <w:rPr>
          <w:rFonts w:hint="eastAsia" w:ascii="宋体" w:hAnsi="宋体" w:cs="宋体"/>
          <w:color w:val="000000" w:themeColor="text1"/>
          <w:kern w:val="0"/>
          <w:lang w:val="zh-CN"/>
          <w14:textFill>
            <w14:solidFill>
              <w14:schemeClr w14:val="tx1"/>
            </w14:solidFill>
          </w14:textFill>
        </w:rPr>
        <w:t>，有</w:t>
      </w:r>
      <w:r>
        <w:rPr>
          <w:rFonts w:hint="eastAsia" w:ascii="宋体" w:hAnsi="宋体" w:cs="宋体"/>
          <w:color w:val="000000" w:themeColor="text1"/>
          <w:kern w:val="0"/>
          <w14:textFill>
            <w14:solidFill>
              <w14:schemeClr w14:val="tx1"/>
            </w14:solidFill>
          </w14:textFill>
        </w:rPr>
        <w:t>20.4</w:t>
      </w:r>
      <w:r>
        <w:rPr>
          <w:rFonts w:hint="eastAsia" w:ascii="宋体" w:hAnsi="宋体" w:cs="宋体"/>
          <w:color w:val="000000" w:themeColor="text1"/>
          <w:kern w:val="0"/>
          <w:lang w:val="zh-CN"/>
          <w14:textFill>
            <w14:solidFill>
              <w14:schemeClr w14:val="tx1"/>
            </w14:solidFill>
          </w14:textFill>
        </w:rPr>
        <w:t>规定情形的</w:t>
      </w:r>
      <w:r>
        <w:rPr>
          <w:rFonts w:hint="eastAsia" w:ascii="宋体" w:hAnsi="宋体" w:cs="宋体"/>
          <w:color w:val="000000"/>
          <w:kern w:val="0"/>
          <w:lang w:val="zh-CN"/>
        </w:rPr>
        <w:t>，要求评标委员会复核或者书面说明理由，评标委员会拒绝的，应予记录并向本级财政部门报告；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w:t>
      </w:r>
      <w:r>
        <w:rPr>
          <w:rFonts w:hint="eastAsia" w:ascii="宋体" w:hAnsi="宋体" w:cs="宋体"/>
          <w:color w:val="000000"/>
          <w:kern w:val="0"/>
        </w:rPr>
        <w:t>应当将变更、重新组建评标委员会的情况予以记录，并随采购文件一并存档。</w:t>
      </w:r>
    </w:p>
    <w:p>
      <w:pPr>
        <w:pStyle w:val="36"/>
        <w:spacing w:before="0" w:after="0" w:line="360" w:lineRule="auto"/>
        <w:jc w:val="left"/>
        <w:rPr>
          <w:rFonts w:ascii="宋体" w:hAnsi="宋体" w:cs="宋体"/>
          <w:color w:val="000000"/>
          <w:lang w:val="zh-CN"/>
        </w:rPr>
      </w:pPr>
      <w:bookmarkStart w:id="33" w:name="_Toc3676"/>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3"/>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 xml:space="preserve"> 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5"/>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服务期不能满足招标文件要求的；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服务响应内容未完全满足招标文件确定的重要技术指标、参数的；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19.6</w:t>
      </w:r>
      <w:r>
        <w:rPr>
          <w:rFonts w:hint="eastAsia" w:ascii="宋体" w:hAnsi="宋体" w:cs="宋体"/>
          <w:color w:val="000000"/>
          <w:shd w:val="clear" w:color="auto" w:fill="FFFFFF"/>
        </w:rPr>
        <w:t>使用综合评分法的采购项目，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spacing w:before="0" w:after="0" w:line="360" w:lineRule="auto"/>
        <w:jc w:val="left"/>
        <w:rPr>
          <w:rFonts w:ascii="宋体" w:hAnsi="宋体" w:cs="宋体"/>
          <w:color w:val="000000"/>
          <w:sz w:val="28"/>
          <w:szCs w:val="28"/>
          <w:lang w:val="zh-CN"/>
        </w:rPr>
      </w:pPr>
      <w:bookmarkStart w:id="34" w:name="_Toc7661"/>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.2本次评审方法采用综合评分法。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pPr>
      <w:r>
        <w:rPr>
          <w:rFonts w:hint="eastAsia" w:ascii="宋体" w:hAnsi="宋体" w:cs="宋体"/>
          <w:color w:val="000000"/>
          <w:shd w:val="clear" w:color="auto" w:fill="FFFFFF"/>
        </w:rPr>
        <w:t>评审因素的设定应当与投标人所提供服务的质量相关，包括投标报价、技术或者服务水平、履约能力、售后服务等。</w:t>
      </w:r>
      <w:r>
        <w:br w:type="page"/>
      </w:r>
    </w:p>
    <w:tbl>
      <w:tblPr>
        <w:tblStyle w:val="39"/>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0"/>
        <w:gridCol w:w="1500"/>
        <w:gridCol w:w="65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Align w:val="center"/>
          </w:tcPr>
          <w:p>
            <w:pPr>
              <w:keepNext w:val="0"/>
              <w:keepLines w:val="0"/>
              <w:suppressLineNumbers w:val="0"/>
              <w:autoSpaceDE w:val="0"/>
              <w:autoSpaceDN w:val="0"/>
              <w:spacing w:before="0" w:beforeAutospacing="0" w:after="0" w:afterAutospacing="0"/>
              <w:ind w:left="0" w:right="0" w:firstLine="199" w:firstLineChars="83"/>
              <w:rPr>
                <w:rFonts w:ascii="宋体" w:cs="Arial"/>
              </w:rPr>
            </w:pPr>
            <w:r>
              <w:rPr>
                <w:rFonts w:hint="eastAsia" w:ascii="宋体" w:hAnsi="宋体" w:cs="Arial"/>
              </w:rPr>
              <w:t>类别</w:t>
            </w:r>
          </w:p>
        </w:tc>
        <w:tc>
          <w:tcPr>
            <w:tcW w:w="1500" w:type="dxa"/>
            <w:vAlign w:val="center"/>
          </w:tcPr>
          <w:p>
            <w:pPr>
              <w:keepNext w:val="0"/>
              <w:keepLines w:val="0"/>
              <w:suppressLineNumbers w:val="0"/>
              <w:autoSpaceDE w:val="0"/>
              <w:autoSpaceDN w:val="0"/>
              <w:spacing w:before="0" w:beforeAutospacing="0" w:after="0" w:afterAutospacing="0"/>
              <w:ind w:left="0" w:right="0" w:firstLine="199" w:firstLineChars="83"/>
              <w:rPr>
                <w:rFonts w:ascii="宋体" w:cs="Arial"/>
              </w:rPr>
            </w:pPr>
            <w:r>
              <w:rPr>
                <w:rFonts w:hint="eastAsia" w:ascii="宋体" w:hAnsi="宋体" w:cs="Arial"/>
              </w:rPr>
              <w:t>项目</w:t>
            </w:r>
          </w:p>
        </w:tc>
        <w:tc>
          <w:tcPr>
            <w:tcW w:w="653" w:type="dxa"/>
            <w:vAlign w:val="center"/>
          </w:tcPr>
          <w:p>
            <w:pPr>
              <w:keepNext w:val="0"/>
              <w:keepLines w:val="0"/>
              <w:suppressLineNumbers w:val="0"/>
              <w:autoSpaceDE w:val="0"/>
              <w:autoSpaceDN w:val="0"/>
              <w:spacing w:before="0" w:beforeAutospacing="0" w:after="0" w:afterAutospacing="0"/>
              <w:ind w:left="0" w:right="0" w:firstLine="0" w:firstLineChars="0"/>
              <w:rPr>
                <w:rFonts w:ascii="宋体" w:cs="Arial"/>
              </w:rPr>
            </w:pPr>
            <w:r>
              <w:rPr>
                <w:rFonts w:hint="eastAsia" w:ascii="宋体" w:hAnsi="宋体" w:cs="Arial"/>
              </w:rPr>
              <w:t>满分分值</w:t>
            </w:r>
          </w:p>
        </w:tc>
        <w:tc>
          <w:tcPr>
            <w:tcW w:w="6372" w:type="dxa"/>
            <w:vAlign w:val="center"/>
          </w:tcPr>
          <w:p>
            <w:pPr>
              <w:keepNext w:val="0"/>
              <w:keepLines w:val="0"/>
              <w:suppressLineNumbers w:val="0"/>
              <w:autoSpaceDE w:val="0"/>
              <w:autoSpaceDN w:val="0"/>
              <w:spacing w:before="0" w:beforeAutospacing="0" w:after="0" w:afterAutospacing="0"/>
              <w:ind w:left="0" w:right="0" w:firstLine="480"/>
              <w:jc w:val="center"/>
              <w:rPr>
                <w:rFonts w:ascii="宋体" w:cs="Arial"/>
              </w:rPr>
            </w:pPr>
            <w:r>
              <w:rPr>
                <w:rFonts w:hint="eastAsia" w:ascii="宋体" w:hAnsi="宋体" w:cs="Aria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投标报价</w:t>
            </w:r>
            <w:r>
              <w:rPr>
                <w:rFonts w:ascii="宋体" w:hAnsi="宋体" w:cs="Arial"/>
              </w:rPr>
              <w:t>10</w:t>
            </w:r>
            <w:r>
              <w:rPr>
                <w:rFonts w:hint="eastAsia" w:ascii="宋体" w:hAnsi="宋体" w:cs="Arial"/>
              </w:rPr>
              <w:t>分</w:t>
            </w:r>
          </w:p>
        </w:tc>
        <w:tc>
          <w:tcPr>
            <w:tcW w:w="1500" w:type="dxa"/>
            <w:vAlign w:val="center"/>
          </w:tcPr>
          <w:p>
            <w:pPr>
              <w:keepNext w:val="0"/>
              <w:keepLines w:val="0"/>
              <w:suppressLineNumbers w:val="0"/>
              <w:autoSpaceDE w:val="0"/>
              <w:autoSpaceDN w:val="0"/>
              <w:spacing w:before="0" w:beforeAutospacing="0" w:after="0" w:afterAutospacing="0"/>
              <w:ind w:left="0" w:right="0" w:firstLine="199" w:firstLineChars="83"/>
              <w:jc w:val="center"/>
              <w:rPr>
                <w:rFonts w:ascii="宋体" w:cs="Arial"/>
              </w:rPr>
            </w:pPr>
            <w:r>
              <w:rPr>
                <w:rFonts w:hint="eastAsia" w:ascii="宋体" w:hAnsi="宋体" w:cs="Arial"/>
              </w:rPr>
              <w:t>报价分</w:t>
            </w:r>
          </w:p>
        </w:tc>
        <w:tc>
          <w:tcPr>
            <w:tcW w:w="653" w:type="dxa"/>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ascii="宋体" w:hAnsi="宋体" w:cs="Arial"/>
              </w:rPr>
              <w:t>10</w:t>
            </w:r>
          </w:p>
        </w:tc>
        <w:tc>
          <w:tcPr>
            <w:tcW w:w="6372" w:type="dxa"/>
            <w:vAlign w:val="center"/>
          </w:tcPr>
          <w:p>
            <w:pPr>
              <w:pStyle w:val="47"/>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在所有的有效报价中，以最低报价为基准价，其价格分为满分。其他供应商的报价分统一按下列公式计算：报价得分=(评标基准价／报价)×价格权值（10%）×100（四舍五入后保留小数点后两位）。</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hint="eastAsia" w:ascii="宋体" w:hAnsi="宋体" w:cs="宋体"/>
              </w:rPr>
              <w:t>注：（小型和微型企业产品的价格给予</w:t>
            </w:r>
            <w:r>
              <w:rPr>
                <w:rFonts w:ascii="宋体" w:hAnsi="宋体" w:cs="宋体"/>
              </w:rPr>
              <w:t>6</w:t>
            </w:r>
            <w:r>
              <w:rPr>
                <w:rFonts w:hint="eastAsia" w:ascii="宋体" w:hAnsi="宋体" w:cs="宋体"/>
              </w:rPr>
              <w:t>％的扣除，用扣除后的价格参与评审；残疾人福利性单位属于小型、微型企业的，不重复享受政策）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restart"/>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商务评价</w:t>
            </w:r>
            <w:r>
              <w:rPr>
                <w:rFonts w:ascii="宋体" w:hAnsi="宋体" w:cs="Arial"/>
              </w:rPr>
              <w:t>15</w:t>
            </w:r>
            <w:r>
              <w:rPr>
                <w:rFonts w:hint="eastAsia" w:ascii="宋体" w:hAnsi="宋体" w:cs="Arial"/>
              </w:rPr>
              <w:t>分</w:t>
            </w:r>
          </w:p>
        </w:tc>
        <w:tc>
          <w:tcPr>
            <w:tcW w:w="1500" w:type="dxa"/>
            <w:vAlign w:val="center"/>
          </w:tcPr>
          <w:p>
            <w:pPr>
              <w:keepNext w:val="0"/>
              <w:keepLines w:val="0"/>
              <w:suppressLineNumbers w:val="0"/>
              <w:autoSpaceDE w:val="0"/>
              <w:autoSpaceDN w:val="0"/>
              <w:snapToGrid w:val="0"/>
              <w:spacing w:before="0" w:beforeAutospacing="0" w:after="0" w:afterAutospacing="0" w:line="360" w:lineRule="auto"/>
              <w:ind w:left="0" w:right="0" w:firstLine="199" w:firstLineChars="83"/>
              <w:jc w:val="center"/>
              <w:rPr>
                <w:rFonts w:ascii="宋体" w:cs="Arial"/>
                <w:lang w:val="zh-CN"/>
              </w:rPr>
            </w:pPr>
            <w:r>
              <w:rPr>
                <w:rFonts w:hint="eastAsia" w:ascii="宋体" w:hAnsi="宋体" w:cs="Arial"/>
                <w:lang w:val="zh-CN"/>
              </w:rPr>
              <w:t>业绩情况</w:t>
            </w:r>
          </w:p>
        </w:tc>
        <w:tc>
          <w:tcPr>
            <w:tcW w:w="653" w:type="dxa"/>
            <w:vAlign w:val="center"/>
          </w:tcPr>
          <w:p>
            <w:pPr>
              <w:keepNext w:val="0"/>
              <w:keepLines w:val="0"/>
              <w:suppressLineNumbers w:val="0"/>
              <w:autoSpaceDE w:val="0"/>
              <w:autoSpaceDN w:val="0"/>
              <w:snapToGrid w:val="0"/>
              <w:spacing w:before="0" w:beforeAutospacing="0" w:after="0" w:afterAutospacing="0" w:line="360" w:lineRule="auto"/>
              <w:ind w:left="0" w:right="0" w:firstLine="0" w:firstLineChars="0"/>
              <w:jc w:val="center"/>
              <w:rPr>
                <w:rFonts w:ascii="宋体" w:cs="Arial"/>
              </w:rPr>
            </w:pPr>
            <w:r>
              <w:rPr>
                <w:rFonts w:ascii="宋体" w:hAnsi="宋体" w:cs="Arial"/>
              </w:rPr>
              <w:t>10</w:t>
            </w:r>
          </w:p>
        </w:tc>
        <w:tc>
          <w:tcPr>
            <w:tcW w:w="6372" w:type="dxa"/>
            <w:vAlign w:val="center"/>
          </w:tcPr>
          <w:p>
            <w:pPr>
              <w:keepNext w:val="0"/>
              <w:keepLines w:val="0"/>
              <w:suppressLineNumbers w:val="0"/>
              <w:spacing w:before="0" w:beforeAutospacing="0" w:after="0" w:afterAutospacing="0" w:line="360" w:lineRule="auto"/>
              <w:ind w:left="0" w:right="0" w:firstLine="0" w:firstLineChars="0"/>
              <w:rPr>
                <w:rFonts w:ascii="宋体" w:cs="宋体"/>
                <w:kern w:val="0"/>
              </w:rPr>
            </w:pPr>
            <w:r>
              <w:rPr>
                <w:rFonts w:hint="eastAsia"/>
                <w:color w:val="000000"/>
                <w:lang w:val="zh-CN"/>
              </w:rPr>
              <w:t>根据投标人提供</w:t>
            </w:r>
            <w:r>
              <w:rPr>
                <w:color w:val="000000"/>
                <w:lang w:val="zh-CN"/>
              </w:rPr>
              <w:t xml:space="preserve"> 2017</w:t>
            </w:r>
            <w:r>
              <w:rPr>
                <w:rFonts w:hint="eastAsia"/>
                <w:color w:val="000000"/>
                <w:lang w:val="zh-CN"/>
              </w:rPr>
              <w:t>年</w:t>
            </w:r>
            <w:r>
              <w:rPr>
                <w:color w:val="000000"/>
                <w:lang w:val="zh-CN"/>
              </w:rPr>
              <w:t>1</w:t>
            </w:r>
            <w:r>
              <w:rPr>
                <w:rFonts w:hint="eastAsia"/>
                <w:color w:val="000000"/>
                <w:lang w:val="zh-CN"/>
              </w:rPr>
              <w:t>月</w:t>
            </w:r>
            <w:r>
              <w:rPr>
                <w:color w:val="000000"/>
                <w:lang w:val="zh-CN"/>
              </w:rPr>
              <w:t>1</w:t>
            </w:r>
            <w:r>
              <w:rPr>
                <w:rFonts w:hint="eastAsia"/>
                <w:color w:val="000000"/>
                <w:lang w:val="zh-CN"/>
              </w:rPr>
              <w:t>日至投标截止日</w:t>
            </w:r>
            <w:r>
              <w:rPr>
                <w:color w:val="000000"/>
                <w:lang w:val="zh-CN"/>
              </w:rPr>
              <w:t>(</w:t>
            </w:r>
            <w:r>
              <w:rPr>
                <w:rFonts w:hint="eastAsia"/>
                <w:color w:val="000000"/>
                <w:lang w:val="zh-CN"/>
              </w:rPr>
              <w:t>以签订合同时间为准</w:t>
            </w:r>
            <w:r>
              <w:rPr>
                <w:color w:val="000000"/>
                <w:lang w:val="zh-CN"/>
              </w:rPr>
              <w:t>)</w:t>
            </w:r>
            <w:r>
              <w:rPr>
                <w:rFonts w:hint="eastAsia"/>
                <w:color w:val="000000"/>
                <w:lang w:val="zh-CN"/>
              </w:rPr>
              <w:t>己完成的或正在履行的类似的物业服务项目业绩为准，同时提供业主单位对该服务项目满意度评价相关资料，每提供一项业绩得</w:t>
            </w:r>
            <w:r>
              <w:rPr>
                <w:color w:val="000000"/>
                <w:lang w:val="zh-CN"/>
              </w:rPr>
              <w:t>1</w:t>
            </w:r>
            <w:r>
              <w:rPr>
                <w:rFonts w:hint="eastAsia"/>
                <w:color w:val="000000"/>
                <w:lang w:val="zh-CN"/>
              </w:rPr>
              <w:t>分，最高得</w:t>
            </w:r>
            <w:r>
              <w:rPr>
                <w:color w:val="000000"/>
                <w:lang w:val="zh-CN"/>
              </w:rPr>
              <w:t>10</w:t>
            </w:r>
            <w:r>
              <w:rPr>
                <w:rFonts w:hint="eastAsia"/>
                <w:color w:val="000000"/>
                <w:lang w:val="zh-CN"/>
              </w:rPr>
              <w:t>分。（提供首页、金额所在页、签字盖章页的合同和中标通知书、业主单位对该服务项目满意度评价相关资料复印或扫描件）。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lang w:val="zh-CN"/>
              </w:rPr>
            </w:pPr>
          </w:p>
        </w:tc>
        <w:tc>
          <w:tcPr>
            <w:tcW w:w="1500" w:type="dxa"/>
            <w:vAlign w:val="center"/>
          </w:tcPr>
          <w:p>
            <w:pPr>
              <w:keepNext w:val="0"/>
              <w:keepLines w:val="0"/>
              <w:suppressLineNumbers w:val="0"/>
              <w:spacing w:before="0" w:beforeAutospacing="0" w:after="0" w:afterAutospacing="0" w:line="360" w:lineRule="auto"/>
              <w:ind w:left="0" w:right="0" w:firstLine="0" w:firstLineChars="0"/>
              <w:jc w:val="center"/>
              <w:rPr>
                <w:color w:val="000000"/>
                <w:lang w:val="zh-CN"/>
              </w:rPr>
            </w:pPr>
            <w:r>
              <w:rPr>
                <w:rFonts w:hint="eastAsia"/>
                <w:color w:val="000000"/>
                <w:lang w:val="zh-CN"/>
              </w:rPr>
              <w:t>管理体系认证</w:t>
            </w:r>
          </w:p>
        </w:tc>
        <w:tc>
          <w:tcPr>
            <w:tcW w:w="653" w:type="dxa"/>
            <w:vAlign w:val="center"/>
          </w:tcPr>
          <w:p>
            <w:pPr>
              <w:keepNext w:val="0"/>
              <w:keepLines w:val="0"/>
              <w:suppressLineNumbers w:val="0"/>
              <w:spacing w:before="0" w:beforeAutospacing="0" w:after="0" w:afterAutospacing="0" w:line="360" w:lineRule="auto"/>
              <w:ind w:left="0" w:right="0" w:firstLine="0" w:firstLineChars="0"/>
              <w:jc w:val="center"/>
              <w:rPr>
                <w:color w:val="000000"/>
                <w:lang w:val="zh-CN"/>
              </w:rPr>
            </w:pPr>
            <w:r>
              <w:rPr>
                <w:rFonts w:ascii="宋体" w:hAnsi="宋体" w:cs="Arial"/>
              </w:rPr>
              <w:t>3</w:t>
            </w:r>
          </w:p>
        </w:tc>
        <w:tc>
          <w:tcPr>
            <w:tcW w:w="6372" w:type="dxa"/>
          </w:tcPr>
          <w:p>
            <w:pPr>
              <w:keepNext w:val="0"/>
              <w:keepLines w:val="0"/>
              <w:suppressLineNumbers w:val="0"/>
              <w:spacing w:before="0" w:beforeAutospacing="0" w:after="0" w:afterAutospacing="0" w:line="360" w:lineRule="auto"/>
              <w:ind w:left="0" w:right="0" w:firstLine="0" w:firstLineChars="0"/>
              <w:rPr>
                <w:color w:val="000000"/>
                <w:lang w:val="zh-CN"/>
              </w:rPr>
            </w:pPr>
            <w:r>
              <w:rPr>
                <w:rFonts w:hint="eastAsia"/>
                <w:color w:val="000000"/>
                <w:lang w:val="zh-CN"/>
              </w:rPr>
              <w:t>通过质量管理体系认证、职业健康安全管理体系认证，环境管理体系认证，并在认证有效期内的，每通过</w:t>
            </w:r>
            <w:r>
              <w:rPr>
                <w:color w:val="000000"/>
                <w:lang w:val="zh-CN"/>
              </w:rPr>
              <w:t xml:space="preserve"> 1</w:t>
            </w:r>
            <w:r>
              <w:rPr>
                <w:rFonts w:hint="eastAsia"/>
                <w:color w:val="000000"/>
                <w:lang w:val="zh-CN"/>
              </w:rPr>
              <w:t>项得</w:t>
            </w:r>
            <w:r>
              <w:rPr>
                <w:color w:val="000000"/>
                <w:lang w:val="zh-CN"/>
              </w:rPr>
              <w:t>1</w:t>
            </w:r>
            <w:r>
              <w:rPr>
                <w:rFonts w:hint="eastAsia"/>
                <w:color w:val="000000"/>
                <w:lang w:val="zh-CN"/>
              </w:rPr>
              <w:t>分，最高得</w:t>
            </w:r>
            <w:r>
              <w:rPr>
                <w:color w:val="000000"/>
                <w:lang w:val="zh-CN"/>
              </w:rPr>
              <w:t>3</w:t>
            </w:r>
            <w:r>
              <w:rPr>
                <w:rFonts w:hint="eastAsia"/>
                <w:color w:val="000000"/>
                <w:lang w:val="zh-CN"/>
              </w:rPr>
              <w:t>分。提供复印或扫描件。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lang w:val="zh-CN"/>
              </w:rPr>
            </w:pPr>
          </w:p>
        </w:tc>
        <w:tc>
          <w:tcPr>
            <w:tcW w:w="1500" w:type="dxa"/>
            <w:vAlign w:val="center"/>
          </w:tcPr>
          <w:p>
            <w:pPr>
              <w:keepNext w:val="0"/>
              <w:keepLines w:val="0"/>
              <w:suppressLineNumbers w:val="0"/>
              <w:autoSpaceDE w:val="0"/>
              <w:autoSpaceDN w:val="0"/>
              <w:snapToGrid w:val="0"/>
              <w:spacing w:before="0" w:beforeAutospacing="0" w:after="0" w:afterAutospacing="0" w:line="360" w:lineRule="auto"/>
              <w:ind w:left="0" w:right="0" w:firstLine="0" w:firstLineChars="0"/>
              <w:jc w:val="center"/>
              <w:rPr>
                <w:rFonts w:ascii="宋体" w:cs="Arial"/>
                <w:lang w:val="zh-CN"/>
              </w:rPr>
            </w:pPr>
            <w:r>
              <w:rPr>
                <w:rFonts w:hint="eastAsia" w:ascii="宋体" w:hAnsi="宋体" w:cs="Arial"/>
                <w:lang w:val="zh-CN"/>
              </w:rPr>
              <w:t>响应文件规范性响应程度</w:t>
            </w:r>
          </w:p>
        </w:tc>
        <w:tc>
          <w:tcPr>
            <w:tcW w:w="653" w:type="dxa"/>
            <w:vAlign w:val="center"/>
          </w:tcPr>
          <w:p>
            <w:pPr>
              <w:keepNext w:val="0"/>
              <w:keepLines w:val="0"/>
              <w:suppressLineNumbers w:val="0"/>
              <w:autoSpaceDE w:val="0"/>
              <w:autoSpaceDN w:val="0"/>
              <w:snapToGrid w:val="0"/>
              <w:spacing w:before="0" w:beforeAutospacing="0" w:after="0" w:afterAutospacing="0" w:line="360" w:lineRule="auto"/>
              <w:ind w:left="0" w:right="0" w:firstLine="199" w:firstLineChars="83"/>
              <w:rPr>
                <w:rFonts w:ascii="宋体" w:cs="Arial"/>
                <w:lang w:val="zh-CN"/>
              </w:rPr>
            </w:pPr>
            <w:r>
              <w:rPr>
                <w:rFonts w:ascii="宋体" w:hAnsi="宋体" w:cs="Arial"/>
                <w:lang w:val="zh-CN"/>
              </w:rPr>
              <w:t>2</w:t>
            </w:r>
          </w:p>
        </w:tc>
        <w:tc>
          <w:tcPr>
            <w:tcW w:w="6372" w:type="dxa"/>
            <w:vAlign w:val="center"/>
          </w:tcPr>
          <w:p>
            <w:pPr>
              <w:keepNext w:val="0"/>
              <w:keepLines w:val="0"/>
              <w:suppressLineNumbers w:val="0"/>
              <w:autoSpaceDE w:val="0"/>
              <w:autoSpaceDN w:val="0"/>
              <w:adjustRightInd w:val="0"/>
              <w:spacing w:before="0" w:beforeAutospacing="0" w:after="0" w:afterAutospacing="0"/>
              <w:ind w:left="0" w:right="0" w:firstLine="0" w:firstLineChars="0"/>
              <w:jc w:val="left"/>
              <w:rPr>
                <w:rFonts w:ascii="宋体" w:cs="宋体"/>
                <w:lang w:val="zh-CN"/>
              </w:rPr>
            </w:pPr>
            <w:r>
              <w:rPr>
                <w:rFonts w:hint="eastAsia" w:ascii="宋体" w:hAnsi="宋体" w:cs="宋体"/>
                <w:color w:val="000000"/>
                <w:lang w:val="zh-CN"/>
              </w:rPr>
              <w:t>完全响应招标文件格式要求编排者得</w:t>
            </w:r>
            <w:r>
              <w:rPr>
                <w:rFonts w:ascii="宋体" w:hAnsi="宋体" w:cs="宋体"/>
                <w:color w:val="000000"/>
                <w:lang w:val="zh-CN"/>
              </w:rPr>
              <w:t>2</w:t>
            </w:r>
            <w:r>
              <w:rPr>
                <w:rFonts w:hint="eastAsia" w:ascii="宋体" w:hAnsi="宋体" w:cs="宋体"/>
                <w:color w:val="000000"/>
                <w:lang w:val="zh-CN"/>
              </w:rPr>
              <w:t>分；反之不得分。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restart"/>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技术水平</w:t>
            </w:r>
            <w:r>
              <w:rPr>
                <w:rFonts w:ascii="宋体" w:hAnsi="宋体" w:cs="Arial"/>
              </w:rPr>
              <w:t>7</w:t>
            </w:r>
            <w:r>
              <w:rPr>
                <w:rFonts w:hint="eastAsia" w:ascii="宋体" w:hAnsi="宋体" w:cs="Arial"/>
                <w:lang w:val="en-US" w:eastAsia="zh-CN"/>
              </w:rPr>
              <w:t>5</w:t>
            </w:r>
            <w:r>
              <w:rPr>
                <w:rFonts w:hint="eastAsia" w:ascii="宋体" w:hAnsi="宋体" w:cs="Arial"/>
              </w:rPr>
              <w:t>分</w:t>
            </w:r>
          </w:p>
        </w:tc>
        <w:tc>
          <w:tcPr>
            <w:tcW w:w="1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firstLine="0" w:firstLineChars="0"/>
              <w:jc w:val="center"/>
              <w:rPr>
                <w:rFonts w:ascii="宋体" w:cs="Arial"/>
              </w:rPr>
            </w:pPr>
            <w:r>
              <w:rPr>
                <w:rFonts w:hint="eastAsia" w:ascii="宋体" w:hAnsi="宋体" w:cs="Arial"/>
              </w:rPr>
              <w:t>综合能力、服务体系及规章制度</w:t>
            </w:r>
          </w:p>
        </w:tc>
        <w:tc>
          <w:tcPr>
            <w:tcW w:w="653" w:type="dxa"/>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ascii="宋体" w:hAnsi="宋体" w:cs="Arial"/>
              </w:rPr>
              <w:t>50</w:t>
            </w:r>
          </w:p>
        </w:tc>
        <w:tc>
          <w:tcPr>
            <w:tcW w:w="6372" w:type="dxa"/>
            <w:vAlign w:val="center"/>
          </w:tcPr>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ascii="宋体" w:hAnsi="宋体" w:cs="Arial"/>
              </w:rPr>
              <w:t>1</w:t>
            </w:r>
            <w:r>
              <w:rPr>
                <w:rFonts w:hint="eastAsia" w:ascii="宋体" w:hAnsi="宋体" w:cs="Arial"/>
              </w:rPr>
              <w:t>、岗位设置合理，有明确的部门职责，工作流程完整、科学、可行，各类规章制度健全规范，针对物业</w:t>
            </w:r>
            <w:r>
              <w:rPr>
                <w:rFonts w:hint="eastAsia" w:ascii="宋体" w:hAnsi="宋体" w:cs="Arial"/>
                <w:lang w:val="en-US" w:eastAsia="zh-CN"/>
              </w:rPr>
              <w:t>项目</w:t>
            </w:r>
            <w:r>
              <w:rPr>
                <w:rFonts w:hint="eastAsia" w:ascii="宋体" w:hAnsi="宋体" w:cs="Arial"/>
              </w:rPr>
              <w:t>所做的规划客观、明确的，得</w:t>
            </w:r>
            <w:r>
              <w:rPr>
                <w:rFonts w:ascii="宋体" w:hAnsi="宋体" w:cs="Arial"/>
              </w:rPr>
              <w:t>10</w:t>
            </w:r>
            <w:r>
              <w:rPr>
                <w:rFonts w:hint="eastAsia" w:ascii="宋体" w:hAnsi="宋体" w:cs="Arial"/>
              </w:rPr>
              <w:t>分，针对物业</w:t>
            </w:r>
            <w:r>
              <w:rPr>
                <w:rFonts w:hint="eastAsia" w:ascii="宋体" w:hAnsi="宋体" w:cs="Arial"/>
                <w:lang w:val="en-US" w:eastAsia="zh-CN"/>
              </w:rPr>
              <w:t>项目</w:t>
            </w:r>
            <w:r>
              <w:rPr>
                <w:rFonts w:hint="eastAsia" w:ascii="宋体" w:hAnsi="宋体" w:cs="Arial"/>
              </w:rPr>
              <w:t>所做的规划较客观、明确的，得</w:t>
            </w:r>
            <w:r>
              <w:rPr>
                <w:rFonts w:hint="eastAsia" w:ascii="宋体" w:hAnsi="宋体" w:cs="Arial"/>
                <w:lang w:val="en-US" w:eastAsia="zh-CN"/>
              </w:rPr>
              <w:t>6</w:t>
            </w:r>
            <w:r>
              <w:rPr>
                <w:rFonts w:hint="eastAsia" w:ascii="宋体" w:hAnsi="宋体" w:cs="Arial"/>
              </w:rPr>
              <w:t>分，针对物业所做的规划欠缺的，得</w:t>
            </w:r>
            <w:r>
              <w:rPr>
                <w:rFonts w:hint="eastAsia" w:ascii="宋体" w:hAnsi="宋体" w:cs="Arial"/>
                <w:lang w:val="en-US" w:eastAsia="zh-CN"/>
              </w:rPr>
              <w:t>3</w:t>
            </w:r>
            <w:r>
              <w:rPr>
                <w:rFonts w:hint="eastAsia" w:ascii="宋体" w:hAnsi="宋体" w:cs="Arial"/>
              </w:rPr>
              <w:t>分，不提供不得分。</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ascii="宋体" w:hAnsi="宋体" w:cs="Arial"/>
              </w:rPr>
              <w:t>2</w:t>
            </w:r>
            <w:r>
              <w:rPr>
                <w:rFonts w:hint="eastAsia" w:ascii="宋体" w:hAnsi="宋体" w:cs="Arial"/>
              </w:rPr>
              <w:t>、</w:t>
            </w:r>
            <w:r>
              <w:rPr>
                <w:rFonts w:hint="eastAsia" w:ascii="宋体" w:hAnsi="宋体"/>
                <w:color w:val="000000"/>
                <w:szCs w:val="21"/>
              </w:rPr>
              <w:t>根据拟投入本项目负责人、现场技术负责人以及其他现场人员的专业技术水平、相关资质证书、业绩及工作年限等方面进行评分，</w:t>
            </w:r>
            <w:r>
              <w:rPr>
                <w:rFonts w:hint="eastAsia" w:ascii="宋体" w:hAnsi="宋体"/>
                <w:color w:val="000000"/>
                <w:szCs w:val="21"/>
                <w:lang w:val="en-US" w:eastAsia="zh-CN"/>
              </w:rPr>
              <w:t>3</w:t>
            </w:r>
            <w:r>
              <w:rPr>
                <w:rFonts w:ascii="宋体" w:hAnsi="宋体"/>
                <w:color w:val="000000"/>
                <w:szCs w:val="21"/>
              </w:rPr>
              <w:t>5</w:t>
            </w:r>
            <w:r>
              <w:rPr>
                <w:rFonts w:hint="eastAsia" w:ascii="宋体" w:hAnsi="宋体"/>
                <w:color w:val="000000"/>
                <w:szCs w:val="21"/>
              </w:rPr>
              <w:t>人以上得</w:t>
            </w:r>
            <w:r>
              <w:rPr>
                <w:rFonts w:ascii="宋体" w:hAnsi="宋体"/>
                <w:color w:val="000000"/>
                <w:szCs w:val="21"/>
              </w:rPr>
              <w:t>10</w:t>
            </w:r>
            <w:r>
              <w:rPr>
                <w:rFonts w:hint="eastAsia" w:ascii="宋体" w:hAnsi="宋体"/>
                <w:color w:val="000000"/>
                <w:szCs w:val="21"/>
              </w:rPr>
              <w:t>分，</w:t>
            </w:r>
            <w:r>
              <w:rPr>
                <w:rFonts w:hint="eastAsia" w:ascii="宋体" w:hAnsi="宋体"/>
                <w:color w:val="000000"/>
                <w:szCs w:val="21"/>
                <w:lang w:val="en-US" w:eastAsia="zh-CN"/>
              </w:rPr>
              <w:t>20</w:t>
            </w:r>
            <w:r>
              <w:rPr>
                <w:rFonts w:ascii="宋体" w:hAnsi="宋体"/>
                <w:color w:val="000000"/>
                <w:szCs w:val="21"/>
              </w:rPr>
              <w:t>-</w:t>
            </w:r>
            <w:r>
              <w:rPr>
                <w:rFonts w:hint="eastAsia" w:ascii="宋体" w:hAnsi="宋体"/>
                <w:color w:val="000000"/>
                <w:szCs w:val="21"/>
                <w:lang w:val="en-US" w:eastAsia="zh-CN"/>
              </w:rPr>
              <w:t>34</w:t>
            </w:r>
            <w:r>
              <w:rPr>
                <w:rFonts w:hint="eastAsia" w:ascii="宋体" w:hAnsi="宋体"/>
                <w:color w:val="000000"/>
                <w:szCs w:val="21"/>
              </w:rPr>
              <w:t>人得</w:t>
            </w:r>
            <w:r>
              <w:rPr>
                <w:rFonts w:ascii="宋体" w:hAnsi="宋体"/>
                <w:color w:val="000000"/>
                <w:szCs w:val="21"/>
              </w:rPr>
              <w:t>6</w:t>
            </w:r>
            <w:r>
              <w:rPr>
                <w:rFonts w:hint="eastAsia" w:ascii="宋体" w:hAnsi="宋体"/>
                <w:color w:val="000000"/>
                <w:szCs w:val="21"/>
              </w:rPr>
              <w:t>分，</w:t>
            </w:r>
            <w:r>
              <w:rPr>
                <w:rFonts w:hint="eastAsia" w:ascii="宋体" w:hAnsi="宋体"/>
                <w:color w:val="000000"/>
                <w:szCs w:val="21"/>
                <w:lang w:val="en-US" w:eastAsia="zh-CN"/>
              </w:rPr>
              <w:t>20</w:t>
            </w:r>
            <w:r>
              <w:rPr>
                <w:rFonts w:hint="eastAsia" w:ascii="宋体" w:hAnsi="宋体"/>
                <w:color w:val="000000"/>
                <w:szCs w:val="21"/>
              </w:rPr>
              <w:t>人以下得</w:t>
            </w:r>
            <w:r>
              <w:rPr>
                <w:rFonts w:ascii="宋体" w:hAnsi="宋体"/>
                <w:color w:val="000000"/>
                <w:szCs w:val="21"/>
              </w:rPr>
              <w:t>3</w:t>
            </w:r>
            <w:r>
              <w:rPr>
                <w:rFonts w:hint="eastAsia" w:ascii="宋体" w:hAnsi="宋体"/>
                <w:color w:val="000000"/>
                <w:szCs w:val="21"/>
              </w:rPr>
              <w:t>分，未提供的不得分。</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ascii="宋体" w:hAnsi="宋体" w:cs="Arial"/>
              </w:rPr>
              <w:t>3</w:t>
            </w:r>
            <w:r>
              <w:rPr>
                <w:rFonts w:hint="eastAsia" w:ascii="宋体" w:hAnsi="宋体" w:cs="Arial"/>
              </w:rPr>
              <w:t>、</w:t>
            </w:r>
            <w:r>
              <w:rPr>
                <w:rFonts w:hint="eastAsia" w:ascii="宋体" w:hAnsi="宋体" w:cs="宋体"/>
                <w:color w:val="000000"/>
              </w:rPr>
              <w:t>人员配备齐全、岗责明确、持证上岗，员工培训方案科学、合理的得</w:t>
            </w:r>
            <w:r>
              <w:rPr>
                <w:rFonts w:ascii="宋体" w:hAnsi="宋体" w:cs="宋体"/>
                <w:color w:val="000000"/>
              </w:rPr>
              <w:t>10</w:t>
            </w:r>
            <w:r>
              <w:rPr>
                <w:rFonts w:hint="eastAsia" w:ascii="宋体" w:hAnsi="宋体" w:cs="宋体"/>
                <w:color w:val="000000"/>
              </w:rPr>
              <w:t>分</w:t>
            </w:r>
            <w:r>
              <w:rPr>
                <w:rFonts w:hint="eastAsia" w:ascii="宋体" w:hAnsi="宋体" w:cs="宋体"/>
                <w:color w:val="000000"/>
                <w:lang w:eastAsia="zh-CN"/>
              </w:rPr>
              <w:t>；</w:t>
            </w:r>
            <w:r>
              <w:rPr>
                <w:rFonts w:hint="eastAsia" w:ascii="宋体" w:hAnsi="宋体" w:cs="宋体"/>
                <w:color w:val="000000"/>
              </w:rPr>
              <w:t>人员配备</w:t>
            </w:r>
            <w:r>
              <w:rPr>
                <w:rFonts w:hint="eastAsia" w:ascii="宋体" w:hAnsi="宋体" w:cs="宋体"/>
                <w:color w:val="000000"/>
                <w:lang w:val="en-US" w:eastAsia="zh-CN"/>
              </w:rPr>
              <w:t>有</w:t>
            </w:r>
            <w:r>
              <w:rPr>
                <w:rFonts w:hint="eastAsia" w:ascii="宋体" w:hAnsi="宋体" w:cs="宋体"/>
                <w:color w:val="000000"/>
              </w:rPr>
              <w:t>、岗责明确、持证上岗，员工培训方案科学、较合理的得</w:t>
            </w:r>
            <w:r>
              <w:rPr>
                <w:rFonts w:hint="eastAsia" w:ascii="宋体" w:hAnsi="宋体" w:cs="宋体"/>
                <w:color w:val="000000"/>
                <w:lang w:val="en-US" w:eastAsia="zh-CN"/>
              </w:rPr>
              <w:t>6</w:t>
            </w:r>
            <w:r>
              <w:rPr>
                <w:rFonts w:hint="eastAsia" w:ascii="宋体" w:hAnsi="宋体" w:cs="宋体"/>
                <w:color w:val="000000"/>
              </w:rPr>
              <w:t>分，人员配备</w:t>
            </w:r>
            <w:r>
              <w:rPr>
                <w:rFonts w:hint="eastAsia" w:ascii="宋体" w:hAnsi="宋体" w:cs="宋体"/>
                <w:color w:val="000000"/>
                <w:lang w:val="en-US" w:eastAsia="zh-CN"/>
              </w:rPr>
              <w:t>不</w:t>
            </w:r>
            <w:r>
              <w:rPr>
                <w:rFonts w:hint="eastAsia" w:ascii="宋体" w:hAnsi="宋体" w:cs="宋体"/>
                <w:color w:val="000000"/>
              </w:rPr>
              <w:t>齐全、岗责明确、持证上岗，员工培训方案科学、一般的得</w:t>
            </w:r>
            <w:r>
              <w:rPr>
                <w:rFonts w:hint="eastAsia" w:ascii="宋体" w:hAnsi="宋体" w:cs="宋体"/>
                <w:color w:val="000000"/>
                <w:lang w:val="en-US" w:eastAsia="zh-CN"/>
              </w:rPr>
              <w:t>3</w:t>
            </w:r>
            <w:r>
              <w:rPr>
                <w:rFonts w:hint="eastAsia" w:ascii="宋体" w:hAnsi="宋体" w:cs="宋体"/>
                <w:color w:val="000000"/>
              </w:rPr>
              <w:t>分；未提供不得分。</w:t>
            </w:r>
            <w:r>
              <w:rPr>
                <w:rFonts w:hint="eastAsia" w:ascii="宋体" w:hAnsi="宋体" w:cs="Arial"/>
              </w:rPr>
              <w:t>提供相关证明材料。</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ascii="宋体" w:hAnsi="宋体" w:cs="Arial"/>
              </w:rPr>
              <w:t>4</w:t>
            </w:r>
            <w:r>
              <w:rPr>
                <w:rFonts w:hint="eastAsia" w:ascii="宋体" w:hAnsi="宋体" w:cs="Arial"/>
              </w:rPr>
              <w:t>、供应商对整个项目实施、具体措施及保障等方面，提供具体实施方案的，完全满足</w:t>
            </w:r>
            <w:r>
              <w:rPr>
                <w:rFonts w:hint="eastAsia" w:ascii="宋体" w:hAnsi="宋体" w:cs="Arial"/>
                <w:lang w:val="en-US" w:eastAsia="zh-CN"/>
              </w:rPr>
              <w:t>招标</w:t>
            </w:r>
            <w:r>
              <w:rPr>
                <w:rFonts w:hint="eastAsia" w:ascii="宋体" w:hAnsi="宋体" w:cs="Arial"/>
              </w:rPr>
              <w:t>文件的要求，方案全面且详细的得</w:t>
            </w:r>
            <w:r>
              <w:rPr>
                <w:rFonts w:ascii="宋体" w:hAnsi="宋体" w:cs="Arial"/>
              </w:rPr>
              <w:t>10</w:t>
            </w:r>
            <w:r>
              <w:rPr>
                <w:rFonts w:hint="eastAsia" w:ascii="宋体" w:hAnsi="宋体" w:cs="Arial"/>
              </w:rPr>
              <w:t>分；方案合理</w:t>
            </w:r>
            <w:r>
              <w:rPr>
                <w:rFonts w:hint="eastAsia" w:ascii="宋体" w:hAnsi="宋体" w:cs="Arial"/>
                <w:lang w:eastAsia="zh-CN"/>
              </w:rPr>
              <w:t>，</w:t>
            </w:r>
            <w:r>
              <w:rPr>
                <w:rFonts w:hint="eastAsia" w:ascii="宋体" w:hAnsi="宋体" w:cs="Arial"/>
                <w:lang w:val="en-US" w:eastAsia="zh-CN"/>
              </w:rPr>
              <w:t>但有细微不足的</w:t>
            </w:r>
            <w:r>
              <w:rPr>
                <w:rFonts w:hint="eastAsia" w:ascii="宋体" w:hAnsi="宋体" w:cs="Arial"/>
              </w:rPr>
              <w:t>得</w:t>
            </w:r>
            <w:r>
              <w:rPr>
                <w:rFonts w:ascii="宋体" w:hAnsi="宋体" w:cs="Arial"/>
              </w:rPr>
              <w:t>7</w:t>
            </w:r>
            <w:r>
              <w:rPr>
                <w:rFonts w:hint="eastAsia" w:ascii="宋体" w:hAnsi="宋体" w:cs="Arial"/>
              </w:rPr>
              <w:t>分；方案不合理的，得</w:t>
            </w:r>
            <w:r>
              <w:rPr>
                <w:rFonts w:ascii="宋体" w:hAnsi="宋体" w:cs="Arial"/>
              </w:rPr>
              <w:t>2</w:t>
            </w:r>
            <w:r>
              <w:rPr>
                <w:rFonts w:hint="eastAsia" w:ascii="宋体" w:hAnsi="宋体" w:cs="Arial"/>
              </w:rPr>
              <w:t>分；未提供或其他情况不得分；</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ascii="宋体" w:hAnsi="宋体" w:cs="Arial"/>
              </w:rPr>
              <w:t>5</w:t>
            </w:r>
            <w:r>
              <w:rPr>
                <w:rFonts w:hint="eastAsia" w:ascii="宋体" w:hAnsi="宋体" w:cs="Arial"/>
              </w:rPr>
              <w:t>、保证服务质量要求，</w:t>
            </w:r>
            <w:r>
              <w:rPr>
                <w:rFonts w:hint="eastAsia" w:ascii="宋体" w:hAnsi="宋体"/>
              </w:rPr>
              <w:t>服务起点高，定位明确，针对性强，</w:t>
            </w:r>
            <w:r>
              <w:rPr>
                <w:rFonts w:hint="eastAsia" w:ascii="宋体" w:hAnsi="宋体" w:cs="Arial"/>
              </w:rPr>
              <w:t>得</w:t>
            </w:r>
            <w:r>
              <w:rPr>
                <w:rFonts w:ascii="宋体" w:hAnsi="宋体" w:cs="Arial"/>
              </w:rPr>
              <w:t>10</w:t>
            </w:r>
            <w:r>
              <w:rPr>
                <w:rFonts w:hint="eastAsia" w:ascii="宋体" w:hAnsi="宋体" w:cs="Arial"/>
              </w:rPr>
              <w:t>分；保证服务质量要求合理的，得</w:t>
            </w:r>
            <w:r>
              <w:rPr>
                <w:rFonts w:ascii="宋体" w:hAnsi="宋体" w:cs="Arial"/>
              </w:rPr>
              <w:t>5</w:t>
            </w:r>
            <w:r>
              <w:rPr>
                <w:rFonts w:hint="eastAsia" w:ascii="宋体" w:hAnsi="宋体" w:cs="Arial"/>
              </w:rPr>
              <w:t>分；保证服务质量要求较差的，得</w:t>
            </w:r>
            <w:r>
              <w:rPr>
                <w:rFonts w:ascii="宋体" w:hAnsi="宋体" w:cs="Arial"/>
              </w:rPr>
              <w:t>2</w:t>
            </w:r>
            <w:r>
              <w:rPr>
                <w:rFonts w:hint="eastAsia" w:ascii="宋体" w:hAnsi="宋体" w:cs="Arial"/>
              </w:rPr>
              <w:t>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480"/>
              <w:jc w:val="center"/>
              <w:rPr>
                <w:rFonts w:ascii="宋体" w:cs="Arial"/>
              </w:rPr>
            </w:pPr>
          </w:p>
        </w:tc>
        <w:tc>
          <w:tcPr>
            <w:tcW w:w="1500" w:type="dxa"/>
            <w:tcMar>
              <w:top w:w="0" w:type="dxa"/>
              <w:left w:w="0" w:type="dxa"/>
              <w:bottom w:w="0" w:type="dxa"/>
              <w:right w:w="0" w:type="dxa"/>
            </w:tcMar>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设备保障措施</w:t>
            </w:r>
          </w:p>
        </w:tc>
        <w:tc>
          <w:tcPr>
            <w:tcW w:w="653" w:type="dxa"/>
            <w:vAlign w:val="center"/>
          </w:tcPr>
          <w:p>
            <w:pPr>
              <w:keepNext w:val="0"/>
              <w:keepLines w:val="0"/>
              <w:suppressLineNumbers w:val="0"/>
              <w:autoSpaceDE w:val="0"/>
              <w:autoSpaceDN w:val="0"/>
              <w:spacing w:before="0" w:beforeAutospacing="0" w:after="0" w:afterAutospacing="0"/>
              <w:ind w:left="0" w:right="0" w:firstLine="0" w:firstLineChars="0"/>
              <w:jc w:val="center"/>
              <w:rPr>
                <w:rFonts w:hint="eastAsia" w:ascii="宋体" w:eastAsia="宋体" w:cs="Arial"/>
                <w:lang w:eastAsia="zh-CN"/>
              </w:rPr>
            </w:pPr>
            <w:r>
              <w:rPr>
                <w:rFonts w:hint="eastAsia" w:ascii="宋体" w:hAnsi="宋体" w:cs="Arial"/>
                <w:lang w:val="en-US" w:eastAsia="zh-CN"/>
              </w:rPr>
              <w:t>5</w:t>
            </w:r>
          </w:p>
        </w:tc>
        <w:tc>
          <w:tcPr>
            <w:tcW w:w="6372" w:type="dxa"/>
            <w:vAlign w:val="center"/>
          </w:tcPr>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hint="eastAsia" w:ascii="宋体" w:hAnsi="宋体" w:cs="Arial"/>
              </w:rPr>
              <w:t>设备、器具配置齐全、合理，能满足项目要求和服务质量要求，明确的，得</w:t>
            </w:r>
            <w:r>
              <w:rPr>
                <w:rFonts w:hint="eastAsia" w:ascii="宋体" w:hAnsi="宋体" w:cs="Arial"/>
                <w:lang w:val="en-US" w:eastAsia="zh-CN"/>
              </w:rPr>
              <w:t>5</w:t>
            </w:r>
            <w:r>
              <w:rPr>
                <w:rFonts w:hint="eastAsia" w:ascii="宋体" w:hAnsi="宋体" w:cs="Arial"/>
              </w:rPr>
              <w:t>分；项目要求和服务质量要求合理的，得</w:t>
            </w:r>
            <w:r>
              <w:rPr>
                <w:rFonts w:hint="eastAsia" w:ascii="宋体" w:hAnsi="宋体" w:cs="Arial"/>
                <w:lang w:val="en-US" w:eastAsia="zh-CN"/>
              </w:rPr>
              <w:t>3</w:t>
            </w:r>
            <w:r>
              <w:rPr>
                <w:rFonts w:hint="eastAsia" w:ascii="宋体" w:hAnsi="宋体" w:cs="Arial"/>
              </w:rPr>
              <w:t>分；项目要求和服务质量要求不合理的，得</w:t>
            </w:r>
            <w:r>
              <w:rPr>
                <w:rFonts w:hint="eastAsia" w:ascii="宋体" w:hAnsi="宋体" w:cs="Arial"/>
                <w:lang w:val="en-US" w:eastAsia="zh-CN"/>
              </w:rPr>
              <w:t>1</w:t>
            </w:r>
            <w:r>
              <w:rPr>
                <w:rFonts w:hint="eastAsia" w:ascii="宋体" w:hAnsi="宋体" w:cs="Arial"/>
              </w:rPr>
              <w:t>分；未提供或其他情况不得分。（供应商需提供设备及机具相关证明材料）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480"/>
              <w:jc w:val="center"/>
              <w:rPr>
                <w:rFonts w:ascii="宋体" w:cs="Arial"/>
              </w:rPr>
            </w:pPr>
          </w:p>
        </w:tc>
        <w:tc>
          <w:tcPr>
            <w:tcW w:w="1500" w:type="dxa"/>
            <w:tcMar>
              <w:top w:w="0" w:type="dxa"/>
              <w:left w:w="0" w:type="dxa"/>
              <w:bottom w:w="0" w:type="dxa"/>
              <w:right w:w="0" w:type="dxa"/>
            </w:tcMar>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应急预案</w:t>
            </w:r>
          </w:p>
        </w:tc>
        <w:tc>
          <w:tcPr>
            <w:tcW w:w="653" w:type="dxa"/>
            <w:vAlign w:val="center"/>
          </w:tcPr>
          <w:p>
            <w:pPr>
              <w:keepNext w:val="0"/>
              <w:keepLines w:val="0"/>
              <w:widowControl/>
              <w:suppressLineNumbers w:val="0"/>
              <w:spacing w:before="0" w:beforeAutospacing="0" w:after="0" w:afterAutospacing="0" w:line="360" w:lineRule="auto"/>
              <w:ind w:left="0" w:right="0" w:firstLine="0" w:firstLineChars="0"/>
              <w:jc w:val="center"/>
              <w:rPr>
                <w:rFonts w:hint="default" w:ascii="宋体" w:eastAsia="宋体" w:cs="宋体"/>
                <w:lang w:val="en-US" w:eastAsia="zh-CN"/>
              </w:rPr>
            </w:pPr>
            <w:r>
              <w:rPr>
                <w:rFonts w:hint="eastAsia" w:ascii="宋体" w:hAnsi="宋体" w:cs="宋体"/>
                <w:lang w:val="en-US" w:eastAsia="zh-CN"/>
              </w:rPr>
              <w:t>10</w:t>
            </w:r>
          </w:p>
        </w:tc>
        <w:tc>
          <w:tcPr>
            <w:tcW w:w="6372" w:type="dxa"/>
            <w:vAlign w:val="center"/>
          </w:tcPr>
          <w:p>
            <w:pPr>
              <w:pStyle w:val="2"/>
              <w:keepNext w:val="0"/>
              <w:keepLines w:val="0"/>
              <w:suppressLineNumbers w:val="0"/>
              <w:spacing w:before="0" w:beforeAutospacing="0" w:after="0" w:afterAutospacing="0" w:line="36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包括但不限于：</w:t>
            </w:r>
          </w:p>
          <w:p>
            <w:pPr>
              <w:pStyle w:val="2"/>
              <w:keepNext w:val="0"/>
              <w:keepLines w:val="0"/>
              <w:suppressLineNumbers w:val="0"/>
              <w:tabs>
                <w:tab w:val="left" w:pos="360"/>
              </w:tabs>
              <w:spacing w:before="0" w:beforeAutospacing="0" w:after="0" w:afterAutospacing="0" w:line="36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火灾应急预案</w:t>
            </w:r>
          </w:p>
          <w:p>
            <w:pPr>
              <w:pStyle w:val="2"/>
              <w:keepNext w:val="0"/>
              <w:keepLines w:val="0"/>
              <w:suppressLineNumbers w:val="0"/>
              <w:tabs>
                <w:tab w:val="left" w:pos="360"/>
              </w:tabs>
              <w:spacing w:before="0" w:beforeAutospacing="0" w:after="0" w:afterAutospacing="0" w:line="36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停电应急预案</w:t>
            </w:r>
          </w:p>
          <w:p>
            <w:pPr>
              <w:pStyle w:val="2"/>
              <w:keepNext w:val="0"/>
              <w:keepLines w:val="0"/>
              <w:suppressLineNumbers w:val="0"/>
              <w:tabs>
                <w:tab w:val="left" w:pos="360"/>
              </w:tabs>
              <w:spacing w:before="0" w:beforeAutospacing="0" w:after="0" w:afterAutospacing="0" w:line="36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电梯困人应急预案</w:t>
            </w:r>
          </w:p>
          <w:p>
            <w:pPr>
              <w:pStyle w:val="2"/>
              <w:keepNext w:val="0"/>
              <w:keepLines w:val="0"/>
              <w:suppressLineNumbers w:val="0"/>
              <w:tabs>
                <w:tab w:val="left" w:pos="360"/>
              </w:tabs>
              <w:spacing w:before="0" w:beforeAutospacing="0" w:after="0" w:afterAutospacing="0" w:line="360" w:lineRule="auto"/>
              <w:ind w:left="0" w:right="0" w:firstLine="0" w:firstLineChars="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跑水应急预案</w:t>
            </w:r>
          </w:p>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hint="eastAsia" w:ascii="宋体" w:hAnsi="宋体" w:cs="宋体"/>
                <w:color w:val="000000"/>
              </w:rPr>
              <w:t>群体性事件、突发性公共事件的应急预案及处置方案，根据应急处理预案全面性、安全性、预见性进行综合分析比较评分的得</w:t>
            </w:r>
            <w:r>
              <w:rPr>
                <w:rFonts w:hint="eastAsia" w:ascii="宋体"/>
                <w:lang w:val="en-US" w:eastAsia="zh-CN"/>
              </w:rPr>
              <w:t>10</w:t>
            </w:r>
            <w:r>
              <w:rPr>
                <w:rFonts w:hint="eastAsia" w:ascii="宋体"/>
              </w:rPr>
              <w:t>分；</w:t>
            </w:r>
            <w:r>
              <w:rPr>
                <w:rFonts w:hint="eastAsia" w:ascii="宋体" w:hAnsi="宋体" w:cs="宋体"/>
                <w:color w:val="000000"/>
              </w:rPr>
              <w:t>应急处理预案全面性、安全性、预见性进行综合分析比较评分</w:t>
            </w:r>
            <w:r>
              <w:rPr>
                <w:rFonts w:hint="eastAsia"/>
                <w:spacing w:val="-2"/>
              </w:rPr>
              <w:t>内容</w:t>
            </w:r>
            <w:r>
              <w:rPr>
                <w:rFonts w:hint="eastAsia"/>
                <w:spacing w:val="-4"/>
              </w:rPr>
              <w:t>基本完整得</w:t>
            </w:r>
            <w:r>
              <w:rPr>
                <w:rFonts w:hint="eastAsia"/>
                <w:spacing w:val="-3"/>
                <w:lang w:val="en-US" w:eastAsia="zh-CN"/>
              </w:rPr>
              <w:t>6</w:t>
            </w:r>
            <w:r>
              <w:rPr>
                <w:rFonts w:hint="eastAsia"/>
              </w:rPr>
              <w:t>分；</w:t>
            </w:r>
            <w:r>
              <w:rPr>
                <w:rFonts w:hint="eastAsia" w:ascii="宋体" w:hAnsi="宋体" w:cs="宋体"/>
                <w:color w:val="000000"/>
              </w:rPr>
              <w:t>应急处理预案全面性、安全性、预见性进行综合分析比较评分</w:t>
            </w:r>
            <w:r>
              <w:rPr>
                <w:rFonts w:hint="eastAsia"/>
              </w:rPr>
              <w:t>基本满足需求得</w:t>
            </w:r>
            <w:r>
              <w:rPr>
                <w:rFonts w:hint="eastAsia"/>
                <w:lang w:val="en-US" w:eastAsia="zh-CN"/>
              </w:rPr>
              <w:t>2</w:t>
            </w:r>
            <w:r>
              <w:rPr>
                <w:rFonts w:hint="eastAsia"/>
              </w:rPr>
              <w:t>分，</w:t>
            </w:r>
            <w:r>
              <w:rPr>
                <w:rFonts w:hint="eastAsia" w:ascii="宋体" w:hAnsi="宋体" w:cs="宋体"/>
                <w:color w:val="000000"/>
                <w:lang w:val="zh-CN"/>
              </w:rPr>
              <w:t>反之不得分。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480"/>
              <w:jc w:val="center"/>
              <w:rPr>
                <w:rFonts w:ascii="宋体" w:cs="Arial"/>
              </w:rPr>
            </w:pPr>
          </w:p>
        </w:tc>
        <w:tc>
          <w:tcPr>
            <w:tcW w:w="1500" w:type="dxa"/>
            <w:tcMar>
              <w:top w:w="0" w:type="dxa"/>
              <w:left w:w="0" w:type="dxa"/>
              <w:bottom w:w="0" w:type="dxa"/>
              <w:right w:w="0" w:type="dxa"/>
            </w:tcMar>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rPr>
            </w:pPr>
            <w:r>
              <w:rPr>
                <w:rFonts w:hint="eastAsia" w:ascii="宋体" w:hAnsi="宋体" w:cs="Arial"/>
              </w:rPr>
              <w:t>本地化服务</w:t>
            </w:r>
          </w:p>
        </w:tc>
        <w:tc>
          <w:tcPr>
            <w:tcW w:w="653" w:type="dxa"/>
            <w:vAlign w:val="center"/>
          </w:tcPr>
          <w:p>
            <w:pPr>
              <w:keepNext w:val="0"/>
              <w:keepLines w:val="0"/>
              <w:widowControl/>
              <w:suppressLineNumbers w:val="0"/>
              <w:spacing w:before="0" w:beforeAutospacing="0" w:after="0" w:afterAutospacing="0" w:line="360" w:lineRule="auto"/>
              <w:ind w:left="0" w:right="0" w:firstLine="0" w:firstLineChars="0"/>
              <w:jc w:val="center"/>
              <w:rPr>
                <w:rFonts w:ascii="宋体" w:cs="Arial"/>
              </w:rPr>
            </w:pPr>
            <w:r>
              <w:rPr>
                <w:rFonts w:ascii="宋体" w:hAnsi="宋体" w:cs="Arial"/>
              </w:rPr>
              <w:t>5</w:t>
            </w:r>
          </w:p>
        </w:tc>
        <w:tc>
          <w:tcPr>
            <w:tcW w:w="6372" w:type="dxa"/>
            <w:vAlign w:val="center"/>
          </w:tcPr>
          <w:p>
            <w:pPr>
              <w:keepNext w:val="0"/>
              <w:keepLines w:val="0"/>
              <w:suppressLineNumbers w:val="0"/>
              <w:autoSpaceDE w:val="0"/>
              <w:autoSpaceDN w:val="0"/>
              <w:spacing w:before="0" w:beforeAutospacing="0" w:after="0" w:afterAutospacing="0" w:line="360" w:lineRule="auto"/>
              <w:ind w:left="0" w:right="0" w:firstLine="0" w:firstLineChars="0"/>
              <w:rPr>
                <w:rFonts w:ascii="宋体" w:cs="Arial"/>
              </w:rPr>
            </w:pPr>
            <w:r>
              <w:rPr>
                <w:rFonts w:hint="eastAsia" w:ascii="宋体" w:hAnsi="宋体" w:cs="宋体"/>
                <w:lang w:val="zh-CN"/>
              </w:rPr>
              <w:t>投标供应商为项目所在地</w:t>
            </w:r>
            <w:r>
              <w:rPr>
                <w:rFonts w:hint="eastAsia" w:ascii="宋体" w:hAnsi="宋体" w:cs="宋体"/>
                <w:lang w:val="en-US" w:eastAsia="zh-CN"/>
              </w:rPr>
              <w:t>设立</w:t>
            </w:r>
            <w:r>
              <w:rPr>
                <w:rFonts w:hint="eastAsia" w:ascii="宋体" w:hAnsi="宋体" w:cs="宋体"/>
                <w:lang w:val="zh-CN"/>
              </w:rPr>
              <w:t>服务机构的得</w:t>
            </w:r>
            <w:r>
              <w:rPr>
                <w:rFonts w:ascii="宋体" w:hAnsi="宋体" w:cs="宋体"/>
                <w:lang w:val="zh-CN"/>
              </w:rPr>
              <w:t>5</w:t>
            </w:r>
            <w:r>
              <w:rPr>
                <w:rFonts w:hint="eastAsia" w:ascii="宋体" w:hAnsi="宋体" w:cs="宋体"/>
                <w:lang w:val="zh-CN"/>
              </w:rPr>
              <w:t>分；有委托服务机构的得</w:t>
            </w:r>
            <w:r>
              <w:rPr>
                <w:rFonts w:ascii="宋体" w:hAnsi="宋体" w:cs="宋体"/>
                <w:lang w:val="zh-CN"/>
              </w:rPr>
              <w:t>2</w:t>
            </w:r>
            <w:r>
              <w:rPr>
                <w:rFonts w:hint="eastAsia" w:ascii="宋体" w:hAnsi="宋体" w:cs="宋体"/>
                <w:lang w:val="zh-CN"/>
              </w:rPr>
              <w:t>分；没有的不得分。（须提供营业执照或民非企业登记证书；服务机构须提供服务协议。）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vAlign w:val="center"/>
          </w:tcPr>
          <w:p>
            <w:pPr>
              <w:keepNext w:val="0"/>
              <w:keepLines w:val="0"/>
              <w:suppressLineNumbers w:val="0"/>
              <w:autoSpaceDE w:val="0"/>
              <w:autoSpaceDN w:val="0"/>
              <w:spacing w:before="0" w:beforeAutospacing="0" w:after="0" w:afterAutospacing="0"/>
              <w:ind w:left="0" w:right="0" w:firstLine="480"/>
              <w:jc w:val="center"/>
              <w:rPr>
                <w:rFonts w:ascii="宋体" w:cs="Arial"/>
              </w:rPr>
            </w:pPr>
          </w:p>
        </w:tc>
        <w:tc>
          <w:tcPr>
            <w:tcW w:w="1500" w:type="dxa"/>
            <w:tcMar>
              <w:top w:w="0" w:type="dxa"/>
              <w:left w:w="0" w:type="dxa"/>
              <w:bottom w:w="0" w:type="dxa"/>
              <w:right w:w="0" w:type="dxa"/>
            </w:tcMar>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lang w:val="zh-CN"/>
              </w:rPr>
            </w:pPr>
            <w:r>
              <w:rPr>
                <w:rFonts w:hint="eastAsia" w:ascii="宋体" w:hAnsi="宋体" w:cs="Arial"/>
                <w:lang w:val="zh-CN"/>
              </w:rPr>
              <w:t>增值服务方案</w:t>
            </w:r>
          </w:p>
        </w:tc>
        <w:tc>
          <w:tcPr>
            <w:tcW w:w="653" w:type="dxa"/>
            <w:vAlign w:val="center"/>
          </w:tcPr>
          <w:p>
            <w:pPr>
              <w:keepNext w:val="0"/>
              <w:keepLines w:val="0"/>
              <w:suppressLineNumbers w:val="0"/>
              <w:autoSpaceDE w:val="0"/>
              <w:autoSpaceDN w:val="0"/>
              <w:spacing w:before="0" w:beforeAutospacing="0" w:after="0" w:afterAutospacing="0"/>
              <w:ind w:left="0" w:right="0" w:firstLine="0" w:firstLineChars="0"/>
              <w:jc w:val="center"/>
              <w:rPr>
                <w:rFonts w:ascii="宋体" w:cs="Arial"/>
                <w:lang w:val="zh-CN"/>
              </w:rPr>
            </w:pPr>
            <w:r>
              <w:rPr>
                <w:rFonts w:ascii="宋体" w:hAnsi="宋体" w:cs="Arial"/>
              </w:rPr>
              <w:t>5</w:t>
            </w:r>
          </w:p>
        </w:tc>
        <w:tc>
          <w:tcPr>
            <w:tcW w:w="6372" w:type="dxa"/>
          </w:tcPr>
          <w:p>
            <w:pPr>
              <w:keepNext w:val="0"/>
              <w:keepLines w:val="0"/>
              <w:suppressLineNumbers w:val="0"/>
              <w:autoSpaceDE w:val="0"/>
              <w:autoSpaceDN w:val="0"/>
              <w:spacing w:before="0" w:beforeAutospacing="0" w:after="0" w:afterAutospacing="0"/>
              <w:ind w:left="0" w:right="0" w:firstLine="0" w:firstLineChars="0"/>
              <w:rPr>
                <w:rFonts w:ascii="宋体" w:cs="Arial"/>
                <w:lang w:val="zh-CN"/>
              </w:rPr>
            </w:pPr>
            <w:r>
              <w:rPr>
                <w:rFonts w:hint="eastAsia" w:ascii="宋体" w:hAnsi="宋体" w:cs="Arial"/>
                <w:lang w:val="zh-CN"/>
              </w:rPr>
              <w:t>根据本项目物业管理服务提出切实可行的承诺，增值服务方案科学合理，具有操作性，内容完整得</w:t>
            </w:r>
            <w:r>
              <w:rPr>
                <w:rFonts w:ascii="宋体" w:hAnsi="宋体" w:cs="Arial"/>
              </w:rPr>
              <w:t>5</w:t>
            </w:r>
            <w:r>
              <w:rPr>
                <w:rFonts w:hint="eastAsia" w:ascii="宋体" w:hAnsi="宋体" w:cs="Arial"/>
                <w:lang w:val="zh-CN"/>
              </w:rPr>
              <w:t>分；</w:t>
            </w:r>
            <w:r>
              <w:rPr>
                <w:rFonts w:ascii="宋体" w:hAnsi="宋体" w:cs="Arial"/>
                <w:lang w:val="zh-CN"/>
              </w:rPr>
              <w:t xml:space="preserve"> </w:t>
            </w:r>
            <w:r>
              <w:rPr>
                <w:rFonts w:hint="eastAsia" w:ascii="宋体" w:hAnsi="宋体" w:cs="Arial"/>
                <w:lang w:val="zh-CN"/>
              </w:rPr>
              <w:t>增值服务方案合理，具有操作性，内容基本完整得</w:t>
            </w:r>
            <w:r>
              <w:rPr>
                <w:rFonts w:ascii="宋体" w:hAnsi="宋体" w:cs="Arial"/>
                <w:lang w:val="zh-CN"/>
              </w:rPr>
              <w:t xml:space="preserve"> 3</w:t>
            </w:r>
            <w:r>
              <w:rPr>
                <w:rFonts w:hint="eastAsia" w:ascii="宋体" w:hAnsi="宋体" w:cs="Arial"/>
                <w:lang w:val="zh-CN"/>
              </w:rPr>
              <w:t>分；增值服务方案合理，方案基本满足需求得</w:t>
            </w:r>
            <w:r>
              <w:rPr>
                <w:rFonts w:ascii="宋体" w:hAnsi="宋体" w:cs="Arial"/>
                <w:lang w:val="zh-CN"/>
              </w:rPr>
              <w:t xml:space="preserve"> 1</w:t>
            </w:r>
            <w:r>
              <w:rPr>
                <w:rFonts w:hint="eastAsia" w:ascii="宋体" w:hAnsi="宋体" w:cs="Arial"/>
                <w:lang w:val="zh-CN"/>
              </w:rPr>
              <w:t>分，反之不得分。</w:t>
            </w:r>
          </w:p>
        </w:tc>
      </w:tr>
    </w:tbl>
    <w:p>
      <w:pPr>
        <w:tabs>
          <w:tab w:val="left" w:pos="2867"/>
        </w:tabs>
        <w:spacing w:line="360" w:lineRule="auto"/>
      </w:pPr>
    </w:p>
    <w:p>
      <w:pPr>
        <w:pStyle w:val="34"/>
      </w:pPr>
    </w:p>
    <w:p>
      <w:pPr>
        <w:tabs>
          <w:tab w:val="left" w:pos="2867"/>
        </w:tabs>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240" w:firstLineChars="1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7"/>
      </w:pPr>
    </w:p>
    <w:p>
      <w:pPr>
        <w:pStyle w:val="36"/>
        <w:spacing w:before="0" w:after="0" w:line="360" w:lineRule="auto"/>
        <w:rPr>
          <w:rFonts w:ascii="宋体" w:hAnsi="宋体" w:cs="宋体"/>
          <w:color w:val="000000"/>
          <w:lang w:val="zh-CN"/>
        </w:rPr>
      </w:pPr>
      <w:bookmarkStart w:id="35" w:name="_Toc16429"/>
      <w:r>
        <w:rPr>
          <w:rFonts w:hint="eastAsia" w:ascii="宋体" w:hAnsi="宋体" w:cs="宋体"/>
          <w:color w:val="000000"/>
          <w:lang w:val="zh-CN"/>
        </w:rPr>
        <w:t>八、中标</w:t>
      </w:r>
      <w:bookmarkEnd w:id="35"/>
    </w:p>
    <w:p>
      <w:pPr>
        <w:pStyle w:val="36"/>
        <w:spacing w:before="0" w:after="0" w:line="360" w:lineRule="auto"/>
        <w:jc w:val="left"/>
        <w:rPr>
          <w:rFonts w:ascii="宋体" w:hAnsi="宋体" w:cs="宋体"/>
          <w:color w:val="000000"/>
          <w:lang w:val="zh-CN"/>
        </w:rPr>
      </w:pPr>
      <w:bookmarkStart w:id="36" w:name="_Toc14598"/>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6"/>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36"/>
        <w:spacing w:before="0" w:after="0" w:line="360" w:lineRule="auto"/>
        <w:jc w:val="left"/>
        <w:rPr>
          <w:rFonts w:ascii="宋体" w:hAnsi="宋体" w:cs="宋体"/>
          <w:color w:val="000000"/>
          <w:lang w:val="zh-CN"/>
        </w:rPr>
      </w:pPr>
      <w:bookmarkStart w:id="37" w:name="_Toc3081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36"/>
        <w:spacing w:before="0" w:after="0" w:line="360" w:lineRule="auto"/>
        <w:rPr>
          <w:rFonts w:ascii="宋体" w:hAnsi="宋体" w:cs="宋体"/>
          <w:color w:val="000000"/>
          <w:lang w:val="zh-CN"/>
        </w:rPr>
      </w:pPr>
      <w:bookmarkStart w:id="38" w:name="_Toc8874"/>
      <w:r>
        <w:rPr>
          <w:rFonts w:hint="eastAsia" w:ascii="宋体" w:hAnsi="宋体" w:cs="宋体"/>
          <w:color w:val="000000"/>
          <w:lang w:val="zh-CN"/>
        </w:rPr>
        <w:t>九、授予合同</w:t>
      </w:r>
      <w:bookmarkEnd w:id="38"/>
    </w:p>
    <w:p>
      <w:pPr>
        <w:pStyle w:val="36"/>
        <w:spacing w:before="0" w:after="0" w:line="360" w:lineRule="auto"/>
        <w:jc w:val="left"/>
        <w:rPr>
          <w:rFonts w:ascii="宋体" w:hAnsi="宋体" w:cs="宋体"/>
          <w:color w:val="000000"/>
          <w:kern w:val="0"/>
          <w:sz w:val="24"/>
        </w:rPr>
      </w:pPr>
      <w:bookmarkStart w:id="39" w:name="_Toc30982"/>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23.10 采购人、采购代理机构应当建立真实完整的招标采购档案，妥善保存每项采购活动的采购文件。</w:t>
      </w:r>
    </w:p>
    <w:p>
      <w:pPr>
        <w:pStyle w:val="36"/>
        <w:spacing w:before="0" w:after="0" w:line="360" w:lineRule="auto"/>
        <w:rPr>
          <w:rFonts w:ascii="宋体" w:hAnsi="宋体" w:cs="宋体"/>
          <w:color w:val="000000"/>
          <w:lang w:val="zh-CN"/>
        </w:rPr>
      </w:pPr>
      <w:bookmarkStart w:id="40" w:name="_Toc2957"/>
      <w:r>
        <w:rPr>
          <w:rFonts w:hint="eastAsia" w:ascii="宋体" w:hAnsi="宋体" w:cs="宋体"/>
          <w:color w:val="000000"/>
          <w:lang w:val="zh-CN"/>
        </w:rPr>
        <w:t>十、其他</w:t>
      </w:r>
      <w:bookmarkEnd w:id="40"/>
    </w:p>
    <w:p>
      <w:pPr>
        <w:pStyle w:val="36"/>
        <w:spacing w:before="0" w:after="0" w:line="360" w:lineRule="auto"/>
        <w:jc w:val="left"/>
        <w:rPr>
          <w:rFonts w:ascii="宋体" w:hAnsi="宋体" w:cs="宋体"/>
          <w:color w:val="000000"/>
          <w:sz w:val="28"/>
          <w:szCs w:val="28"/>
        </w:rPr>
      </w:pPr>
      <w:bookmarkStart w:id="41" w:name="_Toc482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36"/>
        <w:spacing w:before="0" w:after="0" w:line="360" w:lineRule="auto"/>
        <w:jc w:val="left"/>
        <w:rPr>
          <w:rFonts w:ascii="宋体" w:hAnsi="宋体" w:cs="宋体"/>
          <w:color w:val="000000"/>
          <w:sz w:val="28"/>
          <w:szCs w:val="28"/>
        </w:rPr>
      </w:pPr>
      <w:bookmarkStart w:id="42" w:name="_Toc347"/>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36"/>
        <w:spacing w:line="360" w:lineRule="auto"/>
        <w:jc w:val="left"/>
        <w:rPr>
          <w:rFonts w:ascii="宋体" w:cs="宋体"/>
          <w:b w:val="0"/>
          <w:bCs w:val="0"/>
          <w:color w:val="000000"/>
          <w:kern w:val="0"/>
          <w:sz w:val="24"/>
          <w:szCs w:val="24"/>
        </w:rPr>
      </w:pPr>
      <w:bookmarkStart w:id="43" w:name="_Toc515908204"/>
      <w:bookmarkStart w:id="44" w:name="_Toc9694"/>
      <w:r>
        <w:rPr>
          <w:rFonts w:ascii="宋体" w:hAnsi="宋体" w:cs="宋体"/>
          <w:color w:val="000000"/>
          <w:sz w:val="28"/>
          <w:szCs w:val="28"/>
        </w:rPr>
        <w:t xml:space="preserve">26. </w:t>
      </w:r>
      <w:r>
        <w:rPr>
          <w:rFonts w:hint="eastAsia" w:ascii="宋体" w:hAnsi="宋体" w:cs="宋体"/>
          <w:color w:val="000000"/>
          <w:sz w:val="28"/>
          <w:szCs w:val="28"/>
        </w:rPr>
        <w:t>中标服务费</w:t>
      </w:r>
      <w:bookmarkEnd w:id="43"/>
      <w:bookmarkEnd w:id="44"/>
    </w:p>
    <w:p>
      <w:pPr>
        <w:autoSpaceDE w:val="0"/>
        <w:autoSpaceDN w:val="0"/>
        <w:spacing w:line="360" w:lineRule="auto"/>
        <w:ind w:firstLine="480" w:firstLineChars="200"/>
        <w:jc w:val="left"/>
        <w:rPr>
          <w:rFonts w:ascii="宋体" w:hAnsi="宋体" w:cs="宋体"/>
          <w:color w:val="auto"/>
          <w:kern w:val="0"/>
          <w:lang w:val="zh-CN"/>
        </w:rPr>
      </w:pPr>
      <w:r>
        <w:rPr>
          <w:rFonts w:ascii="宋体" w:hAnsi="宋体" w:cs="宋体"/>
          <w:color w:val="000000"/>
          <w:kern w:val="0"/>
          <w:lang w:val="zh-CN"/>
        </w:rPr>
        <w:t xml:space="preserve">26.1 </w:t>
      </w:r>
      <w:r>
        <w:rPr>
          <w:rFonts w:hint="eastAsia" w:ascii="宋体" w:hAnsi="宋体" w:cs="宋体"/>
          <w:color w:val="000000"/>
          <w:kern w:val="0"/>
          <w:lang w:val="zh-CN"/>
        </w:rPr>
        <w:t>收取对象：</w:t>
      </w:r>
      <w:r>
        <w:rPr>
          <w:rFonts w:hint="eastAsia" w:ascii="宋体" w:hAnsi="宋体" w:cs="宋体"/>
          <w:color w:val="000000"/>
          <w:kern w:val="0"/>
          <w:lang w:val="en-US" w:eastAsia="zh-CN"/>
        </w:rPr>
        <w:t>中标人</w:t>
      </w:r>
      <w:r>
        <w:rPr>
          <w:rFonts w:hint="eastAsia" w:ascii="宋体" w:hAnsi="宋体" w:cs="宋体"/>
          <w:color w:val="auto"/>
          <w:kern w:val="0"/>
          <w:lang w:val="zh-CN"/>
        </w:rPr>
        <w:t>。</w:t>
      </w:r>
    </w:p>
    <w:p>
      <w:pPr>
        <w:autoSpaceDE w:val="0"/>
        <w:autoSpaceDN w:val="0"/>
        <w:spacing w:line="360" w:lineRule="auto"/>
        <w:ind w:firstLine="480" w:firstLineChars="200"/>
        <w:jc w:val="left"/>
        <w:rPr>
          <w:rFonts w:ascii="宋体" w:hAnsi="宋体" w:cs="宋体"/>
          <w:color w:val="auto"/>
          <w:kern w:val="0"/>
          <w:lang w:val="zh-CN"/>
        </w:rPr>
      </w:pPr>
      <w:r>
        <w:rPr>
          <w:rFonts w:ascii="宋体" w:hAnsi="宋体" w:cs="宋体"/>
          <w:color w:val="auto"/>
          <w:kern w:val="0"/>
        </w:rPr>
        <w:t xml:space="preserve">26.2 </w:t>
      </w:r>
      <w:r>
        <w:rPr>
          <w:rFonts w:hint="eastAsia" w:ascii="宋体" w:hAnsi="宋体" w:cs="宋体"/>
          <w:color w:val="auto"/>
          <w:kern w:val="0"/>
          <w:lang w:val="zh-CN"/>
        </w:rPr>
        <w:t>收费金额：小写：</w:t>
      </w:r>
      <w:r>
        <w:rPr>
          <w:rFonts w:hint="eastAsia" w:ascii="宋体" w:hAnsi="宋体" w:cs="宋体"/>
          <w:color w:val="auto"/>
          <w:kern w:val="0"/>
          <w:lang w:val="en-US" w:eastAsia="zh-CN"/>
        </w:rPr>
        <w:t>32500</w:t>
      </w:r>
      <w:r>
        <w:rPr>
          <w:rFonts w:hint="eastAsia" w:ascii="宋体" w:hAnsi="宋体" w:cs="宋体"/>
          <w:color w:val="auto"/>
          <w:kern w:val="0"/>
          <w:lang w:val="zh-CN"/>
        </w:rPr>
        <w:t>元（</w:t>
      </w:r>
      <w:r>
        <w:rPr>
          <w:rFonts w:hint="eastAsia"/>
          <w:color w:val="auto"/>
          <w:lang w:val="en-US" w:eastAsia="zh-CN"/>
        </w:rPr>
        <w:t>叁万贰仟伍佰元整</w:t>
      </w:r>
      <w:r>
        <w:rPr>
          <w:rFonts w:hint="eastAsia" w:ascii="宋体" w:hAnsi="宋体" w:cs="宋体"/>
          <w:color w:val="auto"/>
          <w:kern w:val="0"/>
          <w:lang w:val="zh-CN"/>
        </w:rPr>
        <w:t>）</w:t>
      </w:r>
    </w:p>
    <w:p>
      <w:pPr>
        <w:autoSpaceDE w:val="0"/>
        <w:autoSpaceDN w:val="0"/>
        <w:spacing w:line="360" w:lineRule="auto"/>
        <w:ind w:firstLine="480" w:firstLineChars="200"/>
        <w:jc w:val="left"/>
        <w:rPr>
          <w:rFonts w:ascii="宋体" w:cs="宋体"/>
          <w:color w:val="000000"/>
          <w:kern w:val="0"/>
          <w:lang w:val="zh-CN"/>
        </w:rPr>
      </w:pPr>
      <w:r>
        <w:rPr>
          <w:rFonts w:hint="eastAsia" w:ascii="宋体" w:hAnsi="宋体" w:cs="宋体"/>
          <w:color w:val="000000"/>
          <w:kern w:val="0"/>
          <w:lang w:val="zh-CN"/>
        </w:rPr>
        <w:t>在领取中标通知书前向采购代理机构缴纳。</w:t>
      </w:r>
    </w:p>
    <w:p>
      <w:pPr>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pacing w:line="360" w:lineRule="auto"/>
        <w:ind w:firstLine="796" w:firstLineChars="332"/>
        <w:rPr>
          <w:rFonts w:ascii="Arial" w:hAnsi="Arial" w:cs="Arial"/>
          <w:b/>
          <w:bCs/>
          <w:kern w:val="28"/>
        </w:rPr>
      </w:pPr>
      <w:r>
        <w:rPr>
          <w:rFonts w:ascii="宋体" w:hAnsi="宋体" w:cs="Arial"/>
        </w:rPr>
        <w:t>招标服务费的支付形式：</w:t>
      </w:r>
      <w:r>
        <w:rPr>
          <w:rFonts w:hint="eastAsia" w:ascii="宋体" w:hAnsi="宋体" w:cs="Arial"/>
        </w:rPr>
        <w:t>转账</w:t>
      </w:r>
    </w:p>
    <w:p>
      <w:pPr>
        <w:pStyle w:val="17"/>
        <w:spacing w:line="360" w:lineRule="auto"/>
        <w:ind w:firstLine="840" w:firstLineChars="350"/>
        <w:rPr>
          <w:rFonts w:ascii="宋体" w:hAnsi="宋体" w:cs="宋体"/>
          <w:kern w:val="0"/>
          <w:szCs w:val="24"/>
          <w:lang w:val="zh-CN"/>
        </w:rPr>
      </w:pPr>
      <w:r>
        <w:rPr>
          <w:rFonts w:ascii="宋体" w:hAnsi="宋体" w:cs="宋体"/>
          <w:kern w:val="0"/>
          <w:szCs w:val="24"/>
          <w:lang w:val="zh-CN"/>
        </w:rPr>
        <w:t>中标服务费支付方式：领取成交通知书时一次性支付全部金额。</w:t>
      </w:r>
    </w:p>
    <w:p>
      <w:pPr>
        <w:pStyle w:val="36"/>
        <w:spacing w:before="0" w:after="0" w:line="360" w:lineRule="auto"/>
        <w:rPr>
          <w:rFonts w:hint="eastAsia" w:ascii="宋体" w:hAnsi="宋体" w:cs="宋体"/>
          <w:color w:val="000000"/>
          <w:szCs w:val="36"/>
          <w:lang w:val="zh-CN"/>
        </w:rPr>
      </w:pPr>
      <w:bookmarkStart w:id="45" w:name="_Toc12417"/>
    </w:p>
    <w:p>
      <w:pPr>
        <w:pStyle w:val="36"/>
        <w:spacing w:before="0" w:after="0" w:line="360" w:lineRule="auto"/>
        <w:rPr>
          <w:rFonts w:hint="eastAsia" w:ascii="宋体" w:hAnsi="宋体" w:cs="宋体"/>
          <w:color w:val="000000"/>
          <w:szCs w:val="36"/>
          <w:lang w:val="zh-CN"/>
        </w:rPr>
      </w:pPr>
    </w:p>
    <w:p>
      <w:pPr>
        <w:pStyle w:val="36"/>
        <w:spacing w:before="0" w:after="0" w:line="360" w:lineRule="auto"/>
        <w:rPr>
          <w:rFonts w:hint="eastAsia" w:ascii="宋体" w:hAnsi="宋体" w:cs="宋体"/>
          <w:color w:val="000000"/>
          <w:szCs w:val="36"/>
          <w:lang w:val="zh-CN"/>
        </w:rPr>
      </w:pPr>
    </w:p>
    <w:p>
      <w:pPr>
        <w:pStyle w:val="36"/>
        <w:spacing w:before="0" w:after="0" w:line="360" w:lineRule="auto"/>
        <w:rPr>
          <w:rFonts w:hint="eastAsia" w:ascii="宋体" w:hAnsi="宋体" w:cs="宋体"/>
          <w:color w:val="000000"/>
          <w:szCs w:val="36"/>
          <w:lang w:val="zh-CN"/>
        </w:rPr>
      </w:pPr>
    </w:p>
    <w:p>
      <w:pPr>
        <w:pStyle w:val="36"/>
        <w:spacing w:before="0" w:after="0" w:line="360" w:lineRule="auto"/>
        <w:rPr>
          <w:rFonts w:hint="eastAsia" w:ascii="宋体" w:hAnsi="宋体" w:cs="宋体"/>
          <w:color w:val="000000"/>
          <w:szCs w:val="36"/>
          <w:lang w:val="zh-CN"/>
        </w:rPr>
      </w:pPr>
    </w:p>
    <w:p>
      <w:pPr>
        <w:pStyle w:val="36"/>
        <w:spacing w:before="0" w:after="0" w:line="360" w:lineRule="auto"/>
        <w:rPr>
          <w:rFonts w:hint="eastAsia" w:ascii="宋体" w:hAnsi="宋体" w:cs="宋体"/>
          <w:color w:val="000000"/>
          <w:szCs w:val="36"/>
          <w:lang w:val="zh-CN"/>
        </w:rPr>
      </w:pPr>
    </w:p>
    <w:p>
      <w:pPr>
        <w:rPr>
          <w:rFonts w:hint="eastAsia" w:ascii="宋体" w:hAnsi="宋体" w:cs="宋体"/>
          <w:color w:val="000000"/>
          <w:szCs w:val="36"/>
          <w:lang w:val="zh-CN"/>
        </w:rPr>
      </w:pPr>
    </w:p>
    <w:p>
      <w:pPr>
        <w:pStyle w:val="148"/>
        <w:rPr>
          <w:rFonts w:hint="eastAsia" w:ascii="宋体" w:hAnsi="宋体" w:cs="宋体"/>
          <w:color w:val="000000"/>
          <w:szCs w:val="36"/>
          <w:lang w:val="zh-CN"/>
        </w:rPr>
      </w:pPr>
    </w:p>
    <w:p>
      <w:pPr>
        <w:pStyle w:val="148"/>
        <w:rPr>
          <w:rFonts w:hint="eastAsia" w:ascii="宋体" w:hAnsi="宋体" w:cs="宋体"/>
          <w:color w:val="000000"/>
          <w:szCs w:val="36"/>
          <w:lang w:val="zh-CN"/>
        </w:rPr>
      </w:pPr>
    </w:p>
    <w:p>
      <w:pPr>
        <w:pStyle w:val="148"/>
        <w:rPr>
          <w:rFonts w:hint="eastAsia" w:ascii="宋体" w:hAnsi="宋体" w:cs="宋体"/>
          <w:color w:val="000000"/>
          <w:szCs w:val="36"/>
          <w:lang w:val="zh-CN"/>
        </w:rPr>
      </w:pPr>
    </w:p>
    <w:p>
      <w:pPr>
        <w:pStyle w:val="148"/>
        <w:rPr>
          <w:rFonts w:hint="eastAsia" w:ascii="宋体" w:hAnsi="宋体" w:cs="宋体"/>
          <w:color w:val="000000"/>
          <w:szCs w:val="36"/>
          <w:lang w:val="zh-CN"/>
        </w:rPr>
      </w:pPr>
    </w:p>
    <w:p>
      <w:pPr>
        <w:pStyle w:val="36"/>
        <w:spacing w:before="0" w:after="0" w:line="360" w:lineRule="auto"/>
        <w:rPr>
          <w:rFonts w:hint="eastAsia" w:ascii="宋体" w:hAnsi="宋体" w:cs="宋体"/>
          <w:color w:val="000000"/>
          <w:szCs w:val="36"/>
          <w:lang w:val="zh-CN"/>
        </w:rPr>
      </w:pPr>
    </w:p>
    <w:p>
      <w:pPr>
        <w:pStyle w:val="36"/>
        <w:spacing w:before="0" w:after="0" w:line="360" w:lineRule="auto"/>
        <w:rPr>
          <w:rFonts w:ascii="宋体" w:hAnsi="宋体" w:cs="宋体"/>
          <w:color w:val="000000"/>
        </w:rPr>
      </w:pPr>
      <w:r>
        <w:rPr>
          <w:rFonts w:hint="eastAsia" w:ascii="宋体" w:hAnsi="宋体" w:cs="宋体"/>
          <w:color w:val="000000"/>
          <w:szCs w:val="36"/>
          <w:lang w:val="zh-CN"/>
        </w:rPr>
        <w:t>第四部分  青海省政府采购项目合同书范本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服务类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pStyle w:val="148"/>
        <w:rPr>
          <w:rFonts w:ascii="宋体" w:hAnsi="宋体" w:cs="宋体"/>
          <w:color w:val="000000"/>
          <w:kern w:val="0"/>
          <w:sz w:val="28"/>
          <w:szCs w:val="28"/>
        </w:rPr>
      </w:pPr>
    </w:p>
    <w:p>
      <w:pPr>
        <w:pStyle w:val="148"/>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采购项目编号：中金（青海）公招（服务）2020-039</w:t>
      </w:r>
    </w:p>
    <w:p>
      <w:pPr>
        <w:autoSpaceDE w:val="0"/>
        <w:autoSpaceDN w:val="0"/>
        <w:adjustRightInd w:val="0"/>
        <w:spacing w:line="360" w:lineRule="auto"/>
        <w:ind w:left="2108" w:hanging="2108" w:hangingChars="700"/>
        <w:rPr>
          <w:rFonts w:hint="eastAsia" w:ascii="宋体" w:hAnsi="宋体" w:eastAsia="宋体" w:cs="宋体"/>
          <w:b/>
          <w:bCs/>
          <w:color w:val="000000"/>
          <w:kern w:val="0"/>
          <w:sz w:val="30"/>
          <w:szCs w:val="30"/>
          <w:lang w:val="zh-CN" w:eastAsia="zh-CN"/>
        </w:rPr>
      </w:pPr>
      <w:r>
        <w:rPr>
          <w:rFonts w:hint="eastAsia" w:ascii="宋体" w:hAnsi="宋体" w:cs="宋体"/>
          <w:b/>
          <w:bCs/>
          <w:color w:val="000000"/>
          <w:kern w:val="0"/>
          <w:sz w:val="30"/>
          <w:szCs w:val="30"/>
          <w:lang w:val="zh-CN"/>
        </w:rPr>
        <w:t>采购项目名称：西宁市体育场馆管理服务中心安保、供电、供暖、保洁工作购买第三方服务</w:t>
      </w:r>
    </w:p>
    <w:p>
      <w:pPr>
        <w:autoSpaceDE w:val="0"/>
        <w:autoSpaceDN w:val="0"/>
        <w:adjustRightInd w:val="0"/>
        <w:spacing w:line="360" w:lineRule="auto"/>
        <w:rPr>
          <w:rFonts w:hint="default" w:ascii="宋体" w:hAnsi="宋体" w:eastAsia="宋体" w:cs="宋体"/>
          <w:b/>
          <w:bCs/>
          <w:color w:val="000000"/>
          <w:kern w:val="0"/>
          <w:sz w:val="30"/>
          <w:szCs w:val="30"/>
          <w:u w:val="single"/>
          <w:lang w:val="en-US" w:eastAsia="zh-CN"/>
        </w:rPr>
      </w:pPr>
      <w:r>
        <w:rPr>
          <w:rFonts w:hint="eastAsia" w:ascii="宋体" w:hAnsi="宋体" w:cs="宋体"/>
          <w:b/>
          <w:bCs/>
          <w:color w:val="000000"/>
          <w:kern w:val="0"/>
          <w:sz w:val="30"/>
          <w:szCs w:val="30"/>
          <w:lang w:val="zh-CN"/>
        </w:rPr>
        <w:t xml:space="preserve">采购合同编号： </w:t>
      </w:r>
      <w:r>
        <w:rPr>
          <w:rFonts w:hint="eastAsia" w:ascii="宋体" w:hAnsi="宋体" w:cs="宋体"/>
          <w:b/>
          <w:bCs/>
          <w:color w:val="000000"/>
          <w:sz w:val="30"/>
          <w:szCs w:val="30"/>
          <w:u w:val="single"/>
          <w:lang w:val="zh-CN"/>
        </w:rPr>
        <w:t>ZJZBQH-20</w:t>
      </w:r>
      <w:r>
        <w:rPr>
          <w:rFonts w:hint="eastAsia" w:ascii="宋体" w:hAnsi="宋体" w:cs="宋体"/>
          <w:b/>
          <w:bCs/>
          <w:color w:val="000000"/>
          <w:sz w:val="30"/>
          <w:szCs w:val="30"/>
          <w:u w:val="single"/>
        </w:rPr>
        <w:t>20</w:t>
      </w:r>
      <w:r>
        <w:rPr>
          <w:rFonts w:hint="eastAsia" w:ascii="宋体" w:hAnsi="宋体" w:cs="宋体"/>
          <w:b/>
          <w:bCs/>
          <w:color w:val="000000"/>
          <w:sz w:val="30"/>
          <w:szCs w:val="30"/>
          <w:u w:val="single"/>
          <w:lang w:val="zh-CN"/>
        </w:rPr>
        <w:t>-</w:t>
      </w:r>
      <w:r>
        <w:rPr>
          <w:rFonts w:hint="eastAsia" w:ascii="宋体" w:hAnsi="宋体" w:cs="宋体"/>
          <w:b/>
          <w:bCs/>
          <w:color w:val="000000"/>
          <w:sz w:val="30"/>
          <w:szCs w:val="30"/>
          <w:u w:val="single"/>
        </w:rPr>
        <w:t>0</w:t>
      </w:r>
      <w:r>
        <w:rPr>
          <w:rFonts w:hint="eastAsia" w:ascii="宋体" w:hAnsi="宋体" w:cs="宋体"/>
          <w:b/>
          <w:bCs/>
          <w:color w:val="000000"/>
          <w:sz w:val="30"/>
          <w:szCs w:val="30"/>
          <w:u w:val="single"/>
          <w:lang w:val="en-US" w:eastAsia="zh-CN"/>
        </w:rPr>
        <w:t>39</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pPr>
        <w:autoSpaceDE w:val="0"/>
        <w:autoSpaceDN w:val="0"/>
        <w:adjustRightInd w:val="0"/>
        <w:spacing w:line="360" w:lineRule="auto"/>
        <w:rPr>
          <w:rFonts w:ascii="宋体" w:hAnsi="宋体" w:cs="宋体"/>
          <w:color w:val="000000"/>
          <w:kern w:val="0"/>
          <w:sz w:val="28"/>
          <w:szCs w:val="28"/>
        </w:rPr>
      </w:pPr>
    </w:p>
    <w:p>
      <w:pPr>
        <w:pStyle w:val="148"/>
        <w:rPr>
          <w:rFonts w:ascii="宋体" w:hAnsi="宋体" w:cs="宋体"/>
          <w:color w:val="000000"/>
          <w:kern w:val="0"/>
          <w:sz w:val="28"/>
          <w:szCs w:val="28"/>
        </w:rPr>
      </w:pPr>
    </w:p>
    <w:p>
      <w:pPr>
        <w:pStyle w:val="148"/>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pPr>
        <w:pStyle w:val="18"/>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w:t>
      </w:r>
      <w:r>
        <w:rPr>
          <w:rFonts w:hint="eastAsia" w:ascii="宋体" w:hAnsi="宋体" w:cs="宋体"/>
          <w:color w:val="000000"/>
          <w:kern w:val="0"/>
          <w:sz w:val="24"/>
          <w:lang w:val="en-US" w:eastAsia="zh-CN"/>
        </w:rPr>
        <w:t>20</w:t>
      </w:r>
      <w:r>
        <w:rPr>
          <w:rFonts w:hint="eastAsia" w:ascii="宋体" w:hAnsi="宋体" w:cs="宋体"/>
          <w:color w:val="000000"/>
          <w:kern w:val="0"/>
          <w:sz w:val="24"/>
          <w:lang w:val="zh-CN"/>
        </w:rPr>
        <w:t>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日</w:t>
      </w:r>
      <w:r>
        <w:rPr>
          <w:rFonts w:hint="eastAsia" w:ascii="宋体" w:hAnsi="宋体" w:cs="宋体"/>
          <w:color w:val="000000"/>
          <w:kern w:val="0"/>
          <w:sz w:val="24"/>
          <w:u w:val="single"/>
          <w:lang w:eastAsia="zh-CN"/>
        </w:rPr>
        <w:t>西宁市体育场馆管理服务中心安保、供电、供暖、保洁工作购买第三方服务</w:t>
      </w:r>
      <w:r>
        <w:rPr>
          <w:rFonts w:hint="eastAsia" w:ascii="宋体" w:hAnsi="宋体" w:cs="宋体"/>
          <w:color w:val="000000"/>
          <w:kern w:val="0"/>
          <w:sz w:val="24"/>
          <w:lang w:val="zh-CN"/>
        </w:rPr>
        <w:t>（</w:t>
      </w:r>
      <w:r>
        <w:rPr>
          <w:rFonts w:hint="eastAsia" w:ascii="宋体" w:hAnsi="宋体" w:cs="宋体"/>
          <w:color w:val="000000"/>
          <w:kern w:val="0"/>
          <w:sz w:val="24"/>
          <w:u w:val="single"/>
          <w:lang w:eastAsia="zh-CN"/>
        </w:rPr>
        <w:t>中金（青海）公招（服务）2020-039</w:t>
      </w:r>
      <w:r>
        <w:rPr>
          <w:rFonts w:hint="eastAsia" w:ascii="宋体" w:hAnsi="宋体" w:cs="宋体"/>
          <w:color w:val="000000"/>
          <w:kern w:val="0"/>
          <w:sz w:val="24"/>
          <w:lang w:val="zh-CN"/>
        </w:rPr>
        <w:t>）的招标文件要求和采购代理机构出具的《中标通知书》，并经双方协商一致，签订本合同协议书。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adjustRightInd w:val="0"/>
        <w:spacing w:before="100" w:after="100"/>
        <w:rPr>
          <w:lang w:val="zh-CN"/>
        </w:rPr>
      </w:pPr>
      <w:r>
        <w:rPr>
          <w:rFonts w:hint="eastAsia" w:ascii="Arial" w:hAnsi="Arial" w:cs="Arial"/>
        </w:rPr>
        <w:t>二、内容</w:t>
      </w:r>
    </w:p>
    <w:tbl>
      <w:tblPr>
        <w:tblStyle w:val="39"/>
        <w:tblW w:w="7474" w:type="dxa"/>
        <w:jc w:val="center"/>
        <w:tblLayout w:type="fixed"/>
        <w:tblCellMar>
          <w:top w:w="0" w:type="dxa"/>
          <w:left w:w="28" w:type="dxa"/>
          <w:bottom w:w="0" w:type="dxa"/>
          <w:right w:w="28" w:type="dxa"/>
        </w:tblCellMar>
      </w:tblPr>
      <w:tblGrid>
        <w:gridCol w:w="1647"/>
        <w:gridCol w:w="4759"/>
        <w:gridCol w:w="1068"/>
      </w:tblGrid>
      <w:tr>
        <w:tblPrEx>
          <w:tblCellMar>
            <w:top w:w="0" w:type="dxa"/>
            <w:left w:w="28" w:type="dxa"/>
            <w:bottom w:w="0" w:type="dxa"/>
            <w:right w:w="28" w:type="dxa"/>
          </w:tblCellMar>
        </w:tblPrEx>
        <w:trPr>
          <w:trHeight w:val="591" w:hRule="atLeast"/>
          <w:jc w:val="center"/>
        </w:trPr>
        <w:tc>
          <w:tcPr>
            <w:tcW w:w="1647"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hint="eastAsia" w:ascii="宋体" w:hAnsi="Cambria" w:cs="宋体"/>
                <w:lang w:val="zh-CN"/>
              </w:rPr>
              <w:t>序号</w:t>
            </w:r>
          </w:p>
        </w:tc>
        <w:tc>
          <w:tcPr>
            <w:tcW w:w="4759"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hint="eastAsia" w:ascii="宋体" w:hAnsi="Cambria" w:cs="宋体"/>
                <w:lang w:val="zh-CN"/>
              </w:rPr>
              <w:t>服务内容</w:t>
            </w:r>
          </w:p>
        </w:tc>
        <w:tc>
          <w:tcPr>
            <w:tcW w:w="1068"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hint="eastAsia" w:ascii="宋体" w:hAnsi="Cambria" w:cs="宋体"/>
                <w:lang w:val="zh-CN"/>
              </w:rPr>
              <w:t>备注</w:t>
            </w:r>
          </w:p>
        </w:tc>
      </w:tr>
      <w:tr>
        <w:tblPrEx>
          <w:tblCellMar>
            <w:top w:w="0" w:type="dxa"/>
            <w:left w:w="28" w:type="dxa"/>
            <w:bottom w:w="0" w:type="dxa"/>
            <w:right w:w="28" w:type="dxa"/>
          </w:tblCellMar>
        </w:tblPrEx>
        <w:trPr>
          <w:trHeight w:val="591" w:hRule="atLeast"/>
          <w:jc w:val="center"/>
        </w:trPr>
        <w:tc>
          <w:tcPr>
            <w:tcW w:w="164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1</w:t>
            </w:r>
          </w:p>
        </w:tc>
        <w:tc>
          <w:tcPr>
            <w:tcW w:w="4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c>
          <w:tcPr>
            <w:tcW w:w="1068"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91" w:hRule="atLeast"/>
          <w:jc w:val="center"/>
        </w:trPr>
        <w:tc>
          <w:tcPr>
            <w:tcW w:w="164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2</w:t>
            </w:r>
          </w:p>
        </w:tc>
        <w:tc>
          <w:tcPr>
            <w:tcW w:w="4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c>
          <w:tcPr>
            <w:tcW w:w="1068"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91" w:hRule="atLeast"/>
          <w:jc w:val="center"/>
        </w:trPr>
        <w:tc>
          <w:tcPr>
            <w:tcW w:w="164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hint="eastAsia" w:ascii="宋体" w:hAnsi="Cambria" w:cs="宋体"/>
                <w:lang w:val="zh-CN"/>
              </w:rPr>
              <w:t>…</w:t>
            </w:r>
          </w:p>
        </w:tc>
        <w:tc>
          <w:tcPr>
            <w:tcW w:w="4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c>
          <w:tcPr>
            <w:tcW w:w="1068"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keepNext w:val="0"/>
              <w:keepLines w:val="0"/>
              <w:suppressLineNumbers w:val="0"/>
              <w:autoSpaceDE w:val="0"/>
              <w:autoSpaceDN w:val="0"/>
              <w:adjustRightInd w:val="0"/>
              <w:spacing w:before="100" w:beforeAutospacing="0" w:after="100" w:afterAutospacing="0"/>
              <w:ind w:left="0" w:right="0" w:firstLine="480"/>
              <w:jc w:val="center"/>
              <w:rPr>
                <w:rFonts w:ascii="宋体" w:hAnsi="Cambria" w:cs="宋体"/>
                <w:sz w:val="22"/>
                <w:szCs w:val="22"/>
                <w:lang w:val="zh-CN"/>
              </w:rPr>
            </w:pPr>
            <w:r>
              <w:rPr>
                <w:rFonts w:ascii="宋体" w:hAnsi="Cambria" w:cs="宋体"/>
                <w:lang w:val="zh-CN"/>
              </w:rPr>
              <w:t> </w:t>
            </w:r>
          </w:p>
        </w:tc>
      </w:tr>
    </w:tbl>
    <w:p>
      <w:pPr>
        <w:rPr>
          <w:rFonts w:ascii="宋体" w:hAnsi="宋体" w:cs="宋体"/>
          <w:b/>
          <w:bCs/>
          <w:color w:val="000000"/>
          <w:kern w:val="0"/>
          <w:lang w:val="zh-CN"/>
        </w:rPr>
      </w:pP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根据上述政府采购合同文件要求，本政府采购合同的总金额为人民币（大写）元。</w:t>
      </w:r>
    </w:p>
    <w:p>
      <w:pPr>
        <w:autoSpaceDE w:val="0"/>
        <w:autoSpaceDN w:val="0"/>
        <w:spacing w:line="360" w:lineRule="auto"/>
        <w:ind w:firstLine="480" w:firstLineChars="200"/>
        <w:rPr>
          <w:rFonts w:ascii="Arial" w:hAnsi="Arial" w:cs="Arial"/>
        </w:rPr>
      </w:pPr>
      <w:r>
        <w:rPr>
          <w:rFonts w:hint="eastAsia" w:ascii="宋体" w:hAnsi="宋体" w:cs="宋体"/>
          <w:color w:val="000000"/>
        </w:rPr>
        <w:t>本合同以人民币进行结算，合同总价包括：包含派遣人员工资、及相关养老保险、医疗保险、失业保险、工伤保险、派遣人员服装费（服装依据采购人要求定制）、售后服务费、税金、中标服务费及不可预见费等全部费。</w:t>
      </w:r>
    </w:p>
    <w:p>
      <w:pPr>
        <w:spacing w:line="360" w:lineRule="auto"/>
        <w:rPr>
          <w:rFonts w:ascii="Arial" w:hAnsi="Arial" w:cs="Arial"/>
        </w:rPr>
      </w:pPr>
      <w:bookmarkStart w:id="46" w:name="_Toc241833903"/>
      <w:bookmarkStart w:id="47" w:name="_Toc238984975"/>
      <w:bookmarkStart w:id="48" w:name="_Toc251768862"/>
      <w:bookmarkStart w:id="49" w:name="_Toc282696226"/>
      <w:bookmarkStart w:id="50" w:name="_Toc185395249"/>
      <w:bookmarkStart w:id="51" w:name="_Toc211911348"/>
      <w:bookmarkStart w:id="52" w:name="_Toc211854449"/>
      <w:bookmarkStart w:id="53" w:name="_Toc225670751"/>
      <w:bookmarkStart w:id="54" w:name="_Toc239233914"/>
      <w:bookmarkStart w:id="55" w:name="_Toc239568418"/>
      <w:bookmarkStart w:id="56" w:name="_Toc286993786"/>
      <w:bookmarkStart w:id="57" w:name="_Toc225244852"/>
      <w:bookmarkStart w:id="58" w:name="_Toc225654644"/>
      <w:bookmarkStart w:id="59" w:name="_Toc232492928"/>
      <w:bookmarkStart w:id="60" w:name="_Toc212019594"/>
      <w:bookmarkStart w:id="61" w:name="_Toc237145406"/>
      <w:bookmarkStart w:id="62" w:name="_Toc247334841"/>
      <w:bookmarkStart w:id="63" w:name="_Toc283019214"/>
      <w:r>
        <w:rPr>
          <w:rFonts w:hint="eastAsia" w:ascii="Arial" w:hAnsi="Arial" w:cs="Arial"/>
        </w:rPr>
        <w:t>三、服务内容与质量标准</w:t>
      </w:r>
    </w:p>
    <w:p>
      <w:pPr>
        <w:pStyle w:val="17"/>
        <w:ind w:firstLine="465"/>
      </w:pPr>
      <w:r>
        <w:rPr>
          <w:rFonts w:hint="eastAsia"/>
        </w:rPr>
        <w:t>人员情况：</w:t>
      </w:r>
    </w:p>
    <w:p>
      <w:pPr>
        <w:pStyle w:val="17"/>
        <w:ind w:firstLine="465"/>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服务要求：</w:t>
      </w:r>
      <w:r>
        <w:rPr>
          <w:rFonts w:hint="eastAsia" w:ascii="宋体" w:hAnsi="宋体" w:cs="宋体"/>
          <w:color w:val="000000"/>
          <w:kern w:val="0"/>
        </w:rPr>
        <w:t xml:space="preserve">                                           </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质量标准：</w:t>
      </w:r>
      <w:r>
        <w:rPr>
          <w:rFonts w:hint="eastAsia" w:ascii="宋体" w:hAnsi="宋体" w:cs="宋体"/>
          <w:color w:val="000000"/>
          <w:kern w:val="0"/>
        </w:rPr>
        <w:t xml:space="preserve">                               </w:t>
      </w:r>
    </w:p>
    <w:p>
      <w:pPr>
        <w:autoSpaceDE w:val="0"/>
        <w:autoSpaceDN w:val="0"/>
        <w:spacing w:line="360" w:lineRule="auto"/>
        <w:ind w:firstLine="480"/>
        <w:rPr>
          <w:rFonts w:ascii="Arial" w:hAnsi="Arial" w:cs="Arial"/>
          <w:u w:val="single"/>
        </w:rPr>
      </w:pPr>
      <w:r>
        <w:rPr>
          <w:rFonts w:hint="eastAsia" w:ascii="宋体" w:hAnsi="宋体" w:cs="宋体"/>
          <w:color w:val="000000"/>
          <w:kern w:val="0"/>
        </w:rPr>
        <w:t>服务期：</w:t>
      </w:r>
      <w:r>
        <w:rPr>
          <w:rFonts w:hint="eastAsia" w:ascii="宋体" w:hAnsi="宋体" w:cs="宋体"/>
          <w:color w:val="000000"/>
          <w:kern w:val="0"/>
          <w:lang w:eastAsia="zh-CN"/>
        </w:rPr>
        <w:t>连续三年</w:t>
      </w:r>
      <w:r>
        <w:rPr>
          <w:rFonts w:hint="eastAsia" w:ascii="宋体" w:hAnsi="宋体" w:cs="宋体"/>
          <w:color w:val="000000"/>
          <w:kern w:val="0"/>
        </w:rPr>
        <w:t xml:space="preserve">                         </w:t>
      </w:r>
    </w:p>
    <w:p>
      <w:pPr>
        <w:numPr>
          <w:ilvl w:val="0"/>
          <w:numId w:val="6"/>
        </w:numPr>
        <w:spacing w:line="360" w:lineRule="auto"/>
        <w:rPr>
          <w:rFonts w:ascii="宋体" w:hAnsi="宋体" w:cs="宋体"/>
          <w:bCs/>
          <w:color w:val="auto"/>
          <w:kern w:val="0"/>
        </w:rPr>
      </w:pPr>
      <w:r>
        <w:rPr>
          <w:rFonts w:hint="eastAsia" w:ascii="Arial" w:hAnsi="Arial" w:cs="Arial"/>
          <w:color w:val="auto"/>
        </w:rPr>
        <w:t>付款方式：</w:t>
      </w:r>
      <w:r>
        <w:rPr>
          <w:rFonts w:hint="eastAsia" w:asciiTheme="minorEastAsia" w:hAnsiTheme="minorEastAsia" w:eastAsiaTheme="minorEastAsia" w:cstheme="minorEastAsia"/>
          <w:sz w:val="24"/>
          <w:szCs w:val="24"/>
        </w:rPr>
        <w:t>经考核合格，每月支付一次</w:t>
      </w:r>
      <w:r>
        <w:rPr>
          <w:rFonts w:hint="eastAsia" w:ascii="宋体" w:hAnsi="宋体" w:cs="宋体"/>
          <w:lang w:val="en-US" w:eastAsia="zh-CN"/>
        </w:rPr>
        <w:t>（合同每年一签）</w:t>
      </w:r>
    </w:p>
    <w:p>
      <w:pPr>
        <w:numPr>
          <w:ilvl w:val="0"/>
          <w:numId w:val="6"/>
        </w:numPr>
        <w:spacing w:line="360" w:lineRule="auto"/>
        <w:rPr>
          <w:rFonts w:ascii="Arial" w:hAnsi="Arial" w:cs="Arial"/>
        </w:rPr>
      </w:pPr>
      <w:r>
        <w:rPr>
          <w:rFonts w:hint="eastAsia" w:ascii="Arial" w:hAnsi="Arial" w:cs="Arial"/>
        </w:rPr>
        <w:t>知识产权</w:t>
      </w:r>
    </w:p>
    <w:p>
      <w:pPr>
        <w:tabs>
          <w:tab w:val="left" w:pos="1440"/>
        </w:tabs>
        <w:spacing w:line="360" w:lineRule="auto"/>
        <w:ind w:firstLine="480" w:firstLineChars="200"/>
        <w:rPr>
          <w:rFonts w:ascii="Arial" w:hAnsi="Arial" w:cs="Arial"/>
        </w:rPr>
      </w:pPr>
      <w:r>
        <w:rPr>
          <w:rFonts w:hint="eastAsia" w:ascii="Arial" w:hAnsi="Arial" w:cs="Arial"/>
        </w:rPr>
        <w:t>乙方应保证所提供的服务或其任何一部分均不会侵犯任何第三方的专利权、商标权或著作权。</w:t>
      </w:r>
    </w:p>
    <w:p>
      <w:pPr>
        <w:spacing w:line="360" w:lineRule="auto"/>
        <w:rPr>
          <w:rFonts w:ascii="Arial" w:hAnsi="Arial" w:cs="Arial"/>
        </w:rPr>
      </w:pPr>
      <w:r>
        <w:rPr>
          <w:rFonts w:hint="eastAsia" w:ascii="Arial" w:hAnsi="Arial" w:cs="Arial"/>
        </w:rPr>
        <w:t>六、无产权瑕疵条款</w:t>
      </w:r>
    </w:p>
    <w:p>
      <w:pPr>
        <w:tabs>
          <w:tab w:val="left" w:pos="1440"/>
        </w:tabs>
        <w:spacing w:line="360" w:lineRule="auto"/>
        <w:ind w:firstLine="480" w:firstLineChars="200"/>
        <w:rPr>
          <w:rFonts w:ascii="Arial" w:hAnsi="Arial" w:cs="Arial"/>
        </w:rPr>
      </w:pPr>
      <w:r>
        <w:rPr>
          <w:rFonts w:hint="eastAsia" w:ascii="Arial" w:hAnsi="Arial" w:cs="Arial"/>
        </w:rPr>
        <w:t>乙方保证所提供的服务的所有权完全属于乙方且无任何抵押、查封等产权瑕疵。如有产权瑕疵的，视为乙方违约。乙方应负担由此而产生的一切损失。</w:t>
      </w:r>
    </w:p>
    <w:p>
      <w:pPr>
        <w:spacing w:line="360" w:lineRule="auto"/>
        <w:rPr>
          <w:rFonts w:ascii="Arial" w:hAnsi="Arial" w:cs="Arial"/>
        </w:rPr>
      </w:pPr>
      <w:r>
        <w:rPr>
          <w:rFonts w:hint="eastAsia" w:ascii="Arial" w:hAnsi="Arial" w:cs="Arial"/>
        </w:rPr>
        <w:t>七、履约保证金</w:t>
      </w:r>
    </w:p>
    <w:p>
      <w:pPr>
        <w:pStyle w:val="2"/>
        <w:numPr>
          <w:ilvl w:val="0"/>
          <w:numId w:val="7"/>
        </w:numPr>
        <w:spacing w:line="360" w:lineRule="auto"/>
        <w:ind w:left="0" w:firstLine="567"/>
        <w:rPr>
          <w:rFonts w:ascii="Arial" w:hAnsi="Arial" w:cs="Arial"/>
          <w:sz w:val="24"/>
          <w:szCs w:val="24"/>
        </w:rPr>
      </w:pPr>
      <w:r>
        <w:rPr>
          <w:rFonts w:ascii="Arial" w:hAnsi="Arial" w:cs="Arial"/>
          <w:sz w:val="24"/>
          <w:szCs w:val="24"/>
        </w:rPr>
        <w:t>乙方交纳</w:t>
      </w:r>
      <w:r>
        <w:rPr>
          <w:rFonts w:ascii="Arial" w:hAnsi="Arial" w:cs="Arial"/>
          <w:color w:val="0000FF"/>
          <w:sz w:val="24"/>
          <w:szCs w:val="24"/>
        </w:rPr>
        <w:t>人民币</w:t>
      </w:r>
      <w:r>
        <w:rPr>
          <w:rFonts w:ascii="Arial" w:hAnsi="Arial" w:cs="Arial"/>
          <w:color w:val="0000FF"/>
          <w:sz w:val="24"/>
          <w:szCs w:val="24"/>
          <w:u w:val="single"/>
        </w:rPr>
        <w:t>　</w:t>
      </w:r>
      <w:r>
        <w:rPr>
          <w:rFonts w:hint="eastAsia" w:ascii="Arial" w:hAnsi="Arial" w:cs="Arial"/>
          <w:color w:val="0000FF"/>
          <w:sz w:val="24"/>
          <w:szCs w:val="24"/>
          <w:u w:val="single"/>
          <w:lang w:eastAsia="zh-CN"/>
        </w:rPr>
        <w:t>伍仟</w:t>
      </w:r>
      <w:r>
        <w:rPr>
          <w:rFonts w:ascii="Arial" w:hAnsi="Arial" w:cs="Arial"/>
          <w:color w:val="0000FF"/>
          <w:sz w:val="24"/>
          <w:szCs w:val="24"/>
          <w:u w:val="single"/>
        </w:rPr>
        <w:t>　</w:t>
      </w:r>
      <w:r>
        <w:rPr>
          <w:rFonts w:ascii="Arial" w:hAnsi="Arial" w:cs="Arial"/>
          <w:color w:val="0000FF"/>
          <w:sz w:val="24"/>
          <w:szCs w:val="24"/>
        </w:rPr>
        <w:t>元作</w:t>
      </w:r>
      <w:r>
        <w:rPr>
          <w:rFonts w:ascii="Arial" w:hAnsi="Arial" w:cs="Arial"/>
          <w:sz w:val="24"/>
          <w:szCs w:val="24"/>
        </w:rPr>
        <w:t>为本合同的履约保证金。</w:t>
      </w:r>
    </w:p>
    <w:p>
      <w:pPr>
        <w:pStyle w:val="2"/>
        <w:numPr>
          <w:ilvl w:val="0"/>
          <w:numId w:val="7"/>
        </w:numPr>
        <w:spacing w:line="360" w:lineRule="auto"/>
        <w:ind w:left="0" w:firstLine="567"/>
        <w:rPr>
          <w:rFonts w:ascii="Arial" w:hAnsi="Arial" w:cs="Arial"/>
          <w:sz w:val="24"/>
          <w:szCs w:val="24"/>
        </w:rPr>
      </w:pPr>
      <w:r>
        <w:rPr>
          <w:rFonts w:ascii="Arial" w:hAnsi="Arial" w:cs="Arial"/>
          <w:sz w:val="24"/>
          <w:szCs w:val="24"/>
        </w:rPr>
        <w:t>履约保证金作为违约金的一部分及用于补偿甲方因乙方不能履行合同义务而蒙受的损失。</w:t>
      </w:r>
    </w:p>
    <w:p>
      <w:pPr>
        <w:spacing w:line="360" w:lineRule="auto"/>
        <w:rPr>
          <w:rFonts w:ascii="Arial" w:hAnsi="Arial" w:cs="Arial"/>
        </w:rPr>
      </w:pPr>
      <w:r>
        <w:rPr>
          <w:rFonts w:hint="eastAsia" w:ascii="Arial" w:hAnsi="Arial" w:cs="Arial"/>
        </w:rPr>
        <w:t>八、甲方的权利和义务</w:t>
      </w:r>
    </w:p>
    <w:p>
      <w:pPr>
        <w:numPr>
          <w:ilvl w:val="0"/>
          <w:numId w:val="8"/>
        </w:numPr>
        <w:tabs>
          <w:tab w:val="left" w:pos="1440"/>
        </w:tabs>
        <w:adjustRightInd w:val="0"/>
        <w:spacing w:line="360" w:lineRule="auto"/>
        <w:ind w:left="0" w:firstLine="420"/>
        <w:jc w:val="left"/>
        <w:textAlignment w:val="baseline"/>
        <w:rPr>
          <w:rFonts w:ascii="Arial" w:hAnsi="Arial" w:cs="Arial"/>
        </w:rPr>
      </w:pPr>
      <w:r>
        <w:rPr>
          <w:rFonts w:hint="eastAsia" w:ascii="Arial" w:hAnsi="Arial" w:cs="Arial"/>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8"/>
        </w:numPr>
        <w:tabs>
          <w:tab w:val="left" w:pos="1440"/>
        </w:tabs>
        <w:adjustRightInd w:val="0"/>
        <w:spacing w:line="360" w:lineRule="auto"/>
        <w:ind w:left="0" w:firstLine="420"/>
        <w:jc w:val="left"/>
        <w:textAlignment w:val="baseline"/>
        <w:rPr>
          <w:rFonts w:ascii="Arial" w:hAnsi="Arial" w:cs="Arial"/>
        </w:rPr>
      </w:pPr>
      <w:r>
        <w:rPr>
          <w:rFonts w:hint="eastAsia" w:ascii="Arial" w:hAnsi="Arial" w:cs="Arial"/>
        </w:rPr>
        <w:t>甲方有权依据双方签订的考评办法对乙方提供的服务进行定期考评。当考评结果未达到标准时，有权依据考评办法约定的数额扣除履约保证金。</w:t>
      </w:r>
    </w:p>
    <w:p>
      <w:pPr>
        <w:numPr>
          <w:ilvl w:val="0"/>
          <w:numId w:val="8"/>
        </w:numPr>
        <w:tabs>
          <w:tab w:val="left" w:pos="1440"/>
        </w:tabs>
        <w:adjustRightInd w:val="0"/>
        <w:spacing w:line="360" w:lineRule="auto"/>
        <w:ind w:left="0" w:firstLine="420"/>
        <w:jc w:val="left"/>
        <w:textAlignment w:val="baseline"/>
        <w:rPr>
          <w:rFonts w:ascii="Arial" w:hAnsi="Arial" w:cs="Arial"/>
        </w:rPr>
      </w:pPr>
      <w:r>
        <w:rPr>
          <w:rFonts w:hint="eastAsia" w:ascii="Arial" w:hAnsi="Arial" w:cs="Arial"/>
        </w:rPr>
        <w:t>负责检查监督乙方管理工作的实施及制度的执行情况。</w:t>
      </w:r>
    </w:p>
    <w:p>
      <w:pPr>
        <w:numPr>
          <w:ilvl w:val="0"/>
          <w:numId w:val="8"/>
        </w:numPr>
        <w:tabs>
          <w:tab w:val="left" w:pos="1440"/>
        </w:tabs>
        <w:adjustRightInd w:val="0"/>
        <w:spacing w:line="360" w:lineRule="auto"/>
        <w:ind w:left="0" w:firstLine="420"/>
        <w:jc w:val="left"/>
        <w:textAlignment w:val="baseline"/>
        <w:rPr>
          <w:rFonts w:ascii="Arial" w:hAnsi="Arial" w:cs="Arial"/>
        </w:rPr>
      </w:pPr>
      <w:r>
        <w:rPr>
          <w:rFonts w:hint="eastAsia" w:ascii="Arial" w:hAnsi="Arial" w:cs="Arial"/>
        </w:rPr>
        <w:t>根据本合同规定，按时向乙方支付应付服务费用。</w:t>
      </w:r>
    </w:p>
    <w:p>
      <w:pPr>
        <w:numPr>
          <w:ilvl w:val="0"/>
          <w:numId w:val="8"/>
        </w:numPr>
        <w:tabs>
          <w:tab w:val="left" w:pos="1440"/>
        </w:tabs>
        <w:adjustRightInd w:val="0"/>
        <w:spacing w:line="360" w:lineRule="auto"/>
        <w:ind w:left="0" w:firstLine="420"/>
        <w:jc w:val="left"/>
        <w:textAlignment w:val="baseline"/>
        <w:rPr>
          <w:rFonts w:ascii="Arial" w:hAnsi="Arial" w:cs="Arial"/>
        </w:rPr>
      </w:pPr>
      <w:r>
        <w:rPr>
          <w:rFonts w:hint="eastAsia" w:ascii="Arial" w:hAnsi="Arial" w:cs="Arial"/>
        </w:rPr>
        <w:t>国家法律、法规所规定由甲方承担的其它责任。</w:t>
      </w:r>
    </w:p>
    <w:p>
      <w:pPr>
        <w:spacing w:line="360" w:lineRule="auto"/>
        <w:rPr>
          <w:rFonts w:ascii="Arial" w:hAnsi="Arial" w:cs="Arial"/>
        </w:rPr>
      </w:pPr>
      <w:r>
        <w:rPr>
          <w:rFonts w:hint="eastAsia" w:ascii="Arial" w:hAnsi="Arial" w:cs="Arial"/>
        </w:rPr>
        <w:t>九、乙方的权利和义务</w:t>
      </w:r>
    </w:p>
    <w:p>
      <w:pPr>
        <w:adjustRightInd w:val="0"/>
        <w:spacing w:line="360" w:lineRule="auto"/>
        <w:ind w:firstLine="480" w:firstLineChars="200"/>
        <w:jc w:val="left"/>
        <w:textAlignment w:val="baseline"/>
        <w:rPr>
          <w:rFonts w:ascii="Arial" w:hAnsi="Arial" w:cs="Arial"/>
        </w:rPr>
      </w:pPr>
      <w:r>
        <w:rPr>
          <w:rFonts w:hint="eastAsia" w:ascii="Arial" w:hAnsi="Arial" w:cs="Arial"/>
        </w:rPr>
        <w:t>1.对本合同规定的委托服务范围内的项目享有管理权及服务义务。</w:t>
      </w:r>
    </w:p>
    <w:p>
      <w:pPr>
        <w:adjustRightInd w:val="0"/>
        <w:spacing w:line="360" w:lineRule="auto"/>
        <w:ind w:firstLine="480" w:firstLineChars="200"/>
        <w:jc w:val="left"/>
        <w:textAlignment w:val="baseline"/>
        <w:rPr>
          <w:rFonts w:ascii="Arial" w:hAnsi="Arial" w:cs="Arial"/>
        </w:rPr>
      </w:pPr>
      <w:r>
        <w:rPr>
          <w:rFonts w:hint="eastAsia" w:ascii="Arial" w:hAnsi="Arial" w:cs="Arial"/>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Arial" w:hAnsi="Arial" w:cs="Arial"/>
        </w:rPr>
      </w:pPr>
      <w:r>
        <w:rPr>
          <w:rFonts w:hint="eastAsia" w:ascii="Arial" w:hAnsi="Arial" w:cs="Arial"/>
        </w:rPr>
        <w:t>3.及时向甲方通告本项目服务范围内有关服务的重大事项，及时配合处理投诉。</w:t>
      </w:r>
    </w:p>
    <w:p>
      <w:pPr>
        <w:adjustRightInd w:val="0"/>
        <w:spacing w:line="360" w:lineRule="auto"/>
        <w:ind w:firstLine="480" w:firstLineChars="200"/>
        <w:jc w:val="left"/>
        <w:textAlignment w:val="baseline"/>
        <w:rPr>
          <w:rFonts w:ascii="Arial" w:hAnsi="Arial" w:cs="Arial"/>
        </w:rPr>
      </w:pPr>
      <w:r>
        <w:rPr>
          <w:rFonts w:hint="eastAsia" w:ascii="Arial" w:hAnsi="Arial" w:cs="Arial"/>
        </w:rPr>
        <w:t>4.接受项目行业管理部门及政府有关部门的指导，接受甲方的监督。</w:t>
      </w:r>
    </w:p>
    <w:p>
      <w:pPr>
        <w:adjustRightInd w:val="0"/>
        <w:spacing w:line="360" w:lineRule="auto"/>
        <w:ind w:left="567"/>
        <w:jc w:val="left"/>
        <w:textAlignment w:val="baseline"/>
        <w:rPr>
          <w:rFonts w:ascii="Arial" w:hAnsi="Arial" w:cs="Arial"/>
        </w:rPr>
      </w:pPr>
      <w:r>
        <w:rPr>
          <w:rFonts w:hint="eastAsia" w:ascii="Arial" w:hAnsi="Arial" w:cs="Arial"/>
        </w:rPr>
        <w:t>5.国家法律、法规所规定由乙方承担的其它责任。</w:t>
      </w:r>
    </w:p>
    <w:p>
      <w:pPr>
        <w:spacing w:line="360" w:lineRule="auto"/>
        <w:ind w:left="425"/>
        <w:rPr>
          <w:rFonts w:ascii="Arial" w:hAnsi="Arial" w:cs="Arial"/>
        </w:rPr>
      </w:pPr>
      <w:r>
        <w:rPr>
          <w:rFonts w:hint="eastAsia" w:ascii="Arial" w:hAnsi="Arial" w:cs="Arial"/>
        </w:rPr>
        <w:t>十一、违约责任</w:t>
      </w:r>
    </w:p>
    <w:p>
      <w:pPr>
        <w:adjustRightInd w:val="0"/>
        <w:spacing w:line="360" w:lineRule="auto"/>
        <w:ind w:left="567"/>
        <w:jc w:val="left"/>
        <w:textAlignment w:val="baseline"/>
        <w:rPr>
          <w:rFonts w:ascii="Arial" w:hAnsi="Arial" w:cs="Arial"/>
        </w:rPr>
      </w:pPr>
      <w:r>
        <w:rPr>
          <w:rFonts w:hint="eastAsia" w:ascii="Arial" w:hAnsi="Arial" w:cs="Arial"/>
        </w:rPr>
        <w:t>1.甲乙双方必须遵守本合同并执行合同中的各项规定，保证本合同的正常履行。</w:t>
      </w:r>
    </w:p>
    <w:p>
      <w:pPr>
        <w:adjustRightInd w:val="0"/>
        <w:spacing w:line="360" w:lineRule="auto"/>
        <w:ind w:left="567"/>
        <w:jc w:val="left"/>
        <w:textAlignment w:val="baseline"/>
        <w:rPr>
          <w:rFonts w:ascii="Arial" w:hAnsi="Arial" w:cs="Arial"/>
        </w:rPr>
      </w:pPr>
      <w:r>
        <w:rPr>
          <w:rFonts w:hint="eastAsia" w:ascii="Arial" w:hAnsi="Arial" w:cs="Arial"/>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firstLineChars="200"/>
        <w:rPr>
          <w:rFonts w:ascii="Arial" w:hAnsi="Arial" w:cs="Arial"/>
        </w:rPr>
      </w:pPr>
      <w:r>
        <w:rPr>
          <w:rFonts w:hint="eastAsia" w:ascii="Arial" w:hAnsi="Arial" w:cs="Arial"/>
        </w:rPr>
        <w:t>十二、不可抗力事件处理</w:t>
      </w:r>
    </w:p>
    <w:p>
      <w:pPr>
        <w:numPr>
          <w:ilvl w:val="0"/>
          <w:numId w:val="9"/>
        </w:numPr>
        <w:tabs>
          <w:tab w:val="left" w:pos="0"/>
        </w:tabs>
        <w:spacing w:line="360" w:lineRule="auto"/>
        <w:ind w:left="0" w:firstLine="567"/>
        <w:rPr>
          <w:rFonts w:ascii="Arial" w:hAnsi="Arial" w:cs="Arial"/>
        </w:rPr>
      </w:pPr>
      <w:r>
        <w:rPr>
          <w:rFonts w:hint="eastAsia" w:ascii="Arial" w:hAnsi="Arial" w:cs="Arial"/>
        </w:rPr>
        <w:t>在合同有效期内，任何一方因不可抗力事件导致不能履行合同，则合同履行期可延长，其延长期与不可抗力影响期相同。</w:t>
      </w:r>
    </w:p>
    <w:p>
      <w:pPr>
        <w:numPr>
          <w:ilvl w:val="0"/>
          <w:numId w:val="9"/>
        </w:numPr>
        <w:tabs>
          <w:tab w:val="left" w:pos="0"/>
        </w:tabs>
        <w:spacing w:line="360" w:lineRule="auto"/>
        <w:ind w:left="0" w:firstLine="567"/>
        <w:rPr>
          <w:rFonts w:ascii="Arial" w:hAnsi="Arial" w:cs="Arial"/>
        </w:rPr>
      </w:pPr>
      <w:r>
        <w:rPr>
          <w:rFonts w:hint="eastAsia" w:ascii="Arial" w:hAnsi="Arial" w:cs="Arial"/>
        </w:rPr>
        <w:t>不可抗力事件发生后，应立即通知对方，并寄送有关权威机构出具的证明。</w:t>
      </w:r>
    </w:p>
    <w:p>
      <w:pPr>
        <w:numPr>
          <w:ilvl w:val="0"/>
          <w:numId w:val="9"/>
        </w:numPr>
        <w:tabs>
          <w:tab w:val="left" w:pos="0"/>
        </w:tabs>
        <w:spacing w:line="360" w:lineRule="auto"/>
        <w:ind w:left="0" w:firstLine="567"/>
        <w:rPr>
          <w:rFonts w:ascii="Arial" w:hAnsi="Arial" w:cs="Arial"/>
        </w:rPr>
      </w:pPr>
      <w:r>
        <w:rPr>
          <w:rFonts w:hint="eastAsia" w:ascii="Arial" w:hAnsi="Arial" w:cs="Arial"/>
        </w:rPr>
        <w:t>不可抗力事件延续120天以上，双方应通过友好协商，确定是否继续履行合同。</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Pr>
        <w:spacing w:line="360" w:lineRule="auto"/>
        <w:ind w:firstLine="480" w:firstLineChars="200"/>
        <w:rPr>
          <w:rFonts w:ascii="Arial" w:hAnsi="Arial" w:cs="Arial"/>
        </w:rPr>
      </w:pPr>
      <w:bookmarkStart w:id="64" w:name="_Toc225244857"/>
      <w:bookmarkStart w:id="65" w:name="_Toc238984980"/>
      <w:bookmarkStart w:id="66" w:name="_Toc211854454"/>
      <w:bookmarkStart w:id="67" w:name="_Toc225654649"/>
      <w:bookmarkStart w:id="68" w:name="_Toc232492933"/>
      <w:bookmarkStart w:id="69" w:name="_Toc211911353"/>
      <w:bookmarkStart w:id="70" w:name="_Toc251768867"/>
      <w:bookmarkStart w:id="71" w:name="_Toc237145411"/>
      <w:bookmarkStart w:id="72" w:name="_Toc247334846"/>
      <w:bookmarkStart w:id="73" w:name="_Toc241833908"/>
      <w:bookmarkStart w:id="74" w:name="_Toc286993792"/>
      <w:bookmarkStart w:id="75" w:name="_Toc225670756"/>
      <w:bookmarkStart w:id="76" w:name="_Toc239568423"/>
      <w:bookmarkStart w:id="77" w:name="_Toc185395254"/>
      <w:bookmarkStart w:id="78" w:name="_Toc239233919"/>
      <w:bookmarkStart w:id="79" w:name="_Toc212019599"/>
      <w:r>
        <w:rPr>
          <w:rFonts w:hint="eastAsia" w:ascii="Arial" w:hAnsi="Arial" w:cs="Arial"/>
        </w:rPr>
        <w:t>十三、解决合同纠纷的方式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numPr>
          <w:ilvl w:val="0"/>
          <w:numId w:val="10"/>
        </w:numPr>
        <w:tabs>
          <w:tab w:val="left" w:pos="0"/>
        </w:tabs>
        <w:spacing w:line="360" w:lineRule="auto"/>
        <w:ind w:left="0" w:firstLine="560"/>
        <w:rPr>
          <w:rFonts w:ascii="Arial" w:hAnsi="Arial" w:cs="Arial"/>
        </w:rPr>
      </w:pPr>
      <w:r>
        <w:rPr>
          <w:rFonts w:hint="eastAsia" w:ascii="Arial" w:hAnsi="Arial" w:cs="Arial"/>
        </w:rPr>
        <w:t>在执行本合同中发生的或与本合同有关的争端，双方应通过友好协商解决，经协商在60天内不能达成协议时，应提交成都仲裁委员会仲裁。</w:t>
      </w:r>
    </w:p>
    <w:p>
      <w:pPr>
        <w:numPr>
          <w:ilvl w:val="0"/>
          <w:numId w:val="10"/>
        </w:numPr>
        <w:tabs>
          <w:tab w:val="left" w:pos="0"/>
        </w:tabs>
        <w:spacing w:line="360" w:lineRule="auto"/>
        <w:ind w:left="0" w:firstLine="560"/>
        <w:rPr>
          <w:rFonts w:ascii="Arial" w:hAnsi="Arial" w:cs="Arial"/>
        </w:rPr>
      </w:pPr>
      <w:r>
        <w:rPr>
          <w:rFonts w:hint="eastAsia" w:ascii="Arial" w:hAnsi="Arial" w:cs="Arial"/>
        </w:rPr>
        <w:t>仲裁裁决应为最终决定，并对双方具有约束力。</w:t>
      </w:r>
    </w:p>
    <w:p>
      <w:pPr>
        <w:numPr>
          <w:ilvl w:val="0"/>
          <w:numId w:val="10"/>
        </w:numPr>
        <w:tabs>
          <w:tab w:val="left" w:pos="0"/>
        </w:tabs>
        <w:spacing w:line="360" w:lineRule="auto"/>
        <w:ind w:left="0" w:firstLine="560"/>
        <w:rPr>
          <w:rFonts w:ascii="Arial" w:hAnsi="Arial" w:cs="Arial"/>
        </w:rPr>
      </w:pPr>
      <w:r>
        <w:rPr>
          <w:rFonts w:hint="eastAsia" w:ascii="Arial" w:hAnsi="Arial" w:cs="Arial"/>
        </w:rPr>
        <w:t xml:space="preserve">除另有裁决外，仲裁费应由败诉方负担。 </w:t>
      </w:r>
    </w:p>
    <w:p>
      <w:pPr>
        <w:numPr>
          <w:ilvl w:val="0"/>
          <w:numId w:val="10"/>
        </w:numPr>
        <w:tabs>
          <w:tab w:val="left" w:pos="0"/>
        </w:tabs>
        <w:spacing w:line="360" w:lineRule="auto"/>
        <w:ind w:left="0" w:firstLine="560"/>
        <w:rPr>
          <w:rFonts w:ascii="Arial" w:hAnsi="Arial" w:cs="Arial"/>
        </w:rPr>
      </w:pPr>
      <w:r>
        <w:rPr>
          <w:rFonts w:hint="eastAsia" w:ascii="Arial" w:hAnsi="Arial" w:cs="Arial"/>
        </w:rPr>
        <w:t xml:space="preserve">在仲裁期间，除正在进行仲裁部分外，合同其他部分继续执行。  </w:t>
      </w:r>
    </w:p>
    <w:p>
      <w:pPr>
        <w:spacing w:line="360" w:lineRule="auto"/>
        <w:ind w:firstLine="480" w:firstLineChars="200"/>
        <w:rPr>
          <w:rFonts w:ascii="Arial" w:hAnsi="Arial" w:cs="Arial"/>
        </w:rPr>
      </w:pPr>
      <w:bookmarkStart w:id="80" w:name="_Toc212019600"/>
      <w:bookmarkStart w:id="81" w:name="_Toc185395255"/>
      <w:bookmarkStart w:id="82" w:name="_Toc283019219"/>
      <w:bookmarkStart w:id="83" w:name="_Toc225654650"/>
      <w:bookmarkStart w:id="84" w:name="_Toc239568424"/>
      <w:bookmarkStart w:id="85" w:name="_Toc238984981"/>
      <w:bookmarkStart w:id="86" w:name="_Toc237145412"/>
      <w:bookmarkStart w:id="87" w:name="_Toc232492934"/>
      <w:bookmarkStart w:id="88" w:name="_Toc251768868"/>
      <w:bookmarkStart w:id="89" w:name="_Toc225670757"/>
      <w:bookmarkStart w:id="90" w:name="_Toc239233920"/>
      <w:bookmarkStart w:id="91" w:name="_Toc241833909"/>
      <w:bookmarkStart w:id="92" w:name="_Toc247334847"/>
      <w:bookmarkStart w:id="93" w:name="_Toc282696231"/>
      <w:bookmarkStart w:id="94" w:name="_Toc225244858"/>
      <w:bookmarkStart w:id="95" w:name="_Toc286993793"/>
      <w:bookmarkStart w:id="96" w:name="_Toc211854455"/>
      <w:bookmarkStart w:id="97" w:name="_Toc211911354"/>
      <w:r>
        <w:rPr>
          <w:rFonts w:hint="eastAsia" w:ascii="Arial" w:hAnsi="Arial" w:cs="Arial"/>
        </w:rPr>
        <w:t>十四、合同</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Arial" w:hAnsi="Arial" w:cs="Arial"/>
        </w:rPr>
        <w:t>生效及其他</w:t>
      </w:r>
    </w:p>
    <w:p>
      <w:pPr>
        <w:pStyle w:val="112"/>
        <w:widowControl w:val="0"/>
        <w:numPr>
          <w:ilvl w:val="0"/>
          <w:numId w:val="11"/>
        </w:numPr>
        <w:adjustRightInd/>
        <w:snapToGrid/>
        <w:spacing w:after="0" w:line="360" w:lineRule="auto"/>
        <w:ind w:left="0" w:firstLine="630" w:firstLineChars="0"/>
        <w:jc w:val="both"/>
        <w:rPr>
          <w:rFonts w:ascii="Arial" w:hAnsi="Arial" w:cs="Arial"/>
          <w:sz w:val="24"/>
          <w:szCs w:val="24"/>
        </w:rPr>
      </w:pPr>
      <w:r>
        <w:rPr>
          <w:rFonts w:hint="eastAsia" w:ascii="Arial" w:hAnsi="Arial" w:cs="Arial"/>
          <w:sz w:val="24"/>
          <w:szCs w:val="24"/>
        </w:rPr>
        <w:t>合同经双方法定代表人或授权委托代理人签字并加盖单位公章后生效。</w:t>
      </w:r>
    </w:p>
    <w:p>
      <w:pPr>
        <w:pStyle w:val="112"/>
        <w:widowControl w:val="0"/>
        <w:numPr>
          <w:ilvl w:val="0"/>
          <w:numId w:val="11"/>
        </w:numPr>
        <w:adjustRightInd/>
        <w:snapToGrid/>
        <w:spacing w:after="0" w:line="360" w:lineRule="auto"/>
        <w:ind w:left="0" w:firstLine="630" w:firstLineChars="0"/>
        <w:jc w:val="both"/>
        <w:rPr>
          <w:rFonts w:ascii="Arial" w:hAnsi="Arial" w:cs="Arial"/>
          <w:sz w:val="24"/>
          <w:szCs w:val="24"/>
        </w:rPr>
      </w:pPr>
      <w:r>
        <w:rPr>
          <w:rFonts w:hint="eastAsia" w:ascii="Arial" w:hAnsi="Arial" w:cs="Arial"/>
          <w:sz w:val="24"/>
          <w:szCs w:val="24"/>
        </w:rPr>
        <w:t>合同执行中涉及采购资金和采购内容修改或补充的，须经政府采购监管部门审批，并签书面补充协议报政府采购监督管理部门备案，方可作为主合同不可分割的一部分。</w:t>
      </w:r>
    </w:p>
    <w:p>
      <w:pPr>
        <w:pStyle w:val="112"/>
        <w:widowControl w:val="0"/>
        <w:numPr>
          <w:ilvl w:val="0"/>
          <w:numId w:val="11"/>
        </w:numPr>
        <w:adjustRightInd/>
        <w:snapToGrid/>
        <w:spacing w:after="0" w:line="360" w:lineRule="auto"/>
        <w:ind w:left="0" w:firstLine="630" w:firstLineChars="0"/>
        <w:jc w:val="both"/>
        <w:rPr>
          <w:rFonts w:ascii="Arial" w:hAnsi="Arial" w:cs="Arial"/>
          <w:sz w:val="24"/>
          <w:szCs w:val="24"/>
        </w:rPr>
      </w:pPr>
      <w:r>
        <w:rPr>
          <w:rFonts w:hint="eastAsia" w:ascii="Arial" w:hAnsi="Arial" w:cs="Arial"/>
          <w:sz w:val="24"/>
          <w:szCs w:val="24"/>
        </w:rPr>
        <w:t>本合同一式    份，自双方签章之日起起效。甲方  份，乙方  份，政府采购代理机构     份，同级财政部门备案  份，具有同等法律效力。</w:t>
      </w:r>
    </w:p>
    <w:p>
      <w:pPr>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ascii="宋体" w:hAnsi="宋体" w:cs="宋体"/>
          <w:kern w:val="0"/>
        </w:rPr>
      </w:pPr>
      <w:r>
        <w:rPr>
          <w:rFonts w:hint="eastAsia" w:ascii="宋体" w:hAnsi="宋体" w:cs="宋体"/>
          <w:kern w:val="0"/>
          <w:lang w:val="zh-CN"/>
        </w:rPr>
        <w:t>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负责人或经办人：</w:t>
      </w:r>
    </w:p>
    <w:p>
      <w:pPr>
        <w:autoSpaceDE w:val="0"/>
        <w:autoSpaceDN w:val="0"/>
        <w:spacing w:line="360" w:lineRule="auto"/>
        <w:jc w:val="center"/>
        <w:rPr>
          <w:rFonts w:ascii="宋体" w:hAnsi="宋体" w:cs="宋体"/>
          <w:color w:val="000000"/>
          <w:kern w:val="0"/>
          <w:sz w:val="28"/>
          <w:szCs w:val="28"/>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交货期应根据产品的特点实事求是填写，如：进口产品90个工作日内，国产产品60个工作日内。特殊产品交货期需说明。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36"/>
        <w:spacing w:before="0" w:after="0" w:line="360" w:lineRule="auto"/>
        <w:rPr>
          <w:rFonts w:ascii="宋体" w:hAnsi="宋体" w:cs="宋体"/>
          <w:color w:val="000000"/>
          <w:szCs w:val="36"/>
          <w:lang w:val="zh-CN"/>
        </w:rPr>
      </w:pPr>
    </w:p>
    <w:p>
      <w:pPr>
        <w:pStyle w:val="36"/>
        <w:spacing w:before="0" w:after="0" w:line="360" w:lineRule="auto"/>
        <w:rPr>
          <w:rFonts w:ascii="宋体" w:hAnsi="宋体" w:cs="宋体"/>
          <w:color w:val="000000"/>
          <w:szCs w:val="36"/>
          <w:lang w:val="zh-CN"/>
        </w:rPr>
      </w:pPr>
    </w:p>
    <w:p>
      <w:pPr>
        <w:pStyle w:val="36"/>
        <w:spacing w:before="0" w:after="0" w:line="360" w:lineRule="auto"/>
        <w:rPr>
          <w:rFonts w:ascii="宋体" w:hAnsi="宋体" w:cs="宋体"/>
          <w:color w:val="000000"/>
          <w:szCs w:val="36"/>
          <w:lang w:val="zh-CN"/>
        </w:rPr>
      </w:pPr>
    </w:p>
    <w:p>
      <w:pPr>
        <w:pStyle w:val="36"/>
        <w:spacing w:before="0" w:after="0" w:line="360" w:lineRule="auto"/>
        <w:rPr>
          <w:rFonts w:ascii="宋体" w:hAnsi="宋体" w:cs="宋体"/>
          <w:color w:val="000000"/>
          <w:szCs w:val="36"/>
          <w:lang w:val="zh-CN"/>
        </w:rPr>
      </w:pPr>
    </w:p>
    <w:p>
      <w:pPr>
        <w:pStyle w:val="36"/>
        <w:spacing w:before="0" w:after="0" w:line="360" w:lineRule="auto"/>
        <w:rPr>
          <w:rFonts w:ascii="宋体" w:hAnsi="宋体" w:cs="宋体"/>
          <w:color w:val="000000"/>
          <w:lang w:val="zh-CN"/>
        </w:rPr>
      </w:pPr>
      <w:bookmarkStart w:id="98" w:name="_Toc3786"/>
      <w:r>
        <w:rPr>
          <w:rFonts w:hint="eastAsia" w:ascii="宋体" w:hAnsi="宋体" w:cs="宋体"/>
          <w:color w:val="000000"/>
          <w:szCs w:val="36"/>
          <w:lang w:val="zh-CN"/>
        </w:rPr>
        <w:t>第五部分  投标文件格式</w:t>
      </w:r>
      <w:bookmarkEnd w:id="98"/>
    </w:p>
    <w:p>
      <w:pPr>
        <w:pStyle w:val="36"/>
        <w:spacing w:before="0" w:after="0" w:line="360" w:lineRule="auto"/>
        <w:jc w:val="left"/>
        <w:outlineLvl w:val="1"/>
        <w:rPr>
          <w:rFonts w:ascii="宋体" w:hAnsi="宋体" w:cs="宋体"/>
          <w:color w:val="000000"/>
        </w:rPr>
      </w:pPr>
      <w:bookmarkStart w:id="99" w:name="_Toc11851"/>
      <w:bookmarkStart w:id="100" w:name="_Toc8375816"/>
      <w:bookmarkStart w:id="101" w:name="_Toc1352"/>
      <w:r>
        <w:rPr>
          <w:rFonts w:hint="eastAsia" w:ascii="宋体" w:hAnsi="宋体" w:cs="宋体"/>
          <w:color w:val="000000"/>
          <w:sz w:val="30"/>
          <w:szCs w:val="30"/>
          <w:lang w:val="zh-CN"/>
        </w:rPr>
        <w:t>封面</w:t>
      </w:r>
      <w:bookmarkEnd w:id="99"/>
      <w:r>
        <w:rPr>
          <w:rFonts w:hint="eastAsia" w:ascii="宋体" w:hAnsi="宋体" w:cs="宋体"/>
          <w:color w:val="000000"/>
          <w:sz w:val="30"/>
          <w:szCs w:val="30"/>
          <w:lang w:val="zh-CN"/>
        </w:rPr>
        <w:t>（上册）</w:t>
      </w:r>
      <w:bookmarkEnd w:id="100"/>
      <w:bookmarkEnd w:id="101"/>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投标文件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法定代表人或委托代理人：（签字或盖章）</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  月  日</w:t>
      </w:r>
    </w:p>
    <w:p>
      <w:pPr>
        <w:pStyle w:val="36"/>
        <w:spacing w:before="0" w:after="0" w:line="360" w:lineRule="auto"/>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102" w:name="_Toc8375817"/>
      <w:bookmarkStart w:id="103" w:name="_Toc2546"/>
      <w:bookmarkStart w:id="104" w:name="_Toc29902"/>
      <w:bookmarkStart w:id="105" w:name="_Toc8514"/>
      <w:r>
        <w:rPr>
          <w:rFonts w:hint="eastAsia" w:ascii="宋体" w:hAnsi="宋体" w:cs="宋体"/>
          <w:color w:val="000000"/>
          <w:sz w:val="30"/>
          <w:szCs w:val="30"/>
          <w:lang w:val="zh-CN"/>
        </w:rPr>
        <w:t>目录（上册）</w:t>
      </w:r>
      <w:bookmarkEnd w:id="102"/>
      <w:bookmarkEnd w:id="103"/>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104"/>
    <w:bookmarkEnd w:id="105"/>
    <w:p>
      <w:pPr>
        <w:pStyle w:val="36"/>
        <w:spacing w:before="0" w:after="0" w:line="360" w:lineRule="auto"/>
        <w:jc w:val="left"/>
        <w:outlineLvl w:val="1"/>
        <w:rPr>
          <w:rFonts w:ascii="宋体" w:hAnsi="宋体" w:cs="宋体"/>
          <w:color w:val="000000"/>
          <w:lang w:val="zh-CN"/>
        </w:rPr>
      </w:pPr>
      <w:bookmarkStart w:id="106" w:name="_Toc19582"/>
      <w:r>
        <w:rPr>
          <w:rFonts w:hint="eastAsia" w:ascii="宋体" w:hAnsi="宋体" w:cs="宋体"/>
          <w:color w:val="000000"/>
          <w:sz w:val="30"/>
          <w:szCs w:val="30"/>
          <w:lang w:val="zh-CN"/>
        </w:rPr>
        <w:br w:type="page"/>
      </w:r>
      <w:bookmarkStart w:id="107" w:name="_Toc12024"/>
      <w:bookmarkStart w:id="108" w:name="_Toc8375818"/>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06"/>
      <w:bookmarkEnd w:id="107"/>
      <w:bookmarkEnd w:id="108"/>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采购项目名称（采购项目编号/包号）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lang w:val="zh-CN"/>
        </w:rPr>
        <w:t>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autoSpaceDE w:val="0"/>
        <w:autoSpaceDN w:val="0"/>
        <w:spacing w:line="360" w:lineRule="auto"/>
        <w:jc w:val="left"/>
        <w:rPr>
          <w:rFonts w:ascii="宋体" w:hAnsi="宋体" w:cs="宋体"/>
          <w:color w:val="000000"/>
        </w:rPr>
      </w:pPr>
      <w:r>
        <w:rPr>
          <w:rFonts w:hint="eastAsia" w:ascii="宋体" w:hAnsi="宋体" w:cs="宋体"/>
          <w:b/>
          <w:bCs/>
          <w:color w:val="000000"/>
          <w:kern w:val="0"/>
          <w:lang w:val="zh-CN"/>
        </w:rPr>
        <w:t xml:space="preserve">                                 年   月   日</w:t>
      </w:r>
      <w:r>
        <w:rPr>
          <w:rFonts w:hint="eastAsia" w:ascii="宋体" w:hAnsi="宋体" w:cs="宋体"/>
          <w:b/>
          <w:bCs/>
          <w:color w:val="000000"/>
          <w:kern w:val="0"/>
          <w:lang w:val="zh-CN"/>
        </w:rPr>
        <w:br w:type="page"/>
      </w:r>
      <w:bookmarkStart w:id="109" w:name="_Toc8375819"/>
      <w:bookmarkStart w:id="110" w:name="_Toc29944"/>
      <w:r>
        <w:rPr>
          <w:rFonts w:hint="eastAsia" w:ascii="宋体" w:hAnsi="宋体" w:cs="宋体"/>
          <w:b/>
          <w:bCs/>
          <w:color w:val="000000"/>
          <w:sz w:val="30"/>
          <w:szCs w:val="30"/>
        </w:rPr>
        <w:t>（2）法定代表人证明书</w:t>
      </w:r>
      <w:bookmarkEnd w:id="10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    年龄：       民族：</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月   日</w:t>
      </w:r>
    </w:p>
    <w:p>
      <w:pPr>
        <w:pStyle w:val="3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110"/>
      <w:bookmarkStart w:id="111" w:name="_Toc8375820"/>
      <w:bookmarkStart w:id="112" w:name="_Toc9353"/>
      <w:bookmarkStart w:id="113"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111"/>
      <w:bookmarkEnd w:id="11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ind w:firstLine="120" w:firstLineChars="50"/>
        <w:rPr>
          <w:rFonts w:ascii="宋体" w:hAnsi="宋体" w:cs="宋体"/>
          <w:color w:val="000000"/>
          <w:kern w:val="0"/>
          <w:u w:val="single"/>
          <w:lang w:val="zh-CN"/>
        </w:rPr>
      </w:pPr>
      <w:r>
        <w:rPr>
          <w:rFonts w:hint="eastAsia" w:ascii="宋体" w:hAnsi="宋体" w:cs="宋体"/>
          <w:color w:val="000000"/>
          <w:kern w:val="0"/>
          <w:lang w:val="zh-CN"/>
        </w:rPr>
        <w:t>职务：                                    职务：</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autoSpaceDE w:val="0"/>
        <w:autoSpaceDN w:val="0"/>
        <w:spacing w:line="360" w:lineRule="auto"/>
        <w:rPr>
          <w:rFonts w:ascii="宋体" w:hAnsi="宋体" w:cs="宋体"/>
          <w:color w:val="000000"/>
          <w:kern w:val="0"/>
          <w:lang w:val="zh-CN"/>
        </w:rPr>
      </w:pPr>
    </w:p>
    <w:p>
      <w:pPr>
        <w:pStyle w:val="3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14" w:name="_Toc23766"/>
      <w:bookmarkStart w:id="115" w:name="_Toc8375821"/>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14"/>
      <w:bookmarkEnd w:id="11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lang w:val="en-US" w:eastAsia="zh-CN"/>
        </w:rPr>
        <w:t>20</w:t>
      </w:r>
      <w:r>
        <w:rPr>
          <w:rFonts w:hint="eastAsia" w:ascii="宋体" w:hAnsi="宋体" w:cs="宋体"/>
          <w:color w:val="000000"/>
          <w:kern w:val="0"/>
          <w:lang w:val="zh-CN"/>
        </w:rPr>
        <w:t>年  月  日</w:t>
      </w:r>
      <w:r>
        <w:rPr>
          <w:rFonts w:hint="eastAsia" w:ascii="宋体" w:hAnsi="宋体" w:cs="宋体"/>
          <w:color w:val="000000"/>
          <w:kern w:val="0"/>
          <w:u w:val="single"/>
          <w:lang w:val="zh-CN"/>
        </w:rPr>
        <w:t xml:space="preserve">          (采购项目名称)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autoSpaceDE w:val="0"/>
        <w:autoSpaceDN w:val="0"/>
        <w:spacing w:line="360" w:lineRule="auto"/>
        <w:jc w:val="left"/>
        <w:rPr>
          <w:rFonts w:ascii="宋体" w:hAnsi="宋体" w:cs="宋体"/>
          <w:color w:val="000000"/>
          <w:lang w:val="zh-CN"/>
        </w:rPr>
      </w:pPr>
      <w:r>
        <w:rPr>
          <w:rFonts w:hint="eastAsia" w:ascii="宋体" w:hAnsi="宋体" w:cs="宋体"/>
          <w:b/>
          <w:bCs/>
          <w:color w:val="000000"/>
          <w:kern w:val="0"/>
          <w:lang w:val="zh-CN"/>
        </w:rPr>
        <w:t xml:space="preserve">                                        年   月   日</w:t>
      </w:r>
      <w:r>
        <w:rPr>
          <w:rFonts w:hint="eastAsia" w:ascii="宋体" w:hAnsi="宋体" w:cs="宋体"/>
          <w:color w:val="000000"/>
          <w:lang w:val="zh-CN"/>
        </w:rPr>
        <w:br w:type="page"/>
      </w:r>
      <w:bookmarkStart w:id="116" w:name="_Toc8375822"/>
      <w:r>
        <w:rPr>
          <w:rFonts w:hint="eastAsia" w:ascii="宋体" w:hAnsi="宋体" w:cs="宋体"/>
          <w:b/>
          <w:bCs/>
          <w:color w:val="000000"/>
          <w:sz w:val="30"/>
          <w:szCs w:val="30"/>
        </w:rPr>
        <w:t>（5）投标人诚信承诺书</w:t>
      </w:r>
      <w:bookmarkEnd w:id="11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        </w:t>
      </w:r>
    </w:p>
    <w:p>
      <w:pPr>
        <w:rPr>
          <w:b/>
          <w:kern w:val="0"/>
          <w:lang w:val="zh-CN"/>
        </w:rPr>
      </w:pPr>
      <w:r>
        <w:rPr>
          <w:rFonts w:hint="eastAsia"/>
          <w:kern w:val="0"/>
          <w:lang w:val="zh-CN"/>
        </w:rPr>
        <w:t xml:space="preserve">                                             </w:t>
      </w:r>
      <w:r>
        <w:rPr>
          <w:rFonts w:hint="eastAsia"/>
          <w:b/>
          <w:kern w:val="0"/>
          <w:lang w:val="zh-CN"/>
        </w:rPr>
        <w:t>投标人：          （公章）</w:t>
      </w:r>
    </w:p>
    <w:p>
      <w:pPr>
        <w:rPr>
          <w:b/>
          <w:kern w:val="0"/>
          <w:lang w:val="zh-CN"/>
        </w:rPr>
      </w:pPr>
      <w:r>
        <w:rPr>
          <w:rFonts w:hint="eastAsia"/>
          <w:b/>
          <w:kern w:val="0"/>
          <w:lang w:val="zh-CN"/>
        </w:rPr>
        <w:t xml:space="preserve">                             法定代表人或委托代理人：        （签字或盖章）</w:t>
      </w:r>
    </w:p>
    <w:p>
      <w:pPr>
        <w:rPr>
          <w:lang w:val="zh-CN"/>
        </w:rPr>
      </w:pPr>
      <w:r>
        <w:rPr>
          <w:rFonts w:hint="eastAsia"/>
          <w:b/>
          <w:kern w:val="0"/>
          <w:lang w:val="zh-CN"/>
        </w:rPr>
        <w:t xml:space="preserve">                              </w:t>
      </w:r>
      <w:r>
        <w:rPr>
          <w:rFonts w:hint="eastAsia"/>
          <w:b/>
        </w:rPr>
        <w:t xml:space="preserve">                   </w:t>
      </w:r>
      <w:bookmarkStart w:id="117" w:name="_Toc15036677"/>
      <w:r>
        <w:rPr>
          <w:rFonts w:hint="eastAsia"/>
          <w:b/>
        </w:rPr>
        <w:t>年   月   日</w:t>
      </w:r>
      <w:r>
        <w:rPr>
          <w:rFonts w:hint="eastAsia"/>
          <w:kern w:val="0"/>
          <w:lang w:val="zh-CN"/>
        </w:rPr>
        <w:br w:type="page"/>
      </w:r>
      <w:bookmarkEnd w:id="113"/>
      <w:bookmarkStart w:id="118" w:name="_Toc8375823"/>
      <w:bookmarkStart w:id="119" w:name="_Toc8344"/>
      <w:r>
        <w:rPr>
          <w:rFonts w:hint="eastAsia"/>
          <w:sz w:val="30"/>
          <w:szCs w:val="30"/>
        </w:rPr>
        <w:t>（6）</w:t>
      </w:r>
      <w:r>
        <w:rPr>
          <w:rFonts w:hint="eastAsia"/>
          <w:sz w:val="30"/>
          <w:szCs w:val="30"/>
          <w:lang w:val="zh-CN"/>
        </w:rPr>
        <w:t>资格证明材料</w:t>
      </w:r>
      <w:bookmarkEnd w:id="117"/>
      <w:bookmarkEnd w:id="118"/>
    </w:p>
    <w:p>
      <w:pPr>
        <w:spacing w:line="360" w:lineRule="auto"/>
        <w:rPr>
          <w:rFonts w:ascii="宋体" w:hAnsi="宋体" w:cs="宋体"/>
          <w:color w:val="000000"/>
          <w:sz w:val="28"/>
          <w:szCs w:val="28"/>
          <w:lang w:val="zh-CN"/>
        </w:rPr>
      </w:pPr>
    </w:p>
    <w:p>
      <w:pPr>
        <w:jc w:val="center"/>
        <w:rPr>
          <w:b/>
          <w:kern w:val="0"/>
          <w:sz w:val="28"/>
          <w:szCs w:val="28"/>
          <w:lang w:val="zh-CN"/>
        </w:rPr>
      </w:pPr>
      <w:r>
        <w:rPr>
          <w:rFonts w:hint="eastAsia"/>
          <w:b/>
          <w:kern w:val="0"/>
          <w:sz w:val="28"/>
          <w:szCs w:val="28"/>
          <w:lang w:val="zh-CN"/>
        </w:rPr>
        <w:t>资格证明材料</w:t>
      </w:r>
    </w:p>
    <w:p>
      <w:pPr>
        <w:jc w:val="center"/>
        <w:rPr>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1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pStyle w:val="51"/>
        <w:numPr>
          <w:ilvl w:val="0"/>
          <w:numId w:val="13"/>
        </w:numPr>
        <w:spacing w:line="360" w:lineRule="auto"/>
        <w:ind w:firstLineChars="0"/>
        <w:rPr>
          <w:rFonts w:ascii="宋体" w:hAnsi="宋体" w:cs="宋体"/>
          <w:color w:val="000000"/>
        </w:rPr>
      </w:pPr>
      <w:r>
        <w:rPr>
          <w:rFonts w:hint="eastAsia" w:ascii="宋体" w:hAnsi="宋体" w:cs="宋体"/>
          <w:color w:val="000000"/>
        </w:rPr>
        <w:t>招标文件规定的有关资格证书、许可证书、认证等；</w:t>
      </w:r>
    </w:p>
    <w:p>
      <w:pPr>
        <w:numPr>
          <w:ilvl w:val="0"/>
          <w:numId w:val="13"/>
        </w:numPr>
        <w:spacing w:line="360" w:lineRule="auto"/>
        <w:ind w:firstLine="480"/>
        <w:rPr>
          <w:rFonts w:ascii="宋体" w:hAnsi="宋体" w:cs="宋体"/>
          <w:color w:val="000000"/>
        </w:rPr>
      </w:pPr>
      <w:r>
        <w:rPr>
          <w:rFonts w:hint="eastAsia" w:ascii="宋体" w:hAnsi="宋体" w:cs="宋体"/>
          <w:color w:val="000000"/>
        </w:rPr>
        <w:t>投标企业简介及获得相关证书证明文件；</w:t>
      </w:r>
    </w:p>
    <w:p>
      <w:pPr>
        <w:numPr>
          <w:ilvl w:val="0"/>
          <w:numId w:val="13"/>
        </w:numPr>
        <w:spacing w:line="360" w:lineRule="auto"/>
        <w:ind w:firstLine="480"/>
        <w:rPr>
          <w:rFonts w:ascii="宋体" w:hAnsi="宋体" w:cs="宋体"/>
          <w:color w:val="000000"/>
        </w:rPr>
      </w:pPr>
      <w:r>
        <w:rPr>
          <w:rFonts w:hint="eastAsia" w:ascii="宋体" w:hAnsi="宋体" w:cs="宋体"/>
          <w:color w:val="000000"/>
        </w:rPr>
        <w:t>投标人认为有必要提供的其他资格证明文件。</w:t>
      </w:r>
    </w:p>
    <w:p>
      <w:pPr>
        <w:pStyle w:val="3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120" w:name="_Toc21532"/>
      <w:bookmarkStart w:id="121" w:name="_Toc8375824"/>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20"/>
      <w:bookmarkEnd w:id="12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基本开户银行近三个月内出具的资信证明（同时提供基本存款账户开户许可证）或上一年度（201</w:t>
      </w:r>
      <w:r>
        <w:rPr>
          <w:rFonts w:hint="eastAsia" w:ascii="宋体" w:hAnsi="宋体" w:cs="宋体"/>
          <w:color w:val="000000"/>
          <w:kern w:val="0"/>
          <w:lang w:val="en-US" w:eastAsia="zh-CN"/>
        </w:rPr>
        <w:t>9</w:t>
      </w:r>
      <w:r>
        <w:rPr>
          <w:rFonts w:hint="eastAsia" w:ascii="宋体" w:hAnsi="宋体" w:cs="宋体"/>
          <w:color w:val="000000"/>
          <w:kern w:val="0"/>
          <w:lang w:val="zh-CN"/>
        </w:rPr>
        <w:t>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2、近半年依法缴纳税收和社会保障资金记录的证明材料；依法免税或不需要缴纳社会保障资金的投标人须提供相应文件证明其依法免税或不需要缴纳社会保障资金。</w:t>
      </w:r>
    </w:p>
    <w:p>
      <w:pPr>
        <w:pStyle w:val="3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119"/>
      <w:bookmarkStart w:id="122" w:name="_Toc3124"/>
      <w:bookmarkStart w:id="123" w:name="_Toc8375825"/>
      <w:bookmarkStart w:id="12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122"/>
      <w:bookmarkEnd w:id="12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为保证本项目合同的顺利履行，投标人必须具备履行合同的设备和专业技术能力，须提供必须具备履行合同的设备和专业技术能力的承诺函（格式自拟），并提供相关人员的职称证书或用工合同等证明材料</w:t>
      </w:r>
    </w:p>
    <w:p>
      <w:pPr>
        <w:pStyle w:val="3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125" w:name="_Toc20191"/>
      <w:bookmarkStart w:id="126" w:name="_Toc8375826"/>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125"/>
      <w:bookmarkEnd w:id="12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中金招标有限责任公司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pStyle w:val="36"/>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t xml:space="preserve">                            </w:t>
      </w:r>
      <w:r>
        <w:rPr>
          <w:rFonts w:hint="eastAsia"/>
          <w:sz w:val="24"/>
          <w:szCs w:val="24"/>
        </w:rPr>
        <w:t xml:space="preserve">   </w:t>
      </w:r>
      <w:bookmarkStart w:id="127" w:name="_Toc14324"/>
      <w:bookmarkStart w:id="128" w:name="_Toc15036926"/>
      <w:r>
        <w:rPr>
          <w:rFonts w:hint="eastAsia"/>
          <w:sz w:val="24"/>
          <w:szCs w:val="24"/>
        </w:rPr>
        <w:t>年   月   日</w:t>
      </w:r>
      <w:r>
        <w:rPr>
          <w:rFonts w:hint="eastAsia" w:ascii="宋体" w:hAnsi="宋体" w:cs="宋体"/>
          <w:color w:val="000000"/>
          <w:lang w:val="zh-CN"/>
        </w:rPr>
        <w:br w:type="page"/>
      </w:r>
      <w:bookmarkStart w:id="129" w:name="_Toc8375827"/>
      <w:bookmarkStart w:id="130"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127"/>
      <w:bookmarkEnd w:id="128"/>
      <w:bookmarkEnd w:id="129"/>
      <w:bookmarkEnd w:id="13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附件：保证金交款证明复印件（加盖公章）及银行开户许可证。</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 xml:space="preserve">                                             年   月   日</w:t>
      </w:r>
    </w:p>
    <w:bookmarkEnd w:id="12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投标文件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法定代表人或委托代理人：（签字或盖章）</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  月  日</w:t>
      </w:r>
    </w:p>
    <w:p>
      <w:pPr>
        <w:pStyle w:val="36"/>
        <w:spacing w:before="0" w:after="0" w:line="360" w:lineRule="auto"/>
        <w:rPr>
          <w:rFonts w:ascii="宋体" w:hAnsi="宋体" w:cs="宋体"/>
          <w:color w:val="000000"/>
          <w:lang w:val="zh-CN"/>
        </w:rPr>
      </w:pPr>
      <w:r>
        <w:rPr>
          <w:rFonts w:hint="eastAsia" w:ascii="宋体" w:hAnsi="宋体" w:cs="宋体"/>
          <w:b w:val="0"/>
          <w:bCs w:val="0"/>
          <w:color w:val="000000"/>
          <w:kern w:val="0"/>
          <w:lang w:val="zh-CN"/>
        </w:rPr>
        <w:br w:type="page"/>
      </w:r>
      <w:bookmarkStart w:id="131" w:name="_Toc8375828"/>
      <w:bookmarkStart w:id="132" w:name="_Toc21416"/>
      <w:r>
        <w:rPr>
          <w:rFonts w:hint="eastAsia" w:ascii="宋体" w:hAnsi="宋体" w:cs="宋体"/>
          <w:color w:val="000000"/>
          <w:sz w:val="30"/>
          <w:szCs w:val="30"/>
          <w:lang w:val="zh-CN"/>
        </w:rPr>
        <w:t>目录（下册）</w:t>
      </w:r>
      <w:bookmarkEnd w:id="131"/>
      <w:bookmarkEnd w:id="132"/>
    </w:p>
    <w:p>
      <w:pPr>
        <w:autoSpaceDE w:val="0"/>
        <w:autoSpaceDN w:val="0"/>
        <w:spacing w:line="360" w:lineRule="auto"/>
        <w:rPr>
          <w:rFonts w:ascii="宋体" w:hAnsi="宋体" w:cs="宋体"/>
          <w:color w:val="000000"/>
          <w:kern w:val="0"/>
          <w:lang w:val="zh-CN"/>
        </w:rPr>
      </w:pPr>
      <w:r>
        <w:rPr>
          <w:rFonts w:hint="eastAsia" w:ascii="宋体" w:hAnsi="宋体" w:cs="宋体"/>
          <w:color w:val="000000"/>
        </w:rPr>
        <w:t>（11）评分对照表</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（12）开标一览表（报价表）…………………………………………所在页码</w:t>
      </w:r>
    </w:p>
    <w:p>
      <w:pPr>
        <w:autoSpaceDE w:val="0"/>
        <w:autoSpaceDN w:val="0"/>
        <w:spacing w:line="360" w:lineRule="auto"/>
        <w:rPr>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）服务响应表………………………………………………………所在页码</w:t>
      </w:r>
    </w:p>
    <w:p>
      <w:pPr>
        <w:autoSpaceDE w:val="0"/>
        <w:autoSpaceDN w:val="0"/>
        <w:spacing w:line="360" w:lineRule="auto"/>
        <w:rPr>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）人员配置表………………………………………………………所在页码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）服务方案…………………………………………………………所在页码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）制造（生产）企业小型微型企业声明函、从业人员声明函…所在页码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pPr>
        <w:pStyle w:val="36"/>
        <w:spacing w:before="0" w:after="0" w:line="360" w:lineRule="auto"/>
        <w:ind w:firstLine="472" w:firstLineChars="196"/>
        <w:jc w:val="left"/>
        <w:outlineLvl w:val="1"/>
        <w:rPr>
          <w:rStyle w:val="102"/>
        </w:rPr>
      </w:pPr>
    </w:p>
    <w:p>
      <w:pPr>
        <w:pStyle w:val="36"/>
        <w:spacing w:before="0" w:after="0" w:line="360" w:lineRule="auto"/>
        <w:ind w:firstLine="472" w:firstLineChars="196"/>
        <w:jc w:val="left"/>
        <w:outlineLvl w:val="1"/>
        <w:rPr>
          <w:rFonts w:ascii="宋体" w:hAnsi="宋体" w:cs="宋体"/>
          <w:color w:val="000000"/>
          <w:sz w:val="30"/>
          <w:szCs w:val="30"/>
          <w:lang w:val="zh-CN"/>
        </w:rPr>
      </w:pPr>
      <w:bookmarkStart w:id="133" w:name="_Toc15036929"/>
      <w:bookmarkStart w:id="134" w:name="_Toc32038"/>
      <w:r>
        <w:rPr>
          <w:rFonts w:hint="eastAsia"/>
          <w:sz w:val="24"/>
          <w:szCs w:val="24"/>
        </w:rPr>
        <w:t>注：此目录投标人根据实际情况编写</w:t>
      </w:r>
      <w:r>
        <w:rPr>
          <w:rFonts w:hint="eastAsia" w:ascii="宋体" w:hAnsi="宋体" w:cs="宋体"/>
          <w:color w:val="000000"/>
          <w:lang w:val="zh-CN"/>
        </w:rPr>
        <w:br w:type="page"/>
      </w:r>
      <w:bookmarkStart w:id="135" w:name="_Toc15036686"/>
      <w:bookmarkStart w:id="136" w:name="_Toc8375829"/>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133"/>
      <w:bookmarkEnd w:id="134"/>
      <w:bookmarkEnd w:id="135"/>
      <w:bookmarkEnd w:id="136"/>
    </w:p>
    <w:p>
      <w:pPr>
        <w:spacing w:line="360" w:lineRule="auto"/>
        <w:rPr>
          <w:rFonts w:ascii="宋体" w:hAnsi="宋体" w:cs="宋体"/>
          <w:color w:val="000000"/>
          <w:sz w:val="28"/>
          <w:szCs w:val="28"/>
        </w:rPr>
      </w:pPr>
    </w:p>
    <w:p>
      <w:pPr>
        <w:jc w:val="center"/>
        <w:rPr>
          <w:b/>
          <w:sz w:val="28"/>
          <w:szCs w:val="28"/>
        </w:rPr>
      </w:pPr>
      <w:r>
        <w:rPr>
          <w:rFonts w:hint="eastAsia"/>
          <w:b/>
          <w:sz w:val="28"/>
          <w:szCs w:val="28"/>
        </w:rPr>
        <w:t>评分对照表</w:t>
      </w:r>
    </w:p>
    <w:p>
      <w:pPr>
        <w:spacing w:line="360" w:lineRule="auto"/>
        <w:rPr>
          <w:rFonts w:ascii="宋体" w:hAnsi="宋体" w:cs="宋体"/>
          <w:color w:val="000000"/>
          <w:sz w:val="28"/>
          <w:szCs w:val="28"/>
        </w:rPr>
      </w:pPr>
    </w:p>
    <w:p>
      <w:pPr>
        <w:pStyle w:val="17"/>
      </w:pPr>
    </w:p>
    <w:tbl>
      <w:tblPr>
        <w:tblStyle w:val="3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2431"/>
        <w:gridCol w:w="219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序号</w:t>
            </w: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招标文件评分标准</w:t>
            </w: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投标响应部分</w:t>
            </w: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84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431"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190"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c>
          <w:tcPr>
            <w:tcW w:w="2867"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36"/>
        <w:jc w:val="left"/>
        <w:rPr>
          <w:rFonts w:ascii="宋体" w:hAnsi="宋体" w:cs="宋体"/>
          <w:b w:val="0"/>
          <w:bCs w:val="0"/>
          <w:sz w:val="24"/>
          <w:szCs w:val="24"/>
        </w:rPr>
      </w:pPr>
      <w:bookmarkStart w:id="137" w:name="_Toc28963"/>
      <w:r>
        <w:rPr>
          <w:rFonts w:hint="eastAsia" w:ascii="宋体" w:hAnsi="宋体" w:cs="宋体"/>
          <w:color w:val="000000"/>
          <w:sz w:val="30"/>
          <w:szCs w:val="30"/>
          <w:lang w:val="zh-CN"/>
        </w:rPr>
        <w:br w:type="page"/>
      </w:r>
      <w:bookmarkStart w:id="138" w:name="_Toc18057"/>
      <w:bookmarkStart w:id="139" w:name="_Toc531163030"/>
      <w:r>
        <w:rPr>
          <w:rFonts w:hint="eastAsia" w:ascii="宋体" w:hAnsi="宋体" w:cs="宋体"/>
          <w:sz w:val="28"/>
          <w:szCs w:val="24"/>
        </w:rPr>
        <w:t>（12）开标报价一览表</w:t>
      </w:r>
      <w:bookmarkEnd w:id="138"/>
      <w:bookmarkEnd w:id="139"/>
    </w:p>
    <w:p>
      <w:pPr>
        <w:spacing w:line="360" w:lineRule="auto"/>
        <w:textAlignment w:val="baseline"/>
        <w:rPr>
          <w:rFonts w:ascii="宋体"/>
        </w:rPr>
      </w:pPr>
    </w:p>
    <w:p>
      <w:pPr>
        <w:pStyle w:val="17"/>
      </w:pPr>
    </w:p>
    <w:p>
      <w:pPr>
        <w:autoSpaceDE w:val="0"/>
        <w:autoSpaceDN w:val="0"/>
        <w:spacing w:line="360" w:lineRule="auto"/>
        <w:jc w:val="center"/>
        <w:rPr>
          <w:rFonts w:ascii="宋体"/>
          <w:b/>
          <w:bCs/>
          <w:sz w:val="28"/>
          <w:szCs w:val="28"/>
          <w:lang w:val="zh-CN"/>
        </w:rPr>
      </w:pPr>
      <w:r>
        <w:rPr>
          <w:rFonts w:hint="eastAsia" w:ascii="宋体" w:hAnsi="宋体" w:cs="宋体"/>
          <w:b/>
          <w:bCs/>
          <w:sz w:val="28"/>
          <w:szCs w:val="28"/>
        </w:rPr>
        <w:t>开标报价表</w:t>
      </w:r>
    </w:p>
    <w:tbl>
      <w:tblPr>
        <w:tblStyle w:val="3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项目名称</w:t>
            </w:r>
          </w:p>
        </w:tc>
        <w:tc>
          <w:tcPr>
            <w:tcW w:w="5985"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vAlign w:val="center"/>
          </w:tcPr>
          <w:p>
            <w:pPr>
              <w:pStyle w:val="13"/>
              <w:keepNext w:val="0"/>
              <w:keepLines w:val="0"/>
              <w:suppressLineNumbers w:val="0"/>
              <w:spacing w:before="0" w:beforeAutospacing="0" w:after="0" w:afterAutospacing="0" w:line="360" w:lineRule="auto"/>
              <w:ind w:left="0" w:leftChars="0" w:right="0" w:rightChars="0" w:firstLine="0" w:firstLineChars="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pStyle w:val="13"/>
              <w:keepNext w:val="0"/>
              <w:keepLines w:val="0"/>
              <w:suppressLineNumbers w:val="0"/>
              <w:spacing w:before="0" w:beforeAutospacing="0" w:after="0" w:afterAutospacing="0" w:line="360" w:lineRule="auto"/>
              <w:ind w:left="0" w:right="0" w:firstLine="0"/>
              <w:jc w:val="left"/>
              <w:rPr>
                <w:rFonts w:ascii="宋体" w:hAnsi="宋体" w:cs="宋体"/>
                <w:color w:val="000000"/>
                <w:szCs w:val="24"/>
              </w:rPr>
            </w:pPr>
            <w:r>
              <w:rPr>
                <w:rFonts w:hint="eastAsia" w:ascii="宋体" w:hAnsi="宋体" w:cs="宋体"/>
                <w:color w:val="000000"/>
                <w:szCs w:val="24"/>
              </w:rPr>
              <w:t>大写：</w:t>
            </w:r>
          </w:p>
          <w:p>
            <w:pPr>
              <w:pStyle w:val="13"/>
              <w:keepNext w:val="0"/>
              <w:keepLines w:val="0"/>
              <w:suppressLineNumbers w:val="0"/>
              <w:spacing w:before="0" w:beforeAutospacing="0" w:after="0" w:afterAutospacing="0" w:line="360" w:lineRule="auto"/>
              <w:ind w:left="0" w:leftChars="0" w:right="0" w:rightChars="0" w:firstLine="0" w:firstLineChars="0"/>
              <w:jc w:val="left"/>
              <w:rPr>
                <w:rFonts w:hint="eastAsia" w:ascii="宋体" w:hAnsi="宋体" w:cs="宋体"/>
                <w:color w:val="000000"/>
                <w:szCs w:val="24"/>
              </w:rPr>
            </w:pPr>
            <w:r>
              <w:rPr>
                <w:rFonts w:hint="eastAsia" w:ascii="宋体" w:hAnsi="宋体" w:cs="宋体"/>
                <w:color w:val="000000"/>
                <w:szCs w:val="24"/>
              </w:rPr>
              <w:t>小写：</w:t>
            </w:r>
            <w:r>
              <w:rPr>
                <w:rFonts w:hint="eastAsia" w:ascii="宋体" w:hAnsi="宋体" w:cs="宋体"/>
                <w:color w:val="000000"/>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r>
              <w:rPr>
                <w:rFonts w:hint="eastAsia" w:ascii="宋体" w:hAnsi="宋体" w:cs="宋体"/>
                <w:color w:val="000000"/>
                <w:szCs w:val="24"/>
              </w:rPr>
              <w:t>服务期</w:t>
            </w:r>
          </w:p>
        </w:tc>
        <w:tc>
          <w:tcPr>
            <w:tcW w:w="5985" w:type="dxa"/>
            <w:vAlign w:val="center"/>
          </w:tcPr>
          <w:p>
            <w:pPr>
              <w:pStyle w:val="13"/>
              <w:keepNext w:val="0"/>
              <w:keepLines w:val="0"/>
              <w:suppressLineNumbers w:val="0"/>
              <w:spacing w:before="0" w:beforeAutospacing="0" w:after="0" w:afterAutospacing="0" w:line="360" w:lineRule="auto"/>
              <w:ind w:left="0" w:right="0" w:firstLine="0"/>
              <w:jc w:val="center"/>
              <w:rPr>
                <w:rFonts w:ascii="宋体" w:hAnsi="宋体" w:cs="宋体"/>
                <w:color w:val="000000"/>
                <w:szCs w:val="24"/>
              </w:rPr>
            </w:pPr>
          </w:p>
        </w:tc>
      </w:tr>
    </w:tbl>
    <w:p>
      <w:pPr>
        <w:pStyle w:val="13"/>
        <w:spacing w:line="360" w:lineRule="auto"/>
        <w:ind w:firstLine="0"/>
        <w:jc w:val="left"/>
        <w:rPr>
          <w:rFonts w:ascii="宋体" w:hAnsi="宋体" w:cs="宋体"/>
          <w:color w:val="000000"/>
          <w:szCs w:val="24"/>
        </w:rPr>
      </w:pPr>
    </w:p>
    <w:p>
      <w:pPr>
        <w:pStyle w:val="13"/>
        <w:spacing w:line="360" w:lineRule="auto"/>
        <w:ind w:firstLine="0"/>
        <w:jc w:val="left"/>
        <w:rPr>
          <w:rFonts w:ascii="宋体" w:hAnsi="宋体" w:cs="宋体"/>
          <w:color w:val="000000"/>
          <w:szCs w:val="24"/>
        </w:rPr>
      </w:pPr>
    </w:p>
    <w:p>
      <w:pPr>
        <w:pStyle w:val="13"/>
        <w:spacing w:line="360" w:lineRule="auto"/>
        <w:ind w:firstLine="0"/>
        <w:jc w:val="left"/>
        <w:rPr>
          <w:rFonts w:ascii="宋体" w:hAnsi="宋体" w:cs="宋体"/>
          <w:color w:val="000000"/>
          <w:szCs w:val="24"/>
        </w:rPr>
      </w:pPr>
      <w:r>
        <w:rPr>
          <w:rFonts w:hint="eastAsia" w:ascii="宋体" w:hAnsi="宋体" w:cs="宋体"/>
          <w:color w:val="000000"/>
          <w:szCs w:val="24"/>
        </w:rPr>
        <w:t>注：</w:t>
      </w:r>
      <w:r>
        <w:rPr>
          <w:rFonts w:ascii="宋体" w:hAnsi="宋体" w:cs="宋体"/>
          <w:color w:val="000000"/>
          <w:szCs w:val="24"/>
        </w:rPr>
        <w:t>1.</w:t>
      </w:r>
      <w:r>
        <w:rPr>
          <w:rFonts w:hint="eastAsia" w:ascii="宋体" w:hAnsi="宋体" w:cs="宋体"/>
          <w:color w:val="000000"/>
          <w:szCs w:val="24"/>
        </w:rPr>
        <w:t>填写此表时不得改变表格形式。</w:t>
      </w:r>
    </w:p>
    <w:p>
      <w:pPr>
        <w:autoSpaceDE w:val="0"/>
        <w:autoSpaceDN w:val="0"/>
        <w:spacing w:line="360" w:lineRule="auto"/>
        <w:ind w:firstLine="480" w:firstLineChars="200"/>
        <w:rPr>
          <w:rFonts w:ascii="宋体" w:hAnsi="宋体" w:cs="宋体"/>
          <w:color w:val="C00000"/>
        </w:rPr>
      </w:pPr>
      <w:r>
        <w:rPr>
          <w:rFonts w:ascii="宋体" w:hAnsi="宋体" w:cs="宋体"/>
          <w:color w:val="000000"/>
        </w:rPr>
        <w:t>2.</w:t>
      </w:r>
      <w:r>
        <w:rPr>
          <w:rFonts w:hint="eastAsia" w:ascii="宋体" w:hAnsi="宋体" w:cs="宋体"/>
          <w:color w:val="auto"/>
        </w:rPr>
        <w:t>“投标报价”为投标总价。合同总价包括：包含派遣人员工资、及相关养老保险、医疗保险、失业保险、工伤保险、派遣人员服装费（服装依据采购人要求定制）、售后服务费、税金、中标服务费及不可预见费等全部费。</w:t>
      </w:r>
    </w:p>
    <w:p>
      <w:pPr>
        <w:pStyle w:val="13"/>
        <w:spacing w:line="360" w:lineRule="auto"/>
        <w:ind w:firstLine="360" w:firstLineChars="150"/>
        <w:jc w:val="left"/>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“服务期”是指项目实施的具体周期。</w:t>
      </w:r>
    </w:p>
    <w:p>
      <w:pPr>
        <w:pStyle w:val="13"/>
        <w:spacing w:line="360" w:lineRule="auto"/>
        <w:ind w:firstLine="360" w:firstLineChars="150"/>
        <w:jc w:val="left"/>
        <w:rPr>
          <w:rFonts w:ascii="宋体" w:hAnsi="宋体" w:cs="宋体"/>
          <w:color w:val="000000"/>
          <w:szCs w:val="24"/>
        </w:rPr>
      </w:pPr>
      <w:r>
        <w:rPr>
          <w:rFonts w:hint="eastAsia" w:ascii="宋体" w:hAnsi="宋体" w:cs="宋体"/>
          <w:color w:val="000000"/>
          <w:szCs w:val="24"/>
        </w:rPr>
        <w:t>4</w:t>
      </w:r>
      <w:r>
        <w:rPr>
          <w:rFonts w:ascii="宋体" w:hAnsi="宋体" w:cs="宋体"/>
          <w:color w:val="000000"/>
          <w:szCs w:val="24"/>
        </w:rPr>
        <w:t xml:space="preserve">. </w:t>
      </w:r>
      <w:r>
        <w:rPr>
          <w:rFonts w:hint="eastAsia" w:ascii="宋体" w:hAnsi="宋体" w:cs="宋体"/>
          <w:color w:val="000000"/>
          <w:szCs w:val="24"/>
        </w:rPr>
        <w:t>投标报价不能有两个或两个以上的报价方案。</w:t>
      </w:r>
    </w:p>
    <w:p>
      <w:pPr>
        <w:pStyle w:val="36"/>
        <w:spacing w:before="0" w:after="0" w:line="360" w:lineRule="auto"/>
        <w:jc w:val="left"/>
        <w:outlineLvl w:val="1"/>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月   日</w:t>
      </w:r>
    </w:p>
    <w:p>
      <w:pPr>
        <w:pStyle w:val="36"/>
        <w:spacing w:before="0" w:after="0" w:line="360" w:lineRule="auto"/>
        <w:jc w:val="left"/>
        <w:outlineLvl w:val="1"/>
        <w:rPr>
          <w:lang w:val="zh-CN"/>
        </w:rPr>
      </w:pPr>
      <w:r>
        <w:rPr>
          <w:rFonts w:hint="eastAsia" w:ascii="宋体" w:hAnsi="宋体" w:cs="宋体"/>
          <w:color w:val="000000"/>
          <w:sz w:val="30"/>
          <w:szCs w:val="30"/>
          <w:lang w:val="zh-CN"/>
        </w:rPr>
        <w:br w:type="page"/>
      </w:r>
      <w:bookmarkEnd w:id="137"/>
    </w:p>
    <w:p>
      <w:pPr>
        <w:pStyle w:val="36"/>
        <w:jc w:val="left"/>
        <w:rPr>
          <w:rFonts w:ascii="宋体" w:hAnsi="宋体" w:cs="宋体"/>
          <w:sz w:val="28"/>
          <w:szCs w:val="24"/>
        </w:rPr>
      </w:pPr>
      <w:bookmarkStart w:id="140" w:name="_Toc10647798"/>
      <w:bookmarkStart w:id="141" w:name="_Toc9653"/>
      <w:r>
        <w:rPr>
          <w:rFonts w:hint="eastAsia" w:ascii="宋体" w:hAnsi="宋体" w:cs="宋体"/>
          <w:sz w:val="28"/>
          <w:szCs w:val="24"/>
        </w:rPr>
        <w:t>（13）服务响应表</w:t>
      </w:r>
      <w:bookmarkEnd w:id="140"/>
      <w:bookmarkEnd w:id="141"/>
    </w:p>
    <w:p>
      <w:pPr>
        <w:autoSpaceDE w:val="0"/>
        <w:autoSpaceDN w:val="0"/>
        <w:spacing w:line="360" w:lineRule="auto"/>
        <w:ind w:firstLine="560"/>
        <w:jc w:val="center"/>
        <w:rPr>
          <w:rFonts w:ascii="宋体" w:hAnsi="宋体" w:cs="宋体"/>
          <w:b/>
          <w:sz w:val="28"/>
          <w:szCs w:val="28"/>
          <w:lang w:val="zh-CN"/>
        </w:rPr>
      </w:pPr>
      <w:r>
        <w:rPr>
          <w:rFonts w:hint="eastAsia" w:ascii="宋体" w:hAnsi="宋体" w:cs="宋体"/>
          <w:b/>
          <w:sz w:val="28"/>
          <w:szCs w:val="28"/>
          <w:lang w:val="zh-CN"/>
        </w:rPr>
        <w:t>服务响应表</w:t>
      </w:r>
    </w:p>
    <w:p>
      <w:pPr>
        <w:autoSpaceDE w:val="0"/>
        <w:autoSpaceDN w:val="0"/>
        <w:spacing w:line="360" w:lineRule="auto"/>
        <w:ind w:firstLine="590" w:firstLineChars="245"/>
        <w:rPr>
          <w:rFonts w:ascii="宋体" w:hAnsi="宋体" w:cs="宋体"/>
          <w:b/>
          <w:bCs/>
          <w:color w:val="000000"/>
          <w:kern w:val="0"/>
          <w:lang w:val="zh-CN"/>
        </w:rPr>
      </w:pPr>
      <w:r>
        <w:rPr>
          <w:rFonts w:hint="eastAsia" w:ascii="宋体" w:hAnsi="宋体" w:cs="宋体"/>
          <w:b/>
          <w:bCs/>
          <w:color w:val="000000"/>
          <w:kern w:val="0"/>
          <w:lang w:val="zh-CN"/>
        </w:rPr>
        <w:t>项目名称</w:t>
      </w:r>
      <w:r>
        <w:rPr>
          <w:rFonts w:hint="eastAsia" w:ascii="宋体" w:hAnsi="宋体" w:cs="宋体"/>
          <w:b/>
          <w:bCs/>
          <w:color w:val="000000"/>
          <w:kern w:val="0"/>
        </w:rPr>
        <w:t xml:space="preserve">：                                             </w:t>
      </w:r>
    </w:p>
    <w:tbl>
      <w:tblPr>
        <w:tblStyle w:val="39"/>
        <w:tblW w:w="9026" w:type="dxa"/>
        <w:jc w:val="center"/>
        <w:tblLayout w:type="fixed"/>
        <w:tblCellMar>
          <w:top w:w="0" w:type="dxa"/>
          <w:left w:w="28" w:type="dxa"/>
          <w:bottom w:w="0" w:type="dxa"/>
          <w:right w:w="28" w:type="dxa"/>
        </w:tblCellMar>
      </w:tblPr>
      <w:tblGrid>
        <w:gridCol w:w="611"/>
        <w:gridCol w:w="3119"/>
        <w:gridCol w:w="3268"/>
        <w:gridCol w:w="2028"/>
      </w:tblGrid>
      <w:tr>
        <w:tblPrEx>
          <w:tblCellMar>
            <w:top w:w="0" w:type="dxa"/>
            <w:left w:w="28" w:type="dxa"/>
            <w:bottom w:w="0" w:type="dxa"/>
            <w:right w:w="28" w:type="dxa"/>
          </w:tblCellMar>
        </w:tblPrEx>
        <w:trPr>
          <w:trHeight w:val="2" w:hRule="atLeast"/>
          <w:jc w:val="center"/>
        </w:trPr>
        <w:tc>
          <w:tcPr>
            <w:tcW w:w="611"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jc w:val="center"/>
              <w:rPr>
                <w:rFonts w:ascii="宋体" w:hAnsi="Cambria" w:cs="宋体"/>
                <w:sz w:val="22"/>
                <w:szCs w:val="22"/>
                <w:lang w:val="zh-CN"/>
              </w:rPr>
            </w:pPr>
            <w:r>
              <w:rPr>
                <w:rFonts w:hint="eastAsia" w:ascii="宋体" w:hAnsi="Cambria" w:cs="宋体"/>
                <w:lang w:val="zh-CN"/>
              </w:rPr>
              <w:t>序号</w:t>
            </w:r>
          </w:p>
        </w:tc>
        <w:tc>
          <w:tcPr>
            <w:tcW w:w="3119"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hint="eastAsia" w:ascii="宋体" w:hAnsi="Cambria" w:cs="宋体"/>
                <w:lang w:val="zh-CN"/>
              </w:rPr>
              <w:t>采购服务要求</w:t>
            </w:r>
          </w:p>
        </w:tc>
        <w:tc>
          <w:tcPr>
            <w:tcW w:w="326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hint="eastAsia" w:ascii="宋体" w:hAnsi="Cambria" w:cs="宋体"/>
                <w:lang w:val="zh-CN"/>
              </w:rPr>
              <w:t>响应服务情况</w:t>
            </w:r>
          </w:p>
        </w:tc>
        <w:tc>
          <w:tcPr>
            <w:tcW w:w="202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keepNext w:val="0"/>
              <w:keepLines w:val="0"/>
              <w:suppressLineNumbers w:val="0"/>
              <w:autoSpaceDE w:val="0"/>
              <w:autoSpaceDN w:val="0"/>
              <w:adjustRightInd w:val="0"/>
              <w:spacing w:before="40" w:beforeAutospacing="0" w:after="40" w:afterAutospacing="0"/>
              <w:ind w:left="0" w:right="0"/>
              <w:jc w:val="center"/>
              <w:rPr>
                <w:rFonts w:ascii="宋体" w:hAnsi="Cambria" w:cs="宋体"/>
                <w:sz w:val="22"/>
                <w:szCs w:val="22"/>
                <w:lang w:val="zh-CN"/>
              </w:rPr>
            </w:pPr>
            <w:r>
              <w:rPr>
                <w:rFonts w:hint="eastAsia" w:ascii="宋体" w:hAnsi="Cambria" w:cs="宋体"/>
                <w:lang w:val="zh-CN"/>
              </w:rPr>
              <w:t>偏离说明</w:t>
            </w:r>
          </w:p>
        </w:tc>
      </w:tr>
      <w:tr>
        <w:tblPrEx>
          <w:tblCellMar>
            <w:top w:w="0" w:type="dxa"/>
            <w:left w:w="28" w:type="dxa"/>
            <w:bottom w:w="0" w:type="dxa"/>
            <w:right w:w="28" w:type="dxa"/>
          </w:tblCellMar>
        </w:tblPrEx>
        <w:trPr>
          <w:trHeight w:val="2" w:hRule="atLeast"/>
          <w:jc w:val="center"/>
        </w:trPr>
        <w:tc>
          <w:tcPr>
            <w:tcW w:w="611"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keepNext w:val="0"/>
              <w:keepLines w:val="0"/>
              <w:suppressLineNumbers w:val="0"/>
              <w:autoSpaceDE w:val="0"/>
              <w:autoSpaceDN w:val="0"/>
              <w:adjustRightInd w:val="0"/>
              <w:spacing w:before="40" w:beforeAutospacing="0" w:after="40" w:afterAutospacing="0"/>
              <w:ind w:left="0" w:right="0" w:firstLine="199" w:firstLineChars="83"/>
              <w:rPr>
                <w:rFonts w:ascii="宋体" w:hAnsi="Cambria" w:cs="宋体"/>
                <w:sz w:val="22"/>
                <w:szCs w:val="22"/>
                <w:lang w:val="zh-CN"/>
              </w:rPr>
            </w:pPr>
            <w:r>
              <w:rPr>
                <w:rFonts w:ascii="宋体" w:hAnsi="Cambria" w:cs="宋体"/>
                <w:lang w:val="zh-CN"/>
              </w:rPr>
              <w:t>1</w:t>
            </w:r>
          </w:p>
        </w:tc>
        <w:tc>
          <w:tcPr>
            <w:tcW w:w="3119"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tc>
        <w:tc>
          <w:tcPr>
            <w:tcW w:w="326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tc>
        <w:tc>
          <w:tcPr>
            <w:tcW w:w="202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2" w:hRule="atLeast"/>
          <w:jc w:val="center"/>
        </w:trPr>
        <w:tc>
          <w:tcPr>
            <w:tcW w:w="611"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keepNext w:val="0"/>
              <w:keepLines w:val="0"/>
              <w:suppressLineNumbers w:val="0"/>
              <w:autoSpaceDE w:val="0"/>
              <w:autoSpaceDN w:val="0"/>
              <w:adjustRightInd w:val="0"/>
              <w:spacing w:before="40" w:beforeAutospacing="0" w:after="40" w:afterAutospacing="0"/>
              <w:ind w:left="0" w:right="0" w:firstLine="199" w:firstLineChars="83"/>
              <w:rPr>
                <w:rFonts w:ascii="宋体" w:hAnsi="Cambria" w:cs="宋体"/>
                <w:sz w:val="22"/>
                <w:szCs w:val="22"/>
                <w:lang w:val="zh-CN"/>
              </w:rPr>
            </w:pPr>
            <w:r>
              <w:rPr>
                <w:rFonts w:ascii="宋体" w:hAnsi="Cambria" w:cs="宋体"/>
                <w:lang w:val="zh-CN"/>
              </w:rPr>
              <w:t>2</w:t>
            </w:r>
          </w:p>
        </w:tc>
        <w:tc>
          <w:tcPr>
            <w:tcW w:w="3119"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tc>
        <w:tc>
          <w:tcPr>
            <w:tcW w:w="326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tc>
        <w:tc>
          <w:tcPr>
            <w:tcW w:w="202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2" w:hRule="atLeast"/>
          <w:jc w:val="center"/>
        </w:trPr>
        <w:tc>
          <w:tcPr>
            <w:tcW w:w="611"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keepNext w:val="0"/>
              <w:keepLines w:val="0"/>
              <w:suppressLineNumbers w:val="0"/>
              <w:autoSpaceDE w:val="0"/>
              <w:autoSpaceDN w:val="0"/>
              <w:adjustRightInd w:val="0"/>
              <w:spacing w:before="40" w:beforeAutospacing="0" w:after="40" w:afterAutospacing="0"/>
              <w:ind w:left="0" w:right="0" w:firstLine="199" w:firstLineChars="83"/>
              <w:rPr>
                <w:rFonts w:ascii="宋体" w:hAnsi="Cambria" w:cs="宋体"/>
                <w:sz w:val="22"/>
                <w:szCs w:val="22"/>
                <w:lang w:val="zh-CN"/>
              </w:rPr>
            </w:pPr>
            <w:r>
              <w:rPr>
                <w:rFonts w:hint="eastAsia" w:ascii="宋体" w:hAnsi="Cambria" w:cs="宋体"/>
                <w:lang w:val="zh-CN"/>
              </w:rPr>
              <w:t>…</w:t>
            </w:r>
          </w:p>
        </w:tc>
        <w:tc>
          <w:tcPr>
            <w:tcW w:w="3119"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40"/>
              <w:jc w:val="center"/>
              <w:rPr>
                <w:rFonts w:ascii="宋体" w:hAnsi="Cambria" w:cs="宋体"/>
                <w:sz w:val="22"/>
                <w:szCs w:val="22"/>
                <w:lang w:val="zh-CN"/>
              </w:rPr>
            </w:pPr>
          </w:p>
        </w:tc>
        <w:tc>
          <w:tcPr>
            <w:tcW w:w="326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p>
            <w:pPr>
              <w:keepNext w:val="0"/>
              <w:keepLines w:val="0"/>
              <w:suppressLineNumbers w:val="0"/>
              <w:autoSpaceDE w:val="0"/>
              <w:autoSpaceDN w:val="0"/>
              <w:adjustRightInd w:val="0"/>
              <w:spacing w:before="40" w:beforeAutospacing="0" w:after="40" w:afterAutospacing="0"/>
              <w:ind w:left="0" w:right="0" w:firstLine="480"/>
              <w:jc w:val="center"/>
              <w:rPr>
                <w:rFonts w:ascii="宋体" w:hAnsi="Cambria" w:cs="宋体"/>
                <w:sz w:val="22"/>
                <w:szCs w:val="22"/>
                <w:lang w:val="zh-CN"/>
              </w:rPr>
            </w:pPr>
            <w:r>
              <w:rPr>
                <w:rFonts w:ascii="宋体" w:hAnsi="Cambria" w:cs="宋体"/>
                <w:lang w:val="zh-CN"/>
              </w:rPr>
              <w:t> </w:t>
            </w:r>
          </w:p>
        </w:tc>
        <w:tc>
          <w:tcPr>
            <w:tcW w:w="2028" w:type="dxa"/>
            <w:tcBorders>
              <w:top w:val="single" w:color="000000" w:sz="6" w:space="0"/>
              <w:left w:val="single" w:color="000000" w:sz="6" w:space="0"/>
              <w:bottom w:val="single" w:color="000000" w:sz="6" w:space="0"/>
              <w:right w:val="single" w:color="000000" w:sz="6" w:space="0"/>
            </w:tcBorders>
            <w:shd w:val="clear" w:color="000000" w:fill="FFFFFF"/>
            <w:noWrap/>
          </w:tcPr>
          <w:p>
            <w:pPr>
              <w:keepNext w:val="0"/>
              <w:keepLines w:val="0"/>
              <w:suppressLineNumbers w:val="0"/>
              <w:autoSpaceDE w:val="0"/>
              <w:autoSpaceDN w:val="0"/>
              <w:adjustRightInd w:val="0"/>
              <w:spacing w:before="40" w:beforeAutospacing="0" w:after="40" w:afterAutospacing="0"/>
              <w:ind w:left="0" w:right="0" w:firstLine="480"/>
              <w:rPr>
                <w:rFonts w:ascii="宋体" w:hAnsi="Cambria" w:cs="宋体"/>
                <w:sz w:val="22"/>
                <w:szCs w:val="22"/>
                <w:lang w:val="zh-CN"/>
              </w:rPr>
            </w:pPr>
            <w:r>
              <w:rPr>
                <w:rFonts w:ascii="宋体" w:hAnsi="Cambria" w:cs="宋体"/>
                <w:lang w:val="zh-CN"/>
              </w:rPr>
              <w:t> </w:t>
            </w:r>
          </w:p>
        </w:tc>
      </w:tr>
    </w:tbl>
    <w:p>
      <w:pPr>
        <w:autoSpaceDE w:val="0"/>
        <w:autoSpaceDN w:val="0"/>
        <w:adjustRightInd w:val="0"/>
        <w:spacing w:line="360" w:lineRule="auto"/>
        <w:ind w:left="1080" w:leftChars="200" w:hanging="600" w:hangingChars="250"/>
        <w:rPr>
          <w:rFonts w:ascii="宋体" w:hAnsi="Cambria" w:cs="宋体"/>
          <w:lang w:val="zh-CN"/>
        </w:rPr>
      </w:pPr>
      <w:r>
        <w:rPr>
          <w:rFonts w:hint="eastAsia" w:ascii="宋体" w:hAnsi="Cambria" w:cs="宋体"/>
          <w:lang w:val="zh-CN"/>
        </w:rPr>
        <w:t>注：</w:t>
      </w:r>
      <w:r>
        <w:rPr>
          <w:rFonts w:ascii="宋体" w:hAnsi="Cambria" w:cs="宋体"/>
          <w:lang w:val="zh-CN"/>
        </w:rPr>
        <w:t>1.</w:t>
      </w:r>
      <w:r>
        <w:rPr>
          <w:rFonts w:hint="eastAsia" w:ascii="宋体" w:hAnsi="Cambria" w:cs="宋体"/>
          <w:lang w:val="zh-CN"/>
        </w:rPr>
        <w:t>本表应按照</w:t>
      </w:r>
      <w:r>
        <w:rPr>
          <w:rFonts w:hint="eastAsia" w:ascii="宋体" w:hAnsi="宋体" w:cs="宋体"/>
          <w:color w:val="000000"/>
          <w:kern w:val="0"/>
          <w:lang w:val="zh-CN"/>
        </w:rPr>
        <w:t>招标文件第六部分概况及技术参数</w:t>
      </w:r>
      <w:r>
        <w:rPr>
          <w:rFonts w:hint="eastAsia" w:ascii="Arial" w:hAnsi="Arial" w:cs="Arial"/>
          <w:lang w:val="zh-CN"/>
        </w:rPr>
        <w:t>中的服务内容</w:t>
      </w:r>
      <w:r>
        <w:rPr>
          <w:rFonts w:hint="eastAsia" w:ascii="宋体" w:hAnsi="Cambria" w:cs="宋体"/>
          <w:lang w:val="zh-CN"/>
        </w:rPr>
        <w:t>要求序号的指标逐项填写，不得遗漏。</w:t>
      </w:r>
    </w:p>
    <w:p>
      <w:pPr>
        <w:autoSpaceDE w:val="0"/>
        <w:autoSpaceDN w:val="0"/>
        <w:adjustRightInd w:val="0"/>
        <w:spacing w:line="360" w:lineRule="auto"/>
        <w:ind w:left="1440" w:leftChars="400" w:hanging="480" w:hangingChars="200"/>
        <w:rPr>
          <w:rFonts w:ascii="宋体" w:hAnsi="Cambria" w:cs="宋体"/>
          <w:lang w:val="zh-CN"/>
        </w:rPr>
      </w:pPr>
      <w:r>
        <w:rPr>
          <w:rFonts w:hint="eastAsia" w:ascii="宋体" w:hAnsi="Cambria" w:cs="宋体"/>
          <w:lang w:val="zh-CN"/>
        </w:rPr>
        <w:t>2.</w:t>
      </w:r>
      <w:r>
        <w:rPr>
          <w:rFonts w:ascii="宋体" w:hAnsi="Cambria" w:cs="宋体"/>
          <w:lang w:val="zh-CN"/>
        </w:rPr>
        <w:t xml:space="preserve"> </w:t>
      </w:r>
      <w:r>
        <w:rPr>
          <w:rFonts w:hint="eastAsia" w:ascii="宋体" w:hAnsi="Cambria" w:cs="宋体"/>
          <w:lang w:val="zh-CN"/>
        </w:rPr>
        <w:t>供应商响应采购需求应具体、明确，含糊不清、不确切或伪造、编造证明材料的，按照实质性不响应处理。对伪造、编造证明材料的，将报送采购监管部门查处。</w:t>
      </w:r>
    </w:p>
    <w:p>
      <w:pPr>
        <w:spacing w:line="360" w:lineRule="auto"/>
        <w:ind w:firstLine="4501" w:firstLineChars="1868"/>
        <w:rPr>
          <w:rFonts w:ascii="宋体" w:hAnsi="宋体" w:cs="宋体"/>
          <w:b/>
          <w:bCs/>
          <w:lang w:val="zh-CN"/>
        </w:rPr>
      </w:pPr>
    </w:p>
    <w:p>
      <w:pPr>
        <w:spacing w:line="360" w:lineRule="auto"/>
        <w:ind w:firstLine="4501" w:firstLineChars="1868"/>
        <w:rPr>
          <w:rFonts w:ascii="宋体" w:hAnsi="宋体" w:cs="宋体"/>
          <w:b/>
          <w:bCs/>
          <w:lang w:val="zh-CN"/>
        </w:rPr>
      </w:pPr>
    </w:p>
    <w:p>
      <w:pPr>
        <w:spacing w:line="360" w:lineRule="auto"/>
        <w:ind w:firstLine="5563" w:firstLineChars="2309"/>
        <w:rPr>
          <w:rFonts w:ascii="宋体" w:hAnsi="宋体" w:cs="宋体"/>
          <w:b/>
          <w:bCs/>
          <w:lang w:val="zh-CN"/>
        </w:rPr>
      </w:pPr>
      <w:r>
        <w:rPr>
          <w:rFonts w:hint="eastAsia" w:ascii="宋体" w:hAnsi="宋体" w:cs="宋体"/>
          <w:b/>
          <w:bCs/>
          <w:lang w:val="zh-CN"/>
        </w:rPr>
        <w:t>投标人：          （公章）</w:t>
      </w:r>
    </w:p>
    <w:p>
      <w:pPr>
        <w:spacing w:line="360" w:lineRule="auto"/>
        <w:ind w:firstLine="723" w:firstLineChars="300"/>
        <w:rPr>
          <w:rFonts w:ascii="宋体" w:hAnsi="宋体" w:cs="宋体"/>
          <w:b/>
          <w:bCs/>
          <w:lang w:val="zh-CN"/>
        </w:rPr>
      </w:pPr>
      <w:r>
        <w:rPr>
          <w:rFonts w:hint="eastAsia" w:ascii="宋体" w:hAnsi="宋体" w:cs="宋体"/>
          <w:b/>
          <w:bCs/>
          <w:lang w:val="zh-CN"/>
        </w:rPr>
        <w:t xml:space="preserve">                        法定代表人或委托代理人：        （签字或盖章）</w:t>
      </w:r>
    </w:p>
    <w:p>
      <w:pPr>
        <w:spacing w:line="360" w:lineRule="auto"/>
        <w:ind w:firstLine="723" w:firstLineChars="300"/>
        <w:rPr>
          <w:rFonts w:ascii="宋体" w:hAnsi="宋体" w:cs="宋体"/>
          <w:b/>
          <w:bCs/>
          <w:lang w:val="zh-CN"/>
        </w:rPr>
      </w:pPr>
      <w:r>
        <w:rPr>
          <w:rFonts w:hint="eastAsia" w:ascii="宋体" w:hAnsi="宋体" w:cs="宋体"/>
          <w:b/>
          <w:bCs/>
          <w:lang w:val="zh-CN"/>
        </w:rPr>
        <w:t xml:space="preserve">                                             年   月   日</w:t>
      </w:r>
    </w:p>
    <w:p>
      <w:pPr>
        <w:spacing w:line="360" w:lineRule="auto"/>
        <w:ind w:firstLine="720" w:firstLineChars="300"/>
        <w:rPr>
          <w:rFonts w:ascii="宋体" w:hAnsi="宋体"/>
          <w:bCs/>
        </w:rPr>
      </w:pPr>
    </w:p>
    <w:p>
      <w:pPr>
        <w:pStyle w:val="17"/>
        <w:rPr>
          <w:lang w:val="zh-CN"/>
        </w:rPr>
      </w:pPr>
    </w:p>
    <w:p>
      <w:pPr>
        <w:rPr>
          <w:lang w:val="zh-CN"/>
        </w:rPr>
      </w:pPr>
    </w:p>
    <w:p>
      <w:pPr>
        <w:pStyle w:val="36"/>
        <w:spacing w:before="0" w:after="0" w:line="360" w:lineRule="auto"/>
        <w:ind w:firstLine="723" w:firstLineChars="200"/>
        <w:jc w:val="left"/>
        <w:outlineLvl w:val="1"/>
        <w:rPr>
          <w:lang w:val="zh-CN"/>
        </w:rPr>
      </w:pPr>
    </w:p>
    <w:p>
      <w:pPr>
        <w:pStyle w:val="36"/>
        <w:spacing w:before="0" w:after="0" w:line="360" w:lineRule="auto"/>
        <w:jc w:val="left"/>
        <w:outlineLvl w:val="1"/>
        <w:rPr>
          <w:lang w:val="zh-CN"/>
        </w:rPr>
      </w:pPr>
      <w:r>
        <w:rPr>
          <w:rFonts w:hint="eastAsia"/>
          <w:lang w:val="zh-CN"/>
        </w:rPr>
        <w:br w:type="page"/>
      </w:r>
      <w:bookmarkStart w:id="142" w:name="_Toc8375833"/>
      <w:bookmarkStart w:id="143" w:name="_Toc14290"/>
    </w:p>
    <w:p>
      <w:pPr>
        <w:pStyle w:val="36"/>
        <w:spacing w:before="0" w:after="0" w:line="360" w:lineRule="auto"/>
        <w:jc w:val="both"/>
        <w:outlineLvl w:val="1"/>
      </w:pPr>
      <w:bookmarkStart w:id="144" w:name="_Toc28516"/>
      <w:r>
        <w:rPr>
          <w:rFonts w:hint="eastAsia" w:ascii="宋体" w:hAnsi="宋体" w:cs="宋体"/>
          <w:sz w:val="30"/>
          <w:szCs w:val="30"/>
        </w:rPr>
        <w:t>（14）人员配置表</w:t>
      </w:r>
      <w:bookmarkEnd w:id="144"/>
    </w:p>
    <w:p>
      <w:pPr>
        <w:spacing w:line="400" w:lineRule="exact"/>
        <w:ind w:firstLine="482" w:firstLineChars="200"/>
        <w:jc w:val="center"/>
        <w:rPr>
          <w:rFonts w:ascii="宋体" w:hAnsi="宋体"/>
          <w:b/>
        </w:rPr>
      </w:pPr>
      <w:r>
        <w:rPr>
          <w:rFonts w:hint="eastAsia" w:ascii="宋体" w:hAnsi="宋体"/>
          <w:b/>
        </w:rPr>
        <w:t>（1）人员配置表</w:t>
      </w:r>
    </w:p>
    <w:p>
      <w:pPr>
        <w:spacing w:line="360" w:lineRule="auto"/>
        <w:rPr>
          <w:rFonts w:ascii="宋体" w:hAnsi="宋体"/>
        </w:rPr>
      </w:pPr>
      <w:r>
        <w:rPr>
          <w:rFonts w:hint="eastAsia" w:ascii="宋体" w:hAnsi="宋体"/>
        </w:rPr>
        <w:t xml:space="preserve">项目名称:                    </w:t>
      </w:r>
    </w:p>
    <w:tbl>
      <w:tblPr>
        <w:tblStyle w:val="39"/>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6"/>
        <w:gridCol w:w="808"/>
        <w:gridCol w:w="850"/>
        <w:gridCol w:w="1276"/>
        <w:gridCol w:w="864"/>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序号</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姓名</w:t>
            </w: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性别</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年龄</w:t>
            </w: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岗位名称</w:t>
            </w: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学历</w:t>
            </w: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bCs/>
              </w:rPr>
            </w:pPr>
            <w:r>
              <w:rPr>
                <w:rFonts w:hint="eastAsia" w:ascii="宋体" w:hAnsi="宋体"/>
                <w:bCs/>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1</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2</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3</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4</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5</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6</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7</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8</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9</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10</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jc w:val="center"/>
              <w:rPr>
                <w:rFonts w:ascii="宋体" w:hAnsi="宋体"/>
              </w:rPr>
            </w:pPr>
            <w:r>
              <w:rPr>
                <w:rFonts w:hint="eastAsia" w:ascii="宋体" w:hAnsi="宋体"/>
              </w:rPr>
              <w:t>… …</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0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86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c>
          <w:tcPr>
            <w:tcW w:w="35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00" w:lineRule="exact"/>
              <w:ind w:left="0" w:right="0" w:firstLine="480" w:firstLineChars="200"/>
              <w:jc w:val="center"/>
              <w:rPr>
                <w:rFonts w:ascii="宋体" w:hAnsi="宋体"/>
              </w:rPr>
            </w:pPr>
          </w:p>
        </w:tc>
      </w:tr>
    </w:tbl>
    <w:p>
      <w:pPr>
        <w:spacing w:line="360" w:lineRule="auto"/>
        <w:ind w:firstLine="480"/>
        <w:jc w:val="left"/>
        <w:rPr>
          <w:rFonts w:ascii="宋体" w:hAnsi="宋体"/>
        </w:rPr>
      </w:pPr>
      <w:r>
        <w:rPr>
          <w:rFonts w:hint="eastAsia" w:ascii="宋体" w:hAnsi="宋体"/>
          <w:b/>
        </w:rPr>
        <w:t>注</w:t>
      </w:r>
      <w:r>
        <w:rPr>
          <w:rFonts w:hint="eastAsia" w:ascii="宋体" w:hAnsi="宋体"/>
        </w:rPr>
        <w:t>：1、以上人员中如有享受国家社保优惠政策人员，须在投标时提供相关证明资料附后。</w:t>
      </w:r>
    </w:p>
    <w:p>
      <w:pPr>
        <w:spacing w:line="360" w:lineRule="auto"/>
        <w:ind w:firstLine="480"/>
        <w:jc w:val="left"/>
        <w:rPr>
          <w:rFonts w:ascii="宋体" w:hAnsi="宋体" w:cs="宋体"/>
          <w:kern w:val="0"/>
          <w:lang w:val="zh-CN"/>
        </w:rPr>
      </w:pPr>
      <w:r>
        <w:rPr>
          <w:rFonts w:hint="eastAsia" w:ascii="宋体" w:hAnsi="宋体"/>
        </w:rPr>
        <w:t xml:space="preserve">    2、</w:t>
      </w:r>
      <w:r>
        <w:rPr>
          <w:rFonts w:hint="eastAsia" w:ascii="宋体" w:hAnsi="宋体"/>
          <w:bCs/>
        </w:rPr>
        <w:t>上表可自行延长</w:t>
      </w:r>
      <w:r>
        <w:rPr>
          <w:rFonts w:hint="eastAsia" w:ascii="宋体" w:hAnsi="宋体" w:cs="宋体"/>
          <w:kern w:val="0"/>
          <w:lang w:val="zh-CN"/>
        </w:rPr>
        <w:t>。</w:t>
      </w:r>
    </w:p>
    <w:p>
      <w:pPr>
        <w:pStyle w:val="17"/>
        <w:rPr>
          <w:lang w:val="zh-CN"/>
        </w:rPr>
      </w:pPr>
      <w:r>
        <w:rPr>
          <w:rFonts w:hint="eastAsia"/>
          <w:lang w:val="zh-CN"/>
        </w:rPr>
        <w:t xml:space="preserve">        3、派遣人员数量不少于招标文件规定的要求，否则按无效投标认定。</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pStyle w:val="17"/>
        <w:rPr>
          <w:lang w:val="zh-CN"/>
        </w:rPr>
      </w:pPr>
    </w:p>
    <w:p>
      <w:pPr>
        <w:pStyle w:val="36"/>
        <w:spacing w:before="0" w:after="0" w:line="360" w:lineRule="auto"/>
        <w:jc w:val="left"/>
        <w:outlineLvl w:val="1"/>
        <w:rPr>
          <w:rFonts w:ascii="宋体" w:hAnsi="宋体" w:cs="宋体"/>
          <w:color w:val="000000"/>
          <w:sz w:val="30"/>
          <w:szCs w:val="30"/>
        </w:rPr>
      </w:pPr>
    </w:p>
    <w:p>
      <w:pPr>
        <w:pStyle w:val="36"/>
        <w:spacing w:before="0" w:after="0" w:line="360" w:lineRule="auto"/>
        <w:jc w:val="left"/>
        <w:outlineLvl w:val="1"/>
        <w:rPr>
          <w:rFonts w:ascii="宋体" w:hAnsi="宋体" w:cs="宋体"/>
          <w:color w:val="000000"/>
          <w:sz w:val="30"/>
          <w:szCs w:val="30"/>
        </w:rPr>
      </w:pPr>
    </w:p>
    <w:p>
      <w:pPr>
        <w:pStyle w:val="36"/>
        <w:spacing w:before="0" w:after="0" w:line="360" w:lineRule="auto"/>
        <w:jc w:val="left"/>
        <w:outlineLvl w:val="1"/>
        <w:rPr>
          <w:rFonts w:ascii="宋体" w:hAnsi="宋体" w:cs="宋体"/>
          <w:color w:val="000000"/>
          <w:sz w:val="30"/>
          <w:szCs w:val="30"/>
        </w:rPr>
      </w:pPr>
    </w:p>
    <w:p>
      <w:pPr>
        <w:rPr>
          <w:rFonts w:ascii="宋体" w:hAnsi="宋体" w:cs="宋体"/>
          <w:color w:val="000000"/>
          <w:sz w:val="30"/>
          <w:szCs w:val="30"/>
        </w:rPr>
      </w:pPr>
    </w:p>
    <w:p>
      <w:pPr>
        <w:pStyle w:val="36"/>
        <w:spacing w:before="0" w:after="0" w:line="360" w:lineRule="auto"/>
        <w:jc w:val="left"/>
        <w:outlineLvl w:val="1"/>
        <w:rPr>
          <w:rFonts w:ascii="宋体" w:hAnsi="宋体" w:cs="宋体"/>
          <w:color w:val="000000"/>
          <w:sz w:val="30"/>
          <w:szCs w:val="30"/>
        </w:rPr>
      </w:pPr>
    </w:p>
    <w:p>
      <w:pPr>
        <w:pStyle w:val="147"/>
        <w:jc w:val="center"/>
        <w:rPr>
          <w:b/>
          <w:sz w:val="24"/>
          <w:szCs w:val="24"/>
        </w:rPr>
      </w:pPr>
      <w:r>
        <w:rPr>
          <w:rFonts w:hint="eastAsia"/>
          <w:b/>
          <w:sz w:val="24"/>
          <w:szCs w:val="24"/>
        </w:rPr>
        <w:t>（2）拟派项目经理简历</w:t>
      </w:r>
    </w:p>
    <w:tbl>
      <w:tblPr>
        <w:tblStyle w:val="39"/>
        <w:tblW w:w="89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5"/>
        <w:gridCol w:w="1358"/>
        <w:gridCol w:w="3065"/>
        <w:gridCol w:w="620"/>
        <w:gridCol w:w="1254"/>
        <w:gridCol w:w="1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jc w:val="center"/>
              <w:rPr>
                <w:rFonts w:ascii="宋体" w:hAnsi="宋体"/>
                <w:szCs w:val="21"/>
              </w:rPr>
            </w:pPr>
            <w:r>
              <w:rPr>
                <w:rFonts w:hint="eastAsia" w:ascii="宋体" w:hAnsi="宋体"/>
                <w:szCs w:val="21"/>
              </w:rPr>
              <w:t>1</w:t>
            </w:r>
          </w:p>
        </w:tc>
        <w:tc>
          <w:tcPr>
            <w:tcW w:w="1358"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姓名</w:t>
            </w:r>
          </w:p>
        </w:tc>
        <w:tc>
          <w:tcPr>
            <w:tcW w:w="3065"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480"/>
              <w:jc w:val="center"/>
              <w:rPr>
                <w:rFonts w:ascii="宋体" w:hAnsi="宋体"/>
                <w:szCs w:val="21"/>
              </w:rPr>
            </w:pPr>
          </w:p>
        </w:tc>
        <w:tc>
          <w:tcPr>
            <w:tcW w:w="620"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性别</w:t>
            </w:r>
          </w:p>
        </w:tc>
        <w:tc>
          <w:tcPr>
            <w:tcW w:w="3151" w:type="dxa"/>
            <w:gridSpan w:val="2"/>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48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jc w:val="center"/>
              <w:rPr>
                <w:rFonts w:ascii="宋体" w:hAnsi="宋体"/>
                <w:szCs w:val="21"/>
              </w:rPr>
            </w:pPr>
            <w:r>
              <w:rPr>
                <w:rFonts w:hint="eastAsia" w:ascii="宋体" w:hAnsi="宋体"/>
                <w:szCs w:val="21"/>
              </w:rPr>
              <w:t>2</w:t>
            </w:r>
          </w:p>
        </w:tc>
        <w:tc>
          <w:tcPr>
            <w:tcW w:w="1358"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身份证号码</w:t>
            </w:r>
          </w:p>
        </w:tc>
        <w:tc>
          <w:tcPr>
            <w:tcW w:w="3685" w:type="dxa"/>
            <w:gridSpan w:val="2"/>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480"/>
              <w:jc w:val="center"/>
              <w:rPr>
                <w:rFonts w:ascii="宋体" w:hAnsi="宋体"/>
                <w:szCs w:val="21"/>
              </w:rPr>
            </w:pPr>
          </w:p>
        </w:tc>
        <w:tc>
          <w:tcPr>
            <w:tcW w:w="1254"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出生日期</w:t>
            </w:r>
          </w:p>
        </w:tc>
        <w:tc>
          <w:tcPr>
            <w:tcW w:w="1897"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480"/>
              <w:jc w:val="center"/>
              <w:rPr>
                <w:rFonts w:ascii="宋体" w:hAnsi="宋体"/>
                <w:szCs w:val="21"/>
              </w:rPr>
            </w:pPr>
            <w:r>
              <w:rPr>
                <w:rFonts w:hint="eastAsia" w:hAnsi="宋体"/>
                <w:szCs w:val="21"/>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jc w:val="center"/>
              <w:rPr>
                <w:rFonts w:ascii="宋体" w:hAnsi="宋体"/>
                <w:szCs w:val="21"/>
              </w:rPr>
            </w:pPr>
            <w:r>
              <w:rPr>
                <w:rFonts w:hint="eastAsia" w:ascii="宋体" w:hAnsi="宋体"/>
                <w:szCs w:val="21"/>
              </w:rPr>
              <w:t>3</w:t>
            </w:r>
          </w:p>
        </w:tc>
        <w:tc>
          <w:tcPr>
            <w:tcW w:w="8194" w:type="dxa"/>
            <w:gridSpan w:val="5"/>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 xml:space="preserve">联系电话/传真：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22"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jc w:val="center"/>
              <w:rPr>
                <w:rFonts w:ascii="宋体" w:hAnsi="宋体"/>
                <w:szCs w:val="21"/>
              </w:rPr>
            </w:pPr>
            <w:r>
              <w:rPr>
                <w:rFonts w:hint="eastAsia" w:ascii="宋体" w:hAnsi="宋体"/>
                <w:szCs w:val="21"/>
              </w:rPr>
              <w:t>4</w:t>
            </w:r>
          </w:p>
        </w:tc>
        <w:tc>
          <w:tcPr>
            <w:tcW w:w="8194" w:type="dxa"/>
            <w:gridSpan w:val="5"/>
            <w:tcBorders>
              <w:top w:val="single" w:color="auto" w:sz="6" w:space="0"/>
              <w:left w:val="single" w:color="auto" w:sz="6" w:space="0"/>
              <w:bottom w:val="single" w:color="auto" w:sz="6" w:space="0"/>
              <w:right w:val="single" w:color="auto" w:sz="6" w:space="0"/>
            </w:tcBorders>
            <w:noWrap/>
          </w:tcPr>
          <w:p>
            <w:pPr>
              <w:pStyle w:val="13"/>
              <w:keepNext w:val="0"/>
              <w:keepLines w:val="0"/>
              <w:suppressLineNumbers w:val="0"/>
              <w:overflowPunct w:val="0"/>
              <w:spacing w:before="0" w:beforeAutospacing="0" w:after="0" w:afterAutospacing="0"/>
              <w:ind w:left="0" w:right="0" w:firstLine="0"/>
              <w:rPr>
                <w:rFonts w:ascii="宋体" w:hAnsi="宋体"/>
                <w:szCs w:val="21"/>
              </w:rPr>
            </w:pPr>
          </w:p>
          <w:p>
            <w:pPr>
              <w:pStyle w:val="13"/>
              <w:keepNext w:val="0"/>
              <w:keepLines w:val="0"/>
              <w:suppressLineNumbers w:val="0"/>
              <w:overflowPunct w:val="0"/>
              <w:spacing w:before="0" w:beforeAutospacing="0" w:after="0" w:afterAutospacing="0"/>
              <w:ind w:left="0" w:right="0" w:firstLine="0"/>
              <w:rPr>
                <w:rFonts w:ascii="宋体" w:hAnsi="宋体"/>
                <w:szCs w:val="21"/>
              </w:rPr>
            </w:pPr>
          </w:p>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从事工作时间及工作经历：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9" w:hRule="atLeast"/>
          <w:jc w:val="center"/>
        </w:trPr>
        <w:tc>
          <w:tcPr>
            <w:tcW w:w="775" w:type="dxa"/>
            <w:tcBorders>
              <w:top w:val="single" w:color="auto" w:sz="6" w:space="0"/>
              <w:left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jc w:val="center"/>
              <w:rPr>
                <w:rFonts w:ascii="宋体" w:hAnsi="宋体"/>
                <w:szCs w:val="21"/>
              </w:rPr>
            </w:pPr>
          </w:p>
          <w:p>
            <w:pPr>
              <w:keepNext w:val="0"/>
              <w:keepLines w:val="0"/>
              <w:suppressLineNumbers w:val="0"/>
              <w:spacing w:before="0" w:beforeAutospacing="0" w:after="0" w:afterAutospacing="0" w:line="360" w:lineRule="auto"/>
              <w:ind w:left="0" w:right="0"/>
              <w:jc w:val="center"/>
              <w:rPr>
                <w:rFonts w:ascii="宋体" w:hAnsi="宋体"/>
                <w:szCs w:val="21"/>
              </w:rPr>
            </w:pPr>
            <w:r>
              <w:rPr>
                <w:rFonts w:hint="eastAsia" w:ascii="宋体" w:hAnsi="宋体"/>
                <w:kern w:val="0"/>
                <w:szCs w:val="21"/>
              </w:rPr>
              <w:t>5</w:t>
            </w:r>
          </w:p>
        </w:tc>
        <w:tc>
          <w:tcPr>
            <w:tcW w:w="8194" w:type="dxa"/>
            <w:gridSpan w:val="5"/>
            <w:tcBorders>
              <w:top w:val="single" w:color="auto" w:sz="6" w:space="0"/>
              <w:left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拥有关于服务方面的职称：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08"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spacing w:before="0" w:beforeAutospacing="0" w:after="0" w:afterAutospacing="0" w:line="360" w:lineRule="auto"/>
              <w:ind w:left="0" w:right="0"/>
              <w:jc w:val="center"/>
              <w:rPr>
                <w:rFonts w:ascii="宋体" w:hAnsi="宋体"/>
                <w:kern w:val="0"/>
                <w:szCs w:val="21"/>
              </w:rPr>
            </w:pPr>
            <w:r>
              <w:rPr>
                <w:rFonts w:hint="eastAsia" w:ascii="宋体" w:hAnsi="宋体"/>
                <w:kern w:val="0"/>
                <w:szCs w:val="21"/>
              </w:rPr>
              <w:t>6</w:t>
            </w:r>
          </w:p>
        </w:tc>
        <w:tc>
          <w:tcPr>
            <w:tcW w:w="8194" w:type="dxa"/>
            <w:gridSpan w:val="5"/>
            <w:tcBorders>
              <w:top w:val="single" w:color="auto" w:sz="6" w:space="0"/>
              <w:left w:val="single" w:color="auto" w:sz="6" w:space="0"/>
              <w:bottom w:val="single" w:color="auto" w:sz="6" w:space="0"/>
              <w:right w:val="single" w:color="auto" w:sz="6" w:space="0"/>
            </w:tcBorders>
            <w:noWrap/>
          </w:tcPr>
          <w:p>
            <w:pPr>
              <w:pStyle w:val="13"/>
              <w:keepNext w:val="0"/>
              <w:keepLines w:val="0"/>
              <w:suppressLineNumbers w:val="0"/>
              <w:overflowPunct w:val="0"/>
              <w:spacing w:before="0" w:beforeAutospacing="0" w:after="0" w:afterAutospacing="0"/>
              <w:ind w:left="0" w:right="0" w:firstLine="0"/>
              <w:rPr>
                <w:rFonts w:ascii="宋体" w:hAnsi="宋体"/>
                <w:szCs w:val="21"/>
              </w:rPr>
            </w:pPr>
            <w:r>
              <w:rPr>
                <w:rFonts w:hint="eastAsia" w:ascii="宋体" w:hAnsi="宋体"/>
                <w:szCs w:val="21"/>
              </w:rPr>
              <w:t>近5年内负责的服务项目：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atLeast"/>
          <w:jc w:val="center"/>
        </w:trPr>
        <w:tc>
          <w:tcPr>
            <w:tcW w:w="775" w:type="dxa"/>
            <w:tcBorders>
              <w:top w:val="single" w:color="auto" w:sz="6" w:space="0"/>
              <w:left w:val="single" w:color="auto" w:sz="6" w:space="0"/>
              <w:bottom w:val="single" w:color="auto" w:sz="6" w:space="0"/>
              <w:right w:val="single" w:color="auto" w:sz="6" w:space="0"/>
            </w:tcBorders>
            <w:noWrap/>
            <w:vAlign w:val="center"/>
          </w:tcPr>
          <w:p>
            <w:pPr>
              <w:keepNext w:val="0"/>
              <w:keepLines w:val="0"/>
              <w:suppressLineNumbers w:val="0"/>
              <w:spacing w:before="0" w:beforeAutospacing="0" w:after="0" w:afterAutospacing="0" w:line="360" w:lineRule="auto"/>
              <w:ind w:left="0" w:right="0"/>
              <w:jc w:val="center"/>
              <w:rPr>
                <w:rFonts w:ascii="宋体" w:hAnsi="宋体"/>
                <w:kern w:val="0"/>
                <w:szCs w:val="21"/>
              </w:rPr>
            </w:pPr>
            <w:r>
              <w:rPr>
                <w:rFonts w:hint="eastAsia" w:ascii="宋体" w:hAnsi="宋体"/>
                <w:kern w:val="0"/>
                <w:szCs w:val="21"/>
              </w:rPr>
              <w:t>7</w:t>
            </w:r>
          </w:p>
        </w:tc>
        <w:tc>
          <w:tcPr>
            <w:tcW w:w="8194" w:type="dxa"/>
            <w:gridSpan w:val="5"/>
            <w:tcBorders>
              <w:top w:val="single" w:color="auto" w:sz="6" w:space="0"/>
              <w:left w:val="single" w:color="auto" w:sz="6" w:space="0"/>
              <w:bottom w:val="single" w:color="auto" w:sz="6" w:space="0"/>
              <w:right w:val="single" w:color="auto" w:sz="6" w:space="0"/>
            </w:tcBorders>
            <w:noWrap/>
            <w:vAlign w:val="center"/>
          </w:tcPr>
          <w:p>
            <w:pPr>
              <w:pStyle w:val="13"/>
              <w:keepNext w:val="0"/>
              <w:keepLines w:val="0"/>
              <w:suppressLineNumbers w:val="0"/>
              <w:overflowPunct w:val="0"/>
              <w:spacing w:before="0" w:beforeAutospacing="0" w:after="0" w:afterAutospacing="0" w:line="360" w:lineRule="auto"/>
              <w:ind w:left="0" w:right="0" w:firstLine="0"/>
              <w:rPr>
                <w:rFonts w:ascii="宋体" w:hAnsi="宋体"/>
                <w:szCs w:val="21"/>
              </w:rPr>
            </w:pPr>
            <w:r>
              <w:rPr>
                <w:rFonts w:hint="eastAsia" w:ascii="宋体" w:hAnsi="宋体"/>
                <w:szCs w:val="21"/>
              </w:rPr>
              <w:t>其他需要说明的情况</w:t>
            </w:r>
          </w:p>
        </w:tc>
      </w:tr>
    </w:tbl>
    <w:p>
      <w:pPr>
        <w:pStyle w:val="147"/>
        <w:ind w:firstLine="480"/>
        <w:jc w:val="center"/>
        <w:rPr>
          <w:bCs/>
          <w:sz w:val="24"/>
          <w:szCs w:val="24"/>
        </w:rPr>
      </w:pPr>
    </w:p>
    <w:p>
      <w:pPr>
        <w:ind w:firstLine="482"/>
        <w:rPr>
          <w:rFonts w:ascii="宋体" w:hAnsi="宋体"/>
          <w:bCs/>
          <w:szCs w:val="21"/>
        </w:rPr>
      </w:pPr>
      <w:r>
        <w:rPr>
          <w:rFonts w:hint="eastAsia" w:ascii="宋体" w:hAnsi="宋体"/>
          <w:b/>
          <w:bCs/>
          <w:szCs w:val="21"/>
        </w:rPr>
        <w:t>注</w:t>
      </w:r>
      <w:r>
        <w:rPr>
          <w:rFonts w:hint="eastAsia" w:ascii="宋体" w:hAnsi="宋体"/>
          <w:bCs/>
          <w:szCs w:val="21"/>
        </w:rPr>
        <w:t>：请附身份证</w:t>
      </w:r>
      <w:r>
        <w:rPr>
          <w:rFonts w:hint="eastAsia" w:ascii="宋体" w:hAnsi="宋体"/>
          <w:bCs/>
          <w:szCs w:val="21"/>
          <w:lang w:val="en-US" w:eastAsia="zh-CN"/>
        </w:rPr>
        <w:t>或</w:t>
      </w:r>
      <w:r>
        <w:rPr>
          <w:rFonts w:hint="eastAsia" w:ascii="宋体" w:hAnsi="宋体"/>
          <w:bCs/>
          <w:szCs w:val="21"/>
        </w:rPr>
        <w:t>相关资格证明复印件。</w:t>
      </w:r>
    </w:p>
    <w:p>
      <w:pPr>
        <w:ind w:firstLine="482"/>
        <w:rPr>
          <w:rFonts w:ascii="宋体" w:hAnsi="宋体"/>
          <w:bCs/>
          <w:szCs w:val="21"/>
        </w:rPr>
      </w:pPr>
    </w:p>
    <w:p>
      <w:pPr>
        <w:ind w:firstLine="482"/>
        <w:rPr>
          <w:rFonts w:ascii="宋体" w:hAnsi="宋体"/>
          <w:bCs/>
          <w:szCs w:val="21"/>
        </w:rPr>
      </w:pPr>
    </w:p>
    <w:p>
      <w:pPr>
        <w:ind w:firstLine="482"/>
        <w:rPr>
          <w:rFonts w:ascii="宋体" w:hAnsi="宋体"/>
          <w:bCs/>
          <w:szCs w:val="21"/>
        </w:rPr>
      </w:pPr>
    </w:p>
    <w:p>
      <w:pPr>
        <w:ind w:firstLine="482"/>
        <w:rPr>
          <w:rFonts w:ascii="宋体" w:hAnsi="宋体"/>
          <w:bCs/>
          <w:szCs w:val="21"/>
        </w:rPr>
      </w:pPr>
    </w:p>
    <w:p>
      <w:pPr>
        <w:ind w:firstLine="482"/>
        <w:rPr>
          <w:rFonts w:ascii="宋体" w:hAnsi="宋体"/>
          <w:bCs/>
          <w:szCs w:val="21"/>
        </w:rPr>
      </w:pPr>
    </w:p>
    <w:p>
      <w:pPr>
        <w:ind w:firstLine="482"/>
        <w:rPr>
          <w:rFonts w:ascii="宋体" w:hAnsi="宋体"/>
          <w:bCs/>
          <w:szCs w:val="21"/>
        </w:rPr>
      </w:pPr>
    </w:p>
    <w:p>
      <w:pPr>
        <w:ind w:firstLine="482"/>
        <w:rPr>
          <w:rFonts w:ascii="宋体" w:hAnsi="宋体"/>
          <w:bCs/>
          <w:szCs w:val="21"/>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
      <w:pPr>
        <w:pStyle w:val="17"/>
      </w:pPr>
    </w:p>
    <w:bookmarkEnd w:id="142"/>
    <w:p>
      <w:pPr>
        <w:rPr>
          <w:lang w:val="zh-CN"/>
        </w:rPr>
      </w:pPr>
    </w:p>
    <w:p>
      <w:pPr>
        <w:widowControl/>
        <w:jc w:val="left"/>
        <w:rPr>
          <w:rFonts w:ascii="宋体" w:hAnsi="宋体" w:cs="宋体"/>
          <w:b/>
          <w:bCs/>
          <w:color w:val="000000"/>
          <w:sz w:val="30"/>
          <w:szCs w:val="30"/>
        </w:rPr>
      </w:pPr>
      <w:bookmarkStart w:id="145" w:name="_Toc8375834"/>
      <w:r>
        <w:rPr>
          <w:rFonts w:ascii="宋体" w:hAnsi="宋体" w:cs="宋体"/>
          <w:color w:val="000000"/>
          <w:sz w:val="30"/>
          <w:szCs w:val="30"/>
        </w:rPr>
        <w:br w:type="page"/>
      </w:r>
    </w:p>
    <w:p>
      <w:pPr>
        <w:pStyle w:val="36"/>
        <w:spacing w:before="0" w:after="0" w:line="360" w:lineRule="auto"/>
        <w:jc w:val="left"/>
        <w:outlineLvl w:val="1"/>
        <w:rPr>
          <w:rFonts w:ascii="宋体" w:hAnsi="宋体" w:cs="宋体"/>
          <w:color w:val="000000"/>
        </w:rPr>
      </w:pPr>
      <w:bookmarkStart w:id="146" w:name="_Toc20786"/>
      <w:r>
        <w:rPr>
          <w:rFonts w:hint="eastAsia" w:ascii="宋体" w:hAnsi="宋体" w:cs="宋体"/>
          <w:color w:val="000000"/>
          <w:sz w:val="30"/>
          <w:szCs w:val="30"/>
        </w:rPr>
        <w:t>（15）</w:t>
      </w:r>
      <w:r>
        <w:rPr>
          <w:rFonts w:hint="eastAsia" w:ascii="宋体" w:hAnsi="宋体" w:cs="宋体"/>
          <w:color w:val="000000"/>
          <w:sz w:val="30"/>
          <w:szCs w:val="30"/>
          <w:lang w:val="zh-CN"/>
        </w:rPr>
        <w:t>服务方案</w:t>
      </w:r>
      <w:bookmarkEnd w:id="146"/>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服务方案</w:t>
      </w:r>
    </w:p>
    <w:p>
      <w:pPr>
        <w:autoSpaceDE w:val="0"/>
        <w:autoSpaceDN w:val="0"/>
        <w:spacing w:line="360" w:lineRule="auto"/>
        <w:ind w:firstLine="720" w:firstLineChars="300"/>
        <w:rPr>
          <w:rFonts w:ascii="宋体"/>
        </w:rPr>
      </w:pPr>
      <w:r>
        <w:rPr>
          <w:rFonts w:hint="eastAsia" w:ascii="宋体" w:hAnsi="宋体"/>
        </w:rPr>
        <w:t>响应项目要求，提供针对本项目的合理化的方案</w:t>
      </w:r>
      <w:r>
        <w:rPr>
          <w:rFonts w:hint="eastAsia" w:ascii="宋体" w:hAnsi="宋体"/>
          <w:lang w:val="en-US" w:eastAsia="zh-CN"/>
        </w:rPr>
        <w:t xml:space="preserve">     </w:t>
      </w:r>
      <w:r>
        <w:rPr>
          <w:rFonts w:hint="eastAsia"/>
          <w:lang w:val="zh-CN"/>
        </w:rPr>
        <w:t>（格式自定义）</w:t>
      </w:r>
    </w:p>
    <w:p>
      <w:pPr>
        <w:spacing w:line="360" w:lineRule="auto"/>
        <w:ind w:left="240" w:leftChars="100" w:firstLine="480"/>
        <w:jc w:val="left"/>
        <w:rPr>
          <w:rFonts w:ascii="宋体"/>
        </w:rPr>
      </w:pPr>
      <w:r>
        <w:rPr>
          <w:rFonts w:ascii="宋体" w:hAnsi="宋体"/>
        </w:rPr>
        <w:t>1</w:t>
      </w:r>
      <w:r>
        <w:rPr>
          <w:rFonts w:hint="eastAsia" w:ascii="宋体" w:hAnsi="宋体"/>
        </w:rPr>
        <w:t>、</w:t>
      </w:r>
      <w:r>
        <w:rPr>
          <w:rFonts w:hint="eastAsia"/>
          <w:lang w:val="zh-CN"/>
        </w:rPr>
        <w:t>针对本项目有详细设计管理方案，方案要达到专业化、实务化的要求，</w:t>
      </w:r>
      <w:r>
        <w:rPr>
          <w:rFonts w:hint="eastAsia" w:ascii="宋体" w:hAnsi="宋体"/>
        </w:rPr>
        <w:t>措施及相关承诺以及相关设备的投入及保障情况。</w:t>
      </w:r>
    </w:p>
    <w:p>
      <w:pPr>
        <w:widowControl/>
        <w:snapToGrid w:val="0"/>
        <w:spacing w:line="360" w:lineRule="auto"/>
        <w:ind w:firstLine="720" w:firstLineChars="300"/>
        <w:outlineLvl w:val="1"/>
        <w:rPr>
          <w:rFonts w:ascii="宋体" w:cs="宋体"/>
          <w:color w:val="000000"/>
        </w:rPr>
      </w:pPr>
      <w:r>
        <w:rPr>
          <w:rFonts w:ascii="宋体" w:hAnsi="宋体"/>
        </w:rPr>
        <w:t>2</w:t>
      </w:r>
      <w:r>
        <w:rPr>
          <w:rFonts w:hint="eastAsia" w:ascii="宋体" w:hAnsi="宋体"/>
        </w:rPr>
        <w:t>、其他服务承诺。</w:t>
      </w:r>
    </w:p>
    <w:p>
      <w:pPr>
        <w:autoSpaceDE w:val="0"/>
        <w:autoSpaceDN w:val="0"/>
        <w:spacing w:line="360" w:lineRule="auto"/>
        <w:rPr>
          <w:lang w:val="zh-CN"/>
        </w:rPr>
      </w:pPr>
      <w:r>
        <w:rPr>
          <w:rFonts w:hint="eastAsia"/>
          <w:lang w:val="zh-CN"/>
        </w:rPr>
        <w:t xml:space="preserve">   </w:t>
      </w:r>
      <w:r>
        <w:rPr>
          <w:rFonts w:hint="eastAsia"/>
          <w:lang w:val="en-US" w:eastAsia="zh-CN"/>
        </w:rPr>
        <w:t xml:space="preserve">          </w:t>
      </w:r>
    </w:p>
    <w:p>
      <w:pPr>
        <w:pStyle w:val="36"/>
        <w:spacing w:before="0" w:after="0" w:line="360" w:lineRule="auto"/>
        <w:jc w:val="left"/>
        <w:outlineLvl w:val="1"/>
        <w:rPr>
          <w:lang w:val="zh-CN"/>
        </w:rPr>
      </w:pPr>
    </w:p>
    <w:p>
      <w:pPr>
        <w:pStyle w:val="36"/>
        <w:tabs>
          <w:tab w:val="left" w:pos="5308"/>
        </w:tabs>
        <w:spacing w:before="0" w:after="0" w:line="360" w:lineRule="auto"/>
        <w:jc w:val="left"/>
        <w:outlineLvl w:val="1"/>
        <w:rPr>
          <w:rFonts w:ascii="Calibri" w:hAnsi="Calibri"/>
          <w:b w:val="0"/>
          <w:bCs w:val="0"/>
          <w:sz w:val="24"/>
          <w:szCs w:val="24"/>
          <w:lang w:val="zh-CN"/>
        </w:rPr>
      </w:pPr>
    </w:p>
    <w:p>
      <w:pPr>
        <w:pStyle w:val="36"/>
        <w:tabs>
          <w:tab w:val="left" w:pos="5308"/>
        </w:tabs>
        <w:spacing w:before="0" w:after="0" w:line="360" w:lineRule="auto"/>
        <w:jc w:val="left"/>
        <w:outlineLvl w:val="1"/>
        <w:rPr>
          <w:rFonts w:ascii="Calibri" w:hAnsi="Calibri"/>
          <w:b w:val="0"/>
          <w:bCs w:val="0"/>
          <w:sz w:val="24"/>
          <w:szCs w:val="24"/>
          <w:lang w:val="zh-CN"/>
        </w:rPr>
      </w:pPr>
    </w:p>
    <w:p>
      <w:pPr>
        <w:widowControl/>
        <w:jc w:val="left"/>
        <w:rPr>
          <w:rFonts w:ascii="宋体" w:hAnsi="宋体" w:cs="宋体"/>
          <w:b/>
          <w:bCs/>
          <w:color w:val="000000"/>
          <w:sz w:val="30"/>
          <w:szCs w:val="30"/>
        </w:rPr>
      </w:pPr>
      <w:r>
        <w:rPr>
          <w:rFonts w:ascii="宋体" w:hAnsi="宋体" w:cs="宋体"/>
          <w:color w:val="000000"/>
          <w:sz w:val="30"/>
          <w:szCs w:val="30"/>
        </w:rPr>
        <w:br w:type="page"/>
      </w:r>
    </w:p>
    <w:p>
      <w:pPr>
        <w:pStyle w:val="36"/>
        <w:tabs>
          <w:tab w:val="left" w:pos="5308"/>
        </w:tabs>
        <w:spacing w:before="0" w:after="0" w:line="360" w:lineRule="auto"/>
        <w:jc w:val="left"/>
        <w:outlineLvl w:val="1"/>
        <w:rPr>
          <w:lang w:val="zh-CN"/>
        </w:rPr>
      </w:pPr>
      <w:bookmarkStart w:id="147" w:name="_Toc2097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143"/>
      <w:bookmarkEnd w:id="145"/>
      <w:bookmarkEnd w:id="14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ind w:firstLine="360"/>
        <w:rPr>
          <w:rFonts w:hint="eastAsia" w:ascii="宋体" w:hAnsi="宋体" w:eastAsia="宋体" w:cs="宋体"/>
          <w:color w:val="0000FF"/>
          <w:kern w:val="0"/>
          <w:lang w:val="en-US" w:eastAsia="zh-CN"/>
        </w:rPr>
      </w:pPr>
      <w:r>
        <w:rPr>
          <w:rFonts w:hint="eastAsia" w:ascii="宋体" w:hAnsi="宋体" w:cs="宋体"/>
          <w:color w:val="000000"/>
          <w:kern w:val="0"/>
          <w:lang w:val="zh-CN"/>
        </w:rPr>
        <w:t>根据投标人提供 2017年1月1日至投标截止日(以签订合同时间为准)己完成的或正在履行的类似的物业服务项目业绩为准，类似业绩是指与本次项目相近的项目。每提供一项业绩得1分，最高得</w:t>
      </w:r>
      <w:r>
        <w:rPr>
          <w:rFonts w:hint="eastAsia" w:ascii="宋体" w:hAnsi="宋体" w:cs="宋体"/>
          <w:color w:val="000000"/>
          <w:kern w:val="0"/>
          <w:lang w:val="en-US" w:eastAsia="zh-CN"/>
        </w:rPr>
        <w:t>5</w:t>
      </w:r>
      <w:r>
        <w:rPr>
          <w:rFonts w:hint="eastAsia" w:ascii="宋体" w:hAnsi="宋体" w:cs="宋体"/>
          <w:color w:val="000000"/>
          <w:kern w:val="0"/>
          <w:lang w:val="zh-CN"/>
        </w:rPr>
        <w:t>分。（提供首页、金额所在页、签字盖章页的合同和中标通知书复印或扫描件</w:t>
      </w:r>
      <w:r>
        <w:rPr>
          <w:rFonts w:hint="eastAsia" w:ascii="宋体" w:hAnsi="宋体" w:cs="宋体"/>
          <w:color w:val="000000"/>
          <w:kern w:val="0"/>
          <w:lang w:val="en-US" w:eastAsia="zh-CN"/>
        </w:rPr>
        <w:t>)</w:t>
      </w:r>
    </w:p>
    <w:p>
      <w:pPr>
        <w:pStyle w:val="3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48" w:name="_Toc10010"/>
      <w:bookmarkStart w:id="149" w:name="_Toc8375835"/>
      <w:bookmarkStart w:id="150" w:name="_Toc30014"/>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148"/>
      <w:bookmarkEnd w:id="149"/>
      <w:bookmarkEnd w:id="15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致：中金招标有限责任公司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pStyle w:val="36"/>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151" w:name="_Toc8375836"/>
      <w:bookmarkStart w:id="152" w:name="_Toc485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151"/>
      <w:bookmarkEnd w:id="152"/>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致：中金招标有限责任公司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月  日</w:t>
      </w:r>
    </w:p>
    <w:p>
      <w:pPr>
        <w:pStyle w:val="36"/>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153" w:name="_Toc8375837"/>
      <w:bookmarkStart w:id="154" w:name="_Toc31282"/>
      <w:bookmarkStart w:id="15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153"/>
      <w:bookmarkEnd w:id="154"/>
    </w:p>
    <w:p>
      <w:pPr>
        <w:jc w:val="center"/>
        <w:rPr>
          <w:rFonts w:ascii="宋体" w:hAnsi="宋体" w:cs="宋体"/>
          <w:b/>
          <w:sz w:val="36"/>
          <w:szCs w:val="36"/>
        </w:rPr>
      </w:pPr>
      <w:bookmarkStart w:id="156" w:name="OLE_LINK14"/>
      <w:bookmarkStart w:id="157"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156"/>
    <w:bookmarkEnd w:id="15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中金招标有限责任公司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     （公章）</w:t>
      </w:r>
    </w:p>
    <w:p>
      <w:pPr>
        <w:spacing w:line="360" w:lineRule="auto"/>
        <w:ind w:right="480" w:firstLine="4968" w:firstLineChars="2062"/>
        <w:rPr>
          <w:rFonts w:ascii="宋体" w:hAnsi="宋体" w:cs="宋体"/>
          <w:b/>
        </w:rPr>
      </w:pPr>
      <w:r>
        <w:rPr>
          <w:rFonts w:hint="eastAsia" w:ascii="宋体" w:hAnsi="宋体" w:cs="宋体"/>
          <w:b/>
        </w:rPr>
        <w:t xml:space="preserve"> 企业法定代表人：    （签字或盖章）</w:t>
      </w:r>
    </w:p>
    <w:p>
      <w:pPr>
        <w:ind w:firstLine="482"/>
        <w:jc w:val="center"/>
        <w:rPr>
          <w:rFonts w:ascii="宋体" w:hAnsi="宋体" w:cs="宋体"/>
          <w:b/>
        </w:rPr>
      </w:pPr>
      <w:r>
        <w:rPr>
          <w:rFonts w:hint="eastAsia" w:ascii="宋体" w:hAnsi="宋体" w:cs="宋体"/>
          <w:b/>
        </w:rPr>
        <w:t xml:space="preserve">                              年   月  日</w:t>
      </w:r>
    </w:p>
    <w:p>
      <w:pPr>
        <w:pStyle w:val="36"/>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58" w:name="_Toc15622"/>
      <w:bookmarkStart w:id="159" w:name="_Toc837583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155"/>
      <w:bookmarkEnd w:id="158"/>
      <w:bookmarkEnd w:id="159"/>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投标人认为在其他方面有必要说明的事项</w:t>
      </w:r>
    </w:p>
    <w:p>
      <w:pPr>
        <w:autoSpaceDE w:val="0"/>
        <w:autoSpaceDN w:val="0"/>
        <w:spacing w:line="360" w:lineRule="auto"/>
        <w:jc w:val="center"/>
        <w:rPr>
          <w:rFonts w:ascii="宋体" w:hAnsi="宋体" w:cs="宋体"/>
          <w:bCs/>
          <w:color w:val="000000"/>
          <w:lang w:val="zh-CN"/>
        </w:rPr>
        <w:sectPr>
          <w:headerReference r:id="rId3" w:type="default"/>
          <w:footerReference r:id="rId4" w:type="default"/>
          <w:pgSz w:w="11849" w:h="16781"/>
          <w:pgMar w:top="1440" w:right="1080" w:bottom="1440" w:left="1080" w:header="851" w:footer="992" w:gutter="0"/>
          <w:pgNumType w:start="1"/>
          <w:cols w:space="720" w:num="1"/>
          <w:docGrid w:linePitch="397" w:charSpace="0"/>
        </w:sectPr>
      </w:pPr>
      <w:r>
        <w:rPr>
          <w:rFonts w:hint="eastAsia" w:ascii="宋体" w:hAnsi="宋体" w:cs="宋体"/>
          <w:bCs/>
          <w:color w:val="000000"/>
          <w:lang w:val="zh-CN"/>
        </w:rPr>
        <w:t>（格式自拟）</w:t>
      </w:r>
    </w:p>
    <w:p>
      <w:pPr>
        <w:keepNext/>
        <w:keepLines/>
        <w:widowControl/>
        <w:snapToGrid w:val="0"/>
        <w:spacing w:line="360" w:lineRule="auto"/>
        <w:jc w:val="center"/>
        <w:outlineLvl w:val="0"/>
        <w:rPr>
          <w:rFonts w:ascii="宋体" w:hAnsi="宋体" w:cs="宋体"/>
          <w:b/>
          <w:bCs/>
          <w:kern w:val="28"/>
          <w:sz w:val="36"/>
          <w:szCs w:val="36"/>
        </w:rPr>
      </w:pPr>
      <w:bookmarkStart w:id="160" w:name="_Toc531163047"/>
      <w:r>
        <w:rPr>
          <w:rFonts w:hint="eastAsia" w:ascii="宋体" w:hAnsi="宋体" w:cs="宋体"/>
          <w:b/>
          <w:bCs/>
          <w:kern w:val="28"/>
          <w:sz w:val="36"/>
          <w:szCs w:val="36"/>
        </w:rPr>
        <w:t>第六部分采购项目要求及技术参数</w:t>
      </w:r>
      <w:bookmarkEnd w:id="160"/>
    </w:p>
    <w:p>
      <w:pPr>
        <w:pStyle w:val="36"/>
        <w:ind w:firstLine="560"/>
        <w:rPr>
          <w:rFonts w:cs="宋体"/>
          <w:sz w:val="28"/>
          <w:szCs w:val="28"/>
          <w:lang w:val="zh-CN"/>
        </w:rPr>
      </w:pPr>
      <w:bookmarkStart w:id="161" w:name="_Toc464136664"/>
      <w:bookmarkStart w:id="162" w:name="_Toc531163048"/>
      <w:bookmarkStart w:id="163" w:name="_Toc7651"/>
      <w:r>
        <w:rPr>
          <w:rFonts w:hint="eastAsia" w:cs="宋体"/>
          <w:sz w:val="28"/>
          <w:szCs w:val="28"/>
          <w:lang w:val="zh-CN"/>
        </w:rPr>
        <w:t>（一）采购项目要求</w:t>
      </w:r>
      <w:bookmarkEnd w:id="161"/>
      <w:bookmarkEnd w:id="162"/>
      <w:bookmarkEnd w:id="163"/>
    </w:p>
    <w:p>
      <w:pPr>
        <w:pStyle w:val="36"/>
        <w:spacing w:line="360" w:lineRule="auto"/>
        <w:ind w:firstLine="174" w:firstLineChars="62"/>
        <w:jc w:val="both"/>
        <w:rPr>
          <w:rFonts w:ascii="Calibri"/>
          <w:sz w:val="28"/>
          <w:szCs w:val="28"/>
        </w:rPr>
      </w:pPr>
      <w:bookmarkStart w:id="164" w:name="_Toc464136665"/>
      <w:bookmarkStart w:id="165" w:name="_Toc531163049"/>
      <w:bookmarkStart w:id="166" w:name="_Toc1650"/>
      <w:r>
        <w:rPr>
          <w:rFonts w:ascii="宋体" w:hAnsi="宋体" w:cs="宋体"/>
          <w:sz w:val="28"/>
          <w:szCs w:val="28"/>
          <w:lang w:val="zh-CN"/>
        </w:rPr>
        <w:t>1.</w:t>
      </w:r>
      <w:r>
        <w:rPr>
          <w:rFonts w:hint="eastAsia" w:ascii="宋体" w:hAnsi="宋体" w:cs="宋体"/>
          <w:sz w:val="28"/>
          <w:szCs w:val="28"/>
          <w:lang w:val="zh-CN"/>
        </w:rPr>
        <w:t>说明</w:t>
      </w:r>
      <w:bookmarkEnd w:id="164"/>
      <w:bookmarkEnd w:id="165"/>
      <w:bookmarkEnd w:id="166"/>
    </w:p>
    <w:p>
      <w:pPr>
        <w:autoSpaceDE w:val="0"/>
        <w:autoSpaceDN w:val="0"/>
        <w:adjustRightInd w:val="0"/>
        <w:spacing w:line="360" w:lineRule="auto"/>
        <w:ind w:firstLine="480"/>
        <w:rPr>
          <w:rFonts w:ascii="宋体" w:cs="宋体"/>
          <w:lang w:val="zh-CN"/>
        </w:rPr>
      </w:pPr>
      <w:bookmarkStart w:id="167" w:name="_Toc430937692"/>
      <w:bookmarkStart w:id="168" w:name="_Toc464136666"/>
      <w:r>
        <w:rPr>
          <w:rFonts w:ascii="宋体" w:cs="宋体"/>
          <w:lang w:val="zh-CN"/>
        </w:rPr>
        <w:t>1.1</w:t>
      </w:r>
      <w:r>
        <w:rPr>
          <w:rFonts w:hint="eastAsia" w:ascii="宋体" w:cs="宋体"/>
          <w:lang w:val="zh-CN"/>
        </w:rPr>
        <w:t xml:space="preserve"> 本项目采购所有服务不能拆分或少报，必须作为一个整体进行响应。否则，响应文件无效。</w:t>
      </w:r>
    </w:p>
    <w:p>
      <w:pPr>
        <w:autoSpaceDE w:val="0"/>
        <w:autoSpaceDN w:val="0"/>
        <w:adjustRightInd w:val="0"/>
        <w:spacing w:line="360" w:lineRule="auto"/>
        <w:ind w:firstLine="480" w:firstLineChars="200"/>
        <w:rPr>
          <w:rFonts w:ascii="Arial" w:cs="Arial"/>
          <w:bCs/>
        </w:rPr>
      </w:pPr>
      <w:r>
        <w:rPr>
          <w:rFonts w:ascii="宋体" w:cs="宋体"/>
          <w:lang w:val="zh-CN"/>
        </w:rPr>
        <w:t>1.2</w:t>
      </w:r>
      <w:r>
        <w:rPr>
          <w:rFonts w:hint="eastAsia" w:ascii="宋体" w:cs="宋体"/>
          <w:lang w:val="zh-CN"/>
        </w:rPr>
        <w:t xml:space="preserve"> </w:t>
      </w:r>
      <w:r>
        <w:rPr>
          <w:rFonts w:hint="eastAsia" w:ascii="宋体" w:hAnsi="Cambria" w:cs="宋体"/>
          <w:lang w:val="zh-CN"/>
        </w:rPr>
        <w:t>投标报价</w:t>
      </w:r>
      <w:r>
        <w:rPr>
          <w:rFonts w:ascii="Arial" w:cs="Arial"/>
        </w:rPr>
        <w:t>必须包括：</w:t>
      </w:r>
      <w:r>
        <w:rPr>
          <w:rFonts w:hint="eastAsia" w:ascii="Arial" w:cs="Arial"/>
        </w:rPr>
        <w:t>“</w:t>
      </w:r>
      <w:r>
        <w:rPr>
          <w:rFonts w:hint="eastAsia" w:ascii="宋体" w:hAnsi="Cambria" w:cs="宋体"/>
          <w:lang w:val="zh-CN"/>
        </w:rPr>
        <w:t>投标</w:t>
      </w:r>
      <w:r>
        <w:rPr>
          <w:rFonts w:hint="eastAsia" w:ascii="Arial" w:cs="Arial"/>
        </w:rPr>
        <w:t>报价”为投标总价。</w:t>
      </w:r>
      <w:r>
        <w:rPr>
          <w:rFonts w:hint="eastAsia" w:ascii="Arial" w:cs="Arial"/>
          <w:bCs/>
        </w:rPr>
        <w:t>总价包括：包含派遣人员工资、及相关养老保险、医疗保险、失业保险、工伤保险、派遣人员服装费（服装依据采购人要求定制）、售后服务费、税金、中标服务费及不可预见费等全部费</w:t>
      </w:r>
      <w:r>
        <w:rPr>
          <w:rFonts w:hint="eastAsia" w:ascii="宋体" w:cs="宋体"/>
          <w:lang w:val="zh-CN"/>
        </w:rPr>
        <w:t>。若投标报价不能完全包括上述内容，该响应文件将被认为非实质性响应。</w:t>
      </w:r>
    </w:p>
    <w:p>
      <w:pPr>
        <w:pStyle w:val="17"/>
        <w:spacing w:line="360" w:lineRule="auto"/>
        <w:ind w:firstLine="480"/>
        <w:rPr>
          <w:lang w:val="zh-CN"/>
        </w:rPr>
      </w:pPr>
      <w:r>
        <w:rPr>
          <w:rFonts w:hint="eastAsia"/>
          <w:lang w:val="zh-CN"/>
        </w:rPr>
        <w:t>1.3 投标人派遣的相关人员工资标准不能青海省相关文件规定的最低工资标准和相关要求，否则造成的一切后果，均有投标人承担。</w:t>
      </w:r>
    </w:p>
    <w:p>
      <w:pPr>
        <w:pStyle w:val="17"/>
        <w:spacing w:line="360" w:lineRule="auto"/>
        <w:ind w:firstLine="480"/>
        <w:rPr>
          <w:lang w:val="zh-CN"/>
        </w:rPr>
      </w:pPr>
      <w:r>
        <w:rPr>
          <w:rFonts w:hint="eastAsia"/>
          <w:lang w:val="zh-CN"/>
        </w:rPr>
        <w:t>1.4 本项目根据实际采购需求甲方统一组织现场勘查，投标人勘探现场发生的费用自理。</w:t>
      </w:r>
    </w:p>
    <w:p>
      <w:pPr>
        <w:pStyle w:val="36"/>
        <w:spacing w:line="360" w:lineRule="auto"/>
        <w:jc w:val="left"/>
        <w:rPr>
          <w:rFonts w:ascii="宋体"/>
          <w:sz w:val="28"/>
          <w:szCs w:val="28"/>
        </w:rPr>
      </w:pPr>
      <w:bookmarkStart w:id="169" w:name="_Toc21949"/>
      <w:bookmarkStart w:id="170" w:name="_Toc531163050"/>
      <w:r>
        <w:rPr>
          <w:rFonts w:ascii="宋体" w:hAnsi="宋体" w:cs="宋体"/>
          <w:sz w:val="28"/>
          <w:szCs w:val="28"/>
        </w:rPr>
        <w:t>2.</w:t>
      </w:r>
      <w:r>
        <w:rPr>
          <w:rFonts w:hint="eastAsia" w:ascii="宋体" w:hAnsi="宋体" w:cs="宋体"/>
          <w:sz w:val="28"/>
          <w:szCs w:val="28"/>
        </w:rPr>
        <w:t>报价说明</w:t>
      </w:r>
      <w:bookmarkEnd w:id="167"/>
      <w:bookmarkEnd w:id="168"/>
      <w:bookmarkEnd w:id="169"/>
      <w:bookmarkEnd w:id="170"/>
    </w:p>
    <w:p>
      <w:pPr>
        <w:autoSpaceDE w:val="0"/>
        <w:autoSpaceDN w:val="0"/>
        <w:adjustRightInd w:val="0"/>
        <w:spacing w:line="360" w:lineRule="auto"/>
        <w:ind w:firstLine="480"/>
        <w:rPr>
          <w:rFonts w:ascii="宋体" w:cs="宋体"/>
          <w:lang w:val="zh-CN"/>
        </w:rPr>
      </w:pPr>
      <w:bookmarkStart w:id="171" w:name="_Toc430937694"/>
      <w:bookmarkStart w:id="172" w:name="_Toc464136667"/>
      <w:r>
        <w:rPr>
          <w:rFonts w:hint="eastAsia" w:ascii="宋体" w:cs="宋体"/>
          <w:lang w:val="zh-CN"/>
        </w:rPr>
        <w:t>2.1、本次招标文件中规定的采购预算额度为投标最高限价，供应商的投标报价不得超出此额度。否则响应无效；</w:t>
      </w:r>
    </w:p>
    <w:bookmarkEnd w:id="171"/>
    <w:bookmarkEnd w:id="172"/>
    <w:p>
      <w:pPr>
        <w:pStyle w:val="36"/>
        <w:ind w:firstLine="138" w:firstLineChars="49"/>
        <w:jc w:val="left"/>
        <w:rPr>
          <w:rFonts w:ascii="宋体" w:hAnsi="宋体" w:cs="宋体"/>
          <w:sz w:val="28"/>
          <w:szCs w:val="28"/>
          <w:lang w:val="zh-CN"/>
        </w:rPr>
      </w:pPr>
      <w:bookmarkStart w:id="173" w:name="_Toc485391676"/>
      <w:bookmarkStart w:id="174" w:name="_Toc427748115"/>
      <w:bookmarkStart w:id="175" w:name="_Toc531163052"/>
      <w:bookmarkStart w:id="176" w:name="_Toc3491"/>
      <w:r>
        <w:rPr>
          <w:rFonts w:hint="eastAsia" w:ascii="宋体" w:hAnsi="宋体" w:cs="宋体"/>
          <w:sz w:val="28"/>
          <w:szCs w:val="28"/>
          <w:lang w:val="en-US" w:eastAsia="zh-CN"/>
        </w:rPr>
        <w:t>3</w:t>
      </w:r>
      <w:r>
        <w:rPr>
          <w:rFonts w:hint="eastAsia" w:ascii="宋体" w:hAnsi="宋体" w:cs="宋体"/>
          <w:sz w:val="28"/>
          <w:szCs w:val="28"/>
          <w:lang w:val="zh-CN"/>
        </w:rPr>
        <w:t>.</w:t>
      </w:r>
      <w:bookmarkEnd w:id="173"/>
      <w:bookmarkEnd w:id="174"/>
      <w:r>
        <w:rPr>
          <w:rFonts w:hint="eastAsia" w:ascii="宋体" w:hAnsi="宋体" w:cs="宋体"/>
          <w:sz w:val="28"/>
          <w:szCs w:val="28"/>
          <w:lang w:val="zh-CN"/>
        </w:rPr>
        <w:t>商务要求</w:t>
      </w:r>
      <w:bookmarkEnd w:id="175"/>
      <w:bookmarkEnd w:id="176"/>
    </w:p>
    <w:p>
      <w:pPr>
        <w:spacing w:line="360" w:lineRule="auto"/>
        <w:ind w:firstLine="480"/>
        <w:rPr>
          <w:rFonts w:hint="eastAsia" w:ascii="宋体" w:hAnsi="宋体" w:cs="宋体"/>
          <w:lang w:val="en-US" w:eastAsia="zh-CN"/>
        </w:rPr>
      </w:pPr>
      <w:bookmarkStart w:id="177" w:name="_Toc352076753"/>
      <w:bookmarkStart w:id="178" w:name="_Toc376936792"/>
      <w:bookmarkStart w:id="179" w:name="_Toc427748116"/>
      <w:r>
        <w:rPr>
          <w:rFonts w:hint="eastAsia" w:ascii="宋体" w:hAnsi="宋体" w:cs="宋体"/>
          <w:lang w:val="zh-CN"/>
        </w:rPr>
        <w:t>4.1.服务地点：西宁市体育场馆</w:t>
      </w:r>
    </w:p>
    <w:p>
      <w:pPr>
        <w:spacing w:line="360" w:lineRule="auto"/>
        <w:ind w:firstLine="480"/>
        <w:rPr>
          <w:rFonts w:hint="eastAsia" w:ascii="宋体" w:hAnsi="宋体" w:cs="宋体"/>
          <w:lang w:val="zh-CN"/>
        </w:rPr>
      </w:pPr>
      <w:r>
        <w:rPr>
          <w:rFonts w:hint="eastAsia" w:ascii="宋体" w:hAnsi="宋体" w:cs="宋体"/>
          <w:lang w:val="zh-CN"/>
        </w:rPr>
        <w:t>4.2.服务期：三年。</w:t>
      </w:r>
      <w:bookmarkEnd w:id="177"/>
      <w:bookmarkEnd w:id="178"/>
      <w:bookmarkEnd w:id="179"/>
    </w:p>
    <w:p>
      <w:pPr>
        <w:spacing w:line="360" w:lineRule="auto"/>
        <w:ind w:firstLine="480"/>
        <w:rPr>
          <w:rFonts w:hint="eastAsia" w:ascii="宋体" w:hAnsi="宋体" w:cs="宋体"/>
          <w:lang w:val="en-US" w:eastAsia="zh-CN"/>
        </w:rPr>
      </w:pPr>
      <w:r>
        <w:rPr>
          <w:rFonts w:hint="eastAsia" w:ascii="宋体" w:hAnsi="宋体" w:cs="宋体"/>
          <w:lang w:val="en-US" w:eastAsia="zh-CN"/>
        </w:rPr>
        <w:t>4.4付款要求：</w:t>
      </w:r>
      <w:r>
        <w:rPr>
          <w:rFonts w:hint="eastAsia" w:asciiTheme="minorEastAsia" w:hAnsiTheme="minorEastAsia" w:eastAsiaTheme="minorEastAsia" w:cstheme="minorEastAsia"/>
          <w:sz w:val="24"/>
          <w:szCs w:val="24"/>
        </w:rPr>
        <w:t>经考核合格，每月支付一次</w:t>
      </w:r>
      <w:r>
        <w:rPr>
          <w:rFonts w:hint="eastAsia" w:ascii="宋体" w:hAnsi="宋体" w:cs="宋体"/>
          <w:lang w:val="en-US" w:eastAsia="zh-CN"/>
        </w:rPr>
        <w:t>（合同每年一签），依据考核结果确定支付金额，乙方提供等额有效发票后支付；</w:t>
      </w:r>
    </w:p>
    <w:p/>
    <w:p>
      <w:pPr>
        <w:pStyle w:val="148"/>
      </w:pPr>
    </w:p>
    <w:p>
      <w:pPr>
        <w:spacing w:line="360" w:lineRule="auto"/>
        <w:ind w:firstLine="4320" w:firstLineChars="1800"/>
        <w:rPr>
          <w:rFonts w:hint="eastAsia" w:ascii="宋体" w:hAnsi="宋体" w:cs="宋体"/>
          <w:lang w:val="en-US" w:eastAsia="zh-CN"/>
        </w:rPr>
      </w:pPr>
      <w:r>
        <w:rPr>
          <w:rFonts w:hint="eastAsia" w:ascii="宋体" w:hAnsi="宋体" w:cs="宋体"/>
          <w:lang w:val="en-US" w:eastAsia="zh-CN"/>
        </w:rPr>
        <w:t>物业岗位设置</w:t>
      </w:r>
    </w:p>
    <w:tbl>
      <w:tblPr>
        <w:tblStyle w:val="40"/>
        <w:tblpPr w:leftFromText="180" w:rightFromText="180" w:horzAnchor="margin" w:tblpY="63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191"/>
        <w:gridCol w:w="825"/>
        <w:gridCol w:w="1350"/>
        <w:gridCol w:w="87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场地名称</w:t>
            </w:r>
          </w:p>
        </w:tc>
        <w:tc>
          <w:tcPr>
            <w:tcW w:w="1191"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项目</w:t>
            </w:r>
          </w:p>
        </w:tc>
        <w:tc>
          <w:tcPr>
            <w:tcW w:w="825" w:type="dxa"/>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数量</w:t>
            </w:r>
          </w:p>
        </w:tc>
        <w:tc>
          <w:tcPr>
            <w:tcW w:w="1350" w:type="dxa"/>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工资标准</w:t>
            </w:r>
          </w:p>
        </w:tc>
        <w:tc>
          <w:tcPr>
            <w:tcW w:w="875" w:type="dxa"/>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月份</w:t>
            </w:r>
          </w:p>
        </w:tc>
        <w:tc>
          <w:tcPr>
            <w:tcW w:w="1500" w:type="dxa"/>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restart"/>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体育场、门球场、乒乓球馆</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5</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保洁</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3</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2200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restart"/>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体育馆</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3200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76800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保洁</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2200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restart"/>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羽毛球馆</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3</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保洁</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2200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收银</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2000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中心篮球广场1号场地</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中心篮球广场2号场地</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中心篮球广场3号场地</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安保</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2500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restart"/>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锅炉房</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司炉工</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4000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6</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司炉工</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4000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restart"/>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配电室</w:t>
            </w: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高压电工</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4500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Merge w:val="continue"/>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低压电工</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2</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3800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水暖工</w:t>
            </w: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w:t>
            </w:r>
          </w:p>
        </w:tc>
        <w:tc>
          <w:tcPr>
            <w:tcW w:w="135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3800</w:t>
            </w:r>
          </w:p>
        </w:tc>
        <w:tc>
          <w:tcPr>
            <w:tcW w:w="87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12</w:t>
            </w:r>
          </w:p>
        </w:tc>
        <w:tc>
          <w:tcPr>
            <w:tcW w:w="1500"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合计</w:t>
            </w:r>
          </w:p>
        </w:tc>
        <w:tc>
          <w:tcPr>
            <w:tcW w:w="1191"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825" w:type="dxa"/>
          </w:tcPr>
          <w:p>
            <w:pPr>
              <w:keepNext w:val="0"/>
              <w:keepLines w:val="0"/>
              <w:suppressLineNumbers w:val="0"/>
              <w:spacing w:before="0" w:beforeAutospacing="0" w:after="0" w:afterAutospacing="0" w:line="360" w:lineRule="auto"/>
              <w:ind w:left="0" w:right="0"/>
              <w:jc w:val="center"/>
              <w:rPr>
                <w:rFonts w:hint="eastAsia" w:ascii="宋体" w:hAnsi="宋体" w:cs="宋体"/>
                <w:lang w:val="en-US" w:eastAsia="zh-CN"/>
              </w:rPr>
            </w:pPr>
            <w:r>
              <w:rPr>
                <w:rFonts w:hint="eastAsia" w:ascii="宋体" w:hAnsi="宋体" w:cs="宋体"/>
                <w:lang w:val="en-US" w:eastAsia="zh-CN"/>
              </w:rPr>
              <w:t>33</w:t>
            </w:r>
          </w:p>
        </w:tc>
        <w:tc>
          <w:tcPr>
            <w:tcW w:w="3725" w:type="dxa"/>
            <w:gridSpan w:val="3"/>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1064400元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1191"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p>
        </w:tc>
        <w:tc>
          <w:tcPr>
            <w:tcW w:w="825" w:type="dxa"/>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 xml:space="preserve"> </w:t>
            </w:r>
          </w:p>
        </w:tc>
        <w:tc>
          <w:tcPr>
            <w:tcW w:w="3725" w:type="dxa"/>
            <w:gridSpan w:val="3"/>
          </w:tcPr>
          <w:p>
            <w:pPr>
              <w:keepNext w:val="0"/>
              <w:keepLines w:val="0"/>
              <w:suppressLineNumbers w:val="0"/>
              <w:spacing w:before="0" w:beforeAutospacing="0" w:after="0" w:afterAutospacing="0" w:line="360" w:lineRule="auto"/>
              <w:ind w:left="0" w:right="0" w:firstLine="480"/>
              <w:rPr>
                <w:rFonts w:hint="eastAsia" w:ascii="宋体" w:hAnsi="宋体" w:cs="宋体"/>
                <w:lang w:val="en-US" w:eastAsia="zh-CN"/>
              </w:rPr>
            </w:pPr>
            <w:r>
              <w:rPr>
                <w:rFonts w:hint="eastAsia" w:ascii="宋体" w:hAnsi="宋体" w:cs="宋体"/>
                <w:lang w:val="en-US" w:eastAsia="zh-CN"/>
              </w:rPr>
              <w:t>3193200元（3年）</w:t>
            </w:r>
          </w:p>
        </w:tc>
      </w:tr>
    </w:tbl>
    <w:p>
      <w:pPr>
        <w:pStyle w:val="148"/>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备注：原物业岗位设置23名，新增安保2名，司炉工2名（6个月），司炉工2名（12个月），高压电工1名，低压电工2名，水暖工1名 共计33名</w:t>
      </w:r>
      <w:r>
        <w:rPr>
          <w:rFonts w:hint="eastAsia" w:ascii="宋体" w:hAnsi="宋体" w:cs="宋体"/>
          <w:color w:val="auto"/>
          <w:kern w:val="2"/>
          <w:sz w:val="24"/>
          <w:szCs w:val="24"/>
          <w:lang w:val="en-US" w:eastAsia="zh-CN" w:bidi="ar-SA"/>
        </w:rPr>
        <w:t>。</w:t>
      </w:r>
    </w:p>
    <w:p>
      <w:pPr>
        <w:pStyle w:val="148"/>
        <w:rPr>
          <w:rFonts w:hint="eastAsia" w:ascii="宋体" w:hAnsi="宋体" w:cs="宋体"/>
          <w:color w:val="auto"/>
          <w:kern w:val="2"/>
          <w:sz w:val="24"/>
          <w:szCs w:val="24"/>
          <w:lang w:val="en-US" w:eastAsia="zh-CN" w:bidi="ar-SA"/>
        </w:rPr>
      </w:pPr>
    </w:p>
    <w:p>
      <w:pPr>
        <w:pStyle w:val="148"/>
        <w:rPr>
          <w:rFonts w:hint="eastAsia" w:ascii="宋体" w:hAnsi="宋体" w:cs="宋体"/>
          <w:color w:val="auto"/>
          <w:kern w:val="2"/>
          <w:sz w:val="24"/>
          <w:szCs w:val="24"/>
          <w:lang w:val="en-US" w:eastAsia="zh-CN" w:bidi="ar-SA"/>
        </w:rPr>
      </w:pPr>
    </w:p>
    <w:p>
      <w:pPr>
        <w:pStyle w:val="148"/>
        <w:rPr>
          <w:rFonts w:hint="eastAsia" w:ascii="宋体" w:hAnsi="宋体" w:cs="宋体"/>
          <w:color w:val="auto"/>
          <w:kern w:val="2"/>
          <w:sz w:val="24"/>
          <w:szCs w:val="24"/>
          <w:lang w:val="en-US" w:eastAsia="zh-CN" w:bidi="ar-SA"/>
        </w:rPr>
      </w:pP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项目介绍：</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西门口体育健身圈总占地面积为51501.4平方米，包括体育馆、体育场、羽毛球馆、3个中心篮球广场、笼式足球场、轮滑场、3个健身广场、门球场、乒乓球馆等健身场地、办公区域区域保洁及消毒；场馆区域内的秩序维护等）。</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西宁市体育场馆管理服务中心，本着“公平、公正、合理”的原则对中心的物业管理进行公开招标。内容如下：</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一、物业管理名称：西宁市体育场馆管理服务中心物业管理项目。</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二、物业管理项目的具体范围、人员配置等。</w:t>
      </w:r>
    </w:p>
    <w:tbl>
      <w:tblPr>
        <w:tblStyle w:val="40"/>
        <w:tblpPr w:leftFromText="180" w:rightFromText="180" w:vertAnchor="text" w:horzAnchor="page" w:tblpX="1351" w:tblpY="616"/>
        <w:tblOverlap w:val="never"/>
        <w:tblW w:w="92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1440"/>
        <w:gridCol w:w="1056"/>
        <w:gridCol w:w="388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工作 区域</w:t>
            </w:r>
          </w:p>
        </w:tc>
        <w:tc>
          <w:tcPr>
            <w:tcW w:w="1440"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岗位名称</w:t>
            </w:r>
          </w:p>
        </w:tc>
        <w:tc>
          <w:tcPr>
            <w:tcW w:w="1056" w:type="dxa"/>
            <w:tcBorders>
              <w:bottom w:val="single" w:color="auto" w:sz="4" w:space="0"/>
            </w:tcBorders>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人员数量</w:t>
            </w:r>
          </w:p>
        </w:tc>
        <w:tc>
          <w:tcPr>
            <w:tcW w:w="3889" w:type="dxa"/>
            <w:tcBorders>
              <w:bottom w:val="single" w:color="auto" w:sz="4" w:space="0"/>
            </w:tcBorders>
            <w:vAlign w:val="center"/>
          </w:tcPr>
          <w:p>
            <w:pPr>
              <w:keepNext w:val="0"/>
              <w:keepLines w:val="0"/>
              <w:suppressLineNumbers w:val="0"/>
              <w:spacing w:before="0" w:beforeAutospacing="0" w:after="0" w:afterAutospacing="0" w:line="560" w:lineRule="exact"/>
              <w:ind w:left="0" w:righ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工作内容</w:t>
            </w:r>
          </w:p>
        </w:tc>
        <w:tc>
          <w:tcPr>
            <w:tcW w:w="1559" w:type="dxa"/>
            <w:tcBorders>
              <w:bottom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具体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0" w:hRule="atLeast"/>
        </w:trPr>
        <w:tc>
          <w:tcPr>
            <w:tcW w:w="1320" w:type="dxa"/>
            <w:tcBorders>
              <w:bottom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体育场、</w:t>
            </w:r>
            <w:r>
              <w:rPr>
                <w:rFonts w:asciiTheme="minorEastAsia" w:hAnsiTheme="minorEastAsia" w:eastAsiaTheme="minorEastAsia"/>
                <w:sz w:val="24"/>
                <w:szCs w:val="24"/>
              </w:rPr>
              <w:t>羽毛球馆</w:t>
            </w:r>
          </w:p>
        </w:tc>
        <w:tc>
          <w:tcPr>
            <w:tcW w:w="1440" w:type="dxa"/>
            <w:tcBorders>
              <w:bottom w:val="single" w:color="auto" w:sz="4" w:space="0"/>
            </w:tcBorders>
            <w:vAlign w:val="center"/>
          </w:tcPr>
          <w:p>
            <w:pPr>
              <w:keepNext w:val="0"/>
              <w:keepLines w:val="0"/>
              <w:suppressLineNumbers w:val="0"/>
              <w:spacing w:before="0" w:beforeAutospacing="0" w:after="0" w:afterAutospacing="0" w:line="560" w:lineRule="exact"/>
              <w:ind w:left="0" w:right="0" w:firstLine="400"/>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安保人员</w:t>
            </w:r>
          </w:p>
        </w:tc>
        <w:tc>
          <w:tcPr>
            <w:tcW w:w="1056" w:type="dxa"/>
            <w:tcBorders>
              <w:bottom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7人</w:t>
            </w:r>
          </w:p>
        </w:tc>
        <w:tc>
          <w:tcPr>
            <w:tcW w:w="3889" w:type="dxa"/>
            <w:tcBorders>
              <w:bottom w:val="single" w:color="auto" w:sz="4" w:space="0"/>
            </w:tcBorders>
          </w:tcPr>
          <w:p>
            <w:pPr>
              <w:keepNext w:val="0"/>
              <w:keepLines w:val="0"/>
              <w:suppressLineNumbers w:val="0"/>
              <w:tabs>
                <w:tab w:val="left" w:pos="570"/>
              </w:tabs>
              <w:spacing w:before="0" w:beforeAutospacing="0" w:after="0" w:afterAutospacing="0" w:line="560" w:lineRule="exact"/>
              <w:ind w:left="0" w:righ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遵守劳动纪律，按时上下班，不脱岗，不随意顶班，不从事与工</w:t>
            </w:r>
          </w:p>
          <w:p>
            <w:pPr>
              <w:pStyle w:val="34"/>
              <w:keepNext w:val="0"/>
              <w:keepLines w:val="0"/>
              <w:suppressLineNumbers w:val="0"/>
              <w:spacing w:before="0" w:beforeAutospacing="0" w:after="0" w:afterAutospacing="0"/>
              <w:ind w:left="0" w:right="0" w:firstLine="0" w:firstLineChars="0"/>
            </w:pPr>
            <w:r>
              <w:rPr>
                <w:rFonts w:hint="eastAsia" w:asciiTheme="minorEastAsia" w:hAnsiTheme="minorEastAsia" w:eastAsiaTheme="minorEastAsia" w:cstheme="minorEastAsia"/>
                <w:sz w:val="24"/>
                <w:szCs w:val="24"/>
              </w:rPr>
              <w:t>作无关的事情；上班期间按规定着装，</w:t>
            </w:r>
            <w:r>
              <w:rPr>
                <w:rFonts w:hint="eastAsia" w:asciiTheme="minorEastAsia" w:hAnsiTheme="minorEastAsia" w:eastAsiaTheme="minorEastAsia"/>
                <w:sz w:val="24"/>
                <w:szCs w:val="24"/>
              </w:rPr>
              <w:t>24小时执行门卫、巡逻、守护等安全保卫和秩序维护任务，对发生在区域内的不法侵害、治安和自然灾害事故，应及时报告，采取措施防止事态扩大。</w:t>
            </w:r>
          </w:p>
        </w:tc>
        <w:tc>
          <w:tcPr>
            <w:tcW w:w="1559" w:type="dxa"/>
            <w:tcBorders>
              <w:bottom w:val="single" w:color="auto" w:sz="4" w:space="0"/>
            </w:tcBorders>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atLeast"/>
        </w:trPr>
        <w:tc>
          <w:tcPr>
            <w:tcW w:w="1320" w:type="dxa"/>
            <w:tcBorders>
              <w:top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门球场、乒乓球馆</w:t>
            </w:r>
          </w:p>
        </w:tc>
        <w:tc>
          <w:tcPr>
            <w:tcW w:w="1440" w:type="dxa"/>
            <w:tcBorders>
              <w:top w:val="single" w:color="auto" w:sz="4" w:space="0"/>
            </w:tcBorders>
            <w:vAlign w:val="center"/>
          </w:tcPr>
          <w:p>
            <w:pPr>
              <w:keepNext w:val="0"/>
              <w:keepLines w:val="0"/>
              <w:suppressLineNumbers w:val="0"/>
              <w:spacing w:before="0" w:beforeAutospacing="0" w:after="0" w:afterAutospacing="0" w:line="560" w:lineRule="exact"/>
              <w:ind w:left="0" w:right="0" w:firstLine="400"/>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安保人员</w:t>
            </w:r>
          </w:p>
        </w:tc>
        <w:tc>
          <w:tcPr>
            <w:tcW w:w="1056" w:type="dxa"/>
            <w:tcBorders>
              <w:top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1人</w:t>
            </w:r>
          </w:p>
        </w:tc>
        <w:tc>
          <w:tcPr>
            <w:tcW w:w="3889" w:type="dxa"/>
            <w:tcBorders>
              <w:top w:val="single" w:color="auto" w:sz="4" w:space="0"/>
              <w:bottom w:val="single" w:color="auto" w:sz="4" w:space="0"/>
            </w:tcBorders>
          </w:tcPr>
          <w:p>
            <w:pPr>
              <w:pStyle w:val="34"/>
              <w:keepNext w:val="0"/>
              <w:keepLines w:val="0"/>
              <w:suppressLineNumbers w:val="0"/>
              <w:spacing w:before="0" w:beforeAutospacing="0" w:after="0" w:afterAutospacing="0"/>
              <w:ind w:left="0" w:right="0" w:firstLine="0" w:firstLineChars="0"/>
            </w:pPr>
            <w:r>
              <w:rPr>
                <w:rFonts w:hint="eastAsia" w:asciiTheme="minorEastAsia" w:hAnsiTheme="minorEastAsia" w:eastAsiaTheme="minorEastAsia" w:cstheme="minorEastAsia"/>
                <w:sz w:val="24"/>
                <w:szCs w:val="24"/>
              </w:rPr>
              <w:t>每天早8点30分-18点对</w:t>
            </w:r>
            <w:r>
              <w:rPr>
                <w:rFonts w:hint="eastAsia" w:asciiTheme="minorEastAsia" w:hAnsiTheme="minorEastAsia" w:eastAsiaTheme="minorEastAsia"/>
                <w:sz w:val="24"/>
                <w:szCs w:val="24"/>
              </w:rPr>
              <w:t>门球场、乒乓球馆</w:t>
            </w:r>
            <w:r>
              <w:rPr>
                <w:rFonts w:hint="eastAsia" w:asciiTheme="minorEastAsia" w:hAnsiTheme="minorEastAsia" w:eastAsiaTheme="minorEastAsia" w:cstheme="minorEastAsia"/>
                <w:sz w:val="24"/>
                <w:szCs w:val="24"/>
              </w:rPr>
              <w:t>进行开馆和闭馆，若有赛事提前和主管部门协调；整理、打扫区域内卫生；看管好区域内的各类设施、器械、消防设备等。</w:t>
            </w:r>
          </w:p>
          <w:p>
            <w:pPr>
              <w:pStyle w:val="34"/>
              <w:keepNext w:val="0"/>
              <w:keepLines w:val="0"/>
              <w:suppressLineNumbers w:val="0"/>
              <w:spacing w:before="0" w:beforeAutospacing="0" w:after="0" w:afterAutospacing="0"/>
              <w:ind w:left="0" w:right="0" w:firstLine="480"/>
              <w:rPr>
                <w:rFonts w:asciiTheme="minorEastAsia" w:hAnsiTheme="minorEastAsia" w:eastAsiaTheme="minorEastAsia" w:cstheme="minorEastAsia"/>
                <w:sz w:val="24"/>
                <w:szCs w:val="24"/>
              </w:rPr>
            </w:pPr>
          </w:p>
        </w:tc>
        <w:tc>
          <w:tcPr>
            <w:tcW w:w="1559" w:type="dxa"/>
            <w:tcBorders>
              <w:top w:val="single" w:color="auto" w:sz="4" w:space="0"/>
            </w:tcBorders>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男性，年龄≤55岁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体育馆</w:t>
            </w:r>
          </w:p>
        </w:tc>
        <w:tc>
          <w:tcPr>
            <w:tcW w:w="1440" w:type="dxa"/>
            <w:vAlign w:val="center"/>
          </w:tcPr>
          <w:p>
            <w:pPr>
              <w:keepNext w:val="0"/>
              <w:keepLines w:val="0"/>
              <w:suppressLineNumbers w:val="0"/>
              <w:spacing w:before="0" w:beforeAutospacing="0" w:after="0" w:afterAutospacing="0" w:line="560" w:lineRule="exact"/>
              <w:ind w:left="0" w:right="0" w:firstLine="400"/>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安保人员</w:t>
            </w:r>
          </w:p>
        </w:tc>
        <w:tc>
          <w:tcPr>
            <w:tcW w:w="1056" w:type="dxa"/>
            <w:tcBorders>
              <w:top w:val="single" w:color="auto" w:sz="4" w:space="0"/>
            </w:tcBorders>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人</w:t>
            </w:r>
          </w:p>
        </w:tc>
        <w:tc>
          <w:tcPr>
            <w:tcW w:w="3889" w:type="dxa"/>
            <w:tcBorders>
              <w:top w:val="single" w:color="auto" w:sz="4" w:space="0"/>
            </w:tcBorders>
          </w:tcPr>
          <w:p>
            <w:pPr>
              <w:keepNext w:val="0"/>
              <w:keepLines w:val="0"/>
              <w:suppressLineNumbers w:val="0"/>
              <w:tabs>
                <w:tab w:val="left" w:pos="570"/>
              </w:tabs>
              <w:spacing w:before="0" w:beforeAutospacing="0" w:after="0" w:afterAutospacing="0" w:line="560" w:lineRule="exact"/>
              <w:ind w:left="0" w:right="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遵守劳动纪律，按时上下班，不脱岗，不随意顶班，不从事与工作无关的事情；上班期间按规定着装，</w:t>
            </w:r>
            <w:r>
              <w:rPr>
                <w:rFonts w:hint="eastAsia" w:asciiTheme="minorEastAsia" w:hAnsiTheme="minorEastAsia" w:eastAsiaTheme="minorEastAsia"/>
                <w:sz w:val="24"/>
                <w:szCs w:val="24"/>
              </w:rPr>
              <w:t>24小时执行门卫、巡逻、守护等安全保卫和秩序维护任务，对发生在区域内的不法侵害、治安和自然灾害事故，应及时报告，采取措施防止事态扩大。</w:t>
            </w:r>
          </w:p>
        </w:tc>
        <w:tc>
          <w:tcPr>
            <w:tcW w:w="1559" w:type="dxa"/>
            <w:tcBorders>
              <w:top w:val="single" w:color="auto" w:sz="4" w:space="0"/>
            </w:tcBorders>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男性，年龄≤45岁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中心篮球广场1号</w:t>
            </w:r>
            <w:r>
              <w:rPr>
                <w:rFonts w:asciiTheme="minorEastAsia" w:hAnsiTheme="minorEastAsia" w:eastAsiaTheme="minorEastAsia"/>
                <w:sz w:val="24"/>
                <w:szCs w:val="24"/>
              </w:rPr>
              <w:t>、</w:t>
            </w:r>
            <w:r>
              <w:rPr>
                <w:rFonts w:hint="eastAsia" w:asciiTheme="minorEastAsia" w:hAnsiTheme="minorEastAsia" w:eastAsiaTheme="minorEastAsia"/>
                <w:sz w:val="24"/>
                <w:szCs w:val="24"/>
              </w:rPr>
              <w:t>2号场地</w:t>
            </w:r>
          </w:p>
        </w:tc>
        <w:tc>
          <w:tcPr>
            <w:tcW w:w="1440" w:type="dxa"/>
            <w:vAlign w:val="center"/>
          </w:tcPr>
          <w:p>
            <w:pPr>
              <w:keepNext w:val="0"/>
              <w:keepLines w:val="0"/>
              <w:suppressLineNumbers w:val="0"/>
              <w:spacing w:before="0" w:beforeAutospacing="0" w:after="0" w:afterAutospacing="0" w:line="560" w:lineRule="exact"/>
              <w:ind w:left="0" w:right="0" w:firstLine="400"/>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安保人员</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4人</w:t>
            </w:r>
          </w:p>
        </w:tc>
        <w:tc>
          <w:tcPr>
            <w:tcW w:w="3889" w:type="dxa"/>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rPr>
              <w:t>每天早</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点-晚</w:t>
            </w:r>
            <w:r>
              <w:rPr>
                <w:rFonts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t>点对篮球场进行开馆和闭馆，若有赛事提前和主管部门协调；整理、打扫区域内卫生；看管好区域内的各类设施、器械、消防设备等。</w:t>
            </w:r>
          </w:p>
        </w:tc>
        <w:tc>
          <w:tcPr>
            <w:tcW w:w="1559"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中心篮球广场</w:t>
            </w:r>
            <w:r>
              <w:rPr>
                <w:rFonts w:asciiTheme="minorEastAsia" w:hAnsiTheme="minorEastAsia" w:eastAsiaTheme="minorEastAsia"/>
                <w:sz w:val="24"/>
                <w:szCs w:val="24"/>
              </w:rPr>
              <w:t>3</w:t>
            </w:r>
            <w:r>
              <w:rPr>
                <w:rFonts w:hint="eastAsia" w:asciiTheme="minorEastAsia" w:hAnsiTheme="minorEastAsia" w:eastAsiaTheme="minorEastAsia"/>
                <w:sz w:val="24"/>
                <w:szCs w:val="24"/>
              </w:rPr>
              <w:t>号场地</w:t>
            </w:r>
          </w:p>
        </w:tc>
        <w:tc>
          <w:tcPr>
            <w:tcW w:w="1440" w:type="dxa"/>
            <w:vAlign w:val="center"/>
          </w:tcPr>
          <w:p>
            <w:pPr>
              <w:keepNext w:val="0"/>
              <w:keepLines w:val="0"/>
              <w:suppressLineNumbers w:val="0"/>
              <w:spacing w:before="0" w:beforeAutospacing="0" w:after="0" w:afterAutospacing="0" w:line="560" w:lineRule="exact"/>
              <w:ind w:left="0" w:right="0" w:firstLine="400"/>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安保人员</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人</w:t>
            </w:r>
          </w:p>
        </w:tc>
        <w:tc>
          <w:tcPr>
            <w:tcW w:w="3889" w:type="dxa"/>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rPr>
              <w:t>每天早</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点-2</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点对篮球场进行开馆和闭馆，若有赛事提前和主管部门协调；整理、打扫区域内卫生；看管好区域内的各类设施、器械、消防设备等。</w:t>
            </w:r>
          </w:p>
        </w:tc>
        <w:tc>
          <w:tcPr>
            <w:tcW w:w="1559"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全项目区域</w:t>
            </w:r>
          </w:p>
        </w:tc>
        <w:tc>
          <w:tcPr>
            <w:tcW w:w="1440" w:type="dxa"/>
            <w:vAlign w:val="center"/>
          </w:tcPr>
          <w:p>
            <w:pPr>
              <w:keepNext w:val="0"/>
              <w:keepLines w:val="0"/>
              <w:suppressLineNumbers w:val="0"/>
              <w:spacing w:before="0" w:beforeAutospacing="0" w:after="0" w:afterAutospacing="0" w:line="560" w:lineRule="exact"/>
              <w:ind w:left="0" w:right="0" w:firstLineChars="100"/>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保洁人员</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人</w:t>
            </w:r>
          </w:p>
        </w:tc>
        <w:tc>
          <w:tcPr>
            <w:tcW w:w="3889" w:type="dxa"/>
            <w:vAlign w:val="center"/>
          </w:tcPr>
          <w:p>
            <w:pPr>
              <w:keepNext w:val="0"/>
              <w:keepLines w:val="0"/>
              <w:suppressLineNumbers w:val="0"/>
              <w:spacing w:before="0" w:beforeAutospacing="0" w:after="0" w:afterAutospacing="0" w:line="560" w:lineRule="exact"/>
              <w:ind w:left="0" w:right="0"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对场馆中心健身场地以及办公区域内楼道、公共卫生间及窗户、天花板、灯具、洁具、东、西两侧看台及座椅、楼梯间区域保洁及消毒</w:t>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女性，年龄≤55岁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羽毛球馆</w:t>
            </w:r>
          </w:p>
        </w:tc>
        <w:tc>
          <w:tcPr>
            <w:tcW w:w="1440" w:type="dxa"/>
            <w:vAlign w:val="center"/>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收银</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2人</w:t>
            </w:r>
          </w:p>
        </w:tc>
        <w:tc>
          <w:tcPr>
            <w:tcW w:w="388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严格遵守财务制度，保证做到款账相符、账票相符、账目清楚。</w:t>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女性，年龄≤55岁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配电室</w:t>
            </w:r>
          </w:p>
        </w:tc>
        <w:tc>
          <w:tcPr>
            <w:tcW w:w="1440"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高压电工</w:t>
            </w:r>
          </w:p>
        </w:tc>
        <w:tc>
          <w:tcPr>
            <w:tcW w:w="1056" w:type="dxa"/>
          </w:tcPr>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1人</w:t>
            </w:r>
          </w:p>
        </w:tc>
        <w:tc>
          <w:tcPr>
            <w:tcW w:w="388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身体健康，无妨碍从事相应电工作业的疾病和生理缺陷，无恐高证；</w:t>
            </w: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取得相应电工特种操作证，且在有效期内3年以上相应电工作业工作经验；能熟练运用电工工具，仪器仪表具备一定的维护推修能力</w:t>
            </w:r>
            <w:r>
              <w:rPr>
                <w:rFonts w:asciiTheme="minorEastAsia" w:hAnsiTheme="minorEastAsia" w:eastAsiaTheme="minorEastAsia"/>
                <w:sz w:val="24"/>
                <w:szCs w:val="24"/>
              </w:rPr>
              <w:t>，</w:t>
            </w:r>
            <w:r>
              <w:rPr>
                <w:rFonts w:hint="eastAsia" w:asciiTheme="minorEastAsia" w:hAnsiTheme="minorEastAsia" w:eastAsiaTheme="minorEastAsia"/>
                <w:sz w:val="24"/>
                <w:szCs w:val="24"/>
              </w:rPr>
              <w:t>熟知必要的安全技术知识和停电倒闸操作规论能力</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具备较高的纪律性、责任心、执行能力、语言表达能力。</w:t>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w:t>
            </w:r>
            <w:r>
              <w:rPr>
                <w:rFonts w:asciiTheme="minorEastAsia" w:hAnsiTheme="minorEastAsia" w:eastAsiaTheme="minorEastAsia"/>
                <w:sz w:val="24"/>
                <w:szCs w:val="24"/>
              </w:rPr>
              <w:t>，</w:t>
            </w:r>
            <w:r>
              <w:rPr>
                <w:rFonts w:hint="eastAsia" w:asciiTheme="minorEastAsia" w:hAnsiTheme="minorEastAsia" w:eastAsiaTheme="minorEastAsia"/>
                <w:sz w:val="24"/>
                <w:szCs w:val="24"/>
              </w:rPr>
              <w:t>年龄2</w:t>
            </w:r>
            <w:r>
              <w:rPr>
                <w:rFonts w:asciiTheme="minorEastAsia" w:hAnsiTheme="minorEastAsia" w:eastAsiaTheme="minorEastAsia"/>
                <w:sz w:val="24"/>
                <w:szCs w:val="24"/>
              </w:rPr>
              <w:t>3-</w:t>
            </w:r>
            <w:r>
              <w:rPr>
                <w:rFonts w:hint="eastAsia" w:asciiTheme="minorEastAsia" w:hAnsiTheme="minorEastAsia" w:eastAsiaTheme="minorEastAsia"/>
                <w:sz w:val="24"/>
                <w:szCs w:val="24"/>
              </w:rPr>
              <w:t>60岁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配电室</w:t>
            </w:r>
          </w:p>
        </w:tc>
        <w:tc>
          <w:tcPr>
            <w:tcW w:w="1440" w:type="dxa"/>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低压电工</w:t>
            </w:r>
          </w:p>
        </w:tc>
        <w:tc>
          <w:tcPr>
            <w:tcW w:w="1056" w:type="dxa"/>
          </w:tcPr>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2人</w:t>
            </w:r>
          </w:p>
        </w:tc>
        <w:tc>
          <w:tcPr>
            <w:tcW w:w="388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身体健康，无妨碍从事相应电工作业的疾病和生理缺陷，无恐高证；</w:t>
            </w: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取得相应电工特种操作证，且在有效期内3年以上相应电工作业工作经验；</w:t>
            </w:r>
          </w:p>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能熟练运用电工工具，仪器仪表具备一定的维护推修能力</w:t>
            </w:r>
            <w:r>
              <w:rPr>
                <w:rFonts w:asciiTheme="minorEastAsia" w:hAnsiTheme="minorEastAsia" w:eastAsiaTheme="minorEastAsia"/>
                <w:sz w:val="24"/>
                <w:szCs w:val="24"/>
              </w:rPr>
              <w:t>，</w:t>
            </w:r>
            <w:r>
              <w:rPr>
                <w:rFonts w:hint="eastAsia" w:asciiTheme="minorEastAsia" w:hAnsiTheme="minorEastAsia" w:eastAsiaTheme="minorEastAsia"/>
                <w:sz w:val="24"/>
                <w:szCs w:val="24"/>
              </w:rPr>
              <w:t>熟知必要的安全技术知识和停电倒闸操作规论能力</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具备较高的纪律性、责任心、执行能力、语言表达能力。</w:t>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w:t>
            </w:r>
            <w:r>
              <w:rPr>
                <w:rFonts w:asciiTheme="minorEastAsia" w:hAnsiTheme="minorEastAsia" w:eastAsiaTheme="minorEastAsia"/>
                <w:sz w:val="24"/>
                <w:szCs w:val="24"/>
              </w:rPr>
              <w:t>，</w:t>
            </w:r>
            <w:r>
              <w:rPr>
                <w:rFonts w:hint="eastAsia" w:asciiTheme="minorEastAsia" w:hAnsiTheme="minorEastAsia" w:eastAsiaTheme="minorEastAsia"/>
                <w:sz w:val="24"/>
                <w:szCs w:val="24"/>
              </w:rPr>
              <w:t>年龄2</w:t>
            </w:r>
            <w:r>
              <w:rPr>
                <w:rFonts w:asciiTheme="minorEastAsia" w:hAnsiTheme="minorEastAsia" w:eastAsiaTheme="minorEastAsia"/>
                <w:sz w:val="24"/>
                <w:szCs w:val="24"/>
              </w:rPr>
              <w:t>3-</w:t>
            </w:r>
            <w:r>
              <w:rPr>
                <w:rFonts w:hint="eastAsia" w:asciiTheme="minorEastAsia" w:hAnsiTheme="minorEastAsia" w:eastAsiaTheme="minorEastAsia"/>
                <w:sz w:val="24"/>
                <w:szCs w:val="24"/>
              </w:rPr>
              <w:t>60岁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锅炉房</w:t>
            </w:r>
          </w:p>
        </w:tc>
        <w:tc>
          <w:tcPr>
            <w:tcW w:w="1440" w:type="dxa"/>
            <w:vAlign w:val="center"/>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司炉工</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4人</w:t>
            </w:r>
          </w:p>
        </w:tc>
        <w:tc>
          <w:tcPr>
            <w:tcW w:w="3889" w:type="dxa"/>
            <w:vAlign w:val="center"/>
          </w:tcPr>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身体健康，无身体疾病和传染性疾病。</w:t>
            </w: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具有高中以上的文化程度，必须有司炉操作证，并且从事燃气锅炉操作3年以上。</w:t>
            </w:r>
          </w:p>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有强烈的事业心责任感，无不良嗜好，爱岗敬业，遵纪守法，组织纪律较强。</w:t>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男性，年龄≤5</w:t>
            </w:r>
            <w:r>
              <w:rPr>
                <w:rFonts w:asciiTheme="minorEastAsia" w:hAnsiTheme="minorEastAsia" w:eastAsiaTheme="minorEastAsia"/>
                <w:sz w:val="24"/>
                <w:szCs w:val="24"/>
              </w:rPr>
              <w:t>0</w:t>
            </w:r>
            <w:r>
              <w:rPr>
                <w:rFonts w:hint="eastAsia" w:asciiTheme="minorEastAsia" w:hAnsiTheme="minorEastAsia" w:eastAsiaTheme="minorEastAsia"/>
                <w:sz w:val="24"/>
                <w:szCs w:val="24"/>
              </w:rPr>
              <w:t>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0"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p>
        </w:tc>
        <w:tc>
          <w:tcPr>
            <w:tcW w:w="1440" w:type="dxa"/>
            <w:vAlign w:val="center"/>
          </w:tcPr>
          <w:p>
            <w:pPr>
              <w:keepNext w:val="0"/>
              <w:keepLines w:val="0"/>
              <w:suppressLineNumbers w:val="0"/>
              <w:spacing w:before="0" w:beforeAutospacing="0" w:after="0" w:afterAutospacing="0" w:line="560" w:lineRule="exact"/>
              <w:ind w:left="0" w:righ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水暖工</w:t>
            </w:r>
          </w:p>
        </w:tc>
        <w:tc>
          <w:tcPr>
            <w:tcW w:w="1056"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1人</w:t>
            </w:r>
          </w:p>
        </w:tc>
        <w:tc>
          <w:tcPr>
            <w:tcW w:w="3889" w:type="dxa"/>
            <w:vAlign w:val="center"/>
          </w:tcPr>
          <w:p>
            <w:pPr>
              <w:keepNext w:val="0"/>
              <w:keepLines w:val="0"/>
              <w:suppressLineNumbers w:val="0"/>
              <w:spacing w:before="0" w:beforeAutospacing="0" w:after="0" w:afterAutospacing="0"/>
              <w:ind w:left="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具备一定的设备运行的</w:t>
            </w:r>
            <w:r>
              <w:fldChar w:fldCharType="begin"/>
            </w:r>
            <w:r>
              <w:instrText xml:space="preserve"> HYPERLINK "http://www.so.com/s?q=%E4%B8%93%E4%B8%9A%E7%9F%A5%E8%AF%86&amp;ie=utf-8&amp;src=internal_wenda_recommend_textn" \t "_blank" </w:instrText>
            </w:r>
            <w:r>
              <w:fldChar w:fldCharType="separate"/>
            </w:r>
            <w:r>
              <w:rPr>
                <w:rFonts w:asciiTheme="minorEastAsia" w:hAnsiTheme="minorEastAsia" w:eastAsiaTheme="minorEastAsia"/>
                <w:sz w:val="24"/>
                <w:szCs w:val="24"/>
              </w:rPr>
              <w:t>专业知识</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，熟悉水暖设备工作性能和维修保养</w:t>
            </w:r>
            <w:r>
              <w:fldChar w:fldCharType="begin"/>
            </w:r>
            <w:r>
              <w:instrText xml:space="preserve"> HYPERLINK "http://www.so.com/s?q=%E8%A7%84%E7%A8%8B&amp;ie=utf-8&amp;src=internal_wenda_recommend_textn" \t "_blank" </w:instrText>
            </w:r>
            <w:r>
              <w:fldChar w:fldCharType="separate"/>
            </w:r>
            <w:r>
              <w:rPr>
                <w:rFonts w:asciiTheme="minorEastAsia" w:hAnsiTheme="minorEastAsia" w:eastAsiaTheme="minorEastAsia"/>
                <w:sz w:val="24"/>
                <w:szCs w:val="24"/>
              </w:rPr>
              <w:t>规程</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，熟悉水暖的维修</w:t>
            </w:r>
            <w:r>
              <w:fldChar w:fldCharType="begin"/>
            </w:r>
            <w:r>
              <w:instrText xml:space="preserve"> HYPERLINK "http://www.so.com/s?q=%E6%93%8D%E4%BD%9C%E8%A7%84%E7%A8%8B&amp;ie=utf-8&amp;src=internal_wenda_recommend_textn" \t "_blank" </w:instrText>
            </w:r>
            <w:r>
              <w:fldChar w:fldCharType="separate"/>
            </w:r>
            <w:r>
              <w:rPr>
                <w:rFonts w:asciiTheme="minorEastAsia" w:hAnsiTheme="minorEastAsia" w:eastAsiaTheme="minorEastAsia"/>
                <w:sz w:val="24"/>
                <w:szCs w:val="24"/>
              </w:rPr>
              <w:t>操作规程</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，善于发现问题和总结问题发生规律，杜绝设备发生故障，刻苦钻研业务技术。应符合一专多能的用人要求。有良好</w:t>
            </w:r>
            <w:r>
              <w:fldChar w:fldCharType="begin"/>
            </w:r>
            <w:r>
              <w:instrText xml:space="preserve"> HYPERLINK "http://www.so.com/s?q=%E8%81%8C%E4%B8%9A%E9%81%93%E5%BE%B7&amp;ie=utf-8&amp;src=internal_wenda_recommend_textn" \t "_blank" </w:instrText>
            </w:r>
            <w:r>
              <w:fldChar w:fldCharType="separate"/>
            </w:r>
            <w:r>
              <w:rPr>
                <w:rFonts w:asciiTheme="minorEastAsia" w:hAnsiTheme="minorEastAsia" w:eastAsiaTheme="minorEastAsia"/>
                <w:sz w:val="24"/>
                <w:szCs w:val="24"/>
              </w:rPr>
              <w:t>职业道德</w:t>
            </w:r>
            <w:r>
              <w:rPr>
                <w:rFonts w:asciiTheme="minorEastAsia" w:hAnsiTheme="minorEastAsia" w:eastAsiaTheme="minorEastAsia"/>
                <w:sz w:val="24"/>
                <w:szCs w:val="24"/>
              </w:rPr>
              <w:fldChar w:fldCharType="end"/>
            </w:r>
          </w:p>
        </w:tc>
        <w:tc>
          <w:tcPr>
            <w:tcW w:w="1559" w:type="dxa"/>
            <w:vAlign w:val="center"/>
          </w:tcPr>
          <w:p>
            <w:pPr>
              <w:keepNext w:val="0"/>
              <w:keepLines w:val="0"/>
              <w:suppressLineNumbers w:val="0"/>
              <w:spacing w:before="0" w:beforeAutospacing="0" w:after="0" w:afterAutospacing="0" w:line="560" w:lineRule="exact"/>
              <w:ind w:left="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男性，年龄≤5</w:t>
            </w:r>
            <w:r>
              <w:rPr>
                <w:rFonts w:asciiTheme="minorEastAsia" w:hAnsiTheme="minorEastAsia" w:eastAsiaTheme="minorEastAsia"/>
                <w:sz w:val="24"/>
                <w:szCs w:val="24"/>
              </w:rPr>
              <w:t>5</w:t>
            </w:r>
            <w:r>
              <w:rPr>
                <w:rFonts w:hint="eastAsia" w:asciiTheme="minorEastAsia" w:hAnsiTheme="minorEastAsia" w:eastAsiaTheme="minorEastAsia"/>
                <w:sz w:val="24"/>
                <w:szCs w:val="24"/>
              </w:rPr>
              <w:t>岁</w:t>
            </w:r>
          </w:p>
        </w:tc>
      </w:tr>
    </w:tbl>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三、物业管理的要求及标准。</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1.物业管理公司要有完善的物业管理方案，管理制度健全。</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2.管理人员、专业操作人员按照国家有关规定取得物业管理职业资格证书或者上岗证书。</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3.管理服务人员统一着装、佩戴标志、行为规范、服务主动、热情。</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4.设置服务接待联络人，公示服务电话，各种服务和需求能够及时得到处理。</w:t>
      </w:r>
    </w:p>
    <w:p>
      <w:pPr>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四、报价要求：</w:t>
      </w:r>
    </w:p>
    <w:p>
      <w:pPr>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1.投标人的报价应包含物业管理所产生的所有费用。</w:t>
      </w:r>
    </w:p>
    <w:p>
      <w:pPr>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2.本次招标采用按中标价格一次性包干的方式，投标人所报的价格在中标后应保持不变。</w:t>
      </w:r>
    </w:p>
    <w:p>
      <w:pPr>
        <w:spacing w:line="56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五、物业管理的时间：三年。</w:t>
      </w:r>
    </w:p>
    <w:p>
      <w:pPr>
        <w:spacing w:line="56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六、付款方式：经考核合格，每月支付一次。</w:t>
      </w:r>
    </w:p>
    <w:p>
      <w:pPr>
        <w:spacing w:line="56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七、甲方对于不中标单位不做任何经济补偿，投标单位在竞标过程中的费用自理：本标书条款内容如与日后鉴定的合同</w:t>
      </w:r>
      <w:r>
        <w:rPr>
          <w:rFonts w:hint="eastAsia" w:asciiTheme="minorEastAsia" w:hAnsiTheme="minorEastAsia" w:eastAsiaTheme="minorEastAsia"/>
          <w:sz w:val="24"/>
          <w:szCs w:val="24"/>
          <w:lang w:val="en-US" w:eastAsia="zh-CN"/>
        </w:rPr>
        <w:t>条</w:t>
      </w:r>
      <w:r>
        <w:rPr>
          <w:rFonts w:hint="eastAsia" w:asciiTheme="minorEastAsia" w:hAnsiTheme="minorEastAsia" w:eastAsiaTheme="minorEastAsia"/>
          <w:sz w:val="24"/>
          <w:szCs w:val="24"/>
        </w:rPr>
        <w:t>款不一致时，以合同为准。</w:t>
      </w:r>
    </w:p>
    <w:p>
      <w:pPr>
        <w:spacing w:line="56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物业管理服务标准</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一、保洁绿化工作</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保洁绿化服务实行一体化管理，管理制度落实，环卫设施设备保持完好。保洁人员全面负责场内公共场所及设施设备的清洁和保洁工作，保持公共部位干净整洁，垃圾日产日清，为来场人员提供整洁舒适的环境。</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1.楼道及扶手玻璃保洁</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每日打扫各楼层和楼梯台阶，并拖洗干净，每日收集1次垃圾，每日用干净及消毒的抹布擦抹1次楼梯扶手及玻璃、各层和通道的防火门、消防栓、玻璃箱内侧、灯具、墙面、地脚线、指示牌等公共设施，各梯间墙面，天花板每周除尘2次，每周擦2次楼梯道外墙及门窗玻璃，地面、楼梯间洁净、无污渍、水渍、灰尘、无乱贴乱画、无乱堆乱放、梯间顶面无蜘蛛网、灰尘、地脚线干净无明显灰尘、地面干净无明显灰尘、楼梯道内外玻璃、门窗等要保持明亮、干净。</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2.公共卫生间保洁</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每日对公用卫生间清洁2次（清洁内容包括:通风换气、冲洗洁具、清扫地面垃圾、清倒垃圾篓垃圾、换新的垃圾袋、用洗洁剂清洗大、小便器，用百洁布擦洗洗手盆并冲干净，用毛巾抹墙面、台面、开关、门牌，用毛巾擦干净玻璃、镜面，用拖把拖干净地面，喷洒空气清新剂或香水，小便器内放置香球等项目，每日早上用清洁工具清洁公用卫生间的玻璃镜，每周1次用毛巾擦灯具，每月2次对公用卫生间进行消杀，发现墙壁有字及时清洁，室内无异味、臭味，地面无烟头、纸屑、污渍、积水，天花板、墙面无灰尘、蜘蛛网，墙壁干净、便器洁净无污渍）。</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3.办公区保洁</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每日早上对场馆内教职工办公区的公共区域进行保洁，具体清洁内容包括：通风换气（清扫地面垃圾、清倒垃圾篓垃圾、换新的垃圾袋，地面拖拭）。</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4.垃圾桶保洁</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垃圾桶，每日用抹布抹1次，每周清洗1次，清洗工作集中在指定场地进行，垃圾桶、果皮箱周围地面无散落垃圾、无污水、无明显污迹，垃圾桶、果皮箱无污迹、无油污。</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5.垃圾收集及处理</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每日收集垃圾2次，垃圾日产日清，保洁员回收垃圾桶后应重新铺好新的垃圾袋，铺垃圾袋时将垃圾袋口完全张开，袋口应反在5cm折贴在垃圾箱外沿再盖好垃圾桶盖。</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6.卫生消杀</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夏季对蚊、蝇等每月消杀1次，其他根据季节和实地情况制定具体计划，确保场内工作人员和来场人员安全，有切实可行措施。</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7.雨雪天时，门前（以台阶为界）的积水、积雪应及时清理。</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8.遇有大型活动、临时活动的突击性保洁服务。</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二、保安和车辆管理</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（一）基本要求</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安保人员应按公司规定统一着装、佩戴胸牌、上岗前应整装、仪表仪容整洁端庄、上岗时应佩戴对讲系统、精神饱满、微笑服务。值岗时不准吸期、闲聊、阅读书报、做与保安服务无关的事，不准在厅、堂服务区域内倚墙而立或占用公共、办公设施休息。</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2.值岗时与体育活动人员及其他来馆人员交谈时，应使用文明、规范用语、不得使用“命令”、“要求”类用语及禁语。</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3.对体育活动人员、参观者及其他来场人员需要帮助时，应主动及时提供服务，对访客的询问应热情接待。</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为保障体育场馆中心财产及在场人员的人身安全，安保人员应认真值守，实施正常的公共部位的安全保卫防范性工作，应尽到管理人的重要义务。对突发事件应按各类应急预案迅速做出反应，果断做出适当处理，及时报告甲方保卫处，并做好记录。</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5.认真贯彻“从心出发、用心服务、无微不至、尽善尽美”的服务理念。</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6.加强突发事件的管理。因物业管理不到位产生的损失由乙方承担。</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7.入场人员及物品实行有序管理，不允许携带易燃、易爆、有毒、有害及其他污染物品进入场内。</w:t>
      </w:r>
    </w:p>
    <w:p>
      <w:pPr>
        <w:spacing w:line="5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8.遇下班时间而场内人员未撤离时，保安人员应坚守岗位，直至确认场内无人员滞留，才可关闭大门。</w:t>
      </w:r>
    </w:p>
    <w:p>
      <w:pPr>
        <w:pStyle w:val="148"/>
        <w:rPr>
          <w:rFonts w:hint="eastAsia" w:ascii="宋体" w:hAnsi="宋体" w:cs="宋体"/>
          <w:color w:val="auto"/>
          <w:kern w:val="2"/>
          <w:sz w:val="24"/>
          <w:szCs w:val="24"/>
          <w:lang w:val="en-US" w:eastAsia="zh-CN" w:bidi="ar-SA"/>
        </w:rPr>
      </w:pPr>
    </w:p>
    <w:sectPr>
      <w:headerReference r:id="rId5" w:type="default"/>
      <w:footerReference r:id="rId6" w:type="default"/>
      <w:pgSz w:w="11849" w:h="16781"/>
      <w:pgMar w:top="1440" w:right="1080" w:bottom="1440" w:left="1080" w:header="851" w:footer="992" w:gutter="0"/>
      <w:pgNumType w:start="65"/>
      <w:cols w:space="720" w:num="1"/>
      <w:docGrid w:type="line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6"/>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fill on="f" focussize="0,0"/>
              <v:stroke on="f"/>
              <v:imagedata o:title=""/>
              <o:lock v:ext="edit" aspectratio="f"/>
              <v:textbox inset="0mm,0mm,0mm,0mm" style="mso-fit-shape-to-text:t;">
                <w:txbxContent>
                  <w:p>
                    <w:pPr>
                      <w:pStyle w:val="26"/>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6"/>
                            <w:rPr>
                              <w:rFonts w:ascii="宋体" w:hAnsi="宋体"/>
                              <w:sz w:val="24"/>
                              <w:szCs w:val="24"/>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j1P3bwAEAAGUDAAAOAAAAAAAAAAEAIAAAAB4BAABkcnMvZTJvRG9jLnhtbFBLBQYA&#10;AAAABgAGAFkBAABQBQAAAAA=&#10;">
              <v:fill on="f" focussize="0,0"/>
              <v:stroke on="f"/>
              <v:imagedata o:title=""/>
              <o:lock v:ext="edit" aspectratio="f"/>
              <v:textbox inset="0mm,0mm,0mm,0mm" style="mso-fit-shape-to-text:t;">
                <w:txbxContent>
                  <w:p>
                    <w:pPr>
                      <w:pStyle w:val="26"/>
                      <w:rPr>
                        <w:rFonts w:ascii="宋体" w:hAnsi="宋体"/>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D9EE6"/>
    <w:multiLevelType w:val="singleLevel"/>
    <w:tmpl w:val="825D9EE6"/>
    <w:lvl w:ilvl="0" w:tentative="0">
      <w:start w:val="4"/>
      <w:numFmt w:val="chineseCounting"/>
      <w:suff w:val="nothing"/>
      <w:lvlText w:val="%1、"/>
      <w:lvlJc w:val="left"/>
      <w:rPr>
        <w:rFonts w:hint="eastAsia"/>
      </w:rPr>
    </w:lvl>
  </w:abstractNum>
  <w:abstractNum w:abstractNumId="1">
    <w:nsid w:val="E7B36091"/>
    <w:multiLevelType w:val="singleLevel"/>
    <w:tmpl w:val="E7B36091"/>
    <w:lvl w:ilvl="0" w:tentative="0">
      <w:start w:val="1"/>
      <w:numFmt w:val="chineseCounting"/>
      <w:suff w:val="space"/>
      <w:lvlText w:val="第%1部分"/>
      <w:lvlJc w:val="left"/>
      <w:rPr>
        <w:rFonts w:hint="eastAsia"/>
      </w:rPr>
    </w:lvl>
  </w:abstractNum>
  <w:abstractNum w:abstractNumId="2">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59FC3CC6"/>
    <w:multiLevelType w:val="singleLevel"/>
    <w:tmpl w:val="59FC3CC6"/>
    <w:lvl w:ilvl="0" w:tentative="0">
      <w:start w:val="1"/>
      <w:numFmt w:val="decimal"/>
      <w:suff w:val="nothing"/>
      <w:lvlText w:val="（%1）"/>
      <w:lvlJc w:val="left"/>
    </w:lvl>
  </w:abstractNum>
  <w:abstractNum w:abstractNumId="9">
    <w:nsid w:val="59FC3E95"/>
    <w:multiLevelType w:val="singleLevel"/>
    <w:tmpl w:val="59FC3E95"/>
    <w:lvl w:ilvl="0" w:tentative="0">
      <w:start w:val="1"/>
      <w:numFmt w:val="decimal"/>
      <w:lvlText w:val="(%1)"/>
      <w:lvlJc w:val="left"/>
      <w:pPr>
        <w:tabs>
          <w:tab w:val="left" w:pos="312"/>
        </w:tabs>
      </w:pPr>
    </w:lvl>
  </w:abstractNum>
  <w:abstractNum w:abstractNumId="10">
    <w:nsid w:val="59FC4271"/>
    <w:multiLevelType w:val="singleLevel"/>
    <w:tmpl w:val="59FC4271"/>
    <w:lvl w:ilvl="0" w:tentative="0">
      <w:start w:val="1"/>
      <w:numFmt w:val="decimal"/>
      <w:suff w:val="nothing"/>
      <w:lvlText w:val="（%1）"/>
      <w:lvlJc w:val="left"/>
    </w:lvl>
  </w:abstractNum>
  <w:abstractNum w:abstractNumId="11">
    <w:nsid w:val="59FC4698"/>
    <w:multiLevelType w:val="singleLevel"/>
    <w:tmpl w:val="59FC4698"/>
    <w:lvl w:ilvl="0" w:tentative="0">
      <w:start w:val="1"/>
      <w:numFmt w:val="decimal"/>
      <w:suff w:val="nothing"/>
      <w:lvlText w:val="（%1）"/>
      <w:lvlJc w:val="left"/>
    </w:lvl>
  </w:abstractNum>
  <w:abstractNum w:abstractNumId="12">
    <w:nsid w:val="59FC4CCC"/>
    <w:multiLevelType w:val="singleLevel"/>
    <w:tmpl w:val="59FC4CCC"/>
    <w:lvl w:ilvl="0" w:tentative="0">
      <w:start w:val="1"/>
      <w:numFmt w:val="decimal"/>
      <w:suff w:val="nothing"/>
      <w:lvlText w:val="（%1）"/>
      <w:lvlJc w:val="left"/>
    </w:lvl>
  </w:abstractNum>
  <w:num w:numId="1">
    <w:abstractNumId w:val="1"/>
  </w:num>
  <w:num w:numId="2">
    <w:abstractNumId w:val="8"/>
  </w:num>
  <w:num w:numId="3">
    <w:abstractNumId w:val="9"/>
  </w:num>
  <w:num w:numId="4">
    <w:abstractNumId w:val="10"/>
  </w:num>
  <w:num w:numId="5">
    <w:abstractNumId w:val="1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A5AFC"/>
    <w:rsid w:val="0000061F"/>
    <w:rsid w:val="00012144"/>
    <w:rsid w:val="00021AE1"/>
    <w:rsid w:val="000231BF"/>
    <w:rsid w:val="00026997"/>
    <w:rsid w:val="0003429A"/>
    <w:rsid w:val="00041634"/>
    <w:rsid w:val="00046B5E"/>
    <w:rsid w:val="00050217"/>
    <w:rsid w:val="00051A5A"/>
    <w:rsid w:val="00056556"/>
    <w:rsid w:val="00060B2A"/>
    <w:rsid w:val="00066BD8"/>
    <w:rsid w:val="00067F97"/>
    <w:rsid w:val="00072DFD"/>
    <w:rsid w:val="000748B6"/>
    <w:rsid w:val="000776C3"/>
    <w:rsid w:val="00081EE1"/>
    <w:rsid w:val="000A3656"/>
    <w:rsid w:val="000B294C"/>
    <w:rsid w:val="000C05BA"/>
    <w:rsid w:val="000C583F"/>
    <w:rsid w:val="000C678E"/>
    <w:rsid w:val="000E1313"/>
    <w:rsid w:val="00100854"/>
    <w:rsid w:val="0010470D"/>
    <w:rsid w:val="00123D18"/>
    <w:rsid w:val="00132189"/>
    <w:rsid w:val="00133E48"/>
    <w:rsid w:val="001434F2"/>
    <w:rsid w:val="00152845"/>
    <w:rsid w:val="001549D2"/>
    <w:rsid w:val="0015650F"/>
    <w:rsid w:val="0016459F"/>
    <w:rsid w:val="001732B7"/>
    <w:rsid w:val="00190333"/>
    <w:rsid w:val="001A7DFC"/>
    <w:rsid w:val="001B0098"/>
    <w:rsid w:val="001B050A"/>
    <w:rsid w:val="001B6193"/>
    <w:rsid w:val="001D439F"/>
    <w:rsid w:val="001E4837"/>
    <w:rsid w:val="0020290E"/>
    <w:rsid w:val="002112AF"/>
    <w:rsid w:val="00212783"/>
    <w:rsid w:val="00224393"/>
    <w:rsid w:val="00230D54"/>
    <w:rsid w:val="00231ED5"/>
    <w:rsid w:val="00231FF7"/>
    <w:rsid w:val="00232107"/>
    <w:rsid w:val="002376A0"/>
    <w:rsid w:val="0024019D"/>
    <w:rsid w:val="00240973"/>
    <w:rsid w:val="00242CA5"/>
    <w:rsid w:val="00246461"/>
    <w:rsid w:val="002544A0"/>
    <w:rsid w:val="002555FC"/>
    <w:rsid w:val="002624F1"/>
    <w:rsid w:val="002628C8"/>
    <w:rsid w:val="00266D29"/>
    <w:rsid w:val="00273334"/>
    <w:rsid w:val="0029029D"/>
    <w:rsid w:val="00295D78"/>
    <w:rsid w:val="002977AF"/>
    <w:rsid w:val="002A23F8"/>
    <w:rsid w:val="002A26AC"/>
    <w:rsid w:val="002A3833"/>
    <w:rsid w:val="002B4075"/>
    <w:rsid w:val="002B6EA4"/>
    <w:rsid w:val="002B7F8C"/>
    <w:rsid w:val="002C1E88"/>
    <w:rsid w:val="002C2540"/>
    <w:rsid w:val="002C2F7D"/>
    <w:rsid w:val="002C505C"/>
    <w:rsid w:val="002E5DB5"/>
    <w:rsid w:val="002E7E86"/>
    <w:rsid w:val="00320B8A"/>
    <w:rsid w:val="0032122F"/>
    <w:rsid w:val="003236D5"/>
    <w:rsid w:val="00323EBB"/>
    <w:rsid w:val="003245CF"/>
    <w:rsid w:val="003271CC"/>
    <w:rsid w:val="003320BE"/>
    <w:rsid w:val="00355615"/>
    <w:rsid w:val="00357574"/>
    <w:rsid w:val="00360700"/>
    <w:rsid w:val="0036693C"/>
    <w:rsid w:val="00367F10"/>
    <w:rsid w:val="003818C0"/>
    <w:rsid w:val="00393493"/>
    <w:rsid w:val="003947BE"/>
    <w:rsid w:val="003B051E"/>
    <w:rsid w:val="003B061D"/>
    <w:rsid w:val="003B1B4A"/>
    <w:rsid w:val="003D2021"/>
    <w:rsid w:val="003D368E"/>
    <w:rsid w:val="003D3EE9"/>
    <w:rsid w:val="003F0E27"/>
    <w:rsid w:val="003F21BD"/>
    <w:rsid w:val="0040313D"/>
    <w:rsid w:val="00403DB7"/>
    <w:rsid w:val="004079EC"/>
    <w:rsid w:val="00412F67"/>
    <w:rsid w:val="00415C01"/>
    <w:rsid w:val="004209D1"/>
    <w:rsid w:val="00422236"/>
    <w:rsid w:val="00422B4F"/>
    <w:rsid w:val="004269F0"/>
    <w:rsid w:val="00431107"/>
    <w:rsid w:val="00440331"/>
    <w:rsid w:val="0045180D"/>
    <w:rsid w:val="00460F86"/>
    <w:rsid w:val="0047072C"/>
    <w:rsid w:val="00485DFE"/>
    <w:rsid w:val="00490C32"/>
    <w:rsid w:val="00494614"/>
    <w:rsid w:val="00494B8B"/>
    <w:rsid w:val="00495A86"/>
    <w:rsid w:val="00495EF2"/>
    <w:rsid w:val="004B575C"/>
    <w:rsid w:val="004B700D"/>
    <w:rsid w:val="004D0909"/>
    <w:rsid w:val="004E1EE5"/>
    <w:rsid w:val="004E217B"/>
    <w:rsid w:val="004E2E25"/>
    <w:rsid w:val="004E7EAC"/>
    <w:rsid w:val="004F35DF"/>
    <w:rsid w:val="004F72DE"/>
    <w:rsid w:val="0050123D"/>
    <w:rsid w:val="00510839"/>
    <w:rsid w:val="0051092F"/>
    <w:rsid w:val="005216A9"/>
    <w:rsid w:val="0052529F"/>
    <w:rsid w:val="005304AB"/>
    <w:rsid w:val="00532D59"/>
    <w:rsid w:val="0053542A"/>
    <w:rsid w:val="00543012"/>
    <w:rsid w:val="005432B0"/>
    <w:rsid w:val="00546F91"/>
    <w:rsid w:val="00555763"/>
    <w:rsid w:val="00560906"/>
    <w:rsid w:val="005651D0"/>
    <w:rsid w:val="0057200C"/>
    <w:rsid w:val="00572F57"/>
    <w:rsid w:val="00581FEB"/>
    <w:rsid w:val="005963DF"/>
    <w:rsid w:val="005B26A2"/>
    <w:rsid w:val="005D6182"/>
    <w:rsid w:val="005D6870"/>
    <w:rsid w:val="005F5100"/>
    <w:rsid w:val="0061198B"/>
    <w:rsid w:val="00615B32"/>
    <w:rsid w:val="006331B6"/>
    <w:rsid w:val="006335EC"/>
    <w:rsid w:val="00634B5F"/>
    <w:rsid w:val="00635987"/>
    <w:rsid w:val="00637162"/>
    <w:rsid w:val="006427EC"/>
    <w:rsid w:val="00662136"/>
    <w:rsid w:val="00670975"/>
    <w:rsid w:val="00680281"/>
    <w:rsid w:val="00686B5F"/>
    <w:rsid w:val="00696E62"/>
    <w:rsid w:val="006B22AB"/>
    <w:rsid w:val="006B6DD7"/>
    <w:rsid w:val="006C0799"/>
    <w:rsid w:val="006C2D39"/>
    <w:rsid w:val="006C5F9A"/>
    <w:rsid w:val="006D0CD5"/>
    <w:rsid w:val="006D337C"/>
    <w:rsid w:val="006D68AA"/>
    <w:rsid w:val="006E3CF0"/>
    <w:rsid w:val="006E7CD8"/>
    <w:rsid w:val="007079C4"/>
    <w:rsid w:val="00712DA8"/>
    <w:rsid w:val="00721D0C"/>
    <w:rsid w:val="007271F7"/>
    <w:rsid w:val="007309B5"/>
    <w:rsid w:val="00733ACA"/>
    <w:rsid w:val="0073513D"/>
    <w:rsid w:val="007408F6"/>
    <w:rsid w:val="00742231"/>
    <w:rsid w:val="00743D98"/>
    <w:rsid w:val="00761E2C"/>
    <w:rsid w:val="00771A22"/>
    <w:rsid w:val="007A4049"/>
    <w:rsid w:val="007B2403"/>
    <w:rsid w:val="007C5071"/>
    <w:rsid w:val="007D3D37"/>
    <w:rsid w:val="007D4D7D"/>
    <w:rsid w:val="007D6762"/>
    <w:rsid w:val="007D6B10"/>
    <w:rsid w:val="007E6F99"/>
    <w:rsid w:val="007F2EF6"/>
    <w:rsid w:val="008000ED"/>
    <w:rsid w:val="008028B6"/>
    <w:rsid w:val="008105A0"/>
    <w:rsid w:val="00815447"/>
    <w:rsid w:val="00817761"/>
    <w:rsid w:val="0081788C"/>
    <w:rsid w:val="0082228C"/>
    <w:rsid w:val="008232E6"/>
    <w:rsid w:val="00825737"/>
    <w:rsid w:val="008258BA"/>
    <w:rsid w:val="008356B4"/>
    <w:rsid w:val="008372C4"/>
    <w:rsid w:val="008547EF"/>
    <w:rsid w:val="00855B9B"/>
    <w:rsid w:val="008636EE"/>
    <w:rsid w:val="00865349"/>
    <w:rsid w:val="008662CD"/>
    <w:rsid w:val="00867990"/>
    <w:rsid w:val="00870186"/>
    <w:rsid w:val="00870EAD"/>
    <w:rsid w:val="00874236"/>
    <w:rsid w:val="00874406"/>
    <w:rsid w:val="00876CFF"/>
    <w:rsid w:val="00886E44"/>
    <w:rsid w:val="00893188"/>
    <w:rsid w:val="008966AD"/>
    <w:rsid w:val="008A3CF4"/>
    <w:rsid w:val="008A483C"/>
    <w:rsid w:val="008B5389"/>
    <w:rsid w:val="008B6BF2"/>
    <w:rsid w:val="008D0023"/>
    <w:rsid w:val="008D2CEE"/>
    <w:rsid w:val="008E6844"/>
    <w:rsid w:val="008E6A7B"/>
    <w:rsid w:val="008F27C1"/>
    <w:rsid w:val="008F5B80"/>
    <w:rsid w:val="00902985"/>
    <w:rsid w:val="00902A27"/>
    <w:rsid w:val="009069E8"/>
    <w:rsid w:val="00906D86"/>
    <w:rsid w:val="009370BF"/>
    <w:rsid w:val="00945A9F"/>
    <w:rsid w:val="009525F9"/>
    <w:rsid w:val="00960812"/>
    <w:rsid w:val="00973860"/>
    <w:rsid w:val="00975D4B"/>
    <w:rsid w:val="00982AB3"/>
    <w:rsid w:val="00987A24"/>
    <w:rsid w:val="00990B34"/>
    <w:rsid w:val="009A28BF"/>
    <w:rsid w:val="009B4BD2"/>
    <w:rsid w:val="009B6082"/>
    <w:rsid w:val="009C2A54"/>
    <w:rsid w:val="009C3E19"/>
    <w:rsid w:val="009C6488"/>
    <w:rsid w:val="009E1524"/>
    <w:rsid w:val="009E581A"/>
    <w:rsid w:val="00A07EF4"/>
    <w:rsid w:val="00A263B6"/>
    <w:rsid w:val="00A42E2B"/>
    <w:rsid w:val="00A6151B"/>
    <w:rsid w:val="00A73D0B"/>
    <w:rsid w:val="00A82267"/>
    <w:rsid w:val="00A8742C"/>
    <w:rsid w:val="00A94710"/>
    <w:rsid w:val="00A967C4"/>
    <w:rsid w:val="00AA4ED9"/>
    <w:rsid w:val="00AB0088"/>
    <w:rsid w:val="00AD0125"/>
    <w:rsid w:val="00AE085E"/>
    <w:rsid w:val="00AE2D7F"/>
    <w:rsid w:val="00B259D8"/>
    <w:rsid w:val="00B3601A"/>
    <w:rsid w:val="00B43046"/>
    <w:rsid w:val="00B44712"/>
    <w:rsid w:val="00B47078"/>
    <w:rsid w:val="00B51E0E"/>
    <w:rsid w:val="00B51EEC"/>
    <w:rsid w:val="00B55B30"/>
    <w:rsid w:val="00B63D85"/>
    <w:rsid w:val="00B71398"/>
    <w:rsid w:val="00B727F1"/>
    <w:rsid w:val="00B74DFF"/>
    <w:rsid w:val="00B7680E"/>
    <w:rsid w:val="00B92C40"/>
    <w:rsid w:val="00BC206B"/>
    <w:rsid w:val="00BD023B"/>
    <w:rsid w:val="00BD1E02"/>
    <w:rsid w:val="00BD24E5"/>
    <w:rsid w:val="00BD3F91"/>
    <w:rsid w:val="00BE1389"/>
    <w:rsid w:val="00BE6DE8"/>
    <w:rsid w:val="00BF3BB6"/>
    <w:rsid w:val="00BF71D2"/>
    <w:rsid w:val="00C00687"/>
    <w:rsid w:val="00C03BD9"/>
    <w:rsid w:val="00C07143"/>
    <w:rsid w:val="00C10F1B"/>
    <w:rsid w:val="00C25D99"/>
    <w:rsid w:val="00C274F0"/>
    <w:rsid w:val="00C44D9E"/>
    <w:rsid w:val="00C57876"/>
    <w:rsid w:val="00C63459"/>
    <w:rsid w:val="00C64A22"/>
    <w:rsid w:val="00C65963"/>
    <w:rsid w:val="00C65FDC"/>
    <w:rsid w:val="00C71D29"/>
    <w:rsid w:val="00C80585"/>
    <w:rsid w:val="00CA2C45"/>
    <w:rsid w:val="00CB0381"/>
    <w:rsid w:val="00CB4277"/>
    <w:rsid w:val="00CB5945"/>
    <w:rsid w:val="00CC14FF"/>
    <w:rsid w:val="00CC221D"/>
    <w:rsid w:val="00CC233C"/>
    <w:rsid w:val="00CD5522"/>
    <w:rsid w:val="00CF22BE"/>
    <w:rsid w:val="00CF3F09"/>
    <w:rsid w:val="00D062F3"/>
    <w:rsid w:val="00D1121B"/>
    <w:rsid w:val="00D23CF6"/>
    <w:rsid w:val="00D32B25"/>
    <w:rsid w:val="00D33241"/>
    <w:rsid w:val="00D37A0F"/>
    <w:rsid w:val="00D42C12"/>
    <w:rsid w:val="00D43352"/>
    <w:rsid w:val="00D574CE"/>
    <w:rsid w:val="00D605D6"/>
    <w:rsid w:val="00D67DD3"/>
    <w:rsid w:val="00D7084D"/>
    <w:rsid w:val="00D72D2A"/>
    <w:rsid w:val="00D871A0"/>
    <w:rsid w:val="00D87910"/>
    <w:rsid w:val="00D97785"/>
    <w:rsid w:val="00DA4ABB"/>
    <w:rsid w:val="00DB2C99"/>
    <w:rsid w:val="00DB4277"/>
    <w:rsid w:val="00DC11D1"/>
    <w:rsid w:val="00DC3967"/>
    <w:rsid w:val="00DC604A"/>
    <w:rsid w:val="00DD15EF"/>
    <w:rsid w:val="00DD20E4"/>
    <w:rsid w:val="00DE0923"/>
    <w:rsid w:val="00DE30EB"/>
    <w:rsid w:val="00DE613F"/>
    <w:rsid w:val="00DE6DC7"/>
    <w:rsid w:val="00DF0244"/>
    <w:rsid w:val="00DF7BB7"/>
    <w:rsid w:val="00E06AA8"/>
    <w:rsid w:val="00E17D98"/>
    <w:rsid w:val="00E278BF"/>
    <w:rsid w:val="00E31FB6"/>
    <w:rsid w:val="00E35BC0"/>
    <w:rsid w:val="00E4045C"/>
    <w:rsid w:val="00E40A51"/>
    <w:rsid w:val="00E436EE"/>
    <w:rsid w:val="00E43D39"/>
    <w:rsid w:val="00E44C2D"/>
    <w:rsid w:val="00E45F15"/>
    <w:rsid w:val="00E51AF3"/>
    <w:rsid w:val="00E620F4"/>
    <w:rsid w:val="00E65643"/>
    <w:rsid w:val="00E72982"/>
    <w:rsid w:val="00E752B8"/>
    <w:rsid w:val="00E80319"/>
    <w:rsid w:val="00E84AF7"/>
    <w:rsid w:val="00EA0183"/>
    <w:rsid w:val="00EA0DDE"/>
    <w:rsid w:val="00EA593F"/>
    <w:rsid w:val="00EA64BF"/>
    <w:rsid w:val="00EB7ABC"/>
    <w:rsid w:val="00EC2AAF"/>
    <w:rsid w:val="00ED2977"/>
    <w:rsid w:val="00ED7393"/>
    <w:rsid w:val="00EE002D"/>
    <w:rsid w:val="00EF27B5"/>
    <w:rsid w:val="00EF7E66"/>
    <w:rsid w:val="00F11B23"/>
    <w:rsid w:val="00F127BA"/>
    <w:rsid w:val="00F155BE"/>
    <w:rsid w:val="00F1685A"/>
    <w:rsid w:val="00F22248"/>
    <w:rsid w:val="00F253C4"/>
    <w:rsid w:val="00F40531"/>
    <w:rsid w:val="00F443AF"/>
    <w:rsid w:val="00F47076"/>
    <w:rsid w:val="00F57660"/>
    <w:rsid w:val="00F644B1"/>
    <w:rsid w:val="00F673CA"/>
    <w:rsid w:val="00F72DA1"/>
    <w:rsid w:val="00F90818"/>
    <w:rsid w:val="00F926E2"/>
    <w:rsid w:val="00F932B5"/>
    <w:rsid w:val="00F97A17"/>
    <w:rsid w:val="00FA1E81"/>
    <w:rsid w:val="00FC3091"/>
    <w:rsid w:val="00FC673C"/>
    <w:rsid w:val="00FD2013"/>
    <w:rsid w:val="00FD2116"/>
    <w:rsid w:val="00FD5D82"/>
    <w:rsid w:val="00FE7F1F"/>
    <w:rsid w:val="00FF4D82"/>
    <w:rsid w:val="00FF59E5"/>
    <w:rsid w:val="010A019A"/>
    <w:rsid w:val="01273516"/>
    <w:rsid w:val="0137026D"/>
    <w:rsid w:val="013C3678"/>
    <w:rsid w:val="014C3D09"/>
    <w:rsid w:val="015F4515"/>
    <w:rsid w:val="016169A2"/>
    <w:rsid w:val="016D55A5"/>
    <w:rsid w:val="0196508D"/>
    <w:rsid w:val="019C0451"/>
    <w:rsid w:val="019C0A90"/>
    <w:rsid w:val="01BF6F43"/>
    <w:rsid w:val="01C72D2A"/>
    <w:rsid w:val="01CA1308"/>
    <w:rsid w:val="01D56282"/>
    <w:rsid w:val="01E652AC"/>
    <w:rsid w:val="01EF4A38"/>
    <w:rsid w:val="01F409B2"/>
    <w:rsid w:val="020D435C"/>
    <w:rsid w:val="02126902"/>
    <w:rsid w:val="02174893"/>
    <w:rsid w:val="021B73D2"/>
    <w:rsid w:val="024338C0"/>
    <w:rsid w:val="024C2BFA"/>
    <w:rsid w:val="0267161A"/>
    <w:rsid w:val="02803722"/>
    <w:rsid w:val="02AE2925"/>
    <w:rsid w:val="02CD09AE"/>
    <w:rsid w:val="02E22E9E"/>
    <w:rsid w:val="02F12417"/>
    <w:rsid w:val="031A0EA6"/>
    <w:rsid w:val="033B1BAB"/>
    <w:rsid w:val="0352495B"/>
    <w:rsid w:val="036F2CEE"/>
    <w:rsid w:val="039D478D"/>
    <w:rsid w:val="03A13258"/>
    <w:rsid w:val="03B221B3"/>
    <w:rsid w:val="03B70BE5"/>
    <w:rsid w:val="03BF2F5B"/>
    <w:rsid w:val="03CF7285"/>
    <w:rsid w:val="03D01965"/>
    <w:rsid w:val="03E3595E"/>
    <w:rsid w:val="04044A40"/>
    <w:rsid w:val="041A1298"/>
    <w:rsid w:val="04230EEB"/>
    <w:rsid w:val="04251D58"/>
    <w:rsid w:val="0435550D"/>
    <w:rsid w:val="043D244D"/>
    <w:rsid w:val="043D535A"/>
    <w:rsid w:val="044B2DE8"/>
    <w:rsid w:val="04675484"/>
    <w:rsid w:val="046F377D"/>
    <w:rsid w:val="04716783"/>
    <w:rsid w:val="04747A39"/>
    <w:rsid w:val="04921636"/>
    <w:rsid w:val="04BC5E8D"/>
    <w:rsid w:val="04BF5642"/>
    <w:rsid w:val="04CC0F55"/>
    <w:rsid w:val="05116153"/>
    <w:rsid w:val="05232E3B"/>
    <w:rsid w:val="052A3FA5"/>
    <w:rsid w:val="053168C5"/>
    <w:rsid w:val="055402B9"/>
    <w:rsid w:val="05663EE5"/>
    <w:rsid w:val="056B67FA"/>
    <w:rsid w:val="0577062D"/>
    <w:rsid w:val="057D7922"/>
    <w:rsid w:val="05907DC4"/>
    <w:rsid w:val="05950804"/>
    <w:rsid w:val="05953703"/>
    <w:rsid w:val="05984BF9"/>
    <w:rsid w:val="05A57515"/>
    <w:rsid w:val="05C4544F"/>
    <w:rsid w:val="05DA3412"/>
    <w:rsid w:val="05DD3001"/>
    <w:rsid w:val="05DD4318"/>
    <w:rsid w:val="05DE60B5"/>
    <w:rsid w:val="05E8460A"/>
    <w:rsid w:val="05F55B8E"/>
    <w:rsid w:val="0610773F"/>
    <w:rsid w:val="06151245"/>
    <w:rsid w:val="06247CFB"/>
    <w:rsid w:val="065B469A"/>
    <w:rsid w:val="06622D12"/>
    <w:rsid w:val="067222AC"/>
    <w:rsid w:val="06792972"/>
    <w:rsid w:val="06AF0201"/>
    <w:rsid w:val="06C244C1"/>
    <w:rsid w:val="06CB61DF"/>
    <w:rsid w:val="06DC35C0"/>
    <w:rsid w:val="06E45E95"/>
    <w:rsid w:val="0710575A"/>
    <w:rsid w:val="07111D8B"/>
    <w:rsid w:val="071A7A75"/>
    <w:rsid w:val="071E2650"/>
    <w:rsid w:val="072622C6"/>
    <w:rsid w:val="072F3611"/>
    <w:rsid w:val="073646DB"/>
    <w:rsid w:val="07376B02"/>
    <w:rsid w:val="074579F7"/>
    <w:rsid w:val="074F13DA"/>
    <w:rsid w:val="075C4D75"/>
    <w:rsid w:val="076456C8"/>
    <w:rsid w:val="077B628B"/>
    <w:rsid w:val="07A91A5E"/>
    <w:rsid w:val="07B13E1A"/>
    <w:rsid w:val="07C20CA6"/>
    <w:rsid w:val="07D457EF"/>
    <w:rsid w:val="07EB4C7B"/>
    <w:rsid w:val="07F25147"/>
    <w:rsid w:val="080D2D34"/>
    <w:rsid w:val="081308D6"/>
    <w:rsid w:val="08153DE0"/>
    <w:rsid w:val="08156CDC"/>
    <w:rsid w:val="082450CB"/>
    <w:rsid w:val="083127E3"/>
    <w:rsid w:val="08332C8B"/>
    <w:rsid w:val="083D36A2"/>
    <w:rsid w:val="0850452F"/>
    <w:rsid w:val="08645CD0"/>
    <w:rsid w:val="08782472"/>
    <w:rsid w:val="08887A5C"/>
    <w:rsid w:val="089869F5"/>
    <w:rsid w:val="089D1EC8"/>
    <w:rsid w:val="08A776BA"/>
    <w:rsid w:val="08AC0D40"/>
    <w:rsid w:val="08B4059E"/>
    <w:rsid w:val="08CE2C7B"/>
    <w:rsid w:val="08EB3D1E"/>
    <w:rsid w:val="08FB71D3"/>
    <w:rsid w:val="09003123"/>
    <w:rsid w:val="09266801"/>
    <w:rsid w:val="092A0426"/>
    <w:rsid w:val="093D1B5A"/>
    <w:rsid w:val="096F1352"/>
    <w:rsid w:val="099207C2"/>
    <w:rsid w:val="09AD756F"/>
    <w:rsid w:val="09C50FDE"/>
    <w:rsid w:val="09C97478"/>
    <w:rsid w:val="09D274CF"/>
    <w:rsid w:val="0A0C3CE4"/>
    <w:rsid w:val="0A173FEC"/>
    <w:rsid w:val="0A221EB6"/>
    <w:rsid w:val="0A6C7433"/>
    <w:rsid w:val="0A894B8A"/>
    <w:rsid w:val="0AAA1FC2"/>
    <w:rsid w:val="0AB31AC4"/>
    <w:rsid w:val="0ABB4012"/>
    <w:rsid w:val="0ACA2C61"/>
    <w:rsid w:val="0AD65434"/>
    <w:rsid w:val="0AF06AAE"/>
    <w:rsid w:val="0AFE1821"/>
    <w:rsid w:val="0B08344C"/>
    <w:rsid w:val="0B0975DC"/>
    <w:rsid w:val="0B425C83"/>
    <w:rsid w:val="0B655074"/>
    <w:rsid w:val="0B8B384D"/>
    <w:rsid w:val="0B8D15E3"/>
    <w:rsid w:val="0B934EBB"/>
    <w:rsid w:val="0BAF075C"/>
    <w:rsid w:val="0BC345CF"/>
    <w:rsid w:val="0BCF047F"/>
    <w:rsid w:val="0BD202AB"/>
    <w:rsid w:val="0BE7744D"/>
    <w:rsid w:val="0BFB6255"/>
    <w:rsid w:val="0C0B22A3"/>
    <w:rsid w:val="0C236EED"/>
    <w:rsid w:val="0C4E35A6"/>
    <w:rsid w:val="0C85743E"/>
    <w:rsid w:val="0C8823B8"/>
    <w:rsid w:val="0C894842"/>
    <w:rsid w:val="0CB7105D"/>
    <w:rsid w:val="0CB902FC"/>
    <w:rsid w:val="0CC704A4"/>
    <w:rsid w:val="0CD15AE8"/>
    <w:rsid w:val="0CEA67E7"/>
    <w:rsid w:val="0CF54765"/>
    <w:rsid w:val="0CF9700F"/>
    <w:rsid w:val="0D02787B"/>
    <w:rsid w:val="0D0E1513"/>
    <w:rsid w:val="0D333D66"/>
    <w:rsid w:val="0D3668A3"/>
    <w:rsid w:val="0D4352A0"/>
    <w:rsid w:val="0D864924"/>
    <w:rsid w:val="0D9A581A"/>
    <w:rsid w:val="0DA109BA"/>
    <w:rsid w:val="0DA75DD7"/>
    <w:rsid w:val="0DB77EC3"/>
    <w:rsid w:val="0DC333A0"/>
    <w:rsid w:val="0DC418A8"/>
    <w:rsid w:val="0DE72787"/>
    <w:rsid w:val="0DFB1B37"/>
    <w:rsid w:val="0E204B45"/>
    <w:rsid w:val="0E3D3BD9"/>
    <w:rsid w:val="0E4305E2"/>
    <w:rsid w:val="0E436DCB"/>
    <w:rsid w:val="0E4C0D5E"/>
    <w:rsid w:val="0E575D75"/>
    <w:rsid w:val="0E603293"/>
    <w:rsid w:val="0E6268FB"/>
    <w:rsid w:val="0E7538D3"/>
    <w:rsid w:val="0E880C5A"/>
    <w:rsid w:val="0E88149B"/>
    <w:rsid w:val="0EA54319"/>
    <w:rsid w:val="0EA805AB"/>
    <w:rsid w:val="0EAB4324"/>
    <w:rsid w:val="0EBA29E8"/>
    <w:rsid w:val="0EC20462"/>
    <w:rsid w:val="0EEC73B4"/>
    <w:rsid w:val="0EF92B43"/>
    <w:rsid w:val="0F220E0B"/>
    <w:rsid w:val="0F2B13B9"/>
    <w:rsid w:val="0F2B3E42"/>
    <w:rsid w:val="0F406BCF"/>
    <w:rsid w:val="0F483489"/>
    <w:rsid w:val="0F712D39"/>
    <w:rsid w:val="0FA307FC"/>
    <w:rsid w:val="0FAA7BF1"/>
    <w:rsid w:val="0FB57779"/>
    <w:rsid w:val="101E22B6"/>
    <w:rsid w:val="10311BFE"/>
    <w:rsid w:val="103D1D50"/>
    <w:rsid w:val="104A57BC"/>
    <w:rsid w:val="104E7F93"/>
    <w:rsid w:val="10562BCF"/>
    <w:rsid w:val="10642EA6"/>
    <w:rsid w:val="1076075A"/>
    <w:rsid w:val="107A571B"/>
    <w:rsid w:val="107E57FC"/>
    <w:rsid w:val="10824600"/>
    <w:rsid w:val="10A831ED"/>
    <w:rsid w:val="10CA3276"/>
    <w:rsid w:val="10CD7F6C"/>
    <w:rsid w:val="10D14C36"/>
    <w:rsid w:val="10EB73D0"/>
    <w:rsid w:val="110722B4"/>
    <w:rsid w:val="11076924"/>
    <w:rsid w:val="111D2EB4"/>
    <w:rsid w:val="112A6BDF"/>
    <w:rsid w:val="113513B2"/>
    <w:rsid w:val="114460DE"/>
    <w:rsid w:val="114F2252"/>
    <w:rsid w:val="11713DAD"/>
    <w:rsid w:val="1176416F"/>
    <w:rsid w:val="11991CC6"/>
    <w:rsid w:val="11A34CDC"/>
    <w:rsid w:val="11A426AC"/>
    <w:rsid w:val="11D23B76"/>
    <w:rsid w:val="11D3458E"/>
    <w:rsid w:val="11D73034"/>
    <w:rsid w:val="11DC5CD0"/>
    <w:rsid w:val="120221ED"/>
    <w:rsid w:val="12155872"/>
    <w:rsid w:val="121B1E16"/>
    <w:rsid w:val="122443F1"/>
    <w:rsid w:val="123C5E5C"/>
    <w:rsid w:val="12467280"/>
    <w:rsid w:val="125933B4"/>
    <w:rsid w:val="1271262B"/>
    <w:rsid w:val="12810278"/>
    <w:rsid w:val="128F4F62"/>
    <w:rsid w:val="12B51C9F"/>
    <w:rsid w:val="13131965"/>
    <w:rsid w:val="131C1211"/>
    <w:rsid w:val="13283DB3"/>
    <w:rsid w:val="13331777"/>
    <w:rsid w:val="13380794"/>
    <w:rsid w:val="133F5A39"/>
    <w:rsid w:val="134B15B0"/>
    <w:rsid w:val="13551AE8"/>
    <w:rsid w:val="137A3B61"/>
    <w:rsid w:val="139C6976"/>
    <w:rsid w:val="13C06237"/>
    <w:rsid w:val="13E24662"/>
    <w:rsid w:val="13E75AE7"/>
    <w:rsid w:val="14101A49"/>
    <w:rsid w:val="14483329"/>
    <w:rsid w:val="14553CF3"/>
    <w:rsid w:val="145B37DC"/>
    <w:rsid w:val="148F49C5"/>
    <w:rsid w:val="14955B9A"/>
    <w:rsid w:val="14A924FA"/>
    <w:rsid w:val="14AF32D5"/>
    <w:rsid w:val="14CF0E37"/>
    <w:rsid w:val="14DE53FA"/>
    <w:rsid w:val="14FC1AE3"/>
    <w:rsid w:val="150E5986"/>
    <w:rsid w:val="1514615C"/>
    <w:rsid w:val="152E074B"/>
    <w:rsid w:val="15382A1E"/>
    <w:rsid w:val="154447A7"/>
    <w:rsid w:val="154A72CE"/>
    <w:rsid w:val="154E5705"/>
    <w:rsid w:val="15557CE9"/>
    <w:rsid w:val="155A4ED5"/>
    <w:rsid w:val="1563574D"/>
    <w:rsid w:val="15A35ACD"/>
    <w:rsid w:val="15CB25F6"/>
    <w:rsid w:val="15D25CA0"/>
    <w:rsid w:val="15D51B61"/>
    <w:rsid w:val="15EA5080"/>
    <w:rsid w:val="15F34148"/>
    <w:rsid w:val="161F4602"/>
    <w:rsid w:val="162848FB"/>
    <w:rsid w:val="16680083"/>
    <w:rsid w:val="16702618"/>
    <w:rsid w:val="169B16BB"/>
    <w:rsid w:val="16AC693B"/>
    <w:rsid w:val="16CA4648"/>
    <w:rsid w:val="16CC1714"/>
    <w:rsid w:val="16D51DF4"/>
    <w:rsid w:val="16ED59AE"/>
    <w:rsid w:val="16FE3D19"/>
    <w:rsid w:val="17280D1A"/>
    <w:rsid w:val="17344682"/>
    <w:rsid w:val="177638FC"/>
    <w:rsid w:val="17804912"/>
    <w:rsid w:val="178164E8"/>
    <w:rsid w:val="17C2241A"/>
    <w:rsid w:val="17C63968"/>
    <w:rsid w:val="17E40D28"/>
    <w:rsid w:val="17F95AF1"/>
    <w:rsid w:val="17FF3297"/>
    <w:rsid w:val="18057DCF"/>
    <w:rsid w:val="18100A4D"/>
    <w:rsid w:val="18173C91"/>
    <w:rsid w:val="18330818"/>
    <w:rsid w:val="184576EE"/>
    <w:rsid w:val="185D10B6"/>
    <w:rsid w:val="187B6EF2"/>
    <w:rsid w:val="188100A0"/>
    <w:rsid w:val="18A32C02"/>
    <w:rsid w:val="18B23DF2"/>
    <w:rsid w:val="18CF4439"/>
    <w:rsid w:val="18DC2A1E"/>
    <w:rsid w:val="190C29CE"/>
    <w:rsid w:val="191A7D82"/>
    <w:rsid w:val="192D5BEF"/>
    <w:rsid w:val="19574780"/>
    <w:rsid w:val="195D6CB6"/>
    <w:rsid w:val="196A7801"/>
    <w:rsid w:val="19711802"/>
    <w:rsid w:val="19736D05"/>
    <w:rsid w:val="197C077C"/>
    <w:rsid w:val="19C3227B"/>
    <w:rsid w:val="19D0507C"/>
    <w:rsid w:val="19DC2783"/>
    <w:rsid w:val="19DD232E"/>
    <w:rsid w:val="19DE7061"/>
    <w:rsid w:val="19E01DF1"/>
    <w:rsid w:val="1A001DE3"/>
    <w:rsid w:val="1A0E4886"/>
    <w:rsid w:val="1A2143F7"/>
    <w:rsid w:val="1A2C12E8"/>
    <w:rsid w:val="1A413C63"/>
    <w:rsid w:val="1A596495"/>
    <w:rsid w:val="1A830FB8"/>
    <w:rsid w:val="1AA2371D"/>
    <w:rsid w:val="1AA70B2B"/>
    <w:rsid w:val="1AC83242"/>
    <w:rsid w:val="1AD473CA"/>
    <w:rsid w:val="1AF732BE"/>
    <w:rsid w:val="1B10517B"/>
    <w:rsid w:val="1B240E9F"/>
    <w:rsid w:val="1B340753"/>
    <w:rsid w:val="1B4838F5"/>
    <w:rsid w:val="1B581867"/>
    <w:rsid w:val="1B584210"/>
    <w:rsid w:val="1B61778C"/>
    <w:rsid w:val="1B633A30"/>
    <w:rsid w:val="1B650122"/>
    <w:rsid w:val="1B664F0E"/>
    <w:rsid w:val="1B773E10"/>
    <w:rsid w:val="1B797123"/>
    <w:rsid w:val="1B7C3457"/>
    <w:rsid w:val="1B9133F6"/>
    <w:rsid w:val="1BBC11FF"/>
    <w:rsid w:val="1BC7284F"/>
    <w:rsid w:val="1BC8195F"/>
    <w:rsid w:val="1BED6968"/>
    <w:rsid w:val="1C181D28"/>
    <w:rsid w:val="1C2D626C"/>
    <w:rsid w:val="1C3D1A6F"/>
    <w:rsid w:val="1C45711C"/>
    <w:rsid w:val="1C792BE2"/>
    <w:rsid w:val="1C967D92"/>
    <w:rsid w:val="1C9A4CD4"/>
    <w:rsid w:val="1CAA58A2"/>
    <w:rsid w:val="1CB02560"/>
    <w:rsid w:val="1CB24ADB"/>
    <w:rsid w:val="1CC914B7"/>
    <w:rsid w:val="1D083AF9"/>
    <w:rsid w:val="1D0C1A0C"/>
    <w:rsid w:val="1D140C23"/>
    <w:rsid w:val="1D552A29"/>
    <w:rsid w:val="1DA62C3B"/>
    <w:rsid w:val="1DC45E53"/>
    <w:rsid w:val="1DE968A5"/>
    <w:rsid w:val="1E050EAB"/>
    <w:rsid w:val="1E08368C"/>
    <w:rsid w:val="1E107656"/>
    <w:rsid w:val="1E1175E7"/>
    <w:rsid w:val="1E3302BE"/>
    <w:rsid w:val="1E420732"/>
    <w:rsid w:val="1E4F0B0B"/>
    <w:rsid w:val="1E76247A"/>
    <w:rsid w:val="1E7E6196"/>
    <w:rsid w:val="1E9545C4"/>
    <w:rsid w:val="1EAC567D"/>
    <w:rsid w:val="1EAF4B34"/>
    <w:rsid w:val="1EB15273"/>
    <w:rsid w:val="1EC06BA7"/>
    <w:rsid w:val="1EF36175"/>
    <w:rsid w:val="1EF37984"/>
    <w:rsid w:val="1F0034E2"/>
    <w:rsid w:val="1F15477F"/>
    <w:rsid w:val="1F472D48"/>
    <w:rsid w:val="1F512A83"/>
    <w:rsid w:val="1F5433DB"/>
    <w:rsid w:val="1F692A75"/>
    <w:rsid w:val="1F6B0199"/>
    <w:rsid w:val="1FA26BFD"/>
    <w:rsid w:val="1FAC2A3A"/>
    <w:rsid w:val="1FB730A3"/>
    <w:rsid w:val="1FCF0264"/>
    <w:rsid w:val="1FE0637B"/>
    <w:rsid w:val="1FE407AC"/>
    <w:rsid w:val="1FFF5187"/>
    <w:rsid w:val="2022409B"/>
    <w:rsid w:val="20272918"/>
    <w:rsid w:val="20297A1A"/>
    <w:rsid w:val="207B7434"/>
    <w:rsid w:val="207F618B"/>
    <w:rsid w:val="20836FB4"/>
    <w:rsid w:val="20860FD6"/>
    <w:rsid w:val="20B2647F"/>
    <w:rsid w:val="20B84C4D"/>
    <w:rsid w:val="20BE3131"/>
    <w:rsid w:val="20CA3579"/>
    <w:rsid w:val="20EC6585"/>
    <w:rsid w:val="20FE5264"/>
    <w:rsid w:val="2100431C"/>
    <w:rsid w:val="211C4DFD"/>
    <w:rsid w:val="212F7C4D"/>
    <w:rsid w:val="21447EC2"/>
    <w:rsid w:val="21452829"/>
    <w:rsid w:val="21467FC2"/>
    <w:rsid w:val="214C2D15"/>
    <w:rsid w:val="215409F6"/>
    <w:rsid w:val="2155504C"/>
    <w:rsid w:val="216A6405"/>
    <w:rsid w:val="2176340A"/>
    <w:rsid w:val="21791DA0"/>
    <w:rsid w:val="21840A2B"/>
    <w:rsid w:val="218F073F"/>
    <w:rsid w:val="21A90EDE"/>
    <w:rsid w:val="21C14447"/>
    <w:rsid w:val="21CF422A"/>
    <w:rsid w:val="21EA3B41"/>
    <w:rsid w:val="21F776D3"/>
    <w:rsid w:val="22073588"/>
    <w:rsid w:val="22301D36"/>
    <w:rsid w:val="22401606"/>
    <w:rsid w:val="22413D40"/>
    <w:rsid w:val="22420568"/>
    <w:rsid w:val="225A2D42"/>
    <w:rsid w:val="225E3780"/>
    <w:rsid w:val="226E1930"/>
    <w:rsid w:val="22764E51"/>
    <w:rsid w:val="227775BC"/>
    <w:rsid w:val="22A1244C"/>
    <w:rsid w:val="22BC447A"/>
    <w:rsid w:val="22CD7533"/>
    <w:rsid w:val="22CF25C9"/>
    <w:rsid w:val="231B63C3"/>
    <w:rsid w:val="23264ECE"/>
    <w:rsid w:val="23377922"/>
    <w:rsid w:val="236D60AF"/>
    <w:rsid w:val="23735BDA"/>
    <w:rsid w:val="23A15B3D"/>
    <w:rsid w:val="23B438A6"/>
    <w:rsid w:val="23B71E2E"/>
    <w:rsid w:val="23C45D6B"/>
    <w:rsid w:val="23E65B0A"/>
    <w:rsid w:val="23EA1BBE"/>
    <w:rsid w:val="23EB50FA"/>
    <w:rsid w:val="23FE1D83"/>
    <w:rsid w:val="240F6DB1"/>
    <w:rsid w:val="24237B4D"/>
    <w:rsid w:val="24362D13"/>
    <w:rsid w:val="243B20FC"/>
    <w:rsid w:val="244F262F"/>
    <w:rsid w:val="2453142C"/>
    <w:rsid w:val="245C5041"/>
    <w:rsid w:val="246D2B02"/>
    <w:rsid w:val="24844032"/>
    <w:rsid w:val="249320F4"/>
    <w:rsid w:val="24952AC9"/>
    <w:rsid w:val="24A11767"/>
    <w:rsid w:val="24A26CB7"/>
    <w:rsid w:val="24B30E30"/>
    <w:rsid w:val="24C406FC"/>
    <w:rsid w:val="24D1657E"/>
    <w:rsid w:val="24D728AF"/>
    <w:rsid w:val="252A0649"/>
    <w:rsid w:val="253D6B0E"/>
    <w:rsid w:val="25453457"/>
    <w:rsid w:val="256200A5"/>
    <w:rsid w:val="256223C5"/>
    <w:rsid w:val="257C5885"/>
    <w:rsid w:val="25874D5E"/>
    <w:rsid w:val="259973D2"/>
    <w:rsid w:val="25D72E81"/>
    <w:rsid w:val="25DB5D61"/>
    <w:rsid w:val="25E7723F"/>
    <w:rsid w:val="25F359BC"/>
    <w:rsid w:val="26257809"/>
    <w:rsid w:val="262A0B36"/>
    <w:rsid w:val="263F2225"/>
    <w:rsid w:val="26455CAB"/>
    <w:rsid w:val="264C20DA"/>
    <w:rsid w:val="26500D1F"/>
    <w:rsid w:val="265132FA"/>
    <w:rsid w:val="266C068E"/>
    <w:rsid w:val="26C01B68"/>
    <w:rsid w:val="26CA3FEE"/>
    <w:rsid w:val="26F57610"/>
    <w:rsid w:val="26F93C77"/>
    <w:rsid w:val="26FF10A9"/>
    <w:rsid w:val="2718436C"/>
    <w:rsid w:val="272C73A8"/>
    <w:rsid w:val="273B58B0"/>
    <w:rsid w:val="273F7F91"/>
    <w:rsid w:val="274B24C4"/>
    <w:rsid w:val="275530EA"/>
    <w:rsid w:val="27627A09"/>
    <w:rsid w:val="276623E6"/>
    <w:rsid w:val="276F5A53"/>
    <w:rsid w:val="277D6D99"/>
    <w:rsid w:val="278653EE"/>
    <w:rsid w:val="279C3B8E"/>
    <w:rsid w:val="279D1563"/>
    <w:rsid w:val="27AB390B"/>
    <w:rsid w:val="27AB6694"/>
    <w:rsid w:val="27BD686F"/>
    <w:rsid w:val="27C64303"/>
    <w:rsid w:val="27E87ACE"/>
    <w:rsid w:val="27F71896"/>
    <w:rsid w:val="27F874C3"/>
    <w:rsid w:val="27FE1F8B"/>
    <w:rsid w:val="2820086F"/>
    <w:rsid w:val="28225C31"/>
    <w:rsid w:val="28376D33"/>
    <w:rsid w:val="283B64DD"/>
    <w:rsid w:val="284B1A84"/>
    <w:rsid w:val="287217C4"/>
    <w:rsid w:val="28891218"/>
    <w:rsid w:val="289272E8"/>
    <w:rsid w:val="28B679C1"/>
    <w:rsid w:val="28EC2403"/>
    <w:rsid w:val="28F866EE"/>
    <w:rsid w:val="2946782C"/>
    <w:rsid w:val="296A574C"/>
    <w:rsid w:val="29732C0C"/>
    <w:rsid w:val="29B81906"/>
    <w:rsid w:val="29BF6E33"/>
    <w:rsid w:val="29C074C4"/>
    <w:rsid w:val="29E64C90"/>
    <w:rsid w:val="29EB1AF8"/>
    <w:rsid w:val="29EB6FB7"/>
    <w:rsid w:val="29F30442"/>
    <w:rsid w:val="29F94A40"/>
    <w:rsid w:val="29FB38B3"/>
    <w:rsid w:val="2A1F453C"/>
    <w:rsid w:val="2A285224"/>
    <w:rsid w:val="2A2A4BEA"/>
    <w:rsid w:val="2A3F4941"/>
    <w:rsid w:val="2A450F4A"/>
    <w:rsid w:val="2A5158D7"/>
    <w:rsid w:val="2A5B63FB"/>
    <w:rsid w:val="2A613AD4"/>
    <w:rsid w:val="2A646193"/>
    <w:rsid w:val="2A6A4B8C"/>
    <w:rsid w:val="2A7A78B8"/>
    <w:rsid w:val="2A892C10"/>
    <w:rsid w:val="2AAB1B7E"/>
    <w:rsid w:val="2AC81296"/>
    <w:rsid w:val="2AD82838"/>
    <w:rsid w:val="2AEA2A65"/>
    <w:rsid w:val="2AF07869"/>
    <w:rsid w:val="2B01343D"/>
    <w:rsid w:val="2B0D0C4B"/>
    <w:rsid w:val="2B11662C"/>
    <w:rsid w:val="2B2854A7"/>
    <w:rsid w:val="2B71362A"/>
    <w:rsid w:val="2B787766"/>
    <w:rsid w:val="2B8754DA"/>
    <w:rsid w:val="2B956EC8"/>
    <w:rsid w:val="2BA10BAA"/>
    <w:rsid w:val="2BAE1D3C"/>
    <w:rsid w:val="2BDA4F44"/>
    <w:rsid w:val="2BE41B49"/>
    <w:rsid w:val="2BF50925"/>
    <w:rsid w:val="2BF608BF"/>
    <w:rsid w:val="2BFC5FE6"/>
    <w:rsid w:val="2C052ECD"/>
    <w:rsid w:val="2C173C35"/>
    <w:rsid w:val="2C186468"/>
    <w:rsid w:val="2C594F30"/>
    <w:rsid w:val="2C5F2A04"/>
    <w:rsid w:val="2C6471B8"/>
    <w:rsid w:val="2C791C2A"/>
    <w:rsid w:val="2C7E09FF"/>
    <w:rsid w:val="2CB00408"/>
    <w:rsid w:val="2CB44DDE"/>
    <w:rsid w:val="2CE927B8"/>
    <w:rsid w:val="2D064FE8"/>
    <w:rsid w:val="2D0B5A3B"/>
    <w:rsid w:val="2D1E5338"/>
    <w:rsid w:val="2D2A5506"/>
    <w:rsid w:val="2D39202C"/>
    <w:rsid w:val="2D41511A"/>
    <w:rsid w:val="2D6B1E6A"/>
    <w:rsid w:val="2D7F480B"/>
    <w:rsid w:val="2D8E4583"/>
    <w:rsid w:val="2D96317E"/>
    <w:rsid w:val="2DDD6632"/>
    <w:rsid w:val="2E134027"/>
    <w:rsid w:val="2E3A16ED"/>
    <w:rsid w:val="2E6F4D09"/>
    <w:rsid w:val="2EB037C3"/>
    <w:rsid w:val="2EB70A04"/>
    <w:rsid w:val="2EBB5B29"/>
    <w:rsid w:val="2EBE0A90"/>
    <w:rsid w:val="2EBF7E68"/>
    <w:rsid w:val="2EC02584"/>
    <w:rsid w:val="2ED94D3B"/>
    <w:rsid w:val="2EE35F82"/>
    <w:rsid w:val="2EF5770D"/>
    <w:rsid w:val="2F0E16CA"/>
    <w:rsid w:val="2F2E6A95"/>
    <w:rsid w:val="2F404BC9"/>
    <w:rsid w:val="2F452C07"/>
    <w:rsid w:val="2F6D2691"/>
    <w:rsid w:val="2F7C7078"/>
    <w:rsid w:val="2FA37120"/>
    <w:rsid w:val="2FA97637"/>
    <w:rsid w:val="2FE52F35"/>
    <w:rsid w:val="2FE8652E"/>
    <w:rsid w:val="2FF90DFF"/>
    <w:rsid w:val="30055241"/>
    <w:rsid w:val="30154E2B"/>
    <w:rsid w:val="30426703"/>
    <w:rsid w:val="30685133"/>
    <w:rsid w:val="306A7427"/>
    <w:rsid w:val="30775098"/>
    <w:rsid w:val="307B6CEE"/>
    <w:rsid w:val="308A3155"/>
    <w:rsid w:val="30A14345"/>
    <w:rsid w:val="30B66263"/>
    <w:rsid w:val="30D17D4A"/>
    <w:rsid w:val="30DD78E6"/>
    <w:rsid w:val="30DF3F16"/>
    <w:rsid w:val="30E347F5"/>
    <w:rsid w:val="30E76575"/>
    <w:rsid w:val="30FD2DD7"/>
    <w:rsid w:val="3117544E"/>
    <w:rsid w:val="312A5AFC"/>
    <w:rsid w:val="314604A6"/>
    <w:rsid w:val="31681DD0"/>
    <w:rsid w:val="31755E31"/>
    <w:rsid w:val="31873116"/>
    <w:rsid w:val="3190376D"/>
    <w:rsid w:val="31AC7743"/>
    <w:rsid w:val="31B04EFA"/>
    <w:rsid w:val="31C56292"/>
    <w:rsid w:val="31DF74C0"/>
    <w:rsid w:val="321433CB"/>
    <w:rsid w:val="32164DD2"/>
    <w:rsid w:val="322E030B"/>
    <w:rsid w:val="32310960"/>
    <w:rsid w:val="324E5246"/>
    <w:rsid w:val="326666FB"/>
    <w:rsid w:val="32675A32"/>
    <w:rsid w:val="326D31E9"/>
    <w:rsid w:val="328F61A6"/>
    <w:rsid w:val="32B26E69"/>
    <w:rsid w:val="32B36A98"/>
    <w:rsid w:val="32BB7615"/>
    <w:rsid w:val="32C03B11"/>
    <w:rsid w:val="32C972F3"/>
    <w:rsid w:val="32F14997"/>
    <w:rsid w:val="331C2FC4"/>
    <w:rsid w:val="3326320F"/>
    <w:rsid w:val="332C5C24"/>
    <w:rsid w:val="332C6332"/>
    <w:rsid w:val="33453B63"/>
    <w:rsid w:val="33772AFF"/>
    <w:rsid w:val="337C04F3"/>
    <w:rsid w:val="337C3AD4"/>
    <w:rsid w:val="33B06D5C"/>
    <w:rsid w:val="33B54B7A"/>
    <w:rsid w:val="33D46931"/>
    <w:rsid w:val="33E322AC"/>
    <w:rsid w:val="33EA193D"/>
    <w:rsid w:val="33F25060"/>
    <w:rsid w:val="33F4681C"/>
    <w:rsid w:val="341E48A8"/>
    <w:rsid w:val="34490BC2"/>
    <w:rsid w:val="345C0AE1"/>
    <w:rsid w:val="345E7925"/>
    <w:rsid w:val="345F0ECF"/>
    <w:rsid w:val="34860464"/>
    <w:rsid w:val="348F4525"/>
    <w:rsid w:val="34BD19C7"/>
    <w:rsid w:val="34BF379F"/>
    <w:rsid w:val="34D40216"/>
    <w:rsid w:val="34D51CF6"/>
    <w:rsid w:val="34DD05F1"/>
    <w:rsid w:val="34EB5D26"/>
    <w:rsid w:val="34FF43D6"/>
    <w:rsid w:val="35117D58"/>
    <w:rsid w:val="35140CF4"/>
    <w:rsid w:val="35334EC6"/>
    <w:rsid w:val="353E20F9"/>
    <w:rsid w:val="35453EE2"/>
    <w:rsid w:val="356D6AE9"/>
    <w:rsid w:val="35722692"/>
    <w:rsid w:val="3575650D"/>
    <w:rsid w:val="35A3646A"/>
    <w:rsid w:val="35C90B0C"/>
    <w:rsid w:val="35E43D5A"/>
    <w:rsid w:val="360E5606"/>
    <w:rsid w:val="361C1D0C"/>
    <w:rsid w:val="365958DA"/>
    <w:rsid w:val="3666470A"/>
    <w:rsid w:val="36704FF5"/>
    <w:rsid w:val="36736A0A"/>
    <w:rsid w:val="36800628"/>
    <w:rsid w:val="369109CA"/>
    <w:rsid w:val="36951A25"/>
    <w:rsid w:val="3698300C"/>
    <w:rsid w:val="369E7CE3"/>
    <w:rsid w:val="36A32412"/>
    <w:rsid w:val="36B42D32"/>
    <w:rsid w:val="36BC7196"/>
    <w:rsid w:val="36D87FF6"/>
    <w:rsid w:val="36D9283B"/>
    <w:rsid w:val="36DA7D44"/>
    <w:rsid w:val="36E25B04"/>
    <w:rsid w:val="36ED758F"/>
    <w:rsid w:val="36F217A5"/>
    <w:rsid w:val="36F230B2"/>
    <w:rsid w:val="36F520F4"/>
    <w:rsid w:val="371115A1"/>
    <w:rsid w:val="37192D68"/>
    <w:rsid w:val="37227CAA"/>
    <w:rsid w:val="377E6529"/>
    <w:rsid w:val="37827610"/>
    <w:rsid w:val="37850348"/>
    <w:rsid w:val="3788026E"/>
    <w:rsid w:val="37B03240"/>
    <w:rsid w:val="37B171B8"/>
    <w:rsid w:val="37B85869"/>
    <w:rsid w:val="37C0534D"/>
    <w:rsid w:val="37D56FD5"/>
    <w:rsid w:val="38021863"/>
    <w:rsid w:val="38107CF3"/>
    <w:rsid w:val="38116085"/>
    <w:rsid w:val="382123AE"/>
    <w:rsid w:val="38225ABC"/>
    <w:rsid w:val="3833033C"/>
    <w:rsid w:val="383B5C9D"/>
    <w:rsid w:val="3844394B"/>
    <w:rsid w:val="38590B97"/>
    <w:rsid w:val="386B1238"/>
    <w:rsid w:val="387D5227"/>
    <w:rsid w:val="389E2D72"/>
    <w:rsid w:val="38B90F0A"/>
    <w:rsid w:val="38BD351F"/>
    <w:rsid w:val="38C56CA6"/>
    <w:rsid w:val="394730C4"/>
    <w:rsid w:val="39552F11"/>
    <w:rsid w:val="396719CF"/>
    <w:rsid w:val="398A2B4E"/>
    <w:rsid w:val="39A029A1"/>
    <w:rsid w:val="39A253EF"/>
    <w:rsid w:val="39B90B2C"/>
    <w:rsid w:val="39E91DE9"/>
    <w:rsid w:val="3A1926BC"/>
    <w:rsid w:val="3A310C0E"/>
    <w:rsid w:val="3A6A35B5"/>
    <w:rsid w:val="3A793C1B"/>
    <w:rsid w:val="3A7F6673"/>
    <w:rsid w:val="3A886C59"/>
    <w:rsid w:val="3A943FEE"/>
    <w:rsid w:val="3AA77EE7"/>
    <w:rsid w:val="3AD63482"/>
    <w:rsid w:val="3AE7476A"/>
    <w:rsid w:val="3AEA0926"/>
    <w:rsid w:val="3AEA6E11"/>
    <w:rsid w:val="3B061EF1"/>
    <w:rsid w:val="3B0C3247"/>
    <w:rsid w:val="3B0F705C"/>
    <w:rsid w:val="3B15648D"/>
    <w:rsid w:val="3B1E5BA4"/>
    <w:rsid w:val="3B3F27FB"/>
    <w:rsid w:val="3B4D532C"/>
    <w:rsid w:val="3B5E00D3"/>
    <w:rsid w:val="3B6C13F4"/>
    <w:rsid w:val="3B6E77B5"/>
    <w:rsid w:val="3B877993"/>
    <w:rsid w:val="3BA50FB7"/>
    <w:rsid w:val="3BCB5A59"/>
    <w:rsid w:val="3BD52EE8"/>
    <w:rsid w:val="3BFA2AD1"/>
    <w:rsid w:val="3C1D5A3D"/>
    <w:rsid w:val="3C2E5ACF"/>
    <w:rsid w:val="3C3157CE"/>
    <w:rsid w:val="3C4043A6"/>
    <w:rsid w:val="3C452195"/>
    <w:rsid w:val="3C667FBD"/>
    <w:rsid w:val="3C6C5B36"/>
    <w:rsid w:val="3C8F6934"/>
    <w:rsid w:val="3CAA4C57"/>
    <w:rsid w:val="3CB6631E"/>
    <w:rsid w:val="3CC67E69"/>
    <w:rsid w:val="3CCB1884"/>
    <w:rsid w:val="3CDB4C68"/>
    <w:rsid w:val="3CE3754A"/>
    <w:rsid w:val="3CF30679"/>
    <w:rsid w:val="3CF751FE"/>
    <w:rsid w:val="3CFE2E3C"/>
    <w:rsid w:val="3D130739"/>
    <w:rsid w:val="3D1E7F65"/>
    <w:rsid w:val="3D2A3D9C"/>
    <w:rsid w:val="3D350511"/>
    <w:rsid w:val="3D551FA3"/>
    <w:rsid w:val="3D713F84"/>
    <w:rsid w:val="3D7B5847"/>
    <w:rsid w:val="3D7F6452"/>
    <w:rsid w:val="3D872D8E"/>
    <w:rsid w:val="3D9A18A3"/>
    <w:rsid w:val="3D9D7CAB"/>
    <w:rsid w:val="3DF37920"/>
    <w:rsid w:val="3E000FB9"/>
    <w:rsid w:val="3E0B0ECC"/>
    <w:rsid w:val="3E574EBC"/>
    <w:rsid w:val="3E5E160C"/>
    <w:rsid w:val="3E6D477F"/>
    <w:rsid w:val="3E7C6797"/>
    <w:rsid w:val="3E926DF8"/>
    <w:rsid w:val="3E947E9D"/>
    <w:rsid w:val="3EB72B75"/>
    <w:rsid w:val="3EB94A22"/>
    <w:rsid w:val="3EC24627"/>
    <w:rsid w:val="3EC849CB"/>
    <w:rsid w:val="3EDC681A"/>
    <w:rsid w:val="3EF0356A"/>
    <w:rsid w:val="3F3C027E"/>
    <w:rsid w:val="3F4757B1"/>
    <w:rsid w:val="3F783276"/>
    <w:rsid w:val="3F7D0DF3"/>
    <w:rsid w:val="3F8D4322"/>
    <w:rsid w:val="3FA12F10"/>
    <w:rsid w:val="3FBB0C70"/>
    <w:rsid w:val="3FC87477"/>
    <w:rsid w:val="3FCE0D83"/>
    <w:rsid w:val="3FE1144F"/>
    <w:rsid w:val="3FFE12F6"/>
    <w:rsid w:val="40255EC6"/>
    <w:rsid w:val="402755D7"/>
    <w:rsid w:val="402A57C3"/>
    <w:rsid w:val="402F7EC7"/>
    <w:rsid w:val="40867C20"/>
    <w:rsid w:val="40B1720A"/>
    <w:rsid w:val="40B95C98"/>
    <w:rsid w:val="40C264FA"/>
    <w:rsid w:val="40C4675C"/>
    <w:rsid w:val="410971F7"/>
    <w:rsid w:val="411E11E8"/>
    <w:rsid w:val="41595E68"/>
    <w:rsid w:val="417160C4"/>
    <w:rsid w:val="418C6E56"/>
    <w:rsid w:val="41941269"/>
    <w:rsid w:val="41980CD8"/>
    <w:rsid w:val="41A14651"/>
    <w:rsid w:val="41B61DCF"/>
    <w:rsid w:val="41E416A6"/>
    <w:rsid w:val="41F2317D"/>
    <w:rsid w:val="41F83F82"/>
    <w:rsid w:val="42114078"/>
    <w:rsid w:val="42244019"/>
    <w:rsid w:val="422C6D92"/>
    <w:rsid w:val="4245660E"/>
    <w:rsid w:val="42856348"/>
    <w:rsid w:val="42B349D7"/>
    <w:rsid w:val="42E17D81"/>
    <w:rsid w:val="42E51145"/>
    <w:rsid w:val="42E57053"/>
    <w:rsid w:val="42ED7C54"/>
    <w:rsid w:val="42F03324"/>
    <w:rsid w:val="42FF74EB"/>
    <w:rsid w:val="434F22B8"/>
    <w:rsid w:val="43525DE3"/>
    <w:rsid w:val="436061FD"/>
    <w:rsid w:val="43712500"/>
    <w:rsid w:val="4372200D"/>
    <w:rsid w:val="437A6C24"/>
    <w:rsid w:val="438942EA"/>
    <w:rsid w:val="43A95BC3"/>
    <w:rsid w:val="43DF7F06"/>
    <w:rsid w:val="43EC490B"/>
    <w:rsid w:val="43F77ECB"/>
    <w:rsid w:val="43FB1D75"/>
    <w:rsid w:val="43FD79FA"/>
    <w:rsid w:val="441F79FF"/>
    <w:rsid w:val="44266183"/>
    <w:rsid w:val="442717F8"/>
    <w:rsid w:val="442E4FF1"/>
    <w:rsid w:val="44306E47"/>
    <w:rsid w:val="44447DFD"/>
    <w:rsid w:val="445507B3"/>
    <w:rsid w:val="445733E7"/>
    <w:rsid w:val="44615A1C"/>
    <w:rsid w:val="44616A66"/>
    <w:rsid w:val="447B19A9"/>
    <w:rsid w:val="448D302F"/>
    <w:rsid w:val="4495356E"/>
    <w:rsid w:val="44A43656"/>
    <w:rsid w:val="44C25A84"/>
    <w:rsid w:val="44CF3938"/>
    <w:rsid w:val="44E50D12"/>
    <w:rsid w:val="452E33F7"/>
    <w:rsid w:val="455F2417"/>
    <w:rsid w:val="457515F8"/>
    <w:rsid w:val="458408ED"/>
    <w:rsid w:val="45973280"/>
    <w:rsid w:val="45A72F3B"/>
    <w:rsid w:val="45BB598A"/>
    <w:rsid w:val="45D62F11"/>
    <w:rsid w:val="45EE6B74"/>
    <w:rsid w:val="45FC7B6D"/>
    <w:rsid w:val="45FE6FAD"/>
    <w:rsid w:val="46185004"/>
    <w:rsid w:val="46340D1F"/>
    <w:rsid w:val="464F3BB2"/>
    <w:rsid w:val="465B556B"/>
    <w:rsid w:val="46635B9C"/>
    <w:rsid w:val="46766389"/>
    <w:rsid w:val="46865CD9"/>
    <w:rsid w:val="46895428"/>
    <w:rsid w:val="46916322"/>
    <w:rsid w:val="46A12EDB"/>
    <w:rsid w:val="46A56F04"/>
    <w:rsid w:val="46C00B2B"/>
    <w:rsid w:val="47157DEC"/>
    <w:rsid w:val="47182A1A"/>
    <w:rsid w:val="47453B63"/>
    <w:rsid w:val="474F6A0E"/>
    <w:rsid w:val="477B4221"/>
    <w:rsid w:val="47AA69A6"/>
    <w:rsid w:val="47B10141"/>
    <w:rsid w:val="47B648B8"/>
    <w:rsid w:val="47C74178"/>
    <w:rsid w:val="47D23FE5"/>
    <w:rsid w:val="47E8264E"/>
    <w:rsid w:val="47F10559"/>
    <w:rsid w:val="47F14648"/>
    <w:rsid w:val="47FA0CBF"/>
    <w:rsid w:val="4842675E"/>
    <w:rsid w:val="48492FE7"/>
    <w:rsid w:val="48566678"/>
    <w:rsid w:val="4883041E"/>
    <w:rsid w:val="489079A7"/>
    <w:rsid w:val="48AD1543"/>
    <w:rsid w:val="48BB10DF"/>
    <w:rsid w:val="48D0778A"/>
    <w:rsid w:val="48D15F07"/>
    <w:rsid w:val="48E31474"/>
    <w:rsid w:val="48EA4307"/>
    <w:rsid w:val="48ED136D"/>
    <w:rsid w:val="4903370B"/>
    <w:rsid w:val="491500F3"/>
    <w:rsid w:val="49184C7B"/>
    <w:rsid w:val="492628BB"/>
    <w:rsid w:val="492A6311"/>
    <w:rsid w:val="492D1684"/>
    <w:rsid w:val="492D49FF"/>
    <w:rsid w:val="493314B4"/>
    <w:rsid w:val="493D6CB3"/>
    <w:rsid w:val="494E477B"/>
    <w:rsid w:val="49527231"/>
    <w:rsid w:val="496308A1"/>
    <w:rsid w:val="498271F6"/>
    <w:rsid w:val="498404E0"/>
    <w:rsid w:val="49873D48"/>
    <w:rsid w:val="49964331"/>
    <w:rsid w:val="499A19E0"/>
    <w:rsid w:val="49A442C5"/>
    <w:rsid w:val="49B825E2"/>
    <w:rsid w:val="49BA0089"/>
    <w:rsid w:val="4A0B61FF"/>
    <w:rsid w:val="4A0C0403"/>
    <w:rsid w:val="4A134E1E"/>
    <w:rsid w:val="4A573544"/>
    <w:rsid w:val="4A625578"/>
    <w:rsid w:val="4A69392F"/>
    <w:rsid w:val="4A825F6F"/>
    <w:rsid w:val="4A892877"/>
    <w:rsid w:val="4AA210E6"/>
    <w:rsid w:val="4AA4577D"/>
    <w:rsid w:val="4AB0527A"/>
    <w:rsid w:val="4AB76880"/>
    <w:rsid w:val="4AC96AB1"/>
    <w:rsid w:val="4AE644F0"/>
    <w:rsid w:val="4AEC352F"/>
    <w:rsid w:val="4B135B92"/>
    <w:rsid w:val="4B32151B"/>
    <w:rsid w:val="4B417DA7"/>
    <w:rsid w:val="4B63674F"/>
    <w:rsid w:val="4B7C3D57"/>
    <w:rsid w:val="4BF91E06"/>
    <w:rsid w:val="4C0E78E0"/>
    <w:rsid w:val="4C1B28A1"/>
    <w:rsid w:val="4C460497"/>
    <w:rsid w:val="4C515EFF"/>
    <w:rsid w:val="4C700EF8"/>
    <w:rsid w:val="4C765FA8"/>
    <w:rsid w:val="4C867853"/>
    <w:rsid w:val="4C932F5B"/>
    <w:rsid w:val="4CA87C02"/>
    <w:rsid w:val="4CE54EB8"/>
    <w:rsid w:val="4CED17EB"/>
    <w:rsid w:val="4CF06243"/>
    <w:rsid w:val="4CF76581"/>
    <w:rsid w:val="4D1F6EB6"/>
    <w:rsid w:val="4D2C7EFB"/>
    <w:rsid w:val="4D6652FA"/>
    <w:rsid w:val="4D6E1EF9"/>
    <w:rsid w:val="4D8516AD"/>
    <w:rsid w:val="4D9C3092"/>
    <w:rsid w:val="4DA2429C"/>
    <w:rsid w:val="4DBE19F1"/>
    <w:rsid w:val="4DEB0372"/>
    <w:rsid w:val="4DF2566F"/>
    <w:rsid w:val="4DF426DB"/>
    <w:rsid w:val="4DF73072"/>
    <w:rsid w:val="4DF86A72"/>
    <w:rsid w:val="4E0D272E"/>
    <w:rsid w:val="4E234AFC"/>
    <w:rsid w:val="4E645990"/>
    <w:rsid w:val="4EAA6FE6"/>
    <w:rsid w:val="4EAB6A7A"/>
    <w:rsid w:val="4EAF205E"/>
    <w:rsid w:val="4EC37427"/>
    <w:rsid w:val="4EC708B1"/>
    <w:rsid w:val="4ED07140"/>
    <w:rsid w:val="4ED20C55"/>
    <w:rsid w:val="4EF0534B"/>
    <w:rsid w:val="4EF23E5D"/>
    <w:rsid w:val="4F0E0981"/>
    <w:rsid w:val="4F295C99"/>
    <w:rsid w:val="4F392DA3"/>
    <w:rsid w:val="4F3E2F86"/>
    <w:rsid w:val="4F4D45C3"/>
    <w:rsid w:val="4F5E4CF7"/>
    <w:rsid w:val="4F76225E"/>
    <w:rsid w:val="4FA7155B"/>
    <w:rsid w:val="4FD86698"/>
    <w:rsid w:val="4FDF215F"/>
    <w:rsid w:val="4FE17F85"/>
    <w:rsid w:val="4FE3750E"/>
    <w:rsid w:val="4FEF537A"/>
    <w:rsid w:val="4FFF5D91"/>
    <w:rsid w:val="500611FC"/>
    <w:rsid w:val="50100FD3"/>
    <w:rsid w:val="50262A48"/>
    <w:rsid w:val="50452660"/>
    <w:rsid w:val="50556438"/>
    <w:rsid w:val="50921604"/>
    <w:rsid w:val="50A673E0"/>
    <w:rsid w:val="50D8439C"/>
    <w:rsid w:val="50F87F21"/>
    <w:rsid w:val="50F944C7"/>
    <w:rsid w:val="512A6237"/>
    <w:rsid w:val="51633279"/>
    <w:rsid w:val="516B6AF3"/>
    <w:rsid w:val="519511D4"/>
    <w:rsid w:val="51A46C04"/>
    <w:rsid w:val="51B326B0"/>
    <w:rsid w:val="51C57053"/>
    <w:rsid w:val="51E722BC"/>
    <w:rsid w:val="51EA6E3C"/>
    <w:rsid w:val="51F143D9"/>
    <w:rsid w:val="51F677A6"/>
    <w:rsid w:val="522C5CC5"/>
    <w:rsid w:val="523875DD"/>
    <w:rsid w:val="52557B5E"/>
    <w:rsid w:val="528D69BA"/>
    <w:rsid w:val="529A6B4C"/>
    <w:rsid w:val="52A96703"/>
    <w:rsid w:val="52B65729"/>
    <w:rsid w:val="52BE449D"/>
    <w:rsid w:val="52BF392D"/>
    <w:rsid w:val="52C20113"/>
    <w:rsid w:val="52DD0337"/>
    <w:rsid w:val="52F12AFD"/>
    <w:rsid w:val="52F75F23"/>
    <w:rsid w:val="53105B7D"/>
    <w:rsid w:val="532C686B"/>
    <w:rsid w:val="5337084E"/>
    <w:rsid w:val="53374321"/>
    <w:rsid w:val="533B2F96"/>
    <w:rsid w:val="536F06E6"/>
    <w:rsid w:val="537035F5"/>
    <w:rsid w:val="538769CB"/>
    <w:rsid w:val="539E1E72"/>
    <w:rsid w:val="53AB338B"/>
    <w:rsid w:val="53C53EB4"/>
    <w:rsid w:val="53C553BB"/>
    <w:rsid w:val="53D57682"/>
    <w:rsid w:val="53E026BA"/>
    <w:rsid w:val="53EA75D0"/>
    <w:rsid w:val="54227FA0"/>
    <w:rsid w:val="543240F0"/>
    <w:rsid w:val="543536B4"/>
    <w:rsid w:val="543E5434"/>
    <w:rsid w:val="5457478B"/>
    <w:rsid w:val="547B00E8"/>
    <w:rsid w:val="54972073"/>
    <w:rsid w:val="54972CB4"/>
    <w:rsid w:val="54A50394"/>
    <w:rsid w:val="54A55FF7"/>
    <w:rsid w:val="54B456C3"/>
    <w:rsid w:val="54DF3165"/>
    <w:rsid w:val="54EE7B26"/>
    <w:rsid w:val="55204607"/>
    <w:rsid w:val="552F6EE6"/>
    <w:rsid w:val="55312718"/>
    <w:rsid w:val="554A6E11"/>
    <w:rsid w:val="554C3477"/>
    <w:rsid w:val="55623FC7"/>
    <w:rsid w:val="55752AA4"/>
    <w:rsid w:val="55C8507F"/>
    <w:rsid w:val="55CB7A60"/>
    <w:rsid w:val="55D521EB"/>
    <w:rsid w:val="55D76508"/>
    <w:rsid w:val="55FA6705"/>
    <w:rsid w:val="55FE306A"/>
    <w:rsid w:val="56076E71"/>
    <w:rsid w:val="560828C9"/>
    <w:rsid w:val="56297826"/>
    <w:rsid w:val="563355B0"/>
    <w:rsid w:val="563A6939"/>
    <w:rsid w:val="56434442"/>
    <w:rsid w:val="56492D22"/>
    <w:rsid w:val="56555E05"/>
    <w:rsid w:val="56673D55"/>
    <w:rsid w:val="566B617D"/>
    <w:rsid w:val="567662F1"/>
    <w:rsid w:val="56944051"/>
    <w:rsid w:val="56C1592D"/>
    <w:rsid w:val="56C63B91"/>
    <w:rsid w:val="56EB641D"/>
    <w:rsid w:val="573E339B"/>
    <w:rsid w:val="57460C6F"/>
    <w:rsid w:val="574D2682"/>
    <w:rsid w:val="57587951"/>
    <w:rsid w:val="576A4C7D"/>
    <w:rsid w:val="57945FD7"/>
    <w:rsid w:val="57A124F2"/>
    <w:rsid w:val="57AC42BC"/>
    <w:rsid w:val="57D7125F"/>
    <w:rsid w:val="57E75473"/>
    <w:rsid w:val="58064BEB"/>
    <w:rsid w:val="581D7C65"/>
    <w:rsid w:val="583E0BC7"/>
    <w:rsid w:val="586F04CD"/>
    <w:rsid w:val="58A54E4F"/>
    <w:rsid w:val="58C32977"/>
    <w:rsid w:val="58F23259"/>
    <w:rsid w:val="58F56CC6"/>
    <w:rsid w:val="591478AA"/>
    <w:rsid w:val="591F5EDB"/>
    <w:rsid w:val="59331704"/>
    <w:rsid w:val="59340CB7"/>
    <w:rsid w:val="59404C6C"/>
    <w:rsid w:val="595B24D5"/>
    <w:rsid w:val="59797B4D"/>
    <w:rsid w:val="59884343"/>
    <w:rsid w:val="59C43974"/>
    <w:rsid w:val="59D673E2"/>
    <w:rsid w:val="59DE53BD"/>
    <w:rsid w:val="59E17DDF"/>
    <w:rsid w:val="59EE2AC3"/>
    <w:rsid w:val="59F6090A"/>
    <w:rsid w:val="59FD7AED"/>
    <w:rsid w:val="5A1125F4"/>
    <w:rsid w:val="5A377FF5"/>
    <w:rsid w:val="5A4F2D79"/>
    <w:rsid w:val="5A702B43"/>
    <w:rsid w:val="5A7A2457"/>
    <w:rsid w:val="5A7D7A8B"/>
    <w:rsid w:val="5A953F22"/>
    <w:rsid w:val="5A9D410B"/>
    <w:rsid w:val="5AA61F28"/>
    <w:rsid w:val="5AC03D81"/>
    <w:rsid w:val="5AC479FB"/>
    <w:rsid w:val="5AD53438"/>
    <w:rsid w:val="5AE672B3"/>
    <w:rsid w:val="5AFB5A0A"/>
    <w:rsid w:val="5B172237"/>
    <w:rsid w:val="5B3D1E65"/>
    <w:rsid w:val="5B4C482C"/>
    <w:rsid w:val="5B6C1042"/>
    <w:rsid w:val="5B942175"/>
    <w:rsid w:val="5BA824A8"/>
    <w:rsid w:val="5BFB72EC"/>
    <w:rsid w:val="5C1810B3"/>
    <w:rsid w:val="5C1A3868"/>
    <w:rsid w:val="5C1A3D6B"/>
    <w:rsid w:val="5C22112F"/>
    <w:rsid w:val="5CA4440A"/>
    <w:rsid w:val="5CC25280"/>
    <w:rsid w:val="5D085D45"/>
    <w:rsid w:val="5D13584E"/>
    <w:rsid w:val="5D4832CB"/>
    <w:rsid w:val="5D662BB4"/>
    <w:rsid w:val="5D6E1283"/>
    <w:rsid w:val="5D871063"/>
    <w:rsid w:val="5DA27FF4"/>
    <w:rsid w:val="5DBB1D75"/>
    <w:rsid w:val="5DC4433A"/>
    <w:rsid w:val="5DDD5C57"/>
    <w:rsid w:val="5DF844CF"/>
    <w:rsid w:val="5DF913F1"/>
    <w:rsid w:val="5DFE4FE7"/>
    <w:rsid w:val="5E065A94"/>
    <w:rsid w:val="5E086380"/>
    <w:rsid w:val="5E140860"/>
    <w:rsid w:val="5E394DFC"/>
    <w:rsid w:val="5E483A80"/>
    <w:rsid w:val="5E5B4FED"/>
    <w:rsid w:val="5E5F0F5E"/>
    <w:rsid w:val="5E68440D"/>
    <w:rsid w:val="5E7E6D80"/>
    <w:rsid w:val="5E9C4A15"/>
    <w:rsid w:val="5EC341E6"/>
    <w:rsid w:val="5EC44503"/>
    <w:rsid w:val="5EC57C84"/>
    <w:rsid w:val="5ECA41E4"/>
    <w:rsid w:val="5ED47CCB"/>
    <w:rsid w:val="5F016303"/>
    <w:rsid w:val="5F0E2476"/>
    <w:rsid w:val="5F145C7B"/>
    <w:rsid w:val="5F2401C5"/>
    <w:rsid w:val="5F2E19D3"/>
    <w:rsid w:val="5F5247A5"/>
    <w:rsid w:val="5FAD7315"/>
    <w:rsid w:val="5FCA73A2"/>
    <w:rsid w:val="5FE65752"/>
    <w:rsid w:val="5FE97D7F"/>
    <w:rsid w:val="5FEF7A17"/>
    <w:rsid w:val="60114440"/>
    <w:rsid w:val="602A2289"/>
    <w:rsid w:val="602F28FC"/>
    <w:rsid w:val="6034563F"/>
    <w:rsid w:val="603E60A4"/>
    <w:rsid w:val="606655F2"/>
    <w:rsid w:val="607C4724"/>
    <w:rsid w:val="60A54D0C"/>
    <w:rsid w:val="60B20A79"/>
    <w:rsid w:val="60B571FE"/>
    <w:rsid w:val="60B84729"/>
    <w:rsid w:val="60C91D54"/>
    <w:rsid w:val="60CD7458"/>
    <w:rsid w:val="60D24F2E"/>
    <w:rsid w:val="60D9092B"/>
    <w:rsid w:val="60DA187D"/>
    <w:rsid w:val="60DA3461"/>
    <w:rsid w:val="60DF0714"/>
    <w:rsid w:val="60F140EE"/>
    <w:rsid w:val="60FF3777"/>
    <w:rsid w:val="61070E3B"/>
    <w:rsid w:val="611976CA"/>
    <w:rsid w:val="612D6B3A"/>
    <w:rsid w:val="613A126B"/>
    <w:rsid w:val="61576B19"/>
    <w:rsid w:val="615D1301"/>
    <w:rsid w:val="61654BC3"/>
    <w:rsid w:val="617A2146"/>
    <w:rsid w:val="617C0D06"/>
    <w:rsid w:val="61B92322"/>
    <w:rsid w:val="61C67219"/>
    <w:rsid w:val="61CF75CB"/>
    <w:rsid w:val="61DC0B2F"/>
    <w:rsid w:val="61E934EE"/>
    <w:rsid w:val="61EF20E2"/>
    <w:rsid w:val="61FE6C10"/>
    <w:rsid w:val="6204323F"/>
    <w:rsid w:val="620B3440"/>
    <w:rsid w:val="621363EF"/>
    <w:rsid w:val="623B6E9F"/>
    <w:rsid w:val="624427C6"/>
    <w:rsid w:val="624C40EA"/>
    <w:rsid w:val="625D639A"/>
    <w:rsid w:val="625F650E"/>
    <w:rsid w:val="628F1C3D"/>
    <w:rsid w:val="6298321C"/>
    <w:rsid w:val="62A13742"/>
    <w:rsid w:val="62AA42C4"/>
    <w:rsid w:val="62BB32F3"/>
    <w:rsid w:val="62D72D7F"/>
    <w:rsid w:val="62ED524A"/>
    <w:rsid w:val="62FD05BE"/>
    <w:rsid w:val="630E29E7"/>
    <w:rsid w:val="63406ABF"/>
    <w:rsid w:val="63412508"/>
    <w:rsid w:val="63565A0D"/>
    <w:rsid w:val="63571FB3"/>
    <w:rsid w:val="636022D3"/>
    <w:rsid w:val="63661576"/>
    <w:rsid w:val="636D583F"/>
    <w:rsid w:val="6384439A"/>
    <w:rsid w:val="63865D97"/>
    <w:rsid w:val="63867CE5"/>
    <w:rsid w:val="63870F68"/>
    <w:rsid w:val="638D0310"/>
    <w:rsid w:val="63BB5FA0"/>
    <w:rsid w:val="63D03AC5"/>
    <w:rsid w:val="63E7563E"/>
    <w:rsid w:val="63E92D8B"/>
    <w:rsid w:val="63FA7D7B"/>
    <w:rsid w:val="640124D5"/>
    <w:rsid w:val="64181B97"/>
    <w:rsid w:val="641C3243"/>
    <w:rsid w:val="642C376D"/>
    <w:rsid w:val="642D3CFD"/>
    <w:rsid w:val="643F5E98"/>
    <w:rsid w:val="645D1C3C"/>
    <w:rsid w:val="646A2004"/>
    <w:rsid w:val="64717DE2"/>
    <w:rsid w:val="647210CC"/>
    <w:rsid w:val="647E6AE1"/>
    <w:rsid w:val="648E43F5"/>
    <w:rsid w:val="649717C2"/>
    <w:rsid w:val="64A90FC3"/>
    <w:rsid w:val="64B360E6"/>
    <w:rsid w:val="64C22EE5"/>
    <w:rsid w:val="64C26B18"/>
    <w:rsid w:val="64CB0CB6"/>
    <w:rsid w:val="64E24A79"/>
    <w:rsid w:val="650A1630"/>
    <w:rsid w:val="65143A8C"/>
    <w:rsid w:val="651D2DA8"/>
    <w:rsid w:val="654A179A"/>
    <w:rsid w:val="654D689F"/>
    <w:rsid w:val="65505732"/>
    <w:rsid w:val="65560506"/>
    <w:rsid w:val="655911C3"/>
    <w:rsid w:val="655974D6"/>
    <w:rsid w:val="655C2FD1"/>
    <w:rsid w:val="65760600"/>
    <w:rsid w:val="65796FDB"/>
    <w:rsid w:val="65985959"/>
    <w:rsid w:val="65A40509"/>
    <w:rsid w:val="65B00E71"/>
    <w:rsid w:val="65B00F36"/>
    <w:rsid w:val="65C134AA"/>
    <w:rsid w:val="65CA33A9"/>
    <w:rsid w:val="65D23E5C"/>
    <w:rsid w:val="65E012BD"/>
    <w:rsid w:val="65FA6466"/>
    <w:rsid w:val="660B6DF9"/>
    <w:rsid w:val="660C66F7"/>
    <w:rsid w:val="662A3B37"/>
    <w:rsid w:val="662E752B"/>
    <w:rsid w:val="663337F1"/>
    <w:rsid w:val="663967C5"/>
    <w:rsid w:val="66810C74"/>
    <w:rsid w:val="66A13160"/>
    <w:rsid w:val="66C8274F"/>
    <w:rsid w:val="66DB5D68"/>
    <w:rsid w:val="66FC3E49"/>
    <w:rsid w:val="67064ABC"/>
    <w:rsid w:val="67431407"/>
    <w:rsid w:val="67497EDE"/>
    <w:rsid w:val="674D04D6"/>
    <w:rsid w:val="67547FAC"/>
    <w:rsid w:val="67606266"/>
    <w:rsid w:val="677A3B7E"/>
    <w:rsid w:val="678176F2"/>
    <w:rsid w:val="67830F2F"/>
    <w:rsid w:val="678D2AC8"/>
    <w:rsid w:val="67B463C2"/>
    <w:rsid w:val="681A3FF5"/>
    <w:rsid w:val="68372DAD"/>
    <w:rsid w:val="684955E4"/>
    <w:rsid w:val="686270BE"/>
    <w:rsid w:val="68686A38"/>
    <w:rsid w:val="687631E9"/>
    <w:rsid w:val="68781761"/>
    <w:rsid w:val="687D5D55"/>
    <w:rsid w:val="687E63DE"/>
    <w:rsid w:val="689A73F3"/>
    <w:rsid w:val="68A83597"/>
    <w:rsid w:val="68BB202B"/>
    <w:rsid w:val="68D22D83"/>
    <w:rsid w:val="68E46802"/>
    <w:rsid w:val="68EB3B13"/>
    <w:rsid w:val="68FC40B8"/>
    <w:rsid w:val="690104E4"/>
    <w:rsid w:val="6902270A"/>
    <w:rsid w:val="69230E15"/>
    <w:rsid w:val="694F55A6"/>
    <w:rsid w:val="695068F5"/>
    <w:rsid w:val="695621B1"/>
    <w:rsid w:val="69594417"/>
    <w:rsid w:val="695A4F2B"/>
    <w:rsid w:val="695C74D7"/>
    <w:rsid w:val="695F717E"/>
    <w:rsid w:val="696D3C68"/>
    <w:rsid w:val="69744444"/>
    <w:rsid w:val="69910574"/>
    <w:rsid w:val="699D2FD6"/>
    <w:rsid w:val="69A33D00"/>
    <w:rsid w:val="69AB60D1"/>
    <w:rsid w:val="69D04175"/>
    <w:rsid w:val="69D122F8"/>
    <w:rsid w:val="69D7453C"/>
    <w:rsid w:val="6A015A96"/>
    <w:rsid w:val="6A38548C"/>
    <w:rsid w:val="6A5667F3"/>
    <w:rsid w:val="6A5E032A"/>
    <w:rsid w:val="6A6A5546"/>
    <w:rsid w:val="6A7322EC"/>
    <w:rsid w:val="6A80717B"/>
    <w:rsid w:val="6A8827CE"/>
    <w:rsid w:val="6AA27E90"/>
    <w:rsid w:val="6AB44793"/>
    <w:rsid w:val="6AD862FC"/>
    <w:rsid w:val="6AD96ACB"/>
    <w:rsid w:val="6AE32ED4"/>
    <w:rsid w:val="6B245ACB"/>
    <w:rsid w:val="6B270E2C"/>
    <w:rsid w:val="6B3F0DBF"/>
    <w:rsid w:val="6B3F4DFE"/>
    <w:rsid w:val="6B4169C5"/>
    <w:rsid w:val="6B5759D9"/>
    <w:rsid w:val="6B6E7C07"/>
    <w:rsid w:val="6B961CC6"/>
    <w:rsid w:val="6BEB5A55"/>
    <w:rsid w:val="6BED4F0C"/>
    <w:rsid w:val="6BFF1031"/>
    <w:rsid w:val="6C0947AF"/>
    <w:rsid w:val="6C1F2FB9"/>
    <w:rsid w:val="6C2832CD"/>
    <w:rsid w:val="6C3C7966"/>
    <w:rsid w:val="6C597966"/>
    <w:rsid w:val="6C612B72"/>
    <w:rsid w:val="6C6D5D6A"/>
    <w:rsid w:val="6C761A84"/>
    <w:rsid w:val="6C784964"/>
    <w:rsid w:val="6C900C7C"/>
    <w:rsid w:val="6CA805F4"/>
    <w:rsid w:val="6CAC16F7"/>
    <w:rsid w:val="6CB26CE2"/>
    <w:rsid w:val="6CB40269"/>
    <w:rsid w:val="6CB90640"/>
    <w:rsid w:val="6CC24B53"/>
    <w:rsid w:val="6CC6122C"/>
    <w:rsid w:val="6CD00C91"/>
    <w:rsid w:val="6CDA48EF"/>
    <w:rsid w:val="6CE0550D"/>
    <w:rsid w:val="6D263996"/>
    <w:rsid w:val="6D361AC1"/>
    <w:rsid w:val="6D3D340D"/>
    <w:rsid w:val="6D535020"/>
    <w:rsid w:val="6D70574C"/>
    <w:rsid w:val="6D780F90"/>
    <w:rsid w:val="6D8344D8"/>
    <w:rsid w:val="6D8430BB"/>
    <w:rsid w:val="6D9276EC"/>
    <w:rsid w:val="6D9453F2"/>
    <w:rsid w:val="6DC833FE"/>
    <w:rsid w:val="6DC83FB5"/>
    <w:rsid w:val="6DD51FFD"/>
    <w:rsid w:val="6DD56344"/>
    <w:rsid w:val="6DDF4939"/>
    <w:rsid w:val="6E07693D"/>
    <w:rsid w:val="6E1E590C"/>
    <w:rsid w:val="6E2E421C"/>
    <w:rsid w:val="6E3A3D84"/>
    <w:rsid w:val="6E400145"/>
    <w:rsid w:val="6E66387C"/>
    <w:rsid w:val="6E6B4919"/>
    <w:rsid w:val="6E7065D5"/>
    <w:rsid w:val="6E714612"/>
    <w:rsid w:val="6E7B32E2"/>
    <w:rsid w:val="6EA1253D"/>
    <w:rsid w:val="6EC13793"/>
    <w:rsid w:val="6EE277E7"/>
    <w:rsid w:val="6F0D487D"/>
    <w:rsid w:val="6F1A76C1"/>
    <w:rsid w:val="6F274848"/>
    <w:rsid w:val="6F3A0A43"/>
    <w:rsid w:val="6F452713"/>
    <w:rsid w:val="6F501CD5"/>
    <w:rsid w:val="6F694D72"/>
    <w:rsid w:val="6F6F4109"/>
    <w:rsid w:val="6F907520"/>
    <w:rsid w:val="6F990D15"/>
    <w:rsid w:val="6FB32A4D"/>
    <w:rsid w:val="6FB773E2"/>
    <w:rsid w:val="700410C9"/>
    <w:rsid w:val="70121473"/>
    <w:rsid w:val="70175739"/>
    <w:rsid w:val="704B61A9"/>
    <w:rsid w:val="704B69C6"/>
    <w:rsid w:val="70852FB5"/>
    <w:rsid w:val="708F5259"/>
    <w:rsid w:val="70A41B6E"/>
    <w:rsid w:val="70A86C21"/>
    <w:rsid w:val="70B76BA3"/>
    <w:rsid w:val="70B87CB9"/>
    <w:rsid w:val="70C306AF"/>
    <w:rsid w:val="70C323AB"/>
    <w:rsid w:val="70CF4AA6"/>
    <w:rsid w:val="70EF365A"/>
    <w:rsid w:val="70F51566"/>
    <w:rsid w:val="70F72188"/>
    <w:rsid w:val="71130527"/>
    <w:rsid w:val="711D5FE6"/>
    <w:rsid w:val="711E34F9"/>
    <w:rsid w:val="71487498"/>
    <w:rsid w:val="71632F92"/>
    <w:rsid w:val="718E513F"/>
    <w:rsid w:val="7190329B"/>
    <w:rsid w:val="71A97E15"/>
    <w:rsid w:val="71C96DE7"/>
    <w:rsid w:val="71E017E0"/>
    <w:rsid w:val="71E84225"/>
    <w:rsid w:val="71F90A58"/>
    <w:rsid w:val="71FA06B0"/>
    <w:rsid w:val="722672E4"/>
    <w:rsid w:val="7298755E"/>
    <w:rsid w:val="729B3AF3"/>
    <w:rsid w:val="72B52E00"/>
    <w:rsid w:val="72BB2FF6"/>
    <w:rsid w:val="72CE01AD"/>
    <w:rsid w:val="72D9630D"/>
    <w:rsid w:val="72DD7C34"/>
    <w:rsid w:val="73262343"/>
    <w:rsid w:val="733864C2"/>
    <w:rsid w:val="73406A02"/>
    <w:rsid w:val="7356665C"/>
    <w:rsid w:val="735733A0"/>
    <w:rsid w:val="73615D78"/>
    <w:rsid w:val="736D4738"/>
    <w:rsid w:val="7371277B"/>
    <w:rsid w:val="739952E3"/>
    <w:rsid w:val="73B939E2"/>
    <w:rsid w:val="73E665B3"/>
    <w:rsid w:val="73EC3ABB"/>
    <w:rsid w:val="74224ACE"/>
    <w:rsid w:val="74563B0F"/>
    <w:rsid w:val="7466485C"/>
    <w:rsid w:val="74707ED1"/>
    <w:rsid w:val="74766036"/>
    <w:rsid w:val="7482039A"/>
    <w:rsid w:val="74956FCA"/>
    <w:rsid w:val="749A533B"/>
    <w:rsid w:val="74A54339"/>
    <w:rsid w:val="74B17ABB"/>
    <w:rsid w:val="74B413AB"/>
    <w:rsid w:val="74CB6F46"/>
    <w:rsid w:val="75013407"/>
    <w:rsid w:val="75054668"/>
    <w:rsid w:val="75153251"/>
    <w:rsid w:val="751B6D3A"/>
    <w:rsid w:val="75242C1A"/>
    <w:rsid w:val="75325B88"/>
    <w:rsid w:val="75516F7B"/>
    <w:rsid w:val="755E26E1"/>
    <w:rsid w:val="75771BD9"/>
    <w:rsid w:val="758262E6"/>
    <w:rsid w:val="759762B9"/>
    <w:rsid w:val="75A62C8B"/>
    <w:rsid w:val="75BF0A52"/>
    <w:rsid w:val="75C84819"/>
    <w:rsid w:val="75DA40FA"/>
    <w:rsid w:val="75E73476"/>
    <w:rsid w:val="75F82BF9"/>
    <w:rsid w:val="760F0DFC"/>
    <w:rsid w:val="76191D1B"/>
    <w:rsid w:val="763C4B40"/>
    <w:rsid w:val="765C1D73"/>
    <w:rsid w:val="7661486D"/>
    <w:rsid w:val="76637B3A"/>
    <w:rsid w:val="766623A0"/>
    <w:rsid w:val="767801D5"/>
    <w:rsid w:val="7689054A"/>
    <w:rsid w:val="768D6521"/>
    <w:rsid w:val="769A26BD"/>
    <w:rsid w:val="76A21BE0"/>
    <w:rsid w:val="76B44C5C"/>
    <w:rsid w:val="76B81FAC"/>
    <w:rsid w:val="76BB350C"/>
    <w:rsid w:val="76EC7BE0"/>
    <w:rsid w:val="76FE7961"/>
    <w:rsid w:val="77150963"/>
    <w:rsid w:val="7725550A"/>
    <w:rsid w:val="772B4AF5"/>
    <w:rsid w:val="77310CE2"/>
    <w:rsid w:val="773435AA"/>
    <w:rsid w:val="773D0456"/>
    <w:rsid w:val="77426BEC"/>
    <w:rsid w:val="774C0592"/>
    <w:rsid w:val="7755025F"/>
    <w:rsid w:val="775E22EB"/>
    <w:rsid w:val="776D54D4"/>
    <w:rsid w:val="77730367"/>
    <w:rsid w:val="77792CA5"/>
    <w:rsid w:val="77822F62"/>
    <w:rsid w:val="779B3246"/>
    <w:rsid w:val="77EC5095"/>
    <w:rsid w:val="77F21BD0"/>
    <w:rsid w:val="7806645D"/>
    <w:rsid w:val="78287F6E"/>
    <w:rsid w:val="782E48CE"/>
    <w:rsid w:val="782F3A20"/>
    <w:rsid w:val="784B05D9"/>
    <w:rsid w:val="784C1F70"/>
    <w:rsid w:val="784D583D"/>
    <w:rsid w:val="785A2932"/>
    <w:rsid w:val="786B4D4F"/>
    <w:rsid w:val="78844776"/>
    <w:rsid w:val="78932785"/>
    <w:rsid w:val="789D7C34"/>
    <w:rsid w:val="78A25011"/>
    <w:rsid w:val="78A466BD"/>
    <w:rsid w:val="78AB4AE0"/>
    <w:rsid w:val="78B47052"/>
    <w:rsid w:val="78B55D37"/>
    <w:rsid w:val="78B85D66"/>
    <w:rsid w:val="78D45ADD"/>
    <w:rsid w:val="78DE1BB0"/>
    <w:rsid w:val="78DF7CE4"/>
    <w:rsid w:val="78FE3E49"/>
    <w:rsid w:val="79067A2B"/>
    <w:rsid w:val="7914317C"/>
    <w:rsid w:val="791E1E7A"/>
    <w:rsid w:val="79324153"/>
    <w:rsid w:val="79367870"/>
    <w:rsid w:val="79427E2E"/>
    <w:rsid w:val="79547537"/>
    <w:rsid w:val="7962118A"/>
    <w:rsid w:val="797162B0"/>
    <w:rsid w:val="79775ADC"/>
    <w:rsid w:val="79846168"/>
    <w:rsid w:val="7996760C"/>
    <w:rsid w:val="799732F6"/>
    <w:rsid w:val="79A45022"/>
    <w:rsid w:val="79D21CB6"/>
    <w:rsid w:val="79DA0128"/>
    <w:rsid w:val="79F41497"/>
    <w:rsid w:val="7A145CEB"/>
    <w:rsid w:val="7A181F08"/>
    <w:rsid w:val="7A251D04"/>
    <w:rsid w:val="7A296CB4"/>
    <w:rsid w:val="7A2D4560"/>
    <w:rsid w:val="7A4E636B"/>
    <w:rsid w:val="7A7E64D5"/>
    <w:rsid w:val="7A8F7DEB"/>
    <w:rsid w:val="7A9840DC"/>
    <w:rsid w:val="7A9B25B3"/>
    <w:rsid w:val="7ABE2AD0"/>
    <w:rsid w:val="7AD34105"/>
    <w:rsid w:val="7AD87EA7"/>
    <w:rsid w:val="7ADE6340"/>
    <w:rsid w:val="7AEE7F9B"/>
    <w:rsid w:val="7B002BCD"/>
    <w:rsid w:val="7B031212"/>
    <w:rsid w:val="7B1E49DF"/>
    <w:rsid w:val="7B3E35D2"/>
    <w:rsid w:val="7B517E5A"/>
    <w:rsid w:val="7B5D5D45"/>
    <w:rsid w:val="7B634F4F"/>
    <w:rsid w:val="7B642E80"/>
    <w:rsid w:val="7B666087"/>
    <w:rsid w:val="7B682914"/>
    <w:rsid w:val="7B69094B"/>
    <w:rsid w:val="7B782EA0"/>
    <w:rsid w:val="7B852027"/>
    <w:rsid w:val="7B8A145A"/>
    <w:rsid w:val="7B9829AB"/>
    <w:rsid w:val="7BBC6583"/>
    <w:rsid w:val="7BC96809"/>
    <w:rsid w:val="7BDE2678"/>
    <w:rsid w:val="7C052F05"/>
    <w:rsid w:val="7C05307D"/>
    <w:rsid w:val="7C0C43FE"/>
    <w:rsid w:val="7C6200D0"/>
    <w:rsid w:val="7C751BCC"/>
    <w:rsid w:val="7C752EF9"/>
    <w:rsid w:val="7C7B6789"/>
    <w:rsid w:val="7C830195"/>
    <w:rsid w:val="7C9D67D3"/>
    <w:rsid w:val="7CA50189"/>
    <w:rsid w:val="7CB22DE4"/>
    <w:rsid w:val="7CB350D8"/>
    <w:rsid w:val="7CC42A2A"/>
    <w:rsid w:val="7CD818E2"/>
    <w:rsid w:val="7CDE6265"/>
    <w:rsid w:val="7CEB2BF1"/>
    <w:rsid w:val="7D0B07B4"/>
    <w:rsid w:val="7D2A3B5F"/>
    <w:rsid w:val="7D2D165F"/>
    <w:rsid w:val="7D363295"/>
    <w:rsid w:val="7D594AA3"/>
    <w:rsid w:val="7D623721"/>
    <w:rsid w:val="7D721D40"/>
    <w:rsid w:val="7D7D6D68"/>
    <w:rsid w:val="7D815246"/>
    <w:rsid w:val="7D925AE5"/>
    <w:rsid w:val="7DC40C28"/>
    <w:rsid w:val="7DC67435"/>
    <w:rsid w:val="7DD26AAD"/>
    <w:rsid w:val="7DED38E2"/>
    <w:rsid w:val="7DFE29C3"/>
    <w:rsid w:val="7DFF7225"/>
    <w:rsid w:val="7E0D72C8"/>
    <w:rsid w:val="7E1120FE"/>
    <w:rsid w:val="7E172803"/>
    <w:rsid w:val="7E17359F"/>
    <w:rsid w:val="7E285691"/>
    <w:rsid w:val="7E2F30D3"/>
    <w:rsid w:val="7E34070B"/>
    <w:rsid w:val="7E3614BA"/>
    <w:rsid w:val="7E3F0D64"/>
    <w:rsid w:val="7E432C68"/>
    <w:rsid w:val="7E620C8A"/>
    <w:rsid w:val="7E7838AB"/>
    <w:rsid w:val="7E7D5166"/>
    <w:rsid w:val="7EA85C97"/>
    <w:rsid w:val="7EAF250F"/>
    <w:rsid w:val="7EB82504"/>
    <w:rsid w:val="7EBA5DC3"/>
    <w:rsid w:val="7EBB089F"/>
    <w:rsid w:val="7EDA0D7C"/>
    <w:rsid w:val="7F2072B7"/>
    <w:rsid w:val="7F2D6E7F"/>
    <w:rsid w:val="7F353422"/>
    <w:rsid w:val="7F39116A"/>
    <w:rsid w:val="7F4472D0"/>
    <w:rsid w:val="7F812602"/>
    <w:rsid w:val="7F8828A0"/>
    <w:rsid w:val="7F902176"/>
    <w:rsid w:val="7F9067CD"/>
    <w:rsid w:val="7FB40C6A"/>
    <w:rsid w:val="7FC17856"/>
    <w:rsid w:val="7FCE5847"/>
    <w:rsid w:val="7FE20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next w:val="1"/>
    <w:link w:val="88"/>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6">
    <w:name w:val="heading 4"/>
    <w:basedOn w:val="1"/>
    <w:next w:val="1"/>
    <w:link w:val="89"/>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61"/>
    <w:qFormat/>
    <w:uiPriority w:val="0"/>
    <w:pPr>
      <w:keepNext/>
      <w:keepLines/>
      <w:spacing w:before="280" w:after="290" w:line="372" w:lineRule="auto"/>
      <w:outlineLvl w:val="4"/>
    </w:pPr>
    <w:rPr>
      <w:b/>
      <w:bCs/>
      <w:sz w:val="28"/>
      <w:szCs w:val="28"/>
    </w:rPr>
  </w:style>
  <w:style w:type="paragraph" w:styleId="8">
    <w:name w:val="heading 6"/>
    <w:basedOn w:val="1"/>
    <w:next w:val="1"/>
    <w:link w:val="62"/>
    <w:qFormat/>
    <w:uiPriority w:val="0"/>
    <w:pPr>
      <w:keepNext/>
      <w:keepLines/>
      <w:spacing w:before="240" w:after="64" w:line="317" w:lineRule="auto"/>
      <w:outlineLvl w:val="5"/>
    </w:pPr>
    <w:rPr>
      <w:rFonts w:ascii="Cambria" w:hAnsi="Cambria"/>
      <w:b/>
      <w:bCs/>
    </w:rPr>
  </w:style>
  <w:style w:type="paragraph" w:styleId="9">
    <w:name w:val="heading 7"/>
    <w:basedOn w:val="1"/>
    <w:next w:val="1"/>
    <w:link w:val="63"/>
    <w:qFormat/>
    <w:uiPriority w:val="0"/>
    <w:pPr>
      <w:keepNext/>
      <w:keepLines/>
      <w:spacing w:before="240" w:after="64" w:line="317" w:lineRule="auto"/>
      <w:outlineLvl w:val="6"/>
    </w:pPr>
    <w:rPr>
      <w:b/>
      <w:bCs/>
    </w:rPr>
  </w:style>
  <w:style w:type="paragraph" w:styleId="10">
    <w:name w:val="heading 8"/>
    <w:basedOn w:val="1"/>
    <w:next w:val="1"/>
    <w:link w:val="64"/>
    <w:qFormat/>
    <w:uiPriority w:val="0"/>
    <w:pPr>
      <w:keepNext/>
      <w:keepLines/>
      <w:spacing w:before="240" w:after="64" w:line="317" w:lineRule="auto"/>
      <w:outlineLvl w:val="7"/>
    </w:pPr>
    <w:rPr>
      <w:rFonts w:ascii="Cambria" w:hAnsi="Cambria"/>
    </w:rPr>
  </w:style>
  <w:style w:type="paragraph" w:styleId="11">
    <w:name w:val="heading 9"/>
    <w:basedOn w:val="1"/>
    <w:next w:val="1"/>
    <w:link w:val="65"/>
    <w:qFormat/>
    <w:uiPriority w:val="0"/>
    <w:pPr>
      <w:keepNext/>
      <w:keepLines/>
      <w:spacing w:before="240" w:after="64" w:line="317" w:lineRule="auto"/>
      <w:outlineLvl w:val="8"/>
    </w:pPr>
    <w:rPr>
      <w:rFonts w:ascii="Cambria" w:hAnsi="Cambria"/>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72"/>
    <w:qFormat/>
    <w:uiPriority w:val="0"/>
    <w:rPr>
      <w:rFonts w:ascii="宋体" w:hAnsi="Courier New"/>
      <w:sz w:val="21"/>
      <w:szCs w:val="21"/>
    </w:rPr>
  </w:style>
  <w:style w:type="paragraph" w:styleId="12">
    <w:name w:val="toc 7"/>
    <w:basedOn w:val="1"/>
    <w:next w:val="1"/>
    <w:unhideWhenUsed/>
    <w:qFormat/>
    <w:uiPriority w:val="39"/>
    <w:pPr>
      <w:ind w:left="2520" w:leftChars="1200"/>
    </w:pPr>
    <w:rPr>
      <w:sz w:val="21"/>
      <w:szCs w:val="22"/>
    </w:rPr>
  </w:style>
  <w:style w:type="paragraph" w:styleId="13">
    <w:name w:val="Normal Indent"/>
    <w:basedOn w:val="1"/>
    <w:link w:val="95"/>
    <w:qFormat/>
    <w:uiPriority w:val="0"/>
    <w:pPr>
      <w:ind w:firstLine="420"/>
    </w:pPr>
    <w:rPr>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6"/>
    <w:qFormat/>
    <w:uiPriority w:val="0"/>
    <w:pPr>
      <w:shd w:val="clear" w:color="auto" w:fill="000080"/>
    </w:pPr>
    <w:rPr>
      <w:rFonts w:ascii="Times New Roman" w:hAnsi="Times New Roman"/>
      <w:sz w:val="21"/>
    </w:rPr>
  </w:style>
  <w:style w:type="paragraph" w:styleId="16">
    <w:name w:val="annotation text"/>
    <w:basedOn w:val="1"/>
    <w:link w:val="53"/>
    <w:qFormat/>
    <w:uiPriority w:val="0"/>
    <w:pPr>
      <w:jc w:val="left"/>
    </w:pPr>
  </w:style>
  <w:style w:type="paragraph" w:styleId="17">
    <w:name w:val="Body Text"/>
    <w:basedOn w:val="1"/>
    <w:next w:val="18"/>
    <w:link w:val="102"/>
    <w:qFormat/>
    <w:uiPriority w:val="0"/>
    <w:rPr>
      <w:szCs w:val="20"/>
    </w:rPr>
  </w:style>
  <w:style w:type="paragraph" w:styleId="18">
    <w:name w:val="Body Text Indent"/>
    <w:basedOn w:val="1"/>
    <w:next w:val="1"/>
    <w:link w:val="103"/>
    <w:qFormat/>
    <w:uiPriority w:val="0"/>
    <w:pPr>
      <w:spacing w:after="120"/>
      <w:ind w:left="420" w:leftChars="200"/>
    </w:pPr>
    <w:rPr>
      <w:sz w:val="21"/>
    </w:rPr>
  </w:style>
  <w:style w:type="paragraph" w:styleId="19">
    <w:name w:val="index 4"/>
    <w:basedOn w:val="1"/>
    <w:next w:val="1"/>
    <w:qFormat/>
    <w:uiPriority w:val="0"/>
    <w:pPr>
      <w:ind w:left="600" w:leftChars="600"/>
    </w:pPr>
    <w:rPr>
      <w:rFonts w:ascii="Times New Roman" w:hAnsi="Times New Roman"/>
      <w:sz w:val="21"/>
    </w:rPr>
  </w:style>
  <w:style w:type="paragraph" w:styleId="20">
    <w:name w:val="toc 5"/>
    <w:basedOn w:val="1"/>
    <w:next w:val="1"/>
    <w:unhideWhenUsed/>
    <w:qFormat/>
    <w:uiPriority w:val="39"/>
    <w:pPr>
      <w:ind w:left="1680" w:leftChars="800"/>
    </w:pPr>
    <w:rPr>
      <w:sz w:val="21"/>
      <w:szCs w:val="22"/>
    </w:rPr>
  </w:style>
  <w:style w:type="paragraph" w:styleId="21">
    <w:name w:val="toc 3"/>
    <w:basedOn w:val="1"/>
    <w:next w:val="1"/>
    <w:qFormat/>
    <w:uiPriority w:val="39"/>
    <w:pPr>
      <w:ind w:left="840" w:leftChars="400"/>
    </w:pPr>
  </w:style>
  <w:style w:type="paragraph" w:styleId="22">
    <w:name w:val="toc 8"/>
    <w:basedOn w:val="1"/>
    <w:next w:val="1"/>
    <w:unhideWhenUsed/>
    <w:qFormat/>
    <w:uiPriority w:val="39"/>
    <w:pPr>
      <w:ind w:left="2940" w:leftChars="1400"/>
    </w:pPr>
    <w:rPr>
      <w:sz w:val="21"/>
      <w:szCs w:val="22"/>
    </w:rPr>
  </w:style>
  <w:style w:type="paragraph" w:styleId="23">
    <w:name w:val="Date"/>
    <w:basedOn w:val="1"/>
    <w:next w:val="1"/>
    <w:link w:val="115"/>
    <w:unhideWhenUsed/>
    <w:qFormat/>
    <w:uiPriority w:val="99"/>
    <w:pPr>
      <w:widowControl/>
      <w:adjustRightInd w:val="0"/>
      <w:snapToGrid w:val="0"/>
      <w:spacing w:after="200"/>
      <w:ind w:left="100" w:leftChars="2500"/>
      <w:jc w:val="left"/>
    </w:pPr>
    <w:rPr>
      <w:rFonts w:ascii="Tahoma" w:hAnsi="Tahoma"/>
      <w:kern w:val="0"/>
      <w:sz w:val="20"/>
      <w:szCs w:val="20"/>
    </w:rPr>
  </w:style>
  <w:style w:type="paragraph" w:styleId="24">
    <w:name w:val="Body Text Indent 2"/>
    <w:basedOn w:val="1"/>
    <w:link w:val="118"/>
    <w:unhideWhenUsed/>
    <w:qFormat/>
    <w:uiPriority w:val="0"/>
    <w:pPr>
      <w:widowControl/>
      <w:adjustRightInd w:val="0"/>
      <w:snapToGrid w:val="0"/>
      <w:spacing w:after="120" w:line="480" w:lineRule="auto"/>
      <w:ind w:left="420" w:leftChars="200"/>
      <w:jc w:val="left"/>
    </w:pPr>
    <w:rPr>
      <w:rFonts w:ascii="Tahoma" w:hAnsi="Tahoma"/>
      <w:kern w:val="0"/>
      <w:szCs w:val="22"/>
    </w:rPr>
  </w:style>
  <w:style w:type="paragraph" w:styleId="25">
    <w:name w:val="Balloon Text"/>
    <w:basedOn w:val="1"/>
    <w:link w:val="56"/>
    <w:qFormat/>
    <w:uiPriority w:val="99"/>
    <w:rPr>
      <w:sz w:val="18"/>
      <w:szCs w:val="18"/>
    </w:rPr>
  </w:style>
  <w:style w:type="paragraph" w:styleId="26">
    <w:name w:val="footer"/>
    <w:basedOn w:val="1"/>
    <w:link w:val="96"/>
    <w:qFormat/>
    <w:uiPriority w:val="99"/>
    <w:pPr>
      <w:tabs>
        <w:tab w:val="center" w:pos="4153"/>
        <w:tab w:val="right" w:pos="8306"/>
      </w:tabs>
      <w:snapToGrid w:val="0"/>
      <w:jc w:val="left"/>
    </w:pPr>
    <w:rPr>
      <w:sz w:val="18"/>
      <w:szCs w:val="18"/>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400" w:lineRule="exact"/>
      <w:ind w:firstLine="200" w:firstLineChars="200"/>
      <w:jc w:val="left"/>
    </w:pPr>
    <w:rPr>
      <w:b/>
      <w:bCs/>
      <w:caps/>
      <w:szCs w:val="20"/>
    </w:rPr>
  </w:style>
  <w:style w:type="paragraph" w:styleId="29">
    <w:name w:val="toc 4"/>
    <w:basedOn w:val="1"/>
    <w:next w:val="1"/>
    <w:unhideWhenUsed/>
    <w:qFormat/>
    <w:uiPriority w:val="39"/>
    <w:pPr>
      <w:ind w:left="1260" w:leftChars="600"/>
    </w:pPr>
    <w:rPr>
      <w:sz w:val="21"/>
      <w:szCs w:val="22"/>
    </w:rPr>
  </w:style>
  <w:style w:type="paragraph" w:styleId="30">
    <w:name w:val="Subtitle"/>
    <w:basedOn w:val="1"/>
    <w:next w:val="1"/>
    <w:link w:val="117"/>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unhideWhenUsed/>
    <w:qFormat/>
    <w:uiPriority w:val="39"/>
    <w:pPr>
      <w:ind w:left="2100" w:leftChars="1000"/>
    </w:pPr>
    <w:rPr>
      <w:sz w:val="21"/>
      <w:szCs w:val="22"/>
    </w:rPr>
  </w:style>
  <w:style w:type="paragraph" w:styleId="32">
    <w:name w:val="toc 2"/>
    <w:basedOn w:val="1"/>
    <w:next w:val="1"/>
    <w:unhideWhenUsed/>
    <w:qFormat/>
    <w:uiPriority w:val="39"/>
    <w:pPr>
      <w:widowControl/>
      <w:tabs>
        <w:tab w:val="left" w:pos="365"/>
        <w:tab w:val="right" w:leader="dot" w:pos="9402"/>
      </w:tabs>
      <w:adjustRightInd w:val="0"/>
      <w:snapToGrid w:val="0"/>
      <w:spacing w:after="200"/>
      <w:jc w:val="left"/>
    </w:pPr>
    <w:rPr>
      <w:rFonts w:ascii="宋体" w:hAnsi="宋体" w:cs="Arial"/>
      <w:kern w:val="0"/>
    </w:rPr>
  </w:style>
  <w:style w:type="paragraph" w:styleId="33">
    <w:name w:val="toc 9"/>
    <w:basedOn w:val="1"/>
    <w:next w:val="1"/>
    <w:unhideWhenUsed/>
    <w:qFormat/>
    <w:uiPriority w:val="39"/>
    <w:pPr>
      <w:ind w:left="3360" w:leftChars="1600"/>
    </w:pPr>
    <w:rPr>
      <w:sz w:val="21"/>
      <w:szCs w:val="22"/>
    </w:rPr>
  </w:style>
  <w:style w:type="paragraph" w:styleId="34">
    <w:name w:val="HTML Preformatted"/>
    <w:basedOn w:val="1"/>
    <w:semiHidden/>
    <w:unhideWhenUsed/>
    <w:qFormat/>
    <w:uiPriority w:val="99"/>
    <w:rPr>
      <w:rFonts w:ascii="Courier New" w:hAnsi="Courier New" w:cs="Courier New"/>
      <w:sz w:val="20"/>
      <w:szCs w:val="20"/>
    </w:rPr>
  </w:style>
  <w:style w:type="paragraph" w:styleId="35">
    <w:name w:val="Normal (Web)"/>
    <w:basedOn w:val="1"/>
    <w:qFormat/>
    <w:uiPriority w:val="99"/>
    <w:pPr>
      <w:spacing w:before="100" w:beforeAutospacing="1" w:after="100" w:afterAutospacing="1"/>
      <w:jc w:val="left"/>
    </w:pPr>
    <w:rPr>
      <w:kern w:val="0"/>
    </w:rPr>
  </w:style>
  <w:style w:type="paragraph" w:styleId="36">
    <w:name w:val="Title"/>
    <w:basedOn w:val="1"/>
    <w:next w:val="1"/>
    <w:link w:val="109"/>
    <w:qFormat/>
    <w:uiPriority w:val="10"/>
    <w:pPr>
      <w:spacing w:before="240" w:after="60"/>
      <w:jc w:val="center"/>
      <w:outlineLvl w:val="0"/>
    </w:pPr>
    <w:rPr>
      <w:rFonts w:ascii="Cambria" w:hAnsi="Cambria"/>
      <w:b/>
      <w:bCs/>
      <w:sz w:val="36"/>
      <w:szCs w:val="32"/>
    </w:rPr>
  </w:style>
  <w:style w:type="paragraph" w:styleId="37">
    <w:name w:val="annotation subject"/>
    <w:basedOn w:val="16"/>
    <w:next w:val="16"/>
    <w:link w:val="54"/>
    <w:qFormat/>
    <w:uiPriority w:val="0"/>
    <w:rPr>
      <w:b/>
      <w:bCs/>
    </w:rPr>
  </w:style>
  <w:style w:type="paragraph" w:styleId="38">
    <w:name w:val="Body Text First Indent"/>
    <w:basedOn w:val="17"/>
    <w:qFormat/>
    <w:uiPriority w:val="0"/>
    <w:pPr>
      <w:spacing w:line="312" w:lineRule="auto"/>
      <w:ind w:firstLine="420"/>
    </w:p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Emphasis"/>
    <w:basedOn w:val="41"/>
    <w:qFormat/>
    <w:uiPriority w:val="20"/>
    <w:rPr>
      <w:i/>
      <w:iCs/>
    </w:rPr>
  </w:style>
  <w:style w:type="character" w:styleId="45">
    <w:name w:val="Hyperlink"/>
    <w:qFormat/>
    <w:uiPriority w:val="99"/>
    <w:rPr>
      <w:color w:val="000000"/>
      <w:u w:val="none"/>
    </w:rPr>
  </w:style>
  <w:style w:type="character" w:styleId="46">
    <w:name w:val="annotation reference"/>
    <w:basedOn w:val="41"/>
    <w:qFormat/>
    <w:uiPriority w:val="0"/>
    <w:rPr>
      <w:sz w:val="21"/>
      <w:szCs w:val="21"/>
    </w:rPr>
  </w:style>
  <w:style w:type="paragraph" w:customStyle="1" w:styleId="47">
    <w:name w:val="一级条标题"/>
    <w:basedOn w:val="48"/>
    <w:next w:val="1"/>
    <w:qFormat/>
    <w:uiPriority w:val="0"/>
    <w:pPr>
      <w:widowControl/>
      <w:spacing w:line="240" w:lineRule="auto"/>
      <w:ind w:left="420"/>
      <w:outlineLvl w:val="2"/>
    </w:pPr>
    <w:rPr>
      <w:rFonts w:hint="default" w:ascii="黑体" w:eastAsia="黑体"/>
      <w:kern w:val="0"/>
      <w:szCs w:val="22"/>
    </w:rPr>
  </w:style>
  <w:style w:type="paragraph" w:customStyle="1" w:styleId="4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0">
    <w:name w:val="列出段落3"/>
    <w:basedOn w:val="1"/>
    <w:qFormat/>
    <w:uiPriority w:val="99"/>
    <w:pPr>
      <w:ind w:firstLine="420" w:firstLineChars="200"/>
    </w:pPr>
    <w:rPr>
      <w:rFonts w:cs="黑体"/>
      <w:sz w:val="21"/>
      <w:szCs w:val="22"/>
    </w:rPr>
  </w:style>
  <w:style w:type="paragraph" w:styleId="51">
    <w:name w:val="List Paragraph"/>
    <w:basedOn w:val="1"/>
    <w:link w:val="87"/>
    <w:qFormat/>
    <w:uiPriority w:val="99"/>
    <w:pPr>
      <w:spacing w:line="400" w:lineRule="exact"/>
      <w:ind w:firstLine="420" w:firstLineChars="200"/>
    </w:pPr>
    <w:rPr>
      <w:lang w:val="zh-CN"/>
    </w:rPr>
  </w:style>
  <w:style w:type="paragraph" w:customStyle="1" w:styleId="52">
    <w:name w:val="msolistparagraph"/>
    <w:basedOn w:val="1"/>
    <w:qFormat/>
    <w:uiPriority w:val="0"/>
    <w:pPr>
      <w:spacing w:line="400" w:lineRule="exact"/>
      <w:ind w:firstLine="420" w:firstLineChars="200"/>
    </w:pPr>
  </w:style>
  <w:style w:type="character" w:customStyle="1" w:styleId="53">
    <w:name w:val="批注文字 Char"/>
    <w:basedOn w:val="41"/>
    <w:link w:val="16"/>
    <w:qFormat/>
    <w:uiPriority w:val="0"/>
    <w:rPr>
      <w:kern w:val="2"/>
      <w:sz w:val="24"/>
      <w:szCs w:val="24"/>
    </w:rPr>
  </w:style>
  <w:style w:type="character" w:customStyle="1" w:styleId="54">
    <w:name w:val="批注主题 Char"/>
    <w:basedOn w:val="53"/>
    <w:link w:val="37"/>
    <w:qFormat/>
    <w:uiPriority w:val="0"/>
    <w:rPr>
      <w:kern w:val="2"/>
      <w:sz w:val="24"/>
      <w:szCs w:val="24"/>
    </w:rPr>
  </w:style>
  <w:style w:type="paragraph" w:customStyle="1" w:styleId="55">
    <w:name w:val="修订1"/>
    <w:hidden/>
    <w:unhideWhenUsed/>
    <w:qFormat/>
    <w:uiPriority w:val="0"/>
    <w:rPr>
      <w:rFonts w:ascii="Calibri" w:hAnsi="Calibri" w:eastAsia="宋体" w:cs="Times New Roman"/>
      <w:kern w:val="2"/>
      <w:sz w:val="24"/>
      <w:szCs w:val="24"/>
      <w:lang w:val="en-US" w:eastAsia="zh-CN" w:bidi="ar-SA"/>
    </w:rPr>
  </w:style>
  <w:style w:type="character" w:customStyle="1" w:styleId="56">
    <w:name w:val="批注框文本 Char"/>
    <w:basedOn w:val="41"/>
    <w:link w:val="25"/>
    <w:qFormat/>
    <w:uiPriority w:val="99"/>
    <w:rPr>
      <w:kern w:val="2"/>
      <w:sz w:val="18"/>
      <w:szCs w:val="18"/>
    </w:rPr>
  </w:style>
  <w:style w:type="character" w:customStyle="1" w:styleId="57">
    <w:name w:val="font31"/>
    <w:qFormat/>
    <w:uiPriority w:val="0"/>
    <w:rPr>
      <w:rFonts w:hint="default" w:ascii="仿宋_GB2312" w:eastAsia="仿宋_GB2312" w:cs="仿宋_GB2312"/>
      <w:color w:val="000000"/>
      <w:sz w:val="24"/>
      <w:szCs w:val="24"/>
      <w:u w:val="none"/>
    </w:rPr>
  </w:style>
  <w:style w:type="character" w:customStyle="1" w:styleId="58">
    <w:name w:val="标题 1 Char"/>
    <w:basedOn w:val="41"/>
    <w:link w:val="3"/>
    <w:qFormat/>
    <w:uiPriority w:val="0"/>
    <w:rPr>
      <w:rFonts w:ascii="Calibri" w:hAnsi="Calibri"/>
      <w:b/>
      <w:bCs/>
      <w:kern w:val="44"/>
      <w:sz w:val="44"/>
      <w:szCs w:val="44"/>
    </w:rPr>
  </w:style>
  <w:style w:type="character" w:customStyle="1" w:styleId="59">
    <w:name w:val="标题 2 Char"/>
    <w:basedOn w:val="41"/>
    <w:link w:val="4"/>
    <w:qFormat/>
    <w:uiPriority w:val="9"/>
    <w:rPr>
      <w:rFonts w:asciiTheme="majorHAnsi" w:hAnsiTheme="majorHAnsi" w:eastAsiaTheme="majorEastAsia" w:cstheme="majorBidi"/>
      <w:b/>
      <w:bCs/>
      <w:kern w:val="2"/>
      <w:sz w:val="32"/>
      <w:szCs w:val="32"/>
    </w:rPr>
  </w:style>
  <w:style w:type="paragraph" w:customStyle="1" w:styleId="60">
    <w:name w:val="Table Paragraph"/>
    <w:basedOn w:val="1"/>
    <w:qFormat/>
    <w:uiPriority w:val="0"/>
    <w:pPr>
      <w:jc w:val="left"/>
    </w:pPr>
    <w:rPr>
      <w:kern w:val="0"/>
      <w:sz w:val="22"/>
      <w:szCs w:val="22"/>
      <w:lang w:eastAsia="en-US"/>
    </w:rPr>
  </w:style>
  <w:style w:type="character" w:customStyle="1" w:styleId="61">
    <w:name w:val="标题 5 Char"/>
    <w:basedOn w:val="41"/>
    <w:link w:val="7"/>
    <w:qFormat/>
    <w:uiPriority w:val="0"/>
    <w:rPr>
      <w:rFonts w:ascii="Calibri" w:hAnsi="Calibri"/>
      <w:b/>
      <w:bCs/>
      <w:kern w:val="2"/>
      <w:sz w:val="28"/>
      <w:szCs w:val="28"/>
    </w:rPr>
  </w:style>
  <w:style w:type="character" w:customStyle="1" w:styleId="62">
    <w:name w:val="标题 6 Char"/>
    <w:basedOn w:val="41"/>
    <w:link w:val="8"/>
    <w:qFormat/>
    <w:uiPriority w:val="0"/>
    <w:rPr>
      <w:rFonts w:ascii="Cambria" w:hAnsi="Cambria"/>
      <w:b/>
      <w:bCs/>
      <w:kern w:val="2"/>
      <w:sz w:val="24"/>
      <w:szCs w:val="24"/>
    </w:rPr>
  </w:style>
  <w:style w:type="character" w:customStyle="1" w:styleId="63">
    <w:name w:val="标题 7 Char"/>
    <w:basedOn w:val="41"/>
    <w:link w:val="9"/>
    <w:qFormat/>
    <w:uiPriority w:val="0"/>
    <w:rPr>
      <w:rFonts w:ascii="Calibri" w:hAnsi="Calibri"/>
      <w:b/>
      <w:bCs/>
      <w:kern w:val="2"/>
      <w:sz w:val="24"/>
      <w:szCs w:val="24"/>
    </w:rPr>
  </w:style>
  <w:style w:type="character" w:customStyle="1" w:styleId="64">
    <w:name w:val="标题 8 Char"/>
    <w:basedOn w:val="41"/>
    <w:link w:val="10"/>
    <w:qFormat/>
    <w:uiPriority w:val="0"/>
    <w:rPr>
      <w:rFonts w:ascii="Cambria" w:hAnsi="Cambria"/>
      <w:kern w:val="2"/>
      <w:sz w:val="24"/>
      <w:szCs w:val="24"/>
    </w:rPr>
  </w:style>
  <w:style w:type="character" w:customStyle="1" w:styleId="65">
    <w:name w:val="标题 9 Char"/>
    <w:basedOn w:val="41"/>
    <w:link w:val="11"/>
    <w:qFormat/>
    <w:uiPriority w:val="0"/>
    <w:rPr>
      <w:rFonts w:ascii="Cambria" w:hAnsi="Cambria"/>
      <w:kern w:val="2"/>
      <w:sz w:val="21"/>
      <w:szCs w:val="21"/>
    </w:rPr>
  </w:style>
  <w:style w:type="character" w:customStyle="1" w:styleId="66">
    <w:name w:val="日期 Char1"/>
    <w:qFormat/>
    <w:uiPriority w:val="0"/>
    <w:rPr>
      <w:kern w:val="2"/>
      <w:sz w:val="21"/>
      <w:szCs w:val="22"/>
    </w:rPr>
  </w:style>
  <w:style w:type="character" w:customStyle="1" w:styleId="67">
    <w:name w:val="引用 Char1"/>
    <w:qFormat/>
    <w:uiPriority w:val="29"/>
    <w:rPr>
      <w:rFonts w:ascii="Tahoma" w:hAnsi="Tahoma"/>
      <w:i/>
      <w:iCs/>
      <w:color w:val="000000"/>
    </w:rPr>
  </w:style>
  <w:style w:type="character" w:customStyle="1" w:styleId="68">
    <w:name w:val="textcontents"/>
    <w:qFormat/>
    <w:uiPriority w:val="0"/>
    <w:rPr>
      <w:rFonts w:cs="Times New Roman"/>
    </w:rPr>
  </w:style>
  <w:style w:type="character" w:customStyle="1" w:styleId="69">
    <w:name w:val="文档结构图 Char"/>
    <w:qFormat/>
    <w:uiPriority w:val="0"/>
    <w:rPr>
      <w:kern w:val="2"/>
      <w:sz w:val="21"/>
      <w:szCs w:val="24"/>
      <w:shd w:val="clear" w:color="auto" w:fill="000080"/>
    </w:rPr>
  </w:style>
  <w:style w:type="character" w:customStyle="1" w:styleId="70">
    <w:name w:val="标题 Char1"/>
    <w:qFormat/>
    <w:uiPriority w:val="10"/>
    <w:rPr>
      <w:rFonts w:ascii="Cambria" w:hAnsi="Cambria" w:eastAsia="宋体" w:cs="Times New Roman"/>
      <w:b/>
      <w:bCs/>
      <w:sz w:val="32"/>
      <w:szCs w:val="32"/>
    </w:rPr>
  </w:style>
  <w:style w:type="character" w:customStyle="1" w:styleId="71">
    <w:name w:val="页眉 Char"/>
    <w:link w:val="27"/>
    <w:qFormat/>
    <w:uiPriority w:val="99"/>
    <w:rPr>
      <w:rFonts w:ascii="Calibri" w:hAnsi="Calibri"/>
      <w:kern w:val="2"/>
      <w:sz w:val="18"/>
      <w:szCs w:val="18"/>
    </w:rPr>
  </w:style>
  <w:style w:type="character" w:customStyle="1" w:styleId="72">
    <w:name w:val="纯文本 Char"/>
    <w:link w:val="2"/>
    <w:qFormat/>
    <w:uiPriority w:val="0"/>
    <w:rPr>
      <w:rFonts w:ascii="宋体" w:hAnsi="Courier New"/>
      <w:kern w:val="2"/>
      <w:sz w:val="21"/>
      <w:szCs w:val="21"/>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5"/>
    <w:link w:val="73"/>
    <w:qFormat/>
    <w:uiPriority w:val="0"/>
    <w:pPr>
      <w:keepNext/>
      <w:keepLines/>
      <w:widowControl w:val="0"/>
      <w:wordWrap/>
      <w:spacing w:before="260" w:after="260" w:line="413" w:lineRule="auto"/>
      <w:ind w:left="0" w:firstLine="0"/>
    </w:pPr>
    <w:rPr>
      <w:rFonts w:ascii="Arial" w:hAnsi="Arial" w:cs="Times New Roman"/>
      <w:b/>
      <w:bCs/>
      <w:sz w:val="24"/>
      <w:szCs w:val="32"/>
    </w:rPr>
  </w:style>
  <w:style w:type="character" w:customStyle="1" w:styleId="75">
    <w:name w:val="不明显强调11"/>
    <w:qFormat/>
    <w:uiPriority w:val="0"/>
    <w:rPr>
      <w:i/>
      <w:iCs/>
      <w:color w:val="808080"/>
    </w:rPr>
  </w:style>
  <w:style w:type="character" w:customStyle="1" w:styleId="76">
    <w:name w:val="明显强调1"/>
    <w:qFormat/>
    <w:uiPriority w:val="0"/>
    <w:rPr>
      <w:b/>
      <w:bCs/>
      <w:i/>
      <w:iCs/>
      <w:color w:val="4F81BD"/>
    </w:rPr>
  </w:style>
  <w:style w:type="character" w:customStyle="1" w:styleId="77">
    <w:name w:val="批注文字 Char1"/>
    <w:semiHidden/>
    <w:qFormat/>
    <w:uiPriority w:val="99"/>
    <w:rPr>
      <w:rFonts w:ascii="Tahoma" w:hAnsi="Tahoma"/>
    </w:rPr>
  </w:style>
  <w:style w:type="character" w:customStyle="1" w:styleId="78">
    <w:name w:val="纯文本 Char1"/>
    <w:semiHidden/>
    <w:qFormat/>
    <w:uiPriority w:val="99"/>
    <w:rPr>
      <w:rFonts w:ascii="宋体" w:hAnsi="Courier New" w:eastAsia="宋体" w:cs="Courier New"/>
      <w:sz w:val="21"/>
      <w:szCs w:val="21"/>
    </w:rPr>
  </w:style>
  <w:style w:type="character" w:customStyle="1" w:styleId="79">
    <w:name w:val="明显参考1"/>
    <w:qFormat/>
    <w:uiPriority w:val="0"/>
    <w:rPr>
      <w:b/>
      <w:bCs/>
      <w:smallCaps/>
      <w:color w:val="C0504D"/>
      <w:spacing w:val="5"/>
      <w:u w:val="single"/>
    </w:rPr>
  </w:style>
  <w:style w:type="character" w:customStyle="1" w:styleId="80">
    <w:name w:val="批注主题 Char1"/>
    <w:qFormat/>
    <w:uiPriority w:val="0"/>
    <w:rPr>
      <w:b/>
      <w:bCs/>
      <w:kern w:val="2"/>
      <w:sz w:val="21"/>
      <w:szCs w:val="22"/>
    </w:rPr>
  </w:style>
  <w:style w:type="character" w:customStyle="1" w:styleId="81">
    <w:name w:val="批注主题 Char2"/>
    <w:semiHidden/>
    <w:qFormat/>
    <w:uiPriority w:val="99"/>
    <w:rPr>
      <w:rFonts w:ascii="Tahoma" w:hAnsi="Tahoma"/>
      <w:b/>
      <w:bCs/>
    </w:rPr>
  </w:style>
  <w:style w:type="character" w:customStyle="1" w:styleId="82">
    <w:name w:val="批注文字 Char Char"/>
    <w:qFormat/>
    <w:uiPriority w:val="0"/>
    <w:rPr>
      <w:rFonts w:ascii="宋体" w:hAnsi="Times New Roman" w:eastAsia="宋体" w:cs="Times New Roman"/>
      <w:sz w:val="28"/>
      <w:szCs w:val="20"/>
    </w:rPr>
  </w:style>
  <w:style w:type="character" w:customStyle="1" w:styleId="83">
    <w:name w:val="不明显强调1"/>
    <w:qFormat/>
    <w:uiPriority w:val="0"/>
    <w:rPr>
      <w:i/>
      <w:iCs/>
      <w:color w:val="808080"/>
    </w:rPr>
  </w:style>
  <w:style w:type="character" w:customStyle="1" w:styleId="84">
    <w:name w:val="副标题 Char"/>
    <w:qFormat/>
    <w:uiPriority w:val="0"/>
    <w:rPr>
      <w:rFonts w:ascii="Cambria" w:hAnsi="Cambria"/>
      <w:b/>
      <w:bCs/>
      <w:kern w:val="28"/>
      <w:sz w:val="32"/>
      <w:szCs w:val="32"/>
    </w:rPr>
  </w:style>
  <w:style w:type="character" w:customStyle="1" w:styleId="85">
    <w:name w:val="明显引用 Char1"/>
    <w:qFormat/>
    <w:uiPriority w:val="30"/>
    <w:rPr>
      <w:rFonts w:ascii="Tahoma" w:hAnsi="Tahoma"/>
      <w:b/>
      <w:bCs/>
      <w:i/>
      <w:iCs/>
      <w:color w:val="4F81BD"/>
    </w:rPr>
  </w:style>
  <w:style w:type="character" w:customStyle="1" w:styleId="86">
    <w:name w:val="正文文本缩进 2 Char"/>
    <w:qFormat/>
    <w:uiPriority w:val="0"/>
    <w:rPr>
      <w:rFonts w:ascii="Tahoma" w:hAnsi="Tahoma"/>
      <w:sz w:val="24"/>
      <w:szCs w:val="22"/>
    </w:rPr>
  </w:style>
  <w:style w:type="character" w:customStyle="1" w:styleId="87">
    <w:name w:val="列出段落 Char1"/>
    <w:link w:val="51"/>
    <w:qFormat/>
    <w:uiPriority w:val="99"/>
    <w:rPr>
      <w:rFonts w:ascii="Calibri" w:hAnsi="Calibri"/>
      <w:kern w:val="2"/>
      <w:sz w:val="24"/>
      <w:szCs w:val="24"/>
      <w:lang w:val="zh-CN"/>
    </w:rPr>
  </w:style>
  <w:style w:type="character" w:customStyle="1" w:styleId="88">
    <w:name w:val="标题 3 Char"/>
    <w:link w:val="5"/>
    <w:qFormat/>
    <w:uiPriority w:val="0"/>
    <w:rPr>
      <w:rFonts w:ascii="宋体" w:hAnsi="宋体" w:cs="宋体"/>
      <w:sz w:val="21"/>
    </w:rPr>
  </w:style>
  <w:style w:type="character" w:customStyle="1" w:styleId="89">
    <w:name w:val="标题 4 Char"/>
    <w:link w:val="6"/>
    <w:qFormat/>
    <w:uiPriority w:val="0"/>
    <w:rPr>
      <w:rFonts w:ascii="Cambria" w:hAnsi="Cambria"/>
      <w:b/>
      <w:bCs/>
      <w:kern w:val="2"/>
      <w:sz w:val="28"/>
      <w:szCs w:val="28"/>
      <w:lang w:val="zh-CN"/>
    </w:rPr>
  </w:style>
  <w:style w:type="character" w:customStyle="1" w:styleId="90">
    <w:name w:val="引用 Char"/>
    <w:link w:val="91"/>
    <w:qFormat/>
    <w:uiPriority w:val="0"/>
    <w:rPr>
      <w:i/>
      <w:iCs/>
      <w:color w:val="000000"/>
      <w:kern w:val="2"/>
      <w:sz w:val="21"/>
    </w:rPr>
  </w:style>
  <w:style w:type="paragraph" w:customStyle="1" w:styleId="91">
    <w:name w:val="引用1"/>
    <w:basedOn w:val="1"/>
    <w:next w:val="1"/>
    <w:link w:val="90"/>
    <w:qFormat/>
    <w:uiPriority w:val="0"/>
    <w:rPr>
      <w:rFonts w:ascii="Times New Roman" w:hAnsi="Times New Roman"/>
      <w:i/>
      <w:iCs/>
      <w:color w:val="000000"/>
      <w:sz w:val="21"/>
      <w:szCs w:val="20"/>
    </w:rPr>
  </w:style>
  <w:style w:type="character" w:customStyle="1" w:styleId="92">
    <w:name w:val="不明显参考1"/>
    <w:qFormat/>
    <w:uiPriority w:val="0"/>
    <w:rPr>
      <w:smallCaps/>
      <w:color w:val="C0504D"/>
      <w:u w:val="single"/>
    </w:rPr>
  </w:style>
  <w:style w:type="character" w:customStyle="1" w:styleId="93">
    <w:name w:val="批注框文本 Char1"/>
    <w:qFormat/>
    <w:uiPriority w:val="0"/>
    <w:rPr>
      <w:kern w:val="2"/>
      <w:sz w:val="18"/>
      <w:szCs w:val="18"/>
    </w:rPr>
  </w:style>
  <w:style w:type="character" w:customStyle="1" w:styleId="94">
    <w:name w:val="正文文本 Char"/>
    <w:qFormat/>
    <w:uiPriority w:val="0"/>
    <w:rPr>
      <w:rFonts w:ascii="Tahoma" w:hAnsi="Tahoma"/>
    </w:rPr>
  </w:style>
  <w:style w:type="character" w:customStyle="1" w:styleId="95">
    <w:name w:val="正文缩进 Char"/>
    <w:link w:val="13"/>
    <w:qFormat/>
    <w:uiPriority w:val="0"/>
    <w:rPr>
      <w:rFonts w:ascii="Calibri" w:hAnsi="Calibri"/>
      <w:kern w:val="2"/>
      <w:sz w:val="24"/>
    </w:rPr>
  </w:style>
  <w:style w:type="character" w:customStyle="1" w:styleId="96">
    <w:name w:val="页脚 Char"/>
    <w:link w:val="26"/>
    <w:qFormat/>
    <w:uiPriority w:val="99"/>
    <w:rPr>
      <w:rFonts w:ascii="Calibri" w:hAnsi="Calibri"/>
      <w:kern w:val="2"/>
      <w:sz w:val="18"/>
      <w:szCs w:val="18"/>
    </w:rPr>
  </w:style>
  <w:style w:type="character" w:customStyle="1" w:styleId="97">
    <w:name w:val="书籍标题1"/>
    <w:qFormat/>
    <w:uiPriority w:val="0"/>
    <w:rPr>
      <w:b/>
      <w:bCs/>
      <w:smallCaps/>
      <w:spacing w:val="5"/>
    </w:rPr>
  </w:style>
  <w:style w:type="character" w:customStyle="1" w:styleId="98">
    <w:name w:val="副标题 Char1"/>
    <w:qFormat/>
    <w:uiPriority w:val="11"/>
    <w:rPr>
      <w:rFonts w:ascii="Cambria" w:hAnsi="Cambria" w:eastAsia="宋体" w:cs="Times New Roman"/>
      <w:b/>
      <w:bCs/>
      <w:kern w:val="28"/>
      <w:sz w:val="32"/>
      <w:szCs w:val="32"/>
    </w:rPr>
  </w:style>
  <w:style w:type="character" w:customStyle="1" w:styleId="99">
    <w:name w:val="书籍标题11"/>
    <w:qFormat/>
    <w:uiPriority w:val="0"/>
    <w:rPr>
      <w:b/>
      <w:bCs/>
      <w:smallCaps/>
      <w:spacing w:val="5"/>
    </w:rPr>
  </w:style>
  <w:style w:type="character" w:customStyle="1" w:styleId="100">
    <w:name w:val="明显引用 Char"/>
    <w:link w:val="101"/>
    <w:qFormat/>
    <w:uiPriority w:val="0"/>
    <w:rPr>
      <w:b/>
      <w:bCs/>
      <w:i/>
      <w:iCs/>
      <w:color w:val="4F81BD"/>
      <w:kern w:val="2"/>
      <w:sz w:val="21"/>
    </w:rPr>
  </w:style>
  <w:style w:type="paragraph" w:customStyle="1" w:styleId="101">
    <w:name w:val="明显引用1"/>
    <w:basedOn w:val="1"/>
    <w:next w:val="1"/>
    <w:link w:val="100"/>
    <w:qFormat/>
    <w:uiPriority w:val="0"/>
    <w:pPr>
      <w:pBdr>
        <w:bottom w:val="single" w:color="4F81BD" w:sz="4" w:space="4"/>
      </w:pBdr>
      <w:spacing w:before="200" w:after="280"/>
      <w:ind w:left="936" w:right="936"/>
    </w:pPr>
    <w:rPr>
      <w:rFonts w:ascii="Times New Roman" w:hAnsi="Times New Roman"/>
      <w:b/>
      <w:bCs/>
      <w:i/>
      <w:iCs/>
      <w:color w:val="4F81BD"/>
      <w:sz w:val="21"/>
      <w:szCs w:val="20"/>
    </w:rPr>
  </w:style>
  <w:style w:type="character" w:customStyle="1" w:styleId="102">
    <w:name w:val="正文文本 Char1"/>
    <w:link w:val="17"/>
    <w:qFormat/>
    <w:uiPriority w:val="0"/>
    <w:rPr>
      <w:rFonts w:ascii="Calibri" w:hAnsi="Calibri" w:eastAsia="宋体"/>
      <w:kern w:val="2"/>
      <w:sz w:val="24"/>
    </w:rPr>
  </w:style>
  <w:style w:type="character" w:customStyle="1" w:styleId="103">
    <w:name w:val="正文文本缩进 Char"/>
    <w:link w:val="18"/>
    <w:qFormat/>
    <w:uiPriority w:val="0"/>
    <w:rPr>
      <w:rFonts w:ascii="Calibri" w:hAnsi="Calibri"/>
      <w:kern w:val="2"/>
      <w:sz w:val="21"/>
      <w:szCs w:val="24"/>
    </w:rPr>
  </w:style>
  <w:style w:type="character" w:customStyle="1" w:styleId="104">
    <w:name w:val="日期 Char"/>
    <w:qFormat/>
    <w:uiPriority w:val="99"/>
    <w:rPr>
      <w:rFonts w:ascii="Tahoma" w:hAnsi="Tahoma"/>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4"/>
    <w:next w:val="19"/>
    <w:link w:val="105"/>
    <w:qFormat/>
    <w:uiPriority w:val="0"/>
    <w:pPr>
      <w:spacing w:line="413" w:lineRule="auto"/>
    </w:pPr>
    <w:rPr>
      <w:rFonts w:ascii="Arial" w:hAnsi="Arial" w:eastAsia="宋体" w:cs="Times New Roman"/>
      <w:kern w:val="0"/>
      <w:sz w:val="24"/>
    </w:rPr>
  </w:style>
  <w:style w:type="character" w:customStyle="1" w:styleId="107">
    <w:name w:val="明显参考11"/>
    <w:qFormat/>
    <w:uiPriority w:val="0"/>
    <w:rPr>
      <w:b/>
      <w:bCs/>
      <w:smallCaps/>
      <w:color w:val="C0504D"/>
      <w:spacing w:val="5"/>
      <w:u w:val="single"/>
    </w:rPr>
  </w:style>
  <w:style w:type="character" w:customStyle="1" w:styleId="108">
    <w:name w:val="明显强调11"/>
    <w:qFormat/>
    <w:uiPriority w:val="0"/>
    <w:rPr>
      <w:b/>
      <w:bCs/>
      <w:i/>
      <w:iCs/>
      <w:color w:val="4F81BD"/>
    </w:rPr>
  </w:style>
  <w:style w:type="character" w:customStyle="1" w:styleId="109">
    <w:name w:val="标题 Char"/>
    <w:link w:val="36"/>
    <w:qFormat/>
    <w:uiPriority w:val="10"/>
    <w:rPr>
      <w:rFonts w:ascii="Cambria" w:hAnsi="Cambria"/>
      <w:b/>
      <w:bCs/>
      <w:kern w:val="2"/>
      <w:sz w:val="36"/>
      <w:szCs w:val="32"/>
    </w:rPr>
  </w:style>
  <w:style w:type="character" w:customStyle="1" w:styleId="110">
    <w:name w:val="文档结构图 Char1"/>
    <w:qFormat/>
    <w:uiPriority w:val="0"/>
    <w:rPr>
      <w:rFonts w:ascii="宋体"/>
      <w:kern w:val="2"/>
      <w:sz w:val="18"/>
      <w:szCs w:val="18"/>
    </w:rPr>
  </w:style>
  <w:style w:type="character" w:customStyle="1" w:styleId="111">
    <w:name w:val="列出段落 Char"/>
    <w:link w:val="112"/>
    <w:qFormat/>
    <w:uiPriority w:val="0"/>
    <w:rPr>
      <w:rFonts w:ascii="Tahoma" w:hAnsi="Tahoma"/>
      <w:sz w:val="22"/>
      <w:szCs w:val="22"/>
    </w:rPr>
  </w:style>
  <w:style w:type="paragraph" w:customStyle="1" w:styleId="112">
    <w:name w:val="列出段落1"/>
    <w:basedOn w:val="1"/>
    <w:link w:val="111"/>
    <w:qFormat/>
    <w:uiPriority w:val="0"/>
    <w:pPr>
      <w:widowControl/>
      <w:adjustRightInd w:val="0"/>
      <w:snapToGrid w:val="0"/>
      <w:spacing w:after="200"/>
      <w:ind w:firstLine="420" w:firstLineChars="200"/>
      <w:jc w:val="left"/>
    </w:pPr>
    <w:rPr>
      <w:rFonts w:ascii="Tahoma" w:hAnsi="Tahoma"/>
      <w:kern w:val="0"/>
      <w:sz w:val="22"/>
      <w:szCs w:val="22"/>
    </w:rPr>
  </w:style>
  <w:style w:type="character" w:customStyle="1" w:styleId="113">
    <w:name w:val="不明显参考11"/>
    <w:qFormat/>
    <w:uiPriority w:val="0"/>
    <w:rPr>
      <w:smallCaps/>
      <w:color w:val="C0504D"/>
      <w:u w:val="single"/>
    </w:rPr>
  </w:style>
  <w:style w:type="character" w:customStyle="1" w:styleId="114">
    <w:name w:val="无间隔字符"/>
    <w:qFormat/>
    <w:uiPriority w:val="1"/>
    <w:rPr>
      <w:rFonts w:ascii="Calibri" w:hAnsi="Calibri" w:cs="Times New Roman"/>
      <w:sz w:val="24"/>
    </w:rPr>
  </w:style>
  <w:style w:type="character" w:customStyle="1" w:styleId="115">
    <w:name w:val="日期 Char2"/>
    <w:basedOn w:val="41"/>
    <w:link w:val="23"/>
    <w:qFormat/>
    <w:uiPriority w:val="99"/>
    <w:rPr>
      <w:rFonts w:ascii="Calibri" w:hAnsi="Calibri"/>
      <w:kern w:val="2"/>
      <w:sz w:val="24"/>
      <w:szCs w:val="24"/>
    </w:rPr>
  </w:style>
  <w:style w:type="character" w:customStyle="1" w:styleId="116">
    <w:name w:val="文档结构图 Char2"/>
    <w:basedOn w:val="41"/>
    <w:link w:val="15"/>
    <w:qFormat/>
    <w:uiPriority w:val="99"/>
    <w:rPr>
      <w:rFonts w:ascii="宋体" w:hAnsi="Calibri"/>
      <w:kern w:val="2"/>
      <w:sz w:val="18"/>
      <w:szCs w:val="18"/>
    </w:rPr>
  </w:style>
  <w:style w:type="character" w:customStyle="1" w:styleId="117">
    <w:name w:val="副标题 Char2"/>
    <w:basedOn w:val="41"/>
    <w:link w:val="30"/>
    <w:qFormat/>
    <w:uiPriority w:val="11"/>
    <w:rPr>
      <w:rFonts w:asciiTheme="majorHAnsi" w:hAnsiTheme="majorHAnsi" w:cstheme="majorBidi"/>
      <w:b/>
      <w:bCs/>
      <w:kern w:val="28"/>
      <w:sz w:val="32"/>
      <w:szCs w:val="32"/>
    </w:rPr>
  </w:style>
  <w:style w:type="character" w:customStyle="1" w:styleId="118">
    <w:name w:val="正文文本缩进 2 Char1"/>
    <w:basedOn w:val="41"/>
    <w:link w:val="24"/>
    <w:qFormat/>
    <w:uiPriority w:val="99"/>
    <w:rPr>
      <w:rFonts w:ascii="Calibri" w:hAnsi="Calibri"/>
      <w:kern w:val="2"/>
      <w:sz w:val="24"/>
      <w:szCs w:val="24"/>
    </w:rPr>
  </w:style>
  <w:style w:type="paragraph" w:customStyle="1" w:styleId="119">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20">
    <w:name w:val="TOC 标题1"/>
    <w:basedOn w:val="3"/>
    <w:next w:val="1"/>
    <w:unhideWhenUsed/>
    <w:qFormat/>
    <w:uiPriority w:val="0"/>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21">
    <w:name w:val="p0"/>
    <w:basedOn w:val="1"/>
    <w:qFormat/>
    <w:uiPriority w:val="0"/>
    <w:pPr>
      <w:widowControl/>
    </w:pPr>
    <w:rPr>
      <w:rFonts w:ascii="Times New Roman" w:hAnsi="Times New Roman"/>
      <w:kern w:val="0"/>
      <w:sz w:val="21"/>
      <w:szCs w:val="21"/>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23">
    <w:name w:val="TOC 标题2"/>
    <w:basedOn w:val="3"/>
    <w:next w:val="1"/>
    <w:unhideWhenUsed/>
    <w:qFormat/>
    <w:uiPriority w:val="39"/>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24">
    <w:name w:val="样式 标题 3 + (中文) 黑体 小四 非加粗 段前: 7.8 磅 段后: 0 磅 行距: 固定值 20 磅"/>
    <w:basedOn w:val="5"/>
    <w:qFormat/>
    <w:uiPriority w:val="0"/>
    <w:pPr>
      <w:keepNext/>
      <w:keepLines/>
      <w:widowControl w:val="0"/>
      <w:wordWrap/>
      <w:spacing w:after="0" w:line="400" w:lineRule="exact"/>
      <w:ind w:left="0" w:firstLine="0"/>
    </w:pPr>
    <w:rPr>
      <w:rFonts w:ascii="Times New Roman" w:hAnsi="Times New Roman" w:eastAsia="黑体"/>
      <w:kern w:val="2"/>
      <w:sz w:val="24"/>
    </w:rPr>
  </w:style>
  <w:style w:type="paragraph" w:customStyle="1" w:styleId="125">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26">
    <w:name w:val="标题2"/>
    <w:basedOn w:val="4"/>
    <w:qFormat/>
    <w:uiPriority w:val="0"/>
    <w:pPr>
      <w:tabs>
        <w:tab w:val="left" w:pos="425"/>
        <w:tab w:val="left" w:pos="1247"/>
      </w:tabs>
      <w:spacing w:before="320" w:after="160" w:line="240" w:lineRule="auto"/>
      <w:ind w:left="1247" w:hanging="425"/>
    </w:pPr>
    <w:rPr>
      <w:rFonts w:ascii="Arial" w:hAnsi="Arial" w:eastAsia="黑体" w:cs="Times New Roman"/>
      <w:b w:val="0"/>
      <w:spacing w:val="20"/>
      <w:sz w:val="24"/>
    </w:rPr>
  </w:style>
  <w:style w:type="paragraph" w:customStyle="1" w:styleId="127">
    <w:name w:val="其它"/>
    <w:basedOn w:val="1"/>
    <w:qFormat/>
    <w:uiPriority w:val="0"/>
    <w:pPr>
      <w:adjustRightInd w:val="0"/>
      <w:spacing w:before="40" w:line="360" w:lineRule="auto"/>
      <w:jc w:val="center"/>
      <w:textAlignment w:val="baseline"/>
    </w:pPr>
    <w:rPr>
      <w:rFonts w:ascii="Times New Roman" w:hAnsi="Times New Roman"/>
      <w:b/>
      <w:spacing w:val="10"/>
      <w:kern w:val="0"/>
      <w:sz w:val="32"/>
      <w:szCs w:val="20"/>
    </w:rPr>
  </w:style>
  <w:style w:type="paragraph" w:customStyle="1" w:styleId="128">
    <w:name w:val="TOC 标题11"/>
    <w:basedOn w:val="3"/>
    <w:next w:val="1"/>
    <w:unhideWhenUsed/>
    <w:qFormat/>
    <w:uiPriority w:val="0"/>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29">
    <w:name w:val="明显引用11"/>
    <w:basedOn w:val="1"/>
    <w:next w:val="1"/>
    <w:qFormat/>
    <w:uiPriority w:val="0"/>
    <w:pPr>
      <w:pBdr>
        <w:bottom w:val="single" w:color="4F81BD" w:sz="4" w:space="4"/>
      </w:pBdr>
      <w:spacing w:before="200" w:after="280"/>
      <w:ind w:left="936" w:right="936"/>
    </w:pPr>
    <w:rPr>
      <w:rFonts w:cs="黑体"/>
      <w:b/>
      <w:bCs/>
      <w:i/>
      <w:iCs/>
      <w:color w:val="4F81BD"/>
      <w:sz w:val="21"/>
      <w:szCs w:val="22"/>
    </w:rPr>
  </w:style>
  <w:style w:type="paragraph" w:customStyle="1" w:styleId="130">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列出段落2"/>
    <w:basedOn w:val="1"/>
    <w:unhideWhenUsed/>
    <w:qFormat/>
    <w:uiPriority w:val="99"/>
    <w:pPr>
      <w:widowControl/>
      <w:adjustRightInd w:val="0"/>
      <w:snapToGrid w:val="0"/>
      <w:spacing w:after="200"/>
      <w:ind w:firstLine="420" w:firstLineChars="200"/>
      <w:jc w:val="left"/>
    </w:pPr>
    <w:rPr>
      <w:rFonts w:ascii="Tahoma" w:hAnsi="Tahoma"/>
      <w:kern w:val="0"/>
      <w:szCs w:val="22"/>
    </w:rPr>
  </w:style>
  <w:style w:type="paragraph" w:customStyle="1" w:styleId="132">
    <w:name w:val="列出段落11"/>
    <w:basedOn w:val="1"/>
    <w:qFormat/>
    <w:uiPriority w:val="0"/>
    <w:pPr>
      <w:widowControl/>
      <w:adjustRightInd w:val="0"/>
      <w:snapToGrid w:val="0"/>
      <w:spacing w:after="200"/>
      <w:ind w:firstLine="420" w:firstLineChars="200"/>
      <w:jc w:val="left"/>
    </w:pPr>
    <w:rPr>
      <w:rFonts w:ascii="Tahoma" w:hAnsi="Tahoma"/>
      <w:kern w:val="0"/>
      <w:szCs w:val="22"/>
    </w:rPr>
  </w:style>
  <w:style w:type="paragraph" w:customStyle="1" w:styleId="1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引用11"/>
    <w:basedOn w:val="1"/>
    <w:next w:val="1"/>
    <w:qFormat/>
    <w:uiPriority w:val="0"/>
    <w:rPr>
      <w:rFonts w:cs="黑体"/>
      <w:i/>
      <w:iCs/>
      <w:color w:val="000000"/>
      <w:sz w:val="21"/>
      <w:szCs w:val="22"/>
    </w:rPr>
  </w:style>
  <w:style w:type="paragraph" w:customStyle="1" w:styleId="135">
    <w:name w:val="修订11"/>
    <w:qFormat/>
    <w:uiPriority w:val="0"/>
    <w:rPr>
      <w:rFonts w:ascii="Times New Roman" w:hAnsi="Times New Roman" w:eastAsia="宋体" w:cs="Times New Roman"/>
      <w:kern w:val="2"/>
      <w:sz w:val="21"/>
      <w:szCs w:val="24"/>
      <w:lang w:val="en-US" w:eastAsia="zh-CN" w:bidi="ar-SA"/>
    </w:rPr>
  </w:style>
  <w:style w:type="paragraph" w:styleId="1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7">
    <w:name w:val="修订2"/>
    <w:semiHidden/>
    <w:qFormat/>
    <w:uiPriority w:val="99"/>
    <w:rPr>
      <w:rFonts w:ascii="Tahoma" w:hAnsi="Tahoma" w:eastAsia="宋体" w:cs="Times New Roman"/>
      <w:sz w:val="24"/>
      <w:szCs w:val="22"/>
      <w:lang w:val="en-US" w:eastAsia="zh-CN" w:bidi="ar-SA"/>
    </w:rPr>
  </w:style>
  <w:style w:type="paragraph" w:customStyle="1" w:styleId="138">
    <w:name w:val="缺省文本"/>
    <w:basedOn w:val="1"/>
    <w:qFormat/>
    <w:uiPriority w:val="0"/>
    <w:pPr>
      <w:autoSpaceDE w:val="0"/>
      <w:autoSpaceDN w:val="0"/>
      <w:adjustRightInd w:val="0"/>
      <w:jc w:val="left"/>
    </w:pPr>
    <w:rPr>
      <w:rFonts w:ascii="Times New Roman" w:hAnsi="Times New Roman"/>
      <w:kern w:val="0"/>
      <w:szCs w:val="20"/>
    </w:rPr>
  </w:style>
  <w:style w:type="table" w:customStyle="1" w:styleId="139">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40">
    <w:name w:val="标题 Char2"/>
    <w:basedOn w:val="41"/>
    <w:qFormat/>
    <w:uiPriority w:val="10"/>
    <w:rPr>
      <w:rFonts w:ascii="Cambria" w:hAnsi="Cambria" w:eastAsia="宋体" w:cs="Times New Roman"/>
      <w:b/>
      <w:bCs/>
      <w:sz w:val="32"/>
      <w:szCs w:val="32"/>
    </w:rPr>
  </w:style>
  <w:style w:type="character" w:customStyle="1" w:styleId="141">
    <w:name w:val="正文文本缩进 Char1"/>
    <w:basedOn w:val="41"/>
    <w:semiHidden/>
    <w:qFormat/>
    <w:uiPriority w:val="99"/>
    <w:rPr>
      <w:rFonts w:ascii="Tahoma" w:hAnsi="Tahoma"/>
    </w:rPr>
  </w:style>
  <w:style w:type="character" w:customStyle="1" w:styleId="142">
    <w:name w:val="批注文字 Char2"/>
    <w:basedOn w:val="41"/>
    <w:semiHidden/>
    <w:qFormat/>
    <w:uiPriority w:val="99"/>
    <w:rPr>
      <w:rFonts w:ascii="Tahoma" w:hAnsi="Tahoma"/>
    </w:rPr>
  </w:style>
  <w:style w:type="character" w:customStyle="1" w:styleId="143">
    <w:name w:val="正文文本 Char2"/>
    <w:basedOn w:val="41"/>
    <w:semiHidden/>
    <w:qFormat/>
    <w:uiPriority w:val="99"/>
    <w:rPr>
      <w:rFonts w:ascii="Tahoma" w:hAnsi="Tahoma"/>
    </w:rPr>
  </w:style>
  <w:style w:type="character" w:customStyle="1" w:styleId="144">
    <w:name w:val="批注框文本 Char2"/>
    <w:basedOn w:val="41"/>
    <w:semiHidden/>
    <w:qFormat/>
    <w:uiPriority w:val="99"/>
    <w:rPr>
      <w:rFonts w:ascii="Tahoma" w:hAnsi="Tahoma"/>
      <w:sz w:val="18"/>
      <w:szCs w:val="18"/>
    </w:rPr>
  </w:style>
  <w:style w:type="character" w:customStyle="1" w:styleId="145">
    <w:name w:val="批注主题 Char3"/>
    <w:basedOn w:val="142"/>
    <w:semiHidden/>
    <w:qFormat/>
    <w:uiPriority w:val="99"/>
    <w:rPr>
      <w:rFonts w:ascii="Tahoma" w:hAnsi="Tahoma"/>
      <w:b/>
      <w:bCs/>
    </w:rPr>
  </w:style>
  <w:style w:type="character" w:customStyle="1" w:styleId="146">
    <w:name w:val="纯文本 Char2"/>
    <w:basedOn w:val="41"/>
    <w:semiHidden/>
    <w:qFormat/>
    <w:uiPriority w:val="99"/>
    <w:rPr>
      <w:rFonts w:ascii="宋体" w:hAnsi="Courier New" w:eastAsia="宋体" w:cs="Courier New"/>
      <w:sz w:val="21"/>
      <w:szCs w:val="21"/>
    </w:rPr>
  </w:style>
  <w:style w:type="paragraph" w:customStyle="1" w:styleId="147">
    <w:name w:val="样式 小四 段前: 5 磅 段后: 5 磅 首行缩进:  2 字符"/>
    <w:basedOn w:val="1"/>
    <w:qFormat/>
    <w:uiPriority w:val="0"/>
    <w:pPr>
      <w:spacing w:line="360" w:lineRule="auto"/>
    </w:pPr>
    <w:rPr>
      <w:rFonts w:ascii="宋体" w:hAnsi="宋体"/>
      <w:sz w:val="21"/>
      <w:szCs w:val="21"/>
    </w:rPr>
  </w:style>
  <w:style w:type="paragraph" w:customStyle="1" w:styleId="148">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49">
    <w:name w:val="_Style 2"/>
    <w:basedOn w:val="1"/>
    <w:qFormat/>
    <w:uiPriority w:val="99"/>
    <w:pPr>
      <w:ind w:firstLine="420"/>
    </w:pPr>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D7D9D-552B-475F-B009-08280447BC33}">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66</Pages>
  <Words>5544</Words>
  <Characters>31605</Characters>
  <Lines>263</Lines>
  <Paragraphs>74</Paragraphs>
  <TotalTime>5</TotalTime>
  <ScaleCrop>false</ScaleCrop>
  <LinksUpToDate>false</LinksUpToDate>
  <CharactersWithSpaces>37075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2019-07-29T03:43:00Z</dcterms:created>
  <dc:creator>冇孃窪→神愕</dc:creator>
  <cp:lastModifiedBy>辈籽緈福</cp:lastModifiedBy>
  <cp:lastPrinted>2019-11-01T09:06:00Z</cp:lastPrinted>
  <dcterms:modified xsi:type="dcterms:W3CDTF">2020-11-04T09:40:59Z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